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137EE" w14:textId="77777777" w:rsidR="00FE2F29" w:rsidRPr="000E71D9" w:rsidRDefault="00FE2F29" w:rsidP="000E71D9">
      <w:pPr>
        <w:spacing w:after="0" w:line="240" w:lineRule="auto"/>
        <w:jc w:val="both"/>
        <w:textAlignment w:val="baseline"/>
        <w:rPr>
          <w:rFonts w:ascii="Arial" w:eastAsia="Times New Roman" w:hAnsi="Arial" w:cs="Arial"/>
          <w:b/>
          <w:bCs/>
          <w:color w:val="000000"/>
          <w:sz w:val="20"/>
          <w:szCs w:val="20"/>
          <w:lang w:val="es-ES"/>
        </w:rPr>
      </w:pPr>
      <w:bookmarkStart w:id="0" w:name="_Hlk72942111"/>
      <w:r w:rsidRPr="000E71D9">
        <w:rPr>
          <w:rFonts w:ascii="Arial" w:eastAsia="Times New Roman" w:hAnsi="Arial" w:cs="Arial"/>
          <w:b/>
          <w:bCs/>
          <w:color w:val="000000"/>
          <w:sz w:val="20"/>
          <w:szCs w:val="20"/>
          <w:lang w:val="es-ES"/>
        </w:rPr>
        <w:t>DOCUMENTOS TIPO – Fundamento normativo</w:t>
      </w:r>
      <w:r w:rsidRPr="000E71D9">
        <w:rPr>
          <w:rFonts w:ascii="Arial" w:eastAsia="Times New Roman" w:hAnsi="Arial" w:cs="Arial"/>
          <w:color w:val="000000"/>
          <w:sz w:val="20"/>
          <w:szCs w:val="20"/>
          <w:lang w:val="es-ES"/>
        </w:rPr>
        <w:t xml:space="preserve"> – </w:t>
      </w:r>
      <w:r w:rsidRPr="000E71D9">
        <w:rPr>
          <w:rFonts w:ascii="Arial" w:eastAsia="Times New Roman" w:hAnsi="Arial" w:cs="Arial"/>
          <w:b/>
          <w:bCs/>
          <w:color w:val="000000"/>
          <w:sz w:val="20"/>
          <w:szCs w:val="20"/>
          <w:lang w:val="es-ES"/>
        </w:rPr>
        <w:t>Documentos Tipo Infraestructura de Transporte</w:t>
      </w:r>
    </w:p>
    <w:p w14:paraId="319BA54A"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3B20DD14" w14:textId="1649AC91" w:rsidR="00FE2F29" w:rsidRPr="000E71D9" w:rsidRDefault="00FE2F29" w:rsidP="000E71D9">
      <w:pPr>
        <w:shd w:val="clear" w:color="auto" w:fill="FFFFFF"/>
        <w:spacing w:after="0" w:line="240" w:lineRule="auto"/>
        <w:jc w:val="both"/>
        <w:textAlignment w:val="baseline"/>
        <w:rPr>
          <w:rFonts w:ascii="Arial" w:eastAsia="Times New Roman" w:hAnsi="Arial" w:cs="Arial"/>
          <w:color w:val="000000"/>
          <w:sz w:val="20"/>
          <w:szCs w:val="20"/>
          <w:lang w:val="es-ES"/>
        </w:rPr>
      </w:pPr>
      <w:r w:rsidRPr="000E71D9">
        <w:rPr>
          <w:rFonts w:ascii="Arial" w:eastAsia="Times New Roman" w:hAnsi="Arial" w:cs="Arial"/>
          <w:color w:val="000000"/>
          <w:sz w:val="20"/>
          <w:szCs w:val="20"/>
          <w:lang w:val="es-ES"/>
        </w:rPr>
        <w:t xml:space="preserve">Con fundamento en la Ley 2022 de 2020,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w:t>
      </w:r>
      <w:r w:rsidR="00C10066" w:rsidRPr="000E71D9">
        <w:rPr>
          <w:rFonts w:ascii="Arial" w:eastAsia="Times New Roman" w:hAnsi="Arial" w:cs="Arial"/>
          <w:color w:val="000000"/>
          <w:sz w:val="20"/>
          <w:szCs w:val="20"/>
          <w:lang w:val="es-ES"/>
        </w:rPr>
        <w:t>entró en vigor</w:t>
      </w:r>
      <w:r w:rsidRPr="000E71D9">
        <w:rPr>
          <w:rFonts w:ascii="Arial" w:eastAsia="Times New Roman" w:hAnsi="Arial" w:cs="Arial"/>
          <w:color w:val="000000"/>
          <w:sz w:val="20"/>
          <w:szCs w:val="20"/>
          <w:lang w:val="es-ES"/>
        </w:rPr>
        <w:t xml:space="preserve"> la Resolución 256 de 2020, «Por la cual se adoptan los documentos tipo para los procesos de selección de concursos de méritos, para contratar la interventoría de obras públicas de infraestructura de transporte».</w:t>
      </w:r>
    </w:p>
    <w:p w14:paraId="76CE0FE5" w14:textId="77777777" w:rsidR="00FE2F29" w:rsidRPr="000E71D9" w:rsidRDefault="00FE2F29" w:rsidP="000E71D9">
      <w:pPr>
        <w:shd w:val="clear" w:color="auto" w:fill="FFFFFF"/>
        <w:spacing w:after="0" w:line="240" w:lineRule="auto"/>
        <w:jc w:val="both"/>
        <w:textAlignment w:val="baseline"/>
        <w:rPr>
          <w:rFonts w:ascii="Arial" w:eastAsia="Times New Roman" w:hAnsi="Arial" w:cs="Arial"/>
          <w:color w:val="000000"/>
          <w:sz w:val="20"/>
          <w:szCs w:val="20"/>
          <w:lang w:val="es-ES"/>
        </w:rPr>
      </w:pPr>
    </w:p>
    <w:p w14:paraId="5A44B6E8" w14:textId="77777777" w:rsidR="00FE2F29" w:rsidRPr="000E71D9" w:rsidRDefault="00FE2F29" w:rsidP="000E71D9">
      <w:pPr>
        <w:shd w:val="clear" w:color="auto" w:fill="FFFFFF"/>
        <w:spacing w:after="0" w:line="240" w:lineRule="auto"/>
        <w:jc w:val="both"/>
        <w:textAlignment w:val="baseline"/>
        <w:rPr>
          <w:rFonts w:ascii="Arial" w:eastAsia="Times New Roman" w:hAnsi="Arial" w:cs="Arial"/>
          <w:color w:val="000000"/>
          <w:sz w:val="20"/>
          <w:szCs w:val="20"/>
          <w:lang w:val="es-ES"/>
        </w:rPr>
      </w:pPr>
      <w:r w:rsidRPr="000E71D9">
        <w:rPr>
          <w:rFonts w:ascii="Arial" w:eastAsia="Times New Roman" w:hAnsi="Arial" w:cs="Arial"/>
          <w:color w:val="000000"/>
          <w:sz w:val="20"/>
          <w:szCs w:val="20"/>
          <w:lang w:val="es-ES"/>
        </w:rPr>
        <w:t xml:space="preserve">Además, se profirió la Resolución 193 del 14 de julio de 2021 «Por la cual se adoptan los documentos tipo para los procesos de selección de concurso de méritos, para contratar la consultoría de estudios de ingeniería de infraestructura de transporte». </w:t>
      </w:r>
    </w:p>
    <w:p w14:paraId="1929BFB8" w14:textId="77777777" w:rsidR="00FE2F29" w:rsidRPr="000E71D9" w:rsidRDefault="00FE2F29" w:rsidP="000E71D9">
      <w:pPr>
        <w:spacing w:after="0" w:line="240" w:lineRule="auto"/>
        <w:jc w:val="both"/>
        <w:textAlignment w:val="baseline"/>
        <w:rPr>
          <w:rFonts w:ascii="Arial" w:eastAsia="Times New Roman" w:hAnsi="Arial" w:cs="Arial"/>
          <w:color w:val="000000"/>
          <w:sz w:val="20"/>
          <w:szCs w:val="20"/>
          <w:lang w:val="es-ES"/>
        </w:rPr>
      </w:pPr>
    </w:p>
    <w:p w14:paraId="71ACBCB9" w14:textId="77777777" w:rsidR="00FE2F29" w:rsidRPr="000E71D9" w:rsidRDefault="00FE2F29" w:rsidP="000E71D9">
      <w:pPr>
        <w:spacing w:after="120" w:line="240" w:lineRule="auto"/>
        <w:jc w:val="both"/>
        <w:rPr>
          <w:rFonts w:ascii="Arial" w:eastAsia="Times New Roman" w:hAnsi="Arial" w:cs="Arial"/>
          <w:color w:val="000000"/>
          <w:sz w:val="20"/>
          <w:szCs w:val="20"/>
          <w:lang w:val="es-ES"/>
        </w:rPr>
      </w:pPr>
      <w:r w:rsidRPr="000E71D9">
        <w:rPr>
          <w:rFonts w:ascii="Arial" w:eastAsia="Times New Roman" w:hAnsi="Arial" w:cs="Arial"/>
          <w:color w:val="000000"/>
          <w:sz w:val="20"/>
          <w:szCs w:val="20"/>
          <w:lang w:val="es-ES"/>
        </w:rPr>
        <w:t>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Ante este cambio normativo, se expidió la Resolución 304 del 13 de octubre de 2021, la cual ajusta los documentos tipo a las nuevas reglas de origen aplicables a los servicios nacionales. La principal modificación realizada en esta resolución consiste en la modificación al factor de evaluación de apoyo a la industria nacional.</w:t>
      </w:r>
    </w:p>
    <w:p w14:paraId="0AD0FEF8" w14:textId="77777777" w:rsidR="00FE2F29" w:rsidRPr="000E71D9" w:rsidRDefault="00FE2F29" w:rsidP="000E71D9">
      <w:pPr>
        <w:spacing w:after="0" w:line="240" w:lineRule="auto"/>
        <w:jc w:val="both"/>
        <w:textAlignment w:val="baseline"/>
        <w:rPr>
          <w:rFonts w:ascii="Arial" w:eastAsia="Times New Roman" w:hAnsi="Arial" w:cs="Arial"/>
          <w:color w:val="000000"/>
          <w:sz w:val="20"/>
          <w:szCs w:val="20"/>
          <w:lang w:val="es-ES"/>
        </w:rPr>
      </w:pPr>
      <w:r w:rsidRPr="000E71D9">
        <w:rPr>
          <w:rFonts w:ascii="Arial" w:eastAsia="Times New Roman" w:hAnsi="Arial" w:cs="Arial"/>
          <w:color w:val="000000"/>
          <w:sz w:val="20"/>
          <w:szCs w:val="20"/>
          <w:lang w:val="es-ES"/>
        </w:rPr>
        <w:t>Ahora bien, teniendo en cuenta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por lo que se expidió la Resolución 275 del 24 de junio de 2022, «Por la cual se modifican los documentos tipo adoptados por la Agencia Nacional de Contratación Pública – Colombia Compra Eficiente». Esta última modificación aplica a los procesos cuyo aviso de convocatoria se publique a partir del 29 de agosto de 2022</w:t>
      </w:r>
      <w:r w:rsidRPr="000E71D9">
        <w:rPr>
          <w:rFonts w:ascii="Arial" w:eastAsia="Times New Roman" w:hAnsi="Arial" w:cs="Arial"/>
          <w:sz w:val="20"/>
          <w:szCs w:val="20"/>
          <w:lang w:val="es-ES"/>
        </w:rPr>
        <w:t> </w:t>
      </w:r>
    </w:p>
    <w:p w14:paraId="0ED22A04"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sz w:val="20"/>
          <w:szCs w:val="20"/>
          <w:lang w:val="es-ES"/>
        </w:rPr>
        <w:t> </w:t>
      </w:r>
    </w:p>
    <w:p w14:paraId="2FA29E97" w14:textId="77777777" w:rsidR="00FE2F29" w:rsidRPr="000E71D9" w:rsidRDefault="00FE2F29" w:rsidP="000E71D9">
      <w:pPr>
        <w:spacing w:after="0" w:line="240" w:lineRule="auto"/>
        <w:jc w:val="both"/>
        <w:rPr>
          <w:rFonts w:ascii="Arial" w:eastAsia="Times New Roman" w:hAnsi="Arial" w:cs="Arial"/>
          <w:b/>
          <w:sz w:val="20"/>
          <w:szCs w:val="20"/>
          <w:lang w:eastAsia="es-CO"/>
        </w:rPr>
      </w:pPr>
      <w:r w:rsidRPr="000E71D9">
        <w:rPr>
          <w:rFonts w:ascii="Arial" w:eastAsia="Times New Roman" w:hAnsi="Arial" w:cs="Arial"/>
          <w:b/>
          <w:sz w:val="20"/>
          <w:szCs w:val="20"/>
          <w:lang w:eastAsia="es-CO"/>
        </w:rPr>
        <w:t>EJERCICIO DE LA INGENIERÍA – Presentación de ofertas – Persona natural – Aval</w:t>
      </w:r>
    </w:p>
    <w:p w14:paraId="0CAAD71B" w14:textId="77777777" w:rsidR="00FE2F29" w:rsidRPr="000E71D9" w:rsidRDefault="00FE2F29" w:rsidP="000E71D9">
      <w:pPr>
        <w:spacing w:after="0" w:line="240" w:lineRule="auto"/>
        <w:jc w:val="both"/>
        <w:rPr>
          <w:rFonts w:ascii="Arial" w:eastAsia="Times New Roman" w:hAnsi="Arial" w:cs="Arial"/>
          <w:sz w:val="20"/>
          <w:szCs w:val="20"/>
          <w:lang w:eastAsia="es-CO"/>
        </w:rPr>
      </w:pPr>
    </w:p>
    <w:p w14:paraId="110AEEE5" w14:textId="77777777" w:rsidR="00FE2F29" w:rsidRPr="000E71D9" w:rsidRDefault="00FE2F29" w:rsidP="000E71D9">
      <w:pPr>
        <w:spacing w:after="0" w:line="240" w:lineRule="auto"/>
        <w:jc w:val="both"/>
        <w:rPr>
          <w:rFonts w:ascii="Arial" w:eastAsia="Times New Roman" w:hAnsi="Arial" w:cs="Arial"/>
          <w:sz w:val="20"/>
          <w:szCs w:val="20"/>
          <w:lang w:eastAsia="es-CO"/>
        </w:rPr>
      </w:pPr>
      <w:r w:rsidRPr="000E71D9">
        <w:rPr>
          <w:rFonts w:ascii="Arial" w:eastAsia="Times New Roman" w:hAnsi="Arial" w:cs="Arial"/>
          <w:sz w:val="20"/>
          <w:szCs w:val="20"/>
          <w:lang w:eastAsia="es-CO"/>
        </w:rPr>
        <w:t>[L]a Ley 842 de 2003, en su artículo 20, regula la posibilidad de que, en el marco de procesos de contratación, personas que no ostentan la calidad de ingenieros o ingenieras, presenten propuestas avaladas por un profesional en la rama de la ingeniería cuyo ejercicio compete a la ejecución del eventual contrato. Tal posibilidad, de conformidad con los conceptos emitidos por el COPNIA, en virtud de la facultad del literal i) del artículo 26 de la Ley 842 de 2003, así como los emitidos por esta Agencia conforme a los numerales 5 del artículo 3 y 8 del artículo 11 del Decreto 4170 de 2011, ha sido limitada a las personas jurídicas, bajo el entendido de que son estas quienes por su naturaleza jurídica no tienen la posibilidad de contar con un título profesional en ingeniería en nombre propio, como si pueden hacerlo las personas naturales, quienes además se encuentran obligadas a contar con estos para ejercer válidamente la ingeniería.</w:t>
      </w:r>
    </w:p>
    <w:p w14:paraId="6B7B70A0" w14:textId="77777777" w:rsidR="00FE2F29" w:rsidRPr="000E71D9" w:rsidRDefault="00FE2F29" w:rsidP="000E71D9">
      <w:pPr>
        <w:spacing w:after="0" w:line="240" w:lineRule="auto"/>
        <w:jc w:val="both"/>
        <w:rPr>
          <w:rFonts w:ascii="Arial" w:eastAsia="Times New Roman" w:hAnsi="Arial" w:cs="Arial"/>
          <w:sz w:val="20"/>
          <w:szCs w:val="20"/>
          <w:lang w:eastAsia="es-CO"/>
        </w:rPr>
      </w:pPr>
    </w:p>
    <w:p w14:paraId="799C951F" w14:textId="6CFAE0B8" w:rsidR="00FE2F29" w:rsidRDefault="00FE2F29" w:rsidP="000E71D9">
      <w:pPr>
        <w:spacing w:after="0" w:line="240" w:lineRule="auto"/>
        <w:jc w:val="both"/>
        <w:rPr>
          <w:rFonts w:ascii="Arial" w:eastAsia="Times New Roman" w:hAnsi="Arial" w:cs="Arial"/>
          <w:b/>
          <w:sz w:val="20"/>
          <w:szCs w:val="20"/>
          <w:lang w:eastAsia="es-CO"/>
        </w:rPr>
      </w:pPr>
      <w:bookmarkStart w:id="1" w:name="_Hlk75255567"/>
      <w:r w:rsidRPr="000E71D9">
        <w:rPr>
          <w:rFonts w:ascii="Arial" w:eastAsia="Times New Roman" w:hAnsi="Arial" w:cs="Arial"/>
          <w:b/>
          <w:sz w:val="20"/>
          <w:szCs w:val="20"/>
          <w:lang w:eastAsia="es-CO"/>
        </w:rPr>
        <w:t xml:space="preserve">DOCUMENTOS TIPO – Ejercicio de la ingeniería – Persona natural – Título en ingeniería </w:t>
      </w:r>
    </w:p>
    <w:p w14:paraId="6F8BD333" w14:textId="77777777" w:rsidR="00BF4513" w:rsidRPr="000E71D9" w:rsidRDefault="00BF4513" w:rsidP="000E71D9">
      <w:pPr>
        <w:spacing w:after="0" w:line="240" w:lineRule="auto"/>
        <w:jc w:val="both"/>
        <w:rPr>
          <w:rFonts w:ascii="Arial" w:eastAsia="Times New Roman" w:hAnsi="Arial" w:cs="Arial"/>
          <w:b/>
          <w:sz w:val="20"/>
          <w:szCs w:val="20"/>
          <w:lang w:eastAsia="es-CO"/>
        </w:rPr>
      </w:pPr>
    </w:p>
    <w:bookmarkEnd w:id="1"/>
    <w:p w14:paraId="4C6B3DD8" w14:textId="77777777" w:rsidR="00FE2F29" w:rsidRPr="000E71D9" w:rsidRDefault="00FE2F29" w:rsidP="000E71D9">
      <w:pPr>
        <w:spacing w:after="0" w:line="240" w:lineRule="auto"/>
        <w:jc w:val="both"/>
        <w:rPr>
          <w:rFonts w:ascii="Arial" w:eastAsia="Calibri" w:hAnsi="Arial" w:cs="Arial"/>
          <w:sz w:val="20"/>
          <w:szCs w:val="20"/>
          <w:lang w:eastAsia="es-ES_tradnl"/>
        </w:rPr>
      </w:pPr>
      <w:r w:rsidRPr="000E71D9">
        <w:rPr>
          <w:rFonts w:ascii="Arial" w:eastAsia="Times New Roman" w:hAnsi="Arial" w:cs="Arial"/>
          <w:sz w:val="20"/>
          <w:szCs w:val="20"/>
          <w:lang w:eastAsia="es-CO"/>
        </w:rPr>
        <w:lastRenderedPageBreak/>
        <w:t>De acuerdo con lo expuesto, y en concordancia con el Consejo Profesional Nacional de Ingeniería, la persona natural que presente propuesta en un proceso de contratación desarrollado en virtud de los documentos tipo de obra pública de infraestructura de transporte, o en los procesos de contratación en los que se ejecuten actividades relacionadas con la ingeniería, se deberá acreditar título profesional en ingeniería, sin que sea posible que ante la ausencia de dicho título participe con el aval de un ingeniero de la rama relacionada con el objeto del proceso de contratación, no resultando valido recurrir al aval regulado por el artículo 20 de la Ley 842 de 2003, cuya aplicación es procedente únicamente respecto de personas jurídicas.</w:t>
      </w:r>
    </w:p>
    <w:p w14:paraId="493065BA" w14:textId="77777777" w:rsidR="00FE2F29" w:rsidRPr="000E71D9" w:rsidRDefault="00FE2F29" w:rsidP="000E71D9">
      <w:pPr>
        <w:spacing w:after="0" w:line="240" w:lineRule="auto"/>
        <w:jc w:val="both"/>
        <w:textAlignment w:val="baseline"/>
        <w:rPr>
          <w:rFonts w:ascii="Arial" w:eastAsia="Times New Roman" w:hAnsi="Arial" w:cs="Arial"/>
          <w:sz w:val="20"/>
          <w:szCs w:val="20"/>
          <w:highlight w:val="yellow"/>
        </w:rPr>
      </w:pPr>
    </w:p>
    <w:p w14:paraId="60BB7DBD"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sz w:val="20"/>
          <w:szCs w:val="20"/>
        </w:rPr>
        <w:t>[…]</w:t>
      </w:r>
      <w:r w:rsidRPr="000E71D9">
        <w:rPr>
          <w:rFonts w:ascii="Arial" w:eastAsia="Times New Roman" w:hAnsi="Arial" w:cs="Arial"/>
          <w:sz w:val="20"/>
          <w:szCs w:val="20"/>
          <w:lang w:val="es-ES"/>
        </w:rPr>
        <w:t> </w:t>
      </w:r>
    </w:p>
    <w:p w14:paraId="13D3AE74" w14:textId="77777777" w:rsidR="00FE2F29" w:rsidRPr="000E71D9" w:rsidRDefault="00FE2F29" w:rsidP="000E71D9">
      <w:pPr>
        <w:spacing w:after="0" w:line="240" w:lineRule="auto"/>
        <w:jc w:val="both"/>
        <w:textAlignment w:val="baseline"/>
        <w:rPr>
          <w:rFonts w:ascii="Arial" w:eastAsia="Times New Roman" w:hAnsi="Arial" w:cs="Arial"/>
          <w:sz w:val="20"/>
          <w:szCs w:val="20"/>
          <w:highlight w:val="yellow"/>
          <w:lang w:val="es-ES"/>
        </w:rPr>
      </w:pPr>
    </w:p>
    <w:p w14:paraId="3AD8561B" w14:textId="77777777" w:rsidR="00FE2F29" w:rsidRPr="000E71D9" w:rsidRDefault="00FE2F29" w:rsidP="000E71D9">
      <w:pPr>
        <w:spacing w:after="240" w:line="240" w:lineRule="auto"/>
        <w:jc w:val="both"/>
        <w:rPr>
          <w:rFonts w:ascii="Arial" w:eastAsia="Times New Roman" w:hAnsi="Arial" w:cs="Arial"/>
          <w:sz w:val="20"/>
          <w:szCs w:val="20"/>
          <w:lang w:eastAsia="es-CO"/>
        </w:rPr>
      </w:pPr>
      <w:r w:rsidRPr="000E71D9">
        <w:rPr>
          <w:rFonts w:ascii="Arial" w:eastAsia="Times New Roman" w:hAnsi="Arial" w:cs="Arial"/>
          <w:sz w:val="20"/>
          <w:szCs w:val="20"/>
          <w:lang w:eastAsia="es-CO"/>
        </w:rPr>
        <w:t>De acuerdo con lo expuesto, y en concordancia con el COPNIA, la persona natural que presente propuesta en un proceso de contratación desarrollado en virtud de los documentos tipo de obra de infraestructura de transporte, o en los procesos de contratación en los que se ejecuten actividades relacionadas con la ingeniería, deberá acreditar título profesional en ingeniería, sin que sea posible que ante la ausencia de dicho título participe con el aval de un ingeniero de la rama relacionada con el objeto del proceso de contratación.</w:t>
      </w:r>
    </w:p>
    <w:p w14:paraId="186C2BF8" w14:textId="77777777" w:rsidR="00FE2F29" w:rsidRPr="000E71D9" w:rsidRDefault="00FE2F29" w:rsidP="000E71D9">
      <w:pPr>
        <w:spacing w:after="0" w:line="240" w:lineRule="auto"/>
        <w:jc w:val="both"/>
        <w:textAlignment w:val="baseline"/>
        <w:rPr>
          <w:rFonts w:ascii="Arial" w:eastAsia="Times New Roman" w:hAnsi="Arial" w:cs="Arial"/>
          <w:sz w:val="20"/>
          <w:szCs w:val="20"/>
          <w:lang w:eastAsia="es-CO"/>
        </w:rPr>
      </w:pPr>
      <w:r w:rsidRPr="000E71D9">
        <w:rPr>
          <w:rFonts w:ascii="Arial" w:eastAsia="Times New Roman" w:hAnsi="Arial" w:cs="Arial"/>
          <w:sz w:val="20"/>
          <w:szCs w:val="20"/>
          <w:lang w:eastAsia="es-CO"/>
        </w:rPr>
        <w:t>Del mismo modo, tampoco resulta viable que una persona natural con título diferente a la ingeniería presente propuesta en procesos de selección, en los que la ejecución del objeto contractual ofertado implique el ejercicio de la ingeniería. Esto sin perjuicio, de que se oferten objetos contractuales que puedan ser desarrollados por profesionales diferentes a un ingeniero o ingeniera, esto es, los que no supongan el ejercicio de la ingeniería, caso en el cual la posibilidad de participar de profesionales no ingenieros deberá ser analizada a luz de las normas que regulen la respectiva profesión, de ser el caso.</w:t>
      </w:r>
    </w:p>
    <w:p w14:paraId="08DF7AA0" w14:textId="77777777" w:rsidR="00FE2F29" w:rsidRPr="000E71D9" w:rsidRDefault="00FE2F29" w:rsidP="000E71D9">
      <w:pPr>
        <w:spacing w:after="0" w:line="240" w:lineRule="auto"/>
        <w:jc w:val="both"/>
        <w:textAlignment w:val="baseline"/>
        <w:rPr>
          <w:rFonts w:ascii="Arial" w:eastAsia="Times New Roman" w:hAnsi="Arial" w:cs="Arial"/>
          <w:sz w:val="20"/>
          <w:szCs w:val="20"/>
          <w:lang w:eastAsia="es-CO"/>
        </w:rPr>
      </w:pPr>
    </w:p>
    <w:p w14:paraId="00700214"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b/>
          <w:sz w:val="20"/>
          <w:szCs w:val="20"/>
          <w:lang w:val="es-ES"/>
        </w:rPr>
        <w:t xml:space="preserve">PRÁCTICAS ANTICOMPETITIVAS </w:t>
      </w:r>
      <w:r w:rsidRPr="000E71D9">
        <w:rPr>
          <w:rFonts w:ascii="Arial" w:eastAsia="Times New Roman" w:hAnsi="Arial" w:cs="Arial"/>
          <w:b/>
          <w:sz w:val="20"/>
          <w:szCs w:val="20"/>
          <w:lang w:val="es-ES" w:eastAsia="es-CO"/>
        </w:rPr>
        <w:t xml:space="preserve">– </w:t>
      </w:r>
      <w:r w:rsidRPr="000E71D9">
        <w:rPr>
          <w:rFonts w:ascii="Arial" w:eastAsia="Times New Roman" w:hAnsi="Arial" w:cs="Arial"/>
          <w:b/>
          <w:sz w:val="20"/>
          <w:szCs w:val="20"/>
          <w:lang w:val="es-ES"/>
        </w:rPr>
        <w:t xml:space="preserve">Colusión </w:t>
      </w:r>
      <w:r w:rsidRPr="000E71D9">
        <w:rPr>
          <w:rFonts w:ascii="Arial" w:eastAsia="Times New Roman" w:hAnsi="Arial" w:cs="Arial"/>
          <w:b/>
          <w:sz w:val="20"/>
          <w:szCs w:val="20"/>
          <w:lang w:val="es-ES" w:eastAsia="es-CO"/>
        </w:rPr>
        <w:t xml:space="preserve">– Identificación </w:t>
      </w:r>
    </w:p>
    <w:p w14:paraId="640C6459" w14:textId="77777777" w:rsidR="00FE2F29" w:rsidRPr="000E71D9" w:rsidRDefault="00FE2F29" w:rsidP="000E71D9">
      <w:pPr>
        <w:spacing w:after="0" w:line="240" w:lineRule="auto"/>
        <w:jc w:val="both"/>
        <w:rPr>
          <w:rFonts w:ascii="Arial" w:eastAsia="Calibri" w:hAnsi="Arial" w:cs="Arial"/>
          <w:b/>
          <w:color w:val="000000" w:themeColor="text1"/>
          <w:sz w:val="20"/>
          <w:szCs w:val="20"/>
          <w:lang w:val="es-ES" w:eastAsia="es-ES_tradnl"/>
        </w:rPr>
      </w:pPr>
    </w:p>
    <w:p w14:paraId="4A72952E" w14:textId="77777777" w:rsidR="00FE2F29" w:rsidRPr="000E71D9" w:rsidRDefault="00FE2F29" w:rsidP="000E71D9">
      <w:pPr>
        <w:spacing w:after="240" w:line="240" w:lineRule="auto"/>
        <w:jc w:val="both"/>
        <w:rPr>
          <w:rFonts w:ascii="Arial" w:eastAsia="Times New Roman" w:hAnsi="Arial" w:cs="Arial"/>
          <w:sz w:val="20"/>
          <w:szCs w:val="20"/>
          <w:shd w:val="clear" w:color="auto" w:fill="FFFFFF"/>
          <w:lang w:eastAsia="es-ES_tradnl"/>
        </w:rPr>
      </w:pPr>
      <w:r w:rsidRPr="000E71D9">
        <w:rPr>
          <w:rFonts w:ascii="Arial" w:eastAsia="Times New Roman" w:hAnsi="Arial" w:cs="Arial"/>
          <w:sz w:val="20"/>
          <w:szCs w:val="20"/>
          <w:lang w:eastAsia="es-ES_tradnl"/>
        </w:rPr>
        <w:t xml:space="preserve">Conforme a lo dispuesto en el artículo 1° de la Ley 155 de 1959, así como en el numeral 9º del artículo 47 del Decreto 2153 de 1992, está prohibida </w:t>
      </w:r>
      <w:r w:rsidRPr="000E71D9">
        <w:rPr>
          <w:rFonts w:ascii="Arial" w:eastAsia="Times New Roman" w:hAnsi="Arial" w:cs="Arial"/>
          <w:bCs/>
          <w:iCs/>
          <w:sz w:val="20"/>
          <w:szCs w:val="20"/>
          <w:shd w:val="clear" w:color="auto" w:fill="FFFFFF"/>
          <w:lang w:eastAsia="es-ES_tradnl"/>
        </w:rPr>
        <w:t xml:space="preserve">la colusión entendida como un acto </w:t>
      </w:r>
      <w:r w:rsidRPr="000E71D9">
        <w:rPr>
          <w:rFonts w:ascii="Arial" w:eastAsia="Times New Roman" w:hAnsi="Arial" w:cs="Arial"/>
          <w:sz w:val="20"/>
          <w:szCs w:val="20"/>
          <w:lang w:eastAsia="es-ES_tradnl"/>
        </w:rPr>
        <w:t>contrario a la libre competencia</w:t>
      </w:r>
      <w:r w:rsidRPr="000E71D9">
        <w:rPr>
          <w:rFonts w:ascii="Arial" w:eastAsia="Times New Roman" w:hAnsi="Arial" w:cs="Arial"/>
          <w:sz w:val="20"/>
          <w:szCs w:val="20"/>
          <w:shd w:val="clear" w:color="auto" w:fill="FFFFFF"/>
          <w:lang w:eastAsia="es-ES_tradnl"/>
        </w:rPr>
        <w:t> en las licitaciones o concursos, así como todo acto que tenga como efecto la distribución de adjudicaciones de contratos, distribución de concursos o fijación de términos de las propuestas.</w:t>
      </w:r>
    </w:p>
    <w:p w14:paraId="28D1EBC4" w14:textId="77777777" w:rsidR="00FE2F29" w:rsidRPr="000E71D9" w:rsidRDefault="00FE2F29" w:rsidP="000E71D9">
      <w:pPr>
        <w:spacing w:after="240" w:line="240" w:lineRule="auto"/>
        <w:jc w:val="both"/>
        <w:rPr>
          <w:rFonts w:ascii="Arial" w:eastAsia="Times New Roman" w:hAnsi="Arial" w:cs="Arial"/>
          <w:sz w:val="20"/>
          <w:szCs w:val="20"/>
          <w:shd w:val="clear" w:color="auto" w:fill="FAF9F8"/>
          <w:lang w:eastAsia="es-ES_tradnl"/>
        </w:rPr>
      </w:pPr>
      <w:r w:rsidRPr="000E71D9">
        <w:rPr>
          <w:rFonts w:ascii="Arial" w:eastAsia="Times New Roman" w:hAnsi="Arial" w:cs="Arial"/>
          <w:sz w:val="20"/>
          <w:szCs w:val="20"/>
          <w:lang w:eastAsia="es-ES_tradnl"/>
        </w:rPr>
        <w:t>De este modo, el Consejo de Estado, Sala de lo Contencioso Administrativo, determinó ciertos supuestos que permiten establecer la configuración de la colusión en Colombia, de tal suerte que será responsabilidad de las entidades estatales identificar en cada caso en particular la existencia de dichos supuestos en sus procesos de compra pública.</w:t>
      </w:r>
    </w:p>
    <w:p w14:paraId="184E80D1" w14:textId="77777777" w:rsidR="00FE2F29" w:rsidRPr="000E71D9" w:rsidRDefault="00FE2F29" w:rsidP="000E71D9">
      <w:pPr>
        <w:spacing w:after="240" w:line="240" w:lineRule="auto"/>
        <w:jc w:val="both"/>
        <w:rPr>
          <w:rFonts w:ascii="Arial" w:eastAsia="Times New Roman" w:hAnsi="Arial" w:cs="Arial"/>
          <w:sz w:val="20"/>
          <w:szCs w:val="20"/>
          <w:lang w:eastAsia="es-ES_tradnl"/>
        </w:rPr>
      </w:pPr>
      <w:r w:rsidRPr="000E71D9">
        <w:rPr>
          <w:rFonts w:ascii="Arial" w:eastAsia="Times New Roman" w:hAnsi="Arial" w:cs="Arial"/>
          <w:sz w:val="20"/>
          <w:szCs w:val="20"/>
          <w:lang w:eastAsia="es-ES_tradnl"/>
        </w:rPr>
        <w:t>Para ello, las entidades disponen de instrumentos como la guía de competencia en las compras públicas expedida por este Agencia que contiene los factores que pueden facilitar la aparición de prácticas anticompetitivas, así como la Guía práctica para combatir la colusión en las licitaciones como respuesta a los actos de corrupción que se presenta en el país, expedida por la Superintendencia de Industria y Comercio, en donde podrá encontrar el paso a paso de la identificación de conductas colusorias y su tratamiento.</w:t>
      </w:r>
    </w:p>
    <w:p w14:paraId="16B097C3"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b/>
          <w:bCs/>
          <w:color w:val="000000"/>
          <w:sz w:val="20"/>
          <w:szCs w:val="20"/>
          <w:lang w:val="es-ES"/>
        </w:rPr>
        <w:t>PARTICIPACIÓN CIUDADANA – Fundamentos constitucionales  </w:t>
      </w:r>
      <w:r w:rsidRPr="000E71D9">
        <w:rPr>
          <w:rFonts w:ascii="Arial" w:eastAsia="Times New Roman" w:hAnsi="Arial" w:cs="Arial"/>
          <w:color w:val="000000"/>
          <w:sz w:val="20"/>
          <w:szCs w:val="20"/>
          <w:lang w:val="es-ES"/>
        </w:rPr>
        <w:t> </w:t>
      </w:r>
    </w:p>
    <w:p w14:paraId="0FBAD269"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0D26ACF6"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La participación ciudadana en las decisiones del Estado tiene fundamento en la Constitución Política. En efecto, el artículo 2 de la Constitución dispone cuáles son los fines esenciales del Estado, entre ellos, «[...] facilitar la participación de todos en las decisiones que los afectan y en la vida económica, política, administrativa y cultural de la Nación [...]».  </w:t>
      </w:r>
    </w:p>
    <w:p w14:paraId="1FC6104B" w14:textId="44BA9D46" w:rsidR="00FE2F29" w:rsidRPr="000E71D9" w:rsidRDefault="00FE2F29" w:rsidP="000E71D9">
      <w:pPr>
        <w:spacing w:after="0" w:line="240" w:lineRule="auto"/>
        <w:jc w:val="both"/>
        <w:textAlignment w:val="baseline"/>
        <w:rPr>
          <w:rFonts w:ascii="Arial" w:eastAsia="Times New Roman" w:hAnsi="Arial" w:cs="Arial"/>
          <w:sz w:val="20"/>
          <w:szCs w:val="20"/>
          <w:lang w:val="es-ES"/>
        </w:rPr>
      </w:pPr>
    </w:p>
    <w:p w14:paraId="0C6BC632"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Por su parte, el artículo 270 de la Constitución atribuye a la Ley la organización de «[...] las formas y los sistemas de participación ciudadana que permitan vigilar la gestión pública que se cumpla en los diversos niveles administrativos y sus resultados». Por tanto, la participación ciudadana es un elemento fundante del pacto social sobre el que se erige el Estado colombiano. </w:t>
      </w:r>
    </w:p>
    <w:p w14:paraId="1D9F2171"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7CD2A525"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b/>
          <w:bCs/>
          <w:color w:val="000000"/>
          <w:sz w:val="20"/>
          <w:szCs w:val="20"/>
          <w:lang w:val="es-ES"/>
        </w:rPr>
        <w:t>PARTICIPACIÓN CIUDADANA – Contratación pública </w:t>
      </w:r>
      <w:r w:rsidRPr="000E71D9">
        <w:rPr>
          <w:rFonts w:ascii="Arial" w:eastAsia="Times New Roman" w:hAnsi="Arial" w:cs="Arial"/>
          <w:color w:val="000000"/>
          <w:sz w:val="20"/>
          <w:szCs w:val="20"/>
          <w:lang w:val="es-ES"/>
        </w:rPr>
        <w:t> </w:t>
      </w:r>
    </w:p>
    <w:p w14:paraId="38166604"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4E547EBE"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Desde el punto de vista legal, las reglas sobre la participación comunitaria fueron fijadas por el artículo 66 de la Ley 80 de 1993. […] </w:t>
      </w:r>
    </w:p>
    <w:p w14:paraId="1A8F3051"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023D5F7B"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La norma en cuestión dispuso que todo contrato que celebren las entidades estatales estará sujeto a la vigilancia y control ciudadano, prescribiendo así el ámbito de aplicación de la participación ciudadana en la contratación estatal. De igual manera, dicho precepto determina, entre otros aspectos, el papel de las autoridades de brindar especial apoyo y colaboración a las personas y asociaciones que realicen el control y vigilancia de la gestión pública contractual, así como el deber de suministrar oportunamente la documentación e información que requieran para el cumplimiento de tales tareas. </w:t>
      </w:r>
    </w:p>
    <w:p w14:paraId="0784B32D"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08DA6F63"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b/>
          <w:bCs/>
          <w:color w:val="000000"/>
          <w:sz w:val="20"/>
          <w:szCs w:val="20"/>
          <w:lang w:val="es-ES"/>
        </w:rPr>
        <w:t>PARTICIPACIÓN CIUDADANA – Veedurías ciudadanas</w:t>
      </w:r>
      <w:r w:rsidRPr="000E71D9">
        <w:rPr>
          <w:rFonts w:ascii="Arial" w:eastAsia="Times New Roman" w:hAnsi="Arial" w:cs="Arial"/>
          <w:color w:val="000000"/>
          <w:sz w:val="20"/>
          <w:szCs w:val="20"/>
          <w:lang w:val="es-ES"/>
        </w:rPr>
        <w:t> </w:t>
      </w:r>
    </w:p>
    <w:p w14:paraId="3EEFEF9D"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15C82FA2"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La Ley 850 del 2003 reglamentó las veedurías ciudadanas como un mecanismo democrático de representación que le permite a la ciudadanía y a las diferentes formas de organización comunitaria, ejercer vigilancia sobre la gestión pública.  </w:t>
      </w:r>
    </w:p>
    <w:p w14:paraId="3BD82561"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6E1ED7AC"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b/>
          <w:bCs/>
          <w:color w:val="000000"/>
          <w:sz w:val="20"/>
          <w:szCs w:val="20"/>
          <w:lang w:val="es-ES"/>
        </w:rPr>
        <w:t>CONTROL SOCIAL – Concepto – Ámbito de aplicación </w:t>
      </w:r>
      <w:r w:rsidRPr="000E71D9">
        <w:rPr>
          <w:rFonts w:ascii="Arial" w:eastAsia="Times New Roman" w:hAnsi="Arial" w:cs="Arial"/>
          <w:color w:val="000000"/>
          <w:sz w:val="20"/>
          <w:szCs w:val="20"/>
          <w:lang w:val="es-ES"/>
        </w:rPr>
        <w:t> </w:t>
      </w:r>
    </w:p>
    <w:p w14:paraId="3044CEBB"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5ABBAF7A"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La Ley 1757 de 2015 «Por la cual se dictan disposiciones en materia de promoción y protección del derecho a la participación democrática» reglamenta el Control Social a lo Público e introduce algunos ajustes a ciertas disposiciones de la Ley 850 de 2003. Para tales efectos, define el control social como el derecho y el deber de los ciudadanos a participar, de manera individual o colectiva, en la vigilancia de la gestión pública y sus resultados, estableciendo un espectro más amplio de control y vigilancia, puesto que puede ser ejercido por todos los ciudadanos, siendo las veedurías uno de los múltiples actores para hacer control social. </w:t>
      </w:r>
    </w:p>
    <w:p w14:paraId="6D47C976"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7608B484"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Así, es preciso señalar que el control social que ejerza la ciudadanía puede practicarse en relación con todos los contratos estatales, cualquiera que sea su modalidad de contratación, toda vez que de esta manera se garantiza una verdadera gestión de vigilancia y control de los recursos públicos y se cumplen con los objetivos establecidos en artículo 64 de la Ley 1757 de 2015. </w:t>
      </w:r>
    </w:p>
    <w:p w14:paraId="47022783"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38B2944C"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b/>
          <w:bCs/>
          <w:color w:val="000000"/>
          <w:sz w:val="20"/>
          <w:szCs w:val="20"/>
          <w:lang w:val="es-ES"/>
        </w:rPr>
        <w:t>CONVOCATORIA A VEEDURÍAS CIUDADANAS – Decreto 1082 de 2015</w:t>
      </w:r>
      <w:r w:rsidRPr="000E71D9">
        <w:rPr>
          <w:rFonts w:ascii="Arial" w:eastAsia="Times New Roman" w:hAnsi="Arial" w:cs="Arial"/>
          <w:color w:val="000000"/>
          <w:sz w:val="20"/>
          <w:szCs w:val="20"/>
          <w:lang w:val="es-ES"/>
        </w:rPr>
        <w:t> </w:t>
      </w:r>
    </w:p>
    <w:p w14:paraId="35EFFAEE"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 </w:t>
      </w:r>
    </w:p>
    <w:p w14:paraId="527A55B3" w14:textId="77777777" w:rsidR="00FE2F29" w:rsidRPr="000E71D9" w:rsidRDefault="00FE2F29" w:rsidP="000E71D9">
      <w:pPr>
        <w:spacing w:after="0" w:line="240" w:lineRule="auto"/>
        <w:jc w:val="both"/>
        <w:textAlignment w:val="baseline"/>
        <w:rPr>
          <w:rFonts w:ascii="Arial" w:eastAsia="Times New Roman" w:hAnsi="Arial" w:cs="Arial"/>
          <w:sz w:val="20"/>
          <w:szCs w:val="20"/>
          <w:lang w:val="es-ES"/>
        </w:rPr>
      </w:pPr>
      <w:r w:rsidRPr="000E71D9">
        <w:rPr>
          <w:rFonts w:ascii="Arial" w:eastAsia="Times New Roman" w:hAnsi="Arial" w:cs="Arial"/>
          <w:color w:val="000000"/>
          <w:sz w:val="20"/>
          <w:szCs w:val="20"/>
          <w:lang w:val="es-ES"/>
        </w:rPr>
        <w:t>El Decreto 1082 de 2015, en su artículo 2.2.1.1.2.1.5., hace referencia a las convocatorias de las veedurías ciudadanas en relación con el acto administrativo de apertura del proceso de selección. Tal precepto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proceso de selección que se abre, con el propósito de que realicen el control social al mismo.   </w:t>
      </w:r>
    </w:p>
    <w:p w14:paraId="3A369AAE" w14:textId="77777777" w:rsidR="00FE2F29" w:rsidRPr="000E71D9" w:rsidRDefault="00FE2F29" w:rsidP="000E71D9">
      <w:pPr>
        <w:spacing w:after="0" w:line="240" w:lineRule="auto"/>
        <w:jc w:val="both"/>
        <w:rPr>
          <w:rFonts w:ascii="Arial" w:eastAsia="Times New Roman" w:hAnsi="Arial" w:cs="Arial"/>
          <w:b/>
          <w:sz w:val="20"/>
          <w:szCs w:val="20"/>
          <w:lang w:val="es-ES" w:eastAsia="es-ES_tradnl"/>
        </w:rPr>
      </w:pPr>
    </w:p>
    <w:p w14:paraId="5BD8D934" w14:textId="77777777" w:rsidR="00FE2F29" w:rsidRPr="000E71D9" w:rsidRDefault="00FE2F29" w:rsidP="000E71D9">
      <w:pPr>
        <w:spacing w:after="0" w:line="240" w:lineRule="auto"/>
        <w:jc w:val="both"/>
        <w:rPr>
          <w:rFonts w:ascii="Arial" w:eastAsia="Times New Roman" w:hAnsi="Arial" w:cs="Arial"/>
          <w:b/>
          <w:sz w:val="20"/>
          <w:szCs w:val="20"/>
          <w:lang w:eastAsia="es-ES_tradnl"/>
        </w:rPr>
      </w:pPr>
      <w:r w:rsidRPr="000E71D9">
        <w:rPr>
          <w:rFonts w:ascii="Arial" w:eastAsia="Times New Roman" w:hAnsi="Arial" w:cs="Arial"/>
          <w:b/>
          <w:sz w:val="20"/>
          <w:szCs w:val="20"/>
          <w:lang w:eastAsia="es-ES_tradnl"/>
        </w:rPr>
        <w:lastRenderedPageBreak/>
        <w:t>PRINCIPIOS ─ Principio de transparencia ─ Observaciones</w:t>
      </w:r>
    </w:p>
    <w:p w14:paraId="2911917C" w14:textId="77777777" w:rsidR="00FE2F29" w:rsidRPr="000E71D9" w:rsidRDefault="00FE2F29" w:rsidP="000E71D9">
      <w:pPr>
        <w:spacing w:after="0" w:line="240" w:lineRule="auto"/>
        <w:jc w:val="both"/>
        <w:rPr>
          <w:rFonts w:ascii="Arial" w:eastAsia="Times New Roman" w:hAnsi="Arial" w:cs="Arial"/>
          <w:sz w:val="20"/>
          <w:szCs w:val="20"/>
          <w:lang w:eastAsia="es-ES_tradnl"/>
        </w:rPr>
      </w:pPr>
    </w:p>
    <w:p w14:paraId="2207039C" w14:textId="77777777" w:rsidR="00FE2F29" w:rsidRPr="000E71D9" w:rsidRDefault="00FE2F29" w:rsidP="000E71D9">
      <w:pPr>
        <w:tabs>
          <w:tab w:val="left" w:pos="3374"/>
        </w:tabs>
        <w:spacing w:after="0" w:line="240" w:lineRule="auto"/>
        <w:jc w:val="both"/>
        <w:rPr>
          <w:rFonts w:ascii="Arial" w:eastAsia="Times New Roman" w:hAnsi="Arial" w:cs="Arial"/>
          <w:sz w:val="20"/>
          <w:szCs w:val="20"/>
          <w:lang w:eastAsia="es-ES_tradnl"/>
        </w:rPr>
      </w:pPr>
      <w:r w:rsidRPr="000E71D9">
        <w:rPr>
          <w:rFonts w:ascii="Arial" w:eastAsia="Times New Roman" w:hAnsi="Arial" w:cs="Arial"/>
          <w:sz w:val="20"/>
          <w:szCs w:val="20"/>
          <w:lang w:eastAsia="es-ES_tradnl"/>
        </w:rPr>
        <w:t>El artículo 23 de la Ley 80 de 1993 regula los principios aplicables a las actuaciones contractuales adelantadas por las entidades estatales. Entre otros, allí se estableció el principio de transparencia de la actividad contractual, objeto de regulación expresa en el artículo 24 del citado cuerpo normativo. Este principio guarda estrecha relación con el de publicidad, que rige el ejercicio de la función administrativa, según el artículo 209 constitucional. Por eso en los numerales 2º y 3º del citado artículo 24 se estableció la facultad de los interesados para realizar y/o presentar observaciones, como un mecanismo para controvertir algunas de las decisiones adoptadas por las entidades estatales en el marco de sus actuaciones públicas, en particular en los procesos contractuales […].</w:t>
      </w:r>
    </w:p>
    <w:p w14:paraId="02224F0B" w14:textId="77777777" w:rsidR="00FE2F29" w:rsidRPr="000E71D9" w:rsidRDefault="00FE2F29" w:rsidP="000E71D9">
      <w:pPr>
        <w:widowControl w:val="0"/>
        <w:autoSpaceDE w:val="0"/>
        <w:autoSpaceDN w:val="0"/>
        <w:spacing w:after="0" w:line="240" w:lineRule="auto"/>
        <w:ind w:right="49"/>
        <w:jc w:val="both"/>
        <w:rPr>
          <w:rFonts w:ascii="Arial" w:eastAsia="Times New Roman" w:hAnsi="Arial" w:cs="Arial"/>
          <w:bCs/>
          <w:sz w:val="20"/>
          <w:szCs w:val="20"/>
        </w:rPr>
      </w:pPr>
    </w:p>
    <w:p w14:paraId="793F0487" w14:textId="77777777" w:rsidR="00FE2F29" w:rsidRPr="000E71D9" w:rsidRDefault="00FE2F29" w:rsidP="000E71D9">
      <w:pPr>
        <w:spacing w:after="0" w:line="240" w:lineRule="auto"/>
        <w:jc w:val="both"/>
        <w:rPr>
          <w:rFonts w:ascii="Arial" w:eastAsia="Times New Roman" w:hAnsi="Arial" w:cs="Arial"/>
          <w:b/>
          <w:bCs/>
          <w:color w:val="000000" w:themeColor="text1"/>
          <w:sz w:val="20"/>
          <w:szCs w:val="20"/>
          <w:lang w:eastAsia="es-ES_tradnl"/>
        </w:rPr>
      </w:pPr>
      <w:r w:rsidRPr="000E71D9">
        <w:rPr>
          <w:rFonts w:ascii="Arial" w:eastAsia="Times New Roman" w:hAnsi="Arial" w:cs="Arial"/>
          <w:b/>
          <w:bCs/>
          <w:color w:val="000000" w:themeColor="text1"/>
          <w:sz w:val="20"/>
          <w:szCs w:val="20"/>
          <w:lang w:eastAsia="es-ES_tradnl"/>
        </w:rPr>
        <w:t>OBSERVACIONES─ Término para presentarlas ─ Término para responderlas ─ Informe de evaluación</w:t>
      </w:r>
    </w:p>
    <w:p w14:paraId="019D9D58" w14:textId="77777777" w:rsidR="00FE2F29" w:rsidRPr="000E71D9" w:rsidRDefault="00FE2F29" w:rsidP="000E71D9">
      <w:pPr>
        <w:spacing w:after="0" w:line="240" w:lineRule="auto"/>
        <w:jc w:val="both"/>
        <w:rPr>
          <w:rFonts w:ascii="Arial" w:eastAsia="Times New Roman" w:hAnsi="Arial" w:cs="Arial"/>
          <w:b/>
          <w:bCs/>
          <w:color w:val="000000" w:themeColor="text1"/>
          <w:sz w:val="20"/>
          <w:szCs w:val="20"/>
          <w:highlight w:val="yellow"/>
          <w:lang w:eastAsia="es-ES_tradnl"/>
        </w:rPr>
      </w:pPr>
    </w:p>
    <w:p w14:paraId="16A9EB8C" w14:textId="73C3EA02" w:rsidR="00FE2F29" w:rsidRPr="000E71D9" w:rsidRDefault="00FE2F29" w:rsidP="000E71D9">
      <w:pPr>
        <w:spacing w:after="0" w:line="240" w:lineRule="auto"/>
        <w:jc w:val="both"/>
        <w:rPr>
          <w:rFonts w:ascii="Arial" w:eastAsia="Times New Roman" w:hAnsi="Arial" w:cs="Arial"/>
          <w:color w:val="000000" w:themeColor="text1"/>
          <w:sz w:val="20"/>
          <w:szCs w:val="20"/>
          <w:lang w:eastAsia="es-ES_tradnl"/>
        </w:rPr>
      </w:pPr>
      <w:r w:rsidRPr="000E71D9">
        <w:rPr>
          <w:rFonts w:ascii="Arial" w:eastAsia="Times New Roman" w:hAnsi="Arial" w:cs="Arial"/>
          <w:color w:val="000000" w:themeColor="text1"/>
          <w:sz w:val="20"/>
          <w:szCs w:val="20"/>
          <w:lang w:eastAsia="es-ES_tradnl"/>
        </w:rPr>
        <w:t xml:space="preserve">[…] el ordenamiento jurídico no contempló de manera expresa un término para que las entidades estatales se pronuncien sobre las observaciones presentadas al informe de evaluación; no obstante esta circunstancia, se precisa que aquellas sí cuentan con un límite para responder esas observaciones, límite que está determinado por el acto de adjudicación del respectivo contrato, es decir, la </w:t>
      </w:r>
      <w:r w:rsidR="00CD548C" w:rsidRPr="000E71D9">
        <w:rPr>
          <w:rFonts w:ascii="Arial" w:eastAsia="Times New Roman" w:hAnsi="Arial" w:cs="Arial"/>
          <w:color w:val="000000" w:themeColor="text1"/>
          <w:sz w:val="20"/>
          <w:szCs w:val="20"/>
          <w:lang w:eastAsia="es-ES_tradnl"/>
        </w:rPr>
        <w:t>Entidad Estatal</w:t>
      </w:r>
      <w:r w:rsidRPr="000E71D9">
        <w:rPr>
          <w:rFonts w:ascii="Arial" w:eastAsia="Times New Roman" w:hAnsi="Arial" w:cs="Arial"/>
          <w:color w:val="000000" w:themeColor="text1"/>
          <w:sz w:val="20"/>
          <w:szCs w:val="20"/>
          <w:lang w:eastAsia="es-ES_tradnl"/>
        </w:rPr>
        <w:t xml:space="preserve"> contratante antes de proferir su decisión de adjudicación del contrato, está en la obligación de responder las observaciones presentadas al informe de evaluación de las propuestas.</w:t>
      </w:r>
    </w:p>
    <w:p w14:paraId="0FBE24A4" w14:textId="77777777" w:rsidR="00FE2F29" w:rsidRPr="000E71D9" w:rsidRDefault="00FE2F29" w:rsidP="000E71D9">
      <w:pPr>
        <w:spacing w:after="0" w:line="240" w:lineRule="auto"/>
        <w:jc w:val="both"/>
        <w:rPr>
          <w:rFonts w:ascii="Arial" w:eastAsia="Times New Roman" w:hAnsi="Arial" w:cs="Arial"/>
          <w:color w:val="000000" w:themeColor="text1"/>
          <w:sz w:val="20"/>
          <w:szCs w:val="20"/>
          <w:lang w:eastAsia="es-ES_tradnl"/>
        </w:rPr>
      </w:pPr>
    </w:p>
    <w:p w14:paraId="0C907133" w14:textId="77777777" w:rsidR="00FE2F29" w:rsidRPr="000E71D9" w:rsidRDefault="00FE2F29" w:rsidP="000E71D9">
      <w:pPr>
        <w:spacing w:after="0" w:line="240" w:lineRule="auto"/>
        <w:jc w:val="both"/>
        <w:rPr>
          <w:rFonts w:ascii="Arial" w:eastAsia="Times New Roman" w:hAnsi="Arial" w:cs="Arial"/>
          <w:color w:val="000000" w:themeColor="text1"/>
          <w:sz w:val="20"/>
          <w:szCs w:val="20"/>
          <w:lang w:eastAsia="es-ES_tradnl"/>
        </w:rPr>
      </w:pPr>
      <w:r w:rsidRPr="000E71D9">
        <w:rPr>
          <w:rFonts w:ascii="Arial" w:eastAsia="Times New Roman" w:hAnsi="Arial" w:cs="Arial"/>
          <w:color w:val="000000" w:themeColor="text1"/>
          <w:sz w:val="20"/>
          <w:szCs w:val="20"/>
          <w:lang w:eastAsia="es-ES_tradnl"/>
        </w:rPr>
        <w:t xml:space="preserve">Es de resaltar </w:t>
      </w:r>
      <w:proofErr w:type="gramStart"/>
      <w:r w:rsidRPr="000E71D9">
        <w:rPr>
          <w:rFonts w:ascii="Arial" w:eastAsia="Times New Roman" w:hAnsi="Arial" w:cs="Arial"/>
          <w:color w:val="000000" w:themeColor="text1"/>
          <w:sz w:val="20"/>
          <w:szCs w:val="20"/>
          <w:lang w:eastAsia="es-ES_tradnl"/>
        </w:rPr>
        <w:t>que</w:t>
      </w:r>
      <w:proofErr w:type="gramEnd"/>
      <w:r w:rsidRPr="000E71D9">
        <w:rPr>
          <w:rFonts w:ascii="Arial" w:eastAsia="Times New Roman" w:hAnsi="Arial" w:cs="Arial"/>
          <w:color w:val="000000" w:themeColor="text1"/>
          <w:sz w:val="20"/>
          <w:szCs w:val="20"/>
          <w:lang w:eastAsia="es-ES_tradnl"/>
        </w:rPr>
        <w:t xml:space="preserve"> en los procesos de licitación, la respuesta a las observaciones presentadas al informe de evaluación deberá efectuarse antes de la realización de la audiencia de adjudicación, puesto que en esa audiencia «los oferentes pueden pronunciarse sobre las respuestas dadas por la Entidad Estatal a las observaciones presentadas respecto del informe de evaluación».</w:t>
      </w:r>
    </w:p>
    <w:p w14:paraId="1C53638B" w14:textId="77777777" w:rsidR="00FE2F29" w:rsidRPr="000E71D9" w:rsidRDefault="00FE2F29" w:rsidP="000E71D9">
      <w:pPr>
        <w:spacing w:after="0" w:line="240" w:lineRule="auto"/>
        <w:jc w:val="both"/>
        <w:rPr>
          <w:rFonts w:ascii="Arial" w:eastAsia="Times New Roman" w:hAnsi="Arial" w:cs="Arial"/>
          <w:color w:val="000000" w:themeColor="text1"/>
          <w:sz w:val="20"/>
          <w:szCs w:val="20"/>
          <w:lang w:eastAsia="es-ES_tradnl"/>
        </w:rPr>
      </w:pPr>
    </w:p>
    <w:p w14:paraId="461E9B8F" w14:textId="3DF54E2E" w:rsidR="00FE2F29" w:rsidRPr="000E71D9" w:rsidRDefault="00FE2F29" w:rsidP="000E71D9">
      <w:pPr>
        <w:spacing w:after="0" w:line="240" w:lineRule="auto"/>
        <w:jc w:val="both"/>
        <w:rPr>
          <w:rFonts w:ascii="Arial" w:eastAsia="Times New Roman" w:hAnsi="Arial" w:cs="Arial"/>
          <w:color w:val="000000" w:themeColor="text1"/>
          <w:sz w:val="20"/>
          <w:szCs w:val="20"/>
          <w:highlight w:val="yellow"/>
          <w:lang w:eastAsia="es-ES_tradnl"/>
        </w:rPr>
      </w:pPr>
      <w:r w:rsidRPr="000E71D9">
        <w:rPr>
          <w:rFonts w:ascii="Arial" w:eastAsia="Times New Roman" w:hAnsi="Arial" w:cs="Arial"/>
          <w:color w:val="000000" w:themeColor="text1"/>
          <w:sz w:val="20"/>
          <w:szCs w:val="20"/>
          <w:lang w:eastAsia="es-ES_tradnl"/>
        </w:rPr>
        <w:t xml:space="preserve">En conclusión y en relación con los términos o plazos con que cuentan las entidades estatales para responder las observaciones y/o solicitudes de aclaraciones en las distintas etapas o fases del proceso de contratación, se precisa que si bien el ordenamiento jurídico no contempló de manera expresa ese plazo, el mismo se encuentra establecido de forma tácita, en tanto que, no es posible avanzar en las fases o etapas del proceso de contratación, si la </w:t>
      </w:r>
      <w:r w:rsidR="00CD548C" w:rsidRPr="000E71D9">
        <w:rPr>
          <w:rFonts w:ascii="Arial" w:eastAsia="Times New Roman" w:hAnsi="Arial" w:cs="Arial"/>
          <w:color w:val="000000" w:themeColor="text1"/>
          <w:sz w:val="20"/>
          <w:szCs w:val="20"/>
          <w:lang w:eastAsia="es-ES_tradnl"/>
        </w:rPr>
        <w:t>Entidad Estatal</w:t>
      </w:r>
      <w:r w:rsidRPr="000E71D9">
        <w:rPr>
          <w:rFonts w:ascii="Arial" w:eastAsia="Times New Roman" w:hAnsi="Arial" w:cs="Arial"/>
          <w:color w:val="000000" w:themeColor="text1"/>
          <w:sz w:val="20"/>
          <w:szCs w:val="20"/>
          <w:lang w:eastAsia="es-ES_tradnl"/>
        </w:rPr>
        <w:t>, previamente, no ha resuelto las observaciones presentadas y/o solicitudes de aclaraciones realizadas en cada una de las etapas analizadas.</w:t>
      </w:r>
    </w:p>
    <w:p w14:paraId="1F4286CB" w14:textId="77777777" w:rsidR="00FE2F29" w:rsidRPr="00E02234" w:rsidRDefault="00FE2F29" w:rsidP="00E02234">
      <w:pPr>
        <w:spacing w:after="0" w:line="276" w:lineRule="auto"/>
        <w:ind w:firstLine="709"/>
        <w:jc w:val="both"/>
        <w:rPr>
          <w:rFonts w:ascii="Arial" w:eastAsia="Times New Roman" w:hAnsi="Arial" w:cs="Arial"/>
          <w:color w:val="000000" w:themeColor="text1"/>
          <w:highlight w:val="yellow"/>
          <w:lang w:eastAsia="es-ES_tradnl"/>
        </w:rPr>
      </w:pPr>
    </w:p>
    <w:p w14:paraId="5639E0A1" w14:textId="77777777" w:rsidR="00FE2F29" w:rsidRPr="00E02234" w:rsidRDefault="00FE2F29" w:rsidP="00E02234">
      <w:pPr>
        <w:tabs>
          <w:tab w:val="left" w:pos="3374"/>
        </w:tabs>
        <w:spacing w:after="0" w:line="276" w:lineRule="auto"/>
        <w:rPr>
          <w:rFonts w:ascii="Arial" w:eastAsia="Calibri" w:hAnsi="Arial" w:cs="Arial"/>
          <w:lang w:eastAsia="es-ES_tradnl"/>
        </w:rPr>
      </w:pPr>
    </w:p>
    <w:p w14:paraId="056B53E3" w14:textId="77777777" w:rsidR="00FE2F29" w:rsidRPr="00E02234" w:rsidRDefault="00FE2F29" w:rsidP="00E02234">
      <w:pPr>
        <w:spacing w:line="276" w:lineRule="auto"/>
        <w:rPr>
          <w:rFonts w:ascii="Arial" w:eastAsia="Calibri" w:hAnsi="Arial" w:cs="Arial"/>
          <w:lang w:eastAsia="es-ES_tradnl"/>
        </w:rPr>
      </w:pPr>
      <w:r w:rsidRPr="00E02234">
        <w:rPr>
          <w:rFonts w:ascii="Arial" w:eastAsia="Calibri" w:hAnsi="Arial" w:cs="Arial"/>
          <w:lang w:eastAsia="es-ES_tradnl"/>
        </w:rPr>
        <w:br w:type="page"/>
      </w:r>
    </w:p>
    <w:p w14:paraId="4D64F3E3" w14:textId="56972832" w:rsidR="00C769EC" w:rsidRDefault="00F44412" w:rsidP="00F44412">
      <w:pPr>
        <w:tabs>
          <w:tab w:val="left" w:pos="3374"/>
        </w:tabs>
        <w:spacing w:after="0" w:line="276" w:lineRule="auto"/>
        <w:rPr>
          <w:rFonts w:ascii="Arial" w:eastAsia="Calibri" w:hAnsi="Arial" w:cs="Arial"/>
          <w:lang w:eastAsia="es-ES_tradnl"/>
        </w:rPr>
      </w:pPr>
      <w:r>
        <w:rPr>
          <w:rFonts w:ascii="Arial" w:eastAsia="Calibri" w:hAnsi="Arial" w:cs="Arial"/>
          <w:lang w:eastAsia="es-ES_tradnl"/>
        </w:rPr>
        <w:lastRenderedPageBreak/>
        <w:t xml:space="preserve">Bogotá D.C., </w:t>
      </w:r>
      <w:r w:rsidR="00C769EC">
        <w:rPr>
          <w:rFonts w:ascii="Arial" w:eastAsia="Calibri" w:hAnsi="Arial" w:cs="Arial"/>
          <w:lang w:eastAsia="es-ES_tradnl"/>
        </w:rPr>
        <w:t>2</w:t>
      </w:r>
      <w:r w:rsidR="000E71D9">
        <w:rPr>
          <w:rFonts w:ascii="Arial" w:eastAsia="Calibri" w:hAnsi="Arial" w:cs="Arial"/>
          <w:lang w:eastAsia="es-ES_tradnl"/>
        </w:rPr>
        <w:t>6</w:t>
      </w:r>
      <w:r w:rsidR="00C769EC">
        <w:rPr>
          <w:rFonts w:ascii="Arial" w:eastAsia="Calibri" w:hAnsi="Arial" w:cs="Arial"/>
          <w:lang w:eastAsia="es-ES_tradnl"/>
        </w:rPr>
        <w:t xml:space="preserve"> de diciembre de 2022</w:t>
      </w:r>
    </w:p>
    <w:p w14:paraId="032E2AEA" w14:textId="1D392CFE" w:rsidR="00C769EC" w:rsidRPr="00E02234" w:rsidRDefault="002C1043" w:rsidP="32C07C6F">
      <w:pPr>
        <w:tabs>
          <w:tab w:val="left" w:pos="3374"/>
        </w:tabs>
        <w:spacing w:after="0" w:line="276" w:lineRule="auto"/>
        <w:jc w:val="right"/>
        <w:rPr>
          <w:rFonts w:ascii="Arial" w:eastAsia="Calibri" w:hAnsi="Arial" w:cs="Arial"/>
          <w:lang w:eastAsia="es-ES"/>
        </w:rPr>
      </w:pPr>
      <w:r>
        <w:rPr>
          <w:noProof/>
          <w:lang w:val="en-US"/>
        </w:rPr>
        <w:drawing>
          <wp:inline distT="0" distB="0" distL="0" distR="0" wp14:anchorId="357FDBC6" wp14:editId="4D8814AE">
            <wp:extent cx="3057525" cy="7334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6846" t="64404" r="17695" b="16304"/>
                    <a:stretch/>
                  </pic:blipFill>
                  <pic:spPr bwMode="auto">
                    <a:xfrm>
                      <a:off x="0" y="0"/>
                      <a:ext cx="3057525" cy="733425"/>
                    </a:xfrm>
                    <a:prstGeom prst="rect">
                      <a:avLst/>
                    </a:prstGeom>
                    <a:ln>
                      <a:noFill/>
                    </a:ln>
                    <a:extLst>
                      <a:ext uri="{53640926-AAD7-44D8-BBD7-CCE9431645EC}">
                        <a14:shadowObscured xmlns:a14="http://schemas.microsoft.com/office/drawing/2010/main"/>
                      </a:ext>
                    </a:extLst>
                  </pic:spPr>
                </pic:pic>
              </a:graphicData>
            </a:graphic>
          </wp:inline>
        </w:drawing>
      </w:r>
    </w:p>
    <w:p w14:paraId="1770ADCF" w14:textId="77777777" w:rsidR="00FE2F29" w:rsidRPr="00E02234" w:rsidRDefault="00FE2F29" w:rsidP="00E02234">
      <w:pPr>
        <w:tabs>
          <w:tab w:val="left" w:pos="3374"/>
        </w:tabs>
        <w:spacing w:after="0" w:line="276" w:lineRule="auto"/>
        <w:rPr>
          <w:rFonts w:ascii="Arial" w:eastAsia="Calibri" w:hAnsi="Arial" w:cs="Arial"/>
          <w:lang w:eastAsia="es-ES_tradnl"/>
        </w:rPr>
      </w:pPr>
      <w:r w:rsidRPr="00E02234">
        <w:rPr>
          <w:rFonts w:ascii="Arial" w:eastAsia="Calibri" w:hAnsi="Arial" w:cs="Arial"/>
          <w:lang w:eastAsia="es-ES_tradnl"/>
        </w:rPr>
        <w:t>Señora</w:t>
      </w:r>
    </w:p>
    <w:p w14:paraId="58C88B01" w14:textId="77777777" w:rsidR="00FE2F29" w:rsidRPr="00E02234" w:rsidRDefault="00FE2F29" w:rsidP="00E02234">
      <w:pPr>
        <w:spacing w:after="0" w:line="276" w:lineRule="auto"/>
        <w:rPr>
          <w:rFonts w:ascii="Arial" w:eastAsia="Times New Roman" w:hAnsi="Arial" w:cs="Arial"/>
          <w:b/>
          <w:bCs/>
          <w:lang w:val="es-ES" w:eastAsia="es-ES_tradnl"/>
        </w:rPr>
      </w:pPr>
      <w:r w:rsidRPr="00E02234">
        <w:rPr>
          <w:rFonts w:ascii="Arial" w:eastAsia="Times New Roman" w:hAnsi="Arial" w:cs="Arial"/>
          <w:b/>
          <w:bCs/>
          <w:lang w:val="es-ES" w:eastAsia="es-ES_tradnl"/>
        </w:rPr>
        <w:t xml:space="preserve">Carolina Gutiérrez Cedano </w:t>
      </w:r>
    </w:p>
    <w:p w14:paraId="5973D670" w14:textId="1F1983AE" w:rsidR="00FE2F29" w:rsidRPr="00D41B43" w:rsidRDefault="00FE2F29" w:rsidP="00D41B43">
      <w:pPr>
        <w:tabs>
          <w:tab w:val="left" w:pos="3374"/>
        </w:tabs>
        <w:spacing w:after="0" w:line="276" w:lineRule="auto"/>
        <w:rPr>
          <w:rFonts w:ascii="Arial" w:eastAsia="Calibri" w:hAnsi="Arial" w:cs="Arial"/>
          <w:lang w:eastAsia="es-ES_tradnl"/>
        </w:rPr>
      </w:pPr>
      <w:r w:rsidRPr="00E02234">
        <w:rPr>
          <w:rFonts w:ascii="Arial" w:eastAsia="Calibri" w:hAnsi="Arial" w:cs="Arial"/>
          <w:lang w:eastAsia="es-ES_tradnl"/>
        </w:rPr>
        <w:t>Guadalajara de Buga, Valle del Cauca</w:t>
      </w:r>
    </w:p>
    <w:p w14:paraId="24B7A59A" w14:textId="77777777" w:rsidR="00210207" w:rsidRDefault="00210207" w:rsidP="00E02234">
      <w:pPr>
        <w:spacing w:after="0" w:line="276" w:lineRule="auto"/>
        <w:ind w:left="2116" w:firstLine="708"/>
        <w:rPr>
          <w:rFonts w:ascii="Arial" w:eastAsia="Calibri" w:hAnsi="Arial" w:cs="Arial"/>
          <w:b/>
          <w:lang w:eastAsia="es-ES_tradnl"/>
        </w:rPr>
      </w:pPr>
    </w:p>
    <w:p w14:paraId="4BF659EF" w14:textId="7CB0C662" w:rsidR="00FE2F29" w:rsidRPr="00E02234" w:rsidRDefault="00FE2F29" w:rsidP="00E02234">
      <w:pPr>
        <w:spacing w:after="0" w:line="276" w:lineRule="auto"/>
        <w:ind w:left="2116" w:firstLine="708"/>
        <w:rPr>
          <w:rFonts w:ascii="Arial" w:eastAsia="Calibri" w:hAnsi="Arial" w:cs="Arial"/>
          <w:b/>
          <w:lang w:eastAsia="es-ES_tradnl"/>
        </w:rPr>
      </w:pPr>
      <w:r w:rsidRPr="00E02234">
        <w:rPr>
          <w:rFonts w:ascii="Arial" w:eastAsia="Calibri" w:hAnsi="Arial" w:cs="Arial"/>
          <w:b/>
          <w:lang w:eastAsia="es-ES_tradnl"/>
        </w:rPr>
        <w:t>Concepto C – 886 de 2022</w:t>
      </w:r>
    </w:p>
    <w:p w14:paraId="44E4F818" w14:textId="77777777" w:rsidR="00FE2F29" w:rsidRPr="00E02234" w:rsidRDefault="00FE2F29" w:rsidP="00E02234">
      <w:pPr>
        <w:spacing w:after="0" w:line="276" w:lineRule="auto"/>
        <w:ind w:left="2835" w:hanging="2835"/>
        <w:jc w:val="both"/>
        <w:rPr>
          <w:rFonts w:ascii="Arial" w:eastAsia="Calibri" w:hAnsi="Arial" w:cs="Arial"/>
          <w:b/>
          <w:noProof/>
          <w:color w:val="1A1A1A" w:themeColor="background1" w:themeShade="1A"/>
          <w:lang w:val="es-ES_tradnl" w:eastAsia="es-ES_tradnl"/>
        </w:rPr>
      </w:pPr>
    </w:p>
    <w:p w14:paraId="1F0E9B7E" w14:textId="77777777" w:rsidR="00FE2F29" w:rsidRPr="00E02234" w:rsidRDefault="00FE2F29" w:rsidP="00E02234">
      <w:pPr>
        <w:spacing w:after="0" w:line="276" w:lineRule="auto"/>
        <w:ind w:left="2835" w:hanging="2835"/>
        <w:jc w:val="both"/>
        <w:rPr>
          <w:rFonts w:ascii="Arial" w:eastAsia="Times New Roman" w:hAnsi="Arial" w:cs="Arial"/>
          <w:lang w:val="es-ES" w:eastAsia="es-CO"/>
        </w:rPr>
      </w:pPr>
      <w:r w:rsidRPr="00E02234">
        <w:rPr>
          <w:rFonts w:ascii="Arial" w:eastAsia="Calibri" w:hAnsi="Arial" w:cs="Arial"/>
          <w:b/>
          <w:noProof/>
          <w:color w:val="1A1A1A" w:themeColor="background1" w:themeShade="1A"/>
          <w:lang w:val="es-ES_tradnl" w:eastAsia="es-ES_tradnl"/>
        </w:rPr>
        <w:t>Temas</w:t>
      </w:r>
      <w:r w:rsidRPr="00E02234">
        <w:rPr>
          <w:rFonts w:ascii="Arial" w:eastAsia="Calibri" w:hAnsi="Arial" w:cs="Arial"/>
          <w:bCs/>
          <w:noProof/>
          <w:color w:val="1A1A1A" w:themeColor="background1" w:themeShade="1A"/>
          <w:lang w:val="es-ES_tradnl" w:eastAsia="es-ES_tradnl"/>
        </w:rPr>
        <w:t xml:space="preserve">: </w:t>
      </w:r>
      <w:r w:rsidRPr="00E02234">
        <w:rPr>
          <w:rFonts w:ascii="Arial" w:eastAsia="Calibri" w:hAnsi="Arial" w:cs="Arial"/>
          <w:bCs/>
          <w:noProof/>
          <w:color w:val="1A1A1A" w:themeColor="background1" w:themeShade="1A"/>
          <w:lang w:val="es-ES_tradnl" w:eastAsia="es-ES_tradnl"/>
        </w:rPr>
        <w:tab/>
      </w:r>
      <w:r w:rsidRPr="00E02234">
        <w:rPr>
          <w:rFonts w:ascii="Arial" w:eastAsia="Times New Roman" w:hAnsi="Arial" w:cs="Arial"/>
          <w:bCs/>
          <w:color w:val="000000"/>
          <w:lang w:val="es-ES" w:eastAsia="es-ES_tradnl"/>
        </w:rPr>
        <w:t>DOCUMENTOS TIPO – Fundamento normativo</w:t>
      </w:r>
      <w:r w:rsidRPr="00E02234">
        <w:rPr>
          <w:rFonts w:ascii="Arial" w:eastAsia="Times New Roman" w:hAnsi="Arial" w:cs="Arial"/>
          <w:color w:val="000000"/>
          <w:lang w:val="es-ES" w:eastAsia="es-ES_tradnl"/>
        </w:rPr>
        <w:t xml:space="preserve"> – </w:t>
      </w:r>
      <w:r w:rsidRPr="00E02234">
        <w:rPr>
          <w:rFonts w:ascii="Arial" w:eastAsia="Times New Roman" w:hAnsi="Arial" w:cs="Arial"/>
          <w:bCs/>
          <w:color w:val="000000"/>
          <w:lang w:val="es-ES" w:eastAsia="es-ES_tradnl"/>
        </w:rPr>
        <w:t xml:space="preserve">Documentos Tipo Infraestructura de Transporte / </w:t>
      </w:r>
      <w:r w:rsidRPr="00E02234">
        <w:rPr>
          <w:rFonts w:ascii="Arial" w:eastAsia="Times New Roman" w:hAnsi="Arial" w:cs="Arial"/>
          <w:lang w:val="es-ES" w:eastAsia="es-CO"/>
        </w:rPr>
        <w:t xml:space="preserve">EJERCICIO DE LA INGENIERÍA – Presentación de ofertas – Persona natural – Aval / DOCUMENTOS TIPO – Ejercicio de la ingeniería – Persona natural – Título en ingeniería / </w:t>
      </w:r>
      <w:r w:rsidRPr="00E02234">
        <w:rPr>
          <w:rFonts w:ascii="Arial" w:eastAsia="Times New Roman" w:hAnsi="Arial" w:cs="Arial"/>
          <w:lang w:val="es-ES" w:eastAsia="es-ES_tradnl"/>
        </w:rPr>
        <w:t xml:space="preserve">PRÁCTICAS ANTICOMPETITIVAS </w:t>
      </w:r>
      <w:r w:rsidRPr="00E02234">
        <w:rPr>
          <w:rFonts w:ascii="Arial" w:eastAsia="Times New Roman" w:hAnsi="Arial" w:cs="Arial"/>
          <w:lang w:val="es-ES" w:eastAsia="es-CO"/>
        </w:rPr>
        <w:t xml:space="preserve">– </w:t>
      </w:r>
      <w:r w:rsidRPr="00E02234">
        <w:rPr>
          <w:rFonts w:ascii="Arial" w:eastAsia="Times New Roman" w:hAnsi="Arial" w:cs="Arial"/>
          <w:lang w:val="es-ES" w:eastAsia="es-ES_tradnl"/>
        </w:rPr>
        <w:t xml:space="preserve">Colusión </w:t>
      </w:r>
      <w:r w:rsidRPr="00E02234">
        <w:rPr>
          <w:rFonts w:ascii="Arial" w:eastAsia="Times New Roman" w:hAnsi="Arial" w:cs="Arial"/>
          <w:lang w:val="es-ES" w:eastAsia="es-CO"/>
        </w:rPr>
        <w:t xml:space="preserve">– Identificación / </w:t>
      </w:r>
      <w:r w:rsidRPr="00E02234">
        <w:rPr>
          <w:rFonts w:ascii="Arial" w:eastAsia="Times New Roman" w:hAnsi="Arial" w:cs="Arial"/>
          <w:bCs/>
          <w:color w:val="000000"/>
          <w:lang w:val="es-ES"/>
        </w:rPr>
        <w:t>PARTICIPACIÓN CIUDADANA – Fundamentos constitucionales / PARTICIPACIÓN CIUDADANA – Contratación pública / PARTICIPACIÓN CIUDADANA – Veedurías ciudadanas</w:t>
      </w:r>
      <w:r w:rsidRPr="00E02234">
        <w:rPr>
          <w:rFonts w:ascii="Arial" w:eastAsia="Times New Roman" w:hAnsi="Arial" w:cs="Arial"/>
          <w:color w:val="000000"/>
          <w:lang w:val="es-ES"/>
        </w:rPr>
        <w:t xml:space="preserve"> / </w:t>
      </w:r>
      <w:r w:rsidRPr="00E02234">
        <w:rPr>
          <w:rFonts w:ascii="Arial" w:eastAsia="Times New Roman" w:hAnsi="Arial" w:cs="Arial"/>
          <w:bCs/>
          <w:color w:val="000000"/>
          <w:lang w:val="es-ES"/>
        </w:rPr>
        <w:t>CONTROL SOCIAL – Concepto – Ámbito de aplicación / CONVOCATORIA A VEEDURÍAS CIUDADANAS – Decreto 1082 de 2015</w:t>
      </w:r>
      <w:r w:rsidRPr="00E02234">
        <w:rPr>
          <w:rFonts w:ascii="Arial" w:eastAsia="Times New Roman" w:hAnsi="Arial" w:cs="Arial"/>
          <w:color w:val="000000"/>
          <w:lang w:val="es-ES"/>
        </w:rPr>
        <w:t xml:space="preserve"> / </w:t>
      </w:r>
      <w:r w:rsidRPr="00E02234">
        <w:rPr>
          <w:rFonts w:ascii="Arial" w:eastAsia="Times New Roman" w:hAnsi="Arial" w:cs="Arial"/>
          <w:lang w:eastAsia="es-ES_tradnl"/>
        </w:rPr>
        <w:t xml:space="preserve">PRINCIPIOS ─ Principio de transparencia ─ Observaciones / </w:t>
      </w:r>
      <w:r w:rsidRPr="00E02234">
        <w:rPr>
          <w:rFonts w:ascii="Arial" w:eastAsia="Times New Roman" w:hAnsi="Arial" w:cs="Arial"/>
          <w:bCs/>
          <w:color w:val="000000" w:themeColor="text1"/>
          <w:lang w:eastAsia="es-ES_tradnl"/>
        </w:rPr>
        <w:t>OBSERVACIONES─ Término para presentarlas ─ Término para responderlas ─ Informe de evaluación</w:t>
      </w:r>
    </w:p>
    <w:p w14:paraId="0E700466" w14:textId="77777777" w:rsidR="00FE2F29" w:rsidRPr="00E02234" w:rsidRDefault="00FE2F29" w:rsidP="00E02234">
      <w:pPr>
        <w:spacing w:after="0" w:line="276" w:lineRule="auto"/>
        <w:ind w:left="2835" w:hanging="2835"/>
        <w:jc w:val="both"/>
        <w:rPr>
          <w:rFonts w:ascii="Arial" w:eastAsia="Calibri" w:hAnsi="Arial" w:cs="Arial"/>
          <w:bCs/>
          <w:color w:val="000000" w:themeColor="text1"/>
          <w:lang w:val="es-ES" w:eastAsia="es-ES_tradnl"/>
        </w:rPr>
      </w:pPr>
    </w:p>
    <w:p w14:paraId="7A656570" w14:textId="77777777" w:rsidR="00FE2F29" w:rsidRPr="00E02234" w:rsidRDefault="00FE2F29" w:rsidP="00E02234">
      <w:pPr>
        <w:spacing w:after="0" w:line="276" w:lineRule="auto"/>
        <w:ind w:left="2835" w:hanging="2835"/>
        <w:jc w:val="both"/>
        <w:rPr>
          <w:rFonts w:ascii="Arial" w:eastAsia="Calibri" w:hAnsi="Arial" w:cs="Arial"/>
          <w:bCs/>
          <w:noProof/>
          <w:color w:val="1A1A1A" w:themeColor="background1" w:themeShade="1A"/>
          <w:lang w:val="es-ES_tradnl" w:eastAsia="es-ES_tradnl"/>
        </w:rPr>
      </w:pPr>
      <w:r w:rsidRPr="00E02234">
        <w:rPr>
          <w:rFonts w:ascii="Arial" w:eastAsia="Calibri" w:hAnsi="Arial" w:cs="Arial"/>
          <w:b/>
          <w:noProof/>
          <w:color w:val="1A1A1A" w:themeColor="background1" w:themeShade="1A"/>
          <w:lang w:val="es-ES_tradnl" w:eastAsia="es-ES_tradnl"/>
        </w:rPr>
        <w:t>Radicación</w:t>
      </w:r>
      <w:r w:rsidRPr="00E02234">
        <w:rPr>
          <w:rFonts w:ascii="Arial" w:eastAsia="Calibri" w:hAnsi="Arial" w:cs="Arial"/>
          <w:bCs/>
          <w:noProof/>
          <w:color w:val="1A1A1A" w:themeColor="background1" w:themeShade="1A"/>
          <w:lang w:val="es-ES_tradnl" w:eastAsia="es-ES_tradnl"/>
        </w:rPr>
        <w:t>:</w:t>
      </w:r>
      <w:r w:rsidRPr="00E02234">
        <w:rPr>
          <w:rFonts w:ascii="Arial" w:eastAsia="Calibri" w:hAnsi="Arial" w:cs="Arial"/>
          <w:bCs/>
          <w:noProof/>
          <w:color w:val="1A1A1A" w:themeColor="background1" w:themeShade="1A"/>
          <w:lang w:val="es-ES_tradnl" w:eastAsia="es-ES_tradnl"/>
        </w:rPr>
        <w:tab/>
        <w:t>Respuesta a consulta</w:t>
      </w:r>
      <w:r w:rsidRPr="00E02234">
        <w:rPr>
          <w:rFonts w:ascii="Arial" w:eastAsia="Calibri" w:hAnsi="Arial" w:cs="Arial"/>
          <w:b/>
          <w:lang w:val="es-MX" w:eastAsia="es-ES_tradnl"/>
        </w:rPr>
        <w:t xml:space="preserve"> </w:t>
      </w:r>
      <w:r w:rsidRPr="00E02234">
        <w:rPr>
          <w:rFonts w:ascii="Arial" w:eastAsia="Calibri" w:hAnsi="Arial" w:cs="Arial"/>
          <w:bCs/>
          <w:lang w:val="es-MX" w:eastAsia="es-ES_tradnl"/>
        </w:rPr>
        <w:t xml:space="preserve">P20221115011394. </w:t>
      </w:r>
    </w:p>
    <w:p w14:paraId="1EF17638" w14:textId="77777777" w:rsidR="00FE2F29" w:rsidRPr="00E02234" w:rsidRDefault="00FE2F29" w:rsidP="00E02234">
      <w:pPr>
        <w:tabs>
          <w:tab w:val="left" w:pos="3374"/>
        </w:tabs>
        <w:spacing w:after="0" w:line="276" w:lineRule="auto"/>
        <w:rPr>
          <w:rFonts w:ascii="Arial" w:eastAsia="Calibri" w:hAnsi="Arial" w:cs="Arial"/>
          <w:lang w:eastAsia="es-ES_tradnl"/>
        </w:rPr>
      </w:pPr>
    </w:p>
    <w:p w14:paraId="305117FD" w14:textId="77777777" w:rsidR="00FE2F29" w:rsidRPr="00E02234" w:rsidRDefault="00FE2F29" w:rsidP="00E02234">
      <w:pPr>
        <w:tabs>
          <w:tab w:val="left" w:pos="3374"/>
        </w:tabs>
        <w:spacing w:after="0" w:line="276" w:lineRule="auto"/>
        <w:rPr>
          <w:rFonts w:ascii="Arial" w:eastAsia="Calibri" w:hAnsi="Arial" w:cs="Arial"/>
          <w:lang w:eastAsia="es-ES_tradnl"/>
        </w:rPr>
      </w:pPr>
      <w:r w:rsidRPr="00E02234">
        <w:rPr>
          <w:rFonts w:ascii="Arial" w:eastAsia="Calibri" w:hAnsi="Arial" w:cs="Arial"/>
          <w:lang w:eastAsia="es-ES_tradnl"/>
        </w:rPr>
        <w:t xml:space="preserve">Estimada señora </w:t>
      </w:r>
      <w:r w:rsidRPr="00E02234">
        <w:rPr>
          <w:rFonts w:ascii="Arial" w:eastAsia="Times New Roman" w:hAnsi="Arial" w:cs="Arial"/>
          <w:bCs/>
          <w:lang w:val="es-ES" w:eastAsia="es-ES_tradnl"/>
        </w:rPr>
        <w:t>Gutiérrez</w:t>
      </w:r>
      <w:r w:rsidRPr="00E02234">
        <w:rPr>
          <w:rFonts w:ascii="Arial" w:eastAsia="Calibri" w:hAnsi="Arial" w:cs="Arial"/>
          <w:lang w:eastAsia="es-ES_tradnl"/>
        </w:rPr>
        <w:t xml:space="preserve">,  </w:t>
      </w:r>
    </w:p>
    <w:p w14:paraId="32120FFD" w14:textId="77777777" w:rsidR="00FE2F29" w:rsidRPr="00E02234" w:rsidRDefault="00FE2F29" w:rsidP="00E02234">
      <w:pPr>
        <w:tabs>
          <w:tab w:val="left" w:pos="3374"/>
        </w:tabs>
        <w:spacing w:after="0" w:line="276" w:lineRule="auto"/>
        <w:jc w:val="both"/>
        <w:rPr>
          <w:rFonts w:ascii="Arial" w:eastAsia="Calibri" w:hAnsi="Arial" w:cs="Arial"/>
          <w:lang w:eastAsia="es-ES_tradnl"/>
        </w:rPr>
      </w:pPr>
    </w:p>
    <w:p w14:paraId="79FC36E5" w14:textId="77777777" w:rsidR="00FE2F29" w:rsidRPr="00E02234" w:rsidRDefault="00FE2F29" w:rsidP="00E02234">
      <w:pPr>
        <w:tabs>
          <w:tab w:val="left" w:pos="3374"/>
        </w:tabs>
        <w:spacing w:after="0" w:line="276" w:lineRule="auto"/>
        <w:jc w:val="both"/>
        <w:rPr>
          <w:rFonts w:ascii="Arial" w:eastAsia="Calibri" w:hAnsi="Arial" w:cs="Arial"/>
          <w:lang w:eastAsia="es-ES_tradnl"/>
        </w:rPr>
      </w:pPr>
      <w:r w:rsidRPr="00E02234">
        <w:rPr>
          <w:rFonts w:ascii="Arial" w:eastAsia="Calibri" w:hAnsi="Arial" w:cs="Arial"/>
          <w:lang w:eastAsia="es-ES_tradnl"/>
        </w:rPr>
        <w:t xml:space="preserve">En ejercicio de la competencia otorgada por el numeral 8 del artículo 11 y el numeral 5 del artículo 3 del Decreto Ley 4170 de 2011, la Agencia Nacional de Contratación Pública− Colombia Compra Eficiente responde su consulta de fecha 15 de noviembre de 2022. </w:t>
      </w:r>
    </w:p>
    <w:p w14:paraId="5BD2F529" w14:textId="77777777" w:rsidR="00FE2F29" w:rsidRPr="00E02234" w:rsidRDefault="00FE2F29" w:rsidP="00E02234">
      <w:pPr>
        <w:tabs>
          <w:tab w:val="left" w:pos="284"/>
        </w:tabs>
        <w:spacing w:after="0" w:line="276" w:lineRule="auto"/>
        <w:jc w:val="both"/>
        <w:rPr>
          <w:rFonts w:ascii="Arial" w:eastAsia="Calibri" w:hAnsi="Arial" w:cs="Arial"/>
          <w:b/>
          <w:lang w:eastAsia="es-ES_tradnl"/>
        </w:rPr>
      </w:pPr>
    </w:p>
    <w:p w14:paraId="47141D68" w14:textId="77777777" w:rsidR="00FE2F29" w:rsidRPr="00E02234" w:rsidRDefault="00FE2F29" w:rsidP="00E02234">
      <w:pPr>
        <w:tabs>
          <w:tab w:val="left" w:pos="284"/>
        </w:tabs>
        <w:spacing w:after="240" w:line="276" w:lineRule="auto"/>
        <w:jc w:val="both"/>
        <w:rPr>
          <w:rFonts w:ascii="Arial" w:eastAsia="Calibri" w:hAnsi="Arial" w:cs="Arial"/>
          <w:b/>
          <w:lang w:eastAsia="es-ES_tradnl"/>
        </w:rPr>
      </w:pPr>
      <w:r w:rsidRPr="00E02234">
        <w:rPr>
          <w:rFonts w:ascii="Arial" w:eastAsia="Calibri" w:hAnsi="Arial" w:cs="Arial"/>
          <w:b/>
          <w:lang w:eastAsia="es-ES_tradnl"/>
        </w:rPr>
        <w:t xml:space="preserve">1. Problema planteado </w:t>
      </w:r>
    </w:p>
    <w:p w14:paraId="69B8EDC1" w14:textId="77777777" w:rsidR="00FE2F29" w:rsidRPr="00E02234" w:rsidRDefault="00FE2F29" w:rsidP="00E02234">
      <w:pPr>
        <w:spacing w:after="240" w:line="276" w:lineRule="auto"/>
        <w:jc w:val="both"/>
        <w:rPr>
          <w:rFonts w:ascii="Arial" w:eastAsia="Times New Roman" w:hAnsi="Arial" w:cs="Arial"/>
          <w:color w:val="1A1A1A" w:themeColor="background1" w:themeShade="1A"/>
          <w:lang w:val="es-ES_tradnl" w:eastAsia="es-ES_tradnl"/>
        </w:rPr>
      </w:pPr>
      <w:r w:rsidRPr="00E02234">
        <w:rPr>
          <w:rFonts w:ascii="Arial" w:eastAsia="Times New Roman" w:hAnsi="Arial" w:cs="Arial"/>
          <w:color w:val="1A1A1A" w:themeColor="background1" w:themeShade="1A"/>
          <w:lang w:val="es-ES_tradnl" w:eastAsia="es-ES_tradnl"/>
        </w:rPr>
        <w:t xml:space="preserve">Usted formula la siguiente consulta: </w:t>
      </w:r>
    </w:p>
    <w:p w14:paraId="7685F02F" w14:textId="77777777" w:rsidR="00FE2F29" w:rsidRPr="000E71D9" w:rsidRDefault="00FE2F29" w:rsidP="000E71D9">
      <w:pPr>
        <w:spacing w:after="240" w:line="240" w:lineRule="auto"/>
        <w:ind w:left="567" w:right="851"/>
        <w:jc w:val="both"/>
        <w:rPr>
          <w:rFonts w:ascii="Arial" w:eastAsia="Times New Roman" w:hAnsi="Arial" w:cs="Arial"/>
          <w:iCs/>
          <w:color w:val="1A1A1A" w:themeColor="background1" w:themeShade="1A"/>
          <w:sz w:val="21"/>
          <w:szCs w:val="21"/>
          <w:lang w:eastAsia="es-ES_tradnl"/>
        </w:rPr>
      </w:pPr>
      <w:bookmarkStart w:id="2" w:name="_Hlk106025682"/>
      <w:r w:rsidRPr="000E71D9">
        <w:rPr>
          <w:rFonts w:ascii="Arial" w:eastAsia="Times New Roman" w:hAnsi="Arial" w:cs="Arial"/>
          <w:iCs/>
          <w:color w:val="1A1A1A" w:themeColor="background1" w:themeShade="1A"/>
          <w:sz w:val="21"/>
          <w:szCs w:val="21"/>
          <w:lang w:eastAsia="es-ES_tradnl"/>
        </w:rPr>
        <w:t xml:space="preserve">«1. Se tiene establecido en el Documento Base del Pliego tipo obra pública transporte versión 3, lo siguiente “En virtud de lo previsto en la Ley 842 de 2003 y con el fin de evitar el ejercicio ilegal de la Ingeniería, la persona natural (proponente individual o </w:t>
      </w:r>
      <w:r w:rsidRPr="000E71D9">
        <w:rPr>
          <w:rFonts w:ascii="Arial" w:eastAsia="Times New Roman" w:hAnsi="Arial" w:cs="Arial"/>
          <w:iCs/>
          <w:color w:val="1A1A1A" w:themeColor="background1" w:themeShade="1A"/>
          <w:sz w:val="21"/>
          <w:szCs w:val="21"/>
          <w:lang w:eastAsia="es-ES_tradnl"/>
        </w:rPr>
        <w:lastRenderedPageBreak/>
        <w:t xml:space="preserve">integrante de la estructura plural) que pretenda participar en el presente proceso, debe acreditar que posee título como ingeniero, para lo cual debe adjuntar copia de la tarjeta profesional y copia del certificado de vigencia de matrícula profesional expedida por el </w:t>
      </w:r>
      <w:proofErr w:type="spellStart"/>
      <w:r w:rsidRPr="000E71D9">
        <w:rPr>
          <w:rFonts w:ascii="Arial" w:eastAsia="Times New Roman" w:hAnsi="Arial" w:cs="Arial"/>
          <w:iCs/>
          <w:color w:val="1A1A1A" w:themeColor="background1" w:themeShade="1A"/>
          <w:sz w:val="21"/>
          <w:szCs w:val="21"/>
          <w:lang w:eastAsia="es-ES_tradnl"/>
        </w:rPr>
        <w:t>Copnia</w:t>
      </w:r>
      <w:proofErr w:type="spellEnd"/>
      <w:r w:rsidRPr="000E71D9">
        <w:rPr>
          <w:rFonts w:ascii="Arial" w:eastAsia="Times New Roman" w:hAnsi="Arial" w:cs="Arial"/>
          <w:iCs/>
          <w:color w:val="1A1A1A" w:themeColor="background1" w:themeShade="1A"/>
          <w:sz w:val="21"/>
          <w:szCs w:val="21"/>
          <w:lang w:eastAsia="es-ES_tradnl"/>
        </w:rPr>
        <w:t xml:space="preserve"> o Consejo Profesional de Ingeniería de Transportes y Vías de Colombia en la respectiva rama de la ingeniería, según corresponda, vigente a la fecha de cierre de este Proceso de selección. El requisito de la tarjeta profesional se puede suplir con el registro de que trata el artículo 18 del Decreto 2106 de 2019”, para ello y teniendo en cuenta la amplitud de oportunidades espíritu de los pliegos tipo, centrando la postulación en la experiencia, capacidad y lleno de requisitos habilitantes, se consulta: ¿con este enunciado solo pueden participar en el proceso ingenieros?, o trata de un enunciado con el fin de evitar se cometa una defraudación en cuanto al ejercicio ilegal de la profesión de ingeniería?, en el sentido en que solo deben aportar dichos certificados quienes manifiestan ser ingenieros, mas no limitando a que los proponentes sean ingenieros.</w:t>
      </w:r>
    </w:p>
    <w:p w14:paraId="0B5C2A92" w14:textId="77777777" w:rsidR="00FE2F29" w:rsidRPr="000E71D9" w:rsidRDefault="00FE2F29" w:rsidP="000E71D9">
      <w:pPr>
        <w:autoSpaceDE w:val="0"/>
        <w:autoSpaceDN w:val="0"/>
        <w:adjustRightInd w:val="0"/>
        <w:spacing w:after="24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2. Se tiene que La colusión es una práctica en la que empresas que compiten en un mismo mercado, acuerdan aumentar o fijar precios, reducir la producción, repartirse el mercado o bloquear el ingreso de nuevos competidores, con el objetivo de incrementar los beneficios de las empresas participantes, se tiene así mismo que dicha </w:t>
      </w:r>
      <w:proofErr w:type="spellStart"/>
      <w:r w:rsidRPr="000E71D9">
        <w:rPr>
          <w:rFonts w:ascii="Arial" w:eastAsia="Times New Roman" w:hAnsi="Arial" w:cs="Arial"/>
          <w:iCs/>
          <w:color w:val="1A1A1A" w:themeColor="background1" w:themeShade="1A"/>
          <w:sz w:val="21"/>
          <w:szCs w:val="21"/>
          <w:lang w:eastAsia="es-ES_tradnl"/>
        </w:rPr>
        <w:t>practica</w:t>
      </w:r>
      <w:proofErr w:type="spellEnd"/>
      <w:r w:rsidRPr="000E71D9">
        <w:rPr>
          <w:rFonts w:ascii="Arial" w:eastAsia="Times New Roman" w:hAnsi="Arial" w:cs="Arial"/>
          <w:iCs/>
          <w:color w:val="1A1A1A" w:themeColor="background1" w:themeShade="1A"/>
          <w:sz w:val="21"/>
          <w:szCs w:val="21"/>
          <w:lang w:eastAsia="es-ES_tradnl"/>
        </w:rPr>
        <w:t xml:space="preserve"> puede presentarse en procesos licitatorios, al presentarse dicho fenómeno comprobado en un proceso de contratación bajo la modalidad de licitación </w:t>
      </w:r>
      <w:proofErr w:type="spellStart"/>
      <w:r w:rsidRPr="000E71D9">
        <w:rPr>
          <w:rFonts w:ascii="Arial" w:eastAsia="Times New Roman" w:hAnsi="Arial" w:cs="Arial"/>
          <w:iCs/>
          <w:color w:val="1A1A1A" w:themeColor="background1" w:themeShade="1A"/>
          <w:sz w:val="21"/>
          <w:szCs w:val="21"/>
          <w:lang w:eastAsia="es-ES_tradnl"/>
        </w:rPr>
        <w:t>publica</w:t>
      </w:r>
      <w:proofErr w:type="spellEnd"/>
      <w:r w:rsidRPr="000E71D9">
        <w:rPr>
          <w:rFonts w:ascii="Arial" w:eastAsia="Times New Roman" w:hAnsi="Arial" w:cs="Arial"/>
          <w:iCs/>
          <w:color w:val="1A1A1A" w:themeColor="background1" w:themeShade="1A"/>
          <w:sz w:val="21"/>
          <w:szCs w:val="21"/>
          <w:lang w:eastAsia="es-ES_tradnl"/>
        </w:rPr>
        <w:t xml:space="preserve"> bajo el amparo de pliegos tipo:</w:t>
      </w:r>
    </w:p>
    <w:p w14:paraId="69D9E14D" w14:textId="77777777" w:rsidR="00FE2F29" w:rsidRPr="000E71D9" w:rsidRDefault="00FE2F29" w:rsidP="000E71D9">
      <w:pPr>
        <w:autoSpaceDE w:val="0"/>
        <w:autoSpaceDN w:val="0"/>
        <w:adjustRightInd w:val="0"/>
        <w:spacing w:after="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a. ¿Se debe rechazar la propuesta?</w:t>
      </w:r>
    </w:p>
    <w:p w14:paraId="66A54500" w14:textId="77777777" w:rsidR="00FE2F29" w:rsidRPr="000E71D9" w:rsidRDefault="00FE2F29" w:rsidP="000E71D9">
      <w:pPr>
        <w:autoSpaceDE w:val="0"/>
        <w:autoSpaceDN w:val="0"/>
        <w:adjustRightInd w:val="0"/>
        <w:spacing w:after="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b. Cuáles son las causales dentro de un proceso de licitación </w:t>
      </w:r>
      <w:proofErr w:type="spellStart"/>
      <w:r w:rsidRPr="000E71D9">
        <w:rPr>
          <w:rFonts w:ascii="Arial" w:eastAsia="Times New Roman" w:hAnsi="Arial" w:cs="Arial"/>
          <w:iCs/>
          <w:color w:val="1A1A1A" w:themeColor="background1" w:themeShade="1A"/>
          <w:sz w:val="21"/>
          <w:szCs w:val="21"/>
          <w:lang w:eastAsia="es-ES_tradnl"/>
        </w:rPr>
        <w:t>publica</w:t>
      </w:r>
      <w:proofErr w:type="spellEnd"/>
      <w:r w:rsidRPr="000E71D9">
        <w:rPr>
          <w:rFonts w:ascii="Arial" w:eastAsia="Times New Roman" w:hAnsi="Arial" w:cs="Arial"/>
          <w:iCs/>
          <w:color w:val="1A1A1A" w:themeColor="background1" w:themeShade="1A"/>
          <w:sz w:val="21"/>
          <w:szCs w:val="21"/>
          <w:lang w:eastAsia="es-ES_tradnl"/>
        </w:rPr>
        <w:t xml:space="preserve"> que demuestren un hecho de colusión?,</w:t>
      </w:r>
    </w:p>
    <w:p w14:paraId="6D54FEC4" w14:textId="77777777" w:rsidR="00FE2F29" w:rsidRPr="000E71D9" w:rsidRDefault="00FE2F29" w:rsidP="000E71D9">
      <w:pPr>
        <w:spacing w:after="24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c. ¿Cuál es </w:t>
      </w:r>
      <w:proofErr w:type="gramStart"/>
      <w:r w:rsidRPr="000E71D9">
        <w:rPr>
          <w:rFonts w:ascii="Arial" w:eastAsia="Times New Roman" w:hAnsi="Arial" w:cs="Arial"/>
          <w:iCs/>
          <w:color w:val="1A1A1A" w:themeColor="background1" w:themeShade="1A"/>
          <w:sz w:val="21"/>
          <w:szCs w:val="21"/>
          <w:lang w:eastAsia="es-ES_tradnl"/>
        </w:rPr>
        <w:t>el procedimiento a seguir</w:t>
      </w:r>
      <w:proofErr w:type="gramEnd"/>
      <w:r w:rsidRPr="000E71D9">
        <w:rPr>
          <w:rFonts w:ascii="Arial" w:eastAsia="Times New Roman" w:hAnsi="Arial" w:cs="Arial"/>
          <w:iCs/>
          <w:color w:val="1A1A1A" w:themeColor="background1" w:themeShade="1A"/>
          <w:sz w:val="21"/>
          <w:szCs w:val="21"/>
          <w:lang w:eastAsia="es-ES_tradnl"/>
        </w:rPr>
        <w:t xml:space="preserve"> frente a un hecho de colusión?</w:t>
      </w:r>
    </w:p>
    <w:p w14:paraId="70BEA960" w14:textId="3516FE1D" w:rsidR="00FE2F29" w:rsidRPr="000E71D9" w:rsidRDefault="00FE2F29" w:rsidP="000E71D9">
      <w:pPr>
        <w:spacing w:after="240" w:line="240" w:lineRule="auto"/>
        <w:ind w:left="567" w:right="851"/>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3. </w:t>
      </w:r>
      <w:proofErr w:type="gramStart"/>
      <w:r w:rsidRPr="000E71D9">
        <w:rPr>
          <w:rFonts w:ascii="Arial" w:eastAsia="Times New Roman" w:hAnsi="Arial" w:cs="Arial"/>
          <w:iCs/>
          <w:color w:val="1A1A1A" w:themeColor="background1" w:themeShade="1A"/>
          <w:sz w:val="21"/>
          <w:szCs w:val="21"/>
          <w:lang w:eastAsia="es-ES_tradnl"/>
        </w:rPr>
        <w:t xml:space="preserve">En un proceso de licitación </w:t>
      </w:r>
      <w:proofErr w:type="spellStart"/>
      <w:r w:rsidRPr="000E71D9">
        <w:rPr>
          <w:rFonts w:ascii="Arial" w:eastAsia="Times New Roman" w:hAnsi="Arial" w:cs="Arial"/>
          <w:iCs/>
          <w:color w:val="1A1A1A" w:themeColor="background1" w:themeShade="1A"/>
          <w:sz w:val="21"/>
          <w:szCs w:val="21"/>
          <w:lang w:eastAsia="es-ES_tradnl"/>
        </w:rPr>
        <w:t>publica</w:t>
      </w:r>
      <w:proofErr w:type="spellEnd"/>
      <w:r w:rsidRPr="000E71D9">
        <w:rPr>
          <w:rFonts w:ascii="Arial" w:eastAsia="Times New Roman" w:hAnsi="Arial" w:cs="Arial"/>
          <w:iCs/>
          <w:color w:val="1A1A1A" w:themeColor="background1" w:themeShade="1A"/>
          <w:sz w:val="21"/>
          <w:szCs w:val="21"/>
          <w:lang w:eastAsia="es-ES_tradnl"/>
        </w:rPr>
        <w:t xml:space="preserve"> bajo la modalidad de pliego tipo, un ciudadano interesado, que no hace parte de los proponentes, presenta observaciones sobre el informe preliminar de evaluación, estas observaciones deben ser tenidas en cuenta y atenderlas?</w:t>
      </w:r>
      <w:proofErr w:type="gramEnd"/>
      <w:r w:rsidRPr="000E71D9">
        <w:rPr>
          <w:rFonts w:ascii="Arial" w:eastAsia="Times New Roman" w:hAnsi="Arial" w:cs="Arial"/>
          <w:iCs/>
          <w:color w:val="1A1A1A" w:themeColor="background1" w:themeShade="1A"/>
          <w:sz w:val="21"/>
          <w:szCs w:val="21"/>
          <w:lang w:eastAsia="es-ES_tradnl"/>
        </w:rPr>
        <w:t xml:space="preserve"> O simplemente se rechazan por no estar legitimados quien no sea proponente para presentar observaciones frente al informa de evaluación preliminar» </w:t>
      </w:r>
      <w:r w:rsidR="00CD548C" w:rsidRPr="000E71D9">
        <w:rPr>
          <w:rFonts w:ascii="Arial" w:eastAsia="Times New Roman" w:hAnsi="Arial" w:cs="Arial"/>
          <w:iCs/>
          <w:color w:val="1A1A1A" w:themeColor="background1" w:themeShade="1A"/>
          <w:sz w:val="21"/>
          <w:szCs w:val="21"/>
          <w:lang w:eastAsia="es-ES_tradnl"/>
        </w:rPr>
        <w:t>(</w:t>
      </w:r>
      <w:r w:rsidRPr="000E71D9">
        <w:rPr>
          <w:rFonts w:ascii="Arial" w:eastAsia="Times New Roman" w:hAnsi="Arial" w:cs="Arial"/>
          <w:iCs/>
          <w:color w:val="1A1A1A" w:themeColor="background1" w:themeShade="1A"/>
          <w:sz w:val="21"/>
          <w:szCs w:val="21"/>
          <w:lang w:eastAsia="es-ES_tradnl"/>
        </w:rPr>
        <w:t>Sic</w:t>
      </w:r>
      <w:r w:rsidR="00CD548C" w:rsidRPr="000E71D9">
        <w:rPr>
          <w:rFonts w:ascii="Arial" w:eastAsia="Times New Roman" w:hAnsi="Arial" w:cs="Arial"/>
          <w:iCs/>
          <w:color w:val="1A1A1A" w:themeColor="background1" w:themeShade="1A"/>
          <w:sz w:val="21"/>
          <w:szCs w:val="21"/>
          <w:lang w:eastAsia="es-ES_tradnl"/>
        </w:rPr>
        <w:t>)</w:t>
      </w:r>
      <w:bookmarkEnd w:id="2"/>
    </w:p>
    <w:p w14:paraId="5D74B199" w14:textId="77777777" w:rsidR="00FE2F29" w:rsidRPr="00E02234" w:rsidRDefault="00FE2F29" w:rsidP="00E02234">
      <w:pPr>
        <w:tabs>
          <w:tab w:val="left" w:pos="426"/>
        </w:tabs>
        <w:spacing w:after="240" w:line="276" w:lineRule="auto"/>
        <w:jc w:val="both"/>
        <w:rPr>
          <w:rFonts w:ascii="Arial" w:eastAsia="Calibri" w:hAnsi="Arial" w:cs="Arial"/>
          <w:b/>
          <w:lang w:eastAsia="es-ES_tradnl"/>
        </w:rPr>
      </w:pPr>
      <w:r w:rsidRPr="00E02234">
        <w:rPr>
          <w:rFonts w:ascii="Arial" w:eastAsia="Calibri" w:hAnsi="Arial" w:cs="Arial"/>
          <w:b/>
          <w:lang w:eastAsia="es-ES_tradnl"/>
        </w:rPr>
        <w:t>2. Consideraciones</w:t>
      </w:r>
    </w:p>
    <w:p w14:paraId="60CE1FCF" w14:textId="77777777" w:rsidR="00FE2F29" w:rsidRPr="00E02234" w:rsidRDefault="00FE2F29" w:rsidP="00E02234">
      <w:pPr>
        <w:tabs>
          <w:tab w:val="left" w:pos="426"/>
        </w:tabs>
        <w:spacing w:after="240" w:line="276" w:lineRule="auto"/>
        <w:jc w:val="both"/>
        <w:rPr>
          <w:rFonts w:ascii="Arial" w:eastAsia="Calibri" w:hAnsi="Arial" w:cs="Arial"/>
          <w:color w:val="000000" w:themeColor="text1"/>
          <w:lang w:val="es-ES"/>
        </w:rPr>
      </w:pPr>
      <w:r w:rsidRPr="00E02234">
        <w:rPr>
          <w:rFonts w:ascii="Arial" w:eastAsia="Calibri" w:hAnsi="Arial" w:cs="Arial"/>
          <w:color w:val="000000" w:themeColor="text1"/>
          <w:lang w:val="es-ES"/>
        </w:rPr>
        <w:t xml:space="preserve">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 Es necesario tener en cuenta que esta entidad solo tiene competencia para responder solicitudes sobre la aplicación de normas de carácter general en materia de compras y contratación pública. Por lo anterior, la Subdirección de Gestión Contractual, dentro de los límites de sus atribuciones, resolverá la consulta conforme a las normas generales en materia de contratación estatal. </w:t>
      </w:r>
    </w:p>
    <w:p w14:paraId="5EA7313F" w14:textId="77777777" w:rsidR="00FE2F29" w:rsidRPr="00E02234" w:rsidRDefault="00FE2F29" w:rsidP="00E02234">
      <w:pPr>
        <w:widowControl w:val="0"/>
        <w:autoSpaceDE w:val="0"/>
        <w:autoSpaceDN w:val="0"/>
        <w:spacing w:after="240" w:line="276" w:lineRule="auto"/>
        <w:ind w:firstLine="709"/>
        <w:jc w:val="both"/>
        <w:rPr>
          <w:rFonts w:ascii="Arial" w:eastAsia="Calibri" w:hAnsi="Arial" w:cs="Arial"/>
          <w:color w:val="000000" w:themeColor="text1"/>
          <w:lang w:val="es-ES"/>
        </w:rPr>
      </w:pPr>
      <w:r w:rsidRPr="00E02234">
        <w:rPr>
          <w:rFonts w:ascii="Arial" w:eastAsia="Calibri" w:hAnsi="Arial" w:cs="Arial"/>
          <w:color w:val="000000" w:themeColor="text1"/>
          <w:lang w:val="es-ES"/>
        </w:rPr>
        <w:lastRenderedPageBreak/>
        <w:t xml:space="preserve">La Agencia Nacional de Contratación Pública − Colombia Compra Eficiente analizó el fundamento normativo de los pliegos de condiciones tipo en la contratación estatal, entre otros, en los siguientes conceptos: C-144 del 2 de marzo de 2020, C-174 del 16 de marzo de 2020,  C-129 del 24 de marzo de 2020, C-193 del 6 de abril de 2020, C-189 del 8 de abril de 2020, C-009 del 27 de abril de 2020, C-289 del 26 de mayo de 2020, C-332 del 26 de mayo de 2020, C-354 del 4 de junio de 2020, C-384 del 4 de junio de 2020, C-387 del 23 de junio de 2020, C-328 del 30 de junio de 2020, C-379 del 30 de junio de 2020, C-397 del 30 de junio de 2020, C-411 del 30 de junio de 2020, C-415 del 7 de julio de 2020, C-443 del 7 de julio de 2020, C-427 del 9 de julio de 2020, C-395 del 9 de julio de 2020, C-327 del 10 de julio de 2020, C-444 del 13 de julio de 2020, C-429 del 24 de julio de 2020, C-466 del 24 de julio de 2020, C-420 del 28 de julio de 2020, C-485 del 29 de julio de 2020, C-501 del 29 de julio de 2020, C-478 del 30 de julio de 2020, C-450 del 3 de agosto de 2020, C-497 del 6 de agosto de 2020, C-528 del 18 de agosto de 2020, C-531 del 21 agosto de 2020, C-546 del 26 de agosto de 2020, C-597 del 14 de septiembre de 2020, C-618 del 17 de septiembre de 2020, C-633 del 2 de octubre de 2020, C-630 del 21 de octubre de 2020, C-643 del 26 de octubre de 2020, C-635 del 29 de octubre de 2020, 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w:t>
      </w:r>
      <w:bookmarkStart w:id="3" w:name="_Hlk115856579"/>
      <w:r w:rsidRPr="00E02234">
        <w:rPr>
          <w:rFonts w:ascii="Arial" w:eastAsia="Calibri" w:hAnsi="Arial" w:cs="Arial"/>
          <w:color w:val="000000" w:themeColor="text1"/>
          <w:lang w:val="es-ES"/>
        </w:rPr>
        <w:t>C-356 del 6 de julio de 2022</w:t>
      </w:r>
      <w:bookmarkEnd w:id="3"/>
      <w:r w:rsidRPr="00E02234">
        <w:rPr>
          <w:rFonts w:ascii="Arial" w:eastAsia="Calibri" w:hAnsi="Arial" w:cs="Arial"/>
          <w:color w:val="000000" w:themeColor="text1"/>
          <w:lang w:val="es-ES"/>
        </w:rPr>
        <w:t>, C-654 del 7 de octubre de 2022 y C-827 de 30 de noviembre de 2022</w:t>
      </w:r>
      <w:r w:rsidRPr="00E02234">
        <w:rPr>
          <w:rFonts w:ascii="Arial" w:eastAsia="Calibri" w:hAnsi="Arial" w:cs="Arial"/>
          <w:color w:val="000000" w:themeColor="text1"/>
          <w:vertAlign w:val="superscript"/>
          <w:lang w:val="es-ES_tradnl" w:eastAsia="es-ES_tradnl"/>
        </w:rPr>
        <w:footnoteReference w:id="2"/>
      </w:r>
      <w:r w:rsidRPr="00E02234">
        <w:rPr>
          <w:rFonts w:ascii="Arial" w:eastAsia="Calibri" w:hAnsi="Arial" w:cs="Arial"/>
          <w:lang w:val="es-ES_tradnl" w:eastAsia="es-ES_tradnl"/>
        </w:rPr>
        <w:t>.</w:t>
      </w:r>
    </w:p>
    <w:p w14:paraId="4F19310D" w14:textId="77777777" w:rsidR="00FE2F29" w:rsidRPr="00E02234" w:rsidRDefault="00FE2F29" w:rsidP="00E02234">
      <w:pPr>
        <w:widowControl w:val="0"/>
        <w:autoSpaceDE w:val="0"/>
        <w:autoSpaceDN w:val="0"/>
        <w:spacing w:after="240" w:line="276" w:lineRule="auto"/>
        <w:ind w:firstLine="851"/>
        <w:jc w:val="both"/>
        <w:rPr>
          <w:rFonts w:ascii="Arial" w:eastAsia="Arial" w:hAnsi="Arial" w:cs="Arial"/>
          <w:color w:val="000000" w:themeColor="text1"/>
          <w:lang w:val="es-MX"/>
        </w:rPr>
      </w:pPr>
      <w:r w:rsidRPr="00E02234">
        <w:rPr>
          <w:rFonts w:ascii="Arial" w:eastAsia="Arial" w:hAnsi="Arial" w:cs="Arial"/>
          <w:color w:val="000000" w:themeColor="text1"/>
          <w:lang w:val="es-MX"/>
        </w:rPr>
        <w:t xml:space="preserve">Igualmente, la Agencia Nacional de Contratación Pública ― Colombia Compra Eficiente en los conceptos con radicados No. 2201913000006376 del 30 de agosto de 2019, 2201913000009471 del 20 de diciembre de 2019, 2201913000009554 del 24 de diciembre de 2019, C-054 del 19 de febrero de 2020, C-752 del 30 de noviembre de 2020, C-146 del 8 de julio de 2021 y C-298 del 22 de junio de 2021, estudió las condiciones para el ejercicio de la ingeniería en Colombia, así como la posibilidad de que profesionales ajenos a la ingeniería presenten o avalen propuestas para procesos de licitación de obra pública, a partir del análisis de las normas de la Ley 842 de 2003. De la misma manera esta Agencia analizó las prácticas anticompetitivas en concepto de fecha 13 de agosto de 2019 en respuesta a la consulta con radicado 4201913000005096. </w:t>
      </w:r>
    </w:p>
    <w:p w14:paraId="147BA088" w14:textId="77777777" w:rsidR="00FE2F29" w:rsidRPr="00E02234" w:rsidRDefault="00FE2F29" w:rsidP="00E02234">
      <w:pPr>
        <w:widowControl w:val="0"/>
        <w:autoSpaceDE w:val="0"/>
        <w:autoSpaceDN w:val="0"/>
        <w:spacing w:after="240" w:line="276" w:lineRule="auto"/>
        <w:ind w:firstLine="709"/>
        <w:jc w:val="both"/>
        <w:rPr>
          <w:rFonts w:ascii="Arial" w:eastAsia="Arial" w:hAnsi="Arial" w:cs="Arial"/>
          <w:color w:val="000000" w:themeColor="text1"/>
          <w:highlight w:val="yellow"/>
          <w:lang w:val="es-MX"/>
        </w:rPr>
      </w:pPr>
      <w:r w:rsidRPr="00E02234">
        <w:rPr>
          <w:rFonts w:ascii="Arial" w:eastAsia="Arial" w:hAnsi="Arial" w:cs="Arial"/>
          <w:color w:val="000000" w:themeColor="text1"/>
          <w:lang w:val="es-MX"/>
        </w:rPr>
        <w:lastRenderedPageBreak/>
        <w:t>Finalmente, la Agencia Nacional de Contratación Pública – Colombia Compra Eficiente, en los conceptos con radicados números 4201614000005342 del 8 de noviembre de 2016, 4201714000002354 del 5 de junio de 2017, 4201714000006628 del 17 de enero de 2018, 4201713000007273 del 5 de febrero de 2018, 4201814000001007 del 20 de marzo de 2018, 4201814000006367 del 27 de agosto de 2018, 4201912000002664 del 5 de junio de 2019, C-201 del 13 de abril de 2020, C-323 del 4 de junio de 2020, C-418 del 12 de agosto de 2021, C- 513 del 23 de septiembre de 2021 y C-310 de 16 de mayo de 2022, estudió el deber de las entidades estatales de responder las observaciones realizadas en los procesos de contratación.</w:t>
      </w:r>
    </w:p>
    <w:p w14:paraId="65CA4EF4" w14:textId="77777777" w:rsidR="00FE2F29" w:rsidRPr="00E02234" w:rsidRDefault="00FE2F29" w:rsidP="00E02234">
      <w:pPr>
        <w:widowControl w:val="0"/>
        <w:autoSpaceDE w:val="0"/>
        <w:autoSpaceDN w:val="0"/>
        <w:spacing w:after="240" w:line="276" w:lineRule="auto"/>
        <w:ind w:firstLine="709"/>
        <w:jc w:val="both"/>
        <w:rPr>
          <w:rFonts w:ascii="Arial" w:eastAsia="Calibri" w:hAnsi="Arial" w:cs="Arial"/>
          <w:color w:val="000000" w:themeColor="text1"/>
          <w:lang w:val="es-ES"/>
        </w:rPr>
      </w:pPr>
      <w:r w:rsidRPr="00E02234">
        <w:rPr>
          <w:rFonts w:ascii="Arial" w:eastAsia="Calibri" w:hAnsi="Arial" w:cs="Arial"/>
          <w:color w:val="000000" w:themeColor="text1"/>
          <w:lang w:val="es-ES"/>
        </w:rPr>
        <w:t xml:space="preserve">Las tesis propuestas en dichos conceptos se reiteran y, en lo necesario, se complementan conforme a las siguientes consideraciones. </w:t>
      </w:r>
    </w:p>
    <w:p w14:paraId="1D43E6C5" w14:textId="77777777" w:rsidR="00FE2F29" w:rsidRPr="00E02234" w:rsidRDefault="00FE2F29" w:rsidP="00E02234">
      <w:pPr>
        <w:spacing w:after="240" w:line="276" w:lineRule="auto"/>
        <w:jc w:val="both"/>
        <w:rPr>
          <w:rFonts w:ascii="Arial" w:eastAsia="Arial" w:hAnsi="Arial" w:cs="Arial"/>
          <w:b/>
          <w:bCs/>
          <w:color w:val="000000"/>
          <w:lang w:val="es-ES_tradnl"/>
        </w:rPr>
      </w:pPr>
      <w:r w:rsidRPr="00E02234">
        <w:rPr>
          <w:rFonts w:ascii="Arial" w:eastAsia="Times New Roman" w:hAnsi="Arial" w:cs="Arial"/>
          <w:b/>
          <w:bCs/>
          <w:lang w:eastAsia="es-ES_tradnl"/>
        </w:rPr>
        <w:t>2.1 Antecedentes y fundamentos de los documentos tipo aplicables a la contratación estatal</w:t>
      </w:r>
    </w:p>
    <w:p w14:paraId="50F8DE45" w14:textId="77777777" w:rsidR="00FE2F29" w:rsidRPr="00E02234" w:rsidRDefault="00FE2F29" w:rsidP="00E02234">
      <w:pPr>
        <w:spacing w:after="240" w:line="276" w:lineRule="auto"/>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La adopción de los documentos tipo obligatorios en el ordenamiento jurídico colombiano se incluyó por primera vez en el parágrafo 3 del artículo 2 de la Ley 1150 de 2007</w:t>
      </w:r>
      <w:r w:rsidRPr="00E02234">
        <w:rPr>
          <w:rFonts w:ascii="Arial" w:eastAsia="Calibri" w:hAnsi="Arial" w:cs="Arial"/>
          <w:color w:val="000000"/>
          <w:vertAlign w:val="superscript"/>
          <w:lang w:val="es-ES" w:eastAsia="es-ES_tradnl"/>
        </w:rPr>
        <w:footnoteReference w:id="3"/>
      </w:r>
      <w:r w:rsidRPr="00E02234">
        <w:rPr>
          <w:rFonts w:ascii="Arial" w:eastAsia="Calibri" w:hAnsi="Arial" w:cs="Arial"/>
          <w:color w:val="000000"/>
          <w:lang w:val="es-ES" w:eastAsia="es-ES_tradnl"/>
        </w:rPr>
        <w:t xml:space="preserve">, que facultó al Gobierno Nacional para expedirlos, cuando se tratara de la adquisición o suministro de bienes y servicios de características técnicas uniformes y de común utilización. Sin embargo, esta facultad que no ha sido ejercida hasta la actualidad. </w:t>
      </w:r>
    </w:p>
    <w:p w14:paraId="7673DA93" w14:textId="77777777" w:rsidR="00FE2F29" w:rsidRPr="00E02234" w:rsidRDefault="00FE2F29" w:rsidP="00E02234">
      <w:pPr>
        <w:spacing w:after="240" w:line="276" w:lineRule="auto"/>
        <w:ind w:firstLine="708"/>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 xml:space="preserve">Debido a lo anterior, el artículo 4 de la Ley 1882 de 2018, por medio del cual se adicionó el parágrafo 7 del artículo 2 de la Ley 1150 de 2007,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55952D9D" w14:textId="77777777" w:rsidR="00FE2F29" w:rsidRPr="00E02234" w:rsidRDefault="00FE2F29" w:rsidP="00E02234">
      <w:pPr>
        <w:spacing w:after="240" w:line="276" w:lineRule="auto"/>
        <w:ind w:firstLine="708"/>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 xml:space="preserve">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w:t>
      </w:r>
      <w:r w:rsidRPr="00E02234">
        <w:rPr>
          <w:rFonts w:ascii="Arial" w:eastAsia="Calibri" w:hAnsi="Arial" w:cs="Arial"/>
          <w:color w:val="000000"/>
          <w:lang w:val="es-ES" w:eastAsia="es-ES_tradnl"/>
        </w:rPr>
        <w:lastRenderedPageBreak/>
        <w:t>las entidades sometidas al Estatuto General de Contratación de la Administración Pública en los procesos de selección que adelantaran</w:t>
      </w:r>
      <w:r w:rsidRPr="00E02234">
        <w:rPr>
          <w:rFonts w:ascii="Arial" w:eastAsia="Calibri" w:hAnsi="Arial" w:cs="Arial"/>
          <w:color w:val="000000"/>
          <w:vertAlign w:val="superscript"/>
          <w:lang w:val="es-ES" w:eastAsia="es-ES_tradnl"/>
        </w:rPr>
        <w:footnoteReference w:id="4"/>
      </w:r>
      <w:r w:rsidRPr="00E02234">
        <w:rPr>
          <w:rFonts w:ascii="Arial" w:eastAsia="Calibri" w:hAnsi="Arial" w:cs="Arial"/>
          <w:color w:val="000000"/>
          <w:lang w:val="es-ES" w:eastAsia="es-ES_tradnl"/>
        </w:rPr>
        <w:t>.</w:t>
      </w:r>
    </w:p>
    <w:p w14:paraId="5703D5BF" w14:textId="77777777" w:rsidR="00FE2F29" w:rsidRPr="00E02234" w:rsidRDefault="00FE2F29" w:rsidP="00E02234">
      <w:pPr>
        <w:spacing w:after="240" w:line="276" w:lineRule="auto"/>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ab/>
        <w:t xml:space="preserve">Así 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Gobierno para adoptar los documentos tipo cuando lo considerara necesario en relación con otros contratos o procesos de selección. </w:t>
      </w:r>
    </w:p>
    <w:p w14:paraId="492BE7F0" w14:textId="77777777" w:rsidR="00FE2F29" w:rsidRPr="00E02234" w:rsidRDefault="00FE2F29" w:rsidP="00E02234">
      <w:pPr>
        <w:spacing w:after="240" w:line="276" w:lineRule="auto"/>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ab/>
        <w:t xml:space="preserve">De la norma descrita se concluía lo siguiente: i) la adopción de los documentos tipo estaba en cabeza del gobierno nacional; </w:t>
      </w:r>
      <w:proofErr w:type="spellStart"/>
      <w:r w:rsidRPr="00E02234">
        <w:rPr>
          <w:rFonts w:ascii="Arial" w:eastAsia="Calibri" w:hAnsi="Arial" w:cs="Arial"/>
          <w:color w:val="000000"/>
          <w:lang w:val="es-ES" w:eastAsia="es-ES_tradnl"/>
        </w:rPr>
        <w:t>ii</w:t>
      </w:r>
      <w:proofErr w:type="spellEnd"/>
      <w:r w:rsidRPr="00E02234">
        <w:rPr>
          <w:rFonts w:ascii="Arial" w:eastAsia="Calibri" w:hAnsi="Arial" w:cs="Arial"/>
          <w:color w:val="000000"/>
          <w:lang w:val="es-ES" w:eastAsia="es-ES_tradnl"/>
        </w:rPr>
        <w:t xml:space="preserve">) estos debían relacionarse con procesos de obra públicas, interventoría para las obras públicas, interventoría para consultoría de estudios y diseños y, finalmente, consultoría en ingeniería para obras; </w:t>
      </w:r>
      <w:proofErr w:type="spellStart"/>
      <w:r w:rsidRPr="00E02234">
        <w:rPr>
          <w:rFonts w:ascii="Arial" w:eastAsia="Calibri" w:hAnsi="Arial" w:cs="Arial"/>
          <w:color w:val="000000"/>
          <w:lang w:val="es-ES" w:eastAsia="es-ES_tradnl"/>
        </w:rPr>
        <w:t>iii</w:t>
      </w:r>
      <w:proofErr w:type="spellEnd"/>
      <w:r w:rsidRPr="00E02234">
        <w:rPr>
          <w:rFonts w:ascii="Arial" w:eastAsia="Calibri" w:hAnsi="Arial" w:cs="Arial"/>
          <w:color w:val="000000"/>
          <w:lang w:val="es-ES" w:eastAsia="es-ES_tradnl"/>
        </w:rPr>
        <w:t xml:space="preserve">) eran de obligatorio cumplimiento por parte de todas las entidades sometidas al Estatuto General de Contratación de la Administración Pública; </w:t>
      </w:r>
      <w:proofErr w:type="spellStart"/>
      <w:r w:rsidRPr="00E02234">
        <w:rPr>
          <w:rFonts w:ascii="Arial" w:eastAsia="Calibri" w:hAnsi="Arial" w:cs="Arial"/>
          <w:color w:val="000000"/>
          <w:lang w:val="es-ES" w:eastAsia="es-ES_tradnl"/>
        </w:rPr>
        <w:t>iv</w:t>
      </w:r>
      <w:proofErr w:type="spellEnd"/>
      <w:r w:rsidRPr="00E02234">
        <w:rPr>
          <w:rFonts w:ascii="Arial" w:eastAsia="Calibri" w:hAnsi="Arial" w:cs="Arial"/>
          <w:color w:val="000000"/>
          <w:lang w:val="es-ES" w:eastAsia="es-ES_tradnl"/>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y por último, vi) los documentos tipo serían adoptados por categorías de acuerdo con la cuantía de la contratación. </w:t>
      </w:r>
    </w:p>
    <w:p w14:paraId="346DBD14" w14:textId="77777777" w:rsidR="00FE2F29" w:rsidRPr="00E02234" w:rsidRDefault="00FE2F29" w:rsidP="00E02234">
      <w:pPr>
        <w:spacing w:after="240" w:line="276" w:lineRule="auto"/>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ab/>
        <w:t xml:space="preserve">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w:t>
      </w:r>
      <w:r w:rsidRPr="00E02234">
        <w:rPr>
          <w:rFonts w:ascii="Arial" w:eastAsia="Calibri" w:hAnsi="Arial" w:cs="Arial"/>
          <w:color w:val="000000"/>
          <w:lang w:val="es-ES" w:eastAsia="es-ES_tradnl"/>
        </w:rPr>
        <w:lastRenderedPageBreak/>
        <w:t>de las entidades territoriales. De igual manera, se establece que esta autonomía se garantiza con la identificación autónoma de sus necesidades y la configuración de los elementos del contrato</w:t>
      </w:r>
      <w:r w:rsidRPr="00E02234">
        <w:rPr>
          <w:rFonts w:ascii="Arial" w:eastAsia="Calibri" w:hAnsi="Arial" w:cs="Arial"/>
          <w:color w:val="000000"/>
          <w:vertAlign w:val="superscript"/>
          <w:lang w:val="es-ES" w:eastAsia="es-ES_tradnl"/>
        </w:rPr>
        <w:footnoteReference w:id="5"/>
      </w:r>
      <w:r w:rsidRPr="00E02234">
        <w:rPr>
          <w:rFonts w:ascii="Arial" w:eastAsia="Calibri" w:hAnsi="Arial" w:cs="Arial"/>
          <w:color w:val="000000"/>
          <w:lang w:val="es-ES" w:eastAsia="es-ES_tradnl"/>
        </w:rPr>
        <w:t>.</w:t>
      </w:r>
    </w:p>
    <w:p w14:paraId="70FB6867" w14:textId="77777777" w:rsidR="00FE2F29" w:rsidRPr="00E02234" w:rsidRDefault="00FE2F29" w:rsidP="00E02234">
      <w:pPr>
        <w:spacing w:after="240" w:line="276" w:lineRule="auto"/>
        <w:jc w:val="both"/>
        <w:rPr>
          <w:rFonts w:ascii="Arial" w:eastAsia="Calibri" w:hAnsi="Arial" w:cs="Arial"/>
          <w:color w:val="000000"/>
          <w:lang w:val="es-ES" w:eastAsia="es-ES_tradnl"/>
        </w:rPr>
      </w:pPr>
      <w:r w:rsidRPr="00E02234">
        <w:rPr>
          <w:rFonts w:ascii="Arial" w:eastAsia="Calibri" w:hAnsi="Arial" w:cs="Arial"/>
          <w:color w:val="000000"/>
          <w:lang w:val="es-ES" w:eastAsia="es-ES_tradnl"/>
        </w:rPr>
        <w:tab/>
        <w:t>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iniciar un proceso de convocatoria para satisfacer sus necesidades para la adquisición de un bien, obra o servicio, y además se incluyen en la minuta del contrato las condiciones particulares del negocio jurídico a celebrar.</w:t>
      </w:r>
    </w:p>
    <w:p w14:paraId="77E123D6" w14:textId="77777777" w:rsidR="00FE2F29" w:rsidRPr="00E02234" w:rsidRDefault="00FE2F29" w:rsidP="00E02234">
      <w:pPr>
        <w:spacing w:after="240" w:line="276" w:lineRule="auto"/>
        <w:jc w:val="both"/>
        <w:rPr>
          <w:rFonts w:ascii="Arial" w:eastAsia="Calibri" w:hAnsi="Arial" w:cs="Arial"/>
          <w:lang w:val="es-ES"/>
        </w:rPr>
      </w:pPr>
      <w:r w:rsidRPr="00E02234">
        <w:rPr>
          <w:rFonts w:ascii="Arial" w:eastAsia="Calibri" w:hAnsi="Arial" w:cs="Arial"/>
          <w:color w:val="000000"/>
          <w:lang w:val="es-ES" w:eastAsia="es-ES_tradnl"/>
        </w:rPr>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w:t>
      </w:r>
      <w:r w:rsidRPr="00E02234">
        <w:rPr>
          <w:rFonts w:ascii="Arial" w:eastAsia="Calibri" w:hAnsi="Arial" w:cs="Arial"/>
          <w:lang w:val="es-ES"/>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1328C2A7" w14:textId="77777777" w:rsidR="00FE2F29" w:rsidRPr="00E02234" w:rsidRDefault="00FE2F29" w:rsidP="00E02234">
      <w:pPr>
        <w:spacing w:after="240" w:line="276" w:lineRule="auto"/>
        <w:jc w:val="both"/>
        <w:rPr>
          <w:rFonts w:ascii="Arial" w:eastAsia="Calibri" w:hAnsi="Arial" w:cs="Arial"/>
          <w:color w:val="000000"/>
          <w:lang w:val="es-ES" w:eastAsia="es-ES_tradnl"/>
        </w:rPr>
      </w:pPr>
      <w:r w:rsidRPr="00E02234">
        <w:rPr>
          <w:rFonts w:ascii="Arial" w:eastAsia="Calibri" w:hAnsi="Arial" w:cs="Arial"/>
          <w:lang w:val="es-ES"/>
        </w:rPr>
        <w:tab/>
        <w:t>Posteriormente,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E02234" w:rsidDel="00A434AB">
        <w:rPr>
          <w:rFonts w:ascii="Arial" w:eastAsia="Calibri" w:hAnsi="Arial" w:cs="Arial"/>
          <w:lang w:val="es-ES"/>
        </w:rPr>
        <w:t xml:space="preserve"> </w:t>
      </w:r>
      <w:r w:rsidRPr="00E02234">
        <w:rPr>
          <w:rFonts w:ascii="Arial" w:eastAsia="Calibri" w:hAnsi="Arial" w:cs="Arial"/>
          <w:lang w:val="es-ES"/>
        </w:rPr>
        <w:t>de infraestructura de transporte que se surtieran por la modalidad de mínima cuantía. Estos documentos fueron implementados y desarrollados por la Agencia Nacional de Contratación Pública – Colombia Compra Eficiente, por medio de la Resolución 1798 de 1 de abril de 2019 –derogada por la Resolución 045 del 14 de febrero de 2020–, la Resolución 044 del 14 de febrero de 2020 y la Resolución 094 del 21 de mayo de 2020.</w:t>
      </w:r>
    </w:p>
    <w:p w14:paraId="1DC04887" w14:textId="32A98F71" w:rsidR="00FE2F29" w:rsidRPr="00E02234" w:rsidRDefault="00FE2F29" w:rsidP="00E02234">
      <w:pPr>
        <w:spacing w:after="240" w:line="276" w:lineRule="auto"/>
        <w:ind w:firstLine="709"/>
        <w:jc w:val="both"/>
        <w:rPr>
          <w:rFonts w:ascii="Arial" w:eastAsia="Calibri" w:hAnsi="Arial" w:cs="Arial"/>
          <w:color w:val="000000"/>
          <w:lang w:val="es-ES" w:eastAsia="es-ES"/>
        </w:rPr>
      </w:pPr>
      <w:r w:rsidRPr="00E02234">
        <w:rPr>
          <w:rFonts w:ascii="Arial" w:eastAsia="Calibri" w:hAnsi="Arial" w:cs="Arial"/>
          <w:color w:val="000000"/>
          <w:lang w:val="es-ES" w:eastAsia="es-ES"/>
        </w:rPr>
        <w:lastRenderedPageBreak/>
        <w:t>Por otra parte</w:t>
      </w:r>
      <w:r w:rsidRPr="00E02234">
        <w:rPr>
          <w:rFonts w:ascii="Arial" w:eastAsia="Calibri" w:hAnsi="Arial" w:cs="Arial"/>
          <w:i/>
          <w:iCs/>
          <w:color w:val="000000"/>
          <w:lang w:val="es-ES" w:eastAsia="es-ES"/>
        </w:rPr>
        <w:t>,</w:t>
      </w:r>
      <w:r w:rsidRPr="00E02234">
        <w:rPr>
          <w:rFonts w:ascii="Arial" w:eastAsia="Calibri" w:hAnsi="Arial" w:cs="Arial"/>
          <w:color w:val="000000"/>
          <w:lang w:val="es-ES" w:eastAsia="es-ES"/>
        </w:rPr>
        <w:t xml:space="preserve"> debe tenerse en cuenta que el 22 de julio de 2020 fue sancionada la Ley 2022 de 2020 por el </w:t>
      </w:r>
      <w:r w:rsidR="00965C7D" w:rsidRPr="00E02234">
        <w:rPr>
          <w:rFonts w:ascii="Arial" w:eastAsia="Calibri" w:hAnsi="Arial" w:cs="Arial"/>
          <w:color w:val="000000"/>
          <w:lang w:val="es-ES" w:eastAsia="es-ES"/>
        </w:rPr>
        <w:t>presidente</w:t>
      </w:r>
      <w:r w:rsidRPr="00E02234">
        <w:rPr>
          <w:rFonts w:ascii="Arial" w:eastAsia="Calibri" w:hAnsi="Arial" w:cs="Arial"/>
          <w:color w:val="000000"/>
          <w:lang w:val="es-ES" w:eastAsia="es-ES"/>
        </w:rPr>
        <w:t xml:space="preserve"> de la República,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E02234">
        <w:rPr>
          <w:rFonts w:ascii="Arial" w:eastAsia="Calibri" w:hAnsi="Arial" w:cs="Arial"/>
          <w:color w:val="000000"/>
          <w:vertAlign w:val="superscript"/>
          <w:lang w:val="es-ES" w:eastAsia="es-ES"/>
        </w:rPr>
        <w:footnoteReference w:id="6"/>
      </w:r>
      <w:r w:rsidRPr="00E02234">
        <w:rPr>
          <w:rFonts w:ascii="Arial" w:eastAsia="Calibri" w:hAnsi="Arial" w:cs="Arial"/>
          <w:color w:val="000000"/>
          <w:lang w:val="es-ES" w:eastAsia="es-ES"/>
        </w:rPr>
        <w:t xml:space="preserve">.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74AB1DEF" w14:textId="77777777" w:rsidR="00FE2F29" w:rsidRPr="00E02234" w:rsidRDefault="00FE2F29" w:rsidP="00E02234">
      <w:pPr>
        <w:spacing w:after="240" w:line="276" w:lineRule="auto"/>
        <w:ind w:firstLine="709"/>
        <w:jc w:val="both"/>
        <w:rPr>
          <w:rFonts w:ascii="Arial" w:eastAsia="Calibri" w:hAnsi="Arial" w:cs="Arial"/>
          <w:color w:val="000000"/>
          <w:lang w:val="es-ES" w:eastAsia="es-ES"/>
        </w:rPr>
      </w:pPr>
      <w:r w:rsidRPr="00E02234">
        <w:rPr>
          <w:rFonts w:ascii="Arial" w:eastAsia="Calibri" w:hAnsi="Arial" w:cs="Arial"/>
          <w:color w:val="000000"/>
          <w:lang w:val="es-ES" w:eastAsia="es-ES"/>
        </w:rPr>
        <w:t xml:space="preserve">Con fundamento en dicha Ley, se profirió la Resolución 240 del 27 de noviembre de 2020, «Por la cual se actualizan los Documentos Tipo para los procesos de selección de licitación de obra pública de infraestructura de transporte y se deroga la Resolución 0045 de 2020». 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w:t>
      </w:r>
      <w:proofErr w:type="gramStart"/>
      <w:r w:rsidRPr="00E02234">
        <w:rPr>
          <w:rFonts w:ascii="Arial" w:eastAsia="Calibri" w:hAnsi="Arial" w:cs="Arial"/>
          <w:color w:val="000000"/>
          <w:lang w:val="es-ES" w:eastAsia="es-ES"/>
        </w:rPr>
        <w:t>entró en vigencia</w:t>
      </w:r>
      <w:proofErr w:type="gramEnd"/>
      <w:r w:rsidRPr="00E02234">
        <w:rPr>
          <w:rFonts w:ascii="Arial" w:eastAsia="Calibri" w:hAnsi="Arial" w:cs="Arial"/>
          <w:color w:val="000000"/>
          <w:lang w:val="es-ES" w:eastAsia="es-ES"/>
        </w:rPr>
        <w:t xml:space="preserve"> la Resolución 256 de 2020, «Por la cual se adoptan los documentos tipo para los procesos de selección de concursos de méritos, para contratar la interventoría de obras públicas de infraestructura de transporte». </w:t>
      </w:r>
    </w:p>
    <w:p w14:paraId="63A8512F" w14:textId="77777777" w:rsidR="00FE2F29" w:rsidRPr="00E02234" w:rsidRDefault="00FE2F29" w:rsidP="00E02234">
      <w:pPr>
        <w:spacing w:after="240" w:line="276" w:lineRule="auto"/>
        <w:ind w:firstLine="709"/>
        <w:jc w:val="both"/>
        <w:rPr>
          <w:rFonts w:ascii="Arial" w:eastAsia="Calibri" w:hAnsi="Arial" w:cs="Arial"/>
          <w:color w:val="000000"/>
          <w:lang w:val="es-ES" w:eastAsia="es-ES"/>
        </w:rPr>
      </w:pPr>
      <w:r w:rsidRPr="00E02234">
        <w:rPr>
          <w:rFonts w:ascii="Arial" w:eastAsia="Calibri" w:hAnsi="Arial" w:cs="Arial"/>
          <w:color w:val="000000"/>
          <w:lang w:val="es-ES" w:eastAsia="es-ES"/>
        </w:rPr>
        <w:t xml:space="preserve">Por otra parte, se expidió la Resolución 248 de 2020, «Por la cual se adoptan los documentos tipo para los procesos de licitación pública para obras de infraestructura de agua potable y saneamiento básico», la Resolución 249 de 2020, «Por la cual se adoptan los </w:t>
      </w:r>
      <w:r w:rsidRPr="00E02234">
        <w:rPr>
          <w:rFonts w:ascii="Arial" w:eastAsia="Calibri" w:hAnsi="Arial" w:cs="Arial"/>
          <w:color w:val="000000"/>
          <w:lang w:val="es-ES" w:eastAsia="es-ES"/>
        </w:rPr>
        <w:lastRenderedPageBreak/>
        <w:t>documentos tipo para los procesos de licitación pública para obras de infraestructura de agua potable y saneamiento básico en la modalidad llave en mano» y la Resolución 269 de 2020, «Por la cual se adopta el documento tipo para los procesos de gestión catastral con enfoque multipropósito que se celebren a través de contratos interadministrativos».</w:t>
      </w:r>
    </w:p>
    <w:p w14:paraId="4B3F5F8D" w14:textId="77777777" w:rsidR="00FE2F29" w:rsidRPr="00E02234" w:rsidRDefault="00FE2F29" w:rsidP="00E02234">
      <w:pPr>
        <w:spacing w:after="240" w:line="276" w:lineRule="auto"/>
        <w:ind w:firstLine="709"/>
        <w:jc w:val="both"/>
        <w:rPr>
          <w:rFonts w:ascii="Arial" w:eastAsia="Calibri" w:hAnsi="Arial" w:cs="Arial"/>
          <w:lang w:val="es-ES" w:eastAsia="es-ES"/>
        </w:rPr>
      </w:pPr>
      <w:r w:rsidRPr="00E02234">
        <w:rPr>
          <w:rFonts w:ascii="Arial" w:eastAsia="Calibri" w:hAnsi="Arial" w:cs="Arial"/>
          <w:color w:val="000000"/>
          <w:lang w:val="es-ES" w:eastAsia="es-ES"/>
        </w:rPr>
        <w:t>Así mismo, en el transcurso del año 2021, esta Agencia expidió</w:t>
      </w:r>
      <w:r w:rsidRPr="00E02234">
        <w:rPr>
          <w:rFonts w:ascii="Arial" w:eastAsia="Calibri" w:hAnsi="Arial" w:cs="Arial"/>
          <w:lang w:val="es-ES" w:eastAsia="es-ES"/>
        </w:rPr>
        <w:t xml:space="preserve"> la Resolución 161 de 2021 «Por la cual se modifican los documentos tipo adoptados por la Agencia Nacional de Contratación Pública - Colombia Compra Eficiente», esta última versión de los pliegos tipo rige desde el 28 de junio de 2021. Además, se profirió</w:t>
      </w:r>
      <w:r w:rsidRPr="00E02234">
        <w:rPr>
          <w:rFonts w:ascii="Arial" w:eastAsia="Calibri" w:hAnsi="Arial" w:cs="Arial"/>
          <w:color w:val="000000"/>
          <w:lang w:val="es-ES" w:eastAsia="es-ES"/>
        </w:rPr>
        <w:t xml:space="preserve"> la Resolución 193 del 14 de julio de 2021 «Por la cual se adoptan los documentos tipo para los procesos de </w:t>
      </w:r>
      <w:r w:rsidRPr="00E02234">
        <w:rPr>
          <w:rFonts w:ascii="Arial" w:eastAsia="Calibri" w:hAnsi="Arial" w:cs="Arial"/>
          <w:lang w:val="es-ES" w:eastAsia="es-ES"/>
        </w:rPr>
        <w:t>selección de concurso de méritos, para contratar la consultoría de estudios de ingeniería de infraestructura de transporte». De igual forma, el 6 de agosto de 2021, se adoptaron las Resoluciones 219 de 2021 «Por la cual se adoptan los documentos tipo para los procesos de licitación de obra pública de infraestructura social» y 220 de 2021 «Por la cual se adoptan los documentos tipo complementarios para los procesos de licitación de obra pública de infraestructura social relacionados con el sector educativo». Estos últimos documentos tipo tienen la particularidad de que los documentos adoptados por la Resolución de 219 de 2021 serán utilizados en forma transversal en los sectores de educación, salud y recreación, cultura y deporte. En esta línea, se expidió la Resolución 392 del 18 de noviembre de 2021 «Luego, se expidió la Resolución 454 del 16 de diciembre de 2021 «</w:t>
      </w:r>
      <w:r w:rsidRPr="00E02234">
        <w:rPr>
          <w:rFonts w:ascii="Arial" w:eastAsia="Calibri" w:hAnsi="Arial" w:cs="Arial"/>
          <w:lang w:val="es-MX"/>
        </w:rPr>
        <w:t>Por la cual se adoptan los documentos tipo complementarios para los procesos de licitación de obra pública de infraestructura social relacionados con el sector cultura, recreación y deporte</w:t>
      </w:r>
      <w:r w:rsidRPr="00E02234">
        <w:rPr>
          <w:rFonts w:ascii="Arial" w:eastAsia="Calibri" w:hAnsi="Arial" w:cs="Arial"/>
          <w:lang w:val="es-ES" w:eastAsia="es-ES"/>
        </w:rPr>
        <w:t>»</w:t>
      </w:r>
      <w:r w:rsidRPr="00E02234">
        <w:rPr>
          <w:rFonts w:ascii="Arial" w:eastAsia="Calibri" w:hAnsi="Arial" w:cs="Arial"/>
          <w:lang w:val="es-MX"/>
        </w:rPr>
        <w:t>.</w:t>
      </w:r>
    </w:p>
    <w:p w14:paraId="59417824" w14:textId="77777777" w:rsidR="00FE2F29" w:rsidRPr="00E02234" w:rsidRDefault="00FE2F29" w:rsidP="00E02234">
      <w:pPr>
        <w:spacing w:after="240" w:line="276" w:lineRule="auto"/>
        <w:ind w:firstLine="708"/>
        <w:jc w:val="both"/>
        <w:rPr>
          <w:rFonts w:ascii="Arial" w:eastAsia="Calibri" w:hAnsi="Arial" w:cs="Arial"/>
          <w:spacing w:val="2"/>
          <w:lang w:eastAsia="es-CO"/>
        </w:rPr>
      </w:pPr>
      <w:r w:rsidRPr="00E02234">
        <w:rPr>
          <w:rFonts w:ascii="Arial" w:eastAsia="Times New Roman" w:hAnsi="Arial" w:cs="Arial"/>
          <w:spacing w:val="2"/>
          <w:lang w:eastAsia="es-CO"/>
        </w:rPr>
        <w:t xml:space="preserve">Posteriormente, el Decreto 680 del 22 de junio de 2021 modificó la regla de origen aplicable a los Servicios Nacionales, con el fin de acercar el mercado de compras públicas a las empresas colombianas de manera directa o indirecta, promoviendo el empleo en el país y generando emparejamientos y encadenamientos productivos. En este sentido, el parágrafo 2 del artículo 3 del Decreto 680 del 22 de junio de 2021 otorgó un plazo de tres (3) meses contados a partir de su expedición, para que la Agencia Nacional de Contratación Pública – Colombia Compra Eficiente adecúe los Documentos Tipo a las disposiciones previstas en dicho decreto. </w:t>
      </w:r>
      <w:r w:rsidRPr="00E02234">
        <w:rPr>
          <w:rFonts w:ascii="Arial" w:eastAsia="Calibri" w:hAnsi="Arial" w:cs="Arial"/>
          <w:spacing w:val="2"/>
          <w:lang w:eastAsia="es-CO"/>
        </w:rPr>
        <w:t xml:space="preserve">Ante este cambio normativo, se expidió la Resolución 304 del 13 de octubre de 2021, la cual ajusta los documentos tipo a las nuevas reglas de origen aplicables a los servicios nacionales. </w:t>
      </w:r>
      <w:r w:rsidRPr="00E02234">
        <w:rPr>
          <w:rFonts w:ascii="Arial" w:eastAsia="Calibri" w:hAnsi="Arial" w:cs="Arial"/>
          <w:lang w:val="es-ES_tradnl" w:eastAsia="es-ES"/>
        </w:rPr>
        <w:t>La principal modificación realizada en esta resolución consiste en la modificación al factor de evaluación de apoyo a la industria nacional.</w:t>
      </w:r>
    </w:p>
    <w:p w14:paraId="3FAAE7B4" w14:textId="77777777" w:rsidR="00FE2F29" w:rsidRPr="00E02234" w:rsidRDefault="00FE2F29" w:rsidP="00E02234">
      <w:pPr>
        <w:shd w:val="clear" w:color="auto" w:fill="FFFFFF"/>
        <w:spacing w:after="240" w:line="276" w:lineRule="auto"/>
        <w:ind w:firstLine="709"/>
        <w:jc w:val="both"/>
        <w:rPr>
          <w:rFonts w:ascii="Arial" w:eastAsia="Calibri" w:hAnsi="Arial" w:cs="Arial"/>
          <w:color w:val="0D0D0D"/>
          <w:bdr w:val="none" w:sz="0" w:space="0" w:color="auto" w:frame="1"/>
          <w:lang w:val="es-MX" w:eastAsia="es-CO"/>
        </w:rPr>
      </w:pPr>
      <w:r w:rsidRPr="00E02234">
        <w:rPr>
          <w:rFonts w:ascii="Arial" w:eastAsia="Calibri" w:hAnsi="Arial" w:cs="Arial"/>
          <w:color w:val="0D0D0D"/>
          <w:bdr w:val="none" w:sz="0" w:space="0" w:color="auto" w:frame="1"/>
          <w:lang w:val="es-MX" w:eastAsia="es-CO"/>
        </w:rPr>
        <w:t xml:space="preserve">Ahora bien, teniendo en cuenta la expedición del Decreto 1860 del 24 de diciembre de 2021, que modificó el Decreto 1082 de 2015 y reglamentó los artículos 30, 31, 32, 34 y 35 de la Ley 2069 de 2020, la Agencia modificó los diferentes documentos tipo que había expedido hasta ese momento, con la finalidad de hacerlos compatibles con la nueva regulación, por lo que se expidió la Resolución 275 del 24 de junio de 2022, «Por la cual se modifican los documentos tipo adoptados por la Agencia Nacional de Contratación Pública – Colombia Compra Eficiente». Esta </w:t>
      </w:r>
      <w:r w:rsidRPr="00E02234">
        <w:rPr>
          <w:rFonts w:ascii="Arial" w:eastAsia="Calibri" w:hAnsi="Arial" w:cs="Arial"/>
          <w:color w:val="0D0D0D"/>
          <w:bdr w:val="none" w:sz="0" w:space="0" w:color="auto" w:frame="1"/>
          <w:lang w:val="es-MX" w:eastAsia="es-CO"/>
        </w:rPr>
        <w:lastRenderedPageBreak/>
        <w:t>última modificación aplica a los procesos cuyo aviso de convocatoria se publique a partir del 29 de agosto de 2022.</w:t>
      </w:r>
    </w:p>
    <w:p w14:paraId="1A87AA14" w14:textId="77777777" w:rsidR="00FE2F29" w:rsidRPr="00E02234" w:rsidRDefault="00FE2F29" w:rsidP="00E02234">
      <w:pPr>
        <w:spacing w:after="240" w:line="276" w:lineRule="auto"/>
        <w:ind w:firstLine="709"/>
        <w:jc w:val="both"/>
        <w:rPr>
          <w:rFonts w:ascii="Arial" w:hAnsi="Arial" w:cs="Arial"/>
          <w:spacing w:val="2"/>
          <w:lang w:eastAsia="es-CO"/>
        </w:rPr>
      </w:pPr>
      <w:r w:rsidRPr="00E02234">
        <w:rPr>
          <w:rFonts w:ascii="Arial" w:hAnsi="Arial" w:cs="Arial"/>
          <w:spacing w:val="2"/>
          <w:lang w:eastAsia="es-CO"/>
        </w:rPr>
        <w:t>Finalmente, se expidió la Resolución No. 333 del 27 de julio de 2022 «Por la cual se adoptan los documentos tipo para los procesos de selección de concurso de méritos para contratar la interventoría de obras públicas de infraestructura de agua potable y saneamiento básico», aplicable a los procesos de selección cuyo aviso de convocatoria se publique a partir del 3 de octubre de 2022.</w:t>
      </w:r>
    </w:p>
    <w:p w14:paraId="619471E4" w14:textId="77777777" w:rsidR="00FE2F29" w:rsidRPr="00E02234" w:rsidRDefault="00FE2F29" w:rsidP="00E02234">
      <w:pPr>
        <w:spacing w:after="240" w:line="276" w:lineRule="auto"/>
        <w:ind w:firstLine="709"/>
        <w:contextualSpacing/>
        <w:jc w:val="both"/>
        <w:rPr>
          <w:rFonts w:ascii="Arial" w:eastAsia="Calibri" w:hAnsi="Arial" w:cs="Arial"/>
          <w:bdr w:val="none" w:sz="0" w:space="0" w:color="auto" w:frame="1"/>
          <w:lang w:val="es-MX"/>
        </w:rPr>
      </w:pPr>
      <w:r w:rsidRPr="00E02234">
        <w:rPr>
          <w:rFonts w:ascii="Arial" w:eastAsia="Calibri" w:hAnsi="Arial" w:cs="Arial"/>
          <w:lang w:val="es-MX"/>
        </w:rPr>
        <w:t xml:space="preserve">De acuerdo con lo expuesto, </w:t>
      </w:r>
      <w:r w:rsidRPr="00E02234">
        <w:rPr>
          <w:rFonts w:ascii="Arial" w:eastAsia="Calibri" w:hAnsi="Arial" w:cs="Arial"/>
          <w:bdr w:val="none" w:sz="0" w:space="0" w:color="auto" w:frame="1"/>
          <w:lang w:val="es-MX"/>
        </w:rPr>
        <w:t xml:space="preserve">los documentos tipo adoptados son obligatorios para las entidades estatales cuyos contratos se rijan por el EGCAP, que adelanten procesos de contratación mediante la modalidad que establecen los documentos tipo para cada sector y teniendo en cuenta el ámbito de aplicación determinado en la Matriz de Experiencia de cada documento tipo. </w:t>
      </w:r>
    </w:p>
    <w:p w14:paraId="16E2339D" w14:textId="77777777" w:rsidR="00FE2F29" w:rsidRPr="00E02234" w:rsidRDefault="00FE2F29" w:rsidP="00E02234">
      <w:pPr>
        <w:spacing w:after="240" w:line="276" w:lineRule="auto"/>
        <w:ind w:firstLine="709"/>
        <w:contextualSpacing/>
        <w:jc w:val="both"/>
        <w:rPr>
          <w:rFonts w:ascii="Arial" w:eastAsia="Calibri" w:hAnsi="Arial" w:cs="Arial"/>
          <w:bdr w:val="none" w:sz="0" w:space="0" w:color="auto" w:frame="1"/>
          <w:lang w:val="es-MX"/>
        </w:rPr>
      </w:pPr>
    </w:p>
    <w:p w14:paraId="7EE2C434" w14:textId="77777777" w:rsidR="00FE2F29" w:rsidRPr="00E02234" w:rsidRDefault="00FE2F29" w:rsidP="00E02234">
      <w:pPr>
        <w:spacing w:after="240" w:line="276" w:lineRule="auto"/>
        <w:contextualSpacing/>
        <w:jc w:val="both"/>
        <w:rPr>
          <w:rFonts w:ascii="Arial" w:hAnsi="Arial" w:cs="Arial"/>
          <w:b/>
          <w:bCs/>
          <w:color w:val="000000"/>
          <w:lang w:val="es-MX" w:eastAsia="es-CO"/>
        </w:rPr>
      </w:pPr>
      <w:r w:rsidRPr="00E02234">
        <w:rPr>
          <w:rFonts w:ascii="Arial" w:eastAsia="Arial" w:hAnsi="Arial" w:cs="Arial"/>
          <w:b/>
          <w:bCs/>
          <w:color w:val="000000"/>
          <w:lang w:val="es-ES_tradnl"/>
        </w:rPr>
        <w:t xml:space="preserve">2.2. </w:t>
      </w:r>
      <w:bookmarkStart w:id="4" w:name="_Hlk120708018"/>
      <w:r w:rsidRPr="00E02234">
        <w:rPr>
          <w:rFonts w:ascii="Arial" w:hAnsi="Arial" w:cs="Arial"/>
          <w:b/>
          <w:bCs/>
          <w:color w:val="000000"/>
          <w:lang w:val="es-MX" w:eastAsia="es-CO"/>
        </w:rPr>
        <w:t xml:space="preserve">Alcance de la regla de inalterabilidad de los documentos tipo y sus excepciones </w:t>
      </w:r>
      <w:bookmarkEnd w:id="4"/>
    </w:p>
    <w:p w14:paraId="5C8E0B9B" w14:textId="77777777" w:rsidR="00FE2F29" w:rsidRPr="00E02234" w:rsidRDefault="00FE2F29" w:rsidP="00E02234">
      <w:pPr>
        <w:spacing w:after="240" w:line="276" w:lineRule="auto"/>
        <w:contextualSpacing/>
        <w:jc w:val="both"/>
        <w:rPr>
          <w:rFonts w:ascii="Arial" w:hAnsi="Arial" w:cs="Arial"/>
          <w:b/>
          <w:bCs/>
          <w:color w:val="000000"/>
          <w:lang w:val="es-MX" w:eastAsia="es-CO"/>
        </w:rPr>
      </w:pPr>
    </w:p>
    <w:p w14:paraId="506017F1" w14:textId="77777777" w:rsidR="00FE2F29" w:rsidRPr="00E02234" w:rsidRDefault="00FE2F29" w:rsidP="00E02234">
      <w:pPr>
        <w:spacing w:after="240" w:line="276" w:lineRule="auto"/>
        <w:jc w:val="both"/>
        <w:rPr>
          <w:rFonts w:ascii="Arial" w:eastAsia="Calibri" w:hAnsi="Arial" w:cs="Arial"/>
          <w:color w:val="000000"/>
          <w:lang w:val="es-ES_tradnl"/>
        </w:rPr>
      </w:pPr>
      <w:r w:rsidRPr="00E02234">
        <w:rPr>
          <w:rFonts w:ascii="Arial" w:eastAsia="Calibri" w:hAnsi="Arial" w:cs="Arial"/>
          <w:color w:val="000000"/>
          <w:lang w:val="es-ES_tradnl"/>
        </w:rPr>
        <w:t>Todas las resoluciones</w:t>
      </w:r>
      <w:r w:rsidRPr="00E02234">
        <w:rPr>
          <w:rFonts w:ascii="Arial" w:eastAsia="Calibri" w:hAnsi="Arial" w:cs="Arial"/>
          <w:color w:val="000000"/>
          <w:vertAlign w:val="superscript"/>
          <w:lang w:val="es-ES_tradnl"/>
        </w:rPr>
        <w:footnoteReference w:id="7"/>
      </w:r>
      <w:r w:rsidRPr="00E02234">
        <w:rPr>
          <w:rFonts w:ascii="Arial" w:eastAsia="Calibri" w:hAnsi="Arial" w:cs="Arial"/>
          <w:color w:val="000000"/>
          <w:lang w:val="es-ES_tradnl"/>
        </w:rPr>
        <w:t xml:space="preserve">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E02234">
        <w:rPr>
          <w:rFonts w:ascii="Arial" w:eastAsia="Calibri" w:hAnsi="Arial" w:cs="Arial"/>
          <w:i/>
          <w:iCs/>
          <w:color w:val="000000"/>
          <w:lang w:val="es-ES_tradnl"/>
        </w:rPr>
        <w:t>Documentos del Proceso</w:t>
      </w:r>
      <w:r w:rsidRPr="00E02234">
        <w:rPr>
          <w:rFonts w:ascii="Arial" w:eastAsia="Calibri" w:hAnsi="Arial" w:cs="Arial"/>
          <w:color w:val="000000"/>
          <w:lang w:val="es-ES_tradn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EGCAP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1836234" w14:textId="77777777" w:rsidR="00FE2F29" w:rsidRPr="00E02234" w:rsidRDefault="00FE2F29" w:rsidP="00E02234">
      <w:pPr>
        <w:spacing w:after="240" w:line="276" w:lineRule="auto"/>
        <w:ind w:firstLine="709"/>
        <w:jc w:val="both"/>
        <w:rPr>
          <w:rFonts w:ascii="Arial" w:eastAsia="Calibri" w:hAnsi="Arial" w:cs="Arial"/>
          <w:lang w:val="es-ES_tradnl"/>
        </w:rPr>
      </w:pPr>
      <w:r w:rsidRPr="00E02234">
        <w:rPr>
          <w:rFonts w:ascii="Arial" w:eastAsia="Calibri" w:hAnsi="Arial"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w:t>
      </w:r>
      <w:r w:rsidRPr="00E02234">
        <w:rPr>
          <w:rFonts w:ascii="Arial" w:eastAsia="Calibri" w:hAnsi="Arial" w:cs="Arial"/>
          <w:lang w:val="es-ES_tradnl"/>
        </w:rPr>
        <w:lastRenderedPageBreak/>
        <w:t xml:space="preserve">dispuestas en las diferentes resoluciones expedidas por la Agencia, por lo que no pueden hacer excepciones bajo una supuesta discrecionalidad a estas reglas que son obligatorias.  </w:t>
      </w:r>
    </w:p>
    <w:p w14:paraId="785B1CB6" w14:textId="77777777" w:rsidR="00FE2F29" w:rsidRPr="00E02234" w:rsidRDefault="00FE2F29" w:rsidP="00E02234">
      <w:pPr>
        <w:spacing w:after="240" w:line="276" w:lineRule="auto"/>
        <w:ind w:firstLine="709"/>
        <w:jc w:val="both"/>
        <w:rPr>
          <w:rFonts w:ascii="Arial" w:eastAsia="Calibri" w:hAnsi="Arial" w:cs="Arial"/>
          <w:lang w:val="es-ES_tradnl"/>
        </w:rPr>
      </w:pPr>
      <w:r w:rsidRPr="00E02234">
        <w:rPr>
          <w:rFonts w:ascii="Arial" w:eastAsia="Calibri" w:hAnsi="Arial"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E02234">
        <w:rPr>
          <w:rFonts w:ascii="Arial" w:eastAsia="Calibri" w:hAnsi="Arial" w:cs="Arial"/>
          <w:vertAlign w:val="superscript"/>
          <w:lang w:val="es-ES_tradnl"/>
        </w:rPr>
        <w:footnoteReference w:id="8"/>
      </w:r>
      <w:r w:rsidRPr="00E02234">
        <w:rPr>
          <w:rFonts w:ascii="Arial" w:eastAsia="Calibri" w:hAnsi="Arial"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5A695851" w14:textId="77777777" w:rsidR="00FE2F29" w:rsidRPr="00E02234" w:rsidRDefault="00FE2F29" w:rsidP="00E02234">
      <w:pPr>
        <w:spacing w:after="240" w:line="276" w:lineRule="auto"/>
        <w:ind w:firstLine="709"/>
        <w:jc w:val="both"/>
        <w:rPr>
          <w:rFonts w:ascii="Arial" w:eastAsia="Calibri" w:hAnsi="Arial" w:cs="Arial"/>
          <w:bCs/>
          <w:lang w:val="es-ES_tradnl"/>
        </w:rPr>
      </w:pPr>
      <w:r w:rsidRPr="00E02234">
        <w:rPr>
          <w:rFonts w:ascii="Arial" w:eastAsia="Calibri" w:hAnsi="Arial" w:cs="Arial"/>
          <w:bCs/>
          <w:lang w:val="es-ES_tradnl"/>
        </w:rPr>
        <w:t xml:space="preserve">Además, las entidades estatales deben garantizar el </w:t>
      </w:r>
      <w:r w:rsidRPr="00E02234">
        <w:rPr>
          <w:rFonts w:ascii="Arial" w:eastAsia="Calibri" w:hAnsi="Arial" w:cs="Arial"/>
          <w:bCs/>
          <w:i/>
          <w:iCs/>
          <w:lang w:val="es-ES_tradnl"/>
        </w:rPr>
        <w:t>principio de economía</w:t>
      </w:r>
      <w:r w:rsidRPr="00E02234">
        <w:rPr>
          <w:rFonts w:ascii="Arial" w:eastAsia="Calibri" w:hAnsi="Arial" w:cs="Arial"/>
          <w:bCs/>
          <w:lang w:val="es-ES_tradnl"/>
        </w:rPr>
        <w:t>, del cual se desprende que no pueden exigir documentos o requisitos más allá de los que permitan la Constitución, la ley y los reglamentos. Este postulado ha sido recogido no solo en la contratación estatal</w:t>
      </w:r>
      <w:r w:rsidRPr="00E02234">
        <w:rPr>
          <w:rFonts w:ascii="Arial" w:eastAsia="Calibri" w:hAnsi="Arial" w:cs="Arial"/>
          <w:bCs/>
          <w:vertAlign w:val="superscript"/>
          <w:lang w:val="es-ES_tradnl"/>
        </w:rPr>
        <w:footnoteReference w:id="9"/>
      </w:r>
      <w:r w:rsidRPr="00E02234">
        <w:rPr>
          <w:rFonts w:ascii="Arial" w:eastAsia="Calibri" w:hAnsi="Arial" w:cs="Arial"/>
          <w:bCs/>
          <w:lang w:val="es-ES_tradnl"/>
        </w:rPr>
        <w:t xml:space="preserve"> sino además en la normativa </w:t>
      </w:r>
      <w:proofErr w:type="spellStart"/>
      <w:r w:rsidRPr="00E02234">
        <w:rPr>
          <w:rFonts w:ascii="Arial" w:eastAsia="Calibri" w:hAnsi="Arial" w:cs="Arial"/>
          <w:bCs/>
          <w:lang w:val="es-ES_tradnl"/>
        </w:rPr>
        <w:t>antitrámites</w:t>
      </w:r>
      <w:proofErr w:type="spellEnd"/>
      <w:r w:rsidRPr="00E02234">
        <w:rPr>
          <w:rFonts w:ascii="Arial" w:eastAsia="Calibri" w:hAnsi="Arial" w:cs="Arial"/>
          <w:bCs/>
          <w:vertAlign w:val="superscript"/>
          <w:lang w:val="es-ES_tradnl"/>
        </w:rPr>
        <w:footnoteReference w:id="10"/>
      </w:r>
      <w:r w:rsidRPr="00E02234">
        <w:rPr>
          <w:rFonts w:ascii="Arial" w:eastAsia="Calibri" w:hAnsi="Arial" w:cs="Arial"/>
          <w:bCs/>
          <w:lang w:val="es-ES_tradnl"/>
        </w:rPr>
        <w:t>; pues se inscribe dentro de la tendencia de simplificación y racionalización de los procedimientos administrativos. De ahí que cuando las autoridades solicitan la entrega de documentación innecesaria, desconocen el principio de economía.</w:t>
      </w:r>
    </w:p>
    <w:p w14:paraId="166E1257" w14:textId="77777777" w:rsidR="00FE2F29" w:rsidRPr="00E02234" w:rsidRDefault="00FE2F29" w:rsidP="00E02234">
      <w:pPr>
        <w:spacing w:after="240" w:line="276" w:lineRule="auto"/>
        <w:ind w:firstLine="709"/>
        <w:jc w:val="both"/>
        <w:rPr>
          <w:rFonts w:ascii="Arial" w:eastAsia="Calibri" w:hAnsi="Arial" w:cs="Arial"/>
          <w:lang w:val="es-MX"/>
        </w:rPr>
      </w:pPr>
      <w:r w:rsidRPr="00E02234">
        <w:rPr>
          <w:rFonts w:ascii="Arial" w:eastAsia="Calibri" w:hAnsi="Arial" w:cs="Arial"/>
          <w:lang w:val="es-MX"/>
        </w:rPr>
        <w:t xml:space="preserve">Adicionalmente, la parte introductoria de los documentos base de los documentos tipo disponen que los aspectos incluidos en corchetes y resaltados en gris 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w:t>
      </w:r>
      <w:r w:rsidRPr="00E02234">
        <w:rPr>
          <w:rFonts w:ascii="Arial" w:eastAsia="Calibri" w:hAnsi="Arial" w:cs="Arial"/>
          <w:lang w:val="es-MX"/>
        </w:rPr>
        <w:lastRenderedPageBreak/>
        <w:t xml:space="preserve">la entidad tendrá la libertad de determinar la información que se diligenciará en los documentos tipo, de acuerdo con su necesidad y las instrucciones de los mismos documentos tipo. </w:t>
      </w:r>
    </w:p>
    <w:p w14:paraId="17C25133" w14:textId="77777777" w:rsidR="00FE2F29" w:rsidRPr="00E02234" w:rsidRDefault="00FE2F29" w:rsidP="00E02234">
      <w:pPr>
        <w:spacing w:after="240" w:line="276" w:lineRule="auto"/>
        <w:ind w:firstLine="709"/>
        <w:jc w:val="both"/>
        <w:rPr>
          <w:rFonts w:ascii="Arial" w:eastAsia="Calibri" w:hAnsi="Arial" w:cs="Arial"/>
          <w:bCs/>
          <w:lang w:val="es-MX"/>
        </w:rPr>
      </w:pPr>
      <w:r w:rsidRPr="00E02234">
        <w:rPr>
          <w:rFonts w:ascii="Arial" w:eastAsia="Calibri" w:hAnsi="Arial" w:cs="Arial"/>
          <w:bCs/>
          <w:lang w:val="es-MX"/>
        </w:rPr>
        <w:t>En suma, la regla general frente la aplicación del «Documento Base» y en general de los documentos tipo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obra pública, caso en el que se podrá incluir experiencia adicional; y, además, cuando el pliego tipo de forma expresa lo incluya, es decir, en los aspectos incluidos en corchetes y resaltados en gris.</w:t>
      </w:r>
    </w:p>
    <w:p w14:paraId="14B1D0D8" w14:textId="77777777" w:rsidR="00FE2F29" w:rsidRPr="00E02234" w:rsidRDefault="00FE2F29" w:rsidP="00E02234">
      <w:pPr>
        <w:spacing w:after="240" w:line="276" w:lineRule="auto"/>
        <w:ind w:firstLine="709"/>
        <w:jc w:val="both"/>
        <w:rPr>
          <w:rFonts w:ascii="Arial" w:eastAsia="Calibri" w:hAnsi="Arial" w:cs="Arial"/>
          <w:bCs/>
          <w:lang w:val="es-MX"/>
        </w:rPr>
      </w:pPr>
      <w:r w:rsidRPr="00E02234">
        <w:rPr>
          <w:rFonts w:ascii="Arial" w:eastAsia="Calibri" w:hAnsi="Arial" w:cs="Arial"/>
          <w:bCs/>
          <w:lang w:val="es-MX"/>
        </w:rPr>
        <w:t xml:space="preserve">Esta regla de inalterabilidad también aplica a los formatos y anexos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4A5B49B" w14:textId="77777777" w:rsidR="00FE2F29" w:rsidRPr="00E02234" w:rsidRDefault="00FE2F29" w:rsidP="00E02234">
      <w:pPr>
        <w:spacing w:after="240" w:line="276" w:lineRule="auto"/>
        <w:ind w:firstLine="709"/>
        <w:jc w:val="both"/>
        <w:rPr>
          <w:rFonts w:ascii="Arial" w:hAnsi="Arial" w:cs="Arial"/>
          <w:lang w:val="es-MX"/>
        </w:rPr>
      </w:pPr>
      <w:r w:rsidRPr="00E02234">
        <w:rPr>
          <w:rFonts w:ascii="Arial" w:hAnsi="Arial" w:cs="Arial"/>
          <w:lang w:val="es-MX"/>
        </w:rPr>
        <w:t xml:space="preserve">Con todo, la regla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40E5262" w14:textId="77777777" w:rsidR="00FE2F29" w:rsidRPr="00E02234" w:rsidRDefault="00FE2F29" w:rsidP="00E02234">
      <w:pPr>
        <w:spacing w:after="240" w:line="276" w:lineRule="auto"/>
        <w:ind w:firstLine="709"/>
        <w:jc w:val="both"/>
        <w:rPr>
          <w:rFonts w:ascii="Arial" w:hAnsi="Arial" w:cs="Arial"/>
        </w:rPr>
      </w:pPr>
      <w:r w:rsidRPr="00E02234">
        <w:rPr>
          <w:rFonts w:ascii="Arial" w:hAnsi="Arial" w:cs="Arial"/>
          <w:lang w:val="es-MX"/>
        </w:rPr>
        <w:t xml:space="preserve">En relación con el principio constitucional </w:t>
      </w:r>
      <w:r w:rsidRPr="00E02234">
        <w:rPr>
          <w:rFonts w:ascii="Arial" w:hAnsi="Arial" w:cs="Arial"/>
          <w:i/>
          <w:iCs/>
          <w:lang w:val="es-MX"/>
        </w:rPr>
        <w:t>sub examine</w:t>
      </w:r>
      <w:r w:rsidRPr="00E02234">
        <w:rPr>
          <w:rFonts w:ascii="Arial" w:hAnsi="Arial"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E02234">
        <w:rPr>
          <w:rFonts w:ascii="Arial" w:hAnsi="Arial" w:cs="Arial"/>
          <w:vertAlign w:val="superscript"/>
        </w:rPr>
        <w:footnoteReference w:id="11"/>
      </w:r>
      <w:r w:rsidRPr="00E02234">
        <w:rPr>
          <w:rFonts w:ascii="Arial" w:hAnsi="Arial" w:cs="Arial"/>
        </w:rPr>
        <w:t xml:space="preserve">. </w:t>
      </w:r>
    </w:p>
    <w:p w14:paraId="147B5CA9" w14:textId="77777777" w:rsidR="00FE2F29" w:rsidRPr="00E02234" w:rsidRDefault="00FE2F29" w:rsidP="00E02234">
      <w:pPr>
        <w:spacing w:after="240" w:line="276" w:lineRule="auto"/>
        <w:ind w:firstLine="709"/>
        <w:jc w:val="both"/>
        <w:rPr>
          <w:rFonts w:ascii="Arial" w:hAnsi="Arial" w:cs="Arial"/>
          <w:lang w:val="es-MX"/>
        </w:rPr>
      </w:pPr>
      <w:r w:rsidRPr="00E02234">
        <w:rPr>
          <w:rFonts w:ascii="Arial" w:hAnsi="Arial" w:cs="Arial"/>
          <w:lang w:val="es-MX"/>
        </w:rPr>
        <w:t xml:space="preserve">El carácter inalterable de los documentos tipo no puede, entonces, hacerse extensivo a los aspectos eminentemente formales de tales documentos, esto es, el tamaño y tipo de letra, las márgenes o las expresiones que pretenden hacer más comprensible el documento, como es el caso de aquellas que informan que una expresión larga será referida con otra similar pero más corta. Todo porque estos aspectos en nada afectan la aplicación y alcance de los documentos </w:t>
      </w:r>
      <w:r w:rsidRPr="00E02234">
        <w:rPr>
          <w:rFonts w:ascii="Arial" w:hAnsi="Arial" w:cs="Arial"/>
          <w:lang w:val="es-MX"/>
        </w:rPr>
        <w:lastRenderedPageBreak/>
        <w:t>tipos; en otras palabras, porque no afectan su contenido esencial y, mucho menos, las obligaciones, deberes y derechos que se derivan para los partícipes del Proceso Contractual.</w:t>
      </w:r>
    </w:p>
    <w:p w14:paraId="5B9E77D0" w14:textId="77777777" w:rsidR="00FE2F29" w:rsidRPr="00E02234" w:rsidRDefault="00FE2F29" w:rsidP="00E02234">
      <w:pPr>
        <w:spacing w:after="240" w:line="276" w:lineRule="auto"/>
        <w:jc w:val="both"/>
        <w:rPr>
          <w:rFonts w:ascii="Arial" w:eastAsia="Calibri" w:hAnsi="Arial" w:cs="Arial"/>
          <w:b/>
          <w:bCs/>
          <w:lang w:val="es-MX" w:eastAsia="es-ES_tradnl"/>
        </w:rPr>
      </w:pPr>
      <w:r w:rsidRPr="00E02234">
        <w:rPr>
          <w:rFonts w:ascii="Arial" w:eastAsia="Times New Roman" w:hAnsi="Arial" w:cs="Arial"/>
          <w:b/>
          <w:bCs/>
          <w:lang w:val="es-MX"/>
        </w:rPr>
        <w:t>2.3. El ejercicio de la ingeniería en el marco de los procesos de contratación pública, la Ley 842 de 2003 y los pliegos tipo infraestructura de transporte</w:t>
      </w:r>
    </w:p>
    <w:p w14:paraId="69675E25" w14:textId="77777777" w:rsidR="00FE2F29" w:rsidRPr="00E02234" w:rsidRDefault="00FE2F29" w:rsidP="00E02234">
      <w:pPr>
        <w:widowControl w:val="0"/>
        <w:autoSpaceDE w:val="0"/>
        <w:autoSpaceDN w:val="0"/>
        <w:spacing w:after="240" w:line="276" w:lineRule="auto"/>
        <w:ind w:right="8"/>
        <w:jc w:val="both"/>
        <w:rPr>
          <w:rFonts w:ascii="Arial" w:eastAsia="Arial" w:hAnsi="Arial" w:cs="Arial"/>
          <w:lang w:val="es-ES"/>
        </w:rPr>
      </w:pPr>
      <w:r w:rsidRPr="00E02234">
        <w:rPr>
          <w:rFonts w:ascii="Arial" w:eastAsia="Arial" w:hAnsi="Arial" w:cs="Arial"/>
          <w:lang w:val="es-ES"/>
        </w:rPr>
        <w:t>La Corte Constitucional, en la sentencia C-697 de 2000, explicó que el artículo 26 de la Constitución Política autorizó al legislador para exigir determinados títulos de idoneidad a quienes desempeñen actividades que impliquen riesgo social, con el objetivo</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demostrar</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1"/>
          <w:lang w:val="es-ES"/>
        </w:rPr>
        <w:t xml:space="preserve"> </w:t>
      </w:r>
      <w:r w:rsidRPr="00E02234">
        <w:rPr>
          <w:rFonts w:ascii="Arial" w:eastAsia="Arial" w:hAnsi="Arial" w:cs="Arial"/>
          <w:lang w:val="es-ES"/>
        </w:rPr>
        <w:t>adecuada</w:t>
      </w:r>
      <w:r w:rsidRPr="00E02234">
        <w:rPr>
          <w:rFonts w:ascii="Arial" w:eastAsia="Arial" w:hAnsi="Arial" w:cs="Arial"/>
          <w:spacing w:val="-11"/>
          <w:lang w:val="es-ES"/>
        </w:rPr>
        <w:t xml:space="preserve"> </w:t>
      </w:r>
      <w:r w:rsidRPr="00E02234">
        <w:rPr>
          <w:rFonts w:ascii="Arial" w:eastAsia="Arial" w:hAnsi="Arial" w:cs="Arial"/>
          <w:lang w:val="es-ES"/>
        </w:rPr>
        <w:t>aptitud</w:t>
      </w:r>
      <w:r w:rsidRPr="00E02234">
        <w:rPr>
          <w:rFonts w:ascii="Arial" w:eastAsia="Arial" w:hAnsi="Arial" w:cs="Arial"/>
          <w:spacing w:val="-11"/>
          <w:lang w:val="es-ES"/>
        </w:rPr>
        <w:t xml:space="preserve"> </w:t>
      </w:r>
      <w:r w:rsidRPr="00E02234">
        <w:rPr>
          <w:rFonts w:ascii="Arial" w:eastAsia="Arial" w:hAnsi="Arial" w:cs="Arial"/>
          <w:lang w:val="es-ES"/>
        </w:rPr>
        <w:t>del</w:t>
      </w:r>
      <w:r w:rsidRPr="00E02234">
        <w:rPr>
          <w:rFonts w:ascii="Arial" w:eastAsia="Arial" w:hAnsi="Arial" w:cs="Arial"/>
          <w:spacing w:val="-11"/>
          <w:lang w:val="es-ES"/>
        </w:rPr>
        <w:t xml:space="preserve"> </w:t>
      </w:r>
      <w:r w:rsidRPr="00E02234">
        <w:rPr>
          <w:rFonts w:ascii="Arial" w:eastAsia="Arial" w:hAnsi="Arial" w:cs="Arial"/>
          <w:lang w:val="es-ES"/>
        </w:rPr>
        <w:t>aspirante</w:t>
      </w:r>
      <w:r w:rsidRPr="00E02234">
        <w:rPr>
          <w:rFonts w:ascii="Arial" w:eastAsia="Arial" w:hAnsi="Arial" w:cs="Arial"/>
          <w:spacing w:val="-11"/>
          <w:lang w:val="es-ES"/>
        </w:rPr>
        <w:t xml:space="preserve"> </w:t>
      </w:r>
      <w:r w:rsidRPr="00E02234">
        <w:rPr>
          <w:rFonts w:ascii="Arial" w:eastAsia="Arial" w:hAnsi="Arial" w:cs="Arial"/>
          <w:lang w:val="es-ES"/>
        </w:rPr>
        <w:t>y</w:t>
      </w:r>
      <w:r w:rsidRPr="00E02234">
        <w:rPr>
          <w:rFonts w:ascii="Arial" w:eastAsia="Arial" w:hAnsi="Arial" w:cs="Arial"/>
          <w:spacing w:val="-11"/>
          <w:lang w:val="es-ES"/>
        </w:rPr>
        <w:t xml:space="preserve"> </w:t>
      </w:r>
      <w:r w:rsidRPr="00E02234">
        <w:rPr>
          <w:rFonts w:ascii="Arial" w:eastAsia="Arial" w:hAnsi="Arial" w:cs="Arial"/>
          <w:lang w:val="es-ES"/>
        </w:rPr>
        <w:t>que</w:t>
      </w:r>
      <w:r w:rsidRPr="00E02234">
        <w:rPr>
          <w:rFonts w:ascii="Arial" w:eastAsia="Arial" w:hAnsi="Arial" w:cs="Arial"/>
          <w:spacing w:val="-11"/>
          <w:lang w:val="es-ES"/>
        </w:rPr>
        <w:t xml:space="preserve"> </w:t>
      </w:r>
      <w:r w:rsidRPr="00E02234">
        <w:rPr>
          <w:rFonts w:ascii="Arial" w:eastAsia="Arial" w:hAnsi="Arial" w:cs="Arial"/>
          <w:lang w:val="es-ES"/>
        </w:rPr>
        <w:t>esta</w:t>
      </w:r>
      <w:r w:rsidRPr="00E02234">
        <w:rPr>
          <w:rFonts w:ascii="Arial" w:eastAsia="Arial" w:hAnsi="Arial" w:cs="Arial"/>
          <w:spacing w:val="-11"/>
          <w:lang w:val="es-ES"/>
        </w:rPr>
        <w:t xml:space="preserve"> </w:t>
      </w:r>
      <w:r w:rsidRPr="00E02234">
        <w:rPr>
          <w:rFonts w:ascii="Arial" w:eastAsia="Arial" w:hAnsi="Arial" w:cs="Arial"/>
          <w:lang w:val="es-ES"/>
        </w:rPr>
        <w:t>exigencia</w:t>
      </w:r>
      <w:r w:rsidRPr="00E02234">
        <w:rPr>
          <w:rFonts w:ascii="Arial" w:eastAsia="Arial" w:hAnsi="Arial" w:cs="Arial"/>
          <w:spacing w:val="-11"/>
          <w:lang w:val="es-ES"/>
        </w:rPr>
        <w:t xml:space="preserve"> </w:t>
      </w:r>
      <w:r w:rsidRPr="00E02234">
        <w:rPr>
          <w:rFonts w:ascii="Arial" w:eastAsia="Arial" w:hAnsi="Arial" w:cs="Arial"/>
          <w:lang w:val="es-ES"/>
        </w:rPr>
        <w:t>constituye una excepción legítima al principio de libertad e igualdad en materia</w:t>
      </w:r>
      <w:r w:rsidRPr="00E02234">
        <w:rPr>
          <w:rFonts w:ascii="Arial" w:eastAsia="Arial" w:hAnsi="Arial" w:cs="Arial"/>
          <w:spacing w:val="-30"/>
          <w:lang w:val="es-ES"/>
        </w:rPr>
        <w:t xml:space="preserve"> </w:t>
      </w:r>
      <w:r w:rsidRPr="00E02234">
        <w:rPr>
          <w:rFonts w:ascii="Arial" w:eastAsia="Arial" w:hAnsi="Arial" w:cs="Arial"/>
          <w:lang w:val="es-ES"/>
        </w:rPr>
        <w:t>laboral:</w:t>
      </w:r>
    </w:p>
    <w:p w14:paraId="3D93ADBF" w14:textId="247BD5A2" w:rsidR="00FE2F29" w:rsidRPr="000E71D9" w:rsidRDefault="00205220"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0E71D9">
        <w:rPr>
          <w:rFonts w:ascii="Arial" w:hAnsi="Arial" w:cs="Arial"/>
          <w:sz w:val="21"/>
          <w:szCs w:val="21"/>
        </w:rPr>
        <w:t>«</w:t>
      </w:r>
      <w:r w:rsidR="00FE2F29" w:rsidRPr="000E71D9">
        <w:rPr>
          <w:rFonts w:ascii="Arial" w:eastAsia="Arial" w:hAnsi="Arial" w:cs="Arial"/>
          <w:sz w:val="21"/>
          <w:szCs w:val="21"/>
          <w:lang w:val="es-ES"/>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657D5F56" w14:textId="77777777" w:rsidR="00FE2F29" w:rsidRPr="000E71D9" w:rsidRDefault="00FE2F29" w:rsidP="000E71D9">
      <w:pPr>
        <w:widowControl w:val="0"/>
        <w:autoSpaceDE w:val="0"/>
        <w:autoSpaceDN w:val="0"/>
        <w:spacing w:after="240" w:line="240" w:lineRule="auto"/>
        <w:ind w:left="851" w:right="851"/>
        <w:rPr>
          <w:rFonts w:ascii="Arial" w:eastAsia="Arial" w:hAnsi="Arial" w:cs="Arial"/>
          <w:sz w:val="21"/>
          <w:szCs w:val="21"/>
          <w:lang w:val="es-ES"/>
        </w:rPr>
      </w:pPr>
      <w:r w:rsidRPr="000E71D9">
        <w:rPr>
          <w:rFonts w:ascii="Arial" w:eastAsia="Arial" w:hAnsi="Arial" w:cs="Arial"/>
          <w:sz w:val="21"/>
          <w:szCs w:val="21"/>
          <w:lang w:val="es-ES"/>
        </w:rPr>
        <w:t>[…]</w:t>
      </w:r>
    </w:p>
    <w:p w14:paraId="15BF561D" w14:textId="63F00727" w:rsidR="00FE2F29" w:rsidRPr="000E71D9" w:rsidRDefault="00FE2F29"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Arial" w:hAnsi="Arial" w:cs="Arial"/>
          <w:sz w:val="21"/>
          <w:szCs w:val="21"/>
          <w:lang w:val="es-ES"/>
        </w:rPr>
        <w:t xml:space="preserve">La exigencia de títulos de idoneidad y tarjetas </w:t>
      </w:r>
      <w:proofErr w:type="gramStart"/>
      <w:r w:rsidRPr="000E71D9">
        <w:rPr>
          <w:rFonts w:ascii="Arial" w:eastAsia="Arial" w:hAnsi="Arial" w:cs="Arial"/>
          <w:sz w:val="21"/>
          <w:szCs w:val="21"/>
          <w:lang w:val="es-ES"/>
        </w:rPr>
        <w:t>profesionales,</w:t>
      </w:r>
      <w:proofErr w:type="gramEnd"/>
      <w:r w:rsidRPr="000E71D9">
        <w:rPr>
          <w:rFonts w:ascii="Arial" w:eastAsia="Arial" w:hAnsi="Arial" w:cs="Arial"/>
          <w:sz w:val="21"/>
          <w:szCs w:val="21"/>
          <w:lang w:val="es-ES"/>
        </w:rPr>
        <w:t xml:space="preserve"> constituye una excepción</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al</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principio</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libertad</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e</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igualdad</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en</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materia</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laboral</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y,</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por</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lo</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tanto, es</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necesario</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demostrar</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que</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la</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formación</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intelectual</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y</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técnica</w:t>
      </w:r>
      <w:r w:rsidRPr="000E71D9">
        <w:rPr>
          <w:rFonts w:ascii="Arial" w:eastAsia="Arial" w:hAnsi="Arial" w:cs="Arial"/>
          <w:spacing w:val="-14"/>
          <w:sz w:val="21"/>
          <w:szCs w:val="21"/>
          <w:lang w:val="es-ES"/>
        </w:rPr>
        <w:t xml:space="preserve"> </w:t>
      </w:r>
      <w:r w:rsidRPr="000E71D9">
        <w:rPr>
          <w:rFonts w:ascii="Arial" w:eastAsia="Arial" w:hAnsi="Arial" w:cs="Arial"/>
          <w:sz w:val="21"/>
          <w:szCs w:val="21"/>
          <w:lang w:val="es-ES"/>
        </w:rPr>
        <w:t>requerida</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es</w:t>
      </w:r>
      <w:r w:rsidRPr="000E71D9">
        <w:rPr>
          <w:rFonts w:ascii="Arial" w:eastAsia="Arial" w:hAnsi="Arial" w:cs="Arial"/>
          <w:spacing w:val="-16"/>
          <w:sz w:val="21"/>
          <w:szCs w:val="21"/>
          <w:lang w:val="es-ES"/>
        </w:rPr>
        <w:t xml:space="preserve"> </w:t>
      </w:r>
      <w:r w:rsidRPr="000E71D9">
        <w:rPr>
          <w:rFonts w:ascii="Arial" w:eastAsia="Arial" w:hAnsi="Arial" w:cs="Arial"/>
          <w:sz w:val="21"/>
          <w:szCs w:val="21"/>
          <w:lang w:val="es-ES"/>
        </w:rPr>
        <w:t>un medio idóneo y</w:t>
      </w:r>
      <w:r w:rsidRPr="000E71D9">
        <w:rPr>
          <w:rFonts w:ascii="Arial" w:eastAsia="Arial" w:hAnsi="Arial" w:cs="Arial"/>
          <w:spacing w:val="-4"/>
          <w:sz w:val="21"/>
          <w:szCs w:val="21"/>
          <w:lang w:val="es-ES"/>
        </w:rPr>
        <w:t xml:space="preserve"> </w:t>
      </w:r>
      <w:r w:rsidRPr="000E71D9">
        <w:rPr>
          <w:rFonts w:ascii="Arial" w:eastAsia="Arial" w:hAnsi="Arial" w:cs="Arial"/>
          <w:sz w:val="21"/>
          <w:szCs w:val="21"/>
          <w:lang w:val="es-ES"/>
        </w:rPr>
        <w:t>proporción.</w:t>
      </w:r>
      <w:r w:rsidR="00205220" w:rsidRPr="000E71D9">
        <w:rPr>
          <w:rFonts w:ascii="Arial" w:hAnsi="Arial" w:cs="Arial"/>
          <w:sz w:val="21"/>
          <w:szCs w:val="21"/>
        </w:rPr>
        <w:t>»</w:t>
      </w:r>
    </w:p>
    <w:p w14:paraId="68575147"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De conformidad con lo anterior, el legislador ha establecido el requisito de la matrícula profesional para el ejercicio de varias profesiones. Para el caso de la ingeniería, la Ley 842 de 2003 establece, en el artículo 6, que para ejercer esta, sus profesiones afines o auxiliares en el territorio nacional, se requiere estar matriculado o inscrito</w:t>
      </w:r>
      <w:r w:rsidRPr="00E02234">
        <w:rPr>
          <w:rFonts w:ascii="Arial" w:eastAsia="Arial" w:hAnsi="Arial" w:cs="Arial"/>
          <w:spacing w:val="-12"/>
          <w:lang w:val="es-ES"/>
        </w:rPr>
        <w:t xml:space="preserve"> </w:t>
      </w:r>
      <w:r w:rsidRPr="00E02234">
        <w:rPr>
          <w:rFonts w:ascii="Arial" w:eastAsia="Arial" w:hAnsi="Arial" w:cs="Arial"/>
          <w:lang w:val="es-ES"/>
        </w:rPr>
        <w:t>en</w:t>
      </w:r>
      <w:r w:rsidRPr="00E02234">
        <w:rPr>
          <w:rFonts w:ascii="Arial" w:eastAsia="Arial" w:hAnsi="Arial" w:cs="Arial"/>
          <w:spacing w:val="-12"/>
          <w:lang w:val="es-ES"/>
        </w:rPr>
        <w:t xml:space="preserve"> </w:t>
      </w:r>
      <w:r w:rsidRPr="00E02234">
        <w:rPr>
          <w:rFonts w:ascii="Arial" w:eastAsia="Arial" w:hAnsi="Arial" w:cs="Arial"/>
          <w:lang w:val="es-ES"/>
        </w:rPr>
        <w:t>el</w:t>
      </w:r>
      <w:r w:rsidRPr="00E02234">
        <w:rPr>
          <w:rFonts w:ascii="Arial" w:eastAsia="Arial" w:hAnsi="Arial" w:cs="Arial"/>
          <w:spacing w:val="-11"/>
          <w:lang w:val="es-ES"/>
        </w:rPr>
        <w:t xml:space="preserve"> </w:t>
      </w:r>
      <w:r w:rsidRPr="00E02234">
        <w:rPr>
          <w:rFonts w:ascii="Arial" w:eastAsia="Arial" w:hAnsi="Arial" w:cs="Arial"/>
          <w:lang w:val="es-ES"/>
        </w:rPr>
        <w:t>Registro</w:t>
      </w:r>
      <w:r w:rsidRPr="00E02234">
        <w:rPr>
          <w:rFonts w:ascii="Arial" w:eastAsia="Arial" w:hAnsi="Arial" w:cs="Arial"/>
          <w:spacing w:val="-12"/>
          <w:lang w:val="es-ES"/>
        </w:rPr>
        <w:t xml:space="preserve"> </w:t>
      </w:r>
      <w:r w:rsidRPr="00E02234">
        <w:rPr>
          <w:rFonts w:ascii="Arial" w:eastAsia="Arial" w:hAnsi="Arial" w:cs="Arial"/>
          <w:lang w:val="es-ES"/>
        </w:rPr>
        <w:t>Profesional</w:t>
      </w:r>
      <w:r w:rsidRPr="00E02234">
        <w:rPr>
          <w:rFonts w:ascii="Arial" w:eastAsia="Arial" w:hAnsi="Arial" w:cs="Arial"/>
          <w:spacing w:val="-10"/>
          <w:lang w:val="es-ES"/>
        </w:rPr>
        <w:t xml:space="preserve"> </w:t>
      </w:r>
      <w:r w:rsidRPr="00E02234">
        <w:rPr>
          <w:rFonts w:ascii="Arial" w:eastAsia="Arial" w:hAnsi="Arial" w:cs="Arial"/>
          <w:lang w:val="es-ES"/>
        </w:rPr>
        <w:t>respectivo,</w:t>
      </w:r>
      <w:r w:rsidRPr="00E02234">
        <w:rPr>
          <w:rFonts w:ascii="Arial" w:eastAsia="Arial" w:hAnsi="Arial" w:cs="Arial"/>
          <w:spacing w:val="-12"/>
          <w:lang w:val="es-ES"/>
        </w:rPr>
        <w:t xml:space="preserve"> </w:t>
      </w:r>
      <w:r w:rsidRPr="00E02234">
        <w:rPr>
          <w:rFonts w:ascii="Arial" w:eastAsia="Arial" w:hAnsi="Arial" w:cs="Arial"/>
          <w:lang w:val="es-ES"/>
        </w:rPr>
        <w:t>que</w:t>
      </w:r>
      <w:r w:rsidRPr="00E02234">
        <w:rPr>
          <w:rFonts w:ascii="Arial" w:eastAsia="Arial" w:hAnsi="Arial" w:cs="Arial"/>
          <w:spacing w:val="-11"/>
          <w:lang w:val="es-ES"/>
        </w:rPr>
        <w:t xml:space="preserve"> </w:t>
      </w:r>
      <w:r w:rsidRPr="00E02234">
        <w:rPr>
          <w:rFonts w:ascii="Arial" w:eastAsia="Arial" w:hAnsi="Arial" w:cs="Arial"/>
          <w:lang w:val="es-ES"/>
        </w:rPr>
        <w:t>lleva</w:t>
      </w:r>
      <w:r w:rsidRPr="00E02234">
        <w:rPr>
          <w:rFonts w:ascii="Arial" w:eastAsia="Arial" w:hAnsi="Arial" w:cs="Arial"/>
          <w:spacing w:val="-12"/>
          <w:lang w:val="es-ES"/>
        </w:rPr>
        <w:t xml:space="preserve"> </w:t>
      </w:r>
      <w:r w:rsidRPr="00E02234">
        <w:rPr>
          <w:rFonts w:ascii="Arial" w:eastAsia="Arial" w:hAnsi="Arial" w:cs="Arial"/>
          <w:lang w:val="es-ES"/>
        </w:rPr>
        <w:t>el</w:t>
      </w:r>
      <w:r w:rsidRPr="00E02234">
        <w:rPr>
          <w:rFonts w:ascii="Arial" w:eastAsia="Arial" w:hAnsi="Arial" w:cs="Arial"/>
          <w:spacing w:val="-12"/>
          <w:lang w:val="es-ES"/>
        </w:rPr>
        <w:t xml:space="preserve"> </w:t>
      </w:r>
      <w:r w:rsidRPr="00E02234">
        <w:rPr>
          <w:rFonts w:ascii="Arial" w:eastAsia="Arial" w:hAnsi="Arial" w:cs="Arial"/>
          <w:lang w:val="es-ES"/>
        </w:rPr>
        <w:t>Consejo</w:t>
      </w:r>
      <w:r w:rsidRPr="00E02234">
        <w:rPr>
          <w:rFonts w:ascii="Arial" w:eastAsia="Arial" w:hAnsi="Arial" w:cs="Arial"/>
          <w:spacing w:val="-11"/>
          <w:lang w:val="es-ES"/>
        </w:rPr>
        <w:t xml:space="preserve"> </w:t>
      </w:r>
      <w:r w:rsidRPr="00E02234">
        <w:rPr>
          <w:rFonts w:ascii="Arial" w:eastAsia="Arial" w:hAnsi="Arial" w:cs="Arial"/>
          <w:lang w:val="es-ES"/>
        </w:rPr>
        <w:t>Profesional</w:t>
      </w:r>
      <w:r w:rsidRPr="00E02234">
        <w:rPr>
          <w:rFonts w:ascii="Arial" w:eastAsia="Arial" w:hAnsi="Arial" w:cs="Arial"/>
          <w:spacing w:val="-10"/>
          <w:lang w:val="es-ES"/>
        </w:rPr>
        <w:t xml:space="preserve"> </w:t>
      </w:r>
      <w:r w:rsidRPr="00E02234">
        <w:rPr>
          <w:rFonts w:ascii="Arial" w:eastAsia="Arial" w:hAnsi="Arial" w:cs="Arial"/>
          <w:lang w:val="es-ES"/>
        </w:rPr>
        <w:t>Nacional de Ingeniería -COPNIA-, y se acreditará con la presentación de la tarjeta o documento adoptado por este para tal</w:t>
      </w:r>
      <w:r w:rsidRPr="00E02234">
        <w:rPr>
          <w:rFonts w:ascii="Arial" w:eastAsia="Arial" w:hAnsi="Arial" w:cs="Arial"/>
          <w:spacing w:val="5"/>
          <w:lang w:val="es-ES"/>
        </w:rPr>
        <w:t xml:space="preserve"> </w:t>
      </w:r>
      <w:r w:rsidRPr="00E02234">
        <w:rPr>
          <w:rFonts w:ascii="Arial" w:eastAsia="Arial" w:hAnsi="Arial" w:cs="Arial"/>
          <w:lang w:val="es-ES"/>
        </w:rPr>
        <w:t>fin.</w:t>
      </w:r>
    </w:p>
    <w:p w14:paraId="78D5FA37" w14:textId="691E931B"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Por</w:t>
      </w:r>
      <w:r w:rsidRPr="00E02234">
        <w:rPr>
          <w:rFonts w:ascii="Arial" w:eastAsia="Arial" w:hAnsi="Arial" w:cs="Arial"/>
          <w:spacing w:val="-7"/>
          <w:lang w:val="es-ES"/>
        </w:rPr>
        <w:t xml:space="preserve"> </w:t>
      </w:r>
      <w:r w:rsidRPr="00E02234">
        <w:rPr>
          <w:rFonts w:ascii="Arial" w:eastAsia="Arial" w:hAnsi="Arial" w:cs="Arial"/>
          <w:lang w:val="es-ES"/>
        </w:rPr>
        <w:t>lo</w:t>
      </w:r>
      <w:r w:rsidRPr="00E02234">
        <w:rPr>
          <w:rFonts w:ascii="Arial" w:eastAsia="Arial" w:hAnsi="Arial" w:cs="Arial"/>
          <w:spacing w:val="-7"/>
          <w:lang w:val="es-ES"/>
        </w:rPr>
        <w:t xml:space="preserve"> </w:t>
      </w:r>
      <w:r w:rsidRPr="00E02234">
        <w:rPr>
          <w:rFonts w:ascii="Arial" w:eastAsia="Arial" w:hAnsi="Arial" w:cs="Arial"/>
          <w:lang w:val="es-ES"/>
        </w:rPr>
        <w:t>tanto,</w:t>
      </w:r>
      <w:r w:rsidRPr="00E02234">
        <w:rPr>
          <w:rFonts w:ascii="Arial" w:eastAsia="Arial" w:hAnsi="Arial" w:cs="Arial"/>
          <w:spacing w:val="-7"/>
          <w:lang w:val="es-ES"/>
        </w:rPr>
        <w:t xml:space="preserve"> </w:t>
      </w:r>
      <w:r w:rsidRPr="00E02234">
        <w:rPr>
          <w:rFonts w:ascii="Arial" w:eastAsia="Arial" w:hAnsi="Arial" w:cs="Arial"/>
          <w:lang w:val="es-ES"/>
        </w:rPr>
        <w:t>en</w:t>
      </w:r>
      <w:r w:rsidRPr="00E02234">
        <w:rPr>
          <w:rFonts w:ascii="Arial" w:eastAsia="Arial" w:hAnsi="Arial" w:cs="Arial"/>
          <w:spacing w:val="-7"/>
          <w:lang w:val="es-ES"/>
        </w:rPr>
        <w:t xml:space="preserve"> </w:t>
      </w:r>
      <w:r w:rsidRPr="00E02234">
        <w:rPr>
          <w:rFonts w:ascii="Arial" w:eastAsia="Arial" w:hAnsi="Arial" w:cs="Arial"/>
          <w:lang w:val="es-ES"/>
        </w:rPr>
        <w:t>el</w:t>
      </w:r>
      <w:r w:rsidRPr="00E02234">
        <w:rPr>
          <w:rFonts w:ascii="Arial" w:eastAsia="Arial" w:hAnsi="Arial" w:cs="Arial"/>
          <w:spacing w:val="-7"/>
          <w:lang w:val="es-ES"/>
        </w:rPr>
        <w:t xml:space="preserve"> </w:t>
      </w:r>
      <w:r w:rsidRPr="00E02234">
        <w:rPr>
          <w:rFonts w:ascii="Arial" w:eastAsia="Arial" w:hAnsi="Arial" w:cs="Arial"/>
          <w:lang w:val="es-ES"/>
        </w:rPr>
        <w:t>marco</w:t>
      </w:r>
      <w:r w:rsidRPr="00E02234">
        <w:rPr>
          <w:rFonts w:ascii="Arial" w:eastAsia="Arial" w:hAnsi="Arial" w:cs="Arial"/>
          <w:spacing w:val="-8"/>
          <w:lang w:val="es-ES"/>
        </w:rPr>
        <w:t xml:space="preserve"> </w:t>
      </w:r>
      <w:r w:rsidRPr="00E02234">
        <w:rPr>
          <w:rFonts w:ascii="Arial" w:eastAsia="Arial" w:hAnsi="Arial" w:cs="Arial"/>
          <w:lang w:val="es-ES"/>
        </w:rPr>
        <w:t>de</w:t>
      </w:r>
      <w:r w:rsidRPr="00E02234">
        <w:rPr>
          <w:rFonts w:ascii="Arial" w:eastAsia="Arial" w:hAnsi="Arial" w:cs="Arial"/>
          <w:spacing w:val="-7"/>
          <w:lang w:val="es-ES"/>
        </w:rPr>
        <w:t xml:space="preserve"> </w:t>
      </w:r>
      <w:r w:rsidRPr="00E02234">
        <w:rPr>
          <w:rFonts w:ascii="Arial" w:eastAsia="Arial" w:hAnsi="Arial" w:cs="Arial"/>
          <w:lang w:val="es-ES"/>
        </w:rPr>
        <w:t>procesos</w:t>
      </w:r>
      <w:r w:rsidRPr="00E02234">
        <w:rPr>
          <w:rFonts w:ascii="Arial" w:eastAsia="Arial" w:hAnsi="Arial" w:cs="Arial"/>
          <w:spacing w:val="-7"/>
          <w:lang w:val="es-ES"/>
        </w:rPr>
        <w:t xml:space="preserve"> </w:t>
      </w:r>
      <w:r w:rsidRPr="00E02234">
        <w:rPr>
          <w:rFonts w:ascii="Arial" w:eastAsia="Arial" w:hAnsi="Arial" w:cs="Arial"/>
          <w:lang w:val="es-ES"/>
        </w:rPr>
        <w:t>de</w:t>
      </w:r>
      <w:r w:rsidRPr="00E02234">
        <w:rPr>
          <w:rFonts w:ascii="Arial" w:eastAsia="Arial" w:hAnsi="Arial" w:cs="Arial"/>
          <w:spacing w:val="-8"/>
          <w:lang w:val="es-ES"/>
        </w:rPr>
        <w:t xml:space="preserve"> </w:t>
      </w:r>
      <w:r w:rsidRPr="00E02234">
        <w:rPr>
          <w:rFonts w:ascii="Arial" w:eastAsia="Arial" w:hAnsi="Arial" w:cs="Arial"/>
          <w:lang w:val="es-ES"/>
        </w:rPr>
        <w:t>selección</w:t>
      </w:r>
      <w:r w:rsidRPr="00E02234">
        <w:rPr>
          <w:rFonts w:ascii="Arial" w:eastAsia="Arial" w:hAnsi="Arial" w:cs="Arial"/>
          <w:spacing w:val="-7"/>
          <w:lang w:val="es-ES"/>
        </w:rPr>
        <w:t xml:space="preserve"> </w:t>
      </w:r>
      <w:r w:rsidRPr="00E02234">
        <w:rPr>
          <w:rFonts w:ascii="Arial" w:eastAsia="Arial" w:hAnsi="Arial" w:cs="Arial"/>
          <w:lang w:val="es-ES"/>
        </w:rPr>
        <w:t>dirigidos</w:t>
      </w:r>
      <w:r w:rsidRPr="00E02234">
        <w:rPr>
          <w:rFonts w:ascii="Arial" w:eastAsia="Arial" w:hAnsi="Arial" w:cs="Arial"/>
          <w:spacing w:val="-7"/>
          <w:lang w:val="es-ES"/>
        </w:rPr>
        <w:t xml:space="preserve"> </w:t>
      </w:r>
      <w:r w:rsidRPr="00E02234">
        <w:rPr>
          <w:rFonts w:ascii="Arial" w:eastAsia="Arial" w:hAnsi="Arial" w:cs="Arial"/>
          <w:lang w:val="es-ES"/>
        </w:rPr>
        <w:t>a</w:t>
      </w:r>
      <w:r w:rsidRPr="00E02234">
        <w:rPr>
          <w:rFonts w:ascii="Arial" w:eastAsia="Arial" w:hAnsi="Arial" w:cs="Arial"/>
          <w:spacing w:val="-7"/>
          <w:lang w:val="es-ES"/>
        </w:rPr>
        <w:t xml:space="preserve"> </w:t>
      </w:r>
      <w:r w:rsidRPr="00E02234">
        <w:rPr>
          <w:rFonts w:ascii="Arial" w:eastAsia="Arial" w:hAnsi="Arial" w:cs="Arial"/>
          <w:lang w:val="es-ES"/>
        </w:rPr>
        <w:t>elegir</w:t>
      </w:r>
      <w:r w:rsidRPr="00E02234">
        <w:rPr>
          <w:rFonts w:ascii="Arial" w:eastAsia="Arial" w:hAnsi="Arial" w:cs="Arial"/>
          <w:spacing w:val="-8"/>
          <w:lang w:val="es-ES"/>
        </w:rPr>
        <w:t xml:space="preserve"> </w:t>
      </w:r>
      <w:r w:rsidRPr="00E02234">
        <w:rPr>
          <w:rFonts w:ascii="Arial" w:eastAsia="Arial" w:hAnsi="Arial" w:cs="Arial"/>
          <w:lang w:val="es-ES"/>
        </w:rPr>
        <w:t>contratistas para</w:t>
      </w:r>
      <w:r w:rsidRPr="00E02234">
        <w:rPr>
          <w:rFonts w:ascii="Arial" w:eastAsia="Arial" w:hAnsi="Arial" w:cs="Arial"/>
          <w:spacing w:val="-17"/>
          <w:lang w:val="es-ES"/>
        </w:rPr>
        <w:t xml:space="preserve"> </w:t>
      </w:r>
      <w:r w:rsidRPr="00E02234">
        <w:rPr>
          <w:rFonts w:ascii="Arial" w:eastAsia="Arial" w:hAnsi="Arial" w:cs="Arial"/>
          <w:lang w:val="es-ES"/>
        </w:rPr>
        <w:t>desarrollar</w:t>
      </w:r>
      <w:r w:rsidRPr="00E02234">
        <w:rPr>
          <w:rFonts w:ascii="Arial" w:eastAsia="Arial" w:hAnsi="Arial" w:cs="Arial"/>
          <w:spacing w:val="-16"/>
          <w:lang w:val="es-ES"/>
        </w:rPr>
        <w:t xml:space="preserve"> </w:t>
      </w:r>
      <w:r w:rsidRPr="00E02234">
        <w:rPr>
          <w:rFonts w:ascii="Arial" w:eastAsia="Arial" w:hAnsi="Arial" w:cs="Arial"/>
          <w:lang w:val="es-ES"/>
        </w:rPr>
        <w:t>actividades</w:t>
      </w:r>
      <w:r w:rsidRPr="00E02234">
        <w:rPr>
          <w:rFonts w:ascii="Arial" w:eastAsia="Arial" w:hAnsi="Arial" w:cs="Arial"/>
          <w:spacing w:val="-16"/>
          <w:lang w:val="es-ES"/>
        </w:rPr>
        <w:t xml:space="preserve"> </w:t>
      </w:r>
      <w:r w:rsidRPr="00E02234">
        <w:rPr>
          <w:rFonts w:ascii="Arial" w:eastAsia="Arial" w:hAnsi="Arial" w:cs="Arial"/>
          <w:lang w:val="es-ES"/>
        </w:rPr>
        <w:t>que</w:t>
      </w:r>
      <w:r w:rsidRPr="00E02234">
        <w:rPr>
          <w:rFonts w:ascii="Arial" w:eastAsia="Arial" w:hAnsi="Arial" w:cs="Arial"/>
          <w:spacing w:val="-16"/>
          <w:lang w:val="es-ES"/>
        </w:rPr>
        <w:t xml:space="preserve"> </w:t>
      </w:r>
      <w:r w:rsidRPr="00E02234">
        <w:rPr>
          <w:rFonts w:ascii="Arial" w:eastAsia="Arial" w:hAnsi="Arial" w:cs="Arial"/>
          <w:lang w:val="es-ES"/>
        </w:rPr>
        <w:t>impliquen</w:t>
      </w:r>
      <w:r w:rsidRPr="00E02234">
        <w:rPr>
          <w:rFonts w:ascii="Arial" w:eastAsia="Arial" w:hAnsi="Arial" w:cs="Arial"/>
          <w:spacing w:val="-16"/>
          <w:lang w:val="es-ES"/>
        </w:rPr>
        <w:t xml:space="preserve"> </w:t>
      </w:r>
      <w:r w:rsidRPr="00E02234">
        <w:rPr>
          <w:rFonts w:ascii="Arial" w:eastAsia="Arial" w:hAnsi="Arial" w:cs="Arial"/>
          <w:lang w:val="es-ES"/>
        </w:rPr>
        <w:t>el</w:t>
      </w:r>
      <w:r w:rsidRPr="00E02234">
        <w:rPr>
          <w:rFonts w:ascii="Arial" w:eastAsia="Arial" w:hAnsi="Arial" w:cs="Arial"/>
          <w:spacing w:val="-16"/>
          <w:lang w:val="es-ES"/>
        </w:rPr>
        <w:t xml:space="preserve"> </w:t>
      </w:r>
      <w:r w:rsidRPr="00E02234">
        <w:rPr>
          <w:rFonts w:ascii="Arial" w:eastAsia="Arial" w:hAnsi="Arial" w:cs="Arial"/>
          <w:lang w:val="es-ES"/>
        </w:rPr>
        <w:t>ejercicio</w:t>
      </w:r>
      <w:r w:rsidRPr="00E02234">
        <w:rPr>
          <w:rFonts w:ascii="Arial" w:eastAsia="Arial" w:hAnsi="Arial" w:cs="Arial"/>
          <w:spacing w:val="-16"/>
          <w:lang w:val="es-ES"/>
        </w:rPr>
        <w:t xml:space="preserve"> </w:t>
      </w:r>
      <w:r w:rsidRPr="00E02234">
        <w:rPr>
          <w:rFonts w:ascii="Arial" w:eastAsia="Arial" w:hAnsi="Arial" w:cs="Arial"/>
          <w:lang w:val="es-ES"/>
        </w:rPr>
        <w:t>de</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6"/>
          <w:lang w:val="es-ES"/>
        </w:rPr>
        <w:t xml:space="preserve"> </w:t>
      </w:r>
      <w:r w:rsidRPr="00E02234">
        <w:rPr>
          <w:rFonts w:ascii="Arial" w:eastAsia="Arial" w:hAnsi="Arial" w:cs="Arial"/>
          <w:lang w:val="es-ES"/>
        </w:rPr>
        <w:t>ingeniería,</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6"/>
          <w:lang w:val="es-ES"/>
        </w:rPr>
        <w:t xml:space="preserve"> </w:t>
      </w:r>
      <w:r w:rsidR="00CD548C">
        <w:rPr>
          <w:rFonts w:ascii="Arial" w:eastAsia="Arial" w:hAnsi="Arial" w:cs="Arial"/>
          <w:lang w:val="es-ES"/>
        </w:rPr>
        <w:t>Entidad Estatal</w:t>
      </w:r>
      <w:r w:rsidRPr="00E02234">
        <w:rPr>
          <w:rFonts w:ascii="Arial" w:eastAsia="Arial" w:hAnsi="Arial" w:cs="Arial"/>
          <w:lang w:val="es-ES"/>
        </w:rPr>
        <w:t xml:space="preserve"> debe verificar que el contratista tenga una tarjeta profesional vigente, ya que el no hacerlo podría llevar a celebrar un contrato estatal con alguien que no está jurídicamente habilitado para desarrollar el objeto contractual. En otras palabras, la exigencia de la tarjeta profesional es necesaria para celebrar los contratos estatales cuando</w:t>
      </w:r>
      <w:r w:rsidRPr="00E02234">
        <w:rPr>
          <w:rFonts w:ascii="Arial" w:eastAsia="Arial" w:hAnsi="Arial" w:cs="Arial"/>
          <w:spacing w:val="42"/>
          <w:lang w:val="es-ES"/>
        </w:rPr>
        <w:t xml:space="preserve"> </w:t>
      </w:r>
      <w:r w:rsidRPr="00E02234">
        <w:rPr>
          <w:rFonts w:ascii="Arial" w:eastAsia="Arial" w:hAnsi="Arial" w:cs="Arial"/>
          <w:lang w:val="es-ES"/>
        </w:rPr>
        <w:t>la</w:t>
      </w:r>
      <w:r w:rsidRPr="00E02234">
        <w:rPr>
          <w:rFonts w:ascii="Arial" w:eastAsia="Arial" w:hAnsi="Arial" w:cs="Arial"/>
          <w:spacing w:val="43"/>
          <w:lang w:val="es-ES"/>
        </w:rPr>
        <w:t xml:space="preserve"> </w:t>
      </w:r>
      <w:r w:rsidRPr="00E02234">
        <w:rPr>
          <w:rFonts w:ascii="Arial" w:eastAsia="Arial" w:hAnsi="Arial" w:cs="Arial"/>
          <w:lang w:val="es-ES"/>
        </w:rPr>
        <w:t>normativa</w:t>
      </w:r>
      <w:r w:rsidRPr="00E02234">
        <w:rPr>
          <w:rFonts w:ascii="Arial" w:eastAsia="Arial" w:hAnsi="Arial" w:cs="Arial"/>
          <w:spacing w:val="43"/>
          <w:lang w:val="es-ES"/>
        </w:rPr>
        <w:t xml:space="preserve"> </w:t>
      </w:r>
      <w:r w:rsidRPr="00E02234">
        <w:rPr>
          <w:rFonts w:ascii="Arial" w:eastAsia="Arial" w:hAnsi="Arial" w:cs="Arial"/>
          <w:lang w:val="es-ES"/>
        </w:rPr>
        <w:t>que</w:t>
      </w:r>
      <w:r w:rsidRPr="00E02234">
        <w:rPr>
          <w:rFonts w:ascii="Arial" w:eastAsia="Arial" w:hAnsi="Arial" w:cs="Arial"/>
          <w:spacing w:val="43"/>
          <w:lang w:val="es-ES"/>
        </w:rPr>
        <w:t xml:space="preserve"> </w:t>
      </w:r>
      <w:r w:rsidRPr="00E02234">
        <w:rPr>
          <w:rFonts w:ascii="Arial" w:eastAsia="Arial" w:hAnsi="Arial" w:cs="Arial"/>
          <w:lang w:val="es-ES"/>
        </w:rPr>
        <w:t>regula</w:t>
      </w:r>
      <w:r w:rsidRPr="00E02234">
        <w:rPr>
          <w:rFonts w:ascii="Arial" w:eastAsia="Arial" w:hAnsi="Arial" w:cs="Arial"/>
          <w:spacing w:val="43"/>
          <w:lang w:val="es-ES"/>
        </w:rPr>
        <w:t xml:space="preserve"> </w:t>
      </w:r>
      <w:r w:rsidRPr="00E02234">
        <w:rPr>
          <w:rFonts w:ascii="Arial" w:eastAsia="Arial" w:hAnsi="Arial" w:cs="Arial"/>
          <w:lang w:val="es-ES"/>
        </w:rPr>
        <w:t>cada</w:t>
      </w:r>
      <w:r w:rsidRPr="00E02234">
        <w:rPr>
          <w:rFonts w:ascii="Arial" w:eastAsia="Arial" w:hAnsi="Arial" w:cs="Arial"/>
          <w:spacing w:val="42"/>
          <w:lang w:val="es-ES"/>
        </w:rPr>
        <w:t xml:space="preserve"> </w:t>
      </w:r>
      <w:r w:rsidRPr="00E02234">
        <w:rPr>
          <w:rFonts w:ascii="Arial" w:eastAsia="Arial" w:hAnsi="Arial" w:cs="Arial"/>
          <w:lang w:val="es-ES"/>
        </w:rPr>
        <w:t>profesión</w:t>
      </w:r>
      <w:r w:rsidRPr="00E02234">
        <w:rPr>
          <w:rFonts w:ascii="Arial" w:eastAsia="Arial" w:hAnsi="Arial" w:cs="Arial"/>
          <w:spacing w:val="44"/>
          <w:lang w:val="es-ES"/>
        </w:rPr>
        <w:t xml:space="preserve"> </w:t>
      </w:r>
      <w:r w:rsidRPr="00E02234">
        <w:rPr>
          <w:rFonts w:ascii="Arial" w:eastAsia="Arial" w:hAnsi="Arial" w:cs="Arial"/>
          <w:lang w:val="es-ES"/>
        </w:rPr>
        <w:t>la</w:t>
      </w:r>
      <w:r w:rsidRPr="00E02234">
        <w:rPr>
          <w:rFonts w:ascii="Arial" w:eastAsia="Arial" w:hAnsi="Arial" w:cs="Arial"/>
          <w:spacing w:val="43"/>
          <w:lang w:val="es-ES"/>
        </w:rPr>
        <w:t xml:space="preserve"> </w:t>
      </w:r>
      <w:r w:rsidRPr="00E02234">
        <w:rPr>
          <w:rFonts w:ascii="Arial" w:eastAsia="Arial" w:hAnsi="Arial" w:cs="Arial"/>
          <w:lang w:val="es-ES"/>
        </w:rPr>
        <w:t>establece</w:t>
      </w:r>
      <w:r w:rsidRPr="00E02234">
        <w:rPr>
          <w:rFonts w:ascii="Arial" w:eastAsia="Arial" w:hAnsi="Arial" w:cs="Arial"/>
          <w:spacing w:val="43"/>
          <w:lang w:val="es-ES"/>
        </w:rPr>
        <w:t xml:space="preserve"> </w:t>
      </w:r>
      <w:r w:rsidRPr="00E02234">
        <w:rPr>
          <w:rFonts w:ascii="Arial" w:eastAsia="Arial" w:hAnsi="Arial" w:cs="Arial"/>
          <w:lang w:val="es-ES"/>
        </w:rPr>
        <w:t>como</w:t>
      </w:r>
      <w:r w:rsidRPr="00E02234">
        <w:rPr>
          <w:rFonts w:ascii="Arial" w:eastAsia="Arial" w:hAnsi="Arial" w:cs="Arial"/>
          <w:spacing w:val="43"/>
          <w:lang w:val="es-ES"/>
        </w:rPr>
        <w:t xml:space="preserve"> </w:t>
      </w:r>
      <w:r w:rsidRPr="00E02234">
        <w:rPr>
          <w:rFonts w:ascii="Arial" w:eastAsia="Arial" w:hAnsi="Arial" w:cs="Arial"/>
          <w:lang w:val="es-ES"/>
        </w:rPr>
        <w:t>necesaria</w:t>
      </w:r>
      <w:r w:rsidRPr="00E02234">
        <w:rPr>
          <w:rFonts w:ascii="Arial" w:eastAsia="Arial" w:hAnsi="Arial" w:cs="Arial"/>
          <w:spacing w:val="43"/>
          <w:lang w:val="es-ES"/>
        </w:rPr>
        <w:t xml:space="preserve"> </w:t>
      </w:r>
      <w:r w:rsidRPr="00E02234">
        <w:rPr>
          <w:rFonts w:ascii="Arial" w:eastAsia="Arial" w:hAnsi="Arial" w:cs="Arial"/>
          <w:lang w:val="es-ES"/>
        </w:rPr>
        <w:t>para ejercerla, siendo necesario su ejercicio para el desarrollo de las obligaciones contractuales.</w:t>
      </w:r>
    </w:p>
    <w:p w14:paraId="43ECFFA0"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lastRenderedPageBreak/>
        <w:t>De</w:t>
      </w:r>
      <w:r w:rsidRPr="00E02234">
        <w:rPr>
          <w:rFonts w:ascii="Arial" w:eastAsia="Arial" w:hAnsi="Arial" w:cs="Arial"/>
          <w:spacing w:val="-18"/>
          <w:lang w:val="es-ES"/>
        </w:rPr>
        <w:t xml:space="preserve"> </w:t>
      </w:r>
      <w:r w:rsidRPr="00E02234">
        <w:rPr>
          <w:rFonts w:ascii="Arial" w:eastAsia="Arial" w:hAnsi="Arial" w:cs="Arial"/>
          <w:lang w:val="es-ES"/>
        </w:rPr>
        <w:t>acuerdo</w:t>
      </w:r>
      <w:r w:rsidRPr="00E02234">
        <w:rPr>
          <w:rFonts w:ascii="Arial" w:eastAsia="Arial" w:hAnsi="Arial" w:cs="Arial"/>
          <w:spacing w:val="-18"/>
          <w:lang w:val="es-ES"/>
        </w:rPr>
        <w:t xml:space="preserve"> </w:t>
      </w:r>
      <w:r w:rsidRPr="00E02234">
        <w:rPr>
          <w:rFonts w:ascii="Arial" w:eastAsia="Arial" w:hAnsi="Arial" w:cs="Arial"/>
          <w:lang w:val="es-ES"/>
        </w:rPr>
        <w:t>con</w:t>
      </w:r>
      <w:r w:rsidRPr="00E02234">
        <w:rPr>
          <w:rFonts w:ascii="Arial" w:eastAsia="Arial" w:hAnsi="Arial" w:cs="Arial"/>
          <w:spacing w:val="-18"/>
          <w:lang w:val="es-ES"/>
        </w:rPr>
        <w:t xml:space="preserve"> </w:t>
      </w:r>
      <w:r w:rsidRPr="00E02234">
        <w:rPr>
          <w:rFonts w:ascii="Arial" w:eastAsia="Arial" w:hAnsi="Arial" w:cs="Arial"/>
          <w:lang w:val="es-ES"/>
        </w:rPr>
        <w:t>esto,</w:t>
      </w:r>
      <w:r w:rsidRPr="00E02234">
        <w:rPr>
          <w:rFonts w:ascii="Arial" w:eastAsia="Arial" w:hAnsi="Arial" w:cs="Arial"/>
          <w:spacing w:val="-18"/>
          <w:lang w:val="es-ES"/>
        </w:rPr>
        <w:t xml:space="preserve"> </w:t>
      </w:r>
      <w:r w:rsidRPr="00E02234">
        <w:rPr>
          <w:rFonts w:ascii="Arial" w:eastAsia="Arial" w:hAnsi="Arial" w:cs="Arial"/>
          <w:lang w:val="es-ES"/>
        </w:rPr>
        <w:t>el</w:t>
      </w:r>
      <w:r w:rsidRPr="00E02234">
        <w:rPr>
          <w:rFonts w:ascii="Arial" w:eastAsia="Arial" w:hAnsi="Arial" w:cs="Arial"/>
          <w:spacing w:val="-18"/>
          <w:lang w:val="es-ES"/>
        </w:rPr>
        <w:t xml:space="preserve"> </w:t>
      </w:r>
      <w:r w:rsidRPr="00E02234">
        <w:rPr>
          <w:rFonts w:ascii="Arial" w:eastAsia="Arial" w:hAnsi="Arial" w:cs="Arial"/>
          <w:lang w:val="es-ES"/>
        </w:rPr>
        <w:t>artículo</w:t>
      </w:r>
      <w:r w:rsidRPr="00E02234">
        <w:rPr>
          <w:rFonts w:ascii="Arial" w:eastAsia="Arial" w:hAnsi="Arial" w:cs="Arial"/>
          <w:spacing w:val="-18"/>
          <w:lang w:val="es-ES"/>
        </w:rPr>
        <w:t xml:space="preserve"> </w:t>
      </w:r>
      <w:r w:rsidRPr="00E02234">
        <w:rPr>
          <w:rFonts w:ascii="Arial" w:eastAsia="Arial" w:hAnsi="Arial" w:cs="Arial"/>
          <w:lang w:val="es-ES"/>
        </w:rPr>
        <w:t>2</w:t>
      </w:r>
      <w:r w:rsidRPr="00E02234">
        <w:rPr>
          <w:rFonts w:ascii="Arial" w:eastAsia="Arial" w:hAnsi="Arial" w:cs="Arial"/>
          <w:spacing w:val="-18"/>
          <w:lang w:val="es-ES"/>
        </w:rPr>
        <w:t xml:space="preserve"> </w:t>
      </w:r>
      <w:r w:rsidRPr="00E02234">
        <w:rPr>
          <w:rFonts w:ascii="Arial" w:eastAsia="Arial" w:hAnsi="Arial" w:cs="Arial"/>
          <w:lang w:val="es-ES"/>
        </w:rPr>
        <w:t>de</w:t>
      </w:r>
      <w:r w:rsidRPr="00E02234">
        <w:rPr>
          <w:rFonts w:ascii="Arial" w:eastAsia="Arial" w:hAnsi="Arial" w:cs="Arial"/>
          <w:spacing w:val="-18"/>
          <w:lang w:val="es-ES"/>
        </w:rPr>
        <w:t xml:space="preserve"> </w:t>
      </w:r>
      <w:r w:rsidRPr="00E02234">
        <w:rPr>
          <w:rFonts w:ascii="Arial" w:eastAsia="Arial" w:hAnsi="Arial" w:cs="Arial"/>
          <w:lang w:val="es-ES"/>
        </w:rPr>
        <w:t>la</w:t>
      </w:r>
      <w:r w:rsidRPr="00E02234">
        <w:rPr>
          <w:rFonts w:ascii="Arial" w:eastAsia="Arial" w:hAnsi="Arial" w:cs="Arial"/>
          <w:spacing w:val="-17"/>
          <w:lang w:val="es-ES"/>
        </w:rPr>
        <w:t xml:space="preserve"> </w:t>
      </w:r>
      <w:r w:rsidRPr="00E02234">
        <w:rPr>
          <w:rFonts w:ascii="Arial" w:eastAsia="Arial" w:hAnsi="Arial" w:cs="Arial"/>
          <w:lang w:val="es-ES"/>
        </w:rPr>
        <w:t>Ley</w:t>
      </w:r>
      <w:r w:rsidRPr="00E02234">
        <w:rPr>
          <w:rFonts w:ascii="Arial" w:eastAsia="Arial" w:hAnsi="Arial" w:cs="Arial"/>
          <w:spacing w:val="-18"/>
          <w:lang w:val="es-ES"/>
        </w:rPr>
        <w:t xml:space="preserve"> </w:t>
      </w:r>
      <w:r w:rsidRPr="00E02234">
        <w:rPr>
          <w:rFonts w:ascii="Arial" w:eastAsia="Arial" w:hAnsi="Arial" w:cs="Arial"/>
          <w:lang w:val="es-ES"/>
        </w:rPr>
        <w:t>842</w:t>
      </w:r>
      <w:r w:rsidRPr="00E02234">
        <w:rPr>
          <w:rFonts w:ascii="Arial" w:eastAsia="Arial" w:hAnsi="Arial" w:cs="Arial"/>
          <w:spacing w:val="-18"/>
          <w:lang w:val="es-ES"/>
        </w:rPr>
        <w:t xml:space="preserve"> </w:t>
      </w:r>
      <w:r w:rsidRPr="00E02234">
        <w:rPr>
          <w:rFonts w:ascii="Arial" w:eastAsia="Arial" w:hAnsi="Arial" w:cs="Arial"/>
          <w:lang w:val="es-ES"/>
        </w:rPr>
        <w:t>de</w:t>
      </w:r>
      <w:r w:rsidRPr="00E02234">
        <w:rPr>
          <w:rFonts w:ascii="Arial" w:eastAsia="Arial" w:hAnsi="Arial" w:cs="Arial"/>
          <w:spacing w:val="-18"/>
          <w:lang w:val="es-ES"/>
        </w:rPr>
        <w:t xml:space="preserve"> </w:t>
      </w:r>
      <w:r w:rsidRPr="00E02234">
        <w:rPr>
          <w:rFonts w:ascii="Arial" w:eastAsia="Arial" w:hAnsi="Arial" w:cs="Arial"/>
          <w:lang w:val="es-ES"/>
        </w:rPr>
        <w:t>2003</w:t>
      </w:r>
      <w:r w:rsidRPr="00E02234">
        <w:rPr>
          <w:rFonts w:ascii="Arial" w:eastAsia="Arial" w:hAnsi="Arial" w:cs="Arial"/>
          <w:spacing w:val="-18"/>
          <w:lang w:val="es-ES"/>
        </w:rPr>
        <w:t xml:space="preserve"> </w:t>
      </w:r>
      <w:r w:rsidRPr="00E02234">
        <w:rPr>
          <w:rFonts w:ascii="Arial" w:eastAsia="Arial" w:hAnsi="Arial" w:cs="Arial"/>
          <w:lang w:val="es-ES"/>
        </w:rPr>
        <w:t>identifica</w:t>
      </w:r>
      <w:r w:rsidRPr="00E02234">
        <w:rPr>
          <w:rFonts w:ascii="Arial" w:eastAsia="Arial" w:hAnsi="Arial" w:cs="Arial"/>
          <w:spacing w:val="-18"/>
          <w:lang w:val="es-ES"/>
        </w:rPr>
        <w:t xml:space="preserve"> </w:t>
      </w:r>
      <w:r w:rsidRPr="00E02234">
        <w:rPr>
          <w:rFonts w:ascii="Arial" w:eastAsia="Arial" w:hAnsi="Arial" w:cs="Arial"/>
          <w:lang w:val="es-ES"/>
        </w:rPr>
        <w:t>las</w:t>
      </w:r>
      <w:r w:rsidRPr="00E02234">
        <w:rPr>
          <w:rFonts w:ascii="Arial" w:eastAsia="Arial" w:hAnsi="Arial" w:cs="Arial"/>
          <w:spacing w:val="-18"/>
          <w:lang w:val="es-ES"/>
        </w:rPr>
        <w:t xml:space="preserve"> </w:t>
      </w:r>
      <w:r w:rsidRPr="00E02234">
        <w:rPr>
          <w:rFonts w:ascii="Arial" w:eastAsia="Arial" w:hAnsi="Arial" w:cs="Arial"/>
          <w:lang w:val="es-ES"/>
        </w:rPr>
        <w:t>actividades que se entienden como «ejercicio de la ingeniería», y en el literal a) determina: «Los estudios,</w:t>
      </w:r>
      <w:r w:rsidRPr="00E02234">
        <w:rPr>
          <w:rFonts w:ascii="Arial" w:eastAsia="Arial" w:hAnsi="Arial" w:cs="Arial"/>
          <w:spacing w:val="-17"/>
          <w:lang w:val="es-ES"/>
        </w:rPr>
        <w:t xml:space="preserve"> </w:t>
      </w:r>
      <w:r w:rsidRPr="00E02234">
        <w:rPr>
          <w:rFonts w:ascii="Arial" w:eastAsia="Arial" w:hAnsi="Arial" w:cs="Arial"/>
          <w:lang w:val="es-ES"/>
        </w:rPr>
        <w:t>la</w:t>
      </w:r>
      <w:r w:rsidRPr="00E02234">
        <w:rPr>
          <w:rFonts w:ascii="Arial" w:eastAsia="Arial" w:hAnsi="Arial" w:cs="Arial"/>
          <w:spacing w:val="-17"/>
          <w:lang w:val="es-ES"/>
        </w:rPr>
        <w:t xml:space="preserve"> </w:t>
      </w:r>
      <w:r w:rsidRPr="00E02234">
        <w:rPr>
          <w:rFonts w:ascii="Arial" w:eastAsia="Arial" w:hAnsi="Arial" w:cs="Arial"/>
          <w:lang w:val="es-ES"/>
        </w:rPr>
        <w:t>planeación,</w:t>
      </w:r>
      <w:r w:rsidRPr="00E02234">
        <w:rPr>
          <w:rFonts w:ascii="Arial" w:eastAsia="Arial" w:hAnsi="Arial" w:cs="Arial"/>
          <w:spacing w:val="-17"/>
          <w:lang w:val="es-ES"/>
        </w:rPr>
        <w:t xml:space="preserve"> </w:t>
      </w:r>
      <w:r w:rsidRPr="00E02234">
        <w:rPr>
          <w:rFonts w:ascii="Arial" w:eastAsia="Arial" w:hAnsi="Arial" w:cs="Arial"/>
          <w:lang w:val="es-ES"/>
        </w:rPr>
        <w:t>el</w:t>
      </w:r>
      <w:r w:rsidRPr="00E02234">
        <w:rPr>
          <w:rFonts w:ascii="Arial" w:eastAsia="Arial" w:hAnsi="Arial" w:cs="Arial"/>
          <w:spacing w:val="-17"/>
          <w:lang w:val="es-ES"/>
        </w:rPr>
        <w:t xml:space="preserve"> </w:t>
      </w:r>
      <w:r w:rsidRPr="00E02234">
        <w:rPr>
          <w:rFonts w:ascii="Arial" w:eastAsia="Arial" w:hAnsi="Arial" w:cs="Arial"/>
          <w:lang w:val="es-ES"/>
        </w:rPr>
        <w:t>diseño,</w:t>
      </w:r>
      <w:r w:rsidRPr="00E02234">
        <w:rPr>
          <w:rFonts w:ascii="Arial" w:eastAsia="Arial" w:hAnsi="Arial" w:cs="Arial"/>
          <w:spacing w:val="-17"/>
          <w:lang w:val="es-ES"/>
        </w:rPr>
        <w:t xml:space="preserve"> </w:t>
      </w:r>
      <w:r w:rsidRPr="00E02234">
        <w:rPr>
          <w:rFonts w:ascii="Arial" w:eastAsia="Arial" w:hAnsi="Arial" w:cs="Arial"/>
          <w:lang w:val="es-ES"/>
        </w:rPr>
        <w:t>el</w:t>
      </w:r>
      <w:r w:rsidRPr="00E02234">
        <w:rPr>
          <w:rFonts w:ascii="Arial" w:eastAsia="Arial" w:hAnsi="Arial" w:cs="Arial"/>
          <w:spacing w:val="-16"/>
          <w:lang w:val="es-ES"/>
        </w:rPr>
        <w:t xml:space="preserve"> </w:t>
      </w:r>
      <w:r w:rsidRPr="00E02234">
        <w:rPr>
          <w:rFonts w:ascii="Arial" w:eastAsia="Arial" w:hAnsi="Arial" w:cs="Arial"/>
          <w:lang w:val="es-ES"/>
        </w:rPr>
        <w:t>cálculo,</w:t>
      </w:r>
      <w:r w:rsidRPr="00E02234">
        <w:rPr>
          <w:rFonts w:ascii="Arial" w:eastAsia="Arial" w:hAnsi="Arial" w:cs="Arial"/>
          <w:spacing w:val="-18"/>
          <w:lang w:val="es-ES"/>
        </w:rPr>
        <w:t xml:space="preserve"> </w:t>
      </w:r>
      <w:r w:rsidRPr="00E02234">
        <w:rPr>
          <w:rFonts w:ascii="Arial" w:eastAsia="Arial" w:hAnsi="Arial" w:cs="Arial"/>
          <w:lang w:val="es-ES"/>
        </w:rPr>
        <w:t>la</w:t>
      </w:r>
      <w:r w:rsidRPr="00E02234">
        <w:rPr>
          <w:rFonts w:ascii="Arial" w:eastAsia="Arial" w:hAnsi="Arial" w:cs="Arial"/>
          <w:spacing w:val="-17"/>
          <w:lang w:val="es-ES"/>
        </w:rPr>
        <w:t xml:space="preserve"> </w:t>
      </w:r>
      <w:r w:rsidRPr="00E02234">
        <w:rPr>
          <w:rFonts w:ascii="Arial" w:eastAsia="Arial" w:hAnsi="Arial" w:cs="Arial"/>
          <w:lang w:val="es-ES"/>
        </w:rPr>
        <w:t>programación,</w:t>
      </w:r>
      <w:r w:rsidRPr="00E02234">
        <w:rPr>
          <w:rFonts w:ascii="Arial" w:eastAsia="Arial" w:hAnsi="Arial" w:cs="Arial"/>
          <w:spacing w:val="-17"/>
          <w:lang w:val="es-ES"/>
        </w:rPr>
        <w:t xml:space="preserve"> </w:t>
      </w:r>
      <w:r w:rsidRPr="00E02234">
        <w:rPr>
          <w:rFonts w:ascii="Arial" w:eastAsia="Arial" w:hAnsi="Arial" w:cs="Arial"/>
          <w:lang w:val="es-ES"/>
        </w:rPr>
        <w:t>la</w:t>
      </w:r>
      <w:r w:rsidRPr="00E02234">
        <w:rPr>
          <w:rFonts w:ascii="Arial" w:eastAsia="Arial" w:hAnsi="Arial" w:cs="Arial"/>
          <w:spacing w:val="-17"/>
          <w:lang w:val="es-ES"/>
        </w:rPr>
        <w:t xml:space="preserve"> </w:t>
      </w:r>
      <w:r w:rsidRPr="00E02234">
        <w:rPr>
          <w:rFonts w:ascii="Arial" w:eastAsia="Arial" w:hAnsi="Arial" w:cs="Arial"/>
          <w:lang w:val="es-ES"/>
        </w:rPr>
        <w:t>asesoría,</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8"/>
          <w:lang w:val="es-ES"/>
        </w:rPr>
        <w:t xml:space="preserve"> </w:t>
      </w:r>
      <w:r w:rsidRPr="00E02234">
        <w:rPr>
          <w:rFonts w:ascii="Arial" w:eastAsia="Arial" w:hAnsi="Arial" w:cs="Arial"/>
          <w:lang w:val="es-ES"/>
        </w:rPr>
        <w:t>consultoría, la</w:t>
      </w:r>
      <w:r w:rsidRPr="00E02234">
        <w:rPr>
          <w:rFonts w:ascii="Arial" w:eastAsia="Arial" w:hAnsi="Arial" w:cs="Arial"/>
          <w:spacing w:val="-14"/>
          <w:lang w:val="es-ES"/>
        </w:rPr>
        <w:t xml:space="preserve"> </w:t>
      </w:r>
      <w:r w:rsidRPr="00E02234">
        <w:rPr>
          <w:rFonts w:ascii="Arial" w:eastAsia="Arial" w:hAnsi="Arial" w:cs="Arial"/>
          <w:lang w:val="es-ES"/>
        </w:rPr>
        <w:t>interventoría,</w:t>
      </w:r>
      <w:r w:rsidRPr="00E02234">
        <w:rPr>
          <w:rFonts w:ascii="Arial" w:eastAsia="Arial" w:hAnsi="Arial" w:cs="Arial"/>
          <w:spacing w:val="-14"/>
          <w:lang w:val="es-ES"/>
        </w:rPr>
        <w:t xml:space="preserve"> </w:t>
      </w:r>
      <w:r w:rsidRPr="00E02234">
        <w:rPr>
          <w:rFonts w:ascii="Arial" w:eastAsia="Arial" w:hAnsi="Arial" w:cs="Arial"/>
          <w:lang w:val="es-ES"/>
        </w:rPr>
        <w:t>la</w:t>
      </w:r>
      <w:r w:rsidRPr="00E02234">
        <w:rPr>
          <w:rFonts w:ascii="Arial" w:eastAsia="Arial" w:hAnsi="Arial" w:cs="Arial"/>
          <w:spacing w:val="-13"/>
          <w:lang w:val="es-ES"/>
        </w:rPr>
        <w:t xml:space="preserve"> </w:t>
      </w:r>
      <w:r w:rsidRPr="00E02234">
        <w:rPr>
          <w:rFonts w:ascii="Arial" w:eastAsia="Arial" w:hAnsi="Arial" w:cs="Arial"/>
          <w:lang w:val="es-ES"/>
        </w:rPr>
        <w:t>construcción,</w:t>
      </w:r>
      <w:r w:rsidRPr="00E02234">
        <w:rPr>
          <w:rFonts w:ascii="Arial" w:eastAsia="Arial" w:hAnsi="Arial" w:cs="Arial"/>
          <w:spacing w:val="-14"/>
          <w:lang w:val="es-ES"/>
        </w:rPr>
        <w:t xml:space="preserve"> </w:t>
      </w:r>
      <w:r w:rsidRPr="00E02234">
        <w:rPr>
          <w:rFonts w:ascii="Arial" w:eastAsia="Arial" w:hAnsi="Arial" w:cs="Arial"/>
          <w:lang w:val="es-ES"/>
        </w:rPr>
        <w:t>el</w:t>
      </w:r>
      <w:r w:rsidRPr="00E02234">
        <w:rPr>
          <w:rFonts w:ascii="Arial" w:eastAsia="Arial" w:hAnsi="Arial" w:cs="Arial"/>
          <w:spacing w:val="-13"/>
          <w:lang w:val="es-ES"/>
        </w:rPr>
        <w:t xml:space="preserve"> </w:t>
      </w:r>
      <w:r w:rsidRPr="00E02234">
        <w:rPr>
          <w:rFonts w:ascii="Arial" w:eastAsia="Arial" w:hAnsi="Arial" w:cs="Arial"/>
          <w:lang w:val="es-ES"/>
        </w:rPr>
        <w:t>mantenimiento</w:t>
      </w:r>
      <w:r w:rsidRPr="00E02234">
        <w:rPr>
          <w:rFonts w:ascii="Arial" w:eastAsia="Arial" w:hAnsi="Arial" w:cs="Arial"/>
          <w:spacing w:val="-14"/>
          <w:lang w:val="es-ES"/>
        </w:rPr>
        <w:t xml:space="preserve"> </w:t>
      </w:r>
      <w:r w:rsidRPr="00E02234">
        <w:rPr>
          <w:rFonts w:ascii="Arial" w:eastAsia="Arial" w:hAnsi="Arial" w:cs="Arial"/>
          <w:lang w:val="es-ES"/>
        </w:rPr>
        <w:t>y</w:t>
      </w:r>
      <w:r w:rsidRPr="00E02234">
        <w:rPr>
          <w:rFonts w:ascii="Arial" w:eastAsia="Arial" w:hAnsi="Arial" w:cs="Arial"/>
          <w:spacing w:val="-14"/>
          <w:lang w:val="es-ES"/>
        </w:rPr>
        <w:t xml:space="preserve"> </w:t>
      </w:r>
      <w:r w:rsidRPr="00E02234">
        <w:rPr>
          <w:rFonts w:ascii="Arial" w:eastAsia="Arial" w:hAnsi="Arial" w:cs="Arial"/>
          <w:lang w:val="es-ES"/>
        </w:rPr>
        <w:t>la</w:t>
      </w:r>
      <w:r w:rsidRPr="00E02234">
        <w:rPr>
          <w:rFonts w:ascii="Arial" w:eastAsia="Arial" w:hAnsi="Arial" w:cs="Arial"/>
          <w:spacing w:val="-13"/>
          <w:lang w:val="es-ES"/>
        </w:rPr>
        <w:t xml:space="preserve"> </w:t>
      </w:r>
      <w:r w:rsidRPr="00E02234">
        <w:rPr>
          <w:rFonts w:ascii="Arial" w:eastAsia="Arial" w:hAnsi="Arial" w:cs="Arial"/>
          <w:lang w:val="es-ES"/>
        </w:rPr>
        <w:t>administración</w:t>
      </w:r>
      <w:r w:rsidRPr="00E02234">
        <w:rPr>
          <w:rFonts w:ascii="Arial" w:eastAsia="Arial" w:hAnsi="Arial" w:cs="Arial"/>
          <w:spacing w:val="-14"/>
          <w:lang w:val="es-ES"/>
        </w:rPr>
        <w:t xml:space="preserve"> </w:t>
      </w:r>
      <w:r w:rsidRPr="00E02234">
        <w:rPr>
          <w:rFonts w:ascii="Arial" w:eastAsia="Arial" w:hAnsi="Arial" w:cs="Arial"/>
          <w:lang w:val="es-ES"/>
        </w:rPr>
        <w:t>de</w:t>
      </w:r>
      <w:r w:rsidRPr="00E02234">
        <w:rPr>
          <w:rFonts w:ascii="Arial" w:eastAsia="Arial" w:hAnsi="Arial" w:cs="Arial"/>
          <w:spacing w:val="-13"/>
          <w:lang w:val="es-ES"/>
        </w:rPr>
        <w:t xml:space="preserve"> </w:t>
      </w:r>
      <w:r w:rsidRPr="00E02234">
        <w:rPr>
          <w:rFonts w:ascii="Arial" w:eastAsia="Arial" w:hAnsi="Arial" w:cs="Arial"/>
          <w:lang w:val="es-ES"/>
        </w:rPr>
        <w:t>construcciones de edificios y viviendas de toda índole, de puentes, presas, muelles, canales, puertos, carreteras, vías urbanas y rurales, aeropuertos, ferrocarriles, teleféricos, acueductos, alcantarillados,</w:t>
      </w:r>
      <w:r w:rsidRPr="00E02234">
        <w:rPr>
          <w:rFonts w:ascii="Arial" w:eastAsia="Arial" w:hAnsi="Arial" w:cs="Arial"/>
          <w:spacing w:val="-21"/>
          <w:lang w:val="es-ES"/>
        </w:rPr>
        <w:t xml:space="preserve"> </w:t>
      </w:r>
      <w:r w:rsidRPr="00E02234">
        <w:rPr>
          <w:rFonts w:ascii="Arial" w:eastAsia="Arial" w:hAnsi="Arial" w:cs="Arial"/>
          <w:lang w:val="es-ES"/>
        </w:rPr>
        <w:t>riesgos,</w:t>
      </w:r>
      <w:r w:rsidRPr="00E02234">
        <w:rPr>
          <w:rFonts w:ascii="Arial" w:eastAsia="Arial" w:hAnsi="Arial" w:cs="Arial"/>
          <w:spacing w:val="-20"/>
          <w:lang w:val="es-ES"/>
        </w:rPr>
        <w:t xml:space="preserve"> </w:t>
      </w:r>
      <w:r w:rsidRPr="00E02234">
        <w:rPr>
          <w:rFonts w:ascii="Arial" w:eastAsia="Arial" w:hAnsi="Arial" w:cs="Arial"/>
          <w:lang w:val="es-ES"/>
        </w:rPr>
        <w:t>drenajes</w:t>
      </w:r>
      <w:r w:rsidRPr="00E02234">
        <w:rPr>
          <w:rFonts w:ascii="Arial" w:eastAsia="Arial" w:hAnsi="Arial" w:cs="Arial"/>
          <w:spacing w:val="-20"/>
          <w:lang w:val="es-ES"/>
        </w:rPr>
        <w:t xml:space="preserve"> </w:t>
      </w:r>
      <w:r w:rsidRPr="00E02234">
        <w:rPr>
          <w:rFonts w:ascii="Arial" w:eastAsia="Arial" w:hAnsi="Arial" w:cs="Arial"/>
          <w:lang w:val="es-ES"/>
        </w:rPr>
        <w:t>y</w:t>
      </w:r>
      <w:r w:rsidRPr="00E02234">
        <w:rPr>
          <w:rFonts w:ascii="Arial" w:eastAsia="Arial" w:hAnsi="Arial" w:cs="Arial"/>
          <w:spacing w:val="-21"/>
          <w:lang w:val="es-ES"/>
        </w:rPr>
        <w:t xml:space="preserve"> </w:t>
      </w:r>
      <w:r w:rsidRPr="00E02234">
        <w:rPr>
          <w:rFonts w:ascii="Arial" w:eastAsia="Arial" w:hAnsi="Arial" w:cs="Arial"/>
          <w:lang w:val="es-ES"/>
        </w:rPr>
        <w:t>pavimentos;</w:t>
      </w:r>
      <w:r w:rsidRPr="00E02234">
        <w:rPr>
          <w:rFonts w:ascii="Arial" w:eastAsia="Arial" w:hAnsi="Arial" w:cs="Arial"/>
          <w:spacing w:val="-20"/>
          <w:lang w:val="es-ES"/>
        </w:rPr>
        <w:t xml:space="preserve"> </w:t>
      </w:r>
      <w:r w:rsidRPr="00E02234">
        <w:rPr>
          <w:rFonts w:ascii="Arial" w:eastAsia="Arial" w:hAnsi="Arial" w:cs="Arial"/>
          <w:lang w:val="es-ES"/>
        </w:rPr>
        <w:t>oleoductos,</w:t>
      </w:r>
      <w:r w:rsidRPr="00E02234">
        <w:rPr>
          <w:rFonts w:ascii="Arial" w:eastAsia="Arial" w:hAnsi="Arial" w:cs="Arial"/>
          <w:spacing w:val="-20"/>
          <w:lang w:val="es-ES"/>
        </w:rPr>
        <w:t xml:space="preserve"> </w:t>
      </w:r>
      <w:r w:rsidRPr="00E02234">
        <w:rPr>
          <w:rFonts w:ascii="Arial" w:eastAsia="Arial" w:hAnsi="Arial" w:cs="Arial"/>
          <w:lang w:val="es-ES"/>
        </w:rPr>
        <w:t>gasoductos,</w:t>
      </w:r>
      <w:r w:rsidRPr="00E02234">
        <w:rPr>
          <w:rFonts w:ascii="Arial" w:eastAsia="Arial" w:hAnsi="Arial" w:cs="Arial"/>
          <w:spacing w:val="-21"/>
          <w:lang w:val="es-ES"/>
        </w:rPr>
        <w:t xml:space="preserve"> </w:t>
      </w:r>
      <w:r w:rsidRPr="00E02234">
        <w:rPr>
          <w:rFonts w:ascii="Arial" w:eastAsia="Arial" w:hAnsi="Arial" w:cs="Arial"/>
          <w:lang w:val="es-ES"/>
        </w:rPr>
        <w:t>poliductos</w:t>
      </w:r>
      <w:r w:rsidRPr="00E02234">
        <w:rPr>
          <w:rFonts w:ascii="Arial" w:eastAsia="Arial" w:hAnsi="Arial" w:cs="Arial"/>
          <w:spacing w:val="-20"/>
          <w:lang w:val="es-ES"/>
        </w:rPr>
        <w:t xml:space="preserve"> </w:t>
      </w:r>
      <w:r w:rsidRPr="00E02234">
        <w:rPr>
          <w:rFonts w:ascii="Arial" w:eastAsia="Arial" w:hAnsi="Arial" w:cs="Arial"/>
          <w:lang w:val="es-ES"/>
        </w:rPr>
        <w:t>y</w:t>
      </w:r>
      <w:r w:rsidRPr="00E02234">
        <w:rPr>
          <w:rFonts w:ascii="Arial" w:eastAsia="Arial" w:hAnsi="Arial" w:cs="Arial"/>
          <w:spacing w:val="-20"/>
          <w:lang w:val="es-ES"/>
        </w:rPr>
        <w:t xml:space="preserve"> </w:t>
      </w:r>
      <w:r w:rsidRPr="00E02234">
        <w:rPr>
          <w:rFonts w:ascii="Arial" w:eastAsia="Arial" w:hAnsi="Arial" w:cs="Arial"/>
          <w:lang w:val="es-ES"/>
        </w:rPr>
        <w:t>en general líneas de conducción y transporte de hidrocarburos; líneas de transmisión eléctrica y en general todas aquellas obras de infraestructura para el servicio de la comunidad».</w:t>
      </w:r>
    </w:p>
    <w:p w14:paraId="76176979"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Adicionalmente, la Ley 842 de 2003, en su artículo 20, dispone que las propuestas</w:t>
      </w:r>
      <w:r w:rsidRPr="00E02234">
        <w:rPr>
          <w:rFonts w:ascii="Arial" w:eastAsia="Arial" w:hAnsi="Arial" w:cs="Arial"/>
          <w:spacing w:val="-16"/>
          <w:lang w:val="es-ES"/>
        </w:rPr>
        <w:t xml:space="preserve"> </w:t>
      </w:r>
      <w:r w:rsidRPr="00E02234">
        <w:rPr>
          <w:rFonts w:ascii="Arial" w:eastAsia="Arial" w:hAnsi="Arial" w:cs="Arial"/>
          <w:lang w:val="es-ES"/>
        </w:rPr>
        <w:t>en</w:t>
      </w:r>
      <w:r w:rsidRPr="00E02234">
        <w:rPr>
          <w:rFonts w:ascii="Arial" w:eastAsia="Arial" w:hAnsi="Arial" w:cs="Arial"/>
          <w:spacing w:val="-15"/>
          <w:lang w:val="es-ES"/>
        </w:rPr>
        <w:t xml:space="preserve"> </w:t>
      </w:r>
      <w:r w:rsidRPr="00E02234">
        <w:rPr>
          <w:rFonts w:ascii="Arial" w:eastAsia="Arial" w:hAnsi="Arial" w:cs="Arial"/>
          <w:lang w:val="es-ES"/>
        </w:rPr>
        <w:t>las</w:t>
      </w:r>
      <w:r w:rsidRPr="00E02234">
        <w:rPr>
          <w:rFonts w:ascii="Arial" w:eastAsia="Arial" w:hAnsi="Arial" w:cs="Arial"/>
          <w:spacing w:val="-15"/>
          <w:lang w:val="es-ES"/>
        </w:rPr>
        <w:t xml:space="preserve"> </w:t>
      </w:r>
      <w:r w:rsidRPr="00E02234">
        <w:rPr>
          <w:rFonts w:ascii="Arial" w:eastAsia="Arial" w:hAnsi="Arial" w:cs="Arial"/>
          <w:lang w:val="es-ES"/>
        </w:rPr>
        <w:t>licitaciones</w:t>
      </w:r>
      <w:r w:rsidRPr="00E02234">
        <w:rPr>
          <w:rFonts w:ascii="Arial" w:eastAsia="Arial" w:hAnsi="Arial" w:cs="Arial"/>
          <w:spacing w:val="-15"/>
          <w:lang w:val="es-ES"/>
        </w:rPr>
        <w:t xml:space="preserve"> </w:t>
      </w:r>
      <w:r w:rsidRPr="00E02234">
        <w:rPr>
          <w:rFonts w:ascii="Arial" w:eastAsia="Arial" w:hAnsi="Arial" w:cs="Arial"/>
          <w:lang w:val="es-ES"/>
        </w:rPr>
        <w:t>y</w:t>
      </w:r>
      <w:r w:rsidRPr="00E02234">
        <w:rPr>
          <w:rFonts w:ascii="Arial" w:eastAsia="Arial" w:hAnsi="Arial" w:cs="Arial"/>
          <w:spacing w:val="-15"/>
          <w:lang w:val="es-ES"/>
        </w:rPr>
        <w:t xml:space="preserve"> </w:t>
      </w:r>
      <w:r w:rsidRPr="00E02234">
        <w:rPr>
          <w:rFonts w:ascii="Arial" w:eastAsia="Arial" w:hAnsi="Arial" w:cs="Arial"/>
          <w:lang w:val="es-ES"/>
        </w:rPr>
        <w:t>concursos</w:t>
      </w:r>
      <w:r w:rsidRPr="00E02234">
        <w:rPr>
          <w:rFonts w:ascii="Arial" w:eastAsia="Arial" w:hAnsi="Arial" w:cs="Arial"/>
          <w:spacing w:val="-15"/>
          <w:lang w:val="es-ES"/>
        </w:rPr>
        <w:t xml:space="preserve"> </w:t>
      </w:r>
      <w:r w:rsidRPr="00E02234">
        <w:rPr>
          <w:rFonts w:ascii="Arial" w:eastAsia="Arial" w:hAnsi="Arial" w:cs="Arial"/>
          <w:lang w:val="es-ES"/>
        </w:rPr>
        <w:t>abiertos</w:t>
      </w:r>
      <w:r w:rsidRPr="00E02234">
        <w:rPr>
          <w:rFonts w:ascii="Arial" w:eastAsia="Arial" w:hAnsi="Arial" w:cs="Arial"/>
          <w:spacing w:val="-15"/>
          <w:lang w:val="es-ES"/>
        </w:rPr>
        <w:t xml:space="preserve"> </w:t>
      </w:r>
      <w:r w:rsidRPr="00E02234">
        <w:rPr>
          <w:rFonts w:ascii="Arial" w:eastAsia="Arial" w:hAnsi="Arial" w:cs="Arial"/>
          <w:lang w:val="es-ES"/>
        </w:rPr>
        <w:t>cuyo</w:t>
      </w:r>
      <w:r w:rsidRPr="00E02234">
        <w:rPr>
          <w:rFonts w:ascii="Arial" w:eastAsia="Arial" w:hAnsi="Arial" w:cs="Arial"/>
          <w:spacing w:val="-15"/>
          <w:lang w:val="es-ES"/>
        </w:rPr>
        <w:t xml:space="preserve"> </w:t>
      </w:r>
      <w:r w:rsidRPr="00E02234">
        <w:rPr>
          <w:rFonts w:ascii="Arial" w:eastAsia="Arial" w:hAnsi="Arial" w:cs="Arial"/>
          <w:lang w:val="es-ES"/>
        </w:rPr>
        <w:t>objeto</w:t>
      </w:r>
      <w:r w:rsidRPr="00E02234">
        <w:rPr>
          <w:rFonts w:ascii="Arial" w:eastAsia="Arial" w:hAnsi="Arial" w:cs="Arial"/>
          <w:spacing w:val="-15"/>
          <w:lang w:val="es-ES"/>
        </w:rPr>
        <w:t xml:space="preserve"> </w:t>
      </w:r>
      <w:r w:rsidRPr="00E02234">
        <w:rPr>
          <w:rFonts w:ascii="Arial" w:eastAsia="Arial" w:hAnsi="Arial" w:cs="Arial"/>
          <w:lang w:val="es-ES"/>
        </w:rPr>
        <w:t>implique</w:t>
      </w:r>
      <w:r w:rsidRPr="00E02234">
        <w:rPr>
          <w:rFonts w:ascii="Arial" w:eastAsia="Arial" w:hAnsi="Arial" w:cs="Arial"/>
          <w:spacing w:val="-16"/>
          <w:lang w:val="es-ES"/>
        </w:rPr>
        <w:t xml:space="preserve"> </w:t>
      </w:r>
      <w:r w:rsidRPr="00E02234">
        <w:rPr>
          <w:rFonts w:ascii="Arial" w:eastAsia="Arial" w:hAnsi="Arial" w:cs="Arial"/>
          <w:lang w:val="es-ES"/>
        </w:rPr>
        <w:t>el</w:t>
      </w:r>
      <w:r w:rsidRPr="00E02234">
        <w:rPr>
          <w:rFonts w:ascii="Arial" w:eastAsia="Arial" w:hAnsi="Arial" w:cs="Arial"/>
          <w:spacing w:val="-15"/>
          <w:lang w:val="es-ES"/>
        </w:rPr>
        <w:t xml:space="preserve"> </w:t>
      </w:r>
      <w:r w:rsidRPr="00E02234">
        <w:rPr>
          <w:rFonts w:ascii="Arial" w:eastAsia="Arial" w:hAnsi="Arial" w:cs="Arial"/>
          <w:lang w:val="es-ES"/>
        </w:rPr>
        <w:t>desarrollo</w:t>
      </w:r>
      <w:r w:rsidRPr="00E02234">
        <w:rPr>
          <w:rFonts w:ascii="Arial" w:eastAsia="Arial" w:hAnsi="Arial" w:cs="Arial"/>
          <w:spacing w:val="-15"/>
          <w:lang w:val="es-ES"/>
        </w:rPr>
        <w:t xml:space="preserve"> </w:t>
      </w:r>
      <w:r w:rsidRPr="00E02234">
        <w:rPr>
          <w:rFonts w:ascii="Arial" w:eastAsia="Arial" w:hAnsi="Arial" w:cs="Arial"/>
          <w:lang w:val="es-ES"/>
        </w:rPr>
        <w:t>de las</w:t>
      </w:r>
      <w:r w:rsidRPr="00E02234">
        <w:rPr>
          <w:rFonts w:ascii="Arial" w:eastAsia="Arial" w:hAnsi="Arial" w:cs="Arial"/>
          <w:spacing w:val="-12"/>
          <w:lang w:val="es-ES"/>
        </w:rPr>
        <w:t xml:space="preserve"> </w:t>
      </w:r>
      <w:r w:rsidRPr="00E02234">
        <w:rPr>
          <w:rFonts w:ascii="Arial" w:eastAsia="Arial" w:hAnsi="Arial" w:cs="Arial"/>
          <w:lang w:val="es-ES"/>
        </w:rPr>
        <w:t>actividades</w:t>
      </w:r>
      <w:r w:rsidRPr="00E02234">
        <w:rPr>
          <w:rFonts w:ascii="Arial" w:eastAsia="Arial" w:hAnsi="Arial" w:cs="Arial"/>
          <w:spacing w:val="-11"/>
          <w:lang w:val="es-ES"/>
        </w:rPr>
        <w:t xml:space="preserve"> </w:t>
      </w:r>
      <w:r w:rsidRPr="00E02234">
        <w:rPr>
          <w:rFonts w:ascii="Arial" w:eastAsia="Arial" w:hAnsi="Arial" w:cs="Arial"/>
          <w:lang w:val="es-ES"/>
        </w:rPr>
        <w:t>catalogadas</w:t>
      </w:r>
      <w:r w:rsidRPr="00E02234">
        <w:rPr>
          <w:rFonts w:ascii="Arial" w:eastAsia="Arial" w:hAnsi="Arial" w:cs="Arial"/>
          <w:spacing w:val="-11"/>
          <w:lang w:val="es-ES"/>
        </w:rPr>
        <w:t xml:space="preserve"> </w:t>
      </w:r>
      <w:r w:rsidRPr="00E02234">
        <w:rPr>
          <w:rFonts w:ascii="Arial" w:eastAsia="Arial" w:hAnsi="Arial" w:cs="Arial"/>
          <w:lang w:val="es-ES"/>
        </w:rPr>
        <w:t>como</w:t>
      </w:r>
      <w:r w:rsidRPr="00E02234">
        <w:rPr>
          <w:rFonts w:ascii="Arial" w:eastAsia="Arial" w:hAnsi="Arial" w:cs="Arial"/>
          <w:spacing w:val="-12"/>
          <w:lang w:val="es-ES"/>
        </w:rPr>
        <w:t xml:space="preserve"> </w:t>
      </w:r>
      <w:r w:rsidRPr="00E02234">
        <w:rPr>
          <w:rFonts w:ascii="Arial" w:eastAsia="Arial" w:hAnsi="Arial" w:cs="Arial"/>
          <w:lang w:val="es-ES"/>
        </w:rPr>
        <w:t>ejercicio</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2"/>
          <w:lang w:val="es-ES"/>
        </w:rPr>
        <w:t xml:space="preserve"> </w:t>
      </w:r>
      <w:r w:rsidRPr="00E02234">
        <w:rPr>
          <w:rFonts w:ascii="Arial" w:eastAsia="Arial" w:hAnsi="Arial" w:cs="Arial"/>
          <w:lang w:val="es-ES"/>
        </w:rPr>
        <w:t>ingeniería,</w:t>
      </w:r>
      <w:r w:rsidRPr="00E02234">
        <w:rPr>
          <w:rFonts w:ascii="Arial" w:eastAsia="Arial" w:hAnsi="Arial" w:cs="Arial"/>
          <w:spacing w:val="-11"/>
          <w:lang w:val="es-ES"/>
        </w:rPr>
        <w:t xml:space="preserve"> </w:t>
      </w:r>
      <w:r w:rsidRPr="00E02234">
        <w:rPr>
          <w:rFonts w:ascii="Arial" w:eastAsia="Arial" w:hAnsi="Arial" w:cs="Arial"/>
          <w:lang w:val="es-ES"/>
        </w:rPr>
        <w:t>deberán</w:t>
      </w:r>
      <w:r w:rsidRPr="00E02234">
        <w:rPr>
          <w:rFonts w:ascii="Arial" w:eastAsia="Arial" w:hAnsi="Arial" w:cs="Arial"/>
          <w:spacing w:val="-11"/>
          <w:lang w:val="es-ES"/>
        </w:rPr>
        <w:t xml:space="preserve"> </w:t>
      </w:r>
      <w:r w:rsidRPr="00E02234">
        <w:rPr>
          <w:rFonts w:ascii="Arial" w:eastAsia="Arial" w:hAnsi="Arial" w:cs="Arial"/>
          <w:lang w:val="es-ES"/>
        </w:rPr>
        <w:t>estar</w:t>
      </w:r>
      <w:r w:rsidRPr="00E02234">
        <w:rPr>
          <w:rFonts w:ascii="Arial" w:eastAsia="Arial" w:hAnsi="Arial" w:cs="Arial"/>
          <w:spacing w:val="-11"/>
          <w:lang w:val="es-ES"/>
        </w:rPr>
        <w:t xml:space="preserve"> </w:t>
      </w:r>
      <w:r w:rsidRPr="00E02234">
        <w:rPr>
          <w:rFonts w:ascii="Arial" w:eastAsia="Arial" w:hAnsi="Arial" w:cs="Arial"/>
          <w:lang w:val="es-ES"/>
        </w:rPr>
        <w:t>avalados</w:t>
      </w:r>
      <w:r w:rsidRPr="00E02234">
        <w:rPr>
          <w:rFonts w:ascii="Arial" w:eastAsia="Arial" w:hAnsi="Arial" w:cs="Arial"/>
          <w:spacing w:val="-12"/>
          <w:lang w:val="es-ES"/>
        </w:rPr>
        <w:t xml:space="preserve"> </w:t>
      </w:r>
      <w:r w:rsidRPr="00E02234">
        <w:rPr>
          <w:rFonts w:ascii="Arial" w:eastAsia="Arial" w:hAnsi="Arial" w:cs="Arial"/>
          <w:lang w:val="es-ES"/>
        </w:rPr>
        <w:t>por un ingeniero inscrito y con tarjeta de matrícula profesional en la respectiva rama de la ingeniería,</w:t>
      </w:r>
      <w:r w:rsidRPr="00E02234">
        <w:rPr>
          <w:rFonts w:ascii="Arial" w:eastAsia="Arial" w:hAnsi="Arial" w:cs="Arial"/>
          <w:spacing w:val="-2"/>
          <w:lang w:val="es-ES"/>
        </w:rPr>
        <w:t xml:space="preserve"> </w:t>
      </w:r>
      <w:r w:rsidRPr="00E02234">
        <w:rPr>
          <w:rFonts w:ascii="Arial" w:eastAsia="Arial" w:hAnsi="Arial" w:cs="Arial"/>
          <w:lang w:val="es-ES"/>
        </w:rPr>
        <w:t>así:</w:t>
      </w:r>
    </w:p>
    <w:p w14:paraId="7B364AAD" w14:textId="4908E061" w:rsidR="00FE2F29" w:rsidRPr="000E71D9" w:rsidRDefault="00255A49"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255A49">
        <w:rPr>
          <w:rFonts w:ascii="Arial" w:hAnsi="Arial" w:cs="Arial"/>
          <w:sz w:val="21"/>
          <w:szCs w:val="21"/>
        </w:rPr>
        <w:t>«</w:t>
      </w:r>
      <w:r w:rsidR="00FE2F29" w:rsidRPr="000E71D9">
        <w:rPr>
          <w:rFonts w:ascii="Arial" w:eastAsia="Arial" w:hAnsi="Arial" w:cs="Arial"/>
          <w:sz w:val="21"/>
          <w:szCs w:val="21"/>
          <w:lang w:val="es-ES"/>
        </w:rPr>
        <w:t>Artículo 20. Propuestas y contratos.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6CDBDBA3" w14:textId="77777777" w:rsidR="00FE2F29" w:rsidRPr="000E71D9" w:rsidRDefault="00FE2F29"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Arial" w:hAnsi="Arial" w:cs="Arial"/>
          <w:sz w:val="21"/>
          <w:szCs w:val="21"/>
          <w:lang w:val="es-ES"/>
        </w:rPr>
        <w:t>En los contratos que se celebren como resultado de la licitación o del concurso,</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los</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contratistas</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tendrán</w:t>
      </w:r>
      <w:r w:rsidRPr="000E71D9">
        <w:rPr>
          <w:rFonts w:ascii="Arial" w:eastAsia="Arial" w:hAnsi="Arial" w:cs="Arial"/>
          <w:spacing w:val="-6"/>
          <w:sz w:val="21"/>
          <w:szCs w:val="21"/>
          <w:lang w:val="es-ES"/>
        </w:rPr>
        <w:t xml:space="preserve"> </w:t>
      </w:r>
      <w:r w:rsidRPr="000E71D9">
        <w:rPr>
          <w:rFonts w:ascii="Arial" w:eastAsia="Arial" w:hAnsi="Arial" w:cs="Arial"/>
          <w:sz w:val="21"/>
          <w:szCs w:val="21"/>
          <w:lang w:val="es-ES"/>
        </w:rPr>
        <w:t>la</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obligación</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encomendar</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los</w:t>
      </w:r>
      <w:r w:rsidRPr="000E71D9">
        <w:rPr>
          <w:rFonts w:ascii="Arial" w:eastAsia="Arial" w:hAnsi="Arial" w:cs="Arial"/>
          <w:spacing w:val="-7"/>
          <w:sz w:val="21"/>
          <w:szCs w:val="21"/>
          <w:lang w:val="es-ES"/>
        </w:rPr>
        <w:t xml:space="preserve"> </w:t>
      </w:r>
      <w:r w:rsidRPr="000E71D9">
        <w:rPr>
          <w:rFonts w:ascii="Arial" w:eastAsia="Arial" w:hAnsi="Arial" w:cs="Arial"/>
          <w:sz w:val="21"/>
          <w:szCs w:val="21"/>
          <w:lang w:val="es-ES"/>
        </w:rPr>
        <w:t>estudios, la dirección técnica, la ejecución de los trabajos o la interventoría, a profesionales inscritos en el registro profesional de ingeniería, acreditados con</w:t>
      </w:r>
      <w:r w:rsidRPr="000E71D9">
        <w:rPr>
          <w:rFonts w:ascii="Arial" w:eastAsia="Arial" w:hAnsi="Arial" w:cs="Arial"/>
          <w:spacing w:val="-18"/>
          <w:sz w:val="21"/>
          <w:szCs w:val="21"/>
          <w:lang w:val="es-ES"/>
        </w:rPr>
        <w:t xml:space="preserve"> </w:t>
      </w:r>
      <w:r w:rsidRPr="000E71D9">
        <w:rPr>
          <w:rFonts w:ascii="Arial" w:eastAsia="Arial" w:hAnsi="Arial" w:cs="Arial"/>
          <w:sz w:val="21"/>
          <w:szCs w:val="21"/>
          <w:lang w:val="es-ES"/>
        </w:rPr>
        <w:t>la</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tarjeta</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matrícula</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profesional</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o,</w:t>
      </w:r>
      <w:r w:rsidRPr="000E71D9">
        <w:rPr>
          <w:rFonts w:ascii="Arial" w:eastAsia="Arial" w:hAnsi="Arial" w:cs="Arial"/>
          <w:spacing w:val="-18"/>
          <w:sz w:val="21"/>
          <w:szCs w:val="21"/>
          <w:lang w:val="es-ES"/>
        </w:rPr>
        <w:t xml:space="preserve"> </w:t>
      </w:r>
      <w:r w:rsidRPr="000E71D9">
        <w:rPr>
          <w:rFonts w:ascii="Arial" w:eastAsia="Arial" w:hAnsi="Arial" w:cs="Arial"/>
          <w:sz w:val="21"/>
          <w:szCs w:val="21"/>
          <w:lang w:val="es-ES"/>
        </w:rPr>
        <w:t>excepcionalmente,</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con</w:t>
      </w:r>
      <w:r w:rsidRPr="000E71D9">
        <w:rPr>
          <w:rFonts w:ascii="Arial" w:eastAsia="Arial" w:hAnsi="Arial" w:cs="Arial"/>
          <w:spacing w:val="-17"/>
          <w:sz w:val="21"/>
          <w:szCs w:val="21"/>
          <w:lang w:val="es-ES"/>
        </w:rPr>
        <w:t xml:space="preserve"> </w:t>
      </w:r>
      <w:r w:rsidRPr="000E71D9">
        <w:rPr>
          <w:rFonts w:ascii="Arial" w:eastAsia="Arial" w:hAnsi="Arial" w:cs="Arial"/>
          <w:sz w:val="21"/>
          <w:szCs w:val="21"/>
          <w:lang w:val="es-ES"/>
        </w:rPr>
        <w:t>la</w:t>
      </w:r>
      <w:r w:rsidRPr="000E71D9">
        <w:rPr>
          <w:rFonts w:ascii="Arial" w:eastAsia="Arial" w:hAnsi="Arial" w:cs="Arial"/>
          <w:spacing w:val="-18"/>
          <w:sz w:val="21"/>
          <w:szCs w:val="21"/>
          <w:lang w:val="es-ES"/>
        </w:rPr>
        <w:t xml:space="preserve"> </w:t>
      </w:r>
      <w:r w:rsidRPr="000E71D9">
        <w:rPr>
          <w:rFonts w:ascii="Arial" w:eastAsia="Arial" w:hAnsi="Arial" w:cs="Arial"/>
          <w:sz w:val="21"/>
          <w:szCs w:val="21"/>
          <w:lang w:val="es-ES"/>
        </w:rPr>
        <w:t>constancia o certificado de su</w:t>
      </w:r>
      <w:r w:rsidRPr="000E71D9">
        <w:rPr>
          <w:rFonts w:ascii="Arial" w:eastAsia="Arial" w:hAnsi="Arial" w:cs="Arial"/>
          <w:spacing w:val="-30"/>
          <w:sz w:val="21"/>
          <w:szCs w:val="21"/>
          <w:lang w:val="es-ES"/>
        </w:rPr>
        <w:t xml:space="preserve"> </w:t>
      </w:r>
      <w:r w:rsidRPr="000E71D9">
        <w:rPr>
          <w:rFonts w:ascii="Arial" w:eastAsia="Arial" w:hAnsi="Arial" w:cs="Arial"/>
          <w:sz w:val="21"/>
          <w:szCs w:val="21"/>
          <w:lang w:val="es-ES"/>
        </w:rPr>
        <w:t>vigencia.</w:t>
      </w:r>
    </w:p>
    <w:p w14:paraId="4985E1BE" w14:textId="32ECF19C" w:rsidR="00FE2F29" w:rsidRPr="000E71D9" w:rsidRDefault="00FE2F29"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Arial" w:hAnsi="Arial" w:cs="Arial"/>
          <w:sz w:val="21"/>
          <w:szCs w:val="21"/>
          <w:lang w:val="es-ES"/>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r w:rsidR="00255A49" w:rsidRPr="000E71D9">
        <w:rPr>
          <w:rFonts w:ascii="Arial" w:hAnsi="Arial" w:cs="Arial"/>
          <w:sz w:val="21"/>
          <w:szCs w:val="21"/>
        </w:rPr>
        <w:t>»</w:t>
      </w:r>
    </w:p>
    <w:p w14:paraId="303214A9"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La anterior disposición, fue objeto de revisión por parte de la Corte Constitucional</w:t>
      </w:r>
      <w:r w:rsidRPr="00E02234">
        <w:rPr>
          <w:rFonts w:ascii="Arial" w:eastAsia="Arial" w:hAnsi="Arial" w:cs="Arial"/>
          <w:spacing w:val="-9"/>
          <w:lang w:val="es-ES"/>
        </w:rPr>
        <w:t xml:space="preserve"> </w:t>
      </w:r>
      <w:r w:rsidRPr="00E02234">
        <w:rPr>
          <w:rFonts w:ascii="Arial" w:eastAsia="Arial" w:hAnsi="Arial" w:cs="Arial"/>
          <w:lang w:val="es-ES"/>
        </w:rPr>
        <w:t>en</w:t>
      </w:r>
      <w:r w:rsidRPr="00E02234">
        <w:rPr>
          <w:rFonts w:ascii="Arial" w:eastAsia="Arial" w:hAnsi="Arial" w:cs="Arial"/>
          <w:spacing w:val="-8"/>
          <w:lang w:val="es-ES"/>
        </w:rPr>
        <w:t xml:space="preserve"> </w:t>
      </w:r>
      <w:r w:rsidRPr="00E02234">
        <w:rPr>
          <w:rFonts w:ascii="Arial" w:eastAsia="Arial" w:hAnsi="Arial" w:cs="Arial"/>
          <w:lang w:val="es-ES"/>
        </w:rPr>
        <w:t>la</w:t>
      </w:r>
      <w:r w:rsidRPr="00E02234">
        <w:rPr>
          <w:rFonts w:ascii="Arial" w:eastAsia="Arial" w:hAnsi="Arial" w:cs="Arial"/>
          <w:spacing w:val="-8"/>
          <w:lang w:val="es-ES"/>
        </w:rPr>
        <w:t xml:space="preserve"> </w:t>
      </w:r>
      <w:r w:rsidRPr="00E02234">
        <w:rPr>
          <w:rFonts w:ascii="Arial" w:eastAsia="Arial" w:hAnsi="Arial" w:cs="Arial"/>
          <w:lang w:val="es-ES"/>
        </w:rPr>
        <w:t>sentencia</w:t>
      </w:r>
      <w:r w:rsidRPr="00E02234">
        <w:rPr>
          <w:rFonts w:ascii="Arial" w:eastAsia="Arial" w:hAnsi="Arial" w:cs="Arial"/>
          <w:spacing w:val="-8"/>
          <w:lang w:val="es-ES"/>
        </w:rPr>
        <w:t xml:space="preserve"> </w:t>
      </w:r>
      <w:r w:rsidRPr="00E02234">
        <w:rPr>
          <w:rFonts w:ascii="Arial" w:eastAsia="Arial" w:hAnsi="Arial" w:cs="Arial"/>
          <w:lang w:val="es-ES"/>
        </w:rPr>
        <w:t>C-191</w:t>
      </w:r>
      <w:r w:rsidRPr="00E02234">
        <w:rPr>
          <w:rFonts w:ascii="Arial" w:eastAsia="Arial" w:hAnsi="Arial" w:cs="Arial"/>
          <w:spacing w:val="-8"/>
          <w:lang w:val="es-ES"/>
        </w:rPr>
        <w:t xml:space="preserve"> </w:t>
      </w:r>
      <w:r w:rsidRPr="00E02234">
        <w:rPr>
          <w:rFonts w:ascii="Arial" w:eastAsia="Arial" w:hAnsi="Arial" w:cs="Arial"/>
          <w:lang w:val="es-ES"/>
        </w:rPr>
        <w:t>de</w:t>
      </w:r>
      <w:r w:rsidRPr="00E02234">
        <w:rPr>
          <w:rFonts w:ascii="Arial" w:eastAsia="Arial" w:hAnsi="Arial" w:cs="Arial"/>
          <w:spacing w:val="-8"/>
          <w:lang w:val="es-ES"/>
        </w:rPr>
        <w:t xml:space="preserve"> </w:t>
      </w:r>
      <w:r w:rsidRPr="00E02234">
        <w:rPr>
          <w:rFonts w:ascii="Arial" w:eastAsia="Arial" w:hAnsi="Arial" w:cs="Arial"/>
          <w:lang w:val="es-ES"/>
        </w:rPr>
        <w:t>2005,</w:t>
      </w:r>
      <w:r w:rsidRPr="00E02234">
        <w:rPr>
          <w:rFonts w:ascii="Arial" w:eastAsia="Arial" w:hAnsi="Arial" w:cs="Arial"/>
          <w:spacing w:val="-8"/>
          <w:lang w:val="es-ES"/>
        </w:rPr>
        <w:t xml:space="preserve"> </w:t>
      </w:r>
      <w:r w:rsidRPr="00E02234">
        <w:rPr>
          <w:rFonts w:ascii="Arial" w:eastAsia="Arial" w:hAnsi="Arial" w:cs="Arial"/>
          <w:lang w:val="es-ES"/>
        </w:rPr>
        <w:t>al</w:t>
      </w:r>
      <w:r w:rsidRPr="00E02234">
        <w:rPr>
          <w:rFonts w:ascii="Arial" w:eastAsia="Arial" w:hAnsi="Arial" w:cs="Arial"/>
          <w:spacing w:val="-8"/>
          <w:lang w:val="es-ES"/>
        </w:rPr>
        <w:t xml:space="preserve"> </w:t>
      </w:r>
      <w:r w:rsidRPr="00E02234">
        <w:rPr>
          <w:rFonts w:ascii="Arial" w:eastAsia="Arial" w:hAnsi="Arial" w:cs="Arial"/>
          <w:lang w:val="es-ES"/>
        </w:rPr>
        <w:t>ser</w:t>
      </w:r>
      <w:r w:rsidRPr="00E02234">
        <w:rPr>
          <w:rFonts w:ascii="Arial" w:eastAsia="Arial" w:hAnsi="Arial" w:cs="Arial"/>
          <w:spacing w:val="-8"/>
          <w:lang w:val="es-ES"/>
        </w:rPr>
        <w:t xml:space="preserve"> </w:t>
      </w:r>
      <w:r w:rsidRPr="00E02234">
        <w:rPr>
          <w:rFonts w:ascii="Arial" w:eastAsia="Arial" w:hAnsi="Arial" w:cs="Arial"/>
          <w:lang w:val="es-ES"/>
        </w:rPr>
        <w:t>demandada</w:t>
      </w:r>
      <w:r w:rsidRPr="00E02234">
        <w:rPr>
          <w:rFonts w:ascii="Arial" w:eastAsia="Arial" w:hAnsi="Arial" w:cs="Arial"/>
          <w:spacing w:val="-8"/>
          <w:lang w:val="es-ES"/>
        </w:rPr>
        <w:t xml:space="preserve"> </w:t>
      </w:r>
      <w:r w:rsidRPr="00E02234">
        <w:rPr>
          <w:rFonts w:ascii="Arial" w:eastAsia="Arial" w:hAnsi="Arial" w:cs="Arial"/>
          <w:lang w:val="es-ES"/>
        </w:rPr>
        <w:t>por</w:t>
      </w:r>
      <w:r w:rsidRPr="00E02234">
        <w:rPr>
          <w:rFonts w:ascii="Arial" w:eastAsia="Arial" w:hAnsi="Arial" w:cs="Arial"/>
          <w:spacing w:val="-8"/>
          <w:lang w:val="es-ES"/>
        </w:rPr>
        <w:t xml:space="preserve"> </w:t>
      </w:r>
      <w:r w:rsidRPr="00E02234">
        <w:rPr>
          <w:rFonts w:ascii="Arial" w:eastAsia="Arial" w:hAnsi="Arial" w:cs="Arial"/>
          <w:lang w:val="es-ES"/>
        </w:rPr>
        <w:t>considerarse</w:t>
      </w:r>
      <w:r w:rsidRPr="00E02234">
        <w:rPr>
          <w:rFonts w:ascii="Arial" w:eastAsia="Arial" w:hAnsi="Arial" w:cs="Arial"/>
          <w:spacing w:val="-8"/>
          <w:lang w:val="es-ES"/>
        </w:rPr>
        <w:t xml:space="preserve"> </w:t>
      </w:r>
      <w:r w:rsidRPr="00E02234">
        <w:rPr>
          <w:rFonts w:ascii="Arial" w:eastAsia="Arial" w:hAnsi="Arial" w:cs="Arial"/>
          <w:lang w:val="es-ES"/>
        </w:rPr>
        <w:t>que, a</w:t>
      </w:r>
      <w:r w:rsidRPr="00E02234">
        <w:rPr>
          <w:rFonts w:ascii="Arial" w:eastAsia="Arial" w:hAnsi="Arial" w:cs="Arial"/>
          <w:spacing w:val="-16"/>
          <w:lang w:val="es-ES"/>
        </w:rPr>
        <w:t xml:space="preserve"> </w:t>
      </w:r>
      <w:r w:rsidRPr="00E02234">
        <w:rPr>
          <w:rFonts w:ascii="Arial" w:eastAsia="Arial" w:hAnsi="Arial" w:cs="Arial"/>
          <w:lang w:val="es-ES"/>
        </w:rPr>
        <w:t>través</w:t>
      </w:r>
      <w:r w:rsidRPr="00E02234">
        <w:rPr>
          <w:rFonts w:ascii="Arial" w:eastAsia="Arial" w:hAnsi="Arial" w:cs="Arial"/>
          <w:spacing w:val="-15"/>
          <w:lang w:val="es-ES"/>
        </w:rPr>
        <w:t xml:space="preserve"> </w:t>
      </w:r>
      <w:r w:rsidRPr="00E02234">
        <w:rPr>
          <w:rFonts w:ascii="Arial" w:eastAsia="Arial" w:hAnsi="Arial" w:cs="Arial"/>
          <w:lang w:val="es-ES"/>
        </w:rPr>
        <w:t>de</w:t>
      </w:r>
      <w:r w:rsidRPr="00E02234">
        <w:rPr>
          <w:rFonts w:ascii="Arial" w:eastAsia="Arial" w:hAnsi="Arial" w:cs="Arial"/>
          <w:spacing w:val="-15"/>
          <w:lang w:val="es-ES"/>
        </w:rPr>
        <w:t xml:space="preserve"> </w:t>
      </w:r>
      <w:r w:rsidRPr="00E02234">
        <w:rPr>
          <w:rFonts w:ascii="Arial" w:eastAsia="Arial" w:hAnsi="Arial" w:cs="Arial"/>
          <w:lang w:val="es-ES"/>
        </w:rPr>
        <w:t>dicha</w:t>
      </w:r>
      <w:r w:rsidRPr="00E02234">
        <w:rPr>
          <w:rFonts w:ascii="Arial" w:eastAsia="Arial" w:hAnsi="Arial" w:cs="Arial"/>
          <w:spacing w:val="-16"/>
          <w:lang w:val="es-ES"/>
        </w:rPr>
        <w:t xml:space="preserve"> </w:t>
      </w:r>
      <w:r w:rsidRPr="00E02234">
        <w:rPr>
          <w:rFonts w:ascii="Arial" w:eastAsia="Arial" w:hAnsi="Arial" w:cs="Arial"/>
          <w:lang w:val="es-ES"/>
        </w:rPr>
        <w:t>norma</w:t>
      </w:r>
      <w:r w:rsidRPr="00E02234">
        <w:rPr>
          <w:rFonts w:ascii="Arial" w:eastAsia="Arial" w:hAnsi="Arial" w:cs="Arial"/>
          <w:spacing w:val="-15"/>
          <w:lang w:val="es-ES"/>
        </w:rPr>
        <w:t xml:space="preserve"> </w:t>
      </w:r>
      <w:r w:rsidRPr="00E02234">
        <w:rPr>
          <w:rFonts w:ascii="Arial" w:eastAsia="Arial" w:hAnsi="Arial" w:cs="Arial"/>
          <w:lang w:val="es-ES"/>
        </w:rPr>
        <w:t>se</w:t>
      </w:r>
      <w:r w:rsidRPr="00E02234">
        <w:rPr>
          <w:rFonts w:ascii="Arial" w:eastAsia="Arial" w:hAnsi="Arial" w:cs="Arial"/>
          <w:spacing w:val="-16"/>
          <w:lang w:val="es-ES"/>
        </w:rPr>
        <w:t xml:space="preserve"> </w:t>
      </w:r>
      <w:r w:rsidRPr="00E02234">
        <w:rPr>
          <w:rFonts w:ascii="Arial" w:eastAsia="Arial" w:hAnsi="Arial" w:cs="Arial"/>
          <w:lang w:val="es-ES"/>
        </w:rPr>
        <w:t>desconocía</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5"/>
          <w:lang w:val="es-ES"/>
        </w:rPr>
        <w:t xml:space="preserve"> </w:t>
      </w:r>
      <w:r w:rsidRPr="00E02234">
        <w:rPr>
          <w:rFonts w:ascii="Arial" w:eastAsia="Arial" w:hAnsi="Arial" w:cs="Arial"/>
          <w:lang w:val="es-ES"/>
        </w:rPr>
        <w:t>libertad</w:t>
      </w:r>
      <w:r w:rsidRPr="00E02234">
        <w:rPr>
          <w:rFonts w:ascii="Arial" w:eastAsia="Arial" w:hAnsi="Arial" w:cs="Arial"/>
          <w:spacing w:val="-16"/>
          <w:lang w:val="es-ES"/>
        </w:rPr>
        <w:t xml:space="preserve"> </w:t>
      </w:r>
      <w:r w:rsidRPr="00E02234">
        <w:rPr>
          <w:rFonts w:ascii="Arial" w:eastAsia="Arial" w:hAnsi="Arial" w:cs="Arial"/>
          <w:lang w:val="es-ES"/>
        </w:rPr>
        <w:t>de</w:t>
      </w:r>
      <w:r w:rsidRPr="00E02234">
        <w:rPr>
          <w:rFonts w:ascii="Arial" w:eastAsia="Arial" w:hAnsi="Arial" w:cs="Arial"/>
          <w:spacing w:val="-15"/>
          <w:lang w:val="es-ES"/>
        </w:rPr>
        <w:t xml:space="preserve"> </w:t>
      </w:r>
      <w:r w:rsidRPr="00E02234">
        <w:rPr>
          <w:rFonts w:ascii="Arial" w:eastAsia="Arial" w:hAnsi="Arial" w:cs="Arial"/>
          <w:lang w:val="es-ES"/>
        </w:rPr>
        <w:t>escoger</w:t>
      </w:r>
      <w:r w:rsidRPr="00E02234">
        <w:rPr>
          <w:rFonts w:ascii="Arial" w:eastAsia="Arial" w:hAnsi="Arial" w:cs="Arial"/>
          <w:spacing w:val="-16"/>
          <w:lang w:val="es-ES"/>
        </w:rPr>
        <w:t xml:space="preserve"> </w:t>
      </w:r>
      <w:r w:rsidRPr="00E02234">
        <w:rPr>
          <w:rFonts w:ascii="Arial" w:eastAsia="Arial" w:hAnsi="Arial" w:cs="Arial"/>
          <w:lang w:val="es-ES"/>
        </w:rPr>
        <w:t>y</w:t>
      </w:r>
      <w:r w:rsidRPr="00E02234">
        <w:rPr>
          <w:rFonts w:ascii="Arial" w:eastAsia="Arial" w:hAnsi="Arial" w:cs="Arial"/>
          <w:spacing w:val="-15"/>
          <w:lang w:val="es-ES"/>
        </w:rPr>
        <w:t xml:space="preserve"> </w:t>
      </w:r>
      <w:r w:rsidRPr="00E02234">
        <w:rPr>
          <w:rFonts w:ascii="Arial" w:eastAsia="Arial" w:hAnsi="Arial" w:cs="Arial"/>
          <w:lang w:val="es-ES"/>
        </w:rPr>
        <w:t>ejercer</w:t>
      </w:r>
      <w:r w:rsidRPr="00E02234">
        <w:rPr>
          <w:rFonts w:ascii="Arial" w:eastAsia="Arial" w:hAnsi="Arial" w:cs="Arial"/>
          <w:spacing w:val="-16"/>
          <w:lang w:val="es-ES"/>
        </w:rPr>
        <w:t xml:space="preserve"> </w:t>
      </w:r>
      <w:r w:rsidRPr="00E02234">
        <w:rPr>
          <w:rFonts w:ascii="Arial" w:eastAsia="Arial" w:hAnsi="Arial" w:cs="Arial"/>
          <w:lang w:val="es-ES"/>
        </w:rPr>
        <w:t>profesión</w:t>
      </w:r>
      <w:r w:rsidRPr="00E02234">
        <w:rPr>
          <w:rFonts w:ascii="Arial" w:eastAsia="Arial" w:hAnsi="Arial" w:cs="Arial"/>
          <w:spacing w:val="-16"/>
          <w:lang w:val="es-ES"/>
        </w:rPr>
        <w:t xml:space="preserve"> </w:t>
      </w:r>
      <w:r w:rsidRPr="00E02234">
        <w:rPr>
          <w:rFonts w:ascii="Arial" w:eastAsia="Arial" w:hAnsi="Arial" w:cs="Arial"/>
          <w:lang w:val="es-ES"/>
        </w:rPr>
        <w:t>u</w:t>
      </w:r>
      <w:r w:rsidRPr="00E02234">
        <w:rPr>
          <w:rFonts w:ascii="Arial" w:eastAsia="Arial" w:hAnsi="Arial" w:cs="Arial"/>
          <w:spacing w:val="-15"/>
          <w:lang w:val="es-ES"/>
        </w:rPr>
        <w:t xml:space="preserve"> </w:t>
      </w:r>
      <w:r w:rsidRPr="00E02234">
        <w:rPr>
          <w:rFonts w:ascii="Arial" w:eastAsia="Arial" w:hAnsi="Arial" w:cs="Arial"/>
          <w:lang w:val="es-ES"/>
        </w:rPr>
        <w:t>oficio en</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5"/>
          <w:lang w:val="es-ES"/>
        </w:rPr>
        <w:t xml:space="preserve"> </w:t>
      </w:r>
      <w:r w:rsidRPr="00E02234">
        <w:rPr>
          <w:rFonts w:ascii="Arial" w:eastAsia="Arial" w:hAnsi="Arial" w:cs="Arial"/>
          <w:lang w:val="es-ES"/>
        </w:rPr>
        <w:t>media</w:t>
      </w:r>
      <w:r w:rsidRPr="00E02234">
        <w:rPr>
          <w:rFonts w:ascii="Arial" w:eastAsia="Arial" w:hAnsi="Arial" w:cs="Arial"/>
          <w:spacing w:val="-15"/>
          <w:lang w:val="es-ES"/>
        </w:rPr>
        <w:t xml:space="preserve"> </w:t>
      </w:r>
      <w:r w:rsidRPr="00E02234">
        <w:rPr>
          <w:rFonts w:ascii="Arial" w:eastAsia="Arial" w:hAnsi="Arial" w:cs="Arial"/>
          <w:lang w:val="es-ES"/>
        </w:rPr>
        <w:t>que</w:t>
      </w:r>
      <w:r w:rsidRPr="00E02234">
        <w:rPr>
          <w:rFonts w:ascii="Arial" w:eastAsia="Arial" w:hAnsi="Arial" w:cs="Arial"/>
          <w:spacing w:val="-15"/>
          <w:lang w:val="es-ES"/>
        </w:rPr>
        <w:t xml:space="preserve"> </w:t>
      </w:r>
      <w:r w:rsidRPr="00E02234">
        <w:rPr>
          <w:rFonts w:ascii="Arial" w:eastAsia="Arial" w:hAnsi="Arial" w:cs="Arial"/>
          <w:lang w:val="es-ES"/>
        </w:rPr>
        <w:t>reservar</w:t>
      </w:r>
      <w:r w:rsidRPr="00E02234">
        <w:rPr>
          <w:rFonts w:ascii="Arial" w:eastAsia="Arial" w:hAnsi="Arial" w:cs="Arial"/>
          <w:spacing w:val="-15"/>
          <w:lang w:val="es-ES"/>
        </w:rPr>
        <w:t xml:space="preserve"> </w:t>
      </w:r>
      <w:r w:rsidRPr="00E02234">
        <w:rPr>
          <w:rFonts w:ascii="Arial" w:eastAsia="Arial" w:hAnsi="Arial" w:cs="Arial"/>
          <w:lang w:val="es-ES"/>
        </w:rPr>
        <w:t>a</w:t>
      </w:r>
      <w:r w:rsidRPr="00E02234">
        <w:rPr>
          <w:rFonts w:ascii="Arial" w:eastAsia="Arial" w:hAnsi="Arial" w:cs="Arial"/>
          <w:spacing w:val="-16"/>
          <w:lang w:val="es-ES"/>
        </w:rPr>
        <w:t xml:space="preserve"> </w:t>
      </w:r>
      <w:r w:rsidRPr="00E02234">
        <w:rPr>
          <w:rFonts w:ascii="Arial" w:eastAsia="Arial" w:hAnsi="Arial" w:cs="Arial"/>
          <w:lang w:val="es-ES"/>
        </w:rPr>
        <w:t>los</w:t>
      </w:r>
      <w:r w:rsidRPr="00E02234">
        <w:rPr>
          <w:rFonts w:ascii="Arial" w:eastAsia="Arial" w:hAnsi="Arial" w:cs="Arial"/>
          <w:spacing w:val="-15"/>
          <w:lang w:val="es-ES"/>
        </w:rPr>
        <w:t xml:space="preserve"> </w:t>
      </w:r>
      <w:r w:rsidRPr="00E02234">
        <w:rPr>
          <w:rFonts w:ascii="Arial" w:eastAsia="Arial" w:hAnsi="Arial" w:cs="Arial"/>
          <w:lang w:val="es-ES"/>
        </w:rPr>
        <w:t>ingenieros,</w:t>
      </w:r>
      <w:r w:rsidRPr="00E02234">
        <w:rPr>
          <w:rFonts w:ascii="Arial" w:eastAsia="Arial" w:hAnsi="Arial" w:cs="Arial"/>
          <w:spacing w:val="-15"/>
          <w:lang w:val="es-ES"/>
        </w:rPr>
        <w:t xml:space="preserve"> </w:t>
      </w:r>
      <w:r w:rsidRPr="00E02234">
        <w:rPr>
          <w:rFonts w:ascii="Arial" w:eastAsia="Arial" w:hAnsi="Arial" w:cs="Arial"/>
          <w:lang w:val="es-ES"/>
        </w:rPr>
        <w:t>en</w:t>
      </w:r>
      <w:r w:rsidRPr="00E02234">
        <w:rPr>
          <w:rFonts w:ascii="Arial" w:eastAsia="Arial" w:hAnsi="Arial" w:cs="Arial"/>
          <w:spacing w:val="-15"/>
          <w:lang w:val="es-ES"/>
        </w:rPr>
        <w:t xml:space="preserve"> </w:t>
      </w:r>
      <w:r w:rsidRPr="00E02234">
        <w:rPr>
          <w:rFonts w:ascii="Arial" w:eastAsia="Arial" w:hAnsi="Arial" w:cs="Arial"/>
          <w:lang w:val="es-ES"/>
        </w:rPr>
        <w:t>los</w:t>
      </w:r>
      <w:r w:rsidRPr="00E02234">
        <w:rPr>
          <w:rFonts w:ascii="Arial" w:eastAsia="Arial" w:hAnsi="Arial" w:cs="Arial"/>
          <w:spacing w:val="-15"/>
          <w:lang w:val="es-ES"/>
        </w:rPr>
        <w:t xml:space="preserve"> </w:t>
      </w:r>
      <w:r w:rsidRPr="00E02234">
        <w:rPr>
          <w:rFonts w:ascii="Arial" w:eastAsia="Arial" w:hAnsi="Arial" w:cs="Arial"/>
          <w:lang w:val="es-ES"/>
        </w:rPr>
        <w:t>términos</w:t>
      </w:r>
      <w:r w:rsidRPr="00E02234">
        <w:rPr>
          <w:rFonts w:ascii="Arial" w:eastAsia="Arial" w:hAnsi="Arial" w:cs="Arial"/>
          <w:spacing w:val="-15"/>
          <w:lang w:val="es-ES"/>
        </w:rPr>
        <w:t xml:space="preserve"> </w:t>
      </w:r>
      <w:r w:rsidRPr="00E02234">
        <w:rPr>
          <w:rFonts w:ascii="Arial" w:eastAsia="Arial" w:hAnsi="Arial" w:cs="Arial"/>
          <w:lang w:val="es-ES"/>
        </w:rPr>
        <w:t>de</w:t>
      </w:r>
      <w:r w:rsidRPr="00E02234">
        <w:rPr>
          <w:rFonts w:ascii="Arial" w:eastAsia="Arial" w:hAnsi="Arial" w:cs="Arial"/>
          <w:spacing w:val="-15"/>
          <w:lang w:val="es-ES"/>
        </w:rPr>
        <w:t xml:space="preserve"> </w:t>
      </w:r>
      <w:r w:rsidRPr="00E02234">
        <w:rPr>
          <w:rFonts w:ascii="Arial" w:eastAsia="Arial" w:hAnsi="Arial" w:cs="Arial"/>
          <w:lang w:val="es-ES"/>
        </w:rPr>
        <w:t>la</w:t>
      </w:r>
      <w:r w:rsidRPr="00E02234">
        <w:rPr>
          <w:rFonts w:ascii="Arial" w:eastAsia="Arial" w:hAnsi="Arial" w:cs="Arial"/>
          <w:spacing w:val="-15"/>
          <w:lang w:val="es-ES"/>
        </w:rPr>
        <w:t xml:space="preserve"> </w:t>
      </w:r>
      <w:r w:rsidRPr="00E02234">
        <w:rPr>
          <w:rFonts w:ascii="Arial" w:eastAsia="Arial" w:hAnsi="Arial" w:cs="Arial"/>
          <w:lang w:val="es-ES"/>
        </w:rPr>
        <w:t>disposición</w:t>
      </w:r>
      <w:r w:rsidRPr="00E02234">
        <w:rPr>
          <w:rFonts w:ascii="Arial" w:eastAsia="Arial" w:hAnsi="Arial" w:cs="Arial"/>
          <w:spacing w:val="-15"/>
          <w:lang w:val="es-ES"/>
        </w:rPr>
        <w:t xml:space="preserve"> </w:t>
      </w:r>
      <w:r w:rsidRPr="00E02234">
        <w:rPr>
          <w:rFonts w:ascii="Arial" w:eastAsia="Arial" w:hAnsi="Arial" w:cs="Arial"/>
          <w:lang w:val="es-ES"/>
        </w:rPr>
        <w:t>demandada, las</w:t>
      </w:r>
      <w:r w:rsidRPr="00E02234">
        <w:rPr>
          <w:rFonts w:ascii="Arial" w:eastAsia="Arial" w:hAnsi="Arial" w:cs="Arial"/>
          <w:spacing w:val="-10"/>
          <w:lang w:val="es-ES"/>
        </w:rPr>
        <w:t xml:space="preserve"> </w:t>
      </w:r>
      <w:r w:rsidRPr="00E02234">
        <w:rPr>
          <w:rFonts w:ascii="Arial" w:eastAsia="Arial" w:hAnsi="Arial" w:cs="Arial"/>
          <w:lang w:val="es-ES"/>
        </w:rPr>
        <w:t>labores</w:t>
      </w:r>
      <w:r w:rsidRPr="00E02234">
        <w:rPr>
          <w:rFonts w:ascii="Arial" w:eastAsia="Arial" w:hAnsi="Arial" w:cs="Arial"/>
          <w:spacing w:val="-10"/>
          <w:lang w:val="es-ES"/>
        </w:rPr>
        <w:t xml:space="preserve"> </w:t>
      </w:r>
      <w:r w:rsidRPr="00E02234">
        <w:rPr>
          <w:rFonts w:ascii="Arial" w:eastAsia="Arial" w:hAnsi="Arial" w:cs="Arial"/>
          <w:lang w:val="es-ES"/>
        </w:rPr>
        <w:t>de</w:t>
      </w:r>
      <w:r w:rsidRPr="00E02234">
        <w:rPr>
          <w:rFonts w:ascii="Arial" w:eastAsia="Arial" w:hAnsi="Arial" w:cs="Arial"/>
          <w:spacing w:val="-9"/>
          <w:lang w:val="es-ES"/>
        </w:rPr>
        <w:t xml:space="preserve"> </w:t>
      </w:r>
      <w:r w:rsidRPr="00E02234">
        <w:rPr>
          <w:rFonts w:ascii="Arial" w:eastAsia="Arial" w:hAnsi="Arial" w:cs="Arial"/>
          <w:lang w:val="es-ES"/>
        </w:rPr>
        <w:t>estudios,</w:t>
      </w:r>
      <w:r w:rsidRPr="00E02234">
        <w:rPr>
          <w:rFonts w:ascii="Arial" w:eastAsia="Arial" w:hAnsi="Arial" w:cs="Arial"/>
          <w:spacing w:val="-10"/>
          <w:lang w:val="es-ES"/>
        </w:rPr>
        <w:t xml:space="preserve"> </w:t>
      </w:r>
      <w:r w:rsidRPr="00E02234">
        <w:rPr>
          <w:rFonts w:ascii="Arial" w:eastAsia="Arial" w:hAnsi="Arial" w:cs="Arial"/>
          <w:lang w:val="es-ES"/>
        </w:rPr>
        <w:t>planeación,</w:t>
      </w:r>
      <w:r w:rsidRPr="00E02234">
        <w:rPr>
          <w:rFonts w:ascii="Arial" w:eastAsia="Arial" w:hAnsi="Arial" w:cs="Arial"/>
          <w:spacing w:val="-10"/>
          <w:lang w:val="es-ES"/>
        </w:rPr>
        <w:t xml:space="preserve"> </w:t>
      </w:r>
      <w:r w:rsidRPr="00E02234">
        <w:rPr>
          <w:rFonts w:ascii="Arial" w:eastAsia="Arial" w:hAnsi="Arial" w:cs="Arial"/>
          <w:lang w:val="es-ES"/>
        </w:rPr>
        <w:t>programación,</w:t>
      </w:r>
      <w:r w:rsidRPr="00E02234">
        <w:rPr>
          <w:rFonts w:ascii="Arial" w:eastAsia="Arial" w:hAnsi="Arial" w:cs="Arial"/>
          <w:spacing w:val="-9"/>
          <w:lang w:val="es-ES"/>
        </w:rPr>
        <w:t xml:space="preserve"> </w:t>
      </w:r>
      <w:r w:rsidRPr="00E02234">
        <w:rPr>
          <w:rFonts w:ascii="Arial" w:eastAsia="Arial" w:hAnsi="Arial" w:cs="Arial"/>
          <w:lang w:val="es-ES"/>
        </w:rPr>
        <w:t>asesoría,</w:t>
      </w:r>
      <w:r w:rsidRPr="00E02234">
        <w:rPr>
          <w:rFonts w:ascii="Arial" w:eastAsia="Arial" w:hAnsi="Arial" w:cs="Arial"/>
          <w:spacing w:val="-10"/>
          <w:lang w:val="es-ES"/>
        </w:rPr>
        <w:t xml:space="preserve"> </w:t>
      </w:r>
      <w:r w:rsidRPr="00E02234">
        <w:rPr>
          <w:rFonts w:ascii="Arial" w:eastAsia="Arial" w:hAnsi="Arial" w:cs="Arial"/>
          <w:lang w:val="es-ES"/>
        </w:rPr>
        <w:t>consultoría,</w:t>
      </w:r>
      <w:r w:rsidRPr="00E02234">
        <w:rPr>
          <w:rFonts w:ascii="Arial" w:eastAsia="Arial" w:hAnsi="Arial" w:cs="Arial"/>
          <w:spacing w:val="-10"/>
          <w:lang w:val="es-ES"/>
        </w:rPr>
        <w:t xml:space="preserve"> </w:t>
      </w:r>
      <w:r w:rsidRPr="00E02234">
        <w:rPr>
          <w:rFonts w:ascii="Arial" w:eastAsia="Arial" w:hAnsi="Arial" w:cs="Arial"/>
          <w:lang w:val="es-ES"/>
        </w:rPr>
        <w:t>interventoría, construcción, mantenimiento y administración de construcciones de edificios y viviendas</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toda</w:t>
      </w:r>
      <w:r w:rsidRPr="00E02234">
        <w:rPr>
          <w:rFonts w:ascii="Arial" w:eastAsia="Arial" w:hAnsi="Arial" w:cs="Arial"/>
          <w:spacing w:val="-11"/>
          <w:lang w:val="es-ES"/>
        </w:rPr>
        <w:t xml:space="preserve"> </w:t>
      </w:r>
      <w:r w:rsidRPr="00E02234">
        <w:rPr>
          <w:rFonts w:ascii="Arial" w:eastAsia="Arial" w:hAnsi="Arial" w:cs="Arial"/>
          <w:lang w:val="es-ES"/>
        </w:rPr>
        <w:t>índole,</w:t>
      </w:r>
      <w:r w:rsidRPr="00E02234">
        <w:rPr>
          <w:rFonts w:ascii="Arial" w:eastAsia="Arial" w:hAnsi="Arial" w:cs="Arial"/>
          <w:spacing w:val="-10"/>
          <w:lang w:val="es-ES"/>
        </w:rPr>
        <w:t xml:space="preserve"> </w:t>
      </w:r>
      <w:r w:rsidRPr="00E02234">
        <w:rPr>
          <w:rFonts w:ascii="Arial" w:eastAsia="Arial" w:hAnsi="Arial" w:cs="Arial"/>
          <w:lang w:val="es-ES"/>
        </w:rPr>
        <w:t>y</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obras</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infraestructura</w:t>
      </w:r>
      <w:r w:rsidRPr="00E02234">
        <w:rPr>
          <w:rFonts w:ascii="Arial" w:eastAsia="Arial" w:hAnsi="Arial" w:cs="Arial"/>
          <w:spacing w:val="-10"/>
          <w:lang w:val="es-ES"/>
        </w:rPr>
        <w:t xml:space="preserve"> </w:t>
      </w:r>
      <w:r w:rsidRPr="00E02234">
        <w:rPr>
          <w:rFonts w:ascii="Arial" w:eastAsia="Arial" w:hAnsi="Arial" w:cs="Arial"/>
          <w:lang w:val="es-ES"/>
        </w:rPr>
        <w:t>para</w:t>
      </w:r>
      <w:r w:rsidRPr="00E02234">
        <w:rPr>
          <w:rFonts w:ascii="Arial" w:eastAsia="Arial" w:hAnsi="Arial" w:cs="Arial"/>
          <w:spacing w:val="-12"/>
          <w:lang w:val="es-ES"/>
        </w:rPr>
        <w:t xml:space="preserve"> </w:t>
      </w:r>
      <w:r w:rsidRPr="00E02234">
        <w:rPr>
          <w:rFonts w:ascii="Arial" w:eastAsia="Arial" w:hAnsi="Arial" w:cs="Arial"/>
          <w:lang w:val="es-ES"/>
        </w:rPr>
        <w:t>el</w:t>
      </w:r>
      <w:r w:rsidRPr="00E02234">
        <w:rPr>
          <w:rFonts w:ascii="Arial" w:eastAsia="Arial" w:hAnsi="Arial" w:cs="Arial"/>
          <w:spacing w:val="-11"/>
          <w:lang w:val="es-ES"/>
        </w:rPr>
        <w:t xml:space="preserve"> </w:t>
      </w:r>
      <w:r w:rsidRPr="00E02234">
        <w:rPr>
          <w:rFonts w:ascii="Arial" w:eastAsia="Arial" w:hAnsi="Arial" w:cs="Arial"/>
          <w:lang w:val="es-ES"/>
        </w:rPr>
        <w:t>servicio</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1"/>
          <w:lang w:val="es-ES"/>
        </w:rPr>
        <w:t xml:space="preserve"> </w:t>
      </w:r>
      <w:r w:rsidRPr="00E02234">
        <w:rPr>
          <w:rFonts w:ascii="Arial" w:eastAsia="Arial" w:hAnsi="Arial" w:cs="Arial"/>
          <w:lang w:val="es-ES"/>
        </w:rPr>
        <w:t>comunidad, separa</w:t>
      </w:r>
      <w:r w:rsidRPr="00E02234">
        <w:rPr>
          <w:rFonts w:ascii="Arial" w:eastAsia="Arial" w:hAnsi="Arial" w:cs="Arial"/>
          <w:spacing w:val="52"/>
          <w:lang w:val="es-ES"/>
        </w:rPr>
        <w:t xml:space="preserve"> </w:t>
      </w:r>
      <w:r w:rsidRPr="00E02234">
        <w:rPr>
          <w:rFonts w:ascii="Arial" w:eastAsia="Arial" w:hAnsi="Arial" w:cs="Arial"/>
          <w:lang w:val="es-ES"/>
        </w:rPr>
        <w:t>a</w:t>
      </w:r>
      <w:r w:rsidRPr="00E02234">
        <w:rPr>
          <w:rFonts w:ascii="Arial" w:eastAsia="Arial" w:hAnsi="Arial" w:cs="Arial"/>
          <w:spacing w:val="53"/>
          <w:lang w:val="es-ES"/>
        </w:rPr>
        <w:t xml:space="preserve"> </w:t>
      </w:r>
      <w:r w:rsidRPr="00E02234">
        <w:rPr>
          <w:rFonts w:ascii="Arial" w:eastAsia="Arial" w:hAnsi="Arial" w:cs="Arial"/>
          <w:lang w:val="es-ES"/>
        </w:rPr>
        <w:t>los</w:t>
      </w:r>
      <w:r w:rsidRPr="00E02234">
        <w:rPr>
          <w:rFonts w:ascii="Arial" w:eastAsia="Arial" w:hAnsi="Arial" w:cs="Arial"/>
          <w:spacing w:val="53"/>
          <w:lang w:val="es-ES"/>
        </w:rPr>
        <w:t xml:space="preserve"> </w:t>
      </w:r>
      <w:r w:rsidRPr="00E02234">
        <w:rPr>
          <w:rFonts w:ascii="Arial" w:eastAsia="Arial" w:hAnsi="Arial" w:cs="Arial"/>
          <w:lang w:val="es-ES"/>
        </w:rPr>
        <w:t>arquitectos</w:t>
      </w:r>
      <w:r w:rsidRPr="00E02234">
        <w:rPr>
          <w:rFonts w:ascii="Arial" w:eastAsia="Arial" w:hAnsi="Arial" w:cs="Arial"/>
          <w:spacing w:val="52"/>
          <w:lang w:val="es-ES"/>
        </w:rPr>
        <w:t xml:space="preserve"> </w:t>
      </w:r>
      <w:r w:rsidRPr="00E02234">
        <w:rPr>
          <w:rFonts w:ascii="Arial" w:eastAsia="Arial" w:hAnsi="Arial" w:cs="Arial"/>
          <w:lang w:val="es-ES"/>
        </w:rPr>
        <w:t>de</w:t>
      </w:r>
      <w:r w:rsidRPr="00E02234">
        <w:rPr>
          <w:rFonts w:ascii="Arial" w:eastAsia="Arial" w:hAnsi="Arial" w:cs="Arial"/>
          <w:spacing w:val="53"/>
          <w:lang w:val="es-ES"/>
        </w:rPr>
        <w:t xml:space="preserve"> </w:t>
      </w:r>
      <w:r w:rsidRPr="00E02234">
        <w:rPr>
          <w:rFonts w:ascii="Arial" w:eastAsia="Arial" w:hAnsi="Arial" w:cs="Arial"/>
          <w:lang w:val="es-ES"/>
        </w:rPr>
        <w:t>la</w:t>
      </w:r>
      <w:r w:rsidRPr="00E02234">
        <w:rPr>
          <w:rFonts w:ascii="Arial" w:eastAsia="Arial" w:hAnsi="Arial" w:cs="Arial"/>
          <w:spacing w:val="53"/>
          <w:lang w:val="es-ES"/>
        </w:rPr>
        <w:t xml:space="preserve"> </w:t>
      </w:r>
      <w:r w:rsidRPr="00E02234">
        <w:rPr>
          <w:rFonts w:ascii="Arial" w:eastAsia="Arial" w:hAnsi="Arial" w:cs="Arial"/>
          <w:lang w:val="es-ES"/>
        </w:rPr>
        <w:t>ejecución</w:t>
      </w:r>
      <w:r w:rsidRPr="00E02234">
        <w:rPr>
          <w:rFonts w:ascii="Arial" w:eastAsia="Arial" w:hAnsi="Arial" w:cs="Arial"/>
          <w:spacing w:val="53"/>
          <w:lang w:val="es-ES"/>
        </w:rPr>
        <w:t xml:space="preserve"> </w:t>
      </w:r>
      <w:r w:rsidRPr="00E02234">
        <w:rPr>
          <w:rFonts w:ascii="Arial" w:eastAsia="Arial" w:hAnsi="Arial" w:cs="Arial"/>
          <w:lang w:val="es-ES"/>
        </w:rPr>
        <w:t>de</w:t>
      </w:r>
      <w:r w:rsidRPr="00E02234">
        <w:rPr>
          <w:rFonts w:ascii="Arial" w:eastAsia="Arial" w:hAnsi="Arial" w:cs="Arial"/>
          <w:spacing w:val="52"/>
          <w:lang w:val="es-ES"/>
        </w:rPr>
        <w:t xml:space="preserve"> </w:t>
      </w:r>
      <w:r w:rsidRPr="00E02234">
        <w:rPr>
          <w:rFonts w:ascii="Arial" w:eastAsia="Arial" w:hAnsi="Arial" w:cs="Arial"/>
          <w:lang w:val="es-ES"/>
        </w:rPr>
        <w:t>tales</w:t>
      </w:r>
      <w:r w:rsidRPr="00E02234">
        <w:rPr>
          <w:rFonts w:ascii="Arial" w:eastAsia="Arial" w:hAnsi="Arial" w:cs="Arial"/>
          <w:spacing w:val="54"/>
          <w:lang w:val="es-ES"/>
        </w:rPr>
        <w:t xml:space="preserve"> </w:t>
      </w:r>
      <w:r w:rsidRPr="00E02234">
        <w:rPr>
          <w:rFonts w:ascii="Arial" w:eastAsia="Arial" w:hAnsi="Arial" w:cs="Arial"/>
          <w:lang w:val="es-ES"/>
        </w:rPr>
        <w:t>labores,</w:t>
      </w:r>
      <w:r w:rsidRPr="00E02234">
        <w:rPr>
          <w:rFonts w:ascii="Arial" w:eastAsia="Arial" w:hAnsi="Arial" w:cs="Arial"/>
          <w:spacing w:val="53"/>
          <w:lang w:val="es-ES"/>
        </w:rPr>
        <w:t xml:space="preserve"> </w:t>
      </w:r>
      <w:r w:rsidRPr="00E02234">
        <w:rPr>
          <w:rFonts w:ascii="Arial" w:eastAsia="Arial" w:hAnsi="Arial" w:cs="Arial"/>
          <w:lang w:val="es-ES"/>
        </w:rPr>
        <w:t>vulnerando</w:t>
      </w:r>
      <w:r w:rsidRPr="00E02234">
        <w:rPr>
          <w:rFonts w:ascii="Arial" w:eastAsia="Arial" w:hAnsi="Arial" w:cs="Arial"/>
          <w:spacing w:val="53"/>
          <w:lang w:val="es-ES"/>
        </w:rPr>
        <w:t xml:space="preserve"> </w:t>
      </w:r>
      <w:r w:rsidRPr="00E02234">
        <w:rPr>
          <w:rFonts w:ascii="Arial" w:eastAsia="Arial" w:hAnsi="Arial" w:cs="Arial"/>
          <w:lang w:val="es-ES"/>
        </w:rPr>
        <w:t>el</w:t>
      </w:r>
      <w:r w:rsidRPr="00E02234">
        <w:rPr>
          <w:rFonts w:ascii="Arial" w:eastAsia="Arial" w:hAnsi="Arial" w:cs="Arial"/>
          <w:spacing w:val="52"/>
          <w:lang w:val="es-ES"/>
        </w:rPr>
        <w:t xml:space="preserve"> </w:t>
      </w:r>
      <w:r w:rsidRPr="00E02234">
        <w:rPr>
          <w:rFonts w:ascii="Arial" w:eastAsia="Arial" w:hAnsi="Arial" w:cs="Arial"/>
          <w:lang w:val="es-ES"/>
        </w:rPr>
        <w:t>derecho fundamental</w:t>
      </w:r>
      <w:r w:rsidRPr="00E02234">
        <w:rPr>
          <w:rFonts w:ascii="Arial" w:eastAsia="Arial" w:hAnsi="Arial" w:cs="Arial"/>
          <w:spacing w:val="-10"/>
          <w:lang w:val="es-ES"/>
        </w:rPr>
        <w:t xml:space="preserve"> </w:t>
      </w:r>
      <w:r w:rsidRPr="00E02234">
        <w:rPr>
          <w:rFonts w:ascii="Arial" w:eastAsia="Arial" w:hAnsi="Arial" w:cs="Arial"/>
          <w:lang w:val="es-ES"/>
        </w:rPr>
        <w:t>al</w:t>
      </w:r>
      <w:r w:rsidRPr="00E02234">
        <w:rPr>
          <w:rFonts w:ascii="Arial" w:eastAsia="Arial" w:hAnsi="Arial" w:cs="Arial"/>
          <w:spacing w:val="-12"/>
          <w:lang w:val="es-ES"/>
        </w:rPr>
        <w:t xml:space="preserve"> </w:t>
      </w:r>
      <w:r w:rsidRPr="00E02234">
        <w:rPr>
          <w:rFonts w:ascii="Arial" w:eastAsia="Arial" w:hAnsi="Arial" w:cs="Arial"/>
          <w:lang w:val="es-ES"/>
        </w:rPr>
        <w:t>trabajo</w:t>
      </w:r>
      <w:r w:rsidRPr="00E02234">
        <w:rPr>
          <w:rFonts w:ascii="Arial" w:eastAsia="Arial" w:hAnsi="Arial" w:cs="Arial"/>
          <w:spacing w:val="-10"/>
          <w:lang w:val="es-ES"/>
        </w:rPr>
        <w:t xml:space="preserve"> </w:t>
      </w:r>
      <w:r w:rsidRPr="00E02234">
        <w:rPr>
          <w:rFonts w:ascii="Arial" w:eastAsia="Arial" w:hAnsi="Arial" w:cs="Arial"/>
          <w:lang w:val="es-ES"/>
        </w:rPr>
        <w:t>reconocido</w:t>
      </w:r>
      <w:r w:rsidRPr="00E02234">
        <w:rPr>
          <w:rFonts w:ascii="Arial" w:eastAsia="Arial" w:hAnsi="Arial" w:cs="Arial"/>
          <w:spacing w:val="-12"/>
          <w:lang w:val="es-ES"/>
        </w:rPr>
        <w:t xml:space="preserve"> </w:t>
      </w:r>
      <w:r w:rsidRPr="00E02234">
        <w:rPr>
          <w:rFonts w:ascii="Arial" w:eastAsia="Arial" w:hAnsi="Arial" w:cs="Arial"/>
          <w:lang w:val="es-ES"/>
        </w:rPr>
        <w:t>en</w:t>
      </w:r>
      <w:r w:rsidRPr="00E02234">
        <w:rPr>
          <w:rFonts w:ascii="Arial" w:eastAsia="Arial" w:hAnsi="Arial" w:cs="Arial"/>
          <w:spacing w:val="-12"/>
          <w:lang w:val="es-ES"/>
        </w:rPr>
        <w:t xml:space="preserve"> </w:t>
      </w:r>
      <w:r w:rsidRPr="00E02234">
        <w:rPr>
          <w:rFonts w:ascii="Arial" w:eastAsia="Arial" w:hAnsi="Arial" w:cs="Arial"/>
          <w:lang w:val="es-ES"/>
        </w:rPr>
        <w:t>el</w:t>
      </w:r>
      <w:r w:rsidRPr="00E02234">
        <w:rPr>
          <w:rFonts w:ascii="Arial" w:eastAsia="Arial" w:hAnsi="Arial" w:cs="Arial"/>
          <w:spacing w:val="-11"/>
          <w:lang w:val="es-ES"/>
        </w:rPr>
        <w:t xml:space="preserve"> </w:t>
      </w:r>
      <w:r w:rsidRPr="00E02234">
        <w:rPr>
          <w:rFonts w:ascii="Arial" w:eastAsia="Arial" w:hAnsi="Arial" w:cs="Arial"/>
          <w:lang w:val="es-ES"/>
        </w:rPr>
        <w:t>artículo</w:t>
      </w:r>
      <w:r w:rsidRPr="00E02234">
        <w:rPr>
          <w:rFonts w:ascii="Arial" w:eastAsia="Arial" w:hAnsi="Arial" w:cs="Arial"/>
          <w:spacing w:val="-11"/>
          <w:lang w:val="es-ES"/>
        </w:rPr>
        <w:t xml:space="preserve"> </w:t>
      </w:r>
      <w:r w:rsidRPr="00E02234">
        <w:rPr>
          <w:rFonts w:ascii="Arial" w:eastAsia="Arial" w:hAnsi="Arial" w:cs="Arial"/>
          <w:lang w:val="es-ES"/>
        </w:rPr>
        <w:t>25</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2"/>
          <w:lang w:val="es-ES"/>
        </w:rPr>
        <w:t xml:space="preserve"> </w:t>
      </w:r>
      <w:r w:rsidRPr="00E02234">
        <w:rPr>
          <w:rFonts w:ascii="Arial" w:eastAsia="Arial" w:hAnsi="Arial" w:cs="Arial"/>
          <w:lang w:val="es-ES"/>
        </w:rPr>
        <w:t>la</w:t>
      </w:r>
      <w:r w:rsidRPr="00E02234">
        <w:rPr>
          <w:rFonts w:ascii="Arial" w:eastAsia="Arial" w:hAnsi="Arial" w:cs="Arial"/>
          <w:spacing w:val="-12"/>
          <w:lang w:val="es-ES"/>
        </w:rPr>
        <w:t xml:space="preserve"> </w:t>
      </w:r>
      <w:r w:rsidRPr="00E02234">
        <w:rPr>
          <w:rFonts w:ascii="Arial" w:eastAsia="Arial" w:hAnsi="Arial" w:cs="Arial"/>
          <w:lang w:val="es-ES"/>
        </w:rPr>
        <w:t>Constitución,</w:t>
      </w:r>
      <w:r w:rsidRPr="00E02234">
        <w:rPr>
          <w:rFonts w:ascii="Arial" w:eastAsia="Arial" w:hAnsi="Arial" w:cs="Arial"/>
          <w:spacing w:val="-10"/>
          <w:lang w:val="es-ES"/>
        </w:rPr>
        <w:t xml:space="preserve"> </w:t>
      </w:r>
      <w:r w:rsidRPr="00E02234">
        <w:rPr>
          <w:rFonts w:ascii="Arial" w:eastAsia="Arial" w:hAnsi="Arial" w:cs="Arial"/>
          <w:lang w:val="es-ES"/>
        </w:rPr>
        <w:t>pues</w:t>
      </w:r>
      <w:r w:rsidRPr="00E02234">
        <w:rPr>
          <w:rFonts w:ascii="Arial" w:eastAsia="Arial" w:hAnsi="Arial" w:cs="Arial"/>
          <w:spacing w:val="-12"/>
          <w:lang w:val="es-ES"/>
        </w:rPr>
        <w:t xml:space="preserve"> </w:t>
      </w:r>
      <w:r w:rsidRPr="00E02234">
        <w:rPr>
          <w:rFonts w:ascii="Arial" w:eastAsia="Arial" w:hAnsi="Arial" w:cs="Arial"/>
          <w:lang w:val="es-ES"/>
        </w:rPr>
        <w:t>son</w:t>
      </w:r>
      <w:r w:rsidRPr="00E02234">
        <w:rPr>
          <w:rFonts w:ascii="Arial" w:eastAsia="Arial" w:hAnsi="Arial" w:cs="Arial"/>
          <w:spacing w:val="-11"/>
          <w:lang w:val="es-ES"/>
        </w:rPr>
        <w:t xml:space="preserve"> </w:t>
      </w:r>
      <w:r w:rsidRPr="00E02234">
        <w:rPr>
          <w:rFonts w:ascii="Arial" w:eastAsia="Arial" w:hAnsi="Arial" w:cs="Arial"/>
          <w:lang w:val="es-ES"/>
        </w:rPr>
        <w:t xml:space="preserve">labores </w:t>
      </w:r>
      <w:r w:rsidRPr="00E02234">
        <w:rPr>
          <w:rFonts w:ascii="Arial" w:eastAsia="Arial" w:hAnsi="Arial" w:cs="Arial"/>
          <w:lang w:val="es-ES"/>
        </w:rPr>
        <w:lastRenderedPageBreak/>
        <w:t>que pueden y han sido ejecutadas por arquitectos bajo el amparo legal de la Ley 435 de</w:t>
      </w:r>
      <w:r w:rsidRPr="00E02234">
        <w:rPr>
          <w:rFonts w:ascii="Arial" w:eastAsia="Arial" w:hAnsi="Arial" w:cs="Arial"/>
          <w:spacing w:val="-2"/>
          <w:lang w:val="es-ES"/>
        </w:rPr>
        <w:t xml:space="preserve"> </w:t>
      </w:r>
      <w:r w:rsidRPr="00E02234">
        <w:rPr>
          <w:rFonts w:ascii="Arial" w:eastAsia="Arial" w:hAnsi="Arial" w:cs="Arial"/>
          <w:lang w:val="es-ES"/>
        </w:rPr>
        <w:t>1998.</w:t>
      </w:r>
    </w:p>
    <w:p w14:paraId="0C4F5AAF"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Sin embargo, la Corte Constitucional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ingeniera es objetiva y proporcional en la medida que el aval de un ingeniero únicamente se debe realizar tratándose de procesos de contratación que involucren actividades catalogadas como ejercicio</w:t>
      </w:r>
      <w:r w:rsidRPr="00E02234">
        <w:rPr>
          <w:rFonts w:ascii="Arial" w:eastAsia="Arial" w:hAnsi="Arial" w:cs="Arial"/>
          <w:spacing w:val="-16"/>
          <w:lang w:val="es-ES"/>
        </w:rPr>
        <w:t xml:space="preserve"> </w:t>
      </w:r>
      <w:r w:rsidRPr="00E02234">
        <w:rPr>
          <w:rFonts w:ascii="Arial" w:eastAsia="Arial" w:hAnsi="Arial" w:cs="Arial"/>
          <w:lang w:val="es-ES"/>
        </w:rPr>
        <w:t>de</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5"/>
          <w:lang w:val="es-ES"/>
        </w:rPr>
        <w:t xml:space="preserve"> </w:t>
      </w:r>
      <w:r w:rsidRPr="00E02234">
        <w:rPr>
          <w:rFonts w:ascii="Arial" w:eastAsia="Arial" w:hAnsi="Arial" w:cs="Arial"/>
          <w:lang w:val="es-ES"/>
        </w:rPr>
        <w:t>ingeniería</w:t>
      </w:r>
      <w:r w:rsidRPr="00E02234">
        <w:rPr>
          <w:rFonts w:ascii="Arial" w:eastAsia="Arial" w:hAnsi="Arial" w:cs="Arial"/>
          <w:vertAlign w:val="superscript"/>
          <w:lang w:val="es-ES"/>
        </w:rPr>
        <w:footnoteReference w:id="12"/>
      </w:r>
      <w:r w:rsidRPr="00E02234">
        <w:rPr>
          <w:rFonts w:ascii="Arial" w:eastAsia="Arial" w:hAnsi="Arial" w:cs="Arial"/>
          <w:lang w:val="es-ES"/>
        </w:rPr>
        <w:t>,</w:t>
      </w:r>
      <w:r w:rsidRPr="00E02234">
        <w:rPr>
          <w:rFonts w:ascii="Arial" w:eastAsia="Arial" w:hAnsi="Arial" w:cs="Arial"/>
          <w:spacing w:val="-16"/>
          <w:lang w:val="es-ES"/>
        </w:rPr>
        <w:t xml:space="preserve"> </w:t>
      </w:r>
      <w:r w:rsidRPr="00E02234">
        <w:rPr>
          <w:rFonts w:ascii="Arial" w:eastAsia="Arial" w:hAnsi="Arial" w:cs="Arial"/>
          <w:lang w:val="es-ES"/>
        </w:rPr>
        <w:t>pues</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5"/>
          <w:lang w:val="es-ES"/>
        </w:rPr>
        <w:t xml:space="preserve"> </w:t>
      </w:r>
      <w:r w:rsidRPr="00E02234">
        <w:rPr>
          <w:rFonts w:ascii="Arial" w:eastAsia="Arial" w:hAnsi="Arial" w:cs="Arial"/>
          <w:lang w:val="es-ES"/>
        </w:rPr>
        <w:t>persona</w:t>
      </w:r>
      <w:r w:rsidRPr="00E02234">
        <w:rPr>
          <w:rFonts w:ascii="Arial" w:eastAsia="Arial" w:hAnsi="Arial" w:cs="Arial"/>
          <w:spacing w:val="-16"/>
          <w:lang w:val="es-ES"/>
        </w:rPr>
        <w:t xml:space="preserve"> </w:t>
      </w:r>
      <w:r w:rsidRPr="00E02234">
        <w:rPr>
          <w:rFonts w:ascii="Arial" w:eastAsia="Arial" w:hAnsi="Arial" w:cs="Arial"/>
          <w:lang w:val="es-ES"/>
        </w:rPr>
        <w:t>idónea</w:t>
      </w:r>
      <w:r w:rsidRPr="00E02234">
        <w:rPr>
          <w:rFonts w:ascii="Arial" w:eastAsia="Arial" w:hAnsi="Arial" w:cs="Arial"/>
          <w:spacing w:val="-16"/>
          <w:lang w:val="es-ES"/>
        </w:rPr>
        <w:t xml:space="preserve"> </w:t>
      </w:r>
      <w:r w:rsidRPr="00E02234">
        <w:rPr>
          <w:rFonts w:ascii="Arial" w:eastAsia="Arial" w:hAnsi="Arial" w:cs="Arial"/>
          <w:lang w:val="es-ES"/>
        </w:rPr>
        <w:t>y</w:t>
      </w:r>
      <w:r w:rsidRPr="00E02234">
        <w:rPr>
          <w:rFonts w:ascii="Arial" w:eastAsia="Arial" w:hAnsi="Arial" w:cs="Arial"/>
          <w:spacing w:val="-15"/>
          <w:lang w:val="es-ES"/>
        </w:rPr>
        <w:t xml:space="preserve"> </w:t>
      </w:r>
      <w:r w:rsidRPr="00E02234">
        <w:rPr>
          <w:rFonts w:ascii="Arial" w:eastAsia="Arial" w:hAnsi="Arial" w:cs="Arial"/>
          <w:lang w:val="es-ES"/>
        </w:rPr>
        <w:t>habilitada</w:t>
      </w:r>
      <w:r w:rsidRPr="00E02234">
        <w:rPr>
          <w:rFonts w:ascii="Arial" w:eastAsia="Arial" w:hAnsi="Arial" w:cs="Arial"/>
          <w:spacing w:val="-16"/>
          <w:lang w:val="es-ES"/>
        </w:rPr>
        <w:t xml:space="preserve"> </w:t>
      </w:r>
      <w:r w:rsidRPr="00E02234">
        <w:rPr>
          <w:rFonts w:ascii="Arial" w:eastAsia="Arial" w:hAnsi="Arial" w:cs="Arial"/>
          <w:lang w:val="es-ES"/>
        </w:rPr>
        <w:t>legalmente</w:t>
      </w:r>
      <w:r w:rsidRPr="00E02234">
        <w:rPr>
          <w:rFonts w:ascii="Arial" w:eastAsia="Arial" w:hAnsi="Arial" w:cs="Arial"/>
          <w:spacing w:val="-16"/>
          <w:lang w:val="es-ES"/>
        </w:rPr>
        <w:t xml:space="preserve"> </w:t>
      </w:r>
      <w:r w:rsidRPr="00E02234">
        <w:rPr>
          <w:rFonts w:ascii="Arial" w:eastAsia="Arial" w:hAnsi="Arial" w:cs="Arial"/>
          <w:lang w:val="es-ES"/>
        </w:rPr>
        <w:t>para</w:t>
      </w:r>
      <w:r w:rsidRPr="00E02234">
        <w:rPr>
          <w:rFonts w:ascii="Arial" w:eastAsia="Arial" w:hAnsi="Arial" w:cs="Arial"/>
          <w:spacing w:val="-15"/>
          <w:lang w:val="es-ES"/>
        </w:rPr>
        <w:t xml:space="preserve"> </w:t>
      </w:r>
      <w:r w:rsidRPr="00E02234">
        <w:rPr>
          <w:rFonts w:ascii="Arial" w:eastAsia="Arial" w:hAnsi="Arial" w:cs="Arial"/>
          <w:lang w:val="es-ES"/>
        </w:rPr>
        <w:t>ejercerla en actividades catalogadas como ejercicio de la ingeniera, es la matriculada o inscrita en</w:t>
      </w:r>
      <w:r w:rsidRPr="00E02234">
        <w:rPr>
          <w:rFonts w:ascii="Arial" w:eastAsia="Arial" w:hAnsi="Arial" w:cs="Arial"/>
          <w:spacing w:val="-16"/>
          <w:lang w:val="es-ES"/>
        </w:rPr>
        <w:t xml:space="preserve"> </w:t>
      </w:r>
      <w:r w:rsidRPr="00E02234">
        <w:rPr>
          <w:rFonts w:ascii="Arial" w:eastAsia="Arial" w:hAnsi="Arial" w:cs="Arial"/>
          <w:lang w:val="es-ES"/>
        </w:rPr>
        <w:t>el</w:t>
      </w:r>
      <w:r w:rsidRPr="00E02234">
        <w:rPr>
          <w:rFonts w:ascii="Arial" w:eastAsia="Arial" w:hAnsi="Arial" w:cs="Arial"/>
          <w:spacing w:val="-16"/>
          <w:lang w:val="es-ES"/>
        </w:rPr>
        <w:t xml:space="preserve"> </w:t>
      </w:r>
      <w:r w:rsidRPr="00E02234">
        <w:rPr>
          <w:rFonts w:ascii="Arial" w:eastAsia="Arial" w:hAnsi="Arial" w:cs="Arial"/>
          <w:lang w:val="es-ES"/>
        </w:rPr>
        <w:t>Registro</w:t>
      </w:r>
      <w:r w:rsidRPr="00E02234">
        <w:rPr>
          <w:rFonts w:ascii="Arial" w:eastAsia="Arial" w:hAnsi="Arial" w:cs="Arial"/>
          <w:spacing w:val="-14"/>
          <w:lang w:val="es-ES"/>
        </w:rPr>
        <w:t xml:space="preserve"> </w:t>
      </w:r>
      <w:r w:rsidRPr="00E02234">
        <w:rPr>
          <w:rFonts w:ascii="Arial" w:eastAsia="Arial" w:hAnsi="Arial" w:cs="Arial"/>
          <w:lang w:val="es-ES"/>
        </w:rPr>
        <w:t>Profesional</w:t>
      </w:r>
      <w:r w:rsidRPr="00E02234">
        <w:rPr>
          <w:rFonts w:ascii="Arial" w:eastAsia="Arial" w:hAnsi="Arial" w:cs="Arial"/>
          <w:spacing w:val="-14"/>
          <w:lang w:val="es-ES"/>
        </w:rPr>
        <w:t xml:space="preserve"> </w:t>
      </w:r>
      <w:r w:rsidRPr="00E02234">
        <w:rPr>
          <w:rFonts w:ascii="Arial" w:eastAsia="Arial" w:hAnsi="Arial" w:cs="Arial"/>
          <w:lang w:val="es-ES"/>
        </w:rPr>
        <w:t>de</w:t>
      </w:r>
      <w:r w:rsidRPr="00E02234">
        <w:rPr>
          <w:rFonts w:ascii="Arial" w:eastAsia="Arial" w:hAnsi="Arial" w:cs="Arial"/>
          <w:spacing w:val="-15"/>
          <w:lang w:val="es-ES"/>
        </w:rPr>
        <w:t xml:space="preserve"> </w:t>
      </w:r>
      <w:r w:rsidRPr="00E02234">
        <w:rPr>
          <w:rFonts w:ascii="Arial" w:eastAsia="Arial" w:hAnsi="Arial" w:cs="Arial"/>
          <w:lang w:val="es-ES"/>
        </w:rPr>
        <w:t>ingenieros,</w:t>
      </w:r>
      <w:r w:rsidRPr="00E02234">
        <w:rPr>
          <w:rFonts w:ascii="Arial" w:eastAsia="Arial" w:hAnsi="Arial" w:cs="Arial"/>
          <w:spacing w:val="-15"/>
          <w:lang w:val="es-ES"/>
        </w:rPr>
        <w:t xml:space="preserve"> </w:t>
      </w:r>
      <w:r w:rsidRPr="00E02234">
        <w:rPr>
          <w:rFonts w:ascii="Arial" w:eastAsia="Arial" w:hAnsi="Arial" w:cs="Arial"/>
          <w:lang w:val="es-ES"/>
        </w:rPr>
        <w:t>y</w:t>
      </w:r>
      <w:r w:rsidRPr="00E02234">
        <w:rPr>
          <w:rFonts w:ascii="Arial" w:eastAsia="Arial" w:hAnsi="Arial" w:cs="Arial"/>
          <w:spacing w:val="-15"/>
          <w:lang w:val="es-ES"/>
        </w:rPr>
        <w:t xml:space="preserve"> </w:t>
      </w:r>
      <w:r w:rsidRPr="00E02234">
        <w:rPr>
          <w:rFonts w:ascii="Arial" w:eastAsia="Arial" w:hAnsi="Arial" w:cs="Arial"/>
          <w:lang w:val="es-ES"/>
        </w:rPr>
        <w:t>que</w:t>
      </w:r>
      <w:r w:rsidRPr="00E02234">
        <w:rPr>
          <w:rFonts w:ascii="Arial" w:eastAsia="Arial" w:hAnsi="Arial" w:cs="Arial"/>
          <w:spacing w:val="-16"/>
          <w:lang w:val="es-ES"/>
        </w:rPr>
        <w:t xml:space="preserve"> </w:t>
      </w:r>
      <w:r w:rsidRPr="00E02234">
        <w:rPr>
          <w:rFonts w:ascii="Arial" w:eastAsia="Arial" w:hAnsi="Arial" w:cs="Arial"/>
          <w:lang w:val="es-ES"/>
        </w:rPr>
        <w:t>por</w:t>
      </w:r>
      <w:r w:rsidRPr="00E02234">
        <w:rPr>
          <w:rFonts w:ascii="Arial" w:eastAsia="Arial" w:hAnsi="Arial" w:cs="Arial"/>
          <w:spacing w:val="-15"/>
          <w:lang w:val="es-ES"/>
        </w:rPr>
        <w:t xml:space="preserve"> </w:t>
      </w:r>
      <w:r w:rsidRPr="00E02234">
        <w:rPr>
          <w:rFonts w:ascii="Arial" w:eastAsia="Arial" w:hAnsi="Arial" w:cs="Arial"/>
          <w:lang w:val="es-ES"/>
        </w:rPr>
        <w:t>ende</w:t>
      </w:r>
      <w:r w:rsidRPr="00E02234">
        <w:rPr>
          <w:rFonts w:ascii="Arial" w:eastAsia="Arial" w:hAnsi="Arial" w:cs="Arial"/>
          <w:spacing w:val="-16"/>
          <w:lang w:val="es-ES"/>
        </w:rPr>
        <w:t xml:space="preserve"> </w:t>
      </w:r>
      <w:r w:rsidRPr="00E02234">
        <w:rPr>
          <w:rFonts w:ascii="Arial" w:eastAsia="Arial" w:hAnsi="Arial" w:cs="Arial"/>
          <w:lang w:val="es-ES"/>
        </w:rPr>
        <w:t>cuenta</w:t>
      </w:r>
      <w:r w:rsidRPr="00E02234">
        <w:rPr>
          <w:rFonts w:ascii="Arial" w:eastAsia="Arial" w:hAnsi="Arial" w:cs="Arial"/>
          <w:spacing w:val="-15"/>
          <w:lang w:val="es-ES"/>
        </w:rPr>
        <w:t xml:space="preserve"> </w:t>
      </w:r>
      <w:r w:rsidRPr="00E02234">
        <w:rPr>
          <w:rFonts w:ascii="Arial" w:eastAsia="Arial" w:hAnsi="Arial" w:cs="Arial"/>
          <w:lang w:val="es-ES"/>
        </w:rPr>
        <w:t>con</w:t>
      </w:r>
      <w:r w:rsidRPr="00E02234">
        <w:rPr>
          <w:rFonts w:ascii="Arial" w:eastAsia="Arial" w:hAnsi="Arial" w:cs="Arial"/>
          <w:spacing w:val="-16"/>
          <w:lang w:val="es-ES"/>
        </w:rPr>
        <w:t xml:space="preserve"> </w:t>
      </w:r>
      <w:r w:rsidRPr="00E02234">
        <w:rPr>
          <w:rFonts w:ascii="Arial" w:eastAsia="Arial" w:hAnsi="Arial" w:cs="Arial"/>
          <w:lang w:val="es-ES"/>
        </w:rPr>
        <w:t>un</w:t>
      </w:r>
      <w:r w:rsidRPr="00E02234">
        <w:rPr>
          <w:rFonts w:ascii="Arial" w:eastAsia="Arial" w:hAnsi="Arial" w:cs="Arial"/>
          <w:spacing w:val="-15"/>
          <w:lang w:val="es-ES"/>
        </w:rPr>
        <w:t xml:space="preserve"> </w:t>
      </w:r>
      <w:r w:rsidRPr="00E02234">
        <w:rPr>
          <w:rFonts w:ascii="Arial" w:eastAsia="Arial" w:hAnsi="Arial" w:cs="Arial"/>
          <w:lang w:val="es-ES"/>
        </w:rPr>
        <w:t>título</w:t>
      </w:r>
      <w:r w:rsidRPr="00E02234">
        <w:rPr>
          <w:rFonts w:ascii="Arial" w:eastAsia="Arial" w:hAnsi="Arial" w:cs="Arial"/>
          <w:spacing w:val="-15"/>
          <w:lang w:val="es-ES"/>
        </w:rPr>
        <w:t xml:space="preserve"> </w:t>
      </w:r>
      <w:r w:rsidRPr="00E02234">
        <w:rPr>
          <w:rFonts w:ascii="Arial" w:eastAsia="Arial" w:hAnsi="Arial" w:cs="Arial"/>
          <w:lang w:val="es-ES"/>
        </w:rPr>
        <w:t>profesional</w:t>
      </w:r>
      <w:r w:rsidRPr="00E02234">
        <w:rPr>
          <w:rFonts w:ascii="Arial" w:eastAsia="Arial" w:hAnsi="Arial" w:cs="Arial"/>
          <w:vertAlign w:val="superscript"/>
          <w:lang w:val="es-ES"/>
        </w:rPr>
        <w:footnoteReference w:id="13"/>
      </w:r>
      <w:r w:rsidRPr="00E02234">
        <w:rPr>
          <w:rFonts w:ascii="Arial" w:eastAsia="Arial" w:hAnsi="Arial" w:cs="Arial"/>
          <w:lang w:val="es-ES"/>
        </w:rPr>
        <w:t>.</w:t>
      </w:r>
      <w:r w:rsidRPr="00E02234">
        <w:rPr>
          <w:rFonts w:ascii="Arial" w:eastAsia="Arial" w:hAnsi="Arial" w:cs="Arial"/>
          <w:spacing w:val="-6"/>
          <w:lang w:val="es-ES"/>
        </w:rPr>
        <w:t xml:space="preserve"> </w:t>
      </w:r>
      <w:r w:rsidRPr="00E02234">
        <w:rPr>
          <w:rFonts w:ascii="Arial" w:eastAsia="Arial" w:hAnsi="Arial" w:cs="Arial"/>
          <w:lang w:val="es-ES"/>
        </w:rPr>
        <w:t>En</w:t>
      </w:r>
      <w:r w:rsidRPr="00E02234">
        <w:rPr>
          <w:rFonts w:ascii="Arial" w:eastAsia="Arial" w:hAnsi="Arial" w:cs="Arial"/>
          <w:spacing w:val="-6"/>
          <w:lang w:val="es-ES"/>
        </w:rPr>
        <w:t xml:space="preserve"> </w:t>
      </w:r>
      <w:r w:rsidRPr="00E02234">
        <w:rPr>
          <w:rFonts w:ascii="Arial" w:eastAsia="Arial" w:hAnsi="Arial" w:cs="Arial"/>
          <w:lang w:val="es-ES"/>
        </w:rPr>
        <w:t>estos</w:t>
      </w:r>
      <w:r w:rsidRPr="00E02234">
        <w:rPr>
          <w:rFonts w:ascii="Arial" w:eastAsia="Arial" w:hAnsi="Arial" w:cs="Arial"/>
          <w:spacing w:val="-6"/>
          <w:lang w:val="es-ES"/>
        </w:rPr>
        <w:t xml:space="preserve"> </w:t>
      </w:r>
      <w:r w:rsidRPr="00E02234">
        <w:rPr>
          <w:rFonts w:ascii="Arial" w:eastAsia="Arial" w:hAnsi="Arial" w:cs="Arial"/>
          <w:lang w:val="es-ES"/>
        </w:rPr>
        <w:t>términos,</w:t>
      </w:r>
      <w:r w:rsidRPr="00E02234">
        <w:rPr>
          <w:rFonts w:ascii="Arial" w:eastAsia="Arial" w:hAnsi="Arial" w:cs="Arial"/>
          <w:spacing w:val="-5"/>
          <w:lang w:val="es-ES"/>
        </w:rPr>
        <w:t xml:space="preserve"> </w:t>
      </w:r>
      <w:r w:rsidRPr="00E02234">
        <w:rPr>
          <w:rFonts w:ascii="Arial" w:eastAsia="Arial" w:hAnsi="Arial" w:cs="Arial"/>
          <w:lang w:val="es-ES"/>
        </w:rPr>
        <w:t>no</w:t>
      </w:r>
      <w:r w:rsidRPr="00E02234">
        <w:rPr>
          <w:rFonts w:ascii="Arial" w:eastAsia="Arial" w:hAnsi="Arial" w:cs="Arial"/>
          <w:spacing w:val="-5"/>
          <w:lang w:val="es-ES"/>
        </w:rPr>
        <w:t xml:space="preserve"> </w:t>
      </w:r>
      <w:r w:rsidRPr="00E02234">
        <w:rPr>
          <w:rFonts w:ascii="Arial" w:eastAsia="Arial" w:hAnsi="Arial" w:cs="Arial"/>
          <w:lang w:val="es-ES"/>
        </w:rPr>
        <w:t>todas</w:t>
      </w:r>
      <w:r w:rsidRPr="00E02234">
        <w:rPr>
          <w:rFonts w:ascii="Arial" w:eastAsia="Arial" w:hAnsi="Arial" w:cs="Arial"/>
          <w:spacing w:val="-5"/>
          <w:lang w:val="es-ES"/>
        </w:rPr>
        <w:t xml:space="preserve"> </w:t>
      </w:r>
      <w:r w:rsidRPr="00E02234">
        <w:rPr>
          <w:rFonts w:ascii="Arial" w:eastAsia="Arial" w:hAnsi="Arial" w:cs="Arial"/>
          <w:lang w:val="es-ES"/>
        </w:rPr>
        <w:t>las</w:t>
      </w:r>
      <w:r w:rsidRPr="00E02234">
        <w:rPr>
          <w:rFonts w:ascii="Arial" w:eastAsia="Arial" w:hAnsi="Arial" w:cs="Arial"/>
          <w:spacing w:val="-6"/>
          <w:lang w:val="es-ES"/>
        </w:rPr>
        <w:t xml:space="preserve"> </w:t>
      </w:r>
      <w:r w:rsidRPr="00E02234">
        <w:rPr>
          <w:rFonts w:ascii="Arial" w:eastAsia="Arial" w:hAnsi="Arial" w:cs="Arial"/>
          <w:lang w:val="es-ES"/>
        </w:rPr>
        <w:t>actividades</w:t>
      </w:r>
      <w:r w:rsidRPr="00E02234">
        <w:rPr>
          <w:rFonts w:ascii="Arial" w:eastAsia="Arial" w:hAnsi="Arial" w:cs="Arial"/>
          <w:spacing w:val="-6"/>
          <w:lang w:val="es-ES"/>
        </w:rPr>
        <w:t xml:space="preserve"> </w:t>
      </w:r>
      <w:r w:rsidRPr="00E02234">
        <w:rPr>
          <w:rFonts w:ascii="Arial" w:eastAsia="Arial" w:hAnsi="Arial" w:cs="Arial"/>
          <w:lang w:val="es-ES"/>
        </w:rPr>
        <w:t>relacionadas</w:t>
      </w:r>
      <w:r w:rsidRPr="00E02234">
        <w:rPr>
          <w:rFonts w:ascii="Arial" w:eastAsia="Arial" w:hAnsi="Arial" w:cs="Arial"/>
          <w:spacing w:val="-5"/>
          <w:lang w:val="es-ES"/>
        </w:rPr>
        <w:t xml:space="preserve"> </w:t>
      </w:r>
      <w:r w:rsidRPr="00E02234">
        <w:rPr>
          <w:rFonts w:ascii="Arial" w:eastAsia="Arial" w:hAnsi="Arial" w:cs="Arial"/>
          <w:lang w:val="es-ES"/>
        </w:rPr>
        <w:t>con</w:t>
      </w:r>
      <w:r w:rsidRPr="00E02234">
        <w:rPr>
          <w:rFonts w:ascii="Arial" w:eastAsia="Arial" w:hAnsi="Arial" w:cs="Arial"/>
          <w:spacing w:val="-6"/>
          <w:lang w:val="es-ES"/>
        </w:rPr>
        <w:t xml:space="preserve"> </w:t>
      </w:r>
      <w:r w:rsidRPr="00E02234">
        <w:rPr>
          <w:rFonts w:ascii="Arial" w:eastAsia="Arial" w:hAnsi="Arial" w:cs="Arial"/>
          <w:lang w:val="es-ES"/>
        </w:rPr>
        <w:t>la</w:t>
      </w:r>
      <w:r w:rsidRPr="00E02234">
        <w:rPr>
          <w:rFonts w:ascii="Arial" w:eastAsia="Arial" w:hAnsi="Arial" w:cs="Arial"/>
          <w:spacing w:val="-6"/>
          <w:lang w:val="es-ES"/>
        </w:rPr>
        <w:t xml:space="preserve"> </w:t>
      </w:r>
      <w:r w:rsidRPr="00E02234">
        <w:rPr>
          <w:rFonts w:ascii="Arial" w:eastAsia="Arial" w:hAnsi="Arial" w:cs="Arial"/>
          <w:lang w:val="es-ES"/>
        </w:rPr>
        <w:t>construcción</w:t>
      </w:r>
      <w:r w:rsidRPr="00E02234">
        <w:rPr>
          <w:rFonts w:ascii="Arial" w:eastAsia="Arial" w:hAnsi="Arial" w:cs="Arial"/>
          <w:spacing w:val="-6"/>
          <w:lang w:val="es-ES"/>
        </w:rPr>
        <w:t xml:space="preserve"> </w:t>
      </w:r>
      <w:r w:rsidRPr="00E02234">
        <w:rPr>
          <w:rFonts w:ascii="Arial" w:eastAsia="Arial" w:hAnsi="Arial" w:cs="Arial"/>
          <w:lang w:val="es-ES"/>
        </w:rPr>
        <w:t>pueden desarrollarlas profesionales diferentes a ingenieros, pues el ejercicio de actividades de dicha</w:t>
      </w:r>
      <w:r w:rsidRPr="00E02234">
        <w:rPr>
          <w:rFonts w:ascii="Arial" w:eastAsia="Arial" w:hAnsi="Arial" w:cs="Arial"/>
          <w:spacing w:val="-11"/>
          <w:lang w:val="es-ES"/>
        </w:rPr>
        <w:t xml:space="preserve"> </w:t>
      </w:r>
      <w:r w:rsidRPr="00E02234">
        <w:rPr>
          <w:rFonts w:ascii="Arial" w:eastAsia="Arial" w:hAnsi="Arial" w:cs="Arial"/>
          <w:lang w:val="es-ES"/>
        </w:rPr>
        <w:t>categoría</w:t>
      </w:r>
      <w:r w:rsidRPr="00E02234">
        <w:rPr>
          <w:rFonts w:ascii="Arial" w:eastAsia="Arial" w:hAnsi="Arial" w:cs="Arial"/>
          <w:spacing w:val="-11"/>
          <w:lang w:val="es-ES"/>
        </w:rPr>
        <w:t xml:space="preserve"> </w:t>
      </w:r>
      <w:r w:rsidRPr="00E02234">
        <w:rPr>
          <w:rFonts w:ascii="Arial" w:eastAsia="Arial" w:hAnsi="Arial" w:cs="Arial"/>
          <w:lang w:val="es-ES"/>
        </w:rPr>
        <w:t>supone</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1"/>
          <w:lang w:val="es-ES"/>
        </w:rPr>
        <w:t xml:space="preserve"> </w:t>
      </w:r>
      <w:r w:rsidRPr="00E02234">
        <w:rPr>
          <w:rFonts w:ascii="Arial" w:eastAsia="Arial" w:hAnsi="Arial" w:cs="Arial"/>
          <w:lang w:val="es-ES"/>
        </w:rPr>
        <w:t>existencia</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1"/>
          <w:lang w:val="es-ES"/>
        </w:rPr>
        <w:t xml:space="preserve"> </w:t>
      </w:r>
      <w:r w:rsidRPr="00E02234">
        <w:rPr>
          <w:rFonts w:ascii="Arial" w:eastAsia="Arial" w:hAnsi="Arial" w:cs="Arial"/>
          <w:lang w:val="es-ES"/>
        </w:rPr>
        <w:t>idoneidad</w:t>
      </w:r>
      <w:r w:rsidRPr="00E02234">
        <w:rPr>
          <w:rFonts w:ascii="Arial" w:eastAsia="Arial" w:hAnsi="Arial" w:cs="Arial"/>
          <w:spacing w:val="-11"/>
          <w:lang w:val="es-ES"/>
        </w:rPr>
        <w:t xml:space="preserve"> </w:t>
      </w:r>
      <w:r w:rsidRPr="00E02234">
        <w:rPr>
          <w:rFonts w:ascii="Arial" w:eastAsia="Arial" w:hAnsi="Arial" w:cs="Arial"/>
          <w:lang w:val="es-ES"/>
        </w:rPr>
        <w:t>y</w:t>
      </w:r>
      <w:r w:rsidRPr="00E02234">
        <w:rPr>
          <w:rFonts w:ascii="Arial" w:eastAsia="Arial" w:hAnsi="Arial" w:cs="Arial"/>
          <w:spacing w:val="-11"/>
          <w:lang w:val="es-ES"/>
        </w:rPr>
        <w:t xml:space="preserve"> </w:t>
      </w:r>
      <w:r w:rsidRPr="00E02234">
        <w:rPr>
          <w:rFonts w:ascii="Arial" w:eastAsia="Arial" w:hAnsi="Arial" w:cs="Arial"/>
          <w:lang w:val="es-ES"/>
        </w:rPr>
        <w:t>conocimientos</w:t>
      </w:r>
      <w:r w:rsidRPr="00E02234">
        <w:rPr>
          <w:rFonts w:ascii="Arial" w:eastAsia="Arial" w:hAnsi="Arial" w:cs="Arial"/>
          <w:spacing w:val="-11"/>
          <w:lang w:val="es-ES"/>
        </w:rPr>
        <w:t xml:space="preserve"> </w:t>
      </w:r>
      <w:r w:rsidRPr="00E02234">
        <w:rPr>
          <w:rFonts w:ascii="Arial" w:eastAsia="Arial" w:hAnsi="Arial" w:cs="Arial"/>
          <w:lang w:val="es-ES"/>
        </w:rPr>
        <w:t>adquiridos</w:t>
      </w:r>
      <w:r w:rsidRPr="00E02234">
        <w:rPr>
          <w:rFonts w:ascii="Arial" w:eastAsia="Arial" w:hAnsi="Arial" w:cs="Arial"/>
          <w:spacing w:val="-11"/>
          <w:lang w:val="es-ES"/>
        </w:rPr>
        <w:t xml:space="preserve"> </w:t>
      </w:r>
      <w:r w:rsidRPr="00E02234">
        <w:rPr>
          <w:rFonts w:ascii="Arial" w:eastAsia="Arial" w:hAnsi="Arial" w:cs="Arial"/>
          <w:lang w:val="es-ES"/>
        </w:rPr>
        <w:t>por</w:t>
      </w:r>
      <w:r w:rsidRPr="00E02234">
        <w:rPr>
          <w:rFonts w:ascii="Arial" w:eastAsia="Arial" w:hAnsi="Arial" w:cs="Arial"/>
          <w:spacing w:val="-11"/>
          <w:lang w:val="es-ES"/>
        </w:rPr>
        <w:t xml:space="preserve"> </w:t>
      </w:r>
      <w:r w:rsidRPr="00E02234">
        <w:rPr>
          <w:rFonts w:ascii="Arial" w:eastAsia="Arial" w:hAnsi="Arial" w:cs="Arial"/>
          <w:lang w:val="es-ES"/>
        </w:rPr>
        <w:t>los profesionales de</w:t>
      </w:r>
      <w:r w:rsidRPr="00E02234">
        <w:rPr>
          <w:rFonts w:ascii="Arial" w:eastAsia="Arial" w:hAnsi="Arial" w:cs="Arial"/>
          <w:spacing w:val="-3"/>
          <w:lang w:val="es-ES"/>
        </w:rPr>
        <w:t xml:space="preserve"> </w:t>
      </w:r>
      <w:r w:rsidRPr="00E02234">
        <w:rPr>
          <w:rFonts w:ascii="Arial" w:eastAsia="Arial" w:hAnsi="Arial" w:cs="Arial"/>
          <w:lang w:val="es-ES"/>
        </w:rPr>
        <w:t>ingeniería.</w:t>
      </w:r>
    </w:p>
    <w:p w14:paraId="5B56A365"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 xml:space="preserve">Ahora, si bien el artículo 20 </w:t>
      </w:r>
      <w:proofErr w:type="spellStart"/>
      <w:r w:rsidRPr="00E02234">
        <w:rPr>
          <w:rFonts w:ascii="Arial" w:eastAsia="Arial" w:hAnsi="Arial" w:cs="Arial"/>
          <w:i/>
          <w:lang w:val="es-ES"/>
        </w:rPr>
        <w:t>ibídem</w:t>
      </w:r>
      <w:proofErr w:type="spellEnd"/>
      <w:r w:rsidRPr="00E02234">
        <w:rPr>
          <w:rFonts w:ascii="Arial" w:eastAsia="Arial" w:hAnsi="Arial" w:cs="Arial"/>
          <w:i/>
          <w:lang w:val="es-ES"/>
        </w:rPr>
        <w:t xml:space="preserve"> </w:t>
      </w:r>
      <w:r w:rsidRPr="00E02234">
        <w:rPr>
          <w:rFonts w:ascii="Arial" w:eastAsia="Arial" w:hAnsi="Arial" w:cs="Arial"/>
          <w:lang w:val="es-ES"/>
        </w:rPr>
        <w:t>regula la posibilidad de que, en el marco de procesos de contratación, personas que no ostentan la calidad de ingenieros o ingenieras, presenten propuestas avaladas por un profesional en la rama de la ingeniería cuyo ejercicio compete a la ejecución del eventual contrato, lo cierto es que, dicha posibilidad, de conformidad con los conceptos emitidos por el COPNIA, en virtud de la facultad del literal i) del artículo 26 de la Ley 842 de 2003, así como los emitidos por</w:t>
      </w:r>
      <w:r w:rsidRPr="00E02234">
        <w:rPr>
          <w:rFonts w:ascii="Arial" w:eastAsia="Arial" w:hAnsi="Arial" w:cs="Arial"/>
          <w:spacing w:val="-17"/>
          <w:lang w:val="es-ES"/>
        </w:rPr>
        <w:t xml:space="preserve"> </w:t>
      </w:r>
      <w:r w:rsidRPr="00E02234">
        <w:rPr>
          <w:rFonts w:ascii="Arial" w:eastAsia="Arial" w:hAnsi="Arial" w:cs="Arial"/>
          <w:lang w:val="es-ES"/>
        </w:rPr>
        <w:t>esta</w:t>
      </w:r>
      <w:r w:rsidRPr="00E02234">
        <w:rPr>
          <w:rFonts w:ascii="Arial" w:eastAsia="Arial" w:hAnsi="Arial" w:cs="Arial"/>
          <w:spacing w:val="-17"/>
          <w:lang w:val="es-ES"/>
        </w:rPr>
        <w:t xml:space="preserve"> </w:t>
      </w:r>
      <w:r w:rsidRPr="00E02234">
        <w:rPr>
          <w:rFonts w:ascii="Arial" w:eastAsia="Arial" w:hAnsi="Arial" w:cs="Arial"/>
          <w:lang w:val="es-ES"/>
        </w:rPr>
        <w:t>Agencia</w:t>
      </w:r>
      <w:r w:rsidRPr="00E02234">
        <w:rPr>
          <w:rFonts w:ascii="Arial" w:eastAsia="Arial" w:hAnsi="Arial" w:cs="Arial"/>
          <w:spacing w:val="-16"/>
          <w:lang w:val="es-ES"/>
        </w:rPr>
        <w:t xml:space="preserve"> </w:t>
      </w:r>
      <w:r w:rsidRPr="00E02234">
        <w:rPr>
          <w:rFonts w:ascii="Arial" w:eastAsia="Arial" w:hAnsi="Arial" w:cs="Arial"/>
          <w:lang w:val="es-ES"/>
        </w:rPr>
        <w:t>conforme</w:t>
      </w:r>
      <w:r w:rsidRPr="00E02234">
        <w:rPr>
          <w:rFonts w:ascii="Arial" w:eastAsia="Arial" w:hAnsi="Arial" w:cs="Arial"/>
          <w:spacing w:val="-16"/>
          <w:lang w:val="es-ES"/>
        </w:rPr>
        <w:t xml:space="preserve"> </w:t>
      </w:r>
      <w:r w:rsidRPr="00E02234">
        <w:rPr>
          <w:rFonts w:ascii="Arial" w:eastAsia="Arial" w:hAnsi="Arial" w:cs="Arial"/>
          <w:lang w:val="es-ES"/>
        </w:rPr>
        <w:t>a</w:t>
      </w:r>
      <w:r w:rsidRPr="00E02234">
        <w:rPr>
          <w:rFonts w:ascii="Arial" w:eastAsia="Arial" w:hAnsi="Arial" w:cs="Arial"/>
          <w:spacing w:val="-17"/>
          <w:lang w:val="es-ES"/>
        </w:rPr>
        <w:t xml:space="preserve"> </w:t>
      </w:r>
      <w:r w:rsidRPr="00E02234">
        <w:rPr>
          <w:rFonts w:ascii="Arial" w:eastAsia="Arial" w:hAnsi="Arial" w:cs="Arial"/>
          <w:lang w:val="es-ES"/>
        </w:rPr>
        <w:t>los</w:t>
      </w:r>
      <w:r w:rsidRPr="00E02234">
        <w:rPr>
          <w:rFonts w:ascii="Arial" w:eastAsia="Arial" w:hAnsi="Arial" w:cs="Arial"/>
          <w:spacing w:val="-17"/>
          <w:lang w:val="es-ES"/>
        </w:rPr>
        <w:t xml:space="preserve"> </w:t>
      </w:r>
      <w:r w:rsidRPr="00E02234">
        <w:rPr>
          <w:rFonts w:ascii="Arial" w:eastAsia="Arial" w:hAnsi="Arial" w:cs="Arial"/>
          <w:lang w:val="es-ES"/>
        </w:rPr>
        <w:t>numerales</w:t>
      </w:r>
      <w:r w:rsidRPr="00E02234">
        <w:rPr>
          <w:rFonts w:ascii="Arial" w:eastAsia="Arial" w:hAnsi="Arial" w:cs="Arial"/>
          <w:spacing w:val="-16"/>
          <w:lang w:val="es-ES"/>
        </w:rPr>
        <w:t xml:space="preserve"> </w:t>
      </w:r>
      <w:r w:rsidRPr="00E02234">
        <w:rPr>
          <w:rFonts w:ascii="Arial" w:eastAsia="Arial" w:hAnsi="Arial" w:cs="Arial"/>
          <w:lang w:val="es-ES"/>
        </w:rPr>
        <w:t>5</w:t>
      </w:r>
      <w:r w:rsidRPr="00E02234">
        <w:rPr>
          <w:rFonts w:ascii="Arial" w:eastAsia="Arial" w:hAnsi="Arial" w:cs="Arial"/>
          <w:spacing w:val="-17"/>
          <w:lang w:val="es-ES"/>
        </w:rPr>
        <w:t xml:space="preserve"> </w:t>
      </w:r>
      <w:r w:rsidRPr="00E02234">
        <w:rPr>
          <w:rFonts w:ascii="Arial" w:eastAsia="Arial" w:hAnsi="Arial" w:cs="Arial"/>
          <w:lang w:val="es-ES"/>
        </w:rPr>
        <w:t>del</w:t>
      </w:r>
      <w:r w:rsidRPr="00E02234">
        <w:rPr>
          <w:rFonts w:ascii="Arial" w:eastAsia="Arial" w:hAnsi="Arial" w:cs="Arial"/>
          <w:spacing w:val="-17"/>
          <w:lang w:val="es-ES"/>
        </w:rPr>
        <w:t xml:space="preserve"> </w:t>
      </w:r>
      <w:r w:rsidRPr="00E02234">
        <w:rPr>
          <w:rFonts w:ascii="Arial" w:eastAsia="Arial" w:hAnsi="Arial" w:cs="Arial"/>
          <w:lang w:val="es-ES"/>
        </w:rPr>
        <w:t>artículo</w:t>
      </w:r>
      <w:r w:rsidRPr="00E02234">
        <w:rPr>
          <w:rFonts w:ascii="Arial" w:eastAsia="Arial" w:hAnsi="Arial" w:cs="Arial"/>
          <w:spacing w:val="-16"/>
          <w:lang w:val="es-ES"/>
        </w:rPr>
        <w:t xml:space="preserve"> </w:t>
      </w:r>
      <w:r w:rsidRPr="00E02234">
        <w:rPr>
          <w:rFonts w:ascii="Arial" w:eastAsia="Arial" w:hAnsi="Arial" w:cs="Arial"/>
          <w:lang w:val="es-ES"/>
        </w:rPr>
        <w:t>3</w:t>
      </w:r>
      <w:r w:rsidRPr="00E02234">
        <w:rPr>
          <w:rFonts w:ascii="Arial" w:eastAsia="Arial" w:hAnsi="Arial" w:cs="Arial"/>
          <w:spacing w:val="-17"/>
          <w:lang w:val="es-ES"/>
        </w:rPr>
        <w:t xml:space="preserve"> </w:t>
      </w:r>
      <w:r w:rsidRPr="00E02234">
        <w:rPr>
          <w:rFonts w:ascii="Arial" w:eastAsia="Arial" w:hAnsi="Arial" w:cs="Arial"/>
          <w:lang w:val="es-ES"/>
        </w:rPr>
        <w:t>y</w:t>
      </w:r>
      <w:r w:rsidRPr="00E02234">
        <w:rPr>
          <w:rFonts w:ascii="Arial" w:eastAsia="Arial" w:hAnsi="Arial" w:cs="Arial"/>
          <w:spacing w:val="-17"/>
          <w:lang w:val="es-ES"/>
        </w:rPr>
        <w:t xml:space="preserve"> </w:t>
      </w:r>
      <w:r w:rsidRPr="00E02234">
        <w:rPr>
          <w:rFonts w:ascii="Arial" w:eastAsia="Arial" w:hAnsi="Arial" w:cs="Arial"/>
          <w:lang w:val="es-ES"/>
        </w:rPr>
        <w:t>8</w:t>
      </w:r>
      <w:r w:rsidRPr="00E02234">
        <w:rPr>
          <w:rFonts w:ascii="Arial" w:eastAsia="Arial" w:hAnsi="Arial" w:cs="Arial"/>
          <w:spacing w:val="-16"/>
          <w:lang w:val="es-ES"/>
        </w:rPr>
        <w:t xml:space="preserve"> </w:t>
      </w:r>
      <w:r w:rsidRPr="00E02234">
        <w:rPr>
          <w:rFonts w:ascii="Arial" w:eastAsia="Arial" w:hAnsi="Arial" w:cs="Arial"/>
          <w:lang w:val="es-ES"/>
        </w:rPr>
        <w:t>del</w:t>
      </w:r>
      <w:r w:rsidRPr="00E02234">
        <w:rPr>
          <w:rFonts w:ascii="Arial" w:eastAsia="Arial" w:hAnsi="Arial" w:cs="Arial"/>
          <w:spacing w:val="-17"/>
          <w:lang w:val="es-ES"/>
        </w:rPr>
        <w:t xml:space="preserve"> </w:t>
      </w:r>
      <w:r w:rsidRPr="00E02234">
        <w:rPr>
          <w:rFonts w:ascii="Arial" w:eastAsia="Arial" w:hAnsi="Arial" w:cs="Arial"/>
          <w:lang w:val="es-ES"/>
        </w:rPr>
        <w:t>artículo</w:t>
      </w:r>
      <w:r w:rsidRPr="00E02234">
        <w:rPr>
          <w:rFonts w:ascii="Arial" w:eastAsia="Arial" w:hAnsi="Arial" w:cs="Arial"/>
          <w:spacing w:val="-17"/>
          <w:lang w:val="es-ES"/>
        </w:rPr>
        <w:t xml:space="preserve"> </w:t>
      </w:r>
      <w:r w:rsidRPr="00E02234">
        <w:rPr>
          <w:rFonts w:ascii="Arial" w:eastAsia="Arial" w:hAnsi="Arial" w:cs="Arial"/>
          <w:lang w:val="es-ES"/>
        </w:rPr>
        <w:t>11</w:t>
      </w:r>
      <w:r w:rsidRPr="00E02234">
        <w:rPr>
          <w:rFonts w:ascii="Arial" w:eastAsia="Arial" w:hAnsi="Arial" w:cs="Arial"/>
          <w:spacing w:val="-16"/>
          <w:lang w:val="es-ES"/>
        </w:rPr>
        <w:t xml:space="preserve"> </w:t>
      </w:r>
      <w:r w:rsidRPr="00E02234">
        <w:rPr>
          <w:rFonts w:ascii="Arial" w:eastAsia="Arial" w:hAnsi="Arial" w:cs="Arial"/>
          <w:lang w:val="es-ES"/>
        </w:rPr>
        <w:t>del</w:t>
      </w:r>
      <w:r w:rsidRPr="00E02234">
        <w:rPr>
          <w:rFonts w:ascii="Arial" w:eastAsia="Arial" w:hAnsi="Arial" w:cs="Arial"/>
          <w:spacing w:val="-17"/>
          <w:lang w:val="es-ES"/>
        </w:rPr>
        <w:t xml:space="preserve"> </w:t>
      </w:r>
      <w:r w:rsidRPr="00E02234">
        <w:rPr>
          <w:rFonts w:ascii="Arial" w:eastAsia="Arial" w:hAnsi="Arial" w:cs="Arial"/>
          <w:lang w:val="es-ES"/>
        </w:rPr>
        <w:t>Decreto 4170 de 2011, ha sido limitada a las personas jurídicas. Esto en el entendido de que son</w:t>
      </w:r>
      <w:r w:rsidRPr="00E02234">
        <w:rPr>
          <w:rFonts w:ascii="Arial" w:eastAsia="Arial" w:hAnsi="Arial" w:cs="Arial"/>
          <w:spacing w:val="-6"/>
          <w:lang w:val="es-ES"/>
        </w:rPr>
        <w:t xml:space="preserve"> </w:t>
      </w:r>
      <w:r w:rsidRPr="00E02234">
        <w:rPr>
          <w:rFonts w:ascii="Arial" w:eastAsia="Arial" w:hAnsi="Arial" w:cs="Arial"/>
          <w:lang w:val="es-ES"/>
        </w:rPr>
        <w:t>las</w:t>
      </w:r>
      <w:r w:rsidRPr="00E02234">
        <w:rPr>
          <w:rFonts w:ascii="Arial" w:eastAsia="Arial" w:hAnsi="Arial" w:cs="Arial"/>
          <w:spacing w:val="-5"/>
          <w:lang w:val="es-ES"/>
        </w:rPr>
        <w:t xml:space="preserve"> </w:t>
      </w:r>
      <w:r w:rsidRPr="00E02234">
        <w:rPr>
          <w:rFonts w:ascii="Arial" w:eastAsia="Arial" w:hAnsi="Arial" w:cs="Arial"/>
          <w:lang w:val="es-ES"/>
        </w:rPr>
        <w:t>personas</w:t>
      </w:r>
      <w:r w:rsidRPr="00E02234">
        <w:rPr>
          <w:rFonts w:ascii="Arial" w:eastAsia="Arial" w:hAnsi="Arial" w:cs="Arial"/>
          <w:spacing w:val="-5"/>
          <w:lang w:val="es-ES"/>
        </w:rPr>
        <w:t xml:space="preserve"> </w:t>
      </w:r>
      <w:r w:rsidRPr="00E02234">
        <w:rPr>
          <w:rFonts w:ascii="Arial" w:eastAsia="Arial" w:hAnsi="Arial" w:cs="Arial"/>
          <w:lang w:val="es-ES"/>
        </w:rPr>
        <w:t>jurídicas</w:t>
      </w:r>
      <w:r w:rsidRPr="00E02234">
        <w:rPr>
          <w:rFonts w:ascii="Arial" w:eastAsia="Arial" w:hAnsi="Arial" w:cs="Arial"/>
          <w:spacing w:val="-5"/>
          <w:lang w:val="es-ES"/>
        </w:rPr>
        <w:t xml:space="preserve"> </w:t>
      </w:r>
      <w:r w:rsidRPr="00E02234">
        <w:rPr>
          <w:rFonts w:ascii="Arial" w:eastAsia="Arial" w:hAnsi="Arial" w:cs="Arial"/>
          <w:lang w:val="es-ES"/>
        </w:rPr>
        <w:t>quienes</w:t>
      </w:r>
      <w:r w:rsidRPr="00E02234">
        <w:rPr>
          <w:rFonts w:ascii="Arial" w:eastAsia="Arial" w:hAnsi="Arial" w:cs="Arial"/>
          <w:spacing w:val="-6"/>
          <w:lang w:val="es-ES"/>
        </w:rPr>
        <w:t xml:space="preserve"> </w:t>
      </w:r>
      <w:r w:rsidRPr="00E02234">
        <w:rPr>
          <w:rFonts w:ascii="Arial" w:eastAsia="Arial" w:hAnsi="Arial" w:cs="Arial"/>
          <w:lang w:val="es-ES"/>
        </w:rPr>
        <w:t>por</w:t>
      </w:r>
      <w:r w:rsidRPr="00E02234">
        <w:rPr>
          <w:rFonts w:ascii="Arial" w:eastAsia="Arial" w:hAnsi="Arial" w:cs="Arial"/>
          <w:spacing w:val="-5"/>
          <w:lang w:val="es-ES"/>
        </w:rPr>
        <w:t xml:space="preserve"> </w:t>
      </w:r>
      <w:r w:rsidRPr="00E02234">
        <w:rPr>
          <w:rFonts w:ascii="Arial" w:eastAsia="Arial" w:hAnsi="Arial" w:cs="Arial"/>
          <w:lang w:val="es-ES"/>
        </w:rPr>
        <w:t>su</w:t>
      </w:r>
      <w:r w:rsidRPr="00E02234">
        <w:rPr>
          <w:rFonts w:ascii="Arial" w:eastAsia="Arial" w:hAnsi="Arial" w:cs="Arial"/>
          <w:spacing w:val="-5"/>
          <w:lang w:val="es-ES"/>
        </w:rPr>
        <w:t xml:space="preserve"> </w:t>
      </w:r>
      <w:r w:rsidRPr="00E02234">
        <w:rPr>
          <w:rFonts w:ascii="Arial" w:eastAsia="Arial" w:hAnsi="Arial" w:cs="Arial"/>
          <w:lang w:val="es-ES"/>
        </w:rPr>
        <w:t>naturaleza</w:t>
      </w:r>
      <w:r w:rsidRPr="00E02234">
        <w:rPr>
          <w:rFonts w:ascii="Arial" w:eastAsia="Arial" w:hAnsi="Arial" w:cs="Arial"/>
          <w:spacing w:val="-5"/>
          <w:lang w:val="es-ES"/>
        </w:rPr>
        <w:t xml:space="preserve"> </w:t>
      </w:r>
      <w:r w:rsidRPr="00E02234">
        <w:rPr>
          <w:rFonts w:ascii="Arial" w:eastAsia="Arial" w:hAnsi="Arial" w:cs="Arial"/>
          <w:lang w:val="es-ES"/>
        </w:rPr>
        <w:t>jurídica</w:t>
      </w:r>
      <w:r w:rsidRPr="00E02234">
        <w:rPr>
          <w:rFonts w:ascii="Arial" w:eastAsia="Arial" w:hAnsi="Arial" w:cs="Arial"/>
          <w:spacing w:val="-6"/>
          <w:lang w:val="es-ES"/>
        </w:rPr>
        <w:t xml:space="preserve"> </w:t>
      </w:r>
      <w:r w:rsidRPr="00E02234">
        <w:rPr>
          <w:rFonts w:ascii="Arial" w:eastAsia="Arial" w:hAnsi="Arial" w:cs="Arial"/>
          <w:lang w:val="es-ES"/>
        </w:rPr>
        <w:t>no</w:t>
      </w:r>
      <w:r w:rsidRPr="00E02234">
        <w:rPr>
          <w:rFonts w:ascii="Arial" w:eastAsia="Arial" w:hAnsi="Arial" w:cs="Arial"/>
          <w:spacing w:val="-5"/>
          <w:lang w:val="es-ES"/>
        </w:rPr>
        <w:t xml:space="preserve"> </w:t>
      </w:r>
      <w:r w:rsidRPr="00E02234">
        <w:rPr>
          <w:rFonts w:ascii="Arial" w:eastAsia="Arial" w:hAnsi="Arial" w:cs="Arial"/>
          <w:lang w:val="es-ES"/>
        </w:rPr>
        <w:t>tienen</w:t>
      </w:r>
      <w:r w:rsidRPr="00E02234">
        <w:rPr>
          <w:rFonts w:ascii="Arial" w:eastAsia="Arial" w:hAnsi="Arial" w:cs="Arial"/>
          <w:spacing w:val="-4"/>
          <w:lang w:val="es-ES"/>
        </w:rPr>
        <w:t xml:space="preserve"> </w:t>
      </w:r>
      <w:r w:rsidRPr="00E02234">
        <w:rPr>
          <w:rFonts w:ascii="Arial" w:eastAsia="Arial" w:hAnsi="Arial" w:cs="Arial"/>
          <w:lang w:val="es-ES"/>
        </w:rPr>
        <w:t>la</w:t>
      </w:r>
      <w:r w:rsidRPr="00E02234">
        <w:rPr>
          <w:rFonts w:ascii="Arial" w:eastAsia="Arial" w:hAnsi="Arial" w:cs="Arial"/>
          <w:spacing w:val="-6"/>
          <w:lang w:val="es-ES"/>
        </w:rPr>
        <w:t xml:space="preserve"> </w:t>
      </w:r>
      <w:r w:rsidRPr="00E02234">
        <w:rPr>
          <w:rFonts w:ascii="Arial" w:eastAsia="Arial" w:hAnsi="Arial" w:cs="Arial"/>
          <w:lang w:val="es-ES"/>
        </w:rPr>
        <w:t>posibilidad</w:t>
      </w:r>
      <w:r w:rsidRPr="00E02234">
        <w:rPr>
          <w:rFonts w:ascii="Arial" w:eastAsia="Arial" w:hAnsi="Arial" w:cs="Arial"/>
          <w:spacing w:val="-5"/>
          <w:lang w:val="es-ES"/>
        </w:rPr>
        <w:t xml:space="preserve"> </w:t>
      </w:r>
      <w:r w:rsidRPr="00E02234">
        <w:rPr>
          <w:rFonts w:ascii="Arial" w:eastAsia="Arial" w:hAnsi="Arial" w:cs="Arial"/>
          <w:lang w:val="es-ES"/>
        </w:rPr>
        <w:t>de contar</w:t>
      </w:r>
      <w:r w:rsidRPr="00E02234">
        <w:rPr>
          <w:rFonts w:ascii="Arial" w:eastAsia="Arial" w:hAnsi="Arial" w:cs="Arial"/>
          <w:spacing w:val="-11"/>
          <w:lang w:val="es-ES"/>
        </w:rPr>
        <w:t xml:space="preserve"> </w:t>
      </w:r>
      <w:r w:rsidRPr="00E02234">
        <w:rPr>
          <w:rFonts w:ascii="Arial" w:eastAsia="Arial" w:hAnsi="Arial" w:cs="Arial"/>
          <w:lang w:val="es-ES"/>
        </w:rPr>
        <w:t>con</w:t>
      </w:r>
      <w:r w:rsidRPr="00E02234">
        <w:rPr>
          <w:rFonts w:ascii="Arial" w:eastAsia="Arial" w:hAnsi="Arial" w:cs="Arial"/>
          <w:spacing w:val="-11"/>
          <w:lang w:val="es-ES"/>
        </w:rPr>
        <w:t xml:space="preserve"> </w:t>
      </w:r>
      <w:r w:rsidRPr="00E02234">
        <w:rPr>
          <w:rFonts w:ascii="Arial" w:eastAsia="Arial" w:hAnsi="Arial" w:cs="Arial"/>
          <w:lang w:val="es-ES"/>
        </w:rPr>
        <w:t>un</w:t>
      </w:r>
      <w:r w:rsidRPr="00E02234">
        <w:rPr>
          <w:rFonts w:ascii="Arial" w:eastAsia="Arial" w:hAnsi="Arial" w:cs="Arial"/>
          <w:spacing w:val="-10"/>
          <w:lang w:val="es-ES"/>
        </w:rPr>
        <w:t xml:space="preserve"> </w:t>
      </w:r>
      <w:r w:rsidRPr="00E02234">
        <w:rPr>
          <w:rFonts w:ascii="Arial" w:eastAsia="Arial" w:hAnsi="Arial" w:cs="Arial"/>
          <w:lang w:val="es-ES"/>
        </w:rPr>
        <w:t>título</w:t>
      </w:r>
      <w:r w:rsidRPr="00E02234">
        <w:rPr>
          <w:rFonts w:ascii="Arial" w:eastAsia="Arial" w:hAnsi="Arial" w:cs="Arial"/>
          <w:spacing w:val="-10"/>
          <w:lang w:val="es-ES"/>
        </w:rPr>
        <w:t xml:space="preserve"> </w:t>
      </w:r>
      <w:r w:rsidRPr="00E02234">
        <w:rPr>
          <w:rFonts w:ascii="Arial" w:eastAsia="Arial" w:hAnsi="Arial" w:cs="Arial"/>
          <w:lang w:val="es-ES"/>
        </w:rPr>
        <w:t>profesional</w:t>
      </w:r>
      <w:r w:rsidRPr="00E02234">
        <w:rPr>
          <w:rFonts w:ascii="Arial" w:eastAsia="Arial" w:hAnsi="Arial" w:cs="Arial"/>
          <w:spacing w:val="-9"/>
          <w:lang w:val="es-ES"/>
        </w:rPr>
        <w:t xml:space="preserve"> </w:t>
      </w:r>
      <w:r w:rsidRPr="00E02234">
        <w:rPr>
          <w:rFonts w:ascii="Arial" w:eastAsia="Arial" w:hAnsi="Arial" w:cs="Arial"/>
          <w:lang w:val="es-ES"/>
        </w:rPr>
        <w:t>en</w:t>
      </w:r>
      <w:r w:rsidRPr="00E02234">
        <w:rPr>
          <w:rFonts w:ascii="Arial" w:eastAsia="Arial" w:hAnsi="Arial" w:cs="Arial"/>
          <w:spacing w:val="-11"/>
          <w:lang w:val="es-ES"/>
        </w:rPr>
        <w:t xml:space="preserve"> </w:t>
      </w:r>
      <w:r w:rsidRPr="00E02234">
        <w:rPr>
          <w:rFonts w:ascii="Arial" w:eastAsia="Arial" w:hAnsi="Arial" w:cs="Arial"/>
          <w:lang w:val="es-ES"/>
        </w:rPr>
        <w:t>ingeniería</w:t>
      </w:r>
      <w:r w:rsidRPr="00E02234">
        <w:rPr>
          <w:rFonts w:ascii="Arial" w:eastAsia="Arial" w:hAnsi="Arial" w:cs="Arial"/>
          <w:spacing w:val="-9"/>
          <w:lang w:val="es-ES"/>
        </w:rPr>
        <w:t xml:space="preserve"> </w:t>
      </w:r>
      <w:r w:rsidRPr="00E02234">
        <w:rPr>
          <w:rFonts w:ascii="Arial" w:eastAsia="Arial" w:hAnsi="Arial" w:cs="Arial"/>
          <w:lang w:val="es-ES"/>
        </w:rPr>
        <w:t>en</w:t>
      </w:r>
      <w:r w:rsidRPr="00E02234">
        <w:rPr>
          <w:rFonts w:ascii="Arial" w:eastAsia="Arial" w:hAnsi="Arial" w:cs="Arial"/>
          <w:spacing w:val="-11"/>
          <w:lang w:val="es-ES"/>
        </w:rPr>
        <w:t xml:space="preserve"> </w:t>
      </w:r>
      <w:r w:rsidRPr="00E02234">
        <w:rPr>
          <w:rFonts w:ascii="Arial" w:eastAsia="Arial" w:hAnsi="Arial" w:cs="Arial"/>
          <w:lang w:val="es-ES"/>
        </w:rPr>
        <w:t>nombre</w:t>
      </w:r>
      <w:r w:rsidRPr="00E02234">
        <w:rPr>
          <w:rFonts w:ascii="Arial" w:eastAsia="Arial" w:hAnsi="Arial" w:cs="Arial"/>
          <w:spacing w:val="-11"/>
          <w:lang w:val="es-ES"/>
        </w:rPr>
        <w:t xml:space="preserve"> </w:t>
      </w:r>
      <w:r w:rsidRPr="00E02234">
        <w:rPr>
          <w:rFonts w:ascii="Arial" w:eastAsia="Arial" w:hAnsi="Arial" w:cs="Arial"/>
          <w:lang w:val="es-ES"/>
        </w:rPr>
        <w:t>propio,</w:t>
      </w:r>
      <w:r w:rsidRPr="00E02234">
        <w:rPr>
          <w:rFonts w:ascii="Arial" w:eastAsia="Arial" w:hAnsi="Arial" w:cs="Arial"/>
          <w:spacing w:val="-10"/>
          <w:lang w:val="es-ES"/>
        </w:rPr>
        <w:t xml:space="preserve"> </w:t>
      </w:r>
      <w:r w:rsidRPr="00E02234">
        <w:rPr>
          <w:rFonts w:ascii="Arial" w:eastAsia="Arial" w:hAnsi="Arial" w:cs="Arial"/>
          <w:lang w:val="es-ES"/>
        </w:rPr>
        <w:t>como</w:t>
      </w:r>
      <w:r w:rsidRPr="00E02234">
        <w:rPr>
          <w:rFonts w:ascii="Arial" w:eastAsia="Arial" w:hAnsi="Arial" w:cs="Arial"/>
          <w:spacing w:val="-11"/>
          <w:lang w:val="es-ES"/>
        </w:rPr>
        <w:t xml:space="preserve"> </w:t>
      </w:r>
      <w:r w:rsidRPr="00E02234">
        <w:rPr>
          <w:rFonts w:ascii="Arial" w:eastAsia="Arial" w:hAnsi="Arial" w:cs="Arial"/>
          <w:lang w:val="es-ES"/>
        </w:rPr>
        <w:t>si</w:t>
      </w:r>
      <w:r w:rsidRPr="00E02234">
        <w:rPr>
          <w:rFonts w:ascii="Arial" w:eastAsia="Arial" w:hAnsi="Arial" w:cs="Arial"/>
          <w:spacing w:val="-10"/>
          <w:lang w:val="es-ES"/>
        </w:rPr>
        <w:t xml:space="preserve"> </w:t>
      </w:r>
      <w:r w:rsidRPr="00E02234">
        <w:rPr>
          <w:rFonts w:ascii="Arial" w:eastAsia="Arial" w:hAnsi="Arial" w:cs="Arial"/>
          <w:lang w:val="es-ES"/>
        </w:rPr>
        <w:t>pueden</w:t>
      </w:r>
      <w:r w:rsidRPr="00E02234">
        <w:rPr>
          <w:rFonts w:ascii="Arial" w:eastAsia="Arial" w:hAnsi="Arial" w:cs="Arial"/>
          <w:spacing w:val="-11"/>
          <w:lang w:val="es-ES"/>
        </w:rPr>
        <w:t xml:space="preserve"> </w:t>
      </w:r>
      <w:r w:rsidRPr="00E02234">
        <w:rPr>
          <w:rFonts w:ascii="Arial" w:eastAsia="Arial" w:hAnsi="Arial" w:cs="Arial"/>
          <w:lang w:val="es-ES"/>
        </w:rPr>
        <w:t>hacerlo las personas naturales, quienes además se encuentran obligadas a contar con estos para ejercer válidamente la</w:t>
      </w:r>
      <w:r w:rsidRPr="00E02234">
        <w:rPr>
          <w:rFonts w:ascii="Arial" w:eastAsia="Arial" w:hAnsi="Arial" w:cs="Arial"/>
          <w:spacing w:val="-5"/>
          <w:lang w:val="es-ES"/>
        </w:rPr>
        <w:t xml:space="preserve"> </w:t>
      </w:r>
      <w:r w:rsidRPr="00E02234">
        <w:rPr>
          <w:rFonts w:ascii="Arial" w:eastAsia="Arial" w:hAnsi="Arial" w:cs="Arial"/>
          <w:lang w:val="es-ES"/>
        </w:rPr>
        <w:t>ingeniería.</w:t>
      </w:r>
    </w:p>
    <w:p w14:paraId="25C73FE5"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Los</w:t>
      </w:r>
      <w:r w:rsidRPr="00E02234">
        <w:rPr>
          <w:rFonts w:ascii="Arial" w:eastAsia="Arial" w:hAnsi="Arial" w:cs="Arial"/>
          <w:spacing w:val="-11"/>
          <w:lang w:val="es-ES"/>
        </w:rPr>
        <w:t xml:space="preserve"> </w:t>
      </w:r>
      <w:r w:rsidRPr="00E02234">
        <w:rPr>
          <w:rFonts w:ascii="Arial" w:eastAsia="Arial" w:hAnsi="Arial" w:cs="Arial"/>
          <w:lang w:val="es-ES"/>
        </w:rPr>
        <w:t>procesos</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selección</w:t>
      </w:r>
      <w:r w:rsidRPr="00E02234">
        <w:rPr>
          <w:rFonts w:ascii="Arial" w:eastAsia="Arial" w:hAnsi="Arial" w:cs="Arial"/>
          <w:spacing w:val="-10"/>
          <w:lang w:val="es-ES"/>
        </w:rPr>
        <w:t xml:space="preserve"> </w:t>
      </w:r>
      <w:r w:rsidRPr="00E02234">
        <w:rPr>
          <w:rFonts w:ascii="Arial" w:eastAsia="Arial" w:hAnsi="Arial" w:cs="Arial"/>
          <w:lang w:val="es-ES"/>
        </w:rPr>
        <w:t>adelantados</w:t>
      </w:r>
      <w:r w:rsidRPr="00E02234">
        <w:rPr>
          <w:rFonts w:ascii="Arial" w:eastAsia="Arial" w:hAnsi="Arial" w:cs="Arial"/>
          <w:spacing w:val="-11"/>
          <w:lang w:val="es-ES"/>
        </w:rPr>
        <w:t xml:space="preserve"> </w:t>
      </w:r>
      <w:r w:rsidRPr="00E02234">
        <w:rPr>
          <w:rFonts w:ascii="Arial" w:eastAsia="Arial" w:hAnsi="Arial" w:cs="Arial"/>
          <w:lang w:val="es-ES"/>
        </w:rPr>
        <w:t>con</w:t>
      </w:r>
      <w:r w:rsidRPr="00E02234">
        <w:rPr>
          <w:rFonts w:ascii="Arial" w:eastAsia="Arial" w:hAnsi="Arial" w:cs="Arial"/>
          <w:spacing w:val="-11"/>
          <w:lang w:val="es-ES"/>
        </w:rPr>
        <w:t xml:space="preserve"> </w:t>
      </w:r>
      <w:r w:rsidRPr="00E02234">
        <w:rPr>
          <w:rFonts w:ascii="Arial" w:eastAsia="Arial" w:hAnsi="Arial" w:cs="Arial"/>
          <w:lang w:val="es-ES"/>
        </w:rPr>
        <w:t>documentos</w:t>
      </w:r>
      <w:r w:rsidRPr="00E02234">
        <w:rPr>
          <w:rFonts w:ascii="Arial" w:eastAsia="Arial" w:hAnsi="Arial" w:cs="Arial"/>
          <w:spacing w:val="-10"/>
          <w:lang w:val="es-ES"/>
        </w:rPr>
        <w:t xml:space="preserve"> </w:t>
      </w:r>
      <w:r w:rsidRPr="00E02234">
        <w:rPr>
          <w:rFonts w:ascii="Arial" w:eastAsia="Arial" w:hAnsi="Arial" w:cs="Arial"/>
          <w:lang w:val="es-ES"/>
        </w:rPr>
        <w:t>tipo</w:t>
      </w:r>
      <w:r w:rsidRPr="00E02234">
        <w:rPr>
          <w:rFonts w:ascii="Arial" w:eastAsia="Arial" w:hAnsi="Arial" w:cs="Arial"/>
          <w:spacing w:val="-10"/>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obra</w:t>
      </w:r>
      <w:r w:rsidRPr="00E02234">
        <w:rPr>
          <w:rFonts w:ascii="Arial" w:eastAsia="Arial" w:hAnsi="Arial" w:cs="Arial"/>
          <w:spacing w:val="-10"/>
          <w:lang w:val="es-ES"/>
        </w:rPr>
        <w:t xml:space="preserve"> </w:t>
      </w:r>
      <w:r w:rsidRPr="00E02234">
        <w:rPr>
          <w:rFonts w:ascii="Arial" w:eastAsia="Arial" w:hAnsi="Arial" w:cs="Arial"/>
          <w:lang w:val="es-ES"/>
        </w:rPr>
        <w:t>pública</w:t>
      </w:r>
      <w:r w:rsidRPr="00E02234">
        <w:rPr>
          <w:rFonts w:ascii="Arial" w:eastAsia="Arial" w:hAnsi="Arial" w:cs="Arial"/>
          <w:spacing w:val="-11"/>
          <w:lang w:val="es-ES"/>
        </w:rPr>
        <w:t xml:space="preserve"> </w:t>
      </w:r>
      <w:r w:rsidRPr="00E02234">
        <w:rPr>
          <w:rFonts w:ascii="Arial" w:eastAsia="Arial" w:hAnsi="Arial" w:cs="Arial"/>
          <w:lang w:val="es-ES"/>
        </w:rPr>
        <w:t>de infraestructura de transporte, al estar dirigidos a la escogencia de contratistas aptos para</w:t>
      </w:r>
      <w:r w:rsidRPr="00E02234">
        <w:rPr>
          <w:rFonts w:ascii="Arial" w:eastAsia="Arial" w:hAnsi="Arial" w:cs="Arial"/>
          <w:spacing w:val="26"/>
          <w:lang w:val="es-ES"/>
        </w:rPr>
        <w:t xml:space="preserve"> </w:t>
      </w:r>
      <w:r w:rsidRPr="00E02234">
        <w:rPr>
          <w:rFonts w:ascii="Arial" w:eastAsia="Arial" w:hAnsi="Arial" w:cs="Arial"/>
          <w:lang w:val="es-ES"/>
        </w:rPr>
        <w:t>el</w:t>
      </w:r>
      <w:r w:rsidRPr="00E02234">
        <w:rPr>
          <w:rFonts w:ascii="Arial" w:eastAsia="Arial" w:hAnsi="Arial" w:cs="Arial"/>
          <w:spacing w:val="27"/>
          <w:lang w:val="es-ES"/>
        </w:rPr>
        <w:t xml:space="preserve"> </w:t>
      </w:r>
      <w:r w:rsidRPr="00E02234">
        <w:rPr>
          <w:rFonts w:ascii="Arial" w:eastAsia="Arial" w:hAnsi="Arial" w:cs="Arial"/>
          <w:lang w:val="es-ES"/>
        </w:rPr>
        <w:t>desarrollo</w:t>
      </w:r>
      <w:r w:rsidRPr="00E02234">
        <w:rPr>
          <w:rFonts w:ascii="Arial" w:eastAsia="Arial" w:hAnsi="Arial" w:cs="Arial"/>
          <w:spacing w:val="27"/>
          <w:lang w:val="es-ES"/>
        </w:rPr>
        <w:t xml:space="preserve"> </w:t>
      </w:r>
      <w:r w:rsidRPr="00E02234">
        <w:rPr>
          <w:rFonts w:ascii="Arial" w:eastAsia="Arial" w:hAnsi="Arial" w:cs="Arial"/>
          <w:lang w:val="es-ES"/>
        </w:rPr>
        <w:t>de</w:t>
      </w:r>
      <w:r w:rsidRPr="00E02234">
        <w:rPr>
          <w:rFonts w:ascii="Arial" w:eastAsia="Arial" w:hAnsi="Arial" w:cs="Arial"/>
          <w:spacing w:val="27"/>
          <w:lang w:val="es-ES"/>
        </w:rPr>
        <w:t xml:space="preserve"> </w:t>
      </w:r>
      <w:r w:rsidRPr="00E02234">
        <w:rPr>
          <w:rFonts w:ascii="Arial" w:eastAsia="Arial" w:hAnsi="Arial" w:cs="Arial"/>
          <w:lang w:val="es-ES"/>
        </w:rPr>
        <w:t>actividades</w:t>
      </w:r>
      <w:r w:rsidRPr="00E02234">
        <w:rPr>
          <w:rFonts w:ascii="Arial" w:eastAsia="Arial" w:hAnsi="Arial" w:cs="Arial"/>
          <w:spacing w:val="27"/>
          <w:lang w:val="es-ES"/>
        </w:rPr>
        <w:t xml:space="preserve"> </w:t>
      </w:r>
      <w:r w:rsidRPr="00E02234">
        <w:rPr>
          <w:rFonts w:ascii="Arial" w:eastAsia="Arial" w:hAnsi="Arial" w:cs="Arial"/>
          <w:lang w:val="es-ES"/>
        </w:rPr>
        <w:t>de</w:t>
      </w:r>
      <w:r w:rsidRPr="00E02234">
        <w:rPr>
          <w:rFonts w:ascii="Arial" w:eastAsia="Arial" w:hAnsi="Arial" w:cs="Arial"/>
          <w:spacing w:val="26"/>
          <w:lang w:val="es-ES"/>
        </w:rPr>
        <w:t xml:space="preserve"> </w:t>
      </w:r>
      <w:r w:rsidRPr="00E02234">
        <w:rPr>
          <w:rFonts w:ascii="Arial" w:eastAsia="Arial" w:hAnsi="Arial" w:cs="Arial"/>
          <w:lang w:val="es-ES"/>
        </w:rPr>
        <w:t>construcción,</w:t>
      </w:r>
      <w:r w:rsidRPr="00E02234">
        <w:rPr>
          <w:rFonts w:ascii="Arial" w:eastAsia="Arial" w:hAnsi="Arial" w:cs="Arial"/>
          <w:spacing w:val="27"/>
          <w:lang w:val="es-ES"/>
        </w:rPr>
        <w:t xml:space="preserve"> </w:t>
      </w:r>
      <w:r w:rsidRPr="00E02234">
        <w:rPr>
          <w:rFonts w:ascii="Arial" w:eastAsia="Arial" w:hAnsi="Arial" w:cs="Arial"/>
          <w:lang w:val="es-ES"/>
        </w:rPr>
        <w:t>mejoramiento,</w:t>
      </w:r>
      <w:r w:rsidRPr="00E02234">
        <w:rPr>
          <w:rFonts w:ascii="Arial" w:eastAsia="Arial" w:hAnsi="Arial" w:cs="Arial"/>
          <w:spacing w:val="27"/>
          <w:lang w:val="es-ES"/>
        </w:rPr>
        <w:t xml:space="preserve"> </w:t>
      </w:r>
      <w:r w:rsidRPr="00E02234">
        <w:rPr>
          <w:rFonts w:ascii="Arial" w:eastAsia="Arial" w:hAnsi="Arial" w:cs="Arial"/>
          <w:lang w:val="es-ES"/>
        </w:rPr>
        <w:t>rehabilitación,</w:t>
      </w:r>
      <w:r w:rsidRPr="00E02234">
        <w:rPr>
          <w:rFonts w:ascii="Arial" w:eastAsia="Arial" w:hAnsi="Arial" w:cs="Arial"/>
          <w:spacing w:val="27"/>
          <w:lang w:val="es-ES"/>
        </w:rPr>
        <w:t xml:space="preserve"> </w:t>
      </w:r>
      <w:r w:rsidRPr="00E02234">
        <w:rPr>
          <w:rFonts w:ascii="Arial" w:eastAsia="Arial" w:hAnsi="Arial" w:cs="Arial"/>
          <w:lang w:val="es-ES"/>
        </w:rPr>
        <w:t>etc., que</w:t>
      </w:r>
      <w:r w:rsidRPr="00E02234">
        <w:rPr>
          <w:rFonts w:ascii="Arial" w:eastAsia="Arial" w:hAnsi="Arial" w:cs="Arial"/>
          <w:spacing w:val="-11"/>
          <w:lang w:val="es-ES"/>
        </w:rPr>
        <w:t xml:space="preserve"> </w:t>
      </w:r>
      <w:r w:rsidRPr="00E02234">
        <w:rPr>
          <w:rFonts w:ascii="Arial" w:eastAsia="Arial" w:hAnsi="Arial" w:cs="Arial"/>
          <w:lang w:val="es-ES"/>
        </w:rPr>
        <w:t>necesariamente</w:t>
      </w:r>
      <w:r w:rsidRPr="00E02234">
        <w:rPr>
          <w:rFonts w:ascii="Arial" w:eastAsia="Arial" w:hAnsi="Arial" w:cs="Arial"/>
          <w:spacing w:val="-11"/>
          <w:lang w:val="es-ES"/>
        </w:rPr>
        <w:t xml:space="preserve"> </w:t>
      </w:r>
      <w:r w:rsidRPr="00E02234">
        <w:rPr>
          <w:rFonts w:ascii="Arial" w:eastAsia="Arial" w:hAnsi="Arial" w:cs="Arial"/>
          <w:lang w:val="es-ES"/>
        </w:rPr>
        <w:t>suponen</w:t>
      </w:r>
      <w:r w:rsidRPr="00E02234">
        <w:rPr>
          <w:rFonts w:ascii="Arial" w:eastAsia="Arial" w:hAnsi="Arial" w:cs="Arial"/>
          <w:spacing w:val="-11"/>
          <w:lang w:val="es-ES"/>
        </w:rPr>
        <w:t xml:space="preserve"> </w:t>
      </w:r>
      <w:r w:rsidRPr="00E02234">
        <w:rPr>
          <w:rFonts w:ascii="Arial" w:eastAsia="Arial" w:hAnsi="Arial" w:cs="Arial"/>
          <w:lang w:val="es-ES"/>
        </w:rPr>
        <w:t>el</w:t>
      </w:r>
      <w:r w:rsidRPr="00E02234">
        <w:rPr>
          <w:rFonts w:ascii="Arial" w:eastAsia="Arial" w:hAnsi="Arial" w:cs="Arial"/>
          <w:spacing w:val="-10"/>
          <w:lang w:val="es-ES"/>
        </w:rPr>
        <w:t xml:space="preserve"> </w:t>
      </w:r>
      <w:r w:rsidRPr="00E02234">
        <w:rPr>
          <w:rFonts w:ascii="Arial" w:eastAsia="Arial" w:hAnsi="Arial" w:cs="Arial"/>
          <w:lang w:val="es-ES"/>
        </w:rPr>
        <w:t>ejercicio</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0"/>
          <w:lang w:val="es-ES"/>
        </w:rPr>
        <w:t xml:space="preserve"> </w:t>
      </w:r>
      <w:r w:rsidRPr="00E02234">
        <w:rPr>
          <w:rFonts w:ascii="Arial" w:eastAsia="Arial" w:hAnsi="Arial" w:cs="Arial"/>
          <w:lang w:val="es-ES"/>
        </w:rPr>
        <w:t>ingeniería,</w:t>
      </w:r>
      <w:r w:rsidRPr="00E02234">
        <w:rPr>
          <w:rFonts w:ascii="Arial" w:eastAsia="Arial" w:hAnsi="Arial" w:cs="Arial"/>
          <w:spacing w:val="-11"/>
          <w:lang w:val="es-ES"/>
        </w:rPr>
        <w:t xml:space="preserve"> </w:t>
      </w:r>
      <w:r w:rsidRPr="00E02234">
        <w:rPr>
          <w:rFonts w:ascii="Arial" w:eastAsia="Arial" w:hAnsi="Arial" w:cs="Arial"/>
          <w:lang w:val="es-ES"/>
        </w:rPr>
        <w:t>no</w:t>
      </w:r>
      <w:r w:rsidRPr="00E02234">
        <w:rPr>
          <w:rFonts w:ascii="Arial" w:eastAsia="Arial" w:hAnsi="Arial" w:cs="Arial"/>
          <w:spacing w:val="-11"/>
          <w:lang w:val="es-ES"/>
        </w:rPr>
        <w:t xml:space="preserve"> </w:t>
      </w:r>
      <w:r w:rsidRPr="00E02234">
        <w:rPr>
          <w:rFonts w:ascii="Arial" w:eastAsia="Arial" w:hAnsi="Arial" w:cs="Arial"/>
          <w:lang w:val="es-ES"/>
        </w:rPr>
        <w:t>son</w:t>
      </w:r>
      <w:r w:rsidRPr="00E02234">
        <w:rPr>
          <w:rFonts w:ascii="Arial" w:eastAsia="Arial" w:hAnsi="Arial" w:cs="Arial"/>
          <w:spacing w:val="-10"/>
          <w:lang w:val="es-ES"/>
        </w:rPr>
        <w:t xml:space="preserve"> </w:t>
      </w:r>
      <w:r w:rsidRPr="00E02234">
        <w:rPr>
          <w:rFonts w:ascii="Arial" w:eastAsia="Arial" w:hAnsi="Arial" w:cs="Arial"/>
          <w:lang w:val="es-ES"/>
        </w:rPr>
        <w:t>ajenos</w:t>
      </w:r>
      <w:r w:rsidRPr="00E02234">
        <w:rPr>
          <w:rFonts w:ascii="Arial" w:eastAsia="Arial" w:hAnsi="Arial" w:cs="Arial"/>
          <w:spacing w:val="-11"/>
          <w:lang w:val="es-ES"/>
        </w:rPr>
        <w:t xml:space="preserve"> </w:t>
      </w:r>
      <w:r w:rsidRPr="00E02234">
        <w:rPr>
          <w:rFonts w:ascii="Arial" w:eastAsia="Arial" w:hAnsi="Arial" w:cs="Arial"/>
          <w:lang w:val="es-ES"/>
        </w:rPr>
        <w:t>a</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0"/>
          <w:lang w:val="es-ES"/>
        </w:rPr>
        <w:t xml:space="preserve"> </w:t>
      </w:r>
      <w:r w:rsidRPr="00E02234">
        <w:rPr>
          <w:rFonts w:ascii="Arial" w:eastAsia="Arial" w:hAnsi="Arial" w:cs="Arial"/>
          <w:lang w:val="es-ES"/>
        </w:rPr>
        <w:t>necesidad de</w:t>
      </w:r>
      <w:r w:rsidRPr="00E02234">
        <w:rPr>
          <w:rFonts w:ascii="Arial" w:eastAsia="Arial" w:hAnsi="Arial" w:cs="Arial"/>
          <w:spacing w:val="-8"/>
          <w:lang w:val="es-ES"/>
        </w:rPr>
        <w:t xml:space="preserve"> </w:t>
      </w:r>
      <w:r w:rsidRPr="00E02234">
        <w:rPr>
          <w:rFonts w:ascii="Arial" w:eastAsia="Arial" w:hAnsi="Arial" w:cs="Arial"/>
          <w:lang w:val="es-ES"/>
        </w:rPr>
        <w:t>que</w:t>
      </w:r>
      <w:r w:rsidRPr="00E02234">
        <w:rPr>
          <w:rFonts w:ascii="Arial" w:eastAsia="Arial" w:hAnsi="Arial" w:cs="Arial"/>
          <w:spacing w:val="-8"/>
          <w:lang w:val="es-ES"/>
        </w:rPr>
        <w:t xml:space="preserve"> </w:t>
      </w:r>
      <w:r w:rsidRPr="00E02234">
        <w:rPr>
          <w:rFonts w:ascii="Arial" w:eastAsia="Arial" w:hAnsi="Arial" w:cs="Arial"/>
          <w:lang w:val="es-ES"/>
        </w:rPr>
        <w:t>el</w:t>
      </w:r>
      <w:r w:rsidRPr="00E02234">
        <w:rPr>
          <w:rFonts w:ascii="Arial" w:eastAsia="Arial" w:hAnsi="Arial" w:cs="Arial"/>
          <w:spacing w:val="-8"/>
          <w:lang w:val="es-ES"/>
        </w:rPr>
        <w:t xml:space="preserve"> </w:t>
      </w:r>
      <w:r w:rsidRPr="00E02234">
        <w:rPr>
          <w:rFonts w:ascii="Arial" w:eastAsia="Arial" w:hAnsi="Arial" w:cs="Arial"/>
          <w:lang w:val="es-ES"/>
        </w:rPr>
        <w:t>contratista</w:t>
      </w:r>
      <w:r w:rsidRPr="00E02234">
        <w:rPr>
          <w:rFonts w:ascii="Arial" w:eastAsia="Arial" w:hAnsi="Arial" w:cs="Arial"/>
          <w:spacing w:val="-8"/>
          <w:lang w:val="es-ES"/>
        </w:rPr>
        <w:t xml:space="preserve"> </w:t>
      </w:r>
      <w:r w:rsidRPr="00E02234">
        <w:rPr>
          <w:rFonts w:ascii="Arial" w:eastAsia="Arial" w:hAnsi="Arial" w:cs="Arial"/>
          <w:lang w:val="es-ES"/>
        </w:rPr>
        <w:t>esté</w:t>
      </w:r>
      <w:r w:rsidRPr="00E02234">
        <w:rPr>
          <w:rFonts w:ascii="Arial" w:eastAsia="Arial" w:hAnsi="Arial" w:cs="Arial"/>
          <w:spacing w:val="-7"/>
          <w:lang w:val="es-ES"/>
        </w:rPr>
        <w:t xml:space="preserve"> </w:t>
      </w:r>
      <w:r w:rsidRPr="00E02234">
        <w:rPr>
          <w:rFonts w:ascii="Arial" w:eastAsia="Arial" w:hAnsi="Arial" w:cs="Arial"/>
          <w:lang w:val="es-ES"/>
        </w:rPr>
        <w:t>debidamente</w:t>
      </w:r>
      <w:r w:rsidRPr="00E02234">
        <w:rPr>
          <w:rFonts w:ascii="Arial" w:eastAsia="Arial" w:hAnsi="Arial" w:cs="Arial"/>
          <w:spacing w:val="-8"/>
          <w:lang w:val="es-ES"/>
        </w:rPr>
        <w:t xml:space="preserve"> </w:t>
      </w:r>
      <w:r w:rsidRPr="00E02234">
        <w:rPr>
          <w:rFonts w:ascii="Arial" w:eastAsia="Arial" w:hAnsi="Arial" w:cs="Arial"/>
          <w:lang w:val="es-ES"/>
        </w:rPr>
        <w:t>inscrito</w:t>
      </w:r>
      <w:r w:rsidRPr="00E02234">
        <w:rPr>
          <w:rFonts w:ascii="Arial" w:eastAsia="Arial" w:hAnsi="Arial" w:cs="Arial"/>
          <w:spacing w:val="-8"/>
          <w:lang w:val="es-ES"/>
        </w:rPr>
        <w:t xml:space="preserve"> </w:t>
      </w:r>
      <w:r w:rsidRPr="00E02234">
        <w:rPr>
          <w:rFonts w:ascii="Arial" w:eastAsia="Arial" w:hAnsi="Arial" w:cs="Arial"/>
          <w:lang w:val="es-ES"/>
        </w:rPr>
        <w:t>en</w:t>
      </w:r>
      <w:r w:rsidRPr="00E02234">
        <w:rPr>
          <w:rFonts w:ascii="Arial" w:eastAsia="Arial" w:hAnsi="Arial" w:cs="Arial"/>
          <w:spacing w:val="-8"/>
          <w:lang w:val="es-ES"/>
        </w:rPr>
        <w:t xml:space="preserve"> </w:t>
      </w:r>
      <w:r w:rsidRPr="00E02234">
        <w:rPr>
          <w:rFonts w:ascii="Arial" w:eastAsia="Arial" w:hAnsi="Arial" w:cs="Arial"/>
          <w:lang w:val="es-ES"/>
        </w:rPr>
        <w:t>el</w:t>
      </w:r>
      <w:r w:rsidRPr="00E02234">
        <w:rPr>
          <w:rFonts w:ascii="Arial" w:eastAsia="Arial" w:hAnsi="Arial" w:cs="Arial"/>
          <w:spacing w:val="-7"/>
          <w:lang w:val="es-ES"/>
        </w:rPr>
        <w:t xml:space="preserve"> </w:t>
      </w:r>
      <w:r w:rsidRPr="00E02234">
        <w:rPr>
          <w:rFonts w:ascii="Arial" w:eastAsia="Arial" w:hAnsi="Arial" w:cs="Arial"/>
          <w:lang w:val="es-ES"/>
        </w:rPr>
        <w:t>Registro</w:t>
      </w:r>
      <w:r w:rsidRPr="00E02234">
        <w:rPr>
          <w:rFonts w:ascii="Arial" w:eastAsia="Arial" w:hAnsi="Arial" w:cs="Arial"/>
          <w:spacing w:val="-8"/>
          <w:lang w:val="es-ES"/>
        </w:rPr>
        <w:t xml:space="preserve"> </w:t>
      </w:r>
      <w:r w:rsidRPr="00E02234">
        <w:rPr>
          <w:rFonts w:ascii="Arial" w:eastAsia="Arial" w:hAnsi="Arial" w:cs="Arial"/>
          <w:lang w:val="es-ES"/>
        </w:rPr>
        <w:t>Profesional</w:t>
      </w:r>
      <w:r w:rsidRPr="00E02234">
        <w:rPr>
          <w:rFonts w:ascii="Arial" w:eastAsia="Arial" w:hAnsi="Arial" w:cs="Arial"/>
          <w:spacing w:val="-6"/>
          <w:lang w:val="es-ES"/>
        </w:rPr>
        <w:t xml:space="preserve"> </w:t>
      </w:r>
      <w:r w:rsidRPr="00E02234">
        <w:rPr>
          <w:rFonts w:ascii="Arial" w:eastAsia="Arial" w:hAnsi="Arial" w:cs="Arial"/>
          <w:lang w:val="es-ES"/>
        </w:rPr>
        <w:t>llevado</w:t>
      </w:r>
      <w:r w:rsidRPr="00E02234">
        <w:rPr>
          <w:rFonts w:ascii="Arial" w:eastAsia="Arial" w:hAnsi="Arial" w:cs="Arial"/>
          <w:spacing w:val="-8"/>
          <w:lang w:val="es-ES"/>
        </w:rPr>
        <w:t xml:space="preserve"> </w:t>
      </w:r>
      <w:r w:rsidRPr="00E02234">
        <w:rPr>
          <w:rFonts w:ascii="Arial" w:eastAsia="Arial" w:hAnsi="Arial" w:cs="Arial"/>
          <w:lang w:val="es-ES"/>
        </w:rPr>
        <w:t>por</w:t>
      </w:r>
      <w:r w:rsidRPr="00E02234">
        <w:rPr>
          <w:rFonts w:ascii="Arial" w:eastAsia="Arial" w:hAnsi="Arial" w:cs="Arial"/>
          <w:spacing w:val="-8"/>
          <w:lang w:val="es-ES"/>
        </w:rPr>
        <w:t xml:space="preserve"> </w:t>
      </w:r>
      <w:r w:rsidRPr="00E02234">
        <w:rPr>
          <w:rFonts w:ascii="Arial" w:eastAsia="Arial" w:hAnsi="Arial" w:cs="Arial"/>
          <w:lang w:val="es-ES"/>
        </w:rPr>
        <w:t>el COPNIA, o avalado por alguien que sí. Por tal motivo, el numeral 2.1. del Documento Base</w:t>
      </w:r>
      <w:r w:rsidRPr="00E02234">
        <w:rPr>
          <w:rFonts w:ascii="Arial" w:eastAsia="Arial" w:hAnsi="Arial" w:cs="Arial"/>
          <w:spacing w:val="-16"/>
          <w:lang w:val="es-ES"/>
        </w:rPr>
        <w:t xml:space="preserve"> </w:t>
      </w:r>
      <w:r w:rsidRPr="00E02234">
        <w:rPr>
          <w:rFonts w:ascii="Arial" w:eastAsia="Arial" w:hAnsi="Arial" w:cs="Arial"/>
          <w:lang w:val="es-ES"/>
        </w:rPr>
        <w:t>o</w:t>
      </w:r>
      <w:r w:rsidRPr="00E02234">
        <w:rPr>
          <w:rFonts w:ascii="Arial" w:eastAsia="Arial" w:hAnsi="Arial" w:cs="Arial"/>
          <w:spacing w:val="-16"/>
          <w:lang w:val="es-ES"/>
        </w:rPr>
        <w:t xml:space="preserve"> </w:t>
      </w:r>
      <w:r w:rsidRPr="00E02234">
        <w:rPr>
          <w:rFonts w:ascii="Arial" w:eastAsia="Arial" w:hAnsi="Arial" w:cs="Arial"/>
          <w:lang w:val="es-ES"/>
        </w:rPr>
        <w:t>Pliego</w:t>
      </w:r>
      <w:r w:rsidRPr="00E02234">
        <w:rPr>
          <w:rFonts w:ascii="Arial" w:eastAsia="Arial" w:hAnsi="Arial" w:cs="Arial"/>
          <w:spacing w:val="-14"/>
          <w:lang w:val="es-ES"/>
        </w:rPr>
        <w:t xml:space="preserve"> </w:t>
      </w:r>
      <w:r w:rsidRPr="00E02234">
        <w:rPr>
          <w:rFonts w:ascii="Arial" w:eastAsia="Arial" w:hAnsi="Arial" w:cs="Arial"/>
          <w:lang w:val="es-ES"/>
        </w:rPr>
        <w:t>Tipo</w:t>
      </w:r>
      <w:r w:rsidRPr="00E02234">
        <w:rPr>
          <w:rFonts w:ascii="Arial" w:eastAsia="Arial" w:hAnsi="Arial" w:cs="Arial"/>
          <w:spacing w:val="-16"/>
          <w:lang w:val="es-ES"/>
        </w:rPr>
        <w:t xml:space="preserve"> </w:t>
      </w:r>
      <w:r w:rsidRPr="00E02234">
        <w:rPr>
          <w:rFonts w:ascii="Arial" w:eastAsia="Arial" w:hAnsi="Arial" w:cs="Arial"/>
          <w:lang w:val="es-ES"/>
        </w:rPr>
        <w:t>de</w:t>
      </w:r>
      <w:r w:rsidRPr="00E02234">
        <w:rPr>
          <w:rFonts w:ascii="Arial" w:eastAsia="Arial" w:hAnsi="Arial" w:cs="Arial"/>
          <w:spacing w:val="-16"/>
          <w:lang w:val="es-ES"/>
        </w:rPr>
        <w:t xml:space="preserve"> </w:t>
      </w:r>
      <w:r w:rsidRPr="00E02234">
        <w:rPr>
          <w:rFonts w:ascii="Arial" w:eastAsia="Arial" w:hAnsi="Arial" w:cs="Arial"/>
          <w:lang w:val="es-ES"/>
        </w:rPr>
        <w:t>licitación</w:t>
      </w:r>
      <w:r w:rsidRPr="00E02234">
        <w:rPr>
          <w:rFonts w:ascii="Arial" w:eastAsia="Arial" w:hAnsi="Arial" w:cs="Arial"/>
          <w:spacing w:val="-15"/>
          <w:lang w:val="es-ES"/>
        </w:rPr>
        <w:t xml:space="preserve"> </w:t>
      </w:r>
      <w:r w:rsidRPr="00E02234">
        <w:rPr>
          <w:rFonts w:ascii="Arial" w:eastAsia="Arial" w:hAnsi="Arial" w:cs="Arial"/>
          <w:lang w:val="es-ES"/>
        </w:rPr>
        <w:lastRenderedPageBreak/>
        <w:t>pública</w:t>
      </w:r>
      <w:r w:rsidRPr="00E02234">
        <w:rPr>
          <w:rFonts w:ascii="Arial" w:eastAsia="Arial" w:hAnsi="Arial" w:cs="Arial"/>
          <w:spacing w:val="-15"/>
          <w:lang w:val="es-ES"/>
        </w:rPr>
        <w:t xml:space="preserve"> </w:t>
      </w:r>
      <w:r w:rsidRPr="00E02234">
        <w:rPr>
          <w:rFonts w:ascii="Arial" w:eastAsia="Arial" w:hAnsi="Arial" w:cs="Arial"/>
          <w:lang w:val="es-ES"/>
        </w:rPr>
        <w:t>–Versión</w:t>
      </w:r>
      <w:r w:rsidRPr="00E02234">
        <w:rPr>
          <w:rFonts w:ascii="Arial" w:eastAsia="Arial" w:hAnsi="Arial" w:cs="Arial"/>
          <w:spacing w:val="-15"/>
          <w:lang w:val="es-ES"/>
        </w:rPr>
        <w:t xml:space="preserve"> </w:t>
      </w:r>
      <w:r w:rsidRPr="00E02234">
        <w:rPr>
          <w:rFonts w:ascii="Arial" w:eastAsia="Arial" w:hAnsi="Arial" w:cs="Arial"/>
          <w:lang w:val="es-ES"/>
        </w:rPr>
        <w:t>3–,</w:t>
      </w:r>
      <w:r w:rsidRPr="00E02234">
        <w:rPr>
          <w:rFonts w:ascii="Arial" w:eastAsia="Arial" w:hAnsi="Arial" w:cs="Arial"/>
          <w:spacing w:val="-16"/>
          <w:lang w:val="es-ES"/>
        </w:rPr>
        <w:t xml:space="preserve"> </w:t>
      </w:r>
      <w:r w:rsidRPr="00E02234">
        <w:rPr>
          <w:rFonts w:ascii="Arial" w:eastAsia="Arial" w:hAnsi="Arial" w:cs="Arial"/>
          <w:lang w:val="es-ES"/>
        </w:rPr>
        <w:t>al</w:t>
      </w:r>
      <w:r w:rsidRPr="00E02234">
        <w:rPr>
          <w:rFonts w:ascii="Arial" w:eastAsia="Arial" w:hAnsi="Arial" w:cs="Arial"/>
          <w:spacing w:val="-16"/>
          <w:lang w:val="es-ES"/>
        </w:rPr>
        <w:t xml:space="preserve"> </w:t>
      </w:r>
      <w:r w:rsidRPr="00E02234">
        <w:rPr>
          <w:rFonts w:ascii="Arial" w:eastAsia="Arial" w:hAnsi="Arial" w:cs="Arial"/>
          <w:lang w:val="es-ES"/>
        </w:rPr>
        <w:t>regular</w:t>
      </w:r>
      <w:r w:rsidRPr="00E02234">
        <w:rPr>
          <w:rFonts w:ascii="Arial" w:eastAsia="Arial" w:hAnsi="Arial" w:cs="Arial"/>
          <w:spacing w:val="-16"/>
          <w:lang w:val="es-ES"/>
        </w:rPr>
        <w:t xml:space="preserve"> </w:t>
      </w:r>
      <w:r w:rsidRPr="00E02234">
        <w:rPr>
          <w:rFonts w:ascii="Arial" w:eastAsia="Arial" w:hAnsi="Arial" w:cs="Arial"/>
          <w:lang w:val="es-ES"/>
        </w:rPr>
        <w:t>la</w:t>
      </w:r>
      <w:r w:rsidRPr="00E02234">
        <w:rPr>
          <w:rFonts w:ascii="Arial" w:eastAsia="Arial" w:hAnsi="Arial" w:cs="Arial"/>
          <w:spacing w:val="-16"/>
          <w:lang w:val="es-ES"/>
        </w:rPr>
        <w:t xml:space="preserve"> </w:t>
      </w:r>
      <w:r w:rsidRPr="00E02234">
        <w:rPr>
          <w:rFonts w:ascii="Arial" w:eastAsia="Arial" w:hAnsi="Arial" w:cs="Arial"/>
          <w:lang w:val="es-ES"/>
        </w:rPr>
        <w:t>carta</w:t>
      </w:r>
      <w:r w:rsidRPr="00E02234">
        <w:rPr>
          <w:rFonts w:ascii="Arial" w:eastAsia="Arial" w:hAnsi="Arial" w:cs="Arial"/>
          <w:spacing w:val="-17"/>
          <w:lang w:val="es-ES"/>
        </w:rPr>
        <w:t xml:space="preserve"> </w:t>
      </w:r>
      <w:r w:rsidRPr="00E02234">
        <w:rPr>
          <w:rFonts w:ascii="Arial" w:eastAsia="Arial" w:hAnsi="Arial" w:cs="Arial"/>
          <w:lang w:val="es-ES"/>
        </w:rPr>
        <w:t>de</w:t>
      </w:r>
      <w:r w:rsidRPr="00E02234">
        <w:rPr>
          <w:rFonts w:ascii="Arial" w:eastAsia="Arial" w:hAnsi="Arial" w:cs="Arial"/>
          <w:spacing w:val="-16"/>
          <w:lang w:val="es-ES"/>
        </w:rPr>
        <w:t xml:space="preserve"> </w:t>
      </w:r>
      <w:r w:rsidRPr="00E02234">
        <w:rPr>
          <w:rFonts w:ascii="Arial" w:eastAsia="Arial" w:hAnsi="Arial" w:cs="Arial"/>
          <w:lang w:val="es-ES"/>
        </w:rPr>
        <w:t>presentación de la oferta, exige la presentación de la tarjeta profesional junto con la</w:t>
      </w:r>
      <w:r w:rsidRPr="00E02234">
        <w:rPr>
          <w:rFonts w:ascii="Arial" w:eastAsia="Arial" w:hAnsi="Arial" w:cs="Arial"/>
          <w:spacing w:val="-37"/>
          <w:lang w:val="es-ES"/>
        </w:rPr>
        <w:t xml:space="preserve"> </w:t>
      </w:r>
      <w:r w:rsidRPr="00E02234">
        <w:rPr>
          <w:rFonts w:ascii="Arial" w:eastAsia="Arial" w:hAnsi="Arial" w:cs="Arial"/>
          <w:lang w:val="es-ES"/>
        </w:rPr>
        <w:t>oferta:</w:t>
      </w:r>
    </w:p>
    <w:p w14:paraId="67EB04BD" w14:textId="03804C71" w:rsidR="00FE2F29" w:rsidRPr="000E71D9" w:rsidRDefault="009750AD" w:rsidP="000E71D9">
      <w:pPr>
        <w:widowControl w:val="0"/>
        <w:tabs>
          <w:tab w:val="left" w:pos="7938"/>
        </w:tabs>
        <w:autoSpaceDE w:val="0"/>
        <w:autoSpaceDN w:val="0"/>
        <w:spacing w:after="240" w:line="240" w:lineRule="auto"/>
        <w:ind w:left="851" w:right="851"/>
        <w:jc w:val="both"/>
        <w:rPr>
          <w:rFonts w:ascii="Arial" w:eastAsia="Arial" w:hAnsi="Arial" w:cs="Arial"/>
          <w:sz w:val="21"/>
          <w:szCs w:val="21"/>
          <w:lang w:val="es-ES"/>
        </w:rPr>
      </w:pPr>
      <w:r w:rsidRPr="009750AD">
        <w:rPr>
          <w:rFonts w:ascii="Arial" w:hAnsi="Arial" w:cs="Arial"/>
          <w:sz w:val="21"/>
          <w:szCs w:val="21"/>
        </w:rPr>
        <w:t>«</w:t>
      </w:r>
      <w:r w:rsidR="00FE2F29" w:rsidRPr="000E71D9">
        <w:rPr>
          <w:rFonts w:ascii="Arial" w:eastAsia="Arial" w:hAnsi="Arial" w:cs="Arial"/>
          <w:sz w:val="21"/>
          <w:szCs w:val="21"/>
          <w:lang w:val="es-ES"/>
        </w:rPr>
        <w:t>En virtud de lo previsto en la Ley 842 de 2003 y con el fin de no permitir el ejercicio ilegal de la Ingeniería, la persona natural (Proponente individual o integrante de la estructura plural) que pretenda participar en el presente Proceso, deberá acreditar que posee título como Ingeniero, para lo cual deberá adjuntar copia de la tarjeta profesional y copia del certificado de vigencia de matrícula profesional expedida por el COPNIA o Consejo Profesional</w:t>
      </w:r>
      <w:r w:rsidR="00FE2F29" w:rsidRPr="000E71D9">
        <w:rPr>
          <w:rFonts w:ascii="Arial" w:eastAsia="Arial" w:hAnsi="Arial" w:cs="Arial"/>
          <w:spacing w:val="-14"/>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Ingeniería</w:t>
      </w:r>
      <w:r w:rsidR="00FE2F29" w:rsidRPr="000E71D9">
        <w:rPr>
          <w:rFonts w:ascii="Arial" w:eastAsia="Arial" w:hAnsi="Arial" w:cs="Arial"/>
          <w:spacing w:val="-15"/>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5"/>
          <w:sz w:val="21"/>
          <w:szCs w:val="21"/>
          <w:lang w:val="es-ES"/>
        </w:rPr>
        <w:t xml:space="preserve"> </w:t>
      </w:r>
      <w:r w:rsidR="00FE2F29" w:rsidRPr="000E71D9">
        <w:rPr>
          <w:rFonts w:ascii="Arial" w:eastAsia="Arial" w:hAnsi="Arial" w:cs="Arial"/>
          <w:sz w:val="21"/>
          <w:szCs w:val="21"/>
          <w:lang w:val="es-ES"/>
        </w:rPr>
        <w:t>Transportes</w:t>
      </w:r>
      <w:r w:rsidR="00FE2F29" w:rsidRPr="000E71D9">
        <w:rPr>
          <w:rFonts w:ascii="Arial" w:eastAsia="Arial" w:hAnsi="Arial" w:cs="Arial"/>
          <w:spacing w:val="-14"/>
          <w:sz w:val="21"/>
          <w:szCs w:val="21"/>
          <w:lang w:val="es-ES"/>
        </w:rPr>
        <w:t xml:space="preserve"> </w:t>
      </w:r>
      <w:r w:rsidR="00FE2F29" w:rsidRPr="000E71D9">
        <w:rPr>
          <w:rFonts w:ascii="Arial" w:eastAsia="Arial" w:hAnsi="Arial" w:cs="Arial"/>
          <w:sz w:val="21"/>
          <w:szCs w:val="21"/>
          <w:lang w:val="es-ES"/>
        </w:rPr>
        <w:t>y</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Vías</w:t>
      </w:r>
      <w:r w:rsidR="00FE2F29" w:rsidRPr="000E71D9">
        <w:rPr>
          <w:rFonts w:ascii="Arial" w:eastAsia="Arial" w:hAnsi="Arial" w:cs="Arial"/>
          <w:spacing w:val="-14"/>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Colombia</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en</w:t>
      </w:r>
      <w:r w:rsidR="00FE2F29" w:rsidRPr="000E71D9">
        <w:rPr>
          <w:rFonts w:ascii="Arial" w:eastAsia="Arial" w:hAnsi="Arial" w:cs="Arial"/>
          <w:spacing w:val="-15"/>
          <w:sz w:val="21"/>
          <w:szCs w:val="21"/>
          <w:lang w:val="es-ES"/>
        </w:rPr>
        <w:t xml:space="preserve"> </w:t>
      </w:r>
      <w:r w:rsidR="00FE2F29" w:rsidRPr="000E71D9">
        <w:rPr>
          <w:rFonts w:ascii="Arial" w:eastAsia="Arial" w:hAnsi="Arial" w:cs="Arial"/>
          <w:sz w:val="21"/>
          <w:szCs w:val="21"/>
          <w:lang w:val="es-ES"/>
        </w:rPr>
        <w:t>la</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respectiva rama</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la</w:t>
      </w:r>
      <w:r w:rsidR="00FE2F29" w:rsidRPr="000E71D9">
        <w:rPr>
          <w:rFonts w:ascii="Arial" w:eastAsia="Arial" w:hAnsi="Arial" w:cs="Arial"/>
          <w:spacing w:val="-11"/>
          <w:sz w:val="21"/>
          <w:szCs w:val="21"/>
          <w:lang w:val="es-ES"/>
        </w:rPr>
        <w:t xml:space="preserve"> </w:t>
      </w:r>
      <w:r w:rsidR="00FE2F29" w:rsidRPr="000E71D9">
        <w:rPr>
          <w:rFonts w:ascii="Arial" w:eastAsia="Arial" w:hAnsi="Arial" w:cs="Arial"/>
          <w:sz w:val="21"/>
          <w:szCs w:val="21"/>
          <w:lang w:val="es-ES"/>
        </w:rPr>
        <w:t>ingeniería</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según</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corresponda,</w:t>
      </w:r>
      <w:r w:rsidR="00FE2F29" w:rsidRPr="000E71D9">
        <w:rPr>
          <w:rFonts w:ascii="Arial" w:eastAsia="Arial" w:hAnsi="Arial" w:cs="Arial"/>
          <w:spacing w:val="-11"/>
          <w:sz w:val="21"/>
          <w:szCs w:val="21"/>
          <w:lang w:val="es-ES"/>
        </w:rPr>
        <w:t xml:space="preserve"> </w:t>
      </w:r>
      <w:r w:rsidR="00FE2F29" w:rsidRPr="000E71D9">
        <w:rPr>
          <w:rFonts w:ascii="Arial" w:eastAsia="Arial" w:hAnsi="Arial" w:cs="Arial"/>
          <w:sz w:val="21"/>
          <w:szCs w:val="21"/>
          <w:lang w:val="es-ES"/>
        </w:rPr>
        <w:t>vigente</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a</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la</w:t>
      </w:r>
      <w:r w:rsidR="00FE2F29" w:rsidRPr="000E71D9">
        <w:rPr>
          <w:rFonts w:ascii="Arial" w:eastAsia="Arial" w:hAnsi="Arial" w:cs="Arial"/>
          <w:spacing w:val="-11"/>
          <w:sz w:val="21"/>
          <w:szCs w:val="21"/>
          <w:lang w:val="es-ES"/>
        </w:rPr>
        <w:t xml:space="preserve"> </w:t>
      </w:r>
      <w:r w:rsidR="00FE2F29" w:rsidRPr="000E71D9">
        <w:rPr>
          <w:rFonts w:ascii="Arial" w:eastAsia="Arial" w:hAnsi="Arial" w:cs="Arial"/>
          <w:sz w:val="21"/>
          <w:szCs w:val="21"/>
          <w:lang w:val="es-ES"/>
        </w:rPr>
        <w:t>fecha</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1"/>
          <w:sz w:val="21"/>
          <w:szCs w:val="21"/>
          <w:lang w:val="es-ES"/>
        </w:rPr>
        <w:t xml:space="preserve"> </w:t>
      </w:r>
      <w:r w:rsidR="00FE2F29" w:rsidRPr="000E71D9">
        <w:rPr>
          <w:rFonts w:ascii="Arial" w:eastAsia="Arial" w:hAnsi="Arial" w:cs="Arial"/>
          <w:sz w:val="21"/>
          <w:szCs w:val="21"/>
          <w:lang w:val="es-ES"/>
        </w:rPr>
        <w:t>cierre</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2"/>
          <w:sz w:val="21"/>
          <w:szCs w:val="21"/>
          <w:lang w:val="es-ES"/>
        </w:rPr>
        <w:t xml:space="preserve"> </w:t>
      </w:r>
      <w:r w:rsidR="00FE2F29" w:rsidRPr="000E71D9">
        <w:rPr>
          <w:rFonts w:ascii="Arial" w:eastAsia="Arial" w:hAnsi="Arial" w:cs="Arial"/>
          <w:sz w:val="21"/>
          <w:szCs w:val="21"/>
          <w:lang w:val="es-ES"/>
        </w:rPr>
        <w:t>este Proceso de</w:t>
      </w:r>
      <w:r w:rsidR="00FE2F29" w:rsidRPr="000E71D9">
        <w:rPr>
          <w:rFonts w:ascii="Arial" w:eastAsia="Arial" w:hAnsi="Arial" w:cs="Arial"/>
          <w:spacing w:val="-3"/>
          <w:sz w:val="21"/>
          <w:szCs w:val="21"/>
          <w:lang w:val="es-ES"/>
        </w:rPr>
        <w:t xml:space="preserve"> </w:t>
      </w:r>
      <w:r w:rsidR="00FE2F29" w:rsidRPr="000E71D9">
        <w:rPr>
          <w:rFonts w:ascii="Arial" w:eastAsia="Arial" w:hAnsi="Arial" w:cs="Arial"/>
          <w:sz w:val="21"/>
          <w:szCs w:val="21"/>
          <w:lang w:val="es-ES"/>
        </w:rPr>
        <w:t>selección.</w:t>
      </w:r>
    </w:p>
    <w:p w14:paraId="3E21AA9D" w14:textId="77777777" w:rsidR="00FE2F29" w:rsidRPr="000E71D9" w:rsidRDefault="00FE2F29" w:rsidP="000E71D9">
      <w:pPr>
        <w:widowControl w:val="0"/>
        <w:tabs>
          <w:tab w:val="left" w:pos="7938"/>
        </w:tabs>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Arial" w:hAnsi="Arial" w:cs="Arial"/>
          <w:sz w:val="21"/>
          <w:szCs w:val="21"/>
          <w:lang w:val="es-ES"/>
        </w:rPr>
        <w:t>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ser</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avalada</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por</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un</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ingeniero,</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para</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lo</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cual</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deberá</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adjuntar</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copia</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la tarjeta</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profesional</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y</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copia</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del</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certificado</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vigencia</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matrícula</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profesional expedida</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por</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el</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COPNIA</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o</w:t>
      </w:r>
      <w:r w:rsidRPr="000E71D9">
        <w:rPr>
          <w:rFonts w:ascii="Arial" w:eastAsia="Arial" w:hAnsi="Arial" w:cs="Arial"/>
          <w:spacing w:val="-14"/>
          <w:sz w:val="21"/>
          <w:szCs w:val="21"/>
          <w:lang w:val="es-ES"/>
        </w:rPr>
        <w:t xml:space="preserve"> </w:t>
      </w:r>
      <w:r w:rsidRPr="000E71D9">
        <w:rPr>
          <w:rFonts w:ascii="Arial" w:eastAsia="Arial" w:hAnsi="Arial" w:cs="Arial"/>
          <w:sz w:val="21"/>
          <w:szCs w:val="21"/>
          <w:lang w:val="es-ES"/>
        </w:rPr>
        <w:t>Consejo</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Profesional</w:t>
      </w:r>
      <w:r w:rsidRPr="000E71D9">
        <w:rPr>
          <w:rFonts w:ascii="Arial" w:eastAsia="Arial" w:hAnsi="Arial" w:cs="Arial"/>
          <w:spacing w:val="-11"/>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Ingeniería</w:t>
      </w:r>
      <w:r w:rsidRPr="000E71D9">
        <w:rPr>
          <w:rFonts w:ascii="Arial" w:eastAsia="Arial" w:hAnsi="Arial" w:cs="Arial"/>
          <w:spacing w:val="-12"/>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3"/>
          <w:sz w:val="21"/>
          <w:szCs w:val="21"/>
          <w:lang w:val="es-ES"/>
        </w:rPr>
        <w:t xml:space="preserve"> </w:t>
      </w:r>
      <w:r w:rsidRPr="000E71D9">
        <w:rPr>
          <w:rFonts w:ascii="Arial" w:eastAsia="Arial" w:hAnsi="Arial" w:cs="Arial"/>
          <w:sz w:val="21"/>
          <w:szCs w:val="21"/>
          <w:lang w:val="es-ES"/>
        </w:rPr>
        <w:t>Transportes y</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Vías</w:t>
      </w:r>
      <w:r w:rsidRPr="000E71D9">
        <w:rPr>
          <w:rFonts w:ascii="Arial" w:eastAsia="Arial" w:hAnsi="Arial" w:cs="Arial"/>
          <w:spacing w:val="-14"/>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Colombia</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en</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la</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respectiva</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rama</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la</w:t>
      </w:r>
      <w:r w:rsidRPr="000E71D9">
        <w:rPr>
          <w:rFonts w:ascii="Arial" w:eastAsia="Arial" w:hAnsi="Arial" w:cs="Arial"/>
          <w:spacing w:val="-14"/>
          <w:sz w:val="21"/>
          <w:szCs w:val="21"/>
          <w:lang w:val="es-ES"/>
        </w:rPr>
        <w:t xml:space="preserve"> </w:t>
      </w:r>
      <w:r w:rsidRPr="000E71D9">
        <w:rPr>
          <w:rFonts w:ascii="Arial" w:eastAsia="Arial" w:hAnsi="Arial" w:cs="Arial"/>
          <w:sz w:val="21"/>
          <w:szCs w:val="21"/>
          <w:lang w:val="es-ES"/>
        </w:rPr>
        <w:t>ingeniería</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según</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corresponda, vigente a la fecha de cierre de este Proceso de</w:t>
      </w:r>
      <w:r w:rsidRPr="000E71D9">
        <w:rPr>
          <w:rFonts w:ascii="Arial" w:eastAsia="Arial" w:hAnsi="Arial" w:cs="Arial"/>
          <w:spacing w:val="-15"/>
          <w:sz w:val="21"/>
          <w:szCs w:val="21"/>
          <w:lang w:val="es-ES"/>
        </w:rPr>
        <w:t xml:space="preserve"> </w:t>
      </w:r>
      <w:r w:rsidRPr="000E71D9">
        <w:rPr>
          <w:rFonts w:ascii="Arial" w:eastAsia="Arial" w:hAnsi="Arial" w:cs="Arial"/>
          <w:sz w:val="21"/>
          <w:szCs w:val="21"/>
          <w:lang w:val="es-ES"/>
        </w:rPr>
        <w:t>selección.</w:t>
      </w:r>
    </w:p>
    <w:p w14:paraId="2C9B2EB7" w14:textId="1D16D128" w:rsidR="00FE2F29" w:rsidRPr="000E71D9" w:rsidRDefault="00FE2F29" w:rsidP="000E71D9">
      <w:pPr>
        <w:widowControl w:val="0"/>
        <w:tabs>
          <w:tab w:val="left" w:pos="7938"/>
        </w:tabs>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Arial" w:hAnsi="Arial" w:cs="Arial"/>
          <w:sz w:val="21"/>
          <w:szCs w:val="21"/>
          <w:lang w:val="es-ES"/>
        </w:rPr>
        <w:t>El aval del ingeniero de que trata el artículo 20 de la Ley 842 de 2003 hace parte integral del Formato 1 – Carta de presentación de la oferta, cuando el Proponente deba presentarlo.</w:t>
      </w:r>
      <w:r w:rsidR="009750AD" w:rsidRPr="009750AD">
        <w:rPr>
          <w:rFonts w:ascii="Arial" w:hAnsi="Arial" w:cs="Arial"/>
          <w:sz w:val="21"/>
          <w:szCs w:val="21"/>
        </w:rPr>
        <w:t>»</w:t>
      </w:r>
    </w:p>
    <w:p w14:paraId="585BE89D" w14:textId="77777777" w:rsidR="00FE2F29" w:rsidRPr="00E02234" w:rsidRDefault="00FE2F29" w:rsidP="00E02234">
      <w:pPr>
        <w:widowControl w:val="0"/>
        <w:autoSpaceDE w:val="0"/>
        <w:autoSpaceDN w:val="0"/>
        <w:spacing w:after="240" w:line="276" w:lineRule="auto"/>
        <w:ind w:right="8" w:firstLine="851"/>
        <w:jc w:val="both"/>
        <w:rPr>
          <w:rFonts w:ascii="Arial" w:eastAsia="Arial" w:hAnsi="Arial" w:cs="Arial"/>
          <w:lang w:val="es-ES"/>
        </w:rPr>
      </w:pPr>
      <w:r w:rsidRPr="00E02234">
        <w:rPr>
          <w:rFonts w:ascii="Arial" w:eastAsia="Arial" w:hAnsi="Arial" w:cs="Arial"/>
          <w:lang w:val="es-ES"/>
        </w:rPr>
        <w:t>En tales términos, en los procesos adelantados con documentos tipo de licitación de obra pública de infraestructura de transporte –Versión 3–, estar inscrito en el Registro Profesional del COPNIA es un requisito que debe cumplirse al momento de presentar la oferta, lo cual, en principio, debe ser acreditado presentando la copia de la tarjeta profesional y su certificado de vigencia como anexos de la carta de presentación de la oferta. En caso de persona jurídica, de dichos</w:t>
      </w:r>
      <w:r w:rsidRPr="00E02234">
        <w:rPr>
          <w:rFonts w:ascii="Arial" w:eastAsia="Arial" w:hAnsi="Arial" w:cs="Arial"/>
          <w:spacing w:val="-10"/>
          <w:lang w:val="es-ES"/>
        </w:rPr>
        <w:t xml:space="preserve"> </w:t>
      </w:r>
      <w:r w:rsidRPr="00E02234">
        <w:rPr>
          <w:rFonts w:ascii="Arial" w:eastAsia="Arial" w:hAnsi="Arial" w:cs="Arial"/>
          <w:lang w:val="es-ES"/>
        </w:rPr>
        <w:t>documentos</w:t>
      </w:r>
      <w:r w:rsidRPr="00E02234">
        <w:rPr>
          <w:rFonts w:ascii="Arial" w:eastAsia="Arial" w:hAnsi="Arial" w:cs="Arial"/>
          <w:spacing w:val="-10"/>
          <w:lang w:val="es-ES"/>
        </w:rPr>
        <w:t xml:space="preserve"> </w:t>
      </w:r>
      <w:r w:rsidRPr="00E02234">
        <w:rPr>
          <w:rFonts w:ascii="Arial" w:eastAsia="Arial" w:hAnsi="Arial" w:cs="Arial"/>
          <w:lang w:val="es-ES"/>
        </w:rPr>
        <w:t>dependerá</w:t>
      </w:r>
      <w:r w:rsidRPr="00E02234">
        <w:rPr>
          <w:rFonts w:ascii="Arial" w:eastAsia="Arial" w:hAnsi="Arial" w:cs="Arial"/>
          <w:spacing w:val="-10"/>
          <w:lang w:val="es-ES"/>
        </w:rPr>
        <w:t xml:space="preserve"> </w:t>
      </w:r>
      <w:r w:rsidRPr="00E02234">
        <w:rPr>
          <w:rFonts w:ascii="Arial" w:eastAsia="Arial" w:hAnsi="Arial" w:cs="Arial"/>
          <w:lang w:val="es-ES"/>
        </w:rPr>
        <w:t>la</w:t>
      </w:r>
      <w:r w:rsidRPr="00E02234">
        <w:rPr>
          <w:rFonts w:ascii="Arial" w:eastAsia="Arial" w:hAnsi="Arial" w:cs="Arial"/>
          <w:spacing w:val="-9"/>
          <w:lang w:val="es-ES"/>
        </w:rPr>
        <w:t xml:space="preserve"> </w:t>
      </w:r>
      <w:r w:rsidRPr="00E02234">
        <w:rPr>
          <w:rFonts w:ascii="Arial" w:eastAsia="Arial" w:hAnsi="Arial" w:cs="Arial"/>
          <w:lang w:val="es-ES"/>
        </w:rPr>
        <w:t>validez</w:t>
      </w:r>
      <w:r w:rsidRPr="00E02234">
        <w:rPr>
          <w:rFonts w:ascii="Arial" w:eastAsia="Arial" w:hAnsi="Arial" w:cs="Arial"/>
          <w:spacing w:val="-10"/>
          <w:lang w:val="es-ES"/>
        </w:rPr>
        <w:t xml:space="preserve"> </w:t>
      </w:r>
      <w:r w:rsidRPr="00E02234">
        <w:rPr>
          <w:rFonts w:ascii="Arial" w:eastAsia="Arial" w:hAnsi="Arial" w:cs="Arial"/>
          <w:lang w:val="es-ES"/>
        </w:rPr>
        <w:t>del</w:t>
      </w:r>
      <w:r w:rsidRPr="00E02234">
        <w:rPr>
          <w:rFonts w:ascii="Arial" w:eastAsia="Arial" w:hAnsi="Arial" w:cs="Arial"/>
          <w:spacing w:val="-10"/>
          <w:lang w:val="es-ES"/>
        </w:rPr>
        <w:t xml:space="preserve"> </w:t>
      </w:r>
      <w:r w:rsidRPr="00E02234">
        <w:rPr>
          <w:rFonts w:ascii="Arial" w:eastAsia="Arial" w:hAnsi="Arial" w:cs="Arial"/>
          <w:lang w:val="es-ES"/>
        </w:rPr>
        <w:t>aval</w:t>
      </w:r>
      <w:r w:rsidRPr="00E02234">
        <w:rPr>
          <w:rFonts w:ascii="Arial" w:eastAsia="Arial" w:hAnsi="Arial" w:cs="Arial"/>
          <w:spacing w:val="-9"/>
          <w:lang w:val="es-ES"/>
        </w:rPr>
        <w:t xml:space="preserve"> </w:t>
      </w:r>
      <w:r w:rsidRPr="00E02234">
        <w:rPr>
          <w:rFonts w:ascii="Arial" w:eastAsia="Arial" w:hAnsi="Arial" w:cs="Arial"/>
          <w:lang w:val="es-ES"/>
        </w:rPr>
        <w:t>al</w:t>
      </w:r>
      <w:r w:rsidRPr="00E02234">
        <w:rPr>
          <w:rFonts w:ascii="Arial" w:eastAsia="Arial" w:hAnsi="Arial" w:cs="Arial"/>
          <w:spacing w:val="-10"/>
          <w:lang w:val="es-ES"/>
        </w:rPr>
        <w:t xml:space="preserve"> </w:t>
      </w:r>
      <w:r w:rsidRPr="00E02234">
        <w:rPr>
          <w:rFonts w:ascii="Arial" w:eastAsia="Arial" w:hAnsi="Arial" w:cs="Arial"/>
          <w:lang w:val="es-ES"/>
        </w:rPr>
        <w:t>que</w:t>
      </w:r>
      <w:r w:rsidRPr="00E02234">
        <w:rPr>
          <w:rFonts w:ascii="Arial" w:eastAsia="Arial" w:hAnsi="Arial" w:cs="Arial"/>
          <w:spacing w:val="-10"/>
          <w:lang w:val="es-ES"/>
        </w:rPr>
        <w:t xml:space="preserve"> </w:t>
      </w:r>
      <w:r w:rsidRPr="00E02234">
        <w:rPr>
          <w:rFonts w:ascii="Arial" w:eastAsia="Arial" w:hAnsi="Arial" w:cs="Arial"/>
          <w:lang w:val="es-ES"/>
        </w:rPr>
        <w:t>se</w:t>
      </w:r>
      <w:r w:rsidRPr="00E02234">
        <w:rPr>
          <w:rFonts w:ascii="Arial" w:eastAsia="Arial" w:hAnsi="Arial" w:cs="Arial"/>
          <w:spacing w:val="-10"/>
          <w:lang w:val="es-ES"/>
        </w:rPr>
        <w:t xml:space="preserve"> </w:t>
      </w:r>
      <w:r w:rsidRPr="00E02234">
        <w:rPr>
          <w:rFonts w:ascii="Arial" w:eastAsia="Arial" w:hAnsi="Arial" w:cs="Arial"/>
          <w:lang w:val="es-ES"/>
        </w:rPr>
        <w:t>refiere</w:t>
      </w:r>
      <w:r w:rsidRPr="00E02234">
        <w:rPr>
          <w:rFonts w:ascii="Arial" w:eastAsia="Arial" w:hAnsi="Arial" w:cs="Arial"/>
          <w:spacing w:val="-9"/>
          <w:lang w:val="es-ES"/>
        </w:rPr>
        <w:t xml:space="preserve"> </w:t>
      </w:r>
      <w:r w:rsidRPr="00E02234">
        <w:rPr>
          <w:rFonts w:ascii="Arial" w:eastAsia="Arial" w:hAnsi="Arial" w:cs="Arial"/>
          <w:lang w:val="es-ES"/>
        </w:rPr>
        <w:t>el</w:t>
      </w:r>
      <w:r w:rsidRPr="00E02234">
        <w:rPr>
          <w:rFonts w:ascii="Arial" w:eastAsia="Arial" w:hAnsi="Arial" w:cs="Arial"/>
          <w:spacing w:val="-10"/>
          <w:lang w:val="es-ES"/>
        </w:rPr>
        <w:t xml:space="preserve"> </w:t>
      </w:r>
      <w:r w:rsidRPr="00E02234">
        <w:rPr>
          <w:rFonts w:ascii="Arial" w:eastAsia="Arial" w:hAnsi="Arial" w:cs="Arial"/>
          <w:lang w:val="es-ES"/>
        </w:rPr>
        <w:t>artículo</w:t>
      </w:r>
      <w:r w:rsidRPr="00E02234">
        <w:rPr>
          <w:rFonts w:ascii="Arial" w:eastAsia="Arial" w:hAnsi="Arial" w:cs="Arial"/>
          <w:spacing w:val="-10"/>
          <w:lang w:val="es-ES"/>
        </w:rPr>
        <w:t xml:space="preserve"> </w:t>
      </w:r>
      <w:r w:rsidRPr="00E02234">
        <w:rPr>
          <w:rFonts w:ascii="Arial" w:eastAsia="Arial" w:hAnsi="Arial" w:cs="Arial"/>
          <w:lang w:val="es-ES"/>
        </w:rPr>
        <w:t>20</w:t>
      </w:r>
      <w:r w:rsidRPr="00E02234">
        <w:rPr>
          <w:rFonts w:ascii="Arial" w:eastAsia="Arial" w:hAnsi="Arial" w:cs="Arial"/>
          <w:spacing w:val="-9"/>
          <w:lang w:val="es-ES"/>
        </w:rPr>
        <w:t xml:space="preserve"> </w:t>
      </w:r>
      <w:r w:rsidRPr="00E02234">
        <w:rPr>
          <w:rFonts w:ascii="Arial" w:eastAsia="Arial" w:hAnsi="Arial" w:cs="Arial"/>
          <w:lang w:val="es-ES"/>
        </w:rPr>
        <w:t>de</w:t>
      </w:r>
      <w:r w:rsidRPr="00E02234">
        <w:rPr>
          <w:rFonts w:ascii="Arial" w:eastAsia="Arial" w:hAnsi="Arial" w:cs="Arial"/>
          <w:spacing w:val="-10"/>
          <w:lang w:val="es-ES"/>
        </w:rPr>
        <w:t xml:space="preserve"> </w:t>
      </w:r>
      <w:r w:rsidRPr="00E02234">
        <w:rPr>
          <w:rFonts w:ascii="Arial" w:eastAsia="Arial" w:hAnsi="Arial" w:cs="Arial"/>
          <w:lang w:val="es-ES"/>
        </w:rPr>
        <w:t>la Ley 842 de 2003. Después de analizar los conceptos Nos. 4 de 2008 y 68 de 2013, emitidos por el COPNIA, esta Agencia precisó lo</w:t>
      </w:r>
      <w:r w:rsidRPr="00E02234">
        <w:rPr>
          <w:rFonts w:ascii="Arial" w:eastAsia="Arial" w:hAnsi="Arial" w:cs="Arial"/>
          <w:spacing w:val="-14"/>
          <w:lang w:val="es-ES"/>
        </w:rPr>
        <w:t xml:space="preserve"> </w:t>
      </w:r>
      <w:r w:rsidRPr="00E02234">
        <w:rPr>
          <w:rFonts w:ascii="Arial" w:eastAsia="Arial" w:hAnsi="Arial" w:cs="Arial"/>
          <w:lang w:val="es-ES"/>
        </w:rPr>
        <w:t>siguiente:</w:t>
      </w:r>
    </w:p>
    <w:p w14:paraId="58F7A979" w14:textId="6F9D2E05" w:rsidR="00FE2F29" w:rsidRPr="000E71D9" w:rsidRDefault="0020725C"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20725C">
        <w:rPr>
          <w:rFonts w:ascii="Arial" w:hAnsi="Arial" w:cs="Arial"/>
          <w:sz w:val="21"/>
          <w:szCs w:val="21"/>
        </w:rPr>
        <w:t>«</w:t>
      </w:r>
      <w:r w:rsidR="00FE2F29" w:rsidRPr="000E71D9">
        <w:rPr>
          <w:rFonts w:ascii="Arial" w:eastAsia="Arial" w:hAnsi="Arial" w:cs="Arial"/>
          <w:sz w:val="21"/>
          <w:szCs w:val="21"/>
          <w:lang w:val="es-ES"/>
        </w:rPr>
        <w:t>[…]</w:t>
      </w:r>
      <w:r w:rsidR="00FE2F29" w:rsidRPr="000E71D9">
        <w:rPr>
          <w:rFonts w:ascii="Arial" w:eastAsia="Arial" w:hAnsi="Arial" w:cs="Arial"/>
          <w:spacing w:val="-7"/>
          <w:sz w:val="21"/>
          <w:szCs w:val="21"/>
          <w:lang w:val="es-ES"/>
        </w:rPr>
        <w:t xml:space="preserve"> </w:t>
      </w:r>
      <w:r w:rsidR="00FE2F29" w:rsidRPr="000E71D9">
        <w:rPr>
          <w:rFonts w:ascii="Arial" w:eastAsia="Arial" w:hAnsi="Arial" w:cs="Arial"/>
          <w:sz w:val="21"/>
          <w:szCs w:val="21"/>
          <w:lang w:val="es-ES"/>
        </w:rPr>
        <w:t>dado</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que</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las</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personas</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jurídicas</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no</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pueden</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y</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por</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tanto</w:t>
      </w:r>
      <w:r w:rsidR="00FE2F29" w:rsidRPr="000E71D9">
        <w:rPr>
          <w:rFonts w:ascii="Arial" w:eastAsia="Arial" w:hAnsi="Arial" w:cs="Arial"/>
          <w:spacing w:val="-5"/>
          <w:sz w:val="21"/>
          <w:szCs w:val="21"/>
          <w:lang w:val="es-ES"/>
        </w:rPr>
        <w:t xml:space="preserve"> </w:t>
      </w:r>
      <w:r w:rsidR="00FE2F29" w:rsidRPr="000E71D9">
        <w:rPr>
          <w:rFonts w:ascii="Arial" w:eastAsia="Arial" w:hAnsi="Arial" w:cs="Arial"/>
          <w:sz w:val="21"/>
          <w:szCs w:val="21"/>
          <w:lang w:val="es-ES"/>
        </w:rPr>
        <w:t>no</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les</w:t>
      </w:r>
      <w:r w:rsidR="00FE2F29" w:rsidRPr="000E71D9">
        <w:rPr>
          <w:rFonts w:ascii="Arial" w:eastAsia="Arial" w:hAnsi="Arial" w:cs="Arial"/>
          <w:spacing w:val="-6"/>
          <w:sz w:val="21"/>
          <w:szCs w:val="21"/>
          <w:lang w:val="es-ES"/>
        </w:rPr>
        <w:t xml:space="preserve"> </w:t>
      </w:r>
      <w:r w:rsidR="00FE2F29" w:rsidRPr="000E71D9">
        <w:rPr>
          <w:rFonts w:ascii="Arial" w:eastAsia="Arial" w:hAnsi="Arial" w:cs="Arial"/>
          <w:sz w:val="21"/>
          <w:szCs w:val="21"/>
          <w:lang w:val="es-ES"/>
        </w:rPr>
        <w:t>es</w:t>
      </w:r>
      <w:r w:rsidR="00FE2F29" w:rsidRPr="000E71D9">
        <w:rPr>
          <w:rFonts w:ascii="Arial" w:eastAsia="Arial" w:hAnsi="Arial" w:cs="Arial"/>
          <w:spacing w:val="-7"/>
          <w:sz w:val="21"/>
          <w:szCs w:val="21"/>
          <w:lang w:val="es-ES"/>
        </w:rPr>
        <w:t xml:space="preserve"> </w:t>
      </w:r>
      <w:r w:rsidR="00FE2F29" w:rsidRPr="000E71D9">
        <w:rPr>
          <w:rFonts w:ascii="Arial" w:eastAsia="Arial" w:hAnsi="Arial" w:cs="Arial"/>
          <w:sz w:val="21"/>
          <w:szCs w:val="21"/>
          <w:lang w:val="es-ES"/>
        </w:rPr>
        <w:t>exigible contar con una profesión, la ley previó dicha situación y las habilitó para contar</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con</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el</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apoyo</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de</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un</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profesional</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que</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avalara</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la</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propuestas</w:t>
      </w:r>
      <w:r w:rsidR="00FE2F29" w:rsidRPr="000E71D9">
        <w:rPr>
          <w:rFonts w:ascii="Arial" w:eastAsia="Arial" w:hAnsi="Arial" w:cs="Arial"/>
          <w:spacing w:val="-16"/>
          <w:sz w:val="21"/>
          <w:szCs w:val="21"/>
          <w:lang w:val="es-ES"/>
        </w:rPr>
        <w:t xml:space="preserve"> </w:t>
      </w:r>
      <w:r w:rsidR="00FE2F29" w:rsidRPr="000E71D9">
        <w:rPr>
          <w:rFonts w:ascii="Arial" w:eastAsia="Arial" w:hAnsi="Arial" w:cs="Arial"/>
          <w:sz w:val="21"/>
          <w:szCs w:val="21"/>
          <w:lang w:val="es-ES"/>
        </w:rPr>
        <w:t>relacionadas con ingeniería, pues si ello no hubiese ocurrido, a pesar que pueden desarrollar y desempeñar actividades catalogadas como el ejercicio de la ingeniería por encontrarse en el marco de su objeto social, ante la ausencia de una matrícula o tarjeta profesional no lo podrían</w:t>
      </w:r>
      <w:r w:rsidR="00FE2F29" w:rsidRPr="000E71D9">
        <w:rPr>
          <w:rFonts w:ascii="Arial" w:eastAsia="Arial" w:hAnsi="Arial" w:cs="Arial"/>
          <w:spacing w:val="-17"/>
          <w:sz w:val="21"/>
          <w:szCs w:val="21"/>
          <w:lang w:val="es-ES"/>
        </w:rPr>
        <w:t xml:space="preserve"> </w:t>
      </w:r>
      <w:r w:rsidR="00FE2F29" w:rsidRPr="000E71D9">
        <w:rPr>
          <w:rFonts w:ascii="Arial" w:eastAsia="Arial" w:hAnsi="Arial" w:cs="Arial"/>
          <w:sz w:val="21"/>
          <w:szCs w:val="21"/>
          <w:lang w:val="es-ES"/>
        </w:rPr>
        <w:t>hacer.</w:t>
      </w:r>
    </w:p>
    <w:p w14:paraId="302D6A03" w14:textId="77777777" w:rsidR="00FE2F29" w:rsidRPr="000E71D9" w:rsidRDefault="00FE2F29"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Arial" w:hAnsi="Arial" w:cs="Arial"/>
          <w:sz w:val="21"/>
          <w:szCs w:val="21"/>
          <w:lang w:val="es-ES"/>
        </w:rPr>
        <w:t>De esta forma, el aval implica que el profesional que firma, independientemente</w:t>
      </w:r>
      <w:r w:rsidRPr="000E71D9">
        <w:rPr>
          <w:rFonts w:ascii="Arial" w:eastAsia="Arial" w:hAnsi="Arial" w:cs="Arial"/>
          <w:spacing w:val="-9"/>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si</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se</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trata</w:t>
      </w:r>
      <w:r w:rsidRPr="000E71D9">
        <w:rPr>
          <w:rFonts w:ascii="Arial" w:eastAsia="Arial" w:hAnsi="Arial" w:cs="Arial"/>
          <w:spacing w:val="-9"/>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9"/>
          <w:sz w:val="21"/>
          <w:szCs w:val="21"/>
          <w:lang w:val="es-ES"/>
        </w:rPr>
        <w:t xml:space="preserve"> </w:t>
      </w:r>
      <w:r w:rsidRPr="000E71D9">
        <w:rPr>
          <w:rFonts w:ascii="Arial" w:eastAsia="Arial" w:hAnsi="Arial" w:cs="Arial"/>
          <w:sz w:val="21"/>
          <w:szCs w:val="21"/>
          <w:lang w:val="es-ES"/>
        </w:rPr>
        <w:t>un</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miembro,</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empleado</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o</w:t>
      </w:r>
      <w:r w:rsidRPr="000E71D9">
        <w:rPr>
          <w:rFonts w:ascii="Arial" w:eastAsia="Arial" w:hAnsi="Arial" w:cs="Arial"/>
          <w:spacing w:val="-10"/>
          <w:sz w:val="21"/>
          <w:szCs w:val="21"/>
          <w:lang w:val="es-ES"/>
        </w:rPr>
        <w:t xml:space="preserve"> </w:t>
      </w:r>
      <w:r w:rsidRPr="000E71D9">
        <w:rPr>
          <w:rFonts w:ascii="Arial" w:eastAsia="Arial" w:hAnsi="Arial" w:cs="Arial"/>
          <w:sz w:val="21"/>
          <w:szCs w:val="21"/>
          <w:lang w:val="es-ES"/>
        </w:rPr>
        <w:t>contratista</w:t>
      </w:r>
      <w:r w:rsidRPr="000E71D9">
        <w:rPr>
          <w:rFonts w:ascii="Arial" w:eastAsia="Arial" w:hAnsi="Arial" w:cs="Arial"/>
          <w:spacing w:val="-9"/>
          <w:sz w:val="21"/>
          <w:szCs w:val="21"/>
          <w:lang w:val="es-ES"/>
        </w:rPr>
        <w:t xml:space="preserve"> </w:t>
      </w:r>
      <w:r w:rsidRPr="000E71D9">
        <w:rPr>
          <w:rFonts w:ascii="Arial" w:eastAsia="Arial" w:hAnsi="Arial" w:cs="Arial"/>
          <w:sz w:val="21"/>
          <w:szCs w:val="21"/>
          <w:lang w:val="es-ES"/>
        </w:rPr>
        <w:t>de la</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respectiva</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persona</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jurídica,</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se</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hace</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responsable,</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en</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virtud</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de</w:t>
      </w:r>
      <w:r w:rsidRPr="000E71D9">
        <w:rPr>
          <w:rFonts w:ascii="Arial" w:eastAsia="Arial" w:hAnsi="Arial" w:cs="Arial"/>
          <w:spacing w:val="20"/>
          <w:sz w:val="21"/>
          <w:szCs w:val="21"/>
          <w:lang w:val="es-ES"/>
        </w:rPr>
        <w:t xml:space="preserve"> </w:t>
      </w:r>
      <w:r w:rsidRPr="000E71D9">
        <w:rPr>
          <w:rFonts w:ascii="Arial" w:eastAsia="Arial" w:hAnsi="Arial" w:cs="Arial"/>
          <w:sz w:val="21"/>
          <w:szCs w:val="21"/>
          <w:lang w:val="es-ES"/>
        </w:rPr>
        <w:t xml:space="preserve">su idoneidad, por el adecuado ejercicio de la </w:t>
      </w:r>
      <w:r w:rsidRPr="000E71D9">
        <w:rPr>
          <w:rFonts w:ascii="Arial" w:eastAsia="Arial" w:hAnsi="Arial" w:cs="Arial"/>
          <w:sz w:val="21"/>
          <w:szCs w:val="21"/>
          <w:lang w:val="es-ES"/>
        </w:rPr>
        <w:lastRenderedPageBreak/>
        <w:t>profesión por parte de la persona jurídica que desarrolla funciones profesionales relacionadas directamente con la ingeniería.</w:t>
      </w:r>
    </w:p>
    <w:p w14:paraId="5948D3DF" w14:textId="77777777" w:rsidR="00FE2F29" w:rsidRPr="000E71D9" w:rsidRDefault="00FE2F29" w:rsidP="000E71D9">
      <w:pPr>
        <w:spacing w:after="0" w:line="240" w:lineRule="auto"/>
        <w:ind w:left="810" w:right="851"/>
        <w:rPr>
          <w:rFonts w:ascii="Arial" w:eastAsia="Arial" w:hAnsi="Arial" w:cs="Arial"/>
          <w:sz w:val="21"/>
          <w:szCs w:val="21"/>
          <w:lang w:val="es-ES"/>
        </w:rPr>
      </w:pPr>
      <w:r w:rsidRPr="000E71D9">
        <w:rPr>
          <w:rFonts w:ascii="Arial" w:eastAsia="Arial" w:hAnsi="Arial" w:cs="Arial"/>
          <w:sz w:val="21"/>
          <w:szCs w:val="21"/>
          <w:lang w:val="es-ES"/>
        </w:rPr>
        <w:t>[…]</w:t>
      </w:r>
    </w:p>
    <w:p w14:paraId="59F50999" w14:textId="77777777" w:rsidR="00FE2F29" w:rsidRPr="000E71D9" w:rsidRDefault="00FE2F29" w:rsidP="000E71D9">
      <w:pPr>
        <w:widowControl w:val="0"/>
        <w:autoSpaceDE w:val="0"/>
        <w:autoSpaceDN w:val="0"/>
        <w:spacing w:before="3" w:after="0" w:line="240" w:lineRule="auto"/>
        <w:ind w:right="851"/>
        <w:rPr>
          <w:rFonts w:ascii="Arial" w:eastAsia="Arial" w:hAnsi="Arial" w:cs="Arial"/>
          <w:sz w:val="21"/>
          <w:szCs w:val="21"/>
          <w:lang w:val="es-ES"/>
        </w:rPr>
      </w:pPr>
    </w:p>
    <w:p w14:paraId="287E0887" w14:textId="77777777" w:rsidR="00FE2F29" w:rsidRPr="000E71D9" w:rsidRDefault="00FE2F29" w:rsidP="000E71D9">
      <w:pPr>
        <w:spacing w:after="0" w:line="240" w:lineRule="auto"/>
        <w:ind w:left="810" w:right="851"/>
        <w:jc w:val="both"/>
        <w:rPr>
          <w:rFonts w:ascii="Arial" w:eastAsia="Arial" w:hAnsi="Arial" w:cs="Arial"/>
          <w:sz w:val="21"/>
          <w:szCs w:val="21"/>
          <w:lang w:val="es-ES"/>
        </w:rPr>
      </w:pPr>
      <w:r w:rsidRPr="000E71D9">
        <w:rPr>
          <w:rFonts w:ascii="Arial" w:eastAsia="Arial" w:hAnsi="Arial" w:cs="Arial"/>
          <w:sz w:val="21"/>
          <w:szCs w:val="21"/>
          <w:lang w:val="es-ES"/>
        </w:rPr>
        <w:t>El numeral «2.1 CARTA DE PRESENTACIÓN DE LA OFERTA», del «CAPÍTULO II ELABORACIÓN Y PRESENTACIÓN DE LA OFERTA», de los documentos tipo de obra de infraestructura de transporte, establece que la persona natural que pretenda ser partícipe de un proceso de contratación deberá acreditar título de ingeniero en la respectiva rama de la ingeniería, según corresponda al objeto del proceso de contratación. De esa forma establece:</w:t>
      </w:r>
    </w:p>
    <w:p w14:paraId="0619E3A3" w14:textId="77777777" w:rsidR="00FE2F29" w:rsidRPr="000E71D9" w:rsidRDefault="00FE2F29" w:rsidP="000E71D9">
      <w:pPr>
        <w:widowControl w:val="0"/>
        <w:autoSpaceDE w:val="0"/>
        <w:autoSpaceDN w:val="0"/>
        <w:spacing w:before="3" w:after="0" w:line="240" w:lineRule="auto"/>
        <w:ind w:right="851"/>
        <w:jc w:val="both"/>
        <w:rPr>
          <w:rFonts w:ascii="Arial" w:eastAsia="Arial" w:hAnsi="Arial" w:cs="Arial"/>
          <w:sz w:val="21"/>
          <w:szCs w:val="21"/>
          <w:lang w:val="es-ES"/>
        </w:rPr>
      </w:pPr>
    </w:p>
    <w:p w14:paraId="2A3E875C" w14:textId="77777777" w:rsidR="00FE2F29" w:rsidRPr="000E71D9" w:rsidRDefault="00FE2F29" w:rsidP="000E71D9">
      <w:pPr>
        <w:spacing w:after="0" w:line="240" w:lineRule="auto"/>
        <w:ind w:left="810" w:right="851"/>
        <w:jc w:val="both"/>
        <w:rPr>
          <w:rFonts w:ascii="Arial" w:eastAsia="Arial" w:hAnsi="Arial" w:cs="Arial"/>
          <w:sz w:val="21"/>
          <w:szCs w:val="21"/>
          <w:lang w:val="es-ES"/>
        </w:rPr>
      </w:pPr>
      <w:r w:rsidRPr="000E71D9">
        <w:rPr>
          <w:rFonts w:ascii="Arial" w:eastAsia="Arial" w:hAnsi="Arial" w:cs="Arial"/>
          <w:sz w:val="21"/>
          <w:szCs w:val="21"/>
          <w:lang w:val="es-ES"/>
        </w:rPr>
        <w:t>En virtud de lo previsto en la Ley 842 de 2003 y con el fin de no permitir el ejercicio ilegal de la Ingeniería, la persona natural (proponente individual o integrante de la estructura plural) que pretenda participar en el presente proceso, deberá acreditar que posee título como Ingeniero, para lo cual deberá adjuntar copia del certificado de vigencia de matrícula profesional expedida por el COPNIA o Consejo Profesional de Ingeniería de Transportes y Vías de Colombia en la respectiva rama de la ingeniería según corresponda, vigente a la fecha de cierre de este proceso de selección.</w:t>
      </w:r>
    </w:p>
    <w:p w14:paraId="3BDB8F2B" w14:textId="77777777" w:rsidR="00FE2F29" w:rsidRPr="000E71D9" w:rsidRDefault="00FE2F29" w:rsidP="000E71D9">
      <w:pPr>
        <w:widowControl w:val="0"/>
        <w:autoSpaceDE w:val="0"/>
        <w:autoSpaceDN w:val="0"/>
        <w:spacing w:before="3" w:after="0" w:line="240" w:lineRule="auto"/>
        <w:rPr>
          <w:rFonts w:ascii="Arial" w:eastAsia="Arial" w:hAnsi="Arial" w:cs="Arial"/>
          <w:sz w:val="21"/>
          <w:szCs w:val="21"/>
          <w:lang w:val="es-ES"/>
        </w:rPr>
      </w:pPr>
    </w:p>
    <w:p w14:paraId="711027AE" w14:textId="76798262" w:rsidR="00FE2F29" w:rsidRPr="000E71D9" w:rsidRDefault="00FE2F29" w:rsidP="000E71D9">
      <w:pPr>
        <w:widowControl w:val="0"/>
        <w:autoSpaceDE w:val="0"/>
        <w:autoSpaceDN w:val="0"/>
        <w:spacing w:after="240" w:line="240" w:lineRule="auto"/>
        <w:ind w:left="851" w:right="851"/>
        <w:jc w:val="both"/>
        <w:rPr>
          <w:rFonts w:ascii="Arial" w:eastAsia="Arial" w:hAnsi="Arial" w:cs="Arial"/>
          <w:sz w:val="21"/>
          <w:szCs w:val="21"/>
          <w:lang w:val="es-ES"/>
        </w:rPr>
      </w:pPr>
      <w:r w:rsidRPr="000E71D9">
        <w:rPr>
          <w:rFonts w:ascii="Arial" w:eastAsia="Times New Roman" w:hAnsi="Arial" w:cs="Arial"/>
          <w:sz w:val="21"/>
          <w:szCs w:val="21"/>
          <w:lang w:eastAsia="es-ES_tradnl"/>
        </w:rPr>
        <w:t>De acuerdo con lo expuesto, y en concordancia con el Consejo Profesional Nacional de Ingeniería, la persona natural que presente propuesta en un proceso de contratación desarrollado en virtud de los documentos tipo de obra de infraestructura de transporte deberá acreditar título profesional en ingeniería, sin que sea posible que ante la ausencia de dicho título participe con</w:t>
      </w:r>
      <w:r w:rsidRPr="000E71D9">
        <w:rPr>
          <w:rFonts w:ascii="Arial" w:eastAsia="Times New Roman" w:hAnsi="Arial" w:cs="Arial"/>
          <w:spacing w:val="-4"/>
          <w:sz w:val="21"/>
          <w:szCs w:val="21"/>
          <w:lang w:eastAsia="es-ES_tradnl"/>
        </w:rPr>
        <w:t xml:space="preserve"> </w:t>
      </w:r>
      <w:r w:rsidRPr="000E71D9">
        <w:rPr>
          <w:rFonts w:ascii="Arial" w:eastAsia="Times New Roman" w:hAnsi="Arial" w:cs="Arial"/>
          <w:sz w:val="21"/>
          <w:szCs w:val="21"/>
          <w:lang w:eastAsia="es-ES_tradnl"/>
        </w:rPr>
        <w:t>el</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aval</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de</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un</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ingeniero</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de</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la</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rama</w:t>
      </w:r>
      <w:r w:rsidRPr="000E71D9">
        <w:rPr>
          <w:rFonts w:ascii="Arial" w:eastAsia="Times New Roman" w:hAnsi="Arial" w:cs="Arial"/>
          <w:spacing w:val="-4"/>
          <w:sz w:val="21"/>
          <w:szCs w:val="21"/>
          <w:lang w:eastAsia="es-ES_tradnl"/>
        </w:rPr>
        <w:t xml:space="preserve"> </w:t>
      </w:r>
      <w:r w:rsidRPr="000E71D9">
        <w:rPr>
          <w:rFonts w:ascii="Arial" w:eastAsia="Times New Roman" w:hAnsi="Arial" w:cs="Arial"/>
          <w:sz w:val="21"/>
          <w:szCs w:val="21"/>
          <w:lang w:eastAsia="es-ES_tradnl"/>
        </w:rPr>
        <w:t>relacionada</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con</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el</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objeto</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del</w:t>
      </w:r>
      <w:r w:rsidRPr="000E71D9">
        <w:rPr>
          <w:rFonts w:ascii="Arial" w:eastAsia="Times New Roman" w:hAnsi="Arial" w:cs="Arial"/>
          <w:spacing w:val="-3"/>
          <w:sz w:val="21"/>
          <w:szCs w:val="21"/>
          <w:lang w:eastAsia="es-ES_tradnl"/>
        </w:rPr>
        <w:t xml:space="preserve"> </w:t>
      </w:r>
      <w:r w:rsidRPr="000E71D9">
        <w:rPr>
          <w:rFonts w:ascii="Arial" w:eastAsia="Times New Roman" w:hAnsi="Arial" w:cs="Arial"/>
          <w:sz w:val="21"/>
          <w:szCs w:val="21"/>
          <w:lang w:eastAsia="es-ES_tradnl"/>
        </w:rPr>
        <w:t>proceso de</w:t>
      </w:r>
      <w:r w:rsidRPr="000E71D9">
        <w:rPr>
          <w:rFonts w:ascii="Arial" w:eastAsia="Times New Roman" w:hAnsi="Arial" w:cs="Arial"/>
          <w:spacing w:val="-5"/>
          <w:sz w:val="21"/>
          <w:szCs w:val="21"/>
          <w:lang w:eastAsia="es-ES_tradnl"/>
        </w:rPr>
        <w:t xml:space="preserve"> </w:t>
      </w:r>
      <w:r w:rsidRPr="000E71D9">
        <w:rPr>
          <w:rFonts w:ascii="Arial" w:eastAsia="Times New Roman" w:hAnsi="Arial" w:cs="Arial"/>
          <w:sz w:val="21"/>
          <w:szCs w:val="21"/>
          <w:lang w:eastAsia="es-ES_tradnl"/>
        </w:rPr>
        <w:t>contratación</w:t>
      </w:r>
      <w:r w:rsidRPr="000E71D9">
        <w:rPr>
          <w:rFonts w:ascii="Arial" w:eastAsia="Times New Roman" w:hAnsi="Arial" w:cs="Arial"/>
          <w:sz w:val="21"/>
          <w:szCs w:val="21"/>
          <w:vertAlign w:val="superscript"/>
          <w:lang w:eastAsia="es-ES_tradnl"/>
        </w:rPr>
        <w:footnoteReference w:id="14"/>
      </w:r>
      <w:r w:rsidRPr="000E71D9">
        <w:rPr>
          <w:rFonts w:ascii="Arial" w:eastAsia="Times New Roman" w:hAnsi="Arial" w:cs="Arial"/>
          <w:sz w:val="21"/>
          <w:szCs w:val="21"/>
          <w:lang w:eastAsia="es-ES_tradnl"/>
        </w:rPr>
        <w:t>.</w:t>
      </w:r>
      <w:r w:rsidR="0020725C" w:rsidRPr="0020725C">
        <w:rPr>
          <w:rFonts w:ascii="Arial" w:hAnsi="Arial" w:cs="Arial"/>
          <w:sz w:val="21"/>
          <w:szCs w:val="21"/>
        </w:rPr>
        <w:t>»</w:t>
      </w:r>
    </w:p>
    <w:p w14:paraId="13CF2DDB" w14:textId="77777777" w:rsidR="00FE2F29" w:rsidRPr="00E02234" w:rsidRDefault="00FE2F29" w:rsidP="00E02234">
      <w:pPr>
        <w:widowControl w:val="0"/>
        <w:autoSpaceDE w:val="0"/>
        <w:autoSpaceDN w:val="0"/>
        <w:spacing w:after="240" w:line="276" w:lineRule="auto"/>
        <w:ind w:firstLine="851"/>
        <w:jc w:val="both"/>
        <w:rPr>
          <w:rFonts w:ascii="Arial" w:eastAsia="Arial" w:hAnsi="Arial" w:cs="Arial"/>
          <w:lang w:val="es-ES"/>
        </w:rPr>
      </w:pPr>
      <w:r w:rsidRPr="00E02234">
        <w:rPr>
          <w:rFonts w:ascii="Arial" w:eastAsia="Arial" w:hAnsi="Arial" w:cs="Arial"/>
          <w:lang w:val="es-ES"/>
        </w:rPr>
        <w:t>Así las cosas, el ejercicio de la ingeniería es una actividad que de conformidad con el artículo 6 de la Ley 842 de 2003, requiere de la inscripción en el respectivo Registro Profesional llevado por el Consejo Profesional Nacional de Ingeniería - COPNIA-, lo cual en principio debe ser acreditado con la exhibición de la Tarjeta Profesional, para participar en procesos de selección relacionados con objetos contractuales cuyo desarrollo impliquen ejercer la ingeniería. Este requerimiento, en el caso</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las</w:t>
      </w:r>
      <w:r w:rsidRPr="00E02234">
        <w:rPr>
          <w:rFonts w:ascii="Arial" w:eastAsia="Arial" w:hAnsi="Arial" w:cs="Arial"/>
          <w:spacing w:val="-12"/>
          <w:lang w:val="es-ES"/>
        </w:rPr>
        <w:t xml:space="preserve"> </w:t>
      </w:r>
      <w:r w:rsidRPr="00E02234">
        <w:rPr>
          <w:rFonts w:ascii="Arial" w:eastAsia="Arial" w:hAnsi="Arial" w:cs="Arial"/>
          <w:lang w:val="es-ES"/>
        </w:rPr>
        <w:t>personas</w:t>
      </w:r>
      <w:r w:rsidRPr="00E02234">
        <w:rPr>
          <w:rFonts w:ascii="Arial" w:eastAsia="Arial" w:hAnsi="Arial" w:cs="Arial"/>
          <w:spacing w:val="-10"/>
          <w:lang w:val="es-ES"/>
        </w:rPr>
        <w:t xml:space="preserve"> </w:t>
      </w:r>
      <w:r w:rsidRPr="00E02234">
        <w:rPr>
          <w:rFonts w:ascii="Arial" w:eastAsia="Arial" w:hAnsi="Arial" w:cs="Arial"/>
          <w:lang w:val="es-ES"/>
        </w:rPr>
        <w:t>jurídicas,</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conformidad</w:t>
      </w:r>
      <w:r w:rsidRPr="00E02234">
        <w:rPr>
          <w:rFonts w:ascii="Arial" w:eastAsia="Arial" w:hAnsi="Arial" w:cs="Arial"/>
          <w:spacing w:val="-11"/>
          <w:lang w:val="es-ES"/>
        </w:rPr>
        <w:t xml:space="preserve"> </w:t>
      </w:r>
      <w:r w:rsidRPr="00E02234">
        <w:rPr>
          <w:rFonts w:ascii="Arial" w:eastAsia="Arial" w:hAnsi="Arial" w:cs="Arial"/>
          <w:lang w:val="es-ES"/>
        </w:rPr>
        <w:t>con</w:t>
      </w:r>
      <w:r w:rsidRPr="00E02234">
        <w:rPr>
          <w:rFonts w:ascii="Arial" w:eastAsia="Arial" w:hAnsi="Arial" w:cs="Arial"/>
          <w:spacing w:val="-12"/>
          <w:lang w:val="es-ES"/>
        </w:rPr>
        <w:t xml:space="preserve"> </w:t>
      </w:r>
      <w:r w:rsidRPr="00E02234">
        <w:rPr>
          <w:rFonts w:ascii="Arial" w:eastAsia="Arial" w:hAnsi="Arial" w:cs="Arial"/>
          <w:lang w:val="es-ES"/>
        </w:rPr>
        <w:t>el</w:t>
      </w:r>
      <w:r w:rsidRPr="00E02234">
        <w:rPr>
          <w:rFonts w:ascii="Arial" w:eastAsia="Arial" w:hAnsi="Arial" w:cs="Arial"/>
          <w:spacing w:val="-11"/>
          <w:lang w:val="es-ES"/>
        </w:rPr>
        <w:t xml:space="preserve"> </w:t>
      </w:r>
      <w:r w:rsidRPr="00E02234">
        <w:rPr>
          <w:rFonts w:ascii="Arial" w:eastAsia="Arial" w:hAnsi="Arial" w:cs="Arial"/>
          <w:lang w:val="es-ES"/>
        </w:rPr>
        <w:t>artículo</w:t>
      </w:r>
      <w:r w:rsidRPr="00E02234">
        <w:rPr>
          <w:rFonts w:ascii="Arial" w:eastAsia="Arial" w:hAnsi="Arial" w:cs="Arial"/>
          <w:spacing w:val="-11"/>
          <w:lang w:val="es-ES"/>
        </w:rPr>
        <w:t xml:space="preserve"> </w:t>
      </w:r>
      <w:r w:rsidRPr="00E02234">
        <w:rPr>
          <w:rFonts w:ascii="Arial" w:eastAsia="Arial" w:hAnsi="Arial" w:cs="Arial"/>
          <w:lang w:val="es-ES"/>
        </w:rPr>
        <w:t>20</w:t>
      </w:r>
      <w:r w:rsidRPr="00E02234">
        <w:rPr>
          <w:rFonts w:ascii="Arial" w:eastAsia="Arial" w:hAnsi="Arial" w:cs="Arial"/>
          <w:spacing w:val="-11"/>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la</w:t>
      </w:r>
      <w:r w:rsidRPr="00E02234">
        <w:rPr>
          <w:rFonts w:ascii="Arial" w:eastAsia="Arial" w:hAnsi="Arial" w:cs="Arial"/>
          <w:spacing w:val="-12"/>
          <w:lang w:val="es-ES"/>
        </w:rPr>
        <w:t xml:space="preserve"> </w:t>
      </w:r>
      <w:r w:rsidRPr="00E02234">
        <w:rPr>
          <w:rFonts w:ascii="Arial" w:eastAsia="Arial" w:hAnsi="Arial" w:cs="Arial"/>
          <w:lang w:val="es-ES"/>
        </w:rPr>
        <w:t>Ley</w:t>
      </w:r>
      <w:r w:rsidRPr="00E02234">
        <w:rPr>
          <w:rFonts w:ascii="Arial" w:eastAsia="Arial" w:hAnsi="Arial" w:cs="Arial"/>
          <w:spacing w:val="-11"/>
          <w:lang w:val="es-ES"/>
        </w:rPr>
        <w:t xml:space="preserve"> </w:t>
      </w:r>
      <w:r w:rsidRPr="00E02234">
        <w:rPr>
          <w:rFonts w:ascii="Arial" w:eastAsia="Arial" w:hAnsi="Arial" w:cs="Arial"/>
          <w:lang w:val="es-ES"/>
        </w:rPr>
        <w:t>842</w:t>
      </w:r>
      <w:r w:rsidRPr="00E02234">
        <w:rPr>
          <w:rFonts w:ascii="Arial" w:eastAsia="Arial" w:hAnsi="Arial" w:cs="Arial"/>
          <w:spacing w:val="-12"/>
          <w:lang w:val="es-ES"/>
        </w:rPr>
        <w:t xml:space="preserve"> </w:t>
      </w:r>
      <w:r w:rsidRPr="00E02234">
        <w:rPr>
          <w:rFonts w:ascii="Arial" w:eastAsia="Arial" w:hAnsi="Arial" w:cs="Arial"/>
          <w:lang w:val="es-ES"/>
        </w:rPr>
        <w:t>de</w:t>
      </w:r>
      <w:r w:rsidRPr="00E02234">
        <w:rPr>
          <w:rFonts w:ascii="Arial" w:eastAsia="Arial" w:hAnsi="Arial" w:cs="Arial"/>
          <w:spacing w:val="-11"/>
          <w:lang w:val="es-ES"/>
        </w:rPr>
        <w:t xml:space="preserve"> </w:t>
      </w:r>
      <w:r w:rsidRPr="00E02234">
        <w:rPr>
          <w:rFonts w:ascii="Arial" w:eastAsia="Arial" w:hAnsi="Arial" w:cs="Arial"/>
          <w:lang w:val="es-ES"/>
        </w:rPr>
        <w:t>2003, debe ser cumplido mediante el aval de un ingeniero debidamente inscrito en el correspondiente Registro Profesional, cuando su representante legal o apoderado no ostenten dicha</w:t>
      </w:r>
      <w:r w:rsidRPr="00E02234">
        <w:rPr>
          <w:rFonts w:ascii="Arial" w:eastAsia="Arial" w:hAnsi="Arial" w:cs="Arial"/>
          <w:spacing w:val="-3"/>
          <w:lang w:val="es-ES"/>
        </w:rPr>
        <w:t xml:space="preserve"> </w:t>
      </w:r>
      <w:r w:rsidRPr="00E02234">
        <w:rPr>
          <w:rFonts w:ascii="Arial" w:eastAsia="Arial" w:hAnsi="Arial" w:cs="Arial"/>
          <w:lang w:val="es-ES"/>
        </w:rPr>
        <w:t>calidad.</w:t>
      </w:r>
    </w:p>
    <w:p w14:paraId="0E1EF6EA" w14:textId="77777777"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De acuerdo con lo expuesto, y en concordancia con el COPNIA, la persona natural</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que</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presente</w:t>
      </w:r>
      <w:r w:rsidRPr="00E02234">
        <w:rPr>
          <w:rFonts w:ascii="Arial" w:eastAsia="Times New Roman" w:hAnsi="Arial" w:cs="Arial"/>
          <w:spacing w:val="-8"/>
          <w:lang w:eastAsia="es-ES_tradnl"/>
        </w:rPr>
        <w:t xml:space="preserve"> </w:t>
      </w:r>
      <w:r w:rsidRPr="00E02234">
        <w:rPr>
          <w:rFonts w:ascii="Arial" w:eastAsia="Times New Roman" w:hAnsi="Arial" w:cs="Arial"/>
          <w:lang w:eastAsia="es-ES_tradnl"/>
        </w:rPr>
        <w:t>propuesta</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en</w:t>
      </w:r>
      <w:r w:rsidRPr="00E02234">
        <w:rPr>
          <w:rFonts w:ascii="Arial" w:eastAsia="Times New Roman" w:hAnsi="Arial" w:cs="Arial"/>
          <w:spacing w:val="-8"/>
          <w:lang w:eastAsia="es-ES_tradnl"/>
        </w:rPr>
        <w:t xml:space="preserve"> </w:t>
      </w:r>
      <w:r w:rsidRPr="00E02234">
        <w:rPr>
          <w:rFonts w:ascii="Arial" w:eastAsia="Times New Roman" w:hAnsi="Arial" w:cs="Arial"/>
          <w:lang w:eastAsia="es-ES_tradnl"/>
        </w:rPr>
        <w:t>un</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proceso</w:t>
      </w:r>
      <w:r w:rsidRPr="00E02234">
        <w:rPr>
          <w:rFonts w:ascii="Arial" w:eastAsia="Times New Roman" w:hAnsi="Arial" w:cs="Arial"/>
          <w:spacing w:val="-8"/>
          <w:lang w:eastAsia="es-ES_tradnl"/>
        </w:rPr>
        <w:t xml:space="preserve"> </w:t>
      </w:r>
      <w:r w:rsidRPr="00E02234">
        <w:rPr>
          <w:rFonts w:ascii="Arial" w:eastAsia="Times New Roman" w:hAnsi="Arial" w:cs="Arial"/>
          <w:lang w:eastAsia="es-ES_tradnl"/>
        </w:rPr>
        <w:t>de</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contratación</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desarrollado</w:t>
      </w:r>
      <w:r w:rsidRPr="00E02234">
        <w:rPr>
          <w:rFonts w:ascii="Arial" w:eastAsia="Times New Roman" w:hAnsi="Arial" w:cs="Arial"/>
          <w:spacing w:val="-8"/>
          <w:lang w:eastAsia="es-ES_tradnl"/>
        </w:rPr>
        <w:t xml:space="preserve"> </w:t>
      </w:r>
      <w:r w:rsidRPr="00E02234">
        <w:rPr>
          <w:rFonts w:ascii="Arial" w:eastAsia="Times New Roman" w:hAnsi="Arial" w:cs="Arial"/>
          <w:lang w:eastAsia="es-ES_tradnl"/>
        </w:rPr>
        <w:t>en</w:t>
      </w:r>
      <w:r w:rsidRPr="00E02234">
        <w:rPr>
          <w:rFonts w:ascii="Arial" w:eastAsia="Times New Roman" w:hAnsi="Arial" w:cs="Arial"/>
          <w:spacing w:val="-9"/>
          <w:lang w:eastAsia="es-ES_tradnl"/>
        </w:rPr>
        <w:t xml:space="preserve"> </w:t>
      </w:r>
      <w:r w:rsidRPr="00E02234">
        <w:rPr>
          <w:rFonts w:ascii="Arial" w:eastAsia="Times New Roman" w:hAnsi="Arial" w:cs="Arial"/>
          <w:lang w:eastAsia="es-ES_tradnl"/>
        </w:rPr>
        <w:t>virtud</w:t>
      </w:r>
      <w:r w:rsidRPr="00E02234">
        <w:rPr>
          <w:rFonts w:ascii="Arial" w:eastAsia="Times New Roman" w:hAnsi="Arial" w:cs="Arial"/>
          <w:spacing w:val="-8"/>
          <w:lang w:eastAsia="es-ES_tradnl"/>
        </w:rPr>
        <w:t xml:space="preserve"> </w:t>
      </w:r>
      <w:r w:rsidRPr="00E02234">
        <w:rPr>
          <w:rFonts w:ascii="Arial" w:eastAsia="Times New Roman" w:hAnsi="Arial" w:cs="Arial"/>
          <w:lang w:eastAsia="es-ES_tradnl"/>
        </w:rPr>
        <w:t xml:space="preserve">de los documentos tipo de obra de infraestructura de transporte, o en los procesos de contratación en los que se ejecuten actividades relacionadas con la ingeniería, deberá acreditar título profesional en ingeniería, sin </w:t>
      </w:r>
      <w:r w:rsidRPr="00E02234">
        <w:rPr>
          <w:rFonts w:ascii="Arial" w:eastAsia="Times New Roman" w:hAnsi="Arial" w:cs="Arial"/>
          <w:lang w:eastAsia="es-ES_tradnl"/>
        </w:rPr>
        <w:lastRenderedPageBreak/>
        <w:t>que sea posible que ante la ausencia de dicho título participe con el aval de un ingeniero de la rama relacionada con el objeto del proceso de contratación.</w:t>
      </w:r>
    </w:p>
    <w:p w14:paraId="54F32601" w14:textId="77777777"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 xml:space="preserve">Del mismo modo, tampoco resulta viable que una persona natural con título diferente a la ingeniería presente propuesta en procesos de selección, en los que la ejecución del objeto contractual ofertado implique el ejercicio de la ingeniería. Esto sin perjuicio, de que se oferten objetos contractuales que puedan ser desarrollados por profesionales diferentes a un ingeniero o ingeniera, esto es, los que no supongan el ejercicio de la ingeniería, caso en el cual la posibilidad de participar de profesionales no ingenieros deberá ser analizada a luz de las normas que regulen la respectiva profesión, de ser el caso. </w:t>
      </w:r>
    </w:p>
    <w:p w14:paraId="0F05DAA5" w14:textId="77777777" w:rsidR="00FE2F29" w:rsidRPr="00E02234" w:rsidRDefault="00FE2F29" w:rsidP="00E02234">
      <w:pPr>
        <w:spacing w:after="240" w:line="276" w:lineRule="auto"/>
        <w:jc w:val="both"/>
        <w:rPr>
          <w:rFonts w:ascii="Arial" w:eastAsia="Times New Roman" w:hAnsi="Arial" w:cs="Arial"/>
          <w:b/>
          <w:lang w:eastAsia="es-ES_tradnl"/>
        </w:rPr>
      </w:pPr>
      <w:r w:rsidRPr="00E02234">
        <w:rPr>
          <w:rFonts w:ascii="Arial" w:eastAsia="Times New Roman" w:hAnsi="Arial" w:cs="Arial"/>
          <w:b/>
          <w:lang w:eastAsia="es-ES_tradnl"/>
        </w:rPr>
        <w:t>2.4. La Colusión como una práctica anticompetitiva y su tratamiento</w:t>
      </w:r>
    </w:p>
    <w:p w14:paraId="6EA19D18" w14:textId="77777777" w:rsidR="00FE2F29" w:rsidRPr="00E02234" w:rsidRDefault="00FE2F29" w:rsidP="00E02234">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Conforme a lo dispuesto en el artículo 1° de la Ley 155 de 1959 están prohibidos los acuerdos o convenios que directa o indirectamente tengan por objeto limitar la producción, abastecimiento, distribución o consumo de materias primas, productos, mercancías o servicios nacionales o extranjeros, y en general, toda clase de prácticas, procedimientos o sistemas tendientes a limitar la libre competencia y a mantener o determinar precios inequitativos.</w:t>
      </w:r>
    </w:p>
    <w:p w14:paraId="4914818D" w14:textId="77777777" w:rsidR="00FE2F29" w:rsidRPr="00E02234" w:rsidRDefault="00FE2F29" w:rsidP="00E02234">
      <w:pPr>
        <w:spacing w:after="240" w:line="276" w:lineRule="auto"/>
        <w:ind w:firstLine="851"/>
        <w:jc w:val="both"/>
        <w:rPr>
          <w:rFonts w:ascii="Arial" w:eastAsia="Times New Roman" w:hAnsi="Arial" w:cs="Arial"/>
          <w:shd w:val="clear" w:color="auto" w:fill="FFFFFF"/>
          <w:lang w:eastAsia="es-ES_tradnl"/>
        </w:rPr>
      </w:pPr>
      <w:r w:rsidRPr="00E02234">
        <w:rPr>
          <w:rFonts w:ascii="Arial" w:eastAsia="Times New Roman" w:hAnsi="Arial" w:cs="Arial"/>
          <w:lang w:eastAsia="es-ES_tradnl"/>
        </w:rPr>
        <w:t xml:space="preserve">En el mismo sentido, el numeral 9º del artículo 47 del Decreto 2153 de 1992 </w:t>
      </w:r>
      <w:r w:rsidRPr="00E02234">
        <w:rPr>
          <w:rFonts w:ascii="Arial" w:eastAsia="Times New Roman" w:hAnsi="Arial" w:cs="Arial"/>
          <w:bCs/>
          <w:iCs/>
          <w:shd w:val="clear" w:color="auto" w:fill="FFFFFF"/>
          <w:lang w:eastAsia="es-ES_tradnl"/>
        </w:rPr>
        <w:t xml:space="preserve">“Por el cual se reestructura la Superintendencia de Industria y Comercio y se dictan otras disposiciones” </w:t>
      </w:r>
      <w:r w:rsidRPr="00E02234">
        <w:rPr>
          <w:rFonts w:ascii="Arial" w:eastAsia="Times New Roman" w:hAnsi="Arial" w:cs="Arial"/>
          <w:lang w:eastAsia="es-ES_tradnl"/>
        </w:rPr>
        <w:t>prescribe que son acuerdos contrarios a la libre competencia</w:t>
      </w:r>
      <w:r w:rsidRPr="00E02234">
        <w:rPr>
          <w:rFonts w:ascii="Arial" w:eastAsia="Times New Roman" w:hAnsi="Arial" w:cs="Arial"/>
          <w:shd w:val="clear" w:color="auto" w:fill="FFFFFF"/>
          <w:lang w:eastAsia="es-ES_tradnl"/>
        </w:rPr>
        <w:t> los que tengan por objeto la colusión en las licitaciones o concursos o los que tengan como efecto la distribución de adjudicaciones de contratos, distribución de concursos o fijación de términos de las propuestas.</w:t>
      </w:r>
    </w:p>
    <w:p w14:paraId="32BAE45A" w14:textId="77777777" w:rsidR="00FE2F29" w:rsidRPr="00E02234" w:rsidRDefault="00FE2F29" w:rsidP="00E02234">
      <w:pPr>
        <w:spacing w:after="240" w:line="276" w:lineRule="auto"/>
        <w:ind w:firstLine="851"/>
        <w:jc w:val="both"/>
        <w:rPr>
          <w:rFonts w:ascii="Arial" w:eastAsia="Times New Roman" w:hAnsi="Arial" w:cs="Arial"/>
          <w:shd w:val="clear" w:color="auto" w:fill="FAF9F8"/>
          <w:lang w:eastAsia="es-ES_tradnl"/>
        </w:rPr>
      </w:pPr>
      <w:r w:rsidRPr="00E02234">
        <w:rPr>
          <w:rFonts w:ascii="Arial" w:eastAsia="Times New Roman" w:hAnsi="Arial" w:cs="Arial"/>
          <w:lang w:eastAsia="es-ES_tradnl"/>
        </w:rPr>
        <w:t>Conforme a lo anterior, el Consejo de Estado, Sala de lo Contencioso Administrativo</w:t>
      </w:r>
      <w:r w:rsidRPr="00E02234">
        <w:rPr>
          <w:rFonts w:ascii="Arial" w:eastAsia="Times New Roman" w:hAnsi="Arial" w:cs="Arial"/>
          <w:vertAlign w:val="superscript"/>
          <w:lang w:eastAsia="es-ES_tradnl"/>
        </w:rPr>
        <w:footnoteReference w:id="15"/>
      </w:r>
      <w:r w:rsidRPr="00E02234">
        <w:rPr>
          <w:rFonts w:ascii="Arial" w:eastAsia="Times New Roman" w:hAnsi="Arial" w:cs="Arial"/>
          <w:lang w:eastAsia="es-ES_tradnl"/>
        </w:rPr>
        <w:t xml:space="preserve">, estudio esta figura y señaló </w:t>
      </w:r>
      <w:proofErr w:type="gramStart"/>
      <w:r w:rsidRPr="00E02234">
        <w:rPr>
          <w:rFonts w:ascii="Arial" w:eastAsia="Times New Roman" w:hAnsi="Arial" w:cs="Arial"/>
          <w:lang w:eastAsia="es-ES_tradnl"/>
        </w:rPr>
        <w:t>que</w:t>
      </w:r>
      <w:proofErr w:type="gramEnd"/>
      <w:r w:rsidRPr="00E02234">
        <w:rPr>
          <w:rFonts w:ascii="Arial" w:eastAsia="Times New Roman" w:hAnsi="Arial" w:cs="Arial"/>
          <w:lang w:eastAsia="es-ES_tradnl"/>
        </w:rPr>
        <w:t xml:space="preserve"> para la configuración de la colusión en Colombia, de acuerdo con el mencionado enunciado normativo, es necesaria la concurrencia de ciertos supuestos que definen la conducta anticompetitiva y contraria a la libre competencia así: </w:t>
      </w:r>
    </w:p>
    <w:p w14:paraId="46D71A46" w14:textId="1C63E01F" w:rsidR="00FE2F29" w:rsidRPr="000E71D9" w:rsidRDefault="00642D67" w:rsidP="000E71D9">
      <w:pPr>
        <w:spacing w:after="240" w:line="240" w:lineRule="auto"/>
        <w:ind w:left="851" w:right="851"/>
        <w:jc w:val="both"/>
        <w:rPr>
          <w:rFonts w:ascii="Arial" w:eastAsia="Times New Roman" w:hAnsi="Arial" w:cs="Arial"/>
          <w:sz w:val="21"/>
          <w:szCs w:val="21"/>
          <w:lang w:eastAsia="es-ES_tradnl"/>
        </w:rPr>
      </w:pPr>
      <w:r w:rsidRPr="00C73186">
        <w:rPr>
          <w:rFonts w:ascii="Arial" w:hAnsi="Arial" w:cs="Arial"/>
          <w:sz w:val="21"/>
          <w:szCs w:val="21"/>
        </w:rPr>
        <w:t>«</w:t>
      </w:r>
      <w:r w:rsidR="00FE2F29" w:rsidRPr="000E71D9">
        <w:rPr>
          <w:rFonts w:ascii="Arial" w:eastAsia="Times New Roman" w:hAnsi="Arial" w:cs="Arial"/>
          <w:sz w:val="21"/>
          <w:szCs w:val="21"/>
          <w:lang w:eastAsia="es-ES_tradnl"/>
        </w:rPr>
        <w:t>a) La existencia de un acuerdo entendido como “[…] todo contrato, convenio, concertación, práctica concertada o conscientemente paralela entre dos o más empresas” (numeral 1° del artículo 45 del Decreto 2153 de 1992), lo que se traduce en la voluntad o consenso de las partes de llevar una conducta contraria a la libre competencia.</w:t>
      </w:r>
    </w:p>
    <w:p w14:paraId="4517D781" w14:textId="77777777" w:rsidR="00FE2F29" w:rsidRPr="000E71D9" w:rsidRDefault="00FE2F29" w:rsidP="000E71D9">
      <w:pPr>
        <w:spacing w:after="240" w:line="240" w:lineRule="auto"/>
        <w:ind w:left="851" w:right="851"/>
        <w:jc w:val="both"/>
        <w:rPr>
          <w:rFonts w:ascii="Arial" w:eastAsia="Times New Roman" w:hAnsi="Arial" w:cs="Arial"/>
          <w:sz w:val="21"/>
          <w:szCs w:val="21"/>
          <w:shd w:val="clear" w:color="auto" w:fill="FAF9F8"/>
          <w:lang w:eastAsia="es-ES_tradnl"/>
        </w:rPr>
      </w:pPr>
      <w:r w:rsidRPr="000E71D9">
        <w:rPr>
          <w:rFonts w:ascii="Arial" w:eastAsia="Times New Roman" w:hAnsi="Arial" w:cs="Arial"/>
          <w:sz w:val="21"/>
          <w:szCs w:val="21"/>
          <w:lang w:eastAsia="es-ES_tradnl"/>
        </w:rPr>
        <w:t xml:space="preserve">De conformidad con lo anterior, se tiene que existen cinco formas de acuerdo previstas por el legislador, a saber: i) el contrato; </w:t>
      </w:r>
      <w:proofErr w:type="spellStart"/>
      <w:r w:rsidRPr="000E71D9">
        <w:rPr>
          <w:rFonts w:ascii="Arial" w:eastAsia="Times New Roman" w:hAnsi="Arial" w:cs="Arial"/>
          <w:sz w:val="21"/>
          <w:szCs w:val="21"/>
          <w:lang w:eastAsia="es-ES_tradnl"/>
        </w:rPr>
        <w:t>ii</w:t>
      </w:r>
      <w:proofErr w:type="spellEnd"/>
      <w:r w:rsidRPr="000E71D9">
        <w:rPr>
          <w:rFonts w:ascii="Arial" w:eastAsia="Times New Roman" w:hAnsi="Arial" w:cs="Arial"/>
          <w:sz w:val="21"/>
          <w:szCs w:val="21"/>
          <w:lang w:eastAsia="es-ES_tradnl"/>
        </w:rPr>
        <w:t xml:space="preserve">) convenio; </w:t>
      </w:r>
      <w:proofErr w:type="spellStart"/>
      <w:r w:rsidRPr="000E71D9">
        <w:rPr>
          <w:rFonts w:ascii="Arial" w:eastAsia="Times New Roman" w:hAnsi="Arial" w:cs="Arial"/>
          <w:sz w:val="21"/>
          <w:szCs w:val="21"/>
          <w:lang w:eastAsia="es-ES_tradnl"/>
        </w:rPr>
        <w:t>iii</w:t>
      </w:r>
      <w:proofErr w:type="spellEnd"/>
      <w:r w:rsidRPr="000E71D9">
        <w:rPr>
          <w:rFonts w:ascii="Arial" w:eastAsia="Times New Roman" w:hAnsi="Arial" w:cs="Arial"/>
          <w:sz w:val="21"/>
          <w:szCs w:val="21"/>
          <w:lang w:eastAsia="es-ES_tradnl"/>
        </w:rPr>
        <w:t xml:space="preserve">) concertación; 4) práctica concertada y v) prácticas conscientemente paralelas. La segunda parte de </w:t>
      </w:r>
      <w:r w:rsidRPr="000E71D9">
        <w:rPr>
          <w:rFonts w:ascii="Arial" w:eastAsia="Times New Roman" w:hAnsi="Arial" w:cs="Arial"/>
          <w:sz w:val="21"/>
          <w:szCs w:val="21"/>
          <w:lang w:eastAsia="es-ES_tradnl"/>
        </w:rPr>
        <w:lastRenderedPageBreak/>
        <w:t>la definición dada por la citada norma indica que requiere una pluralidad de empresas.</w:t>
      </w:r>
    </w:p>
    <w:p w14:paraId="3EB3552B" w14:textId="372077FA" w:rsidR="00FE2F29" w:rsidRPr="000E71D9" w:rsidRDefault="00FE2F29" w:rsidP="000E71D9">
      <w:pPr>
        <w:spacing w:after="240" w:line="240" w:lineRule="auto"/>
        <w:ind w:left="851" w:right="851"/>
        <w:jc w:val="both"/>
        <w:rPr>
          <w:rFonts w:ascii="Arial" w:eastAsia="Times New Roman" w:hAnsi="Arial" w:cs="Arial"/>
          <w:sz w:val="21"/>
          <w:szCs w:val="21"/>
          <w:lang w:eastAsia="es-ES_tradnl"/>
        </w:rPr>
      </w:pPr>
      <w:r w:rsidRPr="000E71D9">
        <w:rPr>
          <w:rFonts w:ascii="Arial" w:eastAsia="Times New Roman" w:hAnsi="Arial" w:cs="Arial"/>
          <w:sz w:val="21"/>
          <w:szCs w:val="21"/>
          <w:lang w:eastAsia="es-ES_tradnl"/>
        </w:rPr>
        <w:t>b) Que el acuerdo tenga por objeto la colusión en las licitaciones o concursos o los que tengan como efecto la distribución de adjudicaciones de contratos, distribución de concursos o fijación de los términos de las propuestas.</w:t>
      </w:r>
      <w:r w:rsidR="00C73186" w:rsidRPr="00C73186">
        <w:rPr>
          <w:rFonts w:ascii="Arial" w:hAnsi="Arial" w:cs="Arial"/>
          <w:sz w:val="21"/>
          <w:szCs w:val="21"/>
        </w:rPr>
        <w:t>»</w:t>
      </w:r>
    </w:p>
    <w:p w14:paraId="00D71C48" w14:textId="3760D145" w:rsidR="00FE2F29" w:rsidRPr="00E02234" w:rsidRDefault="00FE2F29" w:rsidP="000E71D9">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 xml:space="preserve">Colusión, de acuerdo con su significado natural significa </w:t>
      </w:r>
      <w:r w:rsidR="00C73186" w:rsidRPr="00C73186">
        <w:rPr>
          <w:rFonts w:ascii="Arial" w:hAnsi="Arial" w:cs="Arial"/>
          <w:sz w:val="21"/>
          <w:szCs w:val="21"/>
        </w:rPr>
        <w:t>«</w:t>
      </w:r>
      <w:r w:rsidRPr="00E02234">
        <w:rPr>
          <w:rFonts w:ascii="Arial" w:eastAsia="Times New Roman" w:hAnsi="Arial" w:cs="Arial"/>
          <w:lang w:eastAsia="es-ES_tradnl"/>
        </w:rPr>
        <w:t>Pacto ilícito en daño de un tercero</w:t>
      </w:r>
      <w:r w:rsidR="00C73186" w:rsidRPr="00C73186">
        <w:rPr>
          <w:rFonts w:ascii="Arial" w:hAnsi="Arial" w:cs="Arial"/>
          <w:sz w:val="21"/>
          <w:szCs w:val="21"/>
        </w:rPr>
        <w:t>»</w:t>
      </w:r>
      <w:r w:rsidRPr="00E02234">
        <w:rPr>
          <w:rFonts w:ascii="Arial" w:eastAsia="Times New Roman" w:hAnsi="Arial" w:cs="Arial"/>
          <w:lang w:eastAsia="es-ES_tradnl"/>
        </w:rPr>
        <w:t>, de manera que lo que se castiga es el pacto para desfavorecer a un tercero.</w:t>
      </w:r>
    </w:p>
    <w:p w14:paraId="57649879" w14:textId="77777777" w:rsidR="00FE2F29" w:rsidRPr="00E02234" w:rsidRDefault="00FE2F29" w:rsidP="000E71D9">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 xml:space="preserve">La doctrina ha señalado que de la citada norma es posible clasificar tres clases de colusión, como pasa a analizarse a continuación: </w:t>
      </w:r>
    </w:p>
    <w:p w14:paraId="493A3B24" w14:textId="77777777" w:rsidR="00FE2F29" w:rsidRPr="00E02234" w:rsidRDefault="00FE2F29" w:rsidP="000E71D9">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 xml:space="preserve">Una primera modalidad, por </w:t>
      </w:r>
      <w:r w:rsidRPr="00E02234">
        <w:rPr>
          <w:rFonts w:ascii="Arial" w:eastAsia="Times New Roman" w:hAnsi="Arial" w:cs="Arial"/>
          <w:b/>
          <w:lang w:eastAsia="es-ES_tradnl"/>
        </w:rPr>
        <w:t>distribución de adjudicación en contratos</w:t>
      </w:r>
      <w:r w:rsidRPr="00E02234">
        <w:rPr>
          <w:rFonts w:ascii="Arial" w:eastAsia="Times New Roman" w:hAnsi="Arial" w:cs="Arial"/>
          <w:lang w:eastAsia="es-ES_tradnl"/>
        </w:rPr>
        <w:t xml:space="preserve">, la cual ha sido definida así: </w:t>
      </w:r>
    </w:p>
    <w:p w14:paraId="59FBA992" w14:textId="488B9943" w:rsidR="00FE2F29" w:rsidRPr="000E71D9" w:rsidRDefault="00C73186" w:rsidP="000E71D9">
      <w:pPr>
        <w:spacing w:after="240" w:line="240" w:lineRule="auto"/>
        <w:ind w:left="851" w:right="851"/>
        <w:jc w:val="both"/>
        <w:rPr>
          <w:rFonts w:ascii="Arial" w:eastAsia="Times New Roman" w:hAnsi="Arial" w:cs="Arial"/>
          <w:sz w:val="21"/>
          <w:szCs w:val="21"/>
          <w:shd w:val="clear" w:color="auto" w:fill="FAF9F8"/>
          <w:lang w:eastAsia="es-ES_tradnl"/>
        </w:rPr>
      </w:pPr>
      <w:r w:rsidRPr="00C73186">
        <w:rPr>
          <w:rFonts w:ascii="Arial" w:hAnsi="Arial" w:cs="Arial"/>
          <w:sz w:val="21"/>
          <w:szCs w:val="21"/>
        </w:rPr>
        <w:t>«</w:t>
      </w:r>
      <w:r w:rsidR="00FE2F29" w:rsidRPr="000E71D9">
        <w:rPr>
          <w:rFonts w:ascii="Arial" w:eastAsia="Times New Roman" w:hAnsi="Arial" w:cs="Arial"/>
          <w:sz w:val="21"/>
          <w:szCs w:val="21"/>
          <w:lang w:eastAsia="es-ES_tradnl"/>
        </w:rPr>
        <w:t>[…] Esta forma de colusión tiene como sujetos las empresas interesadas en presentar propuestas, que de manera acordada acogen entre ellas el agente económico que presentará la mejor propuesta, introduciendo en cada propuesta elementos que la hacen más atractiva, lo que deja sin posibilidad de una verdadera escogencia a la empresa interesada en los servicios</w:t>
      </w:r>
      <w:r w:rsidRPr="00C73186">
        <w:rPr>
          <w:rFonts w:ascii="Arial" w:hAnsi="Arial" w:cs="Arial"/>
          <w:sz w:val="21"/>
          <w:szCs w:val="21"/>
        </w:rPr>
        <w:t>»</w:t>
      </w:r>
    </w:p>
    <w:p w14:paraId="26A5298C" w14:textId="77777777" w:rsidR="00FE2F29" w:rsidRPr="00E02234" w:rsidRDefault="00FE2F29" w:rsidP="000E71D9">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 xml:space="preserve">Una segunda modalidad, de </w:t>
      </w:r>
      <w:r w:rsidRPr="00E02234">
        <w:rPr>
          <w:rFonts w:ascii="Arial" w:eastAsia="Times New Roman" w:hAnsi="Arial" w:cs="Arial"/>
          <w:b/>
          <w:lang w:eastAsia="es-ES_tradnl"/>
        </w:rPr>
        <w:t>distribución de concursos</w:t>
      </w:r>
      <w:r w:rsidRPr="00E02234">
        <w:rPr>
          <w:rFonts w:ascii="Arial" w:eastAsia="Times New Roman" w:hAnsi="Arial" w:cs="Arial"/>
          <w:lang w:eastAsia="es-ES_tradnl"/>
        </w:rPr>
        <w:t>, según la cual:</w:t>
      </w:r>
    </w:p>
    <w:p w14:paraId="29379BBB" w14:textId="064DDA0F" w:rsidR="00FE2F29" w:rsidRPr="000E71D9" w:rsidRDefault="00FE2F29" w:rsidP="000E71D9">
      <w:pPr>
        <w:spacing w:after="240" w:line="240" w:lineRule="auto"/>
        <w:ind w:left="851" w:right="851"/>
        <w:jc w:val="both"/>
        <w:rPr>
          <w:rFonts w:ascii="Arial" w:eastAsia="Times New Roman" w:hAnsi="Arial" w:cs="Arial"/>
          <w:sz w:val="21"/>
          <w:szCs w:val="21"/>
          <w:lang w:eastAsia="es-ES_tradnl"/>
        </w:rPr>
      </w:pPr>
      <w:r w:rsidRPr="000E71D9">
        <w:rPr>
          <w:rFonts w:ascii="Arial" w:eastAsia="Times New Roman" w:hAnsi="Arial" w:cs="Arial"/>
          <w:sz w:val="21"/>
          <w:szCs w:val="21"/>
          <w:lang w:eastAsia="es-ES_tradnl"/>
        </w:rPr>
        <w:t xml:space="preserve"> </w:t>
      </w:r>
      <w:r w:rsidR="00C73186" w:rsidRPr="00C73186">
        <w:rPr>
          <w:rFonts w:ascii="Arial" w:hAnsi="Arial" w:cs="Arial"/>
          <w:sz w:val="21"/>
          <w:szCs w:val="21"/>
        </w:rPr>
        <w:t>«</w:t>
      </w:r>
      <w:r w:rsidRPr="000E71D9">
        <w:rPr>
          <w:rFonts w:ascii="Arial" w:eastAsia="Times New Roman" w:hAnsi="Arial" w:cs="Arial"/>
          <w:sz w:val="21"/>
          <w:szCs w:val="21"/>
          <w:lang w:eastAsia="es-ES_tradnl"/>
        </w:rPr>
        <w:t>[…] Conforme a la ley de contratación administrativa, cuando el objeto del contrato consiste en estudios o trabajos técnicos o especializados, el proceso de selección se llamará concurso y se efectuará también mediante invitación pública. Así, el alcance de este supuesto hace referencia particular a los concursos, con los mismos elementos ya mencionados en lo referente al principio de legalidad</w:t>
      </w:r>
      <w:r w:rsidR="00C73186" w:rsidRPr="00C73186">
        <w:rPr>
          <w:rFonts w:ascii="Arial" w:hAnsi="Arial" w:cs="Arial"/>
          <w:sz w:val="21"/>
          <w:szCs w:val="21"/>
        </w:rPr>
        <w:t>»</w:t>
      </w:r>
      <w:r w:rsidRPr="000E71D9">
        <w:rPr>
          <w:rFonts w:ascii="Arial" w:eastAsia="Times New Roman" w:hAnsi="Arial" w:cs="Arial"/>
          <w:sz w:val="21"/>
          <w:szCs w:val="21"/>
          <w:lang w:eastAsia="es-ES_tradnl"/>
        </w:rPr>
        <w:t xml:space="preserve">. </w:t>
      </w:r>
    </w:p>
    <w:p w14:paraId="555E0D6E" w14:textId="77777777" w:rsidR="00FE2F29" w:rsidRPr="00E02234" w:rsidRDefault="00FE2F29" w:rsidP="000E71D9">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 xml:space="preserve">Finalmente, una tercera modalidad de </w:t>
      </w:r>
      <w:r w:rsidRPr="00E02234">
        <w:rPr>
          <w:rFonts w:ascii="Arial" w:eastAsia="Times New Roman" w:hAnsi="Arial" w:cs="Arial"/>
          <w:b/>
          <w:lang w:eastAsia="es-ES_tradnl"/>
        </w:rPr>
        <w:t>fijación de términos de las propuestas</w:t>
      </w:r>
      <w:r w:rsidRPr="00E02234">
        <w:rPr>
          <w:rFonts w:ascii="Arial" w:eastAsia="Times New Roman" w:hAnsi="Arial" w:cs="Arial"/>
          <w:lang w:eastAsia="es-ES_tradnl"/>
        </w:rPr>
        <w:t xml:space="preserve">, que surge cuando: </w:t>
      </w:r>
    </w:p>
    <w:p w14:paraId="14360D28" w14:textId="384684AC" w:rsidR="00FE2F29" w:rsidRPr="000E71D9" w:rsidRDefault="00C73186" w:rsidP="000E71D9">
      <w:pPr>
        <w:spacing w:after="240" w:line="240" w:lineRule="auto"/>
        <w:ind w:left="851" w:right="851"/>
        <w:jc w:val="both"/>
        <w:rPr>
          <w:rFonts w:ascii="Arial" w:eastAsia="Times New Roman" w:hAnsi="Arial" w:cs="Arial"/>
          <w:sz w:val="21"/>
          <w:szCs w:val="21"/>
          <w:lang w:eastAsia="es-ES_tradnl"/>
        </w:rPr>
      </w:pPr>
      <w:r w:rsidRPr="00C73186">
        <w:rPr>
          <w:rFonts w:ascii="Arial" w:hAnsi="Arial" w:cs="Arial"/>
          <w:sz w:val="21"/>
          <w:szCs w:val="21"/>
        </w:rPr>
        <w:t>«</w:t>
      </w:r>
      <w:r w:rsidR="00FE2F29" w:rsidRPr="000E71D9">
        <w:rPr>
          <w:rFonts w:ascii="Arial" w:eastAsia="Times New Roman" w:hAnsi="Arial" w:cs="Arial"/>
          <w:sz w:val="21"/>
          <w:szCs w:val="21"/>
          <w:lang w:eastAsia="es-ES_tradnl"/>
        </w:rPr>
        <w:t>[…] La conducta que nos ocupa hace parte de aquellas que requieren obligatoriamente la participación de la empresa que pretende adjudicar los contratos. Lo anterior se explica si observamos el contenido del precepto fáctico, pues la conducta restrictiva debe ser desarrollada por la empresa que invita a presentar ofertas a otras. La conducta que se reprime consiste en elaborar unos pliegos que no permiten la igualdad de oportunidades para los posibles participantes, pues por medio de estos puede la licitación estar dirigida para que uno de ellos se vea favorecido. En tal instancia la empresa o la persona encargada de elaborar los pliegos acuerda con uno de los potenciales contratistas la adjudicación del contrato, diseñando en conjunto un pliego que beneficiará al partícipe del acuerdo. Además de ser restrictiva puede llegar a ser desleal</w:t>
      </w:r>
      <w:r w:rsidRPr="00C73186">
        <w:rPr>
          <w:rFonts w:ascii="Arial" w:hAnsi="Arial" w:cs="Arial"/>
          <w:sz w:val="21"/>
          <w:szCs w:val="21"/>
        </w:rPr>
        <w:t>»</w:t>
      </w:r>
      <w:r w:rsidR="00FE2F29" w:rsidRPr="000E71D9">
        <w:rPr>
          <w:rFonts w:ascii="Arial" w:eastAsia="Times New Roman" w:hAnsi="Arial" w:cs="Arial"/>
          <w:sz w:val="21"/>
          <w:szCs w:val="21"/>
          <w:lang w:eastAsia="es-ES_tradnl"/>
        </w:rPr>
        <w:t xml:space="preserve">. </w:t>
      </w:r>
    </w:p>
    <w:p w14:paraId="78A362FD" w14:textId="77777777" w:rsidR="00FE2F29" w:rsidRPr="00E02234" w:rsidRDefault="00FE2F29" w:rsidP="00E02234">
      <w:pPr>
        <w:spacing w:after="240" w:line="276" w:lineRule="auto"/>
        <w:ind w:left="851" w:right="851"/>
        <w:jc w:val="both"/>
        <w:rPr>
          <w:rFonts w:ascii="Arial" w:eastAsia="Times New Roman" w:hAnsi="Arial" w:cs="Arial"/>
          <w:shd w:val="clear" w:color="auto" w:fill="FAF9F8"/>
          <w:lang w:eastAsia="es-ES_tradnl"/>
        </w:rPr>
      </w:pPr>
      <w:r w:rsidRPr="00E02234">
        <w:rPr>
          <w:rFonts w:ascii="Arial" w:eastAsia="Times New Roman" w:hAnsi="Arial" w:cs="Arial"/>
          <w:lang w:eastAsia="es-ES_tradnl"/>
        </w:rPr>
        <w:t>c) Por último, se requiere que el acuerdo afecte la libre competencia.</w:t>
      </w:r>
    </w:p>
    <w:p w14:paraId="2F196B3D" w14:textId="77777777"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lastRenderedPageBreak/>
        <w:t>En línea con lo anterior, Colombia Compra Eficiente ha expedido la guía de competencia en las compras públicas, para promover la generación de competencia efectiva en los procesos de compra y contratación pública adelantados por las entidades estatales, ya que el buen uso de los recursos en el Sistema de Compra Pública permite generar una mejor gestión estatal y un mejor desempeño en la ejecución de las políticas públicas. Este buen uso se traduce en la generación de valor por dinero.</w:t>
      </w:r>
    </w:p>
    <w:p w14:paraId="7D33C937" w14:textId="045C7ADA"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 xml:space="preserve">Por tanto, la guía de competencia en las compras </w:t>
      </w:r>
      <w:r w:rsidR="00916F48" w:rsidRPr="00E02234">
        <w:rPr>
          <w:rFonts w:ascii="Arial" w:eastAsia="Times New Roman" w:hAnsi="Arial" w:cs="Arial"/>
          <w:lang w:eastAsia="es-ES_tradnl"/>
        </w:rPr>
        <w:t>públicas</w:t>
      </w:r>
      <w:r w:rsidRPr="00E02234">
        <w:rPr>
          <w:rFonts w:ascii="Arial" w:eastAsia="Times New Roman" w:hAnsi="Arial" w:cs="Arial"/>
          <w:lang w:eastAsia="es-ES_tradnl"/>
        </w:rPr>
        <w:t xml:space="preserve"> establece que dentro de los factores que pueden facilitar la aparición de prácticas anticompetitivas, están: i) número reducido de participantes en el mercado; </w:t>
      </w:r>
      <w:proofErr w:type="spellStart"/>
      <w:r w:rsidRPr="00E02234">
        <w:rPr>
          <w:rFonts w:ascii="Arial" w:eastAsia="Times New Roman" w:hAnsi="Arial" w:cs="Arial"/>
          <w:lang w:eastAsia="es-ES_tradnl"/>
        </w:rPr>
        <w:t>ii</w:t>
      </w:r>
      <w:proofErr w:type="spellEnd"/>
      <w:r w:rsidRPr="00E02234">
        <w:rPr>
          <w:rFonts w:ascii="Arial" w:eastAsia="Times New Roman" w:hAnsi="Arial" w:cs="Arial"/>
          <w:lang w:eastAsia="es-ES_tradnl"/>
        </w:rPr>
        <w:t xml:space="preserve">) altas barreras de entrada: </w:t>
      </w:r>
      <w:proofErr w:type="spellStart"/>
      <w:r w:rsidRPr="00E02234">
        <w:rPr>
          <w:rFonts w:ascii="Arial" w:eastAsia="Times New Roman" w:hAnsi="Arial" w:cs="Arial"/>
          <w:lang w:eastAsia="es-ES_tradnl"/>
        </w:rPr>
        <w:t>iii</w:t>
      </w:r>
      <w:proofErr w:type="spellEnd"/>
      <w:r w:rsidRPr="00E02234">
        <w:rPr>
          <w:rFonts w:ascii="Arial" w:eastAsia="Times New Roman" w:hAnsi="Arial" w:cs="Arial"/>
          <w:lang w:eastAsia="es-ES_tradnl"/>
        </w:rPr>
        <w:t xml:space="preserve">) estabilidad en las condiciones de los procesos de compra; vi) estabilidad de la demanda, y v) ausencia de cambio tecnológico o innovación. </w:t>
      </w:r>
    </w:p>
    <w:p w14:paraId="46BB3CD0" w14:textId="6AE1B1CB"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 xml:space="preserve">De este modo, no puede perderse de vista que en Colombia las prácticas anticompetitivas en compras públicas componen una infracción administrativa y un delito penal, por lo cual la </w:t>
      </w:r>
      <w:r w:rsidR="00CD548C">
        <w:rPr>
          <w:rFonts w:ascii="Arial" w:eastAsia="Times New Roman" w:hAnsi="Arial" w:cs="Arial"/>
          <w:lang w:eastAsia="es-ES_tradnl"/>
        </w:rPr>
        <w:t>Entidad Estatal</w:t>
      </w:r>
      <w:r w:rsidRPr="00E02234">
        <w:rPr>
          <w:rFonts w:ascii="Arial" w:eastAsia="Times New Roman" w:hAnsi="Arial" w:cs="Arial"/>
          <w:lang w:eastAsia="es-ES_tradnl"/>
        </w:rPr>
        <w:t xml:space="preserve"> debe denunciar actividades irregulares a las autoridades competentes, e iniciar una estrategia de generación de competencia en el mercado que podrá encontrar en el numeral </w:t>
      </w:r>
      <w:proofErr w:type="spellStart"/>
      <w:r w:rsidRPr="00E02234">
        <w:rPr>
          <w:rFonts w:ascii="Arial" w:eastAsia="Times New Roman" w:hAnsi="Arial" w:cs="Arial"/>
          <w:lang w:eastAsia="es-ES_tradnl"/>
        </w:rPr>
        <w:t>iv</w:t>
      </w:r>
      <w:proofErr w:type="spellEnd"/>
      <w:r w:rsidRPr="00E02234">
        <w:rPr>
          <w:rFonts w:ascii="Arial" w:eastAsia="Times New Roman" w:hAnsi="Arial" w:cs="Arial"/>
          <w:lang w:eastAsia="es-ES_tradnl"/>
        </w:rPr>
        <w:t>) Estrategias para incrementar la competencia en las compras públicas, de la guía de competencia en las compras públicas</w:t>
      </w:r>
      <w:r w:rsidRPr="00E02234">
        <w:rPr>
          <w:rFonts w:ascii="Arial" w:eastAsia="Times New Roman" w:hAnsi="Arial" w:cs="Arial"/>
          <w:vertAlign w:val="superscript"/>
          <w:lang w:eastAsia="es-ES_tradnl"/>
        </w:rPr>
        <w:footnoteReference w:id="16"/>
      </w:r>
      <w:r w:rsidRPr="00E02234">
        <w:rPr>
          <w:rFonts w:ascii="Arial" w:eastAsia="Times New Roman" w:hAnsi="Arial" w:cs="Arial"/>
          <w:lang w:eastAsia="es-ES_tradnl"/>
        </w:rPr>
        <w:t>.</w:t>
      </w:r>
    </w:p>
    <w:p w14:paraId="1818DEE4" w14:textId="02EB745C"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Por último, la Superintendencia de Industria y Comercio puso a disposición de la comunidad y de los entes estatales la Guía práctica para combatir la colusión en las licitaciones</w:t>
      </w:r>
      <w:r w:rsidRPr="00E02234">
        <w:rPr>
          <w:rFonts w:ascii="Arial" w:eastAsia="Times New Roman" w:hAnsi="Arial" w:cs="Arial"/>
          <w:vertAlign w:val="superscript"/>
          <w:lang w:eastAsia="es-ES_tradnl"/>
        </w:rPr>
        <w:footnoteReference w:id="17"/>
      </w:r>
      <w:r w:rsidRPr="00E02234">
        <w:rPr>
          <w:rFonts w:ascii="Arial" w:eastAsia="Times New Roman" w:hAnsi="Arial" w:cs="Arial"/>
          <w:lang w:eastAsia="es-ES_tradnl"/>
        </w:rPr>
        <w:t xml:space="preserve"> como respuesta a los actos de corrupción que se presenta en el país, por lo que en el numeral </w:t>
      </w:r>
      <w:r w:rsidR="000564EC" w:rsidRPr="00C73186">
        <w:rPr>
          <w:rFonts w:ascii="Arial" w:hAnsi="Arial" w:cs="Arial"/>
          <w:sz w:val="21"/>
          <w:szCs w:val="21"/>
        </w:rPr>
        <w:t>«</w:t>
      </w:r>
      <w:r w:rsidRPr="00E02234">
        <w:rPr>
          <w:rFonts w:ascii="Arial" w:eastAsia="Times New Roman" w:hAnsi="Arial" w:cs="Arial"/>
          <w:lang w:eastAsia="es-ES_tradnl"/>
        </w:rPr>
        <w:t xml:space="preserve">3.4 ¿Cómo poder identificar una conducta </w:t>
      </w:r>
      <w:proofErr w:type="spellStart"/>
      <w:r w:rsidRPr="00E02234">
        <w:rPr>
          <w:rFonts w:ascii="Arial" w:eastAsia="Times New Roman" w:hAnsi="Arial" w:cs="Arial"/>
          <w:lang w:eastAsia="es-ES_tradnl"/>
        </w:rPr>
        <w:t>colusiva</w:t>
      </w:r>
      <w:proofErr w:type="spellEnd"/>
      <w:r w:rsidRPr="00E02234">
        <w:rPr>
          <w:rFonts w:ascii="Arial" w:eastAsia="Times New Roman" w:hAnsi="Arial" w:cs="Arial"/>
          <w:lang w:eastAsia="es-ES_tradnl"/>
        </w:rPr>
        <w:t>?</w:t>
      </w:r>
      <w:r w:rsidR="00916F48" w:rsidRPr="00C73186">
        <w:rPr>
          <w:rFonts w:ascii="Arial" w:hAnsi="Arial" w:cs="Arial"/>
          <w:sz w:val="21"/>
          <w:szCs w:val="21"/>
        </w:rPr>
        <w:t>»</w:t>
      </w:r>
      <w:r w:rsidRPr="00E02234">
        <w:rPr>
          <w:rFonts w:ascii="Arial" w:eastAsia="Times New Roman" w:hAnsi="Arial" w:cs="Arial"/>
          <w:lang w:eastAsia="es-ES_tradnl"/>
        </w:rPr>
        <w:t>, podrá encontrar el paso a paso de la identificación de conductas colusorias.</w:t>
      </w:r>
    </w:p>
    <w:p w14:paraId="0D2B96D1" w14:textId="77777777" w:rsidR="00FE2F29" w:rsidRPr="00E02234" w:rsidRDefault="00FE2F29" w:rsidP="00E02234">
      <w:pPr>
        <w:spacing w:after="240" w:line="276" w:lineRule="auto"/>
        <w:jc w:val="both"/>
        <w:rPr>
          <w:rFonts w:ascii="Arial" w:eastAsia="Calibri" w:hAnsi="Arial" w:cs="Arial"/>
          <w:b/>
          <w:color w:val="000000"/>
          <w:lang w:val="es-ES_tradnl" w:eastAsia="en-GB"/>
        </w:rPr>
      </w:pPr>
      <w:r w:rsidRPr="00E02234">
        <w:rPr>
          <w:rFonts w:ascii="Arial" w:eastAsia="Times New Roman" w:hAnsi="Arial" w:cs="Arial"/>
          <w:b/>
          <w:lang w:eastAsia="es-ES_tradnl"/>
        </w:rPr>
        <w:t xml:space="preserve">2.5. </w:t>
      </w:r>
      <w:r w:rsidRPr="00E02234">
        <w:rPr>
          <w:rFonts w:ascii="Arial" w:eastAsia="Calibri" w:hAnsi="Arial" w:cs="Arial"/>
          <w:b/>
          <w:color w:val="000000"/>
          <w:lang w:val="es-ES" w:eastAsia="en-GB"/>
        </w:rPr>
        <w:t>Fundamentos legales y constitucionales de la participación ciudadana en la contratación estatal</w:t>
      </w:r>
    </w:p>
    <w:p w14:paraId="5C457610" w14:textId="77777777" w:rsidR="00FE2F29" w:rsidRPr="00E02234" w:rsidRDefault="00FE2F29" w:rsidP="00E02234">
      <w:pPr>
        <w:tabs>
          <w:tab w:val="left" w:pos="426"/>
        </w:tabs>
        <w:spacing w:after="0" w:line="276" w:lineRule="auto"/>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La participación ciudadana en las decisiones del Estado tiene fundamento en la Constitución Política. En efecto, el artículo 2 de la Constitución dispone cuáles son los fines esenciales del Estado, entre ellos, «[...] </w:t>
      </w:r>
      <w:r w:rsidRPr="00E02234">
        <w:rPr>
          <w:rFonts w:ascii="Arial" w:eastAsia="Calibri" w:hAnsi="Arial" w:cs="Arial"/>
          <w:bCs/>
          <w:color w:val="000000" w:themeColor="text1"/>
          <w:lang w:val="es-ES"/>
        </w:rPr>
        <w:t>facilitar la participación de todos en las decisiones que los afectan y en la vida económica, política, administrativa y cultural de la Nación</w:t>
      </w:r>
      <w:r w:rsidRPr="00E02234">
        <w:rPr>
          <w:rFonts w:ascii="Arial" w:eastAsia="Calibri" w:hAnsi="Arial" w:cs="Arial"/>
          <w:bCs/>
          <w:i/>
          <w:iCs/>
          <w:color w:val="000000" w:themeColor="text1"/>
          <w:lang w:val="es-ES"/>
        </w:rPr>
        <w:t xml:space="preserve"> </w:t>
      </w:r>
      <w:r w:rsidRPr="00E02234">
        <w:rPr>
          <w:rFonts w:ascii="Arial" w:eastAsia="Times New Roman" w:hAnsi="Arial" w:cs="Arial"/>
          <w:color w:val="000000" w:themeColor="text1"/>
          <w:lang w:val="es-ES" w:eastAsia="es-ES_tradnl"/>
        </w:rPr>
        <w:t xml:space="preserve">[...]». </w:t>
      </w:r>
    </w:p>
    <w:p w14:paraId="6FCF2F1B" w14:textId="77777777" w:rsidR="00FE2F29" w:rsidRPr="00E02234" w:rsidRDefault="00FE2F29" w:rsidP="00E02234">
      <w:pPr>
        <w:tabs>
          <w:tab w:val="left" w:pos="426"/>
        </w:tabs>
        <w:spacing w:before="120" w:after="0" w:line="276" w:lineRule="auto"/>
        <w:ind w:firstLine="709"/>
        <w:jc w:val="both"/>
        <w:rPr>
          <w:rFonts w:ascii="Arial" w:eastAsia="Calibri" w:hAnsi="Arial" w:cs="Arial"/>
          <w:bCs/>
          <w:color w:val="000000" w:themeColor="text1"/>
          <w:lang w:val="es-ES"/>
        </w:rPr>
      </w:pPr>
      <w:r w:rsidRPr="00E02234">
        <w:rPr>
          <w:rFonts w:ascii="Arial" w:eastAsia="Times New Roman" w:hAnsi="Arial" w:cs="Arial"/>
          <w:color w:val="000000" w:themeColor="text1"/>
          <w:lang w:val="es-ES" w:eastAsia="es-ES_tradnl"/>
        </w:rPr>
        <w:t xml:space="preserve">Por su parte, el artículo 270 de la Constitución atribuye a la Ley la organización de «[...] las formas y los sistemas de participación ciudadana que permitan vigilar la gestión pública que se cumpla en los diversos niveles administrativos y sus resultados». Por tanto, </w:t>
      </w:r>
      <w:r w:rsidRPr="00E02234">
        <w:rPr>
          <w:rFonts w:ascii="Arial" w:eastAsia="Calibri" w:hAnsi="Arial" w:cs="Arial"/>
          <w:bCs/>
          <w:color w:val="000000" w:themeColor="text1"/>
          <w:lang w:val="es-ES"/>
        </w:rPr>
        <w:t xml:space="preserve">la participación ciudadana es un elemento fundante del pacto social sobre el que se erige el Estado colombiano. </w:t>
      </w:r>
    </w:p>
    <w:p w14:paraId="7A4F2334" w14:textId="77777777" w:rsidR="00FE2F29" w:rsidRPr="00E02234" w:rsidRDefault="00FE2F29" w:rsidP="00E02234">
      <w:pPr>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lastRenderedPageBreak/>
        <w:t>Desde el punto de vista legal, las reglas sobre la participación comunitaria en materia de contratación estatal fueron fijadas por el artículo 66 de la Ley 80 de 1993, en el que se estableció lo siguiente:</w:t>
      </w:r>
    </w:p>
    <w:p w14:paraId="49068098" w14:textId="77777777" w:rsidR="00FE2F29" w:rsidRPr="00E02234" w:rsidRDefault="00FE2F29" w:rsidP="00E02234">
      <w:pPr>
        <w:spacing w:after="0" w:line="276" w:lineRule="auto"/>
        <w:ind w:firstLine="709"/>
        <w:jc w:val="both"/>
        <w:rPr>
          <w:rFonts w:ascii="Arial" w:eastAsia="Times New Roman" w:hAnsi="Arial" w:cs="Arial"/>
          <w:color w:val="000000" w:themeColor="text1"/>
          <w:lang w:val="es-ES" w:eastAsia="es-ES_tradnl"/>
        </w:rPr>
      </w:pPr>
    </w:p>
    <w:p w14:paraId="1980270E" w14:textId="1ED9FD2B" w:rsidR="00FE2F29" w:rsidRPr="000E71D9" w:rsidRDefault="000564EC" w:rsidP="000E71D9">
      <w:pPr>
        <w:spacing w:after="0" w:line="240" w:lineRule="auto"/>
        <w:ind w:left="709" w:right="851"/>
        <w:jc w:val="both"/>
        <w:rPr>
          <w:rFonts w:ascii="Arial" w:eastAsia="Calibri" w:hAnsi="Arial" w:cs="Arial"/>
          <w:color w:val="000000"/>
          <w:sz w:val="21"/>
          <w:szCs w:val="21"/>
          <w:lang w:val="es-ES_tradnl"/>
        </w:rPr>
      </w:pPr>
      <w:r w:rsidRPr="000564EC">
        <w:rPr>
          <w:rFonts w:ascii="Arial" w:hAnsi="Arial" w:cs="Arial"/>
          <w:sz w:val="21"/>
          <w:szCs w:val="21"/>
        </w:rPr>
        <w:t>«</w:t>
      </w:r>
      <w:r w:rsidR="00FE2F29" w:rsidRPr="000E71D9">
        <w:rPr>
          <w:rFonts w:ascii="Arial" w:eastAsia="Calibri" w:hAnsi="Arial" w:cs="Arial"/>
          <w:color w:val="000000"/>
          <w:sz w:val="21"/>
          <w:szCs w:val="21"/>
          <w:lang w:val="es-ES_tradnl"/>
        </w:rPr>
        <w:t>Todo contrato que celebren las entidades estatales, estará sujeto a la vigilancia y control ciudadano.</w:t>
      </w:r>
    </w:p>
    <w:p w14:paraId="646703C6"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p>
    <w:p w14:paraId="5F08ABE7"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r w:rsidRPr="000E71D9">
        <w:rPr>
          <w:rFonts w:ascii="Arial" w:eastAsia="Calibri" w:hAnsi="Arial" w:cs="Arial"/>
          <w:color w:val="000000"/>
          <w:sz w:val="21"/>
          <w:szCs w:val="21"/>
          <w:lang w:val="es-ES_tradnl"/>
        </w:rPr>
        <w:t>Las asociaciones cívicas, comunitarias, de profesionales, benéficas o de utilidad común, podrán denunciar ante las autoridades competentes las actuaciones, hechos u omisiones de los servidores públicos o de los particulares, que constituyan delitos, contravenciones o faltas en materia de contratación estatal.</w:t>
      </w:r>
    </w:p>
    <w:p w14:paraId="6AB7A91D"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p>
    <w:p w14:paraId="22DFA277"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r w:rsidRPr="000E71D9">
        <w:rPr>
          <w:rFonts w:ascii="Arial" w:eastAsia="Calibri" w:hAnsi="Arial" w:cs="Arial"/>
          <w:color w:val="000000"/>
          <w:sz w:val="21"/>
          <w:szCs w:val="21"/>
          <w:lang w:val="es-ES_tradnl"/>
        </w:rPr>
        <w:t>Las autoridades brindarán especial apoyo y colaboración a las personas y asociaciones que emprendan campañas de control y vigilancia de la gestión pública contractual y oportunamente suministrarán la documentación e información que requieran para el cumplimiento de tales tareas.</w:t>
      </w:r>
    </w:p>
    <w:p w14:paraId="78687C67"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p>
    <w:p w14:paraId="5B797F11"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r w:rsidRPr="000E71D9">
        <w:rPr>
          <w:rFonts w:ascii="Arial" w:eastAsia="Calibri" w:hAnsi="Arial" w:cs="Arial"/>
          <w:color w:val="000000"/>
          <w:sz w:val="21"/>
          <w:szCs w:val="21"/>
          <w:lang w:val="es-ES_tradnl"/>
        </w:rPr>
        <w:t>El Gobierno Nacional y los de las entidades territoriales establecerán sistemas y mecanismos de estímulo de la vigilancia y control comunitario en la actividad contractual orientados a recompensar dichas labores.</w:t>
      </w:r>
    </w:p>
    <w:p w14:paraId="5F0C8E8F"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p>
    <w:p w14:paraId="7FC5E68D" w14:textId="0BFEB89D"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r w:rsidRPr="000E71D9">
        <w:rPr>
          <w:rFonts w:ascii="Arial" w:eastAsia="Calibri" w:hAnsi="Arial" w:cs="Arial"/>
          <w:color w:val="000000"/>
          <w:sz w:val="21"/>
          <w:szCs w:val="21"/>
          <w:lang w:val="es-ES_tradnl"/>
        </w:rPr>
        <w:t>Las entidades estatales podrán contratar con las asociaciones de profesionales y gremiales y con las universidades y centros especializados de investigación, el estudio y análisis de las gestiones contractuales realizadas.</w:t>
      </w:r>
      <w:r w:rsidR="000564EC" w:rsidRPr="000E71D9">
        <w:rPr>
          <w:rFonts w:ascii="Arial" w:eastAsia="Times New Roman" w:hAnsi="Arial" w:cs="Arial"/>
          <w:color w:val="000000" w:themeColor="text1"/>
          <w:sz w:val="21"/>
          <w:szCs w:val="21"/>
          <w:lang w:val="es-ES" w:eastAsia="es-ES_tradnl"/>
        </w:rPr>
        <w:t>»</w:t>
      </w:r>
    </w:p>
    <w:p w14:paraId="662AB0EC" w14:textId="77777777" w:rsidR="00FE2F29" w:rsidRPr="00E02234" w:rsidRDefault="00FE2F29" w:rsidP="00E02234">
      <w:pPr>
        <w:spacing w:after="0" w:line="276" w:lineRule="auto"/>
        <w:ind w:firstLine="709"/>
        <w:jc w:val="both"/>
        <w:rPr>
          <w:rFonts w:ascii="Arial" w:eastAsia="Times New Roman" w:hAnsi="Arial" w:cs="Arial"/>
          <w:color w:val="000000" w:themeColor="text1"/>
          <w:lang w:val="es-ES" w:eastAsia="es-ES_tradnl"/>
        </w:rPr>
      </w:pPr>
    </w:p>
    <w:p w14:paraId="0ED237C3" w14:textId="77777777" w:rsidR="00FE2F29" w:rsidRPr="00E02234" w:rsidRDefault="00FE2F29" w:rsidP="00E02234">
      <w:pPr>
        <w:spacing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La norma mencionada dispuso que todo contrato que celebren las entidades estatales estará sujeto a la vigilancia y control ciudadano, prescribiendo así el ámbito de aplicación de la participación ciudadana en la contratación estatal. De igual manera, dicho precepto determina, entre otros aspectos, el deber de las autoridades de brindar especial apoyo y colaboración a las personas y asociaciones que realicen el control y vigilancia de la gestión pública contractual, así como de suministrar oportunamente la documentación e información que requieran para el cumplimiento de tales tareas.</w:t>
      </w:r>
    </w:p>
    <w:p w14:paraId="31B1E824" w14:textId="77777777" w:rsidR="00FE2F29" w:rsidRPr="00E02234" w:rsidRDefault="00FE2F29" w:rsidP="00E02234">
      <w:pPr>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 En adición a la Ley 80 de 1993, existen otras normas que regulan la participación de la ciudadanía en el control social de la gestión pública, tales como las leyes 134 de 1994, 393 de 1997, 472 de 1998 y 489 de 1998, entre otras. </w:t>
      </w:r>
    </w:p>
    <w:p w14:paraId="11237EAE" w14:textId="77777777" w:rsidR="00FE2F29" w:rsidRPr="00E02234" w:rsidRDefault="00FE2F29" w:rsidP="00E02234">
      <w:pPr>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En particular, la Ley 850 del 2003 reguló las veedurías ciudadanas como un mecanismo democrático de representación que le permite a la ciudadanía y a las diferentes formas de organización comunitaria ejercer vigilancia sobre la gestión pública. El artículo 4 contiene el objeto de la Ley, el cual consagra lo siguiente: </w:t>
      </w:r>
    </w:p>
    <w:p w14:paraId="19BF8545" w14:textId="77777777" w:rsidR="00FE2F29" w:rsidRPr="00E02234" w:rsidRDefault="00FE2F29" w:rsidP="00E02234">
      <w:pPr>
        <w:spacing w:after="0" w:line="276" w:lineRule="auto"/>
        <w:jc w:val="both"/>
        <w:rPr>
          <w:rFonts w:ascii="Arial" w:eastAsia="Times New Roman" w:hAnsi="Arial" w:cs="Arial"/>
          <w:color w:val="000000" w:themeColor="text1"/>
          <w:lang w:val="es-ES" w:eastAsia="es-ES_tradnl"/>
        </w:rPr>
      </w:pPr>
    </w:p>
    <w:p w14:paraId="63687A69" w14:textId="3366C3D6" w:rsidR="00FE2F29" w:rsidRPr="000E71D9" w:rsidRDefault="006A2001" w:rsidP="000E71D9">
      <w:pPr>
        <w:spacing w:after="0" w:line="240" w:lineRule="auto"/>
        <w:ind w:left="709" w:right="851"/>
        <w:jc w:val="both"/>
        <w:rPr>
          <w:rFonts w:ascii="Arial" w:eastAsia="Calibri" w:hAnsi="Arial" w:cs="Arial"/>
          <w:color w:val="000000"/>
          <w:sz w:val="21"/>
          <w:szCs w:val="21"/>
          <w:lang w:val="es-ES_tradnl"/>
        </w:rPr>
      </w:pPr>
      <w:r w:rsidRPr="009B1582">
        <w:rPr>
          <w:rFonts w:ascii="Arial" w:hAnsi="Arial" w:cs="Arial"/>
          <w:sz w:val="21"/>
          <w:szCs w:val="21"/>
        </w:rPr>
        <w:t>«</w:t>
      </w:r>
      <w:r w:rsidR="00FE2F29" w:rsidRPr="000E71D9">
        <w:rPr>
          <w:rFonts w:ascii="Arial" w:eastAsia="Calibri" w:hAnsi="Arial" w:cs="Arial"/>
          <w:color w:val="000000"/>
          <w:sz w:val="21"/>
          <w:szCs w:val="21"/>
          <w:lang w:val="es-ES_tradnl"/>
        </w:rPr>
        <w:t xml:space="preserve">La vigilancia de la gestión pública por parte de la Veeduría Ciudadana se podrá ejercer sobre la gestión administrativa, con sujeción al servicio de los intereses </w:t>
      </w:r>
      <w:r w:rsidR="00FE2F29" w:rsidRPr="000E71D9">
        <w:rPr>
          <w:rFonts w:ascii="Arial" w:eastAsia="Calibri" w:hAnsi="Arial" w:cs="Arial"/>
          <w:color w:val="000000"/>
          <w:sz w:val="21"/>
          <w:szCs w:val="21"/>
          <w:lang w:val="es-ES_tradnl"/>
        </w:rPr>
        <w:lastRenderedPageBreak/>
        <w:t>generales y la observancia de los principios de igualdad, moralidad, eficacia, economía, celeridad, imparcialidad, y publicidad.</w:t>
      </w:r>
    </w:p>
    <w:p w14:paraId="3A2CFFE3"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p>
    <w:p w14:paraId="6B6176F6"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r w:rsidRPr="000E71D9">
        <w:rPr>
          <w:rFonts w:ascii="Arial" w:eastAsia="Calibri" w:hAnsi="Arial" w:cs="Arial"/>
          <w:color w:val="000000"/>
          <w:sz w:val="21"/>
          <w:szCs w:val="21"/>
          <w:lang w:val="es-ES_tradnl"/>
        </w:rPr>
        <w:t>Será materia de especial importancia en la vigilancia ejercida por la Veeduría Ciudadana la correcta aplicación de los recursos públicos, la forma como estos se asignen conforme a las disposiciones legales y a los planes, programas, y proyectos debidamente aprobados, el cumplimiento del cometido, los fines y la cobertura efectiva a los beneficiarios que deben ser atendidos de conformidad con los preceptos antes mencionados, la calidad, oportunidad y efectividad de las intervenciones públicas, la contratación pública y la diligencia de las diversas autoridades en garantizar los objetivos del Estado en las distintas áreas de gestión que se les ha encomendado.</w:t>
      </w:r>
    </w:p>
    <w:p w14:paraId="151DB0DC" w14:textId="77777777"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p>
    <w:p w14:paraId="2F169435" w14:textId="21E5C37D" w:rsidR="00FE2F29" w:rsidRPr="000E71D9" w:rsidRDefault="00FE2F29" w:rsidP="000E71D9">
      <w:pPr>
        <w:spacing w:after="0" w:line="240" w:lineRule="auto"/>
        <w:ind w:left="709" w:right="851"/>
        <w:jc w:val="both"/>
        <w:rPr>
          <w:rFonts w:ascii="Arial" w:eastAsia="Calibri" w:hAnsi="Arial" w:cs="Arial"/>
          <w:color w:val="000000"/>
          <w:sz w:val="21"/>
          <w:szCs w:val="21"/>
          <w:lang w:val="es-ES_tradnl"/>
        </w:rPr>
      </w:pPr>
      <w:r w:rsidRPr="000E71D9">
        <w:rPr>
          <w:rFonts w:ascii="Arial" w:eastAsia="Calibri" w:hAnsi="Arial" w:cs="Arial"/>
          <w:color w:val="000000"/>
          <w:sz w:val="21"/>
          <w:szCs w:val="21"/>
          <w:lang w:val="es-ES_tradnl"/>
        </w:rPr>
        <w:t>Las veedurías ejercen vigilancia preventiva y posterior del proceso de gestión haciendo recomendaciones escritas y oportunas ante las entidades que ejecutan el programa, proyecto o contrato y ante los organismos de control del Estado para mejorar la eficiencia institucional y la actuación de los funcionarios públicos.</w:t>
      </w:r>
      <w:r w:rsidR="009B1582" w:rsidRPr="009B1582">
        <w:rPr>
          <w:rFonts w:ascii="Arial" w:eastAsia="Times New Roman" w:hAnsi="Arial" w:cs="Arial"/>
          <w:color w:val="000000" w:themeColor="text1"/>
          <w:sz w:val="21"/>
          <w:szCs w:val="21"/>
          <w:lang w:val="es-ES" w:eastAsia="es-ES_tradnl"/>
        </w:rPr>
        <w:t>»</w:t>
      </w:r>
    </w:p>
    <w:p w14:paraId="36B94A25" w14:textId="77777777" w:rsidR="009B1582" w:rsidRDefault="009B1582" w:rsidP="00E02234">
      <w:pPr>
        <w:spacing w:before="120" w:after="0" w:line="276" w:lineRule="auto"/>
        <w:ind w:firstLine="709"/>
        <w:jc w:val="both"/>
        <w:rPr>
          <w:rFonts w:ascii="Arial" w:eastAsia="Times New Roman" w:hAnsi="Arial" w:cs="Arial"/>
          <w:color w:val="000000" w:themeColor="text1"/>
          <w:lang w:val="es-ES" w:eastAsia="es-ES_tradnl"/>
        </w:rPr>
      </w:pPr>
    </w:p>
    <w:p w14:paraId="14012876" w14:textId="08B584EE" w:rsidR="00FE2F29" w:rsidRPr="00E02234" w:rsidRDefault="00FE2F29" w:rsidP="00E02234">
      <w:pPr>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Finalmente, la Ley 1757 de 2015 «Por la cual se dictan disposiciones en materia de promoción y protección del derecho a la participación democrática» regula el Control Social a lo Público e introduce algunos </w:t>
      </w:r>
      <w:r w:rsidRPr="00E02234">
        <w:rPr>
          <w:rFonts w:ascii="Arial" w:eastAsia="Calibri" w:hAnsi="Arial" w:cs="Arial"/>
          <w:bCs/>
          <w:color w:val="000000" w:themeColor="text1"/>
          <w:lang w:val="es-ES"/>
        </w:rPr>
        <w:t xml:space="preserve">ajustes a ciertas disposiciones de la Ley 850 de </w:t>
      </w:r>
      <w:r w:rsidRPr="00E02234">
        <w:rPr>
          <w:rFonts w:ascii="Arial" w:eastAsia="Times New Roman" w:hAnsi="Arial" w:cs="Arial"/>
          <w:color w:val="000000" w:themeColor="text1"/>
          <w:lang w:val="es-ES" w:eastAsia="es-ES_tradnl"/>
        </w:rPr>
        <w:t>2003. Para tales efectos, define el control social como el derecho y el deber de los ciudadanos a participar, de manera individual o colectiva, en la vigilancia de la gestión pública y sus resultados, estableciendo un espectro más amplio de control y vigilancia, puesto que puede ser ejercido por todos los ciudadanos, siendo las veedurías uno de los múltiples actores que pueden adelantar el control social.</w:t>
      </w:r>
    </w:p>
    <w:p w14:paraId="0B79E121" w14:textId="77777777" w:rsidR="00FE2F29" w:rsidRPr="00E02234" w:rsidRDefault="00FE2F29" w:rsidP="00E02234">
      <w:pPr>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En ese sentido, la participación ciudadana encuentra su fundamento en la Constitución y en la Ley, constituyéndose en un pilar fundamental en la vigilancia y control de la gestión pública, en especial de la contratación estatal, con miras a la correcta inversión de los recursos públicos. </w:t>
      </w:r>
    </w:p>
    <w:p w14:paraId="5DBE738C" w14:textId="77777777" w:rsidR="00FE2F29" w:rsidRPr="00E02234" w:rsidRDefault="00FE2F29" w:rsidP="00E02234">
      <w:pPr>
        <w:spacing w:after="0" w:line="276" w:lineRule="auto"/>
        <w:ind w:firstLine="709"/>
        <w:jc w:val="both"/>
        <w:rPr>
          <w:rFonts w:ascii="Arial" w:eastAsia="Times New Roman" w:hAnsi="Arial" w:cs="Arial"/>
          <w:color w:val="000000" w:themeColor="text1"/>
          <w:lang w:val="es-ES" w:eastAsia="es-ES_tradnl"/>
        </w:rPr>
      </w:pPr>
    </w:p>
    <w:p w14:paraId="6E63A36A" w14:textId="77777777" w:rsidR="00FE2F29" w:rsidRPr="00E02234" w:rsidRDefault="00FE2F29" w:rsidP="00E02234">
      <w:pPr>
        <w:spacing w:after="0" w:line="276" w:lineRule="auto"/>
        <w:jc w:val="both"/>
        <w:rPr>
          <w:rFonts w:ascii="Arial" w:eastAsia="Times New Roman" w:hAnsi="Arial" w:cs="Arial"/>
          <w:b/>
          <w:bCs/>
          <w:color w:val="000000" w:themeColor="text1"/>
          <w:lang w:val="es-ES" w:eastAsia="es-ES_tradnl"/>
        </w:rPr>
      </w:pPr>
      <w:r w:rsidRPr="00E02234">
        <w:rPr>
          <w:rFonts w:ascii="Arial" w:eastAsia="Times New Roman" w:hAnsi="Arial" w:cs="Arial"/>
          <w:b/>
          <w:bCs/>
          <w:color w:val="000000" w:themeColor="text1"/>
          <w:lang w:val="es-ES" w:eastAsia="es-ES_tradnl"/>
        </w:rPr>
        <w:t>2.6. El control social se puede ejercer sobre cualquier modalidad contractual</w:t>
      </w:r>
    </w:p>
    <w:p w14:paraId="7F810660" w14:textId="77777777" w:rsidR="00FE2F29" w:rsidRPr="00E02234" w:rsidRDefault="00FE2F29" w:rsidP="00E02234">
      <w:pPr>
        <w:spacing w:after="0" w:line="276" w:lineRule="auto"/>
        <w:jc w:val="both"/>
        <w:rPr>
          <w:rFonts w:ascii="Arial" w:eastAsia="Times New Roman" w:hAnsi="Arial" w:cs="Arial"/>
          <w:color w:val="000000" w:themeColor="text1"/>
          <w:lang w:val="es-ES" w:eastAsia="es-ES_tradnl"/>
        </w:rPr>
      </w:pPr>
    </w:p>
    <w:p w14:paraId="13DE8E3C" w14:textId="77777777" w:rsidR="00FE2F29" w:rsidRPr="00E02234" w:rsidRDefault="00FE2F29" w:rsidP="00E02234">
      <w:pPr>
        <w:spacing w:after="0" w:line="276" w:lineRule="auto"/>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Dentro de este análisis, resulta pertinente determinar el marco de aplicación del control social en la actividad contractual, así como las etapas del proceso de contratación en las cuales puede ejercerse la vigilancia y control de la gestión pública por parte de la ciudadanía y, por ende, de las veedurías ciudadanas. </w:t>
      </w:r>
    </w:p>
    <w:p w14:paraId="5C0342ED" w14:textId="77777777" w:rsidR="00FE2F29" w:rsidRPr="00E02234" w:rsidRDefault="00FE2F29" w:rsidP="00E02234">
      <w:pPr>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Así, es preciso señalar que el control social que ejerza la ciudadanía puede adelantarse en relación con todos los contratos estatales, cualquiera que sea su modalidad de contratación. Lo anterior, toda vez que, de esa manera, se garantiza una verdadera gestión de vigilancia y control de los recursos públicos y se cumplen con los objetivos establecidos en artículo 64 de la </w:t>
      </w:r>
      <w:r w:rsidRPr="00E02234">
        <w:rPr>
          <w:rFonts w:ascii="Arial" w:eastAsia="Times New Roman" w:hAnsi="Arial" w:cs="Arial"/>
          <w:color w:val="000000" w:themeColor="text1"/>
          <w:lang w:val="es-ES" w:eastAsia="es-ES_tradnl"/>
        </w:rPr>
        <w:lastRenderedPageBreak/>
        <w:t>Ley 1757 de 2015</w:t>
      </w:r>
      <w:r w:rsidRPr="00E02234">
        <w:rPr>
          <w:rFonts w:ascii="Arial" w:eastAsia="Times New Roman" w:hAnsi="Arial" w:cs="Arial"/>
          <w:color w:val="000000" w:themeColor="text1"/>
          <w:vertAlign w:val="superscript"/>
          <w:lang w:val="es-ES" w:eastAsia="es-ES_tradnl"/>
        </w:rPr>
        <w:footnoteReference w:id="18"/>
      </w:r>
      <w:r w:rsidRPr="00E02234">
        <w:rPr>
          <w:rFonts w:ascii="Arial" w:eastAsia="Times New Roman" w:hAnsi="Arial" w:cs="Arial"/>
          <w:color w:val="000000" w:themeColor="text1"/>
          <w:lang w:val="es-ES" w:eastAsia="es-ES_tradnl"/>
        </w:rPr>
        <w:t xml:space="preserve">. En relación con este punto, el artículo 65 de la Ley 1757 de 2015 establece lo siguiente: </w:t>
      </w:r>
    </w:p>
    <w:p w14:paraId="47A634D6" w14:textId="77777777" w:rsidR="00F13131" w:rsidRDefault="00F13131" w:rsidP="00E02234">
      <w:pPr>
        <w:tabs>
          <w:tab w:val="left" w:pos="7938"/>
        </w:tabs>
        <w:spacing w:after="0" w:line="276" w:lineRule="auto"/>
        <w:ind w:left="709" w:right="851"/>
        <w:jc w:val="both"/>
        <w:rPr>
          <w:rFonts w:ascii="Arial" w:eastAsia="Times New Roman" w:hAnsi="Arial" w:cs="Arial"/>
          <w:bCs/>
          <w:color w:val="000000"/>
          <w:lang w:val="es-ES_tradnl" w:eastAsia="es-CO"/>
        </w:rPr>
      </w:pPr>
    </w:p>
    <w:p w14:paraId="042B619B" w14:textId="516910D8" w:rsidR="00FE2F29" w:rsidRPr="000E71D9" w:rsidRDefault="00F13131" w:rsidP="000E71D9">
      <w:pPr>
        <w:tabs>
          <w:tab w:val="left" w:pos="7938"/>
        </w:tabs>
        <w:spacing w:after="0" w:line="240" w:lineRule="auto"/>
        <w:ind w:left="709" w:right="851"/>
        <w:jc w:val="both"/>
        <w:rPr>
          <w:rFonts w:ascii="Arial" w:eastAsia="Times New Roman" w:hAnsi="Arial" w:cs="Arial"/>
          <w:bCs/>
          <w:color w:val="000000"/>
          <w:sz w:val="21"/>
          <w:szCs w:val="21"/>
          <w:lang w:val="es-ES_tradnl" w:eastAsia="es-CO"/>
        </w:rPr>
      </w:pPr>
      <w:r w:rsidRPr="00F13131">
        <w:rPr>
          <w:rFonts w:ascii="Arial" w:hAnsi="Arial" w:cs="Arial"/>
          <w:sz w:val="21"/>
          <w:szCs w:val="21"/>
        </w:rPr>
        <w:t>«</w:t>
      </w:r>
      <w:r w:rsidR="00FE2F29" w:rsidRPr="000E71D9">
        <w:rPr>
          <w:rFonts w:ascii="Arial" w:eastAsia="Times New Roman" w:hAnsi="Arial" w:cs="Arial"/>
          <w:bCs/>
          <w:color w:val="000000"/>
          <w:sz w:val="21"/>
          <w:szCs w:val="21"/>
          <w:lang w:val="es-ES_tradnl" w:eastAsia="es-CO"/>
        </w:rPr>
        <w:t>Salvo los aspectos que sean reservados, todos los niveles de la administración pública pueden ser objeto de vigilancia ciudadana.</w:t>
      </w:r>
    </w:p>
    <w:p w14:paraId="0F4C332E" w14:textId="77777777" w:rsidR="00FE2F29" w:rsidRPr="000E71D9" w:rsidRDefault="00FE2F29" w:rsidP="000E71D9">
      <w:pPr>
        <w:tabs>
          <w:tab w:val="left" w:pos="7938"/>
        </w:tabs>
        <w:spacing w:after="0" w:line="240" w:lineRule="auto"/>
        <w:ind w:left="709" w:right="851"/>
        <w:jc w:val="both"/>
        <w:rPr>
          <w:rFonts w:ascii="Arial" w:eastAsia="Times New Roman" w:hAnsi="Arial" w:cs="Arial"/>
          <w:bCs/>
          <w:color w:val="000000"/>
          <w:sz w:val="21"/>
          <w:szCs w:val="21"/>
          <w:lang w:val="es-ES_tradnl" w:eastAsia="es-CO"/>
        </w:rPr>
      </w:pPr>
    </w:p>
    <w:p w14:paraId="79542434" w14:textId="3563B54C" w:rsidR="00FE2F29" w:rsidRPr="000E71D9" w:rsidRDefault="00FE2F29" w:rsidP="000E71D9">
      <w:pPr>
        <w:tabs>
          <w:tab w:val="left" w:pos="7938"/>
        </w:tabs>
        <w:spacing w:after="0" w:line="240" w:lineRule="auto"/>
        <w:ind w:left="709" w:right="851"/>
        <w:jc w:val="both"/>
        <w:rPr>
          <w:rFonts w:ascii="Arial" w:eastAsia="Times New Roman" w:hAnsi="Arial" w:cs="Arial"/>
          <w:bCs/>
          <w:color w:val="000000"/>
          <w:sz w:val="21"/>
          <w:szCs w:val="21"/>
          <w:lang w:val="es-ES_tradnl" w:eastAsia="es-CO"/>
        </w:rPr>
      </w:pPr>
      <w:r w:rsidRPr="000E71D9">
        <w:rPr>
          <w:rFonts w:ascii="Arial" w:eastAsia="Times New Roman" w:hAnsi="Arial" w:cs="Arial"/>
          <w:bCs/>
          <w:color w:val="000000"/>
          <w:sz w:val="21"/>
          <w:szCs w:val="21"/>
          <w:lang w:val="es-ES_tradnl" w:eastAsia="es-CO"/>
        </w:rPr>
        <w:t>En particular, todo contrato que celebren las instituciones del Estado estará sujeto a la vigilancia por parte de las personas, entidades y organizaciones que quieran hacerlo, de conformidad con la normatividad vigente en la materia. En tal sentido, las entidades del Estado y las entidades privadas que presten servicios públicos domiciliarios o realicen proyectos con recursos públicos deberán garantizar el ejercicio del derecho al control social. Para tal efecto, deberán entregar información relacionada con la prestación del servicio público domiciliario, el proyecto o el uso de los recursos públicos y de acuerdo con los objetivos perseguidos por el control social correspondiente, según sea el caso a los agentes de control para el ejercicio de su función y brindar las condiciones y las garantías necesarias a los ciudadanos, las organizaciones y redes para que puedan ejercer ese derecho.</w:t>
      </w:r>
      <w:r w:rsidR="00F13131" w:rsidRPr="00F13131">
        <w:rPr>
          <w:rFonts w:ascii="Arial" w:eastAsia="Times New Roman" w:hAnsi="Arial" w:cs="Arial"/>
          <w:color w:val="000000" w:themeColor="text1"/>
          <w:sz w:val="21"/>
          <w:szCs w:val="21"/>
          <w:lang w:val="es-ES" w:eastAsia="es-ES_tradnl"/>
        </w:rPr>
        <w:t>»</w:t>
      </w:r>
    </w:p>
    <w:p w14:paraId="2BFDDD72" w14:textId="77777777" w:rsidR="00FE2F29" w:rsidRPr="00E02234" w:rsidRDefault="00FE2F29" w:rsidP="00E02234">
      <w:pPr>
        <w:spacing w:after="0" w:line="276" w:lineRule="auto"/>
        <w:ind w:left="709" w:right="709"/>
        <w:jc w:val="both"/>
        <w:rPr>
          <w:rFonts w:ascii="Arial" w:eastAsia="Times New Roman" w:hAnsi="Arial" w:cs="Arial"/>
          <w:bCs/>
          <w:color w:val="000000"/>
          <w:lang w:val="es-ES_tradnl" w:eastAsia="es-CO"/>
        </w:rPr>
      </w:pPr>
    </w:p>
    <w:p w14:paraId="45253050" w14:textId="77777777" w:rsidR="00FE2F29" w:rsidRPr="00E02234" w:rsidRDefault="00FE2F29" w:rsidP="00E02234">
      <w:pPr>
        <w:shd w:val="clear" w:color="auto" w:fill="FFFFFF"/>
        <w:spacing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Nótese que la norma se refiere a todo contrato, sin efectuar distinción acerca del régimen jurídico o de la entidad que lo celebra. Por tanto, es claro que el control social puede ejercerse respecto de todos los contratos que celebre cualquier órgano del Estado que maneje recursos públicos, con independencia de la modalidad de selección empleada para la celebración del contrato estatal. </w:t>
      </w:r>
    </w:p>
    <w:p w14:paraId="3EBB34FE" w14:textId="77777777" w:rsidR="00FE2F29" w:rsidRPr="00E02234" w:rsidRDefault="00FE2F29" w:rsidP="00E02234">
      <w:pPr>
        <w:shd w:val="clear" w:color="auto" w:fill="FFFFFF"/>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En lo que atañe a la oportunidad para hacer control social a la contratación pública, se resalta que las normas sobre el control social no establecen un ámbito temporal de aplicación para el ejercicio </w:t>
      </w:r>
      <w:proofErr w:type="gramStart"/>
      <w:r w:rsidRPr="00E02234">
        <w:rPr>
          <w:rFonts w:ascii="Arial" w:eastAsia="Times New Roman" w:hAnsi="Arial" w:cs="Arial"/>
          <w:color w:val="000000" w:themeColor="text1"/>
          <w:lang w:val="es-ES" w:eastAsia="es-ES_tradnl"/>
        </w:rPr>
        <w:t>del mismo</w:t>
      </w:r>
      <w:proofErr w:type="gramEnd"/>
      <w:r w:rsidRPr="00E02234">
        <w:rPr>
          <w:rFonts w:ascii="Arial" w:eastAsia="Times New Roman" w:hAnsi="Arial" w:cs="Arial"/>
          <w:color w:val="000000" w:themeColor="text1"/>
          <w:lang w:val="es-ES" w:eastAsia="es-ES_tradnl"/>
        </w:rPr>
        <w:t xml:space="preserve">. En consecuencia, el control social puede ejercerse desde la etapa de planeación contractual, pasando por su adjudicación y ejecución, e incluso hasta después de finalizada la ejecución del contrato estatal. </w:t>
      </w:r>
    </w:p>
    <w:p w14:paraId="2EECDC80" w14:textId="77777777" w:rsidR="00FE2F29" w:rsidRPr="00E02234" w:rsidRDefault="00FE2F29" w:rsidP="00E02234">
      <w:pPr>
        <w:shd w:val="clear" w:color="auto" w:fill="FFFFFF"/>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lastRenderedPageBreak/>
        <w:t>En relación con lo expresado en precedencia, la Contraloría General de la República señaló que «El control social a la contratación pública puede ser (i) durante la etapa de planeación; (</w:t>
      </w:r>
      <w:proofErr w:type="spellStart"/>
      <w:r w:rsidRPr="00E02234">
        <w:rPr>
          <w:rFonts w:ascii="Arial" w:eastAsia="Times New Roman" w:hAnsi="Arial" w:cs="Arial"/>
          <w:color w:val="000000" w:themeColor="text1"/>
          <w:lang w:val="es-ES" w:eastAsia="es-ES_tradnl"/>
        </w:rPr>
        <w:t>ii</w:t>
      </w:r>
      <w:proofErr w:type="spellEnd"/>
      <w:r w:rsidRPr="00E02234">
        <w:rPr>
          <w:rFonts w:ascii="Arial" w:eastAsia="Times New Roman" w:hAnsi="Arial" w:cs="Arial"/>
          <w:color w:val="000000" w:themeColor="text1"/>
          <w:lang w:val="es-ES" w:eastAsia="es-ES_tradnl"/>
        </w:rPr>
        <w:t>) durante la etapa de selección; (</w:t>
      </w:r>
      <w:proofErr w:type="spellStart"/>
      <w:r w:rsidRPr="00E02234">
        <w:rPr>
          <w:rFonts w:ascii="Arial" w:eastAsia="Times New Roman" w:hAnsi="Arial" w:cs="Arial"/>
          <w:color w:val="000000" w:themeColor="text1"/>
          <w:lang w:val="es-ES" w:eastAsia="es-ES_tradnl"/>
        </w:rPr>
        <w:t>iii</w:t>
      </w:r>
      <w:proofErr w:type="spellEnd"/>
      <w:r w:rsidRPr="00E02234">
        <w:rPr>
          <w:rFonts w:ascii="Arial" w:eastAsia="Times New Roman" w:hAnsi="Arial" w:cs="Arial"/>
          <w:color w:val="000000" w:themeColor="text1"/>
          <w:lang w:val="es-ES" w:eastAsia="es-ES_tradnl"/>
        </w:rPr>
        <w:t>) durante la etapa de contratación; (</w:t>
      </w:r>
      <w:proofErr w:type="spellStart"/>
      <w:r w:rsidRPr="00E02234">
        <w:rPr>
          <w:rFonts w:ascii="Arial" w:eastAsia="Times New Roman" w:hAnsi="Arial" w:cs="Arial"/>
          <w:color w:val="000000" w:themeColor="text1"/>
          <w:lang w:val="es-ES" w:eastAsia="es-ES_tradnl"/>
        </w:rPr>
        <w:t>iv</w:t>
      </w:r>
      <w:proofErr w:type="spellEnd"/>
      <w:r w:rsidRPr="00E02234">
        <w:rPr>
          <w:rFonts w:ascii="Arial" w:eastAsia="Times New Roman" w:hAnsi="Arial" w:cs="Arial"/>
          <w:color w:val="000000" w:themeColor="text1"/>
          <w:lang w:val="es-ES" w:eastAsia="es-ES_tradnl"/>
        </w:rPr>
        <w:t>) durante la etapa de ejecución; y (v) después de la finalización del proceso de compra y contratación»</w:t>
      </w:r>
      <w:r w:rsidRPr="00E02234">
        <w:rPr>
          <w:rFonts w:ascii="Arial" w:eastAsia="Times New Roman" w:hAnsi="Arial" w:cs="Arial"/>
          <w:color w:val="000000" w:themeColor="text1"/>
          <w:vertAlign w:val="superscript"/>
          <w:lang w:val="es-ES" w:eastAsia="es-ES_tradnl"/>
        </w:rPr>
        <w:footnoteReference w:id="19"/>
      </w:r>
      <w:r w:rsidRPr="00E02234">
        <w:rPr>
          <w:rFonts w:ascii="Arial" w:eastAsia="Times New Roman" w:hAnsi="Arial" w:cs="Arial"/>
          <w:color w:val="000000" w:themeColor="text1"/>
          <w:lang w:val="es-ES" w:eastAsia="es-ES_tradnl"/>
        </w:rPr>
        <w:t>.</w:t>
      </w:r>
    </w:p>
    <w:p w14:paraId="4FD3E760" w14:textId="77777777" w:rsidR="00FE2F29" w:rsidRPr="00E02234" w:rsidRDefault="00FE2F29" w:rsidP="00E02234">
      <w:pPr>
        <w:shd w:val="clear" w:color="auto" w:fill="FFFFFF"/>
        <w:spacing w:before="120" w:after="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De lo expuesto, se puede afirmar entonces que, en materia de contratación pública, el control social se ejerce por la ciudadanía de manera individual o colectiva, a través de las diferentes formas de organización comunitaria, entre las que se cuentan, las veedurías ciudadanas. Así mismo, el control social se puede ejercer respecto de todo contrato que celebren las entidades del Estado, las entidades privadas que prestan servicios públicos domiciliarios y las empresas que realizan proyectos con recursos públicos, es decir, el control social cobija a la actividad contractual tanto de las entidades estatales como de aquellas que están sometidas a un régimen jurídico especial. Finalmente, el ejercicio del control social se puede realizar en cualquier etapa del proceso de contratación.</w:t>
      </w:r>
    </w:p>
    <w:p w14:paraId="0F6035A7" w14:textId="77777777" w:rsidR="00FE2F29" w:rsidRPr="00E02234" w:rsidRDefault="00FE2F29" w:rsidP="00E02234">
      <w:pPr>
        <w:shd w:val="clear" w:color="auto" w:fill="FFFFFF"/>
        <w:spacing w:after="0" w:line="276" w:lineRule="auto"/>
        <w:ind w:firstLine="709"/>
        <w:jc w:val="both"/>
        <w:rPr>
          <w:rFonts w:ascii="Arial" w:eastAsia="Times New Roman" w:hAnsi="Arial" w:cs="Arial"/>
          <w:color w:val="000000" w:themeColor="text1"/>
          <w:lang w:val="es-ES" w:eastAsia="es-ES_tradnl"/>
        </w:rPr>
      </w:pPr>
    </w:p>
    <w:p w14:paraId="78F71118" w14:textId="77777777" w:rsidR="00FE2F29" w:rsidRPr="00E02234" w:rsidRDefault="00FE2F29" w:rsidP="00E02234">
      <w:pPr>
        <w:spacing w:after="240" w:line="276" w:lineRule="auto"/>
        <w:jc w:val="both"/>
        <w:rPr>
          <w:rFonts w:ascii="Arial" w:eastAsia="Calibri" w:hAnsi="Arial" w:cs="Arial"/>
          <w:b/>
          <w:bCs/>
          <w:color w:val="000000"/>
          <w:lang w:val="es-MX"/>
        </w:rPr>
      </w:pPr>
      <w:r w:rsidRPr="00E02234">
        <w:rPr>
          <w:rFonts w:ascii="Arial" w:eastAsia="Calibri" w:hAnsi="Arial" w:cs="Arial"/>
          <w:b/>
          <w:bCs/>
          <w:color w:val="000000"/>
          <w:lang w:val="es-MX"/>
        </w:rPr>
        <w:t>2.7. El principio de transparencia en la contratación estatal</w:t>
      </w:r>
    </w:p>
    <w:p w14:paraId="3957C639" w14:textId="77777777" w:rsidR="00FE2F29" w:rsidRPr="00E02234" w:rsidRDefault="00FE2F29" w:rsidP="00E02234">
      <w:pPr>
        <w:spacing w:after="240" w:line="276" w:lineRule="auto"/>
        <w:jc w:val="both"/>
        <w:rPr>
          <w:rFonts w:ascii="Arial" w:eastAsia="Calibri" w:hAnsi="Arial" w:cs="Arial"/>
          <w:color w:val="000000"/>
          <w:lang w:val="es-MX"/>
        </w:rPr>
      </w:pPr>
      <w:r w:rsidRPr="00E02234">
        <w:rPr>
          <w:rFonts w:ascii="Arial" w:eastAsia="Calibri" w:hAnsi="Arial" w:cs="Arial"/>
          <w:color w:val="000000"/>
          <w:lang w:val="es-MX"/>
        </w:rPr>
        <w:t>La contratación estatal tiene como propósito el cumplimiento de los fines estatales, la continua y eficiente prestación de los servicios públicos y la efectividad de los derechos e intereses de los administrados que colaboran con ellas en la consecución de dichos fines</w:t>
      </w:r>
      <w:r w:rsidRPr="00E02234">
        <w:rPr>
          <w:rFonts w:ascii="Arial" w:eastAsia="Calibri" w:hAnsi="Arial" w:cs="Arial"/>
          <w:color w:val="000000"/>
          <w:vertAlign w:val="superscript"/>
          <w:lang w:val="es-MX"/>
        </w:rPr>
        <w:footnoteReference w:id="20"/>
      </w:r>
      <w:r w:rsidRPr="00E02234">
        <w:rPr>
          <w:rFonts w:ascii="Arial" w:eastAsia="Calibri" w:hAnsi="Arial" w:cs="Arial"/>
          <w:color w:val="000000"/>
          <w:lang w:val="es-MX"/>
        </w:rPr>
        <w:t xml:space="preserve">. En cumplimiento de ese propósito, el legislador determinó que las actuaciones adelantadas por las entidades estatales, en materia contractual, se llevan a cabo, entre otros, en cumplimiento de los principios que gobiernan los procesos de contratación pública. </w:t>
      </w:r>
    </w:p>
    <w:p w14:paraId="775C3FF6" w14:textId="77777777" w:rsidR="00FE2F29" w:rsidRPr="00E02234" w:rsidRDefault="00FE2F29" w:rsidP="00E02234">
      <w:pPr>
        <w:spacing w:after="240" w:line="276" w:lineRule="auto"/>
        <w:ind w:firstLine="709"/>
        <w:jc w:val="both"/>
        <w:rPr>
          <w:rFonts w:ascii="Arial" w:eastAsia="Calibri" w:hAnsi="Arial" w:cs="Arial"/>
          <w:color w:val="000000"/>
          <w:lang w:val="es-MX"/>
        </w:rPr>
      </w:pPr>
      <w:r w:rsidRPr="00E02234">
        <w:rPr>
          <w:rFonts w:ascii="Arial" w:eastAsia="Calibri" w:hAnsi="Arial" w:cs="Arial"/>
          <w:color w:val="000000"/>
          <w:lang w:val="es-MX"/>
        </w:rPr>
        <w:t>Por su parte, el artículo 23 de la Ley 80 de 1993 regula los principios aplicables a las actuaciones contractuales adelantadas por las entidades estatales</w:t>
      </w:r>
      <w:r w:rsidRPr="00E02234">
        <w:rPr>
          <w:rFonts w:ascii="Arial" w:eastAsia="Calibri" w:hAnsi="Arial" w:cs="Arial"/>
          <w:color w:val="000000"/>
          <w:vertAlign w:val="superscript"/>
          <w:lang w:val="es-MX"/>
        </w:rPr>
        <w:footnoteReference w:id="21"/>
      </w:r>
      <w:r w:rsidRPr="00E02234">
        <w:rPr>
          <w:rFonts w:ascii="Arial" w:eastAsia="Calibri" w:hAnsi="Arial" w:cs="Arial"/>
          <w:color w:val="000000"/>
          <w:lang w:val="es-MX"/>
        </w:rPr>
        <w:t xml:space="preserve">. Entre otros, allí se estableció el principio de transparencia de la actividad contractual, objeto de regulación expresa en el artículo 24 del citado cuerpo normativo. Este principio guarda estrecha relación con el de publicidad, que rige el ejercicio de la función administrativa, según el artículo 209 constitucional. Por eso en los numerales 2º y 3º del citado artículo 24 se estableció la facultad de los interesados </w:t>
      </w:r>
      <w:r w:rsidRPr="00E02234">
        <w:rPr>
          <w:rFonts w:ascii="Arial" w:eastAsia="Calibri" w:hAnsi="Arial" w:cs="Arial"/>
          <w:color w:val="000000"/>
          <w:lang w:val="es-MX"/>
        </w:rPr>
        <w:lastRenderedPageBreak/>
        <w:t>para realizar y/o presentar observaciones, como un mecanismo para controvertir algunas de las decisiones adoptadas por las entidades estatales en el marco de sus actuaciones públicas, en particular en los procesos contractuales, así:</w:t>
      </w:r>
    </w:p>
    <w:p w14:paraId="290EB69B" w14:textId="77777777" w:rsidR="00FE2F29" w:rsidRPr="000E71D9" w:rsidRDefault="00FE2F29" w:rsidP="000E71D9">
      <w:pPr>
        <w:spacing w:after="240" w:line="240" w:lineRule="auto"/>
        <w:ind w:left="709" w:right="851"/>
        <w:jc w:val="both"/>
        <w:rPr>
          <w:rFonts w:ascii="Arial" w:eastAsia="Calibri" w:hAnsi="Arial" w:cs="Arial"/>
          <w:sz w:val="21"/>
          <w:szCs w:val="21"/>
          <w:lang w:val="es-MX"/>
        </w:rPr>
      </w:pPr>
      <w:r w:rsidRPr="000E71D9">
        <w:rPr>
          <w:rFonts w:ascii="Arial" w:eastAsia="Batang" w:hAnsi="Arial" w:cs="Arial"/>
          <w:sz w:val="21"/>
          <w:szCs w:val="21"/>
          <w:lang w:val="es-MX"/>
        </w:rPr>
        <w:t>«</w:t>
      </w:r>
      <w:r w:rsidRPr="000E71D9">
        <w:rPr>
          <w:rFonts w:ascii="Arial" w:eastAsia="Calibri" w:hAnsi="Arial" w:cs="Arial"/>
          <w:sz w:val="21"/>
          <w:szCs w:val="21"/>
          <w:lang w:val="es-MX"/>
        </w:rPr>
        <w:t>Artículo 24. Del principio de transparencia. En virtud de este principio:</w:t>
      </w:r>
    </w:p>
    <w:p w14:paraId="34802410" w14:textId="77777777" w:rsidR="00FE2F29" w:rsidRPr="000E71D9" w:rsidRDefault="00FE2F29" w:rsidP="000E71D9">
      <w:pPr>
        <w:spacing w:after="240" w:line="240" w:lineRule="auto"/>
        <w:ind w:left="709" w:right="851"/>
        <w:jc w:val="both"/>
        <w:rPr>
          <w:rFonts w:ascii="Arial" w:eastAsia="Calibri" w:hAnsi="Arial" w:cs="Arial"/>
          <w:sz w:val="21"/>
          <w:szCs w:val="21"/>
          <w:lang w:val="es-MX"/>
        </w:rPr>
      </w:pPr>
      <w:r w:rsidRPr="000E71D9">
        <w:rPr>
          <w:rFonts w:ascii="Arial" w:eastAsia="Calibri" w:hAnsi="Arial" w:cs="Arial"/>
          <w:sz w:val="21"/>
          <w:szCs w:val="21"/>
          <w:lang w:val="es-MX"/>
        </w:rPr>
        <w:t>[…]</w:t>
      </w:r>
    </w:p>
    <w:p w14:paraId="32F445CA" w14:textId="77777777" w:rsidR="00FE2F29" w:rsidRPr="000E71D9" w:rsidRDefault="00FE2F29" w:rsidP="000E71D9">
      <w:pPr>
        <w:spacing w:after="240" w:line="240" w:lineRule="auto"/>
        <w:ind w:left="709" w:right="851"/>
        <w:jc w:val="both"/>
        <w:rPr>
          <w:rFonts w:ascii="Arial" w:eastAsia="Calibri" w:hAnsi="Arial" w:cs="Arial"/>
          <w:sz w:val="21"/>
          <w:szCs w:val="21"/>
          <w:lang w:val="es-MX"/>
        </w:rPr>
      </w:pPr>
      <w:r w:rsidRPr="000E71D9">
        <w:rPr>
          <w:rFonts w:ascii="Arial" w:eastAsia="Calibri" w:hAnsi="Arial" w:cs="Arial"/>
          <w:sz w:val="21"/>
          <w:szCs w:val="21"/>
          <w:lang w:val="es-MX"/>
        </w:rPr>
        <w:t>2o.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60263743" w14:textId="77777777" w:rsidR="00FE2F29" w:rsidRPr="000E71D9" w:rsidRDefault="00FE2F29" w:rsidP="000E71D9">
      <w:pPr>
        <w:spacing w:after="240" w:line="240" w:lineRule="auto"/>
        <w:ind w:left="709" w:right="851"/>
        <w:jc w:val="both"/>
        <w:rPr>
          <w:rFonts w:ascii="Arial" w:eastAsia="Calibri" w:hAnsi="Arial" w:cs="Arial"/>
          <w:sz w:val="21"/>
          <w:szCs w:val="21"/>
          <w:lang w:val="es-MX"/>
        </w:rPr>
      </w:pPr>
      <w:r w:rsidRPr="000E71D9">
        <w:rPr>
          <w:rFonts w:ascii="Arial" w:eastAsia="Calibri" w:hAnsi="Arial" w:cs="Arial"/>
          <w:sz w:val="21"/>
          <w:szCs w:val="21"/>
          <w:lang w:val="es-MX"/>
        </w:rPr>
        <w:t>3o. Las actuaciones de las autoridades serán públicas y los expedientes que las contengan estarán abiertos al público, permitiendo en el caso de licitación el ejercicio del derecho de que trata el artículo 273 de la Constitución Política.</w:t>
      </w:r>
      <w:r w:rsidRPr="000E71D9">
        <w:rPr>
          <w:rFonts w:ascii="Arial" w:eastAsia="Batang" w:hAnsi="Arial" w:cs="Arial"/>
          <w:sz w:val="21"/>
          <w:szCs w:val="21"/>
          <w:lang w:val="es-MX"/>
        </w:rPr>
        <w:t>»</w:t>
      </w:r>
    </w:p>
    <w:p w14:paraId="35230039"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De este modo, en desarrollo del principio de transparencia, el artículo 30 de la Ley 80 de 1993 que regula la estructura de los procedimientos de selección del contratista, estableció ciertas reglas en el inciso final del numeral </w:t>
      </w:r>
      <w:r w:rsidRPr="00E02234">
        <w:rPr>
          <w:rFonts w:ascii="Arial" w:eastAsia="Batang" w:hAnsi="Arial" w:cs="Arial"/>
          <w:lang w:val="es-MX"/>
        </w:rPr>
        <w:t>4º</w:t>
      </w:r>
      <w:r w:rsidRPr="00E02234">
        <w:rPr>
          <w:rFonts w:ascii="Arial" w:eastAsia="Batang" w:hAnsi="Arial" w:cs="Arial"/>
          <w:color w:val="000000"/>
          <w:lang w:val="es-MX"/>
        </w:rPr>
        <w:t xml:space="preserve">, relacionadas con la </w:t>
      </w:r>
      <w:r w:rsidRPr="00E02234">
        <w:rPr>
          <w:rFonts w:ascii="Arial" w:eastAsia="Batang" w:hAnsi="Arial" w:cs="Arial"/>
          <w:lang w:val="es-MX"/>
        </w:rPr>
        <w:t>audiencia para precisar el contenido y alcance de los pliegos de condiciones y asignación de riesgos. De esta manera</w:t>
      </w:r>
      <w:r w:rsidRPr="00E02234">
        <w:rPr>
          <w:rFonts w:ascii="Arial" w:eastAsia="Batang" w:hAnsi="Arial" w:cs="Arial"/>
          <w:color w:val="000000"/>
          <w:lang w:val="es-MX"/>
        </w:rPr>
        <w:t xml:space="preserve">, se señaló que como resultado de lo debatido en la audiencia se realizarán las modificaciones a que haya lugar frente a los pliegos de condiciones, circunstancia que </w:t>
      </w:r>
      <w:r w:rsidRPr="00E02234">
        <w:rPr>
          <w:rFonts w:ascii="Arial" w:eastAsia="Batang" w:hAnsi="Arial" w:cs="Arial"/>
          <w:lang w:val="es-MX"/>
        </w:rPr>
        <w:t xml:space="preserve">«[…] no impide </w:t>
      </w:r>
      <w:proofErr w:type="gramStart"/>
      <w:r w:rsidRPr="00E02234">
        <w:rPr>
          <w:rFonts w:ascii="Arial" w:eastAsia="Batang" w:hAnsi="Arial" w:cs="Arial"/>
          <w:lang w:val="es-MX"/>
        </w:rPr>
        <w:t>que</w:t>
      </w:r>
      <w:proofErr w:type="gramEnd"/>
      <w:r w:rsidRPr="00E02234">
        <w:rPr>
          <w:rFonts w:ascii="Arial" w:eastAsia="Batang" w:hAnsi="Arial" w:cs="Arial"/>
          <w:lang w:val="es-MX"/>
        </w:rPr>
        <w:t xml:space="preserve"> dentro del plazo de la licitación, cualquier interesado pueda solicitar aclaraciones adicionales que la entidad contratante responderá mediante comunicación escrita, la cual remitirá al interesado y publicará en el SECOP para conocimiento público». De otro lado, el numeral 8º del mismo artículo, respecto de los informes de evaluación de las propuestas, estableció que los mismos «[…] permanecerán en la secretaría de la entidad por un término de cinco (5) días hábiles para que los oferentes presenten las observaciones que estimen pertinentes. […]».</w:t>
      </w:r>
    </w:p>
    <w:p w14:paraId="1ACC605A"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Por su parte, el artículo 8 de la Ley 1150 de 2007 «Por medio de la cual se introducen medidas para la eficiencia y la transparencia en la Ley 80 de 1993 […]», tratándose de la publicidad del pliego de condiciones, dispuso que «con el propósito de suministrar al público en general la información que le permita formular observaciones a su contenido, las entidades publicarán los proyectos de pliegos de condiciones o sus equivalentes, en las condiciones que señale el reglamento».</w:t>
      </w:r>
    </w:p>
    <w:p w14:paraId="2D9927C6"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Las disposiciones del ordenamiento jurídico mencionadas fueron objeto de desarrollo en el Decreto 1082 de 2015; cuerpo normativo de carácter reglamentario en el cual se establecieron, en principio, los plazos dentro de los cuales los interesados podrán realizar observaciones en la actuaciones adelantadas a instancia de las entidades estatales en sus procesos de contratación, plazos que podrán ser ampliados, mas no restringidos por aquellas, dependiendo de la modalidad </w:t>
      </w:r>
      <w:r w:rsidRPr="00E02234">
        <w:rPr>
          <w:rFonts w:ascii="Arial" w:eastAsia="Batang" w:hAnsi="Arial" w:cs="Arial"/>
          <w:color w:val="000000"/>
          <w:lang w:val="es-MX"/>
        </w:rPr>
        <w:lastRenderedPageBreak/>
        <w:t>o mecanismo de selección del contratista usado en el respectivo procedimiento contractual. En cuanto a la importancia del principio de transparencia, que rige las actuaciones contractuales de las entidades estatales, la Sección Tercera del Consejo de Estado señaló</w:t>
      </w:r>
      <w:r w:rsidRPr="00E02234">
        <w:rPr>
          <w:rFonts w:ascii="Arial" w:eastAsia="Batang" w:hAnsi="Arial" w:cs="Arial"/>
          <w:color w:val="000000"/>
          <w:vertAlign w:val="superscript"/>
          <w:lang w:val="es-MX"/>
        </w:rPr>
        <w:footnoteReference w:id="22"/>
      </w:r>
      <w:r w:rsidRPr="00E02234">
        <w:rPr>
          <w:rFonts w:ascii="Arial" w:eastAsia="Batang" w:hAnsi="Arial" w:cs="Arial"/>
          <w:color w:val="000000"/>
          <w:lang w:val="es-MX"/>
        </w:rPr>
        <w:t>:</w:t>
      </w:r>
    </w:p>
    <w:p w14:paraId="6797B0EB" w14:textId="07F2DB6F" w:rsidR="00FE2F29" w:rsidRPr="000E71D9" w:rsidRDefault="007F0BBA" w:rsidP="000E71D9">
      <w:pPr>
        <w:spacing w:after="240" w:line="240" w:lineRule="auto"/>
        <w:ind w:left="709" w:right="851"/>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w:t>
      </w:r>
      <w:r w:rsidR="00FE2F29" w:rsidRPr="000E71D9">
        <w:rPr>
          <w:rFonts w:ascii="Arial" w:eastAsia="Batang" w:hAnsi="Arial" w:cs="Arial"/>
          <w:color w:val="000000"/>
          <w:sz w:val="21"/>
          <w:szCs w:val="21"/>
          <w:lang w:val="es-MX"/>
        </w:rPr>
        <w:t xml:space="preserve">El principio de transparencia persigue la garantía </w:t>
      </w:r>
      <w:proofErr w:type="gramStart"/>
      <w:r w:rsidR="00FE2F29" w:rsidRPr="000E71D9">
        <w:rPr>
          <w:rFonts w:ascii="Arial" w:eastAsia="Batang" w:hAnsi="Arial" w:cs="Arial"/>
          <w:color w:val="000000"/>
          <w:sz w:val="21"/>
          <w:szCs w:val="21"/>
          <w:lang w:val="es-MX"/>
        </w:rPr>
        <w:t>que</w:t>
      </w:r>
      <w:proofErr w:type="gramEnd"/>
      <w:r w:rsidR="00FE2F29" w:rsidRPr="000E71D9">
        <w:rPr>
          <w:rFonts w:ascii="Arial" w:eastAsia="Batang" w:hAnsi="Arial" w:cs="Arial"/>
          <w:color w:val="000000"/>
          <w:sz w:val="21"/>
          <w:szCs w:val="21"/>
          <w:lang w:val="es-MX"/>
        </w:rPr>
        <w:t xml:space="preserve"> en la formación del contrato, con plena publicidad de las bases del proceso de selección y en igualdad de oportunidades de quienes en él participen, se escoja la oferta más favorable para los intereses de la administración, de suerte que la actuación administrativa de la contratación sea imparcial, alejada de todo favoritismo y, por ende, extraña a cualquier factor político, económico o familiar. </w:t>
      </w:r>
    </w:p>
    <w:p w14:paraId="416B06FB" w14:textId="77777777" w:rsidR="00FE2F29" w:rsidRPr="000E71D9" w:rsidRDefault="00FE2F29" w:rsidP="000E71D9">
      <w:pPr>
        <w:spacing w:after="240" w:line="240" w:lineRule="auto"/>
        <w:ind w:left="709" w:right="851"/>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En palabras de la Corte Suprema de Justicia:</w:t>
      </w:r>
    </w:p>
    <w:p w14:paraId="41F79C55" w14:textId="77777777" w:rsidR="00FE2F29" w:rsidRPr="000E71D9" w:rsidRDefault="00FE2F29" w:rsidP="000E71D9">
      <w:pPr>
        <w:spacing w:after="240" w:line="240" w:lineRule="auto"/>
        <w:ind w:left="709" w:right="851"/>
        <w:jc w:val="both"/>
        <w:rPr>
          <w:rFonts w:ascii="Arial" w:eastAsia="Batang" w:hAnsi="Arial" w:cs="Arial"/>
          <w:color w:val="000000"/>
          <w:sz w:val="21"/>
          <w:szCs w:val="21"/>
          <w:lang w:val="es-MX"/>
        </w:rPr>
      </w:pPr>
      <w:r w:rsidRPr="000E71D9">
        <w:rPr>
          <w:rFonts w:ascii="Arial" w:eastAsia="Batang" w:hAnsi="Arial" w:cs="Arial"/>
          <w:color w:val="000000"/>
          <w:sz w:val="21"/>
          <w:szCs w:val="21"/>
          <w:lang w:val="es-ES"/>
        </w:rPr>
        <w:t>«</w:t>
      </w:r>
      <w:r w:rsidRPr="000E71D9">
        <w:rPr>
          <w:rFonts w:ascii="Arial" w:eastAsia="Batang" w:hAnsi="Arial" w:cs="Arial"/>
          <w:color w:val="000000"/>
          <w:sz w:val="21"/>
          <w:szCs w:val="21"/>
          <w:lang w:val="es-MX"/>
        </w:rPr>
        <w:t xml:space="preserve">Mediante la transparencia se garantiza la igualdad y el ejercicio del poder con acatamiento de la imparcialidad y la publicidad. (…) Transparencia quiere decir claridad, diafanidad, nitidez, pureza, translucidez. Significa que algo debe ser visible, que puede verse, para evitar la oscuridad, la opacidad, lo turbio y lo nebuloso.  Así, la actuación administrativa contractual, debe ser perspicua, tersa y cristalina (…). Se trata de un postulado que pretende combatir la corrupción en la contratación estatal, que en sus grandes líneas desarrolla también los principios constitucionales de igualdad, moralidad, eficiencia, imparcialidad y publicidad aplicados a la función administrativa (art. 209. C.N)».  </w:t>
      </w:r>
    </w:p>
    <w:p w14:paraId="533537DA" w14:textId="40C8F503" w:rsidR="00FE2F29" w:rsidRPr="000E71D9" w:rsidRDefault="00FE2F29" w:rsidP="000E71D9">
      <w:pPr>
        <w:spacing w:after="240" w:line="240" w:lineRule="auto"/>
        <w:ind w:left="709" w:right="851"/>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Por consiguiente, este principio aplicado a la contratación pública, excluye una actividad oculta, secreta, oscura y arbitraria en la actividad contractual y, al contrario, propende por una selección objetiva de la propuesta y del contratista del Estado para el logro de los fines de la contratación y la satisfacción de los intereses colectivos, en los términos del artículo 29 de la Ley 80 de 1993, en forma clara, limpia, pulcra, sana, ajena a consideraciones subjetivas, libre de presiones indebidas y en especial de cualquier sospecha de corrupción por parte de los administradores y de los particulares que participan en los procesos de selección contractual del Estado.</w:t>
      </w:r>
      <w:r w:rsidR="007F0BBA" w:rsidRPr="000E71D9">
        <w:rPr>
          <w:rFonts w:ascii="Arial" w:eastAsia="Batang" w:hAnsi="Arial" w:cs="Arial"/>
          <w:color w:val="000000"/>
          <w:sz w:val="21"/>
          <w:szCs w:val="21"/>
          <w:lang w:val="es-MX"/>
        </w:rPr>
        <w:t>»</w:t>
      </w:r>
      <w:r w:rsidRPr="000E71D9">
        <w:rPr>
          <w:rFonts w:ascii="Arial" w:eastAsia="Batang" w:hAnsi="Arial" w:cs="Arial"/>
          <w:color w:val="000000"/>
          <w:sz w:val="21"/>
          <w:szCs w:val="21"/>
          <w:lang w:val="es-MX"/>
        </w:rPr>
        <w:t xml:space="preserve">   </w:t>
      </w:r>
    </w:p>
    <w:p w14:paraId="3BAC9145"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Conforme a lo expuesto, en virtud del principio de transparencia se garantiza la participación tanto de los interesados como de la ciudadanía en general</w:t>
      </w:r>
      <w:r w:rsidRPr="00E02234">
        <w:rPr>
          <w:rFonts w:ascii="Arial" w:eastAsia="Batang" w:hAnsi="Arial" w:cs="Arial"/>
          <w:color w:val="000000"/>
          <w:vertAlign w:val="superscript"/>
          <w:lang w:val="es-MX"/>
        </w:rPr>
        <w:footnoteReference w:id="23"/>
      </w:r>
      <w:r w:rsidRPr="00E02234">
        <w:rPr>
          <w:rFonts w:ascii="Arial" w:eastAsia="Batang" w:hAnsi="Arial" w:cs="Arial"/>
          <w:color w:val="000000"/>
          <w:lang w:val="es-MX"/>
        </w:rPr>
        <w:t>, en las actuaciones contractuales adelantadas por las entidades estatales, participación que se materializa en la oportunidad que se concede a aquellos para presentar observaciones en las distintas etapas o fases del proceso que culmina con la celebración del contrato estatal.</w:t>
      </w:r>
    </w:p>
    <w:p w14:paraId="664DCD32" w14:textId="77777777" w:rsidR="00FE2F29" w:rsidRPr="00E02234" w:rsidRDefault="00FE2F29" w:rsidP="00E02234">
      <w:pPr>
        <w:spacing w:after="240" w:line="276" w:lineRule="auto"/>
        <w:ind w:firstLine="851"/>
        <w:jc w:val="both"/>
        <w:rPr>
          <w:rFonts w:ascii="Arial" w:eastAsia="Batang" w:hAnsi="Arial" w:cs="Arial"/>
          <w:color w:val="000000"/>
          <w:lang w:val="es-MX"/>
        </w:rPr>
      </w:pPr>
      <w:r w:rsidRPr="00E02234">
        <w:rPr>
          <w:rFonts w:ascii="Arial" w:eastAsia="Batang" w:hAnsi="Arial" w:cs="Arial"/>
          <w:color w:val="000000"/>
          <w:lang w:val="es-MX"/>
        </w:rPr>
        <w:t xml:space="preserve">En este orden de ideas, y con el fin de responder la consulta, se deben distinguir las etapas o fases del proceso contractual, a efectos de establecer el término o plazo para presentar </w:t>
      </w:r>
      <w:r w:rsidRPr="00E02234">
        <w:rPr>
          <w:rFonts w:ascii="Arial" w:eastAsia="Batang" w:hAnsi="Arial" w:cs="Arial"/>
          <w:color w:val="000000"/>
          <w:lang w:val="es-MX"/>
        </w:rPr>
        <w:lastRenderedPageBreak/>
        <w:t>observaciones por parte de los interesados y el plazo para responderlas por parte de las entidades estatales.</w:t>
      </w:r>
    </w:p>
    <w:p w14:paraId="51C5DBCB"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i/>
          <w:iCs/>
          <w:color w:val="000000"/>
          <w:lang w:val="es-MX"/>
        </w:rPr>
        <w:t>i) Publicación del proyecto de pliego de condiciones</w:t>
      </w:r>
      <w:r w:rsidRPr="00E02234">
        <w:rPr>
          <w:rFonts w:ascii="Arial" w:eastAsia="Batang" w:hAnsi="Arial" w:cs="Arial"/>
          <w:color w:val="000000"/>
          <w:lang w:val="es-MX"/>
        </w:rPr>
        <w:t>. La Ley 1150 de 2007</w:t>
      </w:r>
      <w:r w:rsidRPr="00E02234">
        <w:rPr>
          <w:rFonts w:ascii="Arial" w:eastAsia="Batang" w:hAnsi="Arial" w:cs="Arial"/>
          <w:color w:val="000000"/>
          <w:vertAlign w:val="superscript"/>
          <w:lang w:val="es-MX"/>
        </w:rPr>
        <w:footnoteReference w:id="24"/>
      </w:r>
      <w:r w:rsidRPr="00E02234">
        <w:rPr>
          <w:rFonts w:ascii="Arial" w:eastAsia="Batang" w:hAnsi="Arial" w:cs="Arial"/>
          <w:color w:val="000000"/>
          <w:lang w:val="es-MX"/>
        </w:rPr>
        <w:t xml:space="preserve"> estableció en el artículo 8 la obligación de las entidades estatales de publicar el proyecto de pliego de condiciones o su documento equivalente, con el único propósito de que el público en general pueda presentar las observaciones que estime pertinentes. Esa misma disposición también consagra la obligación de las entidades estatales de pronunciarse sobre las observaciones presentadas, pronunciamiento que deberá ser motivado ya sea para acogerlas o para rechazarlas.</w:t>
      </w:r>
    </w:p>
    <w:p w14:paraId="2E8DD26A"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Por su parte, el Decreto 1082 de 2015, en relación con esta obligación, precisó en el inciso 2 del artículo 2.2.1.1.1.7.1. que «[…] La Entidad Estatal está obligada a publicar oportunamente el aviso de convocatoria o la invitación en los Procesos de Contratación de mínima cuantía y </w:t>
      </w:r>
      <w:r w:rsidRPr="00E02234">
        <w:rPr>
          <w:rFonts w:ascii="Arial" w:eastAsia="Batang" w:hAnsi="Arial" w:cs="Arial"/>
          <w:i/>
          <w:iCs/>
          <w:color w:val="000000"/>
          <w:lang w:val="es-MX"/>
        </w:rPr>
        <w:t>el proyecto de pliegos de condiciones</w:t>
      </w:r>
      <w:r w:rsidRPr="00E02234">
        <w:rPr>
          <w:rFonts w:ascii="Arial" w:eastAsia="Batang" w:hAnsi="Arial" w:cs="Arial"/>
          <w:color w:val="000000"/>
          <w:lang w:val="es-MX"/>
        </w:rPr>
        <w:t xml:space="preserve"> en el SECOP para que los interesados en el Proceso de Contratación puedan presentar observaciones o solicitar aclaraciones en el término previsto para el efecto […]». (Cursiva fuera texto)</w:t>
      </w:r>
    </w:p>
    <w:p w14:paraId="11CDF3EB"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En cuanto al plazo o término para presentar observaciones al proyecto de pliego de condiciones, en el artículo 2.2.1.1.2.1.4. del mencionado cuerpo normativo se afirma que «Los interesados pueden hacer comentarios al proyecto de pliegos de condiciones a partir de la fecha de publicación de </w:t>
      </w:r>
      <w:proofErr w:type="gramStart"/>
      <w:r w:rsidRPr="00E02234">
        <w:rPr>
          <w:rFonts w:ascii="Arial" w:eastAsia="Batang" w:hAnsi="Arial" w:cs="Arial"/>
          <w:color w:val="000000"/>
          <w:lang w:val="es-MX"/>
        </w:rPr>
        <w:t>los mismos</w:t>
      </w:r>
      <w:proofErr w:type="gramEnd"/>
      <w:r w:rsidRPr="00E02234">
        <w:rPr>
          <w:rFonts w:ascii="Arial" w:eastAsia="Batang" w:hAnsi="Arial" w:cs="Arial"/>
          <w:color w:val="000000"/>
          <w:lang w:val="es-MX"/>
        </w:rPr>
        <w:t>: (a) durante un término de diez (10) días hábiles en la licitación pública; y (b) durante un término de cinco (5) días hábiles en la selección abreviada y el concurso de méritos».</w:t>
      </w:r>
    </w:p>
    <w:p w14:paraId="251335D2" w14:textId="0DE0A76C"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En relación con la respuesta a las observaciones presentadas al proyecto de pliego de condiciones, se advierte que el ordenamiento jurídico no contempló un término para tal efecto. Sin embargo, esa circunstancia de ninguna manera implica la inexistencia de un límite, ya que de conformidad con lo establecido en las disposiciones que rigen el procedimiento de contratación, este se realiza por fases o etapas. Así las cosas, si bien no existe un término expreso para responder las observaciones al proyecto de pliego de condiciones, no lo es menos que existe un límite para que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profiera la respuesta a esas observaciones. Límite que está constituido por la promulgación del acto administrativo de apertura del proceso de selección. Esto </w:t>
      </w:r>
      <w:r w:rsidRPr="00E02234">
        <w:rPr>
          <w:rFonts w:ascii="Arial" w:eastAsia="Batang" w:hAnsi="Arial" w:cs="Arial"/>
          <w:color w:val="000000"/>
          <w:lang w:val="es-MX"/>
        </w:rPr>
        <w:lastRenderedPageBreak/>
        <w:t xml:space="preserve">significa que antes que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profiera dicho acto administrativo y publique el pliego de condiciones definitivo, deberá responder las observaciones presentadas al proyecto de pliego de condiciones.</w:t>
      </w:r>
    </w:p>
    <w:p w14:paraId="6D047CA6" w14:textId="77777777" w:rsidR="00FE2F29" w:rsidRPr="00E02234" w:rsidRDefault="00FE2F29" w:rsidP="00E02234">
      <w:pPr>
        <w:spacing w:after="240" w:line="276" w:lineRule="auto"/>
        <w:ind w:firstLine="709"/>
        <w:jc w:val="both"/>
        <w:rPr>
          <w:rFonts w:ascii="Arial" w:eastAsia="Batang" w:hAnsi="Arial" w:cs="Arial"/>
          <w:color w:val="000000"/>
          <w:lang w:val="es-MX"/>
        </w:rPr>
      </w:pPr>
      <w:proofErr w:type="spellStart"/>
      <w:r w:rsidRPr="00E02234">
        <w:rPr>
          <w:rFonts w:ascii="Arial" w:eastAsia="Batang" w:hAnsi="Arial" w:cs="Arial"/>
          <w:i/>
          <w:iCs/>
          <w:color w:val="000000"/>
          <w:lang w:val="es-MX"/>
        </w:rPr>
        <w:t>ii</w:t>
      </w:r>
      <w:proofErr w:type="spellEnd"/>
      <w:r w:rsidRPr="00E02234">
        <w:rPr>
          <w:rFonts w:ascii="Arial" w:eastAsia="Batang" w:hAnsi="Arial" w:cs="Arial"/>
          <w:i/>
          <w:iCs/>
          <w:color w:val="000000"/>
          <w:lang w:val="es-MX"/>
        </w:rPr>
        <w:t>) Apertura del proceso de selección</w:t>
      </w:r>
      <w:r w:rsidRPr="00E02234">
        <w:rPr>
          <w:rFonts w:ascii="Arial" w:eastAsia="Batang" w:hAnsi="Arial" w:cs="Arial"/>
          <w:color w:val="000000"/>
          <w:lang w:val="es-MX"/>
        </w:rPr>
        <w:t>. Esta fase o etapa inicia con la expedición del acto administrativo de apertura del proceso de selección, momento en el cual se publica el pliego de condiciones de definitivo; documento este último respecto del cual también se pueden presentar observaciones y/o solicitudes de aclaraciones.</w:t>
      </w:r>
    </w:p>
    <w:p w14:paraId="602ED175" w14:textId="26C4AFD4"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El ordenamiento jurídico que rige los </w:t>
      </w:r>
      <w:r w:rsidR="1D4453CF" w:rsidRPr="00E02234">
        <w:rPr>
          <w:rFonts w:ascii="Arial" w:eastAsia="Batang" w:hAnsi="Arial" w:cs="Arial"/>
          <w:color w:val="000000"/>
          <w:lang w:val="es-MX"/>
        </w:rPr>
        <w:t>P</w:t>
      </w:r>
      <w:r w:rsidRPr="00E02234">
        <w:rPr>
          <w:rFonts w:ascii="Arial" w:eastAsia="Batang" w:hAnsi="Arial" w:cs="Arial"/>
          <w:color w:val="000000"/>
          <w:lang w:val="es-MX"/>
        </w:rPr>
        <w:t xml:space="preserve">rocesos de </w:t>
      </w:r>
      <w:r w:rsidR="1FDBD23E" w:rsidRPr="00E02234">
        <w:rPr>
          <w:rFonts w:ascii="Arial" w:eastAsia="Batang" w:hAnsi="Arial" w:cs="Arial"/>
          <w:color w:val="000000"/>
          <w:lang w:val="es-MX"/>
        </w:rPr>
        <w:t>C</w:t>
      </w:r>
      <w:r w:rsidRPr="00E02234">
        <w:rPr>
          <w:rFonts w:ascii="Arial" w:eastAsia="Batang" w:hAnsi="Arial" w:cs="Arial"/>
          <w:color w:val="000000"/>
          <w:lang w:val="es-MX"/>
        </w:rPr>
        <w:t>ontratación no estableció un término para la presentación de las observaciones al pliego de condiciones definitivo, salvo en la licitación pública, proceso en el cual a petición o solicitud de parte o de al menos uno de los interesados, dentro de los tres días hábiles siguientes al inicio del término para la presentación de propuestas se realizará una audiencia con el propósito de precisar el contenido y alcance de los pliegos de condiciones</w:t>
      </w:r>
      <w:r w:rsidRPr="00E02234">
        <w:rPr>
          <w:rFonts w:ascii="Arial" w:eastAsia="Batang" w:hAnsi="Arial" w:cs="Arial"/>
          <w:color w:val="000000"/>
          <w:vertAlign w:val="superscript"/>
          <w:lang w:val="es-MX"/>
        </w:rPr>
        <w:footnoteReference w:id="25"/>
      </w:r>
      <w:r w:rsidRPr="00E02234">
        <w:rPr>
          <w:rFonts w:ascii="Arial" w:eastAsia="Batang" w:hAnsi="Arial" w:cs="Arial"/>
          <w:color w:val="000000"/>
          <w:lang w:val="es-MX"/>
        </w:rPr>
        <w:t xml:space="preserve">; asunto este que, de conformidad con lo preceptuado en el artículo 2.2.1.2.1.1.2. del Decreto 1082 de 2015, se abordará y resolverá en la audiencia de asignación de riesgos de que trata el artículo 4 de la Ley 1150 de 2007. </w:t>
      </w:r>
    </w:p>
    <w:p w14:paraId="7F2657BB" w14:textId="548F4874"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Pese a lo anterior es preciso señalar que las entidades estatales con la apertura del proceso de </w:t>
      </w:r>
      <w:proofErr w:type="spellStart"/>
      <w:r w:rsidR="27660100" w:rsidRPr="604F5B38">
        <w:rPr>
          <w:rFonts w:ascii="Arial" w:eastAsia="Batang" w:hAnsi="Arial" w:cs="Arial"/>
          <w:color w:val="000000" w:themeColor="text1"/>
          <w:lang w:val="es-MX"/>
        </w:rPr>
        <w:t>de</w:t>
      </w:r>
      <w:proofErr w:type="spellEnd"/>
      <w:r w:rsidR="27660100" w:rsidRPr="604F5B38">
        <w:rPr>
          <w:rFonts w:ascii="Arial" w:eastAsia="Batang" w:hAnsi="Arial" w:cs="Arial"/>
          <w:color w:val="000000" w:themeColor="text1"/>
          <w:lang w:val="es-MX"/>
        </w:rPr>
        <w:t xml:space="preserve"> Contratación</w:t>
      </w:r>
      <w:r w:rsidRPr="00E02234">
        <w:rPr>
          <w:rFonts w:ascii="Arial" w:eastAsia="Batang" w:hAnsi="Arial" w:cs="Arial"/>
          <w:color w:val="000000"/>
          <w:lang w:val="es-MX"/>
        </w:rPr>
        <w:t xml:space="preserve"> están en la obligación de publicar el cronograma </w:t>
      </w:r>
      <w:proofErr w:type="gramStart"/>
      <w:r w:rsidRPr="00E02234">
        <w:rPr>
          <w:rFonts w:ascii="Arial" w:eastAsia="Batang" w:hAnsi="Arial" w:cs="Arial"/>
          <w:color w:val="000000"/>
          <w:lang w:val="es-MX"/>
        </w:rPr>
        <w:t>del mismo</w:t>
      </w:r>
      <w:proofErr w:type="gramEnd"/>
      <w:r w:rsidRPr="00E02234">
        <w:rPr>
          <w:rFonts w:ascii="Arial" w:eastAsia="Batang" w:hAnsi="Arial" w:cs="Arial"/>
          <w:color w:val="000000"/>
          <w:lang w:val="es-MX"/>
        </w:rPr>
        <w:t>, el cual es definido como el «Documento en el cual la Entidad Estatal establece las fechas, horas y plazos para las actividades propias del Proceso de Contratación y el lugar en el que estas deben llevarse a cabo»</w:t>
      </w:r>
      <w:r w:rsidRPr="00E02234">
        <w:rPr>
          <w:rFonts w:ascii="Arial" w:eastAsia="Batang" w:hAnsi="Arial" w:cs="Arial"/>
          <w:color w:val="000000"/>
          <w:vertAlign w:val="superscript"/>
          <w:lang w:val="es-MX"/>
        </w:rPr>
        <w:footnoteReference w:id="26"/>
      </w:r>
      <w:r w:rsidRPr="00E02234">
        <w:rPr>
          <w:rFonts w:ascii="Arial" w:eastAsia="Batang" w:hAnsi="Arial" w:cs="Arial"/>
          <w:color w:val="000000"/>
          <w:lang w:val="es-MX"/>
        </w:rPr>
        <w:t xml:space="preserve">. En el cronograma, la </w:t>
      </w:r>
      <w:r w:rsidR="00CD548C" w:rsidRPr="604F5B38">
        <w:rPr>
          <w:rFonts w:ascii="Arial" w:eastAsia="Batang" w:hAnsi="Arial" w:cs="Arial"/>
          <w:color w:val="000000" w:themeColor="text1"/>
          <w:lang w:val="es-MX"/>
        </w:rPr>
        <w:t>Entidad Estatal</w:t>
      </w:r>
      <w:r w:rsidRPr="00E02234">
        <w:rPr>
          <w:rFonts w:ascii="Arial" w:eastAsia="Batang" w:hAnsi="Arial" w:cs="Arial"/>
          <w:color w:val="000000"/>
          <w:lang w:val="es-MX"/>
        </w:rPr>
        <w:t xml:space="preserve"> debe contemplar un término o plazo para la presentación de observaciones y/o aclaraciones al pliego de condiciones definitivo, al igual que un plazo para responder esas solicitudes, inclusive en el proceso de licitación.</w:t>
      </w:r>
    </w:p>
    <w:p w14:paraId="7D00A627" w14:textId="56E2227E"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Ahora bien, en esta fase o etapa del proceso de contratación el ordenamiento jurídico tampoco contempló un término para responder las observaciones y/o solicitudes de aclaraciones; sin embargo, también existe un límite para que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se pueda pronunciar sobre esas solicitudes. Así las cosas, se tiene que el pronunciamiento realizado por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a las observaciones y/o solicitudes de aclaraciones al pliego de condiciones definitivo, debe efectuarse antes del vencimiento del plazo establecido en el cronograma para la presentación de las propuestas u ofertas por parte de los interesados. Esto en consideración a que, conforme a lo </w:t>
      </w:r>
      <w:r w:rsidRPr="00E02234">
        <w:rPr>
          <w:rFonts w:ascii="Arial" w:eastAsia="Batang" w:hAnsi="Arial" w:cs="Arial"/>
          <w:color w:val="000000"/>
          <w:lang w:val="es-MX"/>
        </w:rPr>
        <w:lastRenderedPageBreak/>
        <w:t>preceptuado en el numeral 6 del artículo 30 de la Ley 80 de 1993</w:t>
      </w:r>
      <w:r w:rsidRPr="00E02234">
        <w:rPr>
          <w:rFonts w:ascii="Arial" w:eastAsia="Batang" w:hAnsi="Arial" w:cs="Arial"/>
          <w:color w:val="000000"/>
          <w:vertAlign w:val="superscript"/>
          <w:lang w:val="es-MX"/>
        </w:rPr>
        <w:footnoteReference w:id="27"/>
      </w:r>
      <w:r w:rsidRPr="00E02234">
        <w:rPr>
          <w:rFonts w:ascii="Arial" w:eastAsia="Batang" w:hAnsi="Arial" w:cs="Arial"/>
          <w:color w:val="000000"/>
          <w:lang w:val="es-MX"/>
        </w:rPr>
        <w:t>, la propuesta se debe ajustar a todos los puntos determinados en el pliego de condiciones.</w:t>
      </w:r>
    </w:p>
    <w:p w14:paraId="1CF324E0"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i/>
          <w:iCs/>
          <w:color w:val="000000"/>
          <w:lang w:val="es-MX"/>
        </w:rPr>
        <w:t>Contrario sensu,</w:t>
      </w:r>
      <w:r w:rsidRPr="00E02234">
        <w:rPr>
          <w:rFonts w:ascii="Arial" w:eastAsia="Batang" w:hAnsi="Arial" w:cs="Arial"/>
          <w:color w:val="000000"/>
          <w:lang w:val="es-MX"/>
        </w:rPr>
        <w:t xml:space="preserve"> si la respuesta a las observaciones y/o solicitudes de aclaraciones al pliego de condiciones definitivo se realiza de forma posterior al vencimiento 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w:t>
      </w:r>
    </w:p>
    <w:p w14:paraId="36DA5ED9" w14:textId="77777777" w:rsidR="00FE2F29" w:rsidRPr="00E02234" w:rsidRDefault="00FE2F29" w:rsidP="00E02234">
      <w:pPr>
        <w:spacing w:after="240" w:line="276" w:lineRule="auto"/>
        <w:ind w:firstLine="709"/>
        <w:jc w:val="both"/>
        <w:rPr>
          <w:rFonts w:ascii="Arial" w:eastAsia="Batang" w:hAnsi="Arial" w:cs="Arial"/>
          <w:lang w:val="es-MX"/>
        </w:rPr>
      </w:pPr>
      <w:r w:rsidRPr="00E02234">
        <w:rPr>
          <w:rFonts w:ascii="Arial" w:eastAsia="Batang" w:hAnsi="Arial" w:cs="Arial"/>
          <w:lang w:val="es-MX"/>
        </w:rPr>
        <w:t xml:space="preserve">De esta manera, las observaciones o aclaraciones que sean presentadas frente al proyecto de pliego de condiciones deberán ser resueltas por la entidad antes de publicar el pliego de condiciones definitivo, lo cual implica que la entidad no podrá seguir adelante con la siguiente etapa del correspondiente proceso de contratación, si antes no se ha pronunciado sobre las observaciones presentadas, pero también es pertinente aclarar que no todas las observaciones o aclaraciones que se presenten en virtud del control ciudadano conllevarán a una modificación del pliego de condiciones. </w:t>
      </w:r>
    </w:p>
    <w:p w14:paraId="72756A85" w14:textId="35336CC7" w:rsidR="00FE2F29" w:rsidRPr="00E02234" w:rsidRDefault="00FE2F29" w:rsidP="00E02234">
      <w:pPr>
        <w:spacing w:after="240" w:line="276" w:lineRule="auto"/>
        <w:ind w:firstLine="709"/>
        <w:jc w:val="both"/>
        <w:rPr>
          <w:rFonts w:ascii="Arial" w:eastAsia="Batang" w:hAnsi="Arial" w:cs="Arial"/>
          <w:lang w:val="es-MX"/>
        </w:rPr>
      </w:pPr>
      <w:r w:rsidRPr="00E02234">
        <w:rPr>
          <w:rFonts w:ascii="Arial" w:eastAsia="Batang" w:hAnsi="Arial" w:cs="Arial"/>
          <w:lang w:val="es-MX"/>
        </w:rPr>
        <w:t xml:space="preserve">De otro lado, incluso frente al pliego de condiciones definitivo es posible que se presenten observaciones adicionales, correspondiéndole a la </w:t>
      </w:r>
      <w:r w:rsidR="00CD548C">
        <w:rPr>
          <w:rFonts w:ascii="Arial" w:eastAsia="Batang" w:hAnsi="Arial" w:cs="Arial"/>
          <w:lang w:val="es-MX"/>
        </w:rPr>
        <w:t>Entidad Estatal</w:t>
      </w:r>
      <w:r w:rsidRPr="00E02234">
        <w:rPr>
          <w:rFonts w:ascii="Arial" w:eastAsia="Batang" w:hAnsi="Arial" w:cs="Arial"/>
          <w:lang w:val="es-MX"/>
        </w:rPr>
        <w:t xml:space="preserve"> pronunciarse motivadamente frente a cada una de ellas y, de ser el caso, indicar expresamente si con ocasión del análisis de las observaciones es necesario modificar, ajustar o aclarar algún aspecto o condición del pliego; evento en el cual la modificación se debe realizar por acto administrativo –adenda–, sin que necesariamente se deba titular o rotular de esta manera, como requisito para que esta produzca efectos. En todo caso, en cada procedimiento de selección se deberá dilucidar cuál es la intención de la </w:t>
      </w:r>
      <w:r w:rsidR="00CD548C">
        <w:rPr>
          <w:rFonts w:ascii="Arial" w:eastAsia="Batang" w:hAnsi="Arial" w:cs="Arial"/>
          <w:lang w:val="es-MX"/>
        </w:rPr>
        <w:t>Entidad Estatal</w:t>
      </w:r>
      <w:r w:rsidRPr="00E02234">
        <w:rPr>
          <w:rFonts w:ascii="Arial" w:eastAsia="Batang" w:hAnsi="Arial" w:cs="Arial"/>
          <w:lang w:val="es-MX"/>
        </w:rPr>
        <w:t xml:space="preserve"> al pronunciarse frente a las observaciones recibidas, en el sentido de si mediante su respuesta realizará alguna modificación y en qué consistirá. Lo anterior no obsta para señalar que, en todo caso, para evitar discrepancias lo recomendable frente a las entidades estatales consiste en que el documento se identifique claramente como adenda y se señale de forma precisa qué contenido se modificará del pliego de condiciones.</w:t>
      </w:r>
    </w:p>
    <w:p w14:paraId="1D84594B" w14:textId="10E0CB36" w:rsidR="00FE2F29" w:rsidRPr="00E02234" w:rsidRDefault="00FE2F29" w:rsidP="00E02234">
      <w:pPr>
        <w:spacing w:after="240" w:line="276" w:lineRule="auto"/>
        <w:ind w:firstLine="709"/>
        <w:jc w:val="both"/>
        <w:rPr>
          <w:rFonts w:ascii="Arial" w:eastAsia="Batang" w:hAnsi="Arial" w:cs="Arial"/>
          <w:color w:val="000000"/>
          <w:lang w:val="es-MX"/>
        </w:rPr>
      </w:pPr>
      <w:proofErr w:type="spellStart"/>
      <w:r w:rsidRPr="00E02234">
        <w:rPr>
          <w:rFonts w:ascii="Arial" w:eastAsia="Batang" w:hAnsi="Arial" w:cs="Arial"/>
          <w:i/>
          <w:iCs/>
          <w:color w:val="000000"/>
          <w:lang w:val="es-MX"/>
        </w:rPr>
        <w:t>iii</w:t>
      </w:r>
      <w:proofErr w:type="spellEnd"/>
      <w:r w:rsidRPr="00E02234">
        <w:rPr>
          <w:rFonts w:ascii="Arial" w:eastAsia="Batang" w:hAnsi="Arial" w:cs="Arial"/>
          <w:i/>
          <w:iCs/>
          <w:color w:val="000000"/>
          <w:lang w:val="es-MX"/>
        </w:rPr>
        <w:t>) Informes de evaluación</w:t>
      </w:r>
      <w:r w:rsidRPr="00E02234">
        <w:rPr>
          <w:rFonts w:ascii="Arial" w:eastAsia="Batang" w:hAnsi="Arial" w:cs="Arial"/>
          <w:color w:val="000000"/>
          <w:lang w:val="es-MX"/>
        </w:rPr>
        <w:t xml:space="preserve">. En los procesos de licitación pública se tiene que el informe de evaluación de las propuestas debe permanecer en la Secretaría General de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w:t>
      </w:r>
      <w:r w:rsidRPr="00E02234">
        <w:rPr>
          <w:rFonts w:ascii="Arial" w:eastAsia="Batang" w:hAnsi="Arial" w:cs="Arial"/>
          <w:color w:val="000000"/>
          <w:lang w:val="es-MX"/>
        </w:rPr>
        <w:lastRenderedPageBreak/>
        <w:t>contratante, por el un término de cinco (5) días hábiles</w:t>
      </w:r>
      <w:r w:rsidRPr="00E02234">
        <w:rPr>
          <w:rFonts w:ascii="Arial" w:eastAsia="Batang" w:hAnsi="Arial" w:cs="Arial"/>
          <w:color w:val="000000"/>
          <w:vertAlign w:val="superscript"/>
          <w:lang w:val="es-MX"/>
        </w:rPr>
        <w:footnoteReference w:id="28"/>
      </w:r>
      <w:r w:rsidRPr="00E02234">
        <w:rPr>
          <w:rFonts w:ascii="Arial" w:eastAsia="Batang" w:hAnsi="Arial" w:cs="Arial"/>
          <w:color w:val="000000"/>
          <w:lang w:val="es-MX"/>
        </w:rPr>
        <w:t>. En los procesos de selección de concurso de méritos y de selección abreviada de menor cuantía, las entidades estatales están en la obligación de publicar el informe de evaluación por un término de tres (3) días hábiles, mientras que en los procesos de selección de mínima cuantía ese informe de evaluación deberá publicarse al menos por el término de un (1) día hábil</w:t>
      </w:r>
      <w:r w:rsidRPr="00E02234">
        <w:rPr>
          <w:rFonts w:ascii="Arial" w:eastAsia="Batang" w:hAnsi="Arial" w:cs="Arial"/>
          <w:color w:val="000000"/>
          <w:vertAlign w:val="superscript"/>
          <w:lang w:val="es-MX"/>
        </w:rPr>
        <w:footnoteReference w:id="29"/>
      </w:r>
      <w:r w:rsidRPr="00E02234">
        <w:rPr>
          <w:rFonts w:ascii="Arial" w:eastAsia="Batang" w:hAnsi="Arial" w:cs="Arial"/>
          <w:color w:val="000000"/>
          <w:lang w:val="es-MX"/>
        </w:rPr>
        <w:t>.</w:t>
      </w:r>
    </w:p>
    <w:p w14:paraId="79625827" w14:textId="1AE0A3F2"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El propósito de la publicidad del informe de evaluación de las propuestas en cada uno de los procesos de selección citados es que los oferentes, interesados y cualquier persona en general puedan realizar las observaciones que a su juicio consideren pertinentes. No obstante, el ordenamiento jurídico no contempló de manera expresa un término para que las entidades estatales se pronuncien sobre las observaciones presentadas al informe de evaluación. Sin embargo, sí existe un momento límite para responder esas observaciones, el cual está determinado por el acto de adjudicación del respectivo contrato, es decir,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contratante antes de proferir su decisión de adjudicación del contrato, está en la obligación de responder las observaciones presentadas al informe de evaluación de las propuestas, como condición previa para la expedición del acto de adjudicación. </w:t>
      </w:r>
    </w:p>
    <w:p w14:paraId="4CDCBC10"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Es de resaltar que, en los procesos de licitación, la respuesta a las observaciones presentadas al informe de evaluación deberá efectuarse antes de la realización de la audiencia de adjudicación, puesto que en esa audiencia «los oferentes pueden pronunciarse sobre las </w:t>
      </w:r>
      <w:r w:rsidRPr="00E02234">
        <w:rPr>
          <w:rFonts w:ascii="Arial" w:eastAsia="Batang" w:hAnsi="Arial" w:cs="Arial"/>
          <w:color w:val="000000"/>
          <w:lang w:val="es-MX"/>
        </w:rPr>
        <w:lastRenderedPageBreak/>
        <w:t>respuestas dadas por la Entidad Estatal a las observaciones presentadas respecto del informe de evaluación»</w:t>
      </w:r>
      <w:r w:rsidRPr="00E02234">
        <w:rPr>
          <w:rFonts w:ascii="Arial" w:eastAsia="Batang" w:hAnsi="Arial" w:cs="Arial"/>
          <w:color w:val="000000"/>
          <w:vertAlign w:val="superscript"/>
          <w:lang w:val="es-MX"/>
        </w:rPr>
        <w:footnoteReference w:id="30"/>
      </w:r>
      <w:r w:rsidRPr="00E02234">
        <w:rPr>
          <w:rFonts w:ascii="Arial" w:eastAsia="Batang" w:hAnsi="Arial" w:cs="Arial"/>
          <w:color w:val="000000"/>
          <w:lang w:val="es-MX"/>
        </w:rPr>
        <w:t>.</w:t>
      </w:r>
    </w:p>
    <w:p w14:paraId="4B27A13B" w14:textId="36FE3FC6"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En conclusión y en relación con los términos o plazos con que cuentan las entidades estatales para responder las observaciones y/o solicitudes de aclaraciones en las distintas etapas o fases del proceso de contratación, se precisa que si bien el ordenamiento jurídico no contempló de manera expresa ese plazo, el mismo se encuentra establecido de forma tácita, en tanto que, no es posible avanzar en las fases o etapas del proceso de contratación, si la </w:t>
      </w:r>
      <w:r w:rsidR="00CD548C">
        <w:rPr>
          <w:rFonts w:ascii="Arial" w:eastAsia="Batang" w:hAnsi="Arial" w:cs="Arial"/>
          <w:color w:val="000000"/>
          <w:lang w:val="es-MX"/>
        </w:rPr>
        <w:t>Entidad Estatal</w:t>
      </w:r>
      <w:r w:rsidRPr="00E02234">
        <w:rPr>
          <w:rFonts w:ascii="Arial" w:eastAsia="Batang" w:hAnsi="Arial" w:cs="Arial"/>
          <w:color w:val="000000"/>
          <w:lang w:val="es-MX"/>
        </w:rPr>
        <w:t>, previamente, no ha resuelto las observaciones presentadas y/o solicitudes de aclaraciones realizadas en cada una de las etapas analizadas.</w:t>
      </w:r>
    </w:p>
    <w:p w14:paraId="4A613218"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De otra parte, puede llegar a suceder, como en efecto ocurre, que los interesados en un proceso de contratación presenten observaciones y/o solicitudes de aclaraciones al proyecto de pliego de condiciones, al pliego de condiciones definitivo o al informe de evaluación de las ofertas, fuera de los plazos establecidos por el ordenamiento jurídico y por el cronograma del respectivo proceso de contratación pública, según el caso. Esta circunstancia de suyo implica que la observación es extemporánea.</w:t>
      </w:r>
    </w:p>
    <w:p w14:paraId="0DCB9E82" w14:textId="52E165FF"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 xml:space="preserve">Si bien la </w:t>
      </w:r>
      <w:r w:rsidR="00CD548C">
        <w:rPr>
          <w:rFonts w:ascii="Arial" w:eastAsia="Batang" w:hAnsi="Arial" w:cs="Arial"/>
          <w:color w:val="000000"/>
          <w:lang w:val="es-MX"/>
        </w:rPr>
        <w:t>Entidad Estatal</w:t>
      </w:r>
      <w:r w:rsidRPr="00E02234">
        <w:rPr>
          <w:rFonts w:ascii="Arial" w:eastAsia="Batang" w:hAnsi="Arial" w:cs="Arial"/>
          <w:color w:val="000000"/>
          <w:lang w:val="es-MX"/>
        </w:rPr>
        <w:t xml:space="preserve"> que adelanta un proceso de contratación está en la obligación de responder las observaciones extemporáneas, no lo es menos que esa respuesta debe consistir o limitarse al rechazo de la observación, precisamente, por ser extemporánea. Respuesta por demás, que debe proferirse antes de que inicie la siguiente etapa o fase del proceso contractual. Esto significa que, si la observación extemporánea es sobre el proyecto de pliego de condiciones, el pronunciamiento debe realizarse antes de proferir el acto administrativo de apertura del proceso de selección; si es sobre el pliego de condiciones definitivo, la respuesta debe realizarse antes de efectuar el correspondiente informe de evaluación; y, si es sobre el informe de evaluación la respuesta debe realizarse antes del acto administrativo de adjudicación del proceso de contratación.</w:t>
      </w:r>
    </w:p>
    <w:p w14:paraId="578CA842"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lastRenderedPageBreak/>
        <w:t>Lo afirmado encuentra fundamento en el principio de económica que rige los procesos de contratación, especialmente, en el numeral 1º del artículo 25 de la Ley 80 de 1993</w:t>
      </w:r>
      <w:r w:rsidRPr="00E02234">
        <w:rPr>
          <w:rFonts w:ascii="Arial" w:eastAsia="Batang" w:hAnsi="Arial" w:cs="Arial"/>
          <w:color w:val="000000"/>
          <w:vertAlign w:val="superscript"/>
          <w:lang w:val="es-MX"/>
        </w:rPr>
        <w:footnoteReference w:id="31"/>
      </w:r>
      <w:r w:rsidRPr="00E02234">
        <w:rPr>
          <w:rFonts w:ascii="Arial" w:eastAsia="Batang" w:hAnsi="Arial" w:cs="Arial"/>
          <w:color w:val="000000"/>
          <w:lang w:val="es-MX"/>
        </w:rPr>
        <w:t xml:space="preserve"> que dispuso, que los términos o plazos para la etapas o fases del proceso de selección son preclusivos y perentorios. Sobre este asunto, la Sección Tercera del Consejo de Estado, sostuvo:</w:t>
      </w:r>
    </w:p>
    <w:p w14:paraId="4A1FCD4F" w14:textId="60A4C719" w:rsidR="00FE2F29" w:rsidRPr="000E71D9" w:rsidRDefault="0089056B" w:rsidP="000E71D9">
      <w:pPr>
        <w:spacing w:after="240" w:line="240" w:lineRule="auto"/>
        <w:ind w:left="709" w:right="709"/>
        <w:jc w:val="both"/>
        <w:rPr>
          <w:rFonts w:ascii="Arial" w:eastAsia="Batang" w:hAnsi="Arial" w:cs="Arial"/>
          <w:color w:val="000000"/>
          <w:sz w:val="21"/>
          <w:szCs w:val="21"/>
          <w:lang w:val="es-MX"/>
        </w:rPr>
      </w:pPr>
      <w:r w:rsidRPr="00E02234">
        <w:rPr>
          <w:rFonts w:ascii="Arial" w:eastAsia="Times New Roman" w:hAnsi="Arial" w:cs="Arial"/>
          <w:iCs/>
          <w:color w:val="1A1A1A" w:themeColor="background1" w:themeShade="1A"/>
          <w:lang w:eastAsia="es-ES_tradnl"/>
        </w:rPr>
        <w:t>«</w:t>
      </w:r>
      <w:r w:rsidR="00FE2F29" w:rsidRPr="000E71D9">
        <w:rPr>
          <w:rFonts w:ascii="Arial" w:eastAsia="Batang" w:hAnsi="Arial" w:cs="Arial"/>
          <w:color w:val="000000"/>
          <w:sz w:val="21"/>
          <w:szCs w:val="21"/>
          <w:lang w:val="es-MX"/>
        </w:rPr>
        <w:t xml:space="preserve">Estos plazos, que corresponden a las distintas etapas del proceso de selección, son, como lo consagra el numeral 1º del artículo 25 del Estatuto Contractual, perentorios y preclusivos. </w:t>
      </w:r>
    </w:p>
    <w:p w14:paraId="411427AA"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 xml:space="preserve">Perentorio, significa «Decisivo o concluyente»; según el Diccionario de la Real Academia de la Lengua Española: </w:t>
      </w:r>
    </w:p>
    <w:p w14:paraId="3D42880A"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«1. adj. Se dice del último plazo que se concede, o de la resolución final que se toma en cualquier asunto.</w:t>
      </w:r>
    </w:p>
    <w:p w14:paraId="3C69B4F6"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2. adj. Concluyente, decisivo, determinante.</w:t>
      </w:r>
    </w:p>
    <w:p w14:paraId="3E50063A"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3. adj. Urgente, apremiante».</w:t>
      </w:r>
    </w:p>
    <w:p w14:paraId="1F0BB624"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 xml:space="preserve">Y el «término perentorio», significa «El improrrogable, cuyo transcurso extingue o cancela la facultad o el derecho que durante él no se ejercitó». </w:t>
      </w:r>
    </w:p>
    <w:p w14:paraId="1F57391B"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Por su parte, preclusivo significa, según el mismo diccionario, «Que causa o determina preclusión»; y a su vez, preclusión, es definido como «Carácter del proceso, según el cual el juicio se divide en etapas, cada una de las cuales clausura la anterior sin posibilidad de replantear lo ya decidido en ella».</w:t>
      </w:r>
    </w:p>
    <w:p w14:paraId="703672DC"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Preclusión: Extinción, clausura, caducidad; acción y efecto de extinguirse el derecho a realizar un acto procesal, sea por prohibición de la ley, por haberse dejado pasar la oportunidad de verificarlo o por haberse realizado otro incompatible con aquel (Couture). // Principio procesal según el cual el juicio se divide en etapas, cada una de las cuales supone la clausura de la anterior, sin posibilidad de renovarla (Couture). Esta segunda definición coincide con la de Chiovenda cuando afirma que el proceso avanza cerrando estadios precedentes y no puede retroceder».</w:t>
      </w:r>
    </w:p>
    <w:p w14:paraId="73E148A5" w14:textId="77777777" w:rsidR="00FE2F29" w:rsidRPr="000E71D9" w:rsidRDefault="00FE2F29" w:rsidP="000E71D9">
      <w:pPr>
        <w:spacing w:after="240" w:line="240" w:lineRule="auto"/>
        <w:ind w:left="709" w:right="709"/>
        <w:jc w:val="both"/>
        <w:rPr>
          <w:rFonts w:ascii="Arial" w:eastAsia="Batang" w:hAnsi="Arial" w:cs="Arial"/>
          <w:color w:val="000000"/>
          <w:sz w:val="21"/>
          <w:szCs w:val="21"/>
          <w:lang w:val="es-MX"/>
        </w:rPr>
      </w:pPr>
      <w:r w:rsidRPr="000E71D9">
        <w:rPr>
          <w:rFonts w:ascii="Arial" w:eastAsia="Batang" w:hAnsi="Arial" w:cs="Arial"/>
          <w:color w:val="000000"/>
          <w:sz w:val="21"/>
          <w:szCs w:val="21"/>
          <w:lang w:val="es-MX"/>
        </w:rPr>
        <w:t>«preclusión. Efecto del transcurso de los plazos y de la finalización de los términos consistente en hacer imposible o completamente ineficaces los actos correspondientes. (…)».</w:t>
      </w:r>
      <w:r w:rsidRPr="000E71D9">
        <w:rPr>
          <w:rFonts w:ascii="Arial" w:eastAsia="Batang" w:hAnsi="Arial" w:cs="Arial"/>
          <w:color w:val="000000"/>
          <w:sz w:val="21"/>
          <w:szCs w:val="21"/>
          <w:vertAlign w:val="superscript"/>
          <w:lang w:val="es-MX"/>
        </w:rPr>
        <w:footnoteReference w:id="32"/>
      </w:r>
    </w:p>
    <w:p w14:paraId="24ACE358" w14:textId="2C12C406"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lastRenderedPageBreak/>
        <w:t xml:space="preserve">Bajo este contexto y en virtud del principio de economía, si bien tanto a los interesados como a la ciudadanía en general les asiste el derecho a realizar observaciones, este derecho debe ejercerse dentro de los plazos establecidos por el ordenamiento jurídico y por el cronograma del proceso de contratación, so pena de perder tal facultad por la </w:t>
      </w:r>
      <w:proofErr w:type="spellStart"/>
      <w:r w:rsidRPr="00E02234">
        <w:rPr>
          <w:rFonts w:ascii="Arial" w:eastAsia="Batang" w:hAnsi="Arial" w:cs="Arial"/>
          <w:color w:val="000000"/>
          <w:lang w:val="es-MX"/>
        </w:rPr>
        <w:t>preclusividad</w:t>
      </w:r>
      <w:proofErr w:type="spellEnd"/>
      <w:r w:rsidRPr="00E02234">
        <w:rPr>
          <w:rFonts w:ascii="Arial" w:eastAsia="Batang" w:hAnsi="Arial" w:cs="Arial"/>
          <w:color w:val="000000"/>
          <w:lang w:val="es-MX"/>
        </w:rPr>
        <w:t xml:space="preserve"> y perentoriedad de los términos que rigen las fases o etapas del proceso de contratación, máxime teniendo en cuenta que una vez agotada una fase del proceso de contratación la </w:t>
      </w:r>
      <w:r w:rsidR="00CD548C">
        <w:rPr>
          <w:rFonts w:ascii="Arial" w:eastAsia="Batang" w:hAnsi="Arial" w:cs="Arial"/>
          <w:color w:val="000000"/>
          <w:lang w:val="es-MX"/>
        </w:rPr>
        <w:t>Entidad Estatal</w:t>
      </w:r>
      <w:r w:rsidRPr="00E02234">
        <w:rPr>
          <w:rFonts w:ascii="Arial" w:eastAsia="Batang" w:hAnsi="Arial" w:cs="Arial"/>
          <w:color w:val="000000"/>
          <w:lang w:val="es-MX"/>
        </w:rPr>
        <w:t>, en principio, no puede volver sobre esa etapa del proceso de selección.</w:t>
      </w:r>
    </w:p>
    <w:p w14:paraId="179A751F"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Times New Roman" w:hAnsi="Arial" w:cs="Arial"/>
          <w:shd w:val="clear" w:color="auto" w:fill="FAF9F8"/>
          <w:lang w:val="es-MX" w:eastAsia="es-ES_tradnl"/>
        </w:rPr>
        <w:t xml:space="preserve">Así pues, de todos los argumentos expuestos y para efectos de la consulta realizada puede concluirse que, </w:t>
      </w:r>
      <w:r w:rsidRPr="00E02234">
        <w:rPr>
          <w:rFonts w:ascii="Arial" w:eastAsia="Batang" w:hAnsi="Arial" w:cs="Arial"/>
          <w:color w:val="000000"/>
          <w:lang w:val="es-MX"/>
        </w:rPr>
        <w:t xml:space="preserve">el ordenamiento jurídico no contempló limitación alguna frente a los sujetos que pueden presentar observaciones en las diferentes etapas de los procesos de selección, como quiera que ello vulneraría </w:t>
      </w:r>
      <w:r w:rsidRPr="00E02234">
        <w:rPr>
          <w:rFonts w:ascii="Arial" w:eastAsia="Calibri" w:hAnsi="Arial" w:cs="Arial"/>
          <w:color w:val="000000"/>
          <w:lang w:val="es-MX"/>
        </w:rPr>
        <w:t xml:space="preserve">los principios de transparencia y publicidad de la actividad contractual, establecidos como mecanismos para controvertir algunas de las decisiones adoptadas por las entidades estatales en el marco de sus actuaciones públicas. </w:t>
      </w:r>
    </w:p>
    <w:p w14:paraId="1B8BEB0C"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En el mismo sentido vale la pena aclarar que el propósito de suministrar al público en general la información que surge en virtud de los procesos de selección justamente implica a su vez que se le permita formular observaciones a su contenido por parte de tanto de los interesados como de la ciudadanía en general.</w:t>
      </w:r>
    </w:p>
    <w:p w14:paraId="61C4FB75" w14:textId="77777777" w:rsidR="00FE2F29" w:rsidRPr="00E02234" w:rsidRDefault="00FE2F29" w:rsidP="00E02234">
      <w:pPr>
        <w:tabs>
          <w:tab w:val="left" w:pos="284"/>
        </w:tabs>
        <w:spacing w:after="0" w:line="276" w:lineRule="auto"/>
        <w:contextualSpacing/>
        <w:jc w:val="both"/>
        <w:rPr>
          <w:rFonts w:ascii="Arial" w:hAnsi="Arial" w:cs="Arial"/>
          <w:b/>
        </w:rPr>
      </w:pPr>
      <w:r w:rsidRPr="00E02234">
        <w:rPr>
          <w:rFonts w:ascii="Arial" w:hAnsi="Arial" w:cs="Arial"/>
          <w:b/>
        </w:rPr>
        <w:t>3. Respuesta</w:t>
      </w:r>
    </w:p>
    <w:p w14:paraId="5CEF9803" w14:textId="77777777" w:rsidR="00FE2F29" w:rsidRPr="00E02234" w:rsidRDefault="00FE2F29" w:rsidP="00E02234">
      <w:pPr>
        <w:tabs>
          <w:tab w:val="left" w:pos="284"/>
        </w:tabs>
        <w:spacing w:after="240" w:line="276" w:lineRule="auto"/>
        <w:contextualSpacing/>
        <w:jc w:val="both"/>
        <w:rPr>
          <w:rFonts w:ascii="Arial" w:eastAsia="Calibri" w:hAnsi="Arial" w:cs="Arial"/>
          <w:b/>
        </w:rPr>
      </w:pPr>
    </w:p>
    <w:p w14:paraId="6EA78321" w14:textId="77777777" w:rsidR="00FE2F29" w:rsidRPr="000E71D9" w:rsidRDefault="00FE2F29" w:rsidP="000E71D9">
      <w:pPr>
        <w:spacing w:after="240" w:line="240" w:lineRule="auto"/>
        <w:ind w:left="567" w:right="851"/>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«1. Se tiene establecido en el Documento Base del Pliego tipo obra pública transporte versión 3, lo siguiente “En virtud de lo previsto en la Ley 842 de 2003 y con el fin de evitar el ejercicio ilegal de la Ingeniería, la persona natural (proponente individual o integrante de la estructura plural) que pretenda participar en el presente proceso, debe acreditar que posee título como ingeniero, para lo cual debe adjuntar copia de la tarjeta profesional y copia del certificado de vigencia de matrícula profesional expedida por el </w:t>
      </w:r>
      <w:proofErr w:type="spellStart"/>
      <w:r w:rsidRPr="000E71D9">
        <w:rPr>
          <w:rFonts w:ascii="Arial" w:eastAsia="Times New Roman" w:hAnsi="Arial" w:cs="Arial"/>
          <w:iCs/>
          <w:color w:val="1A1A1A" w:themeColor="background1" w:themeShade="1A"/>
          <w:sz w:val="21"/>
          <w:szCs w:val="21"/>
          <w:lang w:eastAsia="es-ES_tradnl"/>
        </w:rPr>
        <w:t>Copnia</w:t>
      </w:r>
      <w:proofErr w:type="spellEnd"/>
      <w:r w:rsidRPr="000E71D9">
        <w:rPr>
          <w:rFonts w:ascii="Arial" w:eastAsia="Times New Roman" w:hAnsi="Arial" w:cs="Arial"/>
          <w:iCs/>
          <w:color w:val="1A1A1A" w:themeColor="background1" w:themeShade="1A"/>
          <w:sz w:val="21"/>
          <w:szCs w:val="21"/>
          <w:lang w:eastAsia="es-ES_tradnl"/>
        </w:rPr>
        <w:t xml:space="preserve"> o Consejo Profesional de Ingeniería de Transportes y Vías de Colombia en la respectiva rama de la ingeniería, según corresponda, vigente a la fecha de cierre de este Proceso de selección. El requisito de la tarjeta profesional se puede suplir con el registro de que trata el artículo 18 del Decreto 2106 de 2019”, para ello y teniendo en cuenta la amplitud de oportunidades espíritu de los pliegos tipo, centrando la postulación en la experiencia, capacidad y lleno de requisitos habilitantes, se consulta: ¿con este enunciado solo pueden participar en el proceso ingenieros?, o trata de un enunciado con el fin de evitar se cometa una defraudación en cuanto al ejercicio ilegal de la profesión de ingeniería?, en el sentido en que solo deben aportar dichos certificados quienes manifiestan ser ingenieros, mas no limitando a que los proponentes sean ingenieros.»</w:t>
      </w:r>
    </w:p>
    <w:p w14:paraId="2B5E733D" w14:textId="77777777" w:rsidR="00FE2F29" w:rsidRPr="00E02234" w:rsidRDefault="00FE2F29" w:rsidP="00E02234">
      <w:pPr>
        <w:spacing w:after="240" w:line="276" w:lineRule="auto"/>
        <w:jc w:val="both"/>
        <w:rPr>
          <w:rFonts w:ascii="Arial" w:eastAsia="Times New Roman" w:hAnsi="Arial" w:cs="Arial"/>
          <w:lang w:eastAsia="es-ES_tradnl"/>
        </w:rPr>
      </w:pPr>
      <w:r w:rsidRPr="00E02234">
        <w:rPr>
          <w:rFonts w:ascii="Arial" w:eastAsia="Times New Roman" w:hAnsi="Arial" w:cs="Arial"/>
          <w:lang w:eastAsia="es-ES_tradnl"/>
        </w:rPr>
        <w:t xml:space="preserve">De conformidad con lo anteriormente expuesto y en concordancia con el Consejo Profesional Nacional de Ingeniería, la persona natural que presente propuesta en un proceso de contratación, en el que se oferte un objeto que implique actividades catalogadas como ejercicio de la ingeniería, </w:t>
      </w:r>
      <w:r w:rsidRPr="00E02234">
        <w:rPr>
          <w:rFonts w:ascii="Arial" w:eastAsia="Times New Roman" w:hAnsi="Arial" w:cs="Arial"/>
          <w:lang w:eastAsia="es-ES_tradnl"/>
        </w:rPr>
        <w:lastRenderedPageBreak/>
        <w:t>deberá acreditar título profesional en ingeniería. Ante la ausencia de dicho título, no es válido que la persona natural participe con el aval de un ingeniero de la rama relacionada con el objeto del proceso de contratación, pues de conformidad con lo regulado por el artículo 20 de la Ley 842 de 2003, dicho mecanismo aplica únicamente respecto de personas jurídicas.</w:t>
      </w:r>
    </w:p>
    <w:p w14:paraId="6177B483" w14:textId="02515C14"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 xml:space="preserve">En tal sentido, en los procesos de licitación de obra que desarrollen actividades catalogadas como ejercicio de la ingeniería, no podrá un profesional diferente </w:t>
      </w:r>
      <w:r w:rsidR="006971E9">
        <w:rPr>
          <w:rFonts w:ascii="Arial" w:eastAsia="Times New Roman" w:hAnsi="Arial" w:cs="Arial"/>
          <w:lang w:eastAsia="es-ES_tradnl"/>
        </w:rPr>
        <w:t>a esta área</w:t>
      </w:r>
      <w:r w:rsidRPr="00E02234">
        <w:rPr>
          <w:rFonts w:ascii="Arial" w:eastAsia="Times New Roman" w:hAnsi="Arial" w:cs="Arial"/>
          <w:lang w:eastAsia="es-ES_tradnl"/>
        </w:rPr>
        <w:t>–como persona natural– presentarse como proponente, ni avalar una propuesta de una persona jurídica, toda vez que en estos procesos se deberá acreditar título profesional en ingeniería. En todo caso, es necesario que se observe si la obra ofertada puede ser ejecutada por un profesional diferente a un ingeniero, por tratarse de una actividad no calificada como ejercicio de la ingeniería.</w:t>
      </w:r>
    </w:p>
    <w:p w14:paraId="4854FF20" w14:textId="7C2B69E4" w:rsidR="00FE2F29" w:rsidRPr="000E71D9" w:rsidRDefault="00FE2F29" w:rsidP="000E71D9">
      <w:pPr>
        <w:autoSpaceDE w:val="0"/>
        <w:autoSpaceDN w:val="0"/>
        <w:adjustRightInd w:val="0"/>
        <w:spacing w:after="24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«2. Se tiene que La colusión es una práctica en la que empresas que compiten en un mismo mercado, acuerdan aumentar o fijar precios, reducir la producción, repartirse el mercado o bloquear el ingreso de nuevos competidores, con el objetivo de incrementar los beneficios de las empresas participantes, se tiene así mismo que dicha </w:t>
      </w:r>
      <w:proofErr w:type="spellStart"/>
      <w:r w:rsidRPr="000E71D9">
        <w:rPr>
          <w:rFonts w:ascii="Arial" w:eastAsia="Times New Roman" w:hAnsi="Arial" w:cs="Arial"/>
          <w:iCs/>
          <w:color w:val="1A1A1A" w:themeColor="background1" w:themeShade="1A"/>
          <w:sz w:val="21"/>
          <w:szCs w:val="21"/>
          <w:lang w:eastAsia="es-ES_tradnl"/>
        </w:rPr>
        <w:t>practica</w:t>
      </w:r>
      <w:proofErr w:type="spellEnd"/>
      <w:r w:rsidRPr="000E71D9">
        <w:rPr>
          <w:rFonts w:ascii="Arial" w:eastAsia="Times New Roman" w:hAnsi="Arial" w:cs="Arial"/>
          <w:iCs/>
          <w:color w:val="1A1A1A" w:themeColor="background1" w:themeShade="1A"/>
          <w:sz w:val="21"/>
          <w:szCs w:val="21"/>
          <w:lang w:eastAsia="es-ES_tradnl"/>
        </w:rPr>
        <w:t xml:space="preserve"> puede presentarse en procesos licitatorios, al presentarse dicho fenómeno comprobado en un proceso de contratación bajo la modalidad de licitación </w:t>
      </w:r>
      <w:proofErr w:type="spellStart"/>
      <w:r w:rsidRPr="000E71D9">
        <w:rPr>
          <w:rFonts w:ascii="Arial" w:eastAsia="Times New Roman" w:hAnsi="Arial" w:cs="Arial"/>
          <w:iCs/>
          <w:color w:val="1A1A1A" w:themeColor="background1" w:themeShade="1A"/>
          <w:sz w:val="21"/>
          <w:szCs w:val="21"/>
          <w:lang w:eastAsia="es-ES_tradnl"/>
        </w:rPr>
        <w:t>publica</w:t>
      </w:r>
      <w:proofErr w:type="spellEnd"/>
      <w:r w:rsidRPr="000E71D9">
        <w:rPr>
          <w:rFonts w:ascii="Arial" w:eastAsia="Times New Roman" w:hAnsi="Arial" w:cs="Arial"/>
          <w:iCs/>
          <w:color w:val="1A1A1A" w:themeColor="background1" w:themeShade="1A"/>
          <w:sz w:val="21"/>
          <w:szCs w:val="21"/>
          <w:lang w:eastAsia="es-ES_tradnl"/>
        </w:rPr>
        <w:t xml:space="preserve"> bajo el amparo de pliegos tipo:</w:t>
      </w:r>
    </w:p>
    <w:p w14:paraId="7FCC39ED" w14:textId="77777777" w:rsidR="00FE2F29" w:rsidRPr="000E71D9" w:rsidRDefault="00FE2F29" w:rsidP="000E71D9">
      <w:pPr>
        <w:autoSpaceDE w:val="0"/>
        <w:autoSpaceDN w:val="0"/>
        <w:adjustRightInd w:val="0"/>
        <w:spacing w:after="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a. ¿Se debe rechazar la propuesta?</w:t>
      </w:r>
    </w:p>
    <w:p w14:paraId="58D727FE" w14:textId="77777777" w:rsidR="00FE2F29" w:rsidRPr="000E71D9" w:rsidRDefault="00FE2F29" w:rsidP="000E71D9">
      <w:pPr>
        <w:autoSpaceDE w:val="0"/>
        <w:autoSpaceDN w:val="0"/>
        <w:adjustRightInd w:val="0"/>
        <w:spacing w:after="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b. Cuáles son las causales dentro de un proceso de licitación </w:t>
      </w:r>
      <w:proofErr w:type="spellStart"/>
      <w:r w:rsidRPr="000E71D9">
        <w:rPr>
          <w:rFonts w:ascii="Arial" w:eastAsia="Times New Roman" w:hAnsi="Arial" w:cs="Arial"/>
          <w:iCs/>
          <w:color w:val="1A1A1A" w:themeColor="background1" w:themeShade="1A"/>
          <w:sz w:val="21"/>
          <w:szCs w:val="21"/>
          <w:lang w:eastAsia="es-ES_tradnl"/>
        </w:rPr>
        <w:t>publica</w:t>
      </w:r>
      <w:proofErr w:type="spellEnd"/>
      <w:r w:rsidRPr="000E71D9">
        <w:rPr>
          <w:rFonts w:ascii="Arial" w:eastAsia="Times New Roman" w:hAnsi="Arial" w:cs="Arial"/>
          <w:iCs/>
          <w:color w:val="1A1A1A" w:themeColor="background1" w:themeShade="1A"/>
          <w:sz w:val="21"/>
          <w:szCs w:val="21"/>
          <w:lang w:eastAsia="es-ES_tradnl"/>
        </w:rPr>
        <w:t xml:space="preserve"> que demuestren un hecho de colusión?,</w:t>
      </w:r>
    </w:p>
    <w:p w14:paraId="51260E85" w14:textId="782EAAEE" w:rsidR="00FE2F29" w:rsidRPr="000E71D9" w:rsidRDefault="00FE2F29" w:rsidP="000E71D9">
      <w:pPr>
        <w:spacing w:after="240" w:line="240" w:lineRule="auto"/>
        <w:ind w:left="567" w:right="900"/>
        <w:jc w:val="both"/>
        <w:rPr>
          <w:rFonts w:ascii="Arial" w:eastAsia="Times New Roman" w:hAnsi="Arial" w:cs="Arial"/>
          <w:iCs/>
          <w:color w:val="1A1A1A" w:themeColor="background1" w:themeShade="1A"/>
          <w:sz w:val="21"/>
          <w:szCs w:val="21"/>
          <w:lang w:eastAsia="es-ES_tradnl"/>
        </w:rPr>
      </w:pPr>
      <w:r w:rsidRPr="000E71D9">
        <w:rPr>
          <w:rFonts w:ascii="Arial" w:eastAsia="Times New Roman" w:hAnsi="Arial" w:cs="Arial"/>
          <w:iCs/>
          <w:color w:val="1A1A1A" w:themeColor="background1" w:themeShade="1A"/>
          <w:sz w:val="21"/>
          <w:szCs w:val="21"/>
          <w:lang w:eastAsia="es-ES_tradnl"/>
        </w:rPr>
        <w:t xml:space="preserve">c. ¿Cuál es </w:t>
      </w:r>
      <w:proofErr w:type="gramStart"/>
      <w:r w:rsidRPr="000E71D9">
        <w:rPr>
          <w:rFonts w:ascii="Arial" w:eastAsia="Times New Roman" w:hAnsi="Arial" w:cs="Arial"/>
          <w:iCs/>
          <w:color w:val="1A1A1A" w:themeColor="background1" w:themeShade="1A"/>
          <w:sz w:val="21"/>
          <w:szCs w:val="21"/>
          <w:lang w:eastAsia="es-ES_tradnl"/>
        </w:rPr>
        <w:t>el procedimiento a seguir</w:t>
      </w:r>
      <w:proofErr w:type="gramEnd"/>
      <w:r w:rsidRPr="000E71D9">
        <w:rPr>
          <w:rFonts w:ascii="Arial" w:eastAsia="Times New Roman" w:hAnsi="Arial" w:cs="Arial"/>
          <w:iCs/>
          <w:color w:val="1A1A1A" w:themeColor="background1" w:themeShade="1A"/>
          <w:sz w:val="21"/>
          <w:szCs w:val="21"/>
          <w:lang w:eastAsia="es-ES_tradnl"/>
        </w:rPr>
        <w:t xml:space="preserve"> frente a un hecho de colusión?» - Sic-</w:t>
      </w:r>
    </w:p>
    <w:p w14:paraId="3C07D697" w14:textId="77777777" w:rsidR="00FE2F29" w:rsidRPr="00E02234" w:rsidRDefault="00FE2F29" w:rsidP="00E02234">
      <w:pPr>
        <w:spacing w:after="240" w:line="276" w:lineRule="auto"/>
        <w:jc w:val="both"/>
        <w:rPr>
          <w:rFonts w:ascii="Arial" w:eastAsia="Times New Roman" w:hAnsi="Arial" w:cs="Arial"/>
          <w:shd w:val="clear" w:color="auto" w:fill="FFFFFF"/>
          <w:lang w:eastAsia="es-ES_tradnl"/>
        </w:rPr>
      </w:pPr>
      <w:r w:rsidRPr="00E02234">
        <w:rPr>
          <w:rFonts w:ascii="Arial" w:eastAsia="Times New Roman" w:hAnsi="Arial" w:cs="Arial"/>
          <w:lang w:eastAsia="es-ES_tradnl"/>
        </w:rPr>
        <w:t xml:space="preserve">Conforme a lo dispuesto en el artículo 1° de la Ley 155 de 1959, así como en el numeral 9º del artículo 47 del Decreto 2153 de 1992, está prohibida </w:t>
      </w:r>
      <w:r w:rsidRPr="00E02234">
        <w:rPr>
          <w:rFonts w:ascii="Arial" w:eastAsia="Times New Roman" w:hAnsi="Arial" w:cs="Arial"/>
          <w:bCs/>
          <w:iCs/>
          <w:shd w:val="clear" w:color="auto" w:fill="FFFFFF"/>
          <w:lang w:eastAsia="es-ES_tradnl"/>
        </w:rPr>
        <w:t xml:space="preserve">la colusión entendida como un acto </w:t>
      </w:r>
      <w:r w:rsidRPr="00E02234">
        <w:rPr>
          <w:rFonts w:ascii="Arial" w:eastAsia="Times New Roman" w:hAnsi="Arial" w:cs="Arial"/>
          <w:lang w:eastAsia="es-ES_tradnl"/>
        </w:rPr>
        <w:t>contrario a la libre competencia</w:t>
      </w:r>
      <w:r w:rsidRPr="00E02234">
        <w:rPr>
          <w:rFonts w:ascii="Arial" w:eastAsia="Times New Roman" w:hAnsi="Arial" w:cs="Arial"/>
          <w:shd w:val="clear" w:color="auto" w:fill="FFFFFF"/>
          <w:lang w:eastAsia="es-ES_tradnl"/>
        </w:rPr>
        <w:t> en las licitaciones o concursos, así como todo acto que tenga como efecto la distribución de adjudicaciones de contratos, distribución de concursos o fijación de términos de las propuestas.</w:t>
      </w:r>
    </w:p>
    <w:p w14:paraId="13C02345" w14:textId="77777777" w:rsidR="00FE2F29" w:rsidRPr="00E02234" w:rsidRDefault="00FE2F29" w:rsidP="00E02234">
      <w:pPr>
        <w:spacing w:after="240" w:line="276" w:lineRule="auto"/>
        <w:ind w:firstLine="851"/>
        <w:jc w:val="both"/>
        <w:rPr>
          <w:rFonts w:ascii="Arial" w:eastAsia="Times New Roman" w:hAnsi="Arial" w:cs="Arial"/>
          <w:shd w:val="clear" w:color="auto" w:fill="FAF9F8"/>
          <w:lang w:eastAsia="es-ES_tradnl"/>
        </w:rPr>
      </w:pPr>
      <w:r w:rsidRPr="00E02234">
        <w:rPr>
          <w:rFonts w:ascii="Arial" w:eastAsia="Times New Roman" w:hAnsi="Arial" w:cs="Arial"/>
          <w:lang w:eastAsia="es-ES_tradnl"/>
        </w:rPr>
        <w:t>De este modo, el Consejo de Estado, Sala de lo Contencioso Administrativo, determinó ciertos supuestos que permiten establecer la configuración de la colusión en Colombia, de tal suerte que será responsabilidad de las entidades estatales identificar en cada caso en particular la existencia de dichos supuestos en sus procesos de compra pública.</w:t>
      </w:r>
    </w:p>
    <w:p w14:paraId="4D15BB53" w14:textId="77777777"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t>Para ello, las entidades disponen de instrumentos como la guía de competencia en las compras públicas expedida por este Agencia que contiene los factores que pueden facilitar la aparición de prácticas anticompetitivas, así como la Guía práctica para combatir la colusión en las licitaciones como respuesta a los actos de corrupción que se presenta en el país, expedida por la Superintendencia de Industria y Comercio, en donde podrá encontrar el paso a paso de la identificación de conductas colusorias y su tratamiento.</w:t>
      </w:r>
    </w:p>
    <w:p w14:paraId="55C02DE7" w14:textId="66F6F298" w:rsidR="00FE2F29" w:rsidRPr="00E02234" w:rsidRDefault="00FE2F29" w:rsidP="00E02234">
      <w:pPr>
        <w:spacing w:after="240" w:line="276" w:lineRule="auto"/>
        <w:ind w:firstLine="851"/>
        <w:jc w:val="both"/>
        <w:rPr>
          <w:rFonts w:ascii="Arial" w:eastAsia="Times New Roman" w:hAnsi="Arial" w:cs="Arial"/>
          <w:lang w:eastAsia="es-ES_tradnl"/>
        </w:rPr>
      </w:pPr>
      <w:r w:rsidRPr="00E02234">
        <w:rPr>
          <w:rFonts w:ascii="Arial" w:eastAsia="Times New Roman" w:hAnsi="Arial" w:cs="Arial"/>
          <w:lang w:eastAsia="es-ES_tradnl"/>
        </w:rPr>
        <w:lastRenderedPageBreak/>
        <w:t xml:space="preserve">En todo caso, no puede perderse de vista que en Colombia las prácticas anticompetitivas en compras públicas componen una infracción administrativa y un delito penal, por lo cual la </w:t>
      </w:r>
      <w:r w:rsidR="00CD548C">
        <w:rPr>
          <w:rFonts w:ascii="Arial" w:eastAsia="Times New Roman" w:hAnsi="Arial" w:cs="Arial"/>
          <w:lang w:eastAsia="es-ES_tradnl"/>
        </w:rPr>
        <w:t>Entidad Estatal</w:t>
      </w:r>
      <w:r w:rsidRPr="00E02234">
        <w:rPr>
          <w:rFonts w:ascii="Arial" w:eastAsia="Times New Roman" w:hAnsi="Arial" w:cs="Arial"/>
          <w:lang w:eastAsia="es-ES_tradnl"/>
        </w:rPr>
        <w:t xml:space="preserve"> debe denunciar actividades irregulares a las autoridades competentes, e iniciar una estrategia de generación de competencia en el mercado que podrá encontrar en el numeral </w:t>
      </w:r>
      <w:proofErr w:type="spellStart"/>
      <w:r w:rsidRPr="00E02234">
        <w:rPr>
          <w:rFonts w:ascii="Arial" w:eastAsia="Times New Roman" w:hAnsi="Arial" w:cs="Arial"/>
          <w:lang w:eastAsia="es-ES_tradnl"/>
        </w:rPr>
        <w:t>iv</w:t>
      </w:r>
      <w:proofErr w:type="spellEnd"/>
      <w:r w:rsidRPr="00E02234">
        <w:rPr>
          <w:rFonts w:ascii="Arial" w:eastAsia="Times New Roman" w:hAnsi="Arial" w:cs="Arial"/>
          <w:lang w:eastAsia="es-ES_tradnl"/>
        </w:rPr>
        <w:t>) Estrategias para incrementar la competencia en las compras públicas, de la guía de competencia en las compras públicas.</w:t>
      </w:r>
    </w:p>
    <w:p w14:paraId="48ADCD16" w14:textId="2EC5D009" w:rsidR="00FE2F29" w:rsidRPr="00E02234" w:rsidRDefault="00FE2F29" w:rsidP="00E02234">
      <w:pPr>
        <w:spacing w:after="240" w:line="276" w:lineRule="auto"/>
        <w:ind w:left="567" w:right="851"/>
        <w:jc w:val="both"/>
        <w:rPr>
          <w:rFonts w:ascii="Arial" w:eastAsia="Times New Roman" w:hAnsi="Arial" w:cs="Arial"/>
          <w:iCs/>
          <w:color w:val="1A1A1A" w:themeColor="background1" w:themeShade="1A"/>
          <w:lang w:eastAsia="es-ES_tradnl"/>
        </w:rPr>
      </w:pPr>
      <w:r w:rsidRPr="00E02234">
        <w:rPr>
          <w:rFonts w:ascii="Arial" w:eastAsia="Times New Roman" w:hAnsi="Arial" w:cs="Arial"/>
          <w:iCs/>
          <w:color w:val="1A1A1A" w:themeColor="background1" w:themeShade="1A"/>
          <w:lang w:eastAsia="es-ES_tradnl"/>
        </w:rPr>
        <w:t xml:space="preserve">«3. </w:t>
      </w:r>
      <w:proofErr w:type="gramStart"/>
      <w:r w:rsidRPr="00E02234">
        <w:rPr>
          <w:rFonts w:ascii="Arial" w:eastAsia="Times New Roman" w:hAnsi="Arial" w:cs="Arial"/>
          <w:iCs/>
          <w:color w:val="1A1A1A" w:themeColor="background1" w:themeShade="1A"/>
          <w:lang w:eastAsia="es-ES_tradnl"/>
        </w:rPr>
        <w:t xml:space="preserve">En un proceso de licitación </w:t>
      </w:r>
      <w:proofErr w:type="spellStart"/>
      <w:r w:rsidRPr="00E02234">
        <w:rPr>
          <w:rFonts w:ascii="Arial" w:eastAsia="Times New Roman" w:hAnsi="Arial" w:cs="Arial"/>
          <w:iCs/>
          <w:color w:val="1A1A1A" w:themeColor="background1" w:themeShade="1A"/>
          <w:lang w:eastAsia="es-ES_tradnl"/>
        </w:rPr>
        <w:t>publica</w:t>
      </w:r>
      <w:proofErr w:type="spellEnd"/>
      <w:r w:rsidRPr="00E02234">
        <w:rPr>
          <w:rFonts w:ascii="Arial" w:eastAsia="Times New Roman" w:hAnsi="Arial" w:cs="Arial"/>
          <w:iCs/>
          <w:color w:val="1A1A1A" w:themeColor="background1" w:themeShade="1A"/>
          <w:lang w:eastAsia="es-ES_tradnl"/>
        </w:rPr>
        <w:t xml:space="preserve"> bajo la modalidad de pliego tipo, un ciudadano interesado, que no hace parte de los proponentes, presenta observaciones sobre el informe preliminar de evaluación, estas observaciones deben ser tenidas en cuenta y atenderlas?</w:t>
      </w:r>
      <w:proofErr w:type="gramEnd"/>
      <w:r w:rsidRPr="00E02234">
        <w:rPr>
          <w:rFonts w:ascii="Arial" w:eastAsia="Times New Roman" w:hAnsi="Arial" w:cs="Arial"/>
          <w:iCs/>
          <w:color w:val="1A1A1A" w:themeColor="background1" w:themeShade="1A"/>
          <w:lang w:eastAsia="es-ES_tradnl"/>
        </w:rPr>
        <w:t xml:space="preserve"> O simplemente se rechazan por no estar legitimados quien no sea proponente para presentar observaciones frente al informa de evaluación preliminar» - Sic-</w:t>
      </w:r>
    </w:p>
    <w:p w14:paraId="4EA19A7C" w14:textId="77777777" w:rsidR="00FE2F29" w:rsidRPr="00E02234" w:rsidRDefault="00FE2F29" w:rsidP="00E02234">
      <w:pPr>
        <w:tabs>
          <w:tab w:val="left" w:pos="426"/>
        </w:tabs>
        <w:spacing w:after="240" w:line="276" w:lineRule="auto"/>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 xml:space="preserve">La participación ciudadana en las decisiones del Estado tiene fundamento en la Constitución Política y en el mismo sentido las reglas sobre la participación comunitaria en materia de contratación estatal fueron fijadas por el artículo 66 de la Ley 80 de 1993. </w:t>
      </w:r>
    </w:p>
    <w:p w14:paraId="28B06A8E" w14:textId="77777777" w:rsidR="00FE2F29" w:rsidRPr="00E02234" w:rsidRDefault="00FE2F29" w:rsidP="00E02234">
      <w:pPr>
        <w:shd w:val="clear" w:color="auto" w:fill="FFFFFF"/>
        <w:spacing w:before="120" w:after="240" w:line="276" w:lineRule="auto"/>
        <w:ind w:firstLine="709"/>
        <w:jc w:val="both"/>
        <w:rPr>
          <w:rFonts w:ascii="Arial" w:eastAsia="Times New Roman" w:hAnsi="Arial" w:cs="Arial"/>
          <w:color w:val="000000" w:themeColor="text1"/>
          <w:lang w:val="es-ES" w:eastAsia="es-ES_tradnl"/>
        </w:rPr>
      </w:pPr>
      <w:r w:rsidRPr="00E02234">
        <w:rPr>
          <w:rFonts w:ascii="Arial" w:eastAsia="Times New Roman" w:hAnsi="Arial" w:cs="Arial"/>
          <w:color w:val="000000" w:themeColor="text1"/>
          <w:lang w:val="es-ES" w:eastAsia="es-ES_tradnl"/>
        </w:rPr>
        <w:t>Con base en la referida normativa, se puede afirmar que, en materia de contratación pública, el control social se ejerce por la ciudadanía de manera individual o colectiva, a través de las diferentes formas de organización comunitaria, entre las que se cuentan, las veedurías ciudadanas. Así mismo, el control social se puede ejercer respecto de todo contrato que celebren las entidades del Estado, las entidades privadas que prestan servicios públicos domiciliarios y las empresas que realizan proyectos con recursos públicos, es decir, el control social cobija a la actividad contractual tanto de las entidades estatales como de aquellas que están sometidas a un régimen jurídico especial. Finalmente, el ejercicio del control social se puede realizar en cualquier etapa del proceso de contratación.</w:t>
      </w:r>
    </w:p>
    <w:p w14:paraId="12F48575"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Times New Roman" w:hAnsi="Arial" w:cs="Arial"/>
          <w:color w:val="000000" w:themeColor="text1"/>
          <w:lang w:val="es-ES" w:eastAsia="es-ES_tradnl"/>
        </w:rPr>
        <w:t xml:space="preserve">En línea con lo anterior, se precisa que el ordenamiento jurídico no contempló limitación alguna frente a los sujetos que pueden presentar observaciones en las diferentes etapas de los procesos de selección, como quiera que ello </w:t>
      </w:r>
      <w:proofErr w:type="gramStart"/>
      <w:r w:rsidRPr="00E02234">
        <w:rPr>
          <w:rFonts w:ascii="Arial" w:eastAsia="Times New Roman" w:hAnsi="Arial" w:cs="Arial"/>
          <w:color w:val="000000" w:themeColor="text1"/>
          <w:lang w:val="es-ES" w:eastAsia="es-ES_tradnl"/>
        </w:rPr>
        <w:t>vulneraría</w:t>
      </w:r>
      <w:proofErr w:type="gramEnd"/>
      <w:r w:rsidRPr="00E02234">
        <w:rPr>
          <w:rFonts w:ascii="Arial" w:eastAsia="Times New Roman" w:hAnsi="Arial" w:cs="Arial"/>
          <w:color w:val="000000" w:themeColor="text1"/>
          <w:lang w:val="es-ES" w:eastAsia="es-ES_tradnl"/>
        </w:rPr>
        <w:t xml:space="preserve"> los principios de transparencia y publicidad de la actividad contractual, establecidos como mecanismos para</w:t>
      </w:r>
      <w:r w:rsidRPr="00E02234">
        <w:rPr>
          <w:rFonts w:ascii="Arial" w:eastAsia="Calibri" w:hAnsi="Arial" w:cs="Arial"/>
          <w:color w:val="000000"/>
          <w:lang w:val="es-MX"/>
        </w:rPr>
        <w:t xml:space="preserve"> controvertir algunas de las decisiones adoptadas por las entidades estatales en el marco de sus actuaciones públicas. </w:t>
      </w:r>
    </w:p>
    <w:p w14:paraId="49B09200" w14:textId="77777777" w:rsidR="00FE2F29" w:rsidRPr="00E02234" w:rsidRDefault="00FE2F29" w:rsidP="00E02234">
      <w:pPr>
        <w:spacing w:after="240" w:line="276" w:lineRule="auto"/>
        <w:ind w:firstLine="709"/>
        <w:jc w:val="both"/>
        <w:rPr>
          <w:rFonts w:ascii="Arial" w:eastAsia="Batang" w:hAnsi="Arial" w:cs="Arial"/>
          <w:color w:val="000000"/>
          <w:lang w:val="es-MX"/>
        </w:rPr>
      </w:pPr>
      <w:r w:rsidRPr="00E02234">
        <w:rPr>
          <w:rFonts w:ascii="Arial" w:eastAsia="Batang" w:hAnsi="Arial" w:cs="Arial"/>
          <w:color w:val="000000"/>
          <w:lang w:val="es-MX"/>
        </w:rPr>
        <w:t>De este modo el propósito de suministrar al público en general la información que surge en virtud de los procesos de selección justamente implica a su vez que se le permita formular observaciones a su contenido por parte de tanto de los interesados como de la ciudadanía en general y en tal sentido el informe de evaluación puede ser controvertido por parte del público en general y las entidades estatales están en la obligación de emitir las respuestas respectivas en los términos establecidos en la parte considerativa del presente concepto.</w:t>
      </w:r>
    </w:p>
    <w:p w14:paraId="6B674A68" w14:textId="6D8BA0DC" w:rsidR="00A976A0" w:rsidRPr="006712E5" w:rsidRDefault="00FE2F29" w:rsidP="000E71D9">
      <w:pPr>
        <w:spacing w:after="240"/>
        <w:ind w:firstLine="708"/>
        <w:jc w:val="both"/>
        <w:rPr>
          <w:rFonts w:ascii="Arial" w:eastAsia="Times New Roman" w:hAnsi="Arial" w:cs="Arial"/>
        </w:rPr>
      </w:pPr>
      <w:r w:rsidRPr="00E02234">
        <w:rPr>
          <w:rFonts w:ascii="Arial" w:eastAsia="Calibri" w:hAnsi="Arial" w:cs="Arial"/>
          <w:bCs/>
          <w:color w:val="000000" w:themeColor="text1"/>
        </w:rPr>
        <w:lastRenderedPageBreak/>
        <w:t>Este concepto tiene el alcance previsto en el artículo 28 del Código de Procedimiento Administrativo y de lo Contencioso Administrativo</w:t>
      </w:r>
      <w:r w:rsidR="00A976A0">
        <w:rPr>
          <w:rFonts w:ascii="Arial" w:eastAsia="Calibri" w:hAnsi="Arial" w:cs="Arial"/>
          <w:bCs/>
          <w:color w:val="000000" w:themeColor="text1"/>
        </w:rPr>
        <w:t xml:space="preserve"> </w:t>
      </w:r>
      <w:r w:rsidR="00A976A0">
        <w:rPr>
          <w:rFonts w:ascii="Arial" w:hAnsi="Arial" w:cs="Arial"/>
        </w:rPr>
        <w:t>y l</w:t>
      </w:r>
      <w:r w:rsidR="00A976A0" w:rsidRPr="00301C53">
        <w:rPr>
          <w:rFonts w:ascii="Arial" w:hAnsi="Arial" w:cs="Arial"/>
        </w:rPr>
        <w:t xml:space="preserve">as expresiones aquí utilizadas con mayúscula inicial deben ser entendidas con el significado que </w:t>
      </w:r>
      <w:r w:rsidR="00A976A0">
        <w:rPr>
          <w:rFonts w:ascii="Arial" w:hAnsi="Arial" w:cs="Arial"/>
        </w:rPr>
        <w:t xml:space="preserve">les otorga el artículo </w:t>
      </w:r>
      <w:r w:rsidR="00A976A0" w:rsidRPr="00301C53">
        <w:rPr>
          <w:rFonts w:ascii="Arial" w:hAnsi="Arial" w:cs="Arial"/>
        </w:rPr>
        <w:t>2.2.1.1.1.3.1.</w:t>
      </w:r>
      <w:r w:rsidR="00A976A0">
        <w:rPr>
          <w:rFonts w:ascii="Arial" w:hAnsi="Arial" w:cs="Arial"/>
        </w:rPr>
        <w:t xml:space="preserve"> del Decreto 1082 de 2015</w:t>
      </w:r>
      <w:r w:rsidR="00A976A0" w:rsidRPr="006712E5">
        <w:rPr>
          <w:rFonts w:ascii="Arial" w:hAnsi="Arial" w:cs="Arial"/>
        </w:rPr>
        <w:t>.</w:t>
      </w:r>
    </w:p>
    <w:p w14:paraId="089E1217" w14:textId="77777777" w:rsidR="00FE2F29" w:rsidRPr="00E02234" w:rsidRDefault="00FE2F29" w:rsidP="00E02234">
      <w:pPr>
        <w:spacing w:after="0" w:line="276" w:lineRule="auto"/>
        <w:jc w:val="both"/>
        <w:rPr>
          <w:rFonts w:ascii="Arial" w:eastAsia="Calibri" w:hAnsi="Arial" w:cs="Arial"/>
          <w:bCs/>
          <w:color w:val="000000" w:themeColor="text1"/>
        </w:rPr>
      </w:pPr>
      <w:r w:rsidRPr="00E02234">
        <w:rPr>
          <w:rFonts w:ascii="Arial" w:eastAsia="Calibri" w:hAnsi="Arial" w:cs="Arial"/>
          <w:bCs/>
          <w:color w:val="000000" w:themeColor="text1"/>
        </w:rPr>
        <w:t>Atentamente,</w:t>
      </w:r>
    </w:p>
    <w:bookmarkEnd w:id="0"/>
    <w:p w14:paraId="3328C26A" w14:textId="3B107C41" w:rsidR="00FE2F29" w:rsidRPr="00E02234" w:rsidRDefault="005860C5" w:rsidP="00E02234">
      <w:pPr>
        <w:spacing w:after="0" w:line="276" w:lineRule="auto"/>
        <w:jc w:val="center"/>
        <w:rPr>
          <w:rFonts w:ascii="Arial" w:eastAsia="Calibri" w:hAnsi="Arial" w:cs="Arial"/>
          <w:b/>
          <w:bCs/>
          <w:lang w:val="es-MX" w:eastAsia="es-ES_tradnl"/>
        </w:rPr>
      </w:pPr>
      <w:r>
        <w:rPr>
          <w:noProof/>
          <w:lang w:val="en-US"/>
        </w:rPr>
        <w:drawing>
          <wp:inline distT="0" distB="0" distL="0" distR="0" wp14:anchorId="027B9838" wp14:editId="5A8B3E36">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p w14:paraId="3DB72FFA" w14:textId="77777777" w:rsidR="00FE2F29" w:rsidRPr="00E02234" w:rsidRDefault="00FE2F29" w:rsidP="00E02234">
      <w:pPr>
        <w:spacing w:after="0" w:line="276" w:lineRule="auto"/>
        <w:jc w:val="both"/>
        <w:rPr>
          <w:rFonts w:ascii="Arial" w:eastAsia="Calibri" w:hAnsi="Arial" w:cs="Arial"/>
          <w:b/>
          <w:bCs/>
          <w:lang w:val="es-MX" w:eastAsia="es-ES_tradnl"/>
        </w:rPr>
      </w:pPr>
    </w:p>
    <w:tbl>
      <w:tblPr>
        <w:tblStyle w:val="Tablaconcuadrcula111"/>
        <w:tblpPr w:leftFromText="141" w:rightFromText="141" w:vertAnchor="text" w:horzAnchor="margin" w:tblpY="-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4952"/>
      </w:tblGrid>
      <w:tr w:rsidR="00FE2F29" w:rsidRPr="00A976A0" w14:paraId="55FDF9FE" w14:textId="77777777" w:rsidTr="000E71D9">
        <w:trPr>
          <w:trHeight w:val="294"/>
        </w:trPr>
        <w:tc>
          <w:tcPr>
            <w:tcW w:w="988" w:type="dxa"/>
            <w:vAlign w:val="center"/>
          </w:tcPr>
          <w:p w14:paraId="37B870FF"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Elaboró:</w:t>
            </w:r>
          </w:p>
        </w:tc>
        <w:tc>
          <w:tcPr>
            <w:tcW w:w="4952" w:type="dxa"/>
            <w:tcBorders>
              <w:bottom w:val="dotted" w:sz="4" w:space="0" w:color="7F7F7F"/>
            </w:tcBorders>
            <w:vAlign w:val="center"/>
          </w:tcPr>
          <w:p w14:paraId="39D3C50C"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 xml:space="preserve">Diana Fabiola Herrera Hernández </w:t>
            </w:r>
          </w:p>
          <w:p w14:paraId="0C3B321B"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Contratista de la Subdirección de Gestión Contractual</w:t>
            </w:r>
          </w:p>
        </w:tc>
      </w:tr>
      <w:tr w:rsidR="00FE2F29" w:rsidRPr="00A976A0" w14:paraId="6937BD94" w14:textId="77777777" w:rsidTr="000E71D9">
        <w:trPr>
          <w:trHeight w:val="294"/>
        </w:trPr>
        <w:tc>
          <w:tcPr>
            <w:tcW w:w="988" w:type="dxa"/>
            <w:vAlign w:val="center"/>
          </w:tcPr>
          <w:p w14:paraId="0B6C6A5B"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Revisó:</w:t>
            </w:r>
          </w:p>
        </w:tc>
        <w:tc>
          <w:tcPr>
            <w:tcW w:w="4952" w:type="dxa"/>
            <w:tcBorders>
              <w:bottom w:val="dotted" w:sz="4" w:space="0" w:color="7F7F7F"/>
            </w:tcBorders>
            <w:vAlign w:val="center"/>
          </w:tcPr>
          <w:p w14:paraId="5938D9CF"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Any Alejandra Tovar Castillo</w:t>
            </w:r>
          </w:p>
          <w:p w14:paraId="7508AF3D"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Contratista de la Subdirección de Gestión Contractual</w:t>
            </w:r>
          </w:p>
        </w:tc>
      </w:tr>
      <w:tr w:rsidR="00FE2F29" w:rsidRPr="00A976A0" w14:paraId="7075E0BA" w14:textId="77777777" w:rsidTr="000E71D9">
        <w:trPr>
          <w:trHeight w:val="307"/>
        </w:trPr>
        <w:tc>
          <w:tcPr>
            <w:tcW w:w="988" w:type="dxa"/>
            <w:vAlign w:val="center"/>
          </w:tcPr>
          <w:p w14:paraId="1A70D1E0"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Aprobó:</w:t>
            </w:r>
          </w:p>
        </w:tc>
        <w:tc>
          <w:tcPr>
            <w:tcW w:w="4952" w:type="dxa"/>
            <w:tcBorders>
              <w:top w:val="dotted" w:sz="4" w:space="0" w:color="7F7F7F"/>
              <w:bottom w:val="dotted" w:sz="4" w:space="0" w:color="7F7F7F"/>
            </w:tcBorders>
            <w:vAlign w:val="center"/>
          </w:tcPr>
          <w:p w14:paraId="7530428F"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Nohelia del Carmen Zawady Palacio</w:t>
            </w:r>
          </w:p>
          <w:p w14:paraId="57764D07" w14:textId="77777777" w:rsidR="00FE2F29" w:rsidRPr="000E71D9" w:rsidRDefault="00FE2F29" w:rsidP="00E02234">
            <w:pPr>
              <w:spacing w:line="276" w:lineRule="auto"/>
              <w:jc w:val="both"/>
              <w:rPr>
                <w:rFonts w:ascii="Arial" w:hAnsi="Arial" w:cs="Arial"/>
                <w:sz w:val="18"/>
                <w:szCs w:val="18"/>
                <w:lang w:val="es-MX"/>
              </w:rPr>
            </w:pPr>
            <w:r w:rsidRPr="000E71D9">
              <w:rPr>
                <w:rFonts w:ascii="Arial" w:hAnsi="Arial" w:cs="Arial"/>
                <w:sz w:val="18"/>
                <w:szCs w:val="18"/>
                <w:lang w:val="es-MX"/>
              </w:rPr>
              <w:t xml:space="preserve">Subdirectora de Gestión Contractual ANCP – CCE </w:t>
            </w:r>
          </w:p>
        </w:tc>
      </w:tr>
    </w:tbl>
    <w:p w14:paraId="753B41F1" w14:textId="77777777" w:rsidR="00FE2F29" w:rsidRPr="00E02234" w:rsidRDefault="00FE2F29" w:rsidP="00E02234">
      <w:pPr>
        <w:spacing w:after="0" w:line="276" w:lineRule="auto"/>
        <w:jc w:val="both"/>
        <w:rPr>
          <w:rFonts w:ascii="Arial" w:eastAsia="Calibri" w:hAnsi="Arial" w:cs="Arial"/>
          <w:b/>
          <w:bCs/>
          <w:lang w:val="es-MX" w:eastAsia="es-ES_tradnl"/>
        </w:rPr>
      </w:pPr>
    </w:p>
    <w:p w14:paraId="7D5DBCD9" w14:textId="77777777" w:rsidR="00FE2F29" w:rsidRPr="00E02234" w:rsidRDefault="00FE2F29" w:rsidP="00E02234">
      <w:pPr>
        <w:spacing w:after="0" w:line="276" w:lineRule="auto"/>
        <w:rPr>
          <w:rFonts w:ascii="Arial" w:eastAsia="Times New Roman" w:hAnsi="Arial" w:cs="Arial"/>
          <w:b/>
          <w:color w:val="404040" w:themeColor="text1" w:themeTint="BF"/>
          <w:lang w:val="es-ES" w:eastAsia="es-ES_tradnl"/>
        </w:rPr>
      </w:pPr>
    </w:p>
    <w:p w14:paraId="1022CC3E" w14:textId="77777777" w:rsidR="00FE2F29" w:rsidRPr="00E02234" w:rsidRDefault="00FE2F29" w:rsidP="00E02234">
      <w:pPr>
        <w:spacing w:before="120" w:after="120" w:line="276" w:lineRule="auto"/>
        <w:jc w:val="center"/>
        <w:rPr>
          <w:rFonts w:ascii="Arial" w:eastAsia="Calibri" w:hAnsi="Arial" w:cs="Arial"/>
          <w:lang w:val="es-ES" w:eastAsia="es-ES_tradnl"/>
        </w:rPr>
      </w:pPr>
    </w:p>
    <w:p w14:paraId="2202204C" w14:textId="77777777" w:rsidR="00FE2F29" w:rsidRPr="00E02234" w:rsidRDefault="00FE2F29" w:rsidP="00E02234">
      <w:pPr>
        <w:spacing w:before="120" w:after="120" w:line="276" w:lineRule="auto"/>
        <w:jc w:val="center"/>
        <w:rPr>
          <w:rFonts w:ascii="Arial" w:eastAsia="Calibri" w:hAnsi="Arial" w:cs="Arial"/>
          <w:lang w:eastAsia="es-ES_tradnl"/>
        </w:rPr>
      </w:pPr>
    </w:p>
    <w:p w14:paraId="469DB8CF" w14:textId="77777777" w:rsidR="00FE2F29" w:rsidRPr="00E02234" w:rsidRDefault="00FE2F29" w:rsidP="00E02234">
      <w:pPr>
        <w:spacing w:before="120" w:after="120" w:line="276" w:lineRule="auto"/>
        <w:jc w:val="center"/>
        <w:rPr>
          <w:rFonts w:ascii="Arial" w:eastAsia="Calibri" w:hAnsi="Arial" w:cs="Arial"/>
          <w:lang w:eastAsia="es-ES_tradnl"/>
        </w:rPr>
      </w:pPr>
    </w:p>
    <w:p w14:paraId="2BC7B5B1" w14:textId="77777777" w:rsidR="00FE2F29" w:rsidRPr="00E02234" w:rsidRDefault="00FE2F29" w:rsidP="00E02234">
      <w:pPr>
        <w:spacing w:before="120" w:after="120" w:line="276" w:lineRule="auto"/>
        <w:jc w:val="center"/>
        <w:rPr>
          <w:rFonts w:ascii="Arial" w:eastAsia="Calibri" w:hAnsi="Arial" w:cs="Arial"/>
          <w:lang w:eastAsia="es-ES_tradnl"/>
        </w:rPr>
      </w:pPr>
    </w:p>
    <w:p w14:paraId="27920EA2" w14:textId="77777777" w:rsidR="00FE2F29" w:rsidRPr="00E02234" w:rsidRDefault="00FE2F29" w:rsidP="00E02234">
      <w:pPr>
        <w:spacing w:before="120" w:after="120" w:line="276" w:lineRule="auto"/>
        <w:jc w:val="center"/>
        <w:rPr>
          <w:rFonts w:ascii="Arial" w:eastAsia="Times New Roman" w:hAnsi="Arial" w:cs="Arial"/>
          <w:lang w:eastAsia="es-ES_tradnl"/>
        </w:rPr>
      </w:pPr>
    </w:p>
    <w:p w14:paraId="0F293BF4" w14:textId="0F6FB6C1" w:rsidR="00127233" w:rsidRPr="00E02234" w:rsidRDefault="00127233" w:rsidP="00E02234">
      <w:pPr>
        <w:spacing w:line="276" w:lineRule="auto"/>
        <w:rPr>
          <w:rFonts w:ascii="Arial" w:hAnsi="Arial" w:cs="Arial"/>
        </w:rPr>
      </w:pPr>
    </w:p>
    <w:sectPr w:rsidR="00127233" w:rsidRPr="00E02234"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3B647" w14:textId="77777777" w:rsidR="006C0E45" w:rsidRDefault="006C0E45" w:rsidP="004A1847">
      <w:pPr>
        <w:spacing w:after="0" w:line="240" w:lineRule="auto"/>
      </w:pPr>
      <w:r>
        <w:separator/>
      </w:r>
    </w:p>
  </w:endnote>
  <w:endnote w:type="continuationSeparator" w:id="0">
    <w:p w14:paraId="1DD573FF" w14:textId="77777777" w:rsidR="006C0E45" w:rsidRDefault="006C0E45" w:rsidP="004A1847">
      <w:pPr>
        <w:spacing w:after="0" w:line="240" w:lineRule="auto"/>
      </w:pPr>
      <w:r>
        <w:continuationSeparator/>
      </w:r>
    </w:p>
  </w:endnote>
  <w:endnote w:type="continuationNotice" w:id="1">
    <w:p w14:paraId="5F370440" w14:textId="77777777" w:rsidR="006C0E45" w:rsidRDefault="006C0E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lang w:val="en-US"/>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690CB0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00BF4513">
            <w:rPr>
              <w:rFonts w:ascii="Geomanist Light" w:hAnsi="Geomanist Light"/>
              <w:b/>
              <w:bCs/>
              <w:noProof/>
              <w:sz w:val="18"/>
              <w:szCs w:val="18"/>
            </w:rPr>
            <w:t>4</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00BF4513">
            <w:rPr>
              <w:rFonts w:ascii="Geomanist Light" w:hAnsi="Geomanist Light"/>
              <w:b/>
              <w:bCs/>
              <w:noProof/>
              <w:sz w:val="18"/>
              <w:szCs w:val="18"/>
            </w:rPr>
            <w:t>39</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4D80E" w14:textId="77777777" w:rsidR="006C0E45" w:rsidRDefault="006C0E45" w:rsidP="004A1847">
      <w:pPr>
        <w:spacing w:after="0" w:line="240" w:lineRule="auto"/>
      </w:pPr>
      <w:r>
        <w:separator/>
      </w:r>
    </w:p>
  </w:footnote>
  <w:footnote w:type="continuationSeparator" w:id="0">
    <w:p w14:paraId="0F5ED49D" w14:textId="77777777" w:rsidR="006C0E45" w:rsidRDefault="006C0E45" w:rsidP="004A1847">
      <w:pPr>
        <w:spacing w:after="0" w:line="240" w:lineRule="auto"/>
      </w:pPr>
      <w:r>
        <w:continuationSeparator/>
      </w:r>
    </w:p>
  </w:footnote>
  <w:footnote w:type="continuationNotice" w:id="1">
    <w:p w14:paraId="178A9D04" w14:textId="77777777" w:rsidR="006C0E45" w:rsidRDefault="006C0E45">
      <w:pPr>
        <w:spacing w:after="0" w:line="240" w:lineRule="auto"/>
      </w:pPr>
    </w:p>
  </w:footnote>
  <w:footnote w:id="2">
    <w:p w14:paraId="17F69F39" w14:textId="77777777" w:rsidR="00FE2F29" w:rsidRPr="00D41B43" w:rsidRDefault="00FE2F29" w:rsidP="00FE2F29">
      <w:pPr>
        <w:pStyle w:val="Textonotapie"/>
        <w:ind w:firstLine="708"/>
        <w:contextualSpacing/>
        <w:jc w:val="both"/>
        <w:rPr>
          <w:rFonts w:ascii="Arial" w:hAnsi="Arial" w:cs="Arial"/>
          <w:sz w:val="18"/>
          <w:szCs w:val="18"/>
        </w:rPr>
      </w:pPr>
      <w:r w:rsidRPr="00D41B43">
        <w:rPr>
          <w:rStyle w:val="Refdenotaalpie"/>
          <w:rFonts w:ascii="Arial" w:hAnsi="Arial" w:cs="Arial"/>
          <w:sz w:val="18"/>
          <w:szCs w:val="18"/>
        </w:rPr>
        <w:footnoteRef/>
      </w:r>
      <w:r w:rsidRPr="00D41B43">
        <w:rPr>
          <w:rFonts w:ascii="Arial" w:hAnsi="Arial" w:cs="Arial"/>
          <w:sz w:val="18"/>
          <w:szCs w:val="18"/>
        </w:rPr>
        <w:t xml:space="preserve"> Los conceptos indicados pueden consultarse en el siguiente enlace: </w:t>
      </w:r>
      <w:hyperlink r:id="rId1" w:history="1">
        <w:r w:rsidRPr="00D41B43">
          <w:rPr>
            <w:rStyle w:val="Hipervnculo"/>
            <w:rFonts w:ascii="Arial" w:hAnsi="Arial" w:cs="Arial"/>
            <w:sz w:val="18"/>
            <w:szCs w:val="18"/>
          </w:rPr>
          <w:t>https://relatoria.colombiacompra.gov.co/busqueda/conceptos</w:t>
        </w:r>
      </w:hyperlink>
      <w:r w:rsidRPr="00D41B43">
        <w:rPr>
          <w:rFonts w:ascii="Arial" w:hAnsi="Arial" w:cs="Arial"/>
          <w:sz w:val="18"/>
          <w:szCs w:val="18"/>
        </w:rPr>
        <w:t>.</w:t>
      </w:r>
    </w:p>
  </w:footnote>
  <w:footnote w:id="3">
    <w:p w14:paraId="6B470CF2" w14:textId="77777777" w:rsidR="00FE2F29" w:rsidRPr="00D41B43" w:rsidRDefault="00FE2F29" w:rsidP="00FE2F29">
      <w:pPr>
        <w:pStyle w:val="Textonotapie"/>
        <w:ind w:firstLine="709"/>
        <w:contextualSpacing/>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footnote>
  <w:footnote w:id="4">
    <w:p w14:paraId="1FC88572" w14:textId="77777777" w:rsidR="00FE2F29" w:rsidRPr="00D41B43" w:rsidRDefault="00FE2F29" w:rsidP="00FE2F29">
      <w:pPr>
        <w:pStyle w:val="Textonotapie"/>
        <w:ind w:firstLine="709"/>
        <w:contextualSpacing/>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w:t>
      </w:r>
      <w:r w:rsidRPr="00D41B43">
        <w:rPr>
          <w:rFonts w:ascii="Arial" w:hAnsi="Arial" w:cs="Arial"/>
          <w:color w:val="000000"/>
          <w:sz w:val="18"/>
          <w:szCs w:val="18"/>
          <w:lang w:val="es-CO"/>
        </w:rPr>
        <w:t xml:space="preserve">Ley 1882 de 2018: «Artículo 4. </w:t>
      </w:r>
      <w:r w:rsidRPr="00D41B43">
        <w:rPr>
          <w:rFonts w:ascii="Arial" w:hAnsi="Arial" w:cs="Arial"/>
          <w:color w:val="000000"/>
          <w:sz w:val="18"/>
          <w:szCs w:val="18"/>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6AB41EAF" w14:textId="3FF6F5C7" w:rsidR="00FE2F29" w:rsidRPr="00D41B43" w:rsidRDefault="00FE2F29" w:rsidP="00FE2F29">
      <w:pPr>
        <w:pStyle w:val="Textonotapie"/>
        <w:ind w:firstLine="709"/>
        <w:contextualSpacing/>
        <w:jc w:val="both"/>
        <w:rPr>
          <w:rFonts w:ascii="Arial" w:hAnsi="Arial" w:cs="Arial"/>
          <w:color w:val="000000"/>
          <w:sz w:val="18"/>
          <w:szCs w:val="18"/>
          <w:lang w:val="es-CO"/>
        </w:rPr>
      </w:pPr>
      <w:r w:rsidRPr="00D41B43">
        <w:rPr>
          <w:rFonts w:ascii="Arial" w:hAnsi="Arial" w:cs="Arial"/>
          <w:color w:val="000000"/>
          <w:sz w:val="18"/>
          <w:szCs w:val="18"/>
          <w:lang w:val="es-CO"/>
        </w:rPr>
        <w:t>»</w:t>
      </w:r>
      <w:r w:rsidR="0083704C" w:rsidRPr="00D41B43">
        <w:rPr>
          <w:rFonts w:ascii="Arial" w:hAnsi="Arial" w:cs="Arial"/>
          <w:color w:val="000000"/>
          <w:sz w:val="18"/>
          <w:szCs w:val="18"/>
          <w:lang w:val="es-CO"/>
        </w:rPr>
        <w:t xml:space="preserve"> </w:t>
      </w:r>
      <w:r w:rsidRPr="00D41B43">
        <w:rPr>
          <w:rFonts w:ascii="Arial" w:hAnsi="Arial" w:cs="Arial"/>
          <w:color w:val="000000"/>
          <w:sz w:val="18"/>
          <w:szCs w:val="18"/>
          <w:lang w:val="es-CO"/>
        </w:rPr>
        <w:t>La facultad de adoptar documentos tipo la tendrá el Gobierno nacional, cuando lo considere necesario, en relación con otros contratos o procesos de selección.</w:t>
      </w:r>
    </w:p>
    <w:p w14:paraId="1B0A093A" w14:textId="26C4CEB9" w:rsidR="00FE2F29" w:rsidRPr="00D41B43" w:rsidRDefault="00FE2F29" w:rsidP="00FE2F29">
      <w:pPr>
        <w:pStyle w:val="Textonotapie"/>
        <w:ind w:firstLine="709"/>
        <w:contextualSpacing/>
        <w:jc w:val="both"/>
        <w:rPr>
          <w:rFonts w:ascii="Arial" w:hAnsi="Arial" w:cs="Arial"/>
          <w:color w:val="000000"/>
          <w:sz w:val="18"/>
          <w:szCs w:val="18"/>
          <w:lang w:val="es-CO"/>
        </w:rPr>
      </w:pPr>
      <w:r w:rsidRPr="00D41B43">
        <w:rPr>
          <w:rFonts w:ascii="Arial" w:hAnsi="Arial" w:cs="Arial"/>
          <w:color w:val="000000"/>
          <w:sz w:val="18"/>
          <w:szCs w:val="18"/>
          <w:lang w:val="es-CO"/>
        </w:rPr>
        <w:t>»</w:t>
      </w:r>
      <w:r w:rsidR="0083704C" w:rsidRPr="00D41B43">
        <w:rPr>
          <w:rFonts w:ascii="Arial" w:hAnsi="Arial" w:cs="Arial"/>
          <w:color w:val="000000"/>
          <w:sz w:val="18"/>
          <w:szCs w:val="18"/>
          <w:lang w:val="es-CO"/>
        </w:rPr>
        <w:t xml:space="preserve"> </w:t>
      </w:r>
      <w:r w:rsidRPr="00D41B43">
        <w:rPr>
          <w:rFonts w:ascii="Arial" w:hAnsi="Arial" w:cs="Arial"/>
          <w:color w:val="000000"/>
          <w:sz w:val="18"/>
          <w:szCs w:val="18"/>
          <w:lang w:val="es-CO"/>
        </w:rPr>
        <w:t>Los pliegos tipo se adoptarán por categorías de acuerdo con la cuantía de la contratación, según la reglamentación que expida el Gobierno nacional».</w:t>
      </w:r>
    </w:p>
  </w:footnote>
  <w:footnote w:id="5">
    <w:p w14:paraId="6B10ADE4" w14:textId="77777777" w:rsidR="00FE2F29" w:rsidRPr="00D41B43" w:rsidRDefault="00FE2F29" w:rsidP="00FE2F29">
      <w:pPr>
        <w:pStyle w:val="Textonotapie"/>
        <w:ind w:firstLine="709"/>
        <w:contextualSpacing/>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footnote>
  <w:footnote w:id="6">
    <w:p w14:paraId="79EBEA07" w14:textId="77777777" w:rsidR="00FE2F29" w:rsidRPr="00D41B43" w:rsidRDefault="00FE2F29" w:rsidP="00FE2F29">
      <w:pPr>
        <w:pStyle w:val="Textonotapie"/>
        <w:ind w:firstLine="708"/>
        <w:contextualSpacing/>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«ARTÍCULO 1o. Modifíquese el artículo 4o de la Ley 1882 de 2018, el cual quedará así:</w:t>
      </w:r>
    </w:p>
    <w:p w14:paraId="6A7E0574" w14:textId="77777777" w:rsidR="00FE2F29" w:rsidRPr="00D41B43" w:rsidRDefault="00FE2F29" w:rsidP="00FE2F29">
      <w:pPr>
        <w:pStyle w:val="Textonotapie"/>
        <w:ind w:firstLine="708"/>
        <w:contextualSpacing/>
        <w:jc w:val="both"/>
        <w:rPr>
          <w:rFonts w:ascii="Arial" w:hAnsi="Arial" w:cs="Arial"/>
          <w:color w:val="000000"/>
          <w:sz w:val="18"/>
          <w:szCs w:val="18"/>
        </w:rPr>
      </w:pPr>
      <w:r w:rsidRPr="00D41B43">
        <w:rPr>
          <w:rFonts w:ascii="Arial" w:hAnsi="Arial" w:cs="Arial"/>
          <w:color w:val="000000"/>
          <w:sz w:val="18"/>
          <w:szCs w:val="18"/>
        </w:rPr>
        <w:t>»Artículo 4o. Adiciónese el siguiente parágrafo al artículo 2o de la Ley 1150 de 2007.</w:t>
      </w:r>
    </w:p>
    <w:p w14:paraId="7FA4172B" w14:textId="77777777" w:rsidR="00FE2F29" w:rsidRPr="00D41B43" w:rsidRDefault="00FE2F29" w:rsidP="00FE2F29">
      <w:pPr>
        <w:pStyle w:val="Textonotapie"/>
        <w:ind w:firstLine="708"/>
        <w:contextualSpacing/>
        <w:jc w:val="both"/>
        <w:rPr>
          <w:rFonts w:ascii="Arial" w:hAnsi="Arial" w:cs="Arial"/>
          <w:color w:val="000000"/>
          <w:sz w:val="18"/>
          <w:szCs w:val="18"/>
        </w:rPr>
      </w:pPr>
      <w:r w:rsidRPr="00D41B43">
        <w:rPr>
          <w:rFonts w:ascii="Arial" w:hAnsi="Arial" w:cs="Arial"/>
          <w:color w:val="000000"/>
          <w:sz w:val="18"/>
          <w:szCs w:val="18"/>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519B944" w14:textId="77777777" w:rsidR="00FE2F29" w:rsidRPr="00D41B43" w:rsidRDefault="00FE2F29" w:rsidP="00FE2F29">
      <w:pPr>
        <w:pStyle w:val="Textonotapie"/>
        <w:ind w:firstLine="708"/>
        <w:contextualSpacing/>
        <w:jc w:val="both"/>
        <w:rPr>
          <w:rFonts w:ascii="Arial" w:hAnsi="Arial" w:cs="Arial"/>
          <w:color w:val="000000"/>
          <w:sz w:val="18"/>
          <w:szCs w:val="18"/>
        </w:rPr>
      </w:pPr>
      <w:r w:rsidRPr="00D41B43">
        <w:rPr>
          <w:rFonts w:ascii="Arial" w:hAnsi="Arial" w:cs="Arial"/>
          <w:color w:val="000000"/>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6E54E3A" w14:textId="77777777" w:rsidR="00FE2F29" w:rsidRPr="00D41B43" w:rsidRDefault="00FE2F29" w:rsidP="00FE2F29">
      <w:pPr>
        <w:pStyle w:val="Textonotapie"/>
        <w:ind w:firstLine="708"/>
        <w:contextualSpacing/>
        <w:jc w:val="both"/>
        <w:rPr>
          <w:rFonts w:ascii="Arial" w:hAnsi="Arial" w:cs="Arial"/>
          <w:color w:val="000000"/>
          <w:sz w:val="18"/>
          <w:szCs w:val="18"/>
        </w:rPr>
      </w:pPr>
      <w:r w:rsidRPr="00D41B43">
        <w:rPr>
          <w:rFonts w:ascii="Arial" w:hAnsi="Arial" w:cs="Arial"/>
          <w:color w:val="000000"/>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35F6EFD2" w14:textId="77777777" w:rsidR="00FE2F29" w:rsidRPr="00D41B43" w:rsidRDefault="00FE2F29" w:rsidP="00FE2F29">
      <w:pPr>
        <w:pStyle w:val="Textonotapie"/>
        <w:ind w:firstLine="708"/>
        <w:contextualSpacing/>
        <w:jc w:val="both"/>
        <w:rPr>
          <w:rFonts w:ascii="Arial" w:hAnsi="Arial" w:cs="Arial"/>
          <w:color w:val="000000"/>
          <w:sz w:val="18"/>
          <w:szCs w:val="18"/>
        </w:rPr>
      </w:pPr>
      <w:r w:rsidRPr="00D41B43">
        <w:rPr>
          <w:rFonts w:ascii="Arial" w:hAnsi="Arial" w:cs="Arial"/>
          <w:color w:val="000000"/>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5D5B2294" w14:textId="77777777" w:rsidR="00FE2F29" w:rsidRPr="00D41B43" w:rsidRDefault="00FE2F29" w:rsidP="00FE2F29">
      <w:pPr>
        <w:pStyle w:val="Textonotapie"/>
        <w:ind w:firstLine="708"/>
        <w:contextualSpacing/>
        <w:jc w:val="both"/>
        <w:rPr>
          <w:rFonts w:ascii="Arial" w:hAnsi="Arial" w:cs="Arial"/>
          <w:color w:val="000000"/>
          <w:sz w:val="18"/>
          <w:szCs w:val="18"/>
          <w:lang w:val="es-CO"/>
        </w:rPr>
      </w:pPr>
      <w:r w:rsidRPr="00D41B43">
        <w:rPr>
          <w:rFonts w:ascii="Arial" w:hAnsi="Arial" w:cs="Arial"/>
          <w:color w:val="000000"/>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7">
    <w:p w14:paraId="0C4A7910" w14:textId="77777777" w:rsidR="00FE2F29" w:rsidRPr="00D41B43" w:rsidRDefault="00FE2F29" w:rsidP="00FE2F29">
      <w:pPr>
        <w:pStyle w:val="Textonotapie"/>
        <w:ind w:firstLine="709"/>
        <w:contextualSpacing/>
        <w:jc w:val="both"/>
        <w:rPr>
          <w:rFonts w:ascii="Arial" w:hAnsi="Arial" w:cs="Arial"/>
          <w:color w:val="000000" w:themeColor="text1"/>
          <w:sz w:val="18"/>
          <w:szCs w:val="18"/>
          <w:lang w:val="es-ES"/>
        </w:rPr>
      </w:pPr>
      <w:r w:rsidRPr="00D41B43">
        <w:rPr>
          <w:rStyle w:val="Refdenotaalpie"/>
          <w:rFonts w:ascii="Arial" w:hAnsi="Arial" w:cs="Arial"/>
          <w:color w:val="000000" w:themeColor="text1"/>
          <w:sz w:val="18"/>
          <w:szCs w:val="18"/>
        </w:rPr>
        <w:footnoteRef/>
      </w:r>
      <w:r w:rsidRPr="00D41B43">
        <w:rPr>
          <w:rFonts w:ascii="Arial" w:hAnsi="Arial" w:cs="Arial"/>
          <w:color w:val="000000" w:themeColor="text1"/>
          <w:sz w:val="18"/>
          <w:szCs w:val="18"/>
        </w:rPr>
        <w:t xml:space="preserve"> </w:t>
      </w:r>
      <w:r w:rsidRPr="00D41B43">
        <w:rPr>
          <w:rFonts w:ascii="Arial" w:hAnsi="Arial" w:cs="Arial"/>
          <w:color w:val="000000" w:themeColor="text1"/>
          <w:sz w:val="18"/>
          <w:szCs w:val="18"/>
          <w:lang w:val="es-ES"/>
        </w:rPr>
        <w:t>En cuanto a las resoluciones vigentes, dicha regla se observa en el artículo 3 de las Resoluciones 240 de 2020, 241 de 2020, 248 de 2020, 249 de 2020, 269 de 2020, 219 de 2021, 392 de 2021, 454 de 2021, entre otras, así como lo dispuesto en el artículo 2 de la Resolución 094 de 2020.</w:t>
      </w:r>
    </w:p>
  </w:footnote>
  <w:footnote w:id="8">
    <w:p w14:paraId="20130081" w14:textId="77777777" w:rsidR="00FE2F29" w:rsidRPr="00D41B43" w:rsidRDefault="00FE2F29" w:rsidP="00FE2F29">
      <w:pPr>
        <w:pStyle w:val="Textonotapie"/>
        <w:ind w:firstLine="708"/>
        <w:contextualSpacing/>
        <w:jc w:val="both"/>
        <w:rPr>
          <w:rFonts w:ascii="Arial" w:hAnsi="Arial" w:cs="Arial"/>
          <w:color w:val="000000" w:themeColor="text1"/>
          <w:sz w:val="18"/>
          <w:szCs w:val="18"/>
        </w:rPr>
      </w:pPr>
      <w:r w:rsidRPr="00D41B43">
        <w:rPr>
          <w:rStyle w:val="Refdenotaalpie"/>
          <w:rFonts w:ascii="Arial" w:hAnsi="Arial" w:cs="Arial"/>
          <w:color w:val="000000" w:themeColor="text1"/>
          <w:sz w:val="18"/>
          <w:szCs w:val="18"/>
        </w:rPr>
        <w:footnoteRef/>
      </w:r>
      <w:r w:rsidRPr="00D41B43">
        <w:rPr>
          <w:rFonts w:ascii="Arial" w:hAnsi="Arial" w:cs="Arial"/>
          <w:color w:val="000000" w:themeColor="text1"/>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footnote>
  <w:footnote w:id="9">
    <w:p w14:paraId="1407165B" w14:textId="77777777" w:rsidR="00FE2F29" w:rsidRPr="00D41B43" w:rsidRDefault="00FE2F29" w:rsidP="00FE2F29">
      <w:pPr>
        <w:pStyle w:val="Textonotapie"/>
        <w:ind w:firstLine="709"/>
        <w:contextualSpacing/>
        <w:jc w:val="both"/>
        <w:rPr>
          <w:rFonts w:ascii="Arial" w:hAnsi="Arial" w:cs="Arial"/>
          <w:color w:val="000000" w:themeColor="text1"/>
          <w:sz w:val="18"/>
          <w:szCs w:val="18"/>
        </w:rPr>
      </w:pPr>
      <w:r w:rsidRPr="00D41B43">
        <w:rPr>
          <w:rStyle w:val="Refdenotaalpie"/>
          <w:rFonts w:ascii="Arial" w:hAnsi="Arial" w:cs="Arial"/>
          <w:color w:val="000000" w:themeColor="text1"/>
          <w:sz w:val="18"/>
          <w:szCs w:val="18"/>
        </w:rPr>
        <w:footnoteRef/>
      </w:r>
      <w:r w:rsidRPr="00D41B43">
        <w:rPr>
          <w:rFonts w:ascii="Arial" w:hAnsi="Arial" w:cs="Arial"/>
          <w:color w:val="000000" w:themeColor="text1"/>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footnote>
  <w:footnote w:id="10">
    <w:p w14:paraId="6EF14B17" w14:textId="77777777" w:rsidR="00FE2F29" w:rsidRPr="00D41B43" w:rsidRDefault="00FE2F29" w:rsidP="00FE2F29">
      <w:pPr>
        <w:ind w:firstLine="709"/>
        <w:contextualSpacing/>
        <w:jc w:val="both"/>
        <w:rPr>
          <w:rFonts w:ascii="Arial" w:hAnsi="Arial" w:cs="Arial"/>
          <w:color w:val="000000" w:themeColor="text1"/>
          <w:sz w:val="18"/>
          <w:szCs w:val="18"/>
          <w:lang w:val="es-ES"/>
        </w:rPr>
      </w:pPr>
      <w:r w:rsidRPr="00D41B43">
        <w:rPr>
          <w:rStyle w:val="Refdenotaalpie"/>
          <w:rFonts w:ascii="Arial" w:hAnsi="Arial" w:cs="Arial"/>
          <w:color w:val="000000" w:themeColor="text1"/>
          <w:sz w:val="18"/>
          <w:szCs w:val="18"/>
        </w:rPr>
        <w:footnoteRef/>
      </w:r>
      <w:r w:rsidRPr="00D41B43">
        <w:rPr>
          <w:rFonts w:ascii="Arial" w:hAnsi="Arial" w:cs="Arial"/>
          <w:color w:val="000000" w:themeColor="text1"/>
          <w:sz w:val="18"/>
          <w:szCs w:val="18"/>
        </w:rPr>
        <w:t xml:space="preserve"> </w:t>
      </w:r>
      <w:r w:rsidRPr="00D41B43">
        <w:rPr>
          <w:rFonts w:ascii="Arial" w:hAnsi="Arial" w:cs="Arial"/>
          <w:color w:val="000000" w:themeColor="text1"/>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footnote>
  <w:footnote w:id="11">
    <w:p w14:paraId="39DAADBD" w14:textId="77777777" w:rsidR="00FE2F29" w:rsidRPr="00D41B43" w:rsidRDefault="00FE2F29" w:rsidP="00FE2F29">
      <w:pPr>
        <w:ind w:firstLine="708"/>
        <w:contextualSpacing/>
        <w:jc w:val="both"/>
        <w:rPr>
          <w:rFonts w:ascii="Arial" w:hAnsi="Arial" w:cs="Arial"/>
          <w:color w:val="000000" w:themeColor="text1"/>
          <w:sz w:val="18"/>
          <w:szCs w:val="18"/>
          <w:lang w:val="es-MX"/>
        </w:rPr>
      </w:pPr>
      <w:r w:rsidRPr="00D41B43">
        <w:rPr>
          <w:rStyle w:val="Refdenotaalpie"/>
          <w:rFonts w:ascii="Arial" w:hAnsi="Arial" w:cs="Arial"/>
          <w:color w:val="000000" w:themeColor="text1"/>
          <w:sz w:val="18"/>
          <w:szCs w:val="18"/>
        </w:rPr>
        <w:footnoteRef/>
      </w:r>
      <w:r w:rsidRPr="00D41B43">
        <w:rPr>
          <w:rFonts w:ascii="Arial" w:hAnsi="Arial" w:cs="Arial"/>
          <w:color w:val="000000" w:themeColor="text1"/>
          <w:sz w:val="18"/>
          <w:szCs w:val="18"/>
        </w:rPr>
        <w:t xml:space="preserve"> Cita tomada de la providencia del 20 de febrero de 2020, dictada por el Consejo de Estado. Sección Tercera. Subsección A, dentro del expediente 47001-23-33-000-2018-00035-01 (63.854), cuya ponente fue Marta Nubia Velásquez Rico.</w:t>
      </w:r>
    </w:p>
  </w:footnote>
  <w:footnote w:id="12">
    <w:p w14:paraId="1547F338" w14:textId="77777777" w:rsidR="00FE2F29" w:rsidRPr="00D41B43" w:rsidRDefault="00FE2F29" w:rsidP="00FE2F29">
      <w:pPr>
        <w:pStyle w:val="Textonotapie"/>
        <w:ind w:firstLine="851"/>
        <w:jc w:val="both"/>
        <w:rPr>
          <w:rFonts w:ascii="Arial" w:hAnsi="Arial" w:cs="Arial"/>
          <w:sz w:val="18"/>
          <w:szCs w:val="18"/>
          <w:lang w:val="es-ES"/>
        </w:rPr>
      </w:pPr>
      <w:r w:rsidRPr="00D41B43">
        <w:rPr>
          <w:rStyle w:val="Refdenotaalpie"/>
          <w:rFonts w:ascii="Arial" w:hAnsi="Arial" w:cs="Arial"/>
          <w:sz w:val="18"/>
          <w:szCs w:val="18"/>
        </w:rPr>
        <w:footnoteRef/>
      </w:r>
      <w:r w:rsidRPr="00D41B43">
        <w:rPr>
          <w:rFonts w:ascii="Arial" w:hAnsi="Arial" w:cs="Arial"/>
          <w:sz w:val="18"/>
          <w:szCs w:val="18"/>
        </w:rPr>
        <w:t xml:space="preserve"> </w:t>
      </w:r>
      <w:r w:rsidRPr="00D41B43">
        <w:rPr>
          <w:rFonts w:ascii="Arial" w:eastAsia="Arial" w:hAnsi="Arial" w:cs="Arial"/>
          <w:sz w:val="18"/>
          <w:szCs w:val="18"/>
          <w:lang w:val="es-ES"/>
        </w:rPr>
        <w:t>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 ingeniería».</w:t>
      </w:r>
    </w:p>
  </w:footnote>
  <w:footnote w:id="13">
    <w:p w14:paraId="044A70BB" w14:textId="77777777" w:rsidR="00FE2F29" w:rsidRPr="00D41B43" w:rsidRDefault="00FE2F29" w:rsidP="00FE2F29">
      <w:pPr>
        <w:pStyle w:val="Textonotapie"/>
        <w:ind w:firstLine="851"/>
        <w:jc w:val="both"/>
        <w:rPr>
          <w:rFonts w:ascii="Arial" w:hAnsi="Arial" w:cs="Arial"/>
          <w:sz w:val="18"/>
          <w:szCs w:val="18"/>
          <w:lang w:val="es-ES"/>
        </w:rPr>
      </w:pPr>
      <w:r w:rsidRPr="00D41B43">
        <w:rPr>
          <w:rStyle w:val="Refdenotaalpie"/>
          <w:rFonts w:ascii="Arial" w:hAnsi="Arial" w:cs="Arial"/>
          <w:sz w:val="18"/>
          <w:szCs w:val="18"/>
        </w:rPr>
        <w:footnoteRef/>
      </w:r>
      <w:r w:rsidRPr="00D41B43">
        <w:rPr>
          <w:rFonts w:ascii="Arial" w:hAnsi="Arial" w:cs="Arial"/>
          <w:sz w:val="18"/>
          <w:szCs w:val="18"/>
        </w:rPr>
        <w:t xml:space="preserve"> </w:t>
      </w:r>
      <w:r w:rsidRPr="00D41B43">
        <w:rPr>
          <w:rFonts w:ascii="Arial" w:eastAsia="Arial" w:hAnsi="Arial" w:cs="Arial"/>
          <w:sz w:val="18"/>
          <w:szCs w:val="18"/>
          <w:lang w:val="es-ES"/>
        </w:rPr>
        <w:t>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footnote>
  <w:footnote w:id="14">
    <w:p w14:paraId="36D3710E" w14:textId="77777777" w:rsidR="00FE2F29" w:rsidRPr="00D41B43" w:rsidRDefault="00FE2F29" w:rsidP="00FE2F29">
      <w:pPr>
        <w:pStyle w:val="Textonotapie"/>
        <w:ind w:firstLine="851"/>
        <w:jc w:val="both"/>
        <w:rPr>
          <w:rFonts w:ascii="Arial" w:hAnsi="Arial" w:cs="Arial"/>
          <w:sz w:val="18"/>
          <w:szCs w:val="18"/>
          <w:lang w:val="es-ES"/>
        </w:rPr>
      </w:pPr>
      <w:r w:rsidRPr="00D41B43">
        <w:rPr>
          <w:rStyle w:val="Refdenotaalpie"/>
          <w:rFonts w:ascii="Arial" w:hAnsi="Arial" w:cs="Arial"/>
          <w:sz w:val="18"/>
          <w:szCs w:val="18"/>
        </w:rPr>
        <w:footnoteRef/>
      </w:r>
      <w:r w:rsidRPr="00D41B43">
        <w:rPr>
          <w:rFonts w:ascii="Arial" w:hAnsi="Arial" w:cs="Arial"/>
          <w:sz w:val="18"/>
          <w:szCs w:val="18"/>
        </w:rPr>
        <w:t xml:space="preserve"> Agencia Nacional de Contratación Pública – Colombia Compra Eficiente. Concepto C–054 del 19 de febrero de 2020. Radicado de entrada No. 4202012000000203. Radicado de salida No. 2202013000001083.</w:t>
      </w:r>
    </w:p>
  </w:footnote>
  <w:footnote w:id="15">
    <w:p w14:paraId="68A4E59F" w14:textId="77777777" w:rsidR="00FE2F29" w:rsidRPr="00D41B43" w:rsidRDefault="00FE2F29" w:rsidP="00FE2F29">
      <w:pPr>
        <w:pStyle w:val="Textonotapie"/>
        <w:ind w:firstLine="851"/>
        <w:jc w:val="both"/>
        <w:rPr>
          <w:rFonts w:ascii="Arial" w:hAnsi="Arial" w:cs="Arial"/>
          <w:sz w:val="18"/>
          <w:szCs w:val="18"/>
          <w:lang w:val="es-ES"/>
        </w:rPr>
      </w:pPr>
      <w:r w:rsidRPr="00D41B43">
        <w:rPr>
          <w:rStyle w:val="Refdenotaalpie"/>
          <w:rFonts w:ascii="Arial" w:hAnsi="Arial" w:cs="Arial"/>
          <w:sz w:val="18"/>
          <w:szCs w:val="18"/>
        </w:rPr>
        <w:footnoteRef/>
      </w:r>
      <w:r w:rsidRPr="00D41B43">
        <w:rPr>
          <w:rFonts w:ascii="Arial" w:hAnsi="Arial" w:cs="Arial"/>
          <w:sz w:val="18"/>
          <w:szCs w:val="18"/>
        </w:rPr>
        <w:t xml:space="preserve"> Sentencia del cinco (5) de diciembre de dos mil diecinueve (2019) con radicación número: 25000-23-24-000-2012-00790-01 de la Sección Primera de la Sala de lo Contencioso Administrativo, Consejero ponente: Roberto Augusto Serrato Valdés </w:t>
      </w:r>
    </w:p>
  </w:footnote>
  <w:footnote w:id="16">
    <w:p w14:paraId="190A062A" w14:textId="77777777" w:rsidR="00FE2F29" w:rsidRPr="00D41B43" w:rsidRDefault="00FE2F29" w:rsidP="00FE2F29">
      <w:pPr>
        <w:pStyle w:val="Textonotapie"/>
        <w:ind w:firstLine="851"/>
        <w:jc w:val="both"/>
        <w:rPr>
          <w:rFonts w:ascii="Arial" w:hAnsi="Arial" w:cs="Arial"/>
          <w:sz w:val="18"/>
          <w:szCs w:val="18"/>
          <w:lang w:val="es-ES"/>
        </w:rPr>
      </w:pPr>
      <w:r w:rsidRPr="00D41B43">
        <w:rPr>
          <w:rStyle w:val="Refdenotaalpie"/>
          <w:rFonts w:ascii="Arial" w:hAnsi="Arial" w:cs="Arial"/>
          <w:sz w:val="18"/>
          <w:szCs w:val="18"/>
        </w:rPr>
        <w:footnoteRef/>
      </w:r>
      <w:r w:rsidRPr="00D41B43">
        <w:rPr>
          <w:rFonts w:ascii="Arial" w:hAnsi="Arial" w:cs="Arial"/>
          <w:sz w:val="18"/>
          <w:szCs w:val="18"/>
        </w:rPr>
        <w:t xml:space="preserve"> Guía de competencia en las compras públicas</w:t>
      </w:r>
    </w:p>
  </w:footnote>
  <w:footnote w:id="17">
    <w:p w14:paraId="309B4756" w14:textId="77777777" w:rsidR="00FE2F29" w:rsidRPr="00D41B43" w:rsidRDefault="00FE2F29" w:rsidP="00FE2F29">
      <w:pPr>
        <w:pStyle w:val="Textonotapie"/>
        <w:ind w:firstLine="851"/>
        <w:jc w:val="both"/>
        <w:rPr>
          <w:rFonts w:ascii="Arial" w:hAnsi="Arial" w:cs="Arial"/>
          <w:sz w:val="18"/>
          <w:szCs w:val="18"/>
          <w:lang w:val="es-ES"/>
        </w:rPr>
      </w:pPr>
      <w:r w:rsidRPr="00D41B43">
        <w:rPr>
          <w:rStyle w:val="Refdenotaalpie"/>
          <w:rFonts w:ascii="Arial" w:hAnsi="Arial" w:cs="Arial"/>
          <w:sz w:val="18"/>
          <w:szCs w:val="18"/>
        </w:rPr>
        <w:footnoteRef/>
      </w:r>
      <w:r w:rsidRPr="00D41B43">
        <w:rPr>
          <w:rFonts w:ascii="Arial" w:hAnsi="Arial" w:cs="Arial"/>
          <w:sz w:val="18"/>
          <w:szCs w:val="18"/>
        </w:rPr>
        <w:t xml:space="preserve"> https://www.sic.gov.co/recursos_user/documentos/articulos/2010/Guia_Contratacion.pdf</w:t>
      </w:r>
    </w:p>
  </w:footnote>
  <w:footnote w:id="18">
    <w:p w14:paraId="500C6C0F" w14:textId="77777777" w:rsidR="00FE2F29" w:rsidRPr="00D41B43" w:rsidRDefault="00FE2F29" w:rsidP="00FE2F29">
      <w:pPr>
        <w:pStyle w:val="Textonotapie"/>
        <w:ind w:firstLine="709"/>
        <w:jc w:val="both"/>
        <w:rPr>
          <w:rFonts w:ascii="Arial" w:hAnsi="Arial" w:cs="Arial"/>
          <w:sz w:val="18"/>
          <w:szCs w:val="18"/>
        </w:rPr>
      </w:pPr>
      <w:r w:rsidRPr="00D41B43">
        <w:rPr>
          <w:rStyle w:val="Refdenotaalpie"/>
          <w:rFonts w:ascii="Arial" w:hAnsi="Arial" w:cs="Arial"/>
          <w:color w:val="000000" w:themeColor="text1"/>
          <w:sz w:val="18"/>
          <w:szCs w:val="18"/>
        </w:rPr>
        <w:footnoteRef/>
      </w:r>
      <w:r w:rsidRPr="00D41B43">
        <w:rPr>
          <w:rFonts w:ascii="Arial" w:hAnsi="Arial" w:cs="Arial"/>
          <w:sz w:val="18"/>
          <w:szCs w:val="18"/>
        </w:rPr>
        <w:t xml:space="preserve"> «ARTÍCULO 64. OBJETIVOS DEL CONTROL SOCIAL. Son objetivos del control social de la gestión pública y sus resultados:</w:t>
      </w:r>
    </w:p>
    <w:p w14:paraId="079A4FAC"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»a). Fortalecer la cultura de lo público en el ciudadano;</w:t>
      </w:r>
    </w:p>
    <w:p w14:paraId="45EF3341"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»b). Contribuir a mejorar la gestión pública desde el punto de vista de su eficiencia, su eficacia y su transparencia;</w:t>
      </w:r>
    </w:p>
    <w:p w14:paraId="048E202E"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»c). Prevenir los riesgos y los hechos de corrupción en la gestión pública, en particular los relacionados con el manejo de los recursos públicos;</w:t>
      </w:r>
    </w:p>
    <w:p w14:paraId="5B7536D6"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»d). Fortalecer la participación ciudadana para que esta contribuya a que las autoridades hagan un manejo transparente y eficiente de los asuntos públicos;</w:t>
      </w:r>
    </w:p>
    <w:p w14:paraId="3AC59D70"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»e). Apoyar y complementar la labor de los organismos de control en la realización de sus funciones legales y constitucionales;</w:t>
      </w:r>
    </w:p>
    <w:p w14:paraId="4A35A887"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»f). Propender por el cumplimiento de los principios constitucionales que rigen la función pública;</w:t>
      </w:r>
    </w:p>
    <w:p w14:paraId="078F30E4"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»g). Promover el liderazgo y la participación con miras a democratizar la gestión pública;</w:t>
      </w:r>
    </w:p>
    <w:p w14:paraId="1B53593F" w14:textId="77777777" w:rsidR="00FE2F29" w:rsidRPr="00D41B43" w:rsidRDefault="00FE2F29" w:rsidP="00FE2F29">
      <w:pPr>
        <w:pStyle w:val="Textonotapie"/>
        <w:jc w:val="both"/>
        <w:rPr>
          <w:rFonts w:ascii="Arial" w:hAnsi="Arial" w:cs="Arial"/>
          <w:sz w:val="18"/>
          <w:szCs w:val="18"/>
        </w:rPr>
      </w:pPr>
      <w:r w:rsidRPr="00D41B43">
        <w:rPr>
          <w:rFonts w:ascii="Arial" w:hAnsi="Arial" w:cs="Arial"/>
          <w:sz w:val="18"/>
          <w:szCs w:val="18"/>
        </w:rPr>
        <w:t>»h). Poner en evidencia las fallas en la gestión pública por parte de agentes estatales y no estatales, y formular propuestas para mejorarla;</w:t>
      </w:r>
    </w:p>
    <w:p w14:paraId="67938520" w14:textId="77777777" w:rsidR="00FE2F29" w:rsidRPr="00D41B43" w:rsidRDefault="00FE2F29" w:rsidP="00FE2F29">
      <w:pPr>
        <w:pStyle w:val="Textonotapie"/>
        <w:jc w:val="both"/>
        <w:rPr>
          <w:rStyle w:val="Refdenotaalpie"/>
          <w:rFonts w:ascii="Arial" w:hAnsi="Arial" w:cs="Arial"/>
          <w:sz w:val="18"/>
          <w:szCs w:val="18"/>
        </w:rPr>
      </w:pPr>
      <w:r w:rsidRPr="00D41B43">
        <w:rPr>
          <w:rFonts w:ascii="Arial" w:hAnsi="Arial" w:cs="Arial"/>
          <w:sz w:val="18"/>
          <w:szCs w:val="18"/>
        </w:rPr>
        <w:t>»i). Contribuir a la garantía y al restablecimiento de los derechos sociales, económicos y culturales».</w:t>
      </w:r>
    </w:p>
  </w:footnote>
  <w:footnote w:id="19">
    <w:p w14:paraId="21670228" w14:textId="77777777" w:rsidR="00FE2F29" w:rsidRPr="00D41B43" w:rsidRDefault="00FE2F29" w:rsidP="00FE2F29">
      <w:pPr>
        <w:pStyle w:val="Textonotapie"/>
        <w:ind w:firstLine="708"/>
        <w:jc w:val="both"/>
        <w:rPr>
          <w:rFonts w:ascii="Arial" w:hAnsi="Arial" w:cs="Arial"/>
          <w:sz w:val="18"/>
          <w:szCs w:val="18"/>
          <w:lang w:val="es-CO"/>
        </w:rPr>
      </w:pPr>
      <w:r w:rsidRPr="00D41B43">
        <w:rPr>
          <w:rStyle w:val="Refdenotaalpie"/>
          <w:rFonts w:ascii="Arial" w:hAnsi="Arial" w:cs="Arial"/>
          <w:color w:val="000000" w:themeColor="text1"/>
          <w:sz w:val="18"/>
          <w:szCs w:val="18"/>
        </w:rPr>
        <w:footnoteRef/>
      </w:r>
      <w:r w:rsidRPr="00D41B43">
        <w:rPr>
          <w:rStyle w:val="Refdenotaalpie"/>
          <w:rFonts w:ascii="Arial" w:hAnsi="Arial" w:cs="Arial"/>
          <w:color w:val="000000" w:themeColor="text1"/>
          <w:sz w:val="18"/>
          <w:szCs w:val="18"/>
        </w:rPr>
        <w:t xml:space="preserve"> </w:t>
      </w:r>
      <w:r w:rsidRPr="00D41B43">
        <w:rPr>
          <w:rFonts w:ascii="Arial" w:hAnsi="Arial" w:cs="Arial"/>
          <w:sz w:val="18"/>
          <w:szCs w:val="18"/>
        </w:rPr>
        <w:t>GUZMÁN SANTOS, José Camilo. Control social a la compra y la contratación pública. Fase de focalización. Módulo III. Contraloría General de la República, 2018, 45.</w:t>
      </w:r>
      <w:r w:rsidRPr="00D41B43">
        <w:rPr>
          <w:rFonts w:ascii="Arial" w:hAnsi="Arial" w:cs="Arial"/>
          <w:sz w:val="18"/>
          <w:szCs w:val="18"/>
          <w:lang w:val="es-CO"/>
        </w:rPr>
        <w:t xml:space="preserve"> </w:t>
      </w:r>
    </w:p>
  </w:footnote>
  <w:footnote w:id="20">
    <w:p w14:paraId="07CA70BB"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80 de 1993: «Artículo 3º. De los fines de la contratación estatal. 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w:t>
      </w:r>
    </w:p>
    <w:p w14:paraId="7C53723F"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»Los particulares, por su parte, tendrán en cuenta al celebrar y ejecutar contratos con las entidades estatales que, colaboran con ellas en el logro de sus fines y cumplen una función social que, como tal, implica obligaciones».</w:t>
      </w:r>
    </w:p>
  </w:footnote>
  <w:footnote w:id="21">
    <w:p w14:paraId="2852E38F" w14:textId="77777777" w:rsidR="00FE2F29" w:rsidRPr="00D41B43" w:rsidRDefault="00FE2F29" w:rsidP="00FE2F29">
      <w:pPr>
        <w:pStyle w:val="Textonotapie"/>
        <w:ind w:firstLine="709"/>
        <w:jc w:val="both"/>
        <w:rPr>
          <w:rFonts w:ascii="Arial" w:hAnsi="Arial" w:cs="Arial"/>
          <w:color w:val="000000"/>
          <w:sz w:val="18"/>
          <w:szCs w:val="18"/>
          <w:lang w:val="es-CO"/>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22">
    <w:p w14:paraId="0EF0A46B"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Consejo de Estado. Sección Tercera. Sentencia del 3 de diciembre de 2007. Exp. 24.715. Consejera Ponente: Ruth Stella Correa Palacio.</w:t>
      </w:r>
    </w:p>
  </w:footnote>
  <w:footnote w:id="23">
    <w:p w14:paraId="40E04A94"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Concepto con radicado número 4201912000006639 del 29 de noviembre de 2019 «Tipo de asunto consultado: Sujetos que pueden hacer observaciones al informe de evaluación en un procedimiento contractual mediante la modalidad de licitación pública».</w:t>
      </w:r>
    </w:p>
  </w:footnote>
  <w:footnote w:id="24">
    <w:p w14:paraId="7799E1F5"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1150 de 2007: «Artículo 8. De la publicación de proyectos de pliegos de condiciones, y estudios previos. 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p>
    <w:p w14:paraId="657E7E2B"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40BB35BA"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»Junto con los proyectos de pliegos de condiciones se publicarán los estudios y documentos previos que sirvieron de base para su elaboración.</w:t>
      </w:r>
    </w:p>
    <w:p w14:paraId="6908EEF1"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»Las Entidades deberán publicar las razones por las cuales se acogen o rechazan las observaciones a los proyectos de pliegos».</w:t>
      </w:r>
    </w:p>
  </w:footnote>
  <w:footnote w:id="25">
    <w:p w14:paraId="16C3939B"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80 de 1993: «Artículo 30. De la estructura de los procedimientos de selección. La licitación se efectuará conforme a las siguientes reglas:</w:t>
      </w:r>
    </w:p>
    <w:p w14:paraId="6802650B"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3EEB38A1"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»4º. Dentro de los tres (3) días hábiles siguientes al inicio del plazo para Ia presentación de propuestas y a solicitud de cualquiera de las personas interesadas en el proceso se celebrará una audiencia con el objeto de precisar el contenido y alcance de los pliegos de condiciones, de lo cual se levantará un acta suscrita por los intervinientes. En Ia misma audiencia se revisará Ia asignación de riesgos que trata el artículo 4 de Ia Ley 1150 de 2007 con el fin de establecer su tipificación, estimación y asignación definitiva».</w:t>
      </w:r>
    </w:p>
  </w:footnote>
  <w:footnote w:id="26">
    <w:p w14:paraId="60E845F6" w14:textId="77777777" w:rsidR="00FE2F29" w:rsidRPr="00D41B43" w:rsidRDefault="00FE2F29" w:rsidP="00FE2F29">
      <w:pPr>
        <w:pStyle w:val="Textonotapie"/>
        <w:ind w:firstLine="709"/>
        <w:jc w:val="both"/>
        <w:rPr>
          <w:rFonts w:ascii="Arial" w:hAnsi="Arial" w:cs="Arial"/>
          <w:color w:val="000000"/>
          <w:sz w:val="18"/>
          <w:szCs w:val="18"/>
          <w:lang w:val="es-CO"/>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Decreto 1082 de 2015: «Artículo 2.2.1.1.1.3.1.»</w:t>
      </w:r>
    </w:p>
  </w:footnote>
  <w:footnote w:id="27">
    <w:p w14:paraId="49D0E787"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80 de 1993: «Artículo 30. De la estructura de los procedimientos de selección. La licitación se efectuará conforme a las siguientes reglas:</w:t>
      </w:r>
    </w:p>
    <w:p w14:paraId="6E4EF4DD"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6614C5C8" w14:textId="77777777" w:rsidR="00FE2F29" w:rsidRPr="00D41B43" w:rsidRDefault="00FE2F29" w:rsidP="00FE2F29">
      <w:pPr>
        <w:pStyle w:val="Textonotapie"/>
        <w:ind w:firstLine="709"/>
        <w:jc w:val="both"/>
        <w:rPr>
          <w:rFonts w:ascii="Arial" w:hAnsi="Arial" w:cs="Arial"/>
          <w:color w:val="000000"/>
          <w:sz w:val="18"/>
          <w:szCs w:val="18"/>
          <w:lang w:val="es-CO"/>
        </w:rPr>
      </w:pPr>
      <w:r w:rsidRPr="00D41B43">
        <w:rPr>
          <w:rFonts w:ascii="Arial" w:hAnsi="Arial" w:cs="Arial"/>
          <w:color w:val="000000"/>
          <w:sz w:val="18"/>
          <w:szCs w:val="18"/>
        </w:rPr>
        <w:t>»6º. Las propuestas deben referirse y sujetarse a todos y cada uno de los puntos contenidos en el pliego de condiciones».</w:t>
      </w:r>
    </w:p>
  </w:footnote>
  <w:footnote w:id="28">
    <w:p w14:paraId="45F48177"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80 de 1993: «Artículo 30. De la estructura de los procedimientos de selección. La licitación se efectuará conforme a las siguientes reglas:</w:t>
      </w:r>
    </w:p>
    <w:p w14:paraId="50179D14"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34F1E2DB"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»8º.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29">
    <w:p w14:paraId="3E98B630"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Decreto 1082 de 2015: «Artículo 2.2.1.2.1.2.20. Procedimiento para la selección abreviada de menor cuantía. Además de las normas generales establecidas en el presente título, las siguientes reglas son aplicables a la selección abreviada de menor cuantía: </w:t>
      </w:r>
    </w:p>
    <w:p w14:paraId="039225FC"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18C7E028"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»4. La Entidad Estatal debe publicar el informe de evaluación de ofertas durante tres (3) días hábiles».</w:t>
      </w:r>
    </w:p>
    <w:p w14:paraId="46EF2D6E"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«Artículo 2.2.1.2.1.3.2. Procedimiento del concurso de méritos. Además de las reglas generales previstas en la ley y en el presente título, las siguientes reglas son aplicables al concurso de méritos abierto o con precalificación:</w:t>
      </w:r>
    </w:p>
    <w:p w14:paraId="60AEB910"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29FE8E6E"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»2. La Entidad Estatal debe publicar durante tres (3) días hábiles el informe de evaluación, el cual debe contener la calificación técnica y el orden de elegibilidad».</w:t>
      </w:r>
    </w:p>
    <w:p w14:paraId="25AACFDB"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«Artículo 2.2.1.2.1.5.2. Procedimiento para la contratación de mínima cuantía. Las siguientes reglas son aplicables a la contratación cuyo valor no excede del 10% de la menor cuantía de la Entidad Estatal, independientemente de su objeto:</w:t>
      </w:r>
    </w:p>
    <w:p w14:paraId="24F4B963"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5B78C09D"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»5. La Entidad Estatal debe publicar el informe de evaluación durante un (1) día hábil».</w:t>
      </w:r>
    </w:p>
  </w:footnote>
  <w:footnote w:id="30">
    <w:p w14:paraId="428222F9"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Decreto 1082 de 2015: «Artículo 2.2.1.2.1.1.2. Audiencias en la licitación.</w:t>
      </w:r>
    </w:p>
    <w:p w14:paraId="15847F6E"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w:t>
      </w:r>
    </w:p>
    <w:p w14:paraId="171951B1"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»La Entidad Estatal debe realizar la audiencia de adjudicación en la fecha y hora establecida en el Cronograma, la cual se realizará de acuerdo con las reglas establecidas para el efecto en los mismos y las siguientes consideraciones:</w:t>
      </w:r>
    </w:p>
    <w:p w14:paraId="415FA5A7"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footnote>
  <w:footnote w:id="31">
    <w:p w14:paraId="0D62D3E8" w14:textId="77777777" w:rsidR="00FE2F29" w:rsidRPr="00D41B43" w:rsidRDefault="00FE2F29" w:rsidP="00FE2F29">
      <w:pPr>
        <w:pStyle w:val="Textonotapie"/>
        <w:ind w:firstLine="709"/>
        <w:jc w:val="both"/>
        <w:rPr>
          <w:rFonts w:ascii="Arial" w:hAnsi="Arial" w:cs="Arial"/>
          <w:color w:val="000000"/>
          <w:sz w:val="18"/>
          <w:szCs w:val="18"/>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Ley 80 de 1993: «Artículo 25. Del principio de economía. En virtud de este principio:</w:t>
      </w:r>
    </w:p>
    <w:p w14:paraId="236835C3" w14:textId="77777777" w:rsidR="00FE2F29" w:rsidRPr="00D41B43" w:rsidRDefault="00FE2F29" w:rsidP="00FE2F29">
      <w:pPr>
        <w:pStyle w:val="Textonotapie"/>
        <w:ind w:firstLine="709"/>
        <w:jc w:val="both"/>
        <w:rPr>
          <w:rFonts w:ascii="Arial" w:hAnsi="Arial" w:cs="Arial"/>
          <w:color w:val="000000"/>
          <w:sz w:val="18"/>
          <w:szCs w:val="18"/>
        </w:rPr>
      </w:pPr>
      <w:r w:rsidRPr="00D41B43">
        <w:rPr>
          <w:rFonts w:ascii="Arial" w:hAnsi="Arial" w:cs="Arial"/>
          <w:color w:val="000000"/>
          <w:sz w:val="18"/>
          <w:szCs w:val="18"/>
        </w:rPr>
        <w:t>»1º.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footnote>
  <w:footnote w:id="32">
    <w:p w14:paraId="6FE34271" w14:textId="77777777" w:rsidR="00FE2F29" w:rsidRPr="00D41B43" w:rsidRDefault="00FE2F29" w:rsidP="00FE2F29">
      <w:pPr>
        <w:pStyle w:val="Textonotapie"/>
        <w:ind w:firstLine="709"/>
        <w:jc w:val="both"/>
        <w:rPr>
          <w:rFonts w:ascii="Arial" w:hAnsi="Arial" w:cs="Arial"/>
          <w:color w:val="000000"/>
          <w:sz w:val="18"/>
          <w:szCs w:val="18"/>
          <w:lang w:val="es-ES"/>
        </w:rPr>
      </w:pPr>
      <w:r w:rsidRPr="00D41B43">
        <w:rPr>
          <w:rStyle w:val="Refdenotaalpie"/>
          <w:rFonts w:ascii="Arial" w:hAnsi="Arial" w:cs="Arial"/>
          <w:color w:val="000000"/>
          <w:sz w:val="18"/>
          <w:szCs w:val="18"/>
        </w:rPr>
        <w:footnoteRef/>
      </w:r>
      <w:r w:rsidRPr="00D41B43">
        <w:rPr>
          <w:rFonts w:ascii="Arial" w:hAnsi="Arial" w:cs="Arial"/>
          <w:color w:val="000000"/>
          <w:sz w:val="18"/>
          <w:szCs w:val="18"/>
        </w:rPr>
        <w:t xml:space="preserve"> Consejo de Estado. Sección Tercera. Sentencia del 3 de mayo 2007. Exp. 16.209. Consejero Ponente: Ramiro Saavedra Becerra.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val="en-US"/>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val="en-US"/>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A7A293D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3121692"/>
    <w:multiLevelType w:val="hybridMultilevel"/>
    <w:tmpl w:val="16342C5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494725A"/>
    <w:multiLevelType w:val="hybridMultilevel"/>
    <w:tmpl w:val="4BA434FE"/>
    <w:lvl w:ilvl="0" w:tplc="5E2415CA">
      <w:start w:val="1"/>
      <w:numFmt w:val="decimal"/>
      <w:lvlText w:val="%1."/>
      <w:lvlJc w:val="left"/>
      <w:pPr>
        <w:ind w:left="385" w:hanging="284"/>
      </w:pPr>
      <w:rPr>
        <w:rFonts w:ascii="Arial" w:eastAsia="Arial" w:hAnsi="Arial" w:cs="Arial" w:hint="default"/>
        <w:b/>
        <w:bCs/>
        <w:spacing w:val="-22"/>
        <w:w w:val="100"/>
        <w:sz w:val="22"/>
        <w:szCs w:val="22"/>
        <w:lang w:val="es-ES" w:eastAsia="en-US" w:bidi="ar-SA"/>
      </w:rPr>
    </w:lvl>
    <w:lvl w:ilvl="1" w:tplc="3A5E90FA">
      <w:start w:val="1"/>
      <w:numFmt w:val="lowerRoman"/>
      <w:lvlText w:val="%2)"/>
      <w:lvlJc w:val="left"/>
      <w:pPr>
        <w:ind w:left="810" w:hanging="246"/>
      </w:pPr>
      <w:rPr>
        <w:rFonts w:ascii="Arial" w:eastAsia="Arial" w:hAnsi="Arial" w:cs="Arial" w:hint="default"/>
        <w:spacing w:val="-10"/>
        <w:w w:val="100"/>
        <w:sz w:val="21"/>
        <w:szCs w:val="21"/>
        <w:lang w:val="es-ES" w:eastAsia="en-US" w:bidi="ar-SA"/>
      </w:rPr>
    </w:lvl>
    <w:lvl w:ilvl="2" w:tplc="6970864C">
      <w:numFmt w:val="bullet"/>
      <w:lvlText w:val="•"/>
      <w:lvlJc w:val="left"/>
      <w:pPr>
        <w:ind w:left="1737" w:hanging="246"/>
      </w:pPr>
      <w:rPr>
        <w:rFonts w:hint="default"/>
        <w:lang w:val="es-ES" w:eastAsia="en-US" w:bidi="ar-SA"/>
      </w:rPr>
    </w:lvl>
    <w:lvl w:ilvl="3" w:tplc="905A34F4">
      <w:numFmt w:val="bullet"/>
      <w:lvlText w:val="•"/>
      <w:lvlJc w:val="left"/>
      <w:pPr>
        <w:ind w:left="2655" w:hanging="246"/>
      </w:pPr>
      <w:rPr>
        <w:rFonts w:hint="default"/>
        <w:lang w:val="es-ES" w:eastAsia="en-US" w:bidi="ar-SA"/>
      </w:rPr>
    </w:lvl>
    <w:lvl w:ilvl="4" w:tplc="D55241F0">
      <w:numFmt w:val="bullet"/>
      <w:lvlText w:val="•"/>
      <w:lvlJc w:val="left"/>
      <w:pPr>
        <w:ind w:left="3573" w:hanging="246"/>
      </w:pPr>
      <w:rPr>
        <w:rFonts w:hint="default"/>
        <w:lang w:val="es-ES" w:eastAsia="en-US" w:bidi="ar-SA"/>
      </w:rPr>
    </w:lvl>
    <w:lvl w:ilvl="5" w:tplc="0DD069AE">
      <w:numFmt w:val="bullet"/>
      <w:lvlText w:val="•"/>
      <w:lvlJc w:val="left"/>
      <w:pPr>
        <w:ind w:left="4491" w:hanging="246"/>
      </w:pPr>
      <w:rPr>
        <w:rFonts w:hint="default"/>
        <w:lang w:val="es-ES" w:eastAsia="en-US" w:bidi="ar-SA"/>
      </w:rPr>
    </w:lvl>
    <w:lvl w:ilvl="6" w:tplc="B5DE9E72">
      <w:numFmt w:val="bullet"/>
      <w:lvlText w:val="•"/>
      <w:lvlJc w:val="left"/>
      <w:pPr>
        <w:ind w:left="5408" w:hanging="246"/>
      </w:pPr>
      <w:rPr>
        <w:rFonts w:hint="default"/>
        <w:lang w:val="es-ES" w:eastAsia="en-US" w:bidi="ar-SA"/>
      </w:rPr>
    </w:lvl>
    <w:lvl w:ilvl="7" w:tplc="E1925CEA">
      <w:numFmt w:val="bullet"/>
      <w:lvlText w:val="•"/>
      <w:lvlJc w:val="left"/>
      <w:pPr>
        <w:ind w:left="6326" w:hanging="246"/>
      </w:pPr>
      <w:rPr>
        <w:rFonts w:hint="default"/>
        <w:lang w:val="es-ES" w:eastAsia="en-US" w:bidi="ar-SA"/>
      </w:rPr>
    </w:lvl>
    <w:lvl w:ilvl="8" w:tplc="17E6498A">
      <w:numFmt w:val="bullet"/>
      <w:lvlText w:val="•"/>
      <w:lvlJc w:val="left"/>
      <w:pPr>
        <w:ind w:left="7244" w:hanging="246"/>
      </w:pPr>
      <w:rPr>
        <w:rFonts w:hint="default"/>
        <w:lang w:val="es-ES" w:eastAsia="en-US" w:bidi="ar-SA"/>
      </w:rPr>
    </w:lvl>
  </w:abstractNum>
  <w:abstractNum w:abstractNumId="5" w15:restartNumberingAfterBreak="0">
    <w:nsid w:val="2F9E775D"/>
    <w:multiLevelType w:val="hybridMultilevel"/>
    <w:tmpl w:val="D2F0EC34"/>
    <w:lvl w:ilvl="0" w:tplc="C9F07DAC">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FE043BB"/>
    <w:multiLevelType w:val="multilevel"/>
    <w:tmpl w:val="9C9A30F4"/>
    <w:lvl w:ilvl="0">
      <w:start w:val="1"/>
      <w:numFmt w:val="decimal"/>
      <w:lvlText w:val="%1."/>
      <w:lvlJc w:val="left"/>
      <w:pPr>
        <w:ind w:left="585" w:hanging="285"/>
        <w:jc w:val="right"/>
      </w:pPr>
      <w:rPr>
        <w:rFonts w:ascii="Arial" w:eastAsia="Arial" w:hAnsi="Arial" w:cs="Arial" w:hint="default"/>
        <w:b/>
        <w:bCs/>
        <w:color w:val="4E4D4D"/>
        <w:spacing w:val="-21"/>
        <w:w w:val="100"/>
        <w:sz w:val="22"/>
        <w:szCs w:val="22"/>
        <w:lang w:val="es-ES" w:eastAsia="en-US" w:bidi="ar-SA"/>
      </w:rPr>
    </w:lvl>
    <w:lvl w:ilvl="1">
      <w:start w:val="1"/>
      <w:numFmt w:val="decimal"/>
      <w:lvlText w:val="%1.%2."/>
      <w:lvlJc w:val="left"/>
      <w:pPr>
        <w:ind w:left="300" w:hanging="470"/>
      </w:pPr>
      <w:rPr>
        <w:rFonts w:ascii="Arial" w:eastAsia="Arial" w:hAnsi="Arial" w:cs="Arial" w:hint="default"/>
        <w:b/>
        <w:bCs/>
        <w:color w:val="4E4D4D"/>
        <w:spacing w:val="-19"/>
        <w:w w:val="100"/>
        <w:sz w:val="22"/>
        <w:szCs w:val="22"/>
        <w:lang w:val="es-ES" w:eastAsia="en-US" w:bidi="ar-SA"/>
      </w:rPr>
    </w:lvl>
    <w:lvl w:ilvl="2">
      <w:start w:val="1"/>
      <w:numFmt w:val="lowerRoman"/>
      <w:lvlText w:val="%3)"/>
      <w:lvlJc w:val="left"/>
      <w:pPr>
        <w:ind w:left="300" w:hanging="198"/>
      </w:pPr>
      <w:rPr>
        <w:rFonts w:ascii="Arial" w:eastAsia="Arial" w:hAnsi="Arial" w:cs="Arial" w:hint="default"/>
        <w:color w:val="4E4D4D"/>
        <w:spacing w:val="0"/>
        <w:w w:val="100"/>
        <w:sz w:val="22"/>
        <w:szCs w:val="22"/>
        <w:lang w:val="es-ES" w:eastAsia="en-US" w:bidi="ar-SA"/>
      </w:rPr>
    </w:lvl>
    <w:lvl w:ilvl="3">
      <w:numFmt w:val="bullet"/>
      <w:lvlText w:val="•"/>
      <w:lvlJc w:val="left"/>
      <w:pPr>
        <w:ind w:left="2571" w:hanging="198"/>
      </w:pPr>
      <w:rPr>
        <w:rFonts w:hint="default"/>
        <w:lang w:val="es-ES" w:eastAsia="en-US" w:bidi="ar-SA"/>
      </w:rPr>
    </w:lvl>
    <w:lvl w:ilvl="4">
      <w:numFmt w:val="bullet"/>
      <w:lvlText w:val="•"/>
      <w:lvlJc w:val="left"/>
      <w:pPr>
        <w:ind w:left="3566" w:hanging="198"/>
      </w:pPr>
      <w:rPr>
        <w:rFonts w:hint="default"/>
        <w:lang w:val="es-ES" w:eastAsia="en-US" w:bidi="ar-SA"/>
      </w:rPr>
    </w:lvl>
    <w:lvl w:ilvl="5">
      <w:numFmt w:val="bullet"/>
      <w:lvlText w:val="•"/>
      <w:lvlJc w:val="left"/>
      <w:pPr>
        <w:ind w:left="4562" w:hanging="198"/>
      </w:pPr>
      <w:rPr>
        <w:rFonts w:hint="default"/>
        <w:lang w:val="es-ES" w:eastAsia="en-US" w:bidi="ar-SA"/>
      </w:rPr>
    </w:lvl>
    <w:lvl w:ilvl="6">
      <w:numFmt w:val="bullet"/>
      <w:lvlText w:val="•"/>
      <w:lvlJc w:val="left"/>
      <w:pPr>
        <w:ind w:left="5557" w:hanging="198"/>
      </w:pPr>
      <w:rPr>
        <w:rFonts w:hint="default"/>
        <w:lang w:val="es-ES" w:eastAsia="en-US" w:bidi="ar-SA"/>
      </w:rPr>
    </w:lvl>
    <w:lvl w:ilvl="7">
      <w:numFmt w:val="bullet"/>
      <w:lvlText w:val="•"/>
      <w:lvlJc w:val="left"/>
      <w:pPr>
        <w:ind w:left="6553" w:hanging="198"/>
      </w:pPr>
      <w:rPr>
        <w:rFonts w:hint="default"/>
        <w:lang w:val="es-ES" w:eastAsia="en-US" w:bidi="ar-SA"/>
      </w:rPr>
    </w:lvl>
    <w:lvl w:ilvl="8">
      <w:numFmt w:val="bullet"/>
      <w:lvlText w:val="•"/>
      <w:lvlJc w:val="left"/>
      <w:pPr>
        <w:ind w:left="7548" w:hanging="198"/>
      </w:pPr>
      <w:rPr>
        <w:rFonts w:hint="default"/>
        <w:lang w:val="es-ES" w:eastAsia="en-US" w:bidi="ar-SA"/>
      </w:rPr>
    </w:lvl>
  </w:abstractNum>
  <w:abstractNum w:abstractNumId="8" w15:restartNumberingAfterBreak="0">
    <w:nsid w:val="405413EB"/>
    <w:multiLevelType w:val="hybridMultilevel"/>
    <w:tmpl w:val="58A4F990"/>
    <w:lvl w:ilvl="0" w:tplc="C3CAD0BC">
      <w:start w:val="1"/>
      <w:numFmt w:val="lowerRoman"/>
      <w:lvlText w:val="%1)"/>
      <w:lvlJc w:val="left"/>
      <w:pPr>
        <w:ind w:left="1430" w:hanging="720"/>
      </w:pPr>
    </w:lvl>
    <w:lvl w:ilvl="1" w:tplc="240A0019">
      <w:start w:val="1"/>
      <w:numFmt w:val="lowerLetter"/>
      <w:lvlText w:val="%2."/>
      <w:lvlJc w:val="left"/>
      <w:pPr>
        <w:ind w:left="1790" w:hanging="360"/>
      </w:pPr>
    </w:lvl>
    <w:lvl w:ilvl="2" w:tplc="240A001B">
      <w:start w:val="1"/>
      <w:numFmt w:val="lowerRoman"/>
      <w:lvlText w:val="%3."/>
      <w:lvlJc w:val="right"/>
      <w:pPr>
        <w:ind w:left="2510" w:hanging="180"/>
      </w:pPr>
    </w:lvl>
    <w:lvl w:ilvl="3" w:tplc="240A000F">
      <w:start w:val="1"/>
      <w:numFmt w:val="decimal"/>
      <w:lvlText w:val="%4."/>
      <w:lvlJc w:val="left"/>
      <w:pPr>
        <w:ind w:left="3230" w:hanging="360"/>
      </w:pPr>
    </w:lvl>
    <w:lvl w:ilvl="4" w:tplc="240A0019">
      <w:start w:val="1"/>
      <w:numFmt w:val="lowerLetter"/>
      <w:lvlText w:val="%5."/>
      <w:lvlJc w:val="left"/>
      <w:pPr>
        <w:ind w:left="3950" w:hanging="360"/>
      </w:pPr>
    </w:lvl>
    <w:lvl w:ilvl="5" w:tplc="240A001B">
      <w:start w:val="1"/>
      <w:numFmt w:val="lowerRoman"/>
      <w:lvlText w:val="%6."/>
      <w:lvlJc w:val="right"/>
      <w:pPr>
        <w:ind w:left="4670" w:hanging="180"/>
      </w:pPr>
    </w:lvl>
    <w:lvl w:ilvl="6" w:tplc="240A000F">
      <w:start w:val="1"/>
      <w:numFmt w:val="decimal"/>
      <w:lvlText w:val="%7."/>
      <w:lvlJc w:val="left"/>
      <w:pPr>
        <w:ind w:left="5390" w:hanging="360"/>
      </w:pPr>
    </w:lvl>
    <w:lvl w:ilvl="7" w:tplc="240A0019">
      <w:start w:val="1"/>
      <w:numFmt w:val="lowerLetter"/>
      <w:lvlText w:val="%8."/>
      <w:lvlJc w:val="left"/>
      <w:pPr>
        <w:ind w:left="6110" w:hanging="360"/>
      </w:pPr>
    </w:lvl>
    <w:lvl w:ilvl="8" w:tplc="240A001B">
      <w:start w:val="1"/>
      <w:numFmt w:val="lowerRoman"/>
      <w:lvlText w:val="%9."/>
      <w:lvlJc w:val="right"/>
      <w:pPr>
        <w:ind w:left="6830" w:hanging="180"/>
      </w:pPr>
    </w:lvl>
  </w:abstractNum>
  <w:abstractNum w:abstractNumId="9" w15:restartNumberingAfterBreak="0">
    <w:nsid w:val="456F63B6"/>
    <w:multiLevelType w:val="hybridMultilevel"/>
    <w:tmpl w:val="08C250DA"/>
    <w:lvl w:ilvl="0" w:tplc="0C0A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E637853"/>
    <w:multiLevelType w:val="hybridMultilevel"/>
    <w:tmpl w:val="7DEE960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115052399">
    <w:abstractNumId w:val="6"/>
  </w:num>
  <w:num w:numId="2" w16cid:durableId="1121998624">
    <w:abstractNumId w:val="1"/>
  </w:num>
  <w:num w:numId="3" w16cid:durableId="2075275680">
    <w:abstractNumId w:val="2"/>
  </w:num>
  <w:num w:numId="4" w16cid:durableId="324433106">
    <w:abstractNumId w:val="7"/>
  </w:num>
  <w:num w:numId="5" w16cid:durableId="74884277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599758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526022818">
    <w:abstractNumId w:val="3"/>
  </w:num>
  <w:num w:numId="8" w16cid:durableId="1698307448">
    <w:abstractNumId w:val="5"/>
  </w:num>
  <w:num w:numId="9" w16cid:durableId="403458468">
    <w:abstractNumId w:val="9"/>
  </w:num>
  <w:num w:numId="10" w16cid:durableId="541016557">
    <w:abstractNumId w:val="10"/>
  </w:num>
  <w:num w:numId="11" w16cid:durableId="8703366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262CB"/>
    <w:rsid w:val="000564EC"/>
    <w:rsid w:val="00083334"/>
    <w:rsid w:val="000956CF"/>
    <w:rsid w:val="000A683E"/>
    <w:rsid w:val="000E71D9"/>
    <w:rsid w:val="0011595A"/>
    <w:rsid w:val="001220C5"/>
    <w:rsid w:val="001267F7"/>
    <w:rsid w:val="00127233"/>
    <w:rsid w:val="00130999"/>
    <w:rsid w:val="00164D81"/>
    <w:rsid w:val="001A1011"/>
    <w:rsid w:val="001A48D0"/>
    <w:rsid w:val="00205220"/>
    <w:rsid w:val="0020725C"/>
    <w:rsid w:val="00210207"/>
    <w:rsid w:val="00255A49"/>
    <w:rsid w:val="002653C1"/>
    <w:rsid w:val="0026611D"/>
    <w:rsid w:val="002951A0"/>
    <w:rsid w:val="002A64FD"/>
    <w:rsid w:val="002C1043"/>
    <w:rsid w:val="002F0839"/>
    <w:rsid w:val="00301469"/>
    <w:rsid w:val="00306EE1"/>
    <w:rsid w:val="00310B9B"/>
    <w:rsid w:val="0036461C"/>
    <w:rsid w:val="00367884"/>
    <w:rsid w:val="0039439C"/>
    <w:rsid w:val="003B69E7"/>
    <w:rsid w:val="003C013B"/>
    <w:rsid w:val="003D0F4D"/>
    <w:rsid w:val="003F58A1"/>
    <w:rsid w:val="00410DD6"/>
    <w:rsid w:val="004134C9"/>
    <w:rsid w:val="0043138C"/>
    <w:rsid w:val="00462A59"/>
    <w:rsid w:val="004A1847"/>
    <w:rsid w:val="004B6B0E"/>
    <w:rsid w:val="004D25B3"/>
    <w:rsid w:val="00511405"/>
    <w:rsid w:val="00526E9D"/>
    <w:rsid w:val="00547856"/>
    <w:rsid w:val="00547A74"/>
    <w:rsid w:val="005566E8"/>
    <w:rsid w:val="005746AB"/>
    <w:rsid w:val="005860C5"/>
    <w:rsid w:val="0059357F"/>
    <w:rsid w:val="005A1130"/>
    <w:rsid w:val="005B1908"/>
    <w:rsid w:val="005D65C8"/>
    <w:rsid w:val="005E70D1"/>
    <w:rsid w:val="006219F8"/>
    <w:rsid w:val="00642D67"/>
    <w:rsid w:val="0065105D"/>
    <w:rsid w:val="00681FDB"/>
    <w:rsid w:val="006971E9"/>
    <w:rsid w:val="006A2001"/>
    <w:rsid w:val="006A7DAD"/>
    <w:rsid w:val="006C0E45"/>
    <w:rsid w:val="006D70BA"/>
    <w:rsid w:val="007566FE"/>
    <w:rsid w:val="0076726F"/>
    <w:rsid w:val="0077144B"/>
    <w:rsid w:val="00793403"/>
    <w:rsid w:val="007C0CDF"/>
    <w:rsid w:val="007E2A2F"/>
    <w:rsid w:val="007F0BBA"/>
    <w:rsid w:val="007F2B7C"/>
    <w:rsid w:val="00811651"/>
    <w:rsid w:val="00820F5B"/>
    <w:rsid w:val="00833452"/>
    <w:rsid w:val="0083704C"/>
    <w:rsid w:val="008614E5"/>
    <w:rsid w:val="008678EB"/>
    <w:rsid w:val="00875894"/>
    <w:rsid w:val="00881C10"/>
    <w:rsid w:val="00890411"/>
    <w:rsid w:val="0089056B"/>
    <w:rsid w:val="008D5C70"/>
    <w:rsid w:val="009025AF"/>
    <w:rsid w:val="00904F23"/>
    <w:rsid w:val="00906B3C"/>
    <w:rsid w:val="00916F48"/>
    <w:rsid w:val="0095342C"/>
    <w:rsid w:val="00965C7D"/>
    <w:rsid w:val="009750AD"/>
    <w:rsid w:val="00997C13"/>
    <w:rsid w:val="009B1582"/>
    <w:rsid w:val="009F33F2"/>
    <w:rsid w:val="009F6C77"/>
    <w:rsid w:val="00A07532"/>
    <w:rsid w:val="00A1085C"/>
    <w:rsid w:val="00A157F3"/>
    <w:rsid w:val="00A309E2"/>
    <w:rsid w:val="00A8066E"/>
    <w:rsid w:val="00A976A0"/>
    <w:rsid w:val="00AA4B8A"/>
    <w:rsid w:val="00AA6BF7"/>
    <w:rsid w:val="00AC5A0A"/>
    <w:rsid w:val="00B01ED6"/>
    <w:rsid w:val="00B06D09"/>
    <w:rsid w:val="00B771A9"/>
    <w:rsid w:val="00B809BB"/>
    <w:rsid w:val="00B8248A"/>
    <w:rsid w:val="00BB7726"/>
    <w:rsid w:val="00BF4513"/>
    <w:rsid w:val="00C10066"/>
    <w:rsid w:val="00C2329E"/>
    <w:rsid w:val="00C30461"/>
    <w:rsid w:val="00C73186"/>
    <w:rsid w:val="00C754BE"/>
    <w:rsid w:val="00C769EC"/>
    <w:rsid w:val="00C87572"/>
    <w:rsid w:val="00C9405D"/>
    <w:rsid w:val="00CC1B26"/>
    <w:rsid w:val="00CD284F"/>
    <w:rsid w:val="00CD548C"/>
    <w:rsid w:val="00CF23AA"/>
    <w:rsid w:val="00D01921"/>
    <w:rsid w:val="00D41B43"/>
    <w:rsid w:val="00D752B7"/>
    <w:rsid w:val="00DA1854"/>
    <w:rsid w:val="00DB0887"/>
    <w:rsid w:val="00DF1E43"/>
    <w:rsid w:val="00E02234"/>
    <w:rsid w:val="00E20894"/>
    <w:rsid w:val="00E26B7C"/>
    <w:rsid w:val="00E87EDC"/>
    <w:rsid w:val="00EA3003"/>
    <w:rsid w:val="00EB3C91"/>
    <w:rsid w:val="00EB66DA"/>
    <w:rsid w:val="00F06DB8"/>
    <w:rsid w:val="00F13131"/>
    <w:rsid w:val="00F3255D"/>
    <w:rsid w:val="00F44412"/>
    <w:rsid w:val="00F605F2"/>
    <w:rsid w:val="00F76AFC"/>
    <w:rsid w:val="00F8319B"/>
    <w:rsid w:val="00FA5516"/>
    <w:rsid w:val="00FD6F73"/>
    <w:rsid w:val="00FE2F29"/>
    <w:rsid w:val="10F55CE9"/>
    <w:rsid w:val="1CC63BF5"/>
    <w:rsid w:val="1D4453CF"/>
    <w:rsid w:val="1FDBD23E"/>
    <w:rsid w:val="27660100"/>
    <w:rsid w:val="2F9951DC"/>
    <w:rsid w:val="311D29BC"/>
    <w:rsid w:val="32C07C6F"/>
    <w:rsid w:val="3EA2D60F"/>
    <w:rsid w:val="54A2F9E0"/>
    <w:rsid w:val="604F5B38"/>
    <w:rsid w:val="679304C2"/>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numbering" w:customStyle="1" w:styleId="Sinlista1">
    <w:name w:val="Sin lista1"/>
    <w:next w:val="Sinlista"/>
    <w:uiPriority w:val="99"/>
    <w:semiHidden/>
    <w:unhideWhenUsed/>
    <w:rsid w:val="00FE2F29"/>
  </w:style>
  <w:style w:type="paragraph" w:styleId="NormalWeb">
    <w:name w:val="Normal (Web)"/>
    <w:basedOn w:val="Normal"/>
    <w:link w:val="NormalWebCar"/>
    <w:uiPriority w:val="99"/>
    <w:unhideWhenUsed/>
    <w:rsid w:val="00FE2F29"/>
    <w:rPr>
      <w:rFonts w:ascii="Times New Roman" w:hAnsi="Times New Roman" w:cs="Times New Roman"/>
      <w:sz w:val="24"/>
      <w:szCs w:val="24"/>
    </w:rPr>
  </w:style>
  <w:style w:type="table" w:customStyle="1" w:styleId="Tablaconcuadrcula1">
    <w:name w:val="Tabla con cuadrícula1"/>
    <w:basedOn w:val="Tablanormal"/>
    <w:next w:val="Tablaconcuadrcula"/>
    <w:uiPriority w:val="59"/>
    <w:qFormat/>
    <w:rsid w:val="00FE2F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aliases w:val="No Indent"/>
    <w:uiPriority w:val="3"/>
    <w:qFormat/>
    <w:rsid w:val="00FE2F29"/>
    <w:pPr>
      <w:spacing w:after="0" w:line="240" w:lineRule="auto"/>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FE2F29"/>
    <w:rPr>
      <w:rFonts w:ascii="Geomanist Light" w:hAnsi="Geomanist Light"/>
      <w:lang w:val="es-ES"/>
    </w:rPr>
  </w:style>
  <w:style w:type="paragraph" w:styleId="Textoindependiente">
    <w:name w:val="Body Text"/>
    <w:basedOn w:val="Normal"/>
    <w:link w:val="TextoindependienteCar"/>
    <w:uiPriority w:val="1"/>
    <w:qFormat/>
    <w:rsid w:val="00FE2F29"/>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E2F29"/>
    <w:rPr>
      <w:rFonts w:ascii="Arial" w:eastAsia="Arial" w:hAnsi="Arial" w:cs="Arial"/>
      <w:lang w:val="es-ES"/>
    </w:rPr>
  </w:style>
  <w:style w:type="table" w:customStyle="1" w:styleId="Tablaconcuadrcula11">
    <w:name w:val="Tabla con cuadrícula11"/>
    <w:basedOn w:val="Tablanormal"/>
    <w:next w:val="Tablaconcuadrcula"/>
    <w:uiPriority w:val="59"/>
    <w:rsid w:val="00FE2F29"/>
    <w:pPr>
      <w:spacing w:before="120"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FE2F29"/>
    <w:rPr>
      <w:color w:val="0563C1" w:themeColor="hyperlink"/>
      <w:u w:val="single"/>
    </w:rPr>
  </w:style>
  <w:style w:type="character" w:customStyle="1" w:styleId="Mencinsinresolver1">
    <w:name w:val="Mención sin resolver1"/>
    <w:basedOn w:val="Fuentedeprrafopredeter"/>
    <w:uiPriority w:val="99"/>
    <w:semiHidden/>
    <w:unhideWhenUsed/>
    <w:rsid w:val="00FE2F29"/>
    <w:rPr>
      <w:color w:val="605E5C"/>
      <w:shd w:val="clear" w:color="auto" w:fill="E1DFDD"/>
    </w:rPr>
  </w:style>
  <w:style w:type="paragraph" w:customStyle="1" w:styleId="Appelnotedebasde">
    <w:name w:val="Appel note de bas de..."/>
    <w:basedOn w:val="Normal"/>
    <w:link w:val="Refdenotaalpie"/>
    <w:uiPriority w:val="99"/>
    <w:rsid w:val="00FE2F29"/>
    <w:pPr>
      <w:spacing w:line="240" w:lineRule="exact"/>
    </w:pPr>
    <w:rPr>
      <w:vertAlign w:val="superscript"/>
    </w:rPr>
  </w:style>
  <w:style w:type="character" w:customStyle="1" w:styleId="NormalWebCar">
    <w:name w:val="Normal (Web) Car"/>
    <w:link w:val="NormalWeb"/>
    <w:uiPriority w:val="99"/>
    <w:locked/>
    <w:rsid w:val="00FE2F29"/>
    <w:rPr>
      <w:rFonts w:ascii="Times New Roman" w:hAnsi="Times New Roman" w:cs="Times New Roman"/>
      <w:sz w:val="24"/>
      <w:szCs w:val="24"/>
    </w:rPr>
  </w:style>
  <w:style w:type="character" w:styleId="Textoennegrita">
    <w:name w:val="Strong"/>
    <w:basedOn w:val="Fuentedeprrafopredeter"/>
    <w:uiPriority w:val="22"/>
    <w:qFormat/>
    <w:rsid w:val="00FE2F29"/>
    <w:rPr>
      <w:b/>
      <w:bCs/>
    </w:rPr>
  </w:style>
  <w:style w:type="character" w:styleId="nfasis">
    <w:name w:val="Emphasis"/>
    <w:basedOn w:val="Fuentedeprrafopredeter"/>
    <w:uiPriority w:val="20"/>
    <w:qFormat/>
    <w:rsid w:val="00FE2F29"/>
    <w:rPr>
      <w:i/>
      <w:iCs/>
    </w:rPr>
  </w:style>
  <w:style w:type="paragraph" w:styleId="Textodeglobo">
    <w:name w:val="Balloon Text"/>
    <w:basedOn w:val="Normal"/>
    <w:link w:val="TextodegloboCar"/>
    <w:uiPriority w:val="99"/>
    <w:semiHidden/>
    <w:unhideWhenUsed/>
    <w:rsid w:val="00FE2F29"/>
    <w:pPr>
      <w:spacing w:after="0" w:line="240" w:lineRule="auto"/>
    </w:pPr>
    <w:rPr>
      <w:rFonts w:ascii="Segoe UI" w:eastAsia="Times New Roman" w:hAnsi="Segoe UI" w:cs="Segoe UI"/>
      <w:sz w:val="18"/>
      <w:szCs w:val="18"/>
      <w:lang w:eastAsia="es-ES_tradnl"/>
    </w:rPr>
  </w:style>
  <w:style w:type="character" w:customStyle="1" w:styleId="TextodegloboCar">
    <w:name w:val="Texto de globo Car"/>
    <w:basedOn w:val="Fuentedeprrafopredeter"/>
    <w:link w:val="Textodeglobo"/>
    <w:uiPriority w:val="99"/>
    <w:semiHidden/>
    <w:rsid w:val="00FE2F29"/>
    <w:rPr>
      <w:rFonts w:ascii="Segoe UI" w:eastAsia="Times New Roman" w:hAnsi="Segoe UI" w:cs="Segoe UI"/>
      <w:sz w:val="18"/>
      <w:szCs w:val="18"/>
      <w:lang w:eastAsia="es-ES_tradnl"/>
    </w:rPr>
  </w:style>
  <w:style w:type="paragraph" w:customStyle="1" w:styleId="paragraph">
    <w:name w:val="paragraph"/>
    <w:basedOn w:val="Normal"/>
    <w:rsid w:val="00FE2F2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eop">
    <w:name w:val="eop"/>
    <w:basedOn w:val="Fuentedeprrafopredeter"/>
    <w:rsid w:val="00FE2F29"/>
  </w:style>
  <w:style w:type="numbering" w:customStyle="1" w:styleId="Sinlista11">
    <w:name w:val="Sin lista11"/>
    <w:next w:val="Sinlista"/>
    <w:uiPriority w:val="99"/>
    <w:semiHidden/>
    <w:unhideWhenUsed/>
    <w:rsid w:val="00FE2F29"/>
  </w:style>
  <w:style w:type="table" w:customStyle="1" w:styleId="NormalTable0">
    <w:name w:val="Normal Table0"/>
    <w:uiPriority w:val="2"/>
    <w:semiHidden/>
    <w:unhideWhenUsed/>
    <w:qFormat/>
    <w:rsid w:val="00FE2F2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E2F29"/>
    <w:pPr>
      <w:widowControl w:val="0"/>
      <w:autoSpaceDE w:val="0"/>
      <w:autoSpaceDN w:val="0"/>
      <w:spacing w:after="0" w:line="240" w:lineRule="auto"/>
    </w:pPr>
    <w:rPr>
      <w:rFonts w:ascii="Arial" w:eastAsia="Arial" w:hAnsi="Arial" w:cs="Arial"/>
      <w:lang w:val="es-ES"/>
    </w:rPr>
  </w:style>
  <w:style w:type="table" w:customStyle="1" w:styleId="Tablaconcuadrcula111">
    <w:name w:val="Tabla con cuadrícula111"/>
    <w:basedOn w:val="Tablanormal"/>
    <w:next w:val="Tablaconcuadrcula"/>
    <w:uiPriority w:val="59"/>
    <w:rsid w:val="00FE2F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http://schemas.microsoft.com/office/2006/documentManagement/types"/>
    <ds:schemaRef ds:uri="http://purl.org/dc/elements/1.1/"/>
    <ds:schemaRef ds:uri="http://purl.org/dc/terms/"/>
    <ds:schemaRef ds:uri="http://purl.org/dc/dcmitype/"/>
    <ds:schemaRef ds:uri="http://schemas.openxmlformats.org/package/2006/metadata/core-properties"/>
    <ds:schemaRef ds:uri="a6cb9e4b-f1d1-4245-83ec-6cad768d538a"/>
    <ds:schemaRef ds:uri="http://www.w3.org/XML/1998/namespace"/>
  </ds:schemaRefs>
</ds:datastoreItem>
</file>

<file path=customXml/itemProps3.xml><?xml version="1.0" encoding="utf-8"?>
<ds:datastoreItem xmlns:ds="http://schemas.openxmlformats.org/officeDocument/2006/customXml" ds:itemID="{77BEBAF7-6ADD-428C-97C9-48D800E9B33C}">
  <ds:schemaRefs>
    <ds:schemaRef ds:uri="http://schemas.openxmlformats.org/officeDocument/2006/bibliography"/>
  </ds:schemaRefs>
</ds:datastoreItem>
</file>

<file path=customXml/itemProps4.xml><?xml version="1.0" encoding="utf-8"?>
<ds:datastoreItem xmlns:ds="http://schemas.openxmlformats.org/officeDocument/2006/customXml" ds:itemID="{55797D3F-B4D3-402A-A24D-553C772E6E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15636</Words>
  <Characters>86000</Characters>
  <Application>Microsoft Office Word</Application>
  <DocSecurity>0</DocSecurity>
  <Lines>716</Lines>
  <Paragraphs>202</Paragraphs>
  <ScaleCrop>false</ScaleCrop>
  <Company/>
  <LinksUpToDate>false</LinksUpToDate>
  <CharactersWithSpaces>101434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Lucia Saavedra</cp:lastModifiedBy>
  <cp:revision>2</cp:revision>
  <dcterms:created xsi:type="dcterms:W3CDTF">2023-03-02T16:51:00Z</dcterms:created>
  <dcterms:modified xsi:type="dcterms:W3CDTF">2023-03-02T16:51:00Z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