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72F64" w14:textId="77777777" w:rsidR="00851C60" w:rsidRPr="00426ACF" w:rsidRDefault="00851C60" w:rsidP="00851C60">
      <w:pPr>
        <w:spacing w:after="0" w:line="240" w:lineRule="auto"/>
        <w:contextualSpacing/>
        <w:jc w:val="both"/>
        <w:rPr>
          <w:rFonts w:ascii="Arial" w:hAnsi="Arial" w:cs="Arial"/>
          <w:b/>
          <w:bCs/>
          <w:sz w:val="20"/>
          <w:szCs w:val="20"/>
          <w:lang w:val="es-ES"/>
        </w:rPr>
      </w:pPr>
      <w:bookmarkStart w:id="0" w:name="_Hlk109054766"/>
      <w:r w:rsidRPr="00426ACF">
        <w:rPr>
          <w:rFonts w:ascii="Arial" w:hAnsi="Arial" w:cs="Arial"/>
          <w:b/>
          <w:bCs/>
          <w:sz w:val="20"/>
          <w:szCs w:val="20"/>
          <w:lang w:val="es-ES"/>
        </w:rPr>
        <w:t xml:space="preserve">DEBER DE PUBLICIDAD </w:t>
      </w:r>
      <w:r w:rsidRPr="00426ACF">
        <w:rPr>
          <w:rFonts w:ascii="Arial" w:eastAsia="Calibri" w:hAnsi="Arial" w:cs="Arial"/>
          <w:b/>
          <w:bCs/>
          <w:sz w:val="20"/>
          <w:szCs w:val="20"/>
          <w:lang w:val="es-ES"/>
        </w:rPr>
        <w:t>–</w:t>
      </w:r>
      <w:r w:rsidRPr="00426ACF">
        <w:rPr>
          <w:rFonts w:ascii="Arial" w:hAnsi="Arial" w:cs="Arial"/>
          <w:b/>
          <w:bCs/>
          <w:sz w:val="20"/>
          <w:szCs w:val="20"/>
          <w:lang w:val="es-ES"/>
        </w:rPr>
        <w:t xml:space="preserve"> Entidades estatales exceptuadas del estatuto general de contratación de la administración pública</w:t>
      </w:r>
    </w:p>
    <w:p w14:paraId="35E1F9CD" w14:textId="77777777" w:rsidR="00851C60" w:rsidRPr="00426ACF" w:rsidRDefault="00851C60" w:rsidP="00851C60">
      <w:pPr>
        <w:spacing w:after="0" w:line="240" w:lineRule="auto"/>
        <w:contextualSpacing/>
        <w:jc w:val="both"/>
        <w:rPr>
          <w:rFonts w:ascii="Arial" w:hAnsi="Arial" w:cs="Arial"/>
          <w:b/>
          <w:bCs/>
          <w:iCs/>
          <w:sz w:val="20"/>
          <w:szCs w:val="20"/>
          <w:lang w:val="es-ES_tradnl"/>
        </w:rPr>
      </w:pPr>
    </w:p>
    <w:p w14:paraId="39390B95" w14:textId="77777777" w:rsidR="00851C60" w:rsidRPr="00426ACF" w:rsidRDefault="00851C60" w:rsidP="00851C60">
      <w:pPr>
        <w:spacing w:after="0" w:line="240" w:lineRule="auto"/>
        <w:contextualSpacing/>
        <w:jc w:val="both"/>
        <w:rPr>
          <w:rFonts w:ascii="Arial" w:eastAsia="Times New Roman" w:hAnsi="Arial" w:cs="Arial"/>
          <w:sz w:val="20"/>
          <w:szCs w:val="20"/>
          <w:lang w:eastAsia="es-CO"/>
        </w:rPr>
      </w:pPr>
      <w:r w:rsidRPr="00426ACF">
        <w:rPr>
          <w:rFonts w:ascii="Arial" w:eastAsia="Times New Roman" w:hAnsi="Arial" w:cs="Arial"/>
          <w:sz w:val="20"/>
          <w:szCs w:val="20"/>
          <w:lang w:eastAsia="es-CO"/>
        </w:rPr>
        <w:t>La Ley 1712 de 2014, por medio de la cual se crea la Ley de Transparencia y del Derecho de Acceso a la Información Pública Nacional y se dictan otras disposiciones, identifica como principios que orientan el derecho de acceso a la información pública, el principio de máxima publicidad, el principio de transparencia en la información y el principio de buena fe. El principio de máxima publicidad establece que «toda información en posesión, bajo control o custodia de un sujeto obligado es pública y no podrá ser reservada o limitada sino por disposición constitucional o legal». El principio de transparencia en la información alude al deber de los sujetos de proporcionar y facilitar el acceso a la misma en los términos más amplios posibles, a través de los medios y procedimientos que establezca la</w:t>
      </w:r>
      <w:r w:rsidRPr="00426ACF">
        <w:rPr>
          <w:rFonts w:ascii="Arial" w:eastAsia="Times New Roman" w:hAnsi="Arial" w:cs="Arial"/>
          <w:spacing w:val="-2"/>
          <w:sz w:val="20"/>
          <w:szCs w:val="20"/>
          <w:lang w:eastAsia="es-CO"/>
        </w:rPr>
        <w:t xml:space="preserve"> </w:t>
      </w:r>
      <w:r w:rsidRPr="00426ACF">
        <w:rPr>
          <w:rFonts w:ascii="Arial" w:eastAsia="Times New Roman" w:hAnsi="Arial" w:cs="Arial"/>
          <w:sz w:val="20"/>
          <w:szCs w:val="20"/>
          <w:lang w:eastAsia="es-CO"/>
        </w:rPr>
        <w:t xml:space="preserve">ley. Y el principio de buena fe hace referencia al deber de todo sujeto obligado de cumplir con las obligaciones derivadas del derecho de acceso a la información pública con motivación honesta, leal y desprovista de cualquier intención dolosa o culposa. </w:t>
      </w:r>
    </w:p>
    <w:p w14:paraId="5C7E325D" w14:textId="77777777" w:rsidR="00851C60" w:rsidRPr="00426ACF" w:rsidRDefault="00851C60" w:rsidP="00851C60">
      <w:pPr>
        <w:spacing w:after="0" w:line="240" w:lineRule="auto"/>
        <w:contextualSpacing/>
        <w:jc w:val="both"/>
        <w:rPr>
          <w:rFonts w:ascii="Arial" w:eastAsia="Times New Roman" w:hAnsi="Arial" w:cs="Arial"/>
          <w:sz w:val="20"/>
          <w:szCs w:val="20"/>
          <w:lang w:eastAsia="es-CO"/>
        </w:rPr>
      </w:pPr>
    </w:p>
    <w:p w14:paraId="705EEE74" w14:textId="77777777" w:rsidR="00851C60" w:rsidRPr="00426ACF" w:rsidRDefault="00851C60" w:rsidP="00851C60">
      <w:pPr>
        <w:spacing w:after="0" w:line="240" w:lineRule="auto"/>
        <w:contextualSpacing/>
        <w:jc w:val="both"/>
        <w:rPr>
          <w:rFonts w:ascii="Arial" w:eastAsia="Times New Roman" w:hAnsi="Arial" w:cs="Arial"/>
          <w:sz w:val="20"/>
          <w:szCs w:val="20"/>
          <w:lang w:eastAsia="es-CO"/>
        </w:rPr>
      </w:pPr>
      <w:r w:rsidRPr="00426ACF">
        <w:rPr>
          <w:rFonts w:ascii="Arial" w:eastAsia="Times New Roman" w:hAnsi="Arial" w:cs="Arial"/>
          <w:sz w:val="20"/>
          <w:szCs w:val="20"/>
          <w:lang w:eastAsia="es-CO"/>
        </w:rPr>
        <w:t xml:space="preserve">La citada Ley establece, en el literal e) del artículo 9, que los </w:t>
      </w:r>
      <w:r w:rsidRPr="00426ACF">
        <w:rPr>
          <w:rFonts w:ascii="Arial" w:eastAsia="Times New Roman" w:hAnsi="Arial" w:cs="Arial"/>
          <w:i/>
          <w:iCs/>
          <w:sz w:val="20"/>
          <w:szCs w:val="20"/>
          <w:lang w:eastAsia="es-CO"/>
        </w:rPr>
        <w:t xml:space="preserve">sujetos obligados </w:t>
      </w:r>
      <w:r w:rsidRPr="00426ACF">
        <w:rPr>
          <w:rFonts w:ascii="Arial" w:eastAsia="Times New Roman" w:hAnsi="Arial" w:cs="Arial"/>
          <w:sz w:val="20"/>
          <w:szCs w:val="20"/>
          <w:lang w:eastAsia="es-CO"/>
        </w:rPr>
        <w:t xml:space="preserve">deben publicar la información relativa a su contratación. </w:t>
      </w:r>
      <w:r w:rsidRPr="00426ACF">
        <w:rPr>
          <w:rFonts w:ascii="Arial" w:eastAsia="Arial MT" w:hAnsi="Arial" w:cs="Arial"/>
          <w:sz w:val="20"/>
          <w:szCs w:val="20"/>
          <w:lang w:val="es-ES"/>
        </w:rPr>
        <w:t xml:space="preserve">El artículo 5 </w:t>
      </w:r>
      <w:r w:rsidRPr="00426ACF">
        <w:rPr>
          <w:rFonts w:ascii="Arial" w:eastAsia="Arial MT" w:hAnsi="Arial" w:cs="Arial"/>
          <w:i/>
          <w:iCs/>
          <w:sz w:val="20"/>
          <w:szCs w:val="20"/>
          <w:lang w:val="es-ES"/>
        </w:rPr>
        <w:t>ibidem</w:t>
      </w:r>
      <w:r w:rsidRPr="00426ACF">
        <w:rPr>
          <w:rFonts w:ascii="Arial" w:eastAsia="Arial MT" w:hAnsi="Arial" w:cs="Arial"/>
          <w:sz w:val="20"/>
          <w:szCs w:val="20"/>
          <w:lang w:val="es-ES"/>
        </w:rPr>
        <w:t>, al describir qué se entiende por sujetos obligados, consagra una lista cuyo propósito es incluir a cualquier entidad, órgano, organismo, o persona natural que desempeñe funciones públicas o administre recursos públicos. También son sujetos obligados las empresas públicas, las empresas del Estado y las sociedades en las que el Estado tenga participación, sin que importe su monto.</w:t>
      </w:r>
      <w:r w:rsidRPr="00426ACF">
        <w:rPr>
          <w:rFonts w:ascii="Arial" w:eastAsia="Times New Roman" w:hAnsi="Arial" w:cs="Arial"/>
          <w:sz w:val="20"/>
          <w:szCs w:val="20"/>
          <w:lang w:eastAsia="es-CO"/>
        </w:rPr>
        <w:t xml:space="preserve"> </w:t>
      </w:r>
    </w:p>
    <w:p w14:paraId="04EEBBB9" w14:textId="77777777" w:rsidR="00851C60" w:rsidRPr="00426ACF" w:rsidRDefault="00851C60" w:rsidP="00851C60">
      <w:pPr>
        <w:spacing w:after="0" w:line="240" w:lineRule="auto"/>
        <w:contextualSpacing/>
        <w:jc w:val="both"/>
        <w:rPr>
          <w:rFonts w:ascii="Arial" w:eastAsia="Times New Roman" w:hAnsi="Arial" w:cs="Arial"/>
          <w:sz w:val="20"/>
          <w:szCs w:val="20"/>
          <w:lang w:eastAsia="es-CO"/>
        </w:rPr>
      </w:pPr>
    </w:p>
    <w:p w14:paraId="55A46B1E" w14:textId="77777777" w:rsidR="00851C60" w:rsidRPr="00426ACF" w:rsidRDefault="00851C60" w:rsidP="00851C60">
      <w:pPr>
        <w:spacing w:after="0" w:line="240" w:lineRule="auto"/>
        <w:contextualSpacing/>
        <w:jc w:val="both"/>
        <w:rPr>
          <w:rFonts w:ascii="Arial" w:hAnsi="Arial" w:cs="Arial"/>
          <w:b/>
          <w:bCs/>
          <w:iCs/>
          <w:sz w:val="20"/>
          <w:szCs w:val="20"/>
          <w:lang w:val="es-ES_tradnl"/>
        </w:rPr>
      </w:pPr>
      <w:r w:rsidRPr="00426ACF">
        <w:rPr>
          <w:rFonts w:ascii="Arial" w:hAnsi="Arial" w:cs="Arial"/>
          <w:b/>
          <w:bCs/>
          <w:iCs/>
          <w:sz w:val="20"/>
          <w:szCs w:val="20"/>
          <w:lang w:val="es-ES_tradnl"/>
        </w:rPr>
        <w:t xml:space="preserve">SECOP II </w:t>
      </w:r>
      <w:r w:rsidRPr="00426ACF">
        <w:rPr>
          <w:rFonts w:ascii="Arial" w:eastAsia="Calibri" w:hAnsi="Arial" w:cs="Arial"/>
          <w:b/>
          <w:sz w:val="20"/>
          <w:szCs w:val="20"/>
          <w:lang w:val="es-ES_tradnl"/>
        </w:rPr>
        <w:t>–</w:t>
      </w:r>
      <w:r w:rsidRPr="00426ACF">
        <w:rPr>
          <w:rFonts w:ascii="Arial" w:hAnsi="Arial" w:cs="Arial"/>
          <w:b/>
          <w:bCs/>
          <w:iCs/>
          <w:sz w:val="20"/>
          <w:szCs w:val="20"/>
          <w:lang w:val="es-ES_tradnl"/>
        </w:rPr>
        <w:t xml:space="preserve"> Deber de publicidad </w:t>
      </w:r>
      <w:r w:rsidRPr="00426ACF">
        <w:rPr>
          <w:rFonts w:ascii="Arial" w:eastAsia="Calibri" w:hAnsi="Arial" w:cs="Arial"/>
          <w:b/>
          <w:sz w:val="20"/>
          <w:szCs w:val="20"/>
          <w:lang w:val="es-ES_tradnl"/>
        </w:rPr>
        <w:t>–</w:t>
      </w:r>
      <w:r w:rsidRPr="00426ACF">
        <w:rPr>
          <w:rFonts w:ascii="Arial" w:hAnsi="Arial" w:cs="Arial"/>
          <w:b/>
          <w:bCs/>
          <w:iCs/>
          <w:sz w:val="20"/>
          <w:szCs w:val="20"/>
          <w:lang w:val="es-ES_tradnl"/>
        </w:rPr>
        <w:t xml:space="preserve"> Entidades estatales exceptuadas del estatuto general de contratación de la administración pública – Modificación artículo 53 de la Ley 2195 de 2022</w:t>
      </w:r>
    </w:p>
    <w:p w14:paraId="1FAE3F9B" w14:textId="77777777" w:rsidR="00851C60" w:rsidRPr="00426ACF" w:rsidRDefault="00851C60" w:rsidP="00851C60">
      <w:pPr>
        <w:spacing w:after="0" w:line="240" w:lineRule="auto"/>
        <w:contextualSpacing/>
        <w:jc w:val="both"/>
        <w:rPr>
          <w:rFonts w:ascii="Arial" w:hAnsi="Arial" w:cs="Arial"/>
          <w:b/>
          <w:bCs/>
          <w:iCs/>
          <w:sz w:val="20"/>
          <w:szCs w:val="20"/>
          <w:lang w:val="es-ES_tradnl"/>
        </w:rPr>
      </w:pPr>
    </w:p>
    <w:p w14:paraId="7ACAF1C0" w14:textId="77777777" w:rsidR="00851C60" w:rsidRPr="00426ACF" w:rsidRDefault="00851C60" w:rsidP="00851C60">
      <w:pPr>
        <w:spacing w:after="0" w:line="240" w:lineRule="auto"/>
        <w:contextualSpacing/>
        <w:jc w:val="both"/>
        <w:rPr>
          <w:rFonts w:ascii="Arial" w:hAnsi="Arial" w:cs="Arial"/>
          <w:sz w:val="20"/>
          <w:szCs w:val="20"/>
        </w:rPr>
      </w:pPr>
      <w:r w:rsidRPr="00426ACF">
        <w:rPr>
          <w:rFonts w:ascii="Arial" w:hAnsi="Arial" w:cs="Arial"/>
          <w:sz w:val="20"/>
          <w:szCs w:val="20"/>
        </w:rPr>
        <w:t xml:space="preserve">[…] la Ley 2195 de 2022, por medio de la cual se adoptan medidas en materia de transparencia, prevención y lucha contra la corrupción. </w:t>
      </w:r>
      <w:r w:rsidRPr="00426ACF">
        <w:rPr>
          <w:rFonts w:ascii="Arial" w:eastAsia="Calibri" w:hAnsi="Arial" w:cs="Arial"/>
          <w:sz w:val="20"/>
          <w:szCs w:val="20"/>
          <w:lang w:val="es-ES_tradnl" w:eastAsia="es-ES_tradnl"/>
        </w:rPr>
        <w:t>Según el artículo 1, esta Ley «</w:t>
      </w:r>
      <w:r w:rsidRPr="00426ACF">
        <w:rPr>
          <w:rFonts w:ascii="Arial" w:eastAsia="Times New Roman" w:hAnsi="Arial" w:cs="Arial"/>
          <w:sz w:val="20"/>
          <w:szCs w:val="20"/>
          <w:lang w:val="es-ES_tradnl" w:eastAsia="es-ES_tradnl"/>
        </w:rPr>
        <w:t xml:space="preserve">[…] </w:t>
      </w:r>
      <w:r w:rsidRPr="00426ACF">
        <w:rPr>
          <w:rFonts w:ascii="Arial" w:eastAsia="Calibri" w:hAnsi="Arial" w:cs="Arial"/>
          <w:sz w:val="20"/>
          <w:szCs w:val="20"/>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Dentro del capítulo VIII de la Ley en mención, que lleva por título «Disposiciones en materia contractual para la moralización y la transparencia», se ubica </w:t>
      </w:r>
      <w:r w:rsidRPr="00426ACF">
        <w:rPr>
          <w:rFonts w:ascii="Arial" w:hAnsi="Arial" w:cs="Arial"/>
          <w:sz w:val="20"/>
          <w:szCs w:val="20"/>
        </w:rPr>
        <w:t>el artículo 53, a través del cual se adiciona el artículo 13 de la Ley 1150 de 2007. La referida disposición les asigna a las entidades estatales que por disposición legal cuenten con un régimen contractual excepcional al del Estatuto General de Contratación de la Administración Pública la obligación de publicar los documentos relacionados con su actividad contractual en el Sistema Electrónico para la Contratación Pública –SECOP II- o la plataforma transaccional que haga sus veces.</w:t>
      </w:r>
    </w:p>
    <w:p w14:paraId="56A947C9" w14:textId="77777777" w:rsidR="00851C60" w:rsidRPr="00426ACF" w:rsidRDefault="00851C60" w:rsidP="00851C60">
      <w:pPr>
        <w:spacing w:after="0" w:line="240" w:lineRule="auto"/>
        <w:contextualSpacing/>
        <w:jc w:val="both"/>
        <w:rPr>
          <w:rFonts w:ascii="Arial" w:eastAsia="Calibri" w:hAnsi="Arial" w:cs="Arial"/>
          <w:b/>
          <w:sz w:val="20"/>
          <w:szCs w:val="20"/>
          <w:lang w:val="es-ES_tradnl"/>
        </w:rPr>
      </w:pPr>
    </w:p>
    <w:p w14:paraId="3733DFBC" w14:textId="77777777" w:rsidR="00851C60" w:rsidRPr="00426ACF" w:rsidRDefault="00851C60" w:rsidP="00851C60">
      <w:pPr>
        <w:spacing w:after="0" w:line="240" w:lineRule="auto"/>
        <w:contextualSpacing/>
        <w:jc w:val="both"/>
        <w:rPr>
          <w:rFonts w:ascii="Arial" w:eastAsia="Calibri" w:hAnsi="Arial" w:cs="Arial"/>
          <w:b/>
          <w:sz w:val="20"/>
          <w:szCs w:val="20"/>
          <w:lang w:val="es-ES_tradnl"/>
        </w:rPr>
      </w:pPr>
      <w:r w:rsidRPr="00426ACF">
        <w:rPr>
          <w:rFonts w:ascii="Arial" w:eastAsia="Calibri" w:hAnsi="Arial" w:cs="Arial"/>
          <w:b/>
          <w:sz w:val="20"/>
          <w:szCs w:val="20"/>
          <w:lang w:val="es-ES_tradnl"/>
        </w:rPr>
        <w:t>SECOP II –</w:t>
      </w:r>
      <w:r w:rsidRPr="00426ACF">
        <w:rPr>
          <w:rFonts w:ascii="Arial" w:hAnsi="Arial" w:cs="Arial"/>
          <w:b/>
          <w:bCs/>
          <w:iCs/>
          <w:sz w:val="20"/>
          <w:szCs w:val="20"/>
          <w:lang w:val="es-ES_tradnl"/>
        </w:rPr>
        <w:t xml:space="preserve"> Deber de publicidad </w:t>
      </w:r>
      <w:r w:rsidRPr="00426ACF">
        <w:rPr>
          <w:rFonts w:ascii="Arial" w:eastAsia="Calibri" w:hAnsi="Arial" w:cs="Arial"/>
          <w:b/>
          <w:sz w:val="20"/>
          <w:szCs w:val="20"/>
          <w:lang w:val="es-ES_tradnl"/>
        </w:rPr>
        <w:t>–</w:t>
      </w:r>
      <w:r w:rsidRPr="00426ACF">
        <w:rPr>
          <w:rFonts w:ascii="Arial" w:hAnsi="Arial" w:cs="Arial"/>
          <w:b/>
          <w:bCs/>
          <w:iCs/>
          <w:sz w:val="20"/>
          <w:szCs w:val="20"/>
          <w:lang w:val="es-ES_tradnl"/>
        </w:rPr>
        <w:t xml:space="preserve"> Entidades estatales exceptuadas del estatuto general de contratación de la administración pública </w:t>
      </w:r>
      <w:r w:rsidRPr="00426ACF">
        <w:rPr>
          <w:rFonts w:ascii="Arial" w:eastAsia="Calibri" w:hAnsi="Arial" w:cs="Arial"/>
          <w:b/>
          <w:sz w:val="20"/>
          <w:szCs w:val="20"/>
          <w:lang w:val="es-ES_tradnl"/>
        </w:rPr>
        <w:t>–</w:t>
      </w:r>
      <w:r w:rsidRPr="00426ACF">
        <w:rPr>
          <w:rFonts w:ascii="Arial" w:hAnsi="Arial" w:cs="Arial"/>
          <w:b/>
          <w:bCs/>
          <w:iCs/>
          <w:sz w:val="20"/>
          <w:szCs w:val="20"/>
          <w:lang w:val="es-ES_tradnl"/>
        </w:rPr>
        <w:t xml:space="preserve"> </w:t>
      </w:r>
      <w:r w:rsidRPr="00426ACF">
        <w:rPr>
          <w:rFonts w:ascii="Arial" w:eastAsia="Calibri" w:hAnsi="Arial" w:cs="Arial"/>
          <w:b/>
          <w:sz w:val="20"/>
          <w:szCs w:val="20"/>
          <w:lang w:val="es-ES_tradnl"/>
        </w:rPr>
        <w:t xml:space="preserve">Vigencia   </w:t>
      </w:r>
    </w:p>
    <w:p w14:paraId="5C1AF07C" w14:textId="77777777" w:rsidR="00851C60" w:rsidRPr="00426ACF" w:rsidRDefault="00851C60" w:rsidP="00851C60">
      <w:pPr>
        <w:spacing w:after="0" w:line="240" w:lineRule="auto"/>
        <w:contextualSpacing/>
        <w:jc w:val="both"/>
        <w:rPr>
          <w:rFonts w:ascii="Arial" w:eastAsia="Calibri" w:hAnsi="Arial" w:cs="Arial"/>
          <w:sz w:val="20"/>
          <w:szCs w:val="20"/>
          <w:lang w:val="es-ES_tradnl"/>
        </w:rPr>
      </w:pPr>
    </w:p>
    <w:p w14:paraId="10889FF0" w14:textId="77777777" w:rsidR="00851C60" w:rsidRPr="00426ACF" w:rsidRDefault="00851C60" w:rsidP="00851C60">
      <w:pPr>
        <w:spacing w:after="0" w:line="240" w:lineRule="auto"/>
        <w:contextualSpacing/>
        <w:jc w:val="both"/>
        <w:rPr>
          <w:rFonts w:ascii="Arial" w:eastAsia="Calibri" w:hAnsi="Arial" w:cs="Arial"/>
          <w:sz w:val="20"/>
          <w:szCs w:val="20"/>
          <w:lang w:val="es-ES_tradnl"/>
        </w:rPr>
      </w:pPr>
      <w:r w:rsidRPr="00426ACF">
        <w:rPr>
          <w:rFonts w:ascii="Arial" w:eastAsia="Calibri" w:hAnsi="Arial" w:cs="Arial"/>
          <w:sz w:val="20"/>
          <w:szCs w:val="20"/>
          <w:lang w:val="es-ES_tradnl"/>
        </w:rPr>
        <w:t xml:space="preserve">Finalmente, el inciso final del artículo 53 dispone que «A partir de la entrada en vigencia de la presente Ley, se establecerá un periodo de transición de seis (6) meses, para que las entidades den cumplimiento efectivo a lo aquí establecido». Es decir, que se trata un período concedido por el Legislador a las entidades que tienen un régimen especial de contratación para adelantar las gestiones administrativas, técnicas y jurídicas pertinentes, a fin de cumplir lo establecido en el artículo citado. Este período de transición va del 18 de enero al 18 de julio de 2022. Si bien la norma materia de estudio no hace referencia a los contratos suscritos con anterioridad a su entrada en vigencia, de acuerdo con el artículo 38 de la Ley 153 de 1887, el cual dispone que en todo contrato se entenderán incorporadas las leyes vigentes al tiempo de su celebración, la obligación para las entidades estatales exceptuadas de publicar los documentos relacionados con su actividad contractual en el SECOP II aplica para los contratos suscritos con posterioridad al término dispuesto en el artículo 53 de la Ley 2195 de 2022, esto es, el 18 de julio de 2022. </w:t>
      </w:r>
    </w:p>
    <w:p w14:paraId="646C7A53" w14:textId="77777777" w:rsidR="00851C60" w:rsidRPr="00426ACF" w:rsidRDefault="00851C60" w:rsidP="00851C60">
      <w:pPr>
        <w:spacing w:after="0" w:line="240" w:lineRule="auto"/>
        <w:contextualSpacing/>
        <w:jc w:val="both"/>
        <w:rPr>
          <w:rFonts w:ascii="Arial" w:eastAsia="Calibri" w:hAnsi="Arial" w:cs="Arial"/>
          <w:b/>
          <w:sz w:val="20"/>
          <w:szCs w:val="20"/>
          <w:lang w:val="es-ES_tradnl"/>
        </w:rPr>
      </w:pPr>
    </w:p>
    <w:p w14:paraId="309DAE93" w14:textId="77777777" w:rsidR="00851C60" w:rsidRPr="00426ACF" w:rsidRDefault="00851C60" w:rsidP="00851C60">
      <w:pPr>
        <w:spacing w:after="0" w:line="240" w:lineRule="auto"/>
        <w:contextualSpacing/>
        <w:jc w:val="both"/>
        <w:rPr>
          <w:rFonts w:ascii="Arial" w:eastAsia="Calibri" w:hAnsi="Arial" w:cs="Arial"/>
          <w:b/>
          <w:sz w:val="20"/>
          <w:szCs w:val="20"/>
          <w:lang w:val="es-ES_tradnl"/>
        </w:rPr>
      </w:pPr>
      <w:r w:rsidRPr="00426ACF">
        <w:rPr>
          <w:rFonts w:ascii="Arial" w:eastAsia="Calibri" w:hAnsi="Arial" w:cs="Arial"/>
          <w:b/>
          <w:sz w:val="20"/>
          <w:szCs w:val="20"/>
          <w:lang w:val="es-ES_tradnl"/>
        </w:rPr>
        <w:t>SECOP II –</w:t>
      </w:r>
      <w:r w:rsidRPr="00426ACF">
        <w:rPr>
          <w:rFonts w:ascii="Arial" w:hAnsi="Arial" w:cs="Arial"/>
          <w:b/>
          <w:bCs/>
          <w:iCs/>
          <w:sz w:val="20"/>
          <w:szCs w:val="20"/>
          <w:lang w:val="es-ES_tradnl"/>
        </w:rPr>
        <w:t xml:space="preserve"> Deber de publicidad </w:t>
      </w:r>
      <w:r w:rsidRPr="00426ACF">
        <w:rPr>
          <w:rFonts w:ascii="Arial" w:eastAsia="Calibri" w:hAnsi="Arial" w:cs="Arial"/>
          <w:b/>
          <w:sz w:val="20"/>
          <w:szCs w:val="20"/>
          <w:lang w:val="es-ES_tradnl"/>
        </w:rPr>
        <w:t xml:space="preserve">– </w:t>
      </w:r>
      <w:r w:rsidRPr="00426ACF">
        <w:rPr>
          <w:rFonts w:ascii="Arial" w:hAnsi="Arial" w:cs="Arial"/>
          <w:b/>
          <w:bCs/>
          <w:iCs/>
          <w:sz w:val="20"/>
          <w:szCs w:val="20"/>
          <w:lang w:val="es-ES_tradnl"/>
        </w:rPr>
        <w:t xml:space="preserve">Entidades estatales exceptuadas del estatuto general de contratación de la administración pública </w:t>
      </w:r>
      <w:r w:rsidRPr="00426ACF">
        <w:rPr>
          <w:rFonts w:ascii="Arial" w:eastAsia="Calibri" w:hAnsi="Arial" w:cs="Arial"/>
          <w:b/>
          <w:sz w:val="20"/>
          <w:szCs w:val="20"/>
          <w:lang w:val="es-ES_tradnl"/>
        </w:rPr>
        <w:t>– Uso</w:t>
      </w:r>
    </w:p>
    <w:bookmarkEnd w:id="0"/>
    <w:p w14:paraId="2C3F10E0" w14:textId="77777777" w:rsidR="00851C60" w:rsidRPr="00426ACF" w:rsidRDefault="00851C60" w:rsidP="00851C60">
      <w:pPr>
        <w:autoSpaceDE w:val="0"/>
        <w:autoSpaceDN w:val="0"/>
        <w:adjustRightInd w:val="0"/>
        <w:spacing w:after="0" w:line="240" w:lineRule="auto"/>
        <w:contextualSpacing/>
        <w:jc w:val="both"/>
        <w:rPr>
          <w:rFonts w:ascii="Arial" w:eastAsia="Calibri" w:hAnsi="Arial" w:cs="Arial"/>
          <w:b/>
          <w:sz w:val="20"/>
          <w:szCs w:val="20"/>
          <w:lang w:val="es-ES_tradnl"/>
        </w:rPr>
      </w:pPr>
    </w:p>
    <w:p w14:paraId="0A772231" w14:textId="77777777" w:rsidR="00851C60" w:rsidRPr="00426ACF" w:rsidRDefault="00851C60" w:rsidP="00851C60">
      <w:pPr>
        <w:autoSpaceDE w:val="0"/>
        <w:autoSpaceDN w:val="0"/>
        <w:adjustRightInd w:val="0"/>
        <w:spacing w:after="0" w:line="240" w:lineRule="auto"/>
        <w:contextualSpacing/>
        <w:jc w:val="both"/>
        <w:rPr>
          <w:rFonts w:ascii="Arial" w:eastAsia="Calibri" w:hAnsi="Arial" w:cs="Arial"/>
          <w:iCs/>
          <w:sz w:val="20"/>
          <w:szCs w:val="20"/>
          <w:lang w:val="es-ES" w:eastAsia="es-ES_tradnl"/>
        </w:rPr>
      </w:pPr>
      <w:r w:rsidRPr="00426ACF">
        <w:rPr>
          <w:rFonts w:ascii="Arial" w:eastAsia="Calibri" w:hAnsi="Arial" w:cs="Arial"/>
          <w:iCs/>
          <w:sz w:val="20"/>
          <w:szCs w:val="20"/>
          <w:lang w:val="es-ES" w:eastAsia="es-ES_tradnl"/>
        </w:rPr>
        <w:t xml:space="preserve">[…] el artículo 53 </w:t>
      </w:r>
      <w:r w:rsidRPr="00426ACF">
        <w:rPr>
          <w:rFonts w:ascii="Arial" w:eastAsia="Calibri" w:hAnsi="Arial" w:cs="Arial"/>
          <w:i/>
          <w:sz w:val="20"/>
          <w:szCs w:val="20"/>
          <w:lang w:val="es-ES" w:eastAsia="es-ES_tradnl"/>
        </w:rPr>
        <w:t>ibidem</w:t>
      </w:r>
      <w:r w:rsidRPr="00426ACF">
        <w:rPr>
          <w:rFonts w:ascii="Arial" w:eastAsia="Calibri" w:hAnsi="Arial" w:cs="Arial"/>
          <w:iCs/>
          <w:sz w:val="20"/>
          <w:szCs w:val="20"/>
          <w:lang w:val="es-ES" w:eastAsia="es-ES_tradnl"/>
        </w:rPr>
        <w:t xml:space="preserve"> no cambió la forma en que se perfeccionan los contratos suscritos por estas entidades exceptuadas. En ese sentido, dado que la disposición materia de estudio no definió la obligatoriedad sobre el uso transaccional del SECOP II para las entidades exceptuadas, estas podrán usarla de forma transaccional o publicitaria. </w:t>
      </w:r>
    </w:p>
    <w:p w14:paraId="176769DA" w14:textId="77777777" w:rsidR="00851C60" w:rsidRPr="00426ACF" w:rsidRDefault="00851C60" w:rsidP="00851C60">
      <w:pPr>
        <w:autoSpaceDE w:val="0"/>
        <w:autoSpaceDN w:val="0"/>
        <w:adjustRightInd w:val="0"/>
        <w:spacing w:after="0" w:line="240" w:lineRule="auto"/>
        <w:contextualSpacing/>
        <w:jc w:val="both"/>
        <w:rPr>
          <w:rFonts w:ascii="Arial" w:eastAsia="Calibri" w:hAnsi="Arial" w:cs="Arial"/>
          <w:iCs/>
          <w:sz w:val="20"/>
          <w:szCs w:val="20"/>
          <w:lang w:val="es-ES" w:eastAsia="es-ES_tradnl"/>
        </w:rPr>
      </w:pPr>
    </w:p>
    <w:p w14:paraId="75547E93" w14:textId="77777777" w:rsidR="00851C60" w:rsidRPr="00426ACF" w:rsidRDefault="00851C60" w:rsidP="00851C60">
      <w:pPr>
        <w:autoSpaceDE w:val="0"/>
        <w:autoSpaceDN w:val="0"/>
        <w:adjustRightInd w:val="0"/>
        <w:spacing w:after="0" w:line="240" w:lineRule="auto"/>
        <w:contextualSpacing/>
        <w:jc w:val="both"/>
        <w:rPr>
          <w:rFonts w:ascii="Arial" w:eastAsia="Times New Roman" w:hAnsi="Arial" w:cs="Arial"/>
          <w:sz w:val="20"/>
          <w:szCs w:val="20"/>
          <w:lang w:eastAsia="es-ES_tradnl"/>
        </w:rPr>
      </w:pPr>
      <w:r w:rsidRPr="00426ACF">
        <w:rPr>
          <w:rFonts w:ascii="Arial" w:eastAsia="Calibri" w:hAnsi="Arial" w:cs="Arial"/>
          <w:iCs/>
          <w:sz w:val="20"/>
          <w:szCs w:val="20"/>
          <w:lang w:val="es-ES" w:eastAsia="es-ES_tradnl"/>
        </w:rPr>
        <w:t>Por lo anterior, las entidades exceptuadas tienen la posibilidad de elegir cualquiera de las siguientes opciones para cumplir con el deber de publicidad que les asiste:</w:t>
      </w:r>
      <w:r w:rsidRPr="00426ACF">
        <w:rPr>
          <w:rFonts w:ascii="Arial" w:hAnsi="Arial" w:cs="Arial"/>
          <w:sz w:val="20"/>
          <w:szCs w:val="20"/>
          <w:lang w:val="es-ES"/>
        </w:rPr>
        <w:t xml:space="preserve"> i) firmar</w:t>
      </w:r>
      <w:r w:rsidRPr="00426ACF">
        <w:rPr>
          <w:rFonts w:ascii="Arial" w:hAnsi="Arial" w:cs="Arial"/>
          <w:sz w:val="20"/>
          <w:szCs w:val="20"/>
          <w:lang w:val="es-MX"/>
        </w:rPr>
        <w:t xml:space="preserve"> el contrato electrónicamente, es decir, realizar un uso transaccional de la plataforma; o ii) firmar el contrato en físico y publicar los documentos de ejecución en la etapa precontractual del SECOP II, es decir, realizar un uso publicitario de la plataforma.</w:t>
      </w:r>
      <w:r w:rsidRPr="00426ACF">
        <w:rPr>
          <w:rFonts w:ascii="Arial" w:eastAsia="Times New Roman" w:hAnsi="Arial" w:cs="Arial"/>
          <w:sz w:val="20"/>
          <w:szCs w:val="20"/>
          <w:lang w:eastAsia="es-ES_tradnl"/>
        </w:rPr>
        <w:t xml:space="preserve"> 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el segundo caso, si decide utilizar el SECOP II como herramienta de publicidad, deberá crear el proceso de contratación en el SECOP II mediante el módulo «</w:t>
      </w:r>
      <w:r w:rsidRPr="00426ACF">
        <w:rPr>
          <w:rFonts w:ascii="Arial" w:eastAsia="Times New Roman" w:hAnsi="Arial" w:cs="Arial"/>
          <w:i/>
          <w:iCs/>
          <w:sz w:val="20"/>
          <w:szCs w:val="20"/>
          <w:lang w:eastAsia="es-ES_tradnl"/>
        </w:rPr>
        <w:t>Contratación Régimen Especial (sin ofertas)»</w:t>
      </w:r>
      <w:r w:rsidRPr="00426ACF">
        <w:rPr>
          <w:rFonts w:ascii="Arial" w:eastAsia="Times New Roman" w:hAnsi="Arial" w:cs="Arial"/>
          <w:sz w:val="20"/>
          <w:szCs w:val="20"/>
          <w:lang w:eastAsia="es-ES_tradnl"/>
        </w:rPr>
        <w:t>,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w:t>
      </w:r>
      <w:r w:rsidRPr="00426ACF">
        <w:rPr>
          <w:rFonts w:ascii="Arial" w:eastAsia="Times New Roman" w:hAnsi="Arial" w:cs="Arial"/>
          <w:i/>
          <w:iCs/>
          <w:sz w:val="20"/>
          <w:szCs w:val="20"/>
          <w:lang w:eastAsia="es-ES_tradnl"/>
        </w:rPr>
        <w:t>Finalizar</w:t>
      </w:r>
      <w:r w:rsidRPr="00426ACF">
        <w:rPr>
          <w:rFonts w:ascii="Arial" w:eastAsia="Times New Roman" w:hAnsi="Arial" w:cs="Arial"/>
          <w:sz w:val="20"/>
          <w:szCs w:val="20"/>
          <w:lang w:eastAsia="es-ES_tradnl"/>
        </w:rPr>
        <w:t>» después de publicar el proceso, en tanto que la plataforma cierra el expediente y no permite la publicación posterior de ningún otro documento.</w:t>
      </w:r>
    </w:p>
    <w:p w14:paraId="4588B7F3" w14:textId="77777777" w:rsidR="00851C60" w:rsidRPr="00426ACF" w:rsidRDefault="00851C60" w:rsidP="00851C60">
      <w:pPr>
        <w:autoSpaceDE w:val="0"/>
        <w:autoSpaceDN w:val="0"/>
        <w:adjustRightInd w:val="0"/>
        <w:spacing w:after="0" w:line="240" w:lineRule="auto"/>
        <w:contextualSpacing/>
        <w:jc w:val="both"/>
        <w:rPr>
          <w:rFonts w:ascii="Arial" w:eastAsia="Times New Roman" w:hAnsi="Arial" w:cs="Arial"/>
          <w:sz w:val="20"/>
          <w:szCs w:val="20"/>
          <w:lang w:eastAsia="es-ES_tradnl"/>
        </w:rPr>
      </w:pPr>
    </w:p>
    <w:p w14:paraId="2905CA82" w14:textId="77777777" w:rsidR="00851C60" w:rsidRPr="00426ACF" w:rsidRDefault="00851C60" w:rsidP="00851C60">
      <w:pPr>
        <w:spacing w:after="0" w:line="240" w:lineRule="auto"/>
        <w:contextualSpacing/>
        <w:jc w:val="both"/>
        <w:rPr>
          <w:rFonts w:ascii="Arial" w:eastAsia="Calibri" w:hAnsi="Arial" w:cs="Arial"/>
          <w:b/>
          <w:sz w:val="20"/>
          <w:szCs w:val="20"/>
          <w:lang w:val="es-ES_tradnl" w:eastAsia="es-ES_tradnl"/>
        </w:rPr>
      </w:pPr>
      <w:r w:rsidRPr="00426ACF">
        <w:rPr>
          <w:rFonts w:ascii="Arial" w:eastAsia="Calibri" w:hAnsi="Arial" w:cs="Arial"/>
          <w:b/>
          <w:sz w:val="20"/>
          <w:szCs w:val="20"/>
          <w:lang w:val="es-ES_tradnl" w:eastAsia="es-ES_tradnl"/>
        </w:rPr>
        <w:t xml:space="preserve">DOCUMENTOS TIPO – Fundamento normativo – </w:t>
      </w:r>
      <w:r w:rsidRPr="00426ACF">
        <w:rPr>
          <w:rFonts w:ascii="Arial" w:eastAsia="Calibri" w:hAnsi="Arial" w:cs="Arial"/>
          <w:b/>
          <w:bCs/>
          <w:sz w:val="20"/>
          <w:szCs w:val="20"/>
          <w:lang w:val="es-ES_tradnl"/>
        </w:rPr>
        <w:t>Ley 1882 de 2018</w:t>
      </w:r>
      <w:r w:rsidRPr="00426ACF">
        <w:rPr>
          <w:rFonts w:ascii="Arial" w:eastAsia="Calibri" w:hAnsi="Arial" w:cs="Arial"/>
          <w:sz w:val="20"/>
          <w:szCs w:val="20"/>
          <w:lang w:val="es-ES_tradnl"/>
        </w:rPr>
        <w:t xml:space="preserve"> </w:t>
      </w:r>
    </w:p>
    <w:p w14:paraId="5E369FE9" w14:textId="77777777" w:rsidR="00851C60" w:rsidRPr="00426ACF" w:rsidRDefault="00851C60" w:rsidP="00851C60">
      <w:pPr>
        <w:spacing w:after="0" w:line="240" w:lineRule="auto"/>
        <w:contextualSpacing/>
        <w:jc w:val="both"/>
        <w:rPr>
          <w:rFonts w:ascii="Arial" w:eastAsia="Calibri" w:hAnsi="Arial" w:cs="Arial"/>
          <w:b/>
          <w:sz w:val="20"/>
          <w:szCs w:val="20"/>
          <w:lang w:val="es-ES_tradnl" w:eastAsia="es-ES_tradnl"/>
        </w:rPr>
      </w:pPr>
    </w:p>
    <w:p w14:paraId="70A1A0CF" w14:textId="77777777" w:rsidR="00851C60" w:rsidRPr="00426ACF" w:rsidRDefault="00851C60" w:rsidP="00851C60">
      <w:pPr>
        <w:spacing w:after="0" w:line="240" w:lineRule="auto"/>
        <w:contextualSpacing/>
        <w:jc w:val="both"/>
        <w:rPr>
          <w:rFonts w:ascii="Arial" w:eastAsia="Calibri" w:hAnsi="Arial" w:cs="Arial"/>
          <w:sz w:val="20"/>
          <w:szCs w:val="20"/>
          <w:lang w:val="es-ES_tradnl" w:eastAsia="es-ES_tradnl"/>
        </w:rPr>
      </w:pPr>
      <w:r w:rsidRPr="00426ACF">
        <w:rPr>
          <w:rFonts w:ascii="Arial" w:eastAsia="Calibri" w:hAnsi="Arial" w:cs="Arial"/>
          <w:sz w:val="20"/>
          <w:szCs w:val="20"/>
          <w:lang w:val="es-ES_tradnl" w:eastAsia="es-ES_tradnl"/>
        </w:rPr>
        <w:t xml:space="preserve">De la norma descrita se concluía lo siguiente: i) la adopción de los documentos tipo estaba en cabeza del gobierno nacional; ii) estos debían relacionarse con procesos de obras públicas, interventoría para las obras públicas, interventoría para consultoría de estudios y diseños y, finalmente, consultoría en ingeniería para obras; iii) eran de obligatorio cumplimiento por parte de todas las entidades sometidas al </w:t>
      </w:r>
      <w:r w:rsidRPr="00426ACF">
        <w:rPr>
          <w:rFonts w:ascii="Arial" w:eastAsia="Calibri" w:hAnsi="Arial" w:cs="Arial"/>
          <w:bCs/>
          <w:sz w:val="20"/>
          <w:szCs w:val="20"/>
          <w:lang w:val="es-ES_tradnl" w:eastAsia="es-ES_tradnl"/>
        </w:rPr>
        <w:t>EGCAP</w:t>
      </w:r>
      <w:r w:rsidRPr="00426ACF">
        <w:rPr>
          <w:rFonts w:ascii="Arial" w:eastAsia="Calibri" w:hAnsi="Arial" w:cs="Arial"/>
          <w:sz w:val="20"/>
          <w:szCs w:val="20"/>
          <w:lang w:val="es-ES_tradnl" w:eastAsia="es-ES_tradnl"/>
        </w:rPr>
        <w:t>; iv)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y por último, vi) los documentos tipo serían adoptados por categorías de acuerdo con la cuantía de la contratación.</w:t>
      </w:r>
    </w:p>
    <w:p w14:paraId="03A30603" w14:textId="77777777" w:rsidR="00851C60" w:rsidRPr="00426ACF" w:rsidRDefault="00851C60" w:rsidP="00851C60">
      <w:pPr>
        <w:spacing w:after="0" w:line="240" w:lineRule="auto"/>
        <w:contextualSpacing/>
        <w:jc w:val="both"/>
        <w:rPr>
          <w:rFonts w:ascii="Arial" w:eastAsia="Calibri" w:hAnsi="Arial" w:cs="Arial"/>
          <w:sz w:val="20"/>
          <w:szCs w:val="20"/>
          <w:lang w:val="es-ES_tradnl"/>
        </w:rPr>
      </w:pPr>
    </w:p>
    <w:p w14:paraId="202A4848" w14:textId="77777777" w:rsidR="00851C60" w:rsidRPr="00426ACF" w:rsidRDefault="00851C60" w:rsidP="00851C60">
      <w:pPr>
        <w:spacing w:after="0" w:line="240" w:lineRule="auto"/>
        <w:contextualSpacing/>
        <w:jc w:val="both"/>
        <w:rPr>
          <w:rFonts w:ascii="Arial" w:eastAsia="Calibri" w:hAnsi="Arial" w:cs="Arial"/>
          <w:b/>
          <w:sz w:val="20"/>
          <w:szCs w:val="20"/>
          <w:lang w:val="es-ES_tradnl" w:eastAsia="es-ES_tradnl"/>
        </w:rPr>
      </w:pPr>
      <w:r w:rsidRPr="00426ACF">
        <w:rPr>
          <w:rFonts w:ascii="Arial" w:eastAsia="Calibri" w:hAnsi="Arial" w:cs="Arial"/>
          <w:b/>
          <w:sz w:val="20"/>
          <w:szCs w:val="20"/>
          <w:lang w:val="es-ES_tradnl" w:eastAsia="es-ES_tradnl"/>
        </w:rPr>
        <w:t>DOCUMENTOS TIPO – Fundamento normativo – Ley 2022 de 2020</w:t>
      </w:r>
    </w:p>
    <w:p w14:paraId="1123A58F" w14:textId="77777777" w:rsidR="00851C60" w:rsidRPr="00426ACF" w:rsidRDefault="00851C60" w:rsidP="00851C60">
      <w:pPr>
        <w:spacing w:after="0" w:line="240" w:lineRule="auto"/>
        <w:contextualSpacing/>
        <w:jc w:val="both"/>
        <w:rPr>
          <w:rFonts w:ascii="Arial" w:eastAsia="Calibri" w:hAnsi="Arial" w:cs="Arial"/>
          <w:sz w:val="20"/>
          <w:szCs w:val="20"/>
          <w:lang w:val="es-ES_tradnl" w:eastAsia="es-ES_tradnl"/>
        </w:rPr>
      </w:pPr>
    </w:p>
    <w:p w14:paraId="1F9329A8" w14:textId="77777777" w:rsidR="00851C60" w:rsidRPr="00426ACF" w:rsidRDefault="00851C60" w:rsidP="00851C60">
      <w:pPr>
        <w:spacing w:after="0" w:line="240" w:lineRule="auto"/>
        <w:contextualSpacing/>
        <w:jc w:val="both"/>
        <w:rPr>
          <w:rFonts w:ascii="Arial" w:eastAsia="Calibri" w:hAnsi="Arial" w:cs="Arial"/>
          <w:sz w:val="20"/>
          <w:szCs w:val="20"/>
          <w:lang w:val="es-ES_tradnl" w:eastAsia="es-ES"/>
        </w:rPr>
      </w:pPr>
      <w:r w:rsidRPr="00426ACF">
        <w:rPr>
          <w:rFonts w:ascii="Arial" w:eastAsia="Calibri" w:hAnsi="Arial" w:cs="Arial"/>
          <w:sz w:val="20"/>
          <w:szCs w:val="20"/>
          <w:lang w:val="es-ES_tradnl" w:eastAsia="es-ES"/>
        </w:rPr>
        <w:t xml:space="preserve">Posteriormente, se expidió la Ley 2022 de 2020, norma que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426ACF">
        <w:rPr>
          <w:rFonts w:ascii="Arial" w:eastAsia="Calibri" w:hAnsi="Arial" w:cs="Arial"/>
          <w:bCs/>
          <w:sz w:val="20"/>
          <w:szCs w:val="20"/>
          <w:lang w:val="es-ES_tradnl" w:eastAsia="es-ES_tradnl"/>
        </w:rPr>
        <w:t>EGCAP</w:t>
      </w:r>
      <w:r w:rsidRPr="00426ACF">
        <w:rPr>
          <w:rFonts w:ascii="Arial" w:eastAsia="Calibri" w:hAnsi="Arial" w:cs="Arial"/>
          <w:sz w:val="20"/>
          <w:szCs w:val="20"/>
          <w:lang w:val="es-ES_tradnl" w:eastAsia="es-ES"/>
        </w:rPr>
        <w:t xml:space="preserve">, se atribuyó a la </w:t>
      </w:r>
      <w:r w:rsidRPr="00426ACF">
        <w:rPr>
          <w:rFonts w:ascii="Arial" w:eastAsia="Calibri" w:hAnsi="Arial" w:cs="Arial"/>
          <w:sz w:val="20"/>
          <w:szCs w:val="20"/>
          <w:lang w:val="es-ES_tradnl"/>
        </w:rPr>
        <w:t xml:space="preserve">Agencia Nacional de Contratación Pública – Colombia Compra Eficiente la competencia para su expedición. </w:t>
      </w:r>
      <w:r w:rsidRPr="00426ACF">
        <w:rPr>
          <w:rFonts w:ascii="Arial" w:eastAsia="Calibri" w:hAnsi="Arial" w:cs="Arial"/>
          <w:sz w:val="20"/>
          <w:szCs w:val="20"/>
          <w:lang w:val="es-ES_tradnl" w:eastAsia="es-ES"/>
        </w:rPr>
        <w:t xml:space="preserve">En este marco, con la finalidad de realizar un desarrollo armónico y ajustado de la ley que le otorga la mencionada competencia, esta Agencia expidió la Resolución 160 del 15 de septiembre de 2020 «Por la cual se adopta el procedimiento para implementar los documentos tipo y se define el sistema para su revisión». </w:t>
      </w:r>
    </w:p>
    <w:p w14:paraId="6BB1C92D" w14:textId="77777777" w:rsidR="00851C60" w:rsidRPr="00426ACF" w:rsidRDefault="00851C60" w:rsidP="00851C60">
      <w:pPr>
        <w:spacing w:after="0" w:line="240" w:lineRule="auto"/>
        <w:contextualSpacing/>
        <w:jc w:val="both"/>
        <w:rPr>
          <w:rFonts w:ascii="Arial" w:eastAsia="Calibri" w:hAnsi="Arial" w:cs="Arial"/>
          <w:sz w:val="20"/>
          <w:szCs w:val="20"/>
          <w:lang w:val="es-ES_tradnl" w:eastAsia="es-ES"/>
        </w:rPr>
      </w:pPr>
    </w:p>
    <w:p w14:paraId="1E7FB790" w14:textId="77777777" w:rsidR="00851C60" w:rsidRPr="00426ACF" w:rsidRDefault="00851C60" w:rsidP="00851C60">
      <w:pPr>
        <w:shd w:val="clear" w:color="auto" w:fill="FFFFFF"/>
        <w:spacing w:after="0" w:line="240" w:lineRule="auto"/>
        <w:contextualSpacing/>
        <w:jc w:val="both"/>
        <w:textAlignment w:val="baseline"/>
        <w:rPr>
          <w:rFonts w:ascii="Arial" w:eastAsia="Calibri" w:hAnsi="Arial" w:cs="Arial"/>
          <w:sz w:val="20"/>
          <w:szCs w:val="20"/>
          <w:lang w:eastAsia="en-GB"/>
        </w:rPr>
      </w:pPr>
      <w:r w:rsidRPr="00426ACF">
        <w:rPr>
          <w:rFonts w:ascii="Arial" w:eastAsia="Calibri" w:hAnsi="Arial" w:cs="Arial"/>
          <w:sz w:val="20"/>
          <w:szCs w:val="20"/>
          <w:lang w:eastAsia="es-ES_tradnl"/>
        </w:rPr>
        <w:t xml:space="preserve">De acuerdo con lo expuesto, </w:t>
      </w:r>
      <w:r w:rsidRPr="00426ACF">
        <w:rPr>
          <w:rFonts w:ascii="Arial" w:eastAsia="Calibri" w:hAnsi="Arial" w:cs="Arial"/>
          <w:sz w:val="20"/>
          <w:szCs w:val="20"/>
          <w:bdr w:val="none" w:sz="0" w:space="0" w:color="auto" w:frame="1"/>
          <w:lang w:eastAsia="es-ES_tradnl"/>
        </w:rPr>
        <w:t xml:space="preserve">los documentos tipo adoptados son obligatorios para las entidades estatales regidas por el </w:t>
      </w:r>
      <w:r w:rsidRPr="00426ACF">
        <w:rPr>
          <w:rFonts w:ascii="Arial" w:eastAsia="Calibri" w:hAnsi="Arial" w:cs="Arial"/>
          <w:bCs/>
          <w:sz w:val="20"/>
          <w:szCs w:val="20"/>
          <w:lang w:val="es-ES_tradnl" w:eastAsia="es-ES_tradnl"/>
        </w:rPr>
        <w:t>EGCAP</w:t>
      </w:r>
      <w:r w:rsidRPr="00426ACF">
        <w:rPr>
          <w:rFonts w:ascii="Arial" w:eastAsia="Calibri" w:hAnsi="Arial" w:cs="Arial"/>
          <w:sz w:val="20"/>
          <w:szCs w:val="20"/>
          <w:bdr w:val="none" w:sz="0" w:space="0" w:color="auto" w:frame="1"/>
          <w:lang w:eastAsia="es-ES_tradnl"/>
        </w:rPr>
        <w:t xml:space="preserve"> que adelanten procesos de contratación mediante las modalidades de selección y </w:t>
      </w:r>
      <w:r w:rsidRPr="00426ACF">
        <w:rPr>
          <w:rFonts w:ascii="Arial" w:eastAsia="Calibri" w:hAnsi="Arial" w:cs="Arial"/>
          <w:sz w:val="20"/>
          <w:szCs w:val="20"/>
          <w:bdr w:val="none" w:sz="0" w:space="0" w:color="auto" w:frame="1"/>
          <w:lang w:eastAsia="es-ES_tradnl"/>
        </w:rPr>
        <w:lastRenderedPageBreak/>
        <w:t xml:space="preserve">objetos contractuales cobijados por alguno de los documentos tipo vigentes en los diferentes sectores. </w:t>
      </w:r>
      <w:r w:rsidRPr="00426ACF">
        <w:rPr>
          <w:rFonts w:ascii="Arial" w:eastAsia="Calibri" w:hAnsi="Arial" w:cs="Arial"/>
          <w:sz w:val="20"/>
          <w:szCs w:val="20"/>
          <w:lang w:eastAsia="en-GB"/>
        </w:rPr>
        <w:t xml:space="preserve">La obligatoriedad del contenido de los documentos tipo implica que las entidades estatales tengan que adelantar los procesos de contratación ciñéndose a las condiciones establecidas en los documentos tipo, sin que puedan variarse los requisitos fijados en ellos. </w:t>
      </w:r>
    </w:p>
    <w:p w14:paraId="24B1DEAA" w14:textId="77777777" w:rsidR="00851C60" w:rsidRPr="00426ACF" w:rsidRDefault="00851C60" w:rsidP="00851C60">
      <w:pPr>
        <w:spacing w:after="0" w:line="240" w:lineRule="auto"/>
        <w:contextualSpacing/>
        <w:jc w:val="both"/>
        <w:rPr>
          <w:rFonts w:ascii="Arial" w:eastAsia="Calibri" w:hAnsi="Arial" w:cs="Arial"/>
          <w:sz w:val="20"/>
          <w:szCs w:val="20"/>
          <w:lang w:val="es-ES_tradnl" w:eastAsia="es-ES"/>
        </w:rPr>
      </w:pPr>
    </w:p>
    <w:p w14:paraId="56B7E0F2"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r w:rsidRPr="00426ACF">
        <w:rPr>
          <w:rFonts w:ascii="Arial" w:eastAsia="Calibri" w:hAnsi="Arial" w:cs="Arial"/>
          <w:b/>
          <w:sz w:val="20"/>
          <w:szCs w:val="20"/>
          <w:lang w:val="es-ES_tradnl" w:eastAsia="es-ES_tradnl"/>
        </w:rPr>
        <w:t xml:space="preserve">LEY 2195 DE 2022 – Artículo 56 – Ámbito de aplicación </w:t>
      </w:r>
    </w:p>
    <w:p w14:paraId="673D7ECD" w14:textId="77777777" w:rsidR="00851C60" w:rsidRPr="00426ACF" w:rsidRDefault="00851C60" w:rsidP="00851C60">
      <w:pPr>
        <w:spacing w:after="0" w:line="240" w:lineRule="auto"/>
        <w:contextualSpacing/>
        <w:jc w:val="both"/>
        <w:rPr>
          <w:rFonts w:ascii="Arial" w:eastAsia="Calibri" w:hAnsi="Arial" w:cs="Arial"/>
          <w:sz w:val="20"/>
          <w:szCs w:val="20"/>
          <w:lang w:val="es-ES_tradnl" w:eastAsia="es-ES_tradnl"/>
        </w:rPr>
      </w:pPr>
    </w:p>
    <w:p w14:paraId="3D3664FA"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r w:rsidRPr="00426ACF">
        <w:rPr>
          <w:rFonts w:ascii="Arial" w:eastAsia="Calibri" w:hAnsi="Arial" w:cs="Arial"/>
          <w:bCs/>
          <w:sz w:val="20"/>
          <w:szCs w:val="20"/>
          <w:lang w:val="es-ES_tradnl" w:eastAsia="es-ES_tradnl"/>
        </w:rPr>
        <w:t xml:space="preserve">En este contexto, se expidió la Ley 2195 de 2022, «Por medio de la cual se adoptan medidas en materia de transparencia, prevención y lucha contra la corrupción y se dictan otras disposiciones». Según su artículo 1°, este cuerpo normativo </w:t>
      </w:r>
      <w:r w:rsidRPr="00426ACF">
        <w:rPr>
          <w:rFonts w:ascii="Arial" w:eastAsia="Calibri" w:hAnsi="Arial" w:cs="Arial"/>
          <w:sz w:val="20"/>
          <w:szCs w:val="20"/>
          <w:lang w:val="es-ES_tradnl" w:eastAsia="es-ES_tradnl"/>
        </w:rPr>
        <w:t>«</w:t>
      </w:r>
      <w:r w:rsidRPr="00426ACF">
        <w:rPr>
          <w:rFonts w:ascii="Arial" w:eastAsia="Times New Roman" w:hAnsi="Arial" w:cs="Arial"/>
          <w:sz w:val="20"/>
          <w:szCs w:val="20"/>
          <w:lang w:val="es-ES_tradnl" w:eastAsia="es-ES_tradnl"/>
        </w:rPr>
        <w:t xml:space="preserve">[…] </w:t>
      </w:r>
      <w:r w:rsidRPr="00426ACF">
        <w:rPr>
          <w:rFonts w:ascii="Arial" w:eastAsia="Calibri" w:hAnsi="Arial" w:cs="Arial"/>
          <w:sz w:val="20"/>
          <w:szCs w:val="20"/>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y promover la cultura de la legalidad e integridad y recuperar la confianza ciudadana y el respeto por lo público». Dentro del capítulo VIII de la Ley en mención, que lleva por título «Disposiciones en materia contractual para la moralización y la transparencia», se </w:t>
      </w:r>
      <w:r w:rsidRPr="00426ACF">
        <w:rPr>
          <w:rFonts w:ascii="Arial" w:eastAsia="Calibri" w:hAnsi="Arial" w:cs="Arial"/>
          <w:bCs/>
          <w:sz w:val="20"/>
          <w:szCs w:val="20"/>
          <w:lang w:val="es-ES_tradnl" w:eastAsia="es-ES_tradnl"/>
        </w:rPr>
        <w:t xml:space="preserve">destaca el artículo 56, norma sobre la que versa la presente consulta. </w:t>
      </w:r>
    </w:p>
    <w:p w14:paraId="6ACC90E0"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p>
    <w:p w14:paraId="44DEDB35"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rPr>
      </w:pPr>
      <w:r w:rsidRPr="00426ACF">
        <w:rPr>
          <w:rFonts w:ascii="Arial" w:eastAsia="Calibri" w:hAnsi="Arial" w:cs="Arial"/>
          <w:bCs/>
          <w:sz w:val="20"/>
          <w:szCs w:val="20"/>
          <w:lang w:val="es-ES_tradnl" w:eastAsia="es-ES_tradnl"/>
        </w:rPr>
        <w:t xml:space="preserve">La mencionada disposición se refiere de manera expresa a los documentos tipo, estableciendo el deber de aplicarlos en determinadas condiciones, al paso que se refiere a diferentes tipos de entidades estatales y sujetos de derecho privado que se vinculan al ámbito de aplicación de la norma. […] </w:t>
      </w:r>
    </w:p>
    <w:p w14:paraId="348C6795"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rPr>
      </w:pPr>
    </w:p>
    <w:p w14:paraId="096E851E"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r w:rsidRPr="00426ACF">
        <w:rPr>
          <w:rFonts w:ascii="Arial" w:eastAsia="Calibri" w:hAnsi="Arial" w:cs="Arial"/>
          <w:b/>
          <w:sz w:val="20"/>
          <w:szCs w:val="20"/>
          <w:lang w:val="es-ES_tradnl" w:eastAsia="es-ES_tradnl"/>
        </w:rPr>
        <w:t xml:space="preserve">LEY 2195 DE 2022 – Artículo 56 – Finalidad </w:t>
      </w:r>
    </w:p>
    <w:p w14:paraId="6FF57609"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p>
    <w:p w14:paraId="36BE2291"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r w:rsidRPr="00426ACF">
        <w:rPr>
          <w:rFonts w:ascii="Arial" w:eastAsia="Calibri" w:hAnsi="Arial" w:cs="Arial"/>
          <w:bCs/>
          <w:sz w:val="20"/>
          <w:szCs w:val="20"/>
          <w:lang w:val="es-ES_tradnl" w:eastAsia="es-ES_tradnl"/>
        </w:rPr>
        <w:t xml:space="preserve">Nótese que el apartado en cita de los antecedentes legislativos de la norma indica que su finalidad apunta a la aplicación de normas de contratación púbica en los contratos y procedimientos de selección realizados en el marco de los negocios jurídicos celebrados entre entidades estatales sometidas EGCAP con entidades exceptuadas, patrimonios autónomos o personas naturales o jurídicas de derecho privado. De esto se desprende que el propósito del legislador con la expedición de la norma objeto de consulta, es que las entidades estatales que tienen como régimen contractual el EGCAP no puedan eludir su aplicación, ni la de los documentos tipo que resulten obligatorios, celebrando convenios o contratos con entidades exceptuadas o particulares sometidos al derecho privado, haciendo prevalecer el régimen de las entidades no sometidas, con el fin inaplicar los documentos tipo y el EGCAP. Lo anterior teniendo en cuenta que, a la luz de lo dispuesto en el artículo 56 de la Ley 2195 de 2022, las entidades estatales sometidas al EGCAP que suscriban contratos o convenios de cualquier índole con entidades exceptuadas, patrimonios autónomos o particulares estarán obligadas a aplicar dicho estatuto en la contratación de obras, bienes, obras o servicios que realicen con los mencionados sujetos de derecho privado, siempre que exista documento tipo en el sector en el que se adelanta la contratación.  </w:t>
      </w:r>
    </w:p>
    <w:p w14:paraId="3740F2B6"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p>
    <w:p w14:paraId="51AC0862" w14:textId="77777777" w:rsidR="00851C60" w:rsidRPr="00426ACF" w:rsidRDefault="00851C60" w:rsidP="00851C60">
      <w:pPr>
        <w:tabs>
          <w:tab w:val="left" w:pos="0"/>
        </w:tabs>
        <w:spacing w:after="0" w:line="240" w:lineRule="auto"/>
        <w:contextualSpacing/>
        <w:jc w:val="both"/>
        <w:rPr>
          <w:rFonts w:ascii="Arial" w:eastAsia="Calibri" w:hAnsi="Arial" w:cs="Arial"/>
          <w:b/>
          <w:sz w:val="20"/>
          <w:szCs w:val="20"/>
          <w:lang w:val="es-ES_tradnl" w:eastAsia="es-ES_tradnl"/>
        </w:rPr>
      </w:pPr>
      <w:r w:rsidRPr="00426ACF">
        <w:rPr>
          <w:rFonts w:ascii="Arial" w:eastAsia="Calibri" w:hAnsi="Arial" w:cs="Arial"/>
          <w:b/>
          <w:sz w:val="20"/>
          <w:szCs w:val="20"/>
          <w:lang w:val="es-ES_tradnl" w:eastAsia="es-ES_tradnl"/>
        </w:rPr>
        <w:t xml:space="preserve">LEY 2195 DE 2022 – Artículo 56 – Incisos y 2 – Interpretación conjunta </w:t>
      </w:r>
    </w:p>
    <w:p w14:paraId="4FCA7064" w14:textId="77777777" w:rsidR="00851C60" w:rsidRPr="00426ACF" w:rsidRDefault="00851C60" w:rsidP="00851C60">
      <w:pPr>
        <w:tabs>
          <w:tab w:val="left" w:pos="0"/>
        </w:tabs>
        <w:spacing w:after="0" w:line="240" w:lineRule="auto"/>
        <w:contextualSpacing/>
        <w:jc w:val="both"/>
        <w:rPr>
          <w:rFonts w:ascii="Arial" w:eastAsia="Calibri" w:hAnsi="Arial" w:cs="Arial"/>
          <w:b/>
          <w:sz w:val="20"/>
          <w:szCs w:val="20"/>
          <w:lang w:val="es-ES_tradnl" w:eastAsia="es-ES_tradnl"/>
        </w:rPr>
      </w:pPr>
    </w:p>
    <w:p w14:paraId="24468F89"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r w:rsidRPr="00426ACF">
        <w:rPr>
          <w:rFonts w:ascii="Arial" w:eastAsia="Calibri" w:hAnsi="Arial" w:cs="Arial"/>
          <w:bCs/>
          <w:sz w:val="20"/>
          <w:szCs w:val="20"/>
          <w:lang w:val="es-ES_tradnl"/>
        </w:rPr>
        <w:t xml:space="preserve">[…] </w:t>
      </w:r>
      <w:r w:rsidRPr="00426ACF">
        <w:rPr>
          <w:rFonts w:ascii="Arial" w:eastAsia="Calibri" w:hAnsi="Arial" w:cs="Arial"/>
          <w:bCs/>
          <w:sz w:val="20"/>
          <w:szCs w:val="20"/>
          <w:lang w:val="es-ES_tradnl" w:eastAsia="es-ES_tradnl"/>
        </w:rPr>
        <w:t xml:space="preserve">de la lectura conjunta de los incisos primero y segundo se desprende que estos introducen un mandato dirigido a que las entidades sometidas al EGCAP apliquen los documentos tipo en los contratos o convenios que suscriban con los mencionados sujetos de régimen de derecho privado para la adquisición de bienes, obras y servicios.  De acuerdo con lo anterior, respecto de la aplicación del EGCAP en los contratos y convenios que celebren las entidades sometidas con los sujetos de derecho privado para la adquisición de bienes, obras o servicios, es necesario recalcar que, conforme se interpreta de la redacción de la norma, esta solo es obligatoria en los casos en los que el objeto contractual que se pretende contratar esté sometido a algún documento tipo. </w:t>
      </w:r>
    </w:p>
    <w:p w14:paraId="41FD4121"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p>
    <w:p w14:paraId="2BB857F8"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r w:rsidRPr="00426ACF">
        <w:rPr>
          <w:rFonts w:ascii="Arial" w:eastAsia="Calibri" w:hAnsi="Arial" w:cs="Arial"/>
          <w:bCs/>
          <w:sz w:val="20"/>
          <w:szCs w:val="20"/>
          <w:lang w:val="es-ES_tradnl" w:eastAsia="es-ES_tradnl"/>
        </w:rPr>
        <w:t xml:space="preserve">Lo anterior significa que, la aplicación del EGCAP solo será forzosa cuando exista un documento tipo que contemple bienes, obras y servicios dentro de las que se subsuma la actividad a contratar por parte de la </w:t>
      </w:r>
      <w:r w:rsidRPr="00426ACF">
        <w:rPr>
          <w:rFonts w:ascii="Arial" w:eastAsia="Calibri" w:hAnsi="Arial" w:cs="Arial"/>
          <w:bCs/>
          <w:sz w:val="20"/>
          <w:szCs w:val="20"/>
          <w:lang w:val="es-ES_tradnl" w:eastAsia="es-ES_tradnl"/>
        </w:rPr>
        <w:lastRenderedPageBreak/>
        <w:t xml:space="preserve">entidad sometida con la entidad de régimen especial, patrimonio autónomo o persona natural o jurídica de derecho privado. Por ejemplo, si mediante un contrato una entidad sometida al EGCAP pretende celebrar un contrato con una entidad exceptuada debe contratar el desarrollo de un software o la compra de unos buses, no estará obligado a seguirse por el EGCAP, al no ser estos objetos cobijados por los documentos tipo vigentes, mientras que si lo que requiere es el mantenimiento o la rehabilitación de una vía secundaría, dicho negoció jurídico sí estará sometido al EGCAP, al estar tales actividades incluidas dentro de los documentos tipo de infraestructura de transporte. </w:t>
      </w:r>
    </w:p>
    <w:p w14:paraId="5A139BC9" w14:textId="77777777" w:rsidR="00851C60" w:rsidRPr="00426ACF" w:rsidRDefault="00851C60" w:rsidP="00851C60">
      <w:pPr>
        <w:tabs>
          <w:tab w:val="left" w:pos="0"/>
        </w:tabs>
        <w:spacing w:after="0" w:line="240" w:lineRule="auto"/>
        <w:contextualSpacing/>
        <w:jc w:val="both"/>
        <w:rPr>
          <w:rFonts w:ascii="Arial" w:eastAsia="Calibri" w:hAnsi="Arial" w:cs="Arial"/>
          <w:b/>
          <w:sz w:val="20"/>
          <w:szCs w:val="20"/>
          <w:lang w:val="es-ES_tradnl" w:eastAsia="es-ES_tradnl"/>
        </w:rPr>
      </w:pPr>
    </w:p>
    <w:p w14:paraId="3D4C4DEE" w14:textId="77777777" w:rsidR="00851C60" w:rsidRPr="00426ACF" w:rsidRDefault="00851C60" w:rsidP="00851C60">
      <w:pPr>
        <w:tabs>
          <w:tab w:val="left" w:pos="0"/>
        </w:tabs>
        <w:spacing w:after="0" w:line="240" w:lineRule="auto"/>
        <w:contextualSpacing/>
        <w:jc w:val="both"/>
        <w:rPr>
          <w:rFonts w:ascii="Arial" w:eastAsia="Calibri" w:hAnsi="Arial" w:cs="Arial"/>
          <w:b/>
          <w:sz w:val="20"/>
          <w:szCs w:val="20"/>
          <w:lang w:val="es-ES_tradnl" w:eastAsia="es-ES_tradnl"/>
        </w:rPr>
      </w:pPr>
      <w:r w:rsidRPr="00426ACF">
        <w:rPr>
          <w:rFonts w:ascii="Arial" w:eastAsia="Calibri" w:hAnsi="Arial" w:cs="Arial"/>
          <w:b/>
          <w:sz w:val="20"/>
          <w:szCs w:val="20"/>
          <w:lang w:val="es-ES_tradnl" w:eastAsia="es-ES_tradnl"/>
        </w:rPr>
        <w:t xml:space="preserve">LEY 2195 DE 2022 – Artículo 56 – Aplicación del estatuto general de contratación de la administración pública </w:t>
      </w:r>
    </w:p>
    <w:p w14:paraId="33566A1F" w14:textId="77777777" w:rsidR="00851C60" w:rsidRPr="00426ACF" w:rsidRDefault="00851C60" w:rsidP="00851C60">
      <w:pPr>
        <w:spacing w:after="0" w:line="240" w:lineRule="auto"/>
        <w:contextualSpacing/>
        <w:jc w:val="both"/>
        <w:rPr>
          <w:rFonts w:ascii="Arial" w:eastAsia="Calibri" w:hAnsi="Arial" w:cs="Arial"/>
          <w:bCs/>
          <w:sz w:val="20"/>
          <w:szCs w:val="20"/>
          <w:lang w:val="es-ES_tradnl"/>
        </w:rPr>
      </w:pPr>
    </w:p>
    <w:p w14:paraId="1531E5C1" w14:textId="77777777" w:rsidR="00851C60" w:rsidRPr="00426ACF" w:rsidRDefault="00851C60" w:rsidP="00851C60">
      <w:pPr>
        <w:spacing w:after="0" w:line="240" w:lineRule="auto"/>
        <w:contextualSpacing/>
        <w:jc w:val="both"/>
        <w:rPr>
          <w:rFonts w:ascii="Arial" w:eastAsia="Times New Roman" w:hAnsi="Arial" w:cs="Arial"/>
          <w:sz w:val="20"/>
          <w:szCs w:val="20"/>
          <w:lang w:eastAsia="es-ES_tradnl"/>
        </w:rPr>
      </w:pPr>
      <w:r w:rsidRPr="00426ACF">
        <w:rPr>
          <w:rFonts w:ascii="Arial" w:eastAsia="Calibri" w:hAnsi="Arial" w:cs="Arial"/>
          <w:bCs/>
          <w:sz w:val="20"/>
          <w:szCs w:val="20"/>
          <w:lang w:val="es-ES_tradnl" w:eastAsia="es-ES_tradnl"/>
        </w:rPr>
        <w:t xml:space="preserve">Ahora bien, respecto a las disposiciones del EGCAP que son aplicables, debe señalarse que el artículo objeto de estudio no hace distinción alguna, por lo que esta Agencia considera que los procedimientos de selección y los contratos a los que se refiere el artículo 56 de la Ley 2195 de 2022 están sometidos a todas las reglas contenidas en el </w:t>
      </w:r>
      <w:r w:rsidRPr="00426ACF">
        <w:rPr>
          <w:rFonts w:ascii="Arial" w:eastAsia="Times New Roman" w:hAnsi="Arial" w:cs="Arial"/>
          <w:sz w:val="20"/>
          <w:szCs w:val="20"/>
          <w:lang w:val="es-ES" w:eastAsia="es-ES_tradnl"/>
        </w:rPr>
        <w:t xml:space="preserve">EGCAP. Esto </w:t>
      </w:r>
      <w:r w:rsidRPr="00426ACF">
        <w:rPr>
          <w:rFonts w:ascii="Arial" w:eastAsia="Times New Roman" w:hAnsi="Arial" w:cs="Arial"/>
          <w:iCs/>
          <w:sz w:val="20"/>
          <w:szCs w:val="20"/>
          <w:lang w:val="es-ES_tradnl" w:eastAsia="es-ES_tradnl"/>
        </w:rPr>
        <w:t>como consecuencia del «principio general de interpretación jurídica según el cual donde la norma no distingue, no le corresponde distinguir al intérprete».</w:t>
      </w:r>
    </w:p>
    <w:p w14:paraId="3647E352" w14:textId="77777777" w:rsidR="00851C60" w:rsidRPr="00426ACF" w:rsidRDefault="00851C60" w:rsidP="00851C60">
      <w:pPr>
        <w:spacing w:after="0" w:line="240" w:lineRule="auto"/>
        <w:contextualSpacing/>
        <w:jc w:val="both"/>
        <w:rPr>
          <w:rFonts w:ascii="Arial" w:eastAsia="Calibri" w:hAnsi="Arial" w:cs="Arial"/>
          <w:sz w:val="20"/>
          <w:szCs w:val="20"/>
          <w:lang w:val="es-ES_tradnl" w:eastAsia="es-ES_tradnl"/>
        </w:rPr>
      </w:pPr>
    </w:p>
    <w:p w14:paraId="7EE8A231"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r w:rsidRPr="00426ACF">
        <w:rPr>
          <w:rFonts w:ascii="Arial" w:eastAsia="Calibri" w:hAnsi="Arial" w:cs="Arial"/>
          <w:b/>
          <w:sz w:val="20"/>
          <w:szCs w:val="20"/>
          <w:lang w:val="es-ES_tradnl" w:eastAsia="es-ES_tradnl"/>
        </w:rPr>
        <w:t>LEY 2195 DE 2022 – Artículo 56 – Parágrafo – Excepciones – Giro ordinario</w:t>
      </w:r>
    </w:p>
    <w:p w14:paraId="3DA33719" w14:textId="77777777" w:rsidR="00851C60" w:rsidRPr="00426ACF" w:rsidRDefault="00851C60" w:rsidP="00851C60">
      <w:pPr>
        <w:spacing w:after="0" w:line="240" w:lineRule="auto"/>
        <w:contextualSpacing/>
        <w:jc w:val="both"/>
        <w:rPr>
          <w:rFonts w:ascii="Arial" w:eastAsia="Calibri" w:hAnsi="Arial" w:cs="Arial"/>
          <w:bCs/>
          <w:sz w:val="20"/>
          <w:szCs w:val="20"/>
          <w:lang w:val="es-ES_tradnl" w:eastAsia="es-ES_tradnl"/>
        </w:rPr>
      </w:pPr>
    </w:p>
    <w:p w14:paraId="39859951" w14:textId="77777777" w:rsidR="00851C60" w:rsidRPr="00426ACF" w:rsidRDefault="00851C60" w:rsidP="00851C60">
      <w:pPr>
        <w:tabs>
          <w:tab w:val="left" w:pos="0"/>
        </w:tabs>
        <w:spacing w:after="0" w:line="240" w:lineRule="auto"/>
        <w:contextualSpacing/>
        <w:jc w:val="both"/>
        <w:rPr>
          <w:rFonts w:ascii="Arial" w:eastAsia="Calibri" w:hAnsi="Arial" w:cs="Arial"/>
          <w:bCs/>
          <w:sz w:val="20"/>
          <w:szCs w:val="20"/>
          <w:lang w:val="es-ES_tradnl" w:eastAsia="es-ES_tradnl"/>
        </w:rPr>
      </w:pPr>
      <w:r w:rsidRPr="00426ACF">
        <w:rPr>
          <w:rFonts w:ascii="Arial" w:eastAsia="Calibri" w:hAnsi="Arial" w:cs="Arial"/>
          <w:bCs/>
          <w:sz w:val="20"/>
          <w:szCs w:val="20"/>
          <w:lang w:val="es-ES_tradnl" w:eastAsia="es-ES_tradnl"/>
        </w:rPr>
        <w:t xml:space="preserve">Para responder la consulta en relación con la adecuada aplicación del artículo 56 de la Ley 2195 de 2022, es necesario precisar el alcance de lo dispuesto en los dos primeros incisos del mencionado artículo a la luz de lo establecido en su parágrafo, el cual excluye de la aplicación de los primeros incisos del artículo 56, a cierto tipo de entidades, en lo relacionado con la contratación de su </w:t>
      </w:r>
      <w:r w:rsidRPr="00426ACF">
        <w:rPr>
          <w:rFonts w:ascii="Arial" w:eastAsia="Calibri" w:hAnsi="Arial" w:cs="Arial"/>
          <w:bCs/>
          <w:i/>
          <w:iCs/>
          <w:sz w:val="20"/>
          <w:szCs w:val="20"/>
          <w:lang w:val="es-ES_tradnl" w:eastAsia="es-ES_tradnl"/>
        </w:rPr>
        <w:t>giro ordinario</w:t>
      </w:r>
      <w:r w:rsidRPr="00426ACF">
        <w:rPr>
          <w:rFonts w:ascii="Arial" w:eastAsia="Calibri" w:hAnsi="Arial" w:cs="Arial"/>
          <w:bCs/>
          <w:sz w:val="20"/>
          <w:szCs w:val="20"/>
          <w:lang w:val="es-ES_tradnl" w:eastAsia="es-ES_tradnl"/>
        </w:rPr>
        <w:t xml:space="preserve">. Conforme se desprende del texto del referido parágrafo, se exceptúa de lo señalado en los dos primeros incisos a: i) las instituciones de educación superior públicas, ii) las empresas sociales del Estado, iii) las sociedades de economía mixta y iv) las empresas industriales y comerciales del Estado, únicamente, en la contratación relacionada con el </w:t>
      </w:r>
      <w:r w:rsidRPr="00426ACF">
        <w:rPr>
          <w:rFonts w:ascii="Arial" w:eastAsia="Calibri" w:hAnsi="Arial" w:cs="Arial"/>
          <w:bCs/>
          <w:i/>
          <w:iCs/>
          <w:sz w:val="20"/>
          <w:szCs w:val="20"/>
          <w:lang w:val="es-ES_tradnl" w:eastAsia="es-ES_tradnl"/>
        </w:rPr>
        <w:t>giro ordinario.</w:t>
      </w:r>
      <w:r w:rsidRPr="00426ACF">
        <w:rPr>
          <w:rFonts w:ascii="Arial" w:eastAsia="Calibri" w:hAnsi="Arial" w:cs="Arial"/>
          <w:bCs/>
          <w:sz w:val="20"/>
          <w:szCs w:val="20"/>
          <w:lang w:val="es-ES_tradnl" w:eastAsia="es-ES_tradnl"/>
        </w:rPr>
        <w:t xml:space="preserve"> Esto significa que, en la contratación asociada a su </w:t>
      </w:r>
      <w:r w:rsidRPr="00426ACF">
        <w:rPr>
          <w:rFonts w:ascii="Arial" w:eastAsia="Calibri" w:hAnsi="Arial" w:cs="Arial"/>
          <w:bCs/>
          <w:i/>
          <w:iCs/>
          <w:sz w:val="20"/>
          <w:szCs w:val="20"/>
          <w:lang w:val="es-ES_tradnl" w:eastAsia="es-ES_tradnl"/>
        </w:rPr>
        <w:t xml:space="preserve">giro ordinario, </w:t>
      </w:r>
      <w:r w:rsidRPr="00426ACF">
        <w:rPr>
          <w:rFonts w:ascii="Arial" w:eastAsia="Calibri" w:hAnsi="Arial" w:cs="Arial"/>
          <w:bCs/>
          <w:sz w:val="20"/>
          <w:szCs w:val="20"/>
          <w:lang w:val="es-ES_tradnl" w:eastAsia="es-ES_tradnl"/>
        </w:rPr>
        <w:t xml:space="preserve">estos tipos de entidades no tendrían que aplicar, de manera obligatoria, los documentos tipo, ni tampoco el EGCAP. En este caso la norma se limita a fomentar la implementación de documentos tipo a modo de buena práctica contractual, en los casos en los que se estime conveniente. </w:t>
      </w:r>
    </w:p>
    <w:p w14:paraId="55578D18" w14:textId="77777777" w:rsidR="00851C60" w:rsidRPr="00426ACF" w:rsidRDefault="00851C60" w:rsidP="00851C60">
      <w:pPr>
        <w:autoSpaceDE w:val="0"/>
        <w:autoSpaceDN w:val="0"/>
        <w:adjustRightInd w:val="0"/>
        <w:spacing w:after="0" w:line="240" w:lineRule="auto"/>
        <w:contextualSpacing/>
        <w:jc w:val="both"/>
        <w:rPr>
          <w:rFonts w:ascii="Arial" w:hAnsi="Arial" w:cs="Arial"/>
          <w:color w:val="000000" w:themeColor="text1"/>
        </w:rPr>
      </w:pPr>
    </w:p>
    <w:p w14:paraId="1ACCB54D" w14:textId="77777777" w:rsidR="00851C60" w:rsidRPr="00426ACF" w:rsidRDefault="00851C60" w:rsidP="00851C60">
      <w:pPr>
        <w:spacing w:line="276" w:lineRule="auto"/>
        <w:rPr>
          <w:rFonts w:ascii="Arial" w:eastAsia="Times New Roman" w:hAnsi="Arial" w:cs="Arial"/>
          <w:lang w:val="es-MX" w:eastAsia="es-CO"/>
        </w:rPr>
      </w:pPr>
      <w:bookmarkStart w:id="1" w:name="_Hlk34951122"/>
    </w:p>
    <w:p w14:paraId="3A540DCF" w14:textId="77777777" w:rsidR="00851C60" w:rsidRPr="00426ACF" w:rsidRDefault="00851C60" w:rsidP="00851C60">
      <w:pPr>
        <w:spacing w:line="276" w:lineRule="auto"/>
        <w:rPr>
          <w:rFonts w:ascii="Arial" w:eastAsia="Times New Roman" w:hAnsi="Arial" w:cs="Arial"/>
          <w:lang w:val="es-MX" w:eastAsia="es-CO"/>
        </w:rPr>
      </w:pPr>
    </w:p>
    <w:p w14:paraId="45A298F0" w14:textId="77777777" w:rsidR="00851C60" w:rsidRPr="00426ACF" w:rsidRDefault="00851C60" w:rsidP="00851C60">
      <w:pPr>
        <w:rPr>
          <w:rFonts w:ascii="Arial" w:eastAsia="Times New Roman" w:hAnsi="Arial" w:cs="Arial"/>
          <w:lang w:val="es-MX" w:eastAsia="es-CO"/>
        </w:rPr>
      </w:pPr>
      <w:r w:rsidRPr="00426ACF">
        <w:rPr>
          <w:rFonts w:ascii="Arial" w:eastAsia="Times New Roman" w:hAnsi="Arial" w:cs="Arial"/>
          <w:lang w:val="es-MX" w:eastAsia="es-CO"/>
        </w:rPr>
        <w:br w:type="page"/>
      </w:r>
    </w:p>
    <w:p w14:paraId="09D207C2" w14:textId="77777777" w:rsidR="00851C60" w:rsidRPr="00426ACF" w:rsidRDefault="00851C60" w:rsidP="00851C60">
      <w:pPr>
        <w:spacing w:after="0" w:line="240" w:lineRule="auto"/>
        <w:contextualSpacing/>
        <w:rPr>
          <w:rFonts w:ascii="Arial" w:eastAsia="Times New Roman" w:hAnsi="Arial" w:cs="Arial"/>
          <w:lang w:val="es-MX" w:eastAsia="es-CO"/>
        </w:rPr>
      </w:pPr>
    </w:p>
    <w:p w14:paraId="5980456A" w14:textId="77777777" w:rsidR="00851C60" w:rsidRPr="00426ACF" w:rsidRDefault="00851C60" w:rsidP="00851C60">
      <w:pPr>
        <w:spacing w:after="0" w:line="240" w:lineRule="auto"/>
        <w:contextualSpacing/>
        <w:rPr>
          <w:rFonts w:ascii="Arial" w:eastAsia="Times New Roman" w:hAnsi="Arial" w:cs="Arial"/>
          <w:lang w:val="es-MX" w:eastAsia="es-CO"/>
        </w:rPr>
      </w:pPr>
    </w:p>
    <w:p w14:paraId="28F3C63B" w14:textId="77777777" w:rsidR="00851C60" w:rsidRPr="00426ACF" w:rsidRDefault="00851C60" w:rsidP="00851C60">
      <w:pPr>
        <w:spacing w:after="0" w:line="240" w:lineRule="auto"/>
        <w:contextualSpacing/>
        <w:rPr>
          <w:rFonts w:ascii="Arial" w:eastAsia="Times New Roman" w:hAnsi="Arial" w:cs="Arial"/>
          <w:lang w:val="es-MX" w:eastAsia="es-CO"/>
        </w:rPr>
      </w:pPr>
    </w:p>
    <w:p w14:paraId="2B088D4B" w14:textId="77777777" w:rsidR="00851C60" w:rsidRPr="00426ACF" w:rsidRDefault="00851C60" w:rsidP="00851C60">
      <w:pPr>
        <w:spacing w:after="0" w:line="240" w:lineRule="auto"/>
        <w:contextualSpacing/>
        <w:rPr>
          <w:rFonts w:ascii="Arial" w:eastAsia="Times New Roman" w:hAnsi="Arial" w:cs="Arial"/>
          <w:lang w:val="es-MX" w:eastAsia="es-CO"/>
        </w:rPr>
      </w:pPr>
    </w:p>
    <w:p w14:paraId="02213125" w14:textId="4FD73896" w:rsidR="00851C60" w:rsidRPr="00426ACF" w:rsidRDefault="00851C60" w:rsidP="00851C60">
      <w:pPr>
        <w:spacing w:after="0" w:line="240" w:lineRule="auto"/>
        <w:contextualSpacing/>
        <w:rPr>
          <w:rFonts w:ascii="Arial" w:eastAsia="Times New Roman" w:hAnsi="Arial" w:cs="Arial"/>
          <w:lang w:val="es-MX" w:eastAsia="es-CO"/>
        </w:rPr>
      </w:pPr>
      <w:r w:rsidRPr="00426ACF">
        <w:rPr>
          <w:rFonts w:ascii="Arial" w:eastAsia="Times New Roman" w:hAnsi="Arial" w:cs="Arial"/>
          <w:lang w:val="es-MX" w:eastAsia="es-CO"/>
        </w:rPr>
        <w:t>Bogotá D.C., </w:t>
      </w:r>
      <w:r w:rsidR="00426ACF" w:rsidRPr="00426ACF">
        <w:rPr>
          <w:rFonts w:ascii="Arial" w:eastAsia="Times New Roman" w:hAnsi="Arial" w:cs="Arial"/>
          <w:lang w:val="es-MX" w:eastAsia="es-CO"/>
        </w:rPr>
        <w:t>05</w:t>
      </w:r>
      <w:r w:rsidRPr="00426ACF">
        <w:rPr>
          <w:rFonts w:ascii="Arial" w:eastAsia="Times New Roman" w:hAnsi="Arial" w:cs="Arial"/>
          <w:lang w:val="es-MX" w:eastAsia="es-CO"/>
        </w:rPr>
        <w:t xml:space="preserve"> enero de 2023</w:t>
      </w:r>
    </w:p>
    <w:p w14:paraId="29A7026B" w14:textId="071498E4" w:rsidR="00426ACF" w:rsidRPr="00426ACF" w:rsidRDefault="00426ACF" w:rsidP="00851C60">
      <w:pPr>
        <w:spacing w:after="0" w:line="240" w:lineRule="auto"/>
        <w:contextualSpacing/>
        <w:rPr>
          <w:rFonts w:ascii="Arial" w:eastAsia="Times New Roman" w:hAnsi="Arial" w:cs="Arial"/>
          <w:lang w:val="es-MX" w:eastAsia="es-CO"/>
        </w:rPr>
      </w:pPr>
    </w:p>
    <w:p w14:paraId="3C3A2A63" w14:textId="7FB0A093" w:rsidR="00426ACF" w:rsidRPr="00426ACF" w:rsidRDefault="00426ACF" w:rsidP="00426ACF">
      <w:pPr>
        <w:spacing w:after="0" w:line="240" w:lineRule="auto"/>
        <w:contextualSpacing/>
        <w:jc w:val="right"/>
        <w:rPr>
          <w:rFonts w:ascii="Arial" w:hAnsi="Arial" w:cs="Arial"/>
          <w:color w:val="000000" w:themeColor="text1"/>
        </w:rPr>
      </w:pPr>
    </w:p>
    <w:p w14:paraId="4E670313" w14:textId="2639F682" w:rsidR="00851C60" w:rsidRPr="00426ACF" w:rsidRDefault="00426ACF" w:rsidP="00426ACF">
      <w:pPr>
        <w:spacing w:after="0" w:line="240" w:lineRule="auto"/>
        <w:contextualSpacing/>
        <w:jc w:val="right"/>
        <w:rPr>
          <w:rFonts w:ascii="Arial" w:eastAsia="Times New Roman" w:hAnsi="Arial" w:cs="Arial"/>
          <w:lang w:eastAsia="es-CO"/>
        </w:rPr>
      </w:pPr>
      <w:r w:rsidRPr="00426ACF">
        <w:rPr>
          <w:rFonts w:ascii="Arial" w:hAnsi="Arial" w:cs="Arial"/>
          <w:noProof/>
          <w:color w:val="000000" w:themeColor="text1"/>
        </w:rPr>
        <w:drawing>
          <wp:inline distT="0" distB="0" distL="0" distR="0" wp14:anchorId="18B28D9B" wp14:editId="6983B1BE">
            <wp:extent cx="2216988" cy="683260"/>
            <wp:effectExtent l="0" t="0" r="0" b="2540"/>
            <wp:docPr id="5"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10;&#10;Descripción generada automáticamente"/>
                    <pic:cNvPicPr/>
                  </pic:nvPicPr>
                  <pic:blipFill>
                    <a:blip r:embed="rId11"/>
                    <a:stretch>
                      <a:fillRect/>
                    </a:stretch>
                  </pic:blipFill>
                  <pic:spPr>
                    <a:xfrm>
                      <a:off x="0" y="0"/>
                      <a:ext cx="2226640" cy="686235"/>
                    </a:xfrm>
                    <a:prstGeom prst="rect">
                      <a:avLst/>
                    </a:prstGeom>
                  </pic:spPr>
                </pic:pic>
              </a:graphicData>
            </a:graphic>
          </wp:inline>
        </w:drawing>
      </w:r>
    </w:p>
    <w:p w14:paraId="60EDD74E" w14:textId="77777777" w:rsidR="00851C60" w:rsidRPr="00426ACF" w:rsidRDefault="00851C60" w:rsidP="00851C60">
      <w:pPr>
        <w:spacing w:after="0" w:line="240" w:lineRule="auto"/>
        <w:contextualSpacing/>
        <w:textAlignment w:val="baseline"/>
        <w:rPr>
          <w:rFonts w:ascii="Arial" w:eastAsia="Times New Roman" w:hAnsi="Arial" w:cs="Arial"/>
          <w:lang w:val="es-MX" w:eastAsia="es-CO"/>
        </w:rPr>
      </w:pPr>
      <w:r w:rsidRPr="00426ACF">
        <w:rPr>
          <w:rFonts w:ascii="Arial" w:eastAsia="Times New Roman" w:hAnsi="Arial" w:cs="Arial"/>
          <w:lang w:val="es-MX" w:eastAsia="es-CO"/>
        </w:rPr>
        <w:t>Señora</w:t>
      </w:r>
    </w:p>
    <w:p w14:paraId="1F69AF4B" w14:textId="77777777" w:rsidR="00851C60" w:rsidRPr="00426ACF" w:rsidRDefault="00851C60" w:rsidP="00851C60">
      <w:pPr>
        <w:spacing w:after="0" w:line="240" w:lineRule="auto"/>
        <w:contextualSpacing/>
        <w:textAlignment w:val="baseline"/>
        <w:rPr>
          <w:rFonts w:ascii="Arial" w:hAnsi="Arial" w:cs="Arial"/>
          <w:b/>
          <w:bCs/>
        </w:rPr>
      </w:pPr>
      <w:r w:rsidRPr="00426ACF">
        <w:rPr>
          <w:rFonts w:ascii="Arial" w:hAnsi="Arial" w:cs="Arial"/>
          <w:b/>
          <w:bCs/>
        </w:rPr>
        <w:t xml:space="preserve">VIVIANA BOLAÑOS F </w:t>
      </w:r>
    </w:p>
    <w:p w14:paraId="34768F90" w14:textId="77777777" w:rsidR="00851C60" w:rsidRPr="00426ACF" w:rsidRDefault="00851C60" w:rsidP="00851C60">
      <w:pPr>
        <w:spacing w:after="0" w:line="240" w:lineRule="auto"/>
        <w:contextualSpacing/>
        <w:textAlignment w:val="baseline"/>
        <w:rPr>
          <w:rFonts w:ascii="Arial" w:hAnsi="Arial" w:cs="Arial"/>
        </w:rPr>
      </w:pPr>
      <w:r w:rsidRPr="00426ACF">
        <w:rPr>
          <w:rFonts w:ascii="Arial" w:hAnsi="Arial" w:cs="Arial"/>
        </w:rPr>
        <w:t xml:space="preserve">Jefe oficina asesora jurídica </w:t>
      </w:r>
    </w:p>
    <w:p w14:paraId="436E4D72" w14:textId="77777777" w:rsidR="00851C60" w:rsidRPr="00426ACF" w:rsidRDefault="00851C60" w:rsidP="00851C60">
      <w:pPr>
        <w:spacing w:after="0" w:line="240" w:lineRule="auto"/>
        <w:contextualSpacing/>
        <w:textAlignment w:val="baseline"/>
        <w:rPr>
          <w:rFonts w:ascii="Arial" w:hAnsi="Arial" w:cs="Arial"/>
        </w:rPr>
      </w:pPr>
      <w:r w:rsidRPr="00426ACF">
        <w:rPr>
          <w:rFonts w:ascii="Arial" w:hAnsi="Arial" w:cs="Arial"/>
        </w:rPr>
        <w:t>Hospital Universitario del Valle</w:t>
      </w:r>
    </w:p>
    <w:p w14:paraId="799DE8D9" w14:textId="77777777" w:rsidR="00851C60" w:rsidRPr="00426ACF" w:rsidRDefault="00851C60" w:rsidP="00851C60">
      <w:pPr>
        <w:spacing w:after="0" w:line="240" w:lineRule="auto"/>
        <w:contextualSpacing/>
        <w:textAlignment w:val="baseline"/>
        <w:rPr>
          <w:rFonts w:ascii="Arial" w:eastAsia="Times New Roman" w:hAnsi="Arial" w:cs="Arial"/>
          <w:lang w:eastAsia="es-CO"/>
        </w:rPr>
      </w:pPr>
      <w:r w:rsidRPr="00426ACF">
        <w:rPr>
          <w:rFonts w:ascii="Arial" w:hAnsi="Arial" w:cs="Arial"/>
          <w:color w:val="201F1E"/>
          <w:shd w:val="clear" w:color="auto" w:fill="FFFFFF"/>
        </w:rPr>
        <w:t>Ciudad</w:t>
      </w:r>
    </w:p>
    <w:p w14:paraId="39FAD640" w14:textId="77777777" w:rsidR="00851C60" w:rsidRPr="00426ACF" w:rsidRDefault="00851C60" w:rsidP="00851C60">
      <w:pPr>
        <w:spacing w:after="0" w:line="240" w:lineRule="auto"/>
        <w:contextualSpacing/>
        <w:textAlignment w:val="baseline"/>
        <w:rPr>
          <w:rFonts w:ascii="Arial" w:eastAsia="Times New Roman" w:hAnsi="Arial" w:cs="Arial"/>
          <w:lang w:eastAsia="es-CO"/>
        </w:rPr>
      </w:pPr>
    </w:p>
    <w:p w14:paraId="66FA342F" w14:textId="77777777" w:rsidR="00851C60" w:rsidRPr="00426ACF" w:rsidRDefault="00851C60" w:rsidP="00851C60">
      <w:pPr>
        <w:spacing w:after="0" w:line="240" w:lineRule="auto"/>
        <w:contextualSpacing/>
        <w:textAlignment w:val="baseline"/>
        <w:rPr>
          <w:rFonts w:ascii="Arial" w:eastAsia="Times New Roman" w:hAnsi="Arial" w:cs="Arial"/>
          <w:b/>
          <w:bCs/>
          <w:lang w:eastAsia="es-CO"/>
        </w:rPr>
      </w:pPr>
      <w:r w:rsidRPr="00426ACF">
        <w:rPr>
          <w:rFonts w:ascii="Arial" w:eastAsia="Times New Roman" w:hAnsi="Arial" w:cs="Arial"/>
          <w:b/>
          <w:bCs/>
          <w:lang w:eastAsia="es-CO"/>
        </w:rPr>
        <w:t xml:space="preserve">      </w:t>
      </w:r>
    </w:p>
    <w:p w14:paraId="27B0CE3C" w14:textId="77777777" w:rsidR="00851C60" w:rsidRPr="00426ACF" w:rsidRDefault="00851C60" w:rsidP="00851C60">
      <w:pPr>
        <w:spacing w:after="0" w:line="240" w:lineRule="auto"/>
        <w:contextualSpacing/>
        <w:textAlignment w:val="baseline"/>
        <w:rPr>
          <w:rFonts w:ascii="Arial" w:eastAsia="Times New Roman" w:hAnsi="Arial" w:cs="Arial"/>
          <w:lang w:eastAsia="es-CO"/>
        </w:rPr>
      </w:pPr>
    </w:p>
    <w:p w14:paraId="44E4A17F" w14:textId="77777777" w:rsidR="00851C60" w:rsidRPr="00426ACF" w:rsidRDefault="00851C60" w:rsidP="00851C60">
      <w:pPr>
        <w:spacing w:after="0" w:line="240" w:lineRule="auto"/>
        <w:contextualSpacing/>
        <w:textAlignment w:val="baseline"/>
        <w:rPr>
          <w:rFonts w:ascii="Arial" w:eastAsia="Times New Roman" w:hAnsi="Arial" w:cs="Arial"/>
          <w:lang w:eastAsia="es-CO"/>
        </w:rPr>
      </w:pPr>
      <w:r w:rsidRPr="00426ACF">
        <w:rPr>
          <w:rFonts w:ascii="Arial" w:eastAsia="Times New Roman" w:hAnsi="Arial" w:cs="Arial"/>
          <w:b/>
          <w:bCs/>
          <w:lang w:val="es-ES" w:eastAsia="es-CO"/>
        </w:rPr>
        <w:t xml:space="preserve">                                            </w:t>
      </w:r>
      <w:r w:rsidRPr="00426ACF">
        <w:rPr>
          <w:rFonts w:ascii="Arial" w:eastAsia="Times New Roman" w:hAnsi="Arial" w:cs="Arial"/>
          <w:b/>
          <w:bCs/>
          <w:lang w:val="es-ES" w:eastAsia="es-CO"/>
        </w:rPr>
        <w:tab/>
      </w:r>
      <w:r w:rsidRPr="00426ACF">
        <w:rPr>
          <w:rFonts w:ascii="Arial" w:eastAsia="Times New Roman" w:hAnsi="Arial" w:cs="Arial"/>
          <w:b/>
          <w:bCs/>
          <w:lang w:val="es-ES" w:eastAsia="es-CO"/>
        </w:rPr>
        <w:tab/>
        <w:t>Concepto C-909 de 2022</w:t>
      </w:r>
      <w:r w:rsidRPr="00426ACF">
        <w:rPr>
          <w:rFonts w:ascii="Arial" w:eastAsia="Times New Roman" w:hAnsi="Arial" w:cs="Arial"/>
          <w:lang w:eastAsia="es-CO"/>
        </w:rPr>
        <w:t> </w:t>
      </w:r>
    </w:p>
    <w:p w14:paraId="12146CD7" w14:textId="77777777" w:rsidR="00851C60" w:rsidRPr="00426ACF" w:rsidRDefault="00851C60" w:rsidP="00851C60">
      <w:pPr>
        <w:spacing w:after="0" w:line="240"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55"/>
        <w:gridCol w:w="6225"/>
      </w:tblGrid>
      <w:tr w:rsidR="00851C60" w:rsidRPr="00426ACF" w14:paraId="2BA81211" w14:textId="77777777" w:rsidTr="000C7A6F">
        <w:trPr>
          <w:trHeight w:val="300"/>
        </w:trPr>
        <w:tc>
          <w:tcPr>
            <w:tcW w:w="2685" w:type="dxa"/>
            <w:tcBorders>
              <w:top w:val="nil"/>
              <w:left w:val="nil"/>
              <w:bottom w:val="nil"/>
              <w:right w:val="nil"/>
            </w:tcBorders>
            <w:shd w:val="clear" w:color="auto" w:fill="auto"/>
            <w:hideMark/>
          </w:tcPr>
          <w:p w14:paraId="34A03691" w14:textId="77777777" w:rsidR="00851C60" w:rsidRPr="00426ACF" w:rsidRDefault="00851C60" w:rsidP="000C7A6F">
            <w:pPr>
              <w:spacing w:after="0" w:line="240" w:lineRule="auto"/>
              <w:contextualSpacing/>
              <w:jc w:val="both"/>
              <w:textAlignment w:val="baseline"/>
              <w:rPr>
                <w:rFonts w:ascii="Arial" w:eastAsia="Times New Roman" w:hAnsi="Arial" w:cs="Arial"/>
                <w:lang w:eastAsia="es-CO"/>
              </w:rPr>
            </w:pPr>
            <w:r w:rsidRPr="00426ACF">
              <w:rPr>
                <w:rFonts w:ascii="Arial" w:eastAsia="Times New Roman" w:hAnsi="Arial" w:cs="Arial"/>
                <w:b/>
                <w:bCs/>
                <w:lang w:val="es-ES" w:eastAsia="es-CO"/>
              </w:rPr>
              <w:t>Temas:</w:t>
            </w:r>
            <w:r w:rsidRPr="00426ACF">
              <w:rPr>
                <w:rFonts w:ascii="Arial" w:eastAsia="Times New Roman" w:hAnsi="Arial" w:cs="Arial"/>
                <w:lang w:val="es-ES" w:eastAsia="es-CO"/>
              </w:rPr>
              <w:t>                                      </w:t>
            </w:r>
            <w:r w:rsidRPr="00426ACF">
              <w:rPr>
                <w:rFonts w:ascii="Arial" w:eastAsia="Times New Roman" w:hAnsi="Arial" w:cs="Arial"/>
                <w:lang w:eastAsia="es-CO"/>
              </w:rPr>
              <w:t> </w:t>
            </w:r>
          </w:p>
        </w:tc>
        <w:tc>
          <w:tcPr>
            <w:tcW w:w="6225" w:type="dxa"/>
            <w:tcBorders>
              <w:top w:val="nil"/>
              <w:left w:val="nil"/>
              <w:bottom w:val="nil"/>
              <w:right w:val="nil"/>
            </w:tcBorders>
            <w:shd w:val="clear" w:color="auto" w:fill="auto"/>
            <w:hideMark/>
          </w:tcPr>
          <w:p w14:paraId="015A36F1" w14:textId="77777777" w:rsidR="00851C60" w:rsidRPr="00426ACF" w:rsidRDefault="00851C60" w:rsidP="000C7A6F">
            <w:pPr>
              <w:spacing w:after="0" w:line="240" w:lineRule="auto"/>
              <w:contextualSpacing/>
              <w:jc w:val="both"/>
              <w:textAlignment w:val="baseline"/>
              <w:rPr>
                <w:rFonts w:ascii="Arial" w:eastAsia="Times New Roman" w:hAnsi="Arial" w:cs="Arial"/>
                <w:lang w:eastAsia="es-CO"/>
              </w:rPr>
            </w:pPr>
            <w:r w:rsidRPr="00426ACF">
              <w:rPr>
                <w:rFonts w:ascii="Arial" w:hAnsi="Arial" w:cs="Arial"/>
                <w:iCs/>
                <w:lang w:val="es-ES_tradnl"/>
              </w:rPr>
              <w:t xml:space="preserve">DEBER DE PUBLICIDAD </w:t>
            </w:r>
            <w:r w:rsidRPr="00426ACF">
              <w:rPr>
                <w:rFonts w:ascii="Arial" w:eastAsia="Calibri" w:hAnsi="Arial" w:cs="Arial"/>
                <w:lang w:val="es-ES_tradnl"/>
              </w:rPr>
              <w:t>–</w:t>
            </w:r>
            <w:r w:rsidRPr="00426ACF">
              <w:rPr>
                <w:rFonts w:ascii="Arial" w:hAnsi="Arial" w:cs="Arial"/>
                <w:iCs/>
                <w:lang w:val="es-ES_tradnl"/>
              </w:rPr>
              <w:t xml:space="preserve"> Entidades estatales exceptuadas del estatuto general de contratación de la administración pública / SECOP II </w:t>
            </w:r>
            <w:r w:rsidRPr="00426ACF">
              <w:rPr>
                <w:rFonts w:ascii="Arial" w:eastAsia="Calibri" w:hAnsi="Arial" w:cs="Arial"/>
                <w:lang w:val="es-ES_tradnl"/>
              </w:rPr>
              <w:t>–</w:t>
            </w:r>
            <w:r w:rsidRPr="00426ACF">
              <w:rPr>
                <w:rFonts w:ascii="Arial" w:hAnsi="Arial" w:cs="Arial"/>
                <w:iCs/>
                <w:lang w:val="es-ES_tradnl"/>
              </w:rPr>
              <w:t xml:space="preserve"> Deber de publicidad </w:t>
            </w:r>
            <w:r w:rsidRPr="00426ACF">
              <w:rPr>
                <w:rFonts w:ascii="Arial" w:eastAsia="Calibri" w:hAnsi="Arial" w:cs="Arial"/>
                <w:lang w:val="es-ES_tradnl"/>
              </w:rPr>
              <w:t>–</w:t>
            </w:r>
            <w:r w:rsidRPr="00426ACF">
              <w:rPr>
                <w:rFonts w:ascii="Arial" w:hAnsi="Arial" w:cs="Arial"/>
                <w:iCs/>
                <w:lang w:val="es-ES_tradnl"/>
              </w:rPr>
              <w:t xml:space="preserve"> Entidades estatales exceptuadas del estatuto general de contratación de la administración pública – Modificación artículo 53 de la Ley 2195 de 2022 / </w:t>
            </w:r>
            <w:r w:rsidRPr="00426ACF">
              <w:rPr>
                <w:rFonts w:ascii="Arial" w:eastAsia="Calibri" w:hAnsi="Arial" w:cs="Arial"/>
                <w:lang w:val="es-ES_tradnl"/>
              </w:rPr>
              <w:t>SECOP II –</w:t>
            </w:r>
            <w:r w:rsidRPr="00426ACF">
              <w:rPr>
                <w:rFonts w:ascii="Arial" w:hAnsi="Arial" w:cs="Arial"/>
                <w:iCs/>
                <w:lang w:val="es-ES_tradnl"/>
              </w:rPr>
              <w:t xml:space="preserve"> Deber de publicidad </w:t>
            </w:r>
            <w:r w:rsidRPr="00426ACF">
              <w:rPr>
                <w:rFonts w:ascii="Arial" w:eastAsia="Calibri" w:hAnsi="Arial" w:cs="Arial"/>
                <w:lang w:val="es-ES_tradnl"/>
              </w:rPr>
              <w:t>–</w:t>
            </w:r>
            <w:r w:rsidRPr="00426ACF">
              <w:rPr>
                <w:rFonts w:ascii="Arial" w:hAnsi="Arial" w:cs="Arial"/>
                <w:iCs/>
                <w:lang w:val="es-ES_tradnl"/>
              </w:rPr>
              <w:t xml:space="preserve"> Entidades estatales exceptuadas del estatuto general de contratación de la administración pública </w:t>
            </w:r>
            <w:r w:rsidRPr="00426ACF">
              <w:rPr>
                <w:rFonts w:ascii="Arial" w:eastAsia="Calibri" w:hAnsi="Arial" w:cs="Arial"/>
                <w:lang w:val="es-ES_tradnl"/>
              </w:rPr>
              <w:t>–</w:t>
            </w:r>
            <w:r w:rsidRPr="00426ACF">
              <w:rPr>
                <w:rFonts w:ascii="Arial" w:hAnsi="Arial" w:cs="Arial"/>
                <w:iCs/>
                <w:lang w:val="es-ES_tradnl"/>
              </w:rPr>
              <w:t xml:space="preserve"> </w:t>
            </w:r>
            <w:r w:rsidRPr="00426ACF">
              <w:rPr>
                <w:rFonts w:ascii="Arial" w:eastAsia="Calibri" w:hAnsi="Arial" w:cs="Arial"/>
                <w:lang w:val="es-ES_tradnl"/>
              </w:rPr>
              <w:t>Vigencia / SECOP II –</w:t>
            </w:r>
            <w:r w:rsidRPr="00426ACF">
              <w:rPr>
                <w:rFonts w:ascii="Arial" w:hAnsi="Arial" w:cs="Arial"/>
                <w:iCs/>
                <w:lang w:val="es-ES_tradnl"/>
              </w:rPr>
              <w:t xml:space="preserve"> Deber de publicidad </w:t>
            </w:r>
            <w:r w:rsidRPr="00426ACF">
              <w:rPr>
                <w:rFonts w:ascii="Arial" w:eastAsia="Calibri" w:hAnsi="Arial" w:cs="Arial"/>
                <w:lang w:val="es-ES_tradnl"/>
              </w:rPr>
              <w:t>–</w:t>
            </w:r>
            <w:r w:rsidRPr="00426ACF">
              <w:rPr>
                <w:rFonts w:ascii="Arial" w:hAnsi="Arial" w:cs="Arial"/>
                <w:iCs/>
                <w:lang w:val="es-ES_tradnl"/>
              </w:rPr>
              <w:t xml:space="preserve"> Entidades estatales exceptuadas del estatuto general de contratación de la administración pública </w:t>
            </w:r>
            <w:r w:rsidRPr="00426ACF">
              <w:rPr>
                <w:rFonts w:ascii="Arial" w:eastAsia="Calibri" w:hAnsi="Arial" w:cs="Arial"/>
                <w:lang w:val="es-ES_tradnl"/>
              </w:rPr>
              <w:t>–</w:t>
            </w:r>
            <w:r w:rsidRPr="00426ACF">
              <w:rPr>
                <w:rFonts w:ascii="Arial" w:hAnsi="Arial" w:cs="Arial"/>
                <w:iCs/>
                <w:lang w:val="es-ES_tradnl"/>
              </w:rPr>
              <w:t xml:space="preserve"> Uso</w:t>
            </w:r>
            <w:r w:rsidRPr="00426ACF">
              <w:rPr>
                <w:rFonts w:ascii="Arial" w:eastAsia="Calibri" w:hAnsi="Arial" w:cs="Arial"/>
                <w:lang w:val="es-ES_tradnl"/>
              </w:rPr>
              <w:t xml:space="preserve"> / </w:t>
            </w:r>
            <w:r w:rsidRPr="00426ACF">
              <w:rPr>
                <w:rFonts w:ascii="Arial" w:eastAsia="Calibri" w:hAnsi="Arial" w:cs="Arial"/>
                <w:bCs/>
                <w:lang w:val="es-ES_tradnl" w:eastAsia="es-ES_tradnl"/>
              </w:rPr>
              <w:t xml:space="preserve">DOCUMENTOS TIPO – Fundamento normativo – </w:t>
            </w:r>
            <w:r w:rsidRPr="00426ACF">
              <w:rPr>
                <w:rFonts w:ascii="Arial" w:eastAsia="Calibri" w:hAnsi="Arial" w:cs="Arial"/>
                <w:bCs/>
                <w:lang w:val="es-ES_tradnl"/>
              </w:rPr>
              <w:t xml:space="preserve">Ley 1882 de 2018 / </w:t>
            </w:r>
            <w:r w:rsidRPr="00426ACF">
              <w:rPr>
                <w:rFonts w:ascii="Arial" w:eastAsia="Calibri" w:hAnsi="Arial" w:cs="Arial"/>
                <w:bCs/>
                <w:lang w:val="es-ES_tradnl" w:eastAsia="es-ES_tradnl"/>
              </w:rPr>
              <w:t>DOCUMENTOS TIPO – Fundamento normativo – Ley 2022 de 2020 / LEY 2195 DE 2022 – Artículo 56 – Ámbito de aplicación / LEY 2195 DE 2022 – Artículo 56 – Finalidad / LEY 2195 DE 2022 – Artículo 56 – Incisos y 2 – Interpretación conjunta / LEY 2195 DE 2022 – Artículo 56 – Aplicación del estatuto general de contratación de la administración pública / LEY 2195 DE 2022 – Artículo 56 – Parágrafo – Excepciones – Giro ordinario</w:t>
            </w:r>
          </w:p>
          <w:p w14:paraId="7CFA5BFE" w14:textId="77777777" w:rsidR="00851C60" w:rsidRPr="00426ACF" w:rsidRDefault="00851C60" w:rsidP="000C7A6F">
            <w:pPr>
              <w:spacing w:after="0" w:line="240"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tc>
      </w:tr>
      <w:tr w:rsidR="00851C60" w:rsidRPr="00426ACF" w14:paraId="3A9AC7DA" w14:textId="77777777" w:rsidTr="000C7A6F">
        <w:trPr>
          <w:trHeight w:val="225"/>
        </w:trPr>
        <w:tc>
          <w:tcPr>
            <w:tcW w:w="2685" w:type="dxa"/>
            <w:tcBorders>
              <w:top w:val="nil"/>
              <w:left w:val="nil"/>
              <w:bottom w:val="nil"/>
              <w:right w:val="nil"/>
            </w:tcBorders>
            <w:shd w:val="clear" w:color="auto" w:fill="auto"/>
            <w:hideMark/>
          </w:tcPr>
          <w:p w14:paraId="69C9DFAE" w14:textId="77777777" w:rsidR="00851C60" w:rsidRPr="00426ACF" w:rsidRDefault="00851C60" w:rsidP="000C7A6F">
            <w:pPr>
              <w:spacing w:after="0" w:line="240" w:lineRule="auto"/>
              <w:contextualSpacing/>
              <w:jc w:val="both"/>
              <w:textAlignment w:val="baseline"/>
              <w:rPr>
                <w:rFonts w:ascii="Arial" w:eastAsia="Times New Roman" w:hAnsi="Arial" w:cs="Arial"/>
                <w:lang w:eastAsia="es-CO"/>
              </w:rPr>
            </w:pPr>
            <w:r w:rsidRPr="00426ACF">
              <w:rPr>
                <w:rFonts w:ascii="Arial" w:eastAsia="Times New Roman" w:hAnsi="Arial" w:cs="Arial"/>
                <w:b/>
                <w:bCs/>
                <w:lang w:val="es-ES" w:eastAsia="es-CO"/>
              </w:rPr>
              <w:t>Radicación:</w:t>
            </w:r>
            <w:r w:rsidRPr="00426ACF">
              <w:rPr>
                <w:rFonts w:ascii="Arial" w:eastAsia="Times New Roman" w:hAnsi="Arial" w:cs="Arial"/>
                <w:lang w:val="es-ES" w:eastAsia="es-CO"/>
              </w:rPr>
              <w:t>                             </w:t>
            </w:r>
            <w:r w:rsidRPr="00426ACF">
              <w:rPr>
                <w:rFonts w:ascii="Arial" w:eastAsia="Times New Roman" w:hAnsi="Arial" w:cs="Arial"/>
                <w:lang w:eastAsia="es-CO"/>
              </w:rPr>
              <w:t> </w:t>
            </w:r>
          </w:p>
        </w:tc>
        <w:tc>
          <w:tcPr>
            <w:tcW w:w="6225" w:type="dxa"/>
            <w:tcBorders>
              <w:top w:val="nil"/>
              <w:left w:val="nil"/>
              <w:bottom w:val="nil"/>
              <w:right w:val="nil"/>
            </w:tcBorders>
            <w:shd w:val="clear" w:color="auto" w:fill="auto"/>
            <w:hideMark/>
          </w:tcPr>
          <w:p w14:paraId="0096F752" w14:textId="77777777" w:rsidR="00851C60" w:rsidRPr="00426ACF" w:rsidRDefault="00851C60" w:rsidP="000C7A6F">
            <w:pPr>
              <w:spacing w:after="0" w:line="240" w:lineRule="auto"/>
              <w:contextualSpacing/>
              <w:jc w:val="both"/>
              <w:textAlignment w:val="baseline"/>
              <w:rPr>
                <w:rFonts w:ascii="Arial" w:eastAsia="Times New Roman" w:hAnsi="Arial" w:cs="Arial"/>
                <w:lang w:eastAsia="es-CO"/>
              </w:rPr>
            </w:pPr>
            <w:r w:rsidRPr="00426ACF">
              <w:rPr>
                <w:rFonts w:ascii="Arial" w:eastAsia="Times New Roman" w:hAnsi="Arial" w:cs="Arial"/>
                <w:lang w:val="es-ES" w:eastAsia="es-CO"/>
              </w:rPr>
              <w:t xml:space="preserve">Respuesta a la consulta No. </w:t>
            </w:r>
            <w:r w:rsidRPr="00426ACF">
              <w:rPr>
                <w:rFonts w:ascii="Arial" w:eastAsia="Times New Roman" w:hAnsi="Arial" w:cs="Arial"/>
                <w:lang w:eastAsia="es-CO"/>
              </w:rPr>
              <w:t>P20221123011658</w:t>
            </w:r>
          </w:p>
        </w:tc>
      </w:tr>
    </w:tbl>
    <w:p w14:paraId="5EF1BF7A"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7B4B82FC"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1AECEB52" w14:textId="77777777" w:rsidR="00851C60" w:rsidRPr="00426ACF" w:rsidRDefault="00851C60" w:rsidP="00851C60">
      <w:pPr>
        <w:spacing w:after="0" w:line="276" w:lineRule="auto"/>
        <w:contextualSpacing/>
        <w:jc w:val="both"/>
        <w:textAlignment w:val="baseline"/>
        <w:rPr>
          <w:rFonts w:ascii="Arial" w:eastAsia="Times New Roman" w:hAnsi="Arial" w:cs="Arial"/>
          <w:lang w:val="es-MX" w:eastAsia="es-CO"/>
        </w:rPr>
      </w:pPr>
      <w:r w:rsidRPr="00426ACF">
        <w:rPr>
          <w:rFonts w:ascii="Arial" w:eastAsia="Times New Roman" w:hAnsi="Arial" w:cs="Arial"/>
          <w:lang w:val="es-MX" w:eastAsia="es-CO"/>
        </w:rPr>
        <w:t>Respetada señora Viviana Bolaños.</w:t>
      </w:r>
    </w:p>
    <w:p w14:paraId="0E0C6050"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lastRenderedPageBreak/>
        <w:t> </w:t>
      </w:r>
    </w:p>
    <w:p w14:paraId="0BD7A765"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val="es-ES" w:eastAsia="es-CO"/>
        </w:rPr>
        <w:t>En ejercicio de la competencia otorgada por el numeral 8 del artículo 11 y el numeral 5 del artículo 3 del Decreto Ley 4170 de 2011, la Agencia Nacional de Contratación Pública ― Colombia Compra Eficiente responde su consulta, remitida el 23 de noviembre de 2022.</w:t>
      </w:r>
      <w:r w:rsidRPr="00426ACF">
        <w:rPr>
          <w:rFonts w:ascii="Arial" w:eastAsia="Times New Roman" w:hAnsi="Arial" w:cs="Arial"/>
          <w:lang w:eastAsia="es-CO"/>
        </w:rPr>
        <w:t> </w:t>
      </w:r>
    </w:p>
    <w:p w14:paraId="6B3D885C"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32A513E1" w14:textId="77777777" w:rsidR="00851C60" w:rsidRPr="00426ACF" w:rsidRDefault="00851C60" w:rsidP="00851C60">
      <w:pPr>
        <w:numPr>
          <w:ilvl w:val="0"/>
          <w:numId w:val="4"/>
        </w:numPr>
        <w:tabs>
          <w:tab w:val="clear" w:pos="720"/>
          <w:tab w:val="num" w:pos="0"/>
        </w:tabs>
        <w:spacing w:after="0" w:line="276" w:lineRule="auto"/>
        <w:ind w:left="0" w:firstLine="135"/>
        <w:contextualSpacing/>
        <w:jc w:val="both"/>
        <w:textAlignment w:val="baseline"/>
        <w:rPr>
          <w:rFonts w:ascii="Arial" w:eastAsia="Times New Roman" w:hAnsi="Arial" w:cs="Arial"/>
          <w:lang w:eastAsia="es-CO"/>
        </w:rPr>
      </w:pPr>
      <w:r w:rsidRPr="00426ACF">
        <w:rPr>
          <w:rFonts w:ascii="Arial" w:eastAsia="Times New Roman" w:hAnsi="Arial" w:cs="Arial"/>
          <w:b/>
          <w:bCs/>
          <w:lang w:val="es-ES" w:eastAsia="es-CO"/>
        </w:rPr>
        <w:t>Problema planteado </w:t>
      </w:r>
      <w:r w:rsidRPr="00426ACF">
        <w:rPr>
          <w:rFonts w:ascii="Arial" w:eastAsia="Times New Roman" w:hAnsi="Arial" w:cs="Arial"/>
          <w:lang w:eastAsia="es-CO"/>
        </w:rPr>
        <w:t> </w:t>
      </w:r>
    </w:p>
    <w:p w14:paraId="01F86C4B" w14:textId="77777777" w:rsidR="00851C60" w:rsidRPr="00426ACF" w:rsidRDefault="00851C60" w:rsidP="00851C60">
      <w:pPr>
        <w:spacing w:after="0" w:line="276" w:lineRule="auto"/>
        <w:contextualSpacing/>
        <w:jc w:val="both"/>
        <w:textAlignment w:val="baseline"/>
        <w:rPr>
          <w:rFonts w:ascii="Arial" w:eastAsia="Times New Roman" w:hAnsi="Arial" w:cs="Arial"/>
          <w:lang w:val="es-ES" w:eastAsia="es-CO"/>
        </w:rPr>
      </w:pPr>
      <w:r w:rsidRPr="00426ACF">
        <w:rPr>
          <w:rFonts w:ascii="Arial" w:eastAsia="Times New Roman" w:hAnsi="Arial" w:cs="Arial"/>
          <w:lang w:eastAsia="es-CO"/>
        </w:rPr>
        <w:t> </w:t>
      </w:r>
    </w:p>
    <w:p w14:paraId="325F2CA6"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val="es-ES" w:eastAsia="es-CO"/>
        </w:rPr>
        <w:t>Usted plantea la siguiente consulta: </w:t>
      </w:r>
      <w:r w:rsidRPr="00426ACF">
        <w:rPr>
          <w:rFonts w:ascii="Arial" w:eastAsia="Times New Roman" w:hAnsi="Arial" w:cs="Arial"/>
          <w:lang w:eastAsia="es-CO"/>
        </w:rPr>
        <w:t> </w:t>
      </w:r>
    </w:p>
    <w:p w14:paraId="0840A704"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3353EC3E" w14:textId="77777777" w:rsidR="00851C60" w:rsidRPr="00426ACF" w:rsidRDefault="00851C60" w:rsidP="00851C60">
      <w:pPr>
        <w:spacing w:after="0" w:line="240" w:lineRule="auto"/>
        <w:ind w:left="709" w:right="709"/>
        <w:contextualSpacing/>
        <w:jc w:val="both"/>
        <w:textAlignment w:val="baseline"/>
        <w:rPr>
          <w:rFonts w:ascii="Arial" w:eastAsia="Times New Roman" w:hAnsi="Arial" w:cs="Arial"/>
          <w:sz w:val="21"/>
          <w:szCs w:val="21"/>
          <w:lang w:val="es-MX" w:eastAsia="es-CO"/>
        </w:rPr>
      </w:pPr>
      <w:r w:rsidRPr="00426ACF">
        <w:rPr>
          <w:rFonts w:ascii="Arial" w:eastAsia="Times New Roman" w:hAnsi="Arial" w:cs="Arial"/>
          <w:sz w:val="21"/>
          <w:szCs w:val="21"/>
          <w:lang w:val="es-ES" w:eastAsia="es-CO"/>
        </w:rPr>
        <w:t>«[…]</w:t>
      </w:r>
      <w:r w:rsidRPr="00426ACF">
        <w:rPr>
          <w:rFonts w:ascii="Arial" w:hAnsi="Arial" w:cs="Arial"/>
          <w:sz w:val="21"/>
          <w:szCs w:val="21"/>
        </w:rPr>
        <w:t>una entidad estatal, exceptuada del Estatuto Géneral de Contracción de la Administración Pública, que en fomento de buenas prácticas contractuales aplica pliegos tipo, ¿está obligada a tramitar el proceso contractual por los módulos transaccionales de la plataforma SECOP II? o si, por el contrario, Ia aplicación de pliegos tipo no implica omitir el trámite procesal del estatuto de contratación particular, es decir, que el uso de los documentos tipo no obliga al uso de los módulos transaccionales, sino que se puede tramitar por medio de las herramientas de publicidad del SECOP II</w:t>
      </w:r>
      <w:r w:rsidRPr="00426ACF">
        <w:rPr>
          <w:rFonts w:ascii="Arial" w:eastAsia="Times New Roman" w:hAnsi="Arial" w:cs="Arial"/>
          <w:sz w:val="21"/>
          <w:szCs w:val="21"/>
          <w:lang w:val="es-ES" w:eastAsia="es-CO"/>
        </w:rPr>
        <w:t>.» </w:t>
      </w:r>
      <w:r w:rsidRPr="00426ACF">
        <w:rPr>
          <w:rFonts w:ascii="Arial" w:eastAsia="Times New Roman" w:hAnsi="Arial" w:cs="Arial"/>
          <w:sz w:val="21"/>
          <w:szCs w:val="21"/>
          <w:lang w:eastAsia="es-CO"/>
        </w:rPr>
        <w:t> </w:t>
      </w:r>
    </w:p>
    <w:p w14:paraId="359ACB4F" w14:textId="77777777" w:rsidR="00851C60" w:rsidRPr="00426ACF" w:rsidRDefault="00851C60" w:rsidP="00851C60">
      <w:pPr>
        <w:spacing w:after="0" w:line="276" w:lineRule="auto"/>
        <w:ind w:left="705" w:right="705"/>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0E7665CD" w14:textId="77777777" w:rsidR="00851C60" w:rsidRPr="00426ACF" w:rsidRDefault="00851C60" w:rsidP="00851C60">
      <w:pPr>
        <w:numPr>
          <w:ilvl w:val="0"/>
          <w:numId w:val="4"/>
        </w:numPr>
        <w:tabs>
          <w:tab w:val="clear" w:pos="720"/>
          <w:tab w:val="num" w:pos="0"/>
        </w:tabs>
        <w:spacing w:after="0" w:line="276" w:lineRule="auto"/>
        <w:ind w:left="0" w:firstLine="135"/>
        <w:contextualSpacing/>
        <w:jc w:val="both"/>
        <w:textAlignment w:val="baseline"/>
        <w:rPr>
          <w:rFonts w:ascii="Arial" w:eastAsia="Times New Roman" w:hAnsi="Arial" w:cs="Arial"/>
          <w:b/>
          <w:bCs/>
          <w:lang w:val="es-ES" w:eastAsia="es-CO"/>
        </w:rPr>
      </w:pPr>
      <w:r w:rsidRPr="00426ACF">
        <w:rPr>
          <w:rFonts w:ascii="Arial" w:eastAsia="Times New Roman" w:hAnsi="Arial" w:cs="Arial"/>
          <w:b/>
          <w:bCs/>
          <w:lang w:val="es-ES" w:eastAsia="es-CO"/>
        </w:rPr>
        <w:t>Consideraciones </w:t>
      </w:r>
    </w:p>
    <w:p w14:paraId="6F2C239D"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0B5F3C71" w14:textId="77777777" w:rsidR="00851C60" w:rsidRPr="00426ACF" w:rsidRDefault="00851C60" w:rsidP="00851C60">
      <w:pPr>
        <w:spacing w:after="120" w:line="276" w:lineRule="auto"/>
        <w:jc w:val="both"/>
        <w:textAlignment w:val="baseline"/>
        <w:rPr>
          <w:rFonts w:ascii="Arial" w:eastAsia="Times New Roman" w:hAnsi="Arial" w:cs="Arial"/>
          <w:iCs/>
          <w:lang w:val="es-ES_tradnl" w:eastAsia="es-ES_tradnl"/>
        </w:rPr>
      </w:pPr>
      <w:r w:rsidRPr="00426ACF">
        <w:rPr>
          <w:rFonts w:ascii="Arial" w:eastAsia="Arial" w:hAnsi="Arial" w:cs="Arial"/>
          <w:lang w:val="es-MX" w:eastAsia="es-ES_tradnl"/>
        </w:rPr>
        <w:t>La Agencia Nacional de Contratación Pública – Colombia Compra Eficiente</w:t>
      </w:r>
      <w:r w:rsidRPr="00426ACF">
        <w:rPr>
          <w:rFonts w:ascii="Arial" w:eastAsia="Calibri" w:hAnsi="Arial" w:cs="Arial"/>
          <w:lang w:val="es-ES"/>
        </w:rPr>
        <w:t>, dentro de los límites de sus atribuciones, resolverá la consulta conforme a las normas generales en materia de contratación estatal. Con este objetivo se analizarán los siguientes temas</w:t>
      </w:r>
      <w:r w:rsidRPr="00426ACF">
        <w:rPr>
          <w:rFonts w:ascii="Arial" w:eastAsia="Calibri" w:hAnsi="Arial" w:cs="Arial"/>
        </w:rPr>
        <w:t xml:space="preserve">: </w:t>
      </w:r>
      <w:r w:rsidRPr="00426ACF">
        <w:rPr>
          <w:rFonts w:ascii="Arial" w:eastAsia="Calibri" w:hAnsi="Arial" w:cs="Arial"/>
          <w:lang w:val="es-ES_tradnl"/>
        </w:rPr>
        <w:t>i</w:t>
      </w:r>
      <w:r w:rsidRPr="00426ACF">
        <w:rPr>
          <w:rFonts w:ascii="Arial" w:eastAsia="Times New Roman" w:hAnsi="Arial" w:cs="Arial"/>
          <w:lang w:val="es-ES_tradnl" w:eastAsia="es-ES_tradnl"/>
        </w:rPr>
        <w:t xml:space="preserve">) deber de las entidades estatales exceptuadas del Estatuto General de Contratación de la Administración Pública de publicar los documentos relacionados con su actividad contractual en el SECOP II, previsto en el artículo 53 de la Ley 2195 de 2022; ii) </w:t>
      </w:r>
      <w:r w:rsidRPr="00426ACF">
        <w:rPr>
          <w:rFonts w:ascii="Arial" w:eastAsia="Calibri" w:hAnsi="Arial" w:cs="Arial"/>
          <w:lang w:val="es-ES_tradnl" w:eastAsia="es-ES_tradnl"/>
        </w:rPr>
        <w:t xml:space="preserve">uso del SECOP II por las entidades con </w:t>
      </w:r>
      <w:r w:rsidRPr="00426ACF">
        <w:rPr>
          <w:rFonts w:ascii="Arial" w:eastAsia="Times New Roman" w:hAnsi="Arial" w:cs="Arial"/>
          <w:iCs/>
          <w:lang w:val="es-ES_tradnl" w:eastAsia="es-ES_tradnl"/>
        </w:rPr>
        <w:t>exceptuadas del Estatuto General de Contratación de la Administración Pública; y</w:t>
      </w:r>
    </w:p>
    <w:p w14:paraId="5F9E7F02" w14:textId="77777777" w:rsidR="00851C60" w:rsidRPr="00426ACF" w:rsidRDefault="00851C60" w:rsidP="00851C60">
      <w:pPr>
        <w:spacing w:after="120" w:line="276" w:lineRule="auto"/>
        <w:ind w:firstLine="708"/>
        <w:jc w:val="both"/>
        <w:textAlignment w:val="baseline"/>
        <w:rPr>
          <w:rFonts w:ascii="Arial" w:eastAsia="Times New Roman" w:hAnsi="Arial" w:cs="Arial"/>
          <w:lang w:val="es-ES" w:eastAsia="es-CO"/>
        </w:rPr>
      </w:pPr>
      <w:r w:rsidRPr="00426ACF">
        <w:rPr>
          <w:rFonts w:ascii="Arial" w:eastAsia="Times New Roman" w:hAnsi="Arial" w:cs="Arial"/>
          <w:lang w:val="es-ES_tradnl" w:eastAsia="es-ES_tradnl"/>
        </w:rPr>
        <w:t xml:space="preserve">Esta Agencia </w:t>
      </w:r>
      <w:r w:rsidRPr="00426ACF">
        <w:rPr>
          <w:rFonts w:ascii="Arial" w:eastAsia="Times New Roman" w:hAnsi="Arial" w:cs="Arial"/>
          <w:lang w:eastAsia="es-ES_tradnl"/>
        </w:rPr>
        <w:t xml:space="preserve">se ha pronunciado en múltiples ocasiones sobre los principios de publicidad y de acceso a la información pública en la contratación estatal, y sobre </w:t>
      </w:r>
      <w:r w:rsidRPr="00426ACF">
        <w:rPr>
          <w:rFonts w:ascii="Arial" w:eastAsia="Calibri" w:hAnsi="Arial" w:cs="Arial"/>
          <w:lang w:val="es-ES" w:eastAsia="es-ES_tradnl"/>
        </w:rPr>
        <w:t xml:space="preserve">los fundamentos normativos del deber de publicar la documentación contractual en las plataformas SECOP I y SECOP II, en conceptos como el </w:t>
      </w:r>
      <w:r w:rsidRPr="00426ACF">
        <w:rPr>
          <w:rFonts w:ascii="Arial" w:eastAsia="Times New Roman" w:hAnsi="Arial" w:cs="Arial"/>
          <w:lang w:eastAsia="es-ES_tradnl"/>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C-135 del 28 de marzo de 2022, C-332 del 24 de mayo de 2022, C-337 del 25 de mayo de 2022, C-355 del 2 de junio de 2022 y C-379 del 22 de junio de 2022</w:t>
      </w:r>
      <w:r w:rsidRPr="00426ACF">
        <w:rPr>
          <w:rFonts w:ascii="Arial" w:eastAsia="Times New Roman" w:hAnsi="Arial" w:cs="Arial"/>
          <w:lang w:val="es-ES_tradnl" w:eastAsia="es-ES_tradnl"/>
        </w:rPr>
        <w:t xml:space="preserve">. De igual manera, recientemente se pronunció sobre la interpretación del artículo 53 de la Ley 2195 de 2022, en los conceptos C-049 del 7 de marzo de 2022, C-120 del 22 de marzo de 2022, C-124 del 22 de marzo de 2022, C-132 del 28 de marzo de 2022, C-337 del 25 de mayo de 2022, C-348 del 13 de junio de 2022, C-357 del 13 </w:t>
      </w:r>
      <w:r w:rsidRPr="00426ACF">
        <w:rPr>
          <w:rFonts w:ascii="Arial" w:eastAsia="Times New Roman" w:hAnsi="Arial" w:cs="Arial"/>
          <w:lang w:val="es-ES_tradnl" w:eastAsia="es-ES_tradnl"/>
        </w:rPr>
        <w:lastRenderedPageBreak/>
        <w:t xml:space="preserve">de junio de 2022, C-422 del 13 de julio de 2022, C-475 del 26 de julio de 2022, C-480 del 18 de julio de 2022, C-492 del 2 de agosto de 2022, C-495 del 2 de agosto de 2022, C-510 del 8 de agosto de 2022 y C-508 del 30 de agosto de 2022. </w:t>
      </w:r>
      <w:r w:rsidRPr="00426ACF">
        <w:rPr>
          <w:rFonts w:ascii="Arial" w:eastAsia="Calibri" w:hAnsi="Arial" w:cs="Arial"/>
        </w:rPr>
        <w:t>De igual forma se ha pronunciado sobre el artículo 96 de la Ley 489 de 1998, convenios de asociación y la constitución de asociaciones o fundaciones, entre otros, en los conceptos C-723 del 09 de diciembre de 2020, C-724 de 14 de diciembre de 2020, C-749 del 23 de diciembre de 2020, C-758 del 04 de enero de 2021, C-806 de 8 de febrero de 2021, C-379 de 26 de julio de 2021, C-486 del 13 de septiembre de 2021, C-102 de 2022.</w:t>
      </w:r>
    </w:p>
    <w:p w14:paraId="5E7B6643" w14:textId="77777777" w:rsidR="00851C60" w:rsidRPr="00426ACF" w:rsidRDefault="00851C60" w:rsidP="00851C60">
      <w:pPr>
        <w:spacing w:after="120" w:line="276" w:lineRule="auto"/>
        <w:ind w:firstLine="709"/>
        <w:jc w:val="both"/>
        <w:rPr>
          <w:rFonts w:ascii="Arial" w:eastAsia="Times New Roman" w:hAnsi="Arial" w:cs="Arial"/>
          <w:lang w:eastAsia="es-ES_tradnl"/>
        </w:rPr>
      </w:pPr>
      <w:r w:rsidRPr="00426ACF">
        <w:rPr>
          <w:rFonts w:ascii="Arial" w:eastAsia="Times New Roman" w:hAnsi="Arial" w:cs="Arial"/>
          <w:lang w:eastAsia="es-ES_tradnl"/>
        </w:rPr>
        <w:t>De otra parte, la Agencia también ha tenido la oportunidad de pronunciarse en diferentes ocasiones sobre el alcance del artículo 56 de la Ley 2195 de 2022,  específicamente, a partir del concepto C-082 del 2 de marzo de 2022, cuya tesis ha sido desarrollada y complementada en los conceptos C-033 del 4 de marzo de 2022, C-049 del 7 de marzo de 2022, C-059 del 8 de marzo de 2022, C-065 del 9 de marzo de 2022, C-066 del 28 de enero de 2022, C-089 del 22 de marzo de 2022, C-101 del 22 de marzo de 2022, C-120 del 22 de marzo de 2022, C-160 del 5 de abril de 2022, C-168 del 24 de marzo de 2022, C-197 del 12 de abril de 2022, C-198 del 12 de abril de 2022, C-215 del 22 de abril de 2022, C-244 del 2 de mayo de 2022, C-255 del 4 de mayo de 2022, C-259 del 3 de mayo de 2022, C-260 del 4 de mayo de 2022, C-269 del 6 de mayo de 2022, C-320 del 20 de mayo de 2022, C-341 del 27 de mayo de 2022, C-382 del 27 de mayo de 2022, C-388 del 15 de junio de 2022, C-423 del 5 de julio de 2022, C-449 del 25 de julio de 2022, C-453 del 15 de julio de 2022, C-483 del 5 de agosto de 2022, C-488 del 29 de julio de 2022, C-496 del 3 de agosto de 2022, C-501 del 29 de julio de 2022 y C-556 el 3 de agosto de 2022.</w:t>
      </w:r>
    </w:p>
    <w:p w14:paraId="3F0EFFD1" w14:textId="77777777" w:rsidR="00851C60" w:rsidRPr="00426ACF" w:rsidRDefault="00851C60" w:rsidP="00851C60">
      <w:pPr>
        <w:spacing w:after="0" w:line="276" w:lineRule="auto"/>
        <w:ind w:firstLine="709"/>
        <w:jc w:val="both"/>
        <w:rPr>
          <w:rFonts w:ascii="Arial" w:eastAsia="Times New Roman" w:hAnsi="Arial" w:cs="Arial"/>
          <w:lang w:eastAsia="es-ES_tradnl"/>
        </w:rPr>
      </w:pPr>
      <w:r w:rsidRPr="00426ACF">
        <w:rPr>
          <w:rFonts w:ascii="Arial" w:eastAsia="Times New Roman" w:hAnsi="Arial" w:cs="Arial"/>
          <w:lang w:eastAsia="es-ES_tradnl"/>
        </w:rPr>
        <w:t xml:space="preserve"> En cada uno de los conceptos mencionados en el párrafo anterior fueron estudiadas diferentes inquietudes de los ciudadanos, empresas, entidades e interesados en general, sobre la correcta interpretación del artículo 56 de la Ley 2195 de 2022, su ámbito de aplicación y las implicaciones respecto de los procesos de contratación adelantados por las entidades estatales y sujetos de derecho privado mencionados en el texto de la norma. La amplia cantidad de consultas presentadas sobre la mencionada disposición hizo evidenciar a esta Subdirección que la misma trata temas que suscitan un gran interés en la comunidad jurídica, por lo que, dada la importancia de la norma, se requirió contar con un criterio claro para su aplicación. En vista de esto, y teniendo en cuenta la necesidad de contar con una amplia reflexión sobre el contenido del artículo 56 de la Ley 2195 de 2022, la Agencia sumó nuevos elementos interpretativos a los expuestos en los conceptos mencionados en el párrafo anterior a través del concepto C-486 del 2 de septiembre de 2022, cuya tesis se reitera a continuación</w:t>
      </w:r>
      <w:r w:rsidRPr="00426ACF">
        <w:rPr>
          <w:rFonts w:ascii="Arial" w:eastAsia="Arial" w:hAnsi="Arial" w:cs="Arial"/>
          <w:vertAlign w:val="superscript"/>
          <w:lang w:val="es-ES_tradnl" w:eastAsia="es-ES_tradnl"/>
        </w:rPr>
        <w:footnoteReference w:id="1"/>
      </w:r>
      <w:r w:rsidRPr="00426ACF">
        <w:rPr>
          <w:rFonts w:ascii="Arial" w:eastAsia="Times New Roman" w:hAnsi="Arial" w:cs="Arial"/>
          <w:lang w:eastAsia="es-ES_tradnl"/>
        </w:rPr>
        <w:t xml:space="preserve">.   </w:t>
      </w:r>
    </w:p>
    <w:p w14:paraId="3D78C8D9" w14:textId="77777777" w:rsidR="00851C60" w:rsidRPr="00426ACF" w:rsidRDefault="00851C60" w:rsidP="00851C60">
      <w:pPr>
        <w:spacing w:after="0" w:line="276" w:lineRule="auto"/>
        <w:ind w:firstLine="708"/>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5DBDF117" w14:textId="77777777" w:rsidR="00851C60" w:rsidRPr="00426ACF" w:rsidRDefault="00851C60" w:rsidP="00851C60">
      <w:pPr>
        <w:spacing w:after="0" w:line="276" w:lineRule="auto"/>
        <w:contextualSpacing/>
        <w:jc w:val="both"/>
        <w:rPr>
          <w:rFonts w:ascii="Arial" w:hAnsi="Arial" w:cs="Arial"/>
          <w:b/>
          <w:bCs/>
          <w:iCs/>
          <w:lang w:val="es-ES_tradnl"/>
        </w:rPr>
      </w:pPr>
      <w:r w:rsidRPr="00426ACF">
        <w:rPr>
          <w:rFonts w:ascii="Arial" w:eastAsia="Times New Roman" w:hAnsi="Arial" w:cs="Arial"/>
          <w:b/>
          <w:bCs/>
          <w:lang w:val="es-ES" w:eastAsia="es-CO"/>
        </w:rPr>
        <w:t xml:space="preserve">2.1. </w:t>
      </w:r>
      <w:r w:rsidRPr="00426ACF">
        <w:rPr>
          <w:rFonts w:ascii="Arial" w:eastAsia="Times New Roman" w:hAnsi="Arial" w:cs="Arial"/>
          <w:b/>
          <w:bCs/>
          <w:iCs/>
          <w:lang w:val="es-ES_tradnl" w:eastAsia="es-ES_tradnl"/>
        </w:rPr>
        <w:t xml:space="preserve">Deber de las entidades estatales, exceptuadas del Estatuto General de Contratación de la Administración Pública, de publicar los documentos relacionados con su actividad </w:t>
      </w:r>
      <w:r w:rsidRPr="00426ACF">
        <w:rPr>
          <w:rFonts w:ascii="Arial" w:eastAsia="Times New Roman" w:hAnsi="Arial" w:cs="Arial"/>
          <w:b/>
          <w:bCs/>
          <w:iCs/>
          <w:lang w:val="es-ES_tradnl" w:eastAsia="es-ES_tradnl"/>
        </w:rPr>
        <w:lastRenderedPageBreak/>
        <w:t xml:space="preserve">contractual en el SECOP II. </w:t>
      </w:r>
      <w:r w:rsidRPr="00426ACF">
        <w:rPr>
          <w:rFonts w:ascii="Arial" w:hAnsi="Arial" w:cs="Arial"/>
          <w:b/>
          <w:bCs/>
          <w:iCs/>
          <w:lang w:val="es-ES_tradnl"/>
        </w:rPr>
        <w:t>Modificación introducida por el artículo 53 de la Ley 2195 de 2022</w:t>
      </w:r>
    </w:p>
    <w:p w14:paraId="5AD6EB67" w14:textId="77777777" w:rsidR="00851C60" w:rsidRPr="00426ACF" w:rsidRDefault="00851C60" w:rsidP="00851C60">
      <w:pPr>
        <w:spacing w:after="0" w:line="276" w:lineRule="auto"/>
        <w:contextualSpacing/>
        <w:jc w:val="both"/>
        <w:rPr>
          <w:rFonts w:ascii="Arial" w:eastAsia="Calibri" w:hAnsi="Arial" w:cs="Arial"/>
          <w:lang w:val="es-ES_tradnl" w:eastAsia="es-ES_tradnl"/>
        </w:rPr>
      </w:pPr>
    </w:p>
    <w:p w14:paraId="0211A56A" w14:textId="77777777" w:rsidR="00851C60" w:rsidRPr="00426ACF" w:rsidRDefault="00851C60" w:rsidP="00851C60">
      <w:pPr>
        <w:spacing w:after="120" w:line="276" w:lineRule="auto"/>
        <w:jc w:val="both"/>
        <w:rPr>
          <w:rFonts w:ascii="Arial" w:eastAsia="Times New Roman" w:hAnsi="Arial" w:cs="Arial"/>
          <w:lang w:eastAsia="es-CO"/>
        </w:rPr>
      </w:pPr>
      <w:bookmarkStart w:id="2" w:name="_Hlk109055109"/>
      <w:bookmarkStart w:id="3" w:name="_Hlk109111865"/>
      <w:bookmarkStart w:id="4" w:name="_Hlk112856002"/>
      <w:r w:rsidRPr="00426ACF">
        <w:rPr>
          <w:rFonts w:ascii="Arial" w:eastAsia="Times New Roman" w:hAnsi="Arial" w:cs="Arial"/>
          <w:lang w:eastAsia="es-CO"/>
        </w:rPr>
        <w:t>La Ley 1712 de 2014, por medio de la cual se crea la Ley de Transparencia y del Derecho de Acceso a la Información Pública Nacional y se dictan otras disposiciones, identifica como principios que orientan el derecho de acceso a la información pública, el principio de máxima publicidad, el principio de transparencia en la información y el principio de buena fe. El principio de máxima publicidad establece que «toda información en posesión, bajo control o custodia de un sujeto obligado es pública y no podrá ser reservada o limitada sino por disposición constitucional o legal»</w:t>
      </w:r>
      <w:r w:rsidRPr="00426ACF">
        <w:rPr>
          <w:rFonts w:ascii="Arial" w:eastAsia="Times New Roman" w:hAnsi="Arial" w:cs="Arial"/>
          <w:vertAlign w:val="superscript"/>
          <w:lang w:eastAsia="es-CO"/>
        </w:rPr>
        <w:footnoteReference w:id="2"/>
      </w:r>
      <w:r w:rsidRPr="00426ACF">
        <w:rPr>
          <w:rFonts w:ascii="Arial" w:eastAsia="Times New Roman" w:hAnsi="Arial" w:cs="Arial"/>
          <w:lang w:eastAsia="es-CO"/>
        </w:rPr>
        <w:t>. El principio de transparencia en la información alude al deber de los sujetos de proporcionar y facilitar el acceso a la misma en los términos más amplios posibles, a través de los medios y procedimientos que establezca la</w:t>
      </w:r>
      <w:r w:rsidRPr="00426ACF">
        <w:rPr>
          <w:rFonts w:ascii="Arial" w:eastAsia="Times New Roman" w:hAnsi="Arial" w:cs="Arial"/>
          <w:spacing w:val="-2"/>
          <w:lang w:eastAsia="es-CO"/>
        </w:rPr>
        <w:t xml:space="preserve"> </w:t>
      </w:r>
      <w:r w:rsidRPr="00426ACF">
        <w:rPr>
          <w:rFonts w:ascii="Arial" w:eastAsia="Times New Roman" w:hAnsi="Arial" w:cs="Arial"/>
          <w:lang w:eastAsia="es-CO"/>
        </w:rPr>
        <w:t>ley</w:t>
      </w:r>
      <w:r w:rsidRPr="00426ACF">
        <w:rPr>
          <w:rFonts w:ascii="Arial" w:eastAsia="Times New Roman" w:hAnsi="Arial" w:cs="Arial"/>
          <w:vertAlign w:val="superscript"/>
          <w:lang w:eastAsia="es-CO"/>
        </w:rPr>
        <w:footnoteReference w:id="3"/>
      </w:r>
      <w:r w:rsidRPr="00426ACF">
        <w:rPr>
          <w:rFonts w:ascii="Arial" w:eastAsia="Times New Roman" w:hAnsi="Arial" w:cs="Arial"/>
          <w:lang w:eastAsia="es-CO"/>
        </w:rPr>
        <w:t>. Y el principio de buena fe hace referencia al deber de todo sujeto obligado de cumplir con las obligaciones derivadas del derecho de acceso a la información pública con motivación honesta, leal y desprovista de cualquier intención dolosa o culposa</w:t>
      </w:r>
      <w:bookmarkEnd w:id="2"/>
      <w:r w:rsidRPr="00426ACF">
        <w:rPr>
          <w:rFonts w:ascii="Arial" w:eastAsia="Times New Roman" w:hAnsi="Arial" w:cs="Arial"/>
          <w:vertAlign w:val="superscript"/>
          <w:lang w:eastAsia="es-CO"/>
        </w:rPr>
        <w:footnoteReference w:id="4"/>
      </w:r>
      <w:r w:rsidRPr="00426ACF">
        <w:rPr>
          <w:rFonts w:ascii="Arial" w:eastAsia="Times New Roman" w:hAnsi="Arial" w:cs="Arial"/>
          <w:lang w:eastAsia="es-CO"/>
        </w:rPr>
        <w:t xml:space="preserve">. </w:t>
      </w:r>
    </w:p>
    <w:p w14:paraId="7A03828F" w14:textId="77777777" w:rsidR="00851C60" w:rsidRPr="00426ACF" w:rsidRDefault="00851C60" w:rsidP="00851C60">
      <w:pPr>
        <w:spacing w:after="120" w:line="276" w:lineRule="auto"/>
        <w:ind w:firstLine="708"/>
        <w:jc w:val="both"/>
        <w:rPr>
          <w:rFonts w:ascii="Arial" w:eastAsia="Times New Roman" w:hAnsi="Arial" w:cs="Arial"/>
          <w:lang w:eastAsia="es-CO"/>
        </w:rPr>
      </w:pPr>
      <w:r w:rsidRPr="00426ACF">
        <w:rPr>
          <w:rFonts w:ascii="Arial" w:eastAsia="Times New Roman" w:hAnsi="Arial" w:cs="Arial"/>
          <w:lang w:eastAsia="es-CO"/>
        </w:rPr>
        <w:t xml:space="preserve">La citada Ley establece, </w:t>
      </w:r>
      <w:bookmarkStart w:id="6" w:name="_Hlk112225357"/>
      <w:r w:rsidRPr="00426ACF">
        <w:rPr>
          <w:rFonts w:ascii="Arial" w:eastAsia="Times New Roman" w:hAnsi="Arial" w:cs="Arial"/>
          <w:lang w:eastAsia="es-CO"/>
        </w:rPr>
        <w:t xml:space="preserve">en el literal e) del artículo 9, que los </w:t>
      </w:r>
      <w:r w:rsidRPr="00426ACF">
        <w:rPr>
          <w:rFonts w:ascii="Arial" w:eastAsia="Times New Roman" w:hAnsi="Arial" w:cs="Arial"/>
          <w:i/>
          <w:iCs/>
          <w:lang w:eastAsia="es-CO"/>
        </w:rPr>
        <w:t xml:space="preserve">sujetos obligados </w:t>
      </w:r>
      <w:r w:rsidRPr="00426ACF">
        <w:rPr>
          <w:rFonts w:ascii="Arial" w:eastAsia="Times New Roman" w:hAnsi="Arial" w:cs="Arial"/>
          <w:lang w:eastAsia="es-CO"/>
        </w:rPr>
        <w:t xml:space="preserve">deben publicar la información relativa a su contratación. </w:t>
      </w:r>
      <w:r w:rsidRPr="00426ACF">
        <w:rPr>
          <w:rFonts w:ascii="Arial" w:eastAsia="Arial MT" w:hAnsi="Arial" w:cs="Arial"/>
          <w:lang w:val="es-ES"/>
        </w:rPr>
        <w:t xml:space="preserve">El artículo 5 </w:t>
      </w:r>
      <w:r w:rsidRPr="00426ACF">
        <w:rPr>
          <w:rFonts w:ascii="Arial" w:eastAsia="Arial MT" w:hAnsi="Arial" w:cs="Arial"/>
          <w:i/>
          <w:iCs/>
          <w:lang w:val="es-ES"/>
        </w:rPr>
        <w:t>ibidem</w:t>
      </w:r>
      <w:r w:rsidRPr="00426ACF">
        <w:rPr>
          <w:rFonts w:ascii="Arial" w:eastAsia="Arial MT" w:hAnsi="Arial" w:cs="Arial"/>
          <w:lang w:val="es-ES"/>
        </w:rPr>
        <w:t>, al describir qué se entiende por sujetos obligados, consagra una lista cuyo propósito es incluir a cualquier entidad, órgano, organismo, o persona natural que desempeñe funciones públicas o administre recursos públicos. También son sujetos obligados las empresas públicas, las empresas del Estado y las sociedades en las que el Estado tenga participación, sin que importe su monto</w:t>
      </w:r>
      <w:bookmarkEnd w:id="3"/>
      <w:bookmarkEnd w:id="6"/>
      <w:r w:rsidRPr="00426ACF">
        <w:rPr>
          <w:rFonts w:ascii="Arial" w:eastAsia="Times New Roman" w:hAnsi="Arial" w:cs="Arial"/>
          <w:vertAlign w:val="superscript"/>
          <w:lang w:eastAsia="es-CO"/>
        </w:rPr>
        <w:footnoteReference w:id="5"/>
      </w:r>
      <w:r w:rsidRPr="00426ACF">
        <w:rPr>
          <w:rFonts w:ascii="Arial" w:eastAsia="Arial MT" w:hAnsi="Arial" w:cs="Arial"/>
          <w:lang w:val="es-ES"/>
        </w:rPr>
        <w:t>.</w:t>
      </w:r>
      <w:r w:rsidRPr="00426ACF">
        <w:rPr>
          <w:rFonts w:ascii="Arial" w:eastAsia="Times New Roman" w:hAnsi="Arial" w:cs="Arial"/>
          <w:lang w:eastAsia="es-CO"/>
        </w:rPr>
        <w:t xml:space="preserve"> </w:t>
      </w:r>
    </w:p>
    <w:bookmarkEnd w:id="4"/>
    <w:p w14:paraId="73B4AAD9" w14:textId="77777777" w:rsidR="00851C60" w:rsidRPr="00426ACF" w:rsidRDefault="00851C60" w:rsidP="00851C60">
      <w:pPr>
        <w:spacing w:before="2" w:after="120" w:line="276" w:lineRule="auto"/>
        <w:ind w:firstLine="709"/>
        <w:jc w:val="both"/>
        <w:rPr>
          <w:rFonts w:ascii="Arial" w:eastAsia="Times New Roman" w:hAnsi="Arial" w:cs="Arial"/>
          <w:lang w:eastAsia="es-CO"/>
        </w:rPr>
      </w:pPr>
      <w:r w:rsidRPr="00426ACF">
        <w:rPr>
          <w:rFonts w:ascii="Arial" w:eastAsia="Times New Roman" w:hAnsi="Arial" w:cs="Arial"/>
          <w:lang w:eastAsia="es-CO"/>
        </w:rPr>
        <w:lastRenderedPageBreak/>
        <w:t>La anterior obligación fue desarrollada por el artículo 2.1.1.2.1.7. del Decreto Único Reglamentario 1081 de 2015</w:t>
      </w:r>
      <w:r w:rsidRPr="00426ACF">
        <w:rPr>
          <w:rFonts w:ascii="Arial" w:eastAsia="Times New Roman" w:hAnsi="Arial" w:cs="Arial"/>
          <w:vertAlign w:val="superscript"/>
          <w:lang w:eastAsia="es-CO"/>
        </w:rPr>
        <w:footnoteReference w:id="6"/>
      </w:r>
      <w:r w:rsidRPr="00426ACF">
        <w:rPr>
          <w:rFonts w:ascii="Arial" w:eastAsia="Times New Roman" w:hAnsi="Arial" w:cs="Arial"/>
          <w:lang w:eastAsia="es-CO"/>
        </w:rPr>
        <w:t>, el cual dispone que la publicación de la información contractual de los sujetos obligados,</w:t>
      </w:r>
      <w:r w:rsidRPr="00426ACF">
        <w:rPr>
          <w:rFonts w:ascii="Arial" w:eastAsia="Times New Roman" w:hAnsi="Arial" w:cs="Arial"/>
          <w:spacing w:val="3"/>
          <w:lang w:eastAsia="es-CO"/>
        </w:rPr>
        <w:t xml:space="preserve"> </w:t>
      </w:r>
      <w:r w:rsidRPr="00426ACF">
        <w:rPr>
          <w:rFonts w:ascii="Arial" w:eastAsia="Times New Roman" w:hAnsi="Arial" w:cs="Arial"/>
          <w:lang w:eastAsia="es-CO"/>
        </w:rPr>
        <w:t xml:space="preserve">que contratan con cargo a recursos públicos, debe hacerse en el Sistema Electrónico de Contratación Pública ─ SECOP. </w:t>
      </w:r>
    </w:p>
    <w:p w14:paraId="750B442F" w14:textId="77777777" w:rsidR="00851C60" w:rsidRPr="00426ACF" w:rsidRDefault="00851C60" w:rsidP="00851C60">
      <w:pPr>
        <w:spacing w:after="120" w:line="276" w:lineRule="auto"/>
        <w:ind w:firstLine="709"/>
        <w:jc w:val="both"/>
        <w:rPr>
          <w:rFonts w:ascii="Arial" w:eastAsia="Times New Roman" w:hAnsi="Arial" w:cs="Arial"/>
          <w:lang w:eastAsia="es-CO"/>
        </w:rPr>
      </w:pPr>
      <w:r w:rsidRPr="00426ACF">
        <w:rPr>
          <w:rFonts w:ascii="Arial" w:eastAsia="Times New Roman" w:hAnsi="Arial" w:cs="Arial"/>
          <w:lang w:eastAsia="es-CO"/>
        </w:rPr>
        <w:t>Asimismo, de acuerdo con el literal g) del artículo 11 de la misma Ley, todos los destinatarios de la llamada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Además de lo anterior, es indispensable precisar que el artículo 3 de la Ley 1150 de 2007 ya había establecido que el SECOP «Contará con la información oficial de la contratación realizada con dineros públicos»</w:t>
      </w:r>
      <w:r w:rsidRPr="00426ACF">
        <w:rPr>
          <w:rFonts w:ascii="Arial" w:eastAsia="Times New Roman" w:hAnsi="Arial" w:cs="Arial"/>
          <w:vertAlign w:val="superscript"/>
          <w:lang w:eastAsia="es-CO"/>
        </w:rPr>
        <w:footnoteReference w:id="7"/>
      </w:r>
      <w:r w:rsidRPr="00426ACF">
        <w:rPr>
          <w:rFonts w:ascii="Arial" w:eastAsia="Times New Roman" w:hAnsi="Arial" w:cs="Arial"/>
          <w:lang w:eastAsia="es-CO"/>
        </w:rPr>
        <w:t>.</w:t>
      </w:r>
    </w:p>
    <w:p w14:paraId="4C43BAEE" w14:textId="77777777" w:rsidR="00851C60" w:rsidRPr="00426ACF" w:rsidRDefault="00851C60" w:rsidP="00851C60">
      <w:pPr>
        <w:spacing w:after="0" w:line="276" w:lineRule="auto"/>
        <w:ind w:firstLine="709"/>
        <w:contextualSpacing/>
        <w:jc w:val="both"/>
        <w:rPr>
          <w:rFonts w:ascii="Arial" w:hAnsi="Arial" w:cs="Arial"/>
        </w:rPr>
      </w:pPr>
      <w:bookmarkStart w:id="7" w:name="_Hlk109111930"/>
      <w:r w:rsidRPr="00426ACF">
        <w:rPr>
          <w:rFonts w:ascii="Arial" w:hAnsi="Arial" w:cs="Arial"/>
        </w:rPr>
        <w:t xml:space="preserve">Las anteriores disposiciones normativas fueron complementadas con la expedición de </w:t>
      </w:r>
      <w:bookmarkStart w:id="8" w:name="_Hlk112856043"/>
      <w:r w:rsidRPr="00426ACF">
        <w:rPr>
          <w:rFonts w:ascii="Arial" w:hAnsi="Arial" w:cs="Arial"/>
        </w:rPr>
        <w:t xml:space="preserve">la Ley </w:t>
      </w:r>
      <w:bookmarkStart w:id="9" w:name="_Hlk112245356"/>
      <w:r w:rsidRPr="00426ACF">
        <w:rPr>
          <w:rFonts w:ascii="Arial" w:hAnsi="Arial" w:cs="Arial"/>
        </w:rPr>
        <w:t xml:space="preserve">2195 de 2022, por medio de la cual se adoptan medidas en materia de transparencia, prevención y lucha contra la corrupción. </w:t>
      </w:r>
      <w:r w:rsidRPr="00426ACF">
        <w:rPr>
          <w:rFonts w:ascii="Arial" w:eastAsia="Calibri" w:hAnsi="Arial" w:cs="Arial"/>
          <w:lang w:val="es-ES_tradnl" w:eastAsia="es-ES_tradnl"/>
        </w:rPr>
        <w:t>Según el artículo 1, esta Ley «</w:t>
      </w:r>
      <w:r w:rsidRPr="00426ACF">
        <w:rPr>
          <w:rFonts w:ascii="Arial" w:eastAsia="Times New Roman" w:hAnsi="Arial" w:cs="Arial"/>
          <w:lang w:val="es-ES_tradnl" w:eastAsia="es-ES_tradnl"/>
        </w:rPr>
        <w:t xml:space="preserve">[…] </w:t>
      </w:r>
      <w:r w:rsidRPr="00426ACF">
        <w:rPr>
          <w:rFonts w:ascii="Arial" w:eastAsia="Calibri" w:hAnsi="Arial"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Dentro del capítulo VIII de la Ley en mención, que lleva por título «Disposiciones en materia contractual para la moralización y la transparencia», se ubica </w:t>
      </w:r>
      <w:r w:rsidRPr="00426ACF">
        <w:rPr>
          <w:rFonts w:ascii="Arial" w:hAnsi="Arial" w:cs="Arial"/>
        </w:rPr>
        <w:t xml:space="preserve">el artículo 53, a través del cual se adiciona el artículo 13 de la Ley 1150 de 2007. La referida disposición les asigna a las entidades estatales que por disposición legal cuenten con un régimen contractual excepcional al del Estatuto General de Contratación de la Administración Pública – en adelante EGCAP- la obligación de publicar los documentos relacionados con su actividad contractual en el SECOP II o la plataforma transaccional que haga sus veces. </w:t>
      </w:r>
      <w:bookmarkEnd w:id="7"/>
      <w:bookmarkEnd w:id="8"/>
      <w:bookmarkEnd w:id="9"/>
      <w:r w:rsidRPr="00426ACF">
        <w:rPr>
          <w:rFonts w:ascii="Arial" w:hAnsi="Arial" w:cs="Arial"/>
        </w:rPr>
        <w:t>Al respecto, la norma citada de manera expresa señala:</w:t>
      </w:r>
    </w:p>
    <w:p w14:paraId="5D67200A" w14:textId="77777777" w:rsidR="00851C60" w:rsidRPr="00426ACF" w:rsidRDefault="00851C60" w:rsidP="00851C60">
      <w:pPr>
        <w:spacing w:after="0" w:line="276" w:lineRule="auto"/>
        <w:ind w:firstLine="301"/>
        <w:contextualSpacing/>
        <w:rPr>
          <w:rFonts w:ascii="Arial" w:hAnsi="Arial" w:cs="Arial"/>
        </w:rPr>
      </w:pPr>
    </w:p>
    <w:p w14:paraId="584508D5" w14:textId="77777777" w:rsidR="00851C60" w:rsidRPr="00426ACF" w:rsidRDefault="00851C60" w:rsidP="00851C60">
      <w:pPr>
        <w:spacing w:after="0" w:line="240" w:lineRule="auto"/>
        <w:ind w:left="709" w:right="709"/>
        <w:contextualSpacing/>
        <w:jc w:val="both"/>
        <w:rPr>
          <w:rFonts w:ascii="Arial" w:eastAsia="Calibri" w:hAnsi="Arial" w:cs="Arial"/>
          <w:sz w:val="21"/>
          <w:szCs w:val="21"/>
        </w:rPr>
      </w:pPr>
      <w:r w:rsidRPr="00426ACF">
        <w:rPr>
          <w:rFonts w:ascii="Arial" w:eastAsia="Calibri" w:hAnsi="Arial" w:cs="Arial"/>
          <w:sz w:val="21"/>
          <w:szCs w:val="21"/>
        </w:rPr>
        <w:t>Adiciónese los siguientes incisos al artículo 13 de la Ley 1150 de 2007, el cual quedará así:</w:t>
      </w:r>
    </w:p>
    <w:p w14:paraId="6B70AE1D" w14:textId="77777777" w:rsidR="00851C60" w:rsidRPr="00426ACF" w:rsidRDefault="00851C60" w:rsidP="00851C60">
      <w:pPr>
        <w:spacing w:after="0" w:line="240" w:lineRule="auto"/>
        <w:ind w:left="709" w:right="709"/>
        <w:contextualSpacing/>
        <w:jc w:val="both"/>
        <w:rPr>
          <w:rFonts w:ascii="Arial" w:eastAsia="Calibri" w:hAnsi="Arial" w:cs="Arial"/>
          <w:sz w:val="21"/>
          <w:szCs w:val="21"/>
        </w:rPr>
      </w:pPr>
    </w:p>
    <w:p w14:paraId="5CD48D76" w14:textId="77777777" w:rsidR="00851C60" w:rsidRPr="00426ACF" w:rsidRDefault="00851C60" w:rsidP="00851C60">
      <w:pPr>
        <w:spacing w:after="0" w:line="240" w:lineRule="auto"/>
        <w:ind w:left="709" w:right="709"/>
        <w:contextualSpacing/>
        <w:jc w:val="both"/>
        <w:rPr>
          <w:rFonts w:ascii="Arial" w:eastAsia="Calibri" w:hAnsi="Arial" w:cs="Arial"/>
          <w:sz w:val="21"/>
          <w:szCs w:val="21"/>
        </w:rPr>
      </w:pPr>
      <w:r w:rsidRPr="00426ACF">
        <w:rPr>
          <w:rFonts w:ascii="Arial" w:eastAsia="Calibri" w:hAnsi="Arial" w:cs="Arial"/>
          <w:sz w:val="21"/>
          <w:szCs w:val="21"/>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6143DCAE" w14:textId="77777777" w:rsidR="00851C60" w:rsidRPr="00426ACF" w:rsidRDefault="00851C60" w:rsidP="00851C60">
      <w:pPr>
        <w:spacing w:after="0" w:line="240" w:lineRule="auto"/>
        <w:ind w:left="709" w:right="709"/>
        <w:contextualSpacing/>
        <w:jc w:val="both"/>
        <w:rPr>
          <w:rFonts w:ascii="Arial" w:eastAsia="Calibri" w:hAnsi="Arial" w:cs="Arial"/>
          <w:sz w:val="21"/>
          <w:szCs w:val="21"/>
        </w:rPr>
      </w:pPr>
    </w:p>
    <w:p w14:paraId="0375DFDF" w14:textId="77777777" w:rsidR="00851C60" w:rsidRPr="00426ACF" w:rsidRDefault="00851C60" w:rsidP="00851C60">
      <w:pPr>
        <w:spacing w:after="0" w:line="240" w:lineRule="auto"/>
        <w:ind w:left="709" w:right="709"/>
        <w:contextualSpacing/>
        <w:jc w:val="both"/>
        <w:rPr>
          <w:rFonts w:ascii="Arial" w:eastAsia="Calibri" w:hAnsi="Arial" w:cs="Arial"/>
          <w:i/>
          <w:iCs/>
          <w:sz w:val="21"/>
          <w:szCs w:val="21"/>
        </w:rPr>
      </w:pPr>
      <w:r w:rsidRPr="00426ACF">
        <w:rPr>
          <w:rFonts w:ascii="Arial" w:eastAsia="Calibri" w:hAnsi="Arial" w:cs="Arial"/>
          <w:i/>
          <w:iCs/>
          <w:sz w:val="21"/>
          <w:szCs w:val="21"/>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5C1A2DA0" w14:textId="77777777" w:rsidR="00851C60" w:rsidRPr="00426ACF" w:rsidRDefault="00851C60" w:rsidP="00851C60">
      <w:pPr>
        <w:spacing w:after="0" w:line="240" w:lineRule="auto"/>
        <w:ind w:left="709" w:right="709"/>
        <w:contextualSpacing/>
        <w:jc w:val="both"/>
        <w:rPr>
          <w:rFonts w:ascii="Arial" w:eastAsia="Calibri" w:hAnsi="Arial" w:cs="Arial"/>
          <w:sz w:val="21"/>
          <w:szCs w:val="21"/>
        </w:rPr>
      </w:pPr>
    </w:p>
    <w:p w14:paraId="73553521" w14:textId="77777777" w:rsidR="00851C60" w:rsidRPr="00426ACF" w:rsidRDefault="00851C60" w:rsidP="00851C60">
      <w:pPr>
        <w:spacing w:after="0" w:line="240" w:lineRule="auto"/>
        <w:ind w:left="709" w:right="709"/>
        <w:contextualSpacing/>
        <w:jc w:val="both"/>
        <w:rPr>
          <w:rFonts w:ascii="Arial" w:eastAsia="Calibri" w:hAnsi="Arial" w:cs="Arial"/>
          <w:sz w:val="21"/>
          <w:szCs w:val="21"/>
        </w:rPr>
      </w:pPr>
      <w:r w:rsidRPr="00426ACF">
        <w:rPr>
          <w:rFonts w:ascii="Arial" w:eastAsia="Calibri" w:hAnsi="Arial" w:cs="Arial"/>
          <w:sz w:val="21"/>
          <w:szCs w:val="21"/>
        </w:rPr>
        <w:t>A partir de la entrada en vigencia de la presente Ley, se establecerá un periodo de transición de seis (6) meses, para que las entidades den cumplimiento efectivo a lo aquí establecido. (Cursiva fuera del original).</w:t>
      </w:r>
    </w:p>
    <w:p w14:paraId="26E4234F" w14:textId="77777777" w:rsidR="00851C60" w:rsidRPr="00426ACF" w:rsidRDefault="00851C60" w:rsidP="00851C60">
      <w:pPr>
        <w:spacing w:after="0" w:line="276" w:lineRule="auto"/>
        <w:ind w:firstLine="709"/>
        <w:contextualSpacing/>
        <w:jc w:val="both"/>
        <w:rPr>
          <w:rFonts w:ascii="Arial" w:eastAsia="Calibri" w:hAnsi="Arial" w:cs="Arial"/>
          <w:lang w:val="es-ES_tradnl"/>
        </w:rPr>
      </w:pPr>
    </w:p>
    <w:p w14:paraId="192B4BF8" w14:textId="77777777" w:rsidR="00851C60" w:rsidRPr="00426ACF" w:rsidRDefault="00851C60" w:rsidP="00851C60">
      <w:pPr>
        <w:spacing w:after="120" w:line="276" w:lineRule="auto"/>
        <w:ind w:firstLine="709"/>
        <w:jc w:val="both"/>
        <w:rPr>
          <w:rFonts w:ascii="Arial" w:eastAsia="Calibri" w:hAnsi="Arial" w:cs="Arial"/>
          <w:lang w:val="es-ES_tradnl" w:eastAsia="es-ES_tradnl"/>
        </w:rPr>
      </w:pPr>
      <w:r w:rsidRPr="00426ACF">
        <w:rPr>
          <w:rFonts w:ascii="Arial" w:eastAsia="Calibri" w:hAnsi="Arial" w:cs="Arial"/>
          <w:lang w:val="es-ES_tradnl"/>
        </w:rPr>
        <w:t xml:space="preserve">Cabe destacar que cuando la norma trascrita hace referencia a que el mencionado deber de publicidad debe cumplirse en el SECOP II o </w:t>
      </w:r>
      <w:r w:rsidRPr="00426ACF">
        <w:rPr>
          <w:rFonts w:ascii="Arial" w:hAnsi="Arial" w:cs="Arial"/>
        </w:rPr>
        <w:t>«</w:t>
      </w:r>
      <w:r w:rsidRPr="00426ACF">
        <w:rPr>
          <w:rFonts w:ascii="Arial" w:eastAsia="Calibri" w:hAnsi="Arial" w:cs="Arial"/>
          <w:lang w:val="es-ES_tradnl"/>
        </w:rPr>
        <w:t>la plataforma transaccional que haga sus veces</w:t>
      </w:r>
      <w:r w:rsidRPr="00426ACF">
        <w:rPr>
          <w:rFonts w:ascii="Arial" w:hAnsi="Arial" w:cs="Arial"/>
        </w:rPr>
        <w:t>»</w:t>
      </w:r>
      <w:r w:rsidRPr="00426ACF">
        <w:rPr>
          <w:rFonts w:ascii="Arial" w:eastAsia="Calibri" w:hAnsi="Arial" w:cs="Arial"/>
          <w:lang w:val="es-ES_tradnl"/>
        </w:rPr>
        <w:t xml:space="preserve">,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w:t>
      </w:r>
      <w:r w:rsidRPr="00426ACF">
        <w:rPr>
          <w:rFonts w:ascii="Arial" w:hAnsi="Arial" w:cs="Arial"/>
        </w:rPr>
        <w:t>«</w:t>
      </w:r>
      <w:r w:rsidRPr="00426ACF">
        <w:rPr>
          <w:rFonts w:ascii="Arial" w:eastAsia="Calibri" w:hAnsi="Arial" w:cs="Arial"/>
          <w:lang w:val="es-ES_tradnl"/>
        </w:rPr>
        <w:t>la plataforma que haga sus veces</w:t>
      </w:r>
      <w:r w:rsidRPr="00426ACF">
        <w:rPr>
          <w:rFonts w:ascii="Arial" w:hAnsi="Arial" w:cs="Arial"/>
        </w:rPr>
        <w:t>»</w:t>
      </w:r>
      <w:r w:rsidRPr="00426ACF">
        <w:rPr>
          <w:rFonts w:ascii="Arial" w:eastAsia="Calibri" w:hAnsi="Arial" w:cs="Arial"/>
          <w:lang w:val="es-ES_tradnl"/>
        </w:rPr>
        <w:t xml:space="preserve"> no puede interpretarse como una autorización para que las entidades obligadas en virtud del artículo 53 de la Ley 2195 de 2022 puedan emplear sus páginas web o sus propios portales electrónicos para cumplir con el deber de publicidad que les asiste. </w:t>
      </w:r>
      <w:r w:rsidRPr="00426ACF">
        <w:rPr>
          <w:rFonts w:ascii="Arial" w:eastAsia="Calibri" w:hAnsi="Arial" w:cs="Arial"/>
          <w:lang w:val="es-ES_tradnl" w:eastAsia="es-ES_tradnl"/>
        </w:rPr>
        <w:t>Con esto se logra que la ciudadanía pueda encontrar en un mismo sistema la gestión de la actividad contractual del Estado, garantizándose en mayor grado la transparencia y el acceso a la información y documentación pública.</w:t>
      </w:r>
    </w:p>
    <w:p w14:paraId="2D0E1A66" w14:textId="77777777" w:rsidR="00851C60" w:rsidRPr="00426ACF" w:rsidRDefault="00851C60" w:rsidP="00851C60">
      <w:pPr>
        <w:spacing w:before="120" w:after="120" w:line="276" w:lineRule="auto"/>
        <w:ind w:firstLine="709"/>
        <w:jc w:val="both"/>
        <w:rPr>
          <w:rFonts w:ascii="Arial" w:eastAsia="Calibri" w:hAnsi="Arial" w:cs="Arial"/>
          <w:lang w:val="es-ES_tradnl"/>
        </w:rPr>
      </w:pPr>
      <w:bookmarkStart w:id="10" w:name="_Hlk109111956"/>
      <w:bookmarkStart w:id="11" w:name="_Hlk112245392"/>
      <w:r w:rsidRPr="00426ACF">
        <w:rPr>
          <w:rFonts w:ascii="Arial" w:eastAsia="Calibri" w:hAnsi="Arial" w:cs="Arial"/>
          <w:lang w:val="es-ES_tradnl"/>
        </w:rPr>
        <w:t xml:space="preserve">En cuanto a los documentos que deben ser publicados en el SECOP II, a efectos de cumplir con el mandato consagrado en el artículo 53 de la Ley 2195 de 2022, es preciso advertir que la disposición hace referencia a los documentos relacionados con su </w:t>
      </w:r>
      <w:r w:rsidRPr="00426ACF">
        <w:rPr>
          <w:rFonts w:ascii="Arial" w:eastAsia="Calibri" w:hAnsi="Arial" w:cs="Arial"/>
          <w:i/>
          <w:iCs/>
          <w:lang w:val="es-ES_tradnl"/>
        </w:rPr>
        <w:t>actividad contractual,</w:t>
      </w:r>
      <w:r w:rsidRPr="00426ACF">
        <w:rPr>
          <w:rFonts w:ascii="Arial" w:eastAsia="Calibri" w:hAnsi="Arial" w:cs="Arial"/>
          <w:lang w:val="es-ES_tradnl"/>
        </w:rPr>
        <w:t xml:space="preserve"> la cual define como «[…] los documentos, contratos, actos e información generada por oferentes, contratista, contratante, supervisor o interventor, tanto en la etapa precontractual, como en la contractual y la postcontractual». En ese sentido, el artículo 53 de la Ley 2195 de 2022 establece </w:t>
      </w:r>
      <w:r w:rsidRPr="00426ACF">
        <w:rPr>
          <w:rFonts w:ascii="Arial" w:eastAsia="Calibri" w:hAnsi="Arial" w:cs="Arial"/>
          <w:lang w:val="es-ES_tradnl"/>
        </w:rPr>
        <w:lastRenderedPageBreak/>
        <w:t xml:space="preserve">el deber de publicar toda aquella información relacionada con el respectivo contrato, sin incluir ninguna excepción relacionada con la naturaleza u objeto contractual. Por </w:t>
      </w:r>
      <w:bookmarkEnd w:id="10"/>
      <w:r w:rsidRPr="00426ACF">
        <w:rPr>
          <w:rFonts w:ascii="Arial" w:eastAsia="Calibri" w:hAnsi="Arial" w:cs="Arial"/>
          <w:lang w:val="es-ES_tradnl"/>
        </w:rPr>
        <w:t xml:space="preserve">lo tanto, para que las entidades exceptuadas cumplan con el deber de publicidad consagrado en el artículo 53 de la Ley 2195 de 2022, se requiere que publiquen en el SECOP II todo documento expedido durante las diferentes etapas del proceso contractual, abarcando desde la fase previa a su celebración, pasando por la ejecución y hasta la fase posterior a su ejecución. </w:t>
      </w:r>
    </w:p>
    <w:p w14:paraId="11178277" w14:textId="77777777" w:rsidR="00851C60" w:rsidRPr="00426ACF" w:rsidRDefault="00851C60" w:rsidP="00851C60">
      <w:pPr>
        <w:spacing w:before="120" w:after="120" w:line="276" w:lineRule="auto"/>
        <w:ind w:firstLine="709"/>
        <w:jc w:val="both"/>
        <w:rPr>
          <w:rFonts w:ascii="Arial" w:eastAsia="Calibri" w:hAnsi="Arial" w:cs="Arial"/>
          <w:lang w:val="es-ES"/>
        </w:rPr>
      </w:pPr>
      <w:r w:rsidRPr="00426ACF">
        <w:rPr>
          <w:rFonts w:ascii="Arial" w:eastAsia="Calibri" w:hAnsi="Arial" w:cs="Arial"/>
          <w:lang w:val="es-ES"/>
        </w:rPr>
        <w:t>Sin perjuicio de lo anterior, vale la pena aclarar que el cumplimiento del deber de publicación de la documentación contractual debe armonizarse con las normas aplicables al tipo de información que estas contienen</w:t>
      </w:r>
      <w:r w:rsidRPr="00426ACF">
        <w:rPr>
          <w:rFonts w:ascii="Arial" w:eastAsia="Calibri" w:hAnsi="Arial" w:cs="Arial"/>
          <w:vertAlign w:val="superscript"/>
          <w:lang w:val="es-ES"/>
        </w:rPr>
        <w:footnoteReference w:id="8"/>
      </w:r>
      <w:r w:rsidRPr="00426ACF">
        <w:rPr>
          <w:rFonts w:ascii="Arial" w:eastAsia="Calibri" w:hAnsi="Arial" w:cs="Arial"/>
          <w:lang w:val="es-ES"/>
        </w:rPr>
        <w:t xml:space="preserve">. Lo anterior significa que, respecto de datos sensibles, información sometida a reserva o de la cual proceda un tratamiento especial que impida su publicidad, las entidades deberán proceder de conformidad con el tratamiento que impongan tales normas. </w:t>
      </w:r>
    </w:p>
    <w:p w14:paraId="4DF4C6AD" w14:textId="77777777" w:rsidR="00851C60" w:rsidRPr="00426ACF" w:rsidRDefault="00851C60" w:rsidP="00851C60">
      <w:pPr>
        <w:spacing w:before="120" w:after="0" w:line="276" w:lineRule="auto"/>
        <w:ind w:firstLine="709"/>
        <w:contextualSpacing/>
        <w:jc w:val="both"/>
        <w:rPr>
          <w:rFonts w:ascii="Arial" w:eastAsia="Calibri" w:hAnsi="Arial" w:cs="Arial"/>
          <w:lang w:val="es-ES_tradnl"/>
        </w:rPr>
      </w:pPr>
      <w:bookmarkStart w:id="12" w:name="_Hlk109111976"/>
      <w:bookmarkStart w:id="13" w:name="_Hlk112856091"/>
      <w:bookmarkStart w:id="14" w:name="_Hlk112245428"/>
      <w:bookmarkEnd w:id="11"/>
      <w:r w:rsidRPr="00426ACF">
        <w:rPr>
          <w:rFonts w:ascii="Arial" w:eastAsia="Calibri" w:hAnsi="Arial" w:cs="Arial"/>
          <w:lang w:val="es-ES_tradnl"/>
        </w:rPr>
        <w:t xml:space="preserve">Finalmente, el inciso final del artículo 53 dispone que «A partir de la entrada en vigencia de la presente Ley, se establecerá un periodo de transición de seis (6) meses, para que las entidades den cumplimiento efectivo a lo aquí establecido». Es decir, que se trata un período concedido por el Legislador a las entidades que tienen un régimen especial de contratación para adelantar las gestiones administrativas, técnicas y jurídicas pertinentes, a fin de cumplir lo establecido en el artículo citado. Este período de transición va del 18 de enero al 18 de julio de 2022. </w:t>
      </w:r>
      <w:bookmarkEnd w:id="12"/>
      <w:r w:rsidRPr="00426ACF">
        <w:rPr>
          <w:rFonts w:ascii="Arial" w:eastAsia="Calibri" w:hAnsi="Arial" w:cs="Arial"/>
          <w:lang w:val="es-ES_tradnl"/>
        </w:rPr>
        <w:t xml:space="preserve">Si bien la norma materia de estudio no hace referencia a los contratos suscritos con anterioridad a su entrada en vigencia, de acuerdo con el artículo 38 de la Ley 153 de 1887, el cual dispone que en todo contrato se entenderán incorporadas las leyes vigentes al tiempo de su celebración, la obligación para las entidades estatales exceptuadas de publicar los documentos relacionados con su actividad contractual en el SECOP II aplica para los contratos suscritos con </w:t>
      </w:r>
      <w:r w:rsidRPr="00426ACF">
        <w:rPr>
          <w:rFonts w:ascii="Arial" w:eastAsia="Calibri" w:hAnsi="Arial" w:cs="Arial"/>
          <w:lang w:val="es-ES_tradnl"/>
        </w:rPr>
        <w:lastRenderedPageBreak/>
        <w:t>posterioridad al término dispuesto en el artículo 53 de la Ley 2195 de 2022, esto es, el 18 de julio de 2022</w:t>
      </w:r>
      <w:bookmarkEnd w:id="13"/>
      <w:r w:rsidRPr="00426ACF">
        <w:rPr>
          <w:rStyle w:val="Refdenotaalpie"/>
          <w:rFonts w:ascii="Arial" w:hAnsi="Arial" w:cs="Arial"/>
        </w:rPr>
        <w:footnoteReference w:id="9"/>
      </w:r>
      <w:r w:rsidRPr="00426ACF">
        <w:rPr>
          <w:rFonts w:ascii="Arial" w:hAnsi="Arial" w:cs="Arial"/>
        </w:rPr>
        <w:t>.</w:t>
      </w:r>
    </w:p>
    <w:bookmarkEnd w:id="14"/>
    <w:p w14:paraId="4276C492" w14:textId="77777777" w:rsidR="00851C60" w:rsidRPr="00426ACF" w:rsidRDefault="00851C60" w:rsidP="00851C60">
      <w:pPr>
        <w:spacing w:after="0" w:line="276" w:lineRule="auto"/>
        <w:contextualSpacing/>
        <w:jc w:val="both"/>
        <w:rPr>
          <w:rFonts w:ascii="Arial" w:eastAsia="Calibri" w:hAnsi="Arial" w:cs="Arial"/>
          <w:b/>
          <w:bCs/>
          <w:lang w:val="es-ES_tradnl" w:eastAsia="es-ES_tradnl"/>
        </w:rPr>
      </w:pPr>
    </w:p>
    <w:p w14:paraId="615FFA31" w14:textId="77777777" w:rsidR="00851C60" w:rsidRPr="00426ACF" w:rsidRDefault="00851C60" w:rsidP="00851C60">
      <w:pPr>
        <w:spacing w:after="0" w:line="276" w:lineRule="auto"/>
        <w:contextualSpacing/>
        <w:jc w:val="both"/>
        <w:rPr>
          <w:rFonts w:ascii="Arial" w:eastAsia="Calibri" w:hAnsi="Arial" w:cs="Arial"/>
          <w:b/>
          <w:bCs/>
          <w:lang w:val="es-ES_tradnl" w:eastAsia="es-ES_tradnl"/>
        </w:rPr>
      </w:pPr>
      <w:r w:rsidRPr="00426ACF">
        <w:rPr>
          <w:rFonts w:ascii="Arial" w:eastAsia="Calibri" w:hAnsi="Arial" w:cs="Arial"/>
          <w:b/>
          <w:bCs/>
          <w:lang w:val="es-ES_tradnl" w:eastAsia="es-ES_tradnl"/>
        </w:rPr>
        <w:t xml:space="preserve">2.2. Uso del SECOP II por las entidades </w:t>
      </w:r>
      <w:r w:rsidRPr="00426ACF">
        <w:rPr>
          <w:rFonts w:ascii="Arial" w:eastAsia="Times New Roman" w:hAnsi="Arial" w:cs="Arial"/>
          <w:b/>
          <w:bCs/>
          <w:iCs/>
          <w:lang w:val="es-ES_tradnl" w:eastAsia="es-ES_tradnl"/>
        </w:rPr>
        <w:t>exceptuadas del Estatuto General de Contratación de la Administración Pública</w:t>
      </w:r>
    </w:p>
    <w:p w14:paraId="3A0E0BE2" w14:textId="77777777" w:rsidR="00851C60" w:rsidRPr="00426ACF" w:rsidRDefault="00851C60" w:rsidP="00851C60">
      <w:pPr>
        <w:spacing w:after="0" w:line="276" w:lineRule="auto"/>
        <w:contextualSpacing/>
        <w:jc w:val="both"/>
        <w:rPr>
          <w:rFonts w:ascii="Arial" w:eastAsia="Calibri" w:hAnsi="Arial" w:cs="Arial"/>
          <w:b/>
          <w:bCs/>
          <w:lang w:val="es-ES_tradnl" w:eastAsia="es-ES_tradnl"/>
        </w:rPr>
      </w:pPr>
    </w:p>
    <w:p w14:paraId="47EAAE06" w14:textId="77777777" w:rsidR="00851C60" w:rsidRPr="00426ACF" w:rsidRDefault="00851C60" w:rsidP="00851C60">
      <w:pPr>
        <w:spacing w:after="120" w:line="276" w:lineRule="auto"/>
        <w:jc w:val="both"/>
        <w:rPr>
          <w:rFonts w:ascii="Arial" w:eastAsia="Calibri" w:hAnsi="Arial" w:cs="Arial"/>
          <w:lang w:val="es-ES_tradnl" w:eastAsia="es-ES_tradnl"/>
        </w:rPr>
      </w:pPr>
      <w:r w:rsidRPr="00426ACF">
        <w:rPr>
          <w:rFonts w:ascii="Arial" w:eastAsia="Calibri" w:hAnsi="Arial" w:cs="Arial"/>
          <w:lang w:val="es-ES_tradnl" w:eastAsia="es-ES_tradnl"/>
        </w:rPr>
        <w:t xml:space="preserve">De acuerdo con lo hasta aquí explicado, en virtud de la modificación realizada al artículo 13 de la Ley 1150 de 2007 por el artículo 53 de la Ley 2195 de 2022, las entidades estatales con régimen de contratación exceptuado están obligadas a publicar los documentos que expidan en desarrollo de su actividad contractual en el SECOP II. A efectos de cumplir este mandato corresponde a las entidades exceptuadas, en el marco de su autonomía, realizar las respectivas publicaciones, valiéndose de las funcionalidades de la referida plataforma. </w:t>
      </w:r>
    </w:p>
    <w:p w14:paraId="1122FC9E" w14:textId="77777777" w:rsidR="00851C60" w:rsidRPr="00426ACF" w:rsidRDefault="00851C60" w:rsidP="00851C60">
      <w:pPr>
        <w:spacing w:after="120" w:line="276" w:lineRule="auto"/>
        <w:ind w:firstLine="708"/>
        <w:jc w:val="both"/>
        <w:rPr>
          <w:rFonts w:ascii="Arial" w:hAnsi="Arial" w:cs="Arial"/>
          <w:u w:val="single"/>
          <w:lang w:val="es-MX" w:eastAsia="es-ES"/>
        </w:rPr>
      </w:pPr>
      <w:r w:rsidRPr="00426ACF">
        <w:rPr>
          <w:rFonts w:ascii="Arial" w:eastAsia="Calibri" w:hAnsi="Arial" w:cs="Arial"/>
          <w:lang w:val="es-ES_tradnl" w:eastAsia="es-ES_tradnl"/>
        </w:rPr>
        <w:t>Al respecto, debe destacarse que la plataforma</w:t>
      </w:r>
      <w:r w:rsidRPr="00426ACF">
        <w:rPr>
          <w:rFonts w:ascii="Arial" w:hAnsi="Arial" w:cs="Arial"/>
        </w:rPr>
        <w:t xml:space="preserve"> tiene</w:t>
      </w:r>
      <w:r w:rsidRPr="00426ACF">
        <w:rPr>
          <w:rFonts w:ascii="Arial" w:eastAsia="Calibri" w:hAnsi="Arial" w:cs="Arial"/>
          <w:lang w:val="es-ES_tradnl" w:eastAsia="es-ES_tradnl"/>
        </w:rPr>
        <w:t xml:space="preserve"> dispuestos dos módulos para las entidades estatales con régimen especial, los cuales son:</w:t>
      </w:r>
      <w:r w:rsidRPr="00426ACF">
        <w:rPr>
          <w:rFonts w:ascii="Arial" w:eastAsia="Times New Roman" w:hAnsi="Arial" w:cs="Arial"/>
          <w:i/>
          <w:iCs/>
          <w:lang w:val="es-MX" w:eastAsia="es-ES"/>
        </w:rPr>
        <w:t xml:space="preserve"> i) Contratación Régimen Especial (con ofertas)</w:t>
      </w:r>
      <w:r w:rsidRPr="00426ACF">
        <w:rPr>
          <w:rFonts w:ascii="Arial" w:eastAsia="Calibri" w:hAnsi="Arial" w:cs="Arial"/>
          <w:iCs/>
          <w:vertAlign w:val="superscript"/>
          <w:lang w:val="es-ES"/>
        </w:rPr>
        <w:footnoteReference w:id="10"/>
      </w:r>
      <w:r w:rsidRPr="00426ACF">
        <w:rPr>
          <w:rFonts w:ascii="Arial" w:eastAsia="Times New Roman" w:hAnsi="Arial" w:cs="Arial"/>
          <w:b/>
          <w:bCs/>
          <w:lang w:val="es-MX" w:eastAsia="es-ES"/>
        </w:rPr>
        <w:t>:</w:t>
      </w:r>
      <w:r w:rsidRPr="00426ACF">
        <w:rPr>
          <w:rFonts w:ascii="Arial" w:eastAsia="Times New Roman" w:hAnsi="Arial" w:cs="Arial"/>
          <w:lang w:val="es-MX" w:eastAsia="es-ES"/>
        </w:rPr>
        <w:t xml:space="preserve"> Permite a las entidades gestionar sus procesos competitivos de contratación. Mediante este módulo las entidades pueden adelantar el proceso de contratación de manera transaccional, es decir, que </w:t>
      </w:r>
      <w:r w:rsidRPr="00426ACF">
        <w:rPr>
          <w:rFonts w:ascii="Arial" w:eastAsia="Times New Roman" w:hAnsi="Arial" w:cs="Arial"/>
          <w:lang w:val="es-MX" w:eastAsia="es-CO"/>
        </w:rPr>
        <w:t>a través de este módulo las entidades estatales pueden estructurar el proceso de contratación, recibir ofertas de los proveedores, generar el contrato de electrónico y realizar la gestión contractual; y ii)</w:t>
      </w:r>
      <w:r w:rsidRPr="00426ACF">
        <w:rPr>
          <w:rFonts w:ascii="Arial" w:hAnsi="Arial" w:cs="Arial"/>
          <w:b/>
          <w:bCs/>
          <w:lang w:val="es-MX" w:eastAsia="es-ES"/>
        </w:rPr>
        <w:t xml:space="preserve"> </w:t>
      </w:r>
      <w:r w:rsidRPr="00426ACF">
        <w:rPr>
          <w:rFonts w:ascii="Arial" w:hAnsi="Arial" w:cs="Arial"/>
          <w:i/>
          <w:iCs/>
          <w:lang w:val="es-MX" w:eastAsia="es-ES"/>
        </w:rPr>
        <w:t>Contratación Régimen Especial (sin ofertas)</w:t>
      </w:r>
      <w:r w:rsidRPr="00426ACF">
        <w:rPr>
          <w:rFonts w:ascii="Arial" w:eastAsia="Calibri" w:hAnsi="Arial" w:cs="Arial"/>
          <w:i/>
          <w:iCs/>
          <w:vertAlign w:val="superscript"/>
          <w:lang w:val="es-ES"/>
        </w:rPr>
        <w:footnoteReference w:id="11"/>
      </w:r>
      <w:r w:rsidRPr="00426ACF">
        <w:rPr>
          <w:rFonts w:ascii="Arial" w:hAnsi="Arial" w:cs="Arial"/>
          <w:i/>
          <w:iCs/>
          <w:lang w:val="es-MX" w:eastAsia="es-ES"/>
        </w:rPr>
        <w:t>:</w:t>
      </w:r>
      <w:r w:rsidRPr="00426ACF">
        <w:rPr>
          <w:rFonts w:ascii="Arial" w:hAnsi="Arial" w:cs="Arial"/>
          <w:lang w:val="es-MX" w:eastAsia="es-ES"/>
        </w:rPr>
        <w:t xml:space="preserve"> Este módulo permite a las entidades gestionar sus procesos de selección directos. Asimismo, este módulo </w:t>
      </w:r>
      <w:r w:rsidRPr="00426ACF">
        <w:rPr>
          <w:rFonts w:ascii="Arial" w:hAnsi="Arial" w:cs="Arial"/>
          <w:lang w:val="es-MX"/>
        </w:rPr>
        <w:t xml:space="preserve">permite estructurar los procesos de contratación, publicar documentos generados por fuera de la plataforma y realizar la gestión contractual en línea. </w:t>
      </w:r>
    </w:p>
    <w:p w14:paraId="0641E41D" w14:textId="77777777" w:rsidR="00851C60" w:rsidRPr="00426ACF" w:rsidRDefault="00851C60" w:rsidP="00851C60">
      <w:pPr>
        <w:autoSpaceDE w:val="0"/>
        <w:autoSpaceDN w:val="0"/>
        <w:adjustRightInd w:val="0"/>
        <w:spacing w:after="120" w:line="276" w:lineRule="auto"/>
        <w:ind w:firstLine="708"/>
        <w:jc w:val="both"/>
        <w:rPr>
          <w:rFonts w:ascii="Arial" w:eastAsia="Calibri" w:hAnsi="Arial" w:cs="Arial"/>
          <w:iCs/>
          <w:lang w:val="es-ES" w:eastAsia="es-ES_tradnl"/>
        </w:rPr>
      </w:pPr>
      <w:r w:rsidRPr="00426ACF">
        <w:rPr>
          <w:rFonts w:ascii="Arial" w:eastAsia="Calibri" w:hAnsi="Arial" w:cs="Arial"/>
          <w:iCs/>
          <w:lang w:val="es-ES" w:eastAsia="es-ES_tradnl"/>
        </w:rPr>
        <w:t xml:space="preserve">Teniendo en cuenta lo anterior, frente a la inquietud dirigida a establecer si la entrada en vigencia de la Ley 2195 de 2022 supone la obligación de desarrollar el proceso contractual de manera transaccional a través del SECOP II, debe señalarse que, </w:t>
      </w:r>
      <w:bookmarkStart w:id="15" w:name="_Hlk112856157"/>
      <w:r w:rsidRPr="00426ACF">
        <w:rPr>
          <w:rFonts w:ascii="Arial" w:eastAsia="Calibri" w:hAnsi="Arial" w:cs="Arial"/>
          <w:iCs/>
          <w:lang w:val="es-ES" w:eastAsia="es-ES_tradnl"/>
        </w:rPr>
        <w:t xml:space="preserve">el artículo 53 </w:t>
      </w:r>
      <w:r w:rsidRPr="00426ACF">
        <w:rPr>
          <w:rFonts w:ascii="Arial" w:eastAsia="Calibri" w:hAnsi="Arial" w:cs="Arial"/>
          <w:i/>
          <w:lang w:val="es-ES" w:eastAsia="es-ES_tradnl"/>
        </w:rPr>
        <w:t>ibidem</w:t>
      </w:r>
      <w:r w:rsidRPr="00426ACF">
        <w:rPr>
          <w:rFonts w:ascii="Arial" w:eastAsia="Calibri" w:hAnsi="Arial" w:cs="Arial"/>
          <w:iCs/>
          <w:lang w:val="es-ES" w:eastAsia="es-ES_tradnl"/>
        </w:rPr>
        <w:t xml:space="preserve"> no cambió la forma en que se perfeccionan los contratos suscritos por estas entidades exceptuadas. En ese </w:t>
      </w:r>
      <w:r w:rsidRPr="00426ACF">
        <w:rPr>
          <w:rFonts w:ascii="Arial" w:eastAsia="Calibri" w:hAnsi="Arial" w:cs="Arial"/>
          <w:iCs/>
          <w:lang w:val="es-ES" w:eastAsia="es-ES_tradnl"/>
        </w:rPr>
        <w:lastRenderedPageBreak/>
        <w:t xml:space="preserve">sentido, dado que la disposición materia de estudio no definió la obligatoriedad sobre el uso transaccional del SECOP II para las entidades exceptuadas, estas podrán usarla de forma transaccional o publicitaria. </w:t>
      </w:r>
    </w:p>
    <w:p w14:paraId="28D8CE2E" w14:textId="77777777" w:rsidR="00851C60" w:rsidRPr="00426ACF" w:rsidRDefault="00851C60" w:rsidP="00851C60">
      <w:pPr>
        <w:autoSpaceDE w:val="0"/>
        <w:autoSpaceDN w:val="0"/>
        <w:adjustRightInd w:val="0"/>
        <w:spacing w:after="120" w:line="276" w:lineRule="auto"/>
        <w:ind w:firstLine="708"/>
        <w:jc w:val="both"/>
        <w:rPr>
          <w:rFonts w:ascii="Arial" w:eastAsia="Times New Roman" w:hAnsi="Arial" w:cs="Arial"/>
          <w:lang w:eastAsia="es-ES_tradnl"/>
        </w:rPr>
      </w:pPr>
      <w:r w:rsidRPr="00426ACF">
        <w:rPr>
          <w:rFonts w:ascii="Arial" w:eastAsia="Calibri" w:hAnsi="Arial" w:cs="Arial"/>
          <w:iCs/>
          <w:lang w:val="es-ES" w:eastAsia="es-ES_tradnl"/>
        </w:rPr>
        <w:t>Por lo anterior, las entidades exceptuadas tienen la posibilidad de elegir cualquiera de las siguientes opciones para cumplir con el deber de publicidad que les asiste:</w:t>
      </w:r>
      <w:r w:rsidRPr="00426ACF">
        <w:rPr>
          <w:rFonts w:ascii="Arial" w:hAnsi="Arial" w:cs="Arial"/>
          <w:lang w:val="es-ES"/>
        </w:rPr>
        <w:t xml:space="preserve"> i) firmar</w:t>
      </w:r>
      <w:r w:rsidRPr="00426ACF">
        <w:rPr>
          <w:rFonts w:ascii="Arial" w:hAnsi="Arial" w:cs="Arial"/>
          <w:lang w:val="es-MX"/>
        </w:rPr>
        <w:t xml:space="preserve"> el contrato electrónicamente, es decir, realizar un uso transaccional de la plataforma; o ii) firmar el contrato en físico y publicar los documentos de ejecución en la etapa precontractual del SECOP II, es decir, realizar un uso publicitario de la plataforma.</w:t>
      </w:r>
      <w:r w:rsidRPr="00426ACF">
        <w:rPr>
          <w:rFonts w:ascii="Arial" w:eastAsia="Times New Roman" w:hAnsi="Arial" w:cs="Arial"/>
          <w:lang w:eastAsia="es-ES_tradnl"/>
        </w:rPr>
        <w:t xml:space="preserve"> 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el segundo caso, si decide utilizar el SECOP II como herramienta de publicidad, deberá crear el proceso de contratación en el SECOP II mediante el módulo «</w:t>
      </w:r>
      <w:r w:rsidRPr="00426ACF">
        <w:rPr>
          <w:rFonts w:ascii="Arial" w:eastAsia="Times New Roman" w:hAnsi="Arial" w:cs="Arial"/>
          <w:i/>
          <w:iCs/>
          <w:lang w:eastAsia="es-ES_tradnl"/>
        </w:rPr>
        <w:t>Contratación Régimen Especial (sin ofertas)»</w:t>
      </w:r>
      <w:r w:rsidRPr="00426ACF">
        <w:rPr>
          <w:rFonts w:ascii="Arial" w:eastAsia="Times New Roman" w:hAnsi="Arial" w:cs="Arial"/>
          <w:lang w:eastAsia="es-ES_tradnl"/>
        </w:rPr>
        <w:t>,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w:t>
      </w:r>
      <w:r w:rsidRPr="00426ACF">
        <w:rPr>
          <w:rFonts w:ascii="Arial" w:eastAsia="Times New Roman" w:hAnsi="Arial" w:cs="Arial"/>
          <w:i/>
          <w:iCs/>
          <w:lang w:eastAsia="es-ES_tradnl"/>
        </w:rPr>
        <w:t>Finalizar</w:t>
      </w:r>
      <w:r w:rsidRPr="00426ACF">
        <w:rPr>
          <w:rFonts w:ascii="Arial" w:eastAsia="Times New Roman" w:hAnsi="Arial" w:cs="Arial"/>
          <w:lang w:eastAsia="es-ES_tradnl"/>
        </w:rPr>
        <w:t>» después de publicar el proceso, en tanto que la plataforma cierra el expediente y no permite la publicación posterior de ningún otro documento.</w:t>
      </w:r>
    </w:p>
    <w:bookmarkEnd w:id="15"/>
    <w:p w14:paraId="206A838B" w14:textId="77777777" w:rsidR="00851C60" w:rsidRPr="00426ACF" w:rsidRDefault="00851C60" w:rsidP="00851C60">
      <w:pPr>
        <w:spacing w:after="120" w:line="276" w:lineRule="auto"/>
        <w:ind w:firstLine="709"/>
        <w:jc w:val="both"/>
        <w:rPr>
          <w:rFonts w:ascii="Arial" w:eastAsia="Calibri" w:hAnsi="Arial" w:cs="Arial"/>
          <w:lang w:val="es-ES"/>
        </w:rPr>
      </w:pPr>
      <w:r w:rsidRPr="00426ACF">
        <w:rPr>
          <w:rFonts w:ascii="Arial" w:eastAsia="Calibri" w:hAnsi="Arial" w:cs="Arial"/>
          <w:lang w:val="es-ES_tradnl" w:eastAsia="es-ES_tradnl"/>
        </w:rPr>
        <w:t xml:space="preserve">Ahora bien, respecto al término para publicar los documentos en el SECOP II, debe señalarse, tal y como se expuso en el numeral anterior, que </w:t>
      </w:r>
      <w:r w:rsidRPr="00426ACF">
        <w:rPr>
          <w:rFonts w:ascii="Arial" w:eastAsia="Calibri" w:hAnsi="Arial" w:cs="Arial"/>
          <w:lang w:val="es-ES"/>
        </w:rPr>
        <w:t xml:space="preserve">el deber de publicar los documentos relacionados con la contratación también se encuentra regulado en la Ley 1712 de 2014, que dispone en el literal g) del artículo 11, que todo sujeto obligado, que en este caso aplica a todas las entidades estatales independientemente de su régimen contractual, debe publicar sus procedimientos, lineamientos, políticas en materia de adquisiciones y compras, así como todos los datos de adjudicación y ejecución de sus contratos. Esta obligación, en principio, fue reglamentada por el Decreto 103 de 2015, hoy compilado en el Decreto 1081 de 2015. Este último prescribe en el artículo 2.1.1.2.1.7, que las entidades deberán publicar en el SECOP </w:t>
      </w:r>
      <w:r w:rsidRPr="00426ACF">
        <w:rPr>
          <w:rFonts w:ascii="Arial" w:hAnsi="Arial" w:cs="Arial"/>
          <w:lang w:val="es-ES"/>
        </w:rPr>
        <w:t>la información de su gestión contractual</w:t>
      </w:r>
      <w:r w:rsidRPr="00426ACF">
        <w:rPr>
          <w:rStyle w:val="Refdenotaalpie"/>
          <w:rFonts w:ascii="Arial" w:hAnsi="Arial" w:cs="Arial"/>
          <w:lang w:val="es-ES"/>
        </w:rPr>
        <w:footnoteReference w:id="12"/>
      </w:r>
      <w:r w:rsidRPr="00426ACF">
        <w:rPr>
          <w:rFonts w:ascii="Arial" w:eastAsia="Calibri" w:hAnsi="Arial" w:cs="Arial"/>
          <w:lang w:val="es-ES"/>
        </w:rPr>
        <w:t xml:space="preserve">. Asimismo, este precepto consagra que: «De conformidad </w:t>
      </w:r>
      <w:r w:rsidRPr="00426ACF">
        <w:rPr>
          <w:rFonts w:ascii="Arial" w:eastAsia="Calibri" w:hAnsi="Arial" w:cs="Arial"/>
          <w:lang w:val="es-ES"/>
        </w:rPr>
        <w:lastRenderedPageBreak/>
        <w:t xml:space="preserve">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31453441" w14:textId="77777777" w:rsidR="00851C60" w:rsidRPr="00426ACF" w:rsidRDefault="00851C60" w:rsidP="00851C60">
      <w:pPr>
        <w:spacing w:after="120" w:line="276" w:lineRule="auto"/>
        <w:ind w:firstLine="709"/>
        <w:jc w:val="both"/>
        <w:rPr>
          <w:rFonts w:ascii="Arial" w:eastAsia="Calibri" w:hAnsi="Arial" w:cs="Arial"/>
          <w:lang w:val="es-ES_tradnl"/>
        </w:rPr>
      </w:pPr>
      <w:r w:rsidRPr="00426ACF">
        <w:rPr>
          <w:rFonts w:ascii="Arial" w:eastAsia="Calibri" w:hAnsi="Arial" w:cs="Arial"/>
          <w:lang w:val="es-ES"/>
        </w:rPr>
        <w:t>Por otro lado, el inciso segundo de dicho artículo precisa el momento para realizar la publicación, remitiendo al mismo plazo establecido en el artículo 2.2.1.1.1.7.1 del Decreto 1082 de 2015, esto es, dentro de los tres (3) días siguientes a la expedición del documento. En efecto, el inciso indicado establece: «Los sujetos obligados que contratan con cargo a recursos públicos deben publicar la información de su gestión contractual en el plazo previsto en el artículo 19 del Decreto 1510 de 2013, o el que lo modifique, sustituya o adicione». Cabe aclarar que el artículo 19 indicado fue compilado en el artículo 2.2.1.1.1.7.1 del Decreto 1082 de 2015.</w:t>
      </w:r>
      <w:r w:rsidRPr="00426ACF">
        <w:rPr>
          <w:rFonts w:ascii="Arial" w:hAnsi="Arial" w:cs="Arial"/>
        </w:rPr>
        <w:t xml:space="preserve"> Asimismo, es importante precisar que si bien el Decreto 1082 de 2015, en principio, no aplica a las entidades de régimen exceptuado al Estatuto General de Contratación de la Administración Pública, porque su régimen de contratación es el derecho privado, será posible aplicarle esta norma en virtud de la remisión dispuesta en el artículo 2.1.1.2.1.7 del Decreto 1081 de 2015 al artículo 19 </w:t>
      </w:r>
      <w:r w:rsidRPr="00426ACF">
        <w:rPr>
          <w:rFonts w:ascii="Arial" w:eastAsia="Calibri" w:hAnsi="Arial" w:cs="Arial"/>
          <w:lang w:val="es-ES"/>
        </w:rPr>
        <w:t xml:space="preserve">del Decreto 1510 de 2013, o el que lo modifique, sustituya o adicione, que en este caso es el artículo 2.2.1.1.1.7.1 del Decreto 1082 de 2015. </w:t>
      </w:r>
      <w:r w:rsidRPr="00426ACF">
        <w:rPr>
          <w:rFonts w:ascii="Arial" w:hAnsi="Arial" w:cs="Arial"/>
        </w:rPr>
        <w:t>En este sentido, las entidades exceptuadas del régimen de contratación de Ley 80 de 1993 publicarán en el SECOP sus documentos dentro de los tres (3) días siguientes a su expedición.</w:t>
      </w:r>
    </w:p>
    <w:p w14:paraId="46F26366" w14:textId="77777777" w:rsidR="00851C60" w:rsidRPr="00426ACF" w:rsidRDefault="00851C60" w:rsidP="00851C60">
      <w:pPr>
        <w:spacing w:after="0" w:line="276" w:lineRule="auto"/>
        <w:ind w:firstLine="709"/>
        <w:contextualSpacing/>
        <w:jc w:val="both"/>
        <w:rPr>
          <w:rFonts w:ascii="Arial" w:eastAsia="Calibri" w:hAnsi="Arial" w:cs="Arial"/>
          <w:lang w:val="es-ES_tradnl" w:eastAsia="es-ES_tradnl"/>
        </w:rPr>
      </w:pPr>
      <w:r w:rsidRPr="00426ACF">
        <w:rPr>
          <w:rFonts w:ascii="Arial" w:eastAsia="Calibri" w:hAnsi="Arial" w:cs="Arial"/>
          <w:lang w:val="es-ES_tradnl" w:eastAsia="es-ES_tradnl"/>
        </w:rPr>
        <w:t xml:space="preserve">En armonía con lo anterior, </w:t>
      </w:r>
      <w:r w:rsidRPr="00426ACF">
        <w:rPr>
          <w:rFonts w:ascii="Arial" w:eastAsia="Calibri" w:hAnsi="Arial" w:cs="Arial"/>
          <w:lang w:val="es-ES"/>
        </w:rPr>
        <w:t>la Circular 002 del 1 de junio de 2022</w:t>
      </w:r>
      <w:r w:rsidRPr="00426ACF">
        <w:rPr>
          <w:rStyle w:val="Refdenotaalpie"/>
          <w:rFonts w:ascii="Arial" w:eastAsia="Calibri" w:hAnsi="Arial" w:cs="Arial"/>
          <w:lang w:val="es-ES"/>
        </w:rPr>
        <w:footnoteReference w:id="13"/>
      </w:r>
      <w:r w:rsidRPr="00426ACF">
        <w:rPr>
          <w:rFonts w:ascii="Arial" w:eastAsia="Calibri" w:hAnsi="Arial" w:cs="Arial"/>
          <w:lang w:val="es-ES"/>
        </w:rPr>
        <w:t>, relacionada con la aplicación del artículo 53 de la Ley 2195 de 2022, dictada por el Departamento Administrativo de la Presidencia, en relación con el plazo para cargar los documentos señaló lo siguiente</w:t>
      </w:r>
      <w:r w:rsidRPr="00426ACF">
        <w:rPr>
          <w:rFonts w:ascii="Arial" w:eastAsia="Calibri" w:hAnsi="Arial" w:cs="Arial"/>
          <w:lang w:val="es-ES_tradnl" w:eastAsia="es-ES_tradnl"/>
        </w:rPr>
        <w:t>:</w:t>
      </w:r>
    </w:p>
    <w:p w14:paraId="5BDC2C53" w14:textId="77777777" w:rsidR="00851C60" w:rsidRPr="00426ACF" w:rsidRDefault="00851C60" w:rsidP="00851C60">
      <w:pPr>
        <w:spacing w:after="0" w:line="276" w:lineRule="auto"/>
        <w:ind w:firstLine="709"/>
        <w:contextualSpacing/>
        <w:jc w:val="both"/>
        <w:rPr>
          <w:rFonts w:ascii="Arial" w:eastAsia="Calibri" w:hAnsi="Arial" w:cs="Arial"/>
          <w:lang w:val="es-ES_tradnl" w:eastAsia="es-ES_tradnl"/>
        </w:rPr>
      </w:pPr>
    </w:p>
    <w:p w14:paraId="289D580D" w14:textId="77777777" w:rsidR="00851C60" w:rsidRPr="00426ACF" w:rsidRDefault="00851C60" w:rsidP="00851C60">
      <w:pPr>
        <w:spacing w:after="0" w:line="240" w:lineRule="auto"/>
        <w:ind w:left="709" w:right="709"/>
        <w:contextualSpacing/>
        <w:jc w:val="both"/>
        <w:rPr>
          <w:rFonts w:ascii="Arial" w:eastAsia="Times New Roman" w:hAnsi="Arial" w:cs="Arial"/>
          <w:sz w:val="21"/>
          <w:szCs w:val="21"/>
          <w:lang w:eastAsia="es-ES_tradnl"/>
        </w:rPr>
      </w:pPr>
      <w:r w:rsidRPr="00426ACF">
        <w:rPr>
          <w:rFonts w:ascii="Arial" w:eastAsia="Times New Roman" w:hAnsi="Arial" w:cs="Arial"/>
          <w:sz w:val="21"/>
          <w:szCs w:val="21"/>
          <w:lang w:eastAsia="es-ES_tradnl"/>
        </w:rPr>
        <w:t xml:space="preserve">Si se utiliza el SECOP II como herramienta de publicidad, </w:t>
      </w:r>
      <w:r w:rsidRPr="00426ACF">
        <w:rPr>
          <w:rFonts w:ascii="Arial" w:eastAsia="Times New Roman" w:hAnsi="Arial" w:cs="Arial"/>
          <w:i/>
          <w:iCs/>
          <w:sz w:val="21"/>
          <w:szCs w:val="21"/>
          <w:lang w:eastAsia="es-ES_tradnl"/>
        </w:rPr>
        <w:t>la publicación de los documentos relacionados con la actividad contractual deberá realizarse dentro de los 3 días siguientes a su expedición</w:t>
      </w:r>
      <w:r w:rsidRPr="00426ACF">
        <w:rPr>
          <w:rFonts w:ascii="Arial" w:eastAsia="Times New Roman" w:hAnsi="Arial" w:cs="Arial"/>
          <w:sz w:val="21"/>
          <w:szCs w:val="21"/>
          <w:lang w:eastAsia="es-ES_tradnl"/>
        </w:rPr>
        <w:t>, en aplicación de lo dispuesto en el artículo 2.1.1.2.1.7. del Decreto 1081 de 2015, el cual remite al artículo 2.2.1.1.1.7.1. del Decreto 1082 de 2015, en el que se hace referencia al plazo en cita.</w:t>
      </w:r>
    </w:p>
    <w:p w14:paraId="3747B3C7" w14:textId="77777777" w:rsidR="00851C60" w:rsidRPr="00426ACF" w:rsidRDefault="00851C60" w:rsidP="00851C60">
      <w:pPr>
        <w:spacing w:after="0" w:line="240" w:lineRule="auto"/>
        <w:ind w:left="709" w:right="709"/>
        <w:contextualSpacing/>
        <w:jc w:val="both"/>
        <w:rPr>
          <w:rFonts w:ascii="Arial" w:eastAsia="Times New Roman" w:hAnsi="Arial" w:cs="Arial"/>
          <w:sz w:val="21"/>
          <w:szCs w:val="21"/>
          <w:lang w:eastAsia="es-ES_tradnl"/>
        </w:rPr>
      </w:pPr>
    </w:p>
    <w:p w14:paraId="54C8B6F4" w14:textId="77777777" w:rsidR="00851C60" w:rsidRPr="00426ACF" w:rsidRDefault="00851C60" w:rsidP="00851C60">
      <w:pPr>
        <w:spacing w:after="0" w:line="240" w:lineRule="auto"/>
        <w:ind w:left="709" w:right="709"/>
        <w:contextualSpacing/>
        <w:jc w:val="both"/>
        <w:rPr>
          <w:rFonts w:ascii="Arial" w:eastAsia="Calibri" w:hAnsi="Arial" w:cs="Arial"/>
          <w:sz w:val="21"/>
          <w:szCs w:val="21"/>
          <w:lang w:val="es-ES_tradnl" w:eastAsia="es-ES_tradnl"/>
        </w:rPr>
      </w:pPr>
      <w:r w:rsidRPr="00426ACF">
        <w:rPr>
          <w:rFonts w:ascii="Arial" w:eastAsia="Times New Roman" w:hAnsi="Arial" w:cs="Arial"/>
          <w:sz w:val="21"/>
          <w:szCs w:val="21"/>
          <w:lang w:eastAsia="es-ES_tradnl"/>
        </w:rPr>
        <w:t xml:space="preserve">Si se hace uso de la plataforma de manera transaccional, la publicación de los documentos relacionados con la actividad contractual deberá realizarse en los términos establecidos en el cronograma del proceso de selección y las reglas aplicables a cada modalidad de contratación en particular, de acuerdo con cada Manual de Contratación. </w:t>
      </w:r>
      <w:r w:rsidRPr="00426ACF">
        <w:rPr>
          <w:rFonts w:ascii="Arial" w:eastAsia="Calibri" w:hAnsi="Arial" w:cs="Arial"/>
          <w:sz w:val="21"/>
          <w:szCs w:val="21"/>
        </w:rPr>
        <w:t>(Cursiva fuera del original).</w:t>
      </w:r>
    </w:p>
    <w:p w14:paraId="331F8A6E" w14:textId="77777777" w:rsidR="00851C60" w:rsidRPr="00426ACF" w:rsidRDefault="00851C60" w:rsidP="00851C60">
      <w:pPr>
        <w:spacing w:after="0" w:line="276" w:lineRule="auto"/>
        <w:contextualSpacing/>
        <w:jc w:val="both"/>
        <w:rPr>
          <w:rFonts w:ascii="Arial" w:eastAsia="Calibri" w:hAnsi="Arial" w:cs="Arial"/>
          <w:b/>
          <w:bCs/>
          <w:lang w:val="es-ES" w:eastAsia="es-ES_tradnl"/>
        </w:rPr>
      </w:pPr>
    </w:p>
    <w:p w14:paraId="5C0E64FE" w14:textId="77777777" w:rsidR="00851C60" w:rsidRPr="00426ACF" w:rsidRDefault="00851C60" w:rsidP="00851C60">
      <w:pPr>
        <w:spacing w:after="120" w:line="276" w:lineRule="auto"/>
        <w:ind w:firstLine="709"/>
        <w:jc w:val="both"/>
        <w:rPr>
          <w:rFonts w:ascii="Arial" w:hAnsi="Arial" w:cs="Arial"/>
          <w:shd w:val="clear" w:color="auto" w:fill="FFFFFF"/>
        </w:rPr>
      </w:pPr>
      <w:r w:rsidRPr="00426ACF">
        <w:rPr>
          <w:rFonts w:ascii="Arial" w:eastAsia="Calibri" w:hAnsi="Arial" w:cs="Arial"/>
          <w:lang w:val="es-ES" w:eastAsia="es-ES_tradnl"/>
        </w:rPr>
        <w:t xml:space="preserve">De conformidad con lo expuesto se concluye que el término que tienen las </w:t>
      </w:r>
      <w:r w:rsidRPr="00426ACF">
        <w:rPr>
          <w:rFonts w:ascii="Arial" w:hAnsi="Arial" w:cs="Arial"/>
          <w:shd w:val="clear" w:color="auto" w:fill="FFFFFF"/>
        </w:rPr>
        <w:t xml:space="preserve">entidades estatales que por disposición legal cuenten con un régimen contractual excepcional al del Estatuto </w:t>
      </w:r>
      <w:r w:rsidRPr="00426ACF">
        <w:rPr>
          <w:rFonts w:ascii="Arial" w:hAnsi="Arial" w:cs="Arial"/>
          <w:shd w:val="clear" w:color="auto" w:fill="FFFFFF"/>
        </w:rPr>
        <w:lastRenderedPageBreak/>
        <w:t>General de Contratación de la Administración Pública para publicar en el SECOP II es de tres (3) días posterior a su expedición. Lo anterior, sin perjuicio de que dichas entidades hagan uso transaccional de la plataforma, caso en el cual la publicación de los documentos deberá hacerse en tiempo real, de acuerdo al cronograma definido para el proceso de selección.</w:t>
      </w:r>
    </w:p>
    <w:p w14:paraId="2F45459B" w14:textId="77777777" w:rsidR="00851C60" w:rsidRPr="00426ACF" w:rsidRDefault="00851C60" w:rsidP="00851C60">
      <w:pPr>
        <w:autoSpaceDE w:val="0"/>
        <w:autoSpaceDN w:val="0"/>
        <w:adjustRightInd w:val="0"/>
        <w:spacing w:after="120" w:line="276" w:lineRule="auto"/>
        <w:ind w:firstLine="709"/>
        <w:jc w:val="both"/>
        <w:rPr>
          <w:rFonts w:ascii="Arial" w:eastAsia="Calibri" w:hAnsi="Arial" w:cs="Arial"/>
          <w:lang w:val="es-ES"/>
        </w:rPr>
      </w:pPr>
      <w:r w:rsidRPr="00426ACF">
        <w:rPr>
          <w:rFonts w:ascii="Arial" w:eastAsia="Calibri" w:hAnsi="Arial" w:cs="Arial"/>
          <w:lang w:val="es-ES_tradnl"/>
        </w:rPr>
        <w:t xml:space="preserve">Por último, resulta importante señalar que el pasado </w:t>
      </w:r>
      <w:r w:rsidRPr="00426ACF">
        <w:rPr>
          <w:rFonts w:ascii="Arial" w:eastAsia="Calibri" w:hAnsi="Arial" w:cs="Arial"/>
          <w:lang w:val="es-ES"/>
        </w:rPr>
        <w:t xml:space="preserve">1 de junio, el Departamento Administrativo de la Presidencia de la Republica expidió la Circular 02 del 2022, mediante la cual se imparten instrucciones sobre la aplicación del artículo 53 de la Ley 2195 de 2022, en los siguientes aspectos: i) publicación de los documentos contractuales en el SECOP II; ii) reserva de los documentos relacionados con la actividad contractual y; iii) régimen de transición de los contratos celebrados con anterioridad a la entrada en vigencia de la obligación consagrada en el artículo 53 de la Ley 2195 de 2022. La mencionada circular contiene una serie de instrucciones con miras a garantizar el cumplimiento del deber legal por parte de las entidades estatales exceptuadas del Estatuto General de Contratación Pública. </w:t>
      </w:r>
    </w:p>
    <w:p w14:paraId="0F8C2347" w14:textId="77777777" w:rsidR="00851C60" w:rsidRPr="00426ACF" w:rsidRDefault="00851C60" w:rsidP="00851C60">
      <w:pPr>
        <w:spacing w:after="0" w:line="276" w:lineRule="auto"/>
        <w:ind w:firstLine="709"/>
        <w:jc w:val="both"/>
        <w:rPr>
          <w:rFonts w:ascii="Arial" w:hAnsi="Arial" w:cs="Arial"/>
        </w:rPr>
      </w:pPr>
      <w:r w:rsidRPr="00426ACF">
        <w:rPr>
          <w:rFonts w:ascii="Arial" w:hAnsi="Arial" w:cs="Arial"/>
        </w:rPr>
        <w:t xml:space="preserve">Con todo, resulta claro que las entidades exceptuadas se encuentran obligadas a publicar todos los documentos de su actividad contractual en el SECOP II, sin perjuicio de estar sometidas a regímenes de derecho privado. Ahora, el hecho de que su contratación no esté regida por el EGCAP deviene en que las entidades exceptuadas deban publicar unos documentos diferentes a los que les corresponde publicar a las entidades que si están sometidas a dicho régimen.  </w:t>
      </w:r>
    </w:p>
    <w:p w14:paraId="0E3217B7" w14:textId="77777777" w:rsidR="00851C60" w:rsidRPr="00426ACF" w:rsidRDefault="00851C60" w:rsidP="00851C60">
      <w:pPr>
        <w:spacing w:after="0" w:line="276" w:lineRule="auto"/>
        <w:ind w:firstLine="709"/>
        <w:contextualSpacing/>
        <w:jc w:val="both"/>
        <w:rPr>
          <w:rFonts w:ascii="Arial" w:hAnsi="Arial" w:cs="Arial"/>
        </w:rPr>
      </w:pPr>
    </w:p>
    <w:p w14:paraId="32C46E72"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b/>
          <w:bCs/>
          <w:lang w:val="es-ES" w:eastAsia="es-CO"/>
        </w:rPr>
        <w:t xml:space="preserve">2.3. Fundamento normativo y ámbito de aplicación de los documentos tipo </w:t>
      </w:r>
      <w:r w:rsidRPr="00426ACF">
        <w:rPr>
          <w:rFonts w:ascii="Arial" w:eastAsia="Times New Roman" w:hAnsi="Arial" w:cs="Arial"/>
          <w:lang w:eastAsia="es-CO"/>
        </w:rPr>
        <w:t> </w:t>
      </w:r>
    </w:p>
    <w:p w14:paraId="34CDD046"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56BBE47F" w14:textId="77777777" w:rsidR="00851C60" w:rsidRPr="00426ACF" w:rsidRDefault="00851C60" w:rsidP="00851C60">
      <w:pPr>
        <w:spacing w:after="120" w:line="276" w:lineRule="auto"/>
        <w:jc w:val="both"/>
        <w:textAlignment w:val="baseline"/>
        <w:rPr>
          <w:rFonts w:ascii="Arial" w:eastAsia="Times New Roman" w:hAnsi="Arial" w:cs="Arial"/>
          <w:lang w:eastAsia="es-CO"/>
        </w:rPr>
      </w:pPr>
      <w:r w:rsidRPr="00426ACF">
        <w:rPr>
          <w:rFonts w:ascii="Arial" w:eastAsia="Times New Roman" w:hAnsi="Arial" w:cs="Arial"/>
          <w:lang w:val="es-ES" w:eastAsia="es-CO"/>
        </w:rPr>
        <w:t>La adopción de los documentos tipo obligatorios en el ordenamiento jurídico colombiano se incluyó por primera vez en el parágrafo 3 del artículo 2 de la Ley 1150 de 2007</w:t>
      </w:r>
      <w:r w:rsidRPr="00426ACF">
        <w:rPr>
          <w:rFonts w:ascii="Arial" w:eastAsia="Times New Roman" w:hAnsi="Arial" w:cs="Arial"/>
          <w:vertAlign w:val="superscript"/>
          <w:lang w:val="es-ES" w:eastAsia="es-CO"/>
        </w:rPr>
        <w:t>2</w:t>
      </w:r>
      <w:r w:rsidRPr="00426ACF">
        <w:rPr>
          <w:rFonts w:ascii="Arial" w:eastAsia="Times New Roman" w:hAnsi="Arial" w:cs="Arial"/>
          <w:lang w:val="es-ES" w:eastAsia="es-CO"/>
        </w:rPr>
        <w:t>, que facultó al gobierno nacional para expedirlos, pero solo cuando se tratara de la adquisición o suministro de bienes y servicios de características técnicas uniformes y de común utilización. Sin embargo, esta facultad no ha sido ejercida hasta la actualidad. </w:t>
      </w:r>
      <w:r w:rsidRPr="00426ACF">
        <w:rPr>
          <w:rFonts w:ascii="Arial" w:eastAsia="Times New Roman" w:hAnsi="Arial" w:cs="Arial"/>
          <w:lang w:eastAsia="es-CO"/>
        </w:rPr>
        <w:t> </w:t>
      </w:r>
    </w:p>
    <w:p w14:paraId="0139B887" w14:textId="77777777" w:rsidR="00851C60" w:rsidRPr="00426ACF" w:rsidRDefault="00851C60" w:rsidP="00851C60">
      <w:pPr>
        <w:spacing w:after="120" w:line="276" w:lineRule="auto"/>
        <w:ind w:firstLine="705"/>
        <w:jc w:val="both"/>
        <w:textAlignment w:val="baseline"/>
        <w:rPr>
          <w:rFonts w:ascii="Arial" w:eastAsia="Times New Roman" w:hAnsi="Arial" w:cs="Arial"/>
          <w:lang w:eastAsia="es-CO"/>
        </w:rPr>
      </w:pPr>
      <w:r w:rsidRPr="00426ACF">
        <w:rPr>
          <w:rFonts w:ascii="Arial" w:eastAsia="Times New Roman" w:hAnsi="Arial" w:cs="Arial"/>
          <w:lang w:val="es-ES" w:eastAsia="es-CO"/>
        </w:rPr>
        <w:t>Debido a lo anterior, el artículo 4 de la Ley 1882 de 2018 se convierte en el antecedente más relevante respecto a los documentos tipo. A partir de esta norma, se definió un mandato de obligatoria observancia por parte de todas las entidades sometidas al EGCAP la aplicación de los documentos tipo adoptados por el gobierno nacional. </w:t>
      </w:r>
      <w:r w:rsidRPr="00426ACF">
        <w:rPr>
          <w:rFonts w:ascii="Arial" w:eastAsia="Times New Roman" w:hAnsi="Arial" w:cs="Arial"/>
          <w:lang w:eastAsia="es-CO"/>
        </w:rPr>
        <w:t> </w:t>
      </w:r>
    </w:p>
    <w:p w14:paraId="1E68C519" w14:textId="77777777" w:rsidR="00851C60" w:rsidRPr="00426ACF" w:rsidRDefault="00851C60" w:rsidP="00851C60">
      <w:pPr>
        <w:spacing w:after="120" w:line="276" w:lineRule="auto"/>
        <w:ind w:firstLine="705"/>
        <w:jc w:val="both"/>
        <w:textAlignment w:val="baseline"/>
        <w:rPr>
          <w:rFonts w:ascii="Arial" w:eastAsia="Times New Roman" w:hAnsi="Arial" w:cs="Arial"/>
          <w:lang w:eastAsia="es-CO"/>
        </w:rPr>
      </w:pPr>
      <w:r w:rsidRPr="00426ACF">
        <w:rPr>
          <w:rFonts w:ascii="Arial" w:eastAsia="Times New Roman" w:hAnsi="Arial" w:cs="Arial"/>
          <w:lang w:val="es-ES" w:eastAsia="es-CO"/>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EGCAP en los procesos de selección que adelantaran</w:t>
      </w:r>
      <w:r w:rsidRPr="00426ACF">
        <w:rPr>
          <w:rFonts w:ascii="Arial" w:eastAsia="Times New Roman" w:hAnsi="Arial" w:cs="Arial"/>
          <w:vertAlign w:val="superscript"/>
          <w:lang w:val="es-ES" w:eastAsia="es-CO"/>
        </w:rPr>
        <w:t>3</w:t>
      </w:r>
      <w:r w:rsidRPr="00426ACF">
        <w:rPr>
          <w:rFonts w:ascii="Arial" w:eastAsia="Times New Roman" w:hAnsi="Arial" w:cs="Arial"/>
          <w:lang w:val="es-ES" w:eastAsia="es-CO"/>
        </w:rPr>
        <w:t>.</w:t>
      </w:r>
      <w:r w:rsidRPr="00426ACF">
        <w:rPr>
          <w:rFonts w:ascii="Arial" w:eastAsia="Times New Roman" w:hAnsi="Arial" w:cs="Arial"/>
          <w:lang w:eastAsia="es-CO"/>
        </w:rPr>
        <w:t> </w:t>
      </w:r>
    </w:p>
    <w:p w14:paraId="345E1073" w14:textId="77777777" w:rsidR="00851C60" w:rsidRPr="00426ACF" w:rsidRDefault="00851C60" w:rsidP="00851C60">
      <w:pPr>
        <w:spacing w:after="120" w:line="276" w:lineRule="auto"/>
        <w:ind w:firstLine="705"/>
        <w:jc w:val="both"/>
        <w:textAlignment w:val="baseline"/>
        <w:rPr>
          <w:rFonts w:ascii="Arial" w:eastAsia="Times New Roman" w:hAnsi="Arial" w:cs="Arial"/>
          <w:lang w:eastAsia="es-CO"/>
        </w:rPr>
      </w:pPr>
      <w:r w:rsidRPr="00426ACF">
        <w:rPr>
          <w:rFonts w:ascii="Arial" w:eastAsia="Times New Roman" w:hAnsi="Arial" w:cs="Arial"/>
          <w:lang w:val="es-ES" w:eastAsia="es-CO"/>
        </w:rPr>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w:t>
      </w:r>
      <w:r w:rsidRPr="00426ACF">
        <w:rPr>
          <w:rFonts w:ascii="Arial" w:eastAsia="Times New Roman" w:hAnsi="Arial" w:cs="Arial"/>
          <w:lang w:val="es-ES" w:eastAsia="es-CO"/>
        </w:rPr>
        <w:lastRenderedPageBreak/>
        <w:t>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w:t>
      </w:r>
      <w:r w:rsidRPr="00426ACF">
        <w:rPr>
          <w:rFonts w:ascii="Arial" w:eastAsia="Times New Roman" w:hAnsi="Arial" w:cs="Arial"/>
          <w:lang w:eastAsia="es-CO"/>
        </w:rPr>
        <w:t> </w:t>
      </w:r>
    </w:p>
    <w:p w14:paraId="17A9CBE2" w14:textId="77777777" w:rsidR="00851C60" w:rsidRPr="00426ACF" w:rsidRDefault="00851C60" w:rsidP="00851C60">
      <w:pPr>
        <w:spacing w:after="120" w:line="276" w:lineRule="auto"/>
        <w:ind w:firstLine="705"/>
        <w:jc w:val="both"/>
        <w:textAlignment w:val="baseline"/>
        <w:rPr>
          <w:rFonts w:ascii="Arial" w:eastAsia="Times New Roman" w:hAnsi="Arial" w:cs="Arial"/>
          <w:lang w:eastAsia="es-CO"/>
        </w:rPr>
      </w:pPr>
      <w:r w:rsidRPr="00426ACF">
        <w:rPr>
          <w:rFonts w:ascii="Arial" w:eastAsia="Times New Roman" w:hAnsi="Arial" w:cs="Arial"/>
          <w:lang w:val="es-ES" w:eastAsia="es-CO"/>
        </w:rPr>
        <w:t>De la norma descrita se concluía lo siguiente: i) la adopción de los documentos tipo estaba en cabeza del gobierno nacional; ii) estos debían relacionarse con procesos de obras públicas, interventoría para las obras públicas, interventoría para consultoría de estudios y diseños y, finalmente, consultoría en ingeniería para obras; iii) eran de obligatorio cumplimiento por parte de todas las entidades sometidas al EGCAP; iv)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y por último, vi) los documentos tipo serían adoptados por categorías de acuerdo con la cuantía de la contratación.</w:t>
      </w:r>
      <w:r w:rsidRPr="00426ACF">
        <w:rPr>
          <w:rFonts w:ascii="Arial" w:eastAsia="Times New Roman" w:hAnsi="Arial" w:cs="Arial"/>
          <w:lang w:eastAsia="es-CO"/>
        </w:rPr>
        <w:t> </w:t>
      </w:r>
    </w:p>
    <w:p w14:paraId="67FF4C7E" w14:textId="77777777" w:rsidR="00851C60" w:rsidRPr="00426ACF" w:rsidRDefault="00851C60" w:rsidP="00851C60">
      <w:pPr>
        <w:spacing w:after="120" w:line="276" w:lineRule="auto"/>
        <w:ind w:firstLine="705"/>
        <w:jc w:val="both"/>
        <w:textAlignment w:val="baseline"/>
        <w:rPr>
          <w:rFonts w:ascii="Arial" w:eastAsia="Times New Roman" w:hAnsi="Arial" w:cs="Arial"/>
          <w:lang w:eastAsia="es-CO"/>
        </w:rPr>
      </w:pPr>
      <w:r w:rsidRPr="00426ACF">
        <w:rPr>
          <w:rFonts w:ascii="Arial" w:eastAsia="Times New Roman" w:hAnsi="Arial" w:cs="Arial"/>
          <w:lang w:val="es-ES" w:eastAsia="es-CO"/>
        </w:rPr>
        <w:t>Esta norma fue estudiada por la Corte Constitucional en la Sentencia C-119 de 2020. Al respecto, el Alto Tribunal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r w:rsidRPr="00426ACF">
        <w:rPr>
          <w:rFonts w:ascii="Arial" w:eastAsia="Times New Roman" w:hAnsi="Arial" w:cs="Arial"/>
          <w:vertAlign w:val="superscript"/>
          <w:lang w:val="es-ES" w:eastAsia="es-CO"/>
        </w:rPr>
        <w:t>4</w:t>
      </w:r>
      <w:r w:rsidRPr="00426ACF">
        <w:rPr>
          <w:rFonts w:ascii="Arial" w:eastAsia="Times New Roman" w:hAnsi="Arial" w:cs="Arial"/>
          <w:lang w:val="es-ES" w:eastAsia="es-CO"/>
        </w:rPr>
        <w:t>.</w:t>
      </w:r>
      <w:r w:rsidRPr="00426ACF">
        <w:rPr>
          <w:rFonts w:ascii="Arial" w:eastAsia="Times New Roman" w:hAnsi="Arial" w:cs="Arial"/>
          <w:lang w:eastAsia="es-CO"/>
        </w:rPr>
        <w:t> </w:t>
      </w:r>
    </w:p>
    <w:p w14:paraId="4826667C" w14:textId="77777777" w:rsidR="00851C60" w:rsidRPr="00426ACF" w:rsidRDefault="00851C60" w:rsidP="00851C60">
      <w:pPr>
        <w:spacing w:after="120" w:line="276" w:lineRule="auto"/>
        <w:ind w:firstLine="705"/>
        <w:jc w:val="both"/>
        <w:textAlignment w:val="baseline"/>
        <w:rPr>
          <w:rFonts w:ascii="Arial" w:eastAsia="Times New Roman" w:hAnsi="Arial" w:cs="Arial"/>
          <w:lang w:eastAsia="es-CO"/>
        </w:rPr>
      </w:pPr>
      <w:r w:rsidRPr="00426ACF">
        <w:rPr>
          <w:rFonts w:ascii="Arial" w:eastAsia="Times New Roman" w:hAnsi="Arial" w:cs="Arial"/>
          <w:lang w:val="es-ES" w:eastAsia="es-CO"/>
        </w:rPr>
        <w:t>De este modo, los documentos tipo no afectan la autonomía de las entidades territoriales. Lo anterior, debido a que la definición de los requisitos habilitantes y de aspectos técnicos de la selección del contratista en los procesos de selección, son cuestiones en los que el legislador tiene amplia libertad de configuración legislativa y, por tanto, puede atribuir dicha regulación al gobierno nacional. Ahora bien, la referida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r w:rsidRPr="00426ACF">
        <w:rPr>
          <w:rFonts w:ascii="Arial" w:eastAsia="Times New Roman" w:hAnsi="Arial" w:cs="Arial"/>
          <w:lang w:eastAsia="es-CO"/>
        </w:rPr>
        <w:t> </w:t>
      </w:r>
    </w:p>
    <w:p w14:paraId="04368A01" w14:textId="77777777" w:rsidR="00851C60" w:rsidRPr="00426ACF" w:rsidRDefault="00851C60" w:rsidP="00851C60">
      <w:pPr>
        <w:spacing w:after="120" w:line="276" w:lineRule="auto"/>
        <w:ind w:firstLine="705"/>
        <w:jc w:val="both"/>
        <w:textAlignment w:val="baseline"/>
        <w:rPr>
          <w:rFonts w:ascii="Arial" w:eastAsia="Times New Roman" w:hAnsi="Arial" w:cs="Arial"/>
          <w:lang w:eastAsia="es-CO"/>
        </w:rPr>
      </w:pPr>
      <w:r w:rsidRPr="00426ACF">
        <w:rPr>
          <w:rFonts w:ascii="Arial" w:eastAsia="Times New Roman" w:hAnsi="Arial" w:cs="Arial"/>
          <w:lang w:val="es-ES" w:eastAsia="es-CO"/>
        </w:rPr>
        <w:t>Posteriormente, se expidió la Ley 2022 de 2020, norma que modificó el contenido del parágrafo 7 del artículo 2 de la Ley 1150 de 2007, que había sido adicionado por la Ley 1882 de 2018</w:t>
      </w:r>
      <w:r w:rsidRPr="00426ACF">
        <w:rPr>
          <w:rFonts w:ascii="Arial" w:eastAsia="Times New Roman" w:hAnsi="Arial" w:cs="Arial"/>
          <w:vertAlign w:val="superscript"/>
          <w:lang w:val="es-ES" w:eastAsia="es-CO"/>
        </w:rPr>
        <w:t>5</w:t>
      </w:r>
      <w:r w:rsidRPr="00426ACF">
        <w:rPr>
          <w:rFonts w:ascii="Arial" w:eastAsia="Times New Roman" w:hAnsi="Arial" w:cs="Arial"/>
          <w:lang w:val="es-ES" w:eastAsia="es-CO"/>
        </w:rPr>
        <w:t xml:space="preserve">. Con esta modificación, si bien se mantuvo el mandato de aplicación obligatoria de los documentos tipo por parte de las entidades sometidas al EGCAP, se atribuyó a la Agencia Nacional de Contratación Pública – Colombia Compra Eficiente la competencia para su expedición. En este marco, con la finalidad de realizar un desarrollo armónico y ajustado de la ley que le otorga la mencionada competencia, esta Agencia expidió la Resolución 160 del 15 de </w:t>
      </w:r>
      <w:r w:rsidRPr="00426ACF">
        <w:rPr>
          <w:rFonts w:ascii="Arial" w:eastAsia="Times New Roman" w:hAnsi="Arial" w:cs="Arial"/>
          <w:lang w:val="es-ES" w:eastAsia="es-CO"/>
        </w:rPr>
        <w:lastRenderedPageBreak/>
        <w:t>septiembre de 2020 «Por la cual se adopta el procedimiento para implementar los documentos tipo y se define el sistema para su revisión». </w:t>
      </w:r>
      <w:r w:rsidRPr="00426ACF">
        <w:rPr>
          <w:rFonts w:ascii="Arial" w:eastAsia="Times New Roman" w:hAnsi="Arial" w:cs="Arial"/>
          <w:lang w:eastAsia="es-CO"/>
        </w:rPr>
        <w:t> </w:t>
      </w:r>
    </w:p>
    <w:p w14:paraId="3B58EB81" w14:textId="77777777" w:rsidR="00851C60" w:rsidRPr="00426ACF" w:rsidRDefault="00851C60" w:rsidP="00851C60">
      <w:pPr>
        <w:shd w:val="clear" w:color="auto" w:fill="FFFFFF"/>
        <w:spacing w:after="0" w:line="276" w:lineRule="auto"/>
        <w:ind w:firstLine="705"/>
        <w:jc w:val="both"/>
        <w:textAlignment w:val="baseline"/>
        <w:rPr>
          <w:rFonts w:ascii="Arial" w:eastAsia="Times New Roman" w:hAnsi="Arial" w:cs="Arial"/>
          <w:lang w:eastAsia="es-CO"/>
        </w:rPr>
      </w:pPr>
      <w:r w:rsidRPr="00426ACF">
        <w:rPr>
          <w:rFonts w:ascii="Arial" w:eastAsia="Times New Roman" w:hAnsi="Arial" w:cs="Arial"/>
          <w:lang w:eastAsia="es-CO"/>
        </w:rPr>
        <w:t xml:space="preserve">De acuerdo con lo expuesto, los documentos tipo adoptados son obligatorios para las entidades estatales regidas por el </w:t>
      </w:r>
      <w:r w:rsidRPr="00426ACF">
        <w:rPr>
          <w:rFonts w:ascii="Arial" w:eastAsia="Times New Roman" w:hAnsi="Arial" w:cs="Arial"/>
          <w:lang w:val="es-ES" w:eastAsia="es-CO"/>
        </w:rPr>
        <w:t>EGCAP</w:t>
      </w:r>
      <w:r w:rsidRPr="00426ACF">
        <w:rPr>
          <w:rFonts w:ascii="Arial" w:eastAsia="Times New Roman" w:hAnsi="Arial" w:cs="Arial"/>
          <w:lang w:eastAsia="es-CO"/>
        </w:rPr>
        <w:t xml:space="preserve"> que adelanten procesos de contratación mediante las modalidades de selección y objetos contractuales cobijados por alguno de los documentos tipo vigentes en los diferentes sectores. La obligatoriedad del contenido de los documentos tipo implica que las entidades estatales tengan que adelantar los procesos de contratación ciñéndose a las condiciones establecidas en los documentos tipo, sin que puedan variarse los requisitos fijados en ellos.  </w:t>
      </w:r>
    </w:p>
    <w:p w14:paraId="5D4F94F8"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5112D784"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b/>
          <w:bCs/>
          <w:lang w:val="es-ES" w:eastAsia="es-CO"/>
        </w:rPr>
        <w:t xml:space="preserve">2.4. </w:t>
      </w:r>
      <w:r w:rsidRPr="00426ACF">
        <w:rPr>
          <w:rFonts w:ascii="Arial" w:eastAsia="Calibri" w:hAnsi="Arial" w:cs="Arial"/>
          <w:b/>
          <w:lang w:val="es-ES_tradnl" w:eastAsia="es-ES_tradnl"/>
        </w:rPr>
        <w:t xml:space="preserve">Análisis del artículo 56 de la Ley 2195 de 2022. </w:t>
      </w:r>
      <w:r w:rsidRPr="00426ACF">
        <w:rPr>
          <w:rFonts w:ascii="Arial" w:eastAsia="Times New Roman" w:hAnsi="Arial" w:cs="Arial"/>
          <w:b/>
          <w:bCs/>
          <w:lang w:val="es-ES" w:eastAsia="es-CO"/>
        </w:rPr>
        <w:t>Aplicación obligatoria del Estatuto General de Contratación de la Administración Pública y de los documentos tipo en la contratación de las entidades estatales exceptuadas y de los particulares </w:t>
      </w:r>
      <w:r w:rsidRPr="00426ACF">
        <w:rPr>
          <w:rFonts w:ascii="Arial" w:eastAsia="Times New Roman" w:hAnsi="Arial" w:cs="Arial"/>
          <w:lang w:eastAsia="es-CO"/>
        </w:rPr>
        <w:t> </w:t>
      </w:r>
    </w:p>
    <w:p w14:paraId="5AE2D298"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4AB603C9" w14:textId="77777777" w:rsidR="00851C60" w:rsidRPr="00426ACF" w:rsidRDefault="00851C60" w:rsidP="00851C60">
      <w:pPr>
        <w:spacing w:after="120" w:line="276" w:lineRule="auto"/>
        <w:jc w:val="both"/>
        <w:textAlignment w:val="baseline"/>
        <w:rPr>
          <w:rFonts w:ascii="Arial" w:eastAsia="Times New Roman" w:hAnsi="Arial" w:cs="Arial"/>
          <w:lang w:eastAsia="es-CO"/>
        </w:rPr>
      </w:pPr>
      <w:r w:rsidRPr="00426ACF">
        <w:rPr>
          <w:rFonts w:ascii="Arial" w:eastAsia="Times New Roman" w:hAnsi="Arial" w:cs="Arial"/>
          <w:lang w:val="es-ES" w:eastAsia="es-CO"/>
        </w:rPr>
        <w:t>Conforme se explicó en el acápite anterior, en virtud de la Ley 2022 de 2020,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excluían del ámbito de aplicación de los documentos tipo la contratación de entidades estatales de régimen exceptuado, por lo general, sujetas al derecho privado. </w:t>
      </w:r>
      <w:r w:rsidRPr="00426ACF">
        <w:rPr>
          <w:rFonts w:ascii="Arial" w:eastAsia="Times New Roman" w:hAnsi="Arial" w:cs="Arial"/>
          <w:lang w:eastAsia="es-CO"/>
        </w:rPr>
        <w:t> </w:t>
      </w:r>
    </w:p>
    <w:p w14:paraId="43BC0572" w14:textId="77777777" w:rsidR="00851C60" w:rsidRPr="00426ACF" w:rsidRDefault="00851C60" w:rsidP="00851C60">
      <w:pPr>
        <w:spacing w:after="120" w:line="276" w:lineRule="auto"/>
        <w:ind w:firstLine="705"/>
        <w:jc w:val="both"/>
        <w:textAlignment w:val="baseline"/>
        <w:rPr>
          <w:rFonts w:ascii="Arial" w:eastAsia="Times New Roman" w:hAnsi="Arial" w:cs="Arial"/>
          <w:lang w:val="es-ES" w:eastAsia="es-CO"/>
        </w:rPr>
      </w:pPr>
      <w:r w:rsidRPr="00426ACF">
        <w:rPr>
          <w:rFonts w:ascii="Arial" w:eastAsia="Times New Roman" w:hAnsi="Arial" w:cs="Arial"/>
          <w:lang w:val="es-ES" w:eastAsia="es-CO"/>
        </w:rPr>
        <w:t xml:space="preserve">En este contexto, se expidió la Ley 2195 de 2022, «Por medio de la cual se adoptan medidas en materia de transparencia, prevención y lucha contra la corrupción y se dictan otras disposiciones». Según su artículo 1°, este cuerpo normativo «[…] tiene por objeto adoptar disposiciones tendientes a prevenir los actos de corrupción, a reforzar la articulación y coordinación de las entidades del Estado y a recuperar los daños ocasionados por dichos actos, con el fin de asegurar y promover la cultura de la legalidad e integridad y recuperar la confianza ciudadana y el respeto por lo público». Dentro del capítulo VIII de la Ley en mención, que lleva por título «Disposiciones en materia contractual para la moralización y la transparencia», </w:t>
      </w:r>
      <w:r w:rsidRPr="00426ACF">
        <w:rPr>
          <w:rFonts w:ascii="Arial" w:eastAsia="Calibri" w:hAnsi="Arial" w:cs="Arial"/>
          <w:lang w:val="es-ES_tradnl" w:eastAsia="es-ES_tradnl"/>
        </w:rPr>
        <w:t xml:space="preserve">se </w:t>
      </w:r>
      <w:r w:rsidRPr="00426ACF">
        <w:rPr>
          <w:rFonts w:ascii="Arial" w:eastAsia="Calibri" w:hAnsi="Arial" w:cs="Arial"/>
          <w:bCs/>
          <w:lang w:val="es-ES_tradnl" w:eastAsia="es-ES_tradnl"/>
        </w:rPr>
        <w:t>destaca el artículo 56, norma sobre la que versa la presente consulta.</w:t>
      </w:r>
    </w:p>
    <w:p w14:paraId="1F29AE93" w14:textId="77777777" w:rsidR="00851C60" w:rsidRPr="00426ACF" w:rsidRDefault="00851C60" w:rsidP="00851C60">
      <w:pPr>
        <w:spacing w:after="0" w:line="276" w:lineRule="auto"/>
        <w:ind w:firstLine="703"/>
        <w:jc w:val="both"/>
        <w:textAlignment w:val="baseline"/>
        <w:rPr>
          <w:rFonts w:ascii="Arial" w:eastAsia="Times New Roman" w:hAnsi="Arial" w:cs="Arial"/>
          <w:lang w:eastAsia="es-CO"/>
        </w:rPr>
      </w:pPr>
      <w:r w:rsidRPr="00426ACF">
        <w:rPr>
          <w:rFonts w:ascii="Arial" w:eastAsia="Times New Roman" w:hAnsi="Arial" w:cs="Arial"/>
          <w:lang w:val="es-ES" w:eastAsia="es-CO"/>
        </w:rPr>
        <w:t>La mencionada disposición se refiere de manera expresa a los documentos tipo, estableciendo el deber de aplicarlos en determinadas condiciones, al paso que se refiere a diferentes tipos de entidades estatales y sujetos de derecho privado que se vinculan al ámbito de aplicación de la norma. El tenor literal de este precepto prescribe lo siguiente: </w:t>
      </w:r>
      <w:r w:rsidRPr="00426ACF">
        <w:rPr>
          <w:rFonts w:ascii="Arial" w:eastAsia="Times New Roman" w:hAnsi="Arial" w:cs="Arial"/>
          <w:lang w:eastAsia="es-CO"/>
        </w:rPr>
        <w:t> </w:t>
      </w:r>
    </w:p>
    <w:p w14:paraId="1D1AEDCF" w14:textId="77777777" w:rsidR="00851C60" w:rsidRPr="00426ACF" w:rsidRDefault="00851C60" w:rsidP="00851C60">
      <w:pPr>
        <w:spacing w:after="0" w:line="276" w:lineRule="auto"/>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2D21DEB7" w14:textId="77777777" w:rsidR="00851C60" w:rsidRPr="00426ACF" w:rsidRDefault="00851C60" w:rsidP="00851C60">
      <w:pPr>
        <w:spacing w:after="0" w:line="240" w:lineRule="auto"/>
        <w:ind w:left="709" w:right="709"/>
        <w:contextualSpacing/>
        <w:jc w:val="both"/>
        <w:textAlignment w:val="baseline"/>
        <w:rPr>
          <w:rFonts w:ascii="Arial" w:eastAsia="Times New Roman" w:hAnsi="Arial" w:cs="Arial"/>
          <w:sz w:val="21"/>
          <w:szCs w:val="21"/>
          <w:lang w:eastAsia="es-CO"/>
        </w:rPr>
      </w:pPr>
      <w:r w:rsidRPr="00426ACF">
        <w:rPr>
          <w:rFonts w:ascii="Arial" w:eastAsia="Times New Roman" w:hAnsi="Arial" w:cs="Arial"/>
          <w:sz w:val="21"/>
          <w:szCs w:val="21"/>
          <w:lang w:val="es-ES" w:eastAsia="es-CO"/>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w:t>
      </w:r>
      <w:r w:rsidRPr="00426ACF">
        <w:rPr>
          <w:rFonts w:ascii="Arial" w:eastAsia="Times New Roman" w:hAnsi="Arial" w:cs="Arial"/>
          <w:sz w:val="21"/>
          <w:szCs w:val="21"/>
          <w:lang w:val="es-ES" w:eastAsia="es-CO"/>
        </w:rPr>
        <w:lastRenderedPageBreak/>
        <w:t>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r w:rsidRPr="00426ACF">
        <w:rPr>
          <w:rFonts w:ascii="Arial" w:eastAsia="Times New Roman" w:hAnsi="Arial" w:cs="Arial"/>
          <w:sz w:val="21"/>
          <w:szCs w:val="21"/>
          <w:lang w:eastAsia="es-CO"/>
        </w:rPr>
        <w:t> </w:t>
      </w:r>
    </w:p>
    <w:p w14:paraId="0769D505" w14:textId="77777777" w:rsidR="00851C60" w:rsidRPr="00426ACF" w:rsidRDefault="00851C60" w:rsidP="00851C60">
      <w:pPr>
        <w:spacing w:after="0" w:line="240" w:lineRule="auto"/>
        <w:ind w:left="709" w:right="709"/>
        <w:contextualSpacing/>
        <w:jc w:val="both"/>
        <w:textAlignment w:val="baseline"/>
        <w:rPr>
          <w:rFonts w:ascii="Arial" w:eastAsia="Times New Roman" w:hAnsi="Arial" w:cs="Arial"/>
          <w:sz w:val="21"/>
          <w:szCs w:val="21"/>
          <w:lang w:eastAsia="es-CO"/>
        </w:rPr>
      </w:pPr>
      <w:r w:rsidRPr="00426ACF">
        <w:rPr>
          <w:rFonts w:ascii="Arial" w:eastAsia="Times New Roman" w:hAnsi="Arial" w:cs="Arial"/>
          <w:sz w:val="21"/>
          <w:szCs w:val="21"/>
          <w:lang w:eastAsia="es-CO"/>
        </w:rPr>
        <w:t> </w:t>
      </w:r>
    </w:p>
    <w:p w14:paraId="021DDFAF" w14:textId="77777777" w:rsidR="00851C60" w:rsidRPr="00426ACF" w:rsidRDefault="00851C60" w:rsidP="00851C60">
      <w:pPr>
        <w:spacing w:after="0" w:line="240" w:lineRule="auto"/>
        <w:ind w:left="709" w:right="709"/>
        <w:contextualSpacing/>
        <w:jc w:val="both"/>
        <w:textAlignment w:val="baseline"/>
        <w:rPr>
          <w:rFonts w:ascii="Arial" w:eastAsia="Times New Roman" w:hAnsi="Arial" w:cs="Arial"/>
          <w:sz w:val="21"/>
          <w:szCs w:val="21"/>
          <w:lang w:eastAsia="es-CO"/>
        </w:rPr>
      </w:pPr>
      <w:r w:rsidRPr="00426ACF">
        <w:rPr>
          <w:rFonts w:ascii="Arial" w:eastAsia="Times New Roman" w:hAnsi="Arial" w:cs="Arial"/>
          <w:sz w:val="21"/>
          <w:szCs w:val="21"/>
          <w:lang w:val="es-ES" w:eastAsia="es-CO"/>
        </w:rPr>
        <w:t>Los procedimientos de selección y los contratos que realicen en desarrollo de los anteriores negocios jurídicos, donde apliquen los documentos tipo se regirán por el Estatuto General de Contratación de la Administración Pública. </w:t>
      </w:r>
      <w:r w:rsidRPr="00426ACF">
        <w:rPr>
          <w:rFonts w:ascii="Arial" w:eastAsia="Times New Roman" w:hAnsi="Arial" w:cs="Arial"/>
          <w:sz w:val="21"/>
          <w:szCs w:val="21"/>
          <w:lang w:eastAsia="es-CO"/>
        </w:rPr>
        <w:t> </w:t>
      </w:r>
    </w:p>
    <w:p w14:paraId="4F1AFF43" w14:textId="77777777" w:rsidR="00851C60" w:rsidRPr="00426ACF" w:rsidRDefault="00851C60" w:rsidP="00851C60">
      <w:pPr>
        <w:spacing w:after="0" w:line="240" w:lineRule="auto"/>
        <w:ind w:left="709" w:right="709"/>
        <w:contextualSpacing/>
        <w:jc w:val="both"/>
        <w:textAlignment w:val="baseline"/>
        <w:rPr>
          <w:rFonts w:ascii="Arial" w:eastAsia="Times New Roman" w:hAnsi="Arial" w:cs="Arial"/>
          <w:sz w:val="21"/>
          <w:szCs w:val="21"/>
          <w:lang w:eastAsia="es-CO"/>
        </w:rPr>
      </w:pPr>
      <w:r w:rsidRPr="00426ACF">
        <w:rPr>
          <w:rFonts w:ascii="Arial" w:eastAsia="Times New Roman" w:hAnsi="Arial" w:cs="Arial"/>
          <w:sz w:val="21"/>
          <w:szCs w:val="21"/>
          <w:lang w:eastAsia="es-CO"/>
        </w:rPr>
        <w:t> </w:t>
      </w:r>
    </w:p>
    <w:p w14:paraId="59BF7A24" w14:textId="77777777" w:rsidR="00851C60" w:rsidRPr="00426ACF" w:rsidRDefault="00851C60" w:rsidP="00851C60">
      <w:pPr>
        <w:spacing w:after="0" w:line="240" w:lineRule="auto"/>
        <w:ind w:left="709" w:right="709"/>
        <w:contextualSpacing/>
        <w:jc w:val="both"/>
        <w:textAlignment w:val="baseline"/>
        <w:rPr>
          <w:rFonts w:ascii="Arial" w:eastAsia="Times New Roman" w:hAnsi="Arial" w:cs="Arial"/>
          <w:sz w:val="21"/>
          <w:szCs w:val="21"/>
          <w:lang w:eastAsia="es-CO"/>
        </w:rPr>
      </w:pPr>
      <w:r w:rsidRPr="00426ACF">
        <w:rPr>
          <w:rFonts w:ascii="Arial" w:eastAsia="Times New Roman" w:hAnsi="Arial" w:cs="Arial"/>
          <w:sz w:val="21"/>
          <w:szCs w:val="21"/>
          <w:lang w:val="es-ES" w:eastAsia="es-CO"/>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r w:rsidRPr="00426ACF">
        <w:rPr>
          <w:rFonts w:ascii="Arial" w:eastAsia="Times New Roman" w:hAnsi="Arial" w:cs="Arial"/>
          <w:sz w:val="21"/>
          <w:szCs w:val="21"/>
          <w:lang w:eastAsia="es-CO"/>
        </w:rPr>
        <w:t> </w:t>
      </w:r>
    </w:p>
    <w:p w14:paraId="21BDAEE4" w14:textId="77777777" w:rsidR="00851C60" w:rsidRPr="00426ACF" w:rsidRDefault="00851C60" w:rsidP="00851C60">
      <w:pPr>
        <w:spacing w:after="0" w:line="276" w:lineRule="auto"/>
        <w:contextualSpacing/>
        <w:jc w:val="both"/>
        <w:textAlignment w:val="baseline"/>
        <w:rPr>
          <w:rFonts w:ascii="Arial" w:eastAsia="Times New Roman" w:hAnsi="Arial" w:cs="Arial"/>
          <w:lang w:eastAsia="es-CO"/>
        </w:rPr>
      </w:pPr>
      <w:r w:rsidRPr="00426ACF">
        <w:rPr>
          <w:rFonts w:ascii="Arial" w:eastAsia="Times New Roman" w:hAnsi="Arial" w:cs="Arial"/>
          <w:lang w:eastAsia="es-CO"/>
        </w:rPr>
        <w:t> </w:t>
      </w:r>
    </w:p>
    <w:p w14:paraId="04EB2551" w14:textId="77777777" w:rsidR="00851C60" w:rsidRPr="00426ACF" w:rsidRDefault="00851C60" w:rsidP="00851C60">
      <w:pPr>
        <w:spacing w:after="120" w:line="276" w:lineRule="auto"/>
        <w:ind w:firstLine="705"/>
        <w:jc w:val="both"/>
        <w:textAlignment w:val="baseline"/>
        <w:rPr>
          <w:rFonts w:ascii="Arial" w:eastAsia="Times New Roman" w:hAnsi="Arial" w:cs="Arial"/>
          <w:lang w:eastAsia="es-CO"/>
        </w:rPr>
      </w:pPr>
      <w:r w:rsidRPr="00426ACF">
        <w:rPr>
          <w:rFonts w:ascii="Arial" w:eastAsia="Times New Roman" w:hAnsi="Arial" w:cs="Arial"/>
          <w:lang w:val="es-ES" w:eastAsia="es-CO"/>
        </w:rPr>
        <w:t>Las implicaciones de lo establecido en esta norma son variadas y se presentan en múltiples ámbitos de la actividad contractual de las entidades estatales y sujetos de derecho privado mencionados en la norma, que, como consecuencia de la entrada en vigor de la disposición en cita, se ven afectados de diferentes maneras. Es por esto que se hace necesario realizar una interpretación adecuada de esta disposición, orientada a precisar sus efectos respecto de diferentes sujetos mencionados en su texto, lo cual exige detenerse a analizar ciertos aspectos que, a juicio de esta Agencia, resultan indispensables para determinar el verdadero alcance de la norma bajo estudio, a lo cual se procede a continuación.  </w:t>
      </w:r>
      <w:r w:rsidRPr="00426ACF">
        <w:rPr>
          <w:rFonts w:ascii="Arial" w:eastAsia="Times New Roman" w:hAnsi="Arial" w:cs="Arial"/>
          <w:lang w:eastAsia="es-CO"/>
        </w:rPr>
        <w:t> </w:t>
      </w:r>
    </w:p>
    <w:p w14:paraId="4C0348A7" w14:textId="77777777" w:rsidR="00851C60" w:rsidRPr="00426ACF" w:rsidRDefault="00851C60" w:rsidP="00851C60">
      <w:pPr>
        <w:spacing w:after="120" w:line="276" w:lineRule="auto"/>
        <w:jc w:val="both"/>
        <w:textAlignment w:val="baseline"/>
        <w:rPr>
          <w:rFonts w:ascii="Arial" w:hAnsi="Arial" w:cs="Arial"/>
        </w:rPr>
      </w:pPr>
      <w:r w:rsidRPr="00426ACF">
        <w:rPr>
          <w:rFonts w:ascii="Arial" w:eastAsia="Times New Roman" w:hAnsi="Arial" w:cs="Arial"/>
          <w:lang w:eastAsia="es-CO"/>
        </w:rPr>
        <w:t> </w:t>
      </w:r>
      <w:r w:rsidRPr="00426ACF">
        <w:rPr>
          <w:rFonts w:ascii="Arial" w:eastAsia="Times New Roman" w:hAnsi="Arial" w:cs="Arial"/>
          <w:lang w:eastAsia="es-CO"/>
        </w:rPr>
        <w:tab/>
      </w:r>
      <w:r w:rsidRPr="00426ACF">
        <w:rPr>
          <w:rFonts w:ascii="Arial" w:hAnsi="Arial" w:cs="Arial"/>
        </w:rPr>
        <w:t>Como se desprende de la frase inicial de la norma citada, esta se refiere a la adquisición de bienes, obras o servicios por parte de entidades estatales sometidas al EGCAP, que celebren contratos, convenios interadministrativos o de cualquier otra índole con entidades estatales exceptuadas, patrimonios autónomos, personas naturales o jurídicas de derecho privado. En ese sentido, este primer inciso formula un mandato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w:t>
      </w:r>
    </w:p>
    <w:p w14:paraId="3506F94C" w14:textId="77777777" w:rsidR="00851C60" w:rsidRPr="00426ACF" w:rsidRDefault="00851C60" w:rsidP="00851C60">
      <w:pPr>
        <w:spacing w:after="120" w:line="276" w:lineRule="auto"/>
        <w:ind w:firstLine="705"/>
        <w:jc w:val="both"/>
        <w:textAlignment w:val="baseline"/>
        <w:rPr>
          <w:rFonts w:ascii="Arial" w:hAnsi="Arial" w:cs="Arial"/>
        </w:rPr>
      </w:pPr>
      <w:r w:rsidRPr="00426ACF">
        <w:rPr>
          <w:rFonts w:ascii="Arial" w:hAnsi="Arial" w:cs="Arial"/>
        </w:rPr>
        <w:t xml:space="preserve">Conforme se desprende del texto, el primer inciso de la norma reafirma el deber de las entidades sometidas al EGCAP de aplicar los documentos tipo. En tales términos, el artículo 56 de la Ley 2195 de 2022, en principio, se presenta como una norma que complementa al parágrafo 7 del artículo 2 de la Ley 1150 de 2007, modificado por la Ley 2022 de 2020, que establece el mandato de aplicación obligatoria de los documentos tipo para las entidades sometidas al EGCAP, puesto que si bien el texto de la Ley 2022 de 2020 establece con claridad la regla de aplicación obligatoria de los documentos tipo en los procesos de contratación adelantados por las Entidades Estatales regidas por el EGCAP, lo cierto es que su ámbito de aplicación no se </w:t>
      </w:r>
      <w:r w:rsidRPr="00426ACF">
        <w:rPr>
          <w:rFonts w:ascii="Arial" w:hAnsi="Arial" w:cs="Arial"/>
        </w:rPr>
        <w:lastRenderedPageBreak/>
        <w:t>extendía a los procesos de selección adelantados por entidades sometidas al EGCAP con entidades exceptuadas o con regímenes especiales.</w:t>
      </w:r>
    </w:p>
    <w:p w14:paraId="6796AF26" w14:textId="77777777" w:rsidR="00851C60" w:rsidRPr="00426ACF" w:rsidRDefault="00851C60" w:rsidP="00851C60">
      <w:pPr>
        <w:spacing w:after="120" w:line="276" w:lineRule="auto"/>
        <w:ind w:firstLine="705"/>
        <w:jc w:val="both"/>
        <w:textAlignment w:val="baseline"/>
        <w:rPr>
          <w:rFonts w:ascii="Arial" w:hAnsi="Arial" w:cs="Arial"/>
        </w:rPr>
      </w:pPr>
      <w:r w:rsidRPr="00426ACF">
        <w:rPr>
          <w:rFonts w:ascii="Arial" w:hAnsi="Arial" w:cs="Arial"/>
        </w:rPr>
        <w:t xml:space="preserve">En efecto, antes de la expedición del artículo 56 ibídem, la Ley 2022 de 2020 ya había establecido el mandato de aplicación obligatoria de los documentos tipo, atribuyendo a esta Agencia la competencia para expedirlos. Dicha Ley restringe su aplicación a los procesos de contratación a través de los que una Entidad Estatal regida por el EGCAP debe adquirir una obra o servicio, por supuesto siempre que el objeto a contratar, al igual que la modalidad que se requiere emplear, estén cobijados por algún documento tipo vigente. Por el contrario, la aplicación de documentos tipo por parte de entidades con regímenes especiales o de derecho privado era un asunto que escapaba del ámbito de aplicación de lo establecido por la Ley 2022 de 2020, incluso tratándose de obras o servicios para cuya contratación hubiere documentos tipo vigentes, comoquiera que la aplicación de estos solo era procedente cuando el régimen de la entidad contratante fuera el EGCAP. Esto en la medida en que, el parágrafo 7 del artículo 2 de la Ley 1150 de 2007 solo se refiere a la obligación de aplicar los documentos tipo en los procesos de contratación que adelanten las entidades sometidas al EGCAP. </w:t>
      </w:r>
    </w:p>
    <w:p w14:paraId="1ACA3D24" w14:textId="77777777" w:rsidR="00851C60" w:rsidRPr="00426ACF" w:rsidRDefault="00851C60" w:rsidP="00851C60">
      <w:pPr>
        <w:spacing w:after="120" w:line="276" w:lineRule="auto"/>
        <w:ind w:firstLine="705"/>
        <w:jc w:val="both"/>
        <w:textAlignment w:val="baseline"/>
        <w:rPr>
          <w:rFonts w:ascii="Arial" w:hAnsi="Arial" w:cs="Arial"/>
        </w:rPr>
      </w:pPr>
      <w:r w:rsidRPr="00426ACF">
        <w:rPr>
          <w:rFonts w:ascii="Arial" w:hAnsi="Arial" w:cs="Arial"/>
        </w:rPr>
        <w:t xml:space="preserve">Por tanto, por el hecho de que la norma estaba dirigida únicamente a las entidades sometidas al EGCAP, solo permitía que los documentos tipo tuvieran que aplicarse de manera obligatoria cuando este era el régimen general de la contratación de la entidad que adelantaba el proceso de contratación. En estos términos, si bien la Ley 2022 de 2020 no limitó la aplicación de los documentos tipo expedidos por esta Agencia a una modalidad en específico, sí estableció que su implementación debía hacerse en el marco del EGCAP. </w:t>
      </w:r>
    </w:p>
    <w:p w14:paraId="5B985CFA" w14:textId="77777777" w:rsidR="00851C60" w:rsidRPr="00426ACF" w:rsidRDefault="00851C60" w:rsidP="00851C60">
      <w:pPr>
        <w:spacing w:after="120" w:line="276" w:lineRule="auto"/>
        <w:ind w:firstLine="705"/>
        <w:jc w:val="both"/>
        <w:textAlignment w:val="baseline"/>
        <w:rPr>
          <w:rFonts w:ascii="Arial" w:hAnsi="Arial" w:cs="Arial"/>
        </w:rPr>
      </w:pPr>
      <w:r w:rsidRPr="00426ACF">
        <w:rPr>
          <w:rFonts w:ascii="Arial" w:hAnsi="Arial" w:cs="Arial"/>
        </w:rPr>
        <w:t>En este escenario, el primer inciso del artículo 56 de la Ley 2195 de 2022 surge como una disposición complementaria de la Ley 2022 de 2020, en la medida en que la norma busca extender la aplicación obligatoria de los documentos tipo a la celebración de contratos o convenios interadministrativos entre entidades regidas por EGCAP y otros sujetos cuyo régimen de contratación prevalente es el derecho privado, negocios jurídicos que, antes de la expedición de la norma en comento, estaban relevados de aplicar los documentos tipo, debido a la existencia de disposiciones como la contenida en el inciso 2 del literal c) del artículo 2-4 de la Ley 1150 de 2007</w:t>
      </w:r>
      <w:r w:rsidRPr="00426ACF">
        <w:rPr>
          <w:rStyle w:val="Refdenotaalpie"/>
          <w:rFonts w:ascii="Arial" w:hAnsi="Arial" w:cs="Arial"/>
        </w:rPr>
        <w:footnoteReference w:id="14"/>
      </w:r>
      <w:r w:rsidRPr="00426ACF">
        <w:rPr>
          <w:rFonts w:ascii="Arial" w:hAnsi="Arial" w:cs="Arial"/>
        </w:rPr>
        <w:t xml:space="preserve"> , la cual será analizada más adelante. Así las cosas, cuando una Entidad Estatal regida por el EGCAP celebre contratos o convenios con otra: i) entidad estatal de régimen especial o con ii) patrimonios autónomos o iii) con personas naturales o jurídicas de derecho privado, debe </w:t>
      </w:r>
      <w:r w:rsidRPr="00426ACF">
        <w:rPr>
          <w:rFonts w:ascii="Arial" w:hAnsi="Arial" w:cs="Arial"/>
        </w:rPr>
        <w:lastRenderedPageBreak/>
        <w:t>hacerlo aplicando los documentos tipo. Esto implica que si las Entidades Estatales exceptuadas, los patrimonios autónomos y las personas naturales o jurídicas de derecho privado pretenden ser adjudicatarias de estos contratos, deben someterse a un proceso de selección en el que se apliquen documentos tipo.</w:t>
      </w:r>
    </w:p>
    <w:p w14:paraId="7F33C6EC" w14:textId="77777777" w:rsidR="00851C60" w:rsidRPr="00426ACF" w:rsidRDefault="00851C60" w:rsidP="00851C60">
      <w:pPr>
        <w:spacing w:after="120" w:line="276" w:lineRule="auto"/>
        <w:ind w:firstLine="705"/>
        <w:jc w:val="both"/>
        <w:textAlignment w:val="baseline"/>
        <w:rPr>
          <w:rFonts w:ascii="Arial" w:hAnsi="Arial" w:cs="Arial"/>
        </w:rPr>
      </w:pPr>
      <w:r w:rsidRPr="00426ACF">
        <w:rPr>
          <w:rFonts w:ascii="Arial" w:hAnsi="Arial" w:cs="Arial"/>
        </w:rPr>
        <w:t xml:space="preserve">Adicionalmente, el segundo inciso de la norma dispone la aplicación del EGCAP en los procesos en los que las Entidades Estatales con régimen de contratación especial, patrimonios autónomos, personas naturales o jurídicas de derecho privado apliquen documentos tipo, en cumplimiento de lo dispuesto en el primer inciso del artículo 56. Esto significa que, la aplicación de los documentos tipo que corresponde a estos sujetos en virtud de esta norma debe hacerse conforme al régimen contenido en las leyes 80 de 1993, 1150 de 2007 y demás normas que integran el EGCAP. además de la aplicación de los documentos tipo, se dispone la aplicación del EGCAP. </w:t>
      </w:r>
    </w:p>
    <w:p w14:paraId="00633F5A" w14:textId="77777777" w:rsidR="00851C60" w:rsidRPr="00426ACF" w:rsidRDefault="00851C60" w:rsidP="00851C60">
      <w:pPr>
        <w:spacing w:after="120" w:line="276" w:lineRule="auto"/>
        <w:ind w:firstLine="708"/>
        <w:jc w:val="both"/>
        <w:textAlignment w:val="baseline"/>
        <w:rPr>
          <w:rFonts w:ascii="Arial" w:hAnsi="Arial" w:cs="Arial"/>
        </w:rPr>
      </w:pPr>
      <w:r w:rsidRPr="00426ACF">
        <w:rPr>
          <w:rFonts w:ascii="Arial" w:hAnsi="Arial" w:cs="Arial"/>
        </w:rPr>
        <w:t xml:space="preserve">En este punto resulta importante precisar que, cuando el segundo inciso de la norma bajo estudio usa la expresión «los procedimientos de selección y contratos que realicen en desarrollo de los anteriores negocios jurídicos» alude a los negocios jurídicos descritos en el primer inciso, es decir, aquellos a través de los cuales una entidad estatal sometida al EGCAP contrata a un sujeto de derecho privado –entidad exceptuada, patrimonio autónomo o persona natural o jurídica de derecho privado – para que le suministre un bien, obra o servicio cobijada por un documentos tipo. </w:t>
      </w:r>
    </w:p>
    <w:p w14:paraId="7A821DA8" w14:textId="77777777" w:rsidR="00851C60" w:rsidRPr="00426ACF" w:rsidRDefault="00851C60" w:rsidP="00851C60">
      <w:pPr>
        <w:spacing w:after="120" w:line="276" w:lineRule="auto"/>
        <w:ind w:firstLine="708"/>
        <w:jc w:val="both"/>
        <w:textAlignment w:val="baseline"/>
        <w:rPr>
          <w:rFonts w:ascii="Arial" w:hAnsi="Arial" w:cs="Arial"/>
        </w:rPr>
      </w:pPr>
      <w:r w:rsidRPr="00426ACF">
        <w:rPr>
          <w:rFonts w:ascii="Arial" w:hAnsi="Arial" w:cs="Arial"/>
        </w:rPr>
        <w:t xml:space="preserve">En ese sentido, la norma parte de la base de que para desarrollar tales negocios jurídicos la entidad estatal sometida, necesariamente debe adelantar un procedimiento de selección y suscribir un contrato elevado a escrito, lo que, en atención al artículo 56 deberá hacer aplicando documentos tipo y con sujeción al EGCAP. Sobre esto es necesario considerar que, las entidades sometidas al EGCAP, por lo general, se encuentran obligadas a agotar un procedimiento de selección conforme las normas aplicables para celebrar contratos estatales, a diferencia de los negocios jurídicos regido por el derecho privado, los cuales, generalmente, se perfeccionan con el acuerdo de voluntades, salvo que la ley exija alguna solemnidad adicional. Esto significa, que el mandato de aplicación del EGCAP dispuesto en el inciso segundo del artículo 56 de la Ley 2195 de 2022 se extiende a los negocios jurídicos descritos en el primer inciso de la norma, particularmente, en el desarrollo de los procedimientos de selección y lo relativo a la suscripción del contrato, las cuales estarán sujetas al EGCAP, en caso de que el objeto contractual esté cobijado por alguno de los documentos tipo vigentes. </w:t>
      </w:r>
    </w:p>
    <w:p w14:paraId="6CB8BE8D" w14:textId="77777777" w:rsidR="00851C60" w:rsidRPr="00426ACF" w:rsidRDefault="00851C60" w:rsidP="00851C60">
      <w:pPr>
        <w:spacing w:after="120" w:line="276" w:lineRule="auto"/>
        <w:ind w:firstLine="708"/>
        <w:jc w:val="both"/>
        <w:textAlignment w:val="baseline"/>
        <w:rPr>
          <w:rFonts w:ascii="Arial" w:hAnsi="Arial" w:cs="Arial"/>
        </w:rPr>
      </w:pPr>
      <w:r w:rsidRPr="00426ACF">
        <w:rPr>
          <w:rFonts w:ascii="Arial" w:hAnsi="Arial" w:cs="Arial"/>
        </w:rPr>
        <w:t xml:space="preserve">Conforme a lo explicado, de la lectura conjunta de los incisos primero y segundo del artículo 56 de la Ley 2195 de 2022 se desprende que estos introducen un mandato dirigido a que las entidades sometidas al EGCAP apliquen los documentos tipo en los contratos o convenios que suscriban con los mencionados sujetos de régimen de derecho privado para la adquisición de bienes, obras y servicios. De acuerdo con lo anterior, respecto de la aplicación del EGCAP en los contratos y convenios que celebren las entidades sometidas con los sujetos de derecho </w:t>
      </w:r>
      <w:r w:rsidRPr="00426ACF">
        <w:rPr>
          <w:rFonts w:ascii="Arial" w:hAnsi="Arial" w:cs="Arial"/>
        </w:rPr>
        <w:lastRenderedPageBreak/>
        <w:t xml:space="preserve">privado para la adquisición de bienes, obras o servicios, es necesario recalcar que, conforme se interpreta de la redacción de la norma, esta solo es obligatoria en los casos en los que el objeto contractual que se pretende contratar esté sometido a algún documento tipo. </w:t>
      </w:r>
    </w:p>
    <w:p w14:paraId="06730D81" w14:textId="77777777" w:rsidR="00851C60" w:rsidRPr="00426ACF" w:rsidRDefault="00851C60" w:rsidP="00851C60">
      <w:pPr>
        <w:spacing w:after="120" w:line="276" w:lineRule="auto"/>
        <w:ind w:firstLine="708"/>
        <w:jc w:val="both"/>
        <w:textAlignment w:val="baseline"/>
        <w:rPr>
          <w:rFonts w:ascii="Arial" w:hAnsi="Arial" w:cs="Arial"/>
        </w:rPr>
      </w:pPr>
      <w:r w:rsidRPr="00426ACF">
        <w:rPr>
          <w:rFonts w:ascii="Arial" w:hAnsi="Arial" w:cs="Arial"/>
        </w:rPr>
        <w:t xml:space="preserve">Al respecto debe señalarse que, la facultad de esta Agencia para expedir documentos tipo se ha sustentado en el parágrafo 7 del artículo 2 de la Ley 1150 de 2007, adicionado por la Ley 2022 de 2020– y en su momento por lo dispuesto en la Ley 1882 de 2018 y sus decretos reglamentarios–, norma de la que también deviene el correlativo deber legal de las entidades estatales regidas por el EGCAP de aplicar tales documentos tipo en los procesos de selección que adelanten, siempre que sus objetos y modalidades de selección estén cobijados por los documentos tipo vigentes. De acuerdo con esto, si bien los documentos tipo que expide Colombia Compra Eficiente resultan obligatorios para las entidades sometidas por el EGCAP, es necesario considerar que cada documento tipo que se expide tiene un ámbito de aplicación particular, determinados por un objeto contractual y una modalidad de selección respecto de los cuales resulta obligatoria su aplicación. </w:t>
      </w:r>
    </w:p>
    <w:p w14:paraId="06D9BF18" w14:textId="77777777" w:rsidR="00851C60" w:rsidRPr="00426ACF" w:rsidRDefault="00851C60" w:rsidP="00851C60">
      <w:pPr>
        <w:spacing w:after="120" w:line="276" w:lineRule="auto"/>
        <w:ind w:firstLine="708"/>
        <w:jc w:val="both"/>
        <w:textAlignment w:val="baseline"/>
        <w:rPr>
          <w:rFonts w:ascii="Arial" w:hAnsi="Arial" w:cs="Arial"/>
        </w:rPr>
      </w:pPr>
      <w:r w:rsidRPr="00426ACF">
        <w:rPr>
          <w:rFonts w:ascii="Arial" w:hAnsi="Arial" w:cs="Arial"/>
        </w:rPr>
        <w:t xml:space="preserve">Lo anterior significa que, el ámbito de aplicación de cada documento tipo determina la obligatoriedad de aplicar el mismo para un proceso de contratación determinado, comoquiera la aplicación del documento tipo solo resulta forzosa cuando, verificado el objeto a contratar y la modalidad en que se debe ser adelantado el proceso para su contratación, se encuentra que estos se subsumen dentro de los contemplados en alguno de los documentos tipos expedidos por esta Agencia, que se encuentren vigentes. De esta manera, si, por ejemplo, se requiere contratar el mantenimiento o la rehabilitación de una vía primaria, en la modalidad de licitación pública, la aplicación del documento tipo resultará forzosa, al estar esto cobijado por los documentos tipo expedidos mediante la Resolución 240 de 2020. Por el contrario, si lo que se pretende contratar es una obra pública para el mantenimiento de una red de alcantarillado mediante la modalidad de selección abreviada de menor cuantía, no resultará obligatoria la aplicación de documentos tipo, ya que a pesar de tal objeto podría estar cobijado por las resoluciones 248, 249 de 2020 y 275 de 24 de junio de 2022, estas aplican a licitaciones públicas y al mismo procedimiento en la modalidad llave en mano, respectivamente. </w:t>
      </w:r>
    </w:p>
    <w:p w14:paraId="6A84BC28" w14:textId="77777777" w:rsidR="00851C60" w:rsidRPr="00426ACF" w:rsidRDefault="00851C60" w:rsidP="00851C60">
      <w:pPr>
        <w:spacing w:after="0" w:line="276" w:lineRule="auto"/>
        <w:ind w:firstLine="709"/>
        <w:contextualSpacing/>
        <w:jc w:val="both"/>
        <w:textAlignment w:val="baseline"/>
        <w:rPr>
          <w:rFonts w:ascii="Arial" w:hAnsi="Arial" w:cs="Arial"/>
        </w:rPr>
      </w:pPr>
      <w:r w:rsidRPr="00426ACF">
        <w:rPr>
          <w:rFonts w:ascii="Arial" w:hAnsi="Arial" w:cs="Arial"/>
        </w:rPr>
        <w:t>Estas consideraciones también resultan aplicables a las entidades estatales con régimen de contratación especial, patrimonios autónomos, personas naturales o jurídicas de derecho privado que, en desarrollo de contratos o convenios con entidades sometidas al EGCAP, deban adelantar procesos contractuales dando cumplimiento a lo dispuesto en el artículo 56 de la Ley 2195 de 2022. En ese sentido, los sujetos y entidades mencionados por la norma deben verificar si el objeto contractual y la modalidad en la que debe ser adelantado, se encuentran cobijados por alguno de los documentos tipo vigentes. Al respecto, en el Concepto C-086 del 15 de marzo de 2022, se sostuvo:</w:t>
      </w:r>
    </w:p>
    <w:p w14:paraId="01332C77" w14:textId="77777777" w:rsidR="00851C60" w:rsidRPr="00426ACF" w:rsidRDefault="00851C60" w:rsidP="00851C60">
      <w:pPr>
        <w:spacing w:after="0" w:line="276" w:lineRule="auto"/>
        <w:ind w:left="709" w:right="709"/>
        <w:contextualSpacing/>
        <w:jc w:val="both"/>
        <w:textAlignment w:val="baseline"/>
        <w:rPr>
          <w:rFonts w:ascii="Arial" w:hAnsi="Arial" w:cs="Arial"/>
        </w:rPr>
      </w:pPr>
    </w:p>
    <w:p w14:paraId="233D9438" w14:textId="77777777" w:rsidR="00851C60" w:rsidRPr="00426ACF" w:rsidRDefault="00851C60" w:rsidP="00851C60">
      <w:pPr>
        <w:spacing w:after="0" w:line="240" w:lineRule="auto"/>
        <w:ind w:left="709" w:right="709"/>
        <w:contextualSpacing/>
        <w:jc w:val="both"/>
        <w:textAlignment w:val="baseline"/>
        <w:rPr>
          <w:rFonts w:ascii="Arial" w:hAnsi="Arial" w:cs="Arial"/>
          <w:sz w:val="21"/>
          <w:szCs w:val="21"/>
        </w:rPr>
      </w:pPr>
      <w:r w:rsidRPr="00426ACF">
        <w:rPr>
          <w:rFonts w:ascii="Arial" w:hAnsi="Arial" w:cs="Arial"/>
          <w:sz w:val="21"/>
          <w:szCs w:val="21"/>
        </w:rPr>
        <w:t xml:space="preserve">[E]s necesario destacar que la Ley 2195 de 2022, en su artículo 56, no alude a un desarrollo reglamentario posterior. Tampoco establece que esta entidad deba realizar </w:t>
      </w:r>
      <w:r w:rsidRPr="00426ACF">
        <w:rPr>
          <w:rFonts w:ascii="Arial" w:hAnsi="Arial" w:cs="Arial"/>
          <w:sz w:val="21"/>
          <w:szCs w:val="21"/>
        </w:rPr>
        <w:lastRenderedPageBreak/>
        <w:t>alguna adecuación de los documentos tipo vigentes, ni expedir algún cronograma de implementación. Sobre la vigencia de la referida Ley, su artículo 69 se limita a señalar que «[..] rige a partir de su promulgación y deroga las disposiciones que le sean contrarias», lo que evidencia que la disposición bajo estudio tiene el carácter de norma de aplicación directa, comoquiera que su aplicación no está supeditada al vencimiento de ningún plazo, condición o desarrollo reglamentario posterior, por lo que quienes están obligados a aplicarla, han debido hacerlo a partir de la expedición de la Ley 2195 de 2022. Lo anterior permite concluir que la aplicación de documentos tipo por parte de entidades estatales exceptuadas, patrimonios autónomos, personas naturales y jurídicas de derecho privado, en últimas, es un asunto que les compete a estas, y que, en principio, no requiere que esta entidad defina cronogramas para implementación o reglamentación, al tratarse el artículo 56 de la Ley 2195 de 2022 de una norma de aplicación directa. A esto se suma que el supuesto de hecho del artículo 56 expresamente alude a los documentos tipo expedidos por esta Agencia de conformidad con el parágrafo 7 del artículo 2 de la Ley 1150 de 2007, es decir, los pliegos tipo expedidos para entidades sometidas al EGCAP, en cuyo ámbito de aplicación la entidad exceptuada, patrimonio autónomo o particular, deberá subsumir el objeto a contratar, a efectos de determinar si debe aplicar los mismos en conjunto con el EGCAP, de acuerdo con lo explicado. En armonía con lo anterior, son las entidades estatales exceptuadas, patrimonios autónomos, personas naturales y jurídicas de derecho privado, que celebren convenios o contratos con entidades sometidas al EGCAP, para la adquisición de bienes, obras o servicios, a quienes corresponde interpretar la norma analizada para aplicar los efectos que consagra. […] Lo anterior supone que, para determinar si debe aplicar documentos tipo la entidad exceptuada, patrimonio autónomo, persona natural o jurídica de derecho privado deberá verificar, en primer lugar, si la necesidad de contratar el objeto deriva del cumplimiento de un contrato o convenio con una entidad sometida al EGCAP. De ser así, y se trata de un objeto contractual cobijado por alguno de los documentos tipo vigentes –incluido en alguna de las matrices de experiencia adoptadas por esta Agencia, será obligatoria la aplicación del respectivo documento tipo que, al igual que el EGCAP</w:t>
      </w:r>
      <w:r w:rsidRPr="00426ACF">
        <w:rPr>
          <w:rStyle w:val="Refdenotaalpie"/>
          <w:rFonts w:ascii="Arial" w:hAnsi="Arial" w:cs="Arial"/>
          <w:sz w:val="21"/>
          <w:szCs w:val="21"/>
        </w:rPr>
        <w:footnoteReference w:id="15"/>
      </w:r>
      <w:r w:rsidRPr="00426ACF">
        <w:rPr>
          <w:rFonts w:ascii="Arial" w:hAnsi="Arial" w:cs="Arial"/>
          <w:sz w:val="21"/>
          <w:szCs w:val="21"/>
        </w:rPr>
        <w:t xml:space="preserve">. </w:t>
      </w:r>
    </w:p>
    <w:p w14:paraId="0C6BEAA9" w14:textId="77777777" w:rsidR="00851C60" w:rsidRPr="00426ACF" w:rsidRDefault="00851C60" w:rsidP="00851C60">
      <w:pPr>
        <w:spacing w:after="0" w:line="276" w:lineRule="auto"/>
        <w:ind w:left="709" w:right="709" w:firstLine="708"/>
        <w:contextualSpacing/>
        <w:jc w:val="both"/>
        <w:textAlignment w:val="baseline"/>
        <w:rPr>
          <w:rFonts w:ascii="Arial" w:hAnsi="Arial" w:cs="Arial"/>
        </w:rPr>
      </w:pPr>
    </w:p>
    <w:p w14:paraId="23160ADC" w14:textId="77777777" w:rsidR="00851C60" w:rsidRPr="00426ACF" w:rsidRDefault="00851C60" w:rsidP="00851C60">
      <w:pPr>
        <w:spacing w:after="120" w:line="276" w:lineRule="auto"/>
        <w:ind w:firstLine="709"/>
        <w:jc w:val="both"/>
        <w:textAlignment w:val="baseline"/>
        <w:rPr>
          <w:rFonts w:ascii="Arial" w:hAnsi="Arial" w:cs="Arial"/>
        </w:rPr>
      </w:pPr>
      <w:r w:rsidRPr="00426ACF">
        <w:rPr>
          <w:rFonts w:ascii="Arial" w:hAnsi="Arial" w:cs="Arial"/>
        </w:rPr>
        <w:t xml:space="preserve">En tales términos, para determinar si se encuentran o no obligados a aplicar documentos tipo, las respectivas entidades estatales con régimen de contratación especial, patrimonios autónomos, personas naturales o jurídicas de derecho privado deberán verificar si el objeto contractual que deben contratar en efecto se encuentra cobijado por algún documento tipo. De no ser así, no solo no resultaría obligatoria la aplicación de los documentos tipo, sino que tampoco habría lugar a la aplicación del EGCAP, en la medida en que tal medida contemplada en el inciso segundo de la norma en comento está condicionada a la aplicación de documentos tipo. </w:t>
      </w:r>
    </w:p>
    <w:p w14:paraId="1FAB5142" w14:textId="77777777" w:rsidR="00851C60" w:rsidRPr="00426ACF" w:rsidRDefault="00851C60" w:rsidP="00851C60">
      <w:pPr>
        <w:spacing w:after="120" w:line="276" w:lineRule="auto"/>
        <w:ind w:firstLine="709"/>
        <w:jc w:val="both"/>
        <w:textAlignment w:val="baseline"/>
        <w:rPr>
          <w:rFonts w:ascii="Arial" w:hAnsi="Arial" w:cs="Arial"/>
        </w:rPr>
      </w:pPr>
      <w:r w:rsidRPr="00426ACF">
        <w:rPr>
          <w:rFonts w:ascii="Arial" w:hAnsi="Arial" w:cs="Arial"/>
        </w:rPr>
        <w:t xml:space="preserve">Con sustento en lo anterior, es posible afirmar que, el deber de aplicar documentos tipo por parte de entidades estatales con régimen de contratación especial, patrimonios autónomos, </w:t>
      </w:r>
      <w:r w:rsidRPr="00426ACF">
        <w:rPr>
          <w:rFonts w:ascii="Arial" w:hAnsi="Arial" w:cs="Arial"/>
        </w:rPr>
        <w:lastRenderedPageBreak/>
        <w:t xml:space="preserve">personas naturales o jurídicas de derecho privado, solo se extiende a los procedimientos contractuales cuyos objetos y modalidades en las que deberían ser adelantados, se encuentren dentro del ámbito de aplicación de los documentos tipo que se encuentren vigentes. En ese sentido, si el objeto a contratar no se subsume dentro de ningún documento tipo, la respectiva persona natural o jurídica, entidad exceptuada o patrimonio autónomo podrá contratar con sujeción a las normas y procedimientos que normalmente lo rigen, sin que con ello se vulnere lo dispuesto en el artículo 56 ibídem. Esto sin perjuicio de que, en el marco de la autonomía que les corresponde, los referidos sujetos puedan incorporar o retomar componentes de los documentos tipo en sus procesos contractuales a modo de buena práctica contractual, siempre que así lo consideren pertinente. </w:t>
      </w:r>
    </w:p>
    <w:p w14:paraId="0A591D12" w14:textId="77777777" w:rsidR="00851C60" w:rsidRPr="00426ACF" w:rsidRDefault="00851C60" w:rsidP="00851C60">
      <w:pPr>
        <w:spacing w:after="0" w:line="276" w:lineRule="auto"/>
        <w:ind w:firstLine="709"/>
        <w:contextualSpacing/>
        <w:jc w:val="both"/>
        <w:textAlignment w:val="baseline"/>
        <w:rPr>
          <w:rFonts w:ascii="Arial" w:hAnsi="Arial" w:cs="Arial"/>
        </w:rPr>
      </w:pPr>
      <w:r w:rsidRPr="00426ACF">
        <w:rPr>
          <w:rFonts w:ascii="Arial" w:hAnsi="Arial" w:cs="Arial"/>
        </w:rPr>
        <w:t>De otra parte, se contempla una excepción en el parágrafo del artículo 56. Al respecto, respecto se cita el texto del referido parágrafo, el cual expresa lo siguiente:</w:t>
      </w:r>
    </w:p>
    <w:p w14:paraId="17BCED55" w14:textId="77777777" w:rsidR="00851C60" w:rsidRPr="00426ACF" w:rsidRDefault="00851C60" w:rsidP="00851C60">
      <w:pPr>
        <w:spacing w:after="0" w:line="276" w:lineRule="auto"/>
        <w:ind w:left="709" w:right="709"/>
        <w:contextualSpacing/>
        <w:jc w:val="both"/>
        <w:textAlignment w:val="baseline"/>
        <w:rPr>
          <w:rFonts w:ascii="Arial" w:hAnsi="Arial" w:cs="Arial"/>
        </w:rPr>
      </w:pPr>
    </w:p>
    <w:p w14:paraId="45E99109" w14:textId="77777777" w:rsidR="00851C60" w:rsidRPr="00426ACF" w:rsidRDefault="00851C60" w:rsidP="00851C60">
      <w:pPr>
        <w:spacing w:after="0" w:line="240" w:lineRule="auto"/>
        <w:ind w:left="709" w:right="709"/>
        <w:contextualSpacing/>
        <w:jc w:val="both"/>
        <w:textAlignment w:val="baseline"/>
        <w:rPr>
          <w:rFonts w:ascii="Arial" w:hAnsi="Arial" w:cs="Arial"/>
          <w:sz w:val="21"/>
          <w:szCs w:val="21"/>
        </w:rPr>
      </w:pPr>
      <w:r w:rsidRPr="00426ACF">
        <w:rPr>
          <w:rFonts w:ascii="Arial" w:hAnsi="Arial" w:cs="Arial"/>
          <w:sz w:val="21"/>
          <w:szCs w:val="21"/>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 (Énfasis fuera de texto).</w:t>
      </w:r>
    </w:p>
    <w:p w14:paraId="2C6DDC7A" w14:textId="77777777" w:rsidR="00851C60" w:rsidRPr="00426ACF" w:rsidRDefault="00851C60" w:rsidP="00851C60">
      <w:pPr>
        <w:spacing w:after="0" w:line="276" w:lineRule="auto"/>
        <w:ind w:right="709"/>
        <w:contextualSpacing/>
        <w:jc w:val="both"/>
        <w:textAlignment w:val="baseline"/>
        <w:rPr>
          <w:rFonts w:ascii="Arial" w:hAnsi="Arial" w:cs="Arial"/>
        </w:rPr>
      </w:pPr>
    </w:p>
    <w:p w14:paraId="0DAFFA28" w14:textId="77777777" w:rsidR="00851C60" w:rsidRPr="00426ACF" w:rsidRDefault="00851C60" w:rsidP="00851C60">
      <w:pPr>
        <w:spacing w:after="120" w:line="276" w:lineRule="auto"/>
        <w:ind w:right="709" w:firstLine="708"/>
        <w:jc w:val="both"/>
        <w:textAlignment w:val="baseline"/>
        <w:rPr>
          <w:rFonts w:ascii="Arial" w:hAnsi="Arial" w:cs="Arial"/>
        </w:rPr>
      </w:pPr>
      <w:r w:rsidRPr="00426ACF">
        <w:rPr>
          <w:rFonts w:ascii="Arial" w:hAnsi="Arial" w:cs="Arial"/>
        </w:rPr>
        <w:t xml:space="preserve">Conforme se desprende del apartado normativo, se exceptúa de lo señalado en los dos primeros incisos del artículo 56 a: i) las instituciones de educación superior públicas, ii) las empresas sociales del Estado, iii) las sociedades de economía mixta y iv) las empresas industriales y comerciales del Estado, únicamente, en la contratación relacionada con el giro ordinario. Esto significa que, en la contratación asociada a su giro ordinario, estos tipos de entidades no tendrían que aplicar los documentos tipo de manera obligatoria ni tampoco el EGCAP. En este caso la norma se limita a fomentar la implementación de documentos tipo a modo de buena práctica contractual, en los casos en los que se estime conveniente. </w:t>
      </w:r>
    </w:p>
    <w:p w14:paraId="331C8F19" w14:textId="77777777" w:rsidR="00851C60" w:rsidRPr="00426ACF" w:rsidRDefault="00851C60" w:rsidP="00851C60">
      <w:pPr>
        <w:spacing w:after="120" w:line="276" w:lineRule="auto"/>
        <w:ind w:right="709" w:firstLine="708"/>
        <w:jc w:val="both"/>
        <w:textAlignment w:val="baseline"/>
        <w:rPr>
          <w:rFonts w:ascii="Arial" w:hAnsi="Arial" w:cs="Arial"/>
        </w:rPr>
      </w:pPr>
      <w:r w:rsidRPr="00426ACF">
        <w:rPr>
          <w:rFonts w:ascii="Arial" w:hAnsi="Arial" w:cs="Arial"/>
        </w:rPr>
        <w:t xml:space="preserve">En relación con la aplicación de lo dispuesto en el parágrafo del artículo 56 de la Ley 2195 de 2022, conviene aclarar que, a juicio de esta Agencia, a menos que el Presidente de la República en ejercicio de la potestad reglamentaria atribuida por el artículo 189.11 de la Constitución Política, disponga algo diferente, la expresión giro ordinario en dicha norma se usa para designar a la contratación directamente relacionada con los asuntos de la gestión habitual u ordinaria de los tipos de entidades mencionadas en el parágrafo. No obstante, la determinación de las actividades que comprenden el giro ordinario es un asunto que debe establecerse en cada caso concreto por parte de las entidades estatales –analizando lo establecido en sus actos de creación y verificando los negocios habituales u ordinarios que desarrollan–, pues el parágrafo del artículo 56 </w:t>
      </w:r>
      <w:r w:rsidRPr="00426ACF">
        <w:rPr>
          <w:rFonts w:ascii="Arial" w:hAnsi="Arial" w:cs="Arial"/>
        </w:rPr>
        <w:lastRenderedPageBreak/>
        <w:t>ejusdem se limita a enunciar algunos tipos de entidades estatales, las cuales no solo difieren en su naturaleza jurídica, sino también en las actividades que llevan a cabo.</w:t>
      </w:r>
    </w:p>
    <w:p w14:paraId="69AA7F42" w14:textId="77777777" w:rsidR="00851C60" w:rsidRPr="00426ACF" w:rsidRDefault="00851C60" w:rsidP="00851C60">
      <w:pPr>
        <w:spacing w:after="0" w:line="276" w:lineRule="auto"/>
        <w:ind w:right="709" w:firstLine="708"/>
        <w:contextualSpacing/>
        <w:jc w:val="both"/>
        <w:textAlignment w:val="baseline"/>
        <w:rPr>
          <w:rFonts w:ascii="Arial" w:hAnsi="Arial" w:cs="Arial"/>
        </w:rPr>
      </w:pPr>
      <w:r w:rsidRPr="00426ACF">
        <w:rPr>
          <w:rFonts w:ascii="Arial" w:hAnsi="Arial" w:cs="Arial"/>
        </w:rPr>
        <w:t>En conclusión, a juicio de esta Agencia lo dispuesto en el parágrafo del artículo 56 de la Ley 2195 de 2022, es una manifestación de la voluntad del Legislador de relevar a las instituciones de educación superior públicas, las empresas sociales del Estado, las sociedades de economía mixta y las empresas industriales y comerciales del Estado, de la implementación de documentos tipo y de la aplicación del EGCAP, únicamente en lo que tiene que ver con su giro ordinario.</w:t>
      </w:r>
    </w:p>
    <w:p w14:paraId="4CE0E443" w14:textId="77777777" w:rsidR="00851C60" w:rsidRPr="00426ACF" w:rsidRDefault="00851C60" w:rsidP="00851C60">
      <w:pPr>
        <w:spacing w:after="0" w:line="276" w:lineRule="auto"/>
        <w:ind w:right="709" w:firstLine="708"/>
        <w:contextualSpacing/>
        <w:jc w:val="both"/>
        <w:textAlignment w:val="baseline"/>
        <w:rPr>
          <w:rFonts w:ascii="Arial" w:hAnsi="Arial" w:cs="Arial"/>
        </w:rPr>
      </w:pPr>
    </w:p>
    <w:p w14:paraId="6AA1BDA5" w14:textId="77777777" w:rsidR="00851C60" w:rsidRPr="00426ACF" w:rsidRDefault="00851C60" w:rsidP="00851C60">
      <w:pPr>
        <w:shd w:val="clear" w:color="auto" w:fill="FFFFFF"/>
        <w:spacing w:after="0" w:line="276" w:lineRule="auto"/>
        <w:contextualSpacing/>
        <w:jc w:val="both"/>
        <w:textAlignment w:val="baseline"/>
        <w:rPr>
          <w:rFonts w:ascii="Arial" w:eastAsia="Times New Roman" w:hAnsi="Arial" w:cs="Arial"/>
          <w:b/>
          <w:bCs/>
          <w:lang w:val="es-ES" w:eastAsia="es-CO"/>
        </w:rPr>
      </w:pPr>
      <w:r w:rsidRPr="00426ACF">
        <w:rPr>
          <w:rFonts w:ascii="Arial" w:eastAsia="Times New Roman" w:hAnsi="Arial" w:cs="Arial"/>
          <w:b/>
          <w:bCs/>
          <w:lang w:eastAsia="es-CO"/>
        </w:rPr>
        <w:t> 2.5</w:t>
      </w:r>
      <w:r w:rsidRPr="00426ACF">
        <w:rPr>
          <w:rFonts w:ascii="Arial" w:eastAsia="Times New Roman" w:hAnsi="Arial" w:cs="Arial"/>
          <w:b/>
          <w:bCs/>
          <w:lang w:val="es-ES" w:eastAsia="es-CO"/>
        </w:rPr>
        <w:t>. Inalterabilidad de los «Documentos Tipo»</w:t>
      </w:r>
    </w:p>
    <w:p w14:paraId="59F564F1" w14:textId="77777777" w:rsidR="00851C60" w:rsidRPr="00426ACF" w:rsidRDefault="00851C60" w:rsidP="00851C60">
      <w:pPr>
        <w:shd w:val="clear" w:color="auto" w:fill="FFFFFF"/>
        <w:spacing w:after="0" w:line="276" w:lineRule="auto"/>
        <w:contextualSpacing/>
        <w:jc w:val="both"/>
        <w:textAlignment w:val="baseline"/>
        <w:rPr>
          <w:rFonts w:ascii="Arial" w:eastAsia="Times New Roman" w:hAnsi="Arial" w:cs="Arial"/>
          <w:lang w:val="es-ES" w:eastAsia="es-CO"/>
        </w:rPr>
      </w:pPr>
    </w:p>
    <w:p w14:paraId="362E5103" w14:textId="77777777" w:rsidR="00851C60" w:rsidRPr="00426ACF" w:rsidRDefault="00851C60" w:rsidP="00851C60">
      <w:pPr>
        <w:shd w:val="clear" w:color="auto" w:fill="FFFFFF"/>
        <w:spacing w:after="120" w:line="276" w:lineRule="auto"/>
        <w:jc w:val="both"/>
        <w:textAlignment w:val="baseline"/>
        <w:rPr>
          <w:rFonts w:ascii="Arial" w:eastAsia="Times New Roman" w:hAnsi="Arial" w:cs="Arial"/>
          <w:lang w:val="es-ES" w:eastAsia="es-CO"/>
        </w:rPr>
      </w:pPr>
      <w:r w:rsidRPr="00426ACF">
        <w:rPr>
          <w:rFonts w:ascii="Arial" w:eastAsia="Times New Roman" w:hAnsi="Arial" w:cs="Arial"/>
          <w:lang w:val="es-ES" w:eastAsia="es-CO"/>
        </w:rPr>
        <w:t>Todas las resoluciones expedidas por la Agencia Nacional de Contratación Pública – Colombia Compra Eficiente, mediante las cuales se han adoptado los documentos tipo, consagran la regla de la inalterabilidad</w:t>
      </w:r>
      <w:r w:rsidRPr="00426ACF">
        <w:rPr>
          <w:rFonts w:ascii="Arial" w:eastAsia="Times New Roman" w:hAnsi="Arial" w:cs="Arial"/>
          <w:vertAlign w:val="superscript"/>
          <w:lang w:val="es-ES" w:eastAsia="es-CO"/>
        </w:rPr>
        <w:footnoteReference w:id="16"/>
      </w:r>
      <w:r w:rsidRPr="00426ACF">
        <w:rPr>
          <w:rFonts w:ascii="Arial" w:eastAsia="Times New Roman" w:hAnsi="Arial" w:cs="Arial"/>
          <w:lang w:val="es-ES" w:eastAsia="es-CO"/>
        </w:rPr>
        <w:t>. Esta prohibición consiste en que las entidades estatales no pueden incluir o modificar en los Documentos del Proceso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EGCAP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9E6A34D" w14:textId="77777777" w:rsidR="00851C60" w:rsidRPr="00426ACF" w:rsidRDefault="00851C60" w:rsidP="00851C60">
      <w:pPr>
        <w:spacing w:after="120" w:line="276" w:lineRule="auto"/>
        <w:ind w:firstLine="709"/>
        <w:jc w:val="both"/>
        <w:rPr>
          <w:rFonts w:ascii="Arial" w:eastAsia="Times New Roman" w:hAnsi="Arial" w:cs="Arial"/>
          <w:lang w:val="es-ES" w:eastAsia="es-CO"/>
        </w:rPr>
      </w:pPr>
      <w:r w:rsidRPr="00426ACF">
        <w:rPr>
          <w:rFonts w:ascii="Arial" w:eastAsia="Times New Roman" w:hAnsi="Arial" w:cs="Arial"/>
          <w:lang w:val="es-ES" w:eastAsia="es-CO"/>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a las reglas establecidas en los documentos tipo, dispuestas en las diferentes resoluciones expedidas por la Agencia, por lo que no pueden hacer excepciones bajo una supuesta discrecionalidad a estas reglas que son obligatorias.  </w:t>
      </w:r>
    </w:p>
    <w:p w14:paraId="10139831" w14:textId="77777777" w:rsidR="00851C60" w:rsidRPr="00426ACF" w:rsidRDefault="00851C60" w:rsidP="00851C60">
      <w:pPr>
        <w:spacing w:after="120" w:line="276" w:lineRule="auto"/>
        <w:ind w:firstLine="709"/>
        <w:jc w:val="both"/>
        <w:rPr>
          <w:rFonts w:ascii="Arial" w:eastAsia="Times New Roman" w:hAnsi="Arial" w:cs="Arial"/>
          <w:lang w:val="es-ES" w:eastAsia="es-CO"/>
        </w:rPr>
      </w:pPr>
      <w:r w:rsidRPr="00426ACF">
        <w:rPr>
          <w:rFonts w:ascii="Arial" w:eastAsia="Times New Roman" w:hAnsi="Arial" w:cs="Arial"/>
          <w:lang w:val="es-ES" w:eastAsia="es-CO"/>
        </w:rPr>
        <w:t xml:space="preserve">La inalterabilidad de los documentos es una manifestación en mayor grado de las potestades regladas, lo cual implica una reducción de la discrecionalidad de la Administración en </w:t>
      </w:r>
      <w:r w:rsidRPr="00426ACF">
        <w:rPr>
          <w:rFonts w:ascii="Arial" w:eastAsia="Times New Roman" w:hAnsi="Arial" w:cs="Arial"/>
          <w:lang w:val="es-ES" w:eastAsia="es-CO"/>
        </w:rPr>
        <w:lastRenderedPageBreak/>
        <w:t>el momento de tomar una decisión en el proceso de contratación</w:t>
      </w:r>
      <w:r w:rsidRPr="00426ACF">
        <w:rPr>
          <w:rFonts w:ascii="Arial" w:eastAsia="Times New Roman" w:hAnsi="Arial" w:cs="Arial"/>
          <w:vertAlign w:val="superscript"/>
          <w:lang w:val="es-ES" w:eastAsia="es-CO"/>
        </w:rPr>
        <w:footnoteReference w:id="17"/>
      </w:r>
      <w:r w:rsidRPr="00426ACF">
        <w:rPr>
          <w:rFonts w:ascii="Arial" w:eastAsia="Times New Roman" w:hAnsi="Arial" w:cs="Arial"/>
          <w:lang w:val="es-ES" w:eastAsia="es-CO"/>
        </w:rPr>
        <w:t xml:space="preserve">. Cada entidad pública sujeta a los documentos tipo deberá hacer una aplicación o constatación de las reglas y condiciones dispuestas en estos, salvo que las mismas posibiliten la discrecionalidad en determinados contenidos. </w:t>
      </w:r>
    </w:p>
    <w:p w14:paraId="5AC253C2" w14:textId="77777777" w:rsidR="00851C60" w:rsidRPr="00426ACF" w:rsidRDefault="00851C60" w:rsidP="00851C60">
      <w:pPr>
        <w:spacing w:after="120" w:line="276" w:lineRule="auto"/>
        <w:ind w:firstLine="709"/>
        <w:jc w:val="both"/>
        <w:rPr>
          <w:rFonts w:ascii="Arial" w:eastAsia="Times New Roman" w:hAnsi="Arial" w:cs="Arial"/>
          <w:lang w:val="es-ES" w:eastAsia="es-CO"/>
        </w:rPr>
      </w:pPr>
      <w:r w:rsidRPr="00426ACF">
        <w:rPr>
          <w:rFonts w:ascii="Arial" w:eastAsia="Times New Roman" w:hAnsi="Arial" w:cs="Arial"/>
          <w:lang w:val="es-ES" w:eastAsia="es-CO"/>
        </w:rPr>
        <w:t>Además, las entidades estatales deben garantizar el principio de economía, del cual se desprende que no pueden exigir documentos o requisitos más allá de los que permitan la Constitución, la ley y los reglamentos. Este postulado ha sido recogido no solo en la contratación estatal</w:t>
      </w:r>
      <w:r w:rsidRPr="00426ACF">
        <w:rPr>
          <w:rFonts w:ascii="Arial" w:eastAsia="Times New Roman" w:hAnsi="Arial" w:cs="Arial"/>
          <w:vertAlign w:val="superscript"/>
          <w:lang w:val="es-ES" w:eastAsia="es-CO"/>
        </w:rPr>
        <w:footnoteReference w:id="18"/>
      </w:r>
      <w:r w:rsidRPr="00426ACF">
        <w:rPr>
          <w:rFonts w:ascii="Arial" w:eastAsia="Times New Roman" w:hAnsi="Arial" w:cs="Arial"/>
          <w:vertAlign w:val="superscript"/>
          <w:lang w:val="es-ES" w:eastAsia="es-CO"/>
        </w:rPr>
        <w:t xml:space="preserve"> </w:t>
      </w:r>
      <w:r w:rsidRPr="00426ACF">
        <w:rPr>
          <w:rFonts w:ascii="Arial" w:eastAsia="Times New Roman" w:hAnsi="Arial" w:cs="Arial"/>
          <w:lang w:val="es-ES" w:eastAsia="es-CO"/>
        </w:rPr>
        <w:t>sino además en la normativa antitrámites</w:t>
      </w:r>
      <w:r w:rsidRPr="00426ACF">
        <w:rPr>
          <w:rFonts w:ascii="Arial" w:eastAsia="Times New Roman" w:hAnsi="Arial" w:cs="Arial"/>
          <w:vertAlign w:val="superscript"/>
          <w:lang w:val="es-ES" w:eastAsia="es-CO"/>
        </w:rPr>
        <w:footnoteReference w:id="19"/>
      </w:r>
      <w:r w:rsidRPr="00426ACF">
        <w:rPr>
          <w:rFonts w:ascii="Arial" w:eastAsia="Times New Roman" w:hAnsi="Arial" w:cs="Arial"/>
          <w:lang w:val="es-ES" w:eastAsia="es-CO"/>
        </w:rPr>
        <w:t>; pues se inscribe dentro de la tendencia de simplificación y racionalización de los procedimientos administrativos. De ahí que cuando las autoridades solicitan la entrega de documentación innecesaria, desconocen el principio de economía.</w:t>
      </w:r>
    </w:p>
    <w:p w14:paraId="6C143003" w14:textId="77777777" w:rsidR="00851C60" w:rsidRPr="00426ACF" w:rsidRDefault="00851C60" w:rsidP="00851C60">
      <w:pPr>
        <w:spacing w:after="120" w:line="276" w:lineRule="auto"/>
        <w:ind w:firstLine="709"/>
        <w:jc w:val="both"/>
        <w:rPr>
          <w:rFonts w:ascii="Arial" w:eastAsia="Times New Roman" w:hAnsi="Arial" w:cs="Arial"/>
          <w:lang w:val="es-ES" w:eastAsia="es-CO"/>
        </w:rPr>
      </w:pPr>
      <w:r w:rsidRPr="00426ACF">
        <w:rPr>
          <w:rFonts w:ascii="Arial" w:eastAsia="Times New Roman" w:hAnsi="Arial" w:cs="Arial"/>
          <w:lang w:val="es-ES" w:eastAsia="es-CO"/>
        </w:rPr>
        <w:t xml:space="preserve">Esta regla de inalterabilidad también aplica a los formatos, formularios y anexos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5D82CA90" w14:textId="77777777" w:rsidR="00851C60" w:rsidRPr="00426ACF" w:rsidRDefault="00851C60" w:rsidP="00851C60">
      <w:pPr>
        <w:spacing w:after="120" w:line="276" w:lineRule="auto"/>
        <w:ind w:firstLine="709"/>
        <w:jc w:val="both"/>
        <w:rPr>
          <w:rFonts w:ascii="Arial" w:eastAsia="Times New Roman" w:hAnsi="Arial" w:cs="Arial"/>
          <w:lang w:val="es-ES" w:eastAsia="es-CO"/>
        </w:rPr>
      </w:pPr>
      <w:r w:rsidRPr="00426ACF">
        <w:rPr>
          <w:rFonts w:ascii="Arial" w:eastAsia="Times New Roman" w:hAnsi="Arial" w:cs="Arial"/>
          <w:lang w:val="es-ES" w:eastAsia="es-CO"/>
        </w:rPr>
        <w:t xml:space="preserve">Adicionalmente, la parte introductoria de los documentos base de los documentos tipo disponen que los aspectos incluidos en corchetes y resaltados en gris deben ser diligenciados por la entidad. Excepcionalmente, le corresponde al proponente consignar la información incluida en corchetes y resaltada en gris, como, por ejemplo, los formatos que requieren de la firma del </w:t>
      </w:r>
      <w:r w:rsidRPr="00426ACF">
        <w:rPr>
          <w:rFonts w:ascii="Arial" w:eastAsia="Times New Roman" w:hAnsi="Arial" w:cs="Arial"/>
          <w:lang w:val="es-ES" w:eastAsia="es-CO"/>
        </w:rPr>
        <w:lastRenderedPageBreak/>
        <w:t xml:space="preserve">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7DA1F0AB" w14:textId="77777777" w:rsidR="00851C60" w:rsidRPr="00426ACF" w:rsidRDefault="00851C60" w:rsidP="00851C60">
      <w:pPr>
        <w:spacing w:after="120" w:line="276" w:lineRule="auto"/>
        <w:ind w:firstLine="709"/>
        <w:jc w:val="both"/>
        <w:rPr>
          <w:rFonts w:ascii="Arial" w:eastAsia="Times New Roman" w:hAnsi="Arial" w:cs="Arial"/>
          <w:lang w:val="es-ES" w:eastAsia="es-CO"/>
        </w:rPr>
      </w:pPr>
      <w:r w:rsidRPr="00426ACF">
        <w:rPr>
          <w:rFonts w:ascii="Arial" w:eastAsia="Times New Roman" w:hAnsi="Arial" w:cs="Arial"/>
          <w:lang w:val="es-ES" w:eastAsia="es-CO"/>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solo se podrán modificar aquellos contenidos que el mismo documento tipo permita.</w:t>
      </w:r>
    </w:p>
    <w:p w14:paraId="489AC1B6" w14:textId="77777777" w:rsidR="00851C60" w:rsidRPr="00426ACF" w:rsidRDefault="00851C60" w:rsidP="00851C60">
      <w:pPr>
        <w:spacing w:after="120" w:line="276" w:lineRule="auto"/>
        <w:ind w:firstLine="709"/>
        <w:jc w:val="both"/>
        <w:rPr>
          <w:rFonts w:ascii="Arial" w:eastAsia="Times New Roman" w:hAnsi="Arial" w:cs="Arial"/>
          <w:lang w:val="es-ES" w:eastAsia="es-CO"/>
        </w:rPr>
      </w:pPr>
      <w:r w:rsidRPr="00426ACF">
        <w:rPr>
          <w:rFonts w:ascii="Arial" w:eastAsia="Times New Roman" w:hAnsi="Arial" w:cs="Arial"/>
          <w:lang w:val="es-ES" w:eastAsia="es-CO"/>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74064B0A" w14:textId="77777777" w:rsidR="00851C60" w:rsidRPr="00426ACF" w:rsidRDefault="00851C60" w:rsidP="00851C60">
      <w:pPr>
        <w:spacing w:after="120" w:line="276" w:lineRule="auto"/>
        <w:ind w:firstLine="709"/>
        <w:jc w:val="both"/>
        <w:rPr>
          <w:rFonts w:ascii="Arial" w:eastAsia="Times New Roman" w:hAnsi="Arial" w:cs="Arial"/>
          <w:lang w:val="es-ES" w:eastAsia="es-CO"/>
        </w:rPr>
      </w:pPr>
      <w:r w:rsidRPr="00426ACF">
        <w:rPr>
          <w:rFonts w:ascii="Arial" w:eastAsia="Times New Roman" w:hAnsi="Arial" w:cs="Arial"/>
          <w:lang w:val="es-ES" w:eastAsia="es-CO"/>
        </w:rPr>
        <w:t>El carácter inalterable de los documentos tipo no puede, entonces,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 es decir, no afectan su contenido esencial y, mucho menos, las obligaciones, deberes y derechos que se derivan para las partes contratantes.</w:t>
      </w:r>
    </w:p>
    <w:p w14:paraId="3079BC5D" w14:textId="77777777" w:rsidR="00851C60" w:rsidRPr="00426ACF" w:rsidRDefault="00851C60" w:rsidP="00851C60">
      <w:pPr>
        <w:spacing w:after="0" w:line="276" w:lineRule="auto"/>
        <w:ind w:firstLine="708"/>
        <w:contextualSpacing/>
        <w:jc w:val="both"/>
        <w:rPr>
          <w:rFonts w:ascii="Arial" w:eastAsia="Times New Roman" w:hAnsi="Arial" w:cs="Arial"/>
          <w:lang w:val="es-ES" w:eastAsia="es-CO"/>
        </w:rPr>
      </w:pPr>
      <w:r w:rsidRPr="00426ACF">
        <w:rPr>
          <w:rFonts w:ascii="Arial" w:eastAsia="Times New Roman" w:hAnsi="Arial" w:cs="Arial"/>
          <w:lang w:val="es-ES" w:eastAsia="es-CO"/>
        </w:rPr>
        <w:t>De cara a la consulta planteada, teniendo en cuenta el principio de inalterabilidad que rige a los documentos tipo</w:t>
      </w:r>
      <w:r w:rsidRPr="00426ACF">
        <w:rPr>
          <w:rFonts w:ascii="Arial" w:hAnsi="Arial" w:cs="Arial"/>
        </w:rPr>
        <w:t>, para publicar en SECOP, las entidades estatales deberán seguir las indicaciones dispuestas en los Documentos Tipo, especialmente, en el Documento Base de los mismos, en las que se indica cómo se deberá surtir el trámite de publicidad en la respectiva plataforma a través de la cual se va a adelantar el proceso, bien sea SECOP I o SECOP II.</w:t>
      </w:r>
    </w:p>
    <w:p w14:paraId="493C0DD5" w14:textId="77777777" w:rsidR="00851C60" w:rsidRPr="00426ACF" w:rsidRDefault="00851C60" w:rsidP="00851C60">
      <w:pPr>
        <w:spacing w:after="0" w:line="276" w:lineRule="auto"/>
        <w:contextualSpacing/>
        <w:jc w:val="both"/>
        <w:textAlignment w:val="baseline"/>
        <w:rPr>
          <w:rFonts w:ascii="Arial" w:eastAsia="Times New Roman" w:hAnsi="Arial" w:cs="Arial"/>
          <w:b/>
          <w:bCs/>
          <w:lang w:val="es-ES" w:eastAsia="es-CO"/>
        </w:rPr>
      </w:pPr>
    </w:p>
    <w:p w14:paraId="1FEB7A40" w14:textId="77777777" w:rsidR="00851C60" w:rsidRPr="00426ACF" w:rsidRDefault="00851C60" w:rsidP="00851C60">
      <w:pPr>
        <w:spacing w:after="0" w:line="276" w:lineRule="auto"/>
        <w:contextualSpacing/>
        <w:jc w:val="both"/>
        <w:textAlignment w:val="baseline"/>
        <w:rPr>
          <w:rFonts w:ascii="Arial" w:eastAsia="Times New Roman" w:hAnsi="Arial" w:cs="Arial"/>
          <w:b/>
          <w:bCs/>
          <w:lang w:val="es-ES" w:eastAsia="es-CO"/>
        </w:rPr>
      </w:pPr>
      <w:r w:rsidRPr="00426ACF">
        <w:rPr>
          <w:rFonts w:ascii="Arial" w:eastAsia="Times New Roman" w:hAnsi="Arial" w:cs="Arial"/>
          <w:b/>
          <w:bCs/>
          <w:lang w:val="es-ES" w:eastAsia="es-CO"/>
        </w:rPr>
        <w:t>3. Respuesta </w:t>
      </w:r>
    </w:p>
    <w:p w14:paraId="27BDA2DF" w14:textId="77777777" w:rsidR="00851C60" w:rsidRPr="00426ACF" w:rsidRDefault="00851C60" w:rsidP="00851C60">
      <w:pPr>
        <w:spacing w:after="0" w:line="276" w:lineRule="auto"/>
        <w:contextualSpacing/>
        <w:jc w:val="both"/>
        <w:textAlignment w:val="baseline"/>
        <w:rPr>
          <w:rFonts w:ascii="Arial" w:eastAsia="Times New Roman" w:hAnsi="Arial" w:cs="Arial"/>
          <w:lang w:val="es-ES" w:eastAsia="es-CO"/>
        </w:rPr>
      </w:pPr>
      <w:r w:rsidRPr="00426ACF">
        <w:rPr>
          <w:rFonts w:ascii="Arial" w:eastAsia="Times New Roman" w:hAnsi="Arial" w:cs="Arial"/>
          <w:lang w:val="es-ES" w:eastAsia="es-CO"/>
        </w:rPr>
        <w:t> </w:t>
      </w:r>
    </w:p>
    <w:p w14:paraId="311E12A3" w14:textId="77777777" w:rsidR="00851C60" w:rsidRPr="00426ACF" w:rsidRDefault="00851C60" w:rsidP="00851C60">
      <w:pPr>
        <w:spacing w:after="0" w:line="276" w:lineRule="auto"/>
        <w:ind w:left="709" w:right="709"/>
        <w:contextualSpacing/>
        <w:jc w:val="both"/>
        <w:textAlignment w:val="baseline"/>
        <w:rPr>
          <w:rFonts w:ascii="Arial" w:eastAsia="Times New Roman" w:hAnsi="Arial" w:cs="Arial"/>
          <w:sz w:val="21"/>
          <w:szCs w:val="21"/>
          <w:lang w:val="es-ES" w:eastAsia="es-CO"/>
        </w:rPr>
      </w:pPr>
      <w:r w:rsidRPr="00426ACF">
        <w:rPr>
          <w:rFonts w:ascii="Arial" w:eastAsia="Times New Roman" w:hAnsi="Arial" w:cs="Arial"/>
          <w:sz w:val="21"/>
          <w:szCs w:val="21"/>
          <w:lang w:val="es-ES" w:eastAsia="es-CO"/>
        </w:rPr>
        <w:t>«[…]una entidad estatal, exceptuada del Estatuto Géneral de Contracción de la Administración Pública, que en fomento de buenas prácticas contractuales aplica pliegos tipo, ¿está obligada a tramitar el proceso contractual por los módulos transaccionales de la plataforma SECOP II? o si, por el contrario, Ia aplicación de pliegos tipo no implica omitir el trámite procesal del estatuto de contratación particular, es decir, que el uso de los documentos tipo no obliga al uso de los módulos transaccionales, sino que se puede tramitar por medio de las herramientas de publicidad del SECOP II.»  </w:t>
      </w:r>
    </w:p>
    <w:p w14:paraId="69BDD7F2" w14:textId="77777777" w:rsidR="00851C60" w:rsidRPr="00426ACF" w:rsidRDefault="00851C60" w:rsidP="00851C60">
      <w:pPr>
        <w:spacing w:after="0" w:line="276" w:lineRule="auto"/>
        <w:ind w:left="705" w:right="705"/>
        <w:contextualSpacing/>
        <w:jc w:val="both"/>
        <w:textAlignment w:val="baseline"/>
        <w:rPr>
          <w:rFonts w:ascii="Arial" w:eastAsia="Times New Roman" w:hAnsi="Arial" w:cs="Arial"/>
          <w:lang w:val="es-ES" w:eastAsia="es-CO"/>
        </w:rPr>
      </w:pPr>
      <w:r w:rsidRPr="00426ACF">
        <w:rPr>
          <w:rFonts w:ascii="Arial" w:eastAsia="Times New Roman" w:hAnsi="Arial" w:cs="Arial"/>
          <w:lang w:val="es-ES" w:eastAsia="es-CO"/>
        </w:rPr>
        <w:lastRenderedPageBreak/>
        <w:t> </w:t>
      </w:r>
    </w:p>
    <w:p w14:paraId="33124BDC" w14:textId="77777777" w:rsidR="00851C60" w:rsidRPr="00426ACF" w:rsidRDefault="00851C60" w:rsidP="00851C60">
      <w:pPr>
        <w:spacing w:after="120" w:line="276" w:lineRule="auto"/>
        <w:jc w:val="both"/>
        <w:rPr>
          <w:rFonts w:ascii="Arial" w:eastAsia="Calibri" w:hAnsi="Arial" w:cs="Arial"/>
          <w:lang w:val="es-ES_tradnl"/>
        </w:rPr>
      </w:pPr>
      <w:r w:rsidRPr="00426ACF">
        <w:rPr>
          <w:rFonts w:ascii="Arial" w:hAnsi="Arial" w:cs="Arial"/>
        </w:rPr>
        <w:t>Según se desprende de</w:t>
      </w:r>
      <w:r w:rsidRPr="00426ACF">
        <w:rPr>
          <w:rFonts w:ascii="Arial" w:eastAsia="Calibri" w:hAnsi="Arial" w:cs="Arial"/>
          <w:lang w:val="es-ES" w:eastAsia="es-ES"/>
        </w:rPr>
        <w:t xml:space="preserve"> las consideraciones del presente concepto, en primer lugar deber señalarse que, </w:t>
      </w:r>
      <w:r w:rsidRPr="00426ACF">
        <w:rPr>
          <w:rFonts w:ascii="Arial" w:eastAsia="Calibri" w:hAnsi="Arial" w:cs="Arial"/>
          <w:lang w:val="es-ES_tradnl"/>
        </w:rPr>
        <w:t xml:space="preserve">aunque la publicación en el SECOP de los documentos relacionados con la actividad contractual ya era obligatoria –lo sigue siendo– para las entidades que cuentan con un régimen especial, el artículo 53 de la Ley 2195 de 2022 –que modifica el artículo 13 de la Ley 1150 de 2007–, aplicable a partir del 18 de julio de 2022, establece con mayor precisión este deber y lo complementa con la exigencia de emplear el SECOP II y la definición del alcance de los documentos que deben publicarse, señalando que son los relacionados con su «actividad contractual», indicando que corresponde a todos los «documentos, contratos, actos e información generada por oferentes, contratista, contratante, supervisor o interventor, tanto en la etapa precontractual, como en la contractual y la postcontractual». En ese sentido, la citada disposición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se requiere que publiquen en el SECOP II todo documento expedido durante las diferentes etapas del proceso contractual, abarcando desde la fase previa a su celebración, pasando por la ejecución y hasta la fase posterior a su ejecución. Lo anterior sin perjuicio de las reservas de información establecidas en normas de orden constitucional o legal. </w:t>
      </w:r>
    </w:p>
    <w:p w14:paraId="5FF514CE" w14:textId="77777777" w:rsidR="00851C60" w:rsidRPr="00426ACF" w:rsidRDefault="00851C60" w:rsidP="00851C60">
      <w:pPr>
        <w:autoSpaceDE w:val="0"/>
        <w:autoSpaceDN w:val="0"/>
        <w:adjustRightInd w:val="0"/>
        <w:spacing w:after="120" w:line="276" w:lineRule="auto"/>
        <w:ind w:firstLine="708"/>
        <w:jc w:val="both"/>
        <w:rPr>
          <w:rFonts w:ascii="Arial" w:hAnsi="Arial" w:cs="Arial"/>
          <w:lang w:val="es-MX"/>
        </w:rPr>
      </w:pPr>
      <w:r w:rsidRPr="00426ACF">
        <w:rPr>
          <w:rFonts w:ascii="Arial" w:eastAsia="Calibri" w:hAnsi="Arial" w:cs="Arial"/>
          <w:lang w:val="es-ES_tradnl"/>
        </w:rPr>
        <w:t xml:space="preserve">Ahora bien, </w:t>
      </w:r>
      <w:r w:rsidRPr="00426ACF">
        <w:rPr>
          <w:rFonts w:ascii="Arial" w:eastAsia="Calibri" w:hAnsi="Arial" w:cs="Arial"/>
          <w:iCs/>
          <w:lang w:val="es-ES" w:eastAsia="es-ES_tradnl"/>
        </w:rPr>
        <w:t xml:space="preserve">el artículo 53 </w:t>
      </w:r>
      <w:r w:rsidRPr="00426ACF">
        <w:rPr>
          <w:rFonts w:ascii="Arial" w:eastAsia="Calibri" w:hAnsi="Arial" w:cs="Arial"/>
          <w:i/>
          <w:lang w:val="es-ES" w:eastAsia="es-ES_tradnl"/>
        </w:rPr>
        <w:t>ibidem</w:t>
      </w:r>
      <w:r w:rsidRPr="00426ACF">
        <w:rPr>
          <w:rFonts w:ascii="Arial" w:eastAsia="Calibri" w:hAnsi="Arial" w:cs="Arial"/>
          <w:iCs/>
          <w:lang w:val="es-ES" w:eastAsia="es-ES_tradnl"/>
        </w:rPr>
        <w:t xml:space="preserve"> no cambió la forma en que se perfeccionan los contratos suscritos por las entidades exceptuadas. En ese sentido, dado que la disposición materia de estudio no definió la obligatoriedad sobre el uso transaccional del SECOP II para las entidades exceptuadas, estas podrán usarla de forma transaccional o publicitaria. Por lo anterior, las entidades exceptuadas tienen la posibilidad de elegir cualquiera de las siguientes opciones para cumplir con el deber de publicidad que les asiste:1) f</w:t>
      </w:r>
      <w:r w:rsidRPr="00426ACF">
        <w:rPr>
          <w:rFonts w:ascii="Arial" w:hAnsi="Arial" w:cs="Arial"/>
          <w:lang w:val="es-ES"/>
        </w:rPr>
        <w:t>irmar</w:t>
      </w:r>
      <w:r w:rsidRPr="00426ACF">
        <w:rPr>
          <w:rFonts w:ascii="Arial" w:hAnsi="Arial" w:cs="Arial"/>
          <w:lang w:val="es-MX"/>
        </w:rPr>
        <w:t xml:space="preserve"> el contrato electrónicamente, es decir, realizar un uso transaccional de la plataforma o; 2) firmar el contrato en físico y publicar los documentos de ejecución en la etapa precontractual del SECOP II, es decir, realizar un uso publicitario de la plataforma.</w:t>
      </w:r>
    </w:p>
    <w:p w14:paraId="582C1387" w14:textId="77777777" w:rsidR="00851C60" w:rsidRPr="00426ACF" w:rsidRDefault="00851C60" w:rsidP="00851C60">
      <w:pPr>
        <w:spacing w:after="120" w:line="276" w:lineRule="auto"/>
        <w:ind w:firstLine="708"/>
        <w:jc w:val="both"/>
        <w:rPr>
          <w:rFonts w:ascii="Arial" w:hAnsi="Arial" w:cs="Arial"/>
          <w:bCs/>
          <w:shd w:val="clear" w:color="auto" w:fill="FFFFFF"/>
          <w:lang w:val="es-ES_tradnl"/>
        </w:rPr>
      </w:pPr>
      <w:r w:rsidRPr="00426ACF">
        <w:rPr>
          <w:rFonts w:ascii="Arial" w:hAnsi="Arial" w:cs="Arial"/>
          <w:bCs/>
          <w:shd w:val="clear" w:color="auto" w:fill="FFFFFF"/>
          <w:lang w:val="es-ES_tradnl"/>
        </w:rPr>
        <w:t xml:space="preserve">En segundo lugar, debe tenerse en cuenta que,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excluían del ámbito de aplicación de los documentos tipo la contratación de entidades estatales de régimen exceptuado, por lo general, sujetas al derecho privado. No obstante, este panorama ha variado con la reciente expedición de la Ley 2195 de 2022, «Por medio de la cual se adoptan medidas en materia de transparencia, prevención y lucha contra la corrupción y se dictan otras disposiciones», específicamente con lo dispuesto en su artículo 56. </w:t>
      </w:r>
    </w:p>
    <w:p w14:paraId="2DF60314" w14:textId="77777777" w:rsidR="00851C60" w:rsidRPr="00426ACF" w:rsidRDefault="00851C60" w:rsidP="00851C60">
      <w:pPr>
        <w:spacing w:after="120" w:line="276" w:lineRule="auto"/>
        <w:ind w:firstLine="708"/>
        <w:jc w:val="both"/>
        <w:rPr>
          <w:rFonts w:ascii="Arial" w:eastAsia="Calibri" w:hAnsi="Arial" w:cs="Arial"/>
          <w:bCs/>
          <w:lang w:val="es-ES_tradnl" w:eastAsia="es-ES_tradnl"/>
        </w:rPr>
      </w:pPr>
      <w:r w:rsidRPr="00426ACF">
        <w:rPr>
          <w:rFonts w:ascii="Arial" w:hAnsi="Arial" w:cs="Arial"/>
          <w:bCs/>
          <w:shd w:val="clear" w:color="auto" w:fill="FFFFFF"/>
          <w:lang w:val="es-ES_tradnl"/>
        </w:rPr>
        <w:t xml:space="preserve">En efecto, </w:t>
      </w:r>
      <w:r w:rsidRPr="00426ACF">
        <w:rPr>
          <w:rFonts w:ascii="Arial" w:eastAsia="Calibri" w:hAnsi="Arial" w:cs="Arial"/>
          <w:bCs/>
          <w:lang w:val="es-ES_tradnl" w:eastAsia="es-ES_tradnl"/>
        </w:rPr>
        <w:t xml:space="preserve">el inciso primero del artículo 56 de la Ley 2195 de 2022 surge como una disposición complementaria de la Ley 2022 de 2020, en la medida en que la norma busca </w:t>
      </w:r>
      <w:r w:rsidRPr="00426ACF">
        <w:rPr>
          <w:rFonts w:ascii="Arial" w:eastAsia="Calibri" w:hAnsi="Arial" w:cs="Arial"/>
          <w:bCs/>
          <w:lang w:val="es-ES_tradnl" w:eastAsia="es-ES_tradnl"/>
        </w:rPr>
        <w:lastRenderedPageBreak/>
        <w:t xml:space="preserve">extender la aplicación obligatoria de los documentos tipo a la celebración de contratos o convenios interadministrativos entre entidades regidas por EGCAP y otros sujetos cuyo régimen de contratación prevalente es el derecho privado, negocios jurídicos que, antes de la expedición de la norma en comento, estaban relevados de aplicar los documentos tipo, debido a la existencia de disposiciones como la contenida en el inciso 2 del literal c) del artículo 2-4 de la Ley 1150 de 2007, la cual fue analizada en el numeral 2.2.2 del presente concepto. Así las cosas, de acuerdo con la norma en comento, cuando una entidad estatal regida por el EGCAP celebre contratos o convenios con otra entidad estatal de régimen especial, con patrimonios autónomos o con personas naturales o jurídicas de derecho privado debe hacerlo aplicando los documentos tipo. </w:t>
      </w:r>
      <w:r w:rsidRPr="00426ACF">
        <w:rPr>
          <w:rFonts w:ascii="Arial" w:eastAsia="Times New Roman" w:hAnsi="Arial" w:cs="Arial"/>
          <w:lang w:eastAsia="es-ES_tradnl"/>
        </w:rPr>
        <w:t xml:space="preserve">Esto implica que si las entidades estatales exceptuadas, los patrimonios autónomos y las personas naturales o jurídicas de derecho privado pretenden ser adjudicatarias de estos contratos, deben someterse a un proceso de selección en el que se apliquen documentos tipo expedidos por esta Agencia. </w:t>
      </w:r>
    </w:p>
    <w:p w14:paraId="51E0D25B" w14:textId="77777777" w:rsidR="00851C60" w:rsidRPr="00426ACF" w:rsidRDefault="00851C60" w:rsidP="00851C60">
      <w:pPr>
        <w:tabs>
          <w:tab w:val="left" w:pos="0"/>
        </w:tabs>
        <w:spacing w:after="120" w:line="276" w:lineRule="auto"/>
        <w:jc w:val="both"/>
        <w:rPr>
          <w:rFonts w:ascii="Arial" w:eastAsia="Times New Roman" w:hAnsi="Arial" w:cs="Arial"/>
          <w:lang w:eastAsia="es-CO"/>
        </w:rPr>
      </w:pPr>
      <w:r w:rsidRPr="00426ACF">
        <w:rPr>
          <w:rFonts w:ascii="Arial" w:eastAsia="Calibri" w:hAnsi="Arial" w:cs="Arial"/>
          <w:bCs/>
          <w:lang w:val="es-ES_tradnl" w:eastAsia="es-ES_tradnl"/>
        </w:rPr>
        <w:tab/>
        <w:t xml:space="preserve">Sin perjuicio de lo anterior, solo es posible comprender los efectos de lo dispuesto en el artículo 56 de la Ley 2195 de 2020 interpretando de manera conjunta todos sus componentes. Esto comoquiera que, a lo anterior se le suman las implicaciones de lo ordenado por el segundo inciso de la norma, en referencia a los procedimientos de selección y contratos que deban celebrarse en desarrollo de los negocios jurídicos a los que se refiere el primer inciso, en los que, además de la aplicación de los documentos tipo, se dispone la aplicación del EGCAP. Al respecto, resulta importante precisar que, cuando el segundo inciso de la norma bajo estudio usa la expresión </w:t>
      </w:r>
      <w:r w:rsidRPr="00426ACF">
        <w:rPr>
          <w:rFonts w:ascii="Arial" w:eastAsia="Calibri" w:hAnsi="Arial" w:cs="Arial"/>
          <w:lang w:val="es-ES_tradnl" w:eastAsia="es-ES_tradnl"/>
        </w:rPr>
        <w:t>«</w:t>
      </w:r>
      <w:r w:rsidRPr="00426ACF">
        <w:rPr>
          <w:rFonts w:ascii="Arial" w:eastAsia="Times New Roman" w:hAnsi="Arial" w:cs="Arial"/>
          <w:lang w:eastAsia="es-ES_tradnl"/>
        </w:rPr>
        <w:t xml:space="preserve">los procedimientos de selección y </w:t>
      </w:r>
      <w:r w:rsidRPr="00426ACF">
        <w:rPr>
          <w:rFonts w:ascii="Arial" w:eastAsia="Times New Roman" w:hAnsi="Arial" w:cs="Arial"/>
          <w:i/>
          <w:iCs/>
          <w:lang w:eastAsia="es-ES_tradnl"/>
        </w:rPr>
        <w:t>contratos que realicen en desarrollo de los anteriores negocios jurídicos</w:t>
      </w:r>
      <w:r w:rsidRPr="00426ACF">
        <w:rPr>
          <w:rFonts w:ascii="Arial" w:eastAsia="Calibri" w:hAnsi="Arial" w:cs="Arial"/>
          <w:lang w:val="es-ES_tradnl" w:eastAsia="es-ES_tradnl"/>
        </w:rPr>
        <w:t>»</w:t>
      </w:r>
      <w:r w:rsidRPr="00426ACF">
        <w:rPr>
          <w:rFonts w:ascii="Arial" w:eastAsia="Times New Roman" w:hAnsi="Arial" w:cs="Arial"/>
          <w:lang w:eastAsia="es-ES_tradnl"/>
        </w:rPr>
        <w:t xml:space="preserve"> alude a los negocios jurídicos descritos en el primer inciso, es decir, aquellos a través de los cuales una entidad estatal sometida al EGCAP contrata a un sujeto de derecho privado –entidad exceptuada, patrimonio autónomo o persona natural o jurídica de derecho privado – para que le suministre un bien, obra o servicio cobijada por un documentos tipo. </w:t>
      </w:r>
      <w:r w:rsidRPr="00426ACF">
        <w:rPr>
          <w:rFonts w:ascii="Arial" w:eastAsia="Times New Roman" w:hAnsi="Arial" w:cs="Arial"/>
          <w:lang w:eastAsia="es-CO"/>
        </w:rPr>
        <w:t xml:space="preserve">En ese sentido, la norma parte de la base de que para </w:t>
      </w:r>
      <w:r w:rsidRPr="00426ACF">
        <w:rPr>
          <w:rFonts w:ascii="Arial" w:eastAsia="Times New Roman" w:hAnsi="Arial" w:cs="Arial"/>
          <w:i/>
          <w:iCs/>
          <w:lang w:eastAsia="es-CO"/>
        </w:rPr>
        <w:t>desarrollar</w:t>
      </w:r>
      <w:r w:rsidRPr="00426ACF">
        <w:rPr>
          <w:rFonts w:ascii="Arial" w:eastAsia="Times New Roman" w:hAnsi="Arial" w:cs="Arial"/>
          <w:lang w:eastAsia="es-CO"/>
        </w:rPr>
        <w:t xml:space="preserve"> tales negocios jurídicos la Entidad Estatal sometida, necesariamente debe adelantar un procedimiento de selección y suscribir un contrato elevado a escrito, lo que, en atención al artículo 56 deberá hacer aplicando documentos tipo y con sujeción al EGCAP.  </w:t>
      </w:r>
    </w:p>
    <w:p w14:paraId="38F2E0D3" w14:textId="77777777" w:rsidR="00851C60" w:rsidRPr="00426ACF" w:rsidRDefault="00851C60" w:rsidP="00851C60">
      <w:pPr>
        <w:tabs>
          <w:tab w:val="left" w:pos="0"/>
        </w:tabs>
        <w:spacing w:after="120" w:line="276" w:lineRule="auto"/>
        <w:jc w:val="both"/>
        <w:rPr>
          <w:rFonts w:ascii="Arial" w:eastAsia="Times New Roman" w:hAnsi="Arial" w:cs="Arial"/>
          <w:lang w:eastAsia="es-CO"/>
        </w:rPr>
      </w:pPr>
      <w:r w:rsidRPr="00426ACF">
        <w:rPr>
          <w:rFonts w:ascii="Arial" w:eastAsia="Calibri" w:hAnsi="Arial" w:cs="Arial"/>
          <w:bCs/>
          <w:lang w:val="es-ES_tradnl" w:eastAsia="es-ES_tradnl"/>
        </w:rPr>
        <w:tab/>
        <w:t xml:space="preserve">De lo analizado hasta aquí es posible concluir que, el efecto principal de la norma bajo estudio es la ampliación de los documentos tipo al hacerlos obligatorios frente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w:t>
      </w:r>
      <w:r w:rsidRPr="00426ACF">
        <w:rPr>
          <w:rFonts w:ascii="Arial" w:eastAsia="Calibri" w:hAnsi="Arial" w:cs="Arial"/>
          <w:bCs/>
          <w:lang w:val="es-ES_tradnl" w:eastAsia="es-ES_tradnl"/>
        </w:rPr>
        <w:lastRenderedPageBreak/>
        <w:t>regla general aplica la entidad ejecutora, tratándose de objetos cobijados por documentos tipo, los mismos deberán ser contratados aplicando tales pliegos tipo y las disposiciones del EGCAP, por efecto del artículo 56 de la Ley 2195 de 2022.</w:t>
      </w:r>
    </w:p>
    <w:p w14:paraId="58A7CA7B" w14:textId="77777777" w:rsidR="00851C60" w:rsidRPr="00426ACF" w:rsidRDefault="00851C60" w:rsidP="00851C60">
      <w:pPr>
        <w:tabs>
          <w:tab w:val="left" w:pos="0"/>
        </w:tabs>
        <w:spacing w:line="276" w:lineRule="auto"/>
        <w:jc w:val="both"/>
        <w:rPr>
          <w:rFonts w:ascii="Arial" w:hAnsi="Arial" w:cs="Arial"/>
          <w:shd w:val="clear" w:color="auto" w:fill="FFFFFF"/>
          <w:lang w:val="es-ES_tradnl"/>
        </w:rPr>
      </w:pPr>
      <w:r w:rsidRPr="00426ACF">
        <w:rPr>
          <w:rFonts w:ascii="Arial" w:eastAsia="Times New Roman" w:hAnsi="Arial" w:cs="Arial"/>
          <w:lang w:eastAsia="es-CO"/>
        </w:rPr>
        <w:tab/>
        <w:t xml:space="preserve">Ahora bien, conforme </w:t>
      </w:r>
      <w:r w:rsidRPr="00426ACF">
        <w:rPr>
          <w:rFonts w:ascii="Arial" w:eastAsia="Calibri" w:hAnsi="Arial" w:cs="Arial"/>
          <w:bCs/>
          <w:lang w:val="es-ES_tradnl" w:eastAsia="es-ES_tradnl"/>
        </w:rPr>
        <w:t xml:space="preserve">se desprende del texto parágrafo del artículo 56 </w:t>
      </w:r>
      <w:r w:rsidRPr="00426ACF">
        <w:rPr>
          <w:rFonts w:ascii="Arial" w:eastAsia="Calibri" w:hAnsi="Arial" w:cs="Arial"/>
          <w:bCs/>
          <w:i/>
          <w:iCs/>
          <w:lang w:val="es-ES_tradnl" w:eastAsia="es-ES_tradnl"/>
        </w:rPr>
        <w:t>ibidem</w:t>
      </w:r>
      <w:r w:rsidRPr="00426ACF">
        <w:rPr>
          <w:rFonts w:ascii="Arial" w:eastAsia="Calibri" w:hAnsi="Arial" w:cs="Arial"/>
          <w:bCs/>
          <w:lang w:val="es-ES_tradnl" w:eastAsia="es-ES_tradnl"/>
        </w:rPr>
        <w:t xml:space="preserve">, se exceptúan de lo señalado en los dos primeros incisos de la norma a: i) las instituciones de educación superior públicas, ii) las empresas sociales del Estado, iii) las sociedades de economía mixta y iv) las empresas industriales y comerciales del Estado, únicamente, en la contratación relacionada con el </w:t>
      </w:r>
      <w:r w:rsidRPr="00426ACF">
        <w:rPr>
          <w:rFonts w:ascii="Arial" w:eastAsia="Calibri" w:hAnsi="Arial" w:cs="Arial"/>
          <w:bCs/>
          <w:i/>
          <w:iCs/>
          <w:lang w:val="es-ES_tradnl" w:eastAsia="es-ES_tradnl"/>
        </w:rPr>
        <w:t>giro ordinario.</w:t>
      </w:r>
      <w:r w:rsidRPr="00426ACF">
        <w:rPr>
          <w:rFonts w:ascii="Arial" w:eastAsia="Calibri" w:hAnsi="Arial" w:cs="Arial"/>
          <w:bCs/>
          <w:lang w:val="es-ES_tradnl" w:eastAsia="es-ES_tradnl"/>
        </w:rPr>
        <w:t xml:space="preserve"> Esto significa que, en la contratación asociada a su </w:t>
      </w:r>
      <w:r w:rsidRPr="00426ACF">
        <w:rPr>
          <w:rFonts w:ascii="Arial" w:eastAsia="Calibri" w:hAnsi="Arial" w:cs="Arial"/>
          <w:bCs/>
          <w:i/>
          <w:iCs/>
          <w:lang w:val="es-ES_tradnl" w:eastAsia="es-ES_tradnl"/>
        </w:rPr>
        <w:t xml:space="preserve">giro ordinario, </w:t>
      </w:r>
      <w:r w:rsidRPr="00426ACF">
        <w:rPr>
          <w:rFonts w:ascii="Arial" w:eastAsia="Calibri" w:hAnsi="Arial" w:cs="Arial"/>
          <w:bCs/>
          <w:lang w:val="es-ES_tradnl" w:eastAsia="es-ES_tradnl"/>
        </w:rPr>
        <w:t>estos tipos de entidades no tendrían que aplicar, los documentos tipo de manera obligatoria ni tampoco el EGCAP. En este caso la norma se limita a fomentar la implementación de documentos tipo a modo de buena práctica contractual, en los casos en los que se estime conveniente.</w:t>
      </w:r>
      <w:r w:rsidRPr="00426ACF">
        <w:rPr>
          <w:rFonts w:ascii="Arial" w:hAnsi="Arial" w:cs="Arial"/>
          <w:bCs/>
          <w:shd w:val="clear" w:color="auto" w:fill="FFFFFF"/>
          <w:lang w:val="es-ES_tradnl"/>
        </w:rPr>
        <w:t xml:space="preserve"> En relación con </w:t>
      </w:r>
      <w:r w:rsidRPr="00426ACF">
        <w:rPr>
          <w:rFonts w:ascii="Arial" w:eastAsia="Calibri" w:hAnsi="Arial" w:cs="Arial"/>
          <w:bCs/>
          <w:lang w:val="es-ES_tradnl"/>
        </w:rPr>
        <w:t xml:space="preserve">las excepciones consagradas en el parágrafo, </w:t>
      </w:r>
      <w:r w:rsidRPr="00426ACF">
        <w:rPr>
          <w:rFonts w:ascii="Arial" w:hAnsi="Arial" w:cs="Arial"/>
          <w:shd w:val="clear" w:color="auto" w:fill="FFFFFF"/>
          <w:lang w:val="es-ES_tradnl"/>
        </w:rPr>
        <w:t>cada entidad pública debe hacer un ejercicio de subsunción a efectos de determinar si la noma en cita resulta aplicable, dada su naturaleza jurídica.</w:t>
      </w:r>
    </w:p>
    <w:p w14:paraId="380FA3A1" w14:textId="77777777" w:rsidR="00851C60" w:rsidRPr="00426ACF" w:rsidRDefault="00851C60" w:rsidP="00851C60">
      <w:pPr>
        <w:spacing w:after="0" w:line="276" w:lineRule="auto"/>
        <w:ind w:firstLine="708"/>
        <w:contextualSpacing/>
        <w:jc w:val="both"/>
        <w:rPr>
          <w:rFonts w:ascii="Arial" w:eastAsia="Times New Roman" w:hAnsi="Arial" w:cs="Arial"/>
          <w:lang w:val="es-ES" w:eastAsia="es-CO"/>
        </w:rPr>
      </w:pPr>
      <w:r w:rsidRPr="00426ACF">
        <w:rPr>
          <w:rFonts w:ascii="Arial" w:eastAsia="Times New Roman" w:hAnsi="Arial" w:cs="Arial"/>
          <w:lang w:val="es-ES" w:eastAsia="es-CO"/>
        </w:rPr>
        <w:t>Finalmente, de cara a la consulta planteada, teniendo en cuenta los argumentos expuestos en relación al uso del SECOP II como plataforma publicitaria y transaccional parea la entidades exceptuadas, y armonizando ello con el principio de inalterabilidad que rige a los documentos tipo</w:t>
      </w:r>
      <w:r w:rsidRPr="00426ACF">
        <w:rPr>
          <w:rFonts w:ascii="Arial" w:hAnsi="Arial" w:cs="Arial"/>
        </w:rPr>
        <w:t>, para publicar en SECOP, las entidades estatales deberán seguir las indicaciones dispuestas en los documentos tipo, especialmente, en el Documento Base de los mismos, en las que se indica cómo se deberá surtir el trámite de publicidad en la respectiva plataforma a través de la cual se va a adelantar el proceso, bien sea SECOP I o SECOP II.</w:t>
      </w:r>
    </w:p>
    <w:p w14:paraId="4B053440" w14:textId="77777777" w:rsidR="00851C60" w:rsidRPr="00426ACF" w:rsidRDefault="00851C60" w:rsidP="00851C60">
      <w:pPr>
        <w:spacing w:after="0" w:line="276" w:lineRule="auto"/>
        <w:jc w:val="both"/>
        <w:textAlignment w:val="baseline"/>
        <w:rPr>
          <w:rFonts w:ascii="Arial" w:eastAsia="Times New Roman" w:hAnsi="Arial" w:cs="Arial"/>
          <w:lang w:val="es-ES" w:eastAsia="es-CO"/>
        </w:rPr>
      </w:pPr>
    </w:p>
    <w:p w14:paraId="552FA183" w14:textId="77777777" w:rsidR="00A0664A" w:rsidRDefault="00A0664A" w:rsidP="00851C60">
      <w:pPr>
        <w:spacing w:after="0" w:line="276" w:lineRule="auto"/>
        <w:jc w:val="both"/>
        <w:textAlignment w:val="baseline"/>
        <w:rPr>
          <w:rFonts w:ascii="Arial" w:eastAsia="Times New Roman" w:hAnsi="Arial" w:cs="Arial"/>
          <w:lang w:val="es-ES" w:eastAsia="es-CO"/>
        </w:rPr>
      </w:pPr>
    </w:p>
    <w:p w14:paraId="7473F9DC" w14:textId="77777777" w:rsidR="00A0664A" w:rsidRDefault="00A0664A" w:rsidP="00851C60">
      <w:pPr>
        <w:spacing w:after="0" w:line="276" w:lineRule="auto"/>
        <w:jc w:val="both"/>
        <w:textAlignment w:val="baseline"/>
        <w:rPr>
          <w:rFonts w:ascii="Arial" w:eastAsia="Times New Roman" w:hAnsi="Arial" w:cs="Arial"/>
          <w:lang w:val="es-ES" w:eastAsia="es-CO"/>
        </w:rPr>
      </w:pPr>
    </w:p>
    <w:p w14:paraId="23B18834" w14:textId="77777777" w:rsidR="00A0664A" w:rsidRDefault="00A0664A" w:rsidP="00851C60">
      <w:pPr>
        <w:spacing w:after="0" w:line="276" w:lineRule="auto"/>
        <w:jc w:val="both"/>
        <w:textAlignment w:val="baseline"/>
        <w:rPr>
          <w:rFonts w:ascii="Arial" w:eastAsia="Times New Roman" w:hAnsi="Arial" w:cs="Arial"/>
          <w:lang w:val="es-ES" w:eastAsia="es-CO"/>
        </w:rPr>
      </w:pPr>
    </w:p>
    <w:p w14:paraId="0DA78355" w14:textId="77777777" w:rsidR="00A0664A" w:rsidRDefault="00A0664A" w:rsidP="00851C60">
      <w:pPr>
        <w:spacing w:after="0" w:line="276" w:lineRule="auto"/>
        <w:jc w:val="both"/>
        <w:textAlignment w:val="baseline"/>
        <w:rPr>
          <w:rFonts w:ascii="Arial" w:eastAsia="Times New Roman" w:hAnsi="Arial" w:cs="Arial"/>
          <w:lang w:val="es-ES" w:eastAsia="es-CO"/>
        </w:rPr>
      </w:pPr>
    </w:p>
    <w:p w14:paraId="5912D84D" w14:textId="77777777" w:rsidR="00A0664A" w:rsidRDefault="00A0664A" w:rsidP="00851C60">
      <w:pPr>
        <w:spacing w:after="0" w:line="276" w:lineRule="auto"/>
        <w:jc w:val="both"/>
        <w:textAlignment w:val="baseline"/>
        <w:rPr>
          <w:rFonts w:ascii="Arial" w:eastAsia="Times New Roman" w:hAnsi="Arial" w:cs="Arial"/>
          <w:lang w:val="es-ES" w:eastAsia="es-CO"/>
        </w:rPr>
      </w:pPr>
    </w:p>
    <w:p w14:paraId="1547F1DB" w14:textId="77777777" w:rsidR="00A0664A" w:rsidRDefault="00A0664A" w:rsidP="00851C60">
      <w:pPr>
        <w:spacing w:after="0" w:line="276" w:lineRule="auto"/>
        <w:jc w:val="both"/>
        <w:textAlignment w:val="baseline"/>
        <w:rPr>
          <w:rFonts w:ascii="Arial" w:eastAsia="Times New Roman" w:hAnsi="Arial" w:cs="Arial"/>
          <w:lang w:val="es-ES" w:eastAsia="es-CO"/>
        </w:rPr>
      </w:pPr>
    </w:p>
    <w:p w14:paraId="21B25025" w14:textId="4300EB19" w:rsidR="00851C60" w:rsidRPr="00426ACF" w:rsidRDefault="00851C60" w:rsidP="00851C60">
      <w:pPr>
        <w:spacing w:after="0" w:line="276" w:lineRule="auto"/>
        <w:jc w:val="both"/>
        <w:textAlignment w:val="baseline"/>
        <w:rPr>
          <w:rFonts w:ascii="Arial" w:eastAsia="Times New Roman" w:hAnsi="Arial" w:cs="Arial"/>
          <w:lang w:val="es-ES" w:eastAsia="es-CO"/>
        </w:rPr>
      </w:pPr>
      <w:r w:rsidRPr="00426ACF">
        <w:rPr>
          <w:rFonts w:ascii="Arial" w:eastAsia="Times New Roman" w:hAnsi="Arial" w:cs="Arial"/>
          <w:lang w:val="es-ES" w:eastAsia="es-CO"/>
        </w:rPr>
        <w:t>Este concepto tiene el alcance previsto en el artículo 28 del Código de Procedimiento Administrativo y de lo Contencioso Administrativo</w:t>
      </w:r>
      <w:r w:rsidRPr="00426ACF">
        <w:rPr>
          <w:rFonts w:ascii="Arial" w:hAnsi="Arial" w:cs="Arial"/>
          <w:bCs/>
          <w:color w:val="000000" w:themeColor="text1"/>
        </w:rPr>
        <w:t xml:space="preserve"> y </w:t>
      </w:r>
      <w:r w:rsidRPr="00426ACF">
        <w:rPr>
          <w:rFonts w:ascii="Arial" w:hAnsi="Arial" w:cs="Arial"/>
        </w:rPr>
        <w:t>las expresiones aquí utilizadas con mayúscula inicial deben ser entendidas con el significado que les otorga el artículo 2.2.1.1.1.3.1. del Decreto 1082 de 2015</w:t>
      </w:r>
      <w:r w:rsidRPr="00426ACF">
        <w:rPr>
          <w:rFonts w:ascii="Arial" w:eastAsia="Times New Roman" w:hAnsi="Arial" w:cs="Arial"/>
          <w:lang w:val="es-ES" w:eastAsia="es-CO"/>
        </w:rPr>
        <w:t>. </w:t>
      </w:r>
    </w:p>
    <w:p w14:paraId="50B96D90" w14:textId="77777777" w:rsidR="00851C60" w:rsidRPr="00426ACF" w:rsidRDefault="00851C60" w:rsidP="00851C60">
      <w:pPr>
        <w:spacing w:after="0" w:line="276" w:lineRule="auto"/>
        <w:jc w:val="both"/>
        <w:textAlignment w:val="baseline"/>
        <w:rPr>
          <w:rFonts w:ascii="Arial" w:eastAsia="Times New Roman" w:hAnsi="Arial" w:cs="Arial"/>
          <w:lang w:val="es-ES" w:eastAsia="es-CO"/>
        </w:rPr>
      </w:pPr>
      <w:r w:rsidRPr="00426ACF">
        <w:rPr>
          <w:rFonts w:ascii="Arial" w:eastAsia="Times New Roman" w:hAnsi="Arial" w:cs="Arial"/>
          <w:lang w:val="es-ES" w:eastAsia="es-CO"/>
        </w:rPr>
        <w:t> </w:t>
      </w:r>
    </w:p>
    <w:p w14:paraId="74AD0A25" w14:textId="77777777" w:rsidR="00851C60" w:rsidRPr="00426ACF" w:rsidRDefault="00851C60" w:rsidP="00851C60">
      <w:pPr>
        <w:spacing w:after="0" w:line="276" w:lineRule="auto"/>
        <w:jc w:val="both"/>
        <w:rPr>
          <w:rFonts w:ascii="Arial" w:eastAsia="Times New Roman" w:hAnsi="Arial" w:cs="Arial"/>
          <w:lang w:val="es-ES" w:eastAsia="es-CO"/>
        </w:rPr>
      </w:pPr>
      <w:r w:rsidRPr="00426ACF">
        <w:rPr>
          <w:rFonts w:ascii="Arial" w:eastAsia="Times New Roman" w:hAnsi="Arial" w:cs="Arial"/>
          <w:lang w:val="es-ES" w:eastAsia="es-CO"/>
        </w:rPr>
        <w:t>Cordialmente,</w:t>
      </w:r>
    </w:p>
    <w:p w14:paraId="2D6B2FAB" w14:textId="77777777" w:rsidR="00851C60" w:rsidRPr="00426ACF" w:rsidRDefault="00851C60" w:rsidP="00851C60">
      <w:pPr>
        <w:spacing w:line="276" w:lineRule="auto"/>
        <w:contextualSpacing/>
        <w:jc w:val="both"/>
        <w:rPr>
          <w:rFonts w:ascii="Arial" w:hAnsi="Arial" w:cs="Arial"/>
          <w:lang w:val="es-ES_tradnl" w:eastAsia="es-CO"/>
        </w:rPr>
      </w:pPr>
    </w:p>
    <w:p w14:paraId="2DE55DB8" w14:textId="77777777" w:rsidR="00426ACF" w:rsidRDefault="00426ACF" w:rsidP="00426ACF">
      <w:pPr>
        <w:rPr>
          <w:noProof/>
        </w:rPr>
      </w:pPr>
    </w:p>
    <w:p w14:paraId="04108146" w14:textId="1F7AF51E" w:rsidR="00851C60" w:rsidRPr="00426ACF" w:rsidRDefault="00426ACF" w:rsidP="00851C60">
      <w:pPr>
        <w:jc w:val="center"/>
        <w:rPr>
          <w:rFonts w:ascii="Arial" w:hAnsi="Arial" w:cs="Arial"/>
          <w:sz w:val="16"/>
          <w:szCs w:val="16"/>
          <w:lang w:val="es-ES"/>
        </w:rPr>
      </w:pPr>
      <w:r>
        <w:rPr>
          <w:rFonts w:ascii="Arial" w:hAnsi="Arial" w:cs="Arial"/>
          <w:noProof/>
          <w:color w:val="3B3838" w:themeColor="background2" w:themeShade="40"/>
          <w:sz w:val="18"/>
          <w:szCs w:val="18"/>
        </w:rPr>
        <w:lastRenderedPageBreak/>
        <w:drawing>
          <wp:inline distT="0" distB="0" distL="0" distR="0" wp14:anchorId="4B1A4F06" wp14:editId="4B566BD3">
            <wp:extent cx="2755900" cy="859790"/>
            <wp:effectExtent l="0" t="0" r="6350" b="0"/>
            <wp:docPr id="6" name="Imagen 6"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55900" cy="859790"/>
                    </a:xfrm>
                    <a:prstGeom prst="rect">
                      <a:avLst/>
                    </a:prstGeom>
                    <a:noFill/>
                  </pic:spPr>
                </pic:pic>
              </a:graphicData>
            </a:graphic>
          </wp:inline>
        </w:drawing>
      </w:r>
      <w:r w:rsidR="00851C60" w:rsidRPr="00426ACF">
        <w:rPr>
          <w:rFonts w:ascii="Arial" w:hAnsi="Arial" w:cs="Arial"/>
          <w:lang w:val="es-ES"/>
        </w:rPr>
        <w:br/>
      </w:r>
    </w:p>
    <w:tbl>
      <w:tblPr>
        <w:tblW w:w="5225" w:type="dxa"/>
        <w:tblBorders>
          <w:top w:val="nil"/>
          <w:left w:val="nil"/>
          <w:bottom w:val="nil"/>
          <w:right w:val="nil"/>
          <w:insideH w:val="nil"/>
          <w:insideV w:val="nil"/>
        </w:tblBorders>
        <w:tblLayout w:type="fixed"/>
        <w:tblLook w:val="0400" w:firstRow="0" w:lastRow="0" w:firstColumn="0" w:lastColumn="0" w:noHBand="0" w:noVBand="1"/>
      </w:tblPr>
      <w:tblGrid>
        <w:gridCol w:w="812"/>
        <w:gridCol w:w="4413"/>
      </w:tblGrid>
      <w:tr w:rsidR="00851C60" w:rsidRPr="00426ACF" w14:paraId="3A4B1FF9" w14:textId="77777777" w:rsidTr="000C7A6F">
        <w:trPr>
          <w:trHeight w:val="315"/>
        </w:trPr>
        <w:tc>
          <w:tcPr>
            <w:tcW w:w="812" w:type="dxa"/>
            <w:vAlign w:val="center"/>
          </w:tcPr>
          <w:p w14:paraId="083C1F38" w14:textId="77777777" w:rsidR="00851C60" w:rsidRPr="00426ACF" w:rsidRDefault="00851C60" w:rsidP="000C7A6F">
            <w:pPr>
              <w:spacing w:after="0" w:line="276" w:lineRule="auto"/>
              <w:rPr>
                <w:rFonts w:ascii="Arial" w:eastAsia="Times New Roman" w:hAnsi="Arial" w:cs="Arial"/>
                <w:sz w:val="16"/>
                <w:szCs w:val="16"/>
                <w:lang w:val="es-ES" w:eastAsia="es-CO"/>
              </w:rPr>
            </w:pPr>
            <w:r w:rsidRPr="00426ACF">
              <w:rPr>
                <w:rFonts w:ascii="Arial" w:eastAsia="Times New Roman" w:hAnsi="Arial" w:cs="Arial"/>
                <w:sz w:val="16"/>
                <w:szCs w:val="16"/>
                <w:lang w:val="es-ES" w:eastAsia="es-CO"/>
              </w:rPr>
              <w:t>Elaboró:</w:t>
            </w:r>
          </w:p>
        </w:tc>
        <w:tc>
          <w:tcPr>
            <w:tcW w:w="4413" w:type="dxa"/>
            <w:tcBorders>
              <w:top w:val="nil"/>
              <w:left w:val="nil"/>
              <w:bottom w:val="dotted" w:sz="4" w:space="0" w:color="7F7F7F"/>
              <w:right w:val="nil"/>
            </w:tcBorders>
            <w:vAlign w:val="center"/>
          </w:tcPr>
          <w:p w14:paraId="05865115" w14:textId="77777777" w:rsidR="00851C60" w:rsidRPr="00426ACF" w:rsidRDefault="00851C60" w:rsidP="000C7A6F">
            <w:pPr>
              <w:spacing w:after="0" w:line="276" w:lineRule="auto"/>
              <w:rPr>
                <w:rFonts w:ascii="Arial" w:eastAsia="Times New Roman" w:hAnsi="Arial" w:cs="Arial"/>
                <w:sz w:val="16"/>
                <w:szCs w:val="16"/>
                <w:lang w:val="es-ES" w:eastAsia="es-CO"/>
              </w:rPr>
            </w:pPr>
            <w:r w:rsidRPr="00426ACF">
              <w:rPr>
                <w:rFonts w:ascii="Arial" w:eastAsia="Times New Roman" w:hAnsi="Arial" w:cs="Arial"/>
                <w:sz w:val="16"/>
                <w:szCs w:val="16"/>
                <w:lang w:val="es-ES" w:eastAsia="es-CO"/>
              </w:rPr>
              <w:t xml:space="preserve">María Valeska Medellín Mora </w:t>
            </w:r>
          </w:p>
          <w:p w14:paraId="0CE14CC7" w14:textId="77777777" w:rsidR="00851C60" w:rsidRPr="00426ACF" w:rsidRDefault="00851C60" w:rsidP="000C7A6F">
            <w:pPr>
              <w:spacing w:after="0" w:line="276" w:lineRule="auto"/>
              <w:rPr>
                <w:rFonts w:ascii="Arial" w:eastAsia="Times New Roman" w:hAnsi="Arial" w:cs="Arial"/>
                <w:sz w:val="16"/>
                <w:szCs w:val="16"/>
                <w:lang w:val="es-ES" w:eastAsia="es-CO"/>
              </w:rPr>
            </w:pPr>
            <w:r w:rsidRPr="00426ACF">
              <w:rPr>
                <w:rFonts w:ascii="Arial" w:eastAsia="Times New Roman" w:hAnsi="Arial" w:cs="Arial"/>
                <w:sz w:val="16"/>
                <w:szCs w:val="16"/>
                <w:lang w:val="es-ES" w:eastAsia="es-CO"/>
              </w:rPr>
              <w:t>Gestor T1- 15 Subdirección de Gestión Contractual</w:t>
            </w:r>
          </w:p>
        </w:tc>
      </w:tr>
      <w:tr w:rsidR="00851C60" w:rsidRPr="00426ACF" w14:paraId="664FD28B" w14:textId="77777777" w:rsidTr="000C7A6F">
        <w:trPr>
          <w:trHeight w:val="330"/>
        </w:trPr>
        <w:tc>
          <w:tcPr>
            <w:tcW w:w="812" w:type="dxa"/>
            <w:vAlign w:val="center"/>
          </w:tcPr>
          <w:p w14:paraId="6F165757" w14:textId="77777777" w:rsidR="00851C60" w:rsidRPr="00426ACF" w:rsidRDefault="00851C60" w:rsidP="000C7A6F">
            <w:pPr>
              <w:spacing w:after="0" w:line="276" w:lineRule="auto"/>
              <w:rPr>
                <w:rFonts w:ascii="Arial" w:eastAsia="Times New Roman" w:hAnsi="Arial" w:cs="Arial"/>
                <w:sz w:val="16"/>
                <w:szCs w:val="16"/>
                <w:lang w:val="es-ES" w:eastAsia="es-CO"/>
              </w:rPr>
            </w:pPr>
            <w:r w:rsidRPr="00426ACF">
              <w:rPr>
                <w:rFonts w:ascii="Arial" w:eastAsia="Times New Roman" w:hAnsi="Arial" w:cs="Arial"/>
                <w:sz w:val="16"/>
                <w:szCs w:val="16"/>
                <w:lang w:val="es-ES" w:eastAsia="es-CO"/>
              </w:rPr>
              <w:t>Revisó:</w:t>
            </w:r>
          </w:p>
        </w:tc>
        <w:tc>
          <w:tcPr>
            <w:tcW w:w="4413" w:type="dxa"/>
            <w:tcBorders>
              <w:top w:val="dotted" w:sz="4" w:space="0" w:color="7F7F7F"/>
              <w:left w:val="nil"/>
              <w:bottom w:val="dotted" w:sz="4" w:space="0" w:color="7F7F7F"/>
              <w:right w:val="nil"/>
            </w:tcBorders>
            <w:vAlign w:val="center"/>
          </w:tcPr>
          <w:p w14:paraId="4721942C" w14:textId="77777777" w:rsidR="00851C60" w:rsidRPr="00426ACF" w:rsidRDefault="00851C60" w:rsidP="000C7A6F">
            <w:pPr>
              <w:spacing w:after="0" w:line="276" w:lineRule="auto"/>
              <w:rPr>
                <w:rFonts w:ascii="Arial" w:eastAsia="Times New Roman" w:hAnsi="Arial" w:cs="Arial"/>
                <w:sz w:val="16"/>
                <w:szCs w:val="16"/>
                <w:lang w:val="es-ES" w:eastAsia="es-CO"/>
              </w:rPr>
            </w:pPr>
            <w:r w:rsidRPr="00426ACF">
              <w:rPr>
                <w:rFonts w:ascii="Arial" w:eastAsia="Times New Roman" w:hAnsi="Arial" w:cs="Arial"/>
                <w:sz w:val="16"/>
                <w:szCs w:val="16"/>
                <w:lang w:val="es-ES" w:eastAsia="es-CO"/>
              </w:rPr>
              <w:t>Diana Lucia Saavedra Castañeda</w:t>
            </w:r>
          </w:p>
          <w:p w14:paraId="6E3E47A7" w14:textId="77777777" w:rsidR="00851C60" w:rsidRPr="00426ACF" w:rsidRDefault="00851C60" w:rsidP="000C7A6F">
            <w:pPr>
              <w:spacing w:after="0" w:line="276" w:lineRule="auto"/>
              <w:rPr>
                <w:rFonts w:ascii="Arial" w:eastAsia="Times New Roman" w:hAnsi="Arial" w:cs="Arial"/>
                <w:sz w:val="16"/>
                <w:szCs w:val="16"/>
                <w:lang w:val="es-ES" w:eastAsia="es-CO"/>
              </w:rPr>
            </w:pPr>
            <w:r w:rsidRPr="00426ACF">
              <w:rPr>
                <w:rFonts w:ascii="Arial" w:eastAsia="Times New Roman" w:hAnsi="Arial" w:cs="Arial"/>
                <w:sz w:val="16"/>
                <w:szCs w:val="16"/>
                <w:lang w:val="es-ES" w:eastAsia="es-CO"/>
              </w:rPr>
              <w:t>Contratista Subdirección de Gestión Contractual</w:t>
            </w:r>
          </w:p>
        </w:tc>
      </w:tr>
      <w:tr w:rsidR="00851C60" w:rsidRPr="009745C4" w14:paraId="13F6F115" w14:textId="77777777" w:rsidTr="000C7A6F">
        <w:trPr>
          <w:trHeight w:val="300"/>
        </w:trPr>
        <w:tc>
          <w:tcPr>
            <w:tcW w:w="812" w:type="dxa"/>
            <w:vAlign w:val="center"/>
          </w:tcPr>
          <w:p w14:paraId="1F4D0886" w14:textId="77777777" w:rsidR="00851C60" w:rsidRPr="00426ACF" w:rsidRDefault="00851C60" w:rsidP="000C7A6F">
            <w:pPr>
              <w:spacing w:after="0" w:line="276" w:lineRule="auto"/>
              <w:rPr>
                <w:rFonts w:ascii="Arial" w:eastAsia="Times New Roman" w:hAnsi="Arial" w:cs="Arial"/>
                <w:sz w:val="16"/>
                <w:szCs w:val="16"/>
                <w:lang w:val="es-ES" w:eastAsia="es-CO"/>
              </w:rPr>
            </w:pPr>
            <w:r w:rsidRPr="00426ACF">
              <w:rPr>
                <w:rFonts w:ascii="Arial" w:eastAsia="Times New Roman" w:hAnsi="Arial" w:cs="Arial"/>
                <w:sz w:val="16"/>
                <w:szCs w:val="16"/>
                <w:lang w:val="es-ES" w:eastAsia="es-CO"/>
              </w:rPr>
              <w:t>Aprobó:</w:t>
            </w:r>
          </w:p>
        </w:tc>
        <w:tc>
          <w:tcPr>
            <w:tcW w:w="4413" w:type="dxa"/>
            <w:tcBorders>
              <w:top w:val="dotted" w:sz="4" w:space="0" w:color="7F7F7F"/>
              <w:left w:val="nil"/>
              <w:bottom w:val="dotted" w:sz="4" w:space="0" w:color="7F7F7F"/>
              <w:right w:val="nil"/>
            </w:tcBorders>
            <w:vAlign w:val="center"/>
          </w:tcPr>
          <w:p w14:paraId="694CB0FA" w14:textId="77777777" w:rsidR="00851C60" w:rsidRPr="00426ACF" w:rsidRDefault="00851C60" w:rsidP="000C7A6F">
            <w:pPr>
              <w:spacing w:after="0" w:line="276" w:lineRule="auto"/>
              <w:rPr>
                <w:rFonts w:ascii="Arial" w:eastAsia="Times New Roman" w:hAnsi="Arial" w:cs="Arial"/>
                <w:sz w:val="16"/>
                <w:szCs w:val="16"/>
                <w:lang w:val="es-ES" w:eastAsia="es-CO"/>
              </w:rPr>
            </w:pPr>
            <w:r w:rsidRPr="00426ACF">
              <w:rPr>
                <w:rFonts w:ascii="Arial" w:eastAsia="Times New Roman" w:hAnsi="Arial" w:cs="Arial"/>
                <w:sz w:val="16"/>
                <w:szCs w:val="16"/>
                <w:lang w:val="es-ES" w:eastAsia="es-CO"/>
              </w:rPr>
              <w:t xml:space="preserve"> Nohelia del Carmen Zawady Palacio </w:t>
            </w:r>
          </w:p>
          <w:p w14:paraId="3E2E5EC8" w14:textId="77777777" w:rsidR="00851C60" w:rsidRPr="009745C4" w:rsidRDefault="00851C60" w:rsidP="000C7A6F">
            <w:pPr>
              <w:spacing w:after="0" w:line="276" w:lineRule="auto"/>
              <w:rPr>
                <w:rFonts w:ascii="Arial" w:eastAsia="Times New Roman" w:hAnsi="Arial" w:cs="Arial"/>
                <w:sz w:val="16"/>
                <w:szCs w:val="16"/>
                <w:lang w:val="es-ES" w:eastAsia="es-CO"/>
              </w:rPr>
            </w:pPr>
            <w:r w:rsidRPr="00426ACF">
              <w:rPr>
                <w:rFonts w:ascii="Arial" w:eastAsia="Times New Roman" w:hAnsi="Arial" w:cs="Arial"/>
                <w:sz w:val="16"/>
                <w:szCs w:val="16"/>
                <w:lang w:val="es-ES" w:eastAsia="es-CO"/>
              </w:rPr>
              <w:t>Subdirectora de Gestión Contractual ANCP – CCE</w:t>
            </w:r>
          </w:p>
        </w:tc>
      </w:tr>
    </w:tbl>
    <w:p w14:paraId="038B5E9E" w14:textId="77777777" w:rsidR="00851C60" w:rsidRPr="009745C4" w:rsidRDefault="00851C60" w:rsidP="00851C60">
      <w:pPr>
        <w:spacing w:line="276" w:lineRule="auto"/>
        <w:rPr>
          <w:rFonts w:ascii="Arial" w:eastAsia="Times New Roman" w:hAnsi="Arial" w:cs="Arial"/>
          <w:lang w:val="es-ES" w:eastAsia="es-CO"/>
        </w:rPr>
      </w:pPr>
    </w:p>
    <w:p w14:paraId="14B9786A" w14:textId="77777777" w:rsidR="00851C60" w:rsidRPr="000C7A6F" w:rsidRDefault="00851C60" w:rsidP="00851C60">
      <w:pPr>
        <w:spacing w:after="0" w:line="276" w:lineRule="auto"/>
        <w:rPr>
          <w:rFonts w:ascii="Arial" w:hAnsi="Arial" w:cs="Arial"/>
          <w:b/>
          <w:color w:val="404040" w:themeColor="text1" w:themeTint="BF"/>
          <w:lang w:val="es-ES"/>
        </w:rPr>
      </w:pPr>
    </w:p>
    <w:p w14:paraId="2A4D4A02" w14:textId="77777777" w:rsidR="00851C60" w:rsidRPr="000C7A6F" w:rsidRDefault="00851C60" w:rsidP="00851C60">
      <w:pPr>
        <w:spacing w:after="0" w:line="276" w:lineRule="auto"/>
        <w:rPr>
          <w:rFonts w:ascii="Arial" w:hAnsi="Arial" w:cs="Arial"/>
          <w:b/>
          <w:color w:val="404040" w:themeColor="text1" w:themeTint="BF"/>
          <w:lang w:val="es-ES"/>
        </w:rPr>
      </w:pPr>
    </w:p>
    <w:p w14:paraId="721CFDD9" w14:textId="77777777" w:rsidR="00851C60" w:rsidRPr="000C7A6F" w:rsidRDefault="00851C60" w:rsidP="00851C60">
      <w:pPr>
        <w:spacing w:after="0" w:line="276" w:lineRule="auto"/>
        <w:rPr>
          <w:rFonts w:ascii="Arial" w:hAnsi="Arial" w:cs="Arial"/>
          <w:b/>
          <w:color w:val="404040" w:themeColor="text1" w:themeTint="BF"/>
          <w:lang w:val="es-ES"/>
        </w:rPr>
      </w:pPr>
    </w:p>
    <w:p w14:paraId="5D4366D7" w14:textId="77777777" w:rsidR="00851C60" w:rsidRPr="000C7A6F" w:rsidRDefault="00851C60" w:rsidP="00851C60">
      <w:pPr>
        <w:spacing w:after="0" w:line="276" w:lineRule="auto"/>
        <w:rPr>
          <w:rFonts w:ascii="Arial" w:hAnsi="Arial" w:cs="Arial"/>
          <w:b/>
          <w:color w:val="404040" w:themeColor="text1" w:themeTint="BF"/>
          <w:lang w:val="es-ES"/>
        </w:rPr>
      </w:pPr>
    </w:p>
    <w:p w14:paraId="7DCD2D6E" w14:textId="77777777" w:rsidR="00851C60" w:rsidRPr="000C7A6F" w:rsidRDefault="00851C60" w:rsidP="00851C60">
      <w:pPr>
        <w:spacing w:after="0" w:line="276" w:lineRule="auto"/>
        <w:rPr>
          <w:rFonts w:ascii="Arial" w:hAnsi="Arial" w:cs="Arial"/>
          <w:b/>
          <w:color w:val="404040" w:themeColor="text1" w:themeTint="BF"/>
          <w:lang w:val="es-ES"/>
        </w:rPr>
      </w:pPr>
    </w:p>
    <w:p w14:paraId="4354C14F" w14:textId="77777777" w:rsidR="00851C60" w:rsidRPr="000C7A6F" w:rsidRDefault="00851C60" w:rsidP="00851C60">
      <w:pPr>
        <w:spacing w:after="0" w:line="276" w:lineRule="auto"/>
        <w:rPr>
          <w:rFonts w:ascii="Arial" w:hAnsi="Arial" w:cs="Arial"/>
          <w:b/>
          <w:color w:val="404040" w:themeColor="text1" w:themeTint="BF"/>
          <w:lang w:val="es-ES"/>
        </w:rPr>
      </w:pPr>
    </w:p>
    <w:p w14:paraId="2588C05A" w14:textId="77777777" w:rsidR="00851C60" w:rsidRPr="000C7A6F" w:rsidRDefault="00851C60" w:rsidP="00851C60">
      <w:pPr>
        <w:spacing w:after="0" w:line="276" w:lineRule="auto"/>
        <w:rPr>
          <w:rFonts w:ascii="Arial" w:hAnsi="Arial" w:cs="Arial"/>
          <w:b/>
          <w:color w:val="404040" w:themeColor="text1" w:themeTint="BF"/>
          <w:lang w:val="es-ES"/>
        </w:rPr>
      </w:pPr>
    </w:p>
    <w:p w14:paraId="0A480F92" w14:textId="77777777" w:rsidR="00851C60" w:rsidRPr="000C7A6F" w:rsidRDefault="00851C60" w:rsidP="00851C60">
      <w:pPr>
        <w:spacing w:after="0" w:line="276" w:lineRule="auto"/>
        <w:rPr>
          <w:rFonts w:ascii="Arial" w:hAnsi="Arial" w:cs="Arial"/>
          <w:b/>
          <w:color w:val="404040" w:themeColor="text1" w:themeTint="BF"/>
          <w:lang w:val="es-ES"/>
        </w:rPr>
      </w:pPr>
    </w:p>
    <w:p w14:paraId="098A0379" w14:textId="77777777" w:rsidR="00851C60" w:rsidRPr="000C7A6F" w:rsidRDefault="00851C60" w:rsidP="00851C60">
      <w:pPr>
        <w:spacing w:after="0" w:line="276" w:lineRule="auto"/>
        <w:rPr>
          <w:rFonts w:ascii="Arial" w:hAnsi="Arial" w:cs="Arial"/>
          <w:b/>
          <w:color w:val="404040" w:themeColor="text1" w:themeTint="BF"/>
          <w:lang w:val="es-ES"/>
        </w:rPr>
      </w:pPr>
    </w:p>
    <w:p w14:paraId="0EB3EB9D" w14:textId="77777777" w:rsidR="00851C60" w:rsidRPr="000C7A6F" w:rsidRDefault="00851C60" w:rsidP="00851C60">
      <w:pPr>
        <w:spacing w:after="0" w:line="276" w:lineRule="auto"/>
        <w:rPr>
          <w:rFonts w:ascii="Arial" w:hAnsi="Arial" w:cs="Arial"/>
          <w:b/>
          <w:color w:val="404040" w:themeColor="text1" w:themeTint="BF"/>
          <w:lang w:val="es-ES"/>
        </w:rPr>
      </w:pPr>
    </w:p>
    <w:p w14:paraId="2762916C" w14:textId="77777777" w:rsidR="00851C60" w:rsidRPr="000C7A6F" w:rsidRDefault="00851C60" w:rsidP="00851C60">
      <w:pPr>
        <w:spacing w:after="0" w:line="276" w:lineRule="auto"/>
        <w:rPr>
          <w:rFonts w:ascii="Arial" w:hAnsi="Arial" w:cs="Arial"/>
          <w:b/>
          <w:color w:val="002060"/>
          <w:lang w:val="es-ES"/>
        </w:rPr>
      </w:pPr>
    </w:p>
    <w:p w14:paraId="0B71963B" w14:textId="77777777" w:rsidR="00851C60" w:rsidRPr="000C7A6F" w:rsidRDefault="00851C60" w:rsidP="00851C60">
      <w:pPr>
        <w:spacing w:after="0" w:line="276" w:lineRule="auto"/>
        <w:rPr>
          <w:rFonts w:ascii="Arial" w:hAnsi="Arial" w:cs="Arial"/>
          <w:b/>
          <w:color w:val="002060"/>
          <w:lang w:val="es-ES"/>
        </w:rPr>
      </w:pPr>
    </w:p>
    <w:bookmarkEnd w:id="1"/>
    <w:p w14:paraId="1F9D1F8A" w14:textId="77777777" w:rsidR="00851C60" w:rsidRPr="000C7A6F" w:rsidRDefault="00851C60" w:rsidP="00851C60">
      <w:pPr>
        <w:spacing w:line="276" w:lineRule="auto"/>
        <w:rPr>
          <w:rFonts w:ascii="Arial" w:hAnsi="Arial" w:cs="Arial"/>
          <w:lang w:val="es-MX"/>
        </w:rPr>
      </w:pPr>
    </w:p>
    <w:p w14:paraId="0F293BF4" w14:textId="0F6FB6C1" w:rsidR="00127233" w:rsidRPr="00851C60" w:rsidRDefault="00127233" w:rsidP="00851C60">
      <w:pPr>
        <w:rPr>
          <w:lang w:val="es-MX"/>
        </w:rPr>
      </w:pPr>
    </w:p>
    <w:sectPr w:rsidR="00127233" w:rsidRPr="00851C60" w:rsidSect="0039439C">
      <w:headerReference w:type="default" r:id="rId13"/>
      <w:footerReference w:type="default" r:id="rId14"/>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37465" w14:textId="77777777" w:rsidR="00337509" w:rsidRDefault="00337509" w:rsidP="004A1847">
      <w:pPr>
        <w:spacing w:after="0" w:line="240" w:lineRule="auto"/>
      </w:pPr>
      <w:r>
        <w:separator/>
      </w:r>
    </w:p>
  </w:endnote>
  <w:endnote w:type="continuationSeparator" w:id="0">
    <w:p w14:paraId="238503B6" w14:textId="77777777" w:rsidR="00337509" w:rsidRDefault="0033750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Arial Nova">
    <w:altName w:val="Arial"/>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3" name="Imagen 3"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0AE0B" w14:textId="77777777" w:rsidR="00337509" w:rsidRDefault="00337509" w:rsidP="004A1847">
      <w:pPr>
        <w:spacing w:after="0" w:line="240" w:lineRule="auto"/>
      </w:pPr>
      <w:r>
        <w:separator/>
      </w:r>
    </w:p>
  </w:footnote>
  <w:footnote w:type="continuationSeparator" w:id="0">
    <w:p w14:paraId="1713CFDF" w14:textId="77777777" w:rsidR="00337509" w:rsidRDefault="00337509" w:rsidP="004A1847">
      <w:pPr>
        <w:spacing w:after="0" w:line="240" w:lineRule="auto"/>
      </w:pPr>
      <w:r>
        <w:continuationSeparator/>
      </w:r>
    </w:p>
  </w:footnote>
  <w:footnote w:id="1">
    <w:p w14:paraId="14493E76" w14:textId="77777777" w:rsidR="00851C60" w:rsidRPr="000C7A6F" w:rsidRDefault="00851C60" w:rsidP="00851C60">
      <w:pPr>
        <w:pStyle w:val="Textonotapie"/>
        <w:ind w:firstLine="708"/>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Los conceptos indicados pueden consultarse en el siguiente enlace: </w:t>
      </w:r>
      <w:hyperlink r:id="rId1" w:history="1">
        <w:r w:rsidRPr="000C7A6F">
          <w:rPr>
            <w:rStyle w:val="Hipervnculo"/>
            <w:rFonts w:ascii="Arial" w:hAnsi="Arial" w:cs="Arial"/>
            <w:sz w:val="18"/>
            <w:szCs w:val="18"/>
          </w:rPr>
          <w:t>https://relatoria.colombiacompra.gov.co/busqueda/conceptos</w:t>
        </w:r>
      </w:hyperlink>
      <w:r w:rsidRPr="000C7A6F">
        <w:rPr>
          <w:rFonts w:ascii="Arial" w:hAnsi="Arial" w:cs="Arial"/>
          <w:sz w:val="18"/>
          <w:szCs w:val="18"/>
        </w:rPr>
        <w:t>.</w:t>
      </w:r>
    </w:p>
    <w:p w14:paraId="58EDE5A5" w14:textId="77777777" w:rsidR="00851C60" w:rsidRPr="000C7A6F" w:rsidRDefault="00851C60" w:rsidP="00851C60">
      <w:pPr>
        <w:pStyle w:val="Textonotapie"/>
        <w:ind w:firstLine="708"/>
        <w:contextualSpacing/>
        <w:jc w:val="both"/>
        <w:rPr>
          <w:rFonts w:ascii="Arial" w:hAnsi="Arial" w:cs="Arial"/>
          <w:sz w:val="18"/>
          <w:szCs w:val="18"/>
        </w:rPr>
      </w:pPr>
    </w:p>
  </w:footnote>
  <w:footnote w:id="2">
    <w:p w14:paraId="398FCE4C" w14:textId="77777777" w:rsidR="00851C60" w:rsidRPr="000C7A6F" w:rsidRDefault="00851C60" w:rsidP="00851C60">
      <w:pPr>
        <w:spacing w:after="0" w:line="240" w:lineRule="auto"/>
        <w:ind w:firstLine="707"/>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vertAlign w:val="superscript"/>
        </w:rPr>
        <w:t xml:space="preserve"> </w:t>
      </w:r>
      <w:r w:rsidRPr="000C7A6F">
        <w:rPr>
          <w:rFonts w:ascii="Arial" w:hAnsi="Arial" w:cs="Arial"/>
          <w:sz w:val="18"/>
          <w:szCs w:val="18"/>
        </w:rPr>
        <w:t>Ley 1712 de 2014: «Artículo 2. Toda información en posesión, bajo control o custodia de un sujeto obligado es pública y no podrá ser reservada o limitada sino por disposición constitucional o legal, de conformidad con la presente ley».</w:t>
      </w:r>
    </w:p>
  </w:footnote>
  <w:footnote w:id="3">
    <w:p w14:paraId="5CEA0DE7" w14:textId="77777777" w:rsidR="00851C60" w:rsidRPr="000C7A6F" w:rsidRDefault="00851C60" w:rsidP="00851C60">
      <w:pPr>
        <w:pStyle w:val="Textonotapie"/>
        <w:contextualSpacing/>
        <w:jc w:val="both"/>
        <w:rPr>
          <w:rFonts w:ascii="Arial" w:hAnsi="Arial" w:cs="Arial"/>
          <w:sz w:val="18"/>
          <w:szCs w:val="18"/>
        </w:rPr>
      </w:pPr>
    </w:p>
    <w:p w14:paraId="1A243E06" w14:textId="77777777" w:rsidR="00851C60" w:rsidRPr="000C7A6F" w:rsidRDefault="00851C60" w:rsidP="00851C60">
      <w:pPr>
        <w:pStyle w:val="Textonotapie"/>
        <w:ind w:firstLine="707"/>
        <w:contextualSpacing/>
        <w:jc w:val="both"/>
        <w:rPr>
          <w:rFonts w:ascii="Arial" w:hAnsi="Arial" w:cs="Arial"/>
          <w:sz w:val="18"/>
          <w:szCs w:val="18"/>
          <w:lang w:val="es-CO"/>
        </w:rPr>
      </w:pPr>
      <w:r w:rsidRPr="000C7A6F">
        <w:rPr>
          <w:rStyle w:val="Refdenotaalpie"/>
          <w:rFonts w:ascii="Arial" w:hAnsi="Arial" w:cs="Arial"/>
          <w:sz w:val="18"/>
          <w:szCs w:val="18"/>
        </w:rPr>
        <w:footnoteRef/>
      </w:r>
      <w:r w:rsidRPr="000C7A6F">
        <w:rPr>
          <w:rFonts w:ascii="Arial" w:hAnsi="Arial" w:cs="Arial"/>
          <w:sz w:val="18"/>
          <w:szCs w:val="18"/>
          <w:vertAlign w:val="superscript"/>
        </w:rPr>
        <w:t xml:space="preserve"> </w:t>
      </w:r>
      <w:r w:rsidRPr="000C7A6F">
        <w:rPr>
          <w:rFonts w:ascii="Arial" w:hAnsi="Arial" w:cs="Arial"/>
          <w:sz w:val="18"/>
          <w:szCs w:val="18"/>
        </w:rPr>
        <w:t xml:space="preserve">Ley 1712 de 2014: «Artículo 3. </w:t>
      </w:r>
      <w:bookmarkStart w:id="5" w:name="3"/>
      <w:r w:rsidRPr="000C7A6F">
        <w:rPr>
          <w:rFonts w:ascii="Arial" w:hAnsi="Arial" w:cs="Arial"/>
          <w:sz w:val="18"/>
          <w:szCs w:val="18"/>
          <w:lang w:val="es-CO"/>
        </w:rPr>
        <w:t>Otros principios de la transparencia y acceso a la información pública.</w:t>
      </w:r>
      <w:bookmarkEnd w:id="5"/>
      <w:r w:rsidRPr="000C7A6F">
        <w:rPr>
          <w:rFonts w:ascii="Arial" w:hAnsi="Arial" w:cs="Arial"/>
          <w:sz w:val="18"/>
          <w:szCs w:val="18"/>
          <w:lang w:val="es-CO"/>
        </w:rPr>
        <w:t> </w:t>
      </w:r>
    </w:p>
    <w:p w14:paraId="7B6C1D41" w14:textId="77777777" w:rsidR="00851C60" w:rsidRPr="000C7A6F" w:rsidRDefault="00851C60" w:rsidP="00851C60">
      <w:pPr>
        <w:pStyle w:val="Textonotapie"/>
        <w:ind w:firstLine="707"/>
        <w:contextualSpacing/>
        <w:jc w:val="both"/>
        <w:rPr>
          <w:rFonts w:ascii="Arial" w:hAnsi="Arial" w:cs="Arial"/>
          <w:sz w:val="18"/>
          <w:szCs w:val="18"/>
          <w:lang w:val="es-CO"/>
        </w:rPr>
      </w:pPr>
      <w:r w:rsidRPr="000C7A6F">
        <w:rPr>
          <w:rFonts w:ascii="Arial" w:hAnsi="Arial" w:cs="Arial"/>
          <w:sz w:val="18"/>
          <w:szCs w:val="18"/>
          <w:lang w:val="es-CO"/>
        </w:rPr>
        <w:t>[…]</w:t>
      </w:r>
    </w:p>
    <w:p w14:paraId="7DAB45D7" w14:textId="77777777" w:rsidR="00851C60" w:rsidRPr="000C7A6F" w:rsidRDefault="00851C60" w:rsidP="00851C60">
      <w:pPr>
        <w:pStyle w:val="Textonotapie"/>
        <w:ind w:firstLine="707"/>
        <w:contextualSpacing/>
        <w:jc w:val="both"/>
        <w:rPr>
          <w:rFonts w:ascii="Arial" w:hAnsi="Arial" w:cs="Arial"/>
          <w:sz w:val="18"/>
          <w:szCs w:val="18"/>
        </w:rPr>
      </w:pPr>
      <w:r w:rsidRPr="000C7A6F">
        <w:rPr>
          <w:rStyle w:val="baj"/>
          <w:rFonts w:ascii="Arial" w:hAnsi="Arial" w:cs="Arial"/>
          <w:b/>
          <w:bCs/>
          <w:sz w:val="18"/>
          <w:szCs w:val="18"/>
        </w:rPr>
        <w:t>Principio de transparencia</w:t>
      </w:r>
      <w:r w:rsidRPr="000C7A6F">
        <w:rPr>
          <w:rFonts w:ascii="Arial" w:hAnsi="Arial" w:cs="Arial"/>
          <w:sz w:val="18"/>
          <w:szCs w:val="18"/>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2EA3336E" w14:textId="77777777" w:rsidR="00851C60" w:rsidRPr="000C7A6F" w:rsidRDefault="00851C60" w:rsidP="00851C60">
      <w:pPr>
        <w:pStyle w:val="Textonotapie"/>
        <w:contextualSpacing/>
        <w:jc w:val="both"/>
        <w:rPr>
          <w:rFonts w:ascii="Arial" w:hAnsi="Arial" w:cs="Arial"/>
          <w:sz w:val="18"/>
          <w:szCs w:val="18"/>
          <w:lang w:val="es-CO"/>
        </w:rPr>
      </w:pPr>
    </w:p>
  </w:footnote>
  <w:footnote w:id="4">
    <w:p w14:paraId="45F8D336" w14:textId="77777777" w:rsidR="00851C60" w:rsidRPr="000C7A6F" w:rsidRDefault="00851C60" w:rsidP="00851C60">
      <w:pPr>
        <w:pStyle w:val="Textonotapie"/>
        <w:ind w:firstLine="707"/>
        <w:contextualSpacing/>
        <w:jc w:val="both"/>
        <w:rPr>
          <w:rFonts w:ascii="Arial" w:hAnsi="Arial" w:cs="Arial"/>
          <w:sz w:val="18"/>
          <w:szCs w:val="18"/>
          <w:lang w:val="es-CO"/>
        </w:rPr>
      </w:pPr>
      <w:r w:rsidRPr="000C7A6F">
        <w:rPr>
          <w:rStyle w:val="Refdenotaalpie"/>
          <w:rFonts w:ascii="Arial" w:hAnsi="Arial" w:cs="Arial"/>
          <w:sz w:val="18"/>
          <w:szCs w:val="18"/>
        </w:rPr>
        <w:footnoteRef/>
      </w:r>
      <w:r w:rsidRPr="000C7A6F">
        <w:rPr>
          <w:rFonts w:ascii="Arial" w:hAnsi="Arial" w:cs="Arial"/>
          <w:sz w:val="18"/>
          <w:szCs w:val="18"/>
          <w:vertAlign w:val="superscript"/>
        </w:rPr>
        <w:t xml:space="preserve"> </w:t>
      </w:r>
      <w:r w:rsidRPr="000C7A6F">
        <w:rPr>
          <w:rFonts w:ascii="Arial" w:hAnsi="Arial" w:cs="Arial"/>
          <w:sz w:val="18"/>
          <w:szCs w:val="18"/>
        </w:rPr>
        <w:t xml:space="preserve">Ley 1712 de 2014: «Artículo 3. </w:t>
      </w:r>
      <w:r w:rsidRPr="000C7A6F">
        <w:rPr>
          <w:rFonts w:ascii="Arial" w:hAnsi="Arial" w:cs="Arial"/>
          <w:sz w:val="18"/>
          <w:szCs w:val="18"/>
          <w:lang w:val="es-CO"/>
        </w:rPr>
        <w:t>Otros principios de la transparencia y acceso a la información pública. </w:t>
      </w:r>
    </w:p>
    <w:p w14:paraId="75CB86B2" w14:textId="77777777" w:rsidR="00851C60" w:rsidRPr="000C7A6F" w:rsidRDefault="00851C60" w:rsidP="00851C60">
      <w:pPr>
        <w:pStyle w:val="Textonotapie"/>
        <w:ind w:firstLine="707"/>
        <w:contextualSpacing/>
        <w:jc w:val="both"/>
        <w:rPr>
          <w:rFonts w:ascii="Arial" w:hAnsi="Arial" w:cs="Arial"/>
          <w:sz w:val="18"/>
          <w:szCs w:val="18"/>
          <w:lang w:val="es-ES"/>
        </w:rPr>
      </w:pPr>
      <w:r w:rsidRPr="000C7A6F">
        <w:rPr>
          <w:rFonts w:ascii="Arial" w:hAnsi="Arial" w:cs="Arial"/>
          <w:sz w:val="18"/>
          <w:szCs w:val="18"/>
          <w:lang w:val="es-ES"/>
        </w:rPr>
        <w:t>[…]</w:t>
      </w:r>
    </w:p>
    <w:p w14:paraId="1BFB50D4" w14:textId="77777777" w:rsidR="00851C60" w:rsidRPr="000C7A6F" w:rsidRDefault="00851C60" w:rsidP="00851C60">
      <w:pPr>
        <w:pStyle w:val="Textonotapie"/>
        <w:ind w:firstLine="707"/>
        <w:contextualSpacing/>
        <w:jc w:val="both"/>
        <w:rPr>
          <w:rFonts w:ascii="Arial" w:hAnsi="Arial" w:cs="Arial"/>
          <w:sz w:val="18"/>
          <w:szCs w:val="18"/>
          <w:lang w:val="es-ES"/>
        </w:rPr>
      </w:pPr>
      <w:r w:rsidRPr="000C7A6F">
        <w:rPr>
          <w:rStyle w:val="baj"/>
          <w:rFonts w:ascii="Arial" w:hAnsi="Arial" w:cs="Arial"/>
          <w:b/>
          <w:bCs/>
          <w:sz w:val="18"/>
          <w:szCs w:val="18"/>
        </w:rPr>
        <w:t>Principio de buena fe</w:t>
      </w:r>
      <w:r w:rsidRPr="000C7A6F">
        <w:rPr>
          <w:rFonts w:ascii="Arial" w:hAnsi="Arial" w:cs="Arial"/>
          <w:sz w:val="18"/>
          <w:szCs w:val="18"/>
        </w:rPr>
        <w:t>. En virtud del cual todo sujeto obligado, al cumplir con las obligaciones derivadas del derecho de acceso a la información pública, lo hará con motivación honesta, leal y desprovista de cualquier intención dolosa o culposa.</w:t>
      </w:r>
    </w:p>
  </w:footnote>
  <w:footnote w:id="5">
    <w:p w14:paraId="135899BA" w14:textId="77777777" w:rsidR="00851C60" w:rsidRPr="000C7A6F" w:rsidRDefault="00851C60" w:rsidP="00851C60">
      <w:pPr>
        <w:spacing w:after="0" w:line="240" w:lineRule="auto"/>
        <w:ind w:firstLine="707"/>
        <w:contextualSpacing/>
        <w:jc w:val="both"/>
        <w:rPr>
          <w:rFonts w:ascii="Arial" w:hAnsi="Arial" w:cs="Arial"/>
          <w:sz w:val="18"/>
          <w:szCs w:val="18"/>
        </w:rPr>
      </w:pPr>
    </w:p>
    <w:p w14:paraId="490E3DB3" w14:textId="77777777" w:rsidR="00851C60" w:rsidRPr="000C7A6F" w:rsidRDefault="00851C60" w:rsidP="00851C60">
      <w:pPr>
        <w:spacing w:after="0" w:line="240" w:lineRule="auto"/>
        <w:ind w:firstLine="707"/>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Ley 1712 de 2014: «Artículo 5. Ámbito de aplicación. Las disposiciones de esta ley serán aplicables a las siguientes personas en calidad de sujetos obligados:</w:t>
      </w:r>
    </w:p>
    <w:p w14:paraId="4261E0A8" w14:textId="77777777" w:rsidR="00851C60" w:rsidRPr="000C7A6F" w:rsidRDefault="00851C60" w:rsidP="00851C60">
      <w:pPr>
        <w:spacing w:after="0" w:line="240" w:lineRule="auto"/>
        <w:ind w:firstLine="707"/>
        <w:contextualSpacing/>
        <w:jc w:val="both"/>
        <w:rPr>
          <w:rFonts w:ascii="Arial" w:hAnsi="Arial" w:cs="Arial"/>
          <w:sz w:val="18"/>
          <w:szCs w:val="18"/>
        </w:rPr>
      </w:pPr>
      <w:r w:rsidRPr="000C7A6F">
        <w:rPr>
          <w:rFonts w:ascii="Arial" w:hAnsi="Arial" w:cs="Arial"/>
          <w:sz w:val="18"/>
          <w:szCs w:val="18"/>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3FF464B3" w14:textId="77777777" w:rsidR="00851C60" w:rsidRPr="000C7A6F" w:rsidRDefault="00851C60" w:rsidP="00851C60">
      <w:pPr>
        <w:pStyle w:val="Textonotapie"/>
        <w:contextualSpacing/>
        <w:jc w:val="both"/>
        <w:rPr>
          <w:rFonts w:ascii="Arial" w:hAnsi="Arial" w:cs="Arial"/>
          <w:sz w:val="18"/>
          <w:szCs w:val="18"/>
        </w:rPr>
      </w:pPr>
    </w:p>
  </w:footnote>
  <w:footnote w:id="6">
    <w:p w14:paraId="1DC7EE70" w14:textId="77777777" w:rsidR="00851C60" w:rsidRPr="000C7A6F" w:rsidRDefault="00851C60" w:rsidP="00851C60">
      <w:pPr>
        <w:spacing w:after="0" w:line="240" w:lineRule="auto"/>
        <w:ind w:firstLine="709"/>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w:t>
      </w:r>
    </w:p>
    <w:p w14:paraId="1A12F623" w14:textId="77777777" w:rsidR="00851C60" w:rsidRPr="000C7A6F" w:rsidRDefault="00851C60" w:rsidP="00851C60">
      <w:pPr>
        <w:spacing w:after="0" w:line="240" w:lineRule="auto"/>
        <w:ind w:firstLine="708"/>
        <w:contextualSpacing/>
        <w:jc w:val="both"/>
        <w:rPr>
          <w:rFonts w:ascii="Arial" w:hAnsi="Arial" w:cs="Arial"/>
          <w:sz w:val="18"/>
          <w:szCs w:val="18"/>
        </w:rPr>
      </w:pPr>
      <w:r w:rsidRPr="000C7A6F">
        <w:rPr>
          <w:rFonts w:ascii="Arial" w:hAnsi="Arial" w:cs="Arial"/>
          <w:sz w:val="18"/>
          <w:szCs w:val="18"/>
        </w:rPr>
        <w:t>[…].</w:t>
      </w:r>
    </w:p>
    <w:p w14:paraId="64796013" w14:textId="77777777" w:rsidR="00851C60" w:rsidRPr="000C7A6F" w:rsidRDefault="00851C60" w:rsidP="00851C60">
      <w:pPr>
        <w:spacing w:after="0" w:line="240" w:lineRule="auto"/>
        <w:ind w:firstLine="709"/>
        <w:contextualSpacing/>
        <w:jc w:val="both"/>
        <w:rPr>
          <w:rFonts w:ascii="Arial" w:hAnsi="Arial" w:cs="Arial"/>
          <w:sz w:val="18"/>
          <w:szCs w:val="18"/>
        </w:rPr>
      </w:pPr>
      <w:r w:rsidRPr="000C7A6F">
        <w:rPr>
          <w:rFonts w:ascii="Arial" w:hAnsi="Arial" w:cs="Arial"/>
          <w:sz w:val="18"/>
          <w:szCs w:val="18"/>
        </w:rPr>
        <w:t>«Los sujetos obligados que contratan con recursos públicos y recursos privados, deben publicar la información de su gestión contractual con cargo a recursos públicos en el Sistema Electrónico para la Contratación Pública [SECOP]».</w:t>
      </w:r>
    </w:p>
    <w:p w14:paraId="1F679E0F" w14:textId="77777777" w:rsidR="00851C60" w:rsidRPr="000C7A6F" w:rsidRDefault="00851C60" w:rsidP="00851C60">
      <w:pPr>
        <w:pStyle w:val="Textonotapie"/>
        <w:contextualSpacing/>
        <w:jc w:val="both"/>
        <w:rPr>
          <w:rFonts w:ascii="Arial" w:hAnsi="Arial" w:cs="Arial"/>
          <w:sz w:val="18"/>
          <w:szCs w:val="18"/>
        </w:rPr>
      </w:pPr>
    </w:p>
  </w:footnote>
  <w:footnote w:id="7">
    <w:p w14:paraId="6527612A" w14:textId="77777777" w:rsidR="00851C60" w:rsidRPr="000C7A6F" w:rsidRDefault="00851C60" w:rsidP="00851C60">
      <w:pPr>
        <w:spacing w:after="0" w:line="240" w:lineRule="auto"/>
        <w:ind w:firstLine="709"/>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 El Gobierno Nacional desarrollará el Sistema Electrónico para la Contratación Pública, Secop, el cual:</w:t>
      </w:r>
    </w:p>
    <w:p w14:paraId="32C77F8B" w14:textId="77777777" w:rsidR="00851C60" w:rsidRPr="000C7A6F" w:rsidRDefault="00851C60" w:rsidP="00851C60">
      <w:pPr>
        <w:spacing w:after="0" w:line="240" w:lineRule="auto"/>
        <w:ind w:firstLine="709"/>
        <w:contextualSpacing/>
        <w:jc w:val="both"/>
        <w:rPr>
          <w:rFonts w:ascii="Arial" w:hAnsi="Arial" w:cs="Arial"/>
          <w:sz w:val="18"/>
          <w:szCs w:val="18"/>
        </w:rPr>
      </w:pPr>
      <w:r w:rsidRPr="000C7A6F">
        <w:rPr>
          <w:rFonts w:ascii="Arial" w:hAnsi="Arial" w:cs="Arial"/>
          <w:sz w:val="18"/>
          <w:szCs w:val="18"/>
        </w:rPr>
        <w:t>»[…]</w:t>
      </w:r>
    </w:p>
    <w:p w14:paraId="2A74D7EE" w14:textId="77777777" w:rsidR="00851C60" w:rsidRPr="000C7A6F" w:rsidRDefault="00851C60" w:rsidP="00851C60">
      <w:pPr>
        <w:spacing w:after="0" w:line="240" w:lineRule="auto"/>
        <w:ind w:firstLine="709"/>
        <w:contextualSpacing/>
        <w:jc w:val="both"/>
        <w:rPr>
          <w:rFonts w:ascii="Arial" w:hAnsi="Arial" w:cs="Arial"/>
          <w:sz w:val="18"/>
          <w:szCs w:val="18"/>
        </w:rPr>
      </w:pPr>
      <w:r w:rsidRPr="000C7A6F">
        <w:rPr>
          <w:rFonts w:ascii="Arial" w:hAnsi="Arial" w:cs="Arial"/>
          <w:sz w:val="18"/>
          <w:szCs w:val="18"/>
        </w:rPr>
        <w:t>»c) Contará con la información oficial de la contratación realizada con dineros públicos, para lo cual establecerá los patrones a que haya lugar y se encargará de su difusión a través de canales electrónicos […]».</w:t>
      </w:r>
    </w:p>
    <w:p w14:paraId="5F8C9688" w14:textId="77777777" w:rsidR="00851C60" w:rsidRPr="000C7A6F" w:rsidRDefault="00851C60" w:rsidP="00851C60">
      <w:pPr>
        <w:spacing w:after="0" w:line="240" w:lineRule="auto"/>
        <w:ind w:firstLine="709"/>
        <w:contextualSpacing/>
        <w:jc w:val="both"/>
        <w:rPr>
          <w:rFonts w:ascii="Arial" w:hAnsi="Arial" w:cs="Arial"/>
          <w:sz w:val="18"/>
          <w:szCs w:val="18"/>
        </w:rPr>
      </w:pPr>
    </w:p>
  </w:footnote>
  <w:footnote w:id="8">
    <w:p w14:paraId="2F77CDC7" w14:textId="77777777" w:rsidR="00851C60" w:rsidRPr="000C7A6F" w:rsidRDefault="00851C60" w:rsidP="00851C60">
      <w:pPr>
        <w:pStyle w:val="Textonotapie"/>
        <w:ind w:firstLine="708"/>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Ley 1437 de 2011: «Artículo 24. Informaciones y documentos reservados. Solo tendrán carácter reservado las informaciones y documentos expresamente sometidos a reserva por la Constitución Política o la ley, y en especial:  </w:t>
      </w:r>
    </w:p>
    <w:p w14:paraId="221E1420" w14:textId="77777777" w:rsidR="00851C60" w:rsidRPr="000C7A6F" w:rsidRDefault="00851C60" w:rsidP="00851C60">
      <w:pPr>
        <w:pStyle w:val="Textonotapie"/>
        <w:ind w:firstLine="708"/>
        <w:contextualSpacing/>
        <w:jc w:val="both"/>
        <w:rPr>
          <w:rFonts w:ascii="Arial" w:hAnsi="Arial" w:cs="Arial"/>
          <w:sz w:val="18"/>
          <w:szCs w:val="18"/>
        </w:rPr>
      </w:pPr>
      <w:r w:rsidRPr="000C7A6F">
        <w:rPr>
          <w:rFonts w:ascii="Arial" w:hAnsi="Arial" w:cs="Arial"/>
          <w:sz w:val="18"/>
          <w:szCs w:val="18"/>
        </w:rPr>
        <w:t xml:space="preserve">»1. Los relacionados con la defensa o seguridad nacionales.  </w:t>
      </w:r>
    </w:p>
    <w:p w14:paraId="76F6D861" w14:textId="77777777" w:rsidR="00851C60" w:rsidRPr="000C7A6F" w:rsidRDefault="00851C60" w:rsidP="00851C60">
      <w:pPr>
        <w:pStyle w:val="Textonotapie"/>
        <w:ind w:firstLine="708"/>
        <w:contextualSpacing/>
        <w:jc w:val="both"/>
        <w:rPr>
          <w:rFonts w:ascii="Arial" w:hAnsi="Arial" w:cs="Arial"/>
          <w:sz w:val="18"/>
          <w:szCs w:val="18"/>
        </w:rPr>
      </w:pPr>
      <w:r w:rsidRPr="000C7A6F">
        <w:rPr>
          <w:rFonts w:ascii="Arial" w:hAnsi="Arial" w:cs="Arial"/>
          <w:sz w:val="18"/>
          <w:szCs w:val="18"/>
        </w:rPr>
        <w:t xml:space="preserve">»2. Las instrucciones en materia diplomática o sobre negociaciones reservadas.  </w:t>
      </w:r>
    </w:p>
    <w:p w14:paraId="76D7E963" w14:textId="77777777" w:rsidR="00851C60" w:rsidRPr="000C7A6F" w:rsidRDefault="00851C60" w:rsidP="00851C60">
      <w:pPr>
        <w:pStyle w:val="Textonotapie"/>
        <w:ind w:firstLine="708"/>
        <w:contextualSpacing/>
        <w:jc w:val="both"/>
        <w:rPr>
          <w:rFonts w:ascii="Arial" w:hAnsi="Arial" w:cs="Arial"/>
          <w:sz w:val="18"/>
          <w:szCs w:val="18"/>
        </w:rPr>
      </w:pPr>
      <w:r w:rsidRPr="000C7A6F">
        <w:rPr>
          <w:rFonts w:ascii="Arial" w:hAnsi="Arial" w:cs="Arial"/>
          <w:sz w:val="18"/>
          <w:szCs w:val="18"/>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54216763" w14:textId="77777777" w:rsidR="00851C60" w:rsidRPr="000C7A6F" w:rsidRDefault="00851C60" w:rsidP="00851C60">
      <w:pPr>
        <w:pStyle w:val="Textonotapie"/>
        <w:ind w:firstLine="708"/>
        <w:contextualSpacing/>
        <w:jc w:val="both"/>
        <w:rPr>
          <w:rFonts w:ascii="Arial" w:hAnsi="Arial" w:cs="Arial"/>
          <w:sz w:val="18"/>
          <w:szCs w:val="18"/>
        </w:rPr>
      </w:pPr>
      <w:r w:rsidRPr="000C7A6F">
        <w:rPr>
          <w:rFonts w:ascii="Arial" w:hAnsi="Arial" w:cs="Arial"/>
          <w:sz w:val="18"/>
          <w:szCs w:val="18"/>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20881483" w14:textId="77777777" w:rsidR="00851C60" w:rsidRPr="000C7A6F" w:rsidRDefault="00851C60" w:rsidP="00851C60">
      <w:pPr>
        <w:pStyle w:val="Textonotapie"/>
        <w:ind w:firstLine="708"/>
        <w:contextualSpacing/>
        <w:jc w:val="both"/>
        <w:rPr>
          <w:rFonts w:ascii="Arial" w:hAnsi="Arial" w:cs="Arial"/>
          <w:sz w:val="18"/>
          <w:szCs w:val="18"/>
        </w:rPr>
      </w:pPr>
      <w:r w:rsidRPr="000C7A6F">
        <w:rPr>
          <w:rFonts w:ascii="Arial" w:hAnsi="Arial" w:cs="Arial"/>
          <w:sz w:val="18"/>
          <w:szCs w:val="18"/>
        </w:rPr>
        <w:t xml:space="preserve">»5. Los datos referentes a la información financiera y comercial, en los términos de la Ley Estatutaria 1266 de 2008.  </w:t>
      </w:r>
    </w:p>
    <w:p w14:paraId="1F87AD60" w14:textId="77777777" w:rsidR="00851C60" w:rsidRPr="000C7A6F" w:rsidRDefault="00851C60" w:rsidP="00851C60">
      <w:pPr>
        <w:pStyle w:val="Textonotapie"/>
        <w:ind w:firstLine="708"/>
        <w:contextualSpacing/>
        <w:jc w:val="both"/>
        <w:rPr>
          <w:rFonts w:ascii="Arial" w:hAnsi="Arial" w:cs="Arial"/>
          <w:sz w:val="18"/>
          <w:szCs w:val="18"/>
        </w:rPr>
      </w:pPr>
      <w:r w:rsidRPr="000C7A6F">
        <w:rPr>
          <w:rFonts w:ascii="Arial" w:hAnsi="Arial" w:cs="Arial"/>
          <w:sz w:val="18"/>
          <w:szCs w:val="18"/>
        </w:rPr>
        <w:t xml:space="preserve">»6. Los protegidos por el secreto comercial o industrial, así como los planes estratégicos de las empresas públicas de servicios públicos.  </w:t>
      </w:r>
    </w:p>
    <w:p w14:paraId="3312EFCD" w14:textId="77777777" w:rsidR="00851C60" w:rsidRPr="000C7A6F" w:rsidRDefault="00851C60" w:rsidP="00851C60">
      <w:pPr>
        <w:pStyle w:val="Textonotapie"/>
        <w:ind w:firstLine="708"/>
        <w:contextualSpacing/>
        <w:jc w:val="both"/>
        <w:rPr>
          <w:rFonts w:ascii="Arial" w:hAnsi="Arial" w:cs="Arial"/>
          <w:sz w:val="18"/>
          <w:szCs w:val="18"/>
        </w:rPr>
      </w:pPr>
      <w:r w:rsidRPr="000C7A6F">
        <w:rPr>
          <w:rFonts w:ascii="Arial" w:hAnsi="Arial" w:cs="Arial"/>
          <w:sz w:val="18"/>
          <w:szCs w:val="18"/>
        </w:rPr>
        <w:t xml:space="preserve">»7. Los amparados por el secreto profesional.  </w:t>
      </w:r>
    </w:p>
    <w:p w14:paraId="78866097" w14:textId="77777777" w:rsidR="00851C60" w:rsidRPr="000C7A6F" w:rsidRDefault="00851C60" w:rsidP="00851C60">
      <w:pPr>
        <w:pStyle w:val="Textonotapie"/>
        <w:ind w:firstLine="708"/>
        <w:contextualSpacing/>
        <w:jc w:val="both"/>
        <w:rPr>
          <w:rFonts w:ascii="Arial" w:hAnsi="Arial" w:cs="Arial"/>
          <w:sz w:val="18"/>
          <w:szCs w:val="18"/>
        </w:rPr>
      </w:pPr>
      <w:r w:rsidRPr="000C7A6F">
        <w:rPr>
          <w:rFonts w:ascii="Arial" w:hAnsi="Arial" w:cs="Arial"/>
          <w:sz w:val="18"/>
          <w:szCs w:val="18"/>
        </w:rPr>
        <w:t xml:space="preserve">»8. Los datos genéticos humanos.  </w:t>
      </w:r>
    </w:p>
    <w:p w14:paraId="563467E1" w14:textId="77777777" w:rsidR="00851C60" w:rsidRPr="000C7A6F" w:rsidRDefault="00851C60" w:rsidP="00851C60">
      <w:pPr>
        <w:pStyle w:val="Textonotapie"/>
        <w:ind w:firstLine="708"/>
        <w:contextualSpacing/>
        <w:jc w:val="both"/>
        <w:rPr>
          <w:rFonts w:ascii="Arial" w:hAnsi="Arial" w:cs="Arial"/>
          <w:sz w:val="18"/>
          <w:szCs w:val="18"/>
        </w:rPr>
      </w:pPr>
      <w:r w:rsidRPr="000C7A6F">
        <w:rPr>
          <w:rFonts w:ascii="Arial" w:hAnsi="Arial" w:cs="Arial"/>
          <w:sz w:val="18"/>
          <w:szCs w:val="18"/>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p w14:paraId="338219A7" w14:textId="77777777" w:rsidR="00851C60" w:rsidRPr="000C7A6F" w:rsidRDefault="00851C60" w:rsidP="00851C60">
      <w:pPr>
        <w:pStyle w:val="Textonotapie"/>
        <w:ind w:firstLine="708"/>
        <w:contextualSpacing/>
        <w:jc w:val="both"/>
        <w:rPr>
          <w:rFonts w:ascii="Arial" w:hAnsi="Arial" w:cs="Arial"/>
          <w:sz w:val="18"/>
          <w:szCs w:val="18"/>
        </w:rPr>
      </w:pPr>
    </w:p>
  </w:footnote>
  <w:footnote w:id="9">
    <w:p w14:paraId="211ED943" w14:textId="77777777" w:rsidR="00851C60" w:rsidRPr="000C7A6F" w:rsidRDefault="00851C60" w:rsidP="00851C60">
      <w:pPr>
        <w:pStyle w:val="Textonotapie"/>
        <w:ind w:firstLine="708"/>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Respecto al periodo de transición establecido en la norma objeto de estudio, la Circular Externa Única de Colombia Compra Eficiente señaló que «De acuerdo con el artículo 53 de Ley 2195 de 2022, las Entidades Estatales que, por disposición legal, cuenten con un régimen contractual excepcional al del Estatuto General de Contratación de la Administración Pública tienen un período de transición de seis (6) meses para publicar todos los documentos relacionados con su actividad contractual en la plataforma del SECOP II. En consecuencia, su uso obligatorio empezará a regir después de las 23:59 horas del 17 de julio de 2022, sin que sea posible, por vía reglamentaria o a través de los manuales internos de contratación, extender el plazo previsto en la Ley de Transparencia. Todos los procesos de contratación creados en el SECOP I antes de las 23:59 horas del 17 de julio de 2022, por parte de estas Entidades Estatales, podrán continuar siendo gestionados en esta plataforma».  </w:t>
      </w:r>
    </w:p>
    <w:p w14:paraId="37819EA8" w14:textId="77777777" w:rsidR="00851C60" w:rsidRPr="000C7A6F" w:rsidRDefault="00851C60" w:rsidP="00851C60">
      <w:pPr>
        <w:pStyle w:val="Textonotapie"/>
        <w:ind w:firstLine="708"/>
        <w:contextualSpacing/>
        <w:jc w:val="both"/>
        <w:rPr>
          <w:rFonts w:ascii="Arial" w:hAnsi="Arial" w:cs="Arial"/>
          <w:sz w:val="18"/>
          <w:szCs w:val="18"/>
        </w:rPr>
      </w:pPr>
    </w:p>
  </w:footnote>
  <w:footnote w:id="10">
    <w:p w14:paraId="02B0592B" w14:textId="77777777" w:rsidR="00851C60" w:rsidRPr="000C7A6F" w:rsidRDefault="00851C60" w:rsidP="00851C60">
      <w:pPr>
        <w:pStyle w:val="Textonotapie"/>
        <w:ind w:firstLine="708"/>
        <w:contextualSpacing/>
        <w:jc w:val="both"/>
        <w:rPr>
          <w:rStyle w:val="Hipervnculo"/>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En el siguiente enlace se puede consultar la Guía para gestionar o publicar los procesos de Régimen Especial con oferta en el SECOP II:  </w:t>
      </w:r>
      <w:hyperlink r:id="rId2" w:history="1">
        <w:r w:rsidRPr="000C7A6F">
          <w:rPr>
            <w:rStyle w:val="Hipervnculo"/>
            <w:rFonts w:ascii="Arial" w:hAnsi="Arial" w:cs="Arial"/>
            <w:sz w:val="18"/>
            <w:szCs w:val="18"/>
          </w:rPr>
          <w:t>https://www.colombiacompra.gov.co/node/23628</w:t>
        </w:r>
      </w:hyperlink>
    </w:p>
    <w:p w14:paraId="42597AB2" w14:textId="77777777" w:rsidR="00851C60" w:rsidRPr="000C7A6F" w:rsidRDefault="00851C60" w:rsidP="00851C60">
      <w:pPr>
        <w:pStyle w:val="Textonotapie"/>
        <w:ind w:firstLine="708"/>
        <w:contextualSpacing/>
        <w:jc w:val="both"/>
        <w:rPr>
          <w:rFonts w:ascii="Arial" w:hAnsi="Arial" w:cs="Arial"/>
          <w:sz w:val="18"/>
          <w:szCs w:val="18"/>
        </w:rPr>
      </w:pPr>
      <w:r w:rsidRPr="000C7A6F">
        <w:rPr>
          <w:rFonts w:ascii="Arial" w:hAnsi="Arial" w:cs="Arial"/>
          <w:sz w:val="18"/>
          <w:szCs w:val="18"/>
        </w:rPr>
        <w:t xml:space="preserve"> </w:t>
      </w:r>
    </w:p>
  </w:footnote>
  <w:footnote w:id="11">
    <w:p w14:paraId="7DC4E1B8" w14:textId="77777777" w:rsidR="00851C60" w:rsidRPr="000C7A6F" w:rsidRDefault="00851C60" w:rsidP="00851C60">
      <w:pPr>
        <w:pStyle w:val="Textonotapie"/>
        <w:ind w:firstLine="708"/>
        <w:contextualSpacing/>
        <w:jc w:val="both"/>
        <w:rPr>
          <w:rStyle w:val="Hipervnculo"/>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En el siguiente enlace se puede consultar la Guía para gestionar o publicar los procesos de Régimen Especial sin oferta en el SECOP II:   </w:t>
      </w:r>
      <w:hyperlink r:id="rId3" w:history="1">
        <w:r w:rsidRPr="000C7A6F">
          <w:rPr>
            <w:rStyle w:val="Hipervnculo"/>
            <w:rFonts w:ascii="Arial" w:hAnsi="Arial" w:cs="Arial"/>
            <w:sz w:val="18"/>
            <w:szCs w:val="18"/>
          </w:rPr>
          <w:t>https://www.colombiacompra.gov.co/node/30741</w:t>
        </w:r>
      </w:hyperlink>
    </w:p>
    <w:p w14:paraId="051445A3" w14:textId="77777777" w:rsidR="00851C60" w:rsidRPr="000C7A6F" w:rsidRDefault="00851C60" w:rsidP="00851C60">
      <w:pPr>
        <w:pStyle w:val="Textonotapie"/>
        <w:ind w:firstLine="708"/>
        <w:contextualSpacing/>
        <w:jc w:val="both"/>
        <w:rPr>
          <w:rFonts w:ascii="Arial" w:hAnsi="Arial" w:cs="Arial"/>
          <w:sz w:val="18"/>
          <w:szCs w:val="18"/>
        </w:rPr>
      </w:pPr>
    </w:p>
  </w:footnote>
  <w:footnote w:id="12">
    <w:p w14:paraId="75C02001" w14:textId="77777777" w:rsidR="00851C60" w:rsidRPr="000C7A6F" w:rsidRDefault="00851C60" w:rsidP="00851C60">
      <w:pPr>
        <w:pStyle w:val="NormalWeb"/>
        <w:spacing w:before="0" w:beforeAutospacing="0" w:after="0" w:afterAutospacing="0"/>
        <w:ind w:firstLine="708"/>
        <w:contextualSpacing/>
        <w:jc w:val="both"/>
        <w:rPr>
          <w:rFonts w:ascii="Arial" w:hAnsi="Arial" w:cs="Arial"/>
          <w:color w:val="000000"/>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Decreto 1081 de 2015 «</w:t>
      </w:r>
      <w:r w:rsidRPr="000C7A6F">
        <w:rPr>
          <w:rFonts w:ascii="Arial" w:hAnsi="Arial" w:cs="Arial"/>
          <w:color w:val="000000"/>
          <w:sz w:val="18"/>
          <w:szCs w:val="18"/>
        </w:rPr>
        <w:t>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6698C37E" w14:textId="77777777" w:rsidR="00851C60" w:rsidRPr="000C7A6F" w:rsidRDefault="00851C60" w:rsidP="00851C60">
      <w:pPr>
        <w:spacing w:after="0" w:line="240" w:lineRule="auto"/>
        <w:contextualSpacing/>
        <w:jc w:val="both"/>
        <w:rPr>
          <w:rFonts w:ascii="Arial" w:eastAsia="Times New Roman" w:hAnsi="Arial" w:cs="Arial"/>
          <w:color w:val="000000"/>
          <w:sz w:val="18"/>
          <w:szCs w:val="18"/>
          <w:lang w:eastAsia="es-CO"/>
        </w:rPr>
      </w:pPr>
      <w:r w:rsidRPr="000C7A6F">
        <w:rPr>
          <w:rFonts w:ascii="Arial" w:eastAsia="Times New Roman" w:hAnsi="Arial" w:cs="Arial"/>
          <w:color w:val="000000"/>
          <w:sz w:val="18"/>
          <w:szCs w:val="18"/>
          <w:lang w:eastAsia="es-CO"/>
        </w:rPr>
        <w:t>  </w:t>
      </w:r>
      <w:r w:rsidRPr="000C7A6F">
        <w:rPr>
          <w:rFonts w:ascii="Arial" w:eastAsia="Times New Roman" w:hAnsi="Arial" w:cs="Arial"/>
          <w:color w:val="000000"/>
          <w:sz w:val="18"/>
          <w:szCs w:val="18"/>
          <w:lang w:eastAsia="es-CO"/>
        </w:rPr>
        <w:tab/>
        <w:t>»Los sujetos obligados que contratan con cargo a recursos públicos deben publicar la información de su gestión contractual en el plazo previsto en el artículo 19 del Decreto 1510 de 2013, o el que lo modifique, sustituya o adicione. </w:t>
      </w:r>
    </w:p>
    <w:p w14:paraId="0D909FCE" w14:textId="77777777" w:rsidR="00851C60" w:rsidRPr="000C7A6F" w:rsidRDefault="00851C60" w:rsidP="00851C60">
      <w:pPr>
        <w:spacing w:after="0" w:line="240" w:lineRule="auto"/>
        <w:contextualSpacing/>
        <w:jc w:val="both"/>
        <w:rPr>
          <w:rFonts w:ascii="Arial" w:hAnsi="Arial" w:cs="Arial"/>
          <w:sz w:val="18"/>
          <w:szCs w:val="18"/>
        </w:rPr>
      </w:pPr>
      <w:r w:rsidRPr="000C7A6F">
        <w:rPr>
          <w:rFonts w:ascii="Arial" w:eastAsia="Times New Roman" w:hAnsi="Arial" w:cs="Arial"/>
          <w:color w:val="000000"/>
          <w:sz w:val="18"/>
          <w:szCs w:val="18"/>
          <w:lang w:eastAsia="es-CO"/>
        </w:rPr>
        <w:t>  </w:t>
      </w:r>
      <w:r w:rsidRPr="000C7A6F">
        <w:rPr>
          <w:rFonts w:ascii="Arial" w:eastAsia="Times New Roman" w:hAnsi="Arial" w:cs="Arial"/>
          <w:color w:val="000000"/>
          <w:sz w:val="18"/>
          <w:szCs w:val="18"/>
          <w:lang w:eastAsia="es-CO"/>
        </w:rPr>
        <w:tab/>
        <w:t>»Los sujetos obligados que contratan con recursos públicos y recursos privados, deben publicar la información de su gestión contractual con cargo a recursos públicos en el Sistema Electrónico para la Contratación Pública (SECOP)</w:t>
      </w:r>
      <w:r w:rsidRPr="000C7A6F">
        <w:rPr>
          <w:rFonts w:ascii="Arial" w:hAnsi="Arial" w:cs="Arial"/>
          <w:sz w:val="18"/>
          <w:szCs w:val="18"/>
        </w:rPr>
        <w:t>».</w:t>
      </w:r>
    </w:p>
    <w:p w14:paraId="004F4BF3" w14:textId="77777777" w:rsidR="00851C60" w:rsidRPr="000C7A6F" w:rsidRDefault="00851C60" w:rsidP="00851C60">
      <w:pPr>
        <w:spacing w:after="0" w:line="240" w:lineRule="auto"/>
        <w:contextualSpacing/>
        <w:jc w:val="both"/>
        <w:rPr>
          <w:rFonts w:ascii="Arial" w:eastAsia="Times New Roman" w:hAnsi="Arial" w:cs="Arial"/>
          <w:color w:val="000000"/>
          <w:sz w:val="18"/>
          <w:szCs w:val="18"/>
          <w:lang w:eastAsia="es-CO"/>
        </w:rPr>
      </w:pPr>
    </w:p>
  </w:footnote>
  <w:footnote w:id="13">
    <w:p w14:paraId="7D215FE6" w14:textId="77777777" w:rsidR="00851C60" w:rsidRPr="000C7A6F" w:rsidRDefault="00851C60" w:rsidP="00851C60">
      <w:pPr>
        <w:autoSpaceDE w:val="0"/>
        <w:autoSpaceDN w:val="0"/>
        <w:adjustRightInd w:val="0"/>
        <w:spacing w:after="0" w:line="240" w:lineRule="auto"/>
        <w:ind w:firstLine="708"/>
        <w:contextualSpacing/>
        <w:jc w:val="both"/>
        <w:rPr>
          <w:rFonts w:ascii="Arial" w:eastAsia="Calibri" w:hAnsi="Arial" w:cs="Arial"/>
          <w:sz w:val="18"/>
          <w:szCs w:val="18"/>
          <w:lang w:val="es-ES" w:eastAsia="es-ES_tradnl"/>
        </w:rPr>
      </w:pPr>
      <w:r w:rsidRPr="000C7A6F">
        <w:rPr>
          <w:rStyle w:val="Refdenotaalpie"/>
          <w:rFonts w:ascii="Arial" w:hAnsi="Arial" w:cs="Arial"/>
          <w:sz w:val="18"/>
          <w:szCs w:val="18"/>
        </w:rPr>
        <w:footnoteRef/>
      </w:r>
      <w:r w:rsidRPr="000C7A6F">
        <w:rPr>
          <w:rFonts w:ascii="Arial" w:hAnsi="Arial" w:cs="Arial"/>
          <w:sz w:val="18"/>
          <w:szCs w:val="18"/>
        </w:rPr>
        <w:t xml:space="preserve"> E</w:t>
      </w:r>
      <w:r w:rsidRPr="000C7A6F">
        <w:rPr>
          <w:rFonts w:ascii="Arial" w:eastAsia="Calibri" w:hAnsi="Arial" w:cs="Arial"/>
          <w:sz w:val="18"/>
          <w:szCs w:val="18"/>
          <w:lang w:val="es-ES" w:eastAsia="es-ES_tradnl"/>
        </w:rPr>
        <w:t xml:space="preserve">l Departamento Administrativo de la Presidencia de la Republica profirió la Circular 02 del 2022, del 1 de junio de 2022, mediante la cual se imparten instrucciones sobre la aplicación del artículo 53 de la Ley 2195 de 2022.  </w:t>
      </w:r>
    </w:p>
    <w:p w14:paraId="0468E45C" w14:textId="77777777" w:rsidR="00851C60" w:rsidRPr="000C7A6F" w:rsidRDefault="00851C60" w:rsidP="00851C60">
      <w:pPr>
        <w:autoSpaceDE w:val="0"/>
        <w:autoSpaceDN w:val="0"/>
        <w:adjustRightInd w:val="0"/>
        <w:spacing w:after="0" w:line="240" w:lineRule="auto"/>
        <w:ind w:firstLine="708"/>
        <w:contextualSpacing/>
        <w:jc w:val="both"/>
        <w:rPr>
          <w:rFonts w:ascii="Arial" w:eastAsia="Times New Roman" w:hAnsi="Arial" w:cs="Arial"/>
          <w:sz w:val="18"/>
          <w:szCs w:val="18"/>
          <w:lang w:eastAsia="es-ES_tradnl"/>
        </w:rPr>
      </w:pPr>
    </w:p>
  </w:footnote>
  <w:footnote w:id="14">
    <w:p w14:paraId="470D4B34" w14:textId="77777777" w:rsidR="00851C60" w:rsidRDefault="00851C60" w:rsidP="00851C60">
      <w:pPr>
        <w:pStyle w:val="Textonotapie"/>
        <w:ind w:firstLine="708"/>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«Artículo 2o. De las modalidades de selección. La escogencia del contratista se efectuará con arreglo a las modalidades de selección de licitación pública, selección abreviada, concurso de méritos y contratación directa, con base en las siguientes reglas: […] »4. Contratación directa. La modalidad de selección de contratación directa, solamente procederá en los siguientes casos: […] »C. […] »Inciso 2o. modificado por el artículo 95 de la Ley 1474 de 2011– 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 […]». </w:t>
      </w:r>
    </w:p>
    <w:p w14:paraId="640AE30E" w14:textId="77777777" w:rsidR="00851C60" w:rsidRPr="000C7A6F" w:rsidRDefault="00851C60" w:rsidP="00851C60">
      <w:pPr>
        <w:pStyle w:val="Textonotapie"/>
        <w:ind w:firstLine="708"/>
        <w:contextualSpacing/>
        <w:jc w:val="both"/>
        <w:rPr>
          <w:rFonts w:ascii="Arial" w:hAnsi="Arial" w:cs="Arial"/>
          <w:sz w:val="18"/>
          <w:szCs w:val="18"/>
        </w:rPr>
      </w:pPr>
    </w:p>
  </w:footnote>
  <w:footnote w:id="15">
    <w:p w14:paraId="10B56FC6" w14:textId="77777777" w:rsidR="00851C60" w:rsidRDefault="00851C60" w:rsidP="00851C60">
      <w:pPr>
        <w:pStyle w:val="Textonotapie"/>
        <w:ind w:firstLine="708"/>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Agencia Nacional de Contratación Pública–Colombia Compra Eficiente. Concepto C-086 del 15 de marzo de 2022. Radicado de entrada No. P20220204001062. Radicado de salida No. RS20220315002834.</w:t>
      </w:r>
    </w:p>
    <w:p w14:paraId="1B8DB0AF" w14:textId="77777777" w:rsidR="00851C60" w:rsidRPr="000C7A6F" w:rsidRDefault="00851C60" w:rsidP="00851C60">
      <w:pPr>
        <w:pStyle w:val="Textonotapie"/>
        <w:ind w:firstLine="708"/>
        <w:contextualSpacing/>
        <w:jc w:val="both"/>
        <w:rPr>
          <w:rFonts w:ascii="Arial" w:hAnsi="Arial" w:cs="Arial"/>
          <w:sz w:val="18"/>
          <w:szCs w:val="18"/>
        </w:rPr>
      </w:pPr>
    </w:p>
  </w:footnote>
  <w:footnote w:id="16">
    <w:p w14:paraId="25BFF46E" w14:textId="77777777" w:rsidR="00851C60" w:rsidRPr="000C7A6F" w:rsidRDefault="00851C60" w:rsidP="00851C60">
      <w:pPr>
        <w:pStyle w:val="Textonotapie"/>
        <w:ind w:firstLine="709"/>
        <w:contextualSpacing/>
        <w:jc w:val="both"/>
        <w:rPr>
          <w:rFonts w:ascii="Arial" w:hAnsi="Arial" w:cs="Arial"/>
          <w:sz w:val="18"/>
          <w:szCs w:val="18"/>
          <w:lang w:val="es-ES"/>
        </w:rPr>
      </w:pPr>
      <w:r w:rsidRPr="000C7A6F">
        <w:rPr>
          <w:rStyle w:val="Refdenotaalpie"/>
          <w:rFonts w:ascii="Arial" w:hAnsi="Arial" w:cs="Arial"/>
          <w:sz w:val="18"/>
          <w:szCs w:val="18"/>
        </w:rPr>
        <w:footnoteRef/>
      </w:r>
      <w:r w:rsidRPr="000C7A6F">
        <w:rPr>
          <w:rFonts w:ascii="Arial" w:hAnsi="Arial" w:cs="Arial"/>
          <w:sz w:val="18"/>
          <w:szCs w:val="18"/>
        </w:rPr>
        <w:t xml:space="preserve"> </w:t>
      </w:r>
      <w:r w:rsidRPr="000C7A6F">
        <w:rPr>
          <w:rFonts w:ascii="Arial" w:hAnsi="Arial" w:cs="Arial"/>
          <w:sz w:val="18"/>
          <w:szCs w:val="18"/>
          <w:lang w:val="es-ES"/>
        </w:rPr>
        <w:t>En cuanto a las resoluciones vigentes, dicha regla se observa en el artículo 3 de las Resoluciones 240 de 2020, 241 de 2020, 248 de 2020, 249 de 2020, 269 de 2020, 219 de 2021, 392 de 2021, 454 de 2021, entre otras, así como lo dispuesto en el artículo 2 de la Resolución 094 de 2020.</w:t>
      </w:r>
    </w:p>
    <w:p w14:paraId="5010E50B" w14:textId="77777777" w:rsidR="00851C60" w:rsidRPr="000C7A6F" w:rsidRDefault="00851C60" w:rsidP="00851C60">
      <w:pPr>
        <w:pStyle w:val="Textonotapie"/>
        <w:ind w:firstLine="709"/>
        <w:contextualSpacing/>
        <w:jc w:val="both"/>
        <w:rPr>
          <w:rFonts w:ascii="Arial" w:hAnsi="Arial" w:cs="Arial"/>
          <w:sz w:val="18"/>
          <w:szCs w:val="18"/>
          <w:lang w:val="es-ES"/>
        </w:rPr>
      </w:pPr>
    </w:p>
  </w:footnote>
  <w:footnote w:id="17">
    <w:p w14:paraId="332FC2F8" w14:textId="77777777" w:rsidR="00851C60" w:rsidRPr="000C7A6F" w:rsidRDefault="00851C60" w:rsidP="00851C60">
      <w:pPr>
        <w:pStyle w:val="Textonotapie"/>
        <w:ind w:firstLine="709"/>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En torno a las potestades regladas, García de Enterría y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FERNÁNDEZ, Tomás-Ramón. Curso de derecho administrativo. Tomo I. Madrid: Civitas, 1997. pp. 444-445)</w:t>
      </w:r>
    </w:p>
    <w:p w14:paraId="4A57741E" w14:textId="77777777" w:rsidR="00851C60" w:rsidRPr="000C7A6F" w:rsidRDefault="00851C60" w:rsidP="00851C60">
      <w:pPr>
        <w:pStyle w:val="Textonotapie"/>
        <w:ind w:firstLine="709"/>
        <w:contextualSpacing/>
        <w:jc w:val="both"/>
        <w:rPr>
          <w:rFonts w:ascii="Arial" w:hAnsi="Arial" w:cs="Arial"/>
          <w:sz w:val="18"/>
          <w:szCs w:val="18"/>
        </w:rPr>
      </w:pPr>
    </w:p>
  </w:footnote>
  <w:footnote w:id="18">
    <w:p w14:paraId="180E7C71" w14:textId="77777777" w:rsidR="00851C60" w:rsidRPr="000C7A6F" w:rsidRDefault="00851C60" w:rsidP="00851C60">
      <w:pPr>
        <w:pStyle w:val="Textonotapie"/>
        <w:ind w:firstLine="709"/>
        <w:contextualSpacing/>
        <w:jc w:val="both"/>
        <w:rPr>
          <w:rFonts w:ascii="Arial" w:hAnsi="Arial" w:cs="Arial"/>
          <w:sz w:val="18"/>
          <w:szCs w:val="18"/>
        </w:rPr>
      </w:pPr>
      <w:r w:rsidRPr="000C7A6F">
        <w:rPr>
          <w:rStyle w:val="Refdenotaalpie"/>
          <w:rFonts w:ascii="Arial" w:hAnsi="Arial" w:cs="Arial"/>
          <w:sz w:val="18"/>
          <w:szCs w:val="18"/>
        </w:rPr>
        <w:footnoteRef/>
      </w:r>
      <w:r w:rsidRPr="000C7A6F">
        <w:rPr>
          <w:rFonts w:ascii="Arial" w:hAnsi="Arial" w:cs="Arial"/>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7EC8B0D9" w14:textId="77777777" w:rsidR="00851C60" w:rsidRPr="000C7A6F" w:rsidRDefault="00851C60" w:rsidP="00851C60">
      <w:pPr>
        <w:pStyle w:val="Textonotapie"/>
        <w:ind w:firstLine="709"/>
        <w:contextualSpacing/>
        <w:jc w:val="both"/>
        <w:rPr>
          <w:rFonts w:ascii="Arial" w:hAnsi="Arial" w:cs="Arial"/>
          <w:sz w:val="18"/>
          <w:szCs w:val="18"/>
        </w:rPr>
      </w:pPr>
    </w:p>
  </w:footnote>
  <w:footnote w:id="19">
    <w:p w14:paraId="74355EB4" w14:textId="77777777" w:rsidR="00851C60" w:rsidRPr="000C7A6F" w:rsidRDefault="00851C60" w:rsidP="00851C60">
      <w:pPr>
        <w:spacing w:after="0" w:line="240" w:lineRule="auto"/>
        <w:ind w:firstLine="709"/>
        <w:contextualSpacing/>
        <w:jc w:val="both"/>
        <w:rPr>
          <w:rFonts w:ascii="Arial" w:hAnsi="Arial" w:cs="Arial"/>
          <w:sz w:val="18"/>
          <w:szCs w:val="18"/>
          <w:lang w:val="es-ES"/>
        </w:rPr>
      </w:pPr>
      <w:r w:rsidRPr="000C7A6F">
        <w:rPr>
          <w:rStyle w:val="Refdenotaalpie"/>
          <w:rFonts w:ascii="Arial" w:hAnsi="Arial" w:cs="Arial"/>
          <w:sz w:val="18"/>
          <w:szCs w:val="18"/>
        </w:rPr>
        <w:footnoteRef/>
      </w:r>
      <w:r w:rsidRPr="000C7A6F">
        <w:rPr>
          <w:rFonts w:ascii="Arial" w:hAnsi="Arial" w:cs="Arial"/>
          <w:sz w:val="18"/>
          <w:szCs w:val="18"/>
        </w:rPr>
        <w:t xml:space="preserve"> </w:t>
      </w:r>
      <w:r w:rsidRPr="000C7A6F">
        <w:rPr>
          <w:rFonts w:ascii="Arial" w:hAnsi="Arial" w:cs="Arial"/>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3E7F128E" w14:textId="77777777" w:rsidR="00851C60" w:rsidRPr="000C7A6F" w:rsidRDefault="00851C60" w:rsidP="00851C60">
      <w:pPr>
        <w:spacing w:after="0" w:line="240" w:lineRule="auto"/>
        <w:ind w:firstLine="709"/>
        <w:contextualSpacing/>
        <w:jc w:val="both"/>
        <w:rPr>
          <w:rFonts w:ascii="Arial" w:hAnsi="Arial" w:cs="Arial"/>
          <w:sz w:val="18"/>
          <w:szCs w:val="18"/>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7728"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1"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68992"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9B37B27"/>
    <w:multiLevelType w:val="multilevel"/>
    <w:tmpl w:val="CB74C3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6FF0C7D"/>
    <w:multiLevelType w:val="multilevel"/>
    <w:tmpl w:val="9094F2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00395951">
    <w:abstractNumId w:val="2"/>
  </w:num>
  <w:num w:numId="2" w16cid:durableId="1408454564">
    <w:abstractNumId w:val="0"/>
  </w:num>
  <w:num w:numId="3" w16cid:durableId="1897622572">
    <w:abstractNumId w:val="1"/>
  </w:num>
  <w:num w:numId="4" w16cid:durableId="1851141904">
    <w:abstractNumId w:val="4"/>
  </w:num>
  <w:num w:numId="5" w16cid:durableId="7946404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28BF"/>
    <w:rsid w:val="00083334"/>
    <w:rsid w:val="00094000"/>
    <w:rsid w:val="000956CF"/>
    <w:rsid w:val="000A683E"/>
    <w:rsid w:val="000C7BDC"/>
    <w:rsid w:val="000E7B7A"/>
    <w:rsid w:val="000F79CE"/>
    <w:rsid w:val="0010790A"/>
    <w:rsid w:val="0011595A"/>
    <w:rsid w:val="001220C5"/>
    <w:rsid w:val="001267F7"/>
    <w:rsid w:val="00126EFA"/>
    <w:rsid w:val="00127233"/>
    <w:rsid w:val="00130999"/>
    <w:rsid w:val="001507F2"/>
    <w:rsid w:val="0015315E"/>
    <w:rsid w:val="00164D81"/>
    <w:rsid w:val="00184865"/>
    <w:rsid w:val="001930E6"/>
    <w:rsid w:val="00193F81"/>
    <w:rsid w:val="0019481E"/>
    <w:rsid w:val="001A1011"/>
    <w:rsid w:val="001A3EF8"/>
    <w:rsid w:val="001A48D0"/>
    <w:rsid w:val="001D159D"/>
    <w:rsid w:val="001D6A96"/>
    <w:rsid w:val="00217694"/>
    <w:rsid w:val="00241DE9"/>
    <w:rsid w:val="002653C1"/>
    <w:rsid w:val="002951A0"/>
    <w:rsid w:val="002A64FD"/>
    <w:rsid w:val="002B6968"/>
    <w:rsid w:val="002E7995"/>
    <w:rsid w:val="00310B9B"/>
    <w:rsid w:val="00337509"/>
    <w:rsid w:val="0036461C"/>
    <w:rsid w:val="00367884"/>
    <w:rsid w:val="00386ED3"/>
    <w:rsid w:val="0039439C"/>
    <w:rsid w:val="003958AD"/>
    <w:rsid w:val="003A6411"/>
    <w:rsid w:val="003B15FE"/>
    <w:rsid w:val="003B4C48"/>
    <w:rsid w:val="003B69E7"/>
    <w:rsid w:val="003C013B"/>
    <w:rsid w:val="003C2C94"/>
    <w:rsid w:val="003D0F4D"/>
    <w:rsid w:val="003F09BB"/>
    <w:rsid w:val="003F58A1"/>
    <w:rsid w:val="00410DD6"/>
    <w:rsid w:val="004119E9"/>
    <w:rsid w:val="004134C9"/>
    <w:rsid w:val="004172C7"/>
    <w:rsid w:val="00426ACF"/>
    <w:rsid w:val="00441BED"/>
    <w:rsid w:val="00462A59"/>
    <w:rsid w:val="004A1847"/>
    <w:rsid w:val="004B6B0E"/>
    <w:rsid w:val="004C7995"/>
    <w:rsid w:val="004D25B3"/>
    <w:rsid w:val="004E4117"/>
    <w:rsid w:val="00511405"/>
    <w:rsid w:val="0051223D"/>
    <w:rsid w:val="00526E9D"/>
    <w:rsid w:val="00547A74"/>
    <w:rsid w:val="005566E8"/>
    <w:rsid w:val="005746AB"/>
    <w:rsid w:val="00577620"/>
    <w:rsid w:val="005A3769"/>
    <w:rsid w:val="005B124D"/>
    <w:rsid w:val="005D65C8"/>
    <w:rsid w:val="005F109B"/>
    <w:rsid w:val="00605A13"/>
    <w:rsid w:val="006079C7"/>
    <w:rsid w:val="0061334A"/>
    <w:rsid w:val="006219F8"/>
    <w:rsid w:val="00622B9F"/>
    <w:rsid w:val="00625974"/>
    <w:rsid w:val="006549A8"/>
    <w:rsid w:val="00660907"/>
    <w:rsid w:val="00661A2B"/>
    <w:rsid w:val="00681FDB"/>
    <w:rsid w:val="006A7DAD"/>
    <w:rsid w:val="006C36C4"/>
    <w:rsid w:val="006D70BA"/>
    <w:rsid w:val="006E3DD6"/>
    <w:rsid w:val="00705858"/>
    <w:rsid w:val="007213BB"/>
    <w:rsid w:val="0072386E"/>
    <w:rsid w:val="0072702E"/>
    <w:rsid w:val="007566FE"/>
    <w:rsid w:val="007631B3"/>
    <w:rsid w:val="0077117B"/>
    <w:rsid w:val="0077144B"/>
    <w:rsid w:val="00793403"/>
    <w:rsid w:val="0079386A"/>
    <w:rsid w:val="007A238B"/>
    <w:rsid w:val="007D4268"/>
    <w:rsid w:val="007F2B7C"/>
    <w:rsid w:val="00820F5B"/>
    <w:rsid w:val="00833452"/>
    <w:rsid w:val="00851C60"/>
    <w:rsid w:val="00854950"/>
    <w:rsid w:val="008614E5"/>
    <w:rsid w:val="00861733"/>
    <w:rsid w:val="008678EB"/>
    <w:rsid w:val="00881897"/>
    <w:rsid w:val="00881C10"/>
    <w:rsid w:val="008D3219"/>
    <w:rsid w:val="008D5C70"/>
    <w:rsid w:val="008E5125"/>
    <w:rsid w:val="009025AF"/>
    <w:rsid w:val="00904F23"/>
    <w:rsid w:val="00906B3C"/>
    <w:rsid w:val="00942F80"/>
    <w:rsid w:val="009958F8"/>
    <w:rsid w:val="009B5B95"/>
    <w:rsid w:val="009C724E"/>
    <w:rsid w:val="009F33F2"/>
    <w:rsid w:val="00A0664A"/>
    <w:rsid w:val="00A07532"/>
    <w:rsid w:val="00A1085C"/>
    <w:rsid w:val="00A309E2"/>
    <w:rsid w:val="00A35ADF"/>
    <w:rsid w:val="00A369E7"/>
    <w:rsid w:val="00A63697"/>
    <w:rsid w:val="00A776C6"/>
    <w:rsid w:val="00A8066E"/>
    <w:rsid w:val="00AA034D"/>
    <w:rsid w:val="00AA4B8A"/>
    <w:rsid w:val="00AA6BF7"/>
    <w:rsid w:val="00AC3690"/>
    <w:rsid w:val="00AC7E7C"/>
    <w:rsid w:val="00AD4976"/>
    <w:rsid w:val="00AF40D6"/>
    <w:rsid w:val="00B01ED6"/>
    <w:rsid w:val="00B0236E"/>
    <w:rsid w:val="00B06D09"/>
    <w:rsid w:val="00B44247"/>
    <w:rsid w:val="00B771A9"/>
    <w:rsid w:val="00B809BB"/>
    <w:rsid w:val="00B8248A"/>
    <w:rsid w:val="00B934E2"/>
    <w:rsid w:val="00BA0856"/>
    <w:rsid w:val="00BA2793"/>
    <w:rsid w:val="00C30461"/>
    <w:rsid w:val="00C754BE"/>
    <w:rsid w:val="00C9405D"/>
    <w:rsid w:val="00CA7D6B"/>
    <w:rsid w:val="00CC1B26"/>
    <w:rsid w:val="00CD284F"/>
    <w:rsid w:val="00CF23AA"/>
    <w:rsid w:val="00D01921"/>
    <w:rsid w:val="00D3450C"/>
    <w:rsid w:val="00D50FE1"/>
    <w:rsid w:val="00D62018"/>
    <w:rsid w:val="00D752B7"/>
    <w:rsid w:val="00DA1854"/>
    <w:rsid w:val="00DA64F9"/>
    <w:rsid w:val="00DB004A"/>
    <w:rsid w:val="00DB4B6F"/>
    <w:rsid w:val="00DC7A71"/>
    <w:rsid w:val="00DF07EE"/>
    <w:rsid w:val="00E0123F"/>
    <w:rsid w:val="00E014B2"/>
    <w:rsid w:val="00E14702"/>
    <w:rsid w:val="00E20894"/>
    <w:rsid w:val="00E26B7C"/>
    <w:rsid w:val="00E72E60"/>
    <w:rsid w:val="00E75C5F"/>
    <w:rsid w:val="00EB3C91"/>
    <w:rsid w:val="00EB56DA"/>
    <w:rsid w:val="00EB66DA"/>
    <w:rsid w:val="00EC2113"/>
    <w:rsid w:val="00EF3E9B"/>
    <w:rsid w:val="00F02616"/>
    <w:rsid w:val="00F02C49"/>
    <w:rsid w:val="00F21B70"/>
    <w:rsid w:val="00F224E1"/>
    <w:rsid w:val="00F33002"/>
    <w:rsid w:val="00F35BE6"/>
    <w:rsid w:val="00F605F2"/>
    <w:rsid w:val="00F66387"/>
    <w:rsid w:val="00F76AFC"/>
    <w:rsid w:val="00FA5516"/>
    <w:rsid w:val="00FD6F7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C60"/>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styleId="NormalWeb">
    <w:name w:val="Normal (Web)"/>
    <w:basedOn w:val="Normal"/>
    <w:link w:val="NormalWebCar"/>
    <w:uiPriority w:val="99"/>
    <w:unhideWhenUsed/>
    <w:rsid w:val="004172C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4172C7"/>
    <w:rPr>
      <w:rFonts w:ascii="Times New Roman" w:eastAsia="Times New Roman" w:hAnsi="Times New Roman" w:cs="Times New Roman"/>
      <w:sz w:val="24"/>
      <w:szCs w:val="24"/>
      <w:lang w:eastAsia="es-CO"/>
    </w:rPr>
  </w:style>
  <w:style w:type="paragraph" w:customStyle="1" w:styleId="paragraph">
    <w:name w:val="paragraph"/>
    <w:basedOn w:val="Normal"/>
    <w:rsid w:val="00F02C4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F02C49"/>
  </w:style>
  <w:style w:type="character" w:customStyle="1" w:styleId="superscript">
    <w:name w:val="superscript"/>
    <w:basedOn w:val="Fuentedeprrafopredeter"/>
    <w:rsid w:val="007631B3"/>
  </w:style>
  <w:style w:type="paragraph" w:customStyle="1" w:styleId="Appelnotedebasde">
    <w:name w:val="Appel note de bas de..."/>
    <w:basedOn w:val="Normal"/>
    <w:link w:val="Refdenotaalpie"/>
    <w:uiPriority w:val="99"/>
    <w:rsid w:val="003F09BB"/>
    <w:pPr>
      <w:spacing w:line="240" w:lineRule="exact"/>
    </w:pPr>
    <w:rPr>
      <w:vertAlign w:val="superscript"/>
    </w:rPr>
  </w:style>
  <w:style w:type="character" w:styleId="Hipervnculo">
    <w:name w:val="Hyperlink"/>
    <w:basedOn w:val="Fuentedeprrafopredeter"/>
    <w:uiPriority w:val="99"/>
    <w:semiHidden/>
    <w:unhideWhenUsed/>
    <w:rsid w:val="00EB56DA"/>
    <w:rPr>
      <w:color w:val="0000FF"/>
      <w:u w:val="single"/>
    </w:rPr>
  </w:style>
  <w:style w:type="character" w:styleId="Hipervnculovisitado">
    <w:name w:val="FollowedHyperlink"/>
    <w:basedOn w:val="Fuentedeprrafopredeter"/>
    <w:uiPriority w:val="99"/>
    <w:semiHidden/>
    <w:unhideWhenUsed/>
    <w:rsid w:val="00B0236E"/>
    <w:rPr>
      <w:color w:val="954F72" w:themeColor="followedHyperlink"/>
      <w:u w:val="single"/>
    </w:rPr>
  </w:style>
  <w:style w:type="character" w:customStyle="1" w:styleId="baj">
    <w:name w:val="b_aj"/>
    <w:basedOn w:val="Fuentedeprrafopredeter"/>
    <w:rsid w:val="00851C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311530">
      <w:bodyDiv w:val="1"/>
      <w:marLeft w:val="0"/>
      <w:marRight w:val="0"/>
      <w:marTop w:val="0"/>
      <w:marBottom w:val="0"/>
      <w:divBdr>
        <w:top w:val="none" w:sz="0" w:space="0" w:color="auto"/>
        <w:left w:val="none" w:sz="0" w:space="0" w:color="auto"/>
        <w:bottom w:val="none" w:sz="0" w:space="0" w:color="auto"/>
        <w:right w:val="none" w:sz="0" w:space="0" w:color="auto"/>
      </w:divBdr>
      <w:divsChild>
        <w:div w:id="201283674">
          <w:marLeft w:val="0"/>
          <w:marRight w:val="0"/>
          <w:marTop w:val="0"/>
          <w:marBottom w:val="0"/>
          <w:divBdr>
            <w:top w:val="none" w:sz="0" w:space="0" w:color="auto"/>
            <w:left w:val="none" w:sz="0" w:space="0" w:color="auto"/>
            <w:bottom w:val="none" w:sz="0" w:space="0" w:color="auto"/>
            <w:right w:val="none" w:sz="0" w:space="0" w:color="auto"/>
          </w:divBdr>
        </w:div>
        <w:div w:id="115872120">
          <w:marLeft w:val="0"/>
          <w:marRight w:val="0"/>
          <w:marTop w:val="0"/>
          <w:marBottom w:val="0"/>
          <w:divBdr>
            <w:top w:val="none" w:sz="0" w:space="0" w:color="auto"/>
            <w:left w:val="none" w:sz="0" w:space="0" w:color="auto"/>
            <w:bottom w:val="none" w:sz="0" w:space="0" w:color="auto"/>
            <w:right w:val="none" w:sz="0" w:space="0" w:color="auto"/>
          </w:divBdr>
        </w:div>
        <w:div w:id="799689622">
          <w:marLeft w:val="0"/>
          <w:marRight w:val="0"/>
          <w:marTop w:val="0"/>
          <w:marBottom w:val="0"/>
          <w:divBdr>
            <w:top w:val="none" w:sz="0" w:space="0" w:color="auto"/>
            <w:left w:val="none" w:sz="0" w:space="0" w:color="auto"/>
            <w:bottom w:val="none" w:sz="0" w:space="0" w:color="auto"/>
            <w:right w:val="none" w:sz="0" w:space="0" w:color="auto"/>
          </w:divBdr>
        </w:div>
        <w:div w:id="722099428">
          <w:marLeft w:val="0"/>
          <w:marRight w:val="0"/>
          <w:marTop w:val="0"/>
          <w:marBottom w:val="0"/>
          <w:divBdr>
            <w:top w:val="none" w:sz="0" w:space="0" w:color="auto"/>
            <w:left w:val="none" w:sz="0" w:space="0" w:color="auto"/>
            <w:bottom w:val="none" w:sz="0" w:space="0" w:color="auto"/>
            <w:right w:val="none" w:sz="0" w:space="0" w:color="auto"/>
          </w:divBdr>
          <w:divsChild>
            <w:div w:id="453524208">
              <w:marLeft w:val="-75"/>
              <w:marRight w:val="0"/>
              <w:marTop w:val="30"/>
              <w:marBottom w:val="30"/>
              <w:divBdr>
                <w:top w:val="none" w:sz="0" w:space="0" w:color="auto"/>
                <w:left w:val="none" w:sz="0" w:space="0" w:color="auto"/>
                <w:bottom w:val="none" w:sz="0" w:space="0" w:color="auto"/>
                <w:right w:val="none" w:sz="0" w:space="0" w:color="auto"/>
              </w:divBdr>
              <w:divsChild>
                <w:div w:id="1629773015">
                  <w:marLeft w:val="0"/>
                  <w:marRight w:val="0"/>
                  <w:marTop w:val="0"/>
                  <w:marBottom w:val="0"/>
                  <w:divBdr>
                    <w:top w:val="none" w:sz="0" w:space="0" w:color="auto"/>
                    <w:left w:val="none" w:sz="0" w:space="0" w:color="auto"/>
                    <w:bottom w:val="none" w:sz="0" w:space="0" w:color="auto"/>
                    <w:right w:val="none" w:sz="0" w:space="0" w:color="auto"/>
                  </w:divBdr>
                  <w:divsChild>
                    <w:div w:id="1639845765">
                      <w:marLeft w:val="0"/>
                      <w:marRight w:val="0"/>
                      <w:marTop w:val="0"/>
                      <w:marBottom w:val="0"/>
                      <w:divBdr>
                        <w:top w:val="none" w:sz="0" w:space="0" w:color="auto"/>
                        <w:left w:val="none" w:sz="0" w:space="0" w:color="auto"/>
                        <w:bottom w:val="none" w:sz="0" w:space="0" w:color="auto"/>
                        <w:right w:val="none" w:sz="0" w:space="0" w:color="auto"/>
                      </w:divBdr>
                    </w:div>
                  </w:divsChild>
                </w:div>
                <w:div w:id="1398935670">
                  <w:marLeft w:val="0"/>
                  <w:marRight w:val="0"/>
                  <w:marTop w:val="0"/>
                  <w:marBottom w:val="0"/>
                  <w:divBdr>
                    <w:top w:val="none" w:sz="0" w:space="0" w:color="auto"/>
                    <w:left w:val="none" w:sz="0" w:space="0" w:color="auto"/>
                    <w:bottom w:val="none" w:sz="0" w:space="0" w:color="auto"/>
                    <w:right w:val="none" w:sz="0" w:space="0" w:color="auto"/>
                  </w:divBdr>
                  <w:divsChild>
                    <w:div w:id="897743475">
                      <w:marLeft w:val="0"/>
                      <w:marRight w:val="0"/>
                      <w:marTop w:val="0"/>
                      <w:marBottom w:val="0"/>
                      <w:divBdr>
                        <w:top w:val="none" w:sz="0" w:space="0" w:color="auto"/>
                        <w:left w:val="none" w:sz="0" w:space="0" w:color="auto"/>
                        <w:bottom w:val="none" w:sz="0" w:space="0" w:color="auto"/>
                        <w:right w:val="none" w:sz="0" w:space="0" w:color="auto"/>
                      </w:divBdr>
                    </w:div>
                    <w:div w:id="919103074">
                      <w:marLeft w:val="0"/>
                      <w:marRight w:val="0"/>
                      <w:marTop w:val="0"/>
                      <w:marBottom w:val="0"/>
                      <w:divBdr>
                        <w:top w:val="none" w:sz="0" w:space="0" w:color="auto"/>
                        <w:left w:val="none" w:sz="0" w:space="0" w:color="auto"/>
                        <w:bottom w:val="none" w:sz="0" w:space="0" w:color="auto"/>
                        <w:right w:val="none" w:sz="0" w:space="0" w:color="auto"/>
                      </w:divBdr>
                    </w:div>
                  </w:divsChild>
                </w:div>
                <w:div w:id="1186675959">
                  <w:marLeft w:val="0"/>
                  <w:marRight w:val="0"/>
                  <w:marTop w:val="0"/>
                  <w:marBottom w:val="0"/>
                  <w:divBdr>
                    <w:top w:val="none" w:sz="0" w:space="0" w:color="auto"/>
                    <w:left w:val="none" w:sz="0" w:space="0" w:color="auto"/>
                    <w:bottom w:val="none" w:sz="0" w:space="0" w:color="auto"/>
                    <w:right w:val="none" w:sz="0" w:space="0" w:color="auto"/>
                  </w:divBdr>
                  <w:divsChild>
                    <w:div w:id="2079940346">
                      <w:marLeft w:val="0"/>
                      <w:marRight w:val="0"/>
                      <w:marTop w:val="0"/>
                      <w:marBottom w:val="0"/>
                      <w:divBdr>
                        <w:top w:val="none" w:sz="0" w:space="0" w:color="auto"/>
                        <w:left w:val="none" w:sz="0" w:space="0" w:color="auto"/>
                        <w:bottom w:val="none" w:sz="0" w:space="0" w:color="auto"/>
                        <w:right w:val="none" w:sz="0" w:space="0" w:color="auto"/>
                      </w:divBdr>
                    </w:div>
                  </w:divsChild>
                </w:div>
                <w:div w:id="1614627122">
                  <w:marLeft w:val="0"/>
                  <w:marRight w:val="0"/>
                  <w:marTop w:val="0"/>
                  <w:marBottom w:val="0"/>
                  <w:divBdr>
                    <w:top w:val="none" w:sz="0" w:space="0" w:color="auto"/>
                    <w:left w:val="none" w:sz="0" w:space="0" w:color="auto"/>
                    <w:bottom w:val="none" w:sz="0" w:space="0" w:color="auto"/>
                    <w:right w:val="none" w:sz="0" w:space="0" w:color="auto"/>
                  </w:divBdr>
                  <w:divsChild>
                    <w:div w:id="170007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637300">
          <w:marLeft w:val="0"/>
          <w:marRight w:val="0"/>
          <w:marTop w:val="0"/>
          <w:marBottom w:val="0"/>
          <w:divBdr>
            <w:top w:val="none" w:sz="0" w:space="0" w:color="auto"/>
            <w:left w:val="none" w:sz="0" w:space="0" w:color="auto"/>
            <w:bottom w:val="none" w:sz="0" w:space="0" w:color="auto"/>
            <w:right w:val="none" w:sz="0" w:space="0" w:color="auto"/>
          </w:divBdr>
        </w:div>
        <w:div w:id="1106928562">
          <w:marLeft w:val="0"/>
          <w:marRight w:val="0"/>
          <w:marTop w:val="0"/>
          <w:marBottom w:val="0"/>
          <w:divBdr>
            <w:top w:val="none" w:sz="0" w:space="0" w:color="auto"/>
            <w:left w:val="none" w:sz="0" w:space="0" w:color="auto"/>
            <w:bottom w:val="none" w:sz="0" w:space="0" w:color="auto"/>
            <w:right w:val="none" w:sz="0" w:space="0" w:color="auto"/>
          </w:divBdr>
        </w:div>
        <w:div w:id="1151092295">
          <w:marLeft w:val="0"/>
          <w:marRight w:val="0"/>
          <w:marTop w:val="0"/>
          <w:marBottom w:val="0"/>
          <w:divBdr>
            <w:top w:val="none" w:sz="0" w:space="0" w:color="auto"/>
            <w:left w:val="none" w:sz="0" w:space="0" w:color="auto"/>
            <w:bottom w:val="none" w:sz="0" w:space="0" w:color="auto"/>
            <w:right w:val="none" w:sz="0" w:space="0" w:color="auto"/>
          </w:divBdr>
        </w:div>
        <w:div w:id="798113234">
          <w:marLeft w:val="0"/>
          <w:marRight w:val="0"/>
          <w:marTop w:val="0"/>
          <w:marBottom w:val="0"/>
          <w:divBdr>
            <w:top w:val="none" w:sz="0" w:space="0" w:color="auto"/>
            <w:left w:val="none" w:sz="0" w:space="0" w:color="auto"/>
            <w:bottom w:val="none" w:sz="0" w:space="0" w:color="auto"/>
            <w:right w:val="none" w:sz="0" w:space="0" w:color="auto"/>
          </w:divBdr>
        </w:div>
        <w:div w:id="700667223">
          <w:marLeft w:val="0"/>
          <w:marRight w:val="0"/>
          <w:marTop w:val="0"/>
          <w:marBottom w:val="0"/>
          <w:divBdr>
            <w:top w:val="none" w:sz="0" w:space="0" w:color="auto"/>
            <w:left w:val="none" w:sz="0" w:space="0" w:color="auto"/>
            <w:bottom w:val="none" w:sz="0" w:space="0" w:color="auto"/>
            <w:right w:val="none" w:sz="0" w:space="0" w:color="auto"/>
          </w:divBdr>
        </w:div>
        <w:div w:id="1356034951">
          <w:marLeft w:val="0"/>
          <w:marRight w:val="0"/>
          <w:marTop w:val="0"/>
          <w:marBottom w:val="0"/>
          <w:divBdr>
            <w:top w:val="none" w:sz="0" w:space="0" w:color="auto"/>
            <w:left w:val="none" w:sz="0" w:space="0" w:color="auto"/>
            <w:bottom w:val="none" w:sz="0" w:space="0" w:color="auto"/>
            <w:right w:val="none" w:sz="0" w:space="0" w:color="auto"/>
          </w:divBdr>
          <w:divsChild>
            <w:div w:id="523834726">
              <w:marLeft w:val="0"/>
              <w:marRight w:val="0"/>
              <w:marTop w:val="0"/>
              <w:marBottom w:val="0"/>
              <w:divBdr>
                <w:top w:val="none" w:sz="0" w:space="0" w:color="auto"/>
                <w:left w:val="none" w:sz="0" w:space="0" w:color="auto"/>
                <w:bottom w:val="none" w:sz="0" w:space="0" w:color="auto"/>
                <w:right w:val="none" w:sz="0" w:space="0" w:color="auto"/>
              </w:divBdr>
            </w:div>
            <w:div w:id="268465989">
              <w:marLeft w:val="0"/>
              <w:marRight w:val="0"/>
              <w:marTop w:val="0"/>
              <w:marBottom w:val="0"/>
              <w:divBdr>
                <w:top w:val="none" w:sz="0" w:space="0" w:color="auto"/>
                <w:left w:val="none" w:sz="0" w:space="0" w:color="auto"/>
                <w:bottom w:val="none" w:sz="0" w:space="0" w:color="auto"/>
                <w:right w:val="none" w:sz="0" w:space="0" w:color="auto"/>
              </w:divBdr>
            </w:div>
            <w:div w:id="964655724">
              <w:marLeft w:val="0"/>
              <w:marRight w:val="0"/>
              <w:marTop w:val="0"/>
              <w:marBottom w:val="0"/>
              <w:divBdr>
                <w:top w:val="none" w:sz="0" w:space="0" w:color="auto"/>
                <w:left w:val="none" w:sz="0" w:space="0" w:color="auto"/>
                <w:bottom w:val="none" w:sz="0" w:space="0" w:color="auto"/>
                <w:right w:val="none" w:sz="0" w:space="0" w:color="auto"/>
              </w:divBdr>
            </w:div>
            <w:div w:id="969019180">
              <w:marLeft w:val="0"/>
              <w:marRight w:val="0"/>
              <w:marTop w:val="0"/>
              <w:marBottom w:val="0"/>
              <w:divBdr>
                <w:top w:val="none" w:sz="0" w:space="0" w:color="auto"/>
                <w:left w:val="none" w:sz="0" w:space="0" w:color="auto"/>
                <w:bottom w:val="none" w:sz="0" w:space="0" w:color="auto"/>
                <w:right w:val="none" w:sz="0" w:space="0" w:color="auto"/>
              </w:divBdr>
            </w:div>
            <w:div w:id="699359701">
              <w:marLeft w:val="0"/>
              <w:marRight w:val="0"/>
              <w:marTop w:val="0"/>
              <w:marBottom w:val="0"/>
              <w:divBdr>
                <w:top w:val="none" w:sz="0" w:space="0" w:color="auto"/>
                <w:left w:val="none" w:sz="0" w:space="0" w:color="auto"/>
                <w:bottom w:val="none" w:sz="0" w:space="0" w:color="auto"/>
                <w:right w:val="none" w:sz="0" w:space="0" w:color="auto"/>
              </w:divBdr>
            </w:div>
          </w:divsChild>
        </w:div>
        <w:div w:id="514998588">
          <w:marLeft w:val="0"/>
          <w:marRight w:val="0"/>
          <w:marTop w:val="0"/>
          <w:marBottom w:val="0"/>
          <w:divBdr>
            <w:top w:val="none" w:sz="0" w:space="0" w:color="auto"/>
            <w:left w:val="none" w:sz="0" w:space="0" w:color="auto"/>
            <w:bottom w:val="none" w:sz="0" w:space="0" w:color="auto"/>
            <w:right w:val="none" w:sz="0" w:space="0" w:color="auto"/>
          </w:divBdr>
          <w:divsChild>
            <w:div w:id="918097455">
              <w:marLeft w:val="0"/>
              <w:marRight w:val="0"/>
              <w:marTop w:val="0"/>
              <w:marBottom w:val="0"/>
              <w:divBdr>
                <w:top w:val="none" w:sz="0" w:space="0" w:color="auto"/>
                <w:left w:val="none" w:sz="0" w:space="0" w:color="auto"/>
                <w:bottom w:val="none" w:sz="0" w:space="0" w:color="auto"/>
                <w:right w:val="none" w:sz="0" w:space="0" w:color="auto"/>
              </w:divBdr>
            </w:div>
            <w:div w:id="511145274">
              <w:marLeft w:val="0"/>
              <w:marRight w:val="0"/>
              <w:marTop w:val="0"/>
              <w:marBottom w:val="0"/>
              <w:divBdr>
                <w:top w:val="none" w:sz="0" w:space="0" w:color="auto"/>
                <w:left w:val="none" w:sz="0" w:space="0" w:color="auto"/>
                <w:bottom w:val="none" w:sz="0" w:space="0" w:color="auto"/>
                <w:right w:val="none" w:sz="0" w:space="0" w:color="auto"/>
              </w:divBdr>
            </w:div>
            <w:div w:id="1250314051">
              <w:marLeft w:val="0"/>
              <w:marRight w:val="0"/>
              <w:marTop w:val="0"/>
              <w:marBottom w:val="0"/>
              <w:divBdr>
                <w:top w:val="none" w:sz="0" w:space="0" w:color="auto"/>
                <w:left w:val="none" w:sz="0" w:space="0" w:color="auto"/>
                <w:bottom w:val="none" w:sz="0" w:space="0" w:color="auto"/>
                <w:right w:val="none" w:sz="0" w:space="0" w:color="auto"/>
              </w:divBdr>
            </w:div>
            <w:div w:id="1881699109">
              <w:marLeft w:val="0"/>
              <w:marRight w:val="0"/>
              <w:marTop w:val="0"/>
              <w:marBottom w:val="0"/>
              <w:divBdr>
                <w:top w:val="none" w:sz="0" w:space="0" w:color="auto"/>
                <w:left w:val="none" w:sz="0" w:space="0" w:color="auto"/>
                <w:bottom w:val="none" w:sz="0" w:space="0" w:color="auto"/>
                <w:right w:val="none" w:sz="0" w:space="0" w:color="auto"/>
              </w:divBdr>
            </w:div>
            <w:div w:id="2112121284">
              <w:marLeft w:val="0"/>
              <w:marRight w:val="0"/>
              <w:marTop w:val="0"/>
              <w:marBottom w:val="0"/>
              <w:divBdr>
                <w:top w:val="none" w:sz="0" w:space="0" w:color="auto"/>
                <w:left w:val="none" w:sz="0" w:space="0" w:color="auto"/>
                <w:bottom w:val="none" w:sz="0" w:space="0" w:color="auto"/>
                <w:right w:val="none" w:sz="0" w:space="0" w:color="auto"/>
              </w:divBdr>
            </w:div>
          </w:divsChild>
        </w:div>
        <w:div w:id="1097747876">
          <w:marLeft w:val="0"/>
          <w:marRight w:val="0"/>
          <w:marTop w:val="0"/>
          <w:marBottom w:val="0"/>
          <w:divBdr>
            <w:top w:val="none" w:sz="0" w:space="0" w:color="auto"/>
            <w:left w:val="none" w:sz="0" w:space="0" w:color="auto"/>
            <w:bottom w:val="none" w:sz="0" w:space="0" w:color="auto"/>
            <w:right w:val="none" w:sz="0" w:space="0" w:color="auto"/>
          </w:divBdr>
        </w:div>
        <w:div w:id="911739007">
          <w:marLeft w:val="0"/>
          <w:marRight w:val="0"/>
          <w:marTop w:val="0"/>
          <w:marBottom w:val="0"/>
          <w:divBdr>
            <w:top w:val="none" w:sz="0" w:space="0" w:color="auto"/>
            <w:left w:val="none" w:sz="0" w:space="0" w:color="auto"/>
            <w:bottom w:val="none" w:sz="0" w:space="0" w:color="auto"/>
            <w:right w:val="none" w:sz="0" w:space="0" w:color="auto"/>
          </w:divBdr>
        </w:div>
        <w:div w:id="2092114714">
          <w:marLeft w:val="0"/>
          <w:marRight w:val="0"/>
          <w:marTop w:val="0"/>
          <w:marBottom w:val="0"/>
          <w:divBdr>
            <w:top w:val="none" w:sz="0" w:space="0" w:color="auto"/>
            <w:left w:val="none" w:sz="0" w:space="0" w:color="auto"/>
            <w:bottom w:val="none" w:sz="0" w:space="0" w:color="auto"/>
            <w:right w:val="none" w:sz="0" w:space="0" w:color="auto"/>
          </w:divBdr>
        </w:div>
        <w:div w:id="598874773">
          <w:marLeft w:val="0"/>
          <w:marRight w:val="0"/>
          <w:marTop w:val="0"/>
          <w:marBottom w:val="0"/>
          <w:divBdr>
            <w:top w:val="none" w:sz="0" w:space="0" w:color="auto"/>
            <w:left w:val="none" w:sz="0" w:space="0" w:color="auto"/>
            <w:bottom w:val="none" w:sz="0" w:space="0" w:color="auto"/>
            <w:right w:val="none" w:sz="0" w:space="0" w:color="auto"/>
          </w:divBdr>
        </w:div>
        <w:div w:id="1584878595">
          <w:marLeft w:val="0"/>
          <w:marRight w:val="0"/>
          <w:marTop w:val="0"/>
          <w:marBottom w:val="0"/>
          <w:divBdr>
            <w:top w:val="none" w:sz="0" w:space="0" w:color="auto"/>
            <w:left w:val="none" w:sz="0" w:space="0" w:color="auto"/>
            <w:bottom w:val="none" w:sz="0" w:space="0" w:color="auto"/>
            <w:right w:val="none" w:sz="0" w:space="0" w:color="auto"/>
          </w:divBdr>
        </w:div>
        <w:div w:id="724136069">
          <w:marLeft w:val="0"/>
          <w:marRight w:val="0"/>
          <w:marTop w:val="0"/>
          <w:marBottom w:val="0"/>
          <w:divBdr>
            <w:top w:val="none" w:sz="0" w:space="0" w:color="auto"/>
            <w:left w:val="none" w:sz="0" w:space="0" w:color="auto"/>
            <w:bottom w:val="none" w:sz="0" w:space="0" w:color="auto"/>
            <w:right w:val="none" w:sz="0" w:space="0" w:color="auto"/>
          </w:divBdr>
        </w:div>
        <w:div w:id="1491486383">
          <w:marLeft w:val="0"/>
          <w:marRight w:val="0"/>
          <w:marTop w:val="0"/>
          <w:marBottom w:val="0"/>
          <w:divBdr>
            <w:top w:val="none" w:sz="0" w:space="0" w:color="auto"/>
            <w:left w:val="none" w:sz="0" w:space="0" w:color="auto"/>
            <w:bottom w:val="none" w:sz="0" w:space="0" w:color="auto"/>
            <w:right w:val="none" w:sz="0" w:space="0" w:color="auto"/>
          </w:divBdr>
        </w:div>
        <w:div w:id="1391883532">
          <w:marLeft w:val="0"/>
          <w:marRight w:val="0"/>
          <w:marTop w:val="0"/>
          <w:marBottom w:val="0"/>
          <w:divBdr>
            <w:top w:val="none" w:sz="0" w:space="0" w:color="auto"/>
            <w:left w:val="none" w:sz="0" w:space="0" w:color="auto"/>
            <w:bottom w:val="none" w:sz="0" w:space="0" w:color="auto"/>
            <w:right w:val="none" w:sz="0" w:space="0" w:color="auto"/>
          </w:divBdr>
        </w:div>
        <w:div w:id="1814449828">
          <w:marLeft w:val="0"/>
          <w:marRight w:val="0"/>
          <w:marTop w:val="0"/>
          <w:marBottom w:val="0"/>
          <w:divBdr>
            <w:top w:val="none" w:sz="0" w:space="0" w:color="auto"/>
            <w:left w:val="none" w:sz="0" w:space="0" w:color="auto"/>
            <w:bottom w:val="none" w:sz="0" w:space="0" w:color="auto"/>
            <w:right w:val="none" w:sz="0" w:space="0" w:color="auto"/>
          </w:divBdr>
        </w:div>
        <w:div w:id="284388955">
          <w:marLeft w:val="0"/>
          <w:marRight w:val="0"/>
          <w:marTop w:val="0"/>
          <w:marBottom w:val="0"/>
          <w:divBdr>
            <w:top w:val="none" w:sz="0" w:space="0" w:color="auto"/>
            <w:left w:val="none" w:sz="0" w:space="0" w:color="auto"/>
            <w:bottom w:val="none" w:sz="0" w:space="0" w:color="auto"/>
            <w:right w:val="none" w:sz="0" w:space="0" w:color="auto"/>
          </w:divBdr>
        </w:div>
        <w:div w:id="1323125766">
          <w:marLeft w:val="0"/>
          <w:marRight w:val="0"/>
          <w:marTop w:val="0"/>
          <w:marBottom w:val="0"/>
          <w:divBdr>
            <w:top w:val="none" w:sz="0" w:space="0" w:color="auto"/>
            <w:left w:val="none" w:sz="0" w:space="0" w:color="auto"/>
            <w:bottom w:val="none" w:sz="0" w:space="0" w:color="auto"/>
            <w:right w:val="none" w:sz="0" w:space="0" w:color="auto"/>
          </w:divBdr>
        </w:div>
        <w:div w:id="677512304">
          <w:marLeft w:val="0"/>
          <w:marRight w:val="0"/>
          <w:marTop w:val="0"/>
          <w:marBottom w:val="0"/>
          <w:divBdr>
            <w:top w:val="none" w:sz="0" w:space="0" w:color="auto"/>
            <w:left w:val="none" w:sz="0" w:space="0" w:color="auto"/>
            <w:bottom w:val="none" w:sz="0" w:space="0" w:color="auto"/>
            <w:right w:val="none" w:sz="0" w:space="0" w:color="auto"/>
          </w:divBdr>
        </w:div>
        <w:div w:id="1170439255">
          <w:marLeft w:val="0"/>
          <w:marRight w:val="0"/>
          <w:marTop w:val="0"/>
          <w:marBottom w:val="0"/>
          <w:divBdr>
            <w:top w:val="none" w:sz="0" w:space="0" w:color="auto"/>
            <w:left w:val="none" w:sz="0" w:space="0" w:color="auto"/>
            <w:bottom w:val="none" w:sz="0" w:space="0" w:color="auto"/>
            <w:right w:val="none" w:sz="0" w:space="0" w:color="auto"/>
          </w:divBdr>
        </w:div>
        <w:div w:id="953558325">
          <w:marLeft w:val="0"/>
          <w:marRight w:val="0"/>
          <w:marTop w:val="0"/>
          <w:marBottom w:val="0"/>
          <w:divBdr>
            <w:top w:val="none" w:sz="0" w:space="0" w:color="auto"/>
            <w:left w:val="none" w:sz="0" w:space="0" w:color="auto"/>
            <w:bottom w:val="none" w:sz="0" w:space="0" w:color="auto"/>
            <w:right w:val="none" w:sz="0" w:space="0" w:color="auto"/>
          </w:divBdr>
        </w:div>
        <w:div w:id="1648777626">
          <w:marLeft w:val="0"/>
          <w:marRight w:val="0"/>
          <w:marTop w:val="0"/>
          <w:marBottom w:val="0"/>
          <w:divBdr>
            <w:top w:val="none" w:sz="0" w:space="0" w:color="auto"/>
            <w:left w:val="none" w:sz="0" w:space="0" w:color="auto"/>
            <w:bottom w:val="none" w:sz="0" w:space="0" w:color="auto"/>
            <w:right w:val="none" w:sz="0" w:space="0" w:color="auto"/>
          </w:divBdr>
        </w:div>
        <w:div w:id="2127844890">
          <w:marLeft w:val="0"/>
          <w:marRight w:val="0"/>
          <w:marTop w:val="0"/>
          <w:marBottom w:val="0"/>
          <w:divBdr>
            <w:top w:val="none" w:sz="0" w:space="0" w:color="auto"/>
            <w:left w:val="none" w:sz="0" w:space="0" w:color="auto"/>
            <w:bottom w:val="none" w:sz="0" w:space="0" w:color="auto"/>
            <w:right w:val="none" w:sz="0" w:space="0" w:color="auto"/>
          </w:divBdr>
        </w:div>
        <w:div w:id="931670964">
          <w:marLeft w:val="0"/>
          <w:marRight w:val="0"/>
          <w:marTop w:val="0"/>
          <w:marBottom w:val="0"/>
          <w:divBdr>
            <w:top w:val="none" w:sz="0" w:space="0" w:color="auto"/>
            <w:left w:val="none" w:sz="0" w:space="0" w:color="auto"/>
            <w:bottom w:val="none" w:sz="0" w:space="0" w:color="auto"/>
            <w:right w:val="none" w:sz="0" w:space="0" w:color="auto"/>
          </w:divBdr>
        </w:div>
        <w:div w:id="999387693">
          <w:marLeft w:val="0"/>
          <w:marRight w:val="0"/>
          <w:marTop w:val="0"/>
          <w:marBottom w:val="0"/>
          <w:divBdr>
            <w:top w:val="none" w:sz="0" w:space="0" w:color="auto"/>
            <w:left w:val="none" w:sz="0" w:space="0" w:color="auto"/>
            <w:bottom w:val="none" w:sz="0" w:space="0" w:color="auto"/>
            <w:right w:val="none" w:sz="0" w:space="0" w:color="auto"/>
          </w:divBdr>
        </w:div>
        <w:div w:id="1611934197">
          <w:marLeft w:val="0"/>
          <w:marRight w:val="0"/>
          <w:marTop w:val="0"/>
          <w:marBottom w:val="0"/>
          <w:divBdr>
            <w:top w:val="none" w:sz="0" w:space="0" w:color="auto"/>
            <w:left w:val="none" w:sz="0" w:space="0" w:color="auto"/>
            <w:bottom w:val="none" w:sz="0" w:space="0" w:color="auto"/>
            <w:right w:val="none" w:sz="0" w:space="0" w:color="auto"/>
          </w:divBdr>
        </w:div>
        <w:div w:id="1060202837">
          <w:marLeft w:val="0"/>
          <w:marRight w:val="0"/>
          <w:marTop w:val="0"/>
          <w:marBottom w:val="0"/>
          <w:divBdr>
            <w:top w:val="none" w:sz="0" w:space="0" w:color="auto"/>
            <w:left w:val="none" w:sz="0" w:space="0" w:color="auto"/>
            <w:bottom w:val="none" w:sz="0" w:space="0" w:color="auto"/>
            <w:right w:val="none" w:sz="0" w:space="0" w:color="auto"/>
          </w:divBdr>
        </w:div>
        <w:div w:id="343090441">
          <w:marLeft w:val="0"/>
          <w:marRight w:val="0"/>
          <w:marTop w:val="0"/>
          <w:marBottom w:val="0"/>
          <w:divBdr>
            <w:top w:val="none" w:sz="0" w:space="0" w:color="auto"/>
            <w:left w:val="none" w:sz="0" w:space="0" w:color="auto"/>
            <w:bottom w:val="none" w:sz="0" w:space="0" w:color="auto"/>
            <w:right w:val="none" w:sz="0" w:space="0" w:color="auto"/>
          </w:divBdr>
        </w:div>
        <w:div w:id="1578125800">
          <w:marLeft w:val="0"/>
          <w:marRight w:val="0"/>
          <w:marTop w:val="0"/>
          <w:marBottom w:val="0"/>
          <w:divBdr>
            <w:top w:val="none" w:sz="0" w:space="0" w:color="auto"/>
            <w:left w:val="none" w:sz="0" w:space="0" w:color="auto"/>
            <w:bottom w:val="none" w:sz="0" w:space="0" w:color="auto"/>
            <w:right w:val="none" w:sz="0" w:space="0" w:color="auto"/>
          </w:divBdr>
        </w:div>
        <w:div w:id="2043940426">
          <w:marLeft w:val="0"/>
          <w:marRight w:val="0"/>
          <w:marTop w:val="0"/>
          <w:marBottom w:val="0"/>
          <w:divBdr>
            <w:top w:val="none" w:sz="0" w:space="0" w:color="auto"/>
            <w:left w:val="none" w:sz="0" w:space="0" w:color="auto"/>
            <w:bottom w:val="none" w:sz="0" w:space="0" w:color="auto"/>
            <w:right w:val="none" w:sz="0" w:space="0" w:color="auto"/>
          </w:divBdr>
        </w:div>
        <w:div w:id="731319327">
          <w:marLeft w:val="0"/>
          <w:marRight w:val="0"/>
          <w:marTop w:val="0"/>
          <w:marBottom w:val="0"/>
          <w:divBdr>
            <w:top w:val="none" w:sz="0" w:space="0" w:color="auto"/>
            <w:left w:val="none" w:sz="0" w:space="0" w:color="auto"/>
            <w:bottom w:val="none" w:sz="0" w:space="0" w:color="auto"/>
            <w:right w:val="none" w:sz="0" w:space="0" w:color="auto"/>
          </w:divBdr>
        </w:div>
        <w:div w:id="2120877921">
          <w:marLeft w:val="0"/>
          <w:marRight w:val="0"/>
          <w:marTop w:val="0"/>
          <w:marBottom w:val="0"/>
          <w:divBdr>
            <w:top w:val="none" w:sz="0" w:space="0" w:color="auto"/>
            <w:left w:val="none" w:sz="0" w:space="0" w:color="auto"/>
            <w:bottom w:val="none" w:sz="0" w:space="0" w:color="auto"/>
            <w:right w:val="none" w:sz="0" w:space="0" w:color="auto"/>
          </w:divBdr>
        </w:div>
        <w:div w:id="201139300">
          <w:marLeft w:val="0"/>
          <w:marRight w:val="0"/>
          <w:marTop w:val="0"/>
          <w:marBottom w:val="0"/>
          <w:divBdr>
            <w:top w:val="none" w:sz="0" w:space="0" w:color="auto"/>
            <w:left w:val="none" w:sz="0" w:space="0" w:color="auto"/>
            <w:bottom w:val="none" w:sz="0" w:space="0" w:color="auto"/>
            <w:right w:val="none" w:sz="0" w:space="0" w:color="auto"/>
          </w:divBdr>
        </w:div>
        <w:div w:id="388960704">
          <w:marLeft w:val="0"/>
          <w:marRight w:val="0"/>
          <w:marTop w:val="0"/>
          <w:marBottom w:val="0"/>
          <w:divBdr>
            <w:top w:val="none" w:sz="0" w:space="0" w:color="auto"/>
            <w:left w:val="none" w:sz="0" w:space="0" w:color="auto"/>
            <w:bottom w:val="none" w:sz="0" w:space="0" w:color="auto"/>
            <w:right w:val="none" w:sz="0" w:space="0" w:color="auto"/>
          </w:divBdr>
        </w:div>
        <w:div w:id="2064060415">
          <w:marLeft w:val="0"/>
          <w:marRight w:val="0"/>
          <w:marTop w:val="0"/>
          <w:marBottom w:val="0"/>
          <w:divBdr>
            <w:top w:val="none" w:sz="0" w:space="0" w:color="auto"/>
            <w:left w:val="none" w:sz="0" w:space="0" w:color="auto"/>
            <w:bottom w:val="none" w:sz="0" w:space="0" w:color="auto"/>
            <w:right w:val="none" w:sz="0" w:space="0" w:color="auto"/>
          </w:divBdr>
        </w:div>
        <w:div w:id="614219009">
          <w:marLeft w:val="0"/>
          <w:marRight w:val="0"/>
          <w:marTop w:val="0"/>
          <w:marBottom w:val="0"/>
          <w:divBdr>
            <w:top w:val="none" w:sz="0" w:space="0" w:color="auto"/>
            <w:left w:val="none" w:sz="0" w:space="0" w:color="auto"/>
            <w:bottom w:val="none" w:sz="0" w:space="0" w:color="auto"/>
            <w:right w:val="none" w:sz="0" w:space="0" w:color="auto"/>
          </w:divBdr>
        </w:div>
        <w:div w:id="1752578983">
          <w:marLeft w:val="0"/>
          <w:marRight w:val="0"/>
          <w:marTop w:val="0"/>
          <w:marBottom w:val="0"/>
          <w:divBdr>
            <w:top w:val="none" w:sz="0" w:space="0" w:color="auto"/>
            <w:left w:val="none" w:sz="0" w:space="0" w:color="auto"/>
            <w:bottom w:val="none" w:sz="0" w:space="0" w:color="auto"/>
            <w:right w:val="none" w:sz="0" w:space="0" w:color="auto"/>
          </w:divBdr>
        </w:div>
        <w:div w:id="269439034">
          <w:marLeft w:val="0"/>
          <w:marRight w:val="0"/>
          <w:marTop w:val="0"/>
          <w:marBottom w:val="0"/>
          <w:divBdr>
            <w:top w:val="none" w:sz="0" w:space="0" w:color="auto"/>
            <w:left w:val="none" w:sz="0" w:space="0" w:color="auto"/>
            <w:bottom w:val="none" w:sz="0" w:space="0" w:color="auto"/>
            <w:right w:val="none" w:sz="0" w:space="0" w:color="auto"/>
          </w:divBdr>
        </w:div>
        <w:div w:id="1937207749">
          <w:marLeft w:val="0"/>
          <w:marRight w:val="0"/>
          <w:marTop w:val="0"/>
          <w:marBottom w:val="0"/>
          <w:divBdr>
            <w:top w:val="none" w:sz="0" w:space="0" w:color="auto"/>
            <w:left w:val="none" w:sz="0" w:space="0" w:color="auto"/>
            <w:bottom w:val="none" w:sz="0" w:space="0" w:color="auto"/>
            <w:right w:val="none" w:sz="0" w:space="0" w:color="auto"/>
          </w:divBdr>
        </w:div>
        <w:div w:id="883299045">
          <w:marLeft w:val="0"/>
          <w:marRight w:val="0"/>
          <w:marTop w:val="0"/>
          <w:marBottom w:val="0"/>
          <w:divBdr>
            <w:top w:val="none" w:sz="0" w:space="0" w:color="auto"/>
            <w:left w:val="none" w:sz="0" w:space="0" w:color="auto"/>
            <w:bottom w:val="none" w:sz="0" w:space="0" w:color="auto"/>
            <w:right w:val="none" w:sz="0" w:space="0" w:color="auto"/>
          </w:divBdr>
        </w:div>
        <w:div w:id="1985507088">
          <w:marLeft w:val="0"/>
          <w:marRight w:val="0"/>
          <w:marTop w:val="0"/>
          <w:marBottom w:val="0"/>
          <w:divBdr>
            <w:top w:val="none" w:sz="0" w:space="0" w:color="auto"/>
            <w:left w:val="none" w:sz="0" w:space="0" w:color="auto"/>
            <w:bottom w:val="none" w:sz="0" w:space="0" w:color="auto"/>
            <w:right w:val="none" w:sz="0" w:space="0" w:color="auto"/>
          </w:divBdr>
        </w:div>
        <w:div w:id="1542550726">
          <w:marLeft w:val="0"/>
          <w:marRight w:val="0"/>
          <w:marTop w:val="0"/>
          <w:marBottom w:val="0"/>
          <w:divBdr>
            <w:top w:val="none" w:sz="0" w:space="0" w:color="auto"/>
            <w:left w:val="none" w:sz="0" w:space="0" w:color="auto"/>
            <w:bottom w:val="none" w:sz="0" w:space="0" w:color="auto"/>
            <w:right w:val="none" w:sz="0" w:space="0" w:color="auto"/>
          </w:divBdr>
        </w:div>
        <w:div w:id="2098861347">
          <w:marLeft w:val="0"/>
          <w:marRight w:val="0"/>
          <w:marTop w:val="0"/>
          <w:marBottom w:val="0"/>
          <w:divBdr>
            <w:top w:val="none" w:sz="0" w:space="0" w:color="auto"/>
            <w:left w:val="none" w:sz="0" w:space="0" w:color="auto"/>
            <w:bottom w:val="none" w:sz="0" w:space="0" w:color="auto"/>
            <w:right w:val="none" w:sz="0" w:space="0" w:color="auto"/>
          </w:divBdr>
        </w:div>
        <w:div w:id="2144686669">
          <w:marLeft w:val="0"/>
          <w:marRight w:val="0"/>
          <w:marTop w:val="0"/>
          <w:marBottom w:val="0"/>
          <w:divBdr>
            <w:top w:val="none" w:sz="0" w:space="0" w:color="auto"/>
            <w:left w:val="none" w:sz="0" w:space="0" w:color="auto"/>
            <w:bottom w:val="none" w:sz="0" w:space="0" w:color="auto"/>
            <w:right w:val="none" w:sz="0" w:space="0" w:color="auto"/>
          </w:divBdr>
        </w:div>
        <w:div w:id="1964313004">
          <w:marLeft w:val="0"/>
          <w:marRight w:val="0"/>
          <w:marTop w:val="0"/>
          <w:marBottom w:val="0"/>
          <w:divBdr>
            <w:top w:val="none" w:sz="0" w:space="0" w:color="auto"/>
            <w:left w:val="none" w:sz="0" w:space="0" w:color="auto"/>
            <w:bottom w:val="none" w:sz="0" w:space="0" w:color="auto"/>
            <w:right w:val="none" w:sz="0" w:space="0" w:color="auto"/>
          </w:divBdr>
        </w:div>
        <w:div w:id="553276466">
          <w:marLeft w:val="0"/>
          <w:marRight w:val="0"/>
          <w:marTop w:val="0"/>
          <w:marBottom w:val="0"/>
          <w:divBdr>
            <w:top w:val="none" w:sz="0" w:space="0" w:color="auto"/>
            <w:left w:val="none" w:sz="0" w:space="0" w:color="auto"/>
            <w:bottom w:val="none" w:sz="0" w:space="0" w:color="auto"/>
            <w:right w:val="none" w:sz="0" w:space="0" w:color="auto"/>
          </w:divBdr>
        </w:div>
        <w:div w:id="593051897">
          <w:marLeft w:val="0"/>
          <w:marRight w:val="0"/>
          <w:marTop w:val="0"/>
          <w:marBottom w:val="0"/>
          <w:divBdr>
            <w:top w:val="none" w:sz="0" w:space="0" w:color="auto"/>
            <w:left w:val="none" w:sz="0" w:space="0" w:color="auto"/>
            <w:bottom w:val="none" w:sz="0" w:space="0" w:color="auto"/>
            <w:right w:val="none" w:sz="0" w:space="0" w:color="auto"/>
          </w:divBdr>
        </w:div>
        <w:div w:id="1015575024">
          <w:marLeft w:val="0"/>
          <w:marRight w:val="0"/>
          <w:marTop w:val="0"/>
          <w:marBottom w:val="0"/>
          <w:divBdr>
            <w:top w:val="none" w:sz="0" w:space="0" w:color="auto"/>
            <w:left w:val="none" w:sz="0" w:space="0" w:color="auto"/>
            <w:bottom w:val="none" w:sz="0" w:space="0" w:color="auto"/>
            <w:right w:val="none" w:sz="0" w:space="0" w:color="auto"/>
          </w:divBdr>
        </w:div>
        <w:div w:id="755129976">
          <w:marLeft w:val="0"/>
          <w:marRight w:val="0"/>
          <w:marTop w:val="0"/>
          <w:marBottom w:val="0"/>
          <w:divBdr>
            <w:top w:val="none" w:sz="0" w:space="0" w:color="auto"/>
            <w:left w:val="none" w:sz="0" w:space="0" w:color="auto"/>
            <w:bottom w:val="none" w:sz="0" w:space="0" w:color="auto"/>
            <w:right w:val="none" w:sz="0" w:space="0" w:color="auto"/>
          </w:divBdr>
        </w:div>
        <w:div w:id="1270820575">
          <w:marLeft w:val="0"/>
          <w:marRight w:val="0"/>
          <w:marTop w:val="0"/>
          <w:marBottom w:val="0"/>
          <w:divBdr>
            <w:top w:val="none" w:sz="0" w:space="0" w:color="auto"/>
            <w:left w:val="none" w:sz="0" w:space="0" w:color="auto"/>
            <w:bottom w:val="none" w:sz="0" w:space="0" w:color="auto"/>
            <w:right w:val="none" w:sz="0" w:space="0" w:color="auto"/>
          </w:divBdr>
        </w:div>
        <w:div w:id="934217240">
          <w:marLeft w:val="0"/>
          <w:marRight w:val="0"/>
          <w:marTop w:val="0"/>
          <w:marBottom w:val="0"/>
          <w:divBdr>
            <w:top w:val="none" w:sz="0" w:space="0" w:color="auto"/>
            <w:left w:val="none" w:sz="0" w:space="0" w:color="auto"/>
            <w:bottom w:val="none" w:sz="0" w:space="0" w:color="auto"/>
            <w:right w:val="none" w:sz="0" w:space="0" w:color="auto"/>
          </w:divBdr>
        </w:div>
        <w:div w:id="1079135901">
          <w:marLeft w:val="0"/>
          <w:marRight w:val="0"/>
          <w:marTop w:val="0"/>
          <w:marBottom w:val="0"/>
          <w:divBdr>
            <w:top w:val="none" w:sz="0" w:space="0" w:color="auto"/>
            <w:left w:val="none" w:sz="0" w:space="0" w:color="auto"/>
            <w:bottom w:val="none" w:sz="0" w:space="0" w:color="auto"/>
            <w:right w:val="none" w:sz="0" w:space="0" w:color="auto"/>
          </w:divBdr>
        </w:div>
        <w:div w:id="64376558">
          <w:marLeft w:val="0"/>
          <w:marRight w:val="0"/>
          <w:marTop w:val="0"/>
          <w:marBottom w:val="0"/>
          <w:divBdr>
            <w:top w:val="none" w:sz="0" w:space="0" w:color="auto"/>
            <w:left w:val="none" w:sz="0" w:space="0" w:color="auto"/>
            <w:bottom w:val="none" w:sz="0" w:space="0" w:color="auto"/>
            <w:right w:val="none" w:sz="0" w:space="0" w:color="auto"/>
          </w:divBdr>
        </w:div>
        <w:div w:id="424809147">
          <w:marLeft w:val="0"/>
          <w:marRight w:val="0"/>
          <w:marTop w:val="0"/>
          <w:marBottom w:val="0"/>
          <w:divBdr>
            <w:top w:val="none" w:sz="0" w:space="0" w:color="auto"/>
            <w:left w:val="none" w:sz="0" w:space="0" w:color="auto"/>
            <w:bottom w:val="none" w:sz="0" w:space="0" w:color="auto"/>
            <w:right w:val="none" w:sz="0" w:space="0" w:color="auto"/>
          </w:divBdr>
        </w:div>
        <w:div w:id="175076327">
          <w:marLeft w:val="0"/>
          <w:marRight w:val="0"/>
          <w:marTop w:val="0"/>
          <w:marBottom w:val="0"/>
          <w:divBdr>
            <w:top w:val="none" w:sz="0" w:space="0" w:color="auto"/>
            <w:left w:val="none" w:sz="0" w:space="0" w:color="auto"/>
            <w:bottom w:val="none" w:sz="0" w:space="0" w:color="auto"/>
            <w:right w:val="none" w:sz="0" w:space="0" w:color="auto"/>
          </w:divBdr>
        </w:div>
        <w:div w:id="342634087">
          <w:marLeft w:val="0"/>
          <w:marRight w:val="0"/>
          <w:marTop w:val="0"/>
          <w:marBottom w:val="0"/>
          <w:divBdr>
            <w:top w:val="none" w:sz="0" w:space="0" w:color="auto"/>
            <w:left w:val="none" w:sz="0" w:space="0" w:color="auto"/>
            <w:bottom w:val="none" w:sz="0" w:space="0" w:color="auto"/>
            <w:right w:val="none" w:sz="0" w:space="0" w:color="auto"/>
          </w:divBdr>
        </w:div>
        <w:div w:id="908732539">
          <w:marLeft w:val="0"/>
          <w:marRight w:val="0"/>
          <w:marTop w:val="0"/>
          <w:marBottom w:val="0"/>
          <w:divBdr>
            <w:top w:val="none" w:sz="0" w:space="0" w:color="auto"/>
            <w:left w:val="none" w:sz="0" w:space="0" w:color="auto"/>
            <w:bottom w:val="none" w:sz="0" w:space="0" w:color="auto"/>
            <w:right w:val="none" w:sz="0" w:space="0" w:color="auto"/>
          </w:divBdr>
        </w:div>
        <w:div w:id="159859212">
          <w:marLeft w:val="0"/>
          <w:marRight w:val="0"/>
          <w:marTop w:val="0"/>
          <w:marBottom w:val="0"/>
          <w:divBdr>
            <w:top w:val="none" w:sz="0" w:space="0" w:color="auto"/>
            <w:left w:val="none" w:sz="0" w:space="0" w:color="auto"/>
            <w:bottom w:val="none" w:sz="0" w:space="0" w:color="auto"/>
            <w:right w:val="none" w:sz="0" w:space="0" w:color="auto"/>
          </w:divBdr>
        </w:div>
        <w:div w:id="1345594967">
          <w:marLeft w:val="0"/>
          <w:marRight w:val="0"/>
          <w:marTop w:val="0"/>
          <w:marBottom w:val="0"/>
          <w:divBdr>
            <w:top w:val="none" w:sz="0" w:space="0" w:color="auto"/>
            <w:left w:val="none" w:sz="0" w:space="0" w:color="auto"/>
            <w:bottom w:val="none" w:sz="0" w:space="0" w:color="auto"/>
            <w:right w:val="none" w:sz="0" w:space="0" w:color="auto"/>
          </w:divBdr>
        </w:div>
        <w:div w:id="1646666060">
          <w:marLeft w:val="0"/>
          <w:marRight w:val="0"/>
          <w:marTop w:val="0"/>
          <w:marBottom w:val="0"/>
          <w:divBdr>
            <w:top w:val="none" w:sz="0" w:space="0" w:color="auto"/>
            <w:left w:val="none" w:sz="0" w:space="0" w:color="auto"/>
            <w:bottom w:val="none" w:sz="0" w:space="0" w:color="auto"/>
            <w:right w:val="none" w:sz="0" w:space="0" w:color="auto"/>
          </w:divBdr>
        </w:div>
        <w:div w:id="2019767528">
          <w:marLeft w:val="0"/>
          <w:marRight w:val="0"/>
          <w:marTop w:val="0"/>
          <w:marBottom w:val="0"/>
          <w:divBdr>
            <w:top w:val="none" w:sz="0" w:space="0" w:color="auto"/>
            <w:left w:val="none" w:sz="0" w:space="0" w:color="auto"/>
            <w:bottom w:val="none" w:sz="0" w:space="0" w:color="auto"/>
            <w:right w:val="none" w:sz="0" w:space="0" w:color="auto"/>
          </w:divBdr>
        </w:div>
        <w:div w:id="902639344">
          <w:marLeft w:val="0"/>
          <w:marRight w:val="0"/>
          <w:marTop w:val="0"/>
          <w:marBottom w:val="0"/>
          <w:divBdr>
            <w:top w:val="none" w:sz="0" w:space="0" w:color="auto"/>
            <w:left w:val="none" w:sz="0" w:space="0" w:color="auto"/>
            <w:bottom w:val="none" w:sz="0" w:space="0" w:color="auto"/>
            <w:right w:val="none" w:sz="0" w:space="0" w:color="auto"/>
          </w:divBdr>
        </w:div>
        <w:div w:id="904491551">
          <w:marLeft w:val="0"/>
          <w:marRight w:val="0"/>
          <w:marTop w:val="0"/>
          <w:marBottom w:val="0"/>
          <w:divBdr>
            <w:top w:val="none" w:sz="0" w:space="0" w:color="auto"/>
            <w:left w:val="none" w:sz="0" w:space="0" w:color="auto"/>
            <w:bottom w:val="none" w:sz="0" w:space="0" w:color="auto"/>
            <w:right w:val="none" w:sz="0" w:space="0" w:color="auto"/>
          </w:divBdr>
        </w:div>
        <w:div w:id="728580462">
          <w:marLeft w:val="0"/>
          <w:marRight w:val="0"/>
          <w:marTop w:val="0"/>
          <w:marBottom w:val="0"/>
          <w:divBdr>
            <w:top w:val="none" w:sz="0" w:space="0" w:color="auto"/>
            <w:left w:val="none" w:sz="0" w:space="0" w:color="auto"/>
            <w:bottom w:val="none" w:sz="0" w:space="0" w:color="auto"/>
            <w:right w:val="none" w:sz="0" w:space="0" w:color="auto"/>
          </w:divBdr>
        </w:div>
        <w:div w:id="1010765299">
          <w:marLeft w:val="0"/>
          <w:marRight w:val="0"/>
          <w:marTop w:val="0"/>
          <w:marBottom w:val="0"/>
          <w:divBdr>
            <w:top w:val="none" w:sz="0" w:space="0" w:color="auto"/>
            <w:left w:val="none" w:sz="0" w:space="0" w:color="auto"/>
            <w:bottom w:val="none" w:sz="0" w:space="0" w:color="auto"/>
            <w:right w:val="none" w:sz="0" w:space="0" w:color="auto"/>
          </w:divBdr>
        </w:div>
        <w:div w:id="826672789">
          <w:marLeft w:val="0"/>
          <w:marRight w:val="0"/>
          <w:marTop w:val="0"/>
          <w:marBottom w:val="0"/>
          <w:divBdr>
            <w:top w:val="none" w:sz="0" w:space="0" w:color="auto"/>
            <w:left w:val="none" w:sz="0" w:space="0" w:color="auto"/>
            <w:bottom w:val="none" w:sz="0" w:space="0" w:color="auto"/>
            <w:right w:val="none" w:sz="0" w:space="0" w:color="auto"/>
          </w:divBdr>
        </w:div>
        <w:div w:id="505628877">
          <w:marLeft w:val="0"/>
          <w:marRight w:val="0"/>
          <w:marTop w:val="0"/>
          <w:marBottom w:val="0"/>
          <w:divBdr>
            <w:top w:val="none" w:sz="0" w:space="0" w:color="auto"/>
            <w:left w:val="none" w:sz="0" w:space="0" w:color="auto"/>
            <w:bottom w:val="none" w:sz="0" w:space="0" w:color="auto"/>
            <w:right w:val="none" w:sz="0" w:space="0" w:color="auto"/>
          </w:divBdr>
        </w:div>
        <w:div w:id="1887330773">
          <w:marLeft w:val="0"/>
          <w:marRight w:val="0"/>
          <w:marTop w:val="0"/>
          <w:marBottom w:val="0"/>
          <w:divBdr>
            <w:top w:val="none" w:sz="0" w:space="0" w:color="auto"/>
            <w:left w:val="none" w:sz="0" w:space="0" w:color="auto"/>
            <w:bottom w:val="none" w:sz="0" w:space="0" w:color="auto"/>
            <w:right w:val="none" w:sz="0" w:space="0" w:color="auto"/>
          </w:divBdr>
        </w:div>
        <w:div w:id="1494027845">
          <w:marLeft w:val="0"/>
          <w:marRight w:val="0"/>
          <w:marTop w:val="0"/>
          <w:marBottom w:val="0"/>
          <w:divBdr>
            <w:top w:val="none" w:sz="0" w:space="0" w:color="auto"/>
            <w:left w:val="none" w:sz="0" w:space="0" w:color="auto"/>
            <w:bottom w:val="none" w:sz="0" w:space="0" w:color="auto"/>
            <w:right w:val="none" w:sz="0" w:space="0" w:color="auto"/>
          </w:divBdr>
        </w:div>
        <w:div w:id="150223298">
          <w:marLeft w:val="0"/>
          <w:marRight w:val="0"/>
          <w:marTop w:val="0"/>
          <w:marBottom w:val="0"/>
          <w:divBdr>
            <w:top w:val="none" w:sz="0" w:space="0" w:color="auto"/>
            <w:left w:val="none" w:sz="0" w:space="0" w:color="auto"/>
            <w:bottom w:val="none" w:sz="0" w:space="0" w:color="auto"/>
            <w:right w:val="none" w:sz="0" w:space="0" w:color="auto"/>
          </w:divBdr>
        </w:div>
        <w:div w:id="1676952389">
          <w:marLeft w:val="0"/>
          <w:marRight w:val="0"/>
          <w:marTop w:val="0"/>
          <w:marBottom w:val="0"/>
          <w:divBdr>
            <w:top w:val="none" w:sz="0" w:space="0" w:color="auto"/>
            <w:left w:val="none" w:sz="0" w:space="0" w:color="auto"/>
            <w:bottom w:val="none" w:sz="0" w:space="0" w:color="auto"/>
            <w:right w:val="none" w:sz="0" w:space="0" w:color="auto"/>
          </w:divBdr>
        </w:div>
        <w:div w:id="1489783503">
          <w:marLeft w:val="0"/>
          <w:marRight w:val="0"/>
          <w:marTop w:val="0"/>
          <w:marBottom w:val="0"/>
          <w:divBdr>
            <w:top w:val="none" w:sz="0" w:space="0" w:color="auto"/>
            <w:left w:val="none" w:sz="0" w:space="0" w:color="auto"/>
            <w:bottom w:val="none" w:sz="0" w:space="0" w:color="auto"/>
            <w:right w:val="none" w:sz="0" w:space="0" w:color="auto"/>
          </w:divBdr>
        </w:div>
        <w:div w:id="2039622162">
          <w:marLeft w:val="0"/>
          <w:marRight w:val="0"/>
          <w:marTop w:val="0"/>
          <w:marBottom w:val="0"/>
          <w:divBdr>
            <w:top w:val="none" w:sz="0" w:space="0" w:color="auto"/>
            <w:left w:val="none" w:sz="0" w:space="0" w:color="auto"/>
            <w:bottom w:val="none" w:sz="0" w:space="0" w:color="auto"/>
            <w:right w:val="none" w:sz="0" w:space="0" w:color="auto"/>
          </w:divBdr>
        </w:div>
        <w:div w:id="236331504">
          <w:marLeft w:val="0"/>
          <w:marRight w:val="0"/>
          <w:marTop w:val="0"/>
          <w:marBottom w:val="0"/>
          <w:divBdr>
            <w:top w:val="none" w:sz="0" w:space="0" w:color="auto"/>
            <w:left w:val="none" w:sz="0" w:space="0" w:color="auto"/>
            <w:bottom w:val="none" w:sz="0" w:space="0" w:color="auto"/>
            <w:right w:val="none" w:sz="0" w:space="0" w:color="auto"/>
          </w:divBdr>
        </w:div>
        <w:div w:id="230625620">
          <w:marLeft w:val="0"/>
          <w:marRight w:val="0"/>
          <w:marTop w:val="0"/>
          <w:marBottom w:val="0"/>
          <w:divBdr>
            <w:top w:val="none" w:sz="0" w:space="0" w:color="auto"/>
            <w:left w:val="none" w:sz="0" w:space="0" w:color="auto"/>
            <w:bottom w:val="none" w:sz="0" w:space="0" w:color="auto"/>
            <w:right w:val="none" w:sz="0" w:space="0" w:color="auto"/>
          </w:divBdr>
        </w:div>
        <w:div w:id="1488864018">
          <w:marLeft w:val="0"/>
          <w:marRight w:val="0"/>
          <w:marTop w:val="0"/>
          <w:marBottom w:val="0"/>
          <w:divBdr>
            <w:top w:val="none" w:sz="0" w:space="0" w:color="auto"/>
            <w:left w:val="none" w:sz="0" w:space="0" w:color="auto"/>
            <w:bottom w:val="none" w:sz="0" w:space="0" w:color="auto"/>
            <w:right w:val="none" w:sz="0" w:space="0" w:color="auto"/>
          </w:divBdr>
        </w:div>
        <w:div w:id="354888944">
          <w:marLeft w:val="0"/>
          <w:marRight w:val="0"/>
          <w:marTop w:val="0"/>
          <w:marBottom w:val="0"/>
          <w:divBdr>
            <w:top w:val="none" w:sz="0" w:space="0" w:color="auto"/>
            <w:left w:val="none" w:sz="0" w:space="0" w:color="auto"/>
            <w:bottom w:val="none" w:sz="0" w:space="0" w:color="auto"/>
            <w:right w:val="none" w:sz="0" w:space="0" w:color="auto"/>
          </w:divBdr>
        </w:div>
        <w:div w:id="1990085369">
          <w:marLeft w:val="0"/>
          <w:marRight w:val="0"/>
          <w:marTop w:val="0"/>
          <w:marBottom w:val="0"/>
          <w:divBdr>
            <w:top w:val="none" w:sz="0" w:space="0" w:color="auto"/>
            <w:left w:val="none" w:sz="0" w:space="0" w:color="auto"/>
            <w:bottom w:val="none" w:sz="0" w:space="0" w:color="auto"/>
            <w:right w:val="none" w:sz="0" w:space="0" w:color="auto"/>
          </w:divBdr>
        </w:div>
        <w:div w:id="1662780884">
          <w:marLeft w:val="0"/>
          <w:marRight w:val="0"/>
          <w:marTop w:val="0"/>
          <w:marBottom w:val="0"/>
          <w:divBdr>
            <w:top w:val="none" w:sz="0" w:space="0" w:color="auto"/>
            <w:left w:val="none" w:sz="0" w:space="0" w:color="auto"/>
            <w:bottom w:val="none" w:sz="0" w:space="0" w:color="auto"/>
            <w:right w:val="none" w:sz="0" w:space="0" w:color="auto"/>
          </w:divBdr>
        </w:div>
        <w:div w:id="763385007">
          <w:marLeft w:val="0"/>
          <w:marRight w:val="0"/>
          <w:marTop w:val="0"/>
          <w:marBottom w:val="0"/>
          <w:divBdr>
            <w:top w:val="none" w:sz="0" w:space="0" w:color="auto"/>
            <w:left w:val="none" w:sz="0" w:space="0" w:color="auto"/>
            <w:bottom w:val="none" w:sz="0" w:space="0" w:color="auto"/>
            <w:right w:val="none" w:sz="0" w:space="0" w:color="auto"/>
          </w:divBdr>
        </w:div>
        <w:div w:id="1448895071">
          <w:marLeft w:val="0"/>
          <w:marRight w:val="0"/>
          <w:marTop w:val="0"/>
          <w:marBottom w:val="0"/>
          <w:divBdr>
            <w:top w:val="none" w:sz="0" w:space="0" w:color="auto"/>
            <w:left w:val="none" w:sz="0" w:space="0" w:color="auto"/>
            <w:bottom w:val="none" w:sz="0" w:space="0" w:color="auto"/>
            <w:right w:val="none" w:sz="0" w:space="0" w:color="auto"/>
          </w:divBdr>
        </w:div>
        <w:div w:id="2108112636">
          <w:marLeft w:val="0"/>
          <w:marRight w:val="0"/>
          <w:marTop w:val="0"/>
          <w:marBottom w:val="0"/>
          <w:divBdr>
            <w:top w:val="none" w:sz="0" w:space="0" w:color="auto"/>
            <w:left w:val="none" w:sz="0" w:space="0" w:color="auto"/>
            <w:bottom w:val="none" w:sz="0" w:space="0" w:color="auto"/>
            <w:right w:val="none" w:sz="0" w:space="0" w:color="auto"/>
          </w:divBdr>
        </w:div>
        <w:div w:id="1401906976">
          <w:marLeft w:val="0"/>
          <w:marRight w:val="0"/>
          <w:marTop w:val="0"/>
          <w:marBottom w:val="0"/>
          <w:divBdr>
            <w:top w:val="none" w:sz="0" w:space="0" w:color="auto"/>
            <w:left w:val="none" w:sz="0" w:space="0" w:color="auto"/>
            <w:bottom w:val="none" w:sz="0" w:space="0" w:color="auto"/>
            <w:right w:val="none" w:sz="0" w:space="0" w:color="auto"/>
          </w:divBdr>
        </w:div>
        <w:div w:id="1321542063">
          <w:marLeft w:val="0"/>
          <w:marRight w:val="0"/>
          <w:marTop w:val="0"/>
          <w:marBottom w:val="0"/>
          <w:divBdr>
            <w:top w:val="none" w:sz="0" w:space="0" w:color="auto"/>
            <w:left w:val="none" w:sz="0" w:space="0" w:color="auto"/>
            <w:bottom w:val="none" w:sz="0" w:space="0" w:color="auto"/>
            <w:right w:val="none" w:sz="0" w:space="0" w:color="auto"/>
          </w:divBdr>
        </w:div>
        <w:div w:id="1090002343">
          <w:marLeft w:val="0"/>
          <w:marRight w:val="0"/>
          <w:marTop w:val="0"/>
          <w:marBottom w:val="0"/>
          <w:divBdr>
            <w:top w:val="none" w:sz="0" w:space="0" w:color="auto"/>
            <w:left w:val="none" w:sz="0" w:space="0" w:color="auto"/>
            <w:bottom w:val="none" w:sz="0" w:space="0" w:color="auto"/>
            <w:right w:val="none" w:sz="0" w:space="0" w:color="auto"/>
          </w:divBdr>
        </w:div>
        <w:div w:id="494222702">
          <w:marLeft w:val="0"/>
          <w:marRight w:val="0"/>
          <w:marTop w:val="0"/>
          <w:marBottom w:val="0"/>
          <w:divBdr>
            <w:top w:val="none" w:sz="0" w:space="0" w:color="auto"/>
            <w:left w:val="none" w:sz="0" w:space="0" w:color="auto"/>
            <w:bottom w:val="none" w:sz="0" w:space="0" w:color="auto"/>
            <w:right w:val="none" w:sz="0" w:space="0" w:color="auto"/>
          </w:divBdr>
        </w:div>
        <w:div w:id="982320454">
          <w:marLeft w:val="0"/>
          <w:marRight w:val="0"/>
          <w:marTop w:val="0"/>
          <w:marBottom w:val="0"/>
          <w:divBdr>
            <w:top w:val="none" w:sz="0" w:space="0" w:color="auto"/>
            <w:left w:val="none" w:sz="0" w:space="0" w:color="auto"/>
            <w:bottom w:val="none" w:sz="0" w:space="0" w:color="auto"/>
            <w:right w:val="none" w:sz="0" w:space="0" w:color="auto"/>
          </w:divBdr>
        </w:div>
        <w:div w:id="1177498436">
          <w:marLeft w:val="0"/>
          <w:marRight w:val="0"/>
          <w:marTop w:val="0"/>
          <w:marBottom w:val="0"/>
          <w:divBdr>
            <w:top w:val="none" w:sz="0" w:space="0" w:color="auto"/>
            <w:left w:val="none" w:sz="0" w:space="0" w:color="auto"/>
            <w:bottom w:val="none" w:sz="0" w:space="0" w:color="auto"/>
            <w:right w:val="none" w:sz="0" w:space="0" w:color="auto"/>
          </w:divBdr>
        </w:div>
        <w:div w:id="1424033543">
          <w:marLeft w:val="0"/>
          <w:marRight w:val="0"/>
          <w:marTop w:val="0"/>
          <w:marBottom w:val="0"/>
          <w:divBdr>
            <w:top w:val="none" w:sz="0" w:space="0" w:color="auto"/>
            <w:left w:val="none" w:sz="0" w:space="0" w:color="auto"/>
            <w:bottom w:val="none" w:sz="0" w:space="0" w:color="auto"/>
            <w:right w:val="none" w:sz="0" w:space="0" w:color="auto"/>
          </w:divBdr>
        </w:div>
        <w:div w:id="849560158">
          <w:marLeft w:val="0"/>
          <w:marRight w:val="0"/>
          <w:marTop w:val="0"/>
          <w:marBottom w:val="0"/>
          <w:divBdr>
            <w:top w:val="none" w:sz="0" w:space="0" w:color="auto"/>
            <w:left w:val="none" w:sz="0" w:space="0" w:color="auto"/>
            <w:bottom w:val="none" w:sz="0" w:space="0" w:color="auto"/>
            <w:right w:val="none" w:sz="0" w:space="0" w:color="auto"/>
          </w:divBdr>
        </w:div>
        <w:div w:id="822890033">
          <w:marLeft w:val="0"/>
          <w:marRight w:val="0"/>
          <w:marTop w:val="0"/>
          <w:marBottom w:val="0"/>
          <w:divBdr>
            <w:top w:val="none" w:sz="0" w:space="0" w:color="auto"/>
            <w:left w:val="none" w:sz="0" w:space="0" w:color="auto"/>
            <w:bottom w:val="none" w:sz="0" w:space="0" w:color="auto"/>
            <w:right w:val="none" w:sz="0" w:space="0" w:color="auto"/>
          </w:divBdr>
        </w:div>
        <w:div w:id="989215755">
          <w:marLeft w:val="0"/>
          <w:marRight w:val="0"/>
          <w:marTop w:val="0"/>
          <w:marBottom w:val="0"/>
          <w:divBdr>
            <w:top w:val="none" w:sz="0" w:space="0" w:color="auto"/>
            <w:left w:val="none" w:sz="0" w:space="0" w:color="auto"/>
            <w:bottom w:val="none" w:sz="0" w:space="0" w:color="auto"/>
            <w:right w:val="none" w:sz="0" w:space="0" w:color="auto"/>
          </w:divBdr>
        </w:div>
        <w:div w:id="70585700">
          <w:marLeft w:val="0"/>
          <w:marRight w:val="0"/>
          <w:marTop w:val="0"/>
          <w:marBottom w:val="0"/>
          <w:divBdr>
            <w:top w:val="none" w:sz="0" w:space="0" w:color="auto"/>
            <w:left w:val="none" w:sz="0" w:space="0" w:color="auto"/>
            <w:bottom w:val="none" w:sz="0" w:space="0" w:color="auto"/>
            <w:right w:val="none" w:sz="0" w:space="0" w:color="auto"/>
          </w:divBdr>
        </w:div>
        <w:div w:id="995568301">
          <w:marLeft w:val="0"/>
          <w:marRight w:val="0"/>
          <w:marTop w:val="0"/>
          <w:marBottom w:val="0"/>
          <w:divBdr>
            <w:top w:val="none" w:sz="0" w:space="0" w:color="auto"/>
            <w:left w:val="none" w:sz="0" w:space="0" w:color="auto"/>
            <w:bottom w:val="none" w:sz="0" w:space="0" w:color="auto"/>
            <w:right w:val="none" w:sz="0" w:space="0" w:color="auto"/>
          </w:divBdr>
        </w:div>
        <w:div w:id="1264189996">
          <w:marLeft w:val="0"/>
          <w:marRight w:val="0"/>
          <w:marTop w:val="0"/>
          <w:marBottom w:val="0"/>
          <w:divBdr>
            <w:top w:val="none" w:sz="0" w:space="0" w:color="auto"/>
            <w:left w:val="none" w:sz="0" w:space="0" w:color="auto"/>
            <w:bottom w:val="none" w:sz="0" w:space="0" w:color="auto"/>
            <w:right w:val="none" w:sz="0" w:space="0" w:color="auto"/>
          </w:divBdr>
        </w:div>
        <w:div w:id="1564677877">
          <w:marLeft w:val="0"/>
          <w:marRight w:val="0"/>
          <w:marTop w:val="0"/>
          <w:marBottom w:val="0"/>
          <w:divBdr>
            <w:top w:val="none" w:sz="0" w:space="0" w:color="auto"/>
            <w:left w:val="none" w:sz="0" w:space="0" w:color="auto"/>
            <w:bottom w:val="none" w:sz="0" w:space="0" w:color="auto"/>
            <w:right w:val="none" w:sz="0" w:space="0" w:color="auto"/>
          </w:divBdr>
        </w:div>
        <w:div w:id="1411778507">
          <w:marLeft w:val="0"/>
          <w:marRight w:val="0"/>
          <w:marTop w:val="0"/>
          <w:marBottom w:val="0"/>
          <w:divBdr>
            <w:top w:val="none" w:sz="0" w:space="0" w:color="auto"/>
            <w:left w:val="none" w:sz="0" w:space="0" w:color="auto"/>
            <w:bottom w:val="none" w:sz="0" w:space="0" w:color="auto"/>
            <w:right w:val="none" w:sz="0" w:space="0" w:color="auto"/>
          </w:divBdr>
        </w:div>
        <w:div w:id="2074770388">
          <w:marLeft w:val="0"/>
          <w:marRight w:val="0"/>
          <w:marTop w:val="0"/>
          <w:marBottom w:val="0"/>
          <w:divBdr>
            <w:top w:val="none" w:sz="0" w:space="0" w:color="auto"/>
            <w:left w:val="none" w:sz="0" w:space="0" w:color="auto"/>
            <w:bottom w:val="none" w:sz="0" w:space="0" w:color="auto"/>
            <w:right w:val="none" w:sz="0" w:space="0" w:color="auto"/>
          </w:divBdr>
        </w:div>
        <w:div w:id="546836164">
          <w:marLeft w:val="0"/>
          <w:marRight w:val="0"/>
          <w:marTop w:val="0"/>
          <w:marBottom w:val="0"/>
          <w:divBdr>
            <w:top w:val="none" w:sz="0" w:space="0" w:color="auto"/>
            <w:left w:val="none" w:sz="0" w:space="0" w:color="auto"/>
            <w:bottom w:val="none" w:sz="0" w:space="0" w:color="auto"/>
            <w:right w:val="none" w:sz="0" w:space="0" w:color="auto"/>
          </w:divBdr>
        </w:div>
        <w:div w:id="279141762">
          <w:marLeft w:val="0"/>
          <w:marRight w:val="0"/>
          <w:marTop w:val="0"/>
          <w:marBottom w:val="0"/>
          <w:divBdr>
            <w:top w:val="none" w:sz="0" w:space="0" w:color="auto"/>
            <w:left w:val="none" w:sz="0" w:space="0" w:color="auto"/>
            <w:bottom w:val="none" w:sz="0" w:space="0" w:color="auto"/>
            <w:right w:val="none" w:sz="0" w:space="0" w:color="auto"/>
          </w:divBdr>
        </w:div>
        <w:div w:id="1504782671">
          <w:marLeft w:val="0"/>
          <w:marRight w:val="0"/>
          <w:marTop w:val="0"/>
          <w:marBottom w:val="0"/>
          <w:divBdr>
            <w:top w:val="none" w:sz="0" w:space="0" w:color="auto"/>
            <w:left w:val="none" w:sz="0" w:space="0" w:color="auto"/>
            <w:bottom w:val="none" w:sz="0" w:space="0" w:color="auto"/>
            <w:right w:val="none" w:sz="0" w:space="0" w:color="auto"/>
          </w:divBdr>
        </w:div>
        <w:div w:id="1370833879">
          <w:marLeft w:val="0"/>
          <w:marRight w:val="0"/>
          <w:marTop w:val="0"/>
          <w:marBottom w:val="0"/>
          <w:divBdr>
            <w:top w:val="none" w:sz="0" w:space="0" w:color="auto"/>
            <w:left w:val="none" w:sz="0" w:space="0" w:color="auto"/>
            <w:bottom w:val="none" w:sz="0" w:space="0" w:color="auto"/>
            <w:right w:val="none" w:sz="0" w:space="0" w:color="auto"/>
          </w:divBdr>
        </w:div>
        <w:div w:id="537667581">
          <w:marLeft w:val="0"/>
          <w:marRight w:val="0"/>
          <w:marTop w:val="0"/>
          <w:marBottom w:val="0"/>
          <w:divBdr>
            <w:top w:val="none" w:sz="0" w:space="0" w:color="auto"/>
            <w:left w:val="none" w:sz="0" w:space="0" w:color="auto"/>
            <w:bottom w:val="none" w:sz="0" w:space="0" w:color="auto"/>
            <w:right w:val="none" w:sz="0" w:space="0" w:color="auto"/>
          </w:divBdr>
        </w:div>
        <w:div w:id="738986319">
          <w:marLeft w:val="0"/>
          <w:marRight w:val="0"/>
          <w:marTop w:val="0"/>
          <w:marBottom w:val="0"/>
          <w:divBdr>
            <w:top w:val="none" w:sz="0" w:space="0" w:color="auto"/>
            <w:left w:val="none" w:sz="0" w:space="0" w:color="auto"/>
            <w:bottom w:val="none" w:sz="0" w:space="0" w:color="auto"/>
            <w:right w:val="none" w:sz="0" w:space="0" w:color="auto"/>
          </w:divBdr>
        </w:div>
        <w:div w:id="905723374">
          <w:marLeft w:val="0"/>
          <w:marRight w:val="0"/>
          <w:marTop w:val="0"/>
          <w:marBottom w:val="0"/>
          <w:divBdr>
            <w:top w:val="none" w:sz="0" w:space="0" w:color="auto"/>
            <w:left w:val="none" w:sz="0" w:space="0" w:color="auto"/>
            <w:bottom w:val="none" w:sz="0" w:space="0" w:color="auto"/>
            <w:right w:val="none" w:sz="0" w:space="0" w:color="auto"/>
          </w:divBdr>
        </w:div>
        <w:div w:id="1801486198">
          <w:marLeft w:val="0"/>
          <w:marRight w:val="0"/>
          <w:marTop w:val="0"/>
          <w:marBottom w:val="0"/>
          <w:divBdr>
            <w:top w:val="none" w:sz="0" w:space="0" w:color="auto"/>
            <w:left w:val="none" w:sz="0" w:space="0" w:color="auto"/>
            <w:bottom w:val="none" w:sz="0" w:space="0" w:color="auto"/>
            <w:right w:val="none" w:sz="0" w:space="0" w:color="auto"/>
          </w:divBdr>
        </w:div>
        <w:div w:id="1929189333">
          <w:marLeft w:val="0"/>
          <w:marRight w:val="0"/>
          <w:marTop w:val="0"/>
          <w:marBottom w:val="0"/>
          <w:divBdr>
            <w:top w:val="none" w:sz="0" w:space="0" w:color="auto"/>
            <w:left w:val="none" w:sz="0" w:space="0" w:color="auto"/>
            <w:bottom w:val="none" w:sz="0" w:space="0" w:color="auto"/>
            <w:right w:val="none" w:sz="0" w:space="0" w:color="auto"/>
          </w:divBdr>
        </w:div>
        <w:div w:id="1201895197">
          <w:marLeft w:val="0"/>
          <w:marRight w:val="0"/>
          <w:marTop w:val="0"/>
          <w:marBottom w:val="0"/>
          <w:divBdr>
            <w:top w:val="none" w:sz="0" w:space="0" w:color="auto"/>
            <w:left w:val="none" w:sz="0" w:space="0" w:color="auto"/>
            <w:bottom w:val="none" w:sz="0" w:space="0" w:color="auto"/>
            <w:right w:val="none" w:sz="0" w:space="0" w:color="auto"/>
          </w:divBdr>
        </w:div>
        <w:div w:id="1101486197">
          <w:marLeft w:val="0"/>
          <w:marRight w:val="0"/>
          <w:marTop w:val="0"/>
          <w:marBottom w:val="0"/>
          <w:divBdr>
            <w:top w:val="none" w:sz="0" w:space="0" w:color="auto"/>
            <w:left w:val="none" w:sz="0" w:space="0" w:color="auto"/>
            <w:bottom w:val="none" w:sz="0" w:space="0" w:color="auto"/>
            <w:right w:val="none" w:sz="0" w:space="0" w:color="auto"/>
          </w:divBdr>
        </w:div>
        <w:div w:id="701705620">
          <w:marLeft w:val="0"/>
          <w:marRight w:val="0"/>
          <w:marTop w:val="0"/>
          <w:marBottom w:val="0"/>
          <w:divBdr>
            <w:top w:val="none" w:sz="0" w:space="0" w:color="auto"/>
            <w:left w:val="none" w:sz="0" w:space="0" w:color="auto"/>
            <w:bottom w:val="none" w:sz="0" w:space="0" w:color="auto"/>
            <w:right w:val="none" w:sz="0" w:space="0" w:color="auto"/>
          </w:divBdr>
        </w:div>
        <w:div w:id="250550719">
          <w:marLeft w:val="0"/>
          <w:marRight w:val="0"/>
          <w:marTop w:val="0"/>
          <w:marBottom w:val="0"/>
          <w:divBdr>
            <w:top w:val="none" w:sz="0" w:space="0" w:color="auto"/>
            <w:left w:val="none" w:sz="0" w:space="0" w:color="auto"/>
            <w:bottom w:val="none" w:sz="0" w:space="0" w:color="auto"/>
            <w:right w:val="none" w:sz="0" w:space="0" w:color="auto"/>
          </w:divBdr>
        </w:div>
        <w:div w:id="930697296">
          <w:marLeft w:val="0"/>
          <w:marRight w:val="0"/>
          <w:marTop w:val="0"/>
          <w:marBottom w:val="0"/>
          <w:divBdr>
            <w:top w:val="none" w:sz="0" w:space="0" w:color="auto"/>
            <w:left w:val="none" w:sz="0" w:space="0" w:color="auto"/>
            <w:bottom w:val="none" w:sz="0" w:space="0" w:color="auto"/>
            <w:right w:val="none" w:sz="0" w:space="0" w:color="auto"/>
          </w:divBdr>
        </w:div>
        <w:div w:id="1075586506">
          <w:marLeft w:val="0"/>
          <w:marRight w:val="0"/>
          <w:marTop w:val="0"/>
          <w:marBottom w:val="0"/>
          <w:divBdr>
            <w:top w:val="none" w:sz="0" w:space="0" w:color="auto"/>
            <w:left w:val="none" w:sz="0" w:space="0" w:color="auto"/>
            <w:bottom w:val="none" w:sz="0" w:space="0" w:color="auto"/>
            <w:right w:val="none" w:sz="0" w:space="0" w:color="auto"/>
          </w:divBdr>
        </w:div>
        <w:div w:id="1104567840">
          <w:marLeft w:val="0"/>
          <w:marRight w:val="0"/>
          <w:marTop w:val="0"/>
          <w:marBottom w:val="0"/>
          <w:divBdr>
            <w:top w:val="none" w:sz="0" w:space="0" w:color="auto"/>
            <w:left w:val="none" w:sz="0" w:space="0" w:color="auto"/>
            <w:bottom w:val="none" w:sz="0" w:space="0" w:color="auto"/>
            <w:right w:val="none" w:sz="0" w:space="0" w:color="auto"/>
          </w:divBdr>
        </w:div>
        <w:div w:id="355808245">
          <w:marLeft w:val="0"/>
          <w:marRight w:val="0"/>
          <w:marTop w:val="0"/>
          <w:marBottom w:val="0"/>
          <w:divBdr>
            <w:top w:val="none" w:sz="0" w:space="0" w:color="auto"/>
            <w:left w:val="none" w:sz="0" w:space="0" w:color="auto"/>
            <w:bottom w:val="none" w:sz="0" w:space="0" w:color="auto"/>
            <w:right w:val="none" w:sz="0" w:space="0" w:color="auto"/>
          </w:divBdr>
        </w:div>
        <w:div w:id="1567883636">
          <w:marLeft w:val="0"/>
          <w:marRight w:val="0"/>
          <w:marTop w:val="0"/>
          <w:marBottom w:val="0"/>
          <w:divBdr>
            <w:top w:val="none" w:sz="0" w:space="0" w:color="auto"/>
            <w:left w:val="none" w:sz="0" w:space="0" w:color="auto"/>
            <w:bottom w:val="none" w:sz="0" w:space="0" w:color="auto"/>
            <w:right w:val="none" w:sz="0" w:space="0" w:color="auto"/>
          </w:divBdr>
        </w:div>
        <w:div w:id="1256287599">
          <w:marLeft w:val="0"/>
          <w:marRight w:val="0"/>
          <w:marTop w:val="0"/>
          <w:marBottom w:val="0"/>
          <w:divBdr>
            <w:top w:val="none" w:sz="0" w:space="0" w:color="auto"/>
            <w:left w:val="none" w:sz="0" w:space="0" w:color="auto"/>
            <w:bottom w:val="none" w:sz="0" w:space="0" w:color="auto"/>
            <w:right w:val="none" w:sz="0" w:space="0" w:color="auto"/>
          </w:divBdr>
        </w:div>
        <w:div w:id="1990284527">
          <w:marLeft w:val="0"/>
          <w:marRight w:val="0"/>
          <w:marTop w:val="0"/>
          <w:marBottom w:val="0"/>
          <w:divBdr>
            <w:top w:val="none" w:sz="0" w:space="0" w:color="auto"/>
            <w:left w:val="none" w:sz="0" w:space="0" w:color="auto"/>
            <w:bottom w:val="none" w:sz="0" w:space="0" w:color="auto"/>
            <w:right w:val="none" w:sz="0" w:space="0" w:color="auto"/>
          </w:divBdr>
        </w:div>
        <w:div w:id="1811047812">
          <w:marLeft w:val="0"/>
          <w:marRight w:val="0"/>
          <w:marTop w:val="0"/>
          <w:marBottom w:val="0"/>
          <w:divBdr>
            <w:top w:val="none" w:sz="0" w:space="0" w:color="auto"/>
            <w:left w:val="none" w:sz="0" w:space="0" w:color="auto"/>
            <w:bottom w:val="none" w:sz="0" w:space="0" w:color="auto"/>
            <w:right w:val="none" w:sz="0" w:space="0" w:color="auto"/>
          </w:divBdr>
        </w:div>
        <w:div w:id="776217223">
          <w:marLeft w:val="0"/>
          <w:marRight w:val="0"/>
          <w:marTop w:val="0"/>
          <w:marBottom w:val="0"/>
          <w:divBdr>
            <w:top w:val="none" w:sz="0" w:space="0" w:color="auto"/>
            <w:left w:val="none" w:sz="0" w:space="0" w:color="auto"/>
            <w:bottom w:val="none" w:sz="0" w:space="0" w:color="auto"/>
            <w:right w:val="none" w:sz="0" w:space="0" w:color="auto"/>
          </w:divBdr>
        </w:div>
      </w:divsChild>
    </w:div>
    <w:div w:id="638001976">
      <w:bodyDiv w:val="1"/>
      <w:marLeft w:val="0"/>
      <w:marRight w:val="0"/>
      <w:marTop w:val="0"/>
      <w:marBottom w:val="0"/>
      <w:divBdr>
        <w:top w:val="none" w:sz="0" w:space="0" w:color="auto"/>
        <w:left w:val="none" w:sz="0" w:space="0" w:color="auto"/>
        <w:bottom w:val="none" w:sz="0" w:space="0" w:color="auto"/>
        <w:right w:val="none" w:sz="0" w:space="0" w:color="auto"/>
      </w:divBdr>
      <w:divsChild>
        <w:div w:id="234779173">
          <w:marLeft w:val="0"/>
          <w:marRight w:val="0"/>
          <w:marTop w:val="0"/>
          <w:marBottom w:val="0"/>
          <w:divBdr>
            <w:top w:val="none" w:sz="0" w:space="0" w:color="auto"/>
            <w:left w:val="none" w:sz="0" w:space="0" w:color="auto"/>
            <w:bottom w:val="none" w:sz="0" w:space="0" w:color="auto"/>
            <w:right w:val="none" w:sz="0" w:space="0" w:color="auto"/>
          </w:divBdr>
        </w:div>
        <w:div w:id="510534881">
          <w:marLeft w:val="0"/>
          <w:marRight w:val="0"/>
          <w:marTop w:val="0"/>
          <w:marBottom w:val="0"/>
          <w:divBdr>
            <w:top w:val="none" w:sz="0" w:space="0" w:color="auto"/>
            <w:left w:val="none" w:sz="0" w:space="0" w:color="auto"/>
            <w:bottom w:val="none" w:sz="0" w:space="0" w:color="auto"/>
            <w:right w:val="none" w:sz="0" w:space="0" w:color="auto"/>
          </w:divBdr>
        </w:div>
        <w:div w:id="1864897051">
          <w:marLeft w:val="0"/>
          <w:marRight w:val="0"/>
          <w:marTop w:val="0"/>
          <w:marBottom w:val="0"/>
          <w:divBdr>
            <w:top w:val="none" w:sz="0" w:space="0" w:color="auto"/>
            <w:left w:val="none" w:sz="0" w:space="0" w:color="auto"/>
            <w:bottom w:val="none" w:sz="0" w:space="0" w:color="auto"/>
            <w:right w:val="none" w:sz="0" w:space="0" w:color="auto"/>
          </w:divBdr>
        </w:div>
      </w:divsChild>
    </w:div>
    <w:div w:id="1343162344">
      <w:bodyDiv w:val="1"/>
      <w:marLeft w:val="0"/>
      <w:marRight w:val="0"/>
      <w:marTop w:val="0"/>
      <w:marBottom w:val="0"/>
      <w:divBdr>
        <w:top w:val="none" w:sz="0" w:space="0" w:color="auto"/>
        <w:left w:val="none" w:sz="0" w:space="0" w:color="auto"/>
        <w:bottom w:val="none" w:sz="0" w:space="0" w:color="auto"/>
        <w:right w:val="none" w:sz="0" w:space="0" w:color="auto"/>
      </w:divBdr>
      <w:divsChild>
        <w:div w:id="212888240">
          <w:marLeft w:val="0"/>
          <w:marRight w:val="0"/>
          <w:marTop w:val="0"/>
          <w:marBottom w:val="0"/>
          <w:divBdr>
            <w:top w:val="none" w:sz="0" w:space="0" w:color="auto"/>
            <w:left w:val="none" w:sz="0" w:space="0" w:color="auto"/>
            <w:bottom w:val="none" w:sz="0" w:space="0" w:color="auto"/>
            <w:right w:val="none" w:sz="0" w:space="0" w:color="auto"/>
          </w:divBdr>
        </w:div>
        <w:div w:id="335813211">
          <w:marLeft w:val="0"/>
          <w:marRight w:val="0"/>
          <w:marTop w:val="0"/>
          <w:marBottom w:val="0"/>
          <w:divBdr>
            <w:top w:val="none" w:sz="0" w:space="0" w:color="auto"/>
            <w:left w:val="none" w:sz="0" w:space="0" w:color="auto"/>
            <w:bottom w:val="none" w:sz="0" w:space="0" w:color="auto"/>
            <w:right w:val="none" w:sz="0" w:space="0" w:color="auto"/>
          </w:divBdr>
        </w:div>
        <w:div w:id="467666650">
          <w:marLeft w:val="0"/>
          <w:marRight w:val="0"/>
          <w:marTop w:val="0"/>
          <w:marBottom w:val="0"/>
          <w:divBdr>
            <w:top w:val="none" w:sz="0" w:space="0" w:color="auto"/>
            <w:left w:val="none" w:sz="0" w:space="0" w:color="auto"/>
            <w:bottom w:val="none" w:sz="0" w:space="0" w:color="auto"/>
            <w:right w:val="none" w:sz="0" w:space="0" w:color="auto"/>
          </w:divBdr>
        </w:div>
        <w:div w:id="1711807944">
          <w:marLeft w:val="0"/>
          <w:marRight w:val="0"/>
          <w:marTop w:val="0"/>
          <w:marBottom w:val="0"/>
          <w:divBdr>
            <w:top w:val="none" w:sz="0" w:space="0" w:color="auto"/>
            <w:left w:val="none" w:sz="0" w:space="0" w:color="auto"/>
            <w:bottom w:val="none" w:sz="0" w:space="0" w:color="auto"/>
            <w:right w:val="none" w:sz="0" w:space="0" w:color="auto"/>
          </w:divBdr>
        </w:div>
        <w:div w:id="593166658">
          <w:marLeft w:val="0"/>
          <w:marRight w:val="0"/>
          <w:marTop w:val="0"/>
          <w:marBottom w:val="0"/>
          <w:divBdr>
            <w:top w:val="none" w:sz="0" w:space="0" w:color="auto"/>
            <w:left w:val="none" w:sz="0" w:space="0" w:color="auto"/>
            <w:bottom w:val="none" w:sz="0" w:space="0" w:color="auto"/>
            <w:right w:val="none" w:sz="0" w:space="0" w:color="auto"/>
          </w:divBdr>
        </w:div>
        <w:div w:id="1413434875">
          <w:marLeft w:val="0"/>
          <w:marRight w:val="0"/>
          <w:marTop w:val="0"/>
          <w:marBottom w:val="0"/>
          <w:divBdr>
            <w:top w:val="none" w:sz="0" w:space="0" w:color="auto"/>
            <w:left w:val="none" w:sz="0" w:space="0" w:color="auto"/>
            <w:bottom w:val="none" w:sz="0" w:space="0" w:color="auto"/>
            <w:right w:val="none" w:sz="0" w:space="0" w:color="auto"/>
          </w:divBdr>
        </w:div>
        <w:div w:id="909116771">
          <w:marLeft w:val="0"/>
          <w:marRight w:val="0"/>
          <w:marTop w:val="0"/>
          <w:marBottom w:val="0"/>
          <w:divBdr>
            <w:top w:val="none" w:sz="0" w:space="0" w:color="auto"/>
            <w:left w:val="none" w:sz="0" w:space="0" w:color="auto"/>
            <w:bottom w:val="none" w:sz="0" w:space="0" w:color="auto"/>
            <w:right w:val="none" w:sz="0" w:space="0" w:color="auto"/>
          </w:divBdr>
        </w:div>
        <w:div w:id="844125423">
          <w:marLeft w:val="0"/>
          <w:marRight w:val="0"/>
          <w:marTop w:val="0"/>
          <w:marBottom w:val="0"/>
          <w:divBdr>
            <w:top w:val="none" w:sz="0" w:space="0" w:color="auto"/>
            <w:left w:val="none" w:sz="0" w:space="0" w:color="auto"/>
            <w:bottom w:val="none" w:sz="0" w:space="0" w:color="auto"/>
            <w:right w:val="none" w:sz="0" w:space="0" w:color="auto"/>
          </w:divBdr>
        </w:div>
        <w:div w:id="1727143580">
          <w:marLeft w:val="0"/>
          <w:marRight w:val="0"/>
          <w:marTop w:val="0"/>
          <w:marBottom w:val="0"/>
          <w:divBdr>
            <w:top w:val="none" w:sz="0" w:space="0" w:color="auto"/>
            <w:left w:val="none" w:sz="0" w:space="0" w:color="auto"/>
            <w:bottom w:val="none" w:sz="0" w:space="0" w:color="auto"/>
            <w:right w:val="none" w:sz="0" w:space="0" w:color="auto"/>
          </w:divBdr>
        </w:div>
        <w:div w:id="1159809082">
          <w:marLeft w:val="0"/>
          <w:marRight w:val="0"/>
          <w:marTop w:val="0"/>
          <w:marBottom w:val="0"/>
          <w:divBdr>
            <w:top w:val="none" w:sz="0" w:space="0" w:color="auto"/>
            <w:left w:val="none" w:sz="0" w:space="0" w:color="auto"/>
            <w:bottom w:val="none" w:sz="0" w:space="0" w:color="auto"/>
            <w:right w:val="none" w:sz="0" w:space="0" w:color="auto"/>
          </w:divBdr>
        </w:div>
        <w:div w:id="1948464853">
          <w:marLeft w:val="0"/>
          <w:marRight w:val="0"/>
          <w:marTop w:val="0"/>
          <w:marBottom w:val="0"/>
          <w:divBdr>
            <w:top w:val="none" w:sz="0" w:space="0" w:color="auto"/>
            <w:left w:val="none" w:sz="0" w:space="0" w:color="auto"/>
            <w:bottom w:val="none" w:sz="0" w:space="0" w:color="auto"/>
            <w:right w:val="none" w:sz="0" w:space="0" w:color="auto"/>
          </w:divBdr>
        </w:div>
        <w:div w:id="541290485">
          <w:marLeft w:val="0"/>
          <w:marRight w:val="0"/>
          <w:marTop w:val="0"/>
          <w:marBottom w:val="0"/>
          <w:divBdr>
            <w:top w:val="none" w:sz="0" w:space="0" w:color="auto"/>
            <w:left w:val="none" w:sz="0" w:space="0" w:color="auto"/>
            <w:bottom w:val="none" w:sz="0" w:space="0" w:color="auto"/>
            <w:right w:val="none" w:sz="0" w:space="0" w:color="auto"/>
          </w:divBdr>
        </w:div>
        <w:div w:id="1158810061">
          <w:marLeft w:val="0"/>
          <w:marRight w:val="0"/>
          <w:marTop w:val="0"/>
          <w:marBottom w:val="0"/>
          <w:divBdr>
            <w:top w:val="none" w:sz="0" w:space="0" w:color="auto"/>
            <w:left w:val="none" w:sz="0" w:space="0" w:color="auto"/>
            <w:bottom w:val="none" w:sz="0" w:space="0" w:color="auto"/>
            <w:right w:val="none" w:sz="0" w:space="0" w:color="auto"/>
          </w:divBdr>
        </w:div>
        <w:div w:id="193546158">
          <w:marLeft w:val="0"/>
          <w:marRight w:val="0"/>
          <w:marTop w:val="0"/>
          <w:marBottom w:val="0"/>
          <w:divBdr>
            <w:top w:val="none" w:sz="0" w:space="0" w:color="auto"/>
            <w:left w:val="none" w:sz="0" w:space="0" w:color="auto"/>
            <w:bottom w:val="none" w:sz="0" w:space="0" w:color="auto"/>
            <w:right w:val="none" w:sz="0" w:space="0" w:color="auto"/>
          </w:divBdr>
        </w:div>
        <w:div w:id="27875928">
          <w:marLeft w:val="0"/>
          <w:marRight w:val="0"/>
          <w:marTop w:val="0"/>
          <w:marBottom w:val="0"/>
          <w:divBdr>
            <w:top w:val="none" w:sz="0" w:space="0" w:color="auto"/>
            <w:left w:val="none" w:sz="0" w:space="0" w:color="auto"/>
            <w:bottom w:val="none" w:sz="0" w:space="0" w:color="auto"/>
            <w:right w:val="none" w:sz="0" w:space="0" w:color="auto"/>
          </w:divBdr>
        </w:div>
        <w:div w:id="64304342">
          <w:marLeft w:val="0"/>
          <w:marRight w:val="0"/>
          <w:marTop w:val="0"/>
          <w:marBottom w:val="0"/>
          <w:divBdr>
            <w:top w:val="none" w:sz="0" w:space="0" w:color="auto"/>
            <w:left w:val="none" w:sz="0" w:space="0" w:color="auto"/>
            <w:bottom w:val="none" w:sz="0" w:space="0" w:color="auto"/>
            <w:right w:val="none" w:sz="0" w:space="0" w:color="auto"/>
          </w:divBdr>
        </w:div>
        <w:div w:id="502937319">
          <w:marLeft w:val="0"/>
          <w:marRight w:val="0"/>
          <w:marTop w:val="0"/>
          <w:marBottom w:val="0"/>
          <w:divBdr>
            <w:top w:val="none" w:sz="0" w:space="0" w:color="auto"/>
            <w:left w:val="none" w:sz="0" w:space="0" w:color="auto"/>
            <w:bottom w:val="none" w:sz="0" w:space="0" w:color="auto"/>
            <w:right w:val="none" w:sz="0" w:space="0" w:color="auto"/>
          </w:divBdr>
        </w:div>
        <w:div w:id="1534688665">
          <w:marLeft w:val="0"/>
          <w:marRight w:val="0"/>
          <w:marTop w:val="0"/>
          <w:marBottom w:val="0"/>
          <w:divBdr>
            <w:top w:val="none" w:sz="0" w:space="0" w:color="auto"/>
            <w:left w:val="none" w:sz="0" w:space="0" w:color="auto"/>
            <w:bottom w:val="none" w:sz="0" w:space="0" w:color="auto"/>
            <w:right w:val="none" w:sz="0" w:space="0" w:color="auto"/>
          </w:divBdr>
        </w:div>
        <w:div w:id="1944456797">
          <w:marLeft w:val="0"/>
          <w:marRight w:val="0"/>
          <w:marTop w:val="0"/>
          <w:marBottom w:val="0"/>
          <w:divBdr>
            <w:top w:val="none" w:sz="0" w:space="0" w:color="auto"/>
            <w:left w:val="none" w:sz="0" w:space="0" w:color="auto"/>
            <w:bottom w:val="none" w:sz="0" w:space="0" w:color="auto"/>
            <w:right w:val="none" w:sz="0" w:space="0" w:color="auto"/>
          </w:divBdr>
        </w:div>
        <w:div w:id="333536368">
          <w:marLeft w:val="0"/>
          <w:marRight w:val="0"/>
          <w:marTop w:val="0"/>
          <w:marBottom w:val="0"/>
          <w:divBdr>
            <w:top w:val="none" w:sz="0" w:space="0" w:color="auto"/>
            <w:left w:val="none" w:sz="0" w:space="0" w:color="auto"/>
            <w:bottom w:val="none" w:sz="0" w:space="0" w:color="auto"/>
            <w:right w:val="none" w:sz="0" w:space="0" w:color="auto"/>
          </w:divBdr>
        </w:div>
        <w:div w:id="1775662997">
          <w:marLeft w:val="0"/>
          <w:marRight w:val="0"/>
          <w:marTop w:val="0"/>
          <w:marBottom w:val="0"/>
          <w:divBdr>
            <w:top w:val="none" w:sz="0" w:space="0" w:color="auto"/>
            <w:left w:val="none" w:sz="0" w:space="0" w:color="auto"/>
            <w:bottom w:val="none" w:sz="0" w:space="0" w:color="auto"/>
            <w:right w:val="none" w:sz="0" w:space="0" w:color="auto"/>
          </w:divBdr>
        </w:div>
        <w:div w:id="1214731021">
          <w:marLeft w:val="0"/>
          <w:marRight w:val="0"/>
          <w:marTop w:val="0"/>
          <w:marBottom w:val="0"/>
          <w:divBdr>
            <w:top w:val="none" w:sz="0" w:space="0" w:color="auto"/>
            <w:left w:val="none" w:sz="0" w:space="0" w:color="auto"/>
            <w:bottom w:val="none" w:sz="0" w:space="0" w:color="auto"/>
            <w:right w:val="none" w:sz="0" w:space="0" w:color="auto"/>
          </w:divBdr>
        </w:div>
        <w:div w:id="963510479">
          <w:marLeft w:val="0"/>
          <w:marRight w:val="0"/>
          <w:marTop w:val="0"/>
          <w:marBottom w:val="0"/>
          <w:divBdr>
            <w:top w:val="none" w:sz="0" w:space="0" w:color="auto"/>
            <w:left w:val="none" w:sz="0" w:space="0" w:color="auto"/>
            <w:bottom w:val="none" w:sz="0" w:space="0" w:color="auto"/>
            <w:right w:val="none" w:sz="0" w:space="0" w:color="auto"/>
          </w:divBdr>
        </w:div>
        <w:div w:id="525674602">
          <w:marLeft w:val="0"/>
          <w:marRight w:val="0"/>
          <w:marTop w:val="0"/>
          <w:marBottom w:val="0"/>
          <w:divBdr>
            <w:top w:val="none" w:sz="0" w:space="0" w:color="auto"/>
            <w:left w:val="none" w:sz="0" w:space="0" w:color="auto"/>
            <w:bottom w:val="none" w:sz="0" w:space="0" w:color="auto"/>
            <w:right w:val="none" w:sz="0" w:space="0" w:color="auto"/>
          </w:divBdr>
        </w:div>
        <w:div w:id="1912542328">
          <w:marLeft w:val="0"/>
          <w:marRight w:val="0"/>
          <w:marTop w:val="0"/>
          <w:marBottom w:val="0"/>
          <w:divBdr>
            <w:top w:val="none" w:sz="0" w:space="0" w:color="auto"/>
            <w:left w:val="none" w:sz="0" w:space="0" w:color="auto"/>
            <w:bottom w:val="none" w:sz="0" w:space="0" w:color="auto"/>
            <w:right w:val="none" w:sz="0" w:space="0" w:color="auto"/>
          </w:divBdr>
        </w:div>
        <w:div w:id="1466194783">
          <w:marLeft w:val="0"/>
          <w:marRight w:val="0"/>
          <w:marTop w:val="0"/>
          <w:marBottom w:val="0"/>
          <w:divBdr>
            <w:top w:val="none" w:sz="0" w:space="0" w:color="auto"/>
            <w:left w:val="none" w:sz="0" w:space="0" w:color="auto"/>
            <w:bottom w:val="none" w:sz="0" w:space="0" w:color="auto"/>
            <w:right w:val="none" w:sz="0" w:space="0" w:color="auto"/>
          </w:divBdr>
        </w:div>
        <w:div w:id="1735273564">
          <w:marLeft w:val="0"/>
          <w:marRight w:val="0"/>
          <w:marTop w:val="0"/>
          <w:marBottom w:val="0"/>
          <w:divBdr>
            <w:top w:val="none" w:sz="0" w:space="0" w:color="auto"/>
            <w:left w:val="none" w:sz="0" w:space="0" w:color="auto"/>
            <w:bottom w:val="none" w:sz="0" w:space="0" w:color="auto"/>
            <w:right w:val="none" w:sz="0" w:space="0" w:color="auto"/>
          </w:divBdr>
        </w:div>
        <w:div w:id="1481193218">
          <w:marLeft w:val="0"/>
          <w:marRight w:val="0"/>
          <w:marTop w:val="0"/>
          <w:marBottom w:val="0"/>
          <w:divBdr>
            <w:top w:val="none" w:sz="0" w:space="0" w:color="auto"/>
            <w:left w:val="none" w:sz="0" w:space="0" w:color="auto"/>
            <w:bottom w:val="none" w:sz="0" w:space="0" w:color="auto"/>
            <w:right w:val="none" w:sz="0" w:space="0" w:color="auto"/>
          </w:divBdr>
        </w:div>
        <w:div w:id="1647395056">
          <w:marLeft w:val="0"/>
          <w:marRight w:val="0"/>
          <w:marTop w:val="0"/>
          <w:marBottom w:val="0"/>
          <w:divBdr>
            <w:top w:val="none" w:sz="0" w:space="0" w:color="auto"/>
            <w:left w:val="none" w:sz="0" w:space="0" w:color="auto"/>
            <w:bottom w:val="none" w:sz="0" w:space="0" w:color="auto"/>
            <w:right w:val="none" w:sz="0" w:space="0" w:color="auto"/>
          </w:divBdr>
        </w:div>
        <w:div w:id="1327435371">
          <w:marLeft w:val="0"/>
          <w:marRight w:val="0"/>
          <w:marTop w:val="0"/>
          <w:marBottom w:val="0"/>
          <w:divBdr>
            <w:top w:val="none" w:sz="0" w:space="0" w:color="auto"/>
            <w:left w:val="none" w:sz="0" w:space="0" w:color="auto"/>
            <w:bottom w:val="none" w:sz="0" w:space="0" w:color="auto"/>
            <w:right w:val="none" w:sz="0" w:space="0" w:color="auto"/>
          </w:divBdr>
        </w:div>
        <w:div w:id="481192072">
          <w:marLeft w:val="0"/>
          <w:marRight w:val="0"/>
          <w:marTop w:val="0"/>
          <w:marBottom w:val="0"/>
          <w:divBdr>
            <w:top w:val="none" w:sz="0" w:space="0" w:color="auto"/>
            <w:left w:val="none" w:sz="0" w:space="0" w:color="auto"/>
            <w:bottom w:val="none" w:sz="0" w:space="0" w:color="auto"/>
            <w:right w:val="none" w:sz="0" w:space="0" w:color="auto"/>
          </w:divBdr>
        </w:div>
        <w:div w:id="1162508347">
          <w:marLeft w:val="0"/>
          <w:marRight w:val="0"/>
          <w:marTop w:val="0"/>
          <w:marBottom w:val="0"/>
          <w:divBdr>
            <w:top w:val="none" w:sz="0" w:space="0" w:color="auto"/>
            <w:left w:val="none" w:sz="0" w:space="0" w:color="auto"/>
            <w:bottom w:val="none" w:sz="0" w:space="0" w:color="auto"/>
            <w:right w:val="none" w:sz="0" w:space="0" w:color="auto"/>
          </w:divBdr>
        </w:div>
        <w:div w:id="547839715">
          <w:marLeft w:val="0"/>
          <w:marRight w:val="0"/>
          <w:marTop w:val="0"/>
          <w:marBottom w:val="0"/>
          <w:divBdr>
            <w:top w:val="none" w:sz="0" w:space="0" w:color="auto"/>
            <w:left w:val="none" w:sz="0" w:space="0" w:color="auto"/>
            <w:bottom w:val="none" w:sz="0" w:space="0" w:color="auto"/>
            <w:right w:val="none" w:sz="0" w:space="0" w:color="auto"/>
          </w:divBdr>
        </w:div>
        <w:div w:id="1183933118">
          <w:marLeft w:val="0"/>
          <w:marRight w:val="0"/>
          <w:marTop w:val="0"/>
          <w:marBottom w:val="0"/>
          <w:divBdr>
            <w:top w:val="none" w:sz="0" w:space="0" w:color="auto"/>
            <w:left w:val="none" w:sz="0" w:space="0" w:color="auto"/>
            <w:bottom w:val="none" w:sz="0" w:space="0" w:color="auto"/>
            <w:right w:val="none" w:sz="0" w:space="0" w:color="auto"/>
          </w:divBdr>
        </w:div>
        <w:div w:id="644119218">
          <w:marLeft w:val="0"/>
          <w:marRight w:val="0"/>
          <w:marTop w:val="0"/>
          <w:marBottom w:val="0"/>
          <w:divBdr>
            <w:top w:val="none" w:sz="0" w:space="0" w:color="auto"/>
            <w:left w:val="none" w:sz="0" w:space="0" w:color="auto"/>
            <w:bottom w:val="none" w:sz="0" w:space="0" w:color="auto"/>
            <w:right w:val="none" w:sz="0" w:space="0" w:color="auto"/>
          </w:divBdr>
        </w:div>
        <w:div w:id="631910094">
          <w:marLeft w:val="0"/>
          <w:marRight w:val="0"/>
          <w:marTop w:val="0"/>
          <w:marBottom w:val="0"/>
          <w:divBdr>
            <w:top w:val="none" w:sz="0" w:space="0" w:color="auto"/>
            <w:left w:val="none" w:sz="0" w:space="0" w:color="auto"/>
            <w:bottom w:val="none" w:sz="0" w:space="0" w:color="auto"/>
            <w:right w:val="none" w:sz="0" w:space="0" w:color="auto"/>
          </w:divBdr>
        </w:div>
        <w:div w:id="1011687511">
          <w:marLeft w:val="0"/>
          <w:marRight w:val="0"/>
          <w:marTop w:val="0"/>
          <w:marBottom w:val="0"/>
          <w:divBdr>
            <w:top w:val="none" w:sz="0" w:space="0" w:color="auto"/>
            <w:left w:val="none" w:sz="0" w:space="0" w:color="auto"/>
            <w:bottom w:val="none" w:sz="0" w:space="0" w:color="auto"/>
            <w:right w:val="none" w:sz="0" w:space="0" w:color="auto"/>
          </w:divBdr>
        </w:div>
        <w:div w:id="763112588">
          <w:marLeft w:val="0"/>
          <w:marRight w:val="0"/>
          <w:marTop w:val="0"/>
          <w:marBottom w:val="0"/>
          <w:divBdr>
            <w:top w:val="none" w:sz="0" w:space="0" w:color="auto"/>
            <w:left w:val="none" w:sz="0" w:space="0" w:color="auto"/>
            <w:bottom w:val="none" w:sz="0" w:space="0" w:color="auto"/>
            <w:right w:val="none" w:sz="0" w:space="0" w:color="auto"/>
          </w:divBdr>
        </w:div>
        <w:div w:id="2124373498">
          <w:marLeft w:val="0"/>
          <w:marRight w:val="0"/>
          <w:marTop w:val="0"/>
          <w:marBottom w:val="0"/>
          <w:divBdr>
            <w:top w:val="none" w:sz="0" w:space="0" w:color="auto"/>
            <w:left w:val="none" w:sz="0" w:space="0" w:color="auto"/>
            <w:bottom w:val="none" w:sz="0" w:space="0" w:color="auto"/>
            <w:right w:val="none" w:sz="0" w:space="0" w:color="auto"/>
          </w:divBdr>
        </w:div>
        <w:div w:id="1750227869">
          <w:marLeft w:val="0"/>
          <w:marRight w:val="0"/>
          <w:marTop w:val="0"/>
          <w:marBottom w:val="0"/>
          <w:divBdr>
            <w:top w:val="none" w:sz="0" w:space="0" w:color="auto"/>
            <w:left w:val="none" w:sz="0" w:space="0" w:color="auto"/>
            <w:bottom w:val="none" w:sz="0" w:space="0" w:color="auto"/>
            <w:right w:val="none" w:sz="0" w:space="0" w:color="auto"/>
          </w:divBdr>
        </w:div>
        <w:div w:id="924267651">
          <w:marLeft w:val="0"/>
          <w:marRight w:val="0"/>
          <w:marTop w:val="0"/>
          <w:marBottom w:val="0"/>
          <w:divBdr>
            <w:top w:val="none" w:sz="0" w:space="0" w:color="auto"/>
            <w:left w:val="none" w:sz="0" w:space="0" w:color="auto"/>
            <w:bottom w:val="none" w:sz="0" w:space="0" w:color="auto"/>
            <w:right w:val="none" w:sz="0" w:space="0" w:color="auto"/>
          </w:divBdr>
        </w:div>
        <w:div w:id="402023257">
          <w:marLeft w:val="0"/>
          <w:marRight w:val="0"/>
          <w:marTop w:val="0"/>
          <w:marBottom w:val="0"/>
          <w:divBdr>
            <w:top w:val="none" w:sz="0" w:space="0" w:color="auto"/>
            <w:left w:val="none" w:sz="0" w:space="0" w:color="auto"/>
            <w:bottom w:val="none" w:sz="0" w:space="0" w:color="auto"/>
            <w:right w:val="none" w:sz="0" w:space="0" w:color="auto"/>
          </w:divBdr>
        </w:div>
        <w:div w:id="1627471883">
          <w:marLeft w:val="0"/>
          <w:marRight w:val="0"/>
          <w:marTop w:val="0"/>
          <w:marBottom w:val="0"/>
          <w:divBdr>
            <w:top w:val="none" w:sz="0" w:space="0" w:color="auto"/>
            <w:left w:val="none" w:sz="0" w:space="0" w:color="auto"/>
            <w:bottom w:val="none" w:sz="0" w:space="0" w:color="auto"/>
            <w:right w:val="none" w:sz="0" w:space="0" w:color="auto"/>
          </w:divBdr>
        </w:div>
        <w:div w:id="1885286268">
          <w:marLeft w:val="0"/>
          <w:marRight w:val="0"/>
          <w:marTop w:val="0"/>
          <w:marBottom w:val="0"/>
          <w:divBdr>
            <w:top w:val="none" w:sz="0" w:space="0" w:color="auto"/>
            <w:left w:val="none" w:sz="0" w:space="0" w:color="auto"/>
            <w:bottom w:val="none" w:sz="0" w:space="0" w:color="auto"/>
            <w:right w:val="none" w:sz="0" w:space="0" w:color="auto"/>
          </w:divBdr>
        </w:div>
        <w:div w:id="1344939368">
          <w:marLeft w:val="0"/>
          <w:marRight w:val="0"/>
          <w:marTop w:val="0"/>
          <w:marBottom w:val="0"/>
          <w:divBdr>
            <w:top w:val="none" w:sz="0" w:space="0" w:color="auto"/>
            <w:left w:val="none" w:sz="0" w:space="0" w:color="auto"/>
            <w:bottom w:val="none" w:sz="0" w:space="0" w:color="auto"/>
            <w:right w:val="none" w:sz="0" w:space="0" w:color="auto"/>
          </w:divBdr>
        </w:div>
        <w:div w:id="593053891">
          <w:marLeft w:val="0"/>
          <w:marRight w:val="0"/>
          <w:marTop w:val="0"/>
          <w:marBottom w:val="0"/>
          <w:divBdr>
            <w:top w:val="none" w:sz="0" w:space="0" w:color="auto"/>
            <w:left w:val="none" w:sz="0" w:space="0" w:color="auto"/>
            <w:bottom w:val="none" w:sz="0" w:space="0" w:color="auto"/>
            <w:right w:val="none" w:sz="0" w:space="0" w:color="auto"/>
          </w:divBdr>
        </w:div>
        <w:div w:id="72556331">
          <w:marLeft w:val="0"/>
          <w:marRight w:val="0"/>
          <w:marTop w:val="0"/>
          <w:marBottom w:val="0"/>
          <w:divBdr>
            <w:top w:val="none" w:sz="0" w:space="0" w:color="auto"/>
            <w:left w:val="none" w:sz="0" w:space="0" w:color="auto"/>
            <w:bottom w:val="none" w:sz="0" w:space="0" w:color="auto"/>
            <w:right w:val="none" w:sz="0" w:space="0" w:color="auto"/>
          </w:divBdr>
        </w:div>
        <w:div w:id="854541397">
          <w:marLeft w:val="0"/>
          <w:marRight w:val="0"/>
          <w:marTop w:val="0"/>
          <w:marBottom w:val="0"/>
          <w:divBdr>
            <w:top w:val="none" w:sz="0" w:space="0" w:color="auto"/>
            <w:left w:val="none" w:sz="0" w:space="0" w:color="auto"/>
            <w:bottom w:val="none" w:sz="0" w:space="0" w:color="auto"/>
            <w:right w:val="none" w:sz="0" w:space="0" w:color="auto"/>
          </w:divBdr>
        </w:div>
        <w:div w:id="148863998">
          <w:marLeft w:val="0"/>
          <w:marRight w:val="0"/>
          <w:marTop w:val="0"/>
          <w:marBottom w:val="0"/>
          <w:divBdr>
            <w:top w:val="none" w:sz="0" w:space="0" w:color="auto"/>
            <w:left w:val="none" w:sz="0" w:space="0" w:color="auto"/>
            <w:bottom w:val="none" w:sz="0" w:space="0" w:color="auto"/>
            <w:right w:val="none" w:sz="0" w:space="0" w:color="auto"/>
          </w:divBdr>
        </w:div>
        <w:div w:id="1798796437">
          <w:marLeft w:val="0"/>
          <w:marRight w:val="0"/>
          <w:marTop w:val="0"/>
          <w:marBottom w:val="0"/>
          <w:divBdr>
            <w:top w:val="none" w:sz="0" w:space="0" w:color="auto"/>
            <w:left w:val="none" w:sz="0" w:space="0" w:color="auto"/>
            <w:bottom w:val="none" w:sz="0" w:space="0" w:color="auto"/>
            <w:right w:val="none" w:sz="0" w:space="0" w:color="auto"/>
          </w:divBdr>
        </w:div>
        <w:div w:id="601837225">
          <w:marLeft w:val="0"/>
          <w:marRight w:val="0"/>
          <w:marTop w:val="0"/>
          <w:marBottom w:val="0"/>
          <w:divBdr>
            <w:top w:val="none" w:sz="0" w:space="0" w:color="auto"/>
            <w:left w:val="none" w:sz="0" w:space="0" w:color="auto"/>
            <w:bottom w:val="none" w:sz="0" w:space="0" w:color="auto"/>
            <w:right w:val="none" w:sz="0" w:space="0" w:color="auto"/>
          </w:divBdr>
        </w:div>
        <w:div w:id="89326007">
          <w:marLeft w:val="0"/>
          <w:marRight w:val="0"/>
          <w:marTop w:val="0"/>
          <w:marBottom w:val="0"/>
          <w:divBdr>
            <w:top w:val="none" w:sz="0" w:space="0" w:color="auto"/>
            <w:left w:val="none" w:sz="0" w:space="0" w:color="auto"/>
            <w:bottom w:val="none" w:sz="0" w:space="0" w:color="auto"/>
            <w:right w:val="none" w:sz="0" w:space="0" w:color="auto"/>
          </w:divBdr>
          <w:divsChild>
            <w:div w:id="783771061">
              <w:marLeft w:val="-75"/>
              <w:marRight w:val="0"/>
              <w:marTop w:val="30"/>
              <w:marBottom w:val="30"/>
              <w:divBdr>
                <w:top w:val="none" w:sz="0" w:space="0" w:color="auto"/>
                <w:left w:val="none" w:sz="0" w:space="0" w:color="auto"/>
                <w:bottom w:val="none" w:sz="0" w:space="0" w:color="auto"/>
                <w:right w:val="none" w:sz="0" w:space="0" w:color="auto"/>
              </w:divBdr>
              <w:divsChild>
                <w:div w:id="1423526065">
                  <w:marLeft w:val="0"/>
                  <w:marRight w:val="0"/>
                  <w:marTop w:val="0"/>
                  <w:marBottom w:val="0"/>
                  <w:divBdr>
                    <w:top w:val="none" w:sz="0" w:space="0" w:color="auto"/>
                    <w:left w:val="none" w:sz="0" w:space="0" w:color="auto"/>
                    <w:bottom w:val="none" w:sz="0" w:space="0" w:color="auto"/>
                    <w:right w:val="none" w:sz="0" w:space="0" w:color="auto"/>
                  </w:divBdr>
                  <w:divsChild>
                    <w:div w:id="1401446369">
                      <w:marLeft w:val="0"/>
                      <w:marRight w:val="0"/>
                      <w:marTop w:val="0"/>
                      <w:marBottom w:val="0"/>
                      <w:divBdr>
                        <w:top w:val="none" w:sz="0" w:space="0" w:color="auto"/>
                        <w:left w:val="none" w:sz="0" w:space="0" w:color="auto"/>
                        <w:bottom w:val="none" w:sz="0" w:space="0" w:color="auto"/>
                        <w:right w:val="none" w:sz="0" w:space="0" w:color="auto"/>
                      </w:divBdr>
                    </w:div>
                  </w:divsChild>
                </w:div>
                <w:div w:id="466779751">
                  <w:marLeft w:val="0"/>
                  <w:marRight w:val="0"/>
                  <w:marTop w:val="0"/>
                  <w:marBottom w:val="0"/>
                  <w:divBdr>
                    <w:top w:val="none" w:sz="0" w:space="0" w:color="auto"/>
                    <w:left w:val="none" w:sz="0" w:space="0" w:color="auto"/>
                    <w:bottom w:val="none" w:sz="0" w:space="0" w:color="auto"/>
                    <w:right w:val="none" w:sz="0" w:space="0" w:color="auto"/>
                  </w:divBdr>
                  <w:divsChild>
                    <w:div w:id="1582373086">
                      <w:marLeft w:val="0"/>
                      <w:marRight w:val="0"/>
                      <w:marTop w:val="0"/>
                      <w:marBottom w:val="0"/>
                      <w:divBdr>
                        <w:top w:val="none" w:sz="0" w:space="0" w:color="auto"/>
                        <w:left w:val="none" w:sz="0" w:space="0" w:color="auto"/>
                        <w:bottom w:val="none" w:sz="0" w:space="0" w:color="auto"/>
                        <w:right w:val="none" w:sz="0" w:space="0" w:color="auto"/>
                      </w:divBdr>
                    </w:div>
                    <w:div w:id="2039159560">
                      <w:marLeft w:val="0"/>
                      <w:marRight w:val="0"/>
                      <w:marTop w:val="0"/>
                      <w:marBottom w:val="0"/>
                      <w:divBdr>
                        <w:top w:val="none" w:sz="0" w:space="0" w:color="auto"/>
                        <w:left w:val="none" w:sz="0" w:space="0" w:color="auto"/>
                        <w:bottom w:val="none" w:sz="0" w:space="0" w:color="auto"/>
                        <w:right w:val="none" w:sz="0" w:space="0" w:color="auto"/>
                      </w:divBdr>
                    </w:div>
                  </w:divsChild>
                </w:div>
                <w:div w:id="521482613">
                  <w:marLeft w:val="0"/>
                  <w:marRight w:val="0"/>
                  <w:marTop w:val="0"/>
                  <w:marBottom w:val="0"/>
                  <w:divBdr>
                    <w:top w:val="none" w:sz="0" w:space="0" w:color="auto"/>
                    <w:left w:val="none" w:sz="0" w:space="0" w:color="auto"/>
                    <w:bottom w:val="none" w:sz="0" w:space="0" w:color="auto"/>
                    <w:right w:val="none" w:sz="0" w:space="0" w:color="auto"/>
                  </w:divBdr>
                  <w:divsChild>
                    <w:div w:id="1584870725">
                      <w:marLeft w:val="0"/>
                      <w:marRight w:val="0"/>
                      <w:marTop w:val="0"/>
                      <w:marBottom w:val="0"/>
                      <w:divBdr>
                        <w:top w:val="none" w:sz="0" w:space="0" w:color="auto"/>
                        <w:left w:val="none" w:sz="0" w:space="0" w:color="auto"/>
                        <w:bottom w:val="none" w:sz="0" w:space="0" w:color="auto"/>
                        <w:right w:val="none" w:sz="0" w:space="0" w:color="auto"/>
                      </w:divBdr>
                    </w:div>
                  </w:divsChild>
                </w:div>
                <w:div w:id="686374011">
                  <w:marLeft w:val="0"/>
                  <w:marRight w:val="0"/>
                  <w:marTop w:val="0"/>
                  <w:marBottom w:val="0"/>
                  <w:divBdr>
                    <w:top w:val="none" w:sz="0" w:space="0" w:color="auto"/>
                    <w:left w:val="none" w:sz="0" w:space="0" w:color="auto"/>
                    <w:bottom w:val="none" w:sz="0" w:space="0" w:color="auto"/>
                    <w:right w:val="none" w:sz="0" w:space="0" w:color="auto"/>
                  </w:divBdr>
                  <w:divsChild>
                    <w:div w:id="176488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434032">
          <w:marLeft w:val="0"/>
          <w:marRight w:val="0"/>
          <w:marTop w:val="0"/>
          <w:marBottom w:val="0"/>
          <w:divBdr>
            <w:top w:val="none" w:sz="0" w:space="0" w:color="auto"/>
            <w:left w:val="none" w:sz="0" w:space="0" w:color="auto"/>
            <w:bottom w:val="none" w:sz="0" w:space="0" w:color="auto"/>
            <w:right w:val="none" w:sz="0" w:space="0" w:color="auto"/>
          </w:divBdr>
        </w:div>
        <w:div w:id="2101178058">
          <w:marLeft w:val="0"/>
          <w:marRight w:val="0"/>
          <w:marTop w:val="0"/>
          <w:marBottom w:val="0"/>
          <w:divBdr>
            <w:top w:val="none" w:sz="0" w:space="0" w:color="auto"/>
            <w:left w:val="none" w:sz="0" w:space="0" w:color="auto"/>
            <w:bottom w:val="none" w:sz="0" w:space="0" w:color="auto"/>
            <w:right w:val="none" w:sz="0" w:space="0" w:color="auto"/>
          </w:divBdr>
        </w:div>
        <w:div w:id="1695230108">
          <w:marLeft w:val="0"/>
          <w:marRight w:val="0"/>
          <w:marTop w:val="0"/>
          <w:marBottom w:val="0"/>
          <w:divBdr>
            <w:top w:val="none" w:sz="0" w:space="0" w:color="auto"/>
            <w:left w:val="none" w:sz="0" w:space="0" w:color="auto"/>
            <w:bottom w:val="none" w:sz="0" w:space="0" w:color="auto"/>
            <w:right w:val="none" w:sz="0" w:space="0" w:color="auto"/>
          </w:divBdr>
        </w:div>
        <w:div w:id="182089029">
          <w:marLeft w:val="0"/>
          <w:marRight w:val="0"/>
          <w:marTop w:val="0"/>
          <w:marBottom w:val="0"/>
          <w:divBdr>
            <w:top w:val="none" w:sz="0" w:space="0" w:color="auto"/>
            <w:left w:val="none" w:sz="0" w:space="0" w:color="auto"/>
            <w:bottom w:val="none" w:sz="0" w:space="0" w:color="auto"/>
            <w:right w:val="none" w:sz="0" w:space="0" w:color="auto"/>
          </w:divBdr>
        </w:div>
        <w:div w:id="80151027">
          <w:marLeft w:val="0"/>
          <w:marRight w:val="0"/>
          <w:marTop w:val="0"/>
          <w:marBottom w:val="0"/>
          <w:divBdr>
            <w:top w:val="none" w:sz="0" w:space="0" w:color="auto"/>
            <w:left w:val="none" w:sz="0" w:space="0" w:color="auto"/>
            <w:bottom w:val="none" w:sz="0" w:space="0" w:color="auto"/>
            <w:right w:val="none" w:sz="0" w:space="0" w:color="auto"/>
          </w:divBdr>
        </w:div>
        <w:div w:id="1485857975">
          <w:marLeft w:val="0"/>
          <w:marRight w:val="0"/>
          <w:marTop w:val="0"/>
          <w:marBottom w:val="0"/>
          <w:divBdr>
            <w:top w:val="none" w:sz="0" w:space="0" w:color="auto"/>
            <w:left w:val="none" w:sz="0" w:space="0" w:color="auto"/>
            <w:bottom w:val="none" w:sz="0" w:space="0" w:color="auto"/>
            <w:right w:val="none" w:sz="0" w:space="0" w:color="auto"/>
          </w:divBdr>
          <w:divsChild>
            <w:div w:id="1036127048">
              <w:marLeft w:val="0"/>
              <w:marRight w:val="0"/>
              <w:marTop w:val="0"/>
              <w:marBottom w:val="0"/>
              <w:divBdr>
                <w:top w:val="none" w:sz="0" w:space="0" w:color="auto"/>
                <w:left w:val="none" w:sz="0" w:space="0" w:color="auto"/>
                <w:bottom w:val="none" w:sz="0" w:space="0" w:color="auto"/>
                <w:right w:val="none" w:sz="0" w:space="0" w:color="auto"/>
              </w:divBdr>
            </w:div>
            <w:div w:id="1781214995">
              <w:marLeft w:val="0"/>
              <w:marRight w:val="0"/>
              <w:marTop w:val="0"/>
              <w:marBottom w:val="0"/>
              <w:divBdr>
                <w:top w:val="none" w:sz="0" w:space="0" w:color="auto"/>
                <w:left w:val="none" w:sz="0" w:space="0" w:color="auto"/>
                <w:bottom w:val="none" w:sz="0" w:space="0" w:color="auto"/>
                <w:right w:val="none" w:sz="0" w:space="0" w:color="auto"/>
              </w:divBdr>
            </w:div>
            <w:div w:id="332073902">
              <w:marLeft w:val="0"/>
              <w:marRight w:val="0"/>
              <w:marTop w:val="0"/>
              <w:marBottom w:val="0"/>
              <w:divBdr>
                <w:top w:val="none" w:sz="0" w:space="0" w:color="auto"/>
                <w:left w:val="none" w:sz="0" w:space="0" w:color="auto"/>
                <w:bottom w:val="none" w:sz="0" w:space="0" w:color="auto"/>
                <w:right w:val="none" w:sz="0" w:space="0" w:color="auto"/>
              </w:divBdr>
            </w:div>
            <w:div w:id="709065447">
              <w:marLeft w:val="0"/>
              <w:marRight w:val="0"/>
              <w:marTop w:val="0"/>
              <w:marBottom w:val="0"/>
              <w:divBdr>
                <w:top w:val="none" w:sz="0" w:space="0" w:color="auto"/>
                <w:left w:val="none" w:sz="0" w:space="0" w:color="auto"/>
                <w:bottom w:val="none" w:sz="0" w:space="0" w:color="auto"/>
                <w:right w:val="none" w:sz="0" w:space="0" w:color="auto"/>
              </w:divBdr>
            </w:div>
            <w:div w:id="215820970">
              <w:marLeft w:val="0"/>
              <w:marRight w:val="0"/>
              <w:marTop w:val="0"/>
              <w:marBottom w:val="0"/>
              <w:divBdr>
                <w:top w:val="none" w:sz="0" w:space="0" w:color="auto"/>
                <w:left w:val="none" w:sz="0" w:space="0" w:color="auto"/>
                <w:bottom w:val="none" w:sz="0" w:space="0" w:color="auto"/>
                <w:right w:val="none" w:sz="0" w:space="0" w:color="auto"/>
              </w:divBdr>
            </w:div>
          </w:divsChild>
        </w:div>
        <w:div w:id="556627522">
          <w:marLeft w:val="0"/>
          <w:marRight w:val="0"/>
          <w:marTop w:val="0"/>
          <w:marBottom w:val="0"/>
          <w:divBdr>
            <w:top w:val="none" w:sz="0" w:space="0" w:color="auto"/>
            <w:left w:val="none" w:sz="0" w:space="0" w:color="auto"/>
            <w:bottom w:val="none" w:sz="0" w:space="0" w:color="auto"/>
            <w:right w:val="none" w:sz="0" w:space="0" w:color="auto"/>
          </w:divBdr>
          <w:divsChild>
            <w:div w:id="1861041103">
              <w:marLeft w:val="0"/>
              <w:marRight w:val="0"/>
              <w:marTop w:val="0"/>
              <w:marBottom w:val="0"/>
              <w:divBdr>
                <w:top w:val="none" w:sz="0" w:space="0" w:color="auto"/>
                <w:left w:val="none" w:sz="0" w:space="0" w:color="auto"/>
                <w:bottom w:val="none" w:sz="0" w:space="0" w:color="auto"/>
                <w:right w:val="none" w:sz="0" w:space="0" w:color="auto"/>
              </w:divBdr>
            </w:div>
            <w:div w:id="51079863">
              <w:marLeft w:val="0"/>
              <w:marRight w:val="0"/>
              <w:marTop w:val="0"/>
              <w:marBottom w:val="0"/>
              <w:divBdr>
                <w:top w:val="none" w:sz="0" w:space="0" w:color="auto"/>
                <w:left w:val="none" w:sz="0" w:space="0" w:color="auto"/>
                <w:bottom w:val="none" w:sz="0" w:space="0" w:color="auto"/>
                <w:right w:val="none" w:sz="0" w:space="0" w:color="auto"/>
              </w:divBdr>
            </w:div>
            <w:div w:id="141890239">
              <w:marLeft w:val="0"/>
              <w:marRight w:val="0"/>
              <w:marTop w:val="0"/>
              <w:marBottom w:val="0"/>
              <w:divBdr>
                <w:top w:val="none" w:sz="0" w:space="0" w:color="auto"/>
                <w:left w:val="none" w:sz="0" w:space="0" w:color="auto"/>
                <w:bottom w:val="none" w:sz="0" w:space="0" w:color="auto"/>
                <w:right w:val="none" w:sz="0" w:space="0" w:color="auto"/>
              </w:divBdr>
            </w:div>
            <w:div w:id="726101664">
              <w:marLeft w:val="0"/>
              <w:marRight w:val="0"/>
              <w:marTop w:val="0"/>
              <w:marBottom w:val="0"/>
              <w:divBdr>
                <w:top w:val="none" w:sz="0" w:space="0" w:color="auto"/>
                <w:left w:val="none" w:sz="0" w:space="0" w:color="auto"/>
                <w:bottom w:val="none" w:sz="0" w:space="0" w:color="auto"/>
                <w:right w:val="none" w:sz="0" w:space="0" w:color="auto"/>
              </w:divBdr>
            </w:div>
            <w:div w:id="102968507">
              <w:marLeft w:val="0"/>
              <w:marRight w:val="0"/>
              <w:marTop w:val="0"/>
              <w:marBottom w:val="0"/>
              <w:divBdr>
                <w:top w:val="none" w:sz="0" w:space="0" w:color="auto"/>
                <w:left w:val="none" w:sz="0" w:space="0" w:color="auto"/>
                <w:bottom w:val="none" w:sz="0" w:space="0" w:color="auto"/>
                <w:right w:val="none" w:sz="0" w:space="0" w:color="auto"/>
              </w:divBdr>
            </w:div>
          </w:divsChild>
        </w:div>
        <w:div w:id="1761172990">
          <w:marLeft w:val="0"/>
          <w:marRight w:val="0"/>
          <w:marTop w:val="0"/>
          <w:marBottom w:val="0"/>
          <w:divBdr>
            <w:top w:val="none" w:sz="0" w:space="0" w:color="auto"/>
            <w:left w:val="none" w:sz="0" w:space="0" w:color="auto"/>
            <w:bottom w:val="none" w:sz="0" w:space="0" w:color="auto"/>
            <w:right w:val="none" w:sz="0" w:space="0" w:color="auto"/>
          </w:divBdr>
        </w:div>
        <w:div w:id="114762226">
          <w:marLeft w:val="0"/>
          <w:marRight w:val="0"/>
          <w:marTop w:val="0"/>
          <w:marBottom w:val="0"/>
          <w:divBdr>
            <w:top w:val="none" w:sz="0" w:space="0" w:color="auto"/>
            <w:left w:val="none" w:sz="0" w:space="0" w:color="auto"/>
            <w:bottom w:val="none" w:sz="0" w:space="0" w:color="auto"/>
            <w:right w:val="none" w:sz="0" w:space="0" w:color="auto"/>
          </w:divBdr>
        </w:div>
        <w:div w:id="1250000329">
          <w:marLeft w:val="0"/>
          <w:marRight w:val="0"/>
          <w:marTop w:val="0"/>
          <w:marBottom w:val="0"/>
          <w:divBdr>
            <w:top w:val="none" w:sz="0" w:space="0" w:color="auto"/>
            <w:left w:val="none" w:sz="0" w:space="0" w:color="auto"/>
            <w:bottom w:val="none" w:sz="0" w:space="0" w:color="auto"/>
            <w:right w:val="none" w:sz="0" w:space="0" w:color="auto"/>
          </w:divBdr>
        </w:div>
        <w:div w:id="725495412">
          <w:marLeft w:val="0"/>
          <w:marRight w:val="0"/>
          <w:marTop w:val="0"/>
          <w:marBottom w:val="0"/>
          <w:divBdr>
            <w:top w:val="none" w:sz="0" w:space="0" w:color="auto"/>
            <w:left w:val="none" w:sz="0" w:space="0" w:color="auto"/>
            <w:bottom w:val="none" w:sz="0" w:space="0" w:color="auto"/>
            <w:right w:val="none" w:sz="0" w:space="0" w:color="auto"/>
          </w:divBdr>
        </w:div>
        <w:div w:id="905189020">
          <w:marLeft w:val="0"/>
          <w:marRight w:val="0"/>
          <w:marTop w:val="0"/>
          <w:marBottom w:val="0"/>
          <w:divBdr>
            <w:top w:val="none" w:sz="0" w:space="0" w:color="auto"/>
            <w:left w:val="none" w:sz="0" w:space="0" w:color="auto"/>
            <w:bottom w:val="none" w:sz="0" w:space="0" w:color="auto"/>
            <w:right w:val="none" w:sz="0" w:space="0" w:color="auto"/>
          </w:divBdr>
        </w:div>
        <w:div w:id="2089230012">
          <w:marLeft w:val="0"/>
          <w:marRight w:val="0"/>
          <w:marTop w:val="0"/>
          <w:marBottom w:val="0"/>
          <w:divBdr>
            <w:top w:val="none" w:sz="0" w:space="0" w:color="auto"/>
            <w:left w:val="none" w:sz="0" w:space="0" w:color="auto"/>
            <w:bottom w:val="none" w:sz="0" w:space="0" w:color="auto"/>
            <w:right w:val="none" w:sz="0" w:space="0" w:color="auto"/>
          </w:divBdr>
        </w:div>
        <w:div w:id="757557703">
          <w:marLeft w:val="0"/>
          <w:marRight w:val="0"/>
          <w:marTop w:val="0"/>
          <w:marBottom w:val="0"/>
          <w:divBdr>
            <w:top w:val="none" w:sz="0" w:space="0" w:color="auto"/>
            <w:left w:val="none" w:sz="0" w:space="0" w:color="auto"/>
            <w:bottom w:val="none" w:sz="0" w:space="0" w:color="auto"/>
            <w:right w:val="none" w:sz="0" w:space="0" w:color="auto"/>
          </w:divBdr>
        </w:div>
        <w:div w:id="682780599">
          <w:marLeft w:val="0"/>
          <w:marRight w:val="0"/>
          <w:marTop w:val="0"/>
          <w:marBottom w:val="0"/>
          <w:divBdr>
            <w:top w:val="none" w:sz="0" w:space="0" w:color="auto"/>
            <w:left w:val="none" w:sz="0" w:space="0" w:color="auto"/>
            <w:bottom w:val="none" w:sz="0" w:space="0" w:color="auto"/>
            <w:right w:val="none" w:sz="0" w:space="0" w:color="auto"/>
          </w:divBdr>
        </w:div>
        <w:div w:id="2010208088">
          <w:marLeft w:val="0"/>
          <w:marRight w:val="0"/>
          <w:marTop w:val="0"/>
          <w:marBottom w:val="0"/>
          <w:divBdr>
            <w:top w:val="none" w:sz="0" w:space="0" w:color="auto"/>
            <w:left w:val="none" w:sz="0" w:space="0" w:color="auto"/>
            <w:bottom w:val="none" w:sz="0" w:space="0" w:color="auto"/>
            <w:right w:val="none" w:sz="0" w:space="0" w:color="auto"/>
          </w:divBdr>
        </w:div>
        <w:div w:id="1525048331">
          <w:marLeft w:val="0"/>
          <w:marRight w:val="0"/>
          <w:marTop w:val="0"/>
          <w:marBottom w:val="0"/>
          <w:divBdr>
            <w:top w:val="none" w:sz="0" w:space="0" w:color="auto"/>
            <w:left w:val="none" w:sz="0" w:space="0" w:color="auto"/>
            <w:bottom w:val="none" w:sz="0" w:space="0" w:color="auto"/>
            <w:right w:val="none" w:sz="0" w:space="0" w:color="auto"/>
          </w:divBdr>
        </w:div>
        <w:div w:id="422066148">
          <w:marLeft w:val="0"/>
          <w:marRight w:val="0"/>
          <w:marTop w:val="0"/>
          <w:marBottom w:val="0"/>
          <w:divBdr>
            <w:top w:val="none" w:sz="0" w:space="0" w:color="auto"/>
            <w:left w:val="none" w:sz="0" w:space="0" w:color="auto"/>
            <w:bottom w:val="none" w:sz="0" w:space="0" w:color="auto"/>
            <w:right w:val="none" w:sz="0" w:space="0" w:color="auto"/>
          </w:divBdr>
        </w:div>
        <w:div w:id="1215265903">
          <w:marLeft w:val="0"/>
          <w:marRight w:val="0"/>
          <w:marTop w:val="0"/>
          <w:marBottom w:val="0"/>
          <w:divBdr>
            <w:top w:val="none" w:sz="0" w:space="0" w:color="auto"/>
            <w:left w:val="none" w:sz="0" w:space="0" w:color="auto"/>
            <w:bottom w:val="none" w:sz="0" w:space="0" w:color="auto"/>
            <w:right w:val="none" w:sz="0" w:space="0" w:color="auto"/>
          </w:divBdr>
        </w:div>
        <w:div w:id="1231309287">
          <w:marLeft w:val="0"/>
          <w:marRight w:val="0"/>
          <w:marTop w:val="0"/>
          <w:marBottom w:val="0"/>
          <w:divBdr>
            <w:top w:val="none" w:sz="0" w:space="0" w:color="auto"/>
            <w:left w:val="none" w:sz="0" w:space="0" w:color="auto"/>
            <w:bottom w:val="none" w:sz="0" w:space="0" w:color="auto"/>
            <w:right w:val="none" w:sz="0" w:space="0" w:color="auto"/>
          </w:divBdr>
        </w:div>
        <w:div w:id="982389264">
          <w:marLeft w:val="0"/>
          <w:marRight w:val="0"/>
          <w:marTop w:val="0"/>
          <w:marBottom w:val="0"/>
          <w:divBdr>
            <w:top w:val="none" w:sz="0" w:space="0" w:color="auto"/>
            <w:left w:val="none" w:sz="0" w:space="0" w:color="auto"/>
            <w:bottom w:val="none" w:sz="0" w:space="0" w:color="auto"/>
            <w:right w:val="none" w:sz="0" w:space="0" w:color="auto"/>
          </w:divBdr>
        </w:div>
        <w:div w:id="1804500725">
          <w:marLeft w:val="0"/>
          <w:marRight w:val="0"/>
          <w:marTop w:val="0"/>
          <w:marBottom w:val="0"/>
          <w:divBdr>
            <w:top w:val="none" w:sz="0" w:space="0" w:color="auto"/>
            <w:left w:val="none" w:sz="0" w:space="0" w:color="auto"/>
            <w:bottom w:val="none" w:sz="0" w:space="0" w:color="auto"/>
            <w:right w:val="none" w:sz="0" w:space="0" w:color="auto"/>
          </w:divBdr>
        </w:div>
        <w:div w:id="938637026">
          <w:marLeft w:val="0"/>
          <w:marRight w:val="0"/>
          <w:marTop w:val="0"/>
          <w:marBottom w:val="0"/>
          <w:divBdr>
            <w:top w:val="none" w:sz="0" w:space="0" w:color="auto"/>
            <w:left w:val="none" w:sz="0" w:space="0" w:color="auto"/>
            <w:bottom w:val="none" w:sz="0" w:space="0" w:color="auto"/>
            <w:right w:val="none" w:sz="0" w:space="0" w:color="auto"/>
          </w:divBdr>
        </w:div>
        <w:div w:id="1485510595">
          <w:marLeft w:val="0"/>
          <w:marRight w:val="0"/>
          <w:marTop w:val="0"/>
          <w:marBottom w:val="0"/>
          <w:divBdr>
            <w:top w:val="none" w:sz="0" w:space="0" w:color="auto"/>
            <w:left w:val="none" w:sz="0" w:space="0" w:color="auto"/>
            <w:bottom w:val="none" w:sz="0" w:space="0" w:color="auto"/>
            <w:right w:val="none" w:sz="0" w:space="0" w:color="auto"/>
          </w:divBdr>
        </w:div>
        <w:div w:id="699358117">
          <w:marLeft w:val="0"/>
          <w:marRight w:val="0"/>
          <w:marTop w:val="0"/>
          <w:marBottom w:val="0"/>
          <w:divBdr>
            <w:top w:val="none" w:sz="0" w:space="0" w:color="auto"/>
            <w:left w:val="none" w:sz="0" w:space="0" w:color="auto"/>
            <w:bottom w:val="none" w:sz="0" w:space="0" w:color="auto"/>
            <w:right w:val="none" w:sz="0" w:space="0" w:color="auto"/>
          </w:divBdr>
        </w:div>
        <w:div w:id="1972906828">
          <w:marLeft w:val="0"/>
          <w:marRight w:val="0"/>
          <w:marTop w:val="0"/>
          <w:marBottom w:val="0"/>
          <w:divBdr>
            <w:top w:val="none" w:sz="0" w:space="0" w:color="auto"/>
            <w:left w:val="none" w:sz="0" w:space="0" w:color="auto"/>
            <w:bottom w:val="none" w:sz="0" w:space="0" w:color="auto"/>
            <w:right w:val="none" w:sz="0" w:space="0" w:color="auto"/>
          </w:divBdr>
        </w:div>
        <w:div w:id="119496314">
          <w:marLeft w:val="0"/>
          <w:marRight w:val="0"/>
          <w:marTop w:val="0"/>
          <w:marBottom w:val="0"/>
          <w:divBdr>
            <w:top w:val="none" w:sz="0" w:space="0" w:color="auto"/>
            <w:left w:val="none" w:sz="0" w:space="0" w:color="auto"/>
            <w:bottom w:val="none" w:sz="0" w:space="0" w:color="auto"/>
            <w:right w:val="none" w:sz="0" w:space="0" w:color="auto"/>
          </w:divBdr>
        </w:div>
        <w:div w:id="2139646504">
          <w:marLeft w:val="0"/>
          <w:marRight w:val="0"/>
          <w:marTop w:val="0"/>
          <w:marBottom w:val="0"/>
          <w:divBdr>
            <w:top w:val="none" w:sz="0" w:space="0" w:color="auto"/>
            <w:left w:val="none" w:sz="0" w:space="0" w:color="auto"/>
            <w:bottom w:val="none" w:sz="0" w:space="0" w:color="auto"/>
            <w:right w:val="none" w:sz="0" w:space="0" w:color="auto"/>
          </w:divBdr>
        </w:div>
        <w:div w:id="967399974">
          <w:marLeft w:val="0"/>
          <w:marRight w:val="0"/>
          <w:marTop w:val="0"/>
          <w:marBottom w:val="0"/>
          <w:divBdr>
            <w:top w:val="none" w:sz="0" w:space="0" w:color="auto"/>
            <w:left w:val="none" w:sz="0" w:space="0" w:color="auto"/>
            <w:bottom w:val="none" w:sz="0" w:space="0" w:color="auto"/>
            <w:right w:val="none" w:sz="0" w:space="0" w:color="auto"/>
          </w:divBdr>
        </w:div>
        <w:div w:id="294651121">
          <w:marLeft w:val="0"/>
          <w:marRight w:val="0"/>
          <w:marTop w:val="0"/>
          <w:marBottom w:val="0"/>
          <w:divBdr>
            <w:top w:val="none" w:sz="0" w:space="0" w:color="auto"/>
            <w:left w:val="none" w:sz="0" w:space="0" w:color="auto"/>
            <w:bottom w:val="none" w:sz="0" w:space="0" w:color="auto"/>
            <w:right w:val="none" w:sz="0" w:space="0" w:color="auto"/>
          </w:divBdr>
        </w:div>
        <w:div w:id="262878192">
          <w:marLeft w:val="0"/>
          <w:marRight w:val="0"/>
          <w:marTop w:val="0"/>
          <w:marBottom w:val="0"/>
          <w:divBdr>
            <w:top w:val="none" w:sz="0" w:space="0" w:color="auto"/>
            <w:left w:val="none" w:sz="0" w:space="0" w:color="auto"/>
            <w:bottom w:val="none" w:sz="0" w:space="0" w:color="auto"/>
            <w:right w:val="none" w:sz="0" w:space="0" w:color="auto"/>
          </w:divBdr>
        </w:div>
        <w:div w:id="295187997">
          <w:marLeft w:val="0"/>
          <w:marRight w:val="0"/>
          <w:marTop w:val="0"/>
          <w:marBottom w:val="0"/>
          <w:divBdr>
            <w:top w:val="none" w:sz="0" w:space="0" w:color="auto"/>
            <w:left w:val="none" w:sz="0" w:space="0" w:color="auto"/>
            <w:bottom w:val="none" w:sz="0" w:space="0" w:color="auto"/>
            <w:right w:val="none" w:sz="0" w:space="0" w:color="auto"/>
          </w:divBdr>
        </w:div>
        <w:div w:id="544759245">
          <w:marLeft w:val="0"/>
          <w:marRight w:val="0"/>
          <w:marTop w:val="0"/>
          <w:marBottom w:val="0"/>
          <w:divBdr>
            <w:top w:val="none" w:sz="0" w:space="0" w:color="auto"/>
            <w:left w:val="none" w:sz="0" w:space="0" w:color="auto"/>
            <w:bottom w:val="none" w:sz="0" w:space="0" w:color="auto"/>
            <w:right w:val="none" w:sz="0" w:space="0" w:color="auto"/>
          </w:divBdr>
        </w:div>
        <w:div w:id="677389740">
          <w:marLeft w:val="0"/>
          <w:marRight w:val="0"/>
          <w:marTop w:val="0"/>
          <w:marBottom w:val="0"/>
          <w:divBdr>
            <w:top w:val="none" w:sz="0" w:space="0" w:color="auto"/>
            <w:left w:val="none" w:sz="0" w:space="0" w:color="auto"/>
            <w:bottom w:val="none" w:sz="0" w:space="0" w:color="auto"/>
            <w:right w:val="none" w:sz="0" w:space="0" w:color="auto"/>
          </w:divBdr>
        </w:div>
        <w:div w:id="1233345955">
          <w:marLeft w:val="0"/>
          <w:marRight w:val="0"/>
          <w:marTop w:val="0"/>
          <w:marBottom w:val="0"/>
          <w:divBdr>
            <w:top w:val="none" w:sz="0" w:space="0" w:color="auto"/>
            <w:left w:val="none" w:sz="0" w:space="0" w:color="auto"/>
            <w:bottom w:val="none" w:sz="0" w:space="0" w:color="auto"/>
            <w:right w:val="none" w:sz="0" w:space="0" w:color="auto"/>
          </w:divBdr>
        </w:div>
        <w:div w:id="1622344010">
          <w:marLeft w:val="0"/>
          <w:marRight w:val="0"/>
          <w:marTop w:val="0"/>
          <w:marBottom w:val="0"/>
          <w:divBdr>
            <w:top w:val="none" w:sz="0" w:space="0" w:color="auto"/>
            <w:left w:val="none" w:sz="0" w:space="0" w:color="auto"/>
            <w:bottom w:val="none" w:sz="0" w:space="0" w:color="auto"/>
            <w:right w:val="none" w:sz="0" w:space="0" w:color="auto"/>
          </w:divBdr>
        </w:div>
        <w:div w:id="26149976">
          <w:marLeft w:val="0"/>
          <w:marRight w:val="0"/>
          <w:marTop w:val="0"/>
          <w:marBottom w:val="0"/>
          <w:divBdr>
            <w:top w:val="none" w:sz="0" w:space="0" w:color="auto"/>
            <w:left w:val="none" w:sz="0" w:space="0" w:color="auto"/>
            <w:bottom w:val="none" w:sz="0" w:space="0" w:color="auto"/>
            <w:right w:val="none" w:sz="0" w:space="0" w:color="auto"/>
          </w:divBdr>
        </w:div>
        <w:div w:id="771320719">
          <w:marLeft w:val="0"/>
          <w:marRight w:val="0"/>
          <w:marTop w:val="0"/>
          <w:marBottom w:val="0"/>
          <w:divBdr>
            <w:top w:val="none" w:sz="0" w:space="0" w:color="auto"/>
            <w:left w:val="none" w:sz="0" w:space="0" w:color="auto"/>
            <w:bottom w:val="none" w:sz="0" w:space="0" w:color="auto"/>
            <w:right w:val="none" w:sz="0" w:space="0" w:color="auto"/>
          </w:divBdr>
        </w:div>
        <w:div w:id="2112969727">
          <w:marLeft w:val="0"/>
          <w:marRight w:val="0"/>
          <w:marTop w:val="0"/>
          <w:marBottom w:val="0"/>
          <w:divBdr>
            <w:top w:val="none" w:sz="0" w:space="0" w:color="auto"/>
            <w:left w:val="none" w:sz="0" w:space="0" w:color="auto"/>
            <w:bottom w:val="none" w:sz="0" w:space="0" w:color="auto"/>
            <w:right w:val="none" w:sz="0" w:space="0" w:color="auto"/>
          </w:divBdr>
        </w:div>
        <w:div w:id="1506436641">
          <w:marLeft w:val="0"/>
          <w:marRight w:val="0"/>
          <w:marTop w:val="0"/>
          <w:marBottom w:val="0"/>
          <w:divBdr>
            <w:top w:val="none" w:sz="0" w:space="0" w:color="auto"/>
            <w:left w:val="none" w:sz="0" w:space="0" w:color="auto"/>
            <w:bottom w:val="none" w:sz="0" w:space="0" w:color="auto"/>
            <w:right w:val="none" w:sz="0" w:space="0" w:color="auto"/>
          </w:divBdr>
        </w:div>
        <w:div w:id="633608989">
          <w:marLeft w:val="0"/>
          <w:marRight w:val="0"/>
          <w:marTop w:val="0"/>
          <w:marBottom w:val="0"/>
          <w:divBdr>
            <w:top w:val="none" w:sz="0" w:space="0" w:color="auto"/>
            <w:left w:val="none" w:sz="0" w:space="0" w:color="auto"/>
            <w:bottom w:val="none" w:sz="0" w:space="0" w:color="auto"/>
            <w:right w:val="none" w:sz="0" w:space="0" w:color="auto"/>
          </w:divBdr>
        </w:div>
        <w:div w:id="715858032">
          <w:marLeft w:val="0"/>
          <w:marRight w:val="0"/>
          <w:marTop w:val="0"/>
          <w:marBottom w:val="0"/>
          <w:divBdr>
            <w:top w:val="none" w:sz="0" w:space="0" w:color="auto"/>
            <w:left w:val="none" w:sz="0" w:space="0" w:color="auto"/>
            <w:bottom w:val="none" w:sz="0" w:space="0" w:color="auto"/>
            <w:right w:val="none" w:sz="0" w:space="0" w:color="auto"/>
          </w:divBdr>
        </w:div>
        <w:div w:id="1917737786">
          <w:marLeft w:val="0"/>
          <w:marRight w:val="0"/>
          <w:marTop w:val="0"/>
          <w:marBottom w:val="0"/>
          <w:divBdr>
            <w:top w:val="none" w:sz="0" w:space="0" w:color="auto"/>
            <w:left w:val="none" w:sz="0" w:space="0" w:color="auto"/>
            <w:bottom w:val="none" w:sz="0" w:space="0" w:color="auto"/>
            <w:right w:val="none" w:sz="0" w:space="0" w:color="auto"/>
          </w:divBdr>
        </w:div>
        <w:div w:id="1546409880">
          <w:marLeft w:val="0"/>
          <w:marRight w:val="0"/>
          <w:marTop w:val="0"/>
          <w:marBottom w:val="0"/>
          <w:divBdr>
            <w:top w:val="none" w:sz="0" w:space="0" w:color="auto"/>
            <w:left w:val="none" w:sz="0" w:space="0" w:color="auto"/>
            <w:bottom w:val="none" w:sz="0" w:space="0" w:color="auto"/>
            <w:right w:val="none" w:sz="0" w:space="0" w:color="auto"/>
          </w:divBdr>
        </w:div>
        <w:div w:id="131485158">
          <w:marLeft w:val="0"/>
          <w:marRight w:val="0"/>
          <w:marTop w:val="0"/>
          <w:marBottom w:val="0"/>
          <w:divBdr>
            <w:top w:val="none" w:sz="0" w:space="0" w:color="auto"/>
            <w:left w:val="none" w:sz="0" w:space="0" w:color="auto"/>
            <w:bottom w:val="none" w:sz="0" w:space="0" w:color="auto"/>
            <w:right w:val="none" w:sz="0" w:space="0" w:color="auto"/>
          </w:divBdr>
        </w:div>
        <w:div w:id="227502098">
          <w:marLeft w:val="0"/>
          <w:marRight w:val="0"/>
          <w:marTop w:val="0"/>
          <w:marBottom w:val="0"/>
          <w:divBdr>
            <w:top w:val="none" w:sz="0" w:space="0" w:color="auto"/>
            <w:left w:val="none" w:sz="0" w:space="0" w:color="auto"/>
            <w:bottom w:val="none" w:sz="0" w:space="0" w:color="auto"/>
            <w:right w:val="none" w:sz="0" w:space="0" w:color="auto"/>
          </w:divBdr>
        </w:div>
        <w:div w:id="299386715">
          <w:marLeft w:val="0"/>
          <w:marRight w:val="0"/>
          <w:marTop w:val="0"/>
          <w:marBottom w:val="0"/>
          <w:divBdr>
            <w:top w:val="none" w:sz="0" w:space="0" w:color="auto"/>
            <w:left w:val="none" w:sz="0" w:space="0" w:color="auto"/>
            <w:bottom w:val="none" w:sz="0" w:space="0" w:color="auto"/>
            <w:right w:val="none" w:sz="0" w:space="0" w:color="auto"/>
          </w:divBdr>
        </w:div>
        <w:div w:id="226847620">
          <w:marLeft w:val="0"/>
          <w:marRight w:val="0"/>
          <w:marTop w:val="0"/>
          <w:marBottom w:val="0"/>
          <w:divBdr>
            <w:top w:val="none" w:sz="0" w:space="0" w:color="auto"/>
            <w:left w:val="none" w:sz="0" w:space="0" w:color="auto"/>
            <w:bottom w:val="none" w:sz="0" w:space="0" w:color="auto"/>
            <w:right w:val="none" w:sz="0" w:space="0" w:color="auto"/>
          </w:divBdr>
        </w:div>
        <w:div w:id="1501696868">
          <w:marLeft w:val="0"/>
          <w:marRight w:val="0"/>
          <w:marTop w:val="0"/>
          <w:marBottom w:val="0"/>
          <w:divBdr>
            <w:top w:val="none" w:sz="0" w:space="0" w:color="auto"/>
            <w:left w:val="none" w:sz="0" w:space="0" w:color="auto"/>
            <w:bottom w:val="none" w:sz="0" w:space="0" w:color="auto"/>
            <w:right w:val="none" w:sz="0" w:space="0" w:color="auto"/>
          </w:divBdr>
        </w:div>
        <w:div w:id="1955866771">
          <w:marLeft w:val="0"/>
          <w:marRight w:val="0"/>
          <w:marTop w:val="0"/>
          <w:marBottom w:val="0"/>
          <w:divBdr>
            <w:top w:val="none" w:sz="0" w:space="0" w:color="auto"/>
            <w:left w:val="none" w:sz="0" w:space="0" w:color="auto"/>
            <w:bottom w:val="none" w:sz="0" w:space="0" w:color="auto"/>
            <w:right w:val="none" w:sz="0" w:space="0" w:color="auto"/>
          </w:divBdr>
        </w:div>
        <w:div w:id="597375046">
          <w:marLeft w:val="0"/>
          <w:marRight w:val="0"/>
          <w:marTop w:val="0"/>
          <w:marBottom w:val="0"/>
          <w:divBdr>
            <w:top w:val="none" w:sz="0" w:space="0" w:color="auto"/>
            <w:left w:val="none" w:sz="0" w:space="0" w:color="auto"/>
            <w:bottom w:val="none" w:sz="0" w:space="0" w:color="auto"/>
            <w:right w:val="none" w:sz="0" w:space="0" w:color="auto"/>
          </w:divBdr>
        </w:div>
        <w:div w:id="2084595534">
          <w:marLeft w:val="0"/>
          <w:marRight w:val="0"/>
          <w:marTop w:val="0"/>
          <w:marBottom w:val="0"/>
          <w:divBdr>
            <w:top w:val="none" w:sz="0" w:space="0" w:color="auto"/>
            <w:left w:val="none" w:sz="0" w:space="0" w:color="auto"/>
            <w:bottom w:val="none" w:sz="0" w:space="0" w:color="auto"/>
            <w:right w:val="none" w:sz="0" w:space="0" w:color="auto"/>
          </w:divBdr>
        </w:div>
        <w:div w:id="973025041">
          <w:marLeft w:val="0"/>
          <w:marRight w:val="0"/>
          <w:marTop w:val="0"/>
          <w:marBottom w:val="0"/>
          <w:divBdr>
            <w:top w:val="none" w:sz="0" w:space="0" w:color="auto"/>
            <w:left w:val="none" w:sz="0" w:space="0" w:color="auto"/>
            <w:bottom w:val="none" w:sz="0" w:space="0" w:color="auto"/>
            <w:right w:val="none" w:sz="0" w:space="0" w:color="auto"/>
          </w:divBdr>
        </w:div>
        <w:div w:id="639966187">
          <w:marLeft w:val="0"/>
          <w:marRight w:val="0"/>
          <w:marTop w:val="0"/>
          <w:marBottom w:val="0"/>
          <w:divBdr>
            <w:top w:val="none" w:sz="0" w:space="0" w:color="auto"/>
            <w:left w:val="none" w:sz="0" w:space="0" w:color="auto"/>
            <w:bottom w:val="none" w:sz="0" w:space="0" w:color="auto"/>
            <w:right w:val="none" w:sz="0" w:space="0" w:color="auto"/>
          </w:divBdr>
        </w:div>
        <w:div w:id="194512793">
          <w:marLeft w:val="0"/>
          <w:marRight w:val="0"/>
          <w:marTop w:val="0"/>
          <w:marBottom w:val="0"/>
          <w:divBdr>
            <w:top w:val="none" w:sz="0" w:space="0" w:color="auto"/>
            <w:left w:val="none" w:sz="0" w:space="0" w:color="auto"/>
            <w:bottom w:val="none" w:sz="0" w:space="0" w:color="auto"/>
            <w:right w:val="none" w:sz="0" w:space="0" w:color="auto"/>
          </w:divBdr>
        </w:div>
        <w:div w:id="168713706">
          <w:marLeft w:val="0"/>
          <w:marRight w:val="0"/>
          <w:marTop w:val="0"/>
          <w:marBottom w:val="0"/>
          <w:divBdr>
            <w:top w:val="none" w:sz="0" w:space="0" w:color="auto"/>
            <w:left w:val="none" w:sz="0" w:space="0" w:color="auto"/>
            <w:bottom w:val="none" w:sz="0" w:space="0" w:color="auto"/>
            <w:right w:val="none" w:sz="0" w:space="0" w:color="auto"/>
          </w:divBdr>
        </w:div>
        <w:div w:id="2062629679">
          <w:marLeft w:val="0"/>
          <w:marRight w:val="0"/>
          <w:marTop w:val="0"/>
          <w:marBottom w:val="0"/>
          <w:divBdr>
            <w:top w:val="none" w:sz="0" w:space="0" w:color="auto"/>
            <w:left w:val="none" w:sz="0" w:space="0" w:color="auto"/>
            <w:bottom w:val="none" w:sz="0" w:space="0" w:color="auto"/>
            <w:right w:val="none" w:sz="0" w:space="0" w:color="auto"/>
          </w:divBdr>
        </w:div>
        <w:div w:id="82992394">
          <w:marLeft w:val="0"/>
          <w:marRight w:val="0"/>
          <w:marTop w:val="0"/>
          <w:marBottom w:val="0"/>
          <w:divBdr>
            <w:top w:val="none" w:sz="0" w:space="0" w:color="auto"/>
            <w:left w:val="none" w:sz="0" w:space="0" w:color="auto"/>
            <w:bottom w:val="none" w:sz="0" w:space="0" w:color="auto"/>
            <w:right w:val="none" w:sz="0" w:space="0" w:color="auto"/>
          </w:divBdr>
        </w:div>
        <w:div w:id="1821772520">
          <w:marLeft w:val="0"/>
          <w:marRight w:val="0"/>
          <w:marTop w:val="0"/>
          <w:marBottom w:val="0"/>
          <w:divBdr>
            <w:top w:val="none" w:sz="0" w:space="0" w:color="auto"/>
            <w:left w:val="none" w:sz="0" w:space="0" w:color="auto"/>
            <w:bottom w:val="none" w:sz="0" w:space="0" w:color="auto"/>
            <w:right w:val="none" w:sz="0" w:space="0" w:color="auto"/>
          </w:divBdr>
        </w:div>
        <w:div w:id="1679886776">
          <w:marLeft w:val="0"/>
          <w:marRight w:val="0"/>
          <w:marTop w:val="0"/>
          <w:marBottom w:val="0"/>
          <w:divBdr>
            <w:top w:val="none" w:sz="0" w:space="0" w:color="auto"/>
            <w:left w:val="none" w:sz="0" w:space="0" w:color="auto"/>
            <w:bottom w:val="none" w:sz="0" w:space="0" w:color="auto"/>
            <w:right w:val="none" w:sz="0" w:space="0" w:color="auto"/>
          </w:divBdr>
        </w:div>
        <w:div w:id="1814060353">
          <w:marLeft w:val="0"/>
          <w:marRight w:val="0"/>
          <w:marTop w:val="0"/>
          <w:marBottom w:val="0"/>
          <w:divBdr>
            <w:top w:val="none" w:sz="0" w:space="0" w:color="auto"/>
            <w:left w:val="none" w:sz="0" w:space="0" w:color="auto"/>
            <w:bottom w:val="none" w:sz="0" w:space="0" w:color="auto"/>
            <w:right w:val="none" w:sz="0" w:space="0" w:color="auto"/>
          </w:divBdr>
        </w:div>
        <w:div w:id="807551620">
          <w:marLeft w:val="0"/>
          <w:marRight w:val="0"/>
          <w:marTop w:val="0"/>
          <w:marBottom w:val="0"/>
          <w:divBdr>
            <w:top w:val="none" w:sz="0" w:space="0" w:color="auto"/>
            <w:left w:val="none" w:sz="0" w:space="0" w:color="auto"/>
            <w:bottom w:val="none" w:sz="0" w:space="0" w:color="auto"/>
            <w:right w:val="none" w:sz="0" w:space="0" w:color="auto"/>
          </w:divBdr>
        </w:div>
        <w:div w:id="1641616682">
          <w:marLeft w:val="0"/>
          <w:marRight w:val="0"/>
          <w:marTop w:val="0"/>
          <w:marBottom w:val="0"/>
          <w:divBdr>
            <w:top w:val="none" w:sz="0" w:space="0" w:color="auto"/>
            <w:left w:val="none" w:sz="0" w:space="0" w:color="auto"/>
            <w:bottom w:val="none" w:sz="0" w:space="0" w:color="auto"/>
            <w:right w:val="none" w:sz="0" w:space="0" w:color="auto"/>
          </w:divBdr>
        </w:div>
        <w:div w:id="2010404424">
          <w:marLeft w:val="0"/>
          <w:marRight w:val="0"/>
          <w:marTop w:val="0"/>
          <w:marBottom w:val="0"/>
          <w:divBdr>
            <w:top w:val="none" w:sz="0" w:space="0" w:color="auto"/>
            <w:left w:val="none" w:sz="0" w:space="0" w:color="auto"/>
            <w:bottom w:val="none" w:sz="0" w:space="0" w:color="auto"/>
            <w:right w:val="none" w:sz="0" w:space="0" w:color="auto"/>
          </w:divBdr>
        </w:div>
        <w:div w:id="956260147">
          <w:marLeft w:val="0"/>
          <w:marRight w:val="0"/>
          <w:marTop w:val="0"/>
          <w:marBottom w:val="0"/>
          <w:divBdr>
            <w:top w:val="none" w:sz="0" w:space="0" w:color="auto"/>
            <w:left w:val="none" w:sz="0" w:space="0" w:color="auto"/>
            <w:bottom w:val="none" w:sz="0" w:space="0" w:color="auto"/>
            <w:right w:val="none" w:sz="0" w:space="0" w:color="auto"/>
          </w:divBdr>
        </w:div>
        <w:div w:id="1505314671">
          <w:marLeft w:val="0"/>
          <w:marRight w:val="0"/>
          <w:marTop w:val="0"/>
          <w:marBottom w:val="0"/>
          <w:divBdr>
            <w:top w:val="none" w:sz="0" w:space="0" w:color="auto"/>
            <w:left w:val="none" w:sz="0" w:space="0" w:color="auto"/>
            <w:bottom w:val="none" w:sz="0" w:space="0" w:color="auto"/>
            <w:right w:val="none" w:sz="0" w:space="0" w:color="auto"/>
          </w:divBdr>
        </w:div>
        <w:div w:id="451290330">
          <w:marLeft w:val="0"/>
          <w:marRight w:val="0"/>
          <w:marTop w:val="0"/>
          <w:marBottom w:val="0"/>
          <w:divBdr>
            <w:top w:val="none" w:sz="0" w:space="0" w:color="auto"/>
            <w:left w:val="none" w:sz="0" w:space="0" w:color="auto"/>
            <w:bottom w:val="none" w:sz="0" w:space="0" w:color="auto"/>
            <w:right w:val="none" w:sz="0" w:space="0" w:color="auto"/>
          </w:divBdr>
        </w:div>
        <w:div w:id="1509061539">
          <w:marLeft w:val="0"/>
          <w:marRight w:val="0"/>
          <w:marTop w:val="0"/>
          <w:marBottom w:val="0"/>
          <w:divBdr>
            <w:top w:val="none" w:sz="0" w:space="0" w:color="auto"/>
            <w:left w:val="none" w:sz="0" w:space="0" w:color="auto"/>
            <w:bottom w:val="none" w:sz="0" w:space="0" w:color="auto"/>
            <w:right w:val="none" w:sz="0" w:space="0" w:color="auto"/>
          </w:divBdr>
        </w:div>
        <w:div w:id="1908877521">
          <w:marLeft w:val="0"/>
          <w:marRight w:val="0"/>
          <w:marTop w:val="0"/>
          <w:marBottom w:val="0"/>
          <w:divBdr>
            <w:top w:val="none" w:sz="0" w:space="0" w:color="auto"/>
            <w:left w:val="none" w:sz="0" w:space="0" w:color="auto"/>
            <w:bottom w:val="none" w:sz="0" w:space="0" w:color="auto"/>
            <w:right w:val="none" w:sz="0" w:space="0" w:color="auto"/>
          </w:divBdr>
        </w:div>
        <w:div w:id="1546599136">
          <w:marLeft w:val="0"/>
          <w:marRight w:val="0"/>
          <w:marTop w:val="0"/>
          <w:marBottom w:val="0"/>
          <w:divBdr>
            <w:top w:val="none" w:sz="0" w:space="0" w:color="auto"/>
            <w:left w:val="none" w:sz="0" w:space="0" w:color="auto"/>
            <w:bottom w:val="none" w:sz="0" w:space="0" w:color="auto"/>
            <w:right w:val="none" w:sz="0" w:space="0" w:color="auto"/>
          </w:divBdr>
        </w:div>
        <w:div w:id="836043335">
          <w:marLeft w:val="0"/>
          <w:marRight w:val="0"/>
          <w:marTop w:val="0"/>
          <w:marBottom w:val="0"/>
          <w:divBdr>
            <w:top w:val="none" w:sz="0" w:space="0" w:color="auto"/>
            <w:left w:val="none" w:sz="0" w:space="0" w:color="auto"/>
            <w:bottom w:val="none" w:sz="0" w:space="0" w:color="auto"/>
            <w:right w:val="none" w:sz="0" w:space="0" w:color="auto"/>
          </w:divBdr>
        </w:div>
        <w:div w:id="1939869792">
          <w:marLeft w:val="0"/>
          <w:marRight w:val="0"/>
          <w:marTop w:val="0"/>
          <w:marBottom w:val="0"/>
          <w:divBdr>
            <w:top w:val="none" w:sz="0" w:space="0" w:color="auto"/>
            <w:left w:val="none" w:sz="0" w:space="0" w:color="auto"/>
            <w:bottom w:val="none" w:sz="0" w:space="0" w:color="auto"/>
            <w:right w:val="none" w:sz="0" w:space="0" w:color="auto"/>
          </w:divBdr>
        </w:div>
        <w:div w:id="1110511265">
          <w:marLeft w:val="0"/>
          <w:marRight w:val="0"/>
          <w:marTop w:val="0"/>
          <w:marBottom w:val="0"/>
          <w:divBdr>
            <w:top w:val="none" w:sz="0" w:space="0" w:color="auto"/>
            <w:left w:val="none" w:sz="0" w:space="0" w:color="auto"/>
            <w:bottom w:val="none" w:sz="0" w:space="0" w:color="auto"/>
            <w:right w:val="none" w:sz="0" w:space="0" w:color="auto"/>
          </w:divBdr>
        </w:div>
        <w:div w:id="1196232050">
          <w:marLeft w:val="0"/>
          <w:marRight w:val="0"/>
          <w:marTop w:val="0"/>
          <w:marBottom w:val="0"/>
          <w:divBdr>
            <w:top w:val="none" w:sz="0" w:space="0" w:color="auto"/>
            <w:left w:val="none" w:sz="0" w:space="0" w:color="auto"/>
            <w:bottom w:val="none" w:sz="0" w:space="0" w:color="auto"/>
            <w:right w:val="none" w:sz="0" w:space="0" w:color="auto"/>
          </w:divBdr>
        </w:div>
        <w:div w:id="1526673770">
          <w:marLeft w:val="0"/>
          <w:marRight w:val="0"/>
          <w:marTop w:val="0"/>
          <w:marBottom w:val="0"/>
          <w:divBdr>
            <w:top w:val="none" w:sz="0" w:space="0" w:color="auto"/>
            <w:left w:val="none" w:sz="0" w:space="0" w:color="auto"/>
            <w:bottom w:val="none" w:sz="0" w:space="0" w:color="auto"/>
            <w:right w:val="none" w:sz="0" w:space="0" w:color="auto"/>
          </w:divBdr>
        </w:div>
        <w:div w:id="1181508933">
          <w:marLeft w:val="0"/>
          <w:marRight w:val="0"/>
          <w:marTop w:val="0"/>
          <w:marBottom w:val="0"/>
          <w:divBdr>
            <w:top w:val="none" w:sz="0" w:space="0" w:color="auto"/>
            <w:left w:val="none" w:sz="0" w:space="0" w:color="auto"/>
            <w:bottom w:val="none" w:sz="0" w:space="0" w:color="auto"/>
            <w:right w:val="none" w:sz="0" w:space="0" w:color="auto"/>
          </w:divBdr>
        </w:div>
        <w:div w:id="858159224">
          <w:marLeft w:val="0"/>
          <w:marRight w:val="0"/>
          <w:marTop w:val="0"/>
          <w:marBottom w:val="0"/>
          <w:divBdr>
            <w:top w:val="none" w:sz="0" w:space="0" w:color="auto"/>
            <w:left w:val="none" w:sz="0" w:space="0" w:color="auto"/>
            <w:bottom w:val="none" w:sz="0" w:space="0" w:color="auto"/>
            <w:right w:val="none" w:sz="0" w:space="0" w:color="auto"/>
          </w:divBdr>
        </w:div>
        <w:div w:id="931085885">
          <w:marLeft w:val="0"/>
          <w:marRight w:val="0"/>
          <w:marTop w:val="0"/>
          <w:marBottom w:val="0"/>
          <w:divBdr>
            <w:top w:val="none" w:sz="0" w:space="0" w:color="auto"/>
            <w:left w:val="none" w:sz="0" w:space="0" w:color="auto"/>
            <w:bottom w:val="none" w:sz="0" w:space="0" w:color="auto"/>
            <w:right w:val="none" w:sz="0" w:space="0" w:color="auto"/>
          </w:divBdr>
        </w:div>
        <w:div w:id="881745031">
          <w:marLeft w:val="0"/>
          <w:marRight w:val="0"/>
          <w:marTop w:val="0"/>
          <w:marBottom w:val="0"/>
          <w:divBdr>
            <w:top w:val="none" w:sz="0" w:space="0" w:color="auto"/>
            <w:left w:val="none" w:sz="0" w:space="0" w:color="auto"/>
            <w:bottom w:val="none" w:sz="0" w:space="0" w:color="auto"/>
            <w:right w:val="none" w:sz="0" w:space="0" w:color="auto"/>
          </w:divBdr>
        </w:div>
        <w:div w:id="1042558695">
          <w:marLeft w:val="0"/>
          <w:marRight w:val="0"/>
          <w:marTop w:val="0"/>
          <w:marBottom w:val="0"/>
          <w:divBdr>
            <w:top w:val="none" w:sz="0" w:space="0" w:color="auto"/>
            <w:left w:val="none" w:sz="0" w:space="0" w:color="auto"/>
            <w:bottom w:val="none" w:sz="0" w:space="0" w:color="auto"/>
            <w:right w:val="none" w:sz="0" w:space="0" w:color="auto"/>
          </w:divBdr>
        </w:div>
        <w:div w:id="1772046864">
          <w:marLeft w:val="0"/>
          <w:marRight w:val="0"/>
          <w:marTop w:val="0"/>
          <w:marBottom w:val="0"/>
          <w:divBdr>
            <w:top w:val="none" w:sz="0" w:space="0" w:color="auto"/>
            <w:left w:val="none" w:sz="0" w:space="0" w:color="auto"/>
            <w:bottom w:val="none" w:sz="0" w:space="0" w:color="auto"/>
            <w:right w:val="none" w:sz="0" w:space="0" w:color="auto"/>
          </w:divBdr>
        </w:div>
        <w:div w:id="1777477454">
          <w:marLeft w:val="0"/>
          <w:marRight w:val="0"/>
          <w:marTop w:val="0"/>
          <w:marBottom w:val="0"/>
          <w:divBdr>
            <w:top w:val="none" w:sz="0" w:space="0" w:color="auto"/>
            <w:left w:val="none" w:sz="0" w:space="0" w:color="auto"/>
            <w:bottom w:val="none" w:sz="0" w:space="0" w:color="auto"/>
            <w:right w:val="none" w:sz="0" w:space="0" w:color="auto"/>
          </w:divBdr>
        </w:div>
        <w:div w:id="1772774456">
          <w:marLeft w:val="0"/>
          <w:marRight w:val="0"/>
          <w:marTop w:val="0"/>
          <w:marBottom w:val="0"/>
          <w:divBdr>
            <w:top w:val="none" w:sz="0" w:space="0" w:color="auto"/>
            <w:left w:val="none" w:sz="0" w:space="0" w:color="auto"/>
            <w:bottom w:val="none" w:sz="0" w:space="0" w:color="auto"/>
            <w:right w:val="none" w:sz="0" w:space="0" w:color="auto"/>
          </w:divBdr>
        </w:div>
        <w:div w:id="1332491107">
          <w:marLeft w:val="0"/>
          <w:marRight w:val="0"/>
          <w:marTop w:val="0"/>
          <w:marBottom w:val="0"/>
          <w:divBdr>
            <w:top w:val="none" w:sz="0" w:space="0" w:color="auto"/>
            <w:left w:val="none" w:sz="0" w:space="0" w:color="auto"/>
            <w:bottom w:val="none" w:sz="0" w:space="0" w:color="auto"/>
            <w:right w:val="none" w:sz="0" w:space="0" w:color="auto"/>
          </w:divBdr>
        </w:div>
        <w:div w:id="1943371261">
          <w:marLeft w:val="0"/>
          <w:marRight w:val="0"/>
          <w:marTop w:val="0"/>
          <w:marBottom w:val="0"/>
          <w:divBdr>
            <w:top w:val="none" w:sz="0" w:space="0" w:color="auto"/>
            <w:left w:val="none" w:sz="0" w:space="0" w:color="auto"/>
            <w:bottom w:val="none" w:sz="0" w:space="0" w:color="auto"/>
            <w:right w:val="none" w:sz="0" w:space="0" w:color="auto"/>
          </w:divBdr>
        </w:div>
        <w:div w:id="1905338831">
          <w:marLeft w:val="0"/>
          <w:marRight w:val="0"/>
          <w:marTop w:val="0"/>
          <w:marBottom w:val="0"/>
          <w:divBdr>
            <w:top w:val="none" w:sz="0" w:space="0" w:color="auto"/>
            <w:left w:val="none" w:sz="0" w:space="0" w:color="auto"/>
            <w:bottom w:val="none" w:sz="0" w:space="0" w:color="auto"/>
            <w:right w:val="none" w:sz="0" w:space="0" w:color="auto"/>
          </w:divBdr>
        </w:div>
        <w:div w:id="134033093">
          <w:marLeft w:val="0"/>
          <w:marRight w:val="0"/>
          <w:marTop w:val="0"/>
          <w:marBottom w:val="0"/>
          <w:divBdr>
            <w:top w:val="none" w:sz="0" w:space="0" w:color="auto"/>
            <w:left w:val="none" w:sz="0" w:space="0" w:color="auto"/>
            <w:bottom w:val="none" w:sz="0" w:space="0" w:color="auto"/>
            <w:right w:val="none" w:sz="0" w:space="0" w:color="auto"/>
          </w:divBdr>
        </w:div>
        <w:div w:id="1487935535">
          <w:marLeft w:val="0"/>
          <w:marRight w:val="0"/>
          <w:marTop w:val="0"/>
          <w:marBottom w:val="0"/>
          <w:divBdr>
            <w:top w:val="none" w:sz="0" w:space="0" w:color="auto"/>
            <w:left w:val="none" w:sz="0" w:space="0" w:color="auto"/>
            <w:bottom w:val="none" w:sz="0" w:space="0" w:color="auto"/>
            <w:right w:val="none" w:sz="0" w:space="0" w:color="auto"/>
          </w:divBdr>
        </w:div>
        <w:div w:id="1361515954">
          <w:marLeft w:val="0"/>
          <w:marRight w:val="0"/>
          <w:marTop w:val="0"/>
          <w:marBottom w:val="0"/>
          <w:divBdr>
            <w:top w:val="none" w:sz="0" w:space="0" w:color="auto"/>
            <w:left w:val="none" w:sz="0" w:space="0" w:color="auto"/>
            <w:bottom w:val="none" w:sz="0" w:space="0" w:color="auto"/>
            <w:right w:val="none" w:sz="0" w:space="0" w:color="auto"/>
          </w:divBdr>
        </w:div>
        <w:div w:id="1426850260">
          <w:marLeft w:val="0"/>
          <w:marRight w:val="0"/>
          <w:marTop w:val="0"/>
          <w:marBottom w:val="0"/>
          <w:divBdr>
            <w:top w:val="none" w:sz="0" w:space="0" w:color="auto"/>
            <w:left w:val="none" w:sz="0" w:space="0" w:color="auto"/>
            <w:bottom w:val="none" w:sz="0" w:space="0" w:color="auto"/>
            <w:right w:val="none" w:sz="0" w:space="0" w:color="auto"/>
          </w:divBdr>
        </w:div>
        <w:div w:id="648676110">
          <w:marLeft w:val="0"/>
          <w:marRight w:val="0"/>
          <w:marTop w:val="0"/>
          <w:marBottom w:val="0"/>
          <w:divBdr>
            <w:top w:val="none" w:sz="0" w:space="0" w:color="auto"/>
            <w:left w:val="none" w:sz="0" w:space="0" w:color="auto"/>
            <w:bottom w:val="none" w:sz="0" w:space="0" w:color="auto"/>
            <w:right w:val="none" w:sz="0" w:space="0" w:color="auto"/>
          </w:divBdr>
        </w:div>
        <w:div w:id="935748320">
          <w:marLeft w:val="0"/>
          <w:marRight w:val="0"/>
          <w:marTop w:val="0"/>
          <w:marBottom w:val="0"/>
          <w:divBdr>
            <w:top w:val="none" w:sz="0" w:space="0" w:color="auto"/>
            <w:left w:val="none" w:sz="0" w:space="0" w:color="auto"/>
            <w:bottom w:val="none" w:sz="0" w:space="0" w:color="auto"/>
            <w:right w:val="none" w:sz="0" w:space="0" w:color="auto"/>
          </w:divBdr>
        </w:div>
        <w:div w:id="1192263270">
          <w:marLeft w:val="0"/>
          <w:marRight w:val="0"/>
          <w:marTop w:val="0"/>
          <w:marBottom w:val="0"/>
          <w:divBdr>
            <w:top w:val="none" w:sz="0" w:space="0" w:color="auto"/>
            <w:left w:val="none" w:sz="0" w:space="0" w:color="auto"/>
            <w:bottom w:val="none" w:sz="0" w:space="0" w:color="auto"/>
            <w:right w:val="none" w:sz="0" w:space="0" w:color="auto"/>
          </w:divBdr>
        </w:div>
        <w:div w:id="1029449518">
          <w:marLeft w:val="0"/>
          <w:marRight w:val="0"/>
          <w:marTop w:val="0"/>
          <w:marBottom w:val="0"/>
          <w:divBdr>
            <w:top w:val="none" w:sz="0" w:space="0" w:color="auto"/>
            <w:left w:val="none" w:sz="0" w:space="0" w:color="auto"/>
            <w:bottom w:val="none" w:sz="0" w:space="0" w:color="auto"/>
            <w:right w:val="none" w:sz="0" w:space="0" w:color="auto"/>
          </w:divBdr>
        </w:div>
        <w:div w:id="894780310">
          <w:marLeft w:val="0"/>
          <w:marRight w:val="0"/>
          <w:marTop w:val="0"/>
          <w:marBottom w:val="0"/>
          <w:divBdr>
            <w:top w:val="none" w:sz="0" w:space="0" w:color="auto"/>
            <w:left w:val="none" w:sz="0" w:space="0" w:color="auto"/>
            <w:bottom w:val="none" w:sz="0" w:space="0" w:color="auto"/>
            <w:right w:val="none" w:sz="0" w:space="0" w:color="auto"/>
          </w:divBdr>
        </w:div>
        <w:div w:id="11687080">
          <w:marLeft w:val="0"/>
          <w:marRight w:val="0"/>
          <w:marTop w:val="0"/>
          <w:marBottom w:val="0"/>
          <w:divBdr>
            <w:top w:val="none" w:sz="0" w:space="0" w:color="auto"/>
            <w:left w:val="none" w:sz="0" w:space="0" w:color="auto"/>
            <w:bottom w:val="none" w:sz="0" w:space="0" w:color="auto"/>
            <w:right w:val="none" w:sz="0" w:space="0" w:color="auto"/>
          </w:divBdr>
        </w:div>
        <w:div w:id="1112823030">
          <w:marLeft w:val="0"/>
          <w:marRight w:val="0"/>
          <w:marTop w:val="0"/>
          <w:marBottom w:val="0"/>
          <w:divBdr>
            <w:top w:val="none" w:sz="0" w:space="0" w:color="auto"/>
            <w:left w:val="none" w:sz="0" w:space="0" w:color="auto"/>
            <w:bottom w:val="none" w:sz="0" w:space="0" w:color="auto"/>
            <w:right w:val="none" w:sz="0" w:space="0" w:color="auto"/>
          </w:divBdr>
        </w:div>
        <w:div w:id="249194297">
          <w:marLeft w:val="0"/>
          <w:marRight w:val="0"/>
          <w:marTop w:val="0"/>
          <w:marBottom w:val="0"/>
          <w:divBdr>
            <w:top w:val="none" w:sz="0" w:space="0" w:color="auto"/>
            <w:left w:val="none" w:sz="0" w:space="0" w:color="auto"/>
            <w:bottom w:val="none" w:sz="0" w:space="0" w:color="auto"/>
            <w:right w:val="none" w:sz="0" w:space="0" w:color="auto"/>
          </w:divBdr>
        </w:div>
        <w:div w:id="375784975">
          <w:marLeft w:val="0"/>
          <w:marRight w:val="0"/>
          <w:marTop w:val="0"/>
          <w:marBottom w:val="0"/>
          <w:divBdr>
            <w:top w:val="none" w:sz="0" w:space="0" w:color="auto"/>
            <w:left w:val="none" w:sz="0" w:space="0" w:color="auto"/>
            <w:bottom w:val="none" w:sz="0" w:space="0" w:color="auto"/>
            <w:right w:val="none" w:sz="0" w:space="0" w:color="auto"/>
          </w:divBdr>
        </w:div>
        <w:div w:id="1909143599">
          <w:marLeft w:val="0"/>
          <w:marRight w:val="0"/>
          <w:marTop w:val="0"/>
          <w:marBottom w:val="0"/>
          <w:divBdr>
            <w:top w:val="none" w:sz="0" w:space="0" w:color="auto"/>
            <w:left w:val="none" w:sz="0" w:space="0" w:color="auto"/>
            <w:bottom w:val="none" w:sz="0" w:space="0" w:color="auto"/>
            <w:right w:val="none" w:sz="0" w:space="0" w:color="auto"/>
          </w:divBdr>
        </w:div>
        <w:div w:id="1914241736">
          <w:marLeft w:val="0"/>
          <w:marRight w:val="0"/>
          <w:marTop w:val="0"/>
          <w:marBottom w:val="0"/>
          <w:divBdr>
            <w:top w:val="none" w:sz="0" w:space="0" w:color="auto"/>
            <w:left w:val="none" w:sz="0" w:space="0" w:color="auto"/>
            <w:bottom w:val="none" w:sz="0" w:space="0" w:color="auto"/>
            <w:right w:val="none" w:sz="0" w:space="0" w:color="auto"/>
          </w:divBdr>
        </w:div>
        <w:div w:id="746271884">
          <w:marLeft w:val="0"/>
          <w:marRight w:val="0"/>
          <w:marTop w:val="0"/>
          <w:marBottom w:val="0"/>
          <w:divBdr>
            <w:top w:val="none" w:sz="0" w:space="0" w:color="auto"/>
            <w:left w:val="none" w:sz="0" w:space="0" w:color="auto"/>
            <w:bottom w:val="none" w:sz="0" w:space="0" w:color="auto"/>
            <w:right w:val="none" w:sz="0" w:space="0" w:color="auto"/>
          </w:divBdr>
        </w:div>
        <w:div w:id="105589366">
          <w:marLeft w:val="0"/>
          <w:marRight w:val="0"/>
          <w:marTop w:val="0"/>
          <w:marBottom w:val="0"/>
          <w:divBdr>
            <w:top w:val="none" w:sz="0" w:space="0" w:color="auto"/>
            <w:left w:val="none" w:sz="0" w:space="0" w:color="auto"/>
            <w:bottom w:val="none" w:sz="0" w:space="0" w:color="auto"/>
            <w:right w:val="none" w:sz="0" w:space="0" w:color="auto"/>
          </w:divBdr>
        </w:div>
        <w:div w:id="1997103287">
          <w:marLeft w:val="0"/>
          <w:marRight w:val="0"/>
          <w:marTop w:val="0"/>
          <w:marBottom w:val="0"/>
          <w:divBdr>
            <w:top w:val="none" w:sz="0" w:space="0" w:color="auto"/>
            <w:left w:val="none" w:sz="0" w:space="0" w:color="auto"/>
            <w:bottom w:val="none" w:sz="0" w:space="0" w:color="auto"/>
            <w:right w:val="none" w:sz="0" w:space="0" w:color="auto"/>
          </w:divBdr>
        </w:div>
        <w:div w:id="1856924284">
          <w:marLeft w:val="0"/>
          <w:marRight w:val="0"/>
          <w:marTop w:val="0"/>
          <w:marBottom w:val="0"/>
          <w:divBdr>
            <w:top w:val="none" w:sz="0" w:space="0" w:color="auto"/>
            <w:left w:val="none" w:sz="0" w:space="0" w:color="auto"/>
            <w:bottom w:val="none" w:sz="0" w:space="0" w:color="auto"/>
            <w:right w:val="none" w:sz="0" w:space="0" w:color="auto"/>
          </w:divBdr>
        </w:div>
        <w:div w:id="925459181">
          <w:marLeft w:val="0"/>
          <w:marRight w:val="0"/>
          <w:marTop w:val="0"/>
          <w:marBottom w:val="0"/>
          <w:divBdr>
            <w:top w:val="none" w:sz="0" w:space="0" w:color="auto"/>
            <w:left w:val="none" w:sz="0" w:space="0" w:color="auto"/>
            <w:bottom w:val="none" w:sz="0" w:space="0" w:color="auto"/>
            <w:right w:val="none" w:sz="0" w:space="0" w:color="auto"/>
          </w:divBdr>
        </w:div>
        <w:div w:id="909999143">
          <w:marLeft w:val="0"/>
          <w:marRight w:val="0"/>
          <w:marTop w:val="0"/>
          <w:marBottom w:val="0"/>
          <w:divBdr>
            <w:top w:val="none" w:sz="0" w:space="0" w:color="auto"/>
            <w:left w:val="none" w:sz="0" w:space="0" w:color="auto"/>
            <w:bottom w:val="none" w:sz="0" w:space="0" w:color="auto"/>
            <w:right w:val="none" w:sz="0" w:space="0" w:color="auto"/>
          </w:divBdr>
        </w:div>
        <w:div w:id="525680323">
          <w:marLeft w:val="0"/>
          <w:marRight w:val="0"/>
          <w:marTop w:val="0"/>
          <w:marBottom w:val="0"/>
          <w:divBdr>
            <w:top w:val="none" w:sz="0" w:space="0" w:color="auto"/>
            <w:left w:val="none" w:sz="0" w:space="0" w:color="auto"/>
            <w:bottom w:val="none" w:sz="0" w:space="0" w:color="auto"/>
            <w:right w:val="none" w:sz="0" w:space="0" w:color="auto"/>
          </w:divBdr>
        </w:div>
        <w:div w:id="1568296642">
          <w:marLeft w:val="0"/>
          <w:marRight w:val="0"/>
          <w:marTop w:val="0"/>
          <w:marBottom w:val="0"/>
          <w:divBdr>
            <w:top w:val="none" w:sz="0" w:space="0" w:color="auto"/>
            <w:left w:val="none" w:sz="0" w:space="0" w:color="auto"/>
            <w:bottom w:val="none" w:sz="0" w:space="0" w:color="auto"/>
            <w:right w:val="none" w:sz="0" w:space="0" w:color="auto"/>
          </w:divBdr>
        </w:div>
        <w:div w:id="205266054">
          <w:marLeft w:val="0"/>
          <w:marRight w:val="0"/>
          <w:marTop w:val="0"/>
          <w:marBottom w:val="0"/>
          <w:divBdr>
            <w:top w:val="none" w:sz="0" w:space="0" w:color="auto"/>
            <w:left w:val="none" w:sz="0" w:space="0" w:color="auto"/>
            <w:bottom w:val="none" w:sz="0" w:space="0" w:color="auto"/>
            <w:right w:val="none" w:sz="0" w:space="0" w:color="auto"/>
          </w:divBdr>
        </w:div>
        <w:div w:id="1512720439">
          <w:marLeft w:val="0"/>
          <w:marRight w:val="0"/>
          <w:marTop w:val="0"/>
          <w:marBottom w:val="0"/>
          <w:divBdr>
            <w:top w:val="none" w:sz="0" w:space="0" w:color="auto"/>
            <w:left w:val="none" w:sz="0" w:space="0" w:color="auto"/>
            <w:bottom w:val="none" w:sz="0" w:space="0" w:color="auto"/>
            <w:right w:val="none" w:sz="0" w:space="0" w:color="auto"/>
          </w:divBdr>
        </w:div>
        <w:div w:id="1975913369">
          <w:marLeft w:val="0"/>
          <w:marRight w:val="0"/>
          <w:marTop w:val="0"/>
          <w:marBottom w:val="0"/>
          <w:divBdr>
            <w:top w:val="none" w:sz="0" w:space="0" w:color="auto"/>
            <w:left w:val="none" w:sz="0" w:space="0" w:color="auto"/>
            <w:bottom w:val="none" w:sz="0" w:space="0" w:color="auto"/>
            <w:right w:val="none" w:sz="0" w:space="0" w:color="auto"/>
          </w:divBdr>
        </w:div>
        <w:div w:id="2123760508">
          <w:marLeft w:val="0"/>
          <w:marRight w:val="0"/>
          <w:marTop w:val="0"/>
          <w:marBottom w:val="0"/>
          <w:divBdr>
            <w:top w:val="none" w:sz="0" w:space="0" w:color="auto"/>
            <w:left w:val="none" w:sz="0" w:space="0" w:color="auto"/>
            <w:bottom w:val="none" w:sz="0" w:space="0" w:color="auto"/>
            <w:right w:val="none" w:sz="0" w:space="0" w:color="auto"/>
          </w:divBdr>
        </w:div>
        <w:div w:id="1013263603">
          <w:marLeft w:val="0"/>
          <w:marRight w:val="0"/>
          <w:marTop w:val="0"/>
          <w:marBottom w:val="0"/>
          <w:divBdr>
            <w:top w:val="none" w:sz="0" w:space="0" w:color="auto"/>
            <w:left w:val="none" w:sz="0" w:space="0" w:color="auto"/>
            <w:bottom w:val="none" w:sz="0" w:space="0" w:color="auto"/>
            <w:right w:val="none" w:sz="0" w:space="0" w:color="auto"/>
          </w:divBdr>
        </w:div>
        <w:div w:id="187063093">
          <w:marLeft w:val="0"/>
          <w:marRight w:val="0"/>
          <w:marTop w:val="0"/>
          <w:marBottom w:val="0"/>
          <w:divBdr>
            <w:top w:val="none" w:sz="0" w:space="0" w:color="auto"/>
            <w:left w:val="none" w:sz="0" w:space="0" w:color="auto"/>
            <w:bottom w:val="none" w:sz="0" w:space="0" w:color="auto"/>
            <w:right w:val="none" w:sz="0" w:space="0" w:color="auto"/>
          </w:divBdr>
        </w:div>
        <w:div w:id="792674963">
          <w:marLeft w:val="0"/>
          <w:marRight w:val="0"/>
          <w:marTop w:val="0"/>
          <w:marBottom w:val="0"/>
          <w:divBdr>
            <w:top w:val="none" w:sz="0" w:space="0" w:color="auto"/>
            <w:left w:val="none" w:sz="0" w:space="0" w:color="auto"/>
            <w:bottom w:val="none" w:sz="0" w:space="0" w:color="auto"/>
            <w:right w:val="none" w:sz="0" w:space="0" w:color="auto"/>
          </w:divBdr>
        </w:div>
        <w:div w:id="672610866">
          <w:marLeft w:val="0"/>
          <w:marRight w:val="0"/>
          <w:marTop w:val="0"/>
          <w:marBottom w:val="0"/>
          <w:divBdr>
            <w:top w:val="none" w:sz="0" w:space="0" w:color="auto"/>
            <w:left w:val="none" w:sz="0" w:space="0" w:color="auto"/>
            <w:bottom w:val="none" w:sz="0" w:space="0" w:color="auto"/>
            <w:right w:val="none" w:sz="0" w:space="0" w:color="auto"/>
          </w:divBdr>
        </w:div>
        <w:div w:id="382413439">
          <w:marLeft w:val="0"/>
          <w:marRight w:val="0"/>
          <w:marTop w:val="0"/>
          <w:marBottom w:val="0"/>
          <w:divBdr>
            <w:top w:val="none" w:sz="0" w:space="0" w:color="auto"/>
            <w:left w:val="none" w:sz="0" w:space="0" w:color="auto"/>
            <w:bottom w:val="none" w:sz="0" w:space="0" w:color="auto"/>
            <w:right w:val="none" w:sz="0" w:space="0" w:color="auto"/>
          </w:divBdr>
        </w:div>
        <w:div w:id="1324577933">
          <w:marLeft w:val="0"/>
          <w:marRight w:val="0"/>
          <w:marTop w:val="0"/>
          <w:marBottom w:val="0"/>
          <w:divBdr>
            <w:top w:val="none" w:sz="0" w:space="0" w:color="auto"/>
            <w:left w:val="none" w:sz="0" w:space="0" w:color="auto"/>
            <w:bottom w:val="none" w:sz="0" w:space="0" w:color="auto"/>
            <w:right w:val="none" w:sz="0" w:space="0" w:color="auto"/>
          </w:divBdr>
        </w:div>
        <w:div w:id="1820657154">
          <w:marLeft w:val="0"/>
          <w:marRight w:val="0"/>
          <w:marTop w:val="0"/>
          <w:marBottom w:val="0"/>
          <w:divBdr>
            <w:top w:val="none" w:sz="0" w:space="0" w:color="auto"/>
            <w:left w:val="none" w:sz="0" w:space="0" w:color="auto"/>
            <w:bottom w:val="none" w:sz="0" w:space="0" w:color="auto"/>
            <w:right w:val="none" w:sz="0" w:space="0" w:color="auto"/>
          </w:divBdr>
        </w:div>
        <w:div w:id="2004159705">
          <w:marLeft w:val="0"/>
          <w:marRight w:val="0"/>
          <w:marTop w:val="0"/>
          <w:marBottom w:val="0"/>
          <w:divBdr>
            <w:top w:val="none" w:sz="0" w:space="0" w:color="auto"/>
            <w:left w:val="none" w:sz="0" w:space="0" w:color="auto"/>
            <w:bottom w:val="none" w:sz="0" w:space="0" w:color="auto"/>
            <w:right w:val="none" w:sz="0" w:space="0" w:color="auto"/>
          </w:divBdr>
        </w:div>
        <w:div w:id="1567259113">
          <w:marLeft w:val="0"/>
          <w:marRight w:val="0"/>
          <w:marTop w:val="0"/>
          <w:marBottom w:val="0"/>
          <w:divBdr>
            <w:top w:val="none" w:sz="0" w:space="0" w:color="auto"/>
            <w:left w:val="none" w:sz="0" w:space="0" w:color="auto"/>
            <w:bottom w:val="none" w:sz="0" w:space="0" w:color="auto"/>
            <w:right w:val="none" w:sz="0" w:space="0" w:color="auto"/>
          </w:divBdr>
        </w:div>
        <w:div w:id="2100903013">
          <w:marLeft w:val="0"/>
          <w:marRight w:val="0"/>
          <w:marTop w:val="0"/>
          <w:marBottom w:val="0"/>
          <w:divBdr>
            <w:top w:val="none" w:sz="0" w:space="0" w:color="auto"/>
            <w:left w:val="none" w:sz="0" w:space="0" w:color="auto"/>
            <w:bottom w:val="none" w:sz="0" w:space="0" w:color="auto"/>
            <w:right w:val="none" w:sz="0" w:space="0" w:color="auto"/>
          </w:divBdr>
        </w:div>
        <w:div w:id="1735931272">
          <w:marLeft w:val="0"/>
          <w:marRight w:val="0"/>
          <w:marTop w:val="0"/>
          <w:marBottom w:val="0"/>
          <w:divBdr>
            <w:top w:val="none" w:sz="0" w:space="0" w:color="auto"/>
            <w:left w:val="none" w:sz="0" w:space="0" w:color="auto"/>
            <w:bottom w:val="none" w:sz="0" w:space="0" w:color="auto"/>
            <w:right w:val="none" w:sz="0" w:space="0" w:color="auto"/>
          </w:divBdr>
          <w:divsChild>
            <w:div w:id="1702853923">
              <w:marLeft w:val="-75"/>
              <w:marRight w:val="0"/>
              <w:marTop w:val="30"/>
              <w:marBottom w:val="30"/>
              <w:divBdr>
                <w:top w:val="none" w:sz="0" w:space="0" w:color="auto"/>
                <w:left w:val="none" w:sz="0" w:space="0" w:color="auto"/>
                <w:bottom w:val="none" w:sz="0" w:space="0" w:color="auto"/>
                <w:right w:val="none" w:sz="0" w:space="0" w:color="auto"/>
              </w:divBdr>
              <w:divsChild>
                <w:div w:id="1138065143">
                  <w:marLeft w:val="0"/>
                  <w:marRight w:val="0"/>
                  <w:marTop w:val="0"/>
                  <w:marBottom w:val="0"/>
                  <w:divBdr>
                    <w:top w:val="none" w:sz="0" w:space="0" w:color="auto"/>
                    <w:left w:val="none" w:sz="0" w:space="0" w:color="auto"/>
                    <w:bottom w:val="none" w:sz="0" w:space="0" w:color="auto"/>
                    <w:right w:val="none" w:sz="0" w:space="0" w:color="auto"/>
                  </w:divBdr>
                  <w:divsChild>
                    <w:div w:id="2047638822">
                      <w:marLeft w:val="0"/>
                      <w:marRight w:val="0"/>
                      <w:marTop w:val="0"/>
                      <w:marBottom w:val="0"/>
                      <w:divBdr>
                        <w:top w:val="none" w:sz="0" w:space="0" w:color="auto"/>
                        <w:left w:val="none" w:sz="0" w:space="0" w:color="auto"/>
                        <w:bottom w:val="none" w:sz="0" w:space="0" w:color="auto"/>
                        <w:right w:val="none" w:sz="0" w:space="0" w:color="auto"/>
                      </w:divBdr>
                    </w:div>
                  </w:divsChild>
                </w:div>
                <w:div w:id="1742755770">
                  <w:marLeft w:val="0"/>
                  <w:marRight w:val="0"/>
                  <w:marTop w:val="0"/>
                  <w:marBottom w:val="0"/>
                  <w:divBdr>
                    <w:top w:val="none" w:sz="0" w:space="0" w:color="auto"/>
                    <w:left w:val="none" w:sz="0" w:space="0" w:color="auto"/>
                    <w:bottom w:val="none" w:sz="0" w:space="0" w:color="auto"/>
                    <w:right w:val="none" w:sz="0" w:space="0" w:color="auto"/>
                  </w:divBdr>
                  <w:divsChild>
                    <w:div w:id="1686395811">
                      <w:marLeft w:val="0"/>
                      <w:marRight w:val="0"/>
                      <w:marTop w:val="0"/>
                      <w:marBottom w:val="0"/>
                      <w:divBdr>
                        <w:top w:val="none" w:sz="0" w:space="0" w:color="auto"/>
                        <w:left w:val="none" w:sz="0" w:space="0" w:color="auto"/>
                        <w:bottom w:val="none" w:sz="0" w:space="0" w:color="auto"/>
                        <w:right w:val="none" w:sz="0" w:space="0" w:color="auto"/>
                      </w:divBdr>
                    </w:div>
                    <w:div w:id="363290997">
                      <w:marLeft w:val="0"/>
                      <w:marRight w:val="0"/>
                      <w:marTop w:val="0"/>
                      <w:marBottom w:val="0"/>
                      <w:divBdr>
                        <w:top w:val="none" w:sz="0" w:space="0" w:color="auto"/>
                        <w:left w:val="none" w:sz="0" w:space="0" w:color="auto"/>
                        <w:bottom w:val="none" w:sz="0" w:space="0" w:color="auto"/>
                        <w:right w:val="none" w:sz="0" w:space="0" w:color="auto"/>
                      </w:divBdr>
                    </w:div>
                  </w:divsChild>
                </w:div>
                <w:div w:id="391005895">
                  <w:marLeft w:val="0"/>
                  <w:marRight w:val="0"/>
                  <w:marTop w:val="0"/>
                  <w:marBottom w:val="0"/>
                  <w:divBdr>
                    <w:top w:val="none" w:sz="0" w:space="0" w:color="auto"/>
                    <w:left w:val="none" w:sz="0" w:space="0" w:color="auto"/>
                    <w:bottom w:val="none" w:sz="0" w:space="0" w:color="auto"/>
                    <w:right w:val="none" w:sz="0" w:space="0" w:color="auto"/>
                  </w:divBdr>
                  <w:divsChild>
                    <w:div w:id="414015779">
                      <w:marLeft w:val="0"/>
                      <w:marRight w:val="0"/>
                      <w:marTop w:val="0"/>
                      <w:marBottom w:val="0"/>
                      <w:divBdr>
                        <w:top w:val="none" w:sz="0" w:space="0" w:color="auto"/>
                        <w:left w:val="none" w:sz="0" w:space="0" w:color="auto"/>
                        <w:bottom w:val="none" w:sz="0" w:space="0" w:color="auto"/>
                        <w:right w:val="none" w:sz="0" w:space="0" w:color="auto"/>
                      </w:divBdr>
                    </w:div>
                  </w:divsChild>
                </w:div>
                <w:div w:id="1248464912">
                  <w:marLeft w:val="0"/>
                  <w:marRight w:val="0"/>
                  <w:marTop w:val="0"/>
                  <w:marBottom w:val="0"/>
                  <w:divBdr>
                    <w:top w:val="none" w:sz="0" w:space="0" w:color="auto"/>
                    <w:left w:val="none" w:sz="0" w:space="0" w:color="auto"/>
                    <w:bottom w:val="none" w:sz="0" w:space="0" w:color="auto"/>
                    <w:right w:val="none" w:sz="0" w:space="0" w:color="auto"/>
                  </w:divBdr>
                  <w:divsChild>
                    <w:div w:id="1753314315">
                      <w:marLeft w:val="0"/>
                      <w:marRight w:val="0"/>
                      <w:marTop w:val="0"/>
                      <w:marBottom w:val="0"/>
                      <w:divBdr>
                        <w:top w:val="none" w:sz="0" w:space="0" w:color="auto"/>
                        <w:left w:val="none" w:sz="0" w:space="0" w:color="auto"/>
                        <w:bottom w:val="none" w:sz="0" w:space="0" w:color="auto"/>
                        <w:right w:val="none" w:sz="0" w:space="0" w:color="auto"/>
                      </w:divBdr>
                    </w:div>
                    <w:div w:id="1794593943">
                      <w:marLeft w:val="0"/>
                      <w:marRight w:val="0"/>
                      <w:marTop w:val="0"/>
                      <w:marBottom w:val="0"/>
                      <w:divBdr>
                        <w:top w:val="none" w:sz="0" w:space="0" w:color="auto"/>
                        <w:left w:val="none" w:sz="0" w:space="0" w:color="auto"/>
                        <w:bottom w:val="none" w:sz="0" w:space="0" w:color="auto"/>
                        <w:right w:val="none" w:sz="0" w:space="0" w:color="auto"/>
                      </w:divBdr>
                    </w:div>
                  </w:divsChild>
                </w:div>
                <w:div w:id="2147045258">
                  <w:marLeft w:val="0"/>
                  <w:marRight w:val="0"/>
                  <w:marTop w:val="0"/>
                  <w:marBottom w:val="0"/>
                  <w:divBdr>
                    <w:top w:val="none" w:sz="0" w:space="0" w:color="auto"/>
                    <w:left w:val="none" w:sz="0" w:space="0" w:color="auto"/>
                    <w:bottom w:val="none" w:sz="0" w:space="0" w:color="auto"/>
                    <w:right w:val="none" w:sz="0" w:space="0" w:color="auto"/>
                  </w:divBdr>
                  <w:divsChild>
                    <w:div w:id="1358698194">
                      <w:marLeft w:val="0"/>
                      <w:marRight w:val="0"/>
                      <w:marTop w:val="0"/>
                      <w:marBottom w:val="0"/>
                      <w:divBdr>
                        <w:top w:val="none" w:sz="0" w:space="0" w:color="auto"/>
                        <w:left w:val="none" w:sz="0" w:space="0" w:color="auto"/>
                        <w:bottom w:val="none" w:sz="0" w:space="0" w:color="auto"/>
                        <w:right w:val="none" w:sz="0" w:space="0" w:color="auto"/>
                      </w:divBdr>
                    </w:div>
                  </w:divsChild>
                </w:div>
                <w:div w:id="1910459521">
                  <w:marLeft w:val="0"/>
                  <w:marRight w:val="0"/>
                  <w:marTop w:val="0"/>
                  <w:marBottom w:val="0"/>
                  <w:divBdr>
                    <w:top w:val="none" w:sz="0" w:space="0" w:color="auto"/>
                    <w:left w:val="none" w:sz="0" w:space="0" w:color="auto"/>
                    <w:bottom w:val="none" w:sz="0" w:space="0" w:color="auto"/>
                    <w:right w:val="none" w:sz="0" w:space="0" w:color="auto"/>
                  </w:divBdr>
                  <w:divsChild>
                    <w:div w:id="233400261">
                      <w:marLeft w:val="0"/>
                      <w:marRight w:val="0"/>
                      <w:marTop w:val="0"/>
                      <w:marBottom w:val="0"/>
                      <w:divBdr>
                        <w:top w:val="none" w:sz="0" w:space="0" w:color="auto"/>
                        <w:left w:val="none" w:sz="0" w:space="0" w:color="auto"/>
                        <w:bottom w:val="none" w:sz="0" w:space="0" w:color="auto"/>
                        <w:right w:val="none" w:sz="0" w:space="0" w:color="auto"/>
                      </w:divBdr>
                    </w:div>
                    <w:div w:id="64416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429994">
          <w:marLeft w:val="0"/>
          <w:marRight w:val="0"/>
          <w:marTop w:val="0"/>
          <w:marBottom w:val="0"/>
          <w:divBdr>
            <w:top w:val="none" w:sz="0" w:space="0" w:color="auto"/>
            <w:left w:val="none" w:sz="0" w:space="0" w:color="auto"/>
            <w:bottom w:val="none" w:sz="0" w:space="0" w:color="auto"/>
            <w:right w:val="none" w:sz="0" w:space="0" w:color="auto"/>
          </w:divBdr>
        </w:div>
        <w:div w:id="396827335">
          <w:marLeft w:val="0"/>
          <w:marRight w:val="0"/>
          <w:marTop w:val="0"/>
          <w:marBottom w:val="0"/>
          <w:divBdr>
            <w:top w:val="none" w:sz="0" w:space="0" w:color="auto"/>
            <w:left w:val="none" w:sz="0" w:space="0" w:color="auto"/>
            <w:bottom w:val="none" w:sz="0" w:space="0" w:color="auto"/>
            <w:right w:val="none" w:sz="0" w:space="0" w:color="auto"/>
          </w:divBdr>
        </w:div>
      </w:divsChild>
    </w:div>
    <w:div w:id="1803032923">
      <w:bodyDiv w:val="1"/>
      <w:marLeft w:val="0"/>
      <w:marRight w:val="0"/>
      <w:marTop w:val="0"/>
      <w:marBottom w:val="0"/>
      <w:divBdr>
        <w:top w:val="none" w:sz="0" w:space="0" w:color="auto"/>
        <w:left w:val="none" w:sz="0" w:space="0" w:color="auto"/>
        <w:bottom w:val="none" w:sz="0" w:space="0" w:color="auto"/>
        <w:right w:val="none" w:sz="0" w:space="0" w:color="auto"/>
      </w:divBdr>
      <w:divsChild>
        <w:div w:id="500121642">
          <w:marLeft w:val="0"/>
          <w:marRight w:val="0"/>
          <w:marTop w:val="0"/>
          <w:marBottom w:val="0"/>
          <w:divBdr>
            <w:top w:val="none" w:sz="0" w:space="0" w:color="auto"/>
            <w:left w:val="none" w:sz="0" w:space="0" w:color="auto"/>
            <w:bottom w:val="none" w:sz="0" w:space="0" w:color="auto"/>
            <w:right w:val="none" w:sz="0" w:space="0" w:color="auto"/>
          </w:divBdr>
        </w:div>
        <w:div w:id="520818096">
          <w:marLeft w:val="0"/>
          <w:marRight w:val="0"/>
          <w:marTop w:val="0"/>
          <w:marBottom w:val="0"/>
          <w:divBdr>
            <w:top w:val="none" w:sz="0" w:space="0" w:color="auto"/>
            <w:left w:val="none" w:sz="0" w:space="0" w:color="auto"/>
            <w:bottom w:val="none" w:sz="0" w:space="0" w:color="auto"/>
            <w:right w:val="none" w:sz="0" w:space="0" w:color="auto"/>
          </w:divBdr>
        </w:div>
        <w:div w:id="328682424">
          <w:marLeft w:val="0"/>
          <w:marRight w:val="0"/>
          <w:marTop w:val="0"/>
          <w:marBottom w:val="0"/>
          <w:divBdr>
            <w:top w:val="none" w:sz="0" w:space="0" w:color="auto"/>
            <w:left w:val="none" w:sz="0" w:space="0" w:color="auto"/>
            <w:bottom w:val="none" w:sz="0" w:space="0" w:color="auto"/>
            <w:right w:val="none" w:sz="0" w:space="0" w:color="auto"/>
          </w:divBdr>
        </w:div>
        <w:div w:id="37753051">
          <w:marLeft w:val="0"/>
          <w:marRight w:val="0"/>
          <w:marTop w:val="0"/>
          <w:marBottom w:val="0"/>
          <w:divBdr>
            <w:top w:val="none" w:sz="0" w:space="0" w:color="auto"/>
            <w:left w:val="none" w:sz="0" w:space="0" w:color="auto"/>
            <w:bottom w:val="none" w:sz="0" w:space="0" w:color="auto"/>
            <w:right w:val="none" w:sz="0" w:space="0" w:color="auto"/>
          </w:divBdr>
        </w:div>
        <w:div w:id="1066297052">
          <w:marLeft w:val="0"/>
          <w:marRight w:val="0"/>
          <w:marTop w:val="0"/>
          <w:marBottom w:val="0"/>
          <w:divBdr>
            <w:top w:val="none" w:sz="0" w:space="0" w:color="auto"/>
            <w:left w:val="none" w:sz="0" w:space="0" w:color="auto"/>
            <w:bottom w:val="none" w:sz="0" w:space="0" w:color="auto"/>
            <w:right w:val="none" w:sz="0" w:space="0" w:color="auto"/>
          </w:divBdr>
        </w:div>
        <w:div w:id="992441406">
          <w:marLeft w:val="0"/>
          <w:marRight w:val="0"/>
          <w:marTop w:val="0"/>
          <w:marBottom w:val="0"/>
          <w:divBdr>
            <w:top w:val="none" w:sz="0" w:space="0" w:color="auto"/>
            <w:left w:val="none" w:sz="0" w:space="0" w:color="auto"/>
            <w:bottom w:val="none" w:sz="0" w:space="0" w:color="auto"/>
            <w:right w:val="none" w:sz="0" w:space="0" w:color="auto"/>
          </w:divBdr>
        </w:div>
        <w:div w:id="116487311">
          <w:marLeft w:val="0"/>
          <w:marRight w:val="0"/>
          <w:marTop w:val="0"/>
          <w:marBottom w:val="0"/>
          <w:divBdr>
            <w:top w:val="none" w:sz="0" w:space="0" w:color="auto"/>
            <w:left w:val="none" w:sz="0" w:space="0" w:color="auto"/>
            <w:bottom w:val="none" w:sz="0" w:space="0" w:color="auto"/>
            <w:right w:val="none" w:sz="0" w:space="0" w:color="auto"/>
          </w:divBdr>
        </w:div>
        <w:div w:id="1273633447">
          <w:marLeft w:val="0"/>
          <w:marRight w:val="0"/>
          <w:marTop w:val="0"/>
          <w:marBottom w:val="0"/>
          <w:divBdr>
            <w:top w:val="none" w:sz="0" w:space="0" w:color="auto"/>
            <w:left w:val="none" w:sz="0" w:space="0" w:color="auto"/>
            <w:bottom w:val="none" w:sz="0" w:space="0" w:color="auto"/>
            <w:right w:val="none" w:sz="0" w:space="0" w:color="auto"/>
          </w:divBdr>
        </w:div>
        <w:div w:id="54279274">
          <w:marLeft w:val="0"/>
          <w:marRight w:val="0"/>
          <w:marTop w:val="0"/>
          <w:marBottom w:val="0"/>
          <w:divBdr>
            <w:top w:val="none" w:sz="0" w:space="0" w:color="auto"/>
            <w:left w:val="none" w:sz="0" w:space="0" w:color="auto"/>
            <w:bottom w:val="none" w:sz="0" w:space="0" w:color="auto"/>
            <w:right w:val="none" w:sz="0" w:space="0" w:color="auto"/>
          </w:divBdr>
        </w:div>
        <w:div w:id="1152209206">
          <w:marLeft w:val="0"/>
          <w:marRight w:val="0"/>
          <w:marTop w:val="0"/>
          <w:marBottom w:val="0"/>
          <w:divBdr>
            <w:top w:val="none" w:sz="0" w:space="0" w:color="auto"/>
            <w:left w:val="none" w:sz="0" w:space="0" w:color="auto"/>
            <w:bottom w:val="none" w:sz="0" w:space="0" w:color="auto"/>
            <w:right w:val="none" w:sz="0" w:space="0" w:color="auto"/>
          </w:divBdr>
        </w:div>
        <w:div w:id="604001763">
          <w:marLeft w:val="0"/>
          <w:marRight w:val="0"/>
          <w:marTop w:val="0"/>
          <w:marBottom w:val="0"/>
          <w:divBdr>
            <w:top w:val="none" w:sz="0" w:space="0" w:color="auto"/>
            <w:left w:val="none" w:sz="0" w:space="0" w:color="auto"/>
            <w:bottom w:val="none" w:sz="0" w:space="0" w:color="auto"/>
            <w:right w:val="none" w:sz="0" w:space="0" w:color="auto"/>
          </w:divBdr>
        </w:div>
        <w:div w:id="321928982">
          <w:marLeft w:val="0"/>
          <w:marRight w:val="0"/>
          <w:marTop w:val="0"/>
          <w:marBottom w:val="0"/>
          <w:divBdr>
            <w:top w:val="none" w:sz="0" w:space="0" w:color="auto"/>
            <w:left w:val="none" w:sz="0" w:space="0" w:color="auto"/>
            <w:bottom w:val="none" w:sz="0" w:space="0" w:color="auto"/>
            <w:right w:val="none" w:sz="0" w:space="0" w:color="auto"/>
          </w:divBdr>
        </w:div>
        <w:div w:id="1456823963">
          <w:marLeft w:val="0"/>
          <w:marRight w:val="0"/>
          <w:marTop w:val="0"/>
          <w:marBottom w:val="0"/>
          <w:divBdr>
            <w:top w:val="none" w:sz="0" w:space="0" w:color="auto"/>
            <w:left w:val="none" w:sz="0" w:space="0" w:color="auto"/>
            <w:bottom w:val="none" w:sz="0" w:space="0" w:color="auto"/>
            <w:right w:val="none" w:sz="0" w:space="0" w:color="auto"/>
          </w:divBdr>
        </w:div>
        <w:div w:id="1925794207">
          <w:marLeft w:val="0"/>
          <w:marRight w:val="0"/>
          <w:marTop w:val="0"/>
          <w:marBottom w:val="0"/>
          <w:divBdr>
            <w:top w:val="none" w:sz="0" w:space="0" w:color="auto"/>
            <w:left w:val="none" w:sz="0" w:space="0" w:color="auto"/>
            <w:bottom w:val="none" w:sz="0" w:space="0" w:color="auto"/>
            <w:right w:val="none" w:sz="0" w:space="0" w:color="auto"/>
          </w:divBdr>
        </w:div>
        <w:div w:id="106432721">
          <w:marLeft w:val="0"/>
          <w:marRight w:val="0"/>
          <w:marTop w:val="0"/>
          <w:marBottom w:val="0"/>
          <w:divBdr>
            <w:top w:val="none" w:sz="0" w:space="0" w:color="auto"/>
            <w:left w:val="none" w:sz="0" w:space="0" w:color="auto"/>
            <w:bottom w:val="none" w:sz="0" w:space="0" w:color="auto"/>
            <w:right w:val="none" w:sz="0" w:space="0" w:color="auto"/>
          </w:divBdr>
        </w:div>
        <w:div w:id="962540806">
          <w:marLeft w:val="0"/>
          <w:marRight w:val="0"/>
          <w:marTop w:val="0"/>
          <w:marBottom w:val="0"/>
          <w:divBdr>
            <w:top w:val="none" w:sz="0" w:space="0" w:color="auto"/>
            <w:left w:val="none" w:sz="0" w:space="0" w:color="auto"/>
            <w:bottom w:val="none" w:sz="0" w:space="0" w:color="auto"/>
            <w:right w:val="none" w:sz="0" w:space="0" w:color="auto"/>
          </w:divBdr>
        </w:div>
        <w:div w:id="886800331">
          <w:marLeft w:val="0"/>
          <w:marRight w:val="0"/>
          <w:marTop w:val="0"/>
          <w:marBottom w:val="0"/>
          <w:divBdr>
            <w:top w:val="none" w:sz="0" w:space="0" w:color="auto"/>
            <w:left w:val="none" w:sz="0" w:space="0" w:color="auto"/>
            <w:bottom w:val="none" w:sz="0" w:space="0" w:color="auto"/>
            <w:right w:val="none" w:sz="0" w:space="0" w:color="auto"/>
          </w:divBdr>
        </w:div>
        <w:div w:id="893001081">
          <w:marLeft w:val="0"/>
          <w:marRight w:val="0"/>
          <w:marTop w:val="0"/>
          <w:marBottom w:val="0"/>
          <w:divBdr>
            <w:top w:val="none" w:sz="0" w:space="0" w:color="auto"/>
            <w:left w:val="none" w:sz="0" w:space="0" w:color="auto"/>
            <w:bottom w:val="none" w:sz="0" w:space="0" w:color="auto"/>
            <w:right w:val="none" w:sz="0" w:space="0" w:color="auto"/>
          </w:divBdr>
        </w:div>
        <w:div w:id="766002488">
          <w:marLeft w:val="0"/>
          <w:marRight w:val="0"/>
          <w:marTop w:val="0"/>
          <w:marBottom w:val="0"/>
          <w:divBdr>
            <w:top w:val="none" w:sz="0" w:space="0" w:color="auto"/>
            <w:left w:val="none" w:sz="0" w:space="0" w:color="auto"/>
            <w:bottom w:val="none" w:sz="0" w:space="0" w:color="auto"/>
            <w:right w:val="none" w:sz="0" w:space="0" w:color="auto"/>
          </w:divBdr>
        </w:div>
        <w:div w:id="92827828">
          <w:marLeft w:val="0"/>
          <w:marRight w:val="0"/>
          <w:marTop w:val="0"/>
          <w:marBottom w:val="0"/>
          <w:divBdr>
            <w:top w:val="none" w:sz="0" w:space="0" w:color="auto"/>
            <w:left w:val="none" w:sz="0" w:space="0" w:color="auto"/>
            <w:bottom w:val="none" w:sz="0" w:space="0" w:color="auto"/>
            <w:right w:val="none" w:sz="0" w:space="0" w:color="auto"/>
          </w:divBdr>
        </w:div>
        <w:div w:id="1563297257">
          <w:marLeft w:val="0"/>
          <w:marRight w:val="0"/>
          <w:marTop w:val="0"/>
          <w:marBottom w:val="0"/>
          <w:divBdr>
            <w:top w:val="none" w:sz="0" w:space="0" w:color="auto"/>
            <w:left w:val="none" w:sz="0" w:space="0" w:color="auto"/>
            <w:bottom w:val="none" w:sz="0" w:space="0" w:color="auto"/>
            <w:right w:val="none" w:sz="0" w:space="0" w:color="auto"/>
          </w:divBdr>
        </w:div>
        <w:div w:id="1138111232">
          <w:marLeft w:val="0"/>
          <w:marRight w:val="0"/>
          <w:marTop w:val="0"/>
          <w:marBottom w:val="0"/>
          <w:divBdr>
            <w:top w:val="none" w:sz="0" w:space="0" w:color="auto"/>
            <w:left w:val="none" w:sz="0" w:space="0" w:color="auto"/>
            <w:bottom w:val="none" w:sz="0" w:space="0" w:color="auto"/>
            <w:right w:val="none" w:sz="0" w:space="0" w:color="auto"/>
          </w:divBdr>
        </w:div>
        <w:div w:id="390660400">
          <w:marLeft w:val="0"/>
          <w:marRight w:val="0"/>
          <w:marTop w:val="0"/>
          <w:marBottom w:val="0"/>
          <w:divBdr>
            <w:top w:val="none" w:sz="0" w:space="0" w:color="auto"/>
            <w:left w:val="none" w:sz="0" w:space="0" w:color="auto"/>
            <w:bottom w:val="none" w:sz="0" w:space="0" w:color="auto"/>
            <w:right w:val="none" w:sz="0" w:space="0" w:color="auto"/>
          </w:divBdr>
        </w:div>
        <w:div w:id="138420496">
          <w:marLeft w:val="0"/>
          <w:marRight w:val="0"/>
          <w:marTop w:val="0"/>
          <w:marBottom w:val="0"/>
          <w:divBdr>
            <w:top w:val="none" w:sz="0" w:space="0" w:color="auto"/>
            <w:left w:val="none" w:sz="0" w:space="0" w:color="auto"/>
            <w:bottom w:val="none" w:sz="0" w:space="0" w:color="auto"/>
            <w:right w:val="none" w:sz="0" w:space="0" w:color="auto"/>
          </w:divBdr>
        </w:div>
        <w:div w:id="1743335888">
          <w:marLeft w:val="0"/>
          <w:marRight w:val="0"/>
          <w:marTop w:val="0"/>
          <w:marBottom w:val="0"/>
          <w:divBdr>
            <w:top w:val="none" w:sz="0" w:space="0" w:color="auto"/>
            <w:left w:val="none" w:sz="0" w:space="0" w:color="auto"/>
            <w:bottom w:val="none" w:sz="0" w:space="0" w:color="auto"/>
            <w:right w:val="none" w:sz="0" w:space="0" w:color="auto"/>
          </w:divBdr>
        </w:div>
        <w:div w:id="2131781453">
          <w:marLeft w:val="0"/>
          <w:marRight w:val="0"/>
          <w:marTop w:val="0"/>
          <w:marBottom w:val="0"/>
          <w:divBdr>
            <w:top w:val="none" w:sz="0" w:space="0" w:color="auto"/>
            <w:left w:val="none" w:sz="0" w:space="0" w:color="auto"/>
            <w:bottom w:val="none" w:sz="0" w:space="0" w:color="auto"/>
            <w:right w:val="none" w:sz="0" w:space="0" w:color="auto"/>
          </w:divBdr>
        </w:div>
        <w:div w:id="535970093">
          <w:marLeft w:val="0"/>
          <w:marRight w:val="0"/>
          <w:marTop w:val="0"/>
          <w:marBottom w:val="0"/>
          <w:divBdr>
            <w:top w:val="none" w:sz="0" w:space="0" w:color="auto"/>
            <w:left w:val="none" w:sz="0" w:space="0" w:color="auto"/>
            <w:bottom w:val="none" w:sz="0" w:space="0" w:color="auto"/>
            <w:right w:val="none" w:sz="0" w:space="0" w:color="auto"/>
          </w:divBdr>
        </w:div>
        <w:div w:id="2019652546">
          <w:marLeft w:val="0"/>
          <w:marRight w:val="0"/>
          <w:marTop w:val="0"/>
          <w:marBottom w:val="0"/>
          <w:divBdr>
            <w:top w:val="none" w:sz="0" w:space="0" w:color="auto"/>
            <w:left w:val="none" w:sz="0" w:space="0" w:color="auto"/>
            <w:bottom w:val="none" w:sz="0" w:space="0" w:color="auto"/>
            <w:right w:val="none" w:sz="0" w:space="0" w:color="auto"/>
          </w:divBdr>
        </w:div>
        <w:div w:id="314378933">
          <w:marLeft w:val="0"/>
          <w:marRight w:val="0"/>
          <w:marTop w:val="0"/>
          <w:marBottom w:val="0"/>
          <w:divBdr>
            <w:top w:val="none" w:sz="0" w:space="0" w:color="auto"/>
            <w:left w:val="none" w:sz="0" w:space="0" w:color="auto"/>
            <w:bottom w:val="none" w:sz="0" w:space="0" w:color="auto"/>
            <w:right w:val="none" w:sz="0" w:space="0" w:color="auto"/>
          </w:divBdr>
        </w:div>
        <w:div w:id="1177770069">
          <w:marLeft w:val="0"/>
          <w:marRight w:val="0"/>
          <w:marTop w:val="0"/>
          <w:marBottom w:val="0"/>
          <w:divBdr>
            <w:top w:val="none" w:sz="0" w:space="0" w:color="auto"/>
            <w:left w:val="none" w:sz="0" w:space="0" w:color="auto"/>
            <w:bottom w:val="none" w:sz="0" w:space="0" w:color="auto"/>
            <w:right w:val="none" w:sz="0" w:space="0" w:color="auto"/>
          </w:divBdr>
        </w:div>
        <w:div w:id="1758746371">
          <w:marLeft w:val="0"/>
          <w:marRight w:val="0"/>
          <w:marTop w:val="0"/>
          <w:marBottom w:val="0"/>
          <w:divBdr>
            <w:top w:val="none" w:sz="0" w:space="0" w:color="auto"/>
            <w:left w:val="none" w:sz="0" w:space="0" w:color="auto"/>
            <w:bottom w:val="none" w:sz="0" w:space="0" w:color="auto"/>
            <w:right w:val="none" w:sz="0" w:space="0" w:color="auto"/>
          </w:divBdr>
        </w:div>
        <w:div w:id="935819602">
          <w:marLeft w:val="0"/>
          <w:marRight w:val="0"/>
          <w:marTop w:val="0"/>
          <w:marBottom w:val="0"/>
          <w:divBdr>
            <w:top w:val="none" w:sz="0" w:space="0" w:color="auto"/>
            <w:left w:val="none" w:sz="0" w:space="0" w:color="auto"/>
            <w:bottom w:val="none" w:sz="0" w:space="0" w:color="auto"/>
            <w:right w:val="none" w:sz="0" w:space="0" w:color="auto"/>
          </w:divBdr>
        </w:div>
        <w:div w:id="1938098977">
          <w:marLeft w:val="0"/>
          <w:marRight w:val="0"/>
          <w:marTop w:val="0"/>
          <w:marBottom w:val="0"/>
          <w:divBdr>
            <w:top w:val="none" w:sz="0" w:space="0" w:color="auto"/>
            <w:left w:val="none" w:sz="0" w:space="0" w:color="auto"/>
            <w:bottom w:val="none" w:sz="0" w:space="0" w:color="auto"/>
            <w:right w:val="none" w:sz="0" w:space="0" w:color="auto"/>
          </w:divBdr>
        </w:div>
      </w:divsChild>
    </w:div>
    <w:div w:id="1912159828">
      <w:bodyDiv w:val="1"/>
      <w:marLeft w:val="0"/>
      <w:marRight w:val="0"/>
      <w:marTop w:val="0"/>
      <w:marBottom w:val="0"/>
      <w:divBdr>
        <w:top w:val="none" w:sz="0" w:space="0" w:color="auto"/>
        <w:left w:val="none" w:sz="0" w:space="0" w:color="auto"/>
        <w:bottom w:val="none" w:sz="0" w:space="0" w:color="auto"/>
        <w:right w:val="none" w:sz="0" w:space="0" w:color="auto"/>
      </w:divBdr>
      <w:divsChild>
        <w:div w:id="1588464958">
          <w:marLeft w:val="0"/>
          <w:marRight w:val="0"/>
          <w:marTop w:val="0"/>
          <w:marBottom w:val="0"/>
          <w:divBdr>
            <w:top w:val="none" w:sz="0" w:space="0" w:color="auto"/>
            <w:left w:val="none" w:sz="0" w:space="0" w:color="auto"/>
            <w:bottom w:val="none" w:sz="0" w:space="0" w:color="auto"/>
            <w:right w:val="none" w:sz="0" w:space="0" w:color="auto"/>
          </w:divBdr>
        </w:div>
        <w:div w:id="397166895">
          <w:marLeft w:val="0"/>
          <w:marRight w:val="0"/>
          <w:marTop w:val="0"/>
          <w:marBottom w:val="0"/>
          <w:divBdr>
            <w:top w:val="none" w:sz="0" w:space="0" w:color="auto"/>
            <w:left w:val="none" w:sz="0" w:space="0" w:color="auto"/>
            <w:bottom w:val="none" w:sz="0" w:space="0" w:color="auto"/>
            <w:right w:val="none" w:sz="0" w:space="0" w:color="auto"/>
          </w:divBdr>
        </w:div>
        <w:div w:id="725108747">
          <w:marLeft w:val="0"/>
          <w:marRight w:val="0"/>
          <w:marTop w:val="0"/>
          <w:marBottom w:val="0"/>
          <w:divBdr>
            <w:top w:val="none" w:sz="0" w:space="0" w:color="auto"/>
            <w:left w:val="none" w:sz="0" w:space="0" w:color="auto"/>
            <w:bottom w:val="none" w:sz="0" w:space="0" w:color="auto"/>
            <w:right w:val="none" w:sz="0" w:space="0" w:color="auto"/>
          </w:divBdr>
        </w:div>
        <w:div w:id="1884713056">
          <w:marLeft w:val="0"/>
          <w:marRight w:val="0"/>
          <w:marTop w:val="0"/>
          <w:marBottom w:val="0"/>
          <w:divBdr>
            <w:top w:val="none" w:sz="0" w:space="0" w:color="auto"/>
            <w:left w:val="none" w:sz="0" w:space="0" w:color="auto"/>
            <w:bottom w:val="none" w:sz="0" w:space="0" w:color="auto"/>
            <w:right w:val="none" w:sz="0" w:space="0" w:color="auto"/>
          </w:divBdr>
        </w:div>
        <w:div w:id="1129276690">
          <w:marLeft w:val="0"/>
          <w:marRight w:val="0"/>
          <w:marTop w:val="0"/>
          <w:marBottom w:val="0"/>
          <w:divBdr>
            <w:top w:val="none" w:sz="0" w:space="0" w:color="auto"/>
            <w:left w:val="none" w:sz="0" w:space="0" w:color="auto"/>
            <w:bottom w:val="none" w:sz="0" w:space="0" w:color="auto"/>
            <w:right w:val="none" w:sz="0" w:space="0" w:color="auto"/>
          </w:divBdr>
        </w:div>
        <w:div w:id="292029983">
          <w:marLeft w:val="0"/>
          <w:marRight w:val="0"/>
          <w:marTop w:val="0"/>
          <w:marBottom w:val="0"/>
          <w:divBdr>
            <w:top w:val="none" w:sz="0" w:space="0" w:color="auto"/>
            <w:left w:val="none" w:sz="0" w:space="0" w:color="auto"/>
            <w:bottom w:val="none" w:sz="0" w:space="0" w:color="auto"/>
            <w:right w:val="none" w:sz="0" w:space="0" w:color="auto"/>
          </w:divBdr>
        </w:div>
        <w:div w:id="1243100539">
          <w:marLeft w:val="0"/>
          <w:marRight w:val="0"/>
          <w:marTop w:val="0"/>
          <w:marBottom w:val="0"/>
          <w:divBdr>
            <w:top w:val="none" w:sz="0" w:space="0" w:color="auto"/>
            <w:left w:val="none" w:sz="0" w:space="0" w:color="auto"/>
            <w:bottom w:val="none" w:sz="0" w:space="0" w:color="auto"/>
            <w:right w:val="none" w:sz="0" w:space="0" w:color="auto"/>
          </w:divBdr>
        </w:div>
        <w:div w:id="1086339831">
          <w:marLeft w:val="0"/>
          <w:marRight w:val="0"/>
          <w:marTop w:val="0"/>
          <w:marBottom w:val="0"/>
          <w:divBdr>
            <w:top w:val="none" w:sz="0" w:space="0" w:color="auto"/>
            <w:left w:val="none" w:sz="0" w:space="0" w:color="auto"/>
            <w:bottom w:val="none" w:sz="0" w:space="0" w:color="auto"/>
            <w:right w:val="none" w:sz="0" w:space="0" w:color="auto"/>
          </w:divBdr>
        </w:div>
        <w:div w:id="789281132">
          <w:marLeft w:val="0"/>
          <w:marRight w:val="0"/>
          <w:marTop w:val="0"/>
          <w:marBottom w:val="0"/>
          <w:divBdr>
            <w:top w:val="none" w:sz="0" w:space="0" w:color="auto"/>
            <w:left w:val="none" w:sz="0" w:space="0" w:color="auto"/>
            <w:bottom w:val="none" w:sz="0" w:space="0" w:color="auto"/>
            <w:right w:val="none" w:sz="0" w:space="0" w:color="auto"/>
          </w:divBdr>
        </w:div>
        <w:div w:id="1463421963">
          <w:marLeft w:val="0"/>
          <w:marRight w:val="0"/>
          <w:marTop w:val="0"/>
          <w:marBottom w:val="0"/>
          <w:divBdr>
            <w:top w:val="none" w:sz="0" w:space="0" w:color="auto"/>
            <w:left w:val="none" w:sz="0" w:space="0" w:color="auto"/>
            <w:bottom w:val="none" w:sz="0" w:space="0" w:color="auto"/>
            <w:right w:val="none" w:sz="0" w:space="0" w:color="auto"/>
          </w:divBdr>
        </w:div>
        <w:div w:id="295183164">
          <w:marLeft w:val="0"/>
          <w:marRight w:val="0"/>
          <w:marTop w:val="0"/>
          <w:marBottom w:val="0"/>
          <w:divBdr>
            <w:top w:val="none" w:sz="0" w:space="0" w:color="auto"/>
            <w:left w:val="none" w:sz="0" w:space="0" w:color="auto"/>
            <w:bottom w:val="none" w:sz="0" w:space="0" w:color="auto"/>
            <w:right w:val="none" w:sz="0" w:space="0" w:color="auto"/>
          </w:divBdr>
        </w:div>
        <w:div w:id="990719028">
          <w:marLeft w:val="0"/>
          <w:marRight w:val="0"/>
          <w:marTop w:val="0"/>
          <w:marBottom w:val="0"/>
          <w:divBdr>
            <w:top w:val="none" w:sz="0" w:space="0" w:color="auto"/>
            <w:left w:val="none" w:sz="0" w:space="0" w:color="auto"/>
            <w:bottom w:val="none" w:sz="0" w:space="0" w:color="auto"/>
            <w:right w:val="none" w:sz="0" w:space="0" w:color="auto"/>
          </w:divBdr>
        </w:div>
        <w:div w:id="1355500173">
          <w:marLeft w:val="0"/>
          <w:marRight w:val="0"/>
          <w:marTop w:val="0"/>
          <w:marBottom w:val="0"/>
          <w:divBdr>
            <w:top w:val="none" w:sz="0" w:space="0" w:color="auto"/>
            <w:left w:val="none" w:sz="0" w:space="0" w:color="auto"/>
            <w:bottom w:val="none" w:sz="0" w:space="0" w:color="auto"/>
            <w:right w:val="none" w:sz="0" w:space="0" w:color="auto"/>
          </w:divBdr>
        </w:div>
        <w:div w:id="526483033">
          <w:marLeft w:val="0"/>
          <w:marRight w:val="0"/>
          <w:marTop w:val="0"/>
          <w:marBottom w:val="0"/>
          <w:divBdr>
            <w:top w:val="none" w:sz="0" w:space="0" w:color="auto"/>
            <w:left w:val="none" w:sz="0" w:space="0" w:color="auto"/>
            <w:bottom w:val="none" w:sz="0" w:space="0" w:color="auto"/>
            <w:right w:val="none" w:sz="0" w:space="0" w:color="auto"/>
          </w:divBdr>
        </w:div>
        <w:div w:id="1246913048">
          <w:marLeft w:val="0"/>
          <w:marRight w:val="0"/>
          <w:marTop w:val="0"/>
          <w:marBottom w:val="0"/>
          <w:divBdr>
            <w:top w:val="none" w:sz="0" w:space="0" w:color="auto"/>
            <w:left w:val="none" w:sz="0" w:space="0" w:color="auto"/>
            <w:bottom w:val="none" w:sz="0" w:space="0" w:color="auto"/>
            <w:right w:val="none" w:sz="0" w:space="0" w:color="auto"/>
          </w:divBdr>
        </w:div>
        <w:div w:id="1231968009">
          <w:marLeft w:val="0"/>
          <w:marRight w:val="0"/>
          <w:marTop w:val="0"/>
          <w:marBottom w:val="0"/>
          <w:divBdr>
            <w:top w:val="none" w:sz="0" w:space="0" w:color="auto"/>
            <w:left w:val="none" w:sz="0" w:space="0" w:color="auto"/>
            <w:bottom w:val="none" w:sz="0" w:space="0" w:color="auto"/>
            <w:right w:val="none" w:sz="0" w:space="0" w:color="auto"/>
          </w:divBdr>
        </w:div>
        <w:div w:id="362050821">
          <w:marLeft w:val="0"/>
          <w:marRight w:val="0"/>
          <w:marTop w:val="0"/>
          <w:marBottom w:val="0"/>
          <w:divBdr>
            <w:top w:val="none" w:sz="0" w:space="0" w:color="auto"/>
            <w:left w:val="none" w:sz="0" w:space="0" w:color="auto"/>
            <w:bottom w:val="none" w:sz="0" w:space="0" w:color="auto"/>
            <w:right w:val="none" w:sz="0" w:space="0" w:color="auto"/>
          </w:divBdr>
        </w:div>
        <w:div w:id="1823961490">
          <w:marLeft w:val="0"/>
          <w:marRight w:val="0"/>
          <w:marTop w:val="0"/>
          <w:marBottom w:val="0"/>
          <w:divBdr>
            <w:top w:val="none" w:sz="0" w:space="0" w:color="auto"/>
            <w:left w:val="none" w:sz="0" w:space="0" w:color="auto"/>
            <w:bottom w:val="none" w:sz="0" w:space="0" w:color="auto"/>
            <w:right w:val="none" w:sz="0" w:space="0" w:color="auto"/>
          </w:divBdr>
        </w:div>
        <w:div w:id="441648912">
          <w:marLeft w:val="0"/>
          <w:marRight w:val="0"/>
          <w:marTop w:val="0"/>
          <w:marBottom w:val="0"/>
          <w:divBdr>
            <w:top w:val="none" w:sz="0" w:space="0" w:color="auto"/>
            <w:left w:val="none" w:sz="0" w:space="0" w:color="auto"/>
            <w:bottom w:val="none" w:sz="0" w:space="0" w:color="auto"/>
            <w:right w:val="none" w:sz="0" w:space="0" w:color="auto"/>
          </w:divBdr>
        </w:div>
        <w:div w:id="2075010879">
          <w:marLeft w:val="0"/>
          <w:marRight w:val="0"/>
          <w:marTop w:val="0"/>
          <w:marBottom w:val="0"/>
          <w:divBdr>
            <w:top w:val="none" w:sz="0" w:space="0" w:color="auto"/>
            <w:left w:val="none" w:sz="0" w:space="0" w:color="auto"/>
            <w:bottom w:val="none" w:sz="0" w:space="0" w:color="auto"/>
            <w:right w:val="none" w:sz="0" w:space="0" w:color="auto"/>
          </w:divBdr>
        </w:div>
        <w:div w:id="733696968">
          <w:marLeft w:val="0"/>
          <w:marRight w:val="0"/>
          <w:marTop w:val="0"/>
          <w:marBottom w:val="0"/>
          <w:divBdr>
            <w:top w:val="none" w:sz="0" w:space="0" w:color="auto"/>
            <w:left w:val="none" w:sz="0" w:space="0" w:color="auto"/>
            <w:bottom w:val="none" w:sz="0" w:space="0" w:color="auto"/>
            <w:right w:val="none" w:sz="0" w:space="0" w:color="auto"/>
          </w:divBdr>
        </w:div>
        <w:div w:id="890120898">
          <w:marLeft w:val="0"/>
          <w:marRight w:val="0"/>
          <w:marTop w:val="0"/>
          <w:marBottom w:val="0"/>
          <w:divBdr>
            <w:top w:val="none" w:sz="0" w:space="0" w:color="auto"/>
            <w:left w:val="none" w:sz="0" w:space="0" w:color="auto"/>
            <w:bottom w:val="none" w:sz="0" w:space="0" w:color="auto"/>
            <w:right w:val="none" w:sz="0" w:space="0" w:color="auto"/>
          </w:divBdr>
        </w:div>
        <w:div w:id="1688093302">
          <w:marLeft w:val="0"/>
          <w:marRight w:val="0"/>
          <w:marTop w:val="0"/>
          <w:marBottom w:val="0"/>
          <w:divBdr>
            <w:top w:val="none" w:sz="0" w:space="0" w:color="auto"/>
            <w:left w:val="none" w:sz="0" w:space="0" w:color="auto"/>
            <w:bottom w:val="none" w:sz="0" w:space="0" w:color="auto"/>
            <w:right w:val="none" w:sz="0" w:space="0" w:color="auto"/>
          </w:divBdr>
        </w:div>
        <w:div w:id="1369598503">
          <w:marLeft w:val="0"/>
          <w:marRight w:val="0"/>
          <w:marTop w:val="0"/>
          <w:marBottom w:val="0"/>
          <w:divBdr>
            <w:top w:val="none" w:sz="0" w:space="0" w:color="auto"/>
            <w:left w:val="none" w:sz="0" w:space="0" w:color="auto"/>
            <w:bottom w:val="none" w:sz="0" w:space="0" w:color="auto"/>
            <w:right w:val="none" w:sz="0" w:space="0" w:color="auto"/>
          </w:divBdr>
        </w:div>
        <w:div w:id="1913347673">
          <w:marLeft w:val="0"/>
          <w:marRight w:val="0"/>
          <w:marTop w:val="0"/>
          <w:marBottom w:val="0"/>
          <w:divBdr>
            <w:top w:val="none" w:sz="0" w:space="0" w:color="auto"/>
            <w:left w:val="none" w:sz="0" w:space="0" w:color="auto"/>
            <w:bottom w:val="none" w:sz="0" w:space="0" w:color="auto"/>
            <w:right w:val="none" w:sz="0" w:space="0" w:color="auto"/>
          </w:divBdr>
        </w:div>
        <w:div w:id="256520850">
          <w:marLeft w:val="0"/>
          <w:marRight w:val="0"/>
          <w:marTop w:val="0"/>
          <w:marBottom w:val="0"/>
          <w:divBdr>
            <w:top w:val="none" w:sz="0" w:space="0" w:color="auto"/>
            <w:left w:val="none" w:sz="0" w:space="0" w:color="auto"/>
            <w:bottom w:val="none" w:sz="0" w:space="0" w:color="auto"/>
            <w:right w:val="none" w:sz="0" w:space="0" w:color="auto"/>
          </w:divBdr>
        </w:div>
        <w:div w:id="807363479">
          <w:marLeft w:val="0"/>
          <w:marRight w:val="0"/>
          <w:marTop w:val="0"/>
          <w:marBottom w:val="0"/>
          <w:divBdr>
            <w:top w:val="none" w:sz="0" w:space="0" w:color="auto"/>
            <w:left w:val="none" w:sz="0" w:space="0" w:color="auto"/>
            <w:bottom w:val="none" w:sz="0" w:space="0" w:color="auto"/>
            <w:right w:val="none" w:sz="0" w:space="0" w:color="auto"/>
          </w:divBdr>
        </w:div>
        <w:div w:id="1304457814">
          <w:marLeft w:val="0"/>
          <w:marRight w:val="0"/>
          <w:marTop w:val="0"/>
          <w:marBottom w:val="0"/>
          <w:divBdr>
            <w:top w:val="none" w:sz="0" w:space="0" w:color="auto"/>
            <w:left w:val="none" w:sz="0" w:space="0" w:color="auto"/>
            <w:bottom w:val="none" w:sz="0" w:space="0" w:color="auto"/>
            <w:right w:val="none" w:sz="0" w:space="0" w:color="auto"/>
          </w:divBdr>
        </w:div>
        <w:div w:id="1729910647">
          <w:marLeft w:val="0"/>
          <w:marRight w:val="0"/>
          <w:marTop w:val="0"/>
          <w:marBottom w:val="0"/>
          <w:divBdr>
            <w:top w:val="none" w:sz="0" w:space="0" w:color="auto"/>
            <w:left w:val="none" w:sz="0" w:space="0" w:color="auto"/>
            <w:bottom w:val="none" w:sz="0" w:space="0" w:color="auto"/>
            <w:right w:val="none" w:sz="0" w:space="0" w:color="auto"/>
          </w:divBdr>
        </w:div>
        <w:div w:id="468598485">
          <w:marLeft w:val="0"/>
          <w:marRight w:val="0"/>
          <w:marTop w:val="0"/>
          <w:marBottom w:val="0"/>
          <w:divBdr>
            <w:top w:val="none" w:sz="0" w:space="0" w:color="auto"/>
            <w:left w:val="none" w:sz="0" w:space="0" w:color="auto"/>
            <w:bottom w:val="none" w:sz="0" w:space="0" w:color="auto"/>
            <w:right w:val="none" w:sz="0" w:space="0" w:color="auto"/>
          </w:divBdr>
        </w:div>
        <w:div w:id="138889236">
          <w:marLeft w:val="0"/>
          <w:marRight w:val="0"/>
          <w:marTop w:val="0"/>
          <w:marBottom w:val="0"/>
          <w:divBdr>
            <w:top w:val="none" w:sz="0" w:space="0" w:color="auto"/>
            <w:left w:val="none" w:sz="0" w:space="0" w:color="auto"/>
            <w:bottom w:val="none" w:sz="0" w:space="0" w:color="auto"/>
            <w:right w:val="none" w:sz="0" w:space="0" w:color="auto"/>
          </w:divBdr>
        </w:div>
        <w:div w:id="1096903909">
          <w:marLeft w:val="0"/>
          <w:marRight w:val="0"/>
          <w:marTop w:val="0"/>
          <w:marBottom w:val="0"/>
          <w:divBdr>
            <w:top w:val="none" w:sz="0" w:space="0" w:color="auto"/>
            <w:left w:val="none" w:sz="0" w:space="0" w:color="auto"/>
            <w:bottom w:val="none" w:sz="0" w:space="0" w:color="auto"/>
            <w:right w:val="none" w:sz="0" w:space="0" w:color="auto"/>
          </w:divBdr>
        </w:div>
        <w:div w:id="1167327349">
          <w:marLeft w:val="0"/>
          <w:marRight w:val="0"/>
          <w:marTop w:val="0"/>
          <w:marBottom w:val="0"/>
          <w:divBdr>
            <w:top w:val="none" w:sz="0" w:space="0" w:color="auto"/>
            <w:left w:val="none" w:sz="0" w:space="0" w:color="auto"/>
            <w:bottom w:val="none" w:sz="0" w:space="0" w:color="auto"/>
            <w:right w:val="none" w:sz="0" w:space="0" w:color="auto"/>
          </w:divBdr>
        </w:div>
        <w:div w:id="130026287">
          <w:marLeft w:val="0"/>
          <w:marRight w:val="0"/>
          <w:marTop w:val="0"/>
          <w:marBottom w:val="0"/>
          <w:divBdr>
            <w:top w:val="none" w:sz="0" w:space="0" w:color="auto"/>
            <w:left w:val="none" w:sz="0" w:space="0" w:color="auto"/>
            <w:bottom w:val="none" w:sz="0" w:space="0" w:color="auto"/>
            <w:right w:val="none" w:sz="0" w:space="0" w:color="auto"/>
          </w:divBdr>
        </w:div>
        <w:div w:id="597517753">
          <w:marLeft w:val="0"/>
          <w:marRight w:val="0"/>
          <w:marTop w:val="0"/>
          <w:marBottom w:val="0"/>
          <w:divBdr>
            <w:top w:val="none" w:sz="0" w:space="0" w:color="auto"/>
            <w:left w:val="none" w:sz="0" w:space="0" w:color="auto"/>
            <w:bottom w:val="none" w:sz="0" w:space="0" w:color="auto"/>
            <w:right w:val="none" w:sz="0" w:space="0" w:color="auto"/>
          </w:divBdr>
        </w:div>
        <w:div w:id="211773325">
          <w:marLeft w:val="0"/>
          <w:marRight w:val="0"/>
          <w:marTop w:val="0"/>
          <w:marBottom w:val="0"/>
          <w:divBdr>
            <w:top w:val="none" w:sz="0" w:space="0" w:color="auto"/>
            <w:left w:val="none" w:sz="0" w:space="0" w:color="auto"/>
            <w:bottom w:val="none" w:sz="0" w:space="0" w:color="auto"/>
            <w:right w:val="none" w:sz="0" w:space="0" w:color="auto"/>
          </w:divBdr>
        </w:div>
        <w:div w:id="823665468">
          <w:marLeft w:val="0"/>
          <w:marRight w:val="0"/>
          <w:marTop w:val="0"/>
          <w:marBottom w:val="0"/>
          <w:divBdr>
            <w:top w:val="none" w:sz="0" w:space="0" w:color="auto"/>
            <w:left w:val="none" w:sz="0" w:space="0" w:color="auto"/>
            <w:bottom w:val="none" w:sz="0" w:space="0" w:color="auto"/>
            <w:right w:val="none" w:sz="0" w:space="0" w:color="auto"/>
          </w:divBdr>
        </w:div>
        <w:div w:id="1281719722">
          <w:marLeft w:val="0"/>
          <w:marRight w:val="0"/>
          <w:marTop w:val="0"/>
          <w:marBottom w:val="0"/>
          <w:divBdr>
            <w:top w:val="none" w:sz="0" w:space="0" w:color="auto"/>
            <w:left w:val="none" w:sz="0" w:space="0" w:color="auto"/>
            <w:bottom w:val="none" w:sz="0" w:space="0" w:color="auto"/>
            <w:right w:val="none" w:sz="0" w:space="0" w:color="auto"/>
          </w:divBdr>
        </w:div>
        <w:div w:id="302082844">
          <w:marLeft w:val="0"/>
          <w:marRight w:val="0"/>
          <w:marTop w:val="0"/>
          <w:marBottom w:val="0"/>
          <w:divBdr>
            <w:top w:val="none" w:sz="0" w:space="0" w:color="auto"/>
            <w:left w:val="none" w:sz="0" w:space="0" w:color="auto"/>
            <w:bottom w:val="none" w:sz="0" w:space="0" w:color="auto"/>
            <w:right w:val="none" w:sz="0" w:space="0" w:color="auto"/>
          </w:divBdr>
        </w:div>
        <w:div w:id="929394134">
          <w:marLeft w:val="0"/>
          <w:marRight w:val="0"/>
          <w:marTop w:val="0"/>
          <w:marBottom w:val="0"/>
          <w:divBdr>
            <w:top w:val="none" w:sz="0" w:space="0" w:color="auto"/>
            <w:left w:val="none" w:sz="0" w:space="0" w:color="auto"/>
            <w:bottom w:val="none" w:sz="0" w:space="0" w:color="auto"/>
            <w:right w:val="none" w:sz="0" w:space="0" w:color="auto"/>
          </w:divBdr>
        </w:div>
        <w:div w:id="1494644278">
          <w:marLeft w:val="0"/>
          <w:marRight w:val="0"/>
          <w:marTop w:val="0"/>
          <w:marBottom w:val="0"/>
          <w:divBdr>
            <w:top w:val="none" w:sz="0" w:space="0" w:color="auto"/>
            <w:left w:val="none" w:sz="0" w:space="0" w:color="auto"/>
            <w:bottom w:val="none" w:sz="0" w:space="0" w:color="auto"/>
            <w:right w:val="none" w:sz="0" w:space="0" w:color="auto"/>
          </w:divBdr>
        </w:div>
        <w:div w:id="556672499">
          <w:marLeft w:val="0"/>
          <w:marRight w:val="0"/>
          <w:marTop w:val="0"/>
          <w:marBottom w:val="0"/>
          <w:divBdr>
            <w:top w:val="none" w:sz="0" w:space="0" w:color="auto"/>
            <w:left w:val="none" w:sz="0" w:space="0" w:color="auto"/>
            <w:bottom w:val="none" w:sz="0" w:space="0" w:color="auto"/>
            <w:right w:val="none" w:sz="0" w:space="0" w:color="auto"/>
          </w:divBdr>
        </w:div>
        <w:div w:id="1729836160">
          <w:marLeft w:val="0"/>
          <w:marRight w:val="0"/>
          <w:marTop w:val="0"/>
          <w:marBottom w:val="0"/>
          <w:divBdr>
            <w:top w:val="none" w:sz="0" w:space="0" w:color="auto"/>
            <w:left w:val="none" w:sz="0" w:space="0" w:color="auto"/>
            <w:bottom w:val="none" w:sz="0" w:space="0" w:color="auto"/>
            <w:right w:val="none" w:sz="0" w:space="0" w:color="auto"/>
          </w:divBdr>
        </w:div>
        <w:div w:id="10107194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node/30741" TargetMode="External"/><Relationship Id="rId2" Type="http://schemas.openxmlformats.org/officeDocument/2006/relationships/hyperlink" Target="https://www.colombiacompra.gov.co/node/23628" TargetMode="External"/><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documentManagement/types"/>
    <ds:schemaRef ds:uri="http://purl.org/dc/dcmitype/"/>
    <ds:schemaRef ds:uri="9d85dbaf-23eb-4e57-a637-93dcacc8b1a1"/>
    <ds:schemaRef ds:uri="http://purl.org/dc/elements/1.1/"/>
    <ds:schemaRef ds:uri="http://www.w3.org/XML/1998/namespace"/>
    <ds:schemaRef ds:uri="http://purl.org/dc/terms/"/>
    <ds:schemaRef ds:uri="http://schemas.microsoft.com/office/2006/metadata/properties"/>
    <ds:schemaRef ds:uri="http://schemas.microsoft.com/office/infopath/2007/PartnerControls"/>
    <ds:schemaRef ds:uri="http://schemas.openxmlformats.org/package/2006/metadata/core-properties"/>
    <ds:schemaRef ds:uri="a6cb9e4b-f1d1-4245-83ec-6cad768d538a"/>
  </ds:schemaRefs>
</ds:datastoreItem>
</file>

<file path=customXml/itemProps2.xml><?xml version="1.0" encoding="utf-8"?>
<ds:datastoreItem xmlns:ds="http://schemas.openxmlformats.org/officeDocument/2006/customXml" ds:itemID="{76063735-6B46-4D23-BF32-0368C5E6FC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13035</Words>
  <Characters>71694</Characters>
  <Application>Microsoft Office Word</Application>
  <DocSecurity>0</DocSecurity>
  <Lines>597</Lines>
  <Paragraphs>169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Lucia Saavedra</cp:lastModifiedBy>
  <cp:revision>2</cp:revision>
  <dcterms:created xsi:type="dcterms:W3CDTF">2023-03-02T22:00:00Z</dcterms:created>
  <dcterms:modified xsi:type="dcterms:W3CDTF">2023-03-02T22:00:00Z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