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6598B" w14:textId="77777777" w:rsidR="00D50BE5" w:rsidRDefault="00D50BE5" w:rsidP="00617820">
      <w:pPr>
        <w:spacing w:after="0" w:line="240" w:lineRule="auto"/>
        <w:jc w:val="both"/>
        <w:rPr>
          <w:rFonts w:ascii="Geomanist Light" w:hAnsi="Geomanist Light"/>
          <w:b/>
          <w:bCs/>
          <w:lang w:val="es-MX"/>
        </w:rPr>
      </w:pPr>
      <w:bookmarkStart w:id="0" w:name="_Hlk28946138"/>
      <w:bookmarkStart w:id="1" w:name="_Hlk29548183"/>
      <w:bookmarkStart w:id="2" w:name="_Hlk29890381"/>
      <w:bookmarkStart w:id="3" w:name="_Hlk87263250"/>
      <w:r>
        <w:rPr>
          <w:rFonts w:ascii="Geomanist Light" w:hAnsi="Geomanist Light"/>
          <w:b/>
          <w:bCs/>
          <w:lang w:val="es-MX"/>
        </w:rPr>
        <w:t>ENAJENACIÓN DE BIENES A TÍTULO GRATUITO – Definición – Contrato de donación</w:t>
      </w:r>
    </w:p>
    <w:p w14:paraId="0E460D4E" w14:textId="77777777" w:rsidR="00D50BE5" w:rsidRDefault="00D50BE5" w:rsidP="00617820">
      <w:pPr>
        <w:spacing w:after="0" w:line="240" w:lineRule="auto"/>
        <w:jc w:val="both"/>
        <w:rPr>
          <w:rFonts w:ascii="Geomanist Light" w:hAnsi="Geomanist Light"/>
          <w:b/>
          <w:bCs/>
          <w:lang w:val="es-MX"/>
        </w:rPr>
      </w:pPr>
    </w:p>
    <w:p w14:paraId="30791AB7" w14:textId="77777777" w:rsidR="00D50BE5" w:rsidRPr="00B40C0E" w:rsidRDefault="00D50BE5" w:rsidP="00617820">
      <w:pPr>
        <w:spacing w:after="0" w:line="240" w:lineRule="auto"/>
        <w:jc w:val="both"/>
        <w:rPr>
          <w:rFonts w:ascii="Geomanist Light" w:hAnsi="Geomanist Light"/>
          <w:sz w:val="20"/>
          <w:szCs w:val="20"/>
          <w:lang w:val="es-MX"/>
        </w:rPr>
      </w:pPr>
      <w:r w:rsidRPr="00B40C0E">
        <w:rPr>
          <w:rFonts w:ascii="Geomanist Light" w:hAnsi="Geomanist Light"/>
          <w:sz w:val="20"/>
          <w:szCs w:val="20"/>
          <w:lang w:val="es-MX"/>
        </w:rPr>
        <w:t xml:space="preserve">La enajenación se define como la transferencia del derecho real sobre un bien. Como indica la doctrina, «Dar –en sentido restringido–, </w:t>
      </w:r>
      <w:proofErr w:type="spellStart"/>
      <w:r w:rsidRPr="00B40C0E">
        <w:rPr>
          <w:rFonts w:ascii="Geomanist Light" w:hAnsi="Geomanist Light"/>
          <w:sz w:val="20"/>
          <w:szCs w:val="20"/>
          <w:lang w:val="es-MX"/>
        </w:rPr>
        <w:t>traditar</w:t>
      </w:r>
      <w:proofErr w:type="spellEnd"/>
      <w:r w:rsidRPr="00B40C0E">
        <w:rPr>
          <w:rFonts w:ascii="Geomanist Light" w:hAnsi="Geomanist Light"/>
          <w:sz w:val="20"/>
          <w:szCs w:val="20"/>
          <w:lang w:val="es-MX"/>
        </w:rPr>
        <w:t xml:space="preserve">, enajenar, disponer, son conceptos sinónimos en el Código Civil. Cuando se da, se enajena, cuando se </w:t>
      </w:r>
      <w:proofErr w:type="spellStart"/>
      <w:r w:rsidRPr="00B40C0E">
        <w:rPr>
          <w:rFonts w:ascii="Geomanist Light" w:hAnsi="Geomanist Light"/>
          <w:sz w:val="20"/>
          <w:szCs w:val="20"/>
          <w:lang w:val="es-MX"/>
        </w:rPr>
        <w:t>tradita</w:t>
      </w:r>
      <w:proofErr w:type="spellEnd"/>
      <w:r w:rsidRPr="00B40C0E">
        <w:rPr>
          <w:rFonts w:ascii="Geomanist Light" w:hAnsi="Geomanist Light"/>
          <w:sz w:val="20"/>
          <w:szCs w:val="20"/>
          <w:lang w:val="es-MX"/>
        </w:rPr>
        <w:t xml:space="preserve">, se enajena, cuando se enajena, se da o se </w:t>
      </w:r>
      <w:proofErr w:type="spellStart"/>
      <w:r w:rsidRPr="00B40C0E">
        <w:rPr>
          <w:rFonts w:ascii="Geomanist Light" w:hAnsi="Geomanist Light"/>
          <w:sz w:val="20"/>
          <w:szCs w:val="20"/>
          <w:lang w:val="es-MX"/>
        </w:rPr>
        <w:t>tradita</w:t>
      </w:r>
      <w:proofErr w:type="spellEnd"/>
      <w:r w:rsidRPr="00B40C0E">
        <w:rPr>
          <w:rFonts w:ascii="Geomanist Light" w:hAnsi="Geomanist Light"/>
          <w:sz w:val="20"/>
          <w:szCs w:val="20"/>
          <w:lang w:val="es-MX"/>
        </w:rPr>
        <w:t xml:space="preserve">. Y, finalmente, cuando ocurre cualquiera de tales fenómenos, se dispone». Lo más usual es que la enajenación se lleva a cabo respecto del derecho de propiedad; y en tal caso se efectúa a través de los modos señalados en el artículo 673 del Código Civil, pudiendo recaer tanto sobre los bienes muebles, como inmuebles, aunque frente a estos la ley exige solemnidades especiales. Entretanto, el artículo 1521 del Código Civil dispone que se presenta objeto ilícito en la enajenación: i) «De las cosas que no están en el comercio», </w:t>
      </w:r>
      <w:proofErr w:type="spellStart"/>
      <w:r w:rsidRPr="00B40C0E">
        <w:rPr>
          <w:rFonts w:ascii="Geomanist Light" w:hAnsi="Geomanist Light"/>
          <w:sz w:val="20"/>
          <w:szCs w:val="20"/>
          <w:lang w:val="es-MX"/>
        </w:rPr>
        <w:t>ii</w:t>
      </w:r>
      <w:proofErr w:type="spellEnd"/>
      <w:r w:rsidRPr="00B40C0E">
        <w:rPr>
          <w:rFonts w:ascii="Geomanist Light" w:hAnsi="Geomanist Light"/>
          <w:sz w:val="20"/>
          <w:szCs w:val="20"/>
          <w:lang w:val="es-MX"/>
        </w:rPr>
        <w:t xml:space="preserve">) «De los derechos o privilegios que no pueden transferirse a otra persona» y </w:t>
      </w:r>
      <w:proofErr w:type="spellStart"/>
      <w:r w:rsidRPr="00B40C0E">
        <w:rPr>
          <w:rFonts w:ascii="Geomanist Light" w:hAnsi="Geomanist Light"/>
          <w:sz w:val="20"/>
          <w:szCs w:val="20"/>
          <w:lang w:val="es-MX"/>
        </w:rPr>
        <w:t>iii</w:t>
      </w:r>
      <w:proofErr w:type="spellEnd"/>
      <w:r w:rsidRPr="00B40C0E">
        <w:rPr>
          <w:rFonts w:ascii="Geomanist Light" w:hAnsi="Geomanist Light"/>
          <w:sz w:val="20"/>
          <w:szCs w:val="20"/>
          <w:lang w:val="es-MX"/>
        </w:rPr>
        <w:t>) «De las cosas embargadas por decreto judicial, a menos que el juez lo autorice o el acreedor consienta en ello».</w:t>
      </w:r>
    </w:p>
    <w:p w14:paraId="3102ACDB" w14:textId="77777777" w:rsidR="00D50BE5" w:rsidRPr="00B40C0E" w:rsidRDefault="00D50BE5" w:rsidP="00617820">
      <w:pPr>
        <w:spacing w:after="0" w:line="240" w:lineRule="auto"/>
        <w:jc w:val="both"/>
        <w:rPr>
          <w:rFonts w:ascii="Geomanist Light" w:hAnsi="Geomanist Light"/>
          <w:sz w:val="20"/>
          <w:szCs w:val="20"/>
          <w:lang w:val="es-MX"/>
        </w:rPr>
      </w:pPr>
    </w:p>
    <w:p w14:paraId="4EAE273F" w14:textId="77777777" w:rsidR="00D50BE5" w:rsidRDefault="00D50BE5" w:rsidP="00617820">
      <w:pPr>
        <w:spacing w:after="0" w:line="240" w:lineRule="auto"/>
        <w:jc w:val="both"/>
        <w:rPr>
          <w:rFonts w:ascii="Geomanist Light" w:hAnsi="Geomanist Light"/>
          <w:sz w:val="20"/>
          <w:szCs w:val="20"/>
          <w:lang w:val="es-MX"/>
        </w:rPr>
      </w:pPr>
      <w:r w:rsidRPr="00B40C0E">
        <w:rPr>
          <w:rFonts w:ascii="Geomanist Light" w:hAnsi="Geomanist Light"/>
          <w:sz w:val="20"/>
          <w:szCs w:val="20"/>
          <w:lang w:val="es-MX"/>
        </w:rPr>
        <w:t xml:space="preserve">La enajenación de bienes a título gratuito está relacionada con el contrato de donación, definido en el Código Civil como «un acto por el cual una persona transfiere, gratuita e irrevocablemente, una parte de sus bienes a otra persona que la acepta». El Consejo de Estado sostuvo respecto de la definición de la donación del Código Civil, que era naturalmente imprecisa toda vez que la donación es un verdadero «contrato» y no solo un acto, lo anterior porque para el perfeccionamiento del «contrato» concurre i) la voluntad dispositiva de la persona que pretende entregar parte de su patrimonio –donante– y </w:t>
      </w:r>
      <w:proofErr w:type="spellStart"/>
      <w:r w:rsidRPr="00B40C0E">
        <w:rPr>
          <w:rFonts w:ascii="Geomanist Light" w:hAnsi="Geomanist Light"/>
          <w:sz w:val="20"/>
          <w:szCs w:val="20"/>
          <w:lang w:val="es-MX"/>
        </w:rPr>
        <w:t>ii</w:t>
      </w:r>
      <w:proofErr w:type="spellEnd"/>
      <w:r w:rsidRPr="00B40C0E">
        <w:rPr>
          <w:rFonts w:ascii="Geomanist Light" w:hAnsi="Geomanist Light"/>
          <w:sz w:val="20"/>
          <w:szCs w:val="20"/>
          <w:lang w:val="es-MX"/>
        </w:rPr>
        <w:t>) la aceptación de quién recibirá el beneficio económico –donatario–. Conforme a lo anterior, la celebración de un contrato de donación se constituye como un verdadero acto traslaticio del dominio.</w:t>
      </w:r>
    </w:p>
    <w:p w14:paraId="0A2485FD" w14:textId="77777777" w:rsidR="00D50BE5" w:rsidRDefault="00D50BE5" w:rsidP="00617820">
      <w:pPr>
        <w:spacing w:after="0" w:line="240" w:lineRule="auto"/>
        <w:jc w:val="both"/>
        <w:rPr>
          <w:rFonts w:ascii="Geomanist Light" w:hAnsi="Geomanist Light"/>
          <w:sz w:val="20"/>
          <w:szCs w:val="20"/>
          <w:lang w:val="es-MX"/>
        </w:rPr>
      </w:pPr>
    </w:p>
    <w:p w14:paraId="3634F62E" w14:textId="77777777" w:rsidR="00D50BE5" w:rsidRDefault="00D50BE5" w:rsidP="00617820">
      <w:pPr>
        <w:spacing w:after="0" w:line="240" w:lineRule="auto"/>
        <w:jc w:val="both"/>
        <w:rPr>
          <w:rFonts w:ascii="Geomanist Light" w:hAnsi="Geomanist Light"/>
          <w:b/>
          <w:bCs/>
          <w:lang w:val="es-MX"/>
        </w:rPr>
      </w:pPr>
      <w:r>
        <w:rPr>
          <w:rFonts w:ascii="Geomanist Light" w:hAnsi="Geomanist Light"/>
          <w:b/>
          <w:bCs/>
          <w:lang w:val="es-MX"/>
        </w:rPr>
        <w:t xml:space="preserve">ENAJENACIÓN DE BIENES A TÍTULO GRATUITO – Bienes objeto de donación – Bienes de dominio público – Bienes fiscales </w:t>
      </w:r>
    </w:p>
    <w:p w14:paraId="28D51030" w14:textId="77777777" w:rsidR="00D50BE5" w:rsidRDefault="00D50BE5" w:rsidP="00617820">
      <w:pPr>
        <w:spacing w:after="0" w:line="240" w:lineRule="auto"/>
        <w:jc w:val="both"/>
        <w:rPr>
          <w:rFonts w:ascii="Geomanist Light" w:hAnsi="Geomanist Light"/>
          <w:b/>
          <w:bCs/>
          <w:lang w:val="es-MX"/>
        </w:rPr>
      </w:pPr>
    </w:p>
    <w:p w14:paraId="10DAD43D" w14:textId="77777777" w:rsidR="00D50BE5" w:rsidRDefault="00D50BE5" w:rsidP="00617820">
      <w:pPr>
        <w:spacing w:after="0" w:line="240" w:lineRule="auto"/>
        <w:jc w:val="both"/>
        <w:rPr>
          <w:rFonts w:ascii="Geomanist Light" w:hAnsi="Geomanist Light"/>
          <w:sz w:val="20"/>
          <w:szCs w:val="20"/>
          <w:lang w:val="es-MX"/>
        </w:rPr>
      </w:pPr>
      <w:r w:rsidRPr="00B40C0E">
        <w:rPr>
          <w:rFonts w:ascii="Geomanist Light" w:hAnsi="Geomanist Light"/>
          <w:sz w:val="20"/>
          <w:szCs w:val="20"/>
          <w:lang w:val="es-MX"/>
        </w:rPr>
        <w:t>Los bienes de dominio público, de acuerdo con la sentencia C.-183 de 2003 de la Corte constitucional, son «el conjunto de bienes que la administración afecta al uso directo de la comunidad o que utiliza para servir a la sociedad». Dentro de esta categoría se encuentran los bienes fiscales y los bienes de uso público. Los bienes fiscales, de acuerdo con el Alto Tribunal Constitucional, están destinados a la presentación de servicios públicos que la Administración utiliza de forma inmediata, como los edificios donde funcionan las oficinas públicas.</w:t>
      </w:r>
    </w:p>
    <w:p w14:paraId="360CD09F" w14:textId="77777777" w:rsidR="00D50BE5" w:rsidRPr="00B40C0E" w:rsidRDefault="00D50BE5" w:rsidP="00617820">
      <w:pPr>
        <w:spacing w:after="0" w:line="240" w:lineRule="auto"/>
        <w:jc w:val="both"/>
        <w:rPr>
          <w:rFonts w:ascii="Geomanist Light" w:hAnsi="Geomanist Light"/>
          <w:sz w:val="20"/>
          <w:szCs w:val="20"/>
          <w:lang w:val="es-MX"/>
        </w:rPr>
      </w:pPr>
    </w:p>
    <w:p w14:paraId="24AC40E6" w14:textId="77777777" w:rsidR="00D50BE5" w:rsidRDefault="00D50BE5" w:rsidP="00617820">
      <w:pPr>
        <w:spacing w:after="0" w:line="240" w:lineRule="auto"/>
        <w:jc w:val="both"/>
        <w:rPr>
          <w:rFonts w:ascii="Geomanist Light" w:hAnsi="Geomanist Light"/>
          <w:sz w:val="20"/>
          <w:szCs w:val="20"/>
          <w:lang w:val="es-MX"/>
        </w:rPr>
      </w:pPr>
      <w:r w:rsidRPr="00B40C0E">
        <w:rPr>
          <w:rFonts w:ascii="Geomanist Light" w:hAnsi="Geomanist Light"/>
          <w:sz w:val="20"/>
          <w:szCs w:val="20"/>
          <w:lang w:val="es-MX"/>
        </w:rPr>
        <w:t>A su vez, el Consejo de Estado, define los bienes fiscales como «aquellos que pertenecen 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construir una reserva patrimonial para fines de utilidad común. Su dominio corresponde a la República, pero su uso no pertenece generalmente a los habitantes, de manera que el Estado lo posee y los administra en forma similar a como lo hacen los particulares con los bienes de su propiedad». De esta manera, sobre los bienes fiscales, a pesar de estar destinados a la prestación de servicios públicos, las entidades estatales tienen la facultad de disponer de ellos a través de un acto jurídico como la compraventa, la donación, arriendo, entre otros.</w:t>
      </w:r>
    </w:p>
    <w:p w14:paraId="7F4288EC" w14:textId="77777777" w:rsidR="00D50BE5" w:rsidRDefault="00D50BE5" w:rsidP="00617820">
      <w:pPr>
        <w:spacing w:after="0" w:line="240" w:lineRule="auto"/>
        <w:jc w:val="both"/>
        <w:rPr>
          <w:rFonts w:ascii="Geomanist Light" w:eastAsia="Times New Roman" w:hAnsi="Geomanist Light" w:cs="Arial"/>
          <w:color w:val="000000"/>
          <w:sz w:val="20"/>
          <w:szCs w:val="20"/>
          <w:lang w:eastAsia="es-ES_tradnl"/>
        </w:rPr>
      </w:pPr>
    </w:p>
    <w:p w14:paraId="368BCFFA" w14:textId="63BE1DBD" w:rsidR="00D50BE5" w:rsidRPr="00B40C0E" w:rsidRDefault="00D50BE5" w:rsidP="00617820">
      <w:pPr>
        <w:spacing w:after="0" w:line="240" w:lineRule="auto"/>
        <w:jc w:val="both"/>
        <w:rPr>
          <w:rFonts w:ascii="Geomanist Light" w:eastAsia="Times New Roman" w:hAnsi="Geomanist Light" w:cs="Arial"/>
          <w:sz w:val="20"/>
          <w:szCs w:val="20"/>
          <w:lang w:eastAsia="es-ES_tradnl"/>
        </w:rPr>
      </w:pPr>
      <w:r w:rsidRPr="00B40C0E">
        <w:rPr>
          <w:rFonts w:ascii="Geomanist Light" w:eastAsia="Times New Roman" w:hAnsi="Geomanist Light" w:cs="Arial"/>
          <w:color w:val="000000"/>
          <w:sz w:val="20"/>
          <w:szCs w:val="20"/>
          <w:lang w:eastAsia="es-ES_tradnl"/>
        </w:rPr>
        <w:t xml:space="preserve">Acerca de los bienes de uso público, el Consejo de Estado los define como «aquellos cuya titularidad pertenece al Estado y se hallan destinados al uso, goce y disfrute de todos los habitantes del territorio, </w:t>
      </w:r>
      <w:r w:rsidRPr="00B40C0E">
        <w:rPr>
          <w:rFonts w:ascii="Geomanist Light" w:eastAsia="Times New Roman" w:hAnsi="Geomanist Light" w:cs="Arial"/>
          <w:color w:val="000000"/>
          <w:sz w:val="20"/>
          <w:szCs w:val="20"/>
          <w:lang w:eastAsia="es-ES_tradnl"/>
        </w:rPr>
        <w:lastRenderedPageBreak/>
        <w:t>están sometidos al régimen de derecho público y sobre ellos el Estado ejerce derechos de administración y de policía, con miras a garantizar y proteger su uso y goce común, por motivos de interés general</w:t>
      </w:r>
      <w:r w:rsidRPr="00B40C0E">
        <w:rPr>
          <w:rFonts w:ascii="Geomanist Light" w:eastAsia="Times New Roman" w:hAnsi="Geomanist Light" w:cs="Arial"/>
          <w:sz w:val="20"/>
          <w:szCs w:val="20"/>
          <w:lang w:eastAsia="es-ES_tradnl"/>
        </w:rPr>
        <w:t>». Por lo tanto, como estos bienes están destinados al uso de los habitantes de un territorio, el Estado no puede disponer de ellos por encontrarse fuera del comercio. En ese orden, los bienes sobre los cuales puede recaer el acto de enajenación a través de donación, son los bienes fiscales y no los bienes de uso público.</w:t>
      </w:r>
    </w:p>
    <w:p w14:paraId="2CB6889B" w14:textId="77777777" w:rsidR="00D50BE5" w:rsidRDefault="00D50BE5" w:rsidP="00617820">
      <w:pPr>
        <w:spacing w:after="0" w:line="240" w:lineRule="auto"/>
        <w:jc w:val="both"/>
        <w:rPr>
          <w:rFonts w:ascii="Geomanist Light" w:hAnsi="Geomanist Light"/>
          <w:sz w:val="20"/>
          <w:szCs w:val="20"/>
          <w:lang w:val="es-MX"/>
        </w:rPr>
      </w:pPr>
    </w:p>
    <w:p w14:paraId="71A37387" w14:textId="77777777" w:rsidR="00D50BE5" w:rsidRDefault="00D50BE5" w:rsidP="00617820">
      <w:pPr>
        <w:spacing w:after="0" w:line="240" w:lineRule="auto"/>
        <w:jc w:val="both"/>
        <w:rPr>
          <w:rFonts w:ascii="Geomanist Light" w:hAnsi="Geomanist Light"/>
          <w:b/>
          <w:bCs/>
          <w:lang w:val="es-MX"/>
        </w:rPr>
      </w:pPr>
      <w:r>
        <w:rPr>
          <w:rFonts w:ascii="Geomanist Light" w:hAnsi="Geomanist Light"/>
          <w:b/>
          <w:bCs/>
          <w:lang w:val="es-MX"/>
        </w:rPr>
        <w:t>EQUIPAMIENTO COMUNAL – Artículo 68 – Ley 2166 de 2021 – Facultad presupuestal – Artículo 355 superior</w:t>
      </w:r>
    </w:p>
    <w:p w14:paraId="2693FE5A" w14:textId="77777777" w:rsidR="00D50BE5" w:rsidRDefault="00D50BE5" w:rsidP="00617820">
      <w:pPr>
        <w:spacing w:after="0" w:line="240" w:lineRule="auto"/>
        <w:jc w:val="both"/>
        <w:rPr>
          <w:rFonts w:ascii="Geomanist Light" w:hAnsi="Geomanist Light"/>
          <w:b/>
          <w:bCs/>
          <w:lang w:val="es-MX"/>
        </w:rPr>
      </w:pPr>
    </w:p>
    <w:p w14:paraId="1691835C" w14:textId="77777777" w:rsidR="00D50BE5" w:rsidRPr="00181543" w:rsidRDefault="00D50BE5" w:rsidP="00617820">
      <w:pPr>
        <w:spacing w:after="0" w:line="240" w:lineRule="auto"/>
        <w:jc w:val="both"/>
        <w:rPr>
          <w:rFonts w:ascii="Geomanist Light" w:hAnsi="Geomanist Light"/>
          <w:sz w:val="20"/>
          <w:szCs w:val="20"/>
          <w:lang w:val="es-MX"/>
        </w:rPr>
      </w:pPr>
      <w:r w:rsidRPr="00181543">
        <w:rPr>
          <w:rFonts w:ascii="Geomanist Light" w:hAnsi="Geomanist Light"/>
          <w:sz w:val="20"/>
          <w:szCs w:val="20"/>
          <w:lang w:val="es-MX"/>
        </w:rPr>
        <w:t>Podrá destinarse un rubro del recaudo del impuesto predial municipal o distrital para la construcción, mejoramiento y acondicionamiento del equipamiento comunal, tales como salones comunales, casetas comunales de infraestructura deportiva, cultural y demás equipamientos comunales de propiedad del municipio, distrito u organismo de acción comunal legalmente constituido. Igualmente, en los bienes sobre los cuales ejerza de manera legal, posesión, goce, uso, tenencia o disfrute del bien a cualquier título, siempre y cuando no se vaya a interrumpir en el tiempo. Los departamentos podrán con recursos propios realizar las inversiones de los que trata este Artículo mediante reglamentación que para tal efecto se establezca.</w:t>
      </w:r>
    </w:p>
    <w:p w14:paraId="676930E5" w14:textId="77777777" w:rsidR="00D50BE5" w:rsidRDefault="00D50BE5" w:rsidP="00617820">
      <w:pPr>
        <w:spacing w:after="0" w:line="240" w:lineRule="auto"/>
        <w:jc w:val="both"/>
        <w:rPr>
          <w:rFonts w:ascii="Geomanist Light" w:hAnsi="Geomanist Light"/>
          <w:lang w:val="es-MX"/>
        </w:rPr>
      </w:pPr>
    </w:p>
    <w:p w14:paraId="49859E2D" w14:textId="77777777" w:rsidR="00D50BE5" w:rsidRDefault="00D50BE5" w:rsidP="00617820">
      <w:pPr>
        <w:spacing w:after="0" w:line="240" w:lineRule="auto"/>
        <w:jc w:val="both"/>
        <w:rPr>
          <w:rFonts w:ascii="Geomanist Light" w:hAnsi="Geomanist Light"/>
          <w:sz w:val="20"/>
          <w:szCs w:val="20"/>
          <w:lang w:val="es-MX"/>
        </w:rPr>
      </w:pPr>
      <w:r>
        <w:rPr>
          <w:rFonts w:ascii="Geomanist Light" w:hAnsi="Geomanist Light"/>
          <w:sz w:val="20"/>
          <w:szCs w:val="20"/>
          <w:lang w:val="es-MX"/>
        </w:rPr>
        <w:t xml:space="preserve">[…] </w:t>
      </w:r>
      <w:r w:rsidRPr="00181543">
        <w:rPr>
          <w:rFonts w:ascii="Geomanist Light" w:hAnsi="Geomanist Light"/>
          <w:sz w:val="20"/>
          <w:szCs w:val="20"/>
          <w:lang w:val="es-MX"/>
        </w:rPr>
        <w:t xml:space="preserve">esta disposición facultó a las entidades del orden territorial, bien sean municipios, distritos o departamentos, para destinar recursos con el objeto de adecuar, construir o mejorar los bienes que sean de su propiedad o de los organismos de acción comunal legalmente constituidos. </w:t>
      </w:r>
      <w:r>
        <w:rPr>
          <w:rFonts w:ascii="Geomanist Light" w:hAnsi="Geomanist Light"/>
          <w:sz w:val="20"/>
          <w:szCs w:val="20"/>
          <w:lang w:val="es-MX"/>
        </w:rPr>
        <w:t>[…].</w:t>
      </w:r>
    </w:p>
    <w:p w14:paraId="26120E26" w14:textId="77777777" w:rsidR="00D50BE5" w:rsidRDefault="00D50BE5" w:rsidP="00617820">
      <w:pPr>
        <w:spacing w:after="0" w:line="240" w:lineRule="auto"/>
        <w:jc w:val="both"/>
        <w:rPr>
          <w:rFonts w:ascii="Geomanist Light" w:hAnsi="Geomanist Light"/>
          <w:sz w:val="20"/>
          <w:szCs w:val="20"/>
          <w:lang w:val="es-MX"/>
        </w:rPr>
      </w:pPr>
      <w:r>
        <w:rPr>
          <w:rFonts w:ascii="Geomanist Light" w:hAnsi="Geomanist Light"/>
          <w:sz w:val="20"/>
          <w:szCs w:val="20"/>
          <w:lang w:val="es-MX"/>
        </w:rPr>
        <w:t>[…]</w:t>
      </w:r>
    </w:p>
    <w:p w14:paraId="1DB58D91" w14:textId="77777777" w:rsidR="00D50BE5" w:rsidRDefault="00D50BE5" w:rsidP="00617820">
      <w:pPr>
        <w:spacing w:after="0" w:line="240" w:lineRule="auto"/>
        <w:jc w:val="both"/>
        <w:rPr>
          <w:rFonts w:ascii="Geomanist Light" w:hAnsi="Geomanist Light"/>
          <w:sz w:val="20"/>
          <w:szCs w:val="20"/>
          <w:lang w:val="es-MX"/>
        </w:rPr>
      </w:pPr>
      <w:r>
        <w:rPr>
          <w:rFonts w:ascii="Geomanist Light" w:hAnsi="Geomanist Light"/>
          <w:sz w:val="20"/>
          <w:szCs w:val="20"/>
          <w:lang w:val="es-MX"/>
        </w:rPr>
        <w:t xml:space="preserve">[…] </w:t>
      </w:r>
      <w:r w:rsidRPr="00181543">
        <w:rPr>
          <w:rFonts w:ascii="Geomanist Light" w:hAnsi="Geomanist Light"/>
          <w:sz w:val="20"/>
          <w:szCs w:val="20"/>
          <w:lang w:val="es-MX"/>
        </w:rPr>
        <w:t>de conformidad con lo dispuesto en el inciso segundo del artículo 355 superior, las entidades públicas del nivel nacional, departamental y municipal, ya se encontraban facultadas presupuestalmente para impulsar programas y actividades de interés público acordes con el Plan Nacional y los planes seccionales de desarrollo mediante entidades sin ánimo de lucro, como lo son los organismos de acción comunal legalmente constituidos.</w:t>
      </w:r>
    </w:p>
    <w:p w14:paraId="43318BC6" w14:textId="69521DAB" w:rsidR="003F31F6" w:rsidRDefault="003F31F6" w:rsidP="00617820">
      <w:pPr>
        <w:spacing w:after="0" w:line="240" w:lineRule="auto"/>
        <w:rPr>
          <w:rFonts w:ascii="Geomanist Light" w:eastAsia="Calibri" w:hAnsi="Geomanist Light" w:cs="Arial"/>
          <w:bCs/>
          <w:noProof/>
          <w:lang w:val="es-ES_tradnl"/>
        </w:rPr>
      </w:pPr>
    </w:p>
    <w:p w14:paraId="0E492A87" w14:textId="27F124C2" w:rsidR="000C0C88" w:rsidRDefault="000C0C88" w:rsidP="00617820">
      <w:pPr>
        <w:spacing w:after="0" w:line="240" w:lineRule="auto"/>
        <w:rPr>
          <w:rFonts w:ascii="Geomanist Light" w:eastAsia="Calibri" w:hAnsi="Geomanist Light" w:cs="Arial"/>
          <w:bCs/>
          <w:noProof/>
          <w:lang w:val="es-ES_tradnl"/>
        </w:rPr>
      </w:pPr>
    </w:p>
    <w:p w14:paraId="691BE44A" w14:textId="6E11E577" w:rsidR="000C0C88" w:rsidRDefault="000C0C88" w:rsidP="00617820">
      <w:pPr>
        <w:spacing w:after="0" w:line="240" w:lineRule="auto"/>
        <w:rPr>
          <w:rFonts w:ascii="Geomanist Light" w:eastAsia="Calibri" w:hAnsi="Geomanist Light" w:cs="Arial"/>
          <w:bCs/>
          <w:noProof/>
          <w:lang w:val="es-ES_tradnl"/>
        </w:rPr>
      </w:pPr>
    </w:p>
    <w:p w14:paraId="3F9CE65D" w14:textId="013E596D" w:rsidR="000C0C88" w:rsidRDefault="000C0C88" w:rsidP="00617820">
      <w:pPr>
        <w:spacing w:after="0" w:line="240" w:lineRule="auto"/>
        <w:rPr>
          <w:rFonts w:ascii="Geomanist Light" w:eastAsia="Calibri" w:hAnsi="Geomanist Light" w:cs="Arial"/>
          <w:bCs/>
          <w:noProof/>
          <w:lang w:val="es-ES_tradnl"/>
        </w:rPr>
      </w:pPr>
    </w:p>
    <w:p w14:paraId="4FF963B1" w14:textId="2D7266E1" w:rsidR="000C0C88" w:rsidRDefault="000C0C88" w:rsidP="00617820">
      <w:pPr>
        <w:spacing w:after="0" w:line="240" w:lineRule="auto"/>
        <w:rPr>
          <w:rFonts w:ascii="Geomanist Light" w:eastAsia="Calibri" w:hAnsi="Geomanist Light" w:cs="Arial"/>
          <w:bCs/>
          <w:noProof/>
          <w:lang w:val="es-ES_tradnl"/>
        </w:rPr>
      </w:pPr>
    </w:p>
    <w:p w14:paraId="18E1820F" w14:textId="1E473565" w:rsidR="000C0C88" w:rsidRDefault="000C0C88" w:rsidP="00617820">
      <w:pPr>
        <w:spacing w:after="0" w:line="240" w:lineRule="auto"/>
        <w:rPr>
          <w:rFonts w:ascii="Geomanist Light" w:eastAsia="Calibri" w:hAnsi="Geomanist Light" w:cs="Arial"/>
          <w:bCs/>
          <w:noProof/>
          <w:lang w:val="es-ES_tradnl"/>
        </w:rPr>
      </w:pPr>
    </w:p>
    <w:p w14:paraId="2CD82328" w14:textId="7AC98999" w:rsidR="000C0C88" w:rsidRDefault="000C0C88" w:rsidP="00617820">
      <w:pPr>
        <w:spacing w:after="0" w:line="240" w:lineRule="auto"/>
        <w:rPr>
          <w:rFonts w:ascii="Geomanist Light" w:eastAsia="Calibri" w:hAnsi="Geomanist Light" w:cs="Arial"/>
          <w:bCs/>
          <w:noProof/>
          <w:lang w:val="es-ES_tradnl"/>
        </w:rPr>
      </w:pPr>
    </w:p>
    <w:p w14:paraId="20B0AB25" w14:textId="34A267F5" w:rsidR="000C0C88" w:rsidRDefault="000C0C88" w:rsidP="00617820">
      <w:pPr>
        <w:spacing w:after="0" w:line="240" w:lineRule="auto"/>
        <w:rPr>
          <w:rFonts w:ascii="Geomanist Light" w:eastAsia="Calibri" w:hAnsi="Geomanist Light" w:cs="Arial"/>
          <w:bCs/>
          <w:noProof/>
          <w:lang w:val="es-ES_tradnl"/>
        </w:rPr>
      </w:pPr>
    </w:p>
    <w:p w14:paraId="557B00B6" w14:textId="6AD736BB" w:rsidR="000C0C88" w:rsidRDefault="000C0C88" w:rsidP="00617820">
      <w:pPr>
        <w:spacing w:after="0" w:line="240" w:lineRule="auto"/>
        <w:rPr>
          <w:rFonts w:ascii="Geomanist Light" w:eastAsia="Calibri" w:hAnsi="Geomanist Light" w:cs="Arial"/>
          <w:bCs/>
          <w:noProof/>
          <w:lang w:val="es-ES_tradnl"/>
        </w:rPr>
      </w:pPr>
    </w:p>
    <w:p w14:paraId="5D5BA45C" w14:textId="0F87CAB5" w:rsidR="000C0C88" w:rsidRDefault="000C0C88" w:rsidP="00617820">
      <w:pPr>
        <w:spacing w:after="0" w:line="240" w:lineRule="auto"/>
        <w:rPr>
          <w:rFonts w:ascii="Geomanist Light" w:eastAsia="Calibri" w:hAnsi="Geomanist Light" w:cs="Arial"/>
          <w:bCs/>
          <w:noProof/>
          <w:lang w:val="es-ES_tradnl"/>
        </w:rPr>
      </w:pPr>
    </w:p>
    <w:p w14:paraId="67783C92" w14:textId="0AB89D6F" w:rsidR="007F6F6F" w:rsidRDefault="007F6F6F" w:rsidP="00617820">
      <w:pPr>
        <w:spacing w:after="0" w:line="240" w:lineRule="auto"/>
        <w:rPr>
          <w:rFonts w:ascii="Geomanist Light" w:eastAsia="Calibri" w:hAnsi="Geomanist Light" w:cs="Arial"/>
          <w:bCs/>
          <w:noProof/>
          <w:lang w:val="es-ES_tradnl"/>
        </w:rPr>
      </w:pPr>
    </w:p>
    <w:p w14:paraId="677C707B" w14:textId="2BF411A0" w:rsidR="007F6F6F" w:rsidRDefault="007F6F6F" w:rsidP="00617820">
      <w:pPr>
        <w:spacing w:after="0" w:line="240" w:lineRule="auto"/>
        <w:rPr>
          <w:rFonts w:ascii="Geomanist Light" w:eastAsia="Calibri" w:hAnsi="Geomanist Light" w:cs="Arial"/>
          <w:bCs/>
          <w:noProof/>
          <w:lang w:val="es-ES_tradnl"/>
        </w:rPr>
      </w:pPr>
    </w:p>
    <w:p w14:paraId="4D54F307" w14:textId="4EFC2D75" w:rsidR="007F6F6F" w:rsidRDefault="007F6F6F" w:rsidP="00617820">
      <w:pPr>
        <w:spacing w:after="0" w:line="240" w:lineRule="auto"/>
        <w:rPr>
          <w:rFonts w:ascii="Geomanist Light" w:eastAsia="Calibri" w:hAnsi="Geomanist Light" w:cs="Arial"/>
          <w:bCs/>
          <w:noProof/>
          <w:lang w:val="es-ES_tradnl"/>
        </w:rPr>
      </w:pPr>
    </w:p>
    <w:p w14:paraId="3B68BA25" w14:textId="3BB9F2B6" w:rsidR="007F6F6F" w:rsidRDefault="007F6F6F" w:rsidP="00617820">
      <w:pPr>
        <w:spacing w:after="0" w:line="240" w:lineRule="auto"/>
        <w:rPr>
          <w:rFonts w:ascii="Geomanist Light" w:eastAsia="Calibri" w:hAnsi="Geomanist Light" w:cs="Arial"/>
          <w:bCs/>
          <w:noProof/>
          <w:lang w:val="es-ES_tradnl"/>
        </w:rPr>
      </w:pPr>
    </w:p>
    <w:p w14:paraId="67A0FEB7" w14:textId="2658A114" w:rsidR="007F6F6F" w:rsidRDefault="007F6F6F" w:rsidP="00617820">
      <w:pPr>
        <w:spacing w:after="0" w:line="240" w:lineRule="auto"/>
        <w:rPr>
          <w:rFonts w:ascii="Geomanist Light" w:eastAsia="Calibri" w:hAnsi="Geomanist Light" w:cs="Arial"/>
          <w:bCs/>
          <w:noProof/>
          <w:lang w:val="es-ES_tradnl"/>
        </w:rPr>
      </w:pPr>
    </w:p>
    <w:p w14:paraId="312833A4" w14:textId="6E51D6F8" w:rsidR="007F6F6F" w:rsidRDefault="007F6F6F" w:rsidP="00617820">
      <w:pPr>
        <w:spacing w:after="0" w:line="240" w:lineRule="auto"/>
        <w:rPr>
          <w:rFonts w:ascii="Geomanist Light" w:eastAsia="Calibri" w:hAnsi="Geomanist Light" w:cs="Arial"/>
          <w:bCs/>
          <w:noProof/>
          <w:lang w:val="es-ES_tradnl"/>
        </w:rPr>
      </w:pPr>
    </w:p>
    <w:p w14:paraId="54B0D15E" w14:textId="1E5CE4EF" w:rsidR="007F6F6F" w:rsidRDefault="007F6F6F" w:rsidP="00617820">
      <w:pPr>
        <w:spacing w:after="0" w:line="240" w:lineRule="auto"/>
        <w:rPr>
          <w:rFonts w:ascii="Geomanist Light" w:eastAsia="Calibri" w:hAnsi="Geomanist Light" w:cs="Arial"/>
          <w:bCs/>
          <w:noProof/>
          <w:lang w:val="es-ES_tradnl"/>
        </w:rPr>
      </w:pPr>
    </w:p>
    <w:p w14:paraId="6CC759DF" w14:textId="7ACEEE56" w:rsidR="007F6F6F" w:rsidRDefault="000D67C3" w:rsidP="00617820">
      <w:pPr>
        <w:spacing w:after="0" w:line="240" w:lineRule="auto"/>
        <w:rPr>
          <w:rFonts w:ascii="Geomanist Light" w:eastAsia="Calibri" w:hAnsi="Geomanist Light" w:cs="Arial"/>
          <w:bCs/>
          <w:noProof/>
          <w:lang w:val="es-ES_tradnl"/>
        </w:rPr>
      </w:pPr>
      <w:r>
        <w:rPr>
          <w:noProof/>
        </w:rPr>
        <w:lastRenderedPageBreak/>
        <w:drawing>
          <wp:anchor distT="0" distB="0" distL="0" distR="0" simplePos="0" relativeHeight="251660288" behindDoc="0" locked="0" layoutInCell="1" allowOverlap="1" wp14:anchorId="6F9A655B" wp14:editId="4722EB9C">
            <wp:simplePos x="0" y="0"/>
            <wp:positionH relativeFrom="margin">
              <wp:align>right</wp:align>
            </wp:positionH>
            <wp:positionV relativeFrom="paragraph">
              <wp:posOffset>-160124</wp:posOffset>
            </wp:positionV>
            <wp:extent cx="2400300" cy="615949"/>
            <wp:effectExtent l="0" t="0" r="0" b="0"/>
            <wp:wrapNone/>
            <wp:docPr id="5" name="image3.jpeg"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Texto&#10;&#10;Descripción generada automáticamente"/>
                    <pic:cNvPicPr/>
                  </pic:nvPicPr>
                  <pic:blipFill>
                    <a:blip r:embed="rId11" cstate="print"/>
                    <a:stretch>
                      <a:fillRect/>
                    </a:stretch>
                  </pic:blipFill>
                  <pic:spPr>
                    <a:xfrm>
                      <a:off x="0" y="0"/>
                      <a:ext cx="2400300" cy="615949"/>
                    </a:xfrm>
                    <a:prstGeom prst="rect">
                      <a:avLst/>
                    </a:prstGeom>
                  </pic:spPr>
                </pic:pic>
              </a:graphicData>
            </a:graphic>
          </wp:anchor>
        </w:drawing>
      </w:r>
    </w:p>
    <w:p w14:paraId="58C36A1C" w14:textId="77777777" w:rsidR="007F6F6F" w:rsidRDefault="007F6F6F" w:rsidP="00617820">
      <w:pPr>
        <w:spacing w:after="0" w:line="240" w:lineRule="auto"/>
        <w:rPr>
          <w:rFonts w:ascii="Geomanist Light" w:eastAsia="Calibri" w:hAnsi="Geomanist Light" w:cs="Arial"/>
          <w:bCs/>
          <w:noProof/>
          <w:lang w:val="es-ES_tradnl"/>
        </w:rPr>
      </w:pPr>
    </w:p>
    <w:p w14:paraId="3AEC40C5" w14:textId="7C1E597D" w:rsidR="000C0C88" w:rsidRDefault="00597E97" w:rsidP="00617820">
      <w:pPr>
        <w:spacing w:after="0" w:line="240" w:lineRule="auto"/>
        <w:rPr>
          <w:rFonts w:ascii="Geomanist Light" w:eastAsia="Calibri" w:hAnsi="Geomanist Light" w:cs="Arial"/>
          <w:bCs/>
          <w:noProof/>
          <w:lang w:val="es-ES_tradnl"/>
        </w:rPr>
      </w:pPr>
      <w:r>
        <w:rPr>
          <w:rFonts w:ascii="Geomanist Light" w:eastAsia="Calibri" w:hAnsi="Geomanist Light" w:cs="Arial"/>
          <w:bCs/>
          <w:noProof/>
          <w:lang w:val="es-ES_tradnl"/>
        </w:rPr>
        <w:t>Bogotá D.C., 26 de diciembre de 2022</w:t>
      </w:r>
    </w:p>
    <w:p w14:paraId="2F8A8AC9" w14:textId="70FB14DD" w:rsidR="000C0C88" w:rsidRDefault="000C0C88" w:rsidP="00C9694A">
      <w:pPr>
        <w:spacing w:after="0" w:line="240" w:lineRule="auto"/>
        <w:rPr>
          <w:rFonts w:ascii="Geomanist Light" w:eastAsia="Calibri" w:hAnsi="Geomanist Light" w:cs="Arial"/>
          <w:bCs/>
          <w:noProof/>
          <w:lang w:val="es-ES_tradnl"/>
        </w:rPr>
      </w:pPr>
    </w:p>
    <w:p w14:paraId="7A4B6FE4" w14:textId="77777777" w:rsidR="009B7093" w:rsidRPr="009B7093" w:rsidRDefault="009B7093" w:rsidP="009B7093">
      <w:pPr>
        <w:widowControl w:val="0"/>
        <w:autoSpaceDE w:val="0"/>
        <w:autoSpaceDN w:val="0"/>
        <w:spacing w:before="181" w:after="0" w:line="240" w:lineRule="auto"/>
        <w:ind w:left="118"/>
        <w:rPr>
          <w:rFonts w:ascii="Arial MT" w:eastAsia="Arial MT" w:hAnsi="Arial MT" w:cs="Arial MT"/>
          <w:lang w:val="es-ES"/>
        </w:rPr>
      </w:pPr>
      <w:r w:rsidRPr="009B7093">
        <w:rPr>
          <w:rFonts w:ascii="Arial MT" w:eastAsia="Arial MT" w:hAnsi="Arial MT" w:cs="Arial MT"/>
          <w:lang w:val="es-ES"/>
        </w:rPr>
        <w:t>Señor</w:t>
      </w:r>
    </w:p>
    <w:p w14:paraId="507584F6" w14:textId="286B2A4A" w:rsidR="00D4381E" w:rsidRDefault="009B7093" w:rsidP="009B7093">
      <w:pPr>
        <w:widowControl w:val="0"/>
        <w:autoSpaceDE w:val="0"/>
        <w:autoSpaceDN w:val="0"/>
        <w:spacing w:after="0" w:line="240" w:lineRule="auto"/>
        <w:ind w:left="118" w:right="5728"/>
        <w:outlineLvl w:val="0"/>
        <w:rPr>
          <w:rFonts w:ascii="Arial" w:eastAsia="Arial" w:hAnsi="Arial" w:cs="Arial"/>
          <w:b/>
          <w:bCs/>
          <w:color w:val="0463C1"/>
          <w:spacing w:val="-59"/>
          <w:lang w:val="es-ES"/>
        </w:rPr>
      </w:pPr>
      <w:r w:rsidRPr="009B7093">
        <w:rPr>
          <w:rFonts w:ascii="Arial" w:eastAsia="Arial" w:hAnsi="Arial" w:cs="Arial"/>
          <w:b/>
          <w:bCs/>
          <w:lang w:val="es-ES"/>
        </w:rPr>
        <w:t>Marlos Augusto Cabrera Daza</w:t>
      </w:r>
      <w:r w:rsidRPr="009B7093">
        <w:rPr>
          <w:rFonts w:ascii="Arial" w:eastAsia="Arial" w:hAnsi="Arial" w:cs="Arial"/>
          <w:b/>
          <w:bCs/>
          <w:spacing w:val="1"/>
          <w:lang w:val="es-ES"/>
        </w:rPr>
        <w:t xml:space="preserve"> </w:t>
      </w:r>
      <w:hyperlink r:id="rId12">
        <w:r w:rsidR="00A1776E" w:rsidRPr="00A1776E">
          <w:rPr>
            <w:b/>
            <w:bCs/>
            <w:color w:val="0463C1"/>
            <w:spacing w:val="-1"/>
            <w:u w:val="single" w:color="0463C1"/>
          </w:rPr>
          <w:t>marloncabrera76@hotmail.com</w:t>
        </w:r>
      </w:hyperlink>
      <w:r w:rsidR="00A1776E">
        <w:rPr>
          <w:rFonts w:ascii="Arial MT"/>
        </w:rPr>
        <w:t>Ciudad</w:t>
      </w:r>
    </w:p>
    <w:p w14:paraId="3B107809" w14:textId="4B65C009" w:rsidR="009B7093" w:rsidRPr="009B7093" w:rsidRDefault="009B7093" w:rsidP="009B7093">
      <w:pPr>
        <w:widowControl w:val="0"/>
        <w:autoSpaceDE w:val="0"/>
        <w:autoSpaceDN w:val="0"/>
        <w:spacing w:after="0" w:line="240" w:lineRule="auto"/>
        <w:ind w:left="118" w:right="5728"/>
        <w:outlineLvl w:val="0"/>
        <w:rPr>
          <w:rFonts w:ascii="Arial MT" w:eastAsia="Arial" w:hAnsi="Arial" w:cs="Arial"/>
          <w:bCs/>
          <w:lang w:val="es-ES"/>
        </w:rPr>
      </w:pPr>
    </w:p>
    <w:p w14:paraId="183D7C9C" w14:textId="4118B8E7" w:rsidR="00C9694A" w:rsidRDefault="00C9694A" w:rsidP="00C9694A">
      <w:pPr>
        <w:spacing w:after="0" w:line="240" w:lineRule="auto"/>
        <w:rPr>
          <w:rFonts w:ascii="Geomanist Light" w:eastAsia="Calibri" w:hAnsi="Geomanist Light" w:cs="Arial"/>
          <w:noProof/>
          <w:lang w:val="es-ES_tradnl"/>
        </w:rPr>
      </w:pPr>
    </w:p>
    <w:p w14:paraId="6C7A46FD" w14:textId="77777777" w:rsidR="00214CAD" w:rsidRPr="00417A9A" w:rsidRDefault="00214CAD" w:rsidP="00C9694A">
      <w:pPr>
        <w:spacing w:after="0" w:line="240" w:lineRule="auto"/>
        <w:rPr>
          <w:rFonts w:ascii="Geomanist Light" w:eastAsia="Calibri" w:hAnsi="Geomanist Light" w:cs="Arial"/>
          <w:noProof/>
          <w:lang w:val="es-ES_tradnl"/>
        </w:rPr>
      </w:pPr>
    </w:p>
    <w:p w14:paraId="09E21C7B" w14:textId="20A99345" w:rsidR="00C9694A" w:rsidRPr="00417A9A" w:rsidRDefault="00C9694A" w:rsidP="00C9694A">
      <w:pPr>
        <w:spacing w:after="0" w:line="240" w:lineRule="auto"/>
        <w:rPr>
          <w:rFonts w:ascii="Geomanist Light" w:eastAsia="Calibri" w:hAnsi="Geomanist Light" w:cs="Arial"/>
          <w:b/>
          <w:bCs/>
          <w:noProof/>
          <w:lang w:val="es-ES"/>
        </w:rPr>
      </w:pPr>
      <w:r w:rsidRPr="00417A9A">
        <w:rPr>
          <w:rFonts w:ascii="Geomanist Light" w:eastAsia="Calibri" w:hAnsi="Geomanist Light" w:cs="Arial"/>
          <w:b/>
          <w:bCs/>
          <w:noProof/>
          <w:lang w:val="es-ES"/>
        </w:rPr>
        <w:t xml:space="preserve">                                          Concepto C </w:t>
      </w:r>
      <w:r w:rsidR="00E80A81">
        <w:rPr>
          <w:rFonts w:ascii="Geomanist Light" w:eastAsia="Calibri" w:hAnsi="Geomanist Light" w:cs="Arial"/>
          <w:b/>
          <w:bCs/>
          <w:noProof/>
          <w:lang w:val="es-ES"/>
        </w:rPr>
        <w:t>-</w:t>
      </w:r>
      <w:r w:rsidR="00543E7A">
        <w:rPr>
          <w:rFonts w:ascii="Geomanist Light" w:eastAsia="Calibri" w:hAnsi="Geomanist Light" w:cs="Arial"/>
          <w:b/>
          <w:bCs/>
          <w:noProof/>
          <w:lang w:val="es-ES"/>
        </w:rPr>
        <w:t>921 de 2022</w:t>
      </w:r>
    </w:p>
    <w:p w14:paraId="426B49D0" w14:textId="77777777" w:rsidR="00C9694A" w:rsidRPr="00417A9A" w:rsidRDefault="00C9694A" w:rsidP="00C9694A">
      <w:pPr>
        <w:spacing w:after="0" w:line="240" w:lineRule="auto"/>
        <w:rPr>
          <w:rFonts w:ascii="Geomanist Light" w:eastAsia="Calibri" w:hAnsi="Geomanist Light" w:cs="Arial"/>
          <w:noProof/>
          <w:lang w:val="es-ES_tradnl"/>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117969" w:rsidRPr="00417A9A" w14:paraId="0FD69EA5" w14:textId="77777777" w:rsidTr="00DC4059">
        <w:trPr>
          <w:trHeight w:val="1038"/>
        </w:trPr>
        <w:tc>
          <w:tcPr>
            <w:tcW w:w="2689" w:type="dxa"/>
            <w:hideMark/>
          </w:tcPr>
          <w:p w14:paraId="28FB9412" w14:textId="77777777" w:rsidR="00C9694A" w:rsidRPr="00C15ABB" w:rsidRDefault="00C9694A" w:rsidP="00C9694A">
            <w:pPr>
              <w:ind w:left="720"/>
              <w:contextualSpacing/>
              <w:rPr>
                <w:rFonts w:ascii="Geomanist Light" w:eastAsia="Calibri" w:hAnsi="Geomanist Light" w:cs="Arial"/>
                <w:noProof/>
                <w:lang w:val="es-ES_tradnl"/>
              </w:rPr>
            </w:pPr>
            <w:r w:rsidRPr="00C15ABB">
              <w:rPr>
                <w:rFonts w:ascii="Geomanist Light" w:eastAsia="Calibri" w:hAnsi="Geomanist Light" w:cs="Arial"/>
                <w:b/>
                <w:noProof/>
                <w:lang w:val="es-ES_tradnl"/>
              </w:rPr>
              <w:t>Temas:</w:t>
            </w:r>
            <w:r w:rsidRPr="00C15ABB">
              <w:rPr>
                <w:rFonts w:ascii="Geomanist Light" w:eastAsia="Calibri" w:hAnsi="Geomanist Light" w:cs="Arial"/>
                <w:noProof/>
                <w:lang w:val="es-ES_tradnl"/>
              </w:rPr>
              <w:t xml:space="preserve">        </w:t>
            </w:r>
          </w:p>
        </w:tc>
        <w:tc>
          <w:tcPr>
            <w:tcW w:w="6237" w:type="dxa"/>
            <w:hideMark/>
          </w:tcPr>
          <w:p w14:paraId="1E3E8012" w14:textId="5C32D0FE" w:rsidR="00C870FA" w:rsidRPr="00C15ABB" w:rsidRDefault="00C870FA" w:rsidP="000D2216">
            <w:pPr>
              <w:jc w:val="both"/>
              <w:rPr>
                <w:rFonts w:ascii="Geomanist Light" w:eastAsia="Calibri" w:hAnsi="Geomanist Light" w:cs="Arial"/>
                <w:lang w:val="es-ES_tradnl"/>
              </w:rPr>
            </w:pPr>
            <w:r w:rsidRPr="00C15ABB">
              <w:rPr>
                <w:rFonts w:ascii="Geomanist Light" w:eastAsia="Calibri" w:hAnsi="Geomanist Light" w:cs="Arial"/>
                <w:lang w:val="es-ES_tradnl"/>
              </w:rPr>
              <w:t>ENAJENACIÓ</w:t>
            </w:r>
            <w:r w:rsidR="00952438" w:rsidRPr="00C15ABB">
              <w:rPr>
                <w:rFonts w:ascii="Geomanist Light" w:eastAsia="Calibri" w:hAnsi="Geomanist Light" w:cs="Arial"/>
                <w:lang w:val="es-ES_tradnl"/>
              </w:rPr>
              <w:t xml:space="preserve">N DE BIENES </w:t>
            </w:r>
            <w:r w:rsidR="00682DBE" w:rsidRPr="00C15ABB">
              <w:rPr>
                <w:rFonts w:ascii="Geomanist Light" w:eastAsia="Calibri" w:hAnsi="Geomanist Light" w:cs="Arial"/>
                <w:lang w:val="es-ES_tradnl"/>
              </w:rPr>
              <w:t xml:space="preserve">A TÍTULO GRATUITO </w:t>
            </w:r>
            <w:r w:rsidR="006E605A" w:rsidRPr="00C15ABB">
              <w:rPr>
                <w:rFonts w:ascii="Geomanist Light" w:eastAsia="Calibri" w:hAnsi="Geomanist Light" w:cs="Arial"/>
                <w:lang w:val="es-ES_tradnl"/>
              </w:rPr>
              <w:t xml:space="preserve">– Definición </w:t>
            </w:r>
            <w:r w:rsidR="00682DBE" w:rsidRPr="00C15ABB">
              <w:rPr>
                <w:rFonts w:ascii="Geomanist Light" w:eastAsia="Calibri" w:hAnsi="Geomanist Light" w:cs="Arial"/>
                <w:lang w:val="es-ES_tradnl"/>
              </w:rPr>
              <w:t>–</w:t>
            </w:r>
            <w:r w:rsidR="006E605A" w:rsidRPr="00C15ABB">
              <w:rPr>
                <w:rFonts w:ascii="Geomanist Light" w:eastAsia="Calibri" w:hAnsi="Geomanist Light" w:cs="Arial"/>
                <w:lang w:val="es-ES_tradnl"/>
              </w:rPr>
              <w:t xml:space="preserve"> </w:t>
            </w:r>
            <w:r w:rsidR="009E308D">
              <w:rPr>
                <w:rFonts w:ascii="Geomanist Light" w:eastAsia="Calibri" w:hAnsi="Geomanist Light" w:cs="Arial"/>
                <w:lang w:val="es-ES_tradnl"/>
              </w:rPr>
              <w:t>Contrato de d</w:t>
            </w:r>
            <w:r w:rsidR="00A61D40" w:rsidRPr="00C15ABB">
              <w:rPr>
                <w:rFonts w:ascii="Geomanist Light" w:eastAsia="Calibri" w:hAnsi="Geomanist Light" w:cs="Arial"/>
                <w:lang w:val="es-ES_tradnl"/>
              </w:rPr>
              <w:t>onación</w:t>
            </w:r>
            <w:r w:rsidR="00682DBE" w:rsidRPr="00C15ABB">
              <w:rPr>
                <w:rFonts w:ascii="Geomanist Light" w:eastAsia="Calibri" w:hAnsi="Geomanist Light" w:cs="Arial"/>
                <w:lang w:val="es-ES_tradnl"/>
              </w:rPr>
              <w:t xml:space="preserve"> </w:t>
            </w:r>
            <w:r w:rsidR="00A61D40" w:rsidRPr="00C15ABB">
              <w:rPr>
                <w:rFonts w:ascii="Geomanist Light" w:eastAsia="Calibri" w:hAnsi="Geomanist Light" w:cs="Arial"/>
                <w:lang w:val="es-ES_tradnl"/>
              </w:rPr>
              <w:t xml:space="preserve">/ ENAJENACIÓN DE BIENES A TÍTULO GRATUITO – </w:t>
            </w:r>
            <w:r w:rsidR="002347FA" w:rsidRPr="00C15ABB">
              <w:rPr>
                <w:rFonts w:ascii="Geomanist Light" w:eastAsia="Calibri" w:hAnsi="Geomanist Light" w:cs="Arial"/>
                <w:lang w:val="es-ES_tradnl"/>
              </w:rPr>
              <w:t>Bienes objeto de donación – Bienes de dominio público</w:t>
            </w:r>
            <w:r w:rsidR="006F7A52" w:rsidRPr="00C15ABB">
              <w:rPr>
                <w:rFonts w:ascii="Geomanist Light" w:eastAsia="Calibri" w:hAnsi="Geomanist Light" w:cs="Arial"/>
                <w:lang w:val="es-ES_tradnl"/>
              </w:rPr>
              <w:t xml:space="preserve"> – Bienes fiscales / EQUIPAMIENTO COMUNAL – Artículo 68 – Ley 2166 de 2021 </w:t>
            </w:r>
            <w:r w:rsidR="00900C00" w:rsidRPr="00C15ABB">
              <w:rPr>
                <w:rFonts w:ascii="Geomanist Light" w:eastAsia="Calibri" w:hAnsi="Geomanist Light" w:cs="Arial"/>
                <w:lang w:val="es-ES_tradnl"/>
              </w:rPr>
              <w:t>–</w:t>
            </w:r>
            <w:r w:rsidR="006F7A52" w:rsidRPr="00C15ABB">
              <w:rPr>
                <w:rFonts w:ascii="Geomanist Light" w:eastAsia="Calibri" w:hAnsi="Geomanist Light" w:cs="Arial"/>
                <w:lang w:val="es-ES_tradnl"/>
              </w:rPr>
              <w:t xml:space="preserve"> </w:t>
            </w:r>
            <w:r w:rsidR="00900C00" w:rsidRPr="00C15ABB">
              <w:rPr>
                <w:rFonts w:ascii="Geomanist Light" w:eastAsia="Calibri" w:hAnsi="Geomanist Light" w:cs="Arial"/>
                <w:lang w:val="es-ES_tradnl"/>
              </w:rPr>
              <w:t xml:space="preserve">Facultad presupuestal – </w:t>
            </w:r>
            <w:r w:rsidR="00AA7B59">
              <w:rPr>
                <w:rFonts w:ascii="Geomanist Light" w:eastAsia="Calibri" w:hAnsi="Geomanist Light" w:cs="Arial"/>
                <w:lang w:val="es-ES_tradnl"/>
              </w:rPr>
              <w:t>Art</w:t>
            </w:r>
            <w:r w:rsidR="00557F8A">
              <w:rPr>
                <w:rFonts w:ascii="Geomanist Light" w:eastAsia="Calibri" w:hAnsi="Geomanist Light" w:cs="Arial"/>
                <w:lang w:val="es-ES_tradnl"/>
              </w:rPr>
              <w:t>ículo 355 superior</w:t>
            </w:r>
          </w:p>
          <w:p w14:paraId="1F10B9F6" w14:textId="77777777" w:rsidR="00C870FA" w:rsidRPr="00C15ABB" w:rsidRDefault="00C870FA" w:rsidP="000D2216">
            <w:pPr>
              <w:jc w:val="both"/>
              <w:rPr>
                <w:rFonts w:ascii="Geomanist Light" w:eastAsia="Calibri" w:hAnsi="Geomanist Light" w:cs="Arial"/>
                <w:lang w:val="es-ES_tradnl"/>
              </w:rPr>
            </w:pPr>
          </w:p>
          <w:p w14:paraId="566C3268" w14:textId="6907D7C4" w:rsidR="00747190" w:rsidRPr="00C15ABB" w:rsidRDefault="00747190" w:rsidP="00C15ABB">
            <w:pPr>
              <w:jc w:val="both"/>
              <w:rPr>
                <w:rFonts w:ascii="Geomanist Light" w:eastAsia="Calibri" w:hAnsi="Geomanist Light" w:cs="Arial"/>
                <w:noProof/>
                <w:lang w:val="es-ES_tradnl"/>
              </w:rPr>
            </w:pPr>
          </w:p>
        </w:tc>
      </w:tr>
      <w:tr w:rsidR="00E80A81" w:rsidRPr="00417A9A" w14:paraId="0DCF103C" w14:textId="77777777" w:rsidTr="00DC4059">
        <w:tc>
          <w:tcPr>
            <w:tcW w:w="2689" w:type="dxa"/>
          </w:tcPr>
          <w:p w14:paraId="3790D1C5" w14:textId="2F12C078" w:rsidR="00E80A81" w:rsidRPr="00417A9A" w:rsidRDefault="00E80A81" w:rsidP="00E80A81">
            <w:pPr>
              <w:ind w:left="720"/>
              <w:contextualSpacing/>
              <w:rPr>
                <w:rFonts w:ascii="Geomanist Light" w:eastAsia="Calibri" w:hAnsi="Geomanist Light" w:cs="Arial"/>
                <w:b/>
                <w:noProof/>
                <w:lang w:val="es-ES_tradnl"/>
              </w:rPr>
            </w:pPr>
            <w:r w:rsidRPr="005A7584">
              <w:rPr>
                <w:rFonts w:ascii="Geomanist Light" w:eastAsia="Calibri" w:hAnsi="Geomanist Light" w:cs="Arial"/>
                <w:b/>
                <w:noProof/>
                <w:lang w:val="es-ES_tradnl"/>
              </w:rPr>
              <w:t>Radicación:</w:t>
            </w:r>
            <w:r w:rsidRPr="005A7584">
              <w:rPr>
                <w:rFonts w:ascii="Geomanist Light" w:eastAsia="Calibri" w:hAnsi="Geomanist Light" w:cs="Arial"/>
                <w:noProof/>
                <w:lang w:val="es-ES_tradnl"/>
              </w:rPr>
              <w:t xml:space="preserve">                              </w:t>
            </w:r>
          </w:p>
        </w:tc>
        <w:tc>
          <w:tcPr>
            <w:tcW w:w="6237" w:type="dxa"/>
          </w:tcPr>
          <w:p w14:paraId="3C68714B" w14:textId="7D6E9727" w:rsidR="00E80A81" w:rsidRPr="00417A9A" w:rsidRDefault="00E80A81" w:rsidP="00E80A81">
            <w:pPr>
              <w:ind w:left="720"/>
              <w:contextualSpacing/>
              <w:jc w:val="both"/>
              <w:rPr>
                <w:rFonts w:ascii="Geomanist Light" w:eastAsia="Calibri" w:hAnsi="Geomanist Light" w:cs="Arial"/>
                <w:noProof/>
                <w:lang w:val="es-ES"/>
              </w:rPr>
            </w:pPr>
            <w:r w:rsidRPr="005A7584">
              <w:rPr>
                <w:rFonts w:ascii="Geomanist Light" w:eastAsia="Calibri" w:hAnsi="Geomanist Light" w:cs="Arial"/>
                <w:noProof/>
                <w:lang w:val="es-ES_tradnl"/>
              </w:rPr>
              <w:t>Respuesta a consultas acumuladas Nos. P20221125011732 y P20221125011734</w:t>
            </w:r>
            <w:r w:rsidRPr="005A7584">
              <w:rPr>
                <w:rFonts w:ascii="Geomanist Light" w:eastAsia="Calibri" w:hAnsi="Geomanist Light" w:cs="Arial"/>
                <w:noProof/>
                <w:lang w:val="es-ES_tradnl"/>
              </w:rPr>
              <w:tab/>
            </w:r>
          </w:p>
        </w:tc>
      </w:tr>
    </w:tbl>
    <w:p w14:paraId="11F0227C" w14:textId="16A9B206" w:rsidR="00796C23" w:rsidRDefault="00796C23" w:rsidP="00C9694A">
      <w:pPr>
        <w:spacing w:after="0" w:line="240" w:lineRule="auto"/>
        <w:rPr>
          <w:rFonts w:ascii="Geomanist Light" w:eastAsia="Calibri" w:hAnsi="Geomanist Light" w:cs="Arial"/>
          <w:noProof/>
          <w:lang w:val="es-ES_tradnl"/>
        </w:rPr>
      </w:pPr>
    </w:p>
    <w:p w14:paraId="071F5797" w14:textId="77777777" w:rsidR="00E80A81" w:rsidRPr="00417A9A" w:rsidRDefault="00E80A81" w:rsidP="00C9694A">
      <w:pPr>
        <w:spacing w:after="0" w:line="240" w:lineRule="auto"/>
        <w:rPr>
          <w:rFonts w:ascii="Geomanist Light" w:eastAsia="Calibri" w:hAnsi="Geomanist Light" w:cs="Arial"/>
          <w:noProof/>
          <w:lang w:val="es-ES_tradnl"/>
        </w:rPr>
      </w:pPr>
    </w:p>
    <w:p w14:paraId="7132EB01" w14:textId="77777777" w:rsidR="00E80A81" w:rsidRPr="005A7584" w:rsidRDefault="00E80A81" w:rsidP="00E80A81">
      <w:pPr>
        <w:spacing w:after="0" w:line="276" w:lineRule="auto"/>
        <w:jc w:val="both"/>
        <w:rPr>
          <w:rFonts w:ascii="Geomanist Light" w:eastAsia="Calibri" w:hAnsi="Geomanist Light" w:cs="Arial"/>
        </w:rPr>
      </w:pPr>
      <w:bookmarkStart w:id="4" w:name="_Hlk50978304"/>
      <w:r w:rsidRPr="005A7584">
        <w:rPr>
          <w:rFonts w:ascii="Geomanist Light" w:eastAsia="Calibri" w:hAnsi="Geomanist Light" w:cs="Arial"/>
        </w:rPr>
        <w:t xml:space="preserve">Estimado Señor Cabrera: </w:t>
      </w:r>
    </w:p>
    <w:p w14:paraId="496E7CB9" w14:textId="77777777" w:rsidR="00E80A81" w:rsidRPr="005A7584" w:rsidRDefault="00E80A81" w:rsidP="00E80A81">
      <w:pPr>
        <w:spacing w:after="0" w:line="276" w:lineRule="auto"/>
        <w:ind w:firstLine="709"/>
        <w:jc w:val="both"/>
        <w:rPr>
          <w:rFonts w:ascii="Geomanist Light" w:eastAsia="Calibri" w:hAnsi="Geomanist Light" w:cs="Arial"/>
        </w:rPr>
      </w:pPr>
    </w:p>
    <w:p w14:paraId="2EB3ACAF" w14:textId="77777777" w:rsidR="00E80A81" w:rsidRPr="005A7584" w:rsidRDefault="00E80A81" w:rsidP="00E80A81">
      <w:pPr>
        <w:spacing w:after="0" w:line="276" w:lineRule="auto"/>
        <w:ind w:right="51"/>
        <w:jc w:val="both"/>
        <w:rPr>
          <w:rFonts w:ascii="Geomanist Light" w:eastAsia="Calibri" w:hAnsi="Geomanist Light" w:cs="Arial"/>
        </w:rPr>
      </w:pPr>
      <w:r w:rsidRPr="005A7584">
        <w:rPr>
          <w:rFonts w:ascii="Geomanist Light" w:eastAsia="Calibri" w:hAnsi="Geomanist Light" w:cs="Arial"/>
        </w:rPr>
        <w:t>En ejercicio de la competencia otorgada por el numeral 8 del artículo 11 y el numeral 5 del artículo 3 del Decreto Ley 4170 de 2011, la Agencia Nacional de Contratación Pública – Colombia Compra Eficiente responde sus consultas acumuladas con Radicados Nos. P20221125011732 y P20221125011734 del 25 de noviembre de 2022.</w:t>
      </w:r>
    </w:p>
    <w:p w14:paraId="3152858A" w14:textId="77777777" w:rsidR="00C9694A" w:rsidRPr="00417A9A" w:rsidRDefault="00C9694A" w:rsidP="00C9694A">
      <w:pPr>
        <w:tabs>
          <w:tab w:val="left" w:pos="284"/>
        </w:tabs>
        <w:spacing w:after="0" w:line="276" w:lineRule="auto"/>
        <w:contextualSpacing/>
        <w:jc w:val="both"/>
        <w:rPr>
          <w:rFonts w:ascii="Geomanist Light" w:eastAsia="Calibri" w:hAnsi="Geomanist Light" w:cs="Arial"/>
          <w:b/>
          <w:noProof/>
          <w:lang w:val="es-ES_tradnl"/>
        </w:rPr>
      </w:pPr>
    </w:p>
    <w:p w14:paraId="45D9CC89" w14:textId="2346BF41" w:rsidR="00C9694A" w:rsidRPr="00417A9A" w:rsidRDefault="00C9694A" w:rsidP="00C9694A">
      <w:pPr>
        <w:tabs>
          <w:tab w:val="left" w:pos="284"/>
        </w:tabs>
        <w:spacing w:after="0" w:line="276" w:lineRule="auto"/>
        <w:contextualSpacing/>
        <w:jc w:val="both"/>
        <w:rPr>
          <w:rFonts w:ascii="Geomanist Light" w:eastAsia="Calibri" w:hAnsi="Geomanist Light" w:cs="Arial"/>
          <w:b/>
          <w:noProof/>
          <w:lang w:val="es-ES_tradnl"/>
        </w:rPr>
      </w:pPr>
      <w:r w:rsidRPr="00417A9A">
        <w:rPr>
          <w:rFonts w:ascii="Geomanist Light" w:eastAsia="Calibri" w:hAnsi="Geomanist Light" w:cs="Arial"/>
          <w:b/>
          <w:noProof/>
          <w:lang w:val="es-ES_tradnl"/>
        </w:rPr>
        <w:t>1. Problema planteado</w:t>
      </w:r>
    </w:p>
    <w:p w14:paraId="4F886F99" w14:textId="77777777" w:rsidR="00C9694A" w:rsidRPr="00417A9A" w:rsidRDefault="00C9694A" w:rsidP="00C9694A">
      <w:pPr>
        <w:tabs>
          <w:tab w:val="left" w:pos="426"/>
        </w:tabs>
        <w:spacing w:after="0" w:line="276" w:lineRule="auto"/>
        <w:jc w:val="both"/>
        <w:rPr>
          <w:rFonts w:ascii="Geomanist Light" w:eastAsia="Calibri" w:hAnsi="Geomanist Light" w:cs="Arial"/>
          <w:b/>
          <w:noProof/>
          <w:lang w:val="es-ES_tradnl"/>
        </w:rPr>
      </w:pPr>
    </w:p>
    <w:p w14:paraId="47124D82" w14:textId="6E9A3A22" w:rsidR="00EA1840" w:rsidRPr="00417A9A" w:rsidRDefault="00796C23" w:rsidP="00671740">
      <w:pPr>
        <w:tabs>
          <w:tab w:val="left" w:pos="426"/>
        </w:tabs>
        <w:spacing w:after="0" w:line="276" w:lineRule="auto"/>
        <w:jc w:val="both"/>
        <w:rPr>
          <w:rFonts w:ascii="Geomanist Light" w:eastAsia="Calibri" w:hAnsi="Geomanist Light" w:cs="Arial"/>
          <w:noProof/>
          <w:lang w:val="es-ES_tradnl"/>
        </w:rPr>
      </w:pPr>
      <w:r w:rsidRPr="00417A9A">
        <w:rPr>
          <w:rFonts w:ascii="Geomanist Light" w:eastAsia="Calibri" w:hAnsi="Geomanist Light" w:cs="Arial"/>
          <w:noProof/>
          <w:lang w:val="es-ES_tradnl"/>
        </w:rPr>
        <w:t xml:space="preserve">Usted realiza la siguiente </w:t>
      </w:r>
      <w:r w:rsidR="00377701" w:rsidRPr="00417A9A">
        <w:rPr>
          <w:rFonts w:ascii="Geomanist Light" w:eastAsia="Calibri" w:hAnsi="Geomanist Light" w:cs="Arial"/>
          <w:noProof/>
          <w:lang w:val="es-ES_tradnl"/>
        </w:rPr>
        <w:t>consulta:</w:t>
      </w:r>
    </w:p>
    <w:p w14:paraId="071F22C8" w14:textId="77777777" w:rsidR="00EA1840" w:rsidRPr="00417A9A" w:rsidRDefault="00EA1840" w:rsidP="00671740">
      <w:pPr>
        <w:tabs>
          <w:tab w:val="left" w:pos="426"/>
        </w:tabs>
        <w:spacing w:after="0" w:line="276" w:lineRule="auto"/>
        <w:jc w:val="both"/>
        <w:rPr>
          <w:rFonts w:ascii="Geomanist Light" w:eastAsia="Calibri" w:hAnsi="Geomanist Light" w:cs="Arial"/>
          <w:noProof/>
          <w:lang w:val="es-ES_tradnl"/>
        </w:rPr>
      </w:pPr>
    </w:p>
    <w:p w14:paraId="61F30F87" w14:textId="04525F06" w:rsidR="00E80A81" w:rsidRPr="005A7584" w:rsidRDefault="00E80A81" w:rsidP="00E80A81">
      <w:pPr>
        <w:spacing w:after="0" w:line="276" w:lineRule="auto"/>
        <w:ind w:left="709" w:right="709"/>
        <w:contextualSpacing/>
        <w:jc w:val="both"/>
        <w:rPr>
          <w:rFonts w:ascii="Geomanist Light" w:eastAsia="Times New Roman" w:hAnsi="Geomanist Light" w:cs="Arial"/>
          <w:sz w:val="21"/>
          <w:szCs w:val="21"/>
          <w:lang w:eastAsia="es-CO"/>
        </w:rPr>
      </w:pPr>
      <w:r w:rsidRPr="005A7584">
        <w:rPr>
          <w:rFonts w:ascii="Geomanist Light" w:eastAsia="Times New Roman" w:hAnsi="Geomanist Light" w:cs="Arial"/>
          <w:sz w:val="21"/>
          <w:szCs w:val="21"/>
          <w:lang w:eastAsia="es-CO"/>
        </w:rPr>
        <w:t>«Pueden las entidades territoriales en virtud de lo señalado en el artículo 68 (equipamientos comunales) de la ley 2166 de 2021, dar en donación bienes muebles a las juntas de acción comunal, en caso positivo esta se hará mediante la celebración de un contrato de donación o la expedición de un acto administrativo de entrega? [sic]</w:t>
      </w:r>
      <w:r w:rsidRPr="00E80A81">
        <w:rPr>
          <w:rFonts w:ascii="Geomanist Light" w:eastAsia="Times New Roman" w:hAnsi="Geomanist Light" w:cs="Arial"/>
          <w:sz w:val="21"/>
          <w:szCs w:val="21"/>
          <w:lang w:eastAsia="es-CO"/>
        </w:rPr>
        <w:t>»</w:t>
      </w:r>
    </w:p>
    <w:p w14:paraId="46E3F178" w14:textId="77777777" w:rsidR="00796C23" w:rsidRPr="00417A9A" w:rsidRDefault="00796C23" w:rsidP="00671740">
      <w:pPr>
        <w:tabs>
          <w:tab w:val="left" w:pos="426"/>
        </w:tabs>
        <w:spacing w:after="0" w:line="276" w:lineRule="auto"/>
        <w:jc w:val="both"/>
        <w:rPr>
          <w:rFonts w:ascii="Geomanist Light" w:eastAsia="Calibri" w:hAnsi="Geomanist Light" w:cs="Arial"/>
          <w:noProof/>
          <w:lang w:val="es-ES_tradnl"/>
        </w:rPr>
      </w:pPr>
    </w:p>
    <w:bookmarkEnd w:id="4"/>
    <w:p w14:paraId="74CEF9BA" w14:textId="77777777" w:rsidR="00C9694A" w:rsidRPr="00417A9A" w:rsidRDefault="00C9694A" w:rsidP="00C9694A">
      <w:pPr>
        <w:tabs>
          <w:tab w:val="left" w:pos="426"/>
        </w:tabs>
        <w:spacing w:after="0" w:line="276" w:lineRule="auto"/>
        <w:jc w:val="both"/>
        <w:rPr>
          <w:rFonts w:ascii="Geomanist Light" w:eastAsia="Calibri" w:hAnsi="Geomanist Light" w:cs="Arial"/>
          <w:b/>
          <w:noProof/>
          <w:lang w:val="es-ES_tradnl"/>
        </w:rPr>
      </w:pPr>
      <w:r w:rsidRPr="00417A9A">
        <w:rPr>
          <w:rFonts w:ascii="Geomanist Light" w:eastAsia="Calibri" w:hAnsi="Geomanist Light" w:cs="Arial"/>
          <w:b/>
          <w:noProof/>
          <w:lang w:val="es-ES_tradnl"/>
        </w:rPr>
        <w:t>2. Consideraciones</w:t>
      </w:r>
    </w:p>
    <w:bookmarkEnd w:id="0"/>
    <w:bookmarkEnd w:id="1"/>
    <w:p w14:paraId="434F4D0E" w14:textId="74252022" w:rsidR="00C9694A" w:rsidRPr="00417A9A" w:rsidRDefault="00C9694A" w:rsidP="00C9694A">
      <w:pPr>
        <w:spacing w:after="0" w:line="276" w:lineRule="auto"/>
        <w:jc w:val="both"/>
        <w:rPr>
          <w:rFonts w:ascii="Geomanist Light" w:eastAsia="Calibri" w:hAnsi="Geomanist Light" w:cs="Arial"/>
          <w:noProof/>
          <w:lang w:val="es-ES_tradnl"/>
        </w:rPr>
      </w:pPr>
    </w:p>
    <w:p w14:paraId="02AAD157" w14:textId="77777777" w:rsidR="00417B7A" w:rsidRPr="00417B7A" w:rsidRDefault="00417B7A" w:rsidP="00417B7A">
      <w:pPr>
        <w:spacing w:after="120" w:line="276" w:lineRule="auto"/>
        <w:jc w:val="both"/>
        <w:rPr>
          <w:rFonts w:ascii="Geomanist Light" w:eastAsia="Calibri" w:hAnsi="Geomanist Light" w:cs="Arial"/>
          <w:bCs/>
          <w:lang w:val="es-MX"/>
        </w:rPr>
      </w:pPr>
      <w:r w:rsidRPr="00417B7A">
        <w:rPr>
          <w:rFonts w:ascii="Geomanist Light" w:eastAsia="Calibri" w:hAnsi="Geomanist Light" w:cs="Arial"/>
          <w:bCs/>
          <w:lang w:val="es-MX"/>
        </w:rPr>
        <w:t>De manera preliminar, es pertinente señalar que, en ejercicio de las competencias establecidas en los artículos 3.5 y 11.8 del Decreto Ley 4170 de 2011, la Agencia Nacional de Contratación Pública – Colombia Compra Eficiente resuelve las consultas sobre los asuntos de su competencia, esto es, sobre las temáticas de la contratación estatal y compras públicas relacionadas en los artículos citados.</w:t>
      </w:r>
    </w:p>
    <w:p w14:paraId="6E2DAD00" w14:textId="77777777" w:rsidR="00417B7A" w:rsidRPr="00417B7A" w:rsidRDefault="00417B7A" w:rsidP="00417B7A">
      <w:pPr>
        <w:spacing w:after="120" w:line="276" w:lineRule="auto"/>
        <w:ind w:firstLine="708"/>
        <w:jc w:val="both"/>
        <w:rPr>
          <w:rFonts w:ascii="Geomanist Light" w:eastAsia="Calibri" w:hAnsi="Geomanist Light" w:cs="Arial"/>
          <w:bCs/>
          <w:lang w:val="es-MX"/>
        </w:rPr>
      </w:pPr>
      <w:r w:rsidRPr="00417B7A">
        <w:rPr>
          <w:rFonts w:ascii="Geomanist Light" w:eastAsia="Calibri" w:hAnsi="Geomanist Light" w:cs="Arial"/>
          <w:bCs/>
          <w:lang w:val="es-MX"/>
        </w:rPr>
        <w:t>Es necesario tener en cuenta que 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 la contratación estatal.</w:t>
      </w:r>
    </w:p>
    <w:p w14:paraId="039376FC" w14:textId="5953A637" w:rsidR="00417B7A" w:rsidRDefault="00417B7A" w:rsidP="00417B7A">
      <w:pPr>
        <w:spacing w:after="120" w:line="276" w:lineRule="auto"/>
        <w:ind w:firstLine="708"/>
        <w:jc w:val="both"/>
        <w:rPr>
          <w:rFonts w:ascii="Geomanist Light" w:eastAsia="Calibri" w:hAnsi="Geomanist Light" w:cs="Arial"/>
          <w:bCs/>
          <w:lang w:val="es-MX"/>
        </w:rPr>
      </w:pPr>
      <w:r w:rsidRPr="00417B7A">
        <w:rPr>
          <w:rFonts w:ascii="Geomanist Light" w:eastAsia="Calibri" w:hAnsi="Geomanist Light" w:cs="Arial"/>
          <w:bCs/>
          <w:lang w:val="es-MX"/>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p>
    <w:p w14:paraId="23ECB94C" w14:textId="6CC65659" w:rsidR="007D0ABC" w:rsidRDefault="00C8443A" w:rsidP="00A81D36">
      <w:pPr>
        <w:pStyle w:val="paragraph"/>
        <w:spacing w:before="0" w:beforeAutospacing="0" w:after="0" w:afterAutospacing="0" w:line="276" w:lineRule="auto"/>
        <w:ind w:firstLine="703"/>
        <w:jc w:val="both"/>
        <w:textAlignment w:val="baseline"/>
        <w:rPr>
          <w:rFonts w:ascii="Geomanist Light" w:eastAsia="Calibri" w:hAnsi="Geomanist Light" w:cs="Arial"/>
          <w:sz w:val="22"/>
          <w:szCs w:val="22"/>
          <w:lang w:val="es-ES" w:eastAsia="en-US"/>
        </w:rPr>
      </w:pPr>
      <w:r w:rsidRPr="00417A9A">
        <w:rPr>
          <w:rFonts w:ascii="Geomanist Light" w:eastAsia="Calibri" w:hAnsi="Geomanist Light" w:cs="Arial"/>
          <w:sz w:val="22"/>
          <w:szCs w:val="22"/>
          <w:lang w:val="es-MX" w:eastAsia="en-US"/>
        </w:rPr>
        <w:t>Conforme a lo</w:t>
      </w:r>
      <w:r w:rsidR="002B1952" w:rsidRPr="00417A9A">
        <w:rPr>
          <w:rFonts w:ascii="Geomanist Light" w:eastAsia="Calibri" w:hAnsi="Geomanist Light" w:cs="Arial"/>
          <w:sz w:val="22"/>
          <w:szCs w:val="22"/>
          <w:lang w:val="es-MX" w:eastAsia="en-US"/>
        </w:rPr>
        <w:t xml:space="preserve"> anterior, </w:t>
      </w:r>
      <w:r w:rsidR="002B1952" w:rsidRPr="00417A9A">
        <w:rPr>
          <w:rFonts w:ascii="Geomanist Light" w:eastAsia="Calibri" w:hAnsi="Geomanist Light" w:cs="Arial"/>
          <w:sz w:val="22"/>
          <w:szCs w:val="22"/>
          <w:lang w:val="es-ES" w:eastAsia="en-US"/>
        </w:rPr>
        <w:t>la Subdirección de Gestión Contractual dentro de los límites de sus atribuciones</w:t>
      </w:r>
      <w:r w:rsidR="00FA228C">
        <w:rPr>
          <w:rFonts w:ascii="Geomanist Light" w:eastAsia="Calibri" w:hAnsi="Geomanist Light" w:cs="Arial"/>
          <w:sz w:val="22"/>
          <w:szCs w:val="22"/>
          <w:lang w:val="es-ES" w:eastAsia="en-US"/>
        </w:rPr>
        <w:t xml:space="preserve">, resolverá la consulta conforme a las normas generales </w:t>
      </w:r>
      <w:r w:rsidR="00227C58">
        <w:rPr>
          <w:rFonts w:ascii="Geomanist Light" w:eastAsia="Calibri" w:hAnsi="Geomanist Light" w:cs="Arial"/>
          <w:sz w:val="22"/>
          <w:szCs w:val="22"/>
          <w:lang w:val="es-ES" w:eastAsia="en-US"/>
        </w:rPr>
        <w:t xml:space="preserve">en materia de contratación estatal, luego de analizar los siguientes temas: i) enajenación de bienes a título gratuito y, </w:t>
      </w:r>
      <w:proofErr w:type="spellStart"/>
      <w:r w:rsidR="00227C58">
        <w:rPr>
          <w:rFonts w:ascii="Geomanist Light" w:eastAsia="Calibri" w:hAnsi="Geomanist Light" w:cs="Arial"/>
          <w:sz w:val="22"/>
          <w:szCs w:val="22"/>
          <w:lang w:val="es-ES" w:eastAsia="en-US"/>
        </w:rPr>
        <w:t>ii</w:t>
      </w:r>
      <w:proofErr w:type="spellEnd"/>
      <w:r w:rsidR="00227C58">
        <w:rPr>
          <w:rFonts w:ascii="Geomanist Light" w:eastAsia="Calibri" w:hAnsi="Geomanist Light" w:cs="Arial"/>
          <w:sz w:val="22"/>
          <w:szCs w:val="22"/>
          <w:lang w:val="es-ES" w:eastAsia="en-US"/>
        </w:rPr>
        <w:t xml:space="preserve">) </w:t>
      </w:r>
      <w:r w:rsidR="00A81D36">
        <w:rPr>
          <w:rFonts w:ascii="Geomanist Light" w:eastAsia="Calibri" w:hAnsi="Geomanist Light" w:cs="Arial"/>
          <w:sz w:val="22"/>
          <w:szCs w:val="22"/>
          <w:lang w:val="es-ES" w:eastAsia="en-US"/>
        </w:rPr>
        <w:t>equipamiento de las juntas de acción comunal en virtud del artículo 68 de la Ley 2166 de 2021.</w:t>
      </w:r>
    </w:p>
    <w:p w14:paraId="52D0D3A7" w14:textId="77777777" w:rsidR="002E4446" w:rsidRPr="001E7E5A" w:rsidRDefault="002E4446" w:rsidP="00A81D36">
      <w:pPr>
        <w:pStyle w:val="paragraph"/>
        <w:spacing w:before="0" w:beforeAutospacing="0" w:after="0" w:afterAutospacing="0" w:line="276" w:lineRule="auto"/>
        <w:ind w:firstLine="703"/>
        <w:jc w:val="both"/>
        <w:textAlignment w:val="baseline"/>
        <w:rPr>
          <w:rFonts w:ascii="Geomanist Light" w:eastAsia="Calibri" w:hAnsi="Geomanist Light" w:cs="Arial"/>
          <w:b/>
          <w:bCs/>
          <w:lang w:val="es-ES_tradnl"/>
        </w:rPr>
      </w:pPr>
    </w:p>
    <w:p w14:paraId="48815806" w14:textId="6D36EA0E" w:rsidR="00FD1A40" w:rsidRPr="002879B3" w:rsidRDefault="00C9694A" w:rsidP="002879B3">
      <w:pPr>
        <w:tabs>
          <w:tab w:val="left" w:pos="426"/>
        </w:tabs>
        <w:spacing w:after="0" w:line="276" w:lineRule="auto"/>
        <w:jc w:val="both"/>
        <w:rPr>
          <w:rFonts w:ascii="Geomanist Light" w:eastAsia="Times New Roman" w:hAnsi="Geomanist Light" w:cs="Arial"/>
          <w:color w:val="000000"/>
          <w:szCs w:val="24"/>
          <w:lang w:val="es-ES" w:eastAsia="es-ES_tradnl"/>
        </w:rPr>
      </w:pPr>
      <w:r w:rsidRPr="001E7E5A">
        <w:rPr>
          <w:rFonts w:ascii="Geomanist Light" w:eastAsia="Calibri" w:hAnsi="Geomanist Light" w:cs="Arial"/>
          <w:b/>
          <w:bCs/>
          <w:noProof/>
          <w:lang w:val="es-ES_tradnl"/>
        </w:rPr>
        <w:t>2.</w:t>
      </w:r>
      <w:r w:rsidR="00FD1A40">
        <w:rPr>
          <w:rFonts w:ascii="Geomanist Light" w:eastAsia="Calibri" w:hAnsi="Geomanist Light" w:cs="Arial"/>
          <w:b/>
          <w:bCs/>
          <w:noProof/>
          <w:lang w:val="es-ES_tradnl"/>
        </w:rPr>
        <w:t>1</w:t>
      </w:r>
      <w:r w:rsidR="005F5DFE">
        <w:rPr>
          <w:rFonts w:ascii="Geomanist Light" w:eastAsia="Calibri" w:hAnsi="Geomanist Light" w:cs="Arial"/>
          <w:b/>
          <w:bCs/>
          <w:noProof/>
          <w:lang w:val="es-ES_tradnl"/>
        </w:rPr>
        <w:t>.</w:t>
      </w:r>
      <w:bookmarkStart w:id="5" w:name="_Hlk117071240"/>
      <w:r w:rsidR="002879B3">
        <w:rPr>
          <w:rFonts w:ascii="Geomanist Light" w:eastAsia="Calibri" w:hAnsi="Geomanist Light" w:cs="Arial"/>
          <w:b/>
          <w:bCs/>
          <w:noProof/>
          <w:lang w:val="es-ES_tradnl"/>
        </w:rPr>
        <w:t xml:space="preserve"> </w:t>
      </w:r>
      <w:r w:rsidR="00FD1A40">
        <w:rPr>
          <w:rFonts w:ascii="Geomanist Light" w:hAnsi="Geomanist Light" w:cs="Arial"/>
          <w:b/>
          <w:bCs/>
          <w:lang w:val="es-ES"/>
        </w:rPr>
        <w:t>Enajenación de bienes a título gratuito</w:t>
      </w:r>
      <w:r w:rsidR="00FD1A40" w:rsidRPr="00417A9A">
        <w:rPr>
          <w:rFonts w:ascii="Geomanist Light" w:hAnsi="Geomanist Light" w:cs="Arial"/>
          <w:b/>
          <w:bCs/>
          <w:lang w:val="es-ES"/>
        </w:rPr>
        <w:t xml:space="preserve"> </w:t>
      </w:r>
      <w:bookmarkEnd w:id="5"/>
    </w:p>
    <w:p w14:paraId="3FDECC1F" w14:textId="77777777" w:rsidR="004976E7" w:rsidRDefault="004976E7" w:rsidP="00FD1A40">
      <w:pPr>
        <w:spacing w:after="0" w:line="276" w:lineRule="auto"/>
        <w:jc w:val="both"/>
        <w:rPr>
          <w:rFonts w:ascii="Geomanist Light" w:eastAsia="Calibri" w:hAnsi="Geomanist Light" w:cs="Arial"/>
          <w:b/>
          <w:bCs/>
          <w:lang w:val="es-ES_tradnl"/>
        </w:rPr>
      </w:pPr>
    </w:p>
    <w:p w14:paraId="0B189742" w14:textId="77FB6688" w:rsidR="00FD1A40" w:rsidRDefault="00FD1A40" w:rsidP="00FD1A40">
      <w:pPr>
        <w:spacing w:after="0" w:line="276" w:lineRule="auto"/>
        <w:jc w:val="both"/>
        <w:rPr>
          <w:rFonts w:ascii="Geomanist Light" w:eastAsia="Calibri" w:hAnsi="Geomanist Light" w:cs="Arial"/>
          <w:lang w:val="es-ES_tradnl"/>
        </w:rPr>
      </w:pPr>
      <w:r>
        <w:rPr>
          <w:rFonts w:ascii="Geomanist Light" w:eastAsia="Calibri" w:hAnsi="Geomanist Light" w:cs="Arial"/>
          <w:lang w:val="es-ES_tradnl"/>
        </w:rPr>
        <w:t>La normativa del sistema de compra pública no establece el significado de enajenar bienes a título gratuito, de manera que es necesario recurrir a las normas generales para dotar de contenido dicha expresión.</w:t>
      </w:r>
    </w:p>
    <w:p w14:paraId="496F6557" w14:textId="77777777" w:rsidR="00FD1A40" w:rsidRPr="00B42DFD" w:rsidRDefault="00FD1A40" w:rsidP="00FD1A40">
      <w:pPr>
        <w:spacing w:before="120" w:after="0" w:line="276" w:lineRule="auto"/>
        <w:jc w:val="both"/>
        <w:rPr>
          <w:rFonts w:ascii="Geomanist Light" w:eastAsia="Times New Roman" w:hAnsi="Geomanist Light" w:cs="Arial"/>
          <w:color w:val="000000"/>
          <w:szCs w:val="24"/>
          <w:lang w:eastAsia="es-ES_tradnl"/>
        </w:rPr>
      </w:pPr>
      <w:r w:rsidRPr="00B42DFD">
        <w:rPr>
          <w:rFonts w:ascii="Geomanist Light" w:eastAsia="Calibri" w:hAnsi="Geomanist Light" w:cs="Arial"/>
          <w:lang w:val="es-ES_tradnl"/>
        </w:rPr>
        <w:lastRenderedPageBreak/>
        <w:tab/>
        <w:t>La enajenación se define como la transferencia del derecho real</w:t>
      </w:r>
      <w:r w:rsidRPr="00B42DFD">
        <w:rPr>
          <w:rFonts w:ascii="Geomanist Light" w:eastAsia="Times New Roman" w:hAnsi="Geomanist Light" w:cs="Arial"/>
          <w:color w:val="000000"/>
          <w:szCs w:val="24"/>
          <w:vertAlign w:val="superscript"/>
          <w:lang w:eastAsia="es-ES_tradnl"/>
        </w:rPr>
        <w:footnoteReference w:id="2"/>
      </w:r>
      <w:r w:rsidRPr="00B42DFD">
        <w:rPr>
          <w:rFonts w:ascii="Geomanist Light" w:eastAsia="Calibri" w:hAnsi="Geomanist Light" w:cs="Arial"/>
          <w:lang w:val="es-ES_tradnl"/>
        </w:rPr>
        <w:t xml:space="preserve"> sobre un bien</w:t>
      </w:r>
      <w:r w:rsidRPr="00B42DFD">
        <w:rPr>
          <w:rFonts w:ascii="Geomanist Light" w:eastAsia="Times New Roman" w:hAnsi="Geomanist Light" w:cs="Arial"/>
          <w:color w:val="000000"/>
          <w:szCs w:val="24"/>
          <w:vertAlign w:val="superscript"/>
          <w:lang w:eastAsia="es-ES_tradnl"/>
        </w:rPr>
        <w:footnoteReference w:id="3"/>
      </w:r>
      <w:r w:rsidRPr="00B42DFD">
        <w:rPr>
          <w:rFonts w:ascii="Geomanist Light" w:eastAsia="Times New Roman" w:hAnsi="Geomanist Light" w:cs="Arial"/>
          <w:color w:val="000000"/>
          <w:szCs w:val="24"/>
          <w:lang w:eastAsia="es-ES_tradnl"/>
        </w:rPr>
        <w:t xml:space="preserve">. Como indica la doctrina, «Dar –en sentido restringido–, </w:t>
      </w:r>
      <w:proofErr w:type="spellStart"/>
      <w:r w:rsidRPr="00B42DFD">
        <w:rPr>
          <w:rFonts w:ascii="Geomanist Light" w:eastAsia="Times New Roman" w:hAnsi="Geomanist Light" w:cs="Arial"/>
          <w:color w:val="000000"/>
          <w:szCs w:val="24"/>
          <w:lang w:eastAsia="es-ES_tradnl"/>
        </w:rPr>
        <w:t>traditar</w:t>
      </w:r>
      <w:proofErr w:type="spellEnd"/>
      <w:r w:rsidRPr="00B42DFD">
        <w:rPr>
          <w:rFonts w:ascii="Geomanist Light" w:eastAsia="Times New Roman" w:hAnsi="Geomanist Light" w:cs="Arial"/>
          <w:color w:val="000000"/>
          <w:szCs w:val="24"/>
          <w:lang w:eastAsia="es-ES_tradnl"/>
        </w:rPr>
        <w:t xml:space="preserve">, enajenar, disponer, son conceptos sinónimos en el Código Civil. Cuando se da, se enajena, cuando se </w:t>
      </w:r>
      <w:proofErr w:type="spellStart"/>
      <w:r w:rsidRPr="00B42DFD">
        <w:rPr>
          <w:rFonts w:ascii="Geomanist Light" w:eastAsia="Times New Roman" w:hAnsi="Geomanist Light" w:cs="Arial"/>
          <w:color w:val="000000"/>
          <w:szCs w:val="24"/>
          <w:lang w:eastAsia="es-ES_tradnl"/>
        </w:rPr>
        <w:t>tradita</w:t>
      </w:r>
      <w:proofErr w:type="spellEnd"/>
      <w:r w:rsidRPr="00B42DFD">
        <w:rPr>
          <w:rFonts w:ascii="Geomanist Light" w:eastAsia="Times New Roman" w:hAnsi="Geomanist Light" w:cs="Arial"/>
          <w:color w:val="000000"/>
          <w:szCs w:val="24"/>
          <w:lang w:eastAsia="es-ES_tradnl"/>
        </w:rPr>
        <w:t xml:space="preserve">, se enajena, cuando se enajena, se da o se </w:t>
      </w:r>
      <w:proofErr w:type="spellStart"/>
      <w:r w:rsidRPr="00B42DFD">
        <w:rPr>
          <w:rFonts w:ascii="Geomanist Light" w:eastAsia="Times New Roman" w:hAnsi="Geomanist Light" w:cs="Arial"/>
          <w:color w:val="000000"/>
          <w:szCs w:val="24"/>
          <w:lang w:eastAsia="es-ES_tradnl"/>
        </w:rPr>
        <w:t>tradita</w:t>
      </w:r>
      <w:proofErr w:type="spellEnd"/>
      <w:r w:rsidRPr="00B42DFD">
        <w:rPr>
          <w:rFonts w:ascii="Geomanist Light" w:eastAsia="Times New Roman" w:hAnsi="Geomanist Light" w:cs="Arial"/>
          <w:color w:val="000000"/>
          <w:szCs w:val="24"/>
          <w:lang w:eastAsia="es-ES_tradnl"/>
        </w:rPr>
        <w:t>. Y, finalmente, cuando ocurre cualquiera de tales fenómenos, se dispone</w:t>
      </w:r>
      <w:r w:rsidRPr="00B42DFD">
        <w:rPr>
          <w:rFonts w:ascii="Geomanist Light" w:eastAsia="Times New Roman" w:hAnsi="Geomanist Light" w:cs="Arial"/>
          <w:color w:val="000000"/>
          <w:szCs w:val="24"/>
          <w:vertAlign w:val="superscript"/>
          <w:lang w:eastAsia="es-ES_tradnl"/>
        </w:rPr>
        <w:footnoteReference w:id="4"/>
      </w:r>
      <w:r w:rsidRPr="00B42DFD">
        <w:rPr>
          <w:rFonts w:ascii="Geomanist Light" w:eastAsia="Times New Roman" w:hAnsi="Geomanist Light" w:cs="Arial"/>
          <w:color w:val="000000"/>
          <w:szCs w:val="24"/>
          <w:lang w:eastAsia="es-ES_tradnl"/>
        </w:rPr>
        <w:t>». Lo más usual es que la enajenación se lleva a cabo respecto del derecho de propiedad</w:t>
      </w:r>
      <w:r w:rsidRPr="00B42DFD">
        <w:rPr>
          <w:rFonts w:ascii="Geomanist Light" w:eastAsia="Times New Roman" w:hAnsi="Geomanist Light" w:cs="Arial"/>
          <w:color w:val="000000"/>
          <w:szCs w:val="24"/>
          <w:vertAlign w:val="superscript"/>
          <w:lang w:eastAsia="es-ES_tradnl"/>
        </w:rPr>
        <w:footnoteReference w:id="5"/>
      </w:r>
      <w:r w:rsidRPr="00B42DFD">
        <w:rPr>
          <w:rFonts w:ascii="Geomanist Light" w:eastAsia="Times New Roman" w:hAnsi="Geomanist Light" w:cs="Arial"/>
          <w:color w:val="000000"/>
          <w:szCs w:val="24"/>
          <w:lang w:eastAsia="es-ES_tradnl"/>
        </w:rPr>
        <w:t>; y en tal caso se efectúa a través de los modos señalados en el artículo 673 del Código Civil</w:t>
      </w:r>
      <w:r w:rsidRPr="00B42DFD">
        <w:rPr>
          <w:rFonts w:ascii="Geomanist Light" w:eastAsia="Times New Roman" w:hAnsi="Geomanist Light" w:cs="Arial"/>
          <w:color w:val="000000"/>
          <w:szCs w:val="24"/>
          <w:vertAlign w:val="superscript"/>
          <w:lang w:eastAsia="es-ES_tradnl"/>
        </w:rPr>
        <w:footnoteReference w:id="6"/>
      </w:r>
      <w:r w:rsidRPr="00B42DFD">
        <w:rPr>
          <w:rFonts w:ascii="Geomanist Light" w:eastAsia="Times New Roman" w:hAnsi="Geomanist Light" w:cs="Arial"/>
          <w:color w:val="000000"/>
          <w:szCs w:val="24"/>
          <w:lang w:eastAsia="es-ES_tradnl"/>
        </w:rPr>
        <w:t>, pudiendo recaer tanto sobre los bienes muebles, como inmuebles, aunque frente a estos la ley exige solemnidades especiales</w:t>
      </w:r>
      <w:r w:rsidRPr="00B42DFD">
        <w:rPr>
          <w:rFonts w:ascii="Geomanist Light" w:eastAsia="Times New Roman" w:hAnsi="Geomanist Light" w:cs="Arial"/>
          <w:color w:val="000000"/>
          <w:szCs w:val="24"/>
          <w:vertAlign w:val="superscript"/>
          <w:lang w:eastAsia="es-ES_tradnl"/>
        </w:rPr>
        <w:footnoteReference w:id="7"/>
      </w:r>
      <w:r w:rsidRPr="00B42DFD">
        <w:rPr>
          <w:rFonts w:ascii="Geomanist Light" w:eastAsia="Times New Roman" w:hAnsi="Geomanist Light" w:cs="Arial"/>
          <w:color w:val="000000"/>
          <w:szCs w:val="24"/>
          <w:lang w:eastAsia="es-ES_tradnl"/>
        </w:rPr>
        <w:t xml:space="preserve">. Entretanto, el artículo 1521 del Código Civil dispone que se presenta objeto ilícito en la enajenación: i) «De las cosas que no están en el comercio», </w:t>
      </w:r>
      <w:proofErr w:type="spellStart"/>
      <w:r w:rsidRPr="00B42DFD">
        <w:rPr>
          <w:rFonts w:ascii="Geomanist Light" w:eastAsia="Times New Roman" w:hAnsi="Geomanist Light" w:cs="Arial"/>
          <w:color w:val="000000"/>
          <w:szCs w:val="24"/>
          <w:lang w:eastAsia="es-ES_tradnl"/>
        </w:rPr>
        <w:t>ii</w:t>
      </w:r>
      <w:proofErr w:type="spellEnd"/>
      <w:r w:rsidRPr="00B42DFD">
        <w:rPr>
          <w:rFonts w:ascii="Geomanist Light" w:eastAsia="Times New Roman" w:hAnsi="Geomanist Light" w:cs="Arial"/>
          <w:color w:val="000000"/>
          <w:szCs w:val="24"/>
          <w:lang w:eastAsia="es-ES_tradnl"/>
        </w:rPr>
        <w:t xml:space="preserve">) «De los derechos o privilegios que no pueden transferirse a otra persona» y </w:t>
      </w:r>
      <w:proofErr w:type="spellStart"/>
      <w:r w:rsidRPr="00B42DFD">
        <w:rPr>
          <w:rFonts w:ascii="Geomanist Light" w:eastAsia="Times New Roman" w:hAnsi="Geomanist Light" w:cs="Arial"/>
          <w:color w:val="000000"/>
          <w:szCs w:val="24"/>
          <w:lang w:eastAsia="es-ES_tradnl"/>
        </w:rPr>
        <w:t>iii</w:t>
      </w:r>
      <w:proofErr w:type="spellEnd"/>
      <w:r w:rsidRPr="00B42DFD">
        <w:rPr>
          <w:rFonts w:ascii="Geomanist Light" w:eastAsia="Times New Roman" w:hAnsi="Geomanist Light" w:cs="Arial"/>
          <w:color w:val="000000"/>
          <w:szCs w:val="24"/>
          <w:lang w:eastAsia="es-ES_tradnl"/>
        </w:rPr>
        <w:t>) «De las cosas embargadas por decreto judicial, a menos que el juez lo autorice o el acreedor consienta en ello».</w:t>
      </w:r>
    </w:p>
    <w:p w14:paraId="518F9472" w14:textId="46B68BFE" w:rsidR="00FD1A40" w:rsidRPr="00B42DFD" w:rsidRDefault="00FD1A40" w:rsidP="00FD1A40">
      <w:pPr>
        <w:spacing w:before="120" w:after="0" w:line="276" w:lineRule="auto"/>
        <w:jc w:val="both"/>
        <w:rPr>
          <w:rFonts w:ascii="Arial" w:eastAsia="Times New Roman" w:hAnsi="Arial" w:cs="Arial"/>
          <w:vertAlign w:val="subscript"/>
          <w:lang w:eastAsia="es-ES_tradnl"/>
        </w:rPr>
      </w:pPr>
      <w:r w:rsidRPr="00B42DFD">
        <w:rPr>
          <w:rFonts w:ascii="Geomanist Light" w:eastAsia="Times New Roman" w:hAnsi="Geomanist Light" w:cs="Arial"/>
          <w:color w:val="000000"/>
          <w:szCs w:val="24"/>
          <w:lang w:eastAsia="es-ES_tradnl"/>
        </w:rPr>
        <w:tab/>
        <w:t>La enajenación de bienes a título gratuito está relacionada con el contrato de donación, definido en el Código Civil como «un acto por el cual una persona transfiere, gratuita e irrevocablemente, una parte de sus bi</w:t>
      </w:r>
      <w:r w:rsidR="000D45C4">
        <w:rPr>
          <w:rFonts w:ascii="Geomanist Light" w:eastAsia="Times New Roman" w:hAnsi="Geomanist Light" w:cs="Arial"/>
          <w:color w:val="000000"/>
          <w:szCs w:val="24"/>
          <w:lang w:eastAsia="es-ES_tradnl"/>
        </w:rPr>
        <w:t>e</w:t>
      </w:r>
      <w:r w:rsidRPr="00B42DFD">
        <w:rPr>
          <w:rFonts w:ascii="Geomanist Light" w:eastAsia="Times New Roman" w:hAnsi="Geomanist Light" w:cs="Arial"/>
          <w:color w:val="000000"/>
          <w:szCs w:val="24"/>
          <w:lang w:eastAsia="es-ES_tradnl"/>
        </w:rPr>
        <w:t>nes a otra persona que la acepta</w:t>
      </w:r>
      <w:r w:rsidRPr="00B42DFD">
        <w:rPr>
          <w:rFonts w:ascii="Geomanist Light" w:eastAsia="Times New Roman" w:hAnsi="Geomanist Light" w:cs="Arial"/>
          <w:lang w:eastAsia="es-ES_tradnl"/>
        </w:rPr>
        <w:t>»</w:t>
      </w:r>
      <w:r w:rsidRPr="00B42DFD">
        <w:rPr>
          <w:rFonts w:ascii="Geomanist Light" w:eastAsia="Calibri" w:hAnsi="Geomanist Light" w:cs="Arial"/>
          <w:lang w:val="es-ES_tradnl"/>
        </w:rPr>
        <w:t xml:space="preserve">. El </w:t>
      </w:r>
      <w:r w:rsidR="00D70BCF">
        <w:rPr>
          <w:rFonts w:ascii="Geomanist Light" w:eastAsia="Calibri" w:hAnsi="Geomanist Light" w:cs="Arial"/>
          <w:lang w:val="es-ES_tradnl"/>
        </w:rPr>
        <w:t>C</w:t>
      </w:r>
      <w:r w:rsidRPr="00B42DFD">
        <w:rPr>
          <w:rFonts w:ascii="Geomanist Light" w:eastAsia="Calibri" w:hAnsi="Geomanist Light" w:cs="Arial"/>
          <w:lang w:val="es-ES_tradnl"/>
        </w:rPr>
        <w:t xml:space="preserve">onsejo de </w:t>
      </w:r>
      <w:r>
        <w:rPr>
          <w:rFonts w:ascii="Geomanist Light" w:eastAsia="Calibri" w:hAnsi="Geomanist Light" w:cs="Arial"/>
          <w:lang w:val="es-ES_tradnl"/>
        </w:rPr>
        <w:t>Estado</w:t>
      </w:r>
      <w:r w:rsidRPr="001C08FB">
        <w:rPr>
          <w:rFonts w:ascii="Arial" w:eastAsia="Times New Roman" w:hAnsi="Arial" w:cs="Arial"/>
          <w:vertAlign w:val="superscript"/>
          <w:lang w:eastAsia="es-ES_tradnl"/>
        </w:rPr>
        <w:footnoteReference w:id="8"/>
      </w:r>
      <w:r>
        <w:rPr>
          <w:rFonts w:ascii="Geomanist Light" w:eastAsia="Calibri" w:hAnsi="Geomanist Light" w:cs="Arial"/>
          <w:lang w:val="es-ES_tradnl"/>
        </w:rPr>
        <w:t xml:space="preserve"> sostuvo respecto de la definición de la donación del Código Civil, que era naturalmente imprecisa toda vez que la donación es un verdadero «contrato» y no solo un acto, lo anterior porque para el perfeccionamiento del «contrato» concurre i) la voluntad dispositiva de la persona que pretende entregar parte de su patrimonio –donante– y </w:t>
      </w:r>
      <w:proofErr w:type="spellStart"/>
      <w:r>
        <w:rPr>
          <w:rFonts w:ascii="Geomanist Light" w:eastAsia="Calibri" w:hAnsi="Geomanist Light" w:cs="Arial"/>
          <w:lang w:val="es-ES_tradnl"/>
        </w:rPr>
        <w:t>ii</w:t>
      </w:r>
      <w:proofErr w:type="spellEnd"/>
      <w:r>
        <w:rPr>
          <w:rFonts w:ascii="Geomanist Light" w:eastAsia="Calibri" w:hAnsi="Geomanist Light" w:cs="Arial"/>
          <w:lang w:val="es-ES_tradnl"/>
        </w:rPr>
        <w:t>) la aceptación de quién recibirá el beneficio económico –donatario–</w:t>
      </w:r>
      <w:r w:rsidRPr="001C08FB">
        <w:rPr>
          <w:rFonts w:ascii="Arial" w:eastAsia="Times New Roman" w:hAnsi="Arial" w:cs="Arial"/>
          <w:lang w:eastAsia="es-ES_tradnl"/>
        </w:rPr>
        <w:t>.</w:t>
      </w:r>
      <w:r>
        <w:rPr>
          <w:rFonts w:ascii="Arial" w:eastAsia="Times New Roman" w:hAnsi="Arial" w:cs="Arial"/>
          <w:lang w:eastAsia="es-ES_tradnl"/>
        </w:rPr>
        <w:t xml:space="preserve"> </w:t>
      </w:r>
      <w:r>
        <w:rPr>
          <w:rFonts w:ascii="Geomanist Light" w:eastAsia="Times New Roman" w:hAnsi="Geomanist Light" w:cs="Arial"/>
          <w:lang w:eastAsia="es-ES_tradnl"/>
        </w:rPr>
        <w:t>Conforme a lo anterior, la celebración de un contrato de donación se constituye como un verdadero acto traslaticio del dominio</w:t>
      </w:r>
      <w:r>
        <w:rPr>
          <w:rFonts w:ascii="Arial" w:eastAsia="Times New Roman" w:hAnsi="Arial" w:cs="Arial"/>
          <w:vertAlign w:val="subscript"/>
          <w:lang w:eastAsia="es-ES_tradnl"/>
        </w:rPr>
        <w:t>.</w:t>
      </w:r>
    </w:p>
    <w:p w14:paraId="5B364461" w14:textId="554893EC" w:rsidR="00FD1A40" w:rsidRDefault="00FD1A40" w:rsidP="00FD1A40">
      <w:pPr>
        <w:spacing w:before="120" w:after="0" w:line="276" w:lineRule="auto"/>
        <w:jc w:val="both"/>
        <w:rPr>
          <w:rFonts w:ascii="Geomanist Light" w:eastAsia="Calibri" w:hAnsi="Geomanist Light" w:cs="Arial"/>
          <w:lang w:val="es-ES_tradnl"/>
        </w:rPr>
      </w:pPr>
      <w:r w:rsidRPr="00B42DFD">
        <w:rPr>
          <w:rFonts w:ascii="Geomanist Light" w:eastAsia="Calibri" w:hAnsi="Geomanist Light" w:cs="Arial"/>
          <w:lang w:val="es-ES_tradnl"/>
        </w:rPr>
        <w:tab/>
      </w:r>
      <w:r w:rsidR="00FB2200" w:rsidRPr="00FB2200">
        <w:rPr>
          <w:rFonts w:ascii="Geomanist Light" w:eastAsia="Calibri" w:hAnsi="Geomanist Light" w:cs="Arial"/>
          <w:lang w:val="es-ES_tradnl"/>
        </w:rPr>
        <w:t xml:space="preserve">Respecto del tipo de bienes que pueden ser objeto de donación es importante resaltar, en primer lugar, que el artículo 654 del Código Civil clasifica las cosas corporales en muebles e inmuebles. Por su parte, los bienes de dominio público, de acuerdo con la sentencia C.-183 de 2003 de la Corte constitucional, son «el conjunto de bienes que la administración afecta al uso directo de la comunidad o que utiliza para servir a la sociedad». Dentro de esta categoría se encuentran los bienes fiscales y los bienes de uso público8. Los </w:t>
      </w:r>
      <w:r w:rsidR="00FB2200" w:rsidRPr="00FB2200">
        <w:rPr>
          <w:rFonts w:ascii="Geomanist Light" w:eastAsia="Calibri" w:hAnsi="Geomanist Light" w:cs="Arial"/>
          <w:lang w:val="es-ES_tradnl"/>
        </w:rPr>
        <w:lastRenderedPageBreak/>
        <w:t>bienes fiscales, de acuerdo con el Alto Tribunal Constitucional9, están destinados a la presentación de servicios públicos que la Administración utiliza de forma inmediata, como los edificios donde funcionan las oficinas públicas.</w:t>
      </w:r>
      <w:r>
        <w:rPr>
          <w:rFonts w:ascii="Geomanist Light" w:eastAsia="Calibri" w:hAnsi="Geomanist Light" w:cs="Arial"/>
          <w:lang w:val="es-ES_tradnl"/>
        </w:rPr>
        <w:tab/>
        <w:t>Por otro lado, el artículo 674 del Código Civil define los bi</w:t>
      </w:r>
      <w:r w:rsidR="00425AD0">
        <w:rPr>
          <w:rFonts w:ascii="Geomanist Light" w:eastAsia="Calibri" w:hAnsi="Geomanist Light" w:cs="Arial"/>
          <w:lang w:val="es-ES_tradnl"/>
        </w:rPr>
        <w:t>e</w:t>
      </w:r>
      <w:r>
        <w:rPr>
          <w:rFonts w:ascii="Geomanist Light" w:eastAsia="Calibri" w:hAnsi="Geomanist Light" w:cs="Arial"/>
          <w:lang w:val="es-ES_tradnl"/>
        </w:rPr>
        <w:t>nes de dominio público como aquellos que «[…] pertenecen a todos los habitantes de un Territorio, como el de calles, plazas, puentes y caminos, se llama</w:t>
      </w:r>
      <w:r w:rsidR="00F11EB2">
        <w:rPr>
          <w:rFonts w:ascii="Geomanist Light" w:eastAsia="Calibri" w:hAnsi="Geomanist Light" w:cs="Arial"/>
          <w:lang w:val="es-ES_tradnl"/>
        </w:rPr>
        <w:t xml:space="preserve">n </w:t>
      </w:r>
      <w:r>
        <w:rPr>
          <w:rFonts w:ascii="Geomanist Light" w:eastAsia="Calibri" w:hAnsi="Geomanist Light" w:cs="Arial"/>
          <w:lang w:val="es-ES_tradnl"/>
        </w:rPr>
        <w:t xml:space="preserve">bienes de la Unión o de </w:t>
      </w:r>
      <w:proofErr w:type="gramStart"/>
      <w:r>
        <w:rPr>
          <w:rFonts w:ascii="Geomanist Light" w:eastAsia="Calibri" w:hAnsi="Geomanist Light" w:cs="Arial"/>
          <w:lang w:val="es-ES_tradnl"/>
        </w:rPr>
        <w:t>uso público o bienes públicos</w:t>
      </w:r>
      <w:proofErr w:type="gramEnd"/>
      <w:r>
        <w:rPr>
          <w:rFonts w:ascii="Geomanist Light" w:eastAsia="Calibri" w:hAnsi="Geomanist Light" w:cs="Arial"/>
          <w:lang w:val="es-ES_tradnl"/>
        </w:rPr>
        <w:t xml:space="preserve"> del Territorio».</w:t>
      </w:r>
    </w:p>
    <w:p w14:paraId="72865DC4" w14:textId="77777777" w:rsidR="00FD1A40" w:rsidRPr="000F6D03" w:rsidRDefault="00FD1A40" w:rsidP="00FD1A40">
      <w:pPr>
        <w:spacing w:before="120" w:after="0" w:line="276" w:lineRule="auto"/>
        <w:jc w:val="both"/>
        <w:rPr>
          <w:rFonts w:ascii="Geomanist Light" w:eastAsia="Times New Roman" w:hAnsi="Geomanist Light" w:cs="Arial"/>
          <w:lang w:eastAsia="es-ES_tradnl"/>
        </w:rPr>
      </w:pPr>
      <w:r>
        <w:rPr>
          <w:rFonts w:ascii="Geomanist Light" w:eastAsia="Times New Roman" w:hAnsi="Geomanist Light" w:cs="Arial"/>
          <w:lang w:eastAsia="es-ES_tradnl"/>
        </w:rPr>
        <w:tab/>
        <w:t xml:space="preserve">A su vez, el Consejo de Estado, define los bienes fiscales como «aquellos que pertenecen 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w:t>
      </w:r>
      <w:r w:rsidRPr="00C01833">
        <w:rPr>
          <w:rFonts w:ascii="Geomanist Light" w:eastAsia="Times New Roman" w:hAnsi="Geomanist Light" w:cs="Arial"/>
          <w:lang w:eastAsia="es-ES_tradnl"/>
        </w:rPr>
        <w:t xml:space="preserve">pueden construir una reserva patrimonial para fines de utilidad común. Su dominio corresponde a la República, pero su uso no pertenece generalmente a los habitantes, de manera que el Estado lo posee y los administra en forma similar a como lo hacen los particulares con los </w:t>
      </w:r>
      <w:r w:rsidRPr="000F6D03">
        <w:rPr>
          <w:rFonts w:ascii="Geomanist Light" w:eastAsia="Times New Roman" w:hAnsi="Geomanist Light" w:cs="Arial"/>
          <w:lang w:eastAsia="es-ES_tradnl"/>
        </w:rPr>
        <w:t>bienes de su propiedad»</w:t>
      </w:r>
      <w:r w:rsidRPr="000F6D03">
        <w:rPr>
          <w:rFonts w:ascii="Geomanist Light" w:eastAsia="Times New Roman" w:hAnsi="Geomanist Light" w:cs="Arial"/>
          <w:vertAlign w:val="superscript"/>
          <w:lang w:eastAsia="es-ES_tradnl"/>
        </w:rPr>
        <w:footnoteReference w:id="9"/>
      </w:r>
      <w:r w:rsidRPr="000F6D03">
        <w:rPr>
          <w:rFonts w:ascii="Geomanist Light" w:eastAsia="Times New Roman" w:hAnsi="Geomanist Light" w:cs="Arial"/>
          <w:lang w:eastAsia="es-ES_tradnl"/>
        </w:rPr>
        <w:t>. De esta manera, sobre los bienes fiscales, a pesar de estar destinados a la prestación de servicios públicos, las entidades estatales tienen la facultad de disponer de ellos a través de un acto jurídico como la compraventa, la donación, arriendo, entre otros.</w:t>
      </w:r>
    </w:p>
    <w:p w14:paraId="42AF2787" w14:textId="746CB764" w:rsidR="00FD1A40" w:rsidRDefault="00FD1A40" w:rsidP="00FD1A40">
      <w:pPr>
        <w:spacing w:before="120" w:after="0" w:line="276" w:lineRule="auto"/>
        <w:jc w:val="both"/>
        <w:rPr>
          <w:rFonts w:ascii="Geomanist Light" w:eastAsia="Times New Roman" w:hAnsi="Geomanist Light" w:cs="Arial"/>
          <w:lang w:eastAsia="es-ES_tradnl"/>
        </w:rPr>
      </w:pPr>
      <w:r>
        <w:rPr>
          <w:rFonts w:ascii="Geomanist Light" w:eastAsia="Times New Roman" w:hAnsi="Geomanist Light" w:cs="Arial"/>
          <w:color w:val="000000"/>
          <w:lang w:eastAsia="es-ES_tradnl"/>
        </w:rPr>
        <w:tab/>
        <w:t xml:space="preserve">Acerca de los bienes de uso público, el Consejo de Estado los define como «aquellos cuya titularidad pertenece al Estado y se hallan destinados al uso, goce y disfrute de todos los habitantes del territorio, están sometidos al régimen de derecho público y sobre ellos el Estado ejerce derechos de administración y de policía, con miras a garantizar y proteger su uso y goce común, por motivos de interés </w:t>
      </w:r>
      <w:r w:rsidRPr="00D77481">
        <w:rPr>
          <w:rFonts w:ascii="Geomanist Light" w:eastAsia="Times New Roman" w:hAnsi="Geomanist Light" w:cs="Arial"/>
          <w:color w:val="000000"/>
          <w:lang w:eastAsia="es-ES_tradnl"/>
        </w:rPr>
        <w:t>general</w:t>
      </w:r>
      <w:r w:rsidRPr="00D77481">
        <w:rPr>
          <w:rFonts w:ascii="Geomanist Light" w:eastAsia="Times New Roman" w:hAnsi="Geomanist Light" w:cs="Arial"/>
          <w:lang w:eastAsia="es-ES_tradnl"/>
        </w:rPr>
        <w:t>»</w:t>
      </w:r>
      <w:r w:rsidRPr="00D77481">
        <w:rPr>
          <w:rFonts w:ascii="Geomanist Light" w:eastAsia="Times New Roman" w:hAnsi="Geomanist Light" w:cs="Arial"/>
          <w:vertAlign w:val="superscript"/>
          <w:lang w:eastAsia="es-ES_tradnl"/>
        </w:rPr>
        <w:footnoteReference w:id="10"/>
      </w:r>
      <w:r w:rsidRPr="00D77481">
        <w:rPr>
          <w:rFonts w:ascii="Geomanist Light" w:eastAsia="Times New Roman" w:hAnsi="Geomanist Light" w:cs="Arial"/>
          <w:lang w:eastAsia="es-ES_tradnl"/>
        </w:rPr>
        <w:t>.</w:t>
      </w:r>
      <w:r>
        <w:rPr>
          <w:rFonts w:ascii="Geomanist Light" w:eastAsia="Times New Roman" w:hAnsi="Geomanist Light" w:cs="Arial"/>
          <w:lang w:eastAsia="es-ES_tradnl"/>
        </w:rPr>
        <w:t xml:space="preserve"> Por lo tanto, como estos bienes están destinados al uso de los habitantes de un territorio, el Estado no puede disponer de ellos por encontrarse fuera</w:t>
      </w:r>
      <w:r w:rsidRPr="009C4799">
        <w:rPr>
          <w:rFonts w:ascii="Geomanist Light" w:eastAsia="Times New Roman" w:hAnsi="Geomanist Light" w:cs="Arial"/>
          <w:lang w:eastAsia="es-ES_tradnl"/>
        </w:rPr>
        <w:t xml:space="preserve"> del comercio</w:t>
      </w:r>
      <w:r w:rsidRPr="009C4799">
        <w:rPr>
          <w:rFonts w:ascii="Geomanist Light" w:eastAsia="Times New Roman" w:hAnsi="Geomanist Light" w:cs="Arial"/>
          <w:vertAlign w:val="superscript"/>
          <w:lang w:eastAsia="es-ES_tradnl"/>
        </w:rPr>
        <w:footnoteReference w:id="11"/>
      </w:r>
      <w:r w:rsidRPr="009C4799">
        <w:rPr>
          <w:rFonts w:ascii="Geomanist Light" w:eastAsia="Times New Roman" w:hAnsi="Geomanist Light" w:cs="Arial"/>
          <w:lang w:eastAsia="es-ES_tradnl"/>
        </w:rPr>
        <w:t>.</w:t>
      </w:r>
      <w:r w:rsidR="0089136C">
        <w:rPr>
          <w:rFonts w:ascii="Geomanist Light" w:eastAsia="Times New Roman" w:hAnsi="Geomanist Light" w:cs="Arial"/>
          <w:lang w:eastAsia="es-ES_tradnl"/>
        </w:rPr>
        <w:t xml:space="preserve"> </w:t>
      </w:r>
      <w:r>
        <w:rPr>
          <w:rFonts w:ascii="Geomanist Light" w:eastAsia="Times New Roman" w:hAnsi="Geomanist Light" w:cs="Arial"/>
          <w:lang w:eastAsia="es-ES_tradnl"/>
        </w:rPr>
        <w:t>En ese orden, los bienes sobre los cuales puede recaer el acto de enajenación a través de donación, son los bienes fiscales y no los bienes de uso público.</w:t>
      </w:r>
    </w:p>
    <w:p w14:paraId="3DE4372F" w14:textId="7073AF51" w:rsidR="003B5FFC" w:rsidRPr="002E7CDB" w:rsidRDefault="00CB412D" w:rsidP="00FD1A40">
      <w:pPr>
        <w:spacing w:before="120" w:after="0" w:line="276" w:lineRule="auto"/>
        <w:jc w:val="both"/>
        <w:rPr>
          <w:rFonts w:ascii="Geomanist Light" w:eastAsia="Times New Roman" w:hAnsi="Geomanist Light" w:cs="Arial"/>
          <w:lang w:eastAsia="es-ES_tradnl"/>
        </w:rPr>
      </w:pPr>
      <w:r>
        <w:rPr>
          <w:rFonts w:ascii="Geomanist Light" w:eastAsia="Times New Roman" w:hAnsi="Geomanist Light" w:cs="Arial"/>
          <w:lang w:eastAsia="es-ES_tradnl"/>
        </w:rPr>
        <w:tab/>
      </w:r>
      <w:r w:rsidR="000B7CD1">
        <w:rPr>
          <w:rFonts w:ascii="Geomanist Light" w:eastAsia="Times New Roman" w:hAnsi="Geomanist Light" w:cs="Arial"/>
          <w:lang w:eastAsia="es-ES_tradnl"/>
        </w:rPr>
        <w:t>En relación con el objeto de consulta, cabe resaltar que</w:t>
      </w:r>
      <w:r>
        <w:rPr>
          <w:rFonts w:ascii="Geomanist Light" w:eastAsia="Times New Roman" w:hAnsi="Geomanist Light" w:cs="Arial"/>
          <w:lang w:eastAsia="es-ES_tradnl"/>
        </w:rPr>
        <w:t xml:space="preserve"> </w:t>
      </w:r>
      <w:r w:rsidR="00F569B1">
        <w:rPr>
          <w:rFonts w:ascii="Geomanist Light" w:eastAsia="Times New Roman" w:hAnsi="Geomanist Light" w:cs="Arial"/>
          <w:lang w:eastAsia="es-ES_tradnl"/>
        </w:rPr>
        <w:t>el</w:t>
      </w:r>
      <w:r>
        <w:rPr>
          <w:rFonts w:ascii="Geomanist Light" w:eastAsia="Times New Roman" w:hAnsi="Geomanist Light" w:cs="Arial"/>
          <w:lang w:eastAsia="es-ES_tradnl"/>
        </w:rPr>
        <w:t xml:space="preserve"> artículo 355 de la Constitución Política de Colombia</w:t>
      </w:r>
      <w:r w:rsidR="003E464A">
        <w:rPr>
          <w:rFonts w:ascii="Geomanist Light" w:eastAsia="Times New Roman" w:hAnsi="Geomanist Light" w:cs="Arial"/>
          <w:lang w:eastAsia="es-ES_tradnl"/>
        </w:rPr>
        <w:t xml:space="preserve"> prohibió</w:t>
      </w:r>
      <w:r w:rsidR="00517D23">
        <w:rPr>
          <w:rFonts w:ascii="Geomanist Light" w:eastAsia="Times New Roman" w:hAnsi="Geomanist Light" w:cs="Arial"/>
          <w:lang w:eastAsia="es-ES_tradnl"/>
        </w:rPr>
        <w:t xml:space="preserve"> en su inciso primero</w:t>
      </w:r>
      <w:r w:rsidR="00C07BFC">
        <w:rPr>
          <w:rFonts w:ascii="Geomanist Light" w:eastAsia="Times New Roman" w:hAnsi="Geomanist Light" w:cs="Arial"/>
          <w:lang w:eastAsia="es-ES_tradnl"/>
        </w:rPr>
        <w:t xml:space="preserve"> cualquier tipo de </w:t>
      </w:r>
      <w:r w:rsidR="00524BE8">
        <w:rPr>
          <w:rFonts w:ascii="Geomanist Light" w:eastAsia="Times New Roman" w:hAnsi="Geomanist Light" w:cs="Arial"/>
          <w:lang w:eastAsia="es-ES_tradnl"/>
        </w:rPr>
        <w:t>auxilio o donación</w:t>
      </w:r>
      <w:r w:rsidR="00C07BFC">
        <w:rPr>
          <w:rFonts w:ascii="Geomanist Light" w:eastAsia="Times New Roman" w:hAnsi="Geomanist Light" w:cs="Arial"/>
          <w:lang w:eastAsia="es-ES_tradnl"/>
        </w:rPr>
        <w:t xml:space="preserve"> por parte del Estado a personas</w:t>
      </w:r>
      <w:r w:rsidR="00C76D0F">
        <w:rPr>
          <w:rFonts w:ascii="Geomanist Light" w:eastAsia="Times New Roman" w:hAnsi="Geomanist Light" w:cs="Arial"/>
          <w:lang w:eastAsia="es-ES_tradnl"/>
        </w:rPr>
        <w:t xml:space="preserve"> naturales </w:t>
      </w:r>
      <w:r w:rsidR="00F569B1">
        <w:rPr>
          <w:rFonts w:ascii="Geomanist Light" w:eastAsia="Times New Roman" w:hAnsi="Geomanist Light" w:cs="Arial"/>
          <w:lang w:eastAsia="es-ES_tradnl"/>
        </w:rPr>
        <w:t xml:space="preserve">o jurídicas de </w:t>
      </w:r>
      <w:r w:rsidR="00C76D0F">
        <w:rPr>
          <w:rFonts w:ascii="Geomanist Light" w:eastAsia="Times New Roman" w:hAnsi="Geomanist Light" w:cs="Arial"/>
          <w:lang w:eastAsia="es-ES_tradnl"/>
        </w:rPr>
        <w:t>derecho privado</w:t>
      </w:r>
      <w:r w:rsidR="000B7CD1">
        <w:rPr>
          <w:rFonts w:ascii="Geomanist Light" w:eastAsia="Times New Roman" w:hAnsi="Geomanist Light" w:cs="Arial"/>
          <w:lang w:eastAsia="es-ES_tradnl"/>
        </w:rPr>
        <w:t>.</w:t>
      </w:r>
      <w:r w:rsidR="003970E5">
        <w:rPr>
          <w:rFonts w:ascii="Geomanist Light" w:eastAsia="Times New Roman" w:hAnsi="Geomanist Light" w:cs="Arial"/>
          <w:lang w:eastAsia="es-ES_tradnl"/>
        </w:rPr>
        <w:t xml:space="preserve"> </w:t>
      </w:r>
      <w:r w:rsidR="000B7CD1">
        <w:rPr>
          <w:rFonts w:ascii="Geomanist Light" w:eastAsia="Times New Roman" w:hAnsi="Geomanist Light" w:cs="Arial"/>
          <w:lang w:eastAsia="es-ES_tradnl"/>
        </w:rPr>
        <w:t>S</w:t>
      </w:r>
      <w:r w:rsidR="000A409F">
        <w:rPr>
          <w:rFonts w:ascii="Geomanist Light" w:eastAsia="Times New Roman" w:hAnsi="Geomanist Light" w:cs="Arial"/>
          <w:lang w:eastAsia="es-ES_tradnl"/>
        </w:rPr>
        <w:t>in em</w:t>
      </w:r>
      <w:r w:rsidR="00650557">
        <w:rPr>
          <w:rFonts w:ascii="Geomanist Light" w:eastAsia="Times New Roman" w:hAnsi="Geomanist Light" w:cs="Arial"/>
          <w:lang w:eastAsia="es-ES_tradnl"/>
        </w:rPr>
        <w:t>bargo</w:t>
      </w:r>
      <w:r w:rsidR="00517D23">
        <w:rPr>
          <w:rFonts w:ascii="Geomanist Light" w:eastAsia="Times New Roman" w:hAnsi="Geomanist Light" w:cs="Arial"/>
          <w:lang w:eastAsia="es-ES_tradnl"/>
        </w:rPr>
        <w:t>;</w:t>
      </w:r>
      <w:r w:rsidR="00650557">
        <w:rPr>
          <w:rFonts w:ascii="Geomanist Light" w:eastAsia="Times New Roman" w:hAnsi="Geomanist Light" w:cs="Arial"/>
          <w:lang w:eastAsia="es-ES_tradnl"/>
        </w:rPr>
        <w:t xml:space="preserve"> </w:t>
      </w:r>
      <w:r w:rsidR="0016436D">
        <w:rPr>
          <w:rFonts w:ascii="Geomanist Light" w:eastAsia="Times New Roman" w:hAnsi="Geomanist Light" w:cs="Arial"/>
          <w:lang w:eastAsia="es-ES_tradnl"/>
        </w:rPr>
        <w:t>pa</w:t>
      </w:r>
      <w:r w:rsidR="0016436D" w:rsidRPr="002E7CDB">
        <w:rPr>
          <w:rFonts w:ascii="Geomanist Light" w:eastAsia="Times New Roman" w:hAnsi="Geomanist Light" w:cs="Arial"/>
          <w:lang w:eastAsia="es-ES_tradnl"/>
        </w:rPr>
        <w:t>ra la Corte Constitucional</w:t>
      </w:r>
      <w:r w:rsidR="000B7CD1" w:rsidRPr="002E7CDB">
        <w:rPr>
          <w:rFonts w:ascii="Geomanist Light" w:eastAsia="Times New Roman" w:hAnsi="Geomanist Light" w:cs="Arial"/>
          <w:lang w:eastAsia="es-ES_tradnl"/>
        </w:rPr>
        <w:t xml:space="preserve"> </w:t>
      </w:r>
      <w:r w:rsidR="0016436D" w:rsidRPr="002E7CDB">
        <w:rPr>
          <w:rFonts w:ascii="Geomanist Light" w:eastAsia="Times New Roman" w:hAnsi="Geomanist Light" w:cs="Arial"/>
          <w:lang w:eastAsia="es-ES_tradnl"/>
        </w:rPr>
        <w:t>la prohibición de la que trata este art</w:t>
      </w:r>
      <w:r w:rsidR="00AD39BC" w:rsidRPr="002E7CDB">
        <w:rPr>
          <w:rFonts w:ascii="Geomanist Light" w:eastAsia="Times New Roman" w:hAnsi="Geomanist Light" w:cs="Arial"/>
          <w:lang w:eastAsia="es-ES_tradnl"/>
        </w:rPr>
        <w:t>í</w:t>
      </w:r>
      <w:r w:rsidR="00517D23" w:rsidRPr="002E7CDB">
        <w:rPr>
          <w:rFonts w:ascii="Geomanist Light" w:eastAsia="Times New Roman" w:hAnsi="Geomanist Light" w:cs="Arial"/>
          <w:lang w:eastAsia="es-ES_tradnl"/>
        </w:rPr>
        <w:t>cu</w:t>
      </w:r>
      <w:r w:rsidR="00972342" w:rsidRPr="002E7CDB">
        <w:rPr>
          <w:rFonts w:ascii="Geomanist Light" w:eastAsia="Times New Roman" w:hAnsi="Geomanist Light" w:cs="Arial"/>
          <w:lang w:eastAsia="es-ES_tradnl"/>
        </w:rPr>
        <w:t xml:space="preserve">lo se materializa cuando se registre al menos uno de los siguientes eventos: </w:t>
      </w:r>
    </w:p>
    <w:p w14:paraId="0096F132" w14:textId="29E704AB" w:rsidR="0016436D" w:rsidRPr="002E7CDB" w:rsidRDefault="00853EA5" w:rsidP="00650CB6">
      <w:pPr>
        <w:spacing w:before="120" w:after="0" w:line="240" w:lineRule="auto"/>
        <w:ind w:left="709" w:right="709"/>
        <w:jc w:val="both"/>
        <w:rPr>
          <w:rFonts w:ascii="Geomanist Light" w:eastAsia="Times New Roman" w:hAnsi="Geomanist Light" w:cs="Arial"/>
          <w:sz w:val="21"/>
          <w:szCs w:val="21"/>
          <w:lang w:eastAsia="es-ES_tradnl"/>
        </w:rPr>
      </w:pPr>
      <w:r w:rsidRPr="002E7CDB">
        <w:rPr>
          <w:rFonts w:ascii="Geomanist Light" w:eastAsia="Times New Roman" w:hAnsi="Geomanist Light" w:cs="Arial"/>
          <w:sz w:val="21"/>
          <w:szCs w:val="21"/>
          <w:lang w:eastAsia="es-ES_tradnl"/>
        </w:rPr>
        <w:lastRenderedPageBreak/>
        <w:t>«</w:t>
      </w:r>
      <w:r w:rsidR="00972342" w:rsidRPr="002E7CDB">
        <w:rPr>
          <w:rFonts w:ascii="Geomanist Light" w:eastAsia="Times New Roman" w:hAnsi="Geomanist Light" w:cs="Arial"/>
          <w:sz w:val="21"/>
          <w:szCs w:val="21"/>
          <w:lang w:eastAsia="es-ES_tradnl"/>
        </w:rPr>
        <w:t>i) se omita dar aplicación al principio presupuestal</w:t>
      </w:r>
      <w:r w:rsidR="00363509" w:rsidRPr="002E7CDB">
        <w:rPr>
          <w:rFonts w:ascii="Geomanist Light" w:eastAsia="Times New Roman" w:hAnsi="Geomanist Light" w:cs="Arial"/>
          <w:sz w:val="21"/>
          <w:szCs w:val="21"/>
          <w:lang w:eastAsia="es-ES_tradnl"/>
        </w:rPr>
        <w:t xml:space="preserve"> de legalidad del gasto</w:t>
      </w:r>
      <w:r w:rsidR="00CE551C" w:rsidRPr="002E7CDB">
        <w:rPr>
          <w:rFonts w:ascii="Geomanist Light" w:eastAsia="Times New Roman" w:hAnsi="Geomanist Light" w:cs="Arial"/>
          <w:sz w:val="21"/>
          <w:szCs w:val="21"/>
          <w:lang w:eastAsia="es-ES_tradnl"/>
        </w:rPr>
        <w:t>;</w:t>
      </w:r>
      <w:r w:rsidR="00363509" w:rsidRPr="002E7CDB">
        <w:rPr>
          <w:rFonts w:ascii="Geomanist Light" w:eastAsia="Times New Roman" w:hAnsi="Geomanist Light" w:cs="Arial"/>
          <w:sz w:val="21"/>
          <w:szCs w:val="21"/>
          <w:lang w:eastAsia="es-ES_tradnl"/>
        </w:rPr>
        <w:t xml:space="preserve"> </w:t>
      </w:r>
      <w:proofErr w:type="spellStart"/>
      <w:r w:rsidR="00363509" w:rsidRPr="002E7CDB">
        <w:rPr>
          <w:rFonts w:ascii="Geomanist Light" w:eastAsia="Times New Roman" w:hAnsi="Geomanist Light" w:cs="Arial"/>
          <w:sz w:val="21"/>
          <w:szCs w:val="21"/>
          <w:lang w:eastAsia="es-ES_tradnl"/>
        </w:rPr>
        <w:t>ii</w:t>
      </w:r>
      <w:proofErr w:type="spellEnd"/>
      <w:r w:rsidR="00363509" w:rsidRPr="002E7CDB">
        <w:rPr>
          <w:rFonts w:ascii="Geomanist Light" w:eastAsia="Times New Roman" w:hAnsi="Geomanist Light" w:cs="Arial"/>
          <w:sz w:val="21"/>
          <w:szCs w:val="21"/>
          <w:lang w:eastAsia="es-ES_tradnl"/>
        </w:rPr>
        <w:t>) la ley que crea la subvención o auxilio en desarrollo de los artículos 334 y siguientes de la C.P. o desarrolla las subvenciones autorizadas directamente por la Constitución Política, omita determinar de manera concreta y explícita su finalidad, destinatarios, alcances materiales y temporales</w:t>
      </w:r>
      <w:r w:rsidR="00CE551C" w:rsidRPr="002E7CDB">
        <w:rPr>
          <w:rFonts w:ascii="Geomanist Light" w:eastAsia="Times New Roman" w:hAnsi="Geomanist Light" w:cs="Arial"/>
          <w:sz w:val="21"/>
          <w:szCs w:val="21"/>
          <w:lang w:eastAsia="es-ES_tradnl"/>
        </w:rPr>
        <w:t>,</w:t>
      </w:r>
      <w:r w:rsidR="0002572D" w:rsidRPr="002E7CDB">
        <w:rPr>
          <w:rFonts w:ascii="Geomanist Light" w:eastAsia="Times New Roman" w:hAnsi="Geomanist Light" w:cs="Arial"/>
          <w:sz w:val="21"/>
          <w:szCs w:val="21"/>
          <w:lang w:eastAsia="es-ES_tradnl"/>
        </w:rPr>
        <w:t xml:space="preserve"> </w:t>
      </w:r>
      <w:r w:rsidR="00CE551C" w:rsidRPr="002E7CDB">
        <w:rPr>
          <w:rFonts w:ascii="Geomanist Light" w:eastAsia="Times New Roman" w:hAnsi="Geomanist Light" w:cs="Arial"/>
          <w:sz w:val="21"/>
          <w:szCs w:val="21"/>
          <w:lang w:eastAsia="es-ES_tradnl"/>
        </w:rPr>
        <w:t>c</w:t>
      </w:r>
      <w:r w:rsidR="0002572D" w:rsidRPr="002E7CDB">
        <w:rPr>
          <w:rFonts w:ascii="Geomanist Light" w:eastAsia="Times New Roman" w:hAnsi="Geomanist Light" w:cs="Arial"/>
          <w:sz w:val="21"/>
          <w:szCs w:val="21"/>
          <w:lang w:eastAsia="es-ES_tradnl"/>
        </w:rPr>
        <w:t>ondiciones y criterios de asignación, publicidad e impugnación</w:t>
      </w:r>
      <w:r w:rsidR="00955DDF" w:rsidRPr="002E7CDB">
        <w:rPr>
          <w:rFonts w:ascii="Geomanist Light" w:eastAsia="Times New Roman" w:hAnsi="Geomanist Light" w:cs="Arial"/>
          <w:sz w:val="21"/>
          <w:szCs w:val="21"/>
          <w:lang w:eastAsia="es-ES_tradnl"/>
        </w:rPr>
        <w:t>, así como los límites a la libertad económica</w:t>
      </w:r>
      <w:r w:rsidR="00CE551C" w:rsidRPr="002E7CDB">
        <w:rPr>
          <w:rFonts w:ascii="Geomanist Light" w:eastAsia="Times New Roman" w:hAnsi="Geomanist Light" w:cs="Arial"/>
          <w:sz w:val="21"/>
          <w:szCs w:val="21"/>
          <w:lang w:eastAsia="es-ES_tradnl"/>
        </w:rPr>
        <w:t>;</w:t>
      </w:r>
      <w:r w:rsidR="00955DDF" w:rsidRPr="002E7CDB">
        <w:rPr>
          <w:rFonts w:ascii="Geomanist Light" w:eastAsia="Times New Roman" w:hAnsi="Geomanist Light" w:cs="Arial"/>
          <w:sz w:val="21"/>
          <w:szCs w:val="21"/>
          <w:lang w:eastAsia="es-ES_tradnl"/>
        </w:rPr>
        <w:t xml:space="preserve"> </w:t>
      </w:r>
      <w:proofErr w:type="spellStart"/>
      <w:r w:rsidR="00955DDF" w:rsidRPr="002E7CDB">
        <w:rPr>
          <w:rFonts w:ascii="Geomanist Light" w:eastAsia="Times New Roman" w:hAnsi="Geomanist Light" w:cs="Arial"/>
          <w:sz w:val="21"/>
          <w:szCs w:val="21"/>
          <w:lang w:eastAsia="es-ES_tradnl"/>
        </w:rPr>
        <w:t>iii</w:t>
      </w:r>
      <w:proofErr w:type="spellEnd"/>
      <w:r w:rsidR="00955DDF" w:rsidRPr="002E7CDB">
        <w:rPr>
          <w:rFonts w:ascii="Geomanist Light" w:eastAsia="Times New Roman" w:hAnsi="Geomanist Light" w:cs="Arial"/>
          <w:sz w:val="21"/>
          <w:szCs w:val="21"/>
          <w:lang w:eastAsia="es-ES_tradnl"/>
        </w:rPr>
        <w:t>) la asignación obedezca a criterios de mera liberalidad, es decir, no se encuadre en una política pública reflejada en el Plan Nacional de Desarrollo o en los planes seccionales de desarrollo</w:t>
      </w:r>
      <w:r w:rsidR="00CE551C" w:rsidRPr="002E7CDB">
        <w:rPr>
          <w:rFonts w:ascii="Geomanist Light" w:eastAsia="Times New Roman" w:hAnsi="Geomanist Light" w:cs="Arial"/>
          <w:sz w:val="21"/>
          <w:szCs w:val="21"/>
          <w:lang w:eastAsia="es-ES_tradnl"/>
        </w:rPr>
        <w:t>;</w:t>
      </w:r>
      <w:r w:rsidR="00955DDF" w:rsidRPr="002E7CDB">
        <w:rPr>
          <w:rFonts w:ascii="Geomanist Light" w:eastAsia="Times New Roman" w:hAnsi="Geomanist Light" w:cs="Arial"/>
          <w:sz w:val="21"/>
          <w:szCs w:val="21"/>
          <w:lang w:eastAsia="es-ES_tradnl"/>
        </w:rPr>
        <w:t xml:space="preserve"> </w:t>
      </w:r>
      <w:proofErr w:type="spellStart"/>
      <w:r w:rsidR="00955DDF" w:rsidRPr="002E7CDB">
        <w:rPr>
          <w:rFonts w:ascii="Geomanist Light" w:eastAsia="Times New Roman" w:hAnsi="Geomanist Light" w:cs="Arial"/>
          <w:sz w:val="21"/>
          <w:szCs w:val="21"/>
          <w:lang w:eastAsia="es-ES_tradnl"/>
        </w:rPr>
        <w:t>iv</w:t>
      </w:r>
      <w:proofErr w:type="spellEnd"/>
      <w:r w:rsidR="00955DDF" w:rsidRPr="002E7CDB">
        <w:rPr>
          <w:rFonts w:ascii="Geomanist Light" w:eastAsia="Times New Roman" w:hAnsi="Geomanist Light" w:cs="Arial"/>
          <w:sz w:val="21"/>
          <w:szCs w:val="21"/>
          <w:lang w:eastAsia="es-ES_tradnl"/>
        </w:rPr>
        <w:t>) cuando el costo del subsidio para el Estado sea mayor</w:t>
      </w:r>
      <w:r w:rsidR="00F10D40" w:rsidRPr="002E7CDB">
        <w:rPr>
          <w:rFonts w:ascii="Geomanist Light" w:eastAsia="Times New Roman" w:hAnsi="Geomanist Light" w:cs="Arial"/>
          <w:sz w:val="21"/>
          <w:szCs w:val="21"/>
          <w:lang w:eastAsia="es-ES_tradnl"/>
        </w:rPr>
        <w:t xml:space="preserve"> que el beneficio social que se obtiene a partir de su implementación o cuando el auxilio o subsidio sólo beneficie a un grupo de interés sin que reporte beneficios a la sociedad en su conjunto o contribuya a ampliar las diferencias sociales, v) cuando la asignación de recursos públicos no contribuya</w:t>
      </w:r>
      <w:r w:rsidR="003B5FFC" w:rsidRPr="002E7CDB">
        <w:rPr>
          <w:rFonts w:ascii="Geomanist Light" w:eastAsia="Times New Roman" w:hAnsi="Geomanist Light" w:cs="Arial"/>
          <w:sz w:val="21"/>
          <w:szCs w:val="21"/>
          <w:lang w:eastAsia="es-ES_tradnl"/>
        </w:rPr>
        <w:t xml:space="preserve"> a fortalecer la capacidad</w:t>
      </w:r>
      <w:r w:rsidR="00386E73" w:rsidRPr="002E7CDB">
        <w:rPr>
          <w:rFonts w:ascii="Geomanist Light" w:eastAsia="Times New Roman" w:hAnsi="Geomanist Light" w:cs="Arial"/>
          <w:sz w:val="21"/>
          <w:szCs w:val="21"/>
          <w:lang w:eastAsia="es-ES_tradnl"/>
        </w:rPr>
        <w:t xml:space="preserve"> de acceso de los más pobres a los bi</w:t>
      </w:r>
      <w:r w:rsidR="00293C48" w:rsidRPr="002E7CDB">
        <w:rPr>
          <w:rFonts w:ascii="Geomanist Light" w:eastAsia="Times New Roman" w:hAnsi="Geomanist Light" w:cs="Arial"/>
          <w:sz w:val="21"/>
          <w:szCs w:val="21"/>
          <w:lang w:eastAsia="es-ES_tradnl"/>
        </w:rPr>
        <w:t>e</w:t>
      </w:r>
      <w:r w:rsidR="00386E73" w:rsidRPr="002E7CDB">
        <w:rPr>
          <w:rFonts w:ascii="Geomanist Light" w:eastAsia="Times New Roman" w:hAnsi="Geomanist Light" w:cs="Arial"/>
          <w:sz w:val="21"/>
          <w:szCs w:val="21"/>
          <w:lang w:eastAsia="es-ES_tradnl"/>
        </w:rPr>
        <w:t>nes y servicios públicos esenciales, en la medida en que se entreguen a quienes menos lo necesita</w:t>
      </w:r>
      <w:r w:rsidR="00DC3B0C">
        <w:rPr>
          <w:rFonts w:ascii="Geomanist Light" w:eastAsia="Times New Roman" w:hAnsi="Geomanist Light" w:cs="Arial"/>
          <w:sz w:val="21"/>
          <w:szCs w:val="21"/>
          <w:lang w:eastAsia="es-ES_tradnl"/>
        </w:rPr>
        <w:t>n</w:t>
      </w:r>
      <w:r w:rsidR="00386E73" w:rsidRPr="002E7CDB">
        <w:rPr>
          <w:rFonts w:ascii="Geomanist Light" w:eastAsia="Times New Roman" w:hAnsi="Geomanist Light" w:cs="Arial"/>
          <w:sz w:val="21"/>
          <w:szCs w:val="21"/>
          <w:lang w:eastAsia="es-ES_tradnl"/>
        </w:rPr>
        <w:t xml:space="preserve"> o menos lo merecen; </w:t>
      </w:r>
      <w:proofErr w:type="spellStart"/>
      <w:r w:rsidR="00386E73" w:rsidRPr="002E7CDB">
        <w:rPr>
          <w:rFonts w:ascii="Geomanist Light" w:eastAsia="Times New Roman" w:hAnsi="Geomanist Light" w:cs="Arial"/>
          <w:sz w:val="21"/>
          <w:szCs w:val="21"/>
          <w:lang w:eastAsia="es-ES_tradnl"/>
        </w:rPr>
        <w:t>iv</w:t>
      </w:r>
      <w:proofErr w:type="spellEnd"/>
      <w:r w:rsidR="00386E73" w:rsidRPr="002E7CDB">
        <w:rPr>
          <w:rFonts w:ascii="Geomanist Light" w:eastAsia="Times New Roman" w:hAnsi="Geomanist Light" w:cs="Arial"/>
          <w:sz w:val="21"/>
          <w:szCs w:val="21"/>
          <w:lang w:eastAsia="es-ES_tradnl"/>
        </w:rPr>
        <w:t>) cuando el subsidio tenga vocación de permanencia convirtiéndose en una carga al presupuesto público</w:t>
      </w:r>
      <w:r w:rsidR="004812D3" w:rsidRPr="002E7CDB">
        <w:rPr>
          <w:rFonts w:ascii="Geomanist Light" w:eastAsia="Times New Roman" w:hAnsi="Geomanist Light" w:cs="Arial"/>
          <w:sz w:val="21"/>
          <w:szCs w:val="21"/>
          <w:lang w:eastAsia="es-ES_tradnl"/>
        </w:rPr>
        <w:t>, en la medida que el subsidio o auxilio está llamado a producir efectos inmediatos dentro de una determinada co</w:t>
      </w:r>
      <w:r w:rsidR="00D946F1" w:rsidRPr="002E7CDB">
        <w:rPr>
          <w:rFonts w:ascii="Geomanist Light" w:eastAsia="Times New Roman" w:hAnsi="Geomanist Light" w:cs="Arial"/>
          <w:sz w:val="21"/>
          <w:szCs w:val="21"/>
          <w:lang w:eastAsia="es-ES_tradnl"/>
        </w:rPr>
        <w:t>yuntura económica, de manera que una vocación de permanencia indica que la situación o sector al cual se dirige requiere de otras y más profundas medidas est</w:t>
      </w:r>
      <w:r w:rsidR="009623AE" w:rsidRPr="002E7CDB">
        <w:rPr>
          <w:rFonts w:ascii="Geomanist Light" w:eastAsia="Times New Roman" w:hAnsi="Geomanist Light" w:cs="Arial"/>
          <w:sz w:val="21"/>
          <w:szCs w:val="21"/>
          <w:lang w:eastAsia="es-ES_tradnl"/>
        </w:rPr>
        <w:t xml:space="preserve">ructurales; y </w:t>
      </w:r>
      <w:proofErr w:type="spellStart"/>
      <w:r w:rsidR="009623AE" w:rsidRPr="002E7CDB">
        <w:rPr>
          <w:rFonts w:ascii="Geomanist Light" w:eastAsia="Times New Roman" w:hAnsi="Geomanist Light" w:cs="Arial"/>
          <w:sz w:val="21"/>
          <w:szCs w:val="21"/>
          <w:lang w:eastAsia="es-ES_tradnl"/>
        </w:rPr>
        <w:t>vii</w:t>
      </w:r>
      <w:proofErr w:type="spellEnd"/>
      <w:r w:rsidR="009623AE" w:rsidRPr="002E7CDB">
        <w:rPr>
          <w:rFonts w:ascii="Geomanist Light" w:eastAsia="Times New Roman" w:hAnsi="Geomanist Light" w:cs="Arial"/>
          <w:sz w:val="21"/>
          <w:szCs w:val="21"/>
          <w:lang w:eastAsia="es-ES_tradnl"/>
        </w:rPr>
        <w:t>) cuando el subsidio entrañe la figura de la desviación de poder, esto es, cuan</w:t>
      </w:r>
      <w:r w:rsidR="00ED0EE5">
        <w:rPr>
          <w:rFonts w:ascii="Geomanist Light" w:eastAsia="Times New Roman" w:hAnsi="Geomanist Light" w:cs="Arial"/>
          <w:sz w:val="21"/>
          <w:szCs w:val="21"/>
          <w:lang w:eastAsia="es-ES_tradnl"/>
        </w:rPr>
        <w:t>do</w:t>
      </w:r>
      <w:r w:rsidR="009623AE" w:rsidRPr="002E7CDB">
        <w:rPr>
          <w:rFonts w:ascii="Geomanist Light" w:eastAsia="Times New Roman" w:hAnsi="Geomanist Light" w:cs="Arial"/>
          <w:sz w:val="21"/>
          <w:szCs w:val="21"/>
          <w:lang w:eastAsia="es-ES_tradnl"/>
        </w:rPr>
        <w:t xml:space="preserve"> el incentivo se cree con un propósito distinto de aquel para el cual aparentemente fue creado</w:t>
      </w:r>
      <w:r w:rsidR="00227C7F" w:rsidRPr="002E7CDB">
        <w:rPr>
          <w:rStyle w:val="Refdenotaalpie"/>
          <w:rFonts w:ascii="Geomanist Light" w:eastAsia="Times New Roman" w:hAnsi="Geomanist Light" w:cs="Arial"/>
          <w:sz w:val="21"/>
          <w:szCs w:val="21"/>
          <w:lang w:eastAsia="es-ES_tradnl"/>
        </w:rPr>
        <w:footnoteReference w:id="12"/>
      </w:r>
      <w:r w:rsidR="009623AE" w:rsidRPr="002E7CDB">
        <w:rPr>
          <w:rFonts w:ascii="Geomanist Light" w:eastAsia="Times New Roman" w:hAnsi="Geomanist Light" w:cs="Arial"/>
          <w:sz w:val="21"/>
          <w:szCs w:val="21"/>
          <w:lang w:eastAsia="es-ES_tradnl"/>
        </w:rPr>
        <w:t>.</w:t>
      </w:r>
      <w:r w:rsidRPr="002E7CDB">
        <w:rPr>
          <w:rFonts w:ascii="Geomanist Light" w:eastAsia="Times New Roman" w:hAnsi="Geomanist Light" w:cs="Arial"/>
          <w:sz w:val="21"/>
          <w:szCs w:val="21"/>
          <w:lang w:eastAsia="es-ES_tradnl"/>
        </w:rPr>
        <w:t>»</w:t>
      </w:r>
      <w:r w:rsidR="00293C48" w:rsidRPr="002E7CDB">
        <w:rPr>
          <w:rFonts w:ascii="Geomanist Light" w:eastAsia="Times New Roman" w:hAnsi="Geomanist Light" w:cs="Arial"/>
          <w:sz w:val="21"/>
          <w:szCs w:val="21"/>
          <w:lang w:eastAsia="es-ES_tradnl"/>
        </w:rPr>
        <w:t xml:space="preserve"> </w:t>
      </w:r>
    </w:p>
    <w:p w14:paraId="478C9987" w14:textId="77777777" w:rsidR="004B046B" w:rsidRPr="002E7CDB" w:rsidRDefault="004B046B" w:rsidP="004B046B">
      <w:pPr>
        <w:spacing w:after="0" w:line="276" w:lineRule="auto"/>
        <w:jc w:val="both"/>
        <w:rPr>
          <w:rFonts w:ascii="Geomanist Light" w:eastAsia="Times New Roman" w:hAnsi="Geomanist Light" w:cs="Arial"/>
          <w:lang w:eastAsia="es-ES_tradnl"/>
        </w:rPr>
      </w:pPr>
    </w:p>
    <w:p w14:paraId="7613BAC7" w14:textId="419CE759" w:rsidR="008B05A1" w:rsidRPr="002E7CDB" w:rsidRDefault="002E7CDB" w:rsidP="00ED0EE5">
      <w:pPr>
        <w:spacing w:after="0" w:line="276" w:lineRule="auto"/>
        <w:ind w:firstLine="708"/>
        <w:jc w:val="both"/>
        <w:rPr>
          <w:rFonts w:ascii="Geomanist Light" w:eastAsia="Times New Roman" w:hAnsi="Geomanist Light" w:cs="Arial"/>
          <w:lang w:eastAsia="es-ES_tradnl"/>
        </w:rPr>
      </w:pPr>
      <w:r w:rsidRPr="002E7CDB">
        <w:rPr>
          <w:rFonts w:ascii="Geomanist Light" w:eastAsia="Times New Roman" w:hAnsi="Geomanist Light" w:cs="Arial"/>
          <w:lang w:eastAsia="es-ES_tradnl"/>
        </w:rPr>
        <w:t>La</w:t>
      </w:r>
      <w:r w:rsidR="008B05A1" w:rsidRPr="002E7CDB">
        <w:rPr>
          <w:rFonts w:ascii="Geomanist Light" w:eastAsia="Times New Roman" w:hAnsi="Geomanist Light" w:cs="Arial"/>
          <w:lang w:eastAsia="es-ES_tradnl"/>
        </w:rPr>
        <w:t xml:space="preserve"> jurisprudencia constitucional ha decantado en un amplio conjunto de pronunciamientos sobre el alcance del artículo 355</w:t>
      </w:r>
      <w:r w:rsidR="00EE0BF6" w:rsidRPr="002E7CDB">
        <w:rPr>
          <w:rFonts w:ascii="Geomanist Light" w:eastAsia="Times New Roman" w:hAnsi="Geomanist Light" w:cs="Arial"/>
          <w:lang w:eastAsia="es-ES_tradnl"/>
        </w:rPr>
        <w:t xml:space="preserve"> superior, que una prohibición absolut</w:t>
      </w:r>
      <w:r w:rsidR="00AF45AE" w:rsidRPr="002E7CDB">
        <w:rPr>
          <w:rFonts w:ascii="Geomanist Light" w:eastAsia="Times New Roman" w:hAnsi="Geomanist Light" w:cs="Arial"/>
          <w:lang w:eastAsia="es-ES_tradnl"/>
        </w:rPr>
        <w:t>a implicaría una tensión inaceptable entre distintas características centrales de nuestra Constitución, por lo que suponer que el Estado, a través de sus órganos y ramas que ejercen el poder público, tiene prohibida la</w:t>
      </w:r>
      <w:r w:rsidR="009B5EAB" w:rsidRPr="002E7CDB">
        <w:rPr>
          <w:rFonts w:ascii="Geomanist Light" w:eastAsia="Times New Roman" w:hAnsi="Geomanist Light" w:cs="Arial"/>
          <w:lang w:eastAsia="es-ES_tradnl"/>
        </w:rPr>
        <w:t>s</w:t>
      </w:r>
      <w:r w:rsidR="00AF45AE" w:rsidRPr="002E7CDB">
        <w:rPr>
          <w:rFonts w:ascii="Geomanist Light" w:eastAsia="Times New Roman" w:hAnsi="Geomanist Light" w:cs="Arial"/>
          <w:lang w:eastAsia="es-ES_tradnl"/>
        </w:rPr>
        <w:t xml:space="preserve"> </w:t>
      </w:r>
      <w:r w:rsidR="00052CFB" w:rsidRPr="002E7CDB">
        <w:rPr>
          <w:rFonts w:ascii="Geomanist Light" w:eastAsia="Times New Roman" w:hAnsi="Geomanist Light" w:cs="Arial"/>
          <w:lang w:eastAsia="es-ES_tradnl"/>
        </w:rPr>
        <w:t>subvenciones</w:t>
      </w:r>
      <w:r w:rsidR="00AF45AE" w:rsidRPr="002E7CDB">
        <w:rPr>
          <w:rFonts w:ascii="Geomanist Light" w:eastAsia="Times New Roman" w:hAnsi="Geomanist Light" w:cs="Arial"/>
          <w:lang w:eastAsia="es-ES_tradnl"/>
        </w:rPr>
        <w:t xml:space="preserve"> </w:t>
      </w:r>
      <w:r w:rsidR="009B5EAB" w:rsidRPr="002E7CDB">
        <w:rPr>
          <w:rFonts w:ascii="Geomanist Light" w:eastAsia="Times New Roman" w:hAnsi="Geomanist Light" w:cs="Arial"/>
          <w:lang w:eastAsia="es-ES_tradnl"/>
        </w:rPr>
        <w:t>a</w:t>
      </w:r>
      <w:r w:rsidR="00AF45AE" w:rsidRPr="002E7CDB">
        <w:rPr>
          <w:rFonts w:ascii="Geomanist Light" w:eastAsia="Times New Roman" w:hAnsi="Geomanist Light" w:cs="Arial"/>
          <w:lang w:eastAsia="es-ES_tradnl"/>
        </w:rPr>
        <w:t xml:space="preserve"> toda</w:t>
      </w:r>
      <w:r w:rsidR="009B5EAB" w:rsidRPr="002E7CDB">
        <w:rPr>
          <w:rFonts w:ascii="Geomanist Light" w:eastAsia="Times New Roman" w:hAnsi="Geomanist Light" w:cs="Arial"/>
          <w:lang w:eastAsia="es-ES_tradnl"/>
        </w:rPr>
        <w:t>s las</w:t>
      </w:r>
      <w:r w:rsidR="00AF45AE" w:rsidRPr="002E7CDB">
        <w:rPr>
          <w:rFonts w:ascii="Geomanist Light" w:eastAsia="Times New Roman" w:hAnsi="Geomanist Light" w:cs="Arial"/>
          <w:lang w:eastAsia="es-ES_tradnl"/>
        </w:rPr>
        <w:t xml:space="preserve"> actividad</w:t>
      </w:r>
      <w:r w:rsidR="009B5EAB" w:rsidRPr="002E7CDB">
        <w:rPr>
          <w:rFonts w:ascii="Geomanist Light" w:eastAsia="Times New Roman" w:hAnsi="Geomanist Light" w:cs="Arial"/>
          <w:lang w:eastAsia="es-ES_tradnl"/>
        </w:rPr>
        <w:t>es</w:t>
      </w:r>
      <w:r w:rsidR="0072264B" w:rsidRPr="002E7CDB">
        <w:rPr>
          <w:rFonts w:ascii="Geomanist Light" w:eastAsia="Times New Roman" w:hAnsi="Geomanist Light" w:cs="Arial"/>
          <w:lang w:eastAsia="es-ES_tradnl"/>
        </w:rPr>
        <w:t xml:space="preserve"> </w:t>
      </w:r>
      <w:r w:rsidR="005D400D" w:rsidRPr="002E7CDB">
        <w:rPr>
          <w:rFonts w:ascii="Geomanist Light" w:eastAsia="Times New Roman" w:hAnsi="Geomanist Light" w:cs="Arial"/>
          <w:lang w:eastAsia="es-ES_tradnl"/>
        </w:rPr>
        <w:t>de</w:t>
      </w:r>
      <w:r w:rsidR="0072264B" w:rsidRPr="002E7CDB">
        <w:rPr>
          <w:rFonts w:ascii="Geomanist Light" w:eastAsia="Times New Roman" w:hAnsi="Geomanist Light" w:cs="Arial"/>
          <w:lang w:eastAsia="es-ES_tradnl"/>
        </w:rPr>
        <w:t xml:space="preserve"> las empresas de derecho privado</w:t>
      </w:r>
      <w:r w:rsidR="00810D49" w:rsidRPr="002E7CDB">
        <w:rPr>
          <w:rFonts w:ascii="Geomanist Light" w:eastAsia="Times New Roman" w:hAnsi="Geomanist Light" w:cs="Arial"/>
          <w:lang w:eastAsia="es-ES_tradnl"/>
        </w:rPr>
        <w:t>,</w:t>
      </w:r>
      <w:r w:rsidR="00F33CC2" w:rsidRPr="002E7CDB">
        <w:rPr>
          <w:rFonts w:ascii="Geomanist Light" w:eastAsia="Times New Roman" w:hAnsi="Geomanist Light" w:cs="Arial"/>
          <w:lang w:eastAsia="es-ES_tradnl"/>
        </w:rPr>
        <w:t xml:space="preserve"> haría inevitable la satisfacción de las cláusulas del Estado </w:t>
      </w:r>
      <w:r w:rsidR="007D21C2">
        <w:rPr>
          <w:rFonts w:ascii="Geomanist Light" w:eastAsia="Times New Roman" w:hAnsi="Geomanist Light" w:cs="Arial"/>
          <w:lang w:eastAsia="es-ES_tradnl"/>
        </w:rPr>
        <w:t>S</w:t>
      </w:r>
      <w:r w:rsidR="00F33CC2" w:rsidRPr="002E7CDB">
        <w:rPr>
          <w:rFonts w:ascii="Geomanist Light" w:eastAsia="Times New Roman" w:hAnsi="Geomanist Light" w:cs="Arial"/>
          <w:lang w:eastAsia="es-ES_tradnl"/>
        </w:rPr>
        <w:t xml:space="preserve">ocial de </w:t>
      </w:r>
      <w:r w:rsidR="007D21C2">
        <w:rPr>
          <w:rFonts w:ascii="Geomanist Light" w:eastAsia="Times New Roman" w:hAnsi="Geomanist Light" w:cs="Arial"/>
          <w:lang w:eastAsia="es-ES_tradnl"/>
        </w:rPr>
        <w:t>D</w:t>
      </w:r>
      <w:r w:rsidR="00F33CC2" w:rsidRPr="002E7CDB">
        <w:rPr>
          <w:rFonts w:ascii="Geomanist Light" w:eastAsia="Times New Roman" w:hAnsi="Geomanist Light" w:cs="Arial"/>
          <w:lang w:eastAsia="es-ES_tradnl"/>
        </w:rPr>
        <w:t>erecho e igualdad material</w:t>
      </w:r>
      <w:r w:rsidR="00CC49DF" w:rsidRPr="002E7CDB">
        <w:rPr>
          <w:rStyle w:val="Refdenotaalpie"/>
          <w:rFonts w:ascii="Geomanist Light" w:eastAsia="Times New Roman" w:hAnsi="Geomanist Light" w:cs="Arial"/>
          <w:lang w:eastAsia="es-ES_tradnl"/>
        </w:rPr>
        <w:footnoteReference w:id="13"/>
      </w:r>
      <w:r w:rsidR="00F33CC2" w:rsidRPr="002E7CDB">
        <w:rPr>
          <w:rFonts w:ascii="Geomanist Light" w:eastAsia="Times New Roman" w:hAnsi="Geomanist Light" w:cs="Arial"/>
          <w:lang w:eastAsia="es-ES_tradnl"/>
        </w:rPr>
        <w:t>.</w:t>
      </w:r>
    </w:p>
    <w:p w14:paraId="21CE5C22" w14:textId="2A13D58F" w:rsidR="008B05A1" w:rsidRPr="00883AD9" w:rsidRDefault="00496EB0" w:rsidP="00F02F27">
      <w:pPr>
        <w:spacing w:before="120" w:after="0" w:line="276" w:lineRule="auto"/>
        <w:ind w:firstLine="709"/>
        <w:jc w:val="both"/>
        <w:rPr>
          <w:rFonts w:ascii="Geomanist Light" w:eastAsia="Times New Roman" w:hAnsi="Geomanist Light" w:cs="Arial"/>
          <w:lang w:eastAsia="es-ES_tradnl"/>
        </w:rPr>
      </w:pPr>
      <w:r w:rsidRPr="00883AD9">
        <w:rPr>
          <w:rFonts w:ascii="Geomanist Light" w:eastAsia="Times New Roman" w:hAnsi="Geomanist Light" w:cs="Arial"/>
          <w:lang w:eastAsia="es-ES_tradnl"/>
        </w:rPr>
        <w:t xml:space="preserve">Para la Corte Constitucional, serán válidos los auxilios y </w:t>
      </w:r>
      <w:r w:rsidR="00650CB6">
        <w:rPr>
          <w:rFonts w:ascii="Geomanist Light" w:eastAsia="Times New Roman" w:hAnsi="Geomanist Light" w:cs="Arial"/>
          <w:lang w:eastAsia="es-ES_tradnl"/>
        </w:rPr>
        <w:t>donaciones</w:t>
      </w:r>
      <w:r w:rsidR="005728F0" w:rsidRPr="00883AD9">
        <w:rPr>
          <w:rFonts w:ascii="Geomanist Light" w:eastAsia="Times New Roman" w:hAnsi="Geomanist Light" w:cs="Arial"/>
          <w:lang w:eastAsia="es-ES_tradnl"/>
        </w:rPr>
        <w:t xml:space="preserve"> que</w:t>
      </w:r>
      <w:r w:rsidR="00DA02EB" w:rsidRPr="00883AD9">
        <w:rPr>
          <w:rFonts w:ascii="Geomanist Light" w:eastAsia="Times New Roman" w:hAnsi="Geomanist Light" w:cs="Arial"/>
          <w:lang w:eastAsia="es-ES_tradnl"/>
        </w:rPr>
        <w:t xml:space="preserve">: </w:t>
      </w:r>
      <w:r w:rsidR="00650CB6">
        <w:rPr>
          <w:rFonts w:ascii="Geomanist Light" w:eastAsia="Times New Roman" w:hAnsi="Geomanist Light" w:cs="Arial"/>
          <w:lang w:eastAsia="es-ES_tradnl"/>
        </w:rPr>
        <w:t>«</w:t>
      </w:r>
      <w:r w:rsidR="00CC49DF" w:rsidRPr="00883AD9">
        <w:rPr>
          <w:rFonts w:ascii="Geomanist Light" w:eastAsia="Times New Roman" w:hAnsi="Geomanist Light" w:cs="Arial"/>
          <w:lang w:eastAsia="es-ES_tradnl"/>
        </w:rPr>
        <w:t>(i) alberguen una finalidad estrictamente altruista y benéfica, y no obedezcan a la mera liberalidad del Estado</w:t>
      </w:r>
      <w:r w:rsidR="00CC49DF" w:rsidRPr="00F02F27">
        <w:rPr>
          <w:rFonts w:ascii="Geomanist Light" w:eastAsia="Times New Roman" w:hAnsi="Geomanist Light" w:cs="Arial"/>
          <w:i/>
          <w:iCs/>
          <w:u w:val="single"/>
          <w:lang w:eastAsia="es-ES_tradnl"/>
        </w:rPr>
        <w:t>; la finalidad altruista del auxilio se encuentra autorizada únicamente cuando se dirige a alentar actividades o programas de interés público acordes con el plan de desarrollo y los planes seccionales de desarrollo, a través de entidades sin ánimo de lucro, con las cuales deberá suscribirse, previamente, un contrato.</w:t>
      </w:r>
      <w:r w:rsidR="00CC49DF" w:rsidRPr="00F02F27">
        <w:rPr>
          <w:rFonts w:ascii="Geomanist Light" w:eastAsia="Times New Roman" w:hAnsi="Geomanist Light" w:cs="Arial"/>
          <w:i/>
          <w:iCs/>
          <w:lang w:eastAsia="es-ES_tradnl"/>
        </w:rPr>
        <w:t xml:space="preserve"> </w:t>
      </w:r>
      <w:r w:rsidR="00CC49DF" w:rsidRPr="00883AD9">
        <w:rPr>
          <w:rFonts w:ascii="Geomanist Light" w:eastAsia="Times New Roman" w:hAnsi="Geomanist Light" w:cs="Arial"/>
          <w:lang w:eastAsia="es-ES_tradnl"/>
        </w:rPr>
        <w:t>De esta manera se asegura una cierta reciprocidad a favor del Estado; (</w:t>
      </w:r>
      <w:proofErr w:type="spellStart"/>
      <w:r w:rsidR="00CC49DF" w:rsidRPr="00883AD9">
        <w:rPr>
          <w:rFonts w:ascii="Geomanist Light" w:eastAsia="Times New Roman" w:hAnsi="Geomanist Light" w:cs="Arial"/>
          <w:lang w:eastAsia="es-ES_tradnl"/>
        </w:rPr>
        <w:t>ii</w:t>
      </w:r>
      <w:proofErr w:type="spellEnd"/>
      <w:r w:rsidR="00CC49DF" w:rsidRPr="00883AD9">
        <w:rPr>
          <w:rFonts w:ascii="Geomanist Light" w:eastAsia="Times New Roman" w:hAnsi="Geomanist Light" w:cs="Arial"/>
          <w:lang w:eastAsia="es-ES_tradnl"/>
        </w:rPr>
        <w:t xml:space="preserve">) derivarse de la facultad de intervención del Estado en la economía y, en consecuencia, orientarse al estímulo de una determinada actividad </w:t>
      </w:r>
      <w:r w:rsidR="00CC49DF" w:rsidRPr="00883AD9">
        <w:rPr>
          <w:rFonts w:ascii="Geomanist Light" w:eastAsia="Times New Roman" w:hAnsi="Geomanist Light" w:cs="Arial"/>
          <w:lang w:eastAsia="es-ES_tradnl"/>
        </w:rPr>
        <w:lastRenderedPageBreak/>
        <w:t>económica; asignación que por mandato expreso del artículo 334 superior debe comportar una contraprestación; (</w:t>
      </w:r>
      <w:proofErr w:type="spellStart"/>
      <w:r w:rsidR="00CC49DF" w:rsidRPr="00883AD9">
        <w:rPr>
          <w:rFonts w:ascii="Geomanist Light" w:eastAsia="Times New Roman" w:hAnsi="Geomanist Light" w:cs="Arial"/>
          <w:lang w:eastAsia="es-ES_tradnl"/>
        </w:rPr>
        <w:t>iii</w:t>
      </w:r>
      <w:proofErr w:type="spellEnd"/>
      <w:r w:rsidR="00CC49DF" w:rsidRPr="00883AD9">
        <w:rPr>
          <w:rFonts w:ascii="Geomanist Light" w:eastAsia="Times New Roman" w:hAnsi="Geomanist Light" w:cs="Arial"/>
          <w:lang w:eastAsia="es-ES_tradnl"/>
        </w:rPr>
        <w:t>) fundarse en un precepto constitucional que lo autorice expresamente, en orden a garantizar los derechos fundamentales vía acceso a bienes y servicios por parte de quienes tienen mayores necesidades y menores ingresos, con lo cual se garantiza una contraprestación o beneficio social.</w:t>
      </w:r>
      <w:r w:rsidR="0065280B">
        <w:rPr>
          <w:rFonts w:ascii="Geomanist Light" w:eastAsia="Times New Roman" w:hAnsi="Geomanist Light" w:cs="Arial"/>
          <w:lang w:eastAsia="es-ES_tradnl"/>
        </w:rPr>
        <w:t>»</w:t>
      </w:r>
      <w:r w:rsidR="0065280B">
        <w:rPr>
          <w:rStyle w:val="Refdenotaalpie"/>
          <w:rFonts w:ascii="Geomanist Light" w:eastAsia="Times New Roman" w:hAnsi="Geomanist Light" w:cs="Arial"/>
          <w:lang w:eastAsia="es-ES_tradnl"/>
        </w:rPr>
        <w:footnoteReference w:id="14"/>
      </w:r>
      <w:r w:rsidR="00AA47F8">
        <w:rPr>
          <w:rFonts w:ascii="Geomanist Light" w:eastAsia="Times New Roman" w:hAnsi="Geomanist Light" w:cs="Arial"/>
          <w:lang w:eastAsia="es-ES_tradnl"/>
        </w:rPr>
        <w:t xml:space="preserve"> (</w:t>
      </w:r>
      <w:r w:rsidR="006E7BEC">
        <w:rPr>
          <w:rFonts w:ascii="Geomanist Light" w:eastAsia="Times New Roman" w:hAnsi="Geomanist Light" w:cs="Arial"/>
          <w:lang w:eastAsia="es-ES_tradnl"/>
        </w:rPr>
        <w:t>Subraya</w:t>
      </w:r>
      <w:r w:rsidR="00AA47F8">
        <w:rPr>
          <w:rFonts w:ascii="Geomanist Light" w:eastAsia="Times New Roman" w:hAnsi="Geomanist Light" w:cs="Arial"/>
          <w:lang w:eastAsia="es-ES_tradnl"/>
        </w:rPr>
        <w:t xml:space="preserve"> </w:t>
      </w:r>
      <w:r w:rsidR="00F02F27">
        <w:rPr>
          <w:rFonts w:ascii="Geomanist Light" w:eastAsia="Times New Roman" w:hAnsi="Geomanist Light" w:cs="Arial"/>
          <w:lang w:eastAsia="es-ES_tradnl"/>
        </w:rPr>
        <w:t xml:space="preserve">y cursiva </w:t>
      </w:r>
      <w:r w:rsidR="00AA47F8">
        <w:rPr>
          <w:rFonts w:ascii="Geomanist Light" w:eastAsia="Times New Roman" w:hAnsi="Geomanist Light" w:cs="Arial"/>
          <w:lang w:eastAsia="es-ES_tradnl"/>
        </w:rPr>
        <w:t>fuera de texto)</w:t>
      </w:r>
    </w:p>
    <w:p w14:paraId="2F4DAFA2" w14:textId="01C07A5B" w:rsidR="00CB412D" w:rsidRDefault="003C446E" w:rsidP="00F01C43">
      <w:pPr>
        <w:spacing w:before="120" w:after="0" w:line="276" w:lineRule="auto"/>
        <w:ind w:firstLine="708"/>
        <w:jc w:val="both"/>
        <w:rPr>
          <w:rFonts w:ascii="Geomanist Light" w:eastAsia="Times New Roman" w:hAnsi="Geomanist Light" w:cs="Arial"/>
          <w:lang w:eastAsia="es-ES_tradnl"/>
        </w:rPr>
      </w:pPr>
      <w:r>
        <w:rPr>
          <w:rFonts w:ascii="Geomanist Light" w:eastAsia="Times New Roman" w:hAnsi="Geomanist Light" w:cs="Arial"/>
          <w:lang w:eastAsia="es-ES_tradnl"/>
        </w:rPr>
        <w:t>De lo anterior se colige</w:t>
      </w:r>
      <w:r w:rsidR="008F1724">
        <w:rPr>
          <w:rFonts w:ascii="Geomanist Light" w:eastAsia="Times New Roman" w:hAnsi="Geomanist Light" w:cs="Arial"/>
          <w:lang w:eastAsia="es-ES_tradnl"/>
        </w:rPr>
        <w:t xml:space="preserve">, </w:t>
      </w:r>
      <w:r>
        <w:rPr>
          <w:rFonts w:ascii="Geomanist Light" w:eastAsia="Times New Roman" w:hAnsi="Geomanist Light" w:cs="Arial"/>
          <w:lang w:eastAsia="es-ES_tradnl"/>
        </w:rPr>
        <w:t xml:space="preserve">que </w:t>
      </w:r>
      <w:r w:rsidR="00F01C43">
        <w:rPr>
          <w:rFonts w:ascii="Geomanist Light" w:eastAsia="Times New Roman" w:hAnsi="Geomanist Light" w:cs="Arial"/>
          <w:lang w:eastAsia="es-ES_tradnl"/>
        </w:rPr>
        <w:t xml:space="preserve">la </w:t>
      </w:r>
      <w:r w:rsidR="001307BF">
        <w:rPr>
          <w:rFonts w:ascii="Geomanist Light" w:eastAsia="Times New Roman" w:hAnsi="Geomanist Light" w:cs="Arial"/>
          <w:lang w:eastAsia="es-ES_tradnl"/>
        </w:rPr>
        <w:t xml:space="preserve">situación </w:t>
      </w:r>
      <w:r w:rsidR="00F01C43">
        <w:rPr>
          <w:rFonts w:ascii="Geomanist Light" w:eastAsia="Times New Roman" w:hAnsi="Geomanist Light" w:cs="Arial"/>
          <w:lang w:eastAsia="es-ES_tradnl"/>
        </w:rPr>
        <w:t xml:space="preserve">definida por el Alto Tribunal Constitucional </w:t>
      </w:r>
      <w:r w:rsidR="001307BF">
        <w:rPr>
          <w:rFonts w:ascii="Geomanist Light" w:eastAsia="Times New Roman" w:hAnsi="Geomanist Light" w:cs="Arial"/>
          <w:lang w:eastAsia="es-ES_tradnl"/>
        </w:rPr>
        <w:t>de</w:t>
      </w:r>
      <w:r w:rsidR="008F1724">
        <w:rPr>
          <w:rFonts w:ascii="Geomanist Light" w:eastAsia="Times New Roman" w:hAnsi="Geomanist Light" w:cs="Arial"/>
          <w:lang w:eastAsia="es-ES_tradnl"/>
        </w:rPr>
        <w:t xml:space="preserve"> </w:t>
      </w:r>
      <w:r w:rsidR="000376C5" w:rsidRPr="000376C5">
        <w:rPr>
          <w:rFonts w:ascii="Geomanist Light" w:eastAsia="Times New Roman" w:hAnsi="Geomanist Light" w:cs="Arial"/>
          <w:i/>
          <w:iCs/>
          <w:lang w:eastAsia="es-ES_tradnl"/>
        </w:rPr>
        <w:t>«</w:t>
      </w:r>
      <w:r w:rsidR="008F1724" w:rsidRPr="000376C5">
        <w:rPr>
          <w:rFonts w:ascii="Geomanist Light" w:eastAsia="Times New Roman" w:hAnsi="Geomanist Light" w:cs="Arial"/>
          <w:i/>
          <w:iCs/>
          <w:lang w:eastAsia="es-ES_tradnl"/>
        </w:rPr>
        <w:t>alberga</w:t>
      </w:r>
      <w:r w:rsidR="001307BF" w:rsidRPr="000376C5">
        <w:rPr>
          <w:rFonts w:ascii="Geomanist Light" w:eastAsia="Times New Roman" w:hAnsi="Geomanist Light" w:cs="Arial"/>
          <w:i/>
          <w:iCs/>
          <w:lang w:eastAsia="es-ES_tradnl"/>
        </w:rPr>
        <w:t>r</w:t>
      </w:r>
      <w:r w:rsidR="008F1724" w:rsidRPr="000376C5">
        <w:rPr>
          <w:rFonts w:ascii="Geomanist Light" w:eastAsia="Times New Roman" w:hAnsi="Geomanist Light" w:cs="Arial"/>
          <w:i/>
          <w:iCs/>
          <w:lang w:eastAsia="es-ES_tradnl"/>
        </w:rPr>
        <w:t xml:space="preserve"> una finalidad estrictamente altruista y benéfica dirigida a alentar una actividad de interés público, a través de entidades sin ánimo de lucro</w:t>
      </w:r>
      <w:r w:rsidR="000376C5" w:rsidRPr="000376C5">
        <w:rPr>
          <w:rFonts w:ascii="Geomanist Light" w:eastAsia="Times New Roman" w:hAnsi="Geomanist Light" w:cs="Arial"/>
          <w:i/>
          <w:iCs/>
          <w:lang w:eastAsia="es-ES_tradnl"/>
        </w:rPr>
        <w:t>»</w:t>
      </w:r>
      <w:r w:rsidR="008F1724" w:rsidRPr="000376C5">
        <w:rPr>
          <w:rFonts w:ascii="Geomanist Light" w:eastAsia="Times New Roman" w:hAnsi="Geomanist Light" w:cs="Arial"/>
          <w:i/>
          <w:iCs/>
          <w:lang w:eastAsia="es-ES_tradnl"/>
        </w:rPr>
        <w:t>,</w:t>
      </w:r>
      <w:r w:rsidR="008F1724">
        <w:rPr>
          <w:rFonts w:ascii="Geomanist Light" w:eastAsia="Times New Roman" w:hAnsi="Geomanist Light" w:cs="Arial"/>
          <w:lang w:eastAsia="es-ES_tradnl"/>
        </w:rPr>
        <w:t xml:space="preserve"> </w:t>
      </w:r>
      <w:r w:rsidR="00F01C43">
        <w:rPr>
          <w:rFonts w:ascii="Geomanist Light" w:eastAsia="Times New Roman" w:hAnsi="Geomanist Light" w:cs="Arial"/>
          <w:lang w:eastAsia="es-ES_tradnl"/>
        </w:rPr>
        <w:t xml:space="preserve">hace referencia al inciso segundo del artículo </w:t>
      </w:r>
      <w:r w:rsidR="002D6BA0">
        <w:rPr>
          <w:rFonts w:ascii="Geomanist Light" w:eastAsia="Times New Roman" w:hAnsi="Geomanist Light" w:cs="Arial"/>
          <w:lang w:eastAsia="es-ES_tradnl"/>
        </w:rPr>
        <w:t>355 superior</w:t>
      </w:r>
      <w:r w:rsidR="00F41A1D">
        <w:rPr>
          <w:rFonts w:ascii="Geomanist Light" w:eastAsia="Times New Roman" w:hAnsi="Geomanist Light" w:cs="Arial"/>
          <w:lang w:eastAsia="es-ES_tradnl"/>
        </w:rPr>
        <w:t xml:space="preserve">, </w:t>
      </w:r>
      <w:r w:rsidR="00F01C43">
        <w:rPr>
          <w:rFonts w:ascii="Geomanist Light" w:eastAsia="Times New Roman" w:hAnsi="Geomanist Light" w:cs="Arial"/>
          <w:lang w:eastAsia="es-ES_tradnl"/>
        </w:rPr>
        <w:t xml:space="preserve">que </w:t>
      </w:r>
      <w:r w:rsidR="00FD2FE8">
        <w:rPr>
          <w:rFonts w:ascii="Geomanist Light" w:eastAsia="Times New Roman" w:hAnsi="Geomanist Light" w:cs="Arial"/>
          <w:lang w:eastAsia="es-ES_tradnl"/>
        </w:rPr>
        <w:t>facultó</w:t>
      </w:r>
      <w:r w:rsidR="002D6BA0">
        <w:rPr>
          <w:rFonts w:ascii="Geomanist Light" w:eastAsia="Times New Roman" w:hAnsi="Geomanist Light" w:cs="Arial"/>
          <w:lang w:eastAsia="es-ES_tradnl"/>
        </w:rPr>
        <w:t xml:space="preserve"> </w:t>
      </w:r>
      <w:r w:rsidR="00FD2FE8">
        <w:rPr>
          <w:rFonts w:ascii="Geomanist Light" w:eastAsia="Times New Roman" w:hAnsi="Geomanist Light" w:cs="Arial"/>
          <w:lang w:eastAsia="es-ES_tradnl"/>
        </w:rPr>
        <w:t>a</w:t>
      </w:r>
      <w:r w:rsidR="002D6BA0">
        <w:rPr>
          <w:rFonts w:ascii="Geomanist Light" w:eastAsia="Times New Roman" w:hAnsi="Geomanist Light" w:cs="Arial"/>
          <w:lang w:eastAsia="es-ES_tradnl"/>
        </w:rPr>
        <w:t xml:space="preserve"> </w:t>
      </w:r>
      <w:r w:rsidR="00F070EA">
        <w:rPr>
          <w:rFonts w:ascii="Geomanist Light" w:eastAsia="Times New Roman" w:hAnsi="Geomanist Light" w:cs="Arial"/>
          <w:lang w:eastAsia="es-ES_tradnl"/>
        </w:rPr>
        <w:t xml:space="preserve">las entidades públicas </w:t>
      </w:r>
      <w:r w:rsidR="00FD2FE8">
        <w:rPr>
          <w:rFonts w:ascii="Geomanist Light" w:eastAsia="Times New Roman" w:hAnsi="Geomanist Light" w:cs="Arial"/>
          <w:lang w:eastAsia="es-ES_tradnl"/>
        </w:rPr>
        <w:t>para que</w:t>
      </w:r>
      <w:r w:rsidR="00C033C0">
        <w:rPr>
          <w:rFonts w:ascii="Geomanist Light" w:eastAsia="Times New Roman" w:hAnsi="Geomanist Light" w:cs="Arial"/>
          <w:lang w:eastAsia="es-ES_tradnl"/>
        </w:rPr>
        <w:t xml:space="preserve"> </w:t>
      </w:r>
      <w:r w:rsidR="003F6841">
        <w:rPr>
          <w:rFonts w:ascii="Geomanist Light" w:eastAsia="Times New Roman" w:hAnsi="Geomanist Light" w:cs="Arial"/>
          <w:lang w:eastAsia="es-ES_tradnl"/>
        </w:rPr>
        <w:t>con los recursos de los respectivos presupuestos</w:t>
      </w:r>
      <w:r w:rsidR="0016436D">
        <w:rPr>
          <w:rFonts w:ascii="Geomanist Light" w:eastAsia="Times New Roman" w:hAnsi="Geomanist Light" w:cs="Arial"/>
          <w:lang w:eastAsia="es-ES_tradnl"/>
        </w:rPr>
        <w:t xml:space="preserve">, </w:t>
      </w:r>
      <w:r w:rsidR="00FD2FE8">
        <w:rPr>
          <w:rFonts w:ascii="Geomanist Light" w:eastAsia="Times New Roman" w:hAnsi="Geomanist Light" w:cs="Arial"/>
          <w:lang w:eastAsia="es-ES_tradnl"/>
        </w:rPr>
        <w:t>celebren</w:t>
      </w:r>
      <w:r w:rsidR="0016436D">
        <w:rPr>
          <w:rFonts w:ascii="Geomanist Light" w:eastAsia="Times New Roman" w:hAnsi="Geomanist Light" w:cs="Arial"/>
          <w:lang w:eastAsia="es-ES_tradnl"/>
        </w:rPr>
        <w:t xml:space="preserve"> </w:t>
      </w:r>
      <w:r w:rsidR="00C65FBB">
        <w:rPr>
          <w:rFonts w:ascii="Geomanist Light" w:eastAsia="Times New Roman" w:hAnsi="Geomanist Light" w:cs="Arial"/>
          <w:lang w:eastAsia="es-ES_tradnl"/>
        </w:rPr>
        <w:t xml:space="preserve">contratos con </w:t>
      </w:r>
      <w:r w:rsidR="00A851C0">
        <w:rPr>
          <w:rFonts w:ascii="Geomanist Light" w:eastAsia="Times New Roman" w:hAnsi="Geomanist Light" w:cs="Arial"/>
          <w:lang w:eastAsia="es-ES_tradnl"/>
        </w:rPr>
        <w:t>entidades</w:t>
      </w:r>
      <w:r w:rsidR="00C65FBB">
        <w:rPr>
          <w:rFonts w:ascii="Geomanist Light" w:eastAsia="Times New Roman" w:hAnsi="Geomanist Light" w:cs="Arial"/>
          <w:lang w:eastAsia="es-ES_tradnl"/>
        </w:rPr>
        <w:t xml:space="preserve"> privadas sin ánimo de lucro</w:t>
      </w:r>
      <w:r w:rsidR="00A851C0">
        <w:rPr>
          <w:rFonts w:ascii="Geomanist Light" w:eastAsia="Times New Roman" w:hAnsi="Geomanist Light" w:cs="Arial"/>
          <w:lang w:eastAsia="es-ES_tradnl"/>
        </w:rPr>
        <w:t xml:space="preserve"> y de reconocida ido</w:t>
      </w:r>
      <w:r w:rsidR="009A5A4F">
        <w:rPr>
          <w:rFonts w:ascii="Geomanist Light" w:eastAsia="Times New Roman" w:hAnsi="Geomanist Light" w:cs="Arial"/>
          <w:lang w:eastAsia="es-ES_tradnl"/>
        </w:rPr>
        <w:t>neidad con el fin</w:t>
      </w:r>
      <w:r w:rsidR="00A851C0">
        <w:rPr>
          <w:rFonts w:ascii="Geomanist Light" w:eastAsia="Times New Roman" w:hAnsi="Geomanist Light" w:cs="Arial"/>
          <w:lang w:eastAsia="es-ES_tradnl"/>
        </w:rPr>
        <w:t xml:space="preserve"> </w:t>
      </w:r>
      <w:r w:rsidR="00F01C43">
        <w:rPr>
          <w:rFonts w:ascii="Geomanist Light" w:eastAsia="Times New Roman" w:hAnsi="Geomanist Light" w:cs="Arial"/>
          <w:lang w:eastAsia="es-ES_tradnl"/>
        </w:rPr>
        <w:t xml:space="preserve">de </w:t>
      </w:r>
      <w:r w:rsidR="007524C1" w:rsidRPr="002B09C4">
        <w:rPr>
          <w:rFonts w:ascii="Geomanist Light" w:eastAsia="Times New Roman" w:hAnsi="Geomanist Light" w:cs="Arial"/>
          <w:lang w:eastAsia="es-ES_tradnl"/>
        </w:rPr>
        <w:t>impulsa</w:t>
      </w:r>
      <w:r w:rsidR="009A5A4F" w:rsidRPr="002B09C4">
        <w:rPr>
          <w:rFonts w:ascii="Geomanist Light" w:eastAsia="Times New Roman" w:hAnsi="Geomanist Light" w:cs="Arial"/>
          <w:lang w:eastAsia="es-ES_tradnl"/>
        </w:rPr>
        <w:t>r</w:t>
      </w:r>
      <w:r w:rsidR="007524C1" w:rsidRPr="002B09C4">
        <w:rPr>
          <w:rFonts w:ascii="Geomanist Light" w:eastAsia="Times New Roman" w:hAnsi="Geomanist Light" w:cs="Arial"/>
          <w:lang w:eastAsia="es-ES_tradnl"/>
        </w:rPr>
        <w:t xml:space="preserve"> programas y actividades</w:t>
      </w:r>
      <w:r w:rsidR="009A5A4F" w:rsidRPr="002B09C4">
        <w:rPr>
          <w:rFonts w:ascii="Geomanist Light" w:eastAsia="Times New Roman" w:hAnsi="Geomanist Light" w:cs="Arial"/>
          <w:lang w:eastAsia="es-ES_tradnl"/>
        </w:rPr>
        <w:t xml:space="preserve"> de interés público</w:t>
      </w:r>
      <w:r w:rsidR="00EA6B15" w:rsidRPr="002B09C4">
        <w:rPr>
          <w:rFonts w:ascii="Geomanist Light" w:eastAsia="Times New Roman" w:hAnsi="Geomanist Light" w:cs="Arial"/>
          <w:lang w:eastAsia="es-ES_tradnl"/>
        </w:rPr>
        <w:t xml:space="preserve"> acordes con el Plan Nacional y los planes seccionales de Desarrollo.</w:t>
      </w:r>
      <w:r w:rsidR="00EA6B15">
        <w:rPr>
          <w:rFonts w:ascii="Geomanist Light" w:eastAsia="Times New Roman" w:hAnsi="Geomanist Light" w:cs="Arial"/>
          <w:lang w:eastAsia="es-ES_tradnl"/>
        </w:rPr>
        <w:t xml:space="preserve"> </w:t>
      </w:r>
      <w:r w:rsidR="008C054C">
        <w:rPr>
          <w:rFonts w:ascii="Geomanist Light" w:eastAsia="Times New Roman" w:hAnsi="Geomanist Light" w:cs="Arial"/>
          <w:lang w:eastAsia="es-ES_tradnl"/>
        </w:rPr>
        <w:t>Por tanto</w:t>
      </w:r>
      <w:r w:rsidR="005162B6">
        <w:rPr>
          <w:rFonts w:ascii="Geomanist Light" w:eastAsia="Times New Roman" w:hAnsi="Geomanist Light" w:cs="Arial"/>
          <w:lang w:eastAsia="es-ES_tradnl"/>
        </w:rPr>
        <w:t xml:space="preserve">, </w:t>
      </w:r>
      <w:r w:rsidR="0032474A">
        <w:rPr>
          <w:rFonts w:ascii="Geomanist Light" w:eastAsia="Times New Roman" w:hAnsi="Geomanist Light" w:cs="Arial"/>
          <w:lang w:eastAsia="es-ES_tradnl"/>
        </w:rPr>
        <w:t>dicho</w:t>
      </w:r>
      <w:r w:rsidR="001D18AA">
        <w:rPr>
          <w:rFonts w:ascii="Geomanist Light" w:eastAsia="Times New Roman" w:hAnsi="Geomanist Light" w:cs="Arial"/>
          <w:lang w:eastAsia="es-ES_tradnl"/>
        </w:rPr>
        <w:t xml:space="preserve"> aparte normativo</w:t>
      </w:r>
      <w:r w:rsidR="0032474A">
        <w:rPr>
          <w:rFonts w:ascii="Geomanist Light" w:eastAsia="Times New Roman" w:hAnsi="Geomanist Light" w:cs="Arial"/>
          <w:lang w:eastAsia="es-ES_tradnl"/>
        </w:rPr>
        <w:t>,</w:t>
      </w:r>
      <w:r w:rsidR="001D18AA">
        <w:rPr>
          <w:rFonts w:ascii="Geomanist Light" w:eastAsia="Times New Roman" w:hAnsi="Geomanist Light" w:cs="Arial"/>
          <w:lang w:eastAsia="es-ES_tradnl"/>
        </w:rPr>
        <w:t xml:space="preserve"> permite el desarrollo de actividades esencialmente benéficas, no como instrumento económico</w:t>
      </w:r>
      <w:r w:rsidR="00161EA2">
        <w:rPr>
          <w:rFonts w:ascii="Geomanist Light" w:eastAsia="Times New Roman" w:hAnsi="Geomanist Light" w:cs="Arial"/>
          <w:lang w:eastAsia="es-ES_tradnl"/>
        </w:rPr>
        <w:t xml:space="preserve">, </w:t>
      </w:r>
      <w:proofErr w:type="spellStart"/>
      <w:r w:rsidR="00161EA2">
        <w:rPr>
          <w:rFonts w:ascii="Geomanist Light" w:eastAsia="Times New Roman" w:hAnsi="Geomanist Light" w:cs="Arial"/>
          <w:lang w:eastAsia="es-ES_tradnl"/>
        </w:rPr>
        <w:t>si no</w:t>
      </w:r>
      <w:proofErr w:type="spellEnd"/>
      <w:r w:rsidR="00161EA2">
        <w:rPr>
          <w:rFonts w:ascii="Geomanist Light" w:eastAsia="Times New Roman" w:hAnsi="Geomanist Light" w:cs="Arial"/>
          <w:lang w:eastAsia="es-ES_tradnl"/>
        </w:rPr>
        <w:t xml:space="preserve"> como un instrumento asistencial y altruista</w:t>
      </w:r>
      <w:r w:rsidR="0032474A">
        <w:rPr>
          <w:rFonts w:ascii="Geomanist Light" w:eastAsia="Times New Roman" w:hAnsi="Geomanist Light" w:cs="Arial"/>
          <w:lang w:eastAsia="es-ES_tradnl"/>
        </w:rPr>
        <w:t xml:space="preserve"> en el que no se privilegia la arbitrariedad y </w:t>
      </w:r>
      <w:r w:rsidR="008F0AB8">
        <w:rPr>
          <w:rFonts w:ascii="Geomanist Light" w:eastAsia="Times New Roman" w:hAnsi="Geomanist Light" w:cs="Arial"/>
          <w:lang w:eastAsia="es-ES_tradnl"/>
        </w:rPr>
        <w:t>unilateralidad del gasto público</w:t>
      </w:r>
      <w:r w:rsidR="00A920AE">
        <w:rPr>
          <w:rFonts w:ascii="Geomanist Light" w:eastAsia="Times New Roman" w:hAnsi="Geomanist Light" w:cs="Arial"/>
          <w:lang w:eastAsia="es-ES_tradnl"/>
        </w:rPr>
        <w:t>, pues exige un grado aceptable de</w:t>
      </w:r>
      <w:r w:rsidR="00EB04D4">
        <w:rPr>
          <w:rFonts w:ascii="Geomanist Light" w:eastAsia="Times New Roman" w:hAnsi="Geomanist Light" w:cs="Arial"/>
          <w:lang w:eastAsia="es-ES_tradnl"/>
        </w:rPr>
        <w:t xml:space="preserve"> reciprocidad por parte del beneficiario de la ayuda</w:t>
      </w:r>
      <w:r w:rsidR="00EB04D4">
        <w:rPr>
          <w:rStyle w:val="Refdenotaalpie"/>
          <w:rFonts w:ascii="Geomanist Light" w:eastAsia="Times New Roman" w:hAnsi="Geomanist Light" w:cs="Arial"/>
          <w:lang w:eastAsia="es-ES_tradnl"/>
        </w:rPr>
        <w:footnoteReference w:id="15"/>
      </w:r>
      <w:r w:rsidR="00EB04D4">
        <w:rPr>
          <w:rFonts w:ascii="Geomanist Light" w:eastAsia="Times New Roman" w:hAnsi="Geomanist Light" w:cs="Arial"/>
          <w:lang w:eastAsia="es-ES_tradnl"/>
        </w:rPr>
        <w:t>.</w:t>
      </w:r>
    </w:p>
    <w:p w14:paraId="09C56A65" w14:textId="77777777" w:rsidR="00AC0304" w:rsidRDefault="00AC0304" w:rsidP="002879B3">
      <w:pPr>
        <w:tabs>
          <w:tab w:val="left" w:pos="426"/>
        </w:tabs>
        <w:spacing w:after="0" w:line="276" w:lineRule="auto"/>
        <w:jc w:val="both"/>
        <w:rPr>
          <w:rFonts w:ascii="Geomanist Light" w:eastAsia="Calibri" w:hAnsi="Geomanist Light" w:cs="Arial"/>
          <w:b/>
          <w:bCs/>
          <w:noProof/>
          <w:lang w:val="es-ES_tradnl"/>
        </w:rPr>
      </w:pPr>
    </w:p>
    <w:p w14:paraId="6640F8D7" w14:textId="5EB961C9" w:rsidR="0090205A" w:rsidRDefault="002879B3" w:rsidP="00750248">
      <w:pPr>
        <w:tabs>
          <w:tab w:val="left" w:pos="426"/>
          <w:tab w:val="left" w:pos="6815"/>
        </w:tabs>
        <w:spacing w:after="0" w:line="276" w:lineRule="auto"/>
        <w:jc w:val="both"/>
        <w:rPr>
          <w:rFonts w:ascii="Geomanist Light" w:eastAsia="Calibri" w:hAnsi="Geomanist Light" w:cs="Arial"/>
          <w:b/>
          <w:bCs/>
          <w:noProof/>
          <w:lang w:val="es-ES_tradnl"/>
        </w:rPr>
      </w:pPr>
      <w:r>
        <w:rPr>
          <w:rFonts w:ascii="Geomanist Light" w:eastAsia="Calibri" w:hAnsi="Geomanist Light" w:cs="Arial"/>
          <w:b/>
          <w:bCs/>
          <w:noProof/>
          <w:lang w:val="es-ES_tradnl"/>
        </w:rPr>
        <w:t xml:space="preserve">2.2. </w:t>
      </w:r>
      <w:r w:rsidR="006F1928">
        <w:rPr>
          <w:rFonts w:ascii="Geomanist Light" w:eastAsia="Calibri" w:hAnsi="Geomanist Light" w:cs="Arial"/>
          <w:b/>
          <w:bCs/>
          <w:noProof/>
          <w:lang w:val="es-ES_tradnl"/>
        </w:rPr>
        <w:t>Equipamiento de las juntas de acción comunal</w:t>
      </w:r>
      <w:r w:rsidR="007211C3">
        <w:rPr>
          <w:rFonts w:ascii="Geomanist Light" w:eastAsia="Calibri" w:hAnsi="Geomanist Light" w:cs="Arial"/>
          <w:b/>
          <w:bCs/>
          <w:noProof/>
          <w:lang w:val="es-ES_tradnl"/>
        </w:rPr>
        <w:t xml:space="preserve"> en virtud </w:t>
      </w:r>
      <w:r w:rsidR="00A81D36">
        <w:rPr>
          <w:rFonts w:ascii="Geomanist Light" w:eastAsia="Calibri" w:hAnsi="Geomanist Light" w:cs="Arial"/>
          <w:b/>
          <w:bCs/>
          <w:noProof/>
          <w:lang w:val="es-ES_tradnl"/>
        </w:rPr>
        <w:t>del</w:t>
      </w:r>
      <w:r w:rsidR="007211C3">
        <w:rPr>
          <w:rFonts w:ascii="Geomanist Light" w:eastAsia="Calibri" w:hAnsi="Geomanist Light" w:cs="Arial"/>
          <w:b/>
          <w:bCs/>
          <w:noProof/>
          <w:lang w:val="es-ES_tradnl"/>
        </w:rPr>
        <w:t xml:space="preserve"> artículo 68 de la ley 2166 de 2021</w:t>
      </w:r>
    </w:p>
    <w:p w14:paraId="01B030A9" w14:textId="78508A62" w:rsidR="00DC3A1E" w:rsidRDefault="00DC3A1E" w:rsidP="002879B3">
      <w:pPr>
        <w:tabs>
          <w:tab w:val="left" w:pos="426"/>
        </w:tabs>
        <w:spacing w:after="0" w:line="276" w:lineRule="auto"/>
        <w:jc w:val="both"/>
        <w:rPr>
          <w:rFonts w:ascii="Geomanist Light" w:eastAsia="Calibri" w:hAnsi="Geomanist Light" w:cs="Arial"/>
          <w:b/>
          <w:bCs/>
          <w:noProof/>
          <w:lang w:val="es-ES_tradnl"/>
        </w:rPr>
      </w:pPr>
    </w:p>
    <w:p w14:paraId="1259BED0" w14:textId="14B39030" w:rsidR="00B305F8" w:rsidRDefault="00B305F8" w:rsidP="00290DC3">
      <w:pPr>
        <w:tabs>
          <w:tab w:val="left" w:pos="426"/>
        </w:tabs>
        <w:spacing w:after="0" w:line="276" w:lineRule="auto"/>
        <w:jc w:val="both"/>
        <w:rPr>
          <w:rFonts w:ascii="Geomanist Light" w:eastAsia="Calibri" w:hAnsi="Geomanist Light" w:cs="Arial"/>
          <w:noProof/>
          <w:lang w:val="es-ES_tradnl"/>
        </w:rPr>
      </w:pPr>
      <w:r w:rsidRPr="00B305F8">
        <w:rPr>
          <w:rFonts w:ascii="Geomanist Light" w:eastAsia="Calibri" w:hAnsi="Geomanist Light" w:cs="Arial"/>
          <w:noProof/>
          <w:lang w:val="es-ES_tradnl"/>
        </w:rPr>
        <w:t>Con la reciente expedición de la Ley 2166 de 2021 se deroga la Ley 743 de 2002, se desarrolla el artículo 38 de la Constitución Política de Colombia en lo referente a los organismos de acción comunal y se establecen lineamientos para la formulación e implementación de la política pública de los organismos de acción comunal y de sus afiliados. De acuerdo con el artículo 1 de dicho cuerpo normativo</w:t>
      </w:r>
      <w:r w:rsidR="0096085D">
        <w:rPr>
          <w:rFonts w:ascii="Geomanist Light" w:eastAsia="Calibri" w:hAnsi="Geomanist Light" w:cs="Arial"/>
          <w:noProof/>
          <w:lang w:val="es-ES_tradnl"/>
        </w:rPr>
        <w:t>,</w:t>
      </w:r>
      <w:r w:rsidRPr="00B305F8">
        <w:rPr>
          <w:rFonts w:ascii="Geomanist Light" w:eastAsia="Calibri" w:hAnsi="Geomanist Light" w:cs="Arial"/>
          <w:noProof/>
          <w:lang w:val="es-ES_tradnl"/>
        </w:rPr>
        <w:t xml:space="preserve"> esta ley tiene por objeto «promover,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 […]».</w:t>
      </w:r>
    </w:p>
    <w:p w14:paraId="5D961497" w14:textId="2E66827F" w:rsidR="00A46D2A" w:rsidRDefault="00B41350" w:rsidP="00B41350">
      <w:pPr>
        <w:tabs>
          <w:tab w:val="left" w:pos="426"/>
        </w:tabs>
        <w:spacing w:before="120" w:after="0" w:line="276" w:lineRule="auto"/>
        <w:jc w:val="both"/>
        <w:rPr>
          <w:rFonts w:ascii="Geomanist Light" w:eastAsia="Calibri" w:hAnsi="Geomanist Light" w:cs="Arial"/>
          <w:noProof/>
          <w:lang w:val="es-ES_tradnl"/>
        </w:rPr>
      </w:pPr>
      <w:r>
        <w:rPr>
          <w:rFonts w:ascii="Geomanist Light" w:eastAsia="Calibri" w:hAnsi="Geomanist Light" w:cs="Arial"/>
          <w:noProof/>
          <w:lang w:val="es-ES_tradnl"/>
        </w:rPr>
        <w:tab/>
        <w:t xml:space="preserve">En desarrollo de lo anterior, el </w:t>
      </w:r>
      <w:r w:rsidR="00703238">
        <w:rPr>
          <w:rFonts w:ascii="Geomanist Light" w:eastAsia="Calibri" w:hAnsi="Geomanist Light" w:cs="Arial"/>
          <w:noProof/>
          <w:lang w:val="es-ES_tradnl"/>
        </w:rPr>
        <w:t>artículo</w:t>
      </w:r>
      <w:r>
        <w:rPr>
          <w:rFonts w:ascii="Geomanist Light" w:eastAsia="Calibri" w:hAnsi="Geomanist Light" w:cs="Arial"/>
          <w:noProof/>
          <w:lang w:val="es-ES_tradnl"/>
        </w:rPr>
        <w:t xml:space="preserve"> 68 </w:t>
      </w:r>
      <w:r w:rsidR="009A0D62">
        <w:rPr>
          <w:rFonts w:ascii="Geomanist Light" w:eastAsia="Calibri" w:hAnsi="Geomanist Light" w:cs="Arial"/>
          <w:noProof/>
          <w:lang w:val="es-ES_tradnl"/>
        </w:rPr>
        <w:t xml:space="preserve">de </w:t>
      </w:r>
      <w:r w:rsidR="00F973F5">
        <w:rPr>
          <w:rFonts w:ascii="Geomanist Light" w:eastAsia="Calibri" w:hAnsi="Geomanist Light" w:cs="Arial"/>
          <w:noProof/>
          <w:lang w:val="es-ES_tradnl"/>
        </w:rPr>
        <w:t>dicha ley</w:t>
      </w:r>
      <w:r w:rsidR="004036CE">
        <w:rPr>
          <w:rFonts w:ascii="Geomanist Light" w:eastAsia="Calibri" w:hAnsi="Geomanist Light" w:cs="Arial"/>
          <w:noProof/>
          <w:lang w:val="es-ES_tradnl"/>
        </w:rPr>
        <w:t xml:space="preserve"> </w:t>
      </w:r>
      <w:r w:rsidR="002D2247">
        <w:rPr>
          <w:rFonts w:ascii="Geomanist Light" w:eastAsia="Calibri" w:hAnsi="Geomanist Light" w:cs="Arial"/>
          <w:noProof/>
          <w:lang w:val="es-ES_tradnl"/>
        </w:rPr>
        <w:t xml:space="preserve">habilita presupuestalmente a las entidades del orden territorial </w:t>
      </w:r>
      <w:r w:rsidR="00C30897">
        <w:rPr>
          <w:rFonts w:ascii="Geomanist Light" w:eastAsia="Calibri" w:hAnsi="Geomanist Light" w:cs="Arial"/>
          <w:noProof/>
          <w:lang w:val="es-ES_tradnl"/>
        </w:rPr>
        <w:t xml:space="preserve">para que </w:t>
      </w:r>
      <w:r w:rsidR="0096021B">
        <w:rPr>
          <w:rFonts w:ascii="Geomanist Light" w:eastAsia="Calibri" w:hAnsi="Geomanist Light" w:cs="Arial"/>
          <w:noProof/>
          <w:lang w:val="es-ES_tradnl"/>
        </w:rPr>
        <w:t xml:space="preserve">realicen inversiones en aquellos bienes </w:t>
      </w:r>
      <w:r w:rsidR="00BD12A1">
        <w:rPr>
          <w:rFonts w:ascii="Geomanist Light" w:eastAsia="Calibri" w:hAnsi="Geomanist Light" w:cs="Arial"/>
          <w:noProof/>
          <w:lang w:val="es-ES_tradnl"/>
        </w:rPr>
        <w:t>d</w:t>
      </w:r>
      <w:r w:rsidR="00E04B14">
        <w:rPr>
          <w:rFonts w:ascii="Geomanist Light" w:eastAsia="Calibri" w:hAnsi="Geomanist Light" w:cs="Arial"/>
          <w:noProof/>
          <w:lang w:val="es-ES_tradnl"/>
        </w:rPr>
        <w:t xml:space="preserve">el equipamiento comunal </w:t>
      </w:r>
      <w:r w:rsidR="00782A0C">
        <w:rPr>
          <w:rFonts w:ascii="Geomanist Light" w:eastAsia="Calibri" w:hAnsi="Geomanist Light" w:cs="Arial"/>
          <w:noProof/>
          <w:lang w:val="es-ES_tradnl"/>
        </w:rPr>
        <w:t xml:space="preserve">en los siguientes términos: </w:t>
      </w:r>
    </w:p>
    <w:p w14:paraId="5E929264" w14:textId="77777777" w:rsidR="00B17CEB" w:rsidRDefault="00B17CEB" w:rsidP="00B17CEB">
      <w:pPr>
        <w:tabs>
          <w:tab w:val="left" w:pos="426"/>
        </w:tabs>
        <w:spacing w:after="0" w:line="276" w:lineRule="auto"/>
        <w:jc w:val="both"/>
        <w:rPr>
          <w:rFonts w:ascii="Geomanist Light" w:eastAsia="Calibri" w:hAnsi="Geomanist Light" w:cs="Arial"/>
          <w:noProof/>
          <w:lang w:val="es-ES_tradnl"/>
        </w:rPr>
      </w:pPr>
    </w:p>
    <w:p w14:paraId="1AE867C8" w14:textId="6C20AA6D" w:rsidR="004870A8" w:rsidRDefault="00782A0C" w:rsidP="00B17CEB">
      <w:pPr>
        <w:tabs>
          <w:tab w:val="left" w:pos="426"/>
        </w:tabs>
        <w:spacing w:after="0" w:line="276" w:lineRule="auto"/>
        <w:ind w:left="709" w:right="709"/>
        <w:jc w:val="both"/>
        <w:rPr>
          <w:rFonts w:ascii="Geomanist Light" w:eastAsia="Calibri" w:hAnsi="Geomanist Light" w:cs="Arial"/>
          <w:noProof/>
          <w:lang w:val="es-ES_tradnl"/>
        </w:rPr>
      </w:pPr>
      <w:r>
        <w:rPr>
          <w:rFonts w:ascii="Geomanist Light" w:eastAsia="Calibri" w:hAnsi="Geomanist Light" w:cs="Arial"/>
          <w:noProof/>
          <w:lang w:val="es-ES_tradnl"/>
        </w:rPr>
        <w:t xml:space="preserve">«Artículo 68. </w:t>
      </w:r>
      <w:r w:rsidR="00F23D90">
        <w:rPr>
          <w:rFonts w:ascii="Geomanist Light" w:eastAsia="Calibri" w:hAnsi="Geomanist Light" w:cs="Arial"/>
          <w:noProof/>
          <w:lang w:val="es-ES_tradnl"/>
        </w:rPr>
        <w:t xml:space="preserve">Equipamientos comunales. Podrá destinarse un rubro del recaudo del impuesto predial municipal o distrital para la construcción, mejoramiento </w:t>
      </w:r>
      <w:r w:rsidR="00F23D90">
        <w:rPr>
          <w:rFonts w:ascii="Geomanist Light" w:eastAsia="Calibri" w:hAnsi="Geomanist Light" w:cs="Arial"/>
          <w:noProof/>
          <w:lang w:val="es-ES_tradnl"/>
        </w:rPr>
        <w:lastRenderedPageBreak/>
        <w:t xml:space="preserve">y acondicionamiento del </w:t>
      </w:r>
      <w:r w:rsidR="00581261">
        <w:rPr>
          <w:rFonts w:ascii="Geomanist Light" w:eastAsia="Calibri" w:hAnsi="Geomanist Light" w:cs="Arial"/>
          <w:noProof/>
          <w:lang w:val="es-ES_tradnl"/>
        </w:rPr>
        <w:t>equipamiento</w:t>
      </w:r>
      <w:r w:rsidR="00F23D90">
        <w:rPr>
          <w:rFonts w:ascii="Geomanist Light" w:eastAsia="Calibri" w:hAnsi="Geomanist Light" w:cs="Arial"/>
          <w:noProof/>
          <w:lang w:val="es-ES_tradnl"/>
        </w:rPr>
        <w:t xml:space="preserve"> comunal, tales como salones</w:t>
      </w:r>
      <w:r w:rsidR="00842C41">
        <w:rPr>
          <w:rFonts w:ascii="Geomanist Light" w:eastAsia="Calibri" w:hAnsi="Geomanist Light" w:cs="Arial"/>
          <w:noProof/>
          <w:lang w:val="es-ES_tradnl"/>
        </w:rPr>
        <w:t xml:space="preserve"> comunales, casetas comunales de infraestructura deportiva, cultural y demás equipamientos</w:t>
      </w:r>
      <w:r w:rsidR="004E160B">
        <w:rPr>
          <w:rFonts w:ascii="Geomanist Light" w:eastAsia="Calibri" w:hAnsi="Geomanist Light" w:cs="Arial"/>
          <w:noProof/>
          <w:lang w:val="es-ES_tradnl"/>
        </w:rPr>
        <w:t xml:space="preserve"> comuna</w:t>
      </w:r>
      <w:r w:rsidR="00B17CEB">
        <w:rPr>
          <w:rFonts w:ascii="Geomanist Light" w:eastAsia="Calibri" w:hAnsi="Geomanist Light" w:cs="Arial"/>
          <w:noProof/>
          <w:lang w:val="es-ES_tradnl"/>
        </w:rPr>
        <w:t>les de propiedad del municipio, distrito u organismo de acción comunal legalmente constituido</w:t>
      </w:r>
      <w:r w:rsidR="00047374">
        <w:rPr>
          <w:rFonts w:ascii="Geomanist Light" w:eastAsia="Calibri" w:hAnsi="Geomanist Light" w:cs="Arial"/>
          <w:noProof/>
          <w:lang w:val="es-ES_tradnl"/>
        </w:rPr>
        <w:t>.</w:t>
      </w:r>
      <w:r w:rsidR="00B17CEB">
        <w:rPr>
          <w:rFonts w:ascii="Geomanist Light" w:eastAsia="Calibri" w:hAnsi="Geomanist Light" w:cs="Arial"/>
          <w:noProof/>
          <w:lang w:val="es-ES_tradnl"/>
        </w:rPr>
        <w:t xml:space="preserve"> Igualmente, en los bienes sobre los cuales ejerza de manera legal, posesión, goce, uso, tenencia o disfrute del bien a cualquier </w:t>
      </w:r>
      <w:r w:rsidR="00A1232C">
        <w:rPr>
          <w:rFonts w:ascii="Geomanist Light" w:eastAsia="Calibri" w:hAnsi="Geomanist Light" w:cs="Arial"/>
          <w:noProof/>
          <w:lang w:val="es-ES_tradnl"/>
        </w:rPr>
        <w:t>título</w:t>
      </w:r>
      <w:r w:rsidR="00B17CEB">
        <w:rPr>
          <w:rFonts w:ascii="Geomanist Light" w:eastAsia="Calibri" w:hAnsi="Geomanist Light" w:cs="Arial"/>
          <w:noProof/>
          <w:lang w:val="es-ES_tradnl"/>
        </w:rPr>
        <w:t xml:space="preserve">, siempre y cuando no se vaya a interrumpir en el tiempo. Los departamentos podrán con recursos propios realizar las inversiones de los que trata este Artículo mediante reglamentación que para tal efecto se establezca. </w:t>
      </w:r>
    </w:p>
    <w:p w14:paraId="458CA927" w14:textId="548A47FB" w:rsidR="00B17CEB" w:rsidRDefault="00B17CEB" w:rsidP="00F6596F">
      <w:pPr>
        <w:tabs>
          <w:tab w:val="left" w:pos="426"/>
        </w:tabs>
        <w:spacing w:after="0" w:line="276" w:lineRule="auto"/>
        <w:ind w:left="709" w:right="709"/>
        <w:jc w:val="both"/>
        <w:rPr>
          <w:rFonts w:ascii="Geomanist Light" w:eastAsia="Calibri" w:hAnsi="Geomanist Light" w:cs="Arial"/>
          <w:noProof/>
          <w:lang w:val="es-ES_tradnl"/>
        </w:rPr>
      </w:pPr>
      <w:r>
        <w:rPr>
          <w:rFonts w:ascii="Geomanist Light" w:eastAsia="Calibri" w:hAnsi="Geomanist Light" w:cs="Arial"/>
          <w:noProof/>
          <w:lang w:val="es-ES_tradnl"/>
        </w:rPr>
        <w:t>[…]».</w:t>
      </w:r>
    </w:p>
    <w:p w14:paraId="48D67AD8" w14:textId="23847BF1" w:rsidR="004036CE" w:rsidRDefault="00F77A4A" w:rsidP="00B41350">
      <w:pPr>
        <w:tabs>
          <w:tab w:val="left" w:pos="426"/>
        </w:tabs>
        <w:spacing w:before="120" w:after="0" w:line="276" w:lineRule="auto"/>
        <w:jc w:val="both"/>
        <w:rPr>
          <w:rFonts w:ascii="Geomanist Light" w:eastAsia="Calibri" w:hAnsi="Geomanist Light" w:cs="Arial"/>
          <w:noProof/>
          <w:lang w:val="es-ES_tradnl"/>
        </w:rPr>
      </w:pPr>
      <w:r>
        <w:rPr>
          <w:rFonts w:ascii="Geomanist Light" w:eastAsia="Calibri" w:hAnsi="Geomanist Light" w:cs="Arial"/>
          <w:noProof/>
          <w:lang w:val="es-ES_tradnl"/>
        </w:rPr>
        <w:tab/>
      </w:r>
      <w:r w:rsidR="00BB659A">
        <w:rPr>
          <w:rFonts w:ascii="Geomanist Light" w:eastAsia="Calibri" w:hAnsi="Geomanist Light" w:cs="Arial"/>
          <w:noProof/>
          <w:lang w:val="es-ES_tradnl"/>
        </w:rPr>
        <w:t>Según se evidencia</w:t>
      </w:r>
      <w:r w:rsidR="00916C16">
        <w:rPr>
          <w:rFonts w:ascii="Geomanist Light" w:eastAsia="Calibri" w:hAnsi="Geomanist Light" w:cs="Arial"/>
          <w:noProof/>
          <w:lang w:val="es-ES_tradnl"/>
        </w:rPr>
        <w:t>,</w:t>
      </w:r>
      <w:r w:rsidR="00BB659A">
        <w:rPr>
          <w:rFonts w:ascii="Geomanist Light" w:eastAsia="Calibri" w:hAnsi="Geomanist Light" w:cs="Arial"/>
          <w:noProof/>
          <w:lang w:val="es-ES_tradnl"/>
        </w:rPr>
        <w:t xml:space="preserve"> </w:t>
      </w:r>
      <w:r>
        <w:rPr>
          <w:rFonts w:ascii="Geomanist Light" w:eastAsia="Calibri" w:hAnsi="Geomanist Light" w:cs="Arial"/>
          <w:noProof/>
          <w:lang w:val="es-ES_tradnl"/>
        </w:rPr>
        <w:t xml:space="preserve">esta disposición </w:t>
      </w:r>
      <w:r w:rsidR="00916C16">
        <w:rPr>
          <w:rFonts w:ascii="Geomanist Light" w:eastAsia="Calibri" w:hAnsi="Geomanist Light" w:cs="Arial"/>
          <w:noProof/>
          <w:lang w:val="es-ES_tradnl"/>
        </w:rPr>
        <w:t>facultó a</w:t>
      </w:r>
      <w:r w:rsidR="00FD66DC">
        <w:rPr>
          <w:rFonts w:ascii="Geomanist Light" w:eastAsia="Calibri" w:hAnsi="Geomanist Light" w:cs="Arial"/>
          <w:noProof/>
          <w:lang w:val="es-ES_tradnl"/>
        </w:rPr>
        <w:t xml:space="preserve"> </w:t>
      </w:r>
      <w:r>
        <w:rPr>
          <w:rFonts w:ascii="Geomanist Light" w:eastAsia="Calibri" w:hAnsi="Geomanist Light" w:cs="Arial"/>
          <w:noProof/>
          <w:lang w:val="es-ES_tradnl"/>
        </w:rPr>
        <w:t xml:space="preserve">las entidades del orden territorial, bien sean municipios, distritos o departamentos, </w:t>
      </w:r>
      <w:r w:rsidR="00FD66DC">
        <w:rPr>
          <w:rFonts w:ascii="Geomanist Light" w:eastAsia="Calibri" w:hAnsi="Geomanist Light" w:cs="Arial"/>
          <w:noProof/>
          <w:lang w:val="es-ES_tradnl"/>
        </w:rPr>
        <w:t>para</w:t>
      </w:r>
      <w:r>
        <w:rPr>
          <w:rFonts w:ascii="Geomanist Light" w:eastAsia="Calibri" w:hAnsi="Geomanist Light" w:cs="Arial"/>
          <w:noProof/>
          <w:lang w:val="es-ES_tradnl"/>
        </w:rPr>
        <w:t xml:space="preserve"> destinar recursos</w:t>
      </w:r>
      <w:r w:rsidR="006D714F">
        <w:rPr>
          <w:rFonts w:ascii="Geomanist Light" w:eastAsia="Calibri" w:hAnsi="Geomanist Light" w:cs="Arial"/>
          <w:noProof/>
          <w:lang w:val="es-ES_tradnl"/>
        </w:rPr>
        <w:t xml:space="preserve"> con el objeto </w:t>
      </w:r>
      <w:r w:rsidR="008D5FB8">
        <w:rPr>
          <w:rFonts w:ascii="Geomanist Light" w:eastAsia="Calibri" w:hAnsi="Geomanist Light" w:cs="Arial"/>
          <w:noProof/>
          <w:lang w:val="es-ES_tradnl"/>
        </w:rPr>
        <w:t xml:space="preserve">de </w:t>
      </w:r>
      <w:r w:rsidR="007B1FBB">
        <w:rPr>
          <w:rFonts w:ascii="Geomanist Light" w:eastAsia="Calibri" w:hAnsi="Geomanist Light" w:cs="Arial"/>
          <w:noProof/>
          <w:lang w:val="es-ES_tradnl"/>
        </w:rPr>
        <w:t>adecuar</w:t>
      </w:r>
      <w:r w:rsidR="00FD66DC">
        <w:rPr>
          <w:rFonts w:ascii="Geomanist Light" w:eastAsia="Calibri" w:hAnsi="Geomanist Light" w:cs="Arial"/>
          <w:noProof/>
          <w:lang w:val="es-ES_tradnl"/>
        </w:rPr>
        <w:t xml:space="preserve">, </w:t>
      </w:r>
      <w:r w:rsidR="007B1FBB">
        <w:rPr>
          <w:rFonts w:ascii="Geomanist Light" w:eastAsia="Calibri" w:hAnsi="Geomanist Light" w:cs="Arial"/>
          <w:noProof/>
          <w:lang w:val="es-ES_tradnl"/>
        </w:rPr>
        <w:t>construir</w:t>
      </w:r>
      <w:r w:rsidR="00FD66DC">
        <w:rPr>
          <w:rFonts w:ascii="Geomanist Light" w:eastAsia="Calibri" w:hAnsi="Geomanist Light" w:cs="Arial"/>
          <w:noProof/>
          <w:lang w:val="es-ES_tradnl"/>
        </w:rPr>
        <w:t xml:space="preserve"> o mejorar</w:t>
      </w:r>
      <w:r w:rsidR="007B1FBB">
        <w:rPr>
          <w:rFonts w:ascii="Geomanist Light" w:eastAsia="Calibri" w:hAnsi="Geomanist Light" w:cs="Arial"/>
          <w:noProof/>
          <w:lang w:val="es-ES_tradnl"/>
        </w:rPr>
        <w:t xml:space="preserve"> los bienes que</w:t>
      </w:r>
      <w:r w:rsidR="001409DB">
        <w:rPr>
          <w:rFonts w:ascii="Geomanist Light" w:eastAsia="Calibri" w:hAnsi="Geomanist Light" w:cs="Arial"/>
          <w:noProof/>
          <w:lang w:val="es-ES_tradnl"/>
        </w:rPr>
        <w:t xml:space="preserve"> sean de su propiedad</w:t>
      </w:r>
      <w:r w:rsidR="00445461">
        <w:rPr>
          <w:rFonts w:ascii="Geomanist Light" w:eastAsia="Calibri" w:hAnsi="Geomanist Light" w:cs="Arial"/>
          <w:noProof/>
          <w:lang w:val="es-ES_tradnl"/>
        </w:rPr>
        <w:t xml:space="preserve"> </w:t>
      </w:r>
      <w:r w:rsidR="001409DB">
        <w:rPr>
          <w:rFonts w:ascii="Geomanist Light" w:eastAsia="Calibri" w:hAnsi="Geomanist Light" w:cs="Arial"/>
          <w:noProof/>
          <w:lang w:val="es-ES_tradnl"/>
        </w:rPr>
        <w:t>o de los organismos de acción comunal</w:t>
      </w:r>
      <w:r w:rsidR="00027D63">
        <w:rPr>
          <w:rFonts w:ascii="Geomanist Light" w:eastAsia="Calibri" w:hAnsi="Geomanist Light" w:cs="Arial"/>
          <w:noProof/>
          <w:lang w:val="es-ES_tradnl"/>
        </w:rPr>
        <w:t xml:space="preserve"> legalmente constituidos</w:t>
      </w:r>
      <w:r w:rsidR="00E04B14">
        <w:rPr>
          <w:rFonts w:ascii="Geomanist Light" w:eastAsia="Calibri" w:hAnsi="Geomanist Light" w:cs="Arial"/>
          <w:noProof/>
          <w:lang w:val="es-ES_tradnl"/>
        </w:rPr>
        <w:t xml:space="preserve">. Sin embargo, en dicha norma no se estableció </w:t>
      </w:r>
      <w:r w:rsidR="00B42078">
        <w:rPr>
          <w:rFonts w:ascii="Geomanist Light" w:eastAsia="Calibri" w:hAnsi="Geomanist Light" w:cs="Arial"/>
          <w:noProof/>
          <w:lang w:val="es-ES_tradnl"/>
        </w:rPr>
        <w:t>la forma en la que la</w:t>
      </w:r>
      <w:r w:rsidR="00577A19">
        <w:rPr>
          <w:rFonts w:ascii="Geomanist Light" w:eastAsia="Calibri" w:hAnsi="Geomanist Light" w:cs="Arial"/>
          <w:noProof/>
          <w:lang w:val="es-ES_tradnl"/>
        </w:rPr>
        <w:t xml:space="preserve">s </w:t>
      </w:r>
      <w:r w:rsidR="00B42078">
        <w:rPr>
          <w:rFonts w:ascii="Geomanist Light" w:eastAsia="Calibri" w:hAnsi="Geomanist Light" w:cs="Arial"/>
          <w:noProof/>
          <w:lang w:val="es-ES_tradnl"/>
        </w:rPr>
        <w:t>entidades podrían</w:t>
      </w:r>
      <w:r w:rsidR="00577A19">
        <w:rPr>
          <w:rFonts w:ascii="Geomanist Light" w:eastAsia="Calibri" w:hAnsi="Geomanist Light" w:cs="Arial"/>
          <w:noProof/>
          <w:lang w:val="es-ES_tradnl"/>
        </w:rPr>
        <w:t xml:space="preserve"> a disposición de </w:t>
      </w:r>
      <w:r w:rsidR="001436CF">
        <w:rPr>
          <w:rFonts w:ascii="Geomanist Light" w:eastAsia="Calibri" w:hAnsi="Geomanist Light" w:cs="Arial"/>
          <w:noProof/>
          <w:lang w:val="es-ES_tradnl"/>
        </w:rPr>
        <w:t>los organismos de acción comunal los bienes</w:t>
      </w:r>
      <w:r w:rsidR="00FC67D7">
        <w:rPr>
          <w:rFonts w:ascii="Geomanist Light" w:eastAsia="Calibri" w:hAnsi="Geomanist Light" w:cs="Arial"/>
          <w:noProof/>
          <w:lang w:val="es-ES_tradnl"/>
        </w:rPr>
        <w:t xml:space="preserve"> </w:t>
      </w:r>
      <w:r w:rsidR="001436CF">
        <w:rPr>
          <w:rFonts w:ascii="Geomanist Light" w:eastAsia="Calibri" w:hAnsi="Geomanist Light" w:cs="Arial"/>
          <w:noProof/>
          <w:lang w:val="es-ES_tradnl"/>
        </w:rPr>
        <w:t xml:space="preserve">que fuesen </w:t>
      </w:r>
      <w:r w:rsidR="00501FEE">
        <w:rPr>
          <w:rFonts w:ascii="Geomanist Light" w:eastAsia="Calibri" w:hAnsi="Geomanist Light" w:cs="Arial"/>
          <w:noProof/>
          <w:lang w:val="es-ES_tradnl"/>
        </w:rPr>
        <w:t>de su</w:t>
      </w:r>
      <w:r w:rsidR="001436CF">
        <w:rPr>
          <w:rFonts w:ascii="Geomanist Light" w:eastAsia="Calibri" w:hAnsi="Geomanist Light" w:cs="Arial"/>
          <w:noProof/>
          <w:lang w:val="es-ES_tradnl"/>
        </w:rPr>
        <w:t xml:space="preserve"> dominio</w:t>
      </w:r>
      <w:r w:rsidR="00501FEE">
        <w:rPr>
          <w:rFonts w:ascii="Geomanist Light" w:eastAsia="Calibri" w:hAnsi="Geomanist Light" w:cs="Arial"/>
          <w:noProof/>
          <w:lang w:val="es-ES_tradnl"/>
        </w:rPr>
        <w:t>, posesión, goce o tenencia</w:t>
      </w:r>
      <w:r w:rsidR="00FC67D7">
        <w:rPr>
          <w:rFonts w:ascii="Geomanist Light" w:eastAsia="Calibri" w:hAnsi="Geomanist Light" w:cs="Arial"/>
          <w:noProof/>
          <w:lang w:val="es-ES_tradnl"/>
        </w:rPr>
        <w:t>.</w:t>
      </w:r>
    </w:p>
    <w:p w14:paraId="5EDB11CA" w14:textId="0EBA76C0" w:rsidR="003E15F7" w:rsidRDefault="00F671FD" w:rsidP="003E15F7">
      <w:pPr>
        <w:tabs>
          <w:tab w:val="left" w:pos="426"/>
        </w:tabs>
        <w:spacing w:before="120" w:after="0" w:line="276" w:lineRule="auto"/>
        <w:jc w:val="both"/>
        <w:rPr>
          <w:rFonts w:ascii="Geomanist Light" w:eastAsia="Calibri" w:hAnsi="Geomanist Light" w:cs="Arial"/>
          <w:noProof/>
          <w:lang w:val="es-ES_tradnl"/>
        </w:rPr>
      </w:pPr>
      <w:r>
        <w:rPr>
          <w:rFonts w:ascii="Geomanist Light" w:eastAsia="Calibri" w:hAnsi="Geomanist Light" w:cs="Arial"/>
          <w:noProof/>
          <w:lang w:val="es-ES_tradnl"/>
        </w:rPr>
        <w:tab/>
      </w:r>
      <w:r w:rsidR="00920780">
        <w:rPr>
          <w:rFonts w:ascii="Geomanist Light" w:eastAsia="Calibri" w:hAnsi="Geomanist Light" w:cs="Arial"/>
          <w:noProof/>
          <w:lang w:val="es-ES_tradnl"/>
        </w:rPr>
        <w:t xml:space="preserve">En ese orden, </w:t>
      </w:r>
      <w:r w:rsidR="00407C29">
        <w:rPr>
          <w:rFonts w:ascii="Geomanist Light" w:eastAsia="Calibri" w:hAnsi="Geomanist Light" w:cs="Arial"/>
          <w:noProof/>
          <w:lang w:val="es-ES_tradnl"/>
        </w:rPr>
        <w:t xml:space="preserve">de conformidad con </w:t>
      </w:r>
      <w:r w:rsidR="00545AA3">
        <w:rPr>
          <w:rFonts w:ascii="Geomanist Light" w:eastAsia="Calibri" w:hAnsi="Geomanist Light" w:cs="Arial"/>
          <w:noProof/>
          <w:lang w:val="es-ES_tradnl"/>
        </w:rPr>
        <w:t>el criterio hermenéutico</w:t>
      </w:r>
      <w:r w:rsidR="00545AA3" w:rsidRPr="00545AA3">
        <w:rPr>
          <w:rFonts w:ascii="Geomanist Light" w:eastAsia="Calibri" w:hAnsi="Geomanist Light" w:cs="Arial"/>
          <w:noProof/>
          <w:lang w:val="es-ES_tradnl"/>
        </w:rPr>
        <w:t xml:space="preserve"> </w:t>
      </w:r>
      <w:r w:rsidR="00545AA3" w:rsidRPr="00545AA3">
        <w:rPr>
          <w:rStyle w:val="normaltextrun"/>
          <w:rFonts w:ascii="Geomanist Light" w:hAnsi="Geomanist Light"/>
          <w:color w:val="000000"/>
          <w:shd w:val="clear" w:color="auto" w:fill="FFFFFF"/>
        </w:rPr>
        <w:t xml:space="preserve">según el cual </w:t>
      </w:r>
      <w:r w:rsidR="00545AA3" w:rsidRPr="00545AA3">
        <w:rPr>
          <w:rStyle w:val="normaltextrun"/>
          <w:rFonts w:ascii="Geomanist Light" w:hAnsi="Geomanist Light"/>
          <w:b/>
          <w:bCs/>
          <w:i/>
          <w:iCs/>
          <w:color w:val="000000"/>
          <w:shd w:val="clear" w:color="auto" w:fill="FFFFFF"/>
        </w:rPr>
        <w:t>cuando la norma no distingue no le es dable al intérprete hacerlo</w:t>
      </w:r>
      <w:r w:rsidR="00785646" w:rsidRPr="00D0552A">
        <w:rPr>
          <w:rFonts w:ascii="Geomanist Light" w:eastAsia="Times New Roman" w:hAnsi="Geomanist Light" w:cs="Arial"/>
          <w:vertAlign w:val="superscript"/>
          <w:lang w:eastAsia="es-ES_tradnl"/>
        </w:rPr>
        <w:footnoteReference w:id="16"/>
      </w:r>
      <w:r w:rsidR="00785646" w:rsidRPr="00D0552A">
        <w:rPr>
          <w:rFonts w:ascii="Geomanist Light" w:eastAsia="Times New Roman" w:hAnsi="Geomanist Light" w:cs="Arial"/>
          <w:lang w:eastAsia="es-ES_tradnl"/>
        </w:rPr>
        <w:t>.</w:t>
      </w:r>
      <w:r w:rsidR="00FD79CE">
        <w:rPr>
          <w:rFonts w:ascii="Geomanist Light" w:eastAsia="Calibri" w:hAnsi="Geomanist Light" w:cs="Arial"/>
          <w:noProof/>
          <w:lang w:val="es-ES_tradnl"/>
        </w:rPr>
        <w:t>,</w:t>
      </w:r>
      <w:r w:rsidR="00545AA3">
        <w:rPr>
          <w:rStyle w:val="superscript"/>
          <w:rFonts w:ascii="Geomanist Light" w:hAnsi="Geomanist Light"/>
          <w:color w:val="000000"/>
          <w:shd w:val="clear" w:color="auto" w:fill="FFFFFF"/>
          <w:vertAlign w:val="superscript"/>
        </w:rPr>
        <w:t xml:space="preserve"> </w:t>
      </w:r>
      <w:r w:rsidR="00545AA3">
        <w:rPr>
          <w:rFonts w:ascii="Geomanist Light" w:eastAsia="Calibri" w:hAnsi="Geomanist Light" w:cs="Arial"/>
          <w:noProof/>
          <w:lang w:val="es-ES_tradnl"/>
        </w:rPr>
        <w:t xml:space="preserve">esta Agencia no podría determinar </w:t>
      </w:r>
      <w:r w:rsidR="00A641B4">
        <w:rPr>
          <w:rFonts w:ascii="Geomanist Light" w:eastAsia="Calibri" w:hAnsi="Geomanist Light" w:cs="Arial"/>
          <w:noProof/>
          <w:lang w:val="es-ES_tradnl"/>
        </w:rPr>
        <w:t xml:space="preserve">si bajo </w:t>
      </w:r>
      <w:r w:rsidR="009C396A">
        <w:rPr>
          <w:rFonts w:ascii="Geomanist Light" w:eastAsia="Calibri" w:hAnsi="Geomanist Light" w:cs="Arial"/>
          <w:noProof/>
          <w:lang w:val="es-ES_tradnl"/>
        </w:rPr>
        <w:t xml:space="preserve">el </w:t>
      </w:r>
      <w:r w:rsidR="00A641B4">
        <w:rPr>
          <w:rFonts w:ascii="Geomanist Light" w:eastAsia="Calibri" w:hAnsi="Geomanist Light" w:cs="Arial"/>
          <w:noProof/>
          <w:lang w:val="es-ES_tradnl"/>
        </w:rPr>
        <w:t>precepto normativo</w:t>
      </w:r>
      <w:r w:rsidR="009C396A">
        <w:rPr>
          <w:rFonts w:ascii="Geomanist Light" w:eastAsia="Calibri" w:hAnsi="Geomanist Light" w:cs="Arial"/>
          <w:noProof/>
          <w:lang w:val="es-ES_tradnl"/>
        </w:rPr>
        <w:t xml:space="preserve"> estipulado en el artículo 68 de la Ley 2</w:t>
      </w:r>
      <w:r w:rsidR="00590DC7">
        <w:rPr>
          <w:rFonts w:ascii="Geomanist Light" w:eastAsia="Calibri" w:hAnsi="Geomanist Light" w:cs="Arial"/>
          <w:noProof/>
          <w:lang w:val="es-ES_tradnl"/>
        </w:rPr>
        <w:t>166 de 2021,</w:t>
      </w:r>
      <w:r w:rsidR="00A641B4">
        <w:rPr>
          <w:rFonts w:ascii="Geomanist Light" w:eastAsia="Calibri" w:hAnsi="Geomanist Light" w:cs="Arial"/>
          <w:noProof/>
          <w:lang w:val="es-ES_tradnl"/>
        </w:rPr>
        <w:t xml:space="preserve"> las entidades del orden territorial están o no facul</w:t>
      </w:r>
      <w:r w:rsidR="00FD79CE">
        <w:rPr>
          <w:rFonts w:ascii="Geomanist Light" w:eastAsia="Calibri" w:hAnsi="Geomanist Light" w:cs="Arial"/>
          <w:noProof/>
          <w:lang w:val="es-ES_tradnl"/>
        </w:rPr>
        <w:t xml:space="preserve">tadas para </w:t>
      </w:r>
      <w:r w:rsidR="00C12CF8">
        <w:rPr>
          <w:rFonts w:ascii="Geomanist Light" w:eastAsia="Calibri" w:hAnsi="Geomanist Light" w:cs="Arial"/>
          <w:noProof/>
          <w:lang w:val="es-ES_tradnl"/>
        </w:rPr>
        <w:t>donar sus</w:t>
      </w:r>
      <w:r w:rsidR="00FD79CE">
        <w:rPr>
          <w:rFonts w:ascii="Geomanist Light" w:eastAsia="Calibri" w:hAnsi="Geomanist Light" w:cs="Arial"/>
          <w:noProof/>
          <w:lang w:val="es-ES_tradnl"/>
        </w:rPr>
        <w:t xml:space="preserve"> bienes a las juntas de acción comunal</w:t>
      </w:r>
      <w:r w:rsidR="00453F54">
        <w:rPr>
          <w:rFonts w:ascii="Geomanist Light" w:eastAsia="Calibri" w:hAnsi="Geomanist Light" w:cs="Arial"/>
          <w:noProof/>
          <w:lang w:val="es-ES_tradnl"/>
        </w:rPr>
        <w:t>, pue</w:t>
      </w:r>
      <w:r w:rsidR="00E12318">
        <w:rPr>
          <w:rFonts w:ascii="Geomanist Light" w:eastAsia="Calibri" w:hAnsi="Geomanist Light" w:cs="Arial"/>
          <w:noProof/>
          <w:lang w:val="es-ES_tradnl"/>
        </w:rPr>
        <w:t>s este señala aspectos meramente presupuestales</w:t>
      </w:r>
      <w:r w:rsidR="00AC5641">
        <w:rPr>
          <w:rFonts w:ascii="Geomanist Light" w:eastAsia="Calibri" w:hAnsi="Geomanist Light" w:cs="Arial"/>
          <w:noProof/>
          <w:lang w:val="es-ES_tradnl"/>
        </w:rPr>
        <w:t>. De ahí que, sea</w:t>
      </w:r>
      <w:r w:rsidR="00FD79CE">
        <w:rPr>
          <w:rFonts w:ascii="Geomanist Light" w:eastAsia="Calibri" w:hAnsi="Geomanist Light" w:cs="Arial"/>
          <w:noProof/>
          <w:lang w:val="es-ES_tradnl"/>
        </w:rPr>
        <w:t xml:space="preserve"> obligación </w:t>
      </w:r>
      <w:r w:rsidR="00C06E1B">
        <w:rPr>
          <w:rFonts w:ascii="Geomanist Light" w:eastAsia="Calibri" w:hAnsi="Geomanist Light" w:cs="Arial"/>
          <w:noProof/>
          <w:lang w:val="es-ES_tradnl"/>
        </w:rPr>
        <w:t xml:space="preserve">de la entidad territorial que pretende </w:t>
      </w:r>
      <w:r w:rsidR="00D7388E">
        <w:rPr>
          <w:rFonts w:ascii="Geomanist Light" w:eastAsia="Calibri" w:hAnsi="Geomanist Light" w:cs="Arial"/>
          <w:noProof/>
          <w:lang w:val="es-ES_tradnl"/>
        </w:rPr>
        <w:t>efectuar la donación de sus bienes a</w:t>
      </w:r>
      <w:r w:rsidR="00DF2A6F">
        <w:rPr>
          <w:rFonts w:ascii="Geomanist Light" w:eastAsia="Calibri" w:hAnsi="Geomanist Light" w:cs="Arial"/>
          <w:noProof/>
          <w:lang w:val="es-ES_tradnl"/>
        </w:rPr>
        <w:t xml:space="preserve"> un</w:t>
      </w:r>
      <w:r w:rsidR="00D7388E">
        <w:rPr>
          <w:rFonts w:ascii="Geomanist Light" w:eastAsia="Calibri" w:hAnsi="Geomanist Light" w:cs="Arial"/>
          <w:noProof/>
          <w:lang w:val="es-ES_tradnl"/>
        </w:rPr>
        <w:t xml:space="preserve"> organismo de acción comunal, estudiar la </w:t>
      </w:r>
      <w:r w:rsidR="00BB216F">
        <w:rPr>
          <w:rFonts w:ascii="Geomanist Light" w:eastAsia="Calibri" w:hAnsi="Geomanist Light" w:cs="Arial"/>
          <w:noProof/>
          <w:lang w:val="es-ES_tradnl"/>
        </w:rPr>
        <w:t>figura</w:t>
      </w:r>
      <w:r w:rsidR="00D7388E">
        <w:rPr>
          <w:rFonts w:ascii="Geomanist Light" w:eastAsia="Calibri" w:hAnsi="Geomanist Light" w:cs="Arial"/>
          <w:noProof/>
          <w:lang w:val="es-ES_tradnl"/>
        </w:rPr>
        <w:t xml:space="preserve"> jurídica más conveniente para ello. </w:t>
      </w:r>
    </w:p>
    <w:p w14:paraId="21C4362F" w14:textId="2265779B" w:rsidR="002278DC" w:rsidRDefault="00A1300C" w:rsidP="003E15F7">
      <w:pPr>
        <w:tabs>
          <w:tab w:val="left" w:pos="426"/>
        </w:tabs>
        <w:spacing w:before="120" w:after="0" w:line="276" w:lineRule="auto"/>
        <w:jc w:val="both"/>
        <w:rPr>
          <w:rFonts w:ascii="Geomanist Light" w:eastAsia="Calibri" w:hAnsi="Geomanist Light" w:cs="Arial"/>
          <w:noProof/>
          <w:lang w:val="es-ES_tradnl"/>
        </w:rPr>
      </w:pPr>
      <w:r>
        <w:rPr>
          <w:rFonts w:ascii="Geomanist Light" w:eastAsia="Calibri" w:hAnsi="Geomanist Light" w:cs="Arial"/>
          <w:noProof/>
          <w:lang w:val="es-ES_tradnl"/>
        </w:rPr>
        <w:tab/>
        <w:t xml:space="preserve">De igual </w:t>
      </w:r>
      <w:r w:rsidR="00DC273C">
        <w:rPr>
          <w:rFonts w:ascii="Geomanist Light" w:eastAsia="Calibri" w:hAnsi="Geomanist Light" w:cs="Arial"/>
          <w:noProof/>
          <w:lang w:val="es-ES_tradnl"/>
        </w:rPr>
        <w:t xml:space="preserve">forma, </w:t>
      </w:r>
      <w:r w:rsidR="00722175">
        <w:rPr>
          <w:rFonts w:ascii="Geomanist Light" w:eastAsia="Calibri" w:hAnsi="Geomanist Light" w:cs="Arial"/>
          <w:noProof/>
          <w:lang w:val="es-ES_tradnl"/>
        </w:rPr>
        <w:t>resulta</w:t>
      </w:r>
      <w:r w:rsidR="00DC273C">
        <w:rPr>
          <w:rFonts w:ascii="Geomanist Light" w:eastAsia="Calibri" w:hAnsi="Geomanist Light" w:cs="Arial"/>
          <w:noProof/>
          <w:lang w:val="es-ES_tradnl"/>
        </w:rPr>
        <w:t xml:space="preserve"> a bien señalar</w:t>
      </w:r>
      <w:r w:rsidR="001B6E62">
        <w:rPr>
          <w:rFonts w:ascii="Geomanist Light" w:eastAsia="Calibri" w:hAnsi="Geomanist Light" w:cs="Arial"/>
          <w:noProof/>
          <w:lang w:val="es-ES_tradnl"/>
        </w:rPr>
        <w:t xml:space="preserve"> que</w:t>
      </w:r>
      <w:r w:rsidR="00DC273C">
        <w:rPr>
          <w:rFonts w:ascii="Geomanist Light" w:eastAsia="Calibri" w:hAnsi="Geomanist Light" w:cs="Arial"/>
          <w:noProof/>
          <w:lang w:val="es-ES_tradnl"/>
        </w:rPr>
        <w:t xml:space="preserve"> de conformidad con lo dispuesto en el inciso segundo del artículo 355 superior,</w:t>
      </w:r>
      <w:r w:rsidR="006732F3">
        <w:rPr>
          <w:rFonts w:ascii="Geomanist Light" w:eastAsia="Calibri" w:hAnsi="Geomanist Light" w:cs="Arial"/>
          <w:noProof/>
          <w:lang w:val="es-ES_tradnl"/>
        </w:rPr>
        <w:t xml:space="preserve"> las en</w:t>
      </w:r>
      <w:r w:rsidR="00A23B06">
        <w:rPr>
          <w:rFonts w:ascii="Geomanist Light" w:eastAsia="Calibri" w:hAnsi="Geomanist Light" w:cs="Arial"/>
          <w:noProof/>
          <w:lang w:val="es-ES_tradnl"/>
        </w:rPr>
        <w:t xml:space="preserve">tidades públicas del nivel nacional, departamental y municipal, ya se encontraban facultadas presupuestalmente para </w:t>
      </w:r>
      <w:r w:rsidR="000D5E43">
        <w:rPr>
          <w:rFonts w:ascii="Geomanist Light" w:eastAsia="Calibri" w:hAnsi="Geomanist Light" w:cs="Arial"/>
          <w:noProof/>
          <w:lang w:val="es-ES_tradnl"/>
        </w:rPr>
        <w:t xml:space="preserve">impulsar programas y </w:t>
      </w:r>
      <w:r w:rsidR="00A43DB0">
        <w:rPr>
          <w:rFonts w:ascii="Geomanist Light" w:eastAsia="Calibri" w:hAnsi="Geomanist Light" w:cs="Arial"/>
          <w:noProof/>
          <w:lang w:val="es-ES_tradnl"/>
        </w:rPr>
        <w:t>actividades</w:t>
      </w:r>
      <w:r w:rsidR="000D5E43">
        <w:rPr>
          <w:rFonts w:ascii="Geomanist Light" w:eastAsia="Calibri" w:hAnsi="Geomanist Light" w:cs="Arial"/>
          <w:noProof/>
          <w:lang w:val="es-ES_tradnl"/>
        </w:rPr>
        <w:t xml:space="preserve"> de interés público acordes con el Plan Nacional y los planes seccionales de desarrollo mediante</w:t>
      </w:r>
      <w:r w:rsidR="008F13D9">
        <w:rPr>
          <w:rFonts w:ascii="Geomanist Light" w:eastAsia="Calibri" w:hAnsi="Geomanist Light" w:cs="Arial"/>
          <w:noProof/>
          <w:lang w:val="es-ES_tradnl"/>
        </w:rPr>
        <w:t xml:space="preserve"> entidades sin ánimo de lucro, como lo son los organi</w:t>
      </w:r>
      <w:r w:rsidR="00444722">
        <w:rPr>
          <w:rFonts w:ascii="Geomanist Light" w:eastAsia="Calibri" w:hAnsi="Geomanist Light" w:cs="Arial"/>
          <w:noProof/>
          <w:lang w:val="es-ES_tradnl"/>
        </w:rPr>
        <w:t>s</w:t>
      </w:r>
      <w:r w:rsidR="008F13D9">
        <w:rPr>
          <w:rFonts w:ascii="Geomanist Light" w:eastAsia="Calibri" w:hAnsi="Geomanist Light" w:cs="Arial"/>
          <w:noProof/>
          <w:lang w:val="es-ES_tradnl"/>
        </w:rPr>
        <w:t>mos de acción comunal</w:t>
      </w:r>
      <w:r w:rsidR="0028020A">
        <w:rPr>
          <w:rFonts w:ascii="Geomanist Light" w:eastAsia="Calibri" w:hAnsi="Geomanist Light" w:cs="Arial"/>
          <w:noProof/>
          <w:lang w:val="es-ES_tradnl"/>
        </w:rPr>
        <w:t xml:space="preserve"> legalmente constituidos</w:t>
      </w:r>
      <w:r w:rsidR="0010174E">
        <w:rPr>
          <w:rFonts w:ascii="Geomanist Light" w:eastAsia="Calibri" w:hAnsi="Geomanist Light" w:cs="Arial"/>
          <w:noProof/>
          <w:lang w:val="es-ES_tradnl"/>
        </w:rPr>
        <w:t xml:space="preserve">. </w:t>
      </w:r>
      <w:r w:rsidR="002278DC">
        <w:rPr>
          <w:rFonts w:ascii="Geomanist Light" w:eastAsia="Calibri" w:hAnsi="Geomanist Light" w:cs="Arial"/>
          <w:noProof/>
          <w:lang w:val="es-ES_tradnl"/>
        </w:rPr>
        <w:t xml:space="preserve">En </w:t>
      </w:r>
      <w:r w:rsidR="0010174E">
        <w:rPr>
          <w:rFonts w:ascii="Geomanist Light" w:eastAsia="Calibri" w:hAnsi="Geomanist Light" w:cs="Arial"/>
          <w:noProof/>
          <w:lang w:val="es-ES_tradnl"/>
        </w:rPr>
        <w:t>virtud</w:t>
      </w:r>
      <w:r w:rsidR="002278DC">
        <w:rPr>
          <w:rFonts w:ascii="Geomanist Light" w:eastAsia="Calibri" w:hAnsi="Geomanist Light" w:cs="Arial"/>
          <w:noProof/>
          <w:lang w:val="es-ES_tradnl"/>
        </w:rPr>
        <w:t xml:space="preserve"> de lo anterior, se crearon los siguientes regímenes de contratació</w:t>
      </w:r>
      <w:r w:rsidR="0010174E">
        <w:rPr>
          <w:rFonts w:ascii="Geomanist Light" w:eastAsia="Calibri" w:hAnsi="Geomanist Light" w:cs="Arial"/>
          <w:noProof/>
          <w:lang w:val="es-ES_tradnl"/>
        </w:rPr>
        <w:t>n:</w:t>
      </w:r>
      <w:r w:rsidR="002278DC">
        <w:rPr>
          <w:rFonts w:ascii="Geomanist Light" w:eastAsia="Calibri" w:hAnsi="Geomanist Light" w:cs="Arial"/>
          <w:noProof/>
          <w:lang w:val="es-ES_tradnl"/>
        </w:rPr>
        <w:t xml:space="preserve"> </w:t>
      </w:r>
    </w:p>
    <w:p w14:paraId="2B6408F7" w14:textId="5A001C0B" w:rsidR="00010E0C" w:rsidRDefault="00B13054" w:rsidP="003E15F7">
      <w:pPr>
        <w:tabs>
          <w:tab w:val="left" w:pos="426"/>
        </w:tabs>
        <w:spacing w:before="120" w:after="0" w:line="276" w:lineRule="auto"/>
        <w:jc w:val="both"/>
        <w:rPr>
          <w:rFonts w:ascii="Geomanist Light" w:eastAsia="Calibri" w:hAnsi="Geomanist Light" w:cs="Arial"/>
          <w:noProof/>
          <w:lang w:val="es-ES_tradnl"/>
        </w:rPr>
      </w:pPr>
      <w:r>
        <w:rPr>
          <w:rFonts w:ascii="Geomanist Light" w:eastAsia="Calibri" w:hAnsi="Geomanist Light" w:cs="Arial"/>
          <w:noProof/>
          <w:lang w:val="es-ES_tradnl"/>
        </w:rPr>
        <w:tab/>
      </w:r>
      <w:r w:rsidR="00010E0C">
        <w:rPr>
          <w:rFonts w:ascii="Geomanist Light" w:eastAsia="Calibri" w:hAnsi="Geomanist Light" w:cs="Arial"/>
          <w:noProof/>
          <w:lang w:val="es-ES_tradnl"/>
        </w:rPr>
        <w:tab/>
        <w:t xml:space="preserve">El </w:t>
      </w:r>
      <w:r w:rsidR="00010E0C" w:rsidRPr="00010E0C">
        <w:rPr>
          <w:rFonts w:ascii="Geomanist Light" w:eastAsia="Calibri" w:hAnsi="Geomanist Light" w:cs="Arial"/>
          <w:i/>
          <w:iCs/>
          <w:noProof/>
          <w:lang w:val="es-ES_tradnl"/>
        </w:rPr>
        <w:t>primer régimen</w:t>
      </w:r>
      <w:r w:rsidR="00010E0C">
        <w:rPr>
          <w:rFonts w:ascii="Geomanist Light" w:eastAsia="Calibri" w:hAnsi="Geomanist Light" w:cs="Arial"/>
          <w:noProof/>
          <w:lang w:val="es-ES_tradnl"/>
        </w:rPr>
        <w:t xml:space="preserve"> encuentra su fundamento en el parágrafo cuarto del artículo 3 de la Ley 136 de 1994</w:t>
      </w:r>
      <w:r w:rsidR="00BD5360">
        <w:rPr>
          <w:rFonts w:ascii="Geomanist Light" w:eastAsia="Calibri" w:hAnsi="Geomanist Light" w:cs="Arial"/>
          <w:noProof/>
          <w:lang w:val="es-ES_tradnl"/>
        </w:rPr>
        <w:t xml:space="preserve"> </w:t>
      </w:r>
      <w:r w:rsidR="00BD5360" w:rsidRPr="00D905CF">
        <w:rPr>
          <w:rFonts w:ascii="Geomanist Light" w:eastAsia="Calibri" w:hAnsi="Geomanist Light" w:cs="Arial"/>
          <w:i/>
          <w:iCs/>
          <w:noProof/>
          <w:lang w:val="es-ES_tradnl"/>
        </w:rPr>
        <w:t>«Por la cual se dictan normas tendientes a modernizar la organización y el fundamento de los municipios»,</w:t>
      </w:r>
      <w:r w:rsidR="00BD5360">
        <w:rPr>
          <w:rFonts w:ascii="Geomanist Light" w:eastAsia="Calibri" w:hAnsi="Geomanist Light" w:cs="Arial"/>
          <w:noProof/>
          <w:lang w:val="es-ES_tradnl"/>
        </w:rPr>
        <w:t xml:space="preserve"> introdujo un tipo especial de contratación cuyo objetivo consiste en la celebración de convenios solidarios. </w:t>
      </w:r>
      <w:r w:rsidR="00261DA5">
        <w:rPr>
          <w:rFonts w:ascii="Geomanist Light" w:eastAsia="Calibri" w:hAnsi="Geomanist Light" w:cs="Arial"/>
          <w:noProof/>
          <w:lang w:val="es-ES_tradnl"/>
        </w:rPr>
        <w:t>P</w:t>
      </w:r>
      <w:r w:rsidR="00063696">
        <w:rPr>
          <w:rFonts w:ascii="Geomanist Light" w:eastAsia="Calibri" w:hAnsi="Geomanist Light" w:cs="Arial"/>
          <w:noProof/>
          <w:lang w:val="es-ES_tradnl"/>
        </w:rPr>
        <w:t xml:space="preserve">ara la aplicabilidad de este régimen es </w:t>
      </w:r>
      <w:r w:rsidR="00063696">
        <w:rPr>
          <w:rFonts w:ascii="Geomanist Light" w:eastAsia="Calibri" w:hAnsi="Geomanist Light" w:cs="Arial"/>
          <w:noProof/>
          <w:lang w:val="es-ES_tradnl"/>
        </w:rPr>
        <w:lastRenderedPageBreak/>
        <w:t>necesario que concurran los siguientes requisitos: i) que las partes intervinientes sean, por un lado, entes territoriales del orden departa</w:t>
      </w:r>
      <w:r w:rsidR="00B90BA6">
        <w:rPr>
          <w:rFonts w:ascii="Geomanist Light" w:eastAsia="Calibri" w:hAnsi="Geomanist Light" w:cs="Arial"/>
          <w:noProof/>
          <w:lang w:val="es-ES_tradnl"/>
        </w:rPr>
        <w:t>mental o municipal y, por otro</w:t>
      </w:r>
      <w:r w:rsidR="00B210CE">
        <w:rPr>
          <w:rFonts w:ascii="Geomanist Light" w:eastAsia="Calibri" w:hAnsi="Geomanist Light" w:cs="Arial"/>
          <w:noProof/>
          <w:lang w:val="es-ES_tradnl"/>
        </w:rPr>
        <w:t xml:space="preserve"> </w:t>
      </w:r>
      <w:r w:rsidR="00B90BA6">
        <w:rPr>
          <w:rFonts w:ascii="Geomanist Light" w:eastAsia="Calibri" w:hAnsi="Geomanist Light" w:cs="Arial"/>
          <w:noProof/>
          <w:lang w:val="es-ES_tradnl"/>
        </w:rPr>
        <w:t>lado, juntas de acción comunal</w:t>
      </w:r>
      <w:r w:rsidR="00570879">
        <w:rPr>
          <w:rFonts w:ascii="Geomanist Light" w:eastAsia="Calibri" w:hAnsi="Geomanist Light" w:cs="Arial"/>
          <w:noProof/>
          <w:lang w:val="es-ES_tradnl"/>
        </w:rPr>
        <w:t>, ii) que el objeto contractual consista en la ejecución de obras y, iii) que el contrato no supere la mínima cuan</w:t>
      </w:r>
      <w:r w:rsidR="00861221">
        <w:rPr>
          <w:rFonts w:ascii="Geomanist Light" w:eastAsia="Calibri" w:hAnsi="Geomanist Light" w:cs="Arial"/>
          <w:noProof/>
          <w:lang w:val="es-ES_tradnl"/>
        </w:rPr>
        <w:t>tía</w:t>
      </w:r>
      <w:r w:rsidR="005F42B5">
        <w:rPr>
          <w:rFonts w:ascii="Geomanist Light" w:eastAsia="Calibri" w:hAnsi="Geomanist Light" w:cs="Arial"/>
          <w:noProof/>
          <w:lang w:val="es-ES_tradnl"/>
        </w:rPr>
        <w:t>. De concurrir las anteriores circunstancias, la norma autoriza la</w:t>
      </w:r>
      <w:r w:rsidR="00D94CA4">
        <w:rPr>
          <w:rFonts w:ascii="Geomanist Light" w:eastAsia="Calibri" w:hAnsi="Geomanist Light" w:cs="Arial"/>
          <w:noProof/>
          <w:lang w:val="es-ES_tradnl"/>
        </w:rPr>
        <w:t xml:space="preserve"> contratación directa entre la entidad territorial y la res</w:t>
      </w:r>
      <w:r w:rsidR="00765CB4">
        <w:rPr>
          <w:rFonts w:ascii="Geomanist Light" w:eastAsia="Calibri" w:hAnsi="Geomanist Light" w:cs="Arial"/>
          <w:noProof/>
          <w:lang w:val="es-ES_tradnl"/>
        </w:rPr>
        <w:t xml:space="preserve">pectiva junta de acción comunal previamente legalizada y reconocida ante los organismos competentes. </w:t>
      </w:r>
      <w:r w:rsidR="000B2FBA">
        <w:rPr>
          <w:rFonts w:ascii="Geomanist Light" w:eastAsia="Calibri" w:hAnsi="Geomanist Light" w:cs="Arial"/>
          <w:noProof/>
          <w:lang w:val="es-ES_tradnl"/>
        </w:rPr>
        <w:t>En todo caso, esta contratación debe tomar como personal para la ejecución de la obra a los habitantes de la comunidad. Sin embargo, el artículo 95 de la Ley 2166 de 2021 amplió esta subregla.</w:t>
      </w:r>
    </w:p>
    <w:p w14:paraId="25B6CCB3" w14:textId="78AAAF60" w:rsidR="000B2FBA" w:rsidRDefault="000B2FBA" w:rsidP="003E15F7">
      <w:pPr>
        <w:tabs>
          <w:tab w:val="left" w:pos="426"/>
        </w:tabs>
        <w:spacing w:before="120" w:after="0" w:line="276" w:lineRule="auto"/>
        <w:jc w:val="both"/>
        <w:rPr>
          <w:rFonts w:ascii="Geomanist Light" w:eastAsia="Calibri" w:hAnsi="Geomanist Light" w:cs="Arial"/>
          <w:noProof/>
          <w:lang w:val="es-ES_tradnl"/>
        </w:rPr>
      </w:pPr>
      <w:r>
        <w:rPr>
          <w:rFonts w:ascii="Geomanist Light" w:eastAsia="Calibri" w:hAnsi="Geomanist Light" w:cs="Arial"/>
          <w:noProof/>
          <w:lang w:val="es-ES_tradnl"/>
        </w:rPr>
        <w:tab/>
        <w:t xml:space="preserve">Un </w:t>
      </w:r>
      <w:r>
        <w:rPr>
          <w:rFonts w:ascii="Geomanist Light" w:eastAsia="Calibri" w:hAnsi="Geomanist Light" w:cs="Arial"/>
          <w:i/>
          <w:iCs/>
          <w:noProof/>
          <w:lang w:val="es-ES_tradnl"/>
        </w:rPr>
        <w:t xml:space="preserve">segundo régimen </w:t>
      </w:r>
      <w:r>
        <w:rPr>
          <w:rFonts w:ascii="Geomanist Light" w:eastAsia="Calibri" w:hAnsi="Geomanist Light" w:cs="Arial"/>
          <w:noProof/>
          <w:lang w:val="es-ES_tradnl"/>
        </w:rPr>
        <w:t>o modalidad de contratac</w:t>
      </w:r>
      <w:r w:rsidR="003A6A33">
        <w:rPr>
          <w:rFonts w:ascii="Geomanist Light" w:eastAsia="Calibri" w:hAnsi="Geomanist Light" w:cs="Arial"/>
          <w:noProof/>
          <w:lang w:val="es-ES_tradnl"/>
        </w:rPr>
        <w:t>i</w:t>
      </w:r>
      <w:r>
        <w:rPr>
          <w:rFonts w:ascii="Geomanist Light" w:eastAsia="Calibri" w:hAnsi="Geomanist Light" w:cs="Arial"/>
          <w:noProof/>
          <w:lang w:val="es-ES_tradnl"/>
        </w:rPr>
        <w:t>ón</w:t>
      </w:r>
      <w:r w:rsidR="006119D8">
        <w:rPr>
          <w:rFonts w:ascii="Geomanist Light" w:eastAsia="Calibri" w:hAnsi="Geomanist Light" w:cs="Arial"/>
          <w:noProof/>
          <w:lang w:val="es-ES_tradnl"/>
        </w:rPr>
        <w:t>,</w:t>
      </w:r>
      <w:r>
        <w:rPr>
          <w:rFonts w:ascii="Geomanist Light" w:eastAsia="Calibri" w:hAnsi="Geomanist Light" w:cs="Arial"/>
          <w:noProof/>
          <w:lang w:val="es-ES_tradnl"/>
        </w:rPr>
        <w:t xml:space="preserve"> se encuentra en el Decreto 092 de 2017, exceptuando lo consignado en su artículo 5, pues versa sobre </w:t>
      </w:r>
      <w:r w:rsidR="00C61017">
        <w:rPr>
          <w:rFonts w:ascii="Geomanist Light" w:eastAsia="Calibri" w:hAnsi="Geomanist Light" w:cs="Arial"/>
          <w:noProof/>
          <w:lang w:val="es-ES_tradnl"/>
        </w:rPr>
        <w:t xml:space="preserve">convenios de asociación. Este Decreto desarrolla, en términos generales, la contratación </w:t>
      </w:r>
      <w:r w:rsidR="00916024">
        <w:rPr>
          <w:rFonts w:ascii="Geomanist Light" w:eastAsia="Calibri" w:hAnsi="Geomanist Light" w:cs="Arial"/>
          <w:noProof/>
          <w:lang w:val="es-ES_tradnl"/>
        </w:rPr>
        <w:t>autorizada por el artículo 355 de la Constitución Política, la cual, en concordancia con el numeral 16 y el parágrafo tercero</w:t>
      </w:r>
      <w:r w:rsidR="006119D8">
        <w:rPr>
          <w:rFonts w:ascii="Geomanist Light" w:eastAsia="Calibri" w:hAnsi="Geomanist Light" w:cs="Arial"/>
          <w:noProof/>
          <w:lang w:val="es-ES_tradnl"/>
        </w:rPr>
        <w:t xml:space="preserve"> </w:t>
      </w:r>
      <w:r w:rsidR="00916024">
        <w:rPr>
          <w:rFonts w:ascii="Geomanist Light" w:eastAsia="Calibri" w:hAnsi="Geomanist Light" w:cs="Arial"/>
          <w:noProof/>
          <w:lang w:val="es-ES_tradnl"/>
        </w:rPr>
        <w:t>del artículo 3 de la Ley 136 de 1994, puede manifestarse a través de convenios so</w:t>
      </w:r>
      <w:r w:rsidR="009B439B">
        <w:rPr>
          <w:rFonts w:ascii="Geomanist Light" w:eastAsia="Calibri" w:hAnsi="Geomanist Light" w:cs="Arial"/>
          <w:noProof/>
          <w:lang w:val="es-ES_tradnl"/>
        </w:rPr>
        <w:t>lidari</w:t>
      </w:r>
      <w:r w:rsidR="005B78E4">
        <w:rPr>
          <w:rFonts w:ascii="Geomanist Light" w:eastAsia="Calibri" w:hAnsi="Geomanist Light" w:cs="Arial"/>
          <w:noProof/>
          <w:lang w:val="es-ES_tradnl"/>
        </w:rPr>
        <w:t>o</w:t>
      </w:r>
      <w:r w:rsidR="009B439B">
        <w:rPr>
          <w:rFonts w:ascii="Geomanist Light" w:eastAsia="Calibri" w:hAnsi="Geomanist Light" w:cs="Arial"/>
          <w:noProof/>
          <w:lang w:val="es-ES_tradnl"/>
        </w:rPr>
        <w:t>s.</w:t>
      </w:r>
    </w:p>
    <w:p w14:paraId="13E830E4" w14:textId="70CF7BA2" w:rsidR="009B439B" w:rsidRDefault="009B439B" w:rsidP="003E15F7">
      <w:pPr>
        <w:tabs>
          <w:tab w:val="left" w:pos="426"/>
        </w:tabs>
        <w:spacing w:before="120" w:after="0" w:line="276" w:lineRule="auto"/>
        <w:jc w:val="both"/>
        <w:rPr>
          <w:rFonts w:ascii="Geomanist Light" w:eastAsia="Times New Roman" w:hAnsi="Geomanist Light" w:cs="Arial"/>
          <w:color w:val="000000"/>
          <w:szCs w:val="24"/>
          <w:lang w:val="es-ES" w:eastAsia="es-ES_tradnl"/>
        </w:rPr>
      </w:pPr>
      <w:r>
        <w:rPr>
          <w:rFonts w:ascii="Geomanist Light" w:eastAsia="Calibri" w:hAnsi="Geomanist Light" w:cs="Arial"/>
          <w:noProof/>
          <w:lang w:val="es-ES_tradnl"/>
        </w:rPr>
        <w:tab/>
        <w:t>En ese sentido, el régimen especial y</w:t>
      </w:r>
      <w:r w:rsidR="001C7AC9">
        <w:rPr>
          <w:rFonts w:ascii="Geomanist Light" w:eastAsia="Calibri" w:hAnsi="Geomanist Light" w:cs="Arial"/>
          <w:noProof/>
          <w:lang w:val="es-ES_tradnl"/>
        </w:rPr>
        <w:t xml:space="preserve"> preferente previsto en el Decreto 092 de 2017 para la celebración de convenios solidarios</w:t>
      </w:r>
      <w:r w:rsidR="00C46AEA">
        <w:rPr>
          <w:rFonts w:ascii="Geomanist Light" w:eastAsia="Calibri" w:hAnsi="Geomanist Light" w:cs="Arial"/>
          <w:noProof/>
          <w:lang w:val="es-ES_tradnl"/>
        </w:rPr>
        <w:t>, será aplicable cuando se reúnan los siguientes requisitos: i) que las partes intervinientes sean, de un lado, entidades territoriales del orde</w:t>
      </w:r>
      <w:r w:rsidR="008C40D8">
        <w:rPr>
          <w:rFonts w:ascii="Geomanist Light" w:eastAsia="Calibri" w:hAnsi="Geomanist Light" w:cs="Arial"/>
          <w:noProof/>
          <w:lang w:val="es-ES_tradnl"/>
        </w:rPr>
        <w:t xml:space="preserve">n nacional, departamental, distrital o municipal y, de otro, organismos de acción comunal de reconocida </w:t>
      </w:r>
      <w:r w:rsidR="008C40D8" w:rsidRPr="008C1683">
        <w:rPr>
          <w:rFonts w:ascii="Geomanist Light" w:eastAsia="Calibri" w:hAnsi="Geomanist Light" w:cs="Arial"/>
          <w:noProof/>
          <w:lang w:val="es-ES_tradnl"/>
        </w:rPr>
        <w:t>idoneidad</w:t>
      </w:r>
      <w:r w:rsidR="008C1683" w:rsidRPr="008C1683">
        <w:rPr>
          <w:rFonts w:ascii="Geomanist Light" w:eastAsia="Times New Roman" w:hAnsi="Geomanist Light" w:cs="Arial"/>
          <w:color w:val="000000"/>
          <w:szCs w:val="24"/>
          <w:vertAlign w:val="superscript"/>
          <w:lang w:val="es-ES" w:eastAsia="es-ES_tradnl"/>
        </w:rPr>
        <w:footnoteReference w:id="17"/>
      </w:r>
      <w:r w:rsidR="008C1683" w:rsidRPr="008C1683">
        <w:rPr>
          <w:rFonts w:ascii="Geomanist Light" w:eastAsia="Times New Roman" w:hAnsi="Geomanist Light" w:cs="Arial"/>
          <w:color w:val="000000"/>
          <w:szCs w:val="24"/>
          <w:lang w:val="es-ES" w:eastAsia="es-ES_tradnl"/>
        </w:rPr>
        <w:t>;</w:t>
      </w:r>
      <w:r w:rsidR="008C1683">
        <w:rPr>
          <w:rFonts w:ascii="Geomanist Light" w:eastAsia="Times New Roman" w:hAnsi="Geomanist Light" w:cs="Arial"/>
          <w:color w:val="000000"/>
          <w:szCs w:val="24"/>
          <w:lang w:val="es-ES" w:eastAsia="es-ES_tradnl"/>
        </w:rPr>
        <w:t xml:space="preserve"> </w:t>
      </w:r>
      <w:proofErr w:type="spellStart"/>
      <w:r w:rsidR="008C1683">
        <w:rPr>
          <w:rFonts w:ascii="Geomanist Light" w:eastAsia="Times New Roman" w:hAnsi="Geomanist Light" w:cs="Arial"/>
          <w:color w:val="000000"/>
          <w:szCs w:val="24"/>
          <w:lang w:val="es-ES" w:eastAsia="es-ES_tradnl"/>
        </w:rPr>
        <w:t>ii</w:t>
      </w:r>
      <w:proofErr w:type="spellEnd"/>
      <w:r w:rsidR="008C1683">
        <w:rPr>
          <w:rFonts w:ascii="Geomanist Light" w:eastAsia="Times New Roman" w:hAnsi="Geomanist Light" w:cs="Arial"/>
          <w:color w:val="000000"/>
          <w:szCs w:val="24"/>
          <w:lang w:val="es-ES" w:eastAsia="es-ES_tradnl"/>
        </w:rPr>
        <w:t>) que el objeto del contrato esté dirigido al impulso</w:t>
      </w:r>
      <w:r w:rsidR="00490FF2">
        <w:rPr>
          <w:rFonts w:ascii="Geomanist Light" w:eastAsia="Times New Roman" w:hAnsi="Geomanist Light" w:cs="Arial"/>
          <w:color w:val="000000"/>
          <w:szCs w:val="24"/>
          <w:lang w:val="es-ES" w:eastAsia="es-ES_tradnl"/>
        </w:rPr>
        <w:t xml:space="preserve"> de programas y actividades de interés público acordes con el plan de desarrollo aplicable de acuerdo con el nivel de la entidad estatal, </w:t>
      </w:r>
      <w:proofErr w:type="spellStart"/>
      <w:r w:rsidR="00490FF2">
        <w:rPr>
          <w:rFonts w:ascii="Geomanist Light" w:eastAsia="Times New Roman" w:hAnsi="Geomanist Light" w:cs="Arial"/>
          <w:color w:val="000000"/>
          <w:szCs w:val="24"/>
          <w:lang w:val="es-ES" w:eastAsia="es-ES_tradnl"/>
        </w:rPr>
        <w:t>iii</w:t>
      </w:r>
      <w:proofErr w:type="spellEnd"/>
      <w:r w:rsidR="00490FF2">
        <w:rPr>
          <w:rFonts w:ascii="Geomanist Light" w:eastAsia="Times New Roman" w:hAnsi="Geomanist Light" w:cs="Arial"/>
          <w:color w:val="000000"/>
          <w:szCs w:val="24"/>
          <w:lang w:val="es-ES" w:eastAsia="es-ES_tradnl"/>
        </w:rPr>
        <w:t xml:space="preserve">) que el contrato, independientemente de su cuantía, no </w:t>
      </w:r>
      <w:r w:rsidR="00A15736">
        <w:rPr>
          <w:rFonts w:ascii="Geomanist Light" w:eastAsia="Times New Roman" w:hAnsi="Geomanist Light" w:cs="Arial"/>
          <w:color w:val="000000"/>
          <w:szCs w:val="24"/>
          <w:lang w:val="es-ES" w:eastAsia="es-ES_tradnl"/>
        </w:rPr>
        <w:t>refleje relaciones conmutativas o sinalagmáticas que impliquen contraprestaciones para la entidad del Estado. De esta manera, el contrato</w:t>
      </w:r>
      <w:r w:rsidR="00940A52">
        <w:rPr>
          <w:rFonts w:ascii="Geomanist Light" w:eastAsia="Times New Roman" w:hAnsi="Geomanist Light" w:cs="Arial"/>
          <w:color w:val="000000"/>
          <w:szCs w:val="24"/>
          <w:lang w:val="es-ES" w:eastAsia="es-ES_tradnl"/>
        </w:rPr>
        <w:t xml:space="preserve"> no debe generar relaciones recíprocas </w:t>
      </w:r>
      <w:r w:rsidR="00867520">
        <w:rPr>
          <w:rFonts w:ascii="Geomanist Light" w:eastAsia="Times New Roman" w:hAnsi="Geomanist Light" w:cs="Arial"/>
          <w:color w:val="000000"/>
          <w:szCs w:val="24"/>
          <w:lang w:val="es-ES" w:eastAsia="es-ES_tradnl"/>
        </w:rPr>
        <w:t>en favor de las partes intervinientes, pero, sobre todo, prestaciones que favorezca</w:t>
      </w:r>
      <w:r w:rsidR="00BD7985">
        <w:rPr>
          <w:rFonts w:ascii="Geomanist Light" w:eastAsia="Times New Roman" w:hAnsi="Geomanist Light" w:cs="Arial"/>
          <w:color w:val="000000"/>
          <w:szCs w:val="24"/>
          <w:lang w:val="es-ES" w:eastAsia="es-ES_tradnl"/>
        </w:rPr>
        <w:t xml:space="preserve">n a la entidad estatal y, </w:t>
      </w:r>
      <w:proofErr w:type="spellStart"/>
      <w:r w:rsidR="00BD7985">
        <w:rPr>
          <w:rFonts w:ascii="Geomanist Light" w:eastAsia="Times New Roman" w:hAnsi="Geomanist Light" w:cs="Arial"/>
          <w:color w:val="000000"/>
          <w:szCs w:val="24"/>
          <w:lang w:val="es-ES" w:eastAsia="es-ES_tradnl"/>
        </w:rPr>
        <w:t>iv</w:t>
      </w:r>
      <w:proofErr w:type="spellEnd"/>
      <w:r w:rsidR="00BD7985">
        <w:rPr>
          <w:rFonts w:ascii="Geomanist Light" w:eastAsia="Times New Roman" w:hAnsi="Geomanist Light" w:cs="Arial"/>
          <w:color w:val="000000"/>
          <w:szCs w:val="24"/>
          <w:lang w:val="es-ES" w:eastAsia="es-ES_tradnl"/>
        </w:rPr>
        <w:t>) que la entidad del Estado no imparta instrucciones precisas para la ejecución del objeto convenido.</w:t>
      </w:r>
    </w:p>
    <w:p w14:paraId="252A5CE7" w14:textId="7A74D59A" w:rsidR="007137DB" w:rsidRDefault="007137DB" w:rsidP="007137DB">
      <w:pPr>
        <w:widowControl w:val="0"/>
        <w:autoSpaceDE w:val="0"/>
        <w:autoSpaceDN w:val="0"/>
        <w:spacing w:before="120" w:after="0" w:line="276" w:lineRule="auto"/>
        <w:ind w:left="118" w:right="256" w:firstLine="708"/>
        <w:jc w:val="both"/>
        <w:rPr>
          <w:rFonts w:ascii="Geomanist Light" w:eastAsia="Arial MT" w:hAnsi="Geomanist Light" w:cs="Arial MT"/>
          <w:lang w:val="es-ES"/>
        </w:rPr>
      </w:pPr>
      <w:r w:rsidRPr="007137DB">
        <w:rPr>
          <w:rFonts w:ascii="Geomanist Light" w:eastAsia="Arial MT" w:hAnsi="Geomanist Light" w:cs="Arial MT"/>
          <w:lang w:val="es-ES"/>
        </w:rPr>
        <w:t>En ese sentido, el régimen especial y preferente previsto en el Decreto 092 de 2017 para</w:t>
      </w:r>
      <w:r w:rsidRPr="007137DB">
        <w:rPr>
          <w:rFonts w:ascii="Geomanist Light" w:eastAsia="Arial MT" w:hAnsi="Geomanist Light" w:cs="Arial MT"/>
          <w:spacing w:val="-60"/>
          <w:lang w:val="es-ES"/>
        </w:rPr>
        <w:t xml:space="preserve"> </w:t>
      </w:r>
      <w:r w:rsidRPr="007137DB">
        <w:rPr>
          <w:rFonts w:ascii="Geomanist Light" w:eastAsia="Arial MT" w:hAnsi="Geomanist Light" w:cs="Arial MT"/>
          <w:lang w:val="es-ES"/>
        </w:rPr>
        <w:t>la</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celebración</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de</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convenios</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solidarios,</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será</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aplicable</w:t>
      </w:r>
      <w:r w:rsidRPr="007137DB">
        <w:rPr>
          <w:rFonts w:ascii="Geomanist Light" w:eastAsia="Arial MT" w:hAnsi="Geomanist Light" w:cs="Arial MT"/>
          <w:spacing w:val="-6"/>
          <w:lang w:val="es-ES"/>
        </w:rPr>
        <w:t xml:space="preserve"> </w:t>
      </w:r>
      <w:r w:rsidRPr="007137DB">
        <w:rPr>
          <w:rFonts w:ascii="Geomanist Light" w:eastAsia="Arial MT" w:hAnsi="Geomanist Light" w:cs="Arial MT"/>
          <w:lang w:val="es-ES"/>
        </w:rPr>
        <w:t>cuando</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se</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reúnan</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los</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siguientes</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requisitos: i) que las partes intervinientes sean, de un lado, entidades territoriales del orden nacional,</w:t>
      </w:r>
      <w:r w:rsidRPr="007137DB">
        <w:rPr>
          <w:rFonts w:ascii="Geomanist Light" w:eastAsia="Arial MT" w:hAnsi="Geomanist Light" w:cs="Arial MT"/>
          <w:spacing w:val="1"/>
          <w:lang w:val="es-ES"/>
        </w:rPr>
        <w:t xml:space="preserve"> </w:t>
      </w:r>
      <w:r w:rsidRPr="007137DB">
        <w:rPr>
          <w:rFonts w:ascii="Geomanist Light" w:eastAsia="Arial MT" w:hAnsi="Geomanist Light" w:cs="Arial MT"/>
          <w:lang w:val="es-ES"/>
        </w:rPr>
        <w:t>departamental, distrital o municipal y, de otro, organismos de acción comunal de reconocida</w:t>
      </w:r>
      <w:r w:rsidRPr="007137DB">
        <w:rPr>
          <w:rFonts w:ascii="Geomanist Light" w:eastAsia="Arial MT" w:hAnsi="Geomanist Light" w:cs="Arial MT"/>
          <w:spacing w:val="1"/>
          <w:lang w:val="es-ES"/>
        </w:rPr>
        <w:t xml:space="preserve"> </w:t>
      </w:r>
      <w:r w:rsidRPr="007137DB">
        <w:rPr>
          <w:rFonts w:ascii="Geomanist Light" w:eastAsia="Arial MT" w:hAnsi="Geomanist Light" w:cs="Arial MT"/>
          <w:lang w:val="es-ES"/>
        </w:rPr>
        <w:t>idoneidad</w:t>
      </w:r>
      <w:r w:rsidRPr="007137DB">
        <w:rPr>
          <w:rFonts w:ascii="Geomanist Light" w:eastAsia="Arial MT" w:hAnsi="Geomanist Light" w:cs="Arial MT"/>
          <w:vertAlign w:val="superscript"/>
          <w:lang w:val="es-ES"/>
        </w:rPr>
        <w:t>18</w:t>
      </w:r>
      <w:r w:rsidRPr="007137DB">
        <w:rPr>
          <w:rFonts w:ascii="Geomanist Light" w:eastAsia="Arial MT" w:hAnsi="Geomanist Light" w:cs="Arial MT"/>
          <w:lang w:val="es-ES"/>
        </w:rPr>
        <w:t xml:space="preserve">; </w:t>
      </w:r>
      <w:proofErr w:type="spellStart"/>
      <w:r w:rsidRPr="007137DB">
        <w:rPr>
          <w:rFonts w:ascii="Geomanist Light" w:eastAsia="Arial MT" w:hAnsi="Geomanist Light" w:cs="Arial MT"/>
          <w:lang w:val="es-ES"/>
        </w:rPr>
        <w:t>ii</w:t>
      </w:r>
      <w:proofErr w:type="spellEnd"/>
      <w:r w:rsidRPr="007137DB">
        <w:rPr>
          <w:rFonts w:ascii="Geomanist Light" w:eastAsia="Arial MT" w:hAnsi="Geomanist Light" w:cs="Arial MT"/>
          <w:lang w:val="es-ES"/>
        </w:rPr>
        <w:t>) que el objeto del contrato esté dirigido al impulso de programas y actividades de</w:t>
      </w:r>
      <w:r w:rsidRPr="007137DB">
        <w:rPr>
          <w:rFonts w:ascii="Geomanist Light" w:eastAsia="Arial MT" w:hAnsi="Geomanist Light" w:cs="Arial MT"/>
          <w:spacing w:val="1"/>
          <w:lang w:val="es-ES"/>
        </w:rPr>
        <w:t xml:space="preserve"> </w:t>
      </w:r>
      <w:r w:rsidRPr="007137DB">
        <w:rPr>
          <w:rFonts w:ascii="Geomanist Light" w:eastAsia="Arial MT" w:hAnsi="Geomanist Light" w:cs="Arial MT"/>
          <w:lang w:val="es-ES"/>
        </w:rPr>
        <w:t>interés público acordes con el plan de desarrollo aplicable de acuerdo con el nivel de la entidad</w:t>
      </w:r>
      <w:r w:rsidRPr="007137DB">
        <w:rPr>
          <w:rFonts w:ascii="Geomanist Light" w:eastAsia="Arial MT" w:hAnsi="Geomanist Light" w:cs="Arial MT"/>
          <w:spacing w:val="1"/>
          <w:lang w:val="es-ES"/>
        </w:rPr>
        <w:t xml:space="preserve"> </w:t>
      </w:r>
      <w:r w:rsidRPr="007137DB">
        <w:rPr>
          <w:rFonts w:ascii="Geomanist Light" w:eastAsia="Arial MT" w:hAnsi="Geomanist Light" w:cs="Arial MT"/>
          <w:lang w:val="es-ES"/>
        </w:rPr>
        <w:t>estatal,</w:t>
      </w:r>
      <w:r w:rsidRPr="007137DB">
        <w:rPr>
          <w:rFonts w:ascii="Geomanist Light" w:eastAsia="Arial MT" w:hAnsi="Geomanist Light" w:cs="Arial MT"/>
          <w:spacing w:val="-7"/>
          <w:lang w:val="es-ES"/>
        </w:rPr>
        <w:t xml:space="preserve"> </w:t>
      </w:r>
      <w:proofErr w:type="spellStart"/>
      <w:r w:rsidRPr="007137DB">
        <w:rPr>
          <w:rFonts w:ascii="Geomanist Light" w:eastAsia="Arial MT" w:hAnsi="Geomanist Light" w:cs="Arial MT"/>
          <w:lang w:val="es-ES"/>
        </w:rPr>
        <w:t>iii</w:t>
      </w:r>
      <w:proofErr w:type="spellEnd"/>
      <w:r w:rsidRPr="007137DB">
        <w:rPr>
          <w:rFonts w:ascii="Geomanist Light" w:eastAsia="Arial MT" w:hAnsi="Geomanist Light" w:cs="Arial MT"/>
          <w:lang w:val="es-ES"/>
        </w:rPr>
        <w:t>)</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que</w:t>
      </w:r>
      <w:r w:rsidRPr="007137DB">
        <w:rPr>
          <w:rFonts w:ascii="Geomanist Light" w:eastAsia="Arial MT" w:hAnsi="Geomanist Light" w:cs="Arial MT"/>
          <w:spacing w:val="-8"/>
          <w:lang w:val="es-ES"/>
        </w:rPr>
        <w:t xml:space="preserve"> </w:t>
      </w:r>
      <w:r w:rsidRPr="007137DB">
        <w:rPr>
          <w:rFonts w:ascii="Geomanist Light" w:eastAsia="Arial MT" w:hAnsi="Geomanist Light" w:cs="Arial MT"/>
          <w:lang w:val="es-ES"/>
        </w:rPr>
        <w:t>el</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contrato,</w:t>
      </w:r>
      <w:r w:rsidRPr="007137DB">
        <w:rPr>
          <w:rFonts w:ascii="Geomanist Light" w:eastAsia="Arial MT" w:hAnsi="Geomanist Light" w:cs="Arial MT"/>
          <w:spacing w:val="-8"/>
          <w:lang w:val="es-ES"/>
        </w:rPr>
        <w:t xml:space="preserve"> </w:t>
      </w:r>
      <w:r w:rsidRPr="007137DB">
        <w:rPr>
          <w:rFonts w:ascii="Geomanist Light" w:eastAsia="Arial MT" w:hAnsi="Geomanist Light" w:cs="Arial MT"/>
          <w:lang w:val="es-ES"/>
        </w:rPr>
        <w:t>independientemente</w:t>
      </w:r>
      <w:r w:rsidRPr="007137DB">
        <w:rPr>
          <w:rFonts w:ascii="Geomanist Light" w:eastAsia="Arial MT" w:hAnsi="Geomanist Light" w:cs="Arial MT"/>
          <w:spacing w:val="-6"/>
          <w:lang w:val="es-ES"/>
        </w:rPr>
        <w:t xml:space="preserve"> </w:t>
      </w:r>
      <w:r w:rsidRPr="007137DB">
        <w:rPr>
          <w:rFonts w:ascii="Geomanist Light" w:eastAsia="Arial MT" w:hAnsi="Geomanist Light" w:cs="Arial MT"/>
          <w:lang w:val="es-ES"/>
        </w:rPr>
        <w:t>de</w:t>
      </w:r>
      <w:r w:rsidRPr="007137DB">
        <w:rPr>
          <w:rFonts w:ascii="Geomanist Light" w:eastAsia="Arial MT" w:hAnsi="Geomanist Light" w:cs="Arial MT"/>
          <w:spacing w:val="-8"/>
          <w:lang w:val="es-ES"/>
        </w:rPr>
        <w:t xml:space="preserve"> </w:t>
      </w:r>
      <w:r w:rsidRPr="007137DB">
        <w:rPr>
          <w:rFonts w:ascii="Geomanist Light" w:eastAsia="Arial MT" w:hAnsi="Geomanist Light" w:cs="Arial MT"/>
          <w:lang w:val="es-ES"/>
        </w:rPr>
        <w:t>su</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cuantía,</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no</w:t>
      </w:r>
      <w:r w:rsidRPr="007137DB">
        <w:rPr>
          <w:rFonts w:ascii="Geomanist Light" w:eastAsia="Arial MT" w:hAnsi="Geomanist Light" w:cs="Arial MT"/>
          <w:spacing w:val="-8"/>
          <w:lang w:val="es-ES"/>
        </w:rPr>
        <w:t xml:space="preserve"> </w:t>
      </w:r>
      <w:r w:rsidRPr="007137DB">
        <w:rPr>
          <w:rFonts w:ascii="Geomanist Light" w:eastAsia="Arial MT" w:hAnsi="Geomanist Light" w:cs="Arial MT"/>
          <w:lang w:val="es-ES"/>
        </w:rPr>
        <w:t>refleje</w:t>
      </w:r>
      <w:r w:rsidRPr="007137DB">
        <w:rPr>
          <w:rFonts w:ascii="Geomanist Light" w:eastAsia="Arial MT" w:hAnsi="Geomanist Light" w:cs="Arial MT"/>
          <w:spacing w:val="-7"/>
          <w:lang w:val="es-ES"/>
        </w:rPr>
        <w:t xml:space="preserve"> </w:t>
      </w:r>
      <w:r w:rsidRPr="007137DB">
        <w:rPr>
          <w:rFonts w:ascii="Geomanist Light" w:eastAsia="Arial MT" w:hAnsi="Geomanist Light" w:cs="Arial MT"/>
          <w:lang w:val="es-ES"/>
        </w:rPr>
        <w:t>relaciones</w:t>
      </w:r>
      <w:r w:rsidRPr="007137DB">
        <w:rPr>
          <w:rFonts w:ascii="Geomanist Light" w:eastAsia="Arial MT" w:hAnsi="Geomanist Light" w:cs="Arial MT"/>
          <w:spacing w:val="-8"/>
          <w:lang w:val="es-ES"/>
        </w:rPr>
        <w:t xml:space="preserve"> </w:t>
      </w:r>
      <w:r w:rsidRPr="007137DB">
        <w:rPr>
          <w:rFonts w:ascii="Geomanist Light" w:eastAsia="Arial MT" w:hAnsi="Geomanist Light" w:cs="Arial MT"/>
          <w:lang w:val="es-ES"/>
        </w:rPr>
        <w:t>conmutativas</w:t>
      </w:r>
      <w:r w:rsidRPr="007137DB">
        <w:rPr>
          <w:rFonts w:ascii="Geomanist Light" w:eastAsia="Arial MT" w:hAnsi="Geomanist Light" w:cs="Arial MT"/>
          <w:spacing w:val="-58"/>
          <w:lang w:val="es-ES"/>
        </w:rPr>
        <w:t xml:space="preserve"> </w:t>
      </w:r>
      <w:r w:rsidRPr="007137DB">
        <w:rPr>
          <w:rFonts w:ascii="Geomanist Light" w:eastAsia="Arial MT" w:hAnsi="Geomanist Light" w:cs="Arial MT"/>
          <w:lang w:val="es-ES"/>
        </w:rPr>
        <w:t>o sinalagmáticas que impliquen contraprestaciones para la entidad del Estado. De esta manera,</w:t>
      </w:r>
      <w:r w:rsidRPr="007137DB">
        <w:rPr>
          <w:rFonts w:ascii="Geomanist Light" w:eastAsia="Arial MT" w:hAnsi="Geomanist Light" w:cs="Arial MT"/>
          <w:spacing w:val="-59"/>
          <w:lang w:val="es-ES"/>
        </w:rPr>
        <w:t xml:space="preserve"> </w:t>
      </w:r>
      <w:r w:rsidRPr="007137DB">
        <w:rPr>
          <w:rFonts w:ascii="Geomanist Light" w:eastAsia="Arial MT" w:hAnsi="Geomanist Light" w:cs="Arial MT"/>
          <w:lang w:val="es-ES"/>
        </w:rPr>
        <w:t xml:space="preserve">el contrato </w:t>
      </w:r>
      <w:r w:rsidRPr="007137DB">
        <w:rPr>
          <w:rFonts w:ascii="Geomanist Light" w:eastAsia="Arial MT" w:hAnsi="Geomanist Light" w:cs="Arial MT"/>
          <w:lang w:val="es-ES"/>
        </w:rPr>
        <w:lastRenderedPageBreak/>
        <w:t>no debe generar relaciones recíprocas en favor de las partes intervinientes, pero,</w:t>
      </w:r>
      <w:r w:rsidRPr="007137DB">
        <w:rPr>
          <w:rFonts w:ascii="Geomanist Light" w:eastAsia="Arial MT" w:hAnsi="Geomanist Light" w:cs="Arial MT"/>
          <w:spacing w:val="1"/>
          <w:lang w:val="es-ES"/>
        </w:rPr>
        <w:t xml:space="preserve"> </w:t>
      </w:r>
      <w:r w:rsidRPr="007137DB">
        <w:rPr>
          <w:rFonts w:ascii="Geomanist Light" w:eastAsia="Arial MT" w:hAnsi="Geomanist Light" w:cs="Arial MT"/>
          <w:lang w:val="es-ES"/>
        </w:rPr>
        <w:t xml:space="preserve">sobre todo, prestaciones que favorezcan a la entidad estatal y, </w:t>
      </w:r>
      <w:proofErr w:type="spellStart"/>
      <w:r w:rsidRPr="007137DB">
        <w:rPr>
          <w:rFonts w:ascii="Geomanist Light" w:eastAsia="Arial MT" w:hAnsi="Geomanist Light" w:cs="Arial MT"/>
          <w:lang w:val="es-ES"/>
        </w:rPr>
        <w:t>iv</w:t>
      </w:r>
      <w:proofErr w:type="spellEnd"/>
      <w:r w:rsidRPr="007137DB">
        <w:rPr>
          <w:rFonts w:ascii="Geomanist Light" w:eastAsia="Arial MT" w:hAnsi="Geomanist Light" w:cs="Arial MT"/>
          <w:lang w:val="es-ES"/>
        </w:rPr>
        <w:t>) que la entidad del Estado no</w:t>
      </w:r>
      <w:r w:rsidRPr="007137DB">
        <w:rPr>
          <w:rFonts w:ascii="Geomanist Light" w:eastAsia="Arial MT" w:hAnsi="Geomanist Light" w:cs="Arial MT"/>
          <w:spacing w:val="1"/>
          <w:lang w:val="es-ES"/>
        </w:rPr>
        <w:t xml:space="preserve"> </w:t>
      </w:r>
      <w:r w:rsidRPr="007137DB">
        <w:rPr>
          <w:rFonts w:ascii="Geomanist Light" w:eastAsia="Arial MT" w:hAnsi="Geomanist Light" w:cs="Arial MT"/>
          <w:lang w:val="es-ES"/>
        </w:rPr>
        <w:t>imparta</w:t>
      </w:r>
      <w:r w:rsidRPr="007137DB">
        <w:rPr>
          <w:rFonts w:ascii="Geomanist Light" w:eastAsia="Arial MT" w:hAnsi="Geomanist Light" w:cs="Arial MT"/>
          <w:spacing w:val="-2"/>
          <w:lang w:val="es-ES"/>
        </w:rPr>
        <w:t xml:space="preserve"> </w:t>
      </w:r>
      <w:r w:rsidRPr="007137DB">
        <w:rPr>
          <w:rFonts w:ascii="Geomanist Light" w:eastAsia="Arial MT" w:hAnsi="Geomanist Light" w:cs="Arial MT"/>
          <w:lang w:val="es-ES"/>
        </w:rPr>
        <w:t>instrucciones</w:t>
      </w:r>
      <w:r w:rsidRPr="007137DB">
        <w:rPr>
          <w:rFonts w:ascii="Geomanist Light" w:eastAsia="Arial MT" w:hAnsi="Geomanist Light" w:cs="Arial MT"/>
          <w:spacing w:val="-2"/>
          <w:lang w:val="es-ES"/>
        </w:rPr>
        <w:t xml:space="preserve"> </w:t>
      </w:r>
      <w:r w:rsidRPr="007137DB">
        <w:rPr>
          <w:rFonts w:ascii="Geomanist Light" w:eastAsia="Arial MT" w:hAnsi="Geomanist Light" w:cs="Arial MT"/>
          <w:lang w:val="es-ES"/>
        </w:rPr>
        <w:t>precisas</w:t>
      </w:r>
      <w:r w:rsidRPr="007137DB">
        <w:rPr>
          <w:rFonts w:ascii="Geomanist Light" w:eastAsia="Arial MT" w:hAnsi="Geomanist Light" w:cs="Arial MT"/>
          <w:spacing w:val="-2"/>
          <w:lang w:val="es-ES"/>
        </w:rPr>
        <w:t xml:space="preserve"> </w:t>
      </w:r>
      <w:r w:rsidRPr="007137DB">
        <w:rPr>
          <w:rFonts w:ascii="Geomanist Light" w:eastAsia="Arial MT" w:hAnsi="Geomanist Light" w:cs="Arial MT"/>
          <w:lang w:val="es-ES"/>
        </w:rPr>
        <w:t>para</w:t>
      </w:r>
      <w:r w:rsidRPr="007137DB">
        <w:rPr>
          <w:rFonts w:ascii="Geomanist Light" w:eastAsia="Arial MT" w:hAnsi="Geomanist Light" w:cs="Arial MT"/>
          <w:spacing w:val="-2"/>
          <w:lang w:val="es-ES"/>
        </w:rPr>
        <w:t xml:space="preserve"> </w:t>
      </w:r>
      <w:r w:rsidRPr="007137DB">
        <w:rPr>
          <w:rFonts w:ascii="Geomanist Light" w:eastAsia="Arial MT" w:hAnsi="Geomanist Light" w:cs="Arial MT"/>
          <w:lang w:val="es-ES"/>
        </w:rPr>
        <w:t>la</w:t>
      </w:r>
      <w:r w:rsidRPr="007137DB">
        <w:rPr>
          <w:rFonts w:ascii="Geomanist Light" w:eastAsia="Arial MT" w:hAnsi="Geomanist Light" w:cs="Arial MT"/>
          <w:spacing w:val="-2"/>
          <w:lang w:val="es-ES"/>
        </w:rPr>
        <w:t xml:space="preserve"> </w:t>
      </w:r>
      <w:r w:rsidRPr="007137DB">
        <w:rPr>
          <w:rFonts w:ascii="Geomanist Light" w:eastAsia="Arial MT" w:hAnsi="Geomanist Light" w:cs="Arial MT"/>
          <w:lang w:val="es-ES"/>
        </w:rPr>
        <w:t>ejecución</w:t>
      </w:r>
      <w:r w:rsidRPr="007137DB">
        <w:rPr>
          <w:rFonts w:ascii="Geomanist Light" w:eastAsia="Arial MT" w:hAnsi="Geomanist Light" w:cs="Arial MT"/>
          <w:spacing w:val="-2"/>
          <w:lang w:val="es-ES"/>
        </w:rPr>
        <w:t xml:space="preserve"> </w:t>
      </w:r>
      <w:r w:rsidRPr="007137DB">
        <w:rPr>
          <w:rFonts w:ascii="Geomanist Light" w:eastAsia="Arial MT" w:hAnsi="Geomanist Light" w:cs="Arial MT"/>
          <w:lang w:val="es-ES"/>
        </w:rPr>
        <w:t>del</w:t>
      </w:r>
      <w:r w:rsidRPr="007137DB">
        <w:rPr>
          <w:rFonts w:ascii="Geomanist Light" w:eastAsia="Arial MT" w:hAnsi="Geomanist Light" w:cs="Arial MT"/>
          <w:spacing w:val="-1"/>
          <w:lang w:val="es-ES"/>
        </w:rPr>
        <w:t xml:space="preserve"> </w:t>
      </w:r>
      <w:r w:rsidRPr="007137DB">
        <w:rPr>
          <w:rFonts w:ascii="Geomanist Light" w:eastAsia="Arial MT" w:hAnsi="Geomanist Light" w:cs="Arial MT"/>
          <w:lang w:val="es-ES"/>
        </w:rPr>
        <w:t>objeto</w:t>
      </w:r>
      <w:r w:rsidRPr="007137DB">
        <w:rPr>
          <w:rFonts w:ascii="Geomanist Light" w:eastAsia="Arial MT" w:hAnsi="Geomanist Light" w:cs="Arial MT"/>
          <w:spacing w:val="-2"/>
          <w:lang w:val="es-ES"/>
        </w:rPr>
        <w:t xml:space="preserve"> </w:t>
      </w:r>
      <w:r w:rsidRPr="007137DB">
        <w:rPr>
          <w:rFonts w:ascii="Geomanist Light" w:eastAsia="Arial MT" w:hAnsi="Geomanist Light" w:cs="Arial MT"/>
          <w:lang w:val="es-ES"/>
        </w:rPr>
        <w:t>convenido.</w:t>
      </w:r>
    </w:p>
    <w:p w14:paraId="6F336D21" w14:textId="719E232F" w:rsidR="00762C73" w:rsidRPr="007137DB" w:rsidRDefault="00564939" w:rsidP="007137DB">
      <w:pPr>
        <w:widowControl w:val="0"/>
        <w:autoSpaceDE w:val="0"/>
        <w:autoSpaceDN w:val="0"/>
        <w:spacing w:before="120" w:after="0" w:line="276" w:lineRule="auto"/>
        <w:ind w:left="118" w:right="256" w:firstLine="708"/>
        <w:jc w:val="both"/>
        <w:rPr>
          <w:rFonts w:ascii="Geomanist Light" w:eastAsia="Arial MT" w:hAnsi="Geomanist Light" w:cs="Arial MT"/>
          <w:lang w:val="es-ES"/>
        </w:rPr>
      </w:pPr>
      <w:r w:rsidRPr="00564939">
        <w:rPr>
          <w:rFonts w:ascii="Geomanist Light" w:eastAsia="Arial MT" w:hAnsi="Geomanist Light" w:cs="Arial MT"/>
          <w:lang w:val="es-ES"/>
        </w:rPr>
        <w:t>Así las cosas, en caso de que concurran los requisitos antes enunciados, se aplicará al proceso de planeación, selección y contratación el procedimiento previsto en el Decreto 092 de 2017 y, en lo no señalado en ese, se complementará con las normas previstas en el Estatuto General de Contratación de la Administración Pública -Ley 80 de 1993-.</w:t>
      </w:r>
    </w:p>
    <w:p w14:paraId="0D32B2C5" w14:textId="064B2002" w:rsidR="001510DF" w:rsidRPr="007E12CF" w:rsidRDefault="001510DF" w:rsidP="003E15F7">
      <w:pPr>
        <w:tabs>
          <w:tab w:val="left" w:pos="426"/>
        </w:tabs>
        <w:spacing w:before="120" w:after="0" w:line="276" w:lineRule="auto"/>
        <w:jc w:val="both"/>
        <w:rPr>
          <w:rFonts w:ascii="Geomanist Light" w:eastAsia="Calibri" w:hAnsi="Geomanist Light" w:cs="Arial"/>
          <w:noProof/>
          <w:lang w:val="es-ES_tradnl"/>
        </w:rPr>
      </w:pPr>
      <w:r>
        <w:rPr>
          <w:rFonts w:ascii="Geomanist Light" w:eastAsia="Times New Roman" w:hAnsi="Geomanist Light" w:cs="Arial"/>
          <w:color w:val="000000"/>
          <w:szCs w:val="24"/>
          <w:lang w:val="es-ES" w:eastAsia="es-ES_tradnl"/>
        </w:rPr>
        <w:tab/>
      </w:r>
      <w:r w:rsidR="007E12CF">
        <w:rPr>
          <w:rFonts w:ascii="Geomanist Light" w:eastAsia="Times New Roman" w:hAnsi="Geomanist Light" w:cs="Arial"/>
          <w:color w:val="000000"/>
          <w:szCs w:val="24"/>
          <w:lang w:val="es-ES" w:eastAsia="es-ES_tradnl"/>
        </w:rPr>
        <w:t xml:space="preserve">Por último, en armonía con la modificación realizada por la Ley 1955 de 2019, se presenta un </w:t>
      </w:r>
      <w:r w:rsidR="007E12CF" w:rsidRPr="00D905CF">
        <w:rPr>
          <w:rFonts w:ascii="Geomanist Light" w:eastAsia="Times New Roman" w:hAnsi="Geomanist Light" w:cs="Arial"/>
          <w:i/>
          <w:iCs/>
          <w:color w:val="000000"/>
          <w:szCs w:val="24"/>
          <w:lang w:val="es-ES" w:eastAsia="es-ES_tradnl"/>
        </w:rPr>
        <w:t>tercer régimen</w:t>
      </w:r>
      <w:r w:rsidR="007E12CF">
        <w:rPr>
          <w:rFonts w:ascii="Geomanist Light" w:eastAsia="Times New Roman" w:hAnsi="Geomanist Light" w:cs="Arial"/>
          <w:color w:val="000000"/>
          <w:szCs w:val="24"/>
          <w:lang w:val="es-ES" w:eastAsia="es-ES_tradnl"/>
        </w:rPr>
        <w:t xml:space="preserve"> que encuentra su fundamento en los parágrafos tercero y quinto del artículo tercero de la Ley 136 de 1994, adicionado por el artículo </w:t>
      </w:r>
      <w:r w:rsidR="00E1335F">
        <w:rPr>
          <w:rFonts w:ascii="Geomanist Light" w:eastAsia="Times New Roman" w:hAnsi="Geomanist Light" w:cs="Arial"/>
          <w:color w:val="000000"/>
          <w:szCs w:val="24"/>
          <w:lang w:val="es-ES" w:eastAsia="es-ES_tradnl"/>
        </w:rPr>
        <w:t xml:space="preserve">128 de la Ley 1955 de 2019 </w:t>
      </w:r>
      <w:r w:rsidR="00E1335F" w:rsidRPr="00D905CF">
        <w:rPr>
          <w:rFonts w:ascii="Geomanist Light" w:eastAsia="Times New Roman" w:hAnsi="Geomanist Light" w:cs="Arial"/>
          <w:i/>
          <w:iCs/>
          <w:color w:val="000000"/>
          <w:szCs w:val="24"/>
          <w:lang w:val="es-ES" w:eastAsia="es-ES_tradnl"/>
        </w:rPr>
        <w:t xml:space="preserve">«Por el cual </w:t>
      </w:r>
      <w:r w:rsidR="008B60FF" w:rsidRPr="00D905CF">
        <w:rPr>
          <w:rFonts w:ascii="Geomanist Light" w:eastAsia="Times New Roman" w:hAnsi="Geomanist Light" w:cs="Arial"/>
          <w:i/>
          <w:iCs/>
          <w:color w:val="000000"/>
          <w:szCs w:val="24"/>
          <w:lang w:val="es-ES" w:eastAsia="es-ES_tradnl"/>
        </w:rPr>
        <w:t>se expide el Plan Nacional de Desarrollo 2018-2022. Pacto por Colombia, Pacto por la Equidad</w:t>
      </w:r>
      <w:r w:rsidR="00041665" w:rsidRPr="00D905CF">
        <w:rPr>
          <w:rFonts w:ascii="Geomanist Light" w:eastAsia="Times New Roman" w:hAnsi="Geomanist Light" w:cs="Arial"/>
          <w:i/>
          <w:iCs/>
          <w:color w:val="000000"/>
          <w:szCs w:val="24"/>
          <w:lang w:val="es-ES" w:eastAsia="es-ES_tradnl"/>
        </w:rPr>
        <w:t>»</w:t>
      </w:r>
      <w:r w:rsidR="00597E5C" w:rsidRPr="00D905CF">
        <w:rPr>
          <w:rFonts w:ascii="Geomanist Light" w:eastAsia="Times New Roman" w:hAnsi="Geomanist Light" w:cs="Arial"/>
          <w:i/>
          <w:iCs/>
          <w:color w:val="000000"/>
          <w:szCs w:val="24"/>
          <w:lang w:val="es-ES" w:eastAsia="es-ES_tradnl"/>
        </w:rPr>
        <w:t>.</w:t>
      </w:r>
      <w:r w:rsidR="00597E5C">
        <w:rPr>
          <w:rFonts w:ascii="Geomanist Light" w:eastAsia="Times New Roman" w:hAnsi="Geomanist Light" w:cs="Arial"/>
          <w:color w:val="000000"/>
          <w:szCs w:val="24"/>
          <w:lang w:val="es-ES" w:eastAsia="es-ES_tradnl"/>
        </w:rPr>
        <w:t xml:space="preserve"> La Agencia en distinto</w:t>
      </w:r>
      <w:r w:rsidR="00ED69D4">
        <w:rPr>
          <w:rFonts w:ascii="Geomanist Light" w:eastAsia="Times New Roman" w:hAnsi="Geomanist Light" w:cs="Arial"/>
          <w:color w:val="000000"/>
          <w:szCs w:val="24"/>
          <w:lang w:val="es-ES" w:eastAsia="es-ES_tradnl"/>
        </w:rPr>
        <w:t>s</w:t>
      </w:r>
      <w:r w:rsidR="00597E5C">
        <w:rPr>
          <w:rFonts w:ascii="Geomanist Light" w:eastAsia="Times New Roman" w:hAnsi="Geomanist Light" w:cs="Arial"/>
          <w:color w:val="000000"/>
          <w:szCs w:val="24"/>
          <w:lang w:val="es-ES" w:eastAsia="es-ES_tradnl"/>
        </w:rPr>
        <w:t xml:space="preserve"> conceptos</w:t>
      </w:r>
      <w:r w:rsidR="00597E5C" w:rsidRPr="00597E5C">
        <w:rPr>
          <w:rFonts w:ascii="Geomanist Light" w:eastAsia="Calibri" w:hAnsi="Geomanist Light" w:cs="Arial"/>
          <w:color w:val="000000"/>
          <w:vertAlign w:val="superscript"/>
          <w:lang w:val="es-ES"/>
        </w:rPr>
        <w:footnoteReference w:id="18"/>
      </w:r>
      <w:r w:rsidR="00597E5C" w:rsidRPr="00597E5C">
        <w:rPr>
          <w:rFonts w:ascii="Geomanist Light" w:eastAsia="Calibri" w:hAnsi="Geomanist Light" w:cs="Arial"/>
          <w:color w:val="000000"/>
          <w:lang w:val="es-ES"/>
        </w:rPr>
        <w:t>,</w:t>
      </w:r>
      <w:r w:rsidR="00F567B6">
        <w:rPr>
          <w:rFonts w:ascii="Geomanist Light" w:eastAsia="Calibri" w:hAnsi="Geomanist Light" w:cs="Arial"/>
          <w:color w:val="000000"/>
          <w:lang w:val="es-ES"/>
        </w:rPr>
        <w:t xml:space="preserve"> ha considerado que estas normas deben interpretarse armónicamente con lo dispuesto en el artículo 141 de la </w:t>
      </w:r>
      <w:r w:rsidR="00F567B6" w:rsidRPr="00205A25">
        <w:rPr>
          <w:rFonts w:ascii="Geomanist Light" w:eastAsia="Calibri" w:hAnsi="Geomanist Light" w:cs="Arial"/>
          <w:color w:val="000000"/>
          <w:lang w:val="es-ES"/>
        </w:rPr>
        <w:t xml:space="preserve">precitada </w:t>
      </w:r>
      <w:r w:rsidR="002278DC">
        <w:rPr>
          <w:rFonts w:ascii="Geomanist Light" w:eastAsia="Calibri" w:hAnsi="Geomanist Light" w:cs="Arial"/>
          <w:color w:val="000000"/>
          <w:lang w:val="es-ES"/>
        </w:rPr>
        <w:t>l</w:t>
      </w:r>
      <w:r w:rsidR="00F567B6" w:rsidRPr="00205A25">
        <w:rPr>
          <w:rFonts w:ascii="Geomanist Light" w:eastAsia="Calibri" w:hAnsi="Geomanist Light" w:cs="Arial"/>
          <w:color w:val="000000"/>
          <w:lang w:val="es-ES"/>
        </w:rPr>
        <w:t>ey</w:t>
      </w:r>
      <w:r w:rsidR="00205A25" w:rsidRPr="00205A25">
        <w:rPr>
          <w:rFonts w:ascii="Geomanist Light" w:eastAsia="Calibri" w:hAnsi="Geomanist Light" w:cs="Arial"/>
          <w:color w:val="000000"/>
          <w:vertAlign w:val="superscript"/>
          <w:lang w:val="es-ES"/>
        </w:rPr>
        <w:footnoteReference w:id="19"/>
      </w:r>
      <w:r w:rsidR="00ED5B70">
        <w:rPr>
          <w:rFonts w:ascii="Geomanist Light" w:eastAsia="Calibri" w:hAnsi="Geomanist Light" w:cs="Arial"/>
          <w:color w:val="000000"/>
          <w:lang w:val="es-ES"/>
        </w:rPr>
        <w:t xml:space="preserve"> y el artículo 55 de la Ley 743 de 2002</w:t>
      </w:r>
      <w:r w:rsidR="005A1FFD" w:rsidRPr="005A1FFD">
        <w:rPr>
          <w:rFonts w:ascii="Geomanist Light" w:eastAsia="Calibri" w:hAnsi="Geomanist Light" w:cs="Arial"/>
          <w:color w:val="000000"/>
          <w:vertAlign w:val="superscript"/>
          <w:lang w:val="es-ES"/>
        </w:rPr>
        <w:footnoteReference w:id="20"/>
      </w:r>
      <w:r w:rsidR="005A1FFD">
        <w:rPr>
          <w:rFonts w:ascii="Geomanist Light" w:eastAsia="Calibri" w:hAnsi="Geomanist Light" w:cs="Arial"/>
          <w:color w:val="000000"/>
          <w:lang w:val="es-ES"/>
        </w:rPr>
        <w:t xml:space="preserve"> -norma vigente hasta la expedición de la Ley 2166 de 2021</w:t>
      </w:r>
      <w:r w:rsidR="00082F95">
        <w:rPr>
          <w:rFonts w:ascii="Geomanist Light" w:eastAsia="Calibri" w:hAnsi="Geomanist Light" w:cs="Arial"/>
          <w:color w:val="000000"/>
          <w:lang w:val="es-ES"/>
        </w:rPr>
        <w:t>-</w:t>
      </w:r>
      <w:r w:rsidR="005A1FFD">
        <w:rPr>
          <w:rFonts w:ascii="Geomanist Light" w:eastAsia="Calibri" w:hAnsi="Geomanist Light" w:cs="Arial"/>
          <w:color w:val="000000"/>
          <w:lang w:val="es-ES"/>
        </w:rPr>
        <w:t xml:space="preserve">. </w:t>
      </w:r>
      <w:r w:rsidR="0036631F">
        <w:rPr>
          <w:rFonts w:ascii="Geomanist Light" w:eastAsia="Calibri" w:hAnsi="Geomanist Light" w:cs="Arial"/>
          <w:color w:val="000000"/>
          <w:lang w:val="es-ES"/>
        </w:rPr>
        <w:t xml:space="preserve">De conformidad con tales disposiciones normativas, las organizaciones comunitarias cuentan con la posibilidad de </w:t>
      </w:r>
      <w:r w:rsidR="004F48BD">
        <w:rPr>
          <w:rFonts w:ascii="Geomanist Light" w:eastAsia="Calibri" w:hAnsi="Geomanist Light" w:cs="Arial"/>
          <w:color w:val="000000"/>
          <w:lang w:val="es-ES"/>
        </w:rPr>
        <w:t>«vincularse</w:t>
      </w:r>
      <w:r w:rsidR="00132B0A">
        <w:rPr>
          <w:rFonts w:ascii="Geomanist Light" w:eastAsia="Calibri" w:hAnsi="Geomanist Light" w:cs="Arial"/>
          <w:color w:val="000000"/>
          <w:lang w:val="es-ES"/>
        </w:rPr>
        <w:t xml:space="preserve"> al desarrollo y mejoramiento municipal mediante la participación en el ejercicio de las funciones, la prestación de servicios </w:t>
      </w:r>
      <w:r w:rsidR="007B370B">
        <w:rPr>
          <w:rFonts w:ascii="Geomanist Light" w:eastAsia="Calibri" w:hAnsi="Geomanist Light" w:cs="Arial"/>
          <w:color w:val="000000"/>
          <w:lang w:val="es-ES"/>
        </w:rPr>
        <w:t>o la ejecución de obras públicas a cargo de la administración central o descentralizada»</w:t>
      </w:r>
      <w:r w:rsidR="00F24E50">
        <w:rPr>
          <w:rFonts w:ascii="Geomanist Light" w:eastAsia="Calibri" w:hAnsi="Geomanist Light" w:cs="Arial"/>
          <w:color w:val="000000"/>
          <w:lang w:val="es-ES"/>
        </w:rPr>
        <w:t>.</w:t>
      </w:r>
      <w:r w:rsidR="00C50A58">
        <w:rPr>
          <w:rFonts w:ascii="Geomanist Light" w:eastAsia="Calibri" w:hAnsi="Geomanist Light" w:cs="Arial"/>
          <w:color w:val="000000"/>
          <w:lang w:val="es-ES"/>
        </w:rPr>
        <w:t xml:space="preserve"> Para ese efecto, se dará aplicación a los artículos 375 a 378 del De</w:t>
      </w:r>
      <w:r w:rsidR="00BE3CCA">
        <w:rPr>
          <w:rFonts w:ascii="Geomanist Light" w:eastAsia="Calibri" w:hAnsi="Geomanist Light" w:cs="Arial"/>
          <w:color w:val="000000"/>
          <w:lang w:val="es-ES"/>
        </w:rPr>
        <w:t xml:space="preserve">creto 1333 de 1986 y al Estatuto General de Contratación de la Administración Pública. Esta modalidad de contratación resulta aplicable a todos los casos no reglamentados a través de normas específicas en los que: </w:t>
      </w:r>
      <w:r w:rsidR="000468F5">
        <w:rPr>
          <w:rFonts w:ascii="Geomanist Light" w:eastAsia="Calibri" w:hAnsi="Geomanist Light" w:cs="Arial"/>
          <w:color w:val="000000"/>
          <w:lang w:val="es-ES"/>
        </w:rPr>
        <w:t xml:space="preserve">i) se vinculen entidades del orden nacional, municipal o distrital y organizaciones comunales, </w:t>
      </w:r>
      <w:proofErr w:type="spellStart"/>
      <w:r w:rsidR="000468F5">
        <w:rPr>
          <w:rFonts w:ascii="Geomanist Light" w:eastAsia="Calibri" w:hAnsi="Geomanist Light" w:cs="Arial"/>
          <w:color w:val="000000"/>
          <w:lang w:val="es-ES"/>
        </w:rPr>
        <w:t>ii</w:t>
      </w:r>
      <w:proofErr w:type="spellEnd"/>
      <w:r w:rsidR="000468F5">
        <w:rPr>
          <w:rFonts w:ascii="Geomanist Light" w:eastAsia="Calibri" w:hAnsi="Geomanist Light" w:cs="Arial"/>
          <w:color w:val="000000"/>
          <w:lang w:val="es-ES"/>
        </w:rPr>
        <w:t xml:space="preserve">) </w:t>
      </w:r>
      <w:r w:rsidR="00B73BAB">
        <w:rPr>
          <w:rFonts w:ascii="Geomanist Light" w:eastAsia="Calibri" w:hAnsi="Geomanist Light" w:cs="Arial"/>
          <w:color w:val="000000"/>
          <w:lang w:val="es-ES"/>
        </w:rPr>
        <w:t xml:space="preserve">se cumpla con el objetivo planteado en el parágrafo tercero del artículo </w:t>
      </w:r>
      <w:r w:rsidR="00681455">
        <w:rPr>
          <w:rFonts w:ascii="Geomanist Light" w:eastAsia="Calibri" w:hAnsi="Geomanist Light" w:cs="Arial"/>
          <w:color w:val="000000"/>
          <w:lang w:val="es-ES"/>
        </w:rPr>
        <w:t xml:space="preserve">3 de la Ley 136 de 1994, en consonancia con el artículo 355 constitucional, y </w:t>
      </w:r>
      <w:proofErr w:type="spellStart"/>
      <w:r w:rsidR="00681455">
        <w:rPr>
          <w:rFonts w:ascii="Geomanist Light" w:eastAsia="Calibri" w:hAnsi="Geomanist Light" w:cs="Arial"/>
          <w:color w:val="000000"/>
          <w:lang w:val="es-ES"/>
        </w:rPr>
        <w:t>iii</w:t>
      </w:r>
      <w:proofErr w:type="spellEnd"/>
      <w:r w:rsidR="00681455">
        <w:rPr>
          <w:rFonts w:ascii="Geomanist Light" w:eastAsia="Calibri" w:hAnsi="Geomanist Light" w:cs="Arial"/>
          <w:color w:val="000000"/>
          <w:lang w:val="es-ES"/>
        </w:rPr>
        <w:t>) no exista otra forma especial de contratación.</w:t>
      </w:r>
    </w:p>
    <w:p w14:paraId="6B5BB8B6" w14:textId="6AEFC5FD" w:rsidR="00E16944" w:rsidRDefault="0010174E" w:rsidP="003E15F7">
      <w:pPr>
        <w:tabs>
          <w:tab w:val="left" w:pos="426"/>
        </w:tabs>
        <w:spacing w:before="120" w:after="0" w:line="276" w:lineRule="auto"/>
        <w:jc w:val="both"/>
        <w:rPr>
          <w:rFonts w:ascii="Geomanist Light" w:eastAsia="Calibri" w:hAnsi="Geomanist Light" w:cs="Arial"/>
          <w:noProof/>
          <w:lang w:val="es-ES_tradnl"/>
        </w:rPr>
      </w:pPr>
      <w:r>
        <w:rPr>
          <w:rFonts w:ascii="Geomanist Light" w:eastAsia="Calibri" w:hAnsi="Geomanist Light" w:cs="Arial"/>
          <w:noProof/>
          <w:lang w:val="es-ES_tradnl"/>
        </w:rPr>
        <w:tab/>
        <w:t xml:space="preserve">En consecuencia, si una entidad pretende la suscripción de un contrato con un organismo de acción comunal, deberá </w:t>
      </w:r>
      <w:r w:rsidR="00350726">
        <w:rPr>
          <w:rFonts w:ascii="Geomanist Light" w:eastAsia="Calibri" w:hAnsi="Geomanist Light" w:cs="Arial"/>
          <w:noProof/>
          <w:lang w:val="es-ES_tradnl"/>
        </w:rPr>
        <w:t xml:space="preserve">determinar </w:t>
      </w:r>
      <w:r w:rsidR="00D76B14">
        <w:rPr>
          <w:rFonts w:ascii="Geomanist Light" w:eastAsia="Calibri" w:hAnsi="Geomanist Light" w:cs="Arial"/>
          <w:noProof/>
          <w:lang w:val="es-ES_tradnl"/>
        </w:rPr>
        <w:t>con fundamento en lo antes expuesto</w:t>
      </w:r>
      <w:r w:rsidR="002F014C">
        <w:rPr>
          <w:rFonts w:ascii="Geomanist Light" w:eastAsia="Calibri" w:hAnsi="Geomanist Light" w:cs="Arial"/>
          <w:noProof/>
          <w:lang w:val="es-ES_tradnl"/>
        </w:rPr>
        <w:t>,</w:t>
      </w:r>
      <w:r w:rsidR="00D76B14">
        <w:rPr>
          <w:rFonts w:ascii="Geomanist Light" w:eastAsia="Calibri" w:hAnsi="Geomanist Light" w:cs="Arial"/>
          <w:noProof/>
          <w:lang w:val="es-ES_tradnl"/>
        </w:rPr>
        <w:t xml:space="preserve"> el respectivo régimen contractual aplicable para ello. </w:t>
      </w:r>
    </w:p>
    <w:p w14:paraId="017556D4" w14:textId="77777777" w:rsidR="00C9694A" w:rsidRPr="00417A9A" w:rsidRDefault="00C9694A" w:rsidP="00C9694A">
      <w:pPr>
        <w:tabs>
          <w:tab w:val="left" w:pos="426"/>
        </w:tabs>
        <w:spacing w:after="0" w:line="276" w:lineRule="auto"/>
        <w:ind w:firstLine="709"/>
        <w:jc w:val="both"/>
        <w:rPr>
          <w:rFonts w:ascii="Geomanist Light" w:eastAsia="Calibri" w:hAnsi="Geomanist Light" w:cs="Arial"/>
          <w:bCs/>
          <w:noProof/>
          <w:lang w:val="es-ES_tradnl"/>
        </w:rPr>
      </w:pPr>
    </w:p>
    <w:p w14:paraId="0D90A6FC" w14:textId="15B76ADE" w:rsidR="00C9694A" w:rsidRPr="00417A9A" w:rsidRDefault="00C9694A" w:rsidP="00C9694A">
      <w:pPr>
        <w:spacing w:after="0" w:line="276" w:lineRule="auto"/>
        <w:jc w:val="both"/>
        <w:textAlignment w:val="baseline"/>
        <w:rPr>
          <w:rFonts w:ascii="Geomanist Light" w:eastAsia="Times New Roman" w:hAnsi="Geomanist Light" w:cs="Arial"/>
          <w:b/>
          <w:noProof/>
          <w:lang w:val="es-ES_tradnl" w:eastAsia="es-CO"/>
        </w:rPr>
      </w:pPr>
      <w:r w:rsidRPr="00417A9A">
        <w:rPr>
          <w:rFonts w:ascii="Geomanist Light" w:eastAsia="Times New Roman" w:hAnsi="Geomanist Light" w:cs="Arial"/>
          <w:b/>
          <w:noProof/>
          <w:lang w:val="es-ES_tradnl" w:eastAsia="es-CO"/>
        </w:rPr>
        <w:t>3. Respuesta</w:t>
      </w:r>
    </w:p>
    <w:p w14:paraId="0162CC39" w14:textId="77777777" w:rsidR="00C9694A" w:rsidRPr="00417A9A" w:rsidRDefault="00C9694A" w:rsidP="00C9694A">
      <w:pPr>
        <w:spacing w:after="0" w:line="276" w:lineRule="auto"/>
        <w:jc w:val="both"/>
        <w:textAlignment w:val="baseline"/>
        <w:rPr>
          <w:rFonts w:ascii="Geomanist Light" w:eastAsia="Times New Roman" w:hAnsi="Geomanist Light" w:cs="Arial"/>
          <w:b/>
          <w:noProof/>
          <w:sz w:val="21"/>
          <w:szCs w:val="21"/>
          <w:lang w:val="es-ES_tradnl" w:eastAsia="es-CO"/>
        </w:rPr>
      </w:pPr>
    </w:p>
    <w:p w14:paraId="1C8BA9AB" w14:textId="77777777" w:rsidR="00304DFB" w:rsidRPr="005A7584" w:rsidRDefault="00304DFB" w:rsidP="00304DFB">
      <w:pPr>
        <w:spacing w:after="0" w:line="276" w:lineRule="auto"/>
        <w:ind w:left="709" w:right="709"/>
        <w:contextualSpacing/>
        <w:jc w:val="both"/>
        <w:rPr>
          <w:rFonts w:ascii="Geomanist Light" w:eastAsia="Times New Roman" w:hAnsi="Geomanist Light" w:cs="Arial"/>
          <w:sz w:val="21"/>
          <w:szCs w:val="21"/>
          <w:lang w:eastAsia="es-CO"/>
        </w:rPr>
      </w:pPr>
      <w:r w:rsidRPr="005A7584">
        <w:rPr>
          <w:rFonts w:ascii="Geomanist Light" w:eastAsia="Times New Roman" w:hAnsi="Geomanist Light" w:cs="Arial"/>
          <w:sz w:val="21"/>
          <w:szCs w:val="21"/>
          <w:lang w:eastAsia="es-CO"/>
        </w:rPr>
        <w:t>«Pueden las entidades territoriales en virtud de lo señalado en el artículo 68 (equipamientos comunales) de la ley 2166 de 2021, dar en donación bienes muebles a las juntas de acción comunal, en caso positivo esta se hará mediante la celebración de un contrato de donación o la expedición de un acto administrativo de entrega? [sic]</w:t>
      </w:r>
      <w:r w:rsidRPr="00E80A81">
        <w:rPr>
          <w:rFonts w:ascii="Geomanist Light" w:eastAsia="Times New Roman" w:hAnsi="Geomanist Light" w:cs="Arial"/>
          <w:sz w:val="21"/>
          <w:szCs w:val="21"/>
          <w:lang w:eastAsia="es-CO"/>
        </w:rPr>
        <w:t>»</w:t>
      </w:r>
    </w:p>
    <w:p w14:paraId="104F8217" w14:textId="77777777" w:rsidR="00CC5A26" w:rsidRDefault="00CC5A26" w:rsidP="00CC5A26">
      <w:pPr>
        <w:spacing w:after="0" w:line="276" w:lineRule="auto"/>
        <w:jc w:val="both"/>
        <w:rPr>
          <w:rFonts w:ascii="Geomanist Light" w:eastAsia="Times New Roman" w:hAnsi="Geomanist Light" w:cs="Arial"/>
          <w:lang w:eastAsia="es-ES_tradnl"/>
        </w:rPr>
      </w:pPr>
    </w:p>
    <w:p w14:paraId="553E6500" w14:textId="48DB19F1" w:rsidR="00CC5A26" w:rsidRDefault="00CC5A26" w:rsidP="00CC5A26">
      <w:pPr>
        <w:spacing w:after="0" w:line="276" w:lineRule="auto"/>
        <w:jc w:val="both"/>
        <w:rPr>
          <w:rFonts w:ascii="Geomanist Light" w:eastAsia="Times New Roman" w:hAnsi="Geomanist Light" w:cs="Arial"/>
          <w:lang w:eastAsia="es-ES_tradnl"/>
        </w:rPr>
      </w:pPr>
      <w:r>
        <w:rPr>
          <w:rFonts w:ascii="Geomanist Light" w:eastAsia="Times New Roman" w:hAnsi="Geomanist Light" w:cs="Arial"/>
          <w:lang w:eastAsia="es-ES_tradnl"/>
        </w:rPr>
        <w:t xml:space="preserve">Conforme a lo expuesto </w:t>
      </w:r>
      <w:r w:rsidR="00F955EB" w:rsidRPr="00F955EB">
        <w:rPr>
          <w:rFonts w:ascii="Geomanist Light" w:eastAsia="Times New Roman" w:hAnsi="Geomanist Light" w:cs="Arial"/>
          <w:lang w:eastAsia="es-ES_tradnl"/>
        </w:rPr>
        <w:t>el artículo 355 de la Constitución Política de Colombia, prohibió en su inciso primero cualquier tipo de auxilio o donación por parte del Estado a personas naturales o jurídicas de derecho privado. Sin embargo, la Corte Constitucional mediante sentencia C-027 de 2016 al determinar el alcance de dicho artículo, señaló que dicha prohibición no puede entenderse de manera absoluta, dado a que el Estado tiene autorizado por la misma constitución el realizar subvenciones, a través de sus órganos y ramas que ejercen el poder público, a todas las actividades de las empresas de derecho privado.</w:t>
      </w:r>
    </w:p>
    <w:p w14:paraId="32739692" w14:textId="1CF5FAB9" w:rsidR="00CC5A26" w:rsidRDefault="00CC5A26" w:rsidP="00CC5A26">
      <w:pPr>
        <w:spacing w:before="120" w:after="0"/>
        <w:jc w:val="both"/>
        <w:rPr>
          <w:rFonts w:ascii="Geomanist Light" w:eastAsia="Times New Roman" w:hAnsi="Geomanist Light" w:cs="Arial"/>
          <w:lang w:eastAsia="es-ES_tradnl"/>
        </w:rPr>
      </w:pPr>
      <w:r>
        <w:rPr>
          <w:rFonts w:ascii="Geomanist Light" w:eastAsia="Times New Roman" w:hAnsi="Geomanist Light" w:cs="Arial"/>
          <w:lang w:eastAsia="es-ES_tradnl"/>
        </w:rPr>
        <w:tab/>
      </w:r>
      <w:r w:rsidR="00350B62">
        <w:rPr>
          <w:rFonts w:ascii="Geomanist Light" w:eastAsia="Times New Roman" w:hAnsi="Geomanist Light" w:cs="Arial"/>
          <w:lang w:eastAsia="es-ES_tradnl"/>
        </w:rPr>
        <w:t>Así pues, el</w:t>
      </w:r>
      <w:r>
        <w:rPr>
          <w:rFonts w:ascii="Geomanist Light" w:eastAsia="Times New Roman" w:hAnsi="Geomanist Light" w:cs="Arial"/>
          <w:lang w:eastAsia="es-ES_tradnl"/>
        </w:rPr>
        <w:t xml:space="preserve"> Alto Tribunal Constitucional en la misma sentencia determinó dentro de las circunstancias en las que serían válidos los auxilios y donaciones</w:t>
      </w:r>
      <w:r w:rsidR="00350B62">
        <w:rPr>
          <w:rFonts w:ascii="Geomanist Light" w:eastAsia="Times New Roman" w:hAnsi="Geomanist Light" w:cs="Arial"/>
          <w:lang w:eastAsia="es-ES_tradnl"/>
        </w:rPr>
        <w:t>,</w:t>
      </w:r>
      <w:r>
        <w:rPr>
          <w:rFonts w:ascii="Geomanist Light" w:eastAsia="Times New Roman" w:hAnsi="Geomanist Light" w:cs="Arial"/>
          <w:lang w:eastAsia="es-ES_tradnl"/>
        </w:rPr>
        <w:t xml:space="preserve"> la de </w:t>
      </w:r>
      <w:r w:rsidRPr="000376C5">
        <w:rPr>
          <w:rFonts w:ascii="Geomanist Light" w:eastAsia="Times New Roman" w:hAnsi="Geomanist Light" w:cs="Arial"/>
          <w:i/>
          <w:iCs/>
          <w:lang w:eastAsia="es-ES_tradnl"/>
        </w:rPr>
        <w:t>«albergar una finalidad estrictamente altruista y benéfica dirigida a alentar una actividad de interés público, a través de entidades sin ánimo de lucro»</w:t>
      </w:r>
      <w:r>
        <w:rPr>
          <w:rFonts w:ascii="Geomanist Light" w:eastAsia="Times New Roman" w:hAnsi="Geomanist Light" w:cs="Arial"/>
          <w:i/>
          <w:iCs/>
          <w:lang w:eastAsia="es-ES_tradnl"/>
        </w:rPr>
        <w:t xml:space="preserve">. </w:t>
      </w:r>
      <w:r>
        <w:rPr>
          <w:rFonts w:ascii="Geomanist Light" w:eastAsia="Times New Roman" w:hAnsi="Geomanist Light" w:cs="Arial"/>
          <w:lang w:eastAsia="es-ES_tradnl"/>
        </w:rPr>
        <w:t xml:space="preserve">Situación que hace referencia al inciso segundo del artículo 355 superior, que facultó a las entidades públicas para que con los recursos de los respectivos presupuestos, celebren contratos con entidades privadas sin ánimo de lucro y de reconocida idoneidad con el fin de </w:t>
      </w:r>
      <w:r w:rsidRPr="002B09C4">
        <w:rPr>
          <w:rFonts w:ascii="Geomanist Light" w:eastAsia="Times New Roman" w:hAnsi="Geomanist Light" w:cs="Arial"/>
          <w:lang w:eastAsia="es-ES_tradnl"/>
        </w:rPr>
        <w:t>impulsar programas y actividades de interés público acordes con el Plan Nacional y los planes seccionales de Desarrollo.</w:t>
      </w:r>
    </w:p>
    <w:p w14:paraId="176420C1" w14:textId="6660BFB9" w:rsidR="00CC5A26" w:rsidRDefault="00CC5A26" w:rsidP="00C9007A">
      <w:pPr>
        <w:spacing w:before="120" w:after="0"/>
        <w:jc w:val="both"/>
        <w:rPr>
          <w:rFonts w:ascii="Geomanist Light" w:eastAsia="Calibri" w:hAnsi="Geomanist Light" w:cs="Arial"/>
          <w:noProof/>
          <w:lang w:val="es-ES_tradnl"/>
        </w:rPr>
      </w:pPr>
      <w:r>
        <w:rPr>
          <w:rFonts w:ascii="Geomanist Light" w:eastAsia="Times New Roman" w:hAnsi="Geomanist Light" w:cs="Arial"/>
          <w:lang w:eastAsia="es-ES_tradnl"/>
        </w:rPr>
        <w:tab/>
      </w:r>
      <w:r w:rsidR="00CE76A1" w:rsidRPr="00CE76A1">
        <w:rPr>
          <w:rFonts w:ascii="Geomanist Light" w:eastAsia="Times New Roman" w:hAnsi="Geomanist Light" w:cs="Arial"/>
          <w:lang w:eastAsia="es-ES_tradnl"/>
        </w:rPr>
        <w:t>Ahora bien, con la expedición de la Ley 2166 de 2021 mediante la cual se desarrolla el artículo 38 de la Constitución Política de Colombia en lo referente a los organismos de acción comunal, en su artículo 68 habilitó presupuestalmente a las entidades del orden del orden territorial para que realicen inversiones en aquellos bienes de equipamiento comunal, facultando a las entidades del orden territorial, bien sean municipios, distritos o departamentos, para destinar recursos con el objeto de adecuar, construir o mejorar los bienes que sean de su propiedad o de los organismos de acción comunal legalmente constituidos. Sin embargo, en dicha norma no se estableció la forma en la que las entidades podrían a disposición de los organismos de acción comunal los bienes que fuesen de su dominio, posesión, goce o tenencia.</w:t>
      </w:r>
    </w:p>
    <w:p w14:paraId="77494B0D" w14:textId="77777777" w:rsidR="00CC5A26" w:rsidRDefault="00CC5A26" w:rsidP="00CE76A1">
      <w:pPr>
        <w:spacing w:after="0"/>
        <w:jc w:val="both"/>
        <w:rPr>
          <w:rFonts w:ascii="Geomanist Light" w:eastAsia="Calibri" w:hAnsi="Geomanist Light" w:cs="Arial"/>
          <w:noProof/>
          <w:lang w:val="es-ES_tradnl"/>
        </w:rPr>
      </w:pPr>
    </w:p>
    <w:p w14:paraId="5A5D4071" w14:textId="45DBDB07" w:rsidR="00CC5A26" w:rsidRDefault="00AD1BBD" w:rsidP="00CE76A1">
      <w:pPr>
        <w:tabs>
          <w:tab w:val="left" w:pos="426"/>
        </w:tabs>
        <w:spacing w:after="0" w:line="276" w:lineRule="auto"/>
        <w:jc w:val="both"/>
        <w:rPr>
          <w:rFonts w:ascii="Geomanist Light" w:eastAsia="Calibri" w:hAnsi="Geomanist Light" w:cs="Arial"/>
          <w:noProof/>
          <w:lang w:val="es-ES_tradnl"/>
        </w:rPr>
      </w:pPr>
      <w:r>
        <w:rPr>
          <w:rFonts w:ascii="Geomanist Light" w:eastAsia="Calibri" w:hAnsi="Geomanist Light" w:cs="Arial"/>
          <w:noProof/>
          <w:lang w:val="es-ES_tradnl"/>
        </w:rPr>
        <w:tab/>
      </w:r>
      <w:r w:rsidR="00A115FD">
        <w:rPr>
          <w:rFonts w:ascii="Geomanist Light" w:eastAsia="Calibri" w:hAnsi="Geomanist Light" w:cs="Arial"/>
          <w:noProof/>
          <w:lang w:val="es-ES_tradnl"/>
        </w:rPr>
        <w:tab/>
      </w:r>
      <w:r w:rsidR="00CC5A26">
        <w:rPr>
          <w:rFonts w:ascii="Geomanist Light" w:eastAsia="Calibri" w:hAnsi="Geomanist Light" w:cs="Arial"/>
          <w:noProof/>
          <w:lang w:val="es-ES_tradnl"/>
        </w:rPr>
        <w:t xml:space="preserve">Según se evidencia, esta disposición facultó a las entidades del orden territorial, bien sean municipios, distritos o departamentos, para destinar recursos con el objeto de adecuar, construir o mejorar los bienes que sean de su propiedad o de los organismos de acción comunal legalmente constituidos. Sin embargo, en dicha norma no se estableció la forma en </w:t>
      </w:r>
      <w:r w:rsidR="00CC5A26">
        <w:rPr>
          <w:rFonts w:ascii="Geomanist Light" w:eastAsia="Calibri" w:hAnsi="Geomanist Light" w:cs="Arial"/>
          <w:noProof/>
          <w:lang w:val="es-ES_tradnl"/>
        </w:rPr>
        <w:lastRenderedPageBreak/>
        <w:t>la que las entidades podrían a disposición de los organismos de acción comunal los bienes que fuesen de su dominio, posesión, goce o tenencia.</w:t>
      </w:r>
    </w:p>
    <w:p w14:paraId="467E1B52" w14:textId="593D47A2" w:rsidR="00CC5A26" w:rsidRDefault="00CC5A26" w:rsidP="00CC5A26">
      <w:pPr>
        <w:tabs>
          <w:tab w:val="left" w:pos="426"/>
        </w:tabs>
        <w:spacing w:before="120" w:after="0" w:line="276" w:lineRule="auto"/>
        <w:jc w:val="both"/>
        <w:rPr>
          <w:rFonts w:ascii="Geomanist Light" w:eastAsia="Calibri" w:hAnsi="Geomanist Light" w:cs="Arial"/>
          <w:noProof/>
          <w:lang w:val="es-ES_tradnl"/>
        </w:rPr>
      </w:pPr>
      <w:r>
        <w:rPr>
          <w:rFonts w:ascii="Geomanist Light" w:eastAsia="Calibri" w:hAnsi="Geomanist Light" w:cs="Arial"/>
          <w:noProof/>
          <w:lang w:val="es-ES_tradnl"/>
        </w:rPr>
        <w:tab/>
      </w:r>
      <w:r w:rsidR="00A115FD">
        <w:rPr>
          <w:rFonts w:ascii="Geomanist Light" w:eastAsia="Calibri" w:hAnsi="Geomanist Light" w:cs="Arial"/>
          <w:noProof/>
          <w:lang w:val="es-ES_tradnl"/>
        </w:rPr>
        <w:tab/>
      </w:r>
      <w:r>
        <w:rPr>
          <w:rFonts w:ascii="Geomanist Light" w:eastAsia="Calibri" w:hAnsi="Geomanist Light" w:cs="Arial"/>
          <w:noProof/>
          <w:lang w:val="es-ES_tradnl"/>
        </w:rPr>
        <w:t>En ese orden, de conformidad con el criterio hermenéutico</w:t>
      </w:r>
      <w:r w:rsidRPr="00545AA3">
        <w:rPr>
          <w:rFonts w:ascii="Geomanist Light" w:eastAsia="Calibri" w:hAnsi="Geomanist Light" w:cs="Arial"/>
          <w:noProof/>
          <w:lang w:val="es-ES_tradnl"/>
        </w:rPr>
        <w:t xml:space="preserve"> </w:t>
      </w:r>
      <w:r w:rsidRPr="00545AA3">
        <w:rPr>
          <w:rStyle w:val="normaltextrun"/>
          <w:rFonts w:ascii="Geomanist Light" w:hAnsi="Geomanist Light"/>
          <w:color w:val="000000"/>
          <w:shd w:val="clear" w:color="auto" w:fill="FFFFFF"/>
        </w:rPr>
        <w:t xml:space="preserve">según el cual </w:t>
      </w:r>
      <w:r w:rsidRPr="00545AA3">
        <w:rPr>
          <w:rStyle w:val="normaltextrun"/>
          <w:rFonts w:ascii="Geomanist Light" w:hAnsi="Geomanist Light"/>
          <w:b/>
          <w:bCs/>
          <w:i/>
          <w:iCs/>
          <w:color w:val="000000"/>
          <w:shd w:val="clear" w:color="auto" w:fill="FFFFFF"/>
        </w:rPr>
        <w:t>cuando la norma no distingue no le es dable al intérprete hacerlo</w:t>
      </w:r>
      <w:r w:rsidR="00785646" w:rsidRPr="00D0552A">
        <w:rPr>
          <w:rFonts w:ascii="Geomanist Light" w:eastAsia="Times New Roman" w:hAnsi="Geomanist Light" w:cs="Arial"/>
          <w:vertAlign w:val="superscript"/>
          <w:lang w:eastAsia="es-ES_tradnl"/>
        </w:rPr>
        <w:footnoteReference w:id="21"/>
      </w:r>
      <w:r w:rsidR="00785646" w:rsidRPr="00D0552A">
        <w:rPr>
          <w:rFonts w:ascii="Geomanist Light" w:eastAsia="Times New Roman" w:hAnsi="Geomanist Light" w:cs="Arial"/>
          <w:lang w:eastAsia="es-ES_tradnl"/>
        </w:rPr>
        <w:t>.</w:t>
      </w:r>
      <w:r>
        <w:rPr>
          <w:rFonts w:ascii="Geomanist Light" w:eastAsia="Calibri" w:hAnsi="Geomanist Light" w:cs="Arial"/>
          <w:noProof/>
          <w:lang w:val="es-ES_tradnl"/>
        </w:rPr>
        <w:t>,</w:t>
      </w:r>
      <w:r>
        <w:rPr>
          <w:rStyle w:val="superscript"/>
          <w:rFonts w:ascii="Geomanist Light" w:hAnsi="Geomanist Light"/>
          <w:color w:val="000000"/>
          <w:shd w:val="clear" w:color="auto" w:fill="FFFFFF"/>
          <w:vertAlign w:val="superscript"/>
        </w:rPr>
        <w:t xml:space="preserve"> </w:t>
      </w:r>
      <w:r>
        <w:rPr>
          <w:rFonts w:ascii="Geomanist Light" w:eastAsia="Calibri" w:hAnsi="Geomanist Light" w:cs="Arial"/>
          <w:noProof/>
          <w:lang w:val="es-ES_tradnl"/>
        </w:rPr>
        <w:t xml:space="preserve">esta Agencia no podría determinar si bajo el precepto normativo estipulado en el artículo 68 de la Ley 2166 de 2021, las entidades del orden territorial están o no facultadas para </w:t>
      </w:r>
      <w:r w:rsidR="00A115FD">
        <w:rPr>
          <w:rFonts w:ascii="Geomanist Light" w:eastAsia="Calibri" w:hAnsi="Geomanist Light" w:cs="Arial"/>
          <w:noProof/>
          <w:lang w:val="es-ES_tradnl"/>
        </w:rPr>
        <w:t>donar sus</w:t>
      </w:r>
      <w:r>
        <w:rPr>
          <w:rFonts w:ascii="Geomanist Light" w:eastAsia="Calibri" w:hAnsi="Geomanist Light" w:cs="Arial"/>
          <w:noProof/>
          <w:lang w:val="es-ES_tradnl"/>
        </w:rPr>
        <w:t xml:space="preserve"> bienes a las juntas de acción comunal, pues este señala aspectos meramente presupuestales. De ahí que, sea obligación de la entidad territorial que pretende </w:t>
      </w:r>
      <w:r w:rsidR="008264D8">
        <w:rPr>
          <w:rFonts w:ascii="Geomanist Light" w:eastAsia="Calibri" w:hAnsi="Geomanist Light" w:cs="Arial"/>
          <w:noProof/>
          <w:lang w:val="es-ES_tradnl"/>
        </w:rPr>
        <w:t xml:space="preserve">dotar o equipar a las Juntas de Acción Comunal, </w:t>
      </w:r>
      <w:r w:rsidR="002F16CB">
        <w:rPr>
          <w:rFonts w:ascii="Geomanist Light" w:eastAsia="Calibri" w:hAnsi="Geomanist Light" w:cs="Arial"/>
          <w:noProof/>
          <w:lang w:val="es-ES_tradnl"/>
        </w:rPr>
        <w:t>determinar el tipo de contrato o vía jurídica que desea optar</w:t>
      </w:r>
      <w:r w:rsidR="00F407D3">
        <w:rPr>
          <w:rFonts w:ascii="Geomanist Light" w:eastAsia="Calibri" w:hAnsi="Geomanist Light" w:cs="Arial"/>
          <w:noProof/>
          <w:lang w:val="es-ES_tradnl"/>
        </w:rPr>
        <w:t xml:space="preserve"> para llevar a cabo dicho fin. </w:t>
      </w:r>
    </w:p>
    <w:p w14:paraId="6215AB9F" w14:textId="77777777" w:rsidR="00304DFB" w:rsidRDefault="00304DFB" w:rsidP="00D334A7">
      <w:pPr>
        <w:tabs>
          <w:tab w:val="left" w:pos="8789"/>
        </w:tabs>
        <w:spacing w:after="0" w:line="276" w:lineRule="auto"/>
        <w:jc w:val="both"/>
        <w:rPr>
          <w:rFonts w:ascii="Geomanist Light" w:eastAsia="Calibri" w:hAnsi="Geomanist Light" w:cs="Arial"/>
          <w:bCs/>
          <w:noProof/>
          <w:lang w:val="es-ES_tradnl"/>
        </w:rPr>
      </w:pPr>
    </w:p>
    <w:p w14:paraId="00EFD184" w14:textId="7A7F0944" w:rsidR="00C9694A" w:rsidRPr="00417A9A" w:rsidRDefault="00A05F86" w:rsidP="00C9694A">
      <w:pPr>
        <w:spacing w:after="0" w:line="276" w:lineRule="auto"/>
        <w:jc w:val="both"/>
        <w:rPr>
          <w:rFonts w:ascii="Geomanist Light" w:eastAsia="Calibri" w:hAnsi="Geomanist Light" w:cs="Arial"/>
          <w:noProof/>
          <w:lang w:val="es-ES_tradnl"/>
        </w:rPr>
      </w:pPr>
      <w:r w:rsidRPr="00A05F86">
        <w:rPr>
          <w:rFonts w:ascii="Geomanist Light" w:eastAsia="Calibri" w:hAnsi="Geomanist Light" w:cs="Arial"/>
          <w:noProof/>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B456EF3" w14:textId="77777777" w:rsidR="00C9694A" w:rsidRPr="00417A9A" w:rsidRDefault="00C9694A" w:rsidP="00C9694A">
      <w:pPr>
        <w:spacing w:after="0" w:line="276" w:lineRule="auto"/>
        <w:jc w:val="both"/>
        <w:rPr>
          <w:rFonts w:ascii="Geomanist Light" w:eastAsia="Calibri" w:hAnsi="Geomanist Light" w:cs="Arial"/>
          <w:noProof/>
          <w:lang w:val="es-ES_tradnl"/>
        </w:rPr>
      </w:pPr>
      <w:r w:rsidRPr="00417A9A">
        <w:rPr>
          <w:rFonts w:ascii="Geomanist Light" w:eastAsia="Calibri" w:hAnsi="Geomanist Light" w:cs="Arial"/>
          <w:noProof/>
          <w:sz w:val="24"/>
          <w:lang w:eastAsia="es-CO"/>
        </w:rPr>
        <mc:AlternateContent>
          <mc:Choice Requires="wps">
            <w:drawing>
              <wp:anchor distT="0" distB="0" distL="114300" distR="114300" simplePos="0" relativeHeight="251658240" behindDoc="0" locked="0" layoutInCell="1" allowOverlap="1" wp14:anchorId="008AFA35" wp14:editId="6EAD753B">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EB622FB" id="Conector recto 1"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" strokecolor="#dbdbdb">
                <w10:wrap anchorx="page"/>
              </v:line>
            </w:pict>
          </mc:Fallback>
        </mc:AlternateContent>
      </w:r>
    </w:p>
    <w:bookmarkEnd w:id="2"/>
    <w:p w14:paraId="01BE2A63" w14:textId="77777777" w:rsidR="00C9694A" w:rsidRPr="00417A9A" w:rsidRDefault="00C9694A" w:rsidP="00C9694A">
      <w:pPr>
        <w:spacing w:after="0" w:line="240" w:lineRule="auto"/>
        <w:textAlignment w:val="baseline"/>
        <w:rPr>
          <w:rFonts w:ascii="Geomanist Light" w:eastAsia="Times New Roman" w:hAnsi="Geomanist Light" w:cs="Segoe UI"/>
          <w:sz w:val="18"/>
          <w:szCs w:val="18"/>
          <w:lang w:eastAsia="es-CO"/>
        </w:rPr>
      </w:pPr>
      <w:r w:rsidRPr="00417A9A">
        <w:rPr>
          <w:rFonts w:ascii="Geomanist Light" w:eastAsia="Times New Roman" w:hAnsi="Geomanist Light" w:cs="Arial"/>
          <w:lang w:val="es-MX" w:eastAsia="es-CO"/>
        </w:rPr>
        <w:t>Atentamente,</w:t>
      </w:r>
      <w:r w:rsidRPr="00417A9A">
        <w:rPr>
          <w:rFonts w:ascii="Calibri" w:eastAsia="Times New Roman" w:hAnsi="Calibri" w:cs="Calibri"/>
          <w:lang w:eastAsia="es-CO"/>
        </w:rPr>
        <w:t> </w:t>
      </w:r>
    </w:p>
    <w:p w14:paraId="776CC93A" w14:textId="77777777" w:rsidR="00C9694A" w:rsidRPr="00417A9A" w:rsidRDefault="00C9694A" w:rsidP="00C9694A">
      <w:pPr>
        <w:spacing w:after="0" w:line="240" w:lineRule="auto"/>
        <w:textAlignment w:val="baseline"/>
        <w:rPr>
          <w:rFonts w:ascii="Geomanist Light" w:eastAsia="Times New Roman" w:hAnsi="Geomanist Light" w:cs="Segoe UI"/>
          <w:sz w:val="18"/>
          <w:szCs w:val="18"/>
          <w:lang w:eastAsia="es-CO"/>
        </w:rPr>
      </w:pPr>
    </w:p>
    <w:p w14:paraId="06892710" w14:textId="34C2C945" w:rsidR="00C9694A" w:rsidRPr="00417A9A" w:rsidRDefault="00D4381E" w:rsidP="00C9694A">
      <w:pPr>
        <w:spacing w:after="0" w:line="240" w:lineRule="auto"/>
        <w:jc w:val="center"/>
        <w:textAlignment w:val="baseline"/>
        <w:rPr>
          <w:rFonts w:ascii="Geomanist Light" w:eastAsia="Times New Roman" w:hAnsi="Geomanist Light" w:cs="Arial"/>
          <w:sz w:val="18"/>
          <w:szCs w:val="18"/>
          <w:lang w:eastAsia="es-CO"/>
        </w:rPr>
      </w:pPr>
      <w:r>
        <w:rPr>
          <w:rFonts w:ascii="Geomanist Light" w:hAnsi="Geomanist Light" w:cs="Arial"/>
          <w:noProof/>
          <w:color w:val="3B3838"/>
          <w:sz w:val="18"/>
          <w:szCs w:val="18"/>
          <w:shd w:val="clear" w:color="auto" w:fill="FFFFFF"/>
          <w:lang w:val="es-ES"/>
        </w:rPr>
        <w:drawing>
          <wp:inline distT="0" distB="0" distL="0" distR="0" wp14:anchorId="790710C0" wp14:editId="4ECD4AFE">
            <wp:extent cx="3157855" cy="1212215"/>
            <wp:effectExtent l="0" t="0" r="4445" b="6985"/>
            <wp:docPr id="32" name="Imagen 3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descr="Text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57855" cy="1212215"/>
                    </a:xfrm>
                    <a:prstGeom prst="rect">
                      <a:avLst/>
                    </a:prstGeom>
                    <a:noFill/>
                    <a:ln>
                      <a:noFill/>
                    </a:ln>
                  </pic:spPr>
                </pic:pic>
              </a:graphicData>
            </a:graphic>
          </wp:inline>
        </w:drawing>
      </w:r>
      <w:r>
        <w:rPr>
          <w:rFonts w:ascii="Arial" w:hAnsi="Arial" w:cs="Arial"/>
          <w:b/>
          <w:bCs/>
          <w:color w:val="000000"/>
          <w:sz w:val="18"/>
          <w:szCs w:val="18"/>
          <w:shd w:val="clear" w:color="auto" w:fill="FFFFFF"/>
          <w:lang w:val="es-ES"/>
        </w:rPr>
        <w:br/>
      </w:r>
      <w:r w:rsidR="0035498F" w:rsidRPr="00417A9A">
        <w:rPr>
          <w:rFonts w:ascii="Geomanist Light" w:hAnsi="Geomanist Light" w:cs="Arial"/>
          <w:color w:val="3B3838"/>
          <w:sz w:val="18"/>
          <w:szCs w:val="18"/>
          <w:shd w:val="clear" w:color="auto" w:fill="FFFFFF"/>
          <w:lang w:val="es-ES"/>
        </w:rPr>
        <w:br/>
      </w:r>
    </w:p>
    <w:p w14:paraId="6B44F195" w14:textId="18932F56" w:rsidR="0035498F" w:rsidRPr="00417A9A" w:rsidRDefault="0035498F" w:rsidP="0035498F">
      <w:pPr>
        <w:spacing w:after="0" w:line="240" w:lineRule="auto"/>
        <w:jc w:val="center"/>
        <w:textAlignment w:val="baseline"/>
        <w:rPr>
          <w:rFonts w:ascii="Geomanist Light" w:eastAsia="Times New Roman" w:hAnsi="Geomanist Light" w:cs="Arial"/>
          <w:sz w:val="18"/>
          <w:szCs w:val="18"/>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C9694A" w:rsidRPr="00417A9A" w14:paraId="1AABAD2D" w14:textId="77777777" w:rsidTr="00C9694A">
        <w:trPr>
          <w:trHeight w:val="315"/>
        </w:trPr>
        <w:tc>
          <w:tcPr>
            <w:tcW w:w="812" w:type="dxa"/>
            <w:vAlign w:val="center"/>
            <w:hideMark/>
          </w:tcPr>
          <w:p w14:paraId="56AC3CF2" w14:textId="77777777" w:rsidR="00C9694A" w:rsidRPr="00417A9A" w:rsidRDefault="00C9694A" w:rsidP="00C9694A">
            <w:pPr>
              <w:jc w:val="both"/>
              <w:rPr>
                <w:rFonts w:ascii="Geomanist Light" w:eastAsia="Times New Roman" w:hAnsi="Geomanist Light" w:cs="Arial"/>
                <w:color w:val="000000"/>
                <w:sz w:val="16"/>
                <w:szCs w:val="16"/>
                <w:lang w:val="es-ES_tradnl" w:eastAsia="es-ES"/>
              </w:rPr>
            </w:pPr>
            <w:r w:rsidRPr="00417A9A">
              <w:rPr>
                <w:rFonts w:ascii="Geomanist Light" w:eastAsia="Times New Roman" w:hAnsi="Geomanist Light" w:cs="Arial"/>
                <w:color w:val="000000"/>
                <w:sz w:val="16"/>
                <w:szCs w:val="16"/>
                <w:lang w:val="es-ES_tradnl" w:eastAsia="es-ES"/>
              </w:rPr>
              <w:t>Elaboró:</w:t>
            </w:r>
          </w:p>
        </w:tc>
        <w:tc>
          <w:tcPr>
            <w:tcW w:w="4413" w:type="dxa"/>
            <w:tcBorders>
              <w:top w:val="nil"/>
              <w:left w:val="nil"/>
              <w:bottom w:val="dotted" w:sz="4" w:space="0" w:color="7F7F7F"/>
              <w:right w:val="nil"/>
            </w:tcBorders>
            <w:vAlign w:val="center"/>
            <w:hideMark/>
          </w:tcPr>
          <w:p w14:paraId="306471A9" w14:textId="5BE97600" w:rsidR="007C4B90" w:rsidRPr="00417A9A" w:rsidRDefault="007919E1" w:rsidP="00C9694A">
            <w:pPr>
              <w:jc w:val="both"/>
              <w:rPr>
                <w:rFonts w:ascii="Geomanist Light" w:eastAsia="Times New Roman" w:hAnsi="Geomanist Light" w:cs="Arial"/>
                <w:sz w:val="16"/>
                <w:szCs w:val="16"/>
                <w:lang w:val="es-MX" w:eastAsia="es-CO"/>
              </w:rPr>
            </w:pPr>
            <w:r w:rsidRPr="00417A9A">
              <w:rPr>
                <w:rFonts w:ascii="Geomanist Light" w:eastAsia="Times New Roman" w:hAnsi="Geomanist Light" w:cs="Arial"/>
                <w:sz w:val="16"/>
                <w:szCs w:val="16"/>
                <w:lang w:val="es-MX" w:eastAsia="es-CO"/>
              </w:rPr>
              <w:t>Nasly Yeana Mosquera Rivas</w:t>
            </w:r>
          </w:p>
          <w:p w14:paraId="3FC243B1" w14:textId="0B9A7295" w:rsidR="00C9694A" w:rsidRPr="00417A9A" w:rsidRDefault="007919E1" w:rsidP="00C9694A">
            <w:pPr>
              <w:jc w:val="both"/>
              <w:rPr>
                <w:rFonts w:ascii="Geomanist Light" w:eastAsia="Times New Roman" w:hAnsi="Geomanist Light" w:cs="Arial"/>
                <w:color w:val="000000"/>
                <w:sz w:val="16"/>
                <w:szCs w:val="16"/>
                <w:lang w:val="es-ES_tradnl" w:eastAsia="es-ES"/>
              </w:rPr>
            </w:pPr>
            <w:r w:rsidRPr="00417A9A">
              <w:rPr>
                <w:rFonts w:ascii="Geomanist Light" w:eastAsia="Times New Roman" w:hAnsi="Geomanist Light" w:cs="Arial"/>
                <w:color w:val="000000"/>
                <w:sz w:val="16"/>
                <w:szCs w:val="16"/>
                <w:lang w:val="es-ES_tradnl" w:eastAsia="es-ES"/>
              </w:rPr>
              <w:t xml:space="preserve">Analista T2 </w:t>
            </w:r>
            <w:r w:rsidR="00BC3978" w:rsidRPr="00417A9A">
              <w:rPr>
                <w:rFonts w:ascii="Geomanist Light" w:eastAsia="Times New Roman" w:hAnsi="Geomanist Light" w:cs="Arial"/>
                <w:color w:val="000000"/>
                <w:sz w:val="16"/>
                <w:szCs w:val="16"/>
                <w:lang w:val="es-ES_tradnl" w:eastAsia="es-ES"/>
              </w:rPr>
              <w:t xml:space="preserve">– </w:t>
            </w:r>
            <w:r w:rsidRPr="00417A9A">
              <w:rPr>
                <w:rFonts w:ascii="Geomanist Light" w:eastAsia="Times New Roman" w:hAnsi="Geomanist Light" w:cs="Arial"/>
                <w:color w:val="000000"/>
                <w:sz w:val="16"/>
                <w:szCs w:val="16"/>
                <w:lang w:val="es-ES_tradnl" w:eastAsia="es-ES"/>
              </w:rPr>
              <w:t>0</w:t>
            </w:r>
            <w:r w:rsidR="00BC3978" w:rsidRPr="00417A9A">
              <w:rPr>
                <w:rFonts w:ascii="Geomanist Light" w:eastAsia="Times New Roman" w:hAnsi="Geomanist Light" w:cs="Arial"/>
                <w:color w:val="000000"/>
                <w:sz w:val="16"/>
                <w:szCs w:val="16"/>
                <w:lang w:val="es-ES_tradnl" w:eastAsia="es-ES"/>
              </w:rPr>
              <w:t>6</w:t>
            </w:r>
            <w:r w:rsidR="00C9694A" w:rsidRPr="00417A9A">
              <w:rPr>
                <w:rFonts w:ascii="Geomanist Light" w:eastAsia="Times New Roman" w:hAnsi="Geomanist Light" w:cs="Arial"/>
                <w:color w:val="000000"/>
                <w:sz w:val="16"/>
                <w:szCs w:val="16"/>
                <w:lang w:val="es-ES_tradnl" w:eastAsia="es-ES"/>
              </w:rPr>
              <w:t xml:space="preserve"> de la Subdirección de Gestión Contractual</w:t>
            </w:r>
          </w:p>
        </w:tc>
      </w:tr>
      <w:tr w:rsidR="00C9694A" w:rsidRPr="00417A9A" w14:paraId="62246B03" w14:textId="77777777" w:rsidTr="00C9694A">
        <w:trPr>
          <w:trHeight w:val="330"/>
        </w:trPr>
        <w:tc>
          <w:tcPr>
            <w:tcW w:w="812" w:type="dxa"/>
            <w:vAlign w:val="center"/>
            <w:hideMark/>
          </w:tcPr>
          <w:p w14:paraId="471F62F3" w14:textId="77777777" w:rsidR="00C9694A" w:rsidRPr="00417A9A" w:rsidRDefault="00C9694A" w:rsidP="00C9694A">
            <w:pPr>
              <w:jc w:val="both"/>
              <w:rPr>
                <w:rFonts w:ascii="Geomanist Light" w:eastAsia="Times New Roman" w:hAnsi="Geomanist Light" w:cs="Arial"/>
                <w:color w:val="000000"/>
                <w:sz w:val="16"/>
                <w:szCs w:val="16"/>
                <w:lang w:val="es-ES_tradnl" w:eastAsia="es-ES"/>
              </w:rPr>
            </w:pPr>
            <w:r w:rsidRPr="00417A9A">
              <w:rPr>
                <w:rFonts w:ascii="Geomanist Light" w:eastAsia="Times New Roman" w:hAnsi="Geomanist Light" w:cs="Arial"/>
                <w:color w:val="000000"/>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1A23E8AF" w14:textId="2D248F29" w:rsidR="00C9694A" w:rsidRPr="00417A9A" w:rsidRDefault="007919E1" w:rsidP="00C9694A">
            <w:pPr>
              <w:jc w:val="both"/>
              <w:rPr>
                <w:rFonts w:ascii="Geomanist Light" w:eastAsia="Times New Roman" w:hAnsi="Geomanist Light" w:cs="Arial"/>
                <w:color w:val="000000"/>
                <w:sz w:val="16"/>
                <w:szCs w:val="16"/>
                <w:lang w:val="es-ES_tradnl" w:eastAsia="es-ES"/>
              </w:rPr>
            </w:pPr>
            <w:r w:rsidRPr="00417A9A">
              <w:rPr>
                <w:rFonts w:ascii="Geomanist Light" w:eastAsia="Times New Roman" w:hAnsi="Geomanist Light" w:cs="Arial"/>
                <w:color w:val="000000"/>
                <w:sz w:val="16"/>
                <w:szCs w:val="16"/>
                <w:lang w:val="es-ES_tradnl" w:eastAsia="es-ES"/>
              </w:rPr>
              <w:t>Any Alejandra Tovar</w:t>
            </w:r>
            <w:r w:rsidR="00C421CB" w:rsidRPr="00417A9A">
              <w:rPr>
                <w:rFonts w:ascii="Geomanist Light" w:eastAsia="Times New Roman" w:hAnsi="Geomanist Light" w:cs="Arial"/>
                <w:color w:val="000000"/>
                <w:sz w:val="16"/>
                <w:szCs w:val="16"/>
                <w:lang w:val="es-ES_tradnl" w:eastAsia="es-ES"/>
              </w:rPr>
              <w:t xml:space="preserve"> Castillo</w:t>
            </w:r>
          </w:p>
          <w:p w14:paraId="6EA24455" w14:textId="5F273B03" w:rsidR="00C9694A" w:rsidRPr="00417A9A" w:rsidRDefault="00BC3978" w:rsidP="00C9694A">
            <w:pPr>
              <w:jc w:val="both"/>
              <w:rPr>
                <w:rFonts w:ascii="Geomanist Light" w:eastAsia="Times New Roman" w:hAnsi="Geomanist Light" w:cs="Arial"/>
                <w:color w:val="000000"/>
                <w:sz w:val="16"/>
                <w:szCs w:val="16"/>
                <w:lang w:val="es-ES_tradnl" w:eastAsia="es-ES"/>
              </w:rPr>
            </w:pPr>
            <w:r w:rsidRPr="00417A9A">
              <w:rPr>
                <w:rFonts w:ascii="Geomanist Light" w:eastAsia="Times New Roman" w:hAnsi="Geomanist Light" w:cs="Arial"/>
                <w:color w:val="000000"/>
                <w:sz w:val="16"/>
                <w:szCs w:val="16"/>
                <w:lang w:val="es-ES_tradnl" w:eastAsia="es-ES"/>
              </w:rPr>
              <w:t>Contratista de la</w:t>
            </w:r>
            <w:r w:rsidR="00C9694A" w:rsidRPr="00417A9A">
              <w:rPr>
                <w:rFonts w:ascii="Geomanist Light" w:eastAsia="Times New Roman" w:hAnsi="Geomanist Light" w:cs="Arial"/>
                <w:color w:val="000000"/>
                <w:sz w:val="16"/>
                <w:szCs w:val="16"/>
                <w:lang w:val="es-ES_tradnl" w:eastAsia="es-ES"/>
              </w:rPr>
              <w:t xml:space="preserve"> Subdirección de Gestión Contractual</w:t>
            </w:r>
          </w:p>
        </w:tc>
      </w:tr>
      <w:tr w:rsidR="00C9694A" w:rsidRPr="00417A9A" w14:paraId="7C688F5B" w14:textId="77777777" w:rsidTr="00C9694A">
        <w:trPr>
          <w:trHeight w:val="300"/>
        </w:trPr>
        <w:tc>
          <w:tcPr>
            <w:tcW w:w="812" w:type="dxa"/>
            <w:vAlign w:val="center"/>
            <w:hideMark/>
          </w:tcPr>
          <w:p w14:paraId="2A2A2EED" w14:textId="77777777" w:rsidR="00C9694A" w:rsidRPr="00417A9A" w:rsidRDefault="00C9694A" w:rsidP="00C9694A">
            <w:pPr>
              <w:jc w:val="both"/>
              <w:rPr>
                <w:rFonts w:ascii="Geomanist Light" w:eastAsia="Times New Roman" w:hAnsi="Geomanist Light" w:cs="Arial"/>
                <w:color w:val="000000"/>
                <w:sz w:val="16"/>
                <w:szCs w:val="16"/>
                <w:lang w:val="es-ES_tradnl" w:eastAsia="es-ES"/>
              </w:rPr>
            </w:pPr>
            <w:r w:rsidRPr="00417A9A">
              <w:rPr>
                <w:rFonts w:ascii="Geomanist Light" w:eastAsia="Times New Roman" w:hAnsi="Geomanist Light" w:cs="Arial"/>
                <w:color w:val="000000"/>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0BC4E4E7" w14:textId="49ABB33E" w:rsidR="007D7996" w:rsidRPr="00417A9A" w:rsidRDefault="00CA3E62" w:rsidP="007D7996">
            <w:pPr>
              <w:pStyle w:val="paragraph"/>
              <w:spacing w:before="0" w:beforeAutospacing="0" w:after="0" w:afterAutospacing="0"/>
              <w:textAlignment w:val="baseline"/>
              <w:rPr>
                <w:rFonts w:ascii="Geomanist Light" w:hAnsi="Geomanist Light" w:cs="Segoe UI"/>
                <w:sz w:val="18"/>
                <w:szCs w:val="18"/>
              </w:rPr>
            </w:pPr>
            <w:r w:rsidRPr="00417A9A">
              <w:rPr>
                <w:rStyle w:val="normaltextrun"/>
                <w:rFonts w:ascii="Geomanist Light" w:hAnsi="Geomanist Light" w:cs="Arial"/>
                <w:color w:val="000000"/>
                <w:sz w:val="16"/>
                <w:szCs w:val="16"/>
              </w:rPr>
              <w:t>N</w:t>
            </w:r>
            <w:r w:rsidRPr="00417A9A">
              <w:rPr>
                <w:rStyle w:val="normaltextrun"/>
                <w:rFonts w:ascii="Geomanist Light" w:hAnsi="Geomanist Light" w:cs="Arial"/>
                <w:sz w:val="16"/>
                <w:szCs w:val="16"/>
              </w:rPr>
              <w:t>ohelia del Carmen Zawady Palacio</w:t>
            </w:r>
          </w:p>
          <w:p w14:paraId="3AF24C5E" w14:textId="2E5AB173" w:rsidR="00C9694A" w:rsidRPr="00417A9A" w:rsidRDefault="007D7996" w:rsidP="007D7996">
            <w:pPr>
              <w:pStyle w:val="paragraph"/>
              <w:spacing w:before="0" w:beforeAutospacing="0" w:after="0" w:afterAutospacing="0"/>
              <w:textAlignment w:val="baseline"/>
              <w:rPr>
                <w:rFonts w:ascii="Geomanist Light" w:hAnsi="Geomanist Light" w:cs="Segoe UI"/>
                <w:sz w:val="18"/>
                <w:szCs w:val="18"/>
              </w:rPr>
            </w:pPr>
            <w:r w:rsidRPr="00417A9A">
              <w:rPr>
                <w:rStyle w:val="normaltextrun"/>
                <w:rFonts w:ascii="Geomanist Light" w:hAnsi="Geomanist Light" w:cs="Arial"/>
                <w:color w:val="000000"/>
                <w:sz w:val="16"/>
                <w:szCs w:val="16"/>
              </w:rPr>
              <w:t>Subdirector</w:t>
            </w:r>
            <w:r w:rsidR="0035498F" w:rsidRPr="00417A9A">
              <w:rPr>
                <w:rStyle w:val="normaltextrun"/>
                <w:rFonts w:ascii="Geomanist Light" w:hAnsi="Geomanist Light" w:cs="Arial"/>
                <w:color w:val="000000"/>
                <w:sz w:val="16"/>
                <w:szCs w:val="16"/>
              </w:rPr>
              <w:t>a</w:t>
            </w:r>
            <w:r w:rsidRPr="00417A9A">
              <w:rPr>
                <w:rStyle w:val="normaltextrun"/>
                <w:rFonts w:ascii="Geomanist Light" w:hAnsi="Geomanist Light" w:cs="Arial"/>
                <w:color w:val="000000"/>
                <w:sz w:val="16"/>
                <w:szCs w:val="16"/>
              </w:rPr>
              <w:t xml:space="preserve"> de Gestión Contractual </w:t>
            </w:r>
            <w:r w:rsidRPr="00417A9A">
              <w:rPr>
                <w:rStyle w:val="normaltextrun"/>
                <w:rFonts w:ascii="Calibri" w:hAnsi="Calibri" w:cs="Calibri"/>
                <w:color w:val="000000"/>
                <w:sz w:val="16"/>
                <w:szCs w:val="16"/>
              </w:rPr>
              <w:t> </w:t>
            </w:r>
            <w:r w:rsidRPr="00417A9A">
              <w:rPr>
                <w:rStyle w:val="eop"/>
                <w:rFonts w:ascii="Calibri" w:hAnsi="Calibri" w:cs="Calibri"/>
                <w:color w:val="000000"/>
                <w:sz w:val="16"/>
                <w:szCs w:val="16"/>
              </w:rPr>
              <w:t> </w:t>
            </w:r>
          </w:p>
        </w:tc>
      </w:tr>
    </w:tbl>
    <w:p w14:paraId="525094C3" w14:textId="77777777" w:rsidR="00C9694A" w:rsidRPr="00417A9A" w:rsidRDefault="00C9694A" w:rsidP="00C9694A">
      <w:pPr>
        <w:spacing w:after="0" w:line="240" w:lineRule="auto"/>
        <w:jc w:val="center"/>
        <w:textAlignment w:val="baseline"/>
        <w:rPr>
          <w:rFonts w:ascii="Geomanist Light" w:eastAsia="Times New Roman" w:hAnsi="Geomanist Light" w:cs="Segoe UI"/>
          <w:sz w:val="18"/>
          <w:szCs w:val="18"/>
          <w:lang w:eastAsia="es-CO"/>
        </w:rPr>
      </w:pPr>
      <w:r w:rsidRPr="00417A9A">
        <w:rPr>
          <w:rFonts w:ascii="Calibri" w:eastAsia="Times New Roman" w:hAnsi="Calibri" w:cs="Calibri"/>
          <w:sz w:val="18"/>
          <w:szCs w:val="18"/>
          <w:lang w:eastAsia="es-CO"/>
        </w:rPr>
        <w:t> </w:t>
      </w:r>
      <w:bookmarkEnd w:id="3"/>
    </w:p>
    <w:sectPr w:rsidR="00C9694A" w:rsidRPr="00417A9A" w:rsidSect="000949EA">
      <w:headerReference w:type="even" r:id="rId14"/>
      <w:headerReference w:type="default" r:id="rId15"/>
      <w:footerReference w:type="even" r:id="rId16"/>
      <w:footerReference w:type="default" r:id="rId17"/>
      <w:headerReference w:type="first" r:id="rId18"/>
      <w:footerReference w:type="first" r:id="rId19"/>
      <w:pgSz w:w="12240" w:h="15840"/>
      <w:pgMar w:top="1779" w:right="1750"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FE09A8" w14:textId="77777777" w:rsidR="004151F8" w:rsidRDefault="004151F8" w:rsidP="00C9694A">
      <w:pPr>
        <w:spacing w:after="0" w:line="240" w:lineRule="auto"/>
      </w:pPr>
      <w:r>
        <w:separator/>
      </w:r>
    </w:p>
  </w:endnote>
  <w:endnote w:type="continuationSeparator" w:id="0">
    <w:p w14:paraId="330B320F" w14:textId="77777777" w:rsidR="004151F8" w:rsidRDefault="004151F8" w:rsidP="00C9694A">
      <w:pPr>
        <w:spacing w:after="0" w:line="240" w:lineRule="auto"/>
      </w:pPr>
      <w:r>
        <w:continuationSeparator/>
      </w:r>
    </w:p>
  </w:endnote>
  <w:endnote w:type="continuationNotice" w:id="1">
    <w:p w14:paraId="5088BBE0" w14:textId="77777777" w:rsidR="004151F8" w:rsidRDefault="004151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A3DBA" w14:textId="77777777" w:rsidR="006C369A" w:rsidRDefault="006C369A">
    <w:pPr>
      <w:pStyle w:val="Piedepgina"/>
    </w:pPr>
  </w:p>
  <w:p w14:paraId="235FB51D" w14:textId="77777777" w:rsidR="00D229E4" w:rsidRDefault="00D229E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34457" w14:textId="77777777" w:rsidR="000949EA" w:rsidRPr="00C9694A" w:rsidRDefault="009A7EC0" w:rsidP="000949EA">
    <w:pPr>
      <w:pStyle w:val="Piedepgina1"/>
      <w:jc w:val="right"/>
      <w:rPr>
        <w:rFonts w:ascii="Arial" w:hAnsi="Arial" w:cs="Arial"/>
        <w:color w:val="7F7F7F"/>
        <w:sz w:val="16"/>
        <w:szCs w:val="16"/>
      </w:rPr>
    </w:pPr>
    <w:r w:rsidRPr="00C9694A">
      <w:rPr>
        <w:rFonts w:ascii="Arial" w:hAnsi="Arial" w:cs="Arial"/>
        <w:bCs/>
        <w:color w:val="7F7F7F"/>
        <w:sz w:val="16"/>
        <w:szCs w:val="16"/>
      </w:rPr>
      <w:t xml:space="preserve">Página </w:t>
    </w:r>
    <w:r w:rsidRPr="00C9694A">
      <w:rPr>
        <w:rFonts w:ascii="Arial" w:hAnsi="Arial" w:cs="Arial"/>
        <w:b/>
        <w:bCs/>
        <w:color w:val="7F7F7F"/>
        <w:sz w:val="16"/>
        <w:szCs w:val="16"/>
      </w:rPr>
      <w:fldChar w:fldCharType="begin"/>
    </w:r>
    <w:r w:rsidRPr="00C9694A">
      <w:rPr>
        <w:rFonts w:ascii="Arial" w:hAnsi="Arial" w:cs="Arial"/>
        <w:b/>
        <w:bCs/>
        <w:color w:val="7F7F7F"/>
        <w:sz w:val="16"/>
        <w:szCs w:val="16"/>
      </w:rPr>
      <w:instrText>PAGE  \* Arabic  \* MERGEFORMAT</w:instrText>
    </w:r>
    <w:r w:rsidRPr="00C9694A">
      <w:rPr>
        <w:rFonts w:ascii="Arial" w:hAnsi="Arial" w:cs="Arial"/>
        <w:b/>
        <w:bCs/>
        <w:color w:val="7F7F7F"/>
        <w:sz w:val="16"/>
        <w:szCs w:val="16"/>
      </w:rPr>
      <w:fldChar w:fldCharType="separate"/>
    </w:r>
    <w:r w:rsidRPr="00C9694A">
      <w:rPr>
        <w:rFonts w:ascii="Arial" w:hAnsi="Arial" w:cs="Arial"/>
        <w:b/>
        <w:bCs/>
        <w:noProof/>
        <w:color w:val="7F7F7F"/>
        <w:sz w:val="16"/>
        <w:szCs w:val="16"/>
      </w:rPr>
      <w:t>1</w:t>
    </w:r>
    <w:r w:rsidRPr="00C9694A">
      <w:rPr>
        <w:rFonts w:ascii="Arial" w:hAnsi="Arial" w:cs="Arial"/>
        <w:b/>
        <w:bCs/>
        <w:color w:val="7F7F7F"/>
        <w:sz w:val="16"/>
        <w:szCs w:val="16"/>
      </w:rPr>
      <w:fldChar w:fldCharType="end"/>
    </w:r>
    <w:r w:rsidRPr="00C9694A">
      <w:rPr>
        <w:rFonts w:ascii="Arial" w:hAnsi="Arial" w:cs="Arial"/>
        <w:color w:val="7F7F7F"/>
        <w:sz w:val="16"/>
        <w:szCs w:val="16"/>
      </w:rPr>
      <w:t xml:space="preserve"> de </w:t>
    </w:r>
    <w:r w:rsidRPr="00C9694A">
      <w:rPr>
        <w:rFonts w:ascii="Arial" w:hAnsi="Arial" w:cs="Arial"/>
        <w:b/>
        <w:bCs/>
        <w:color w:val="7F7F7F"/>
        <w:sz w:val="16"/>
        <w:szCs w:val="16"/>
      </w:rPr>
      <w:fldChar w:fldCharType="begin"/>
    </w:r>
    <w:r w:rsidRPr="00C9694A">
      <w:rPr>
        <w:rFonts w:ascii="Arial" w:hAnsi="Arial" w:cs="Arial"/>
        <w:b/>
        <w:bCs/>
        <w:color w:val="7F7F7F"/>
        <w:sz w:val="16"/>
        <w:szCs w:val="16"/>
      </w:rPr>
      <w:instrText>NUMPAGES  \* Arabic  \* MERGEFORMAT</w:instrText>
    </w:r>
    <w:r w:rsidRPr="00C9694A">
      <w:rPr>
        <w:rFonts w:ascii="Arial" w:hAnsi="Arial" w:cs="Arial"/>
        <w:b/>
        <w:bCs/>
        <w:color w:val="7F7F7F"/>
        <w:sz w:val="16"/>
        <w:szCs w:val="16"/>
      </w:rPr>
      <w:fldChar w:fldCharType="separate"/>
    </w:r>
    <w:r w:rsidRPr="00C9694A">
      <w:rPr>
        <w:rFonts w:ascii="Arial" w:hAnsi="Arial" w:cs="Arial"/>
        <w:b/>
        <w:bCs/>
        <w:noProof/>
        <w:color w:val="7F7F7F"/>
        <w:sz w:val="16"/>
        <w:szCs w:val="16"/>
      </w:rPr>
      <w:t>11</w:t>
    </w:r>
    <w:r w:rsidRPr="00C9694A">
      <w:rPr>
        <w:rFonts w:ascii="Arial" w:hAnsi="Arial" w:cs="Arial"/>
        <w:b/>
        <w:bCs/>
        <w:color w:val="7F7F7F"/>
        <w:sz w:val="16"/>
        <w:szCs w:val="16"/>
      </w:rPr>
      <w:fldChar w:fldCharType="end"/>
    </w:r>
  </w:p>
  <w:p w14:paraId="6FC1C0E1" w14:textId="7E065F04" w:rsidR="000949EA" w:rsidRDefault="00686593" w:rsidP="000949EA">
    <w:pPr>
      <w:pStyle w:val="Piedepgina1"/>
      <w:jc w:val="center"/>
      <w:rPr>
        <w:lang w:val="es-ES"/>
      </w:rPr>
    </w:pPr>
    <w:r w:rsidRPr="0043608C">
      <w:rPr>
        <w:rFonts w:ascii="Arial" w:hAnsi="Arial" w:cs="Arial"/>
        <w:bCs/>
        <w:noProof/>
        <w:color w:val="7F7F7F" w:themeColor="text1" w:themeTint="80"/>
        <w:sz w:val="16"/>
        <w:szCs w:val="16"/>
      </w:rPr>
      <w:drawing>
        <wp:inline distT="0" distB="0" distL="0" distR="0" wp14:anchorId="5578262C" wp14:editId="7D5D515A">
          <wp:extent cx="5220970" cy="827038"/>
          <wp:effectExtent l="0" t="0" r="0" b="0"/>
          <wp:docPr id="24" name="Imagen 24"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n 24" descr="Interfaz de usuario gráfica, Texto&#10;&#10;Descripción generada automáticamente"/>
                  <pic:cNvPicPr/>
                </pic:nvPicPr>
                <pic:blipFill>
                  <a:blip r:embed="rId1"/>
                  <a:stretch>
                    <a:fillRect/>
                  </a:stretch>
                </pic:blipFill>
                <pic:spPr>
                  <a:xfrm>
                    <a:off x="0" y="0"/>
                    <a:ext cx="5220970" cy="827038"/>
                  </a:xfrm>
                  <a:prstGeom prst="rect">
                    <a:avLst/>
                  </a:prstGeom>
                </pic:spPr>
              </pic:pic>
            </a:graphicData>
          </a:graphic>
        </wp:inline>
      </w:drawing>
    </w:r>
  </w:p>
  <w:p w14:paraId="2C4E2E47" w14:textId="77777777" w:rsidR="000D2216" w:rsidRPr="000D2216" w:rsidRDefault="000D2216" w:rsidP="000D2216">
    <w:pPr>
      <w:pStyle w:val="Piedepgina"/>
      <w:rPr>
        <w:lang w:val="es-ES"/>
      </w:rPr>
    </w:pPr>
  </w:p>
  <w:p w14:paraId="49E3326D" w14:textId="77777777" w:rsidR="00D229E4" w:rsidRDefault="00D229E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BAE11" w14:textId="77777777" w:rsidR="006C369A" w:rsidRDefault="006C369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A17364" w14:textId="77777777" w:rsidR="004151F8" w:rsidRDefault="004151F8" w:rsidP="00C9694A">
      <w:pPr>
        <w:spacing w:after="0" w:line="240" w:lineRule="auto"/>
      </w:pPr>
      <w:r>
        <w:separator/>
      </w:r>
    </w:p>
  </w:footnote>
  <w:footnote w:type="continuationSeparator" w:id="0">
    <w:p w14:paraId="079B40EB" w14:textId="77777777" w:rsidR="004151F8" w:rsidRDefault="004151F8" w:rsidP="00C9694A">
      <w:pPr>
        <w:spacing w:after="0" w:line="240" w:lineRule="auto"/>
      </w:pPr>
      <w:r>
        <w:continuationSeparator/>
      </w:r>
    </w:p>
  </w:footnote>
  <w:footnote w:type="continuationNotice" w:id="1">
    <w:p w14:paraId="6CCA7748" w14:textId="77777777" w:rsidR="004151F8" w:rsidRDefault="004151F8">
      <w:pPr>
        <w:spacing w:after="0" w:line="240" w:lineRule="auto"/>
      </w:pPr>
    </w:p>
  </w:footnote>
  <w:footnote w:id="2">
    <w:p w14:paraId="548C487F" w14:textId="77777777" w:rsidR="00FD1A40" w:rsidRPr="00C42F25" w:rsidRDefault="00FD1A40" w:rsidP="00FD1A40">
      <w:pPr>
        <w:pStyle w:val="Textonotapie"/>
        <w:ind w:firstLine="709"/>
        <w:jc w:val="both"/>
        <w:rPr>
          <w:rFonts w:ascii="Geomanist Light" w:hAnsi="Geomanist Light" w:cs="Arial"/>
          <w:color w:val="000000"/>
          <w:sz w:val="10"/>
          <w:szCs w:val="10"/>
        </w:rPr>
      </w:pPr>
      <w:r w:rsidRPr="00C42F25">
        <w:rPr>
          <w:rStyle w:val="Refdenotaalpie"/>
          <w:rFonts w:ascii="Geomanist Light" w:hAnsi="Geomanist Light" w:cs="Arial"/>
          <w:color w:val="000000"/>
          <w:sz w:val="10"/>
          <w:szCs w:val="10"/>
        </w:rPr>
        <w:footnoteRef/>
      </w:r>
      <w:r w:rsidRPr="00C42F25">
        <w:rPr>
          <w:rFonts w:ascii="Geomanist Light" w:hAnsi="Geomanist Light" w:cs="Arial"/>
          <w:color w:val="000000"/>
          <w:sz w:val="10"/>
          <w:szCs w:val="10"/>
        </w:rPr>
        <w:t xml:space="preserve"> En los términos del artículo 665 del Código Civil: «Derecho real es el que tenemos sobre una cosa sin especto a determinada persona.</w:t>
      </w:r>
    </w:p>
    <w:p w14:paraId="24C623E7" w14:textId="77777777" w:rsidR="00FD1A40" w:rsidRPr="00C42F25" w:rsidRDefault="00FD1A40" w:rsidP="00FD1A40">
      <w:pPr>
        <w:pStyle w:val="Textonotapie"/>
        <w:ind w:firstLine="709"/>
        <w:jc w:val="both"/>
        <w:rPr>
          <w:rFonts w:ascii="Geomanist Light" w:hAnsi="Geomanist Light" w:cs="Arial"/>
          <w:color w:val="000000"/>
          <w:sz w:val="10"/>
          <w:szCs w:val="10"/>
        </w:rPr>
      </w:pPr>
      <w:r w:rsidRPr="00C42F25">
        <w:rPr>
          <w:rFonts w:ascii="Geomanist Light" w:hAnsi="Geomanist Light" w:cs="Arial"/>
          <w:color w:val="000000"/>
          <w:sz w:val="10"/>
          <w:szCs w:val="10"/>
        </w:rPr>
        <w:t>»Son derechos reales el de dominio, el de herencia, los de usufructo, uso o habitación, los de servidumbres activas, el de prenda y el de hipoteca. De estos derechos nacen las acciones reales».</w:t>
      </w:r>
    </w:p>
    <w:p w14:paraId="605C20BE" w14:textId="77777777" w:rsidR="00FD1A40" w:rsidRPr="00C42F25" w:rsidRDefault="00FD1A40" w:rsidP="00FD1A40">
      <w:pPr>
        <w:pStyle w:val="Textonotapie"/>
        <w:ind w:firstLine="709"/>
        <w:jc w:val="both"/>
        <w:rPr>
          <w:rFonts w:ascii="Geomanist Light" w:hAnsi="Geomanist Light" w:cs="Arial"/>
          <w:color w:val="000000"/>
          <w:sz w:val="10"/>
          <w:szCs w:val="10"/>
        </w:rPr>
      </w:pPr>
    </w:p>
  </w:footnote>
  <w:footnote w:id="3">
    <w:p w14:paraId="49611255" w14:textId="77777777" w:rsidR="00FD1A40" w:rsidRPr="00C42F25" w:rsidRDefault="00FD1A40" w:rsidP="00FD1A40">
      <w:pPr>
        <w:pStyle w:val="Textonotapie"/>
        <w:ind w:firstLine="709"/>
        <w:jc w:val="both"/>
        <w:rPr>
          <w:rFonts w:ascii="Geomanist Light" w:hAnsi="Geomanist Light" w:cs="Arial"/>
          <w:color w:val="000000"/>
          <w:sz w:val="10"/>
          <w:szCs w:val="10"/>
        </w:rPr>
      </w:pPr>
      <w:r w:rsidRPr="00C42F25">
        <w:rPr>
          <w:rStyle w:val="Refdenotaalpie"/>
          <w:rFonts w:ascii="Geomanist Light" w:hAnsi="Geomanist Light" w:cs="Arial"/>
          <w:color w:val="000000"/>
          <w:sz w:val="10"/>
          <w:szCs w:val="10"/>
        </w:rPr>
        <w:footnoteRef/>
      </w:r>
      <w:r w:rsidRPr="00C42F25">
        <w:rPr>
          <w:rFonts w:ascii="Geomanist Light" w:hAnsi="Geomanist Light" w:cs="Arial"/>
          <w:color w:val="000000"/>
          <w:sz w:val="10"/>
          <w:szCs w:val="10"/>
        </w:rPr>
        <w:t xml:space="preserve"> Según el Diccionario del español jurídico, enajenar es «Disponer de un bien o derecho transmitiendo su titularidad». En sitio web: https://dej.rae.es/lema/enajenar. Por su parte, la jurisprudencia ha definido la enajenación del siguiente modo: «En términos jurídicos "enajenación" significa "La transmisión de la propiedad de una cosa, a cambio de otra (como en la compraventa y en la permuta) o gratuitamente (como en la donación y el préstamo sin interés).</w:t>
      </w:r>
    </w:p>
    <w:p w14:paraId="2C0923A4" w14:textId="77777777" w:rsidR="00FD1A40" w:rsidRPr="00C42F25" w:rsidRDefault="00FD1A40" w:rsidP="00085DCF">
      <w:pPr>
        <w:spacing w:after="0"/>
        <w:ind w:firstLine="709"/>
        <w:jc w:val="both"/>
        <w:rPr>
          <w:rFonts w:ascii="Geomanist Light" w:hAnsi="Geomanist Light" w:cs="Arial"/>
          <w:color w:val="000000"/>
          <w:sz w:val="10"/>
          <w:szCs w:val="10"/>
        </w:rPr>
      </w:pPr>
      <w:r w:rsidRPr="00C42F25">
        <w:rPr>
          <w:rFonts w:ascii="Geomanist Light" w:hAnsi="Geomanist Light" w:cs="Arial"/>
          <w:color w:val="000000"/>
          <w:sz w:val="10"/>
          <w:szCs w:val="10"/>
        </w:rPr>
        <w:t>»Igualmente, para la doctrina la palabra enajenación en su sentido natural indica la transmisión de cualquier derecho patrimonial de una cabeza a otra, por lo que constituye una adquisición derivada por acto entre vivos del contenido total o parcial de un derecho» (Consejo de Estado. Sección Cuarta. Sentencia del 6 de febrero de 2006. Consejera Ponente: María Inés Ortiz Barbosa. Expediente: 14.123).</w:t>
      </w:r>
    </w:p>
    <w:p w14:paraId="75A91F78" w14:textId="77777777" w:rsidR="00FD1A40" w:rsidRPr="00C42F25" w:rsidRDefault="00FD1A40" w:rsidP="00085DCF">
      <w:pPr>
        <w:spacing w:after="0"/>
        <w:ind w:firstLine="709"/>
        <w:jc w:val="both"/>
        <w:rPr>
          <w:rFonts w:ascii="Geomanist Light" w:hAnsi="Geomanist Light" w:cs="Arial"/>
          <w:color w:val="000000"/>
          <w:sz w:val="10"/>
          <w:szCs w:val="10"/>
        </w:rPr>
      </w:pPr>
    </w:p>
  </w:footnote>
  <w:footnote w:id="4">
    <w:p w14:paraId="74293713" w14:textId="77777777" w:rsidR="00FD1A40" w:rsidRPr="00C42F25" w:rsidRDefault="00FD1A40" w:rsidP="00085DCF">
      <w:pPr>
        <w:pStyle w:val="Textonotapie"/>
        <w:ind w:firstLine="709"/>
        <w:jc w:val="both"/>
        <w:rPr>
          <w:rFonts w:ascii="Geomanist Light" w:hAnsi="Geomanist Light" w:cs="Arial"/>
          <w:color w:val="000000"/>
          <w:sz w:val="10"/>
          <w:szCs w:val="10"/>
        </w:rPr>
      </w:pPr>
      <w:r w:rsidRPr="00C42F25">
        <w:rPr>
          <w:rStyle w:val="Refdenotaalpie"/>
          <w:rFonts w:ascii="Geomanist Light" w:hAnsi="Geomanist Light" w:cs="Arial"/>
          <w:color w:val="000000"/>
          <w:sz w:val="10"/>
          <w:szCs w:val="10"/>
        </w:rPr>
        <w:footnoteRef/>
      </w:r>
      <w:r w:rsidRPr="00C42F25">
        <w:rPr>
          <w:rFonts w:ascii="Geomanist Light" w:hAnsi="Geomanist Light" w:cs="Arial"/>
          <w:color w:val="000000"/>
          <w:sz w:val="10"/>
          <w:szCs w:val="10"/>
        </w:rPr>
        <w:t xml:space="preserve"> VELÁSQUEZ, Hernán Darío. Estudio sobre obligaciones. Bogotá: Temis, 2010. p. 10.</w:t>
      </w:r>
    </w:p>
    <w:p w14:paraId="6C32D719" w14:textId="77777777" w:rsidR="00FD1A40" w:rsidRPr="00C42F25" w:rsidRDefault="00FD1A40" w:rsidP="00085DCF">
      <w:pPr>
        <w:pStyle w:val="Textonotapie"/>
        <w:ind w:firstLine="709"/>
        <w:jc w:val="both"/>
        <w:rPr>
          <w:rFonts w:ascii="Geomanist Light" w:hAnsi="Geomanist Light" w:cs="Arial"/>
          <w:color w:val="000000"/>
          <w:sz w:val="10"/>
          <w:szCs w:val="10"/>
        </w:rPr>
      </w:pPr>
    </w:p>
  </w:footnote>
  <w:footnote w:id="5">
    <w:p w14:paraId="7572DC61" w14:textId="77777777" w:rsidR="00FD1A40" w:rsidRPr="00C42F25" w:rsidRDefault="00FD1A40" w:rsidP="00085DCF">
      <w:pPr>
        <w:pStyle w:val="Textonotapie"/>
        <w:ind w:firstLine="709"/>
        <w:jc w:val="both"/>
        <w:rPr>
          <w:rFonts w:ascii="Geomanist Light" w:hAnsi="Geomanist Light" w:cs="Arial"/>
          <w:color w:val="000000"/>
          <w:sz w:val="10"/>
          <w:szCs w:val="10"/>
        </w:rPr>
      </w:pPr>
      <w:r w:rsidRPr="00C42F25">
        <w:rPr>
          <w:rStyle w:val="Refdenotaalpie"/>
          <w:rFonts w:ascii="Geomanist Light" w:hAnsi="Geomanist Light" w:cs="Arial"/>
          <w:color w:val="000000"/>
          <w:sz w:val="10"/>
          <w:szCs w:val="10"/>
        </w:rPr>
        <w:footnoteRef/>
      </w:r>
      <w:r w:rsidRPr="00C42F25">
        <w:rPr>
          <w:rFonts w:ascii="Geomanist Light" w:hAnsi="Geomanist Light" w:cs="Arial"/>
          <w:color w:val="000000"/>
          <w:sz w:val="10"/>
          <w:szCs w:val="10"/>
        </w:rPr>
        <w:t xml:space="preserve"> Así, para Dávila, «enajenar es comprensivo de un acto traslaticio de dominio» (DÁVILA, </w:t>
      </w:r>
      <w:r w:rsidRPr="00C42F25">
        <w:rPr>
          <w:rFonts w:ascii="Geomanist Light" w:hAnsi="Geomanist Light" w:cs="Arial"/>
          <w:color w:val="000000"/>
          <w:sz w:val="10"/>
          <w:szCs w:val="10"/>
        </w:rPr>
        <w:t>Op.cit., p. 475).</w:t>
      </w:r>
    </w:p>
    <w:p w14:paraId="527D70A5" w14:textId="77777777" w:rsidR="00FD1A40" w:rsidRPr="00C42F25" w:rsidRDefault="00FD1A40" w:rsidP="00085DCF">
      <w:pPr>
        <w:pStyle w:val="Textonotapie"/>
        <w:ind w:firstLine="709"/>
        <w:jc w:val="both"/>
        <w:rPr>
          <w:rFonts w:ascii="Geomanist Light" w:hAnsi="Geomanist Light" w:cs="Arial"/>
          <w:color w:val="000000"/>
          <w:sz w:val="10"/>
          <w:szCs w:val="10"/>
        </w:rPr>
      </w:pPr>
    </w:p>
  </w:footnote>
  <w:footnote w:id="6">
    <w:p w14:paraId="31574A13" w14:textId="77777777" w:rsidR="00FD1A40" w:rsidRPr="00C42F25" w:rsidRDefault="00FD1A40" w:rsidP="00085DCF">
      <w:pPr>
        <w:pStyle w:val="Textonotapie"/>
        <w:ind w:firstLine="709"/>
        <w:jc w:val="both"/>
        <w:rPr>
          <w:rFonts w:ascii="Geomanist Light" w:hAnsi="Geomanist Light" w:cs="Arial"/>
          <w:color w:val="000000"/>
          <w:sz w:val="10"/>
          <w:szCs w:val="10"/>
        </w:rPr>
      </w:pPr>
      <w:r w:rsidRPr="00C42F25">
        <w:rPr>
          <w:rStyle w:val="Refdenotaalpie"/>
          <w:rFonts w:ascii="Geomanist Light" w:hAnsi="Geomanist Light" w:cs="Arial"/>
          <w:color w:val="000000"/>
          <w:sz w:val="10"/>
          <w:szCs w:val="10"/>
        </w:rPr>
        <w:footnoteRef/>
      </w:r>
      <w:r w:rsidRPr="00C42F25">
        <w:rPr>
          <w:rFonts w:ascii="Geomanist Light" w:hAnsi="Geomanist Light" w:cs="Arial"/>
          <w:color w:val="000000"/>
          <w:sz w:val="10"/>
          <w:szCs w:val="10"/>
        </w:rPr>
        <w:t xml:space="preserve"> «Los modos de adquirir el dominio son la ocupación, la accesión, la tradición, la sucesión por causa de muerte y la prescripción».</w:t>
      </w:r>
    </w:p>
    <w:p w14:paraId="7CC19676" w14:textId="77777777" w:rsidR="00FD1A40" w:rsidRPr="00C42F25" w:rsidRDefault="00FD1A40" w:rsidP="00085DCF">
      <w:pPr>
        <w:pStyle w:val="Textonotapie"/>
        <w:ind w:firstLine="709"/>
        <w:jc w:val="both"/>
        <w:rPr>
          <w:rFonts w:ascii="Geomanist Light" w:hAnsi="Geomanist Light" w:cs="Arial"/>
          <w:color w:val="000000"/>
          <w:sz w:val="10"/>
          <w:szCs w:val="10"/>
        </w:rPr>
      </w:pPr>
    </w:p>
  </w:footnote>
  <w:footnote w:id="7">
    <w:p w14:paraId="29B62BB9" w14:textId="77777777" w:rsidR="00FD1A40" w:rsidRPr="00C42F25" w:rsidRDefault="00FD1A40" w:rsidP="00085DCF">
      <w:pPr>
        <w:spacing w:after="0"/>
        <w:ind w:firstLine="709"/>
        <w:jc w:val="both"/>
        <w:rPr>
          <w:rFonts w:ascii="Geomanist Light" w:hAnsi="Geomanist Light" w:cs="Arial"/>
          <w:color w:val="000000"/>
          <w:sz w:val="10"/>
          <w:szCs w:val="10"/>
          <w:lang w:val="es-ES"/>
        </w:rPr>
      </w:pPr>
      <w:r w:rsidRPr="00C42F25">
        <w:rPr>
          <w:rStyle w:val="Refdenotaalpie"/>
          <w:rFonts w:ascii="Geomanist Light" w:hAnsi="Geomanist Light" w:cs="Arial"/>
          <w:color w:val="000000"/>
          <w:sz w:val="10"/>
          <w:szCs w:val="10"/>
        </w:rPr>
        <w:footnoteRef/>
      </w:r>
      <w:r w:rsidRPr="00C42F25">
        <w:rPr>
          <w:rFonts w:ascii="Geomanist Light" w:hAnsi="Geomanist Light" w:cs="Arial"/>
          <w:color w:val="000000"/>
          <w:sz w:val="10"/>
          <w:szCs w:val="10"/>
        </w:rPr>
        <w:t xml:space="preserve"> </w:t>
      </w:r>
      <w:r w:rsidRPr="00C42F25">
        <w:rPr>
          <w:rFonts w:ascii="Geomanist Light" w:hAnsi="Geomanist Light" w:cs="Arial"/>
          <w:color w:val="000000"/>
          <w:sz w:val="10"/>
          <w:szCs w:val="10"/>
          <w:lang w:val="es-ES"/>
        </w:rPr>
        <w:t>Según el artículo 749 del Código Civil «Si la ley exige solemnidades especiales para la enajenación, no se transfiere el dominio sin ellas».</w:t>
      </w:r>
    </w:p>
    <w:p w14:paraId="4CB81F9D" w14:textId="77777777" w:rsidR="00FD1A40" w:rsidRPr="00C42F25" w:rsidRDefault="00FD1A40" w:rsidP="00085DCF">
      <w:pPr>
        <w:spacing w:after="0"/>
        <w:ind w:firstLine="709"/>
        <w:jc w:val="both"/>
        <w:rPr>
          <w:rFonts w:ascii="Geomanist Light" w:hAnsi="Geomanist Light" w:cs="Arial"/>
          <w:color w:val="000000"/>
          <w:sz w:val="10"/>
          <w:szCs w:val="10"/>
          <w:lang w:val="es-ES"/>
        </w:rPr>
      </w:pPr>
    </w:p>
  </w:footnote>
  <w:footnote w:id="8">
    <w:p w14:paraId="4EA1A7D8" w14:textId="77777777" w:rsidR="00FD1A40" w:rsidRPr="00C42F25" w:rsidRDefault="00FD1A40" w:rsidP="00FD1A40">
      <w:pPr>
        <w:pStyle w:val="Textonotapie"/>
        <w:ind w:firstLine="708"/>
        <w:jc w:val="both"/>
        <w:rPr>
          <w:rFonts w:ascii="Geomanist Light" w:hAnsi="Geomanist Light" w:cs="Arial"/>
          <w:sz w:val="10"/>
          <w:szCs w:val="10"/>
          <w:lang w:val="es-ES"/>
        </w:rPr>
      </w:pPr>
      <w:r w:rsidRPr="00C42F25">
        <w:rPr>
          <w:rStyle w:val="Refdenotaalpie"/>
          <w:rFonts w:ascii="Geomanist Light" w:hAnsi="Geomanist Light" w:cs="Arial"/>
          <w:sz w:val="10"/>
          <w:szCs w:val="10"/>
        </w:rPr>
        <w:footnoteRef/>
      </w:r>
      <w:r w:rsidRPr="00C42F25">
        <w:rPr>
          <w:rFonts w:ascii="Geomanist Light" w:hAnsi="Geomanist Light" w:cs="Arial"/>
          <w:sz w:val="10"/>
          <w:szCs w:val="10"/>
        </w:rPr>
        <w:t xml:space="preserve"> Consejo de Estado, Sección Tercera, Sentencia del 25 de mayo de 2016. M.P. Hernán Andrade Rincón.</w:t>
      </w:r>
    </w:p>
  </w:footnote>
  <w:footnote w:id="9">
    <w:p w14:paraId="2686CF22" w14:textId="77777777" w:rsidR="00FD1A40" w:rsidRPr="00C42F25" w:rsidRDefault="00FD1A40" w:rsidP="00FD1A40">
      <w:pPr>
        <w:pStyle w:val="Textonotapie"/>
        <w:jc w:val="both"/>
        <w:rPr>
          <w:rFonts w:ascii="Geomanist Light" w:hAnsi="Geomanist Light" w:cs="Arial"/>
          <w:color w:val="000000"/>
          <w:sz w:val="10"/>
          <w:szCs w:val="10"/>
        </w:rPr>
      </w:pPr>
    </w:p>
    <w:p w14:paraId="1CC5056C" w14:textId="77777777" w:rsidR="00FD1A40" w:rsidRPr="00C42F25" w:rsidRDefault="00FD1A40" w:rsidP="00FD1A40">
      <w:pPr>
        <w:pStyle w:val="Textonotapie"/>
        <w:ind w:firstLine="708"/>
        <w:jc w:val="both"/>
        <w:rPr>
          <w:rFonts w:ascii="Geomanist Light" w:hAnsi="Geomanist Light" w:cs="Arial"/>
          <w:color w:val="000000"/>
          <w:sz w:val="10"/>
          <w:szCs w:val="10"/>
        </w:rPr>
      </w:pPr>
      <w:r w:rsidRPr="00C42F25">
        <w:rPr>
          <w:rStyle w:val="Refdenotaalpie"/>
          <w:rFonts w:ascii="Geomanist Light" w:hAnsi="Geomanist Light" w:cs="Arial"/>
          <w:color w:val="000000"/>
          <w:sz w:val="10"/>
          <w:szCs w:val="10"/>
        </w:rPr>
        <w:footnoteRef/>
      </w:r>
      <w:r w:rsidRPr="00C42F25">
        <w:rPr>
          <w:rFonts w:ascii="Geomanist Light" w:hAnsi="Geomanist Light" w:cs="Arial"/>
          <w:color w:val="000000"/>
          <w:sz w:val="10"/>
          <w:szCs w:val="10"/>
        </w:rPr>
        <w:t xml:space="preserve"> Consejo de Estado. Sala de lo Contencioso Administrativo. Sección Tercera. Sentencia del 30 de abril de 2012. Expediente 21.699. C.P. Ruth Stella Correa Palacio. </w:t>
      </w:r>
    </w:p>
  </w:footnote>
  <w:footnote w:id="10">
    <w:p w14:paraId="4D6DD14E" w14:textId="77777777" w:rsidR="00FD1A40" w:rsidRPr="00C42F25" w:rsidRDefault="00FD1A40" w:rsidP="00085DCF">
      <w:pPr>
        <w:spacing w:after="0"/>
        <w:ind w:firstLine="708"/>
        <w:jc w:val="both"/>
        <w:rPr>
          <w:rFonts w:ascii="Geomanist Light" w:hAnsi="Geomanist Light" w:cs="Arial"/>
          <w:color w:val="000000"/>
          <w:sz w:val="10"/>
          <w:szCs w:val="10"/>
        </w:rPr>
      </w:pPr>
    </w:p>
    <w:p w14:paraId="09038BB6" w14:textId="77777777" w:rsidR="00FD1A40" w:rsidRPr="00C42F25" w:rsidRDefault="00FD1A40" w:rsidP="00085DCF">
      <w:pPr>
        <w:spacing w:after="0"/>
        <w:ind w:firstLine="708"/>
        <w:jc w:val="both"/>
        <w:rPr>
          <w:rFonts w:ascii="Geomanist Light" w:hAnsi="Geomanist Light" w:cs="Arial"/>
          <w:color w:val="000000"/>
          <w:sz w:val="10"/>
          <w:szCs w:val="10"/>
        </w:rPr>
      </w:pPr>
      <w:r w:rsidRPr="00C42F25">
        <w:rPr>
          <w:rStyle w:val="Refdenotaalpie"/>
          <w:rFonts w:ascii="Geomanist Light" w:hAnsi="Geomanist Light" w:cs="Arial"/>
          <w:color w:val="000000"/>
          <w:sz w:val="10"/>
          <w:szCs w:val="10"/>
        </w:rPr>
        <w:footnoteRef/>
      </w:r>
      <w:r w:rsidRPr="00C42F25">
        <w:rPr>
          <w:rFonts w:ascii="Geomanist Light" w:hAnsi="Geomanist Light" w:cs="Arial"/>
          <w:color w:val="000000"/>
          <w:sz w:val="10"/>
          <w:szCs w:val="10"/>
        </w:rPr>
        <w:t xml:space="preserve"> Consejo de Estado.  Sala de lo Contencioso Administrativo. Sección Tercera. Sentencia del 19 de julio de 2018, Expediente 36.711. C.P. Carlos Alberto Zambrano Barrera.</w:t>
      </w:r>
    </w:p>
  </w:footnote>
  <w:footnote w:id="11">
    <w:p w14:paraId="68136795" w14:textId="77777777" w:rsidR="00FD1A40" w:rsidRPr="00C42F25" w:rsidRDefault="00FD1A40" w:rsidP="00085DCF">
      <w:pPr>
        <w:spacing w:after="0"/>
        <w:ind w:firstLine="708"/>
        <w:jc w:val="both"/>
        <w:rPr>
          <w:rFonts w:ascii="Geomanist Light" w:hAnsi="Geomanist Light" w:cs="Arial"/>
          <w:color w:val="000000"/>
          <w:sz w:val="10"/>
          <w:szCs w:val="10"/>
        </w:rPr>
      </w:pPr>
    </w:p>
    <w:p w14:paraId="4B79AE3F" w14:textId="77777777" w:rsidR="00FD1A40" w:rsidRPr="00C42F25" w:rsidRDefault="00FD1A40" w:rsidP="00085DCF">
      <w:pPr>
        <w:spacing w:after="0"/>
        <w:ind w:firstLine="708"/>
        <w:jc w:val="both"/>
        <w:rPr>
          <w:rFonts w:ascii="Geomanist Light" w:hAnsi="Geomanist Light" w:cs="Arial"/>
          <w:color w:val="000000"/>
          <w:sz w:val="10"/>
          <w:szCs w:val="10"/>
        </w:rPr>
      </w:pPr>
      <w:r w:rsidRPr="00C42F25">
        <w:rPr>
          <w:rStyle w:val="Refdenotaalpie"/>
          <w:rFonts w:ascii="Geomanist Light" w:hAnsi="Geomanist Light" w:cs="Arial"/>
          <w:color w:val="000000"/>
          <w:sz w:val="10"/>
          <w:szCs w:val="10"/>
        </w:rPr>
        <w:footnoteRef/>
      </w:r>
      <w:r w:rsidRPr="00C42F25">
        <w:rPr>
          <w:rFonts w:ascii="Geomanist Light" w:hAnsi="Geomanist Light" w:cs="Arial"/>
          <w:color w:val="000000"/>
          <w:sz w:val="10"/>
          <w:szCs w:val="10"/>
        </w:rPr>
        <w:t xml:space="preserve"> Corte Constitucional. Sala Plena. M.P. Alfredo Beltrán Sierra. Sentencia C-183 de 2003. Expediente D-4244.</w:t>
      </w:r>
    </w:p>
    <w:p w14:paraId="161E8F0A" w14:textId="77777777" w:rsidR="00FD1A40" w:rsidRPr="00C42F25" w:rsidRDefault="00FD1A40" w:rsidP="00085DCF">
      <w:pPr>
        <w:spacing w:after="0"/>
        <w:ind w:firstLine="708"/>
        <w:jc w:val="both"/>
        <w:rPr>
          <w:rFonts w:ascii="Geomanist Light" w:hAnsi="Geomanist Light" w:cs="Arial"/>
          <w:sz w:val="10"/>
          <w:szCs w:val="10"/>
        </w:rPr>
      </w:pPr>
    </w:p>
  </w:footnote>
  <w:footnote w:id="12">
    <w:p w14:paraId="12E81F56" w14:textId="29A9C81D" w:rsidR="00227C7F" w:rsidRPr="00C42F25" w:rsidRDefault="00227C7F" w:rsidP="00085DCF">
      <w:pPr>
        <w:pStyle w:val="Textonotapie"/>
        <w:ind w:firstLine="708"/>
        <w:jc w:val="both"/>
        <w:rPr>
          <w:rFonts w:ascii="Geomanist Light" w:hAnsi="Geomanist Light"/>
          <w:sz w:val="10"/>
          <w:szCs w:val="10"/>
        </w:rPr>
      </w:pPr>
      <w:r w:rsidRPr="00C42F25">
        <w:rPr>
          <w:rStyle w:val="Refdenotaalpie"/>
          <w:rFonts w:ascii="Geomanist Light" w:hAnsi="Geomanist Light"/>
          <w:sz w:val="10"/>
          <w:szCs w:val="10"/>
        </w:rPr>
        <w:footnoteRef/>
      </w:r>
      <w:r w:rsidRPr="00C42F25">
        <w:rPr>
          <w:rFonts w:ascii="Geomanist Light" w:hAnsi="Geomanist Light"/>
          <w:sz w:val="10"/>
          <w:szCs w:val="10"/>
        </w:rPr>
        <w:t xml:space="preserve"> Corte Constitucional. Sentencia C-324 del 13 de mayo de 2009. Expediente</w:t>
      </w:r>
      <w:r w:rsidR="008500BE" w:rsidRPr="00C42F25">
        <w:rPr>
          <w:rFonts w:ascii="Geomanist Light" w:hAnsi="Geomanist Light"/>
          <w:sz w:val="10"/>
          <w:szCs w:val="10"/>
        </w:rPr>
        <w:t>:</w:t>
      </w:r>
      <w:r w:rsidRPr="00C42F25">
        <w:rPr>
          <w:rFonts w:ascii="Geomanist Light" w:hAnsi="Geomanist Light"/>
          <w:sz w:val="10"/>
          <w:szCs w:val="10"/>
        </w:rPr>
        <w:t xml:space="preserve"> D-7442. M.P. Juan Carlos Henao Pérez.</w:t>
      </w:r>
    </w:p>
  </w:footnote>
  <w:footnote w:id="13">
    <w:p w14:paraId="7AC85CE6" w14:textId="5904EEB1" w:rsidR="00CC49DF" w:rsidRPr="00C42F25" w:rsidRDefault="00CC49DF" w:rsidP="00364356">
      <w:pPr>
        <w:pStyle w:val="Textonotapie"/>
        <w:ind w:firstLine="708"/>
        <w:jc w:val="both"/>
        <w:rPr>
          <w:rFonts w:ascii="Geomanist Light" w:hAnsi="Geomanist Light"/>
          <w:sz w:val="10"/>
          <w:szCs w:val="10"/>
        </w:rPr>
      </w:pPr>
      <w:r w:rsidRPr="00C42F25">
        <w:rPr>
          <w:rStyle w:val="Refdenotaalpie"/>
          <w:rFonts w:ascii="Geomanist Light" w:hAnsi="Geomanist Light"/>
          <w:sz w:val="10"/>
          <w:szCs w:val="10"/>
        </w:rPr>
        <w:footnoteRef/>
      </w:r>
      <w:r w:rsidRPr="00C42F25">
        <w:rPr>
          <w:rFonts w:ascii="Geomanist Light" w:hAnsi="Geomanist Light"/>
          <w:sz w:val="10"/>
          <w:szCs w:val="10"/>
        </w:rPr>
        <w:t xml:space="preserve"> </w:t>
      </w:r>
      <w:r w:rsidR="00364356" w:rsidRPr="00C42F25">
        <w:rPr>
          <w:rFonts w:ascii="Geomanist Light" w:hAnsi="Geomanist Light"/>
          <w:sz w:val="10"/>
          <w:szCs w:val="10"/>
        </w:rPr>
        <w:t>Corte Constitucional. Sentencia C-</w:t>
      </w:r>
      <w:r w:rsidR="008500BE" w:rsidRPr="00C42F25">
        <w:rPr>
          <w:rFonts w:ascii="Geomanist Light" w:hAnsi="Geomanist Light"/>
          <w:sz w:val="10"/>
          <w:szCs w:val="10"/>
        </w:rPr>
        <w:t>027 del 03 de febrero de 2016. Expediente: D-10862</w:t>
      </w:r>
      <w:r w:rsidR="00C46EB2" w:rsidRPr="00C42F25">
        <w:rPr>
          <w:rFonts w:ascii="Geomanist Light" w:hAnsi="Geomanist Light"/>
          <w:sz w:val="10"/>
          <w:szCs w:val="10"/>
        </w:rPr>
        <w:t>. M.P. María Victoria Calle Correa.</w:t>
      </w:r>
    </w:p>
  </w:footnote>
  <w:footnote w:id="14">
    <w:p w14:paraId="7464BCE9" w14:textId="2F321DAC" w:rsidR="0065280B" w:rsidRPr="00C42F25" w:rsidRDefault="0065280B" w:rsidP="0065280B">
      <w:pPr>
        <w:pStyle w:val="Textonotapie"/>
        <w:ind w:firstLine="708"/>
        <w:jc w:val="both"/>
        <w:rPr>
          <w:rFonts w:ascii="Geomanist Light" w:hAnsi="Geomanist Light"/>
          <w:sz w:val="10"/>
          <w:szCs w:val="10"/>
        </w:rPr>
      </w:pPr>
      <w:r w:rsidRPr="00C42F25">
        <w:rPr>
          <w:rStyle w:val="Refdenotaalpie"/>
          <w:rFonts w:ascii="Geomanist Light" w:hAnsi="Geomanist Light"/>
          <w:sz w:val="10"/>
          <w:szCs w:val="10"/>
        </w:rPr>
        <w:footnoteRef/>
      </w:r>
      <w:r w:rsidRPr="00C42F25">
        <w:rPr>
          <w:rFonts w:ascii="Geomanist Light" w:hAnsi="Geomanist Light"/>
          <w:sz w:val="10"/>
          <w:szCs w:val="10"/>
        </w:rPr>
        <w:t xml:space="preserve"> Ver nota al pie 14.</w:t>
      </w:r>
    </w:p>
  </w:footnote>
  <w:footnote w:id="15">
    <w:p w14:paraId="472259ED" w14:textId="73FE8120" w:rsidR="00EB04D4" w:rsidRPr="00C42F25" w:rsidRDefault="00EB04D4" w:rsidP="00EB04D4">
      <w:pPr>
        <w:pStyle w:val="Textonotapie"/>
        <w:ind w:firstLine="708"/>
        <w:rPr>
          <w:rFonts w:ascii="Geomanist Light" w:hAnsi="Geomanist Light"/>
          <w:sz w:val="10"/>
          <w:szCs w:val="10"/>
        </w:rPr>
      </w:pPr>
      <w:r w:rsidRPr="00C42F25">
        <w:rPr>
          <w:rStyle w:val="Refdenotaalpie"/>
          <w:rFonts w:ascii="Geomanist Light" w:hAnsi="Geomanist Light"/>
          <w:sz w:val="10"/>
          <w:szCs w:val="10"/>
        </w:rPr>
        <w:footnoteRef/>
      </w:r>
      <w:r w:rsidRPr="00C42F25">
        <w:rPr>
          <w:rFonts w:ascii="Geomanist Light" w:hAnsi="Geomanist Light"/>
          <w:sz w:val="10"/>
          <w:szCs w:val="10"/>
        </w:rPr>
        <w:t xml:space="preserve"> Sentencia C-027 de 2016. Corte Constitucional.</w:t>
      </w:r>
    </w:p>
  </w:footnote>
  <w:footnote w:id="16">
    <w:p w14:paraId="7BFAE15B" w14:textId="77777777" w:rsidR="00785646" w:rsidRPr="00C42F25" w:rsidRDefault="00785646" w:rsidP="00785646">
      <w:pPr>
        <w:pStyle w:val="Textonotapie"/>
        <w:ind w:firstLine="709"/>
        <w:jc w:val="both"/>
        <w:rPr>
          <w:rFonts w:ascii="Geomanist Light" w:hAnsi="Geomanist Light" w:cs="Arial"/>
          <w:sz w:val="10"/>
          <w:szCs w:val="10"/>
          <w:lang w:val="es-ES"/>
        </w:rPr>
      </w:pPr>
      <w:r w:rsidRPr="00C42F25">
        <w:rPr>
          <w:rStyle w:val="Refdenotaalpie"/>
          <w:rFonts w:ascii="Geomanist Light" w:hAnsi="Geomanist Light" w:cs="Arial"/>
          <w:sz w:val="10"/>
          <w:szCs w:val="10"/>
        </w:rPr>
        <w:footnoteRef/>
      </w:r>
      <w:r w:rsidRPr="00C42F25">
        <w:rPr>
          <w:rFonts w:ascii="Geomanist Light" w:hAnsi="Geomanist Light" w:cs="Arial"/>
          <w:sz w:val="10"/>
          <w:szCs w:val="10"/>
        </w:rPr>
        <w:t xml:space="preserve"> Cfr. Sentencia C-317 de 2012 (M.P. María Victoria Calle Correa). </w:t>
      </w:r>
      <w:r w:rsidRPr="00C42F25">
        <w:rPr>
          <w:rFonts w:ascii="Geomanist Light" w:hAnsi="Geomanist Light" w:cs="Arial"/>
          <w:sz w:val="10"/>
          <w:szCs w:val="10"/>
          <w:lang w:val="es-ES"/>
        </w:rPr>
        <w:t>En igual sentido, el artículo 27 del Código Civil establece que «Cuando el sentido de la ley sea claro, no se desatenderá su tenor literal a pretexto de consultar su espíritu». Aquí el concepto de ley se entiende en un sentido material, como norma jurídica.</w:t>
      </w:r>
    </w:p>
  </w:footnote>
  <w:footnote w:id="17">
    <w:p w14:paraId="1564C873" w14:textId="61142C8A" w:rsidR="008C1683" w:rsidRPr="00C42F25" w:rsidRDefault="008C1683" w:rsidP="008C1683">
      <w:pPr>
        <w:pStyle w:val="Textonotapie"/>
        <w:ind w:firstLine="708"/>
        <w:contextualSpacing/>
        <w:rPr>
          <w:rFonts w:ascii="Geomanist Light" w:eastAsia="Calibri" w:hAnsi="Geomanist Light" w:cs="Arial"/>
          <w:sz w:val="10"/>
          <w:szCs w:val="10"/>
          <w:lang w:val="es-ES_tradnl"/>
        </w:rPr>
      </w:pPr>
      <w:r w:rsidRPr="00C42F25">
        <w:rPr>
          <w:rStyle w:val="Refdenotaalpie"/>
          <w:rFonts w:ascii="Geomanist Light" w:hAnsi="Geomanist Light" w:cs="Arial"/>
          <w:sz w:val="10"/>
          <w:szCs w:val="10"/>
        </w:rPr>
        <w:footnoteRef/>
      </w:r>
      <w:r w:rsidRPr="00C42F25">
        <w:rPr>
          <w:rFonts w:ascii="Geomanist Light" w:hAnsi="Geomanist Light" w:cs="Arial"/>
          <w:sz w:val="10"/>
          <w:szCs w:val="10"/>
        </w:rPr>
        <w:t xml:space="preserve"> </w:t>
      </w:r>
      <w:r w:rsidRPr="00C42F25">
        <w:rPr>
          <w:rFonts w:ascii="Geomanist Light" w:eastAsia="Calibri" w:hAnsi="Geomanist Light" w:cs="Arial"/>
          <w:sz w:val="10"/>
          <w:szCs w:val="10"/>
          <w:lang w:val="es-ES_tradnl"/>
        </w:rPr>
        <w:t xml:space="preserve">A la luz del artículo 3 092 de 2017 del Decreto se entiende como entidad de reconocida identidad aquella que es </w:t>
      </w:r>
      <w:r w:rsidRPr="00C42F25">
        <w:rPr>
          <w:rFonts w:ascii="Geomanist Light" w:eastAsia="Calibri" w:hAnsi="Geomanist Light" w:cs="Arial"/>
          <w:sz w:val="10"/>
          <w:szCs w:val="10"/>
          <w:lang w:val="es-ES" w:eastAsia="es-ES_tradnl"/>
        </w:rPr>
        <w:t>«</w:t>
      </w:r>
      <w:r w:rsidRPr="00C42F25">
        <w:rPr>
          <w:rFonts w:ascii="Geomanist Light" w:eastAsia="Calibri" w:hAnsi="Geomanist Light" w:cs="Arial"/>
          <w:i/>
          <w:iCs/>
          <w:sz w:val="10"/>
          <w:szCs w:val="10"/>
          <w:lang w:val="es-ES_tradnl"/>
        </w:rPr>
        <w:t>adecuada y apropiada para desarrollar las actividades que son objeto del Proceso de Contratación y cuenta con experiencia en el objeto a contratar</w:t>
      </w:r>
      <w:r w:rsidRPr="00C42F25">
        <w:rPr>
          <w:rFonts w:ascii="Geomanist Light" w:eastAsia="Calibri" w:hAnsi="Geomanist Light" w:cs="Arial"/>
          <w:sz w:val="10"/>
          <w:szCs w:val="10"/>
          <w:lang w:val="es-ES" w:eastAsia="es-ES_tradnl"/>
        </w:rPr>
        <w:t>»</w:t>
      </w:r>
      <w:r w:rsidRPr="00C42F25">
        <w:rPr>
          <w:rFonts w:ascii="Geomanist Light" w:eastAsia="Calibri" w:hAnsi="Geomanist Light" w:cs="Arial"/>
          <w:sz w:val="10"/>
          <w:szCs w:val="10"/>
          <w:lang w:val="es-ES_tradnl"/>
        </w:rPr>
        <w:t>.</w:t>
      </w:r>
    </w:p>
    <w:p w14:paraId="5DFD9E0C" w14:textId="77777777" w:rsidR="00215598" w:rsidRPr="00C42F25" w:rsidRDefault="00215598" w:rsidP="008C1683">
      <w:pPr>
        <w:pStyle w:val="Textonotapie"/>
        <w:ind w:firstLine="708"/>
        <w:contextualSpacing/>
        <w:rPr>
          <w:rFonts w:ascii="Geomanist Light" w:hAnsi="Geomanist Light" w:cs="Arial"/>
          <w:sz w:val="10"/>
          <w:szCs w:val="10"/>
          <w:lang w:val="es-ES"/>
        </w:rPr>
      </w:pPr>
    </w:p>
  </w:footnote>
  <w:footnote w:id="18">
    <w:p w14:paraId="78E4D742" w14:textId="77777777" w:rsidR="00597E5C" w:rsidRPr="00C42F25" w:rsidRDefault="00597E5C" w:rsidP="00597E5C">
      <w:pPr>
        <w:pStyle w:val="Textonotapie"/>
        <w:ind w:firstLine="709"/>
        <w:contextualSpacing/>
        <w:rPr>
          <w:rFonts w:ascii="Geomanist Light" w:hAnsi="Geomanist Light" w:cs="Arial"/>
          <w:sz w:val="10"/>
          <w:szCs w:val="10"/>
          <w:lang w:val="es-ES"/>
        </w:rPr>
      </w:pPr>
      <w:r w:rsidRPr="00C42F25">
        <w:rPr>
          <w:rStyle w:val="Refdenotaalpie"/>
          <w:rFonts w:ascii="Geomanist Light" w:hAnsi="Geomanist Light" w:cs="Arial"/>
          <w:sz w:val="10"/>
          <w:szCs w:val="10"/>
        </w:rPr>
        <w:footnoteRef/>
      </w:r>
      <w:r w:rsidRPr="00C42F25">
        <w:rPr>
          <w:rFonts w:ascii="Geomanist Light" w:hAnsi="Geomanist Light" w:cs="Arial"/>
          <w:sz w:val="10"/>
          <w:szCs w:val="10"/>
        </w:rPr>
        <w:t xml:space="preserve"> Al respecto puede consultarse, entre otros, los conceptos </w:t>
      </w:r>
      <w:r w:rsidRPr="00C42F25">
        <w:rPr>
          <w:rFonts w:ascii="Geomanist Light" w:hAnsi="Geomanist Light" w:cs="Arial"/>
          <w:sz w:val="10"/>
          <w:szCs w:val="10"/>
          <w:lang w:val="es-ES"/>
        </w:rPr>
        <w:t xml:space="preserve">C–155 del 14 de abril de 2021, C-364 del 28 de julio de 2021, C-394 del 17 de septiembre de 2021 y C-627 del 25 de octubre de 2021. </w:t>
      </w:r>
    </w:p>
  </w:footnote>
  <w:footnote w:id="19">
    <w:p w14:paraId="13FB5874" w14:textId="77777777" w:rsidR="00205A25" w:rsidRPr="00C42F25" w:rsidRDefault="00205A25" w:rsidP="00205A25">
      <w:pPr>
        <w:pStyle w:val="Textonotapie"/>
        <w:ind w:firstLine="709"/>
        <w:contextualSpacing/>
        <w:rPr>
          <w:rFonts w:ascii="Geomanist Light" w:hAnsi="Geomanist Light" w:cs="Arial"/>
          <w:sz w:val="10"/>
          <w:szCs w:val="10"/>
        </w:rPr>
      </w:pPr>
    </w:p>
    <w:p w14:paraId="2C7D1EC7" w14:textId="77777777" w:rsidR="00205A25" w:rsidRPr="00C42F25" w:rsidRDefault="00205A25" w:rsidP="00205A25">
      <w:pPr>
        <w:pStyle w:val="Textonotapie"/>
        <w:ind w:firstLine="709"/>
        <w:contextualSpacing/>
        <w:rPr>
          <w:rFonts w:ascii="Geomanist Light" w:hAnsi="Geomanist Light" w:cs="Arial"/>
          <w:sz w:val="10"/>
          <w:szCs w:val="10"/>
        </w:rPr>
      </w:pPr>
      <w:r w:rsidRPr="00C42F25">
        <w:rPr>
          <w:rStyle w:val="Refdenotaalpie"/>
          <w:rFonts w:ascii="Geomanist Light" w:hAnsi="Geomanist Light" w:cs="Arial"/>
          <w:sz w:val="10"/>
          <w:szCs w:val="10"/>
        </w:rPr>
        <w:footnoteRef/>
      </w:r>
      <w:r w:rsidRPr="00C42F25">
        <w:rPr>
          <w:rFonts w:ascii="Geomanist Light" w:hAnsi="Geomanist Light" w:cs="Arial"/>
          <w:sz w:val="10"/>
          <w:szCs w:val="10"/>
        </w:rPr>
        <w:t xml:space="preserve"> Ley 136 de 1994 «Artículo 141. Vinculación al desarrollo municipal: Las organizaciones comunitarias, cívicas, profesionales, juveniles, sindicales, benéficas o de utilidad común no gubernamentales, sin ánimo de lucro y constituidas con arreglo a la ley, podrán vincularse al desarrollo y mejoramiento municipal mediante su participación en el ejercicio de las funciones, la prestación de servicios o la ejecución de obras públicas a cargo de la administración central o descentralizada».</w:t>
      </w:r>
    </w:p>
  </w:footnote>
  <w:footnote w:id="20">
    <w:p w14:paraId="2A438353" w14:textId="77777777" w:rsidR="005A1FFD" w:rsidRPr="00C42F25" w:rsidRDefault="005A1FFD" w:rsidP="005A1FFD">
      <w:pPr>
        <w:pStyle w:val="Textonotapie"/>
        <w:ind w:firstLine="708"/>
        <w:contextualSpacing/>
        <w:rPr>
          <w:rFonts w:ascii="Geomanist Light" w:hAnsi="Geomanist Light" w:cs="Arial"/>
          <w:sz w:val="10"/>
          <w:szCs w:val="10"/>
        </w:rPr>
      </w:pPr>
    </w:p>
    <w:p w14:paraId="7B11D23A" w14:textId="77777777" w:rsidR="005A1FFD" w:rsidRPr="00C42F25" w:rsidRDefault="005A1FFD" w:rsidP="005A1FFD">
      <w:pPr>
        <w:pStyle w:val="Textonotapie"/>
        <w:ind w:firstLine="708"/>
        <w:contextualSpacing/>
        <w:rPr>
          <w:rFonts w:ascii="Geomanist Light" w:hAnsi="Geomanist Light" w:cs="Arial"/>
          <w:sz w:val="10"/>
          <w:szCs w:val="10"/>
        </w:rPr>
      </w:pPr>
      <w:r w:rsidRPr="00C42F25">
        <w:rPr>
          <w:rStyle w:val="Refdenotaalpie"/>
          <w:rFonts w:ascii="Geomanist Light" w:hAnsi="Geomanist Light" w:cs="Arial"/>
          <w:sz w:val="10"/>
          <w:szCs w:val="10"/>
        </w:rPr>
        <w:footnoteRef/>
      </w:r>
      <w:r w:rsidRPr="00C42F25">
        <w:rPr>
          <w:rFonts w:ascii="Geomanist Light" w:hAnsi="Geomanist Light" w:cs="Arial"/>
          <w:sz w:val="10"/>
          <w:szCs w:val="10"/>
        </w:rPr>
        <w:t xml:space="preserve"> Ley 743 del 2002 «Artículo 55. </w:t>
      </w:r>
      <w:bookmarkStart w:id="6" w:name="_Hlk98586808"/>
      <w:r w:rsidRPr="00C42F25">
        <w:rPr>
          <w:rFonts w:ascii="Geomanist Light" w:hAnsi="Geomanist Light" w:cs="Arial"/>
          <w:sz w:val="10"/>
          <w:szCs w:val="10"/>
        </w:rPr>
        <w:t xml:space="preserve">Conforme al artículo 141 de la Ley 136 de 1994, las organizaciones comunales podrán vincularse al desarrollo y mejoramiento municipal, mediante su participación en el ejercicio de sus funciones, la prestación de servicios, o la ejecución de obras públicas a cargo de la administración central o descentralizada. </w:t>
      </w:r>
    </w:p>
    <w:p w14:paraId="75BAFB6B" w14:textId="77777777" w:rsidR="005A1FFD" w:rsidRPr="00C42F25" w:rsidRDefault="005A1FFD" w:rsidP="00085DCF">
      <w:pPr>
        <w:pStyle w:val="Textonotapie"/>
        <w:ind w:firstLine="708"/>
        <w:contextualSpacing/>
        <w:rPr>
          <w:rFonts w:ascii="Geomanist Light" w:hAnsi="Geomanist Light" w:cs="Arial"/>
          <w:sz w:val="10"/>
          <w:szCs w:val="10"/>
          <w:lang w:val="es-CO"/>
        </w:rPr>
      </w:pPr>
      <w:r w:rsidRPr="00C42F25">
        <w:rPr>
          <w:rFonts w:ascii="Geomanist Light" w:hAnsi="Geomanist Light" w:cs="Arial"/>
          <w:sz w:val="10"/>
          <w:szCs w:val="10"/>
        </w:rPr>
        <w:t xml:space="preserve">»Los contratos o convenios que celebren los organismos comunales se regularán por el régimen vigente de contratación para organizaciones solidarias».  </w:t>
      </w:r>
      <w:bookmarkEnd w:id="6"/>
    </w:p>
  </w:footnote>
  <w:footnote w:id="21">
    <w:p w14:paraId="09B5A772" w14:textId="77777777" w:rsidR="00785646" w:rsidRPr="00A53BC5" w:rsidRDefault="00785646" w:rsidP="00785646">
      <w:pPr>
        <w:pStyle w:val="Textonotapie"/>
        <w:ind w:firstLine="709"/>
        <w:jc w:val="both"/>
        <w:rPr>
          <w:rFonts w:ascii="Arial" w:hAnsi="Arial" w:cs="Arial"/>
          <w:sz w:val="18"/>
          <w:szCs w:val="18"/>
          <w:lang w:val="es-ES"/>
        </w:rPr>
      </w:pPr>
      <w:r w:rsidRPr="00C42F25">
        <w:rPr>
          <w:rStyle w:val="Refdenotaalpie"/>
          <w:rFonts w:ascii="Geomanist Light" w:hAnsi="Geomanist Light" w:cs="Arial"/>
          <w:sz w:val="10"/>
          <w:szCs w:val="10"/>
        </w:rPr>
        <w:footnoteRef/>
      </w:r>
      <w:r w:rsidRPr="00C42F25">
        <w:rPr>
          <w:rFonts w:ascii="Geomanist Light" w:hAnsi="Geomanist Light" w:cs="Arial"/>
          <w:sz w:val="10"/>
          <w:szCs w:val="10"/>
        </w:rPr>
        <w:t xml:space="preserve"> Cfr. Sentencia C-317 de 2012 (M.P. María Victoria Calle Correa). </w:t>
      </w:r>
      <w:r w:rsidRPr="00C42F25">
        <w:rPr>
          <w:rFonts w:ascii="Geomanist Light" w:hAnsi="Geomanist Light" w:cs="Arial"/>
          <w:sz w:val="10"/>
          <w:szCs w:val="10"/>
          <w:lang w:val="es-ES"/>
        </w:rPr>
        <w:t>En igual sentido, el artículo 27 del Código Civil establece que «Cuando el sentido de la ley</w:t>
      </w:r>
      <w:r w:rsidRPr="00DB2282">
        <w:rPr>
          <w:rFonts w:ascii="Geomanist Light" w:hAnsi="Geomanist Light" w:cs="Arial"/>
          <w:sz w:val="12"/>
          <w:szCs w:val="12"/>
          <w:lang w:val="es-ES"/>
        </w:rPr>
        <w:t xml:space="preserve"> sea claro, no se desatenderá su tenor literal a pretexto de consultar su e</w:t>
      </w:r>
      <w:r w:rsidRPr="007A2B50">
        <w:rPr>
          <w:rFonts w:ascii="Geomanist Light" w:hAnsi="Geomanist Light" w:cs="Arial"/>
          <w:sz w:val="12"/>
          <w:szCs w:val="12"/>
          <w:lang w:val="es-ES"/>
        </w:rPr>
        <w:t>spíritu». Aquí el concepto de ley se entiende en un sentido material, como norma jurídica.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918E8" w14:textId="77777777" w:rsidR="006C369A" w:rsidRDefault="006C369A">
    <w:pPr>
      <w:pStyle w:val="Encabezado"/>
    </w:pPr>
  </w:p>
  <w:p w14:paraId="4373032C" w14:textId="77777777" w:rsidR="00D229E4" w:rsidRDefault="00D229E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45536" w14:textId="51D1A978" w:rsidR="000949EA" w:rsidRDefault="000A61D8" w:rsidP="000A61D8">
    <w:pPr>
      <w:pStyle w:val="Encabezado"/>
      <w:ind w:left="1416"/>
      <w:jc w:val="right"/>
    </w:pPr>
    <w:r>
      <w:rPr>
        <w:rFonts w:ascii="Times New Roman"/>
        <w:noProof/>
        <w:sz w:val="20"/>
      </w:rPr>
      <w:drawing>
        <wp:inline distT="0" distB="0" distL="0" distR="0" wp14:anchorId="735F3CC1" wp14:editId="27AAA1FD">
          <wp:extent cx="1555198" cy="640079"/>
          <wp:effectExtent l="0" t="0" r="0" b="0"/>
          <wp:docPr id="3" name="image1.png" descr="Imagen que contiene 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descr="Imagen que contiene Gráfico&#10;&#10;Descripción generada automáticamente"/>
                  <pic:cNvPicPr/>
                </pic:nvPicPr>
                <pic:blipFill>
                  <a:blip r:embed="rId1" cstate="print"/>
                  <a:stretch>
                    <a:fillRect/>
                  </a:stretch>
                </pic:blipFill>
                <pic:spPr>
                  <a:xfrm>
                    <a:off x="0" y="0"/>
                    <a:ext cx="1555198" cy="640079"/>
                  </a:xfrm>
                  <a:prstGeom prst="rect">
                    <a:avLst/>
                  </a:prstGeom>
                </pic:spPr>
              </pic:pic>
            </a:graphicData>
          </a:graphic>
        </wp:inline>
      </w:drawing>
    </w:r>
  </w:p>
  <w:p w14:paraId="135429D3" w14:textId="77777777" w:rsidR="00D229E4" w:rsidRDefault="00D229E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8FD46B" w14:textId="77777777" w:rsidR="006C369A" w:rsidRDefault="006C369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C52678"/>
    <w:multiLevelType w:val="multilevel"/>
    <w:tmpl w:val="F202FED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 w15:restartNumberingAfterBreak="0">
    <w:nsid w:val="41163B1F"/>
    <w:multiLevelType w:val="hybridMultilevel"/>
    <w:tmpl w:val="8A846A32"/>
    <w:lvl w:ilvl="0" w:tplc="9A3ED5D4">
      <w:start w:val="4"/>
      <w:numFmt w:val="lowerRoman"/>
      <w:lvlText w:val="%1)"/>
      <w:lvlJc w:val="left"/>
      <w:pPr>
        <w:ind w:left="118" w:hanging="298"/>
      </w:pPr>
      <w:rPr>
        <w:rFonts w:ascii="Arial MT" w:eastAsia="Arial MT" w:hAnsi="Arial MT" w:cs="Arial MT" w:hint="default"/>
        <w:spacing w:val="-1"/>
        <w:w w:val="100"/>
        <w:sz w:val="22"/>
        <w:szCs w:val="22"/>
        <w:lang w:val="es-ES" w:eastAsia="en-US" w:bidi="ar-SA"/>
      </w:rPr>
    </w:lvl>
    <w:lvl w:ilvl="1" w:tplc="D47C493E">
      <w:start w:val="1"/>
      <w:numFmt w:val="lowerRoman"/>
      <w:lvlText w:val="%2)"/>
      <w:lvlJc w:val="left"/>
      <w:pPr>
        <w:ind w:left="118" w:hanging="173"/>
      </w:pPr>
      <w:rPr>
        <w:rFonts w:ascii="Arial MT" w:eastAsia="Arial MT" w:hAnsi="Arial MT" w:cs="Arial MT" w:hint="default"/>
        <w:spacing w:val="-1"/>
        <w:w w:val="100"/>
        <w:sz w:val="22"/>
        <w:szCs w:val="22"/>
        <w:lang w:val="es-ES" w:eastAsia="en-US" w:bidi="ar-SA"/>
      </w:rPr>
    </w:lvl>
    <w:lvl w:ilvl="2" w:tplc="4F04D77A">
      <w:numFmt w:val="bullet"/>
      <w:lvlText w:val="•"/>
      <w:lvlJc w:val="left"/>
      <w:pPr>
        <w:ind w:left="2040" w:hanging="173"/>
      </w:pPr>
      <w:rPr>
        <w:rFonts w:hint="default"/>
        <w:lang w:val="es-ES" w:eastAsia="en-US" w:bidi="ar-SA"/>
      </w:rPr>
    </w:lvl>
    <w:lvl w:ilvl="3" w:tplc="FF40E3A6">
      <w:numFmt w:val="bullet"/>
      <w:lvlText w:val="•"/>
      <w:lvlJc w:val="left"/>
      <w:pPr>
        <w:ind w:left="3000" w:hanging="173"/>
      </w:pPr>
      <w:rPr>
        <w:rFonts w:hint="default"/>
        <w:lang w:val="es-ES" w:eastAsia="en-US" w:bidi="ar-SA"/>
      </w:rPr>
    </w:lvl>
    <w:lvl w:ilvl="4" w:tplc="1548DFFA">
      <w:numFmt w:val="bullet"/>
      <w:lvlText w:val="•"/>
      <w:lvlJc w:val="left"/>
      <w:pPr>
        <w:ind w:left="3960" w:hanging="173"/>
      </w:pPr>
      <w:rPr>
        <w:rFonts w:hint="default"/>
        <w:lang w:val="es-ES" w:eastAsia="en-US" w:bidi="ar-SA"/>
      </w:rPr>
    </w:lvl>
    <w:lvl w:ilvl="5" w:tplc="31B2F50A">
      <w:numFmt w:val="bullet"/>
      <w:lvlText w:val="•"/>
      <w:lvlJc w:val="left"/>
      <w:pPr>
        <w:ind w:left="4920" w:hanging="173"/>
      </w:pPr>
      <w:rPr>
        <w:rFonts w:hint="default"/>
        <w:lang w:val="es-ES" w:eastAsia="en-US" w:bidi="ar-SA"/>
      </w:rPr>
    </w:lvl>
    <w:lvl w:ilvl="6" w:tplc="36FEFD78">
      <w:numFmt w:val="bullet"/>
      <w:lvlText w:val="•"/>
      <w:lvlJc w:val="left"/>
      <w:pPr>
        <w:ind w:left="5880" w:hanging="173"/>
      </w:pPr>
      <w:rPr>
        <w:rFonts w:hint="default"/>
        <w:lang w:val="es-ES" w:eastAsia="en-US" w:bidi="ar-SA"/>
      </w:rPr>
    </w:lvl>
    <w:lvl w:ilvl="7" w:tplc="68166E86">
      <w:numFmt w:val="bullet"/>
      <w:lvlText w:val="•"/>
      <w:lvlJc w:val="left"/>
      <w:pPr>
        <w:ind w:left="6840" w:hanging="173"/>
      </w:pPr>
      <w:rPr>
        <w:rFonts w:hint="default"/>
        <w:lang w:val="es-ES" w:eastAsia="en-US" w:bidi="ar-SA"/>
      </w:rPr>
    </w:lvl>
    <w:lvl w:ilvl="8" w:tplc="9D8C96C6">
      <w:numFmt w:val="bullet"/>
      <w:lvlText w:val="•"/>
      <w:lvlJc w:val="left"/>
      <w:pPr>
        <w:ind w:left="7800" w:hanging="173"/>
      </w:pPr>
      <w:rPr>
        <w:rFonts w:hint="default"/>
        <w:lang w:val="es-ES" w:eastAsia="en-US" w:bidi="ar-SA"/>
      </w:rPr>
    </w:lvl>
  </w:abstractNum>
  <w:abstractNum w:abstractNumId="3" w15:restartNumberingAfterBreak="0">
    <w:nsid w:val="5E192074"/>
    <w:multiLevelType w:val="multilevel"/>
    <w:tmpl w:val="829618E0"/>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8D57668"/>
    <w:multiLevelType w:val="hybridMultilevel"/>
    <w:tmpl w:val="8D32282A"/>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7C703690"/>
    <w:multiLevelType w:val="hybridMultilevel"/>
    <w:tmpl w:val="F9862FC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831919288">
    <w:abstractNumId w:val="1"/>
  </w:num>
  <w:num w:numId="2" w16cid:durableId="489172706">
    <w:abstractNumId w:val="3"/>
  </w:num>
  <w:num w:numId="3" w16cid:durableId="1880236706">
    <w:abstractNumId w:val="0"/>
  </w:num>
  <w:num w:numId="4" w16cid:durableId="599022062">
    <w:abstractNumId w:val="2"/>
  </w:num>
  <w:num w:numId="5" w16cid:durableId="1349872502">
    <w:abstractNumId w:val="4"/>
  </w:num>
  <w:num w:numId="6" w16cid:durableId="4932986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94A"/>
    <w:rsid w:val="0000133F"/>
    <w:rsid w:val="0000332F"/>
    <w:rsid w:val="00005933"/>
    <w:rsid w:val="000060C0"/>
    <w:rsid w:val="00010E0C"/>
    <w:rsid w:val="000119FF"/>
    <w:rsid w:val="00015505"/>
    <w:rsid w:val="00015B53"/>
    <w:rsid w:val="00016564"/>
    <w:rsid w:val="0002085F"/>
    <w:rsid w:val="00021166"/>
    <w:rsid w:val="00021AA6"/>
    <w:rsid w:val="0002300F"/>
    <w:rsid w:val="0002311A"/>
    <w:rsid w:val="000242C0"/>
    <w:rsid w:val="00024584"/>
    <w:rsid w:val="0002572D"/>
    <w:rsid w:val="00027D63"/>
    <w:rsid w:val="00034C7D"/>
    <w:rsid w:val="000361EC"/>
    <w:rsid w:val="000376C5"/>
    <w:rsid w:val="00037B74"/>
    <w:rsid w:val="00037E36"/>
    <w:rsid w:val="00041665"/>
    <w:rsid w:val="00041FEC"/>
    <w:rsid w:val="0004329A"/>
    <w:rsid w:val="000439CB"/>
    <w:rsid w:val="0004601D"/>
    <w:rsid w:val="000468F5"/>
    <w:rsid w:val="00047374"/>
    <w:rsid w:val="00047E3C"/>
    <w:rsid w:val="00051F22"/>
    <w:rsid w:val="00052CFB"/>
    <w:rsid w:val="000550FD"/>
    <w:rsid w:val="0005565C"/>
    <w:rsid w:val="000565C1"/>
    <w:rsid w:val="000568CE"/>
    <w:rsid w:val="000576B1"/>
    <w:rsid w:val="00060567"/>
    <w:rsid w:val="00060BC6"/>
    <w:rsid w:val="00063696"/>
    <w:rsid w:val="00065836"/>
    <w:rsid w:val="00067482"/>
    <w:rsid w:val="000729FD"/>
    <w:rsid w:val="000734A2"/>
    <w:rsid w:val="00077170"/>
    <w:rsid w:val="00082F95"/>
    <w:rsid w:val="00083004"/>
    <w:rsid w:val="00083530"/>
    <w:rsid w:val="00085DCF"/>
    <w:rsid w:val="000867FF"/>
    <w:rsid w:val="00090E59"/>
    <w:rsid w:val="00092D7D"/>
    <w:rsid w:val="000959EE"/>
    <w:rsid w:val="000A00C0"/>
    <w:rsid w:val="000A1C9C"/>
    <w:rsid w:val="000A409F"/>
    <w:rsid w:val="000A61D8"/>
    <w:rsid w:val="000A6587"/>
    <w:rsid w:val="000B0633"/>
    <w:rsid w:val="000B2FBA"/>
    <w:rsid w:val="000B54BB"/>
    <w:rsid w:val="000B7CD1"/>
    <w:rsid w:val="000C0C88"/>
    <w:rsid w:val="000C2397"/>
    <w:rsid w:val="000C2DC0"/>
    <w:rsid w:val="000C4AD1"/>
    <w:rsid w:val="000C540C"/>
    <w:rsid w:val="000C7B6C"/>
    <w:rsid w:val="000D08DD"/>
    <w:rsid w:val="000D1ACB"/>
    <w:rsid w:val="000D2216"/>
    <w:rsid w:val="000D289A"/>
    <w:rsid w:val="000D45C4"/>
    <w:rsid w:val="000D5E43"/>
    <w:rsid w:val="000D67C3"/>
    <w:rsid w:val="000E12C8"/>
    <w:rsid w:val="000E30EA"/>
    <w:rsid w:val="000E3730"/>
    <w:rsid w:val="000E5664"/>
    <w:rsid w:val="000E63C9"/>
    <w:rsid w:val="000F30CE"/>
    <w:rsid w:val="000F5059"/>
    <w:rsid w:val="000F6D03"/>
    <w:rsid w:val="000F7AFA"/>
    <w:rsid w:val="000F7B2D"/>
    <w:rsid w:val="00100FEE"/>
    <w:rsid w:val="0010174E"/>
    <w:rsid w:val="00101E9C"/>
    <w:rsid w:val="0010316E"/>
    <w:rsid w:val="00103A23"/>
    <w:rsid w:val="001100D3"/>
    <w:rsid w:val="001104D0"/>
    <w:rsid w:val="00111542"/>
    <w:rsid w:val="00113F0F"/>
    <w:rsid w:val="00114312"/>
    <w:rsid w:val="001148B6"/>
    <w:rsid w:val="001166F0"/>
    <w:rsid w:val="001166F5"/>
    <w:rsid w:val="00117969"/>
    <w:rsid w:val="00122BB1"/>
    <w:rsid w:val="0012351A"/>
    <w:rsid w:val="00123F90"/>
    <w:rsid w:val="001307BF"/>
    <w:rsid w:val="00130B72"/>
    <w:rsid w:val="00130D54"/>
    <w:rsid w:val="00130EC5"/>
    <w:rsid w:val="00132B0A"/>
    <w:rsid w:val="00134084"/>
    <w:rsid w:val="001409DB"/>
    <w:rsid w:val="00141867"/>
    <w:rsid w:val="001425C6"/>
    <w:rsid w:val="001436CF"/>
    <w:rsid w:val="00144564"/>
    <w:rsid w:val="00150292"/>
    <w:rsid w:val="001510DF"/>
    <w:rsid w:val="001534A2"/>
    <w:rsid w:val="00153FA4"/>
    <w:rsid w:val="001540A9"/>
    <w:rsid w:val="001555E3"/>
    <w:rsid w:val="00156F81"/>
    <w:rsid w:val="00160DD9"/>
    <w:rsid w:val="00161EA2"/>
    <w:rsid w:val="00164230"/>
    <w:rsid w:val="0016436D"/>
    <w:rsid w:val="00173C15"/>
    <w:rsid w:val="00175E5C"/>
    <w:rsid w:val="00177506"/>
    <w:rsid w:val="00181947"/>
    <w:rsid w:val="00181A0F"/>
    <w:rsid w:val="001911F6"/>
    <w:rsid w:val="00195C99"/>
    <w:rsid w:val="001972C4"/>
    <w:rsid w:val="00197A7F"/>
    <w:rsid w:val="001A0F3E"/>
    <w:rsid w:val="001A1599"/>
    <w:rsid w:val="001A2192"/>
    <w:rsid w:val="001A2F52"/>
    <w:rsid w:val="001A5C14"/>
    <w:rsid w:val="001A68B1"/>
    <w:rsid w:val="001A6DF5"/>
    <w:rsid w:val="001A6F66"/>
    <w:rsid w:val="001A74CB"/>
    <w:rsid w:val="001B07F4"/>
    <w:rsid w:val="001B5DBF"/>
    <w:rsid w:val="001B6576"/>
    <w:rsid w:val="001B6E62"/>
    <w:rsid w:val="001C62E8"/>
    <w:rsid w:val="001C7AC9"/>
    <w:rsid w:val="001D18AA"/>
    <w:rsid w:val="001D1F7E"/>
    <w:rsid w:val="001D21AD"/>
    <w:rsid w:val="001D2EAF"/>
    <w:rsid w:val="001E4780"/>
    <w:rsid w:val="001E540E"/>
    <w:rsid w:val="001E7E5A"/>
    <w:rsid w:val="001F6574"/>
    <w:rsid w:val="0020047C"/>
    <w:rsid w:val="00201C00"/>
    <w:rsid w:val="00205A25"/>
    <w:rsid w:val="00206155"/>
    <w:rsid w:val="002073F2"/>
    <w:rsid w:val="00212C7F"/>
    <w:rsid w:val="002138F9"/>
    <w:rsid w:val="00214CAD"/>
    <w:rsid w:val="00215598"/>
    <w:rsid w:val="002230CB"/>
    <w:rsid w:val="00224235"/>
    <w:rsid w:val="00225B51"/>
    <w:rsid w:val="002278DC"/>
    <w:rsid w:val="00227C58"/>
    <w:rsid w:val="00227C7F"/>
    <w:rsid w:val="0023064E"/>
    <w:rsid w:val="00230B6A"/>
    <w:rsid w:val="00231F95"/>
    <w:rsid w:val="00231FF9"/>
    <w:rsid w:val="00233C83"/>
    <w:rsid w:val="002347FA"/>
    <w:rsid w:val="00246F57"/>
    <w:rsid w:val="00252ED4"/>
    <w:rsid w:val="00252F9A"/>
    <w:rsid w:val="0025575E"/>
    <w:rsid w:val="00256264"/>
    <w:rsid w:val="00256472"/>
    <w:rsid w:val="00256CE1"/>
    <w:rsid w:val="00261DA5"/>
    <w:rsid w:val="00262C96"/>
    <w:rsid w:val="00264698"/>
    <w:rsid w:val="00265CB6"/>
    <w:rsid w:val="002734EE"/>
    <w:rsid w:val="00273517"/>
    <w:rsid w:val="00273A9F"/>
    <w:rsid w:val="00277247"/>
    <w:rsid w:val="002777C0"/>
    <w:rsid w:val="0028020A"/>
    <w:rsid w:val="0028217B"/>
    <w:rsid w:val="0028253D"/>
    <w:rsid w:val="00285880"/>
    <w:rsid w:val="00285B6E"/>
    <w:rsid w:val="00286E26"/>
    <w:rsid w:val="002879B3"/>
    <w:rsid w:val="00290DC3"/>
    <w:rsid w:val="00291FEF"/>
    <w:rsid w:val="00293C48"/>
    <w:rsid w:val="002952AE"/>
    <w:rsid w:val="00295F52"/>
    <w:rsid w:val="002968F1"/>
    <w:rsid w:val="00296BFF"/>
    <w:rsid w:val="00297154"/>
    <w:rsid w:val="00297A02"/>
    <w:rsid w:val="002A19B0"/>
    <w:rsid w:val="002A50FC"/>
    <w:rsid w:val="002A53FD"/>
    <w:rsid w:val="002B09C4"/>
    <w:rsid w:val="002B1952"/>
    <w:rsid w:val="002B62CB"/>
    <w:rsid w:val="002C1573"/>
    <w:rsid w:val="002C71C0"/>
    <w:rsid w:val="002C78BA"/>
    <w:rsid w:val="002C7901"/>
    <w:rsid w:val="002D19B6"/>
    <w:rsid w:val="002D2247"/>
    <w:rsid w:val="002D4DC5"/>
    <w:rsid w:val="002D58C6"/>
    <w:rsid w:val="002D61F8"/>
    <w:rsid w:val="002D6BA0"/>
    <w:rsid w:val="002E1B44"/>
    <w:rsid w:val="002E4446"/>
    <w:rsid w:val="002E61AE"/>
    <w:rsid w:val="002E7A44"/>
    <w:rsid w:val="002E7CDB"/>
    <w:rsid w:val="002F014C"/>
    <w:rsid w:val="002F16CB"/>
    <w:rsid w:val="002F1874"/>
    <w:rsid w:val="002F2212"/>
    <w:rsid w:val="002F47DB"/>
    <w:rsid w:val="002F4872"/>
    <w:rsid w:val="002F49FB"/>
    <w:rsid w:val="002F6161"/>
    <w:rsid w:val="0030253A"/>
    <w:rsid w:val="00303B9D"/>
    <w:rsid w:val="00304582"/>
    <w:rsid w:val="00304DFB"/>
    <w:rsid w:val="00306AF0"/>
    <w:rsid w:val="00311277"/>
    <w:rsid w:val="00311A1B"/>
    <w:rsid w:val="00311E07"/>
    <w:rsid w:val="0031373D"/>
    <w:rsid w:val="00320D51"/>
    <w:rsid w:val="00321E76"/>
    <w:rsid w:val="00322012"/>
    <w:rsid w:val="00322237"/>
    <w:rsid w:val="003238F6"/>
    <w:rsid w:val="0032474A"/>
    <w:rsid w:val="0033217B"/>
    <w:rsid w:val="003435E4"/>
    <w:rsid w:val="00345BD5"/>
    <w:rsid w:val="0034680F"/>
    <w:rsid w:val="00350726"/>
    <w:rsid w:val="00350B62"/>
    <w:rsid w:val="00353188"/>
    <w:rsid w:val="00353ACE"/>
    <w:rsid w:val="00354549"/>
    <w:rsid w:val="0035498F"/>
    <w:rsid w:val="00355CBA"/>
    <w:rsid w:val="00360064"/>
    <w:rsid w:val="003603D9"/>
    <w:rsid w:val="00362B7E"/>
    <w:rsid w:val="00363509"/>
    <w:rsid w:val="00364356"/>
    <w:rsid w:val="00365C6B"/>
    <w:rsid w:val="0036631F"/>
    <w:rsid w:val="00366D50"/>
    <w:rsid w:val="0037133F"/>
    <w:rsid w:val="003773D8"/>
    <w:rsid w:val="00377701"/>
    <w:rsid w:val="003815B2"/>
    <w:rsid w:val="00382636"/>
    <w:rsid w:val="00385EA9"/>
    <w:rsid w:val="00386E73"/>
    <w:rsid w:val="00391191"/>
    <w:rsid w:val="003970E5"/>
    <w:rsid w:val="003A5EA9"/>
    <w:rsid w:val="003A6A33"/>
    <w:rsid w:val="003B0E8E"/>
    <w:rsid w:val="003B3E78"/>
    <w:rsid w:val="003B4D64"/>
    <w:rsid w:val="003B5FFC"/>
    <w:rsid w:val="003C0808"/>
    <w:rsid w:val="003C18D7"/>
    <w:rsid w:val="003C2D6C"/>
    <w:rsid w:val="003C3274"/>
    <w:rsid w:val="003C3FFF"/>
    <w:rsid w:val="003C446E"/>
    <w:rsid w:val="003C4784"/>
    <w:rsid w:val="003C744A"/>
    <w:rsid w:val="003D0664"/>
    <w:rsid w:val="003D34C0"/>
    <w:rsid w:val="003D6BB4"/>
    <w:rsid w:val="003E119C"/>
    <w:rsid w:val="003E15F7"/>
    <w:rsid w:val="003E3B4F"/>
    <w:rsid w:val="003E464A"/>
    <w:rsid w:val="003E68C6"/>
    <w:rsid w:val="003E6C60"/>
    <w:rsid w:val="003E7228"/>
    <w:rsid w:val="003F041A"/>
    <w:rsid w:val="003F31F6"/>
    <w:rsid w:val="003F5B85"/>
    <w:rsid w:val="003F5C29"/>
    <w:rsid w:val="003F603A"/>
    <w:rsid w:val="003F6841"/>
    <w:rsid w:val="0040233D"/>
    <w:rsid w:val="00403674"/>
    <w:rsid w:val="004036CE"/>
    <w:rsid w:val="0040487F"/>
    <w:rsid w:val="00405FFA"/>
    <w:rsid w:val="0040799D"/>
    <w:rsid w:val="00407C29"/>
    <w:rsid w:val="004121AF"/>
    <w:rsid w:val="004151F8"/>
    <w:rsid w:val="00416184"/>
    <w:rsid w:val="004167E6"/>
    <w:rsid w:val="00417A9A"/>
    <w:rsid w:val="00417B7A"/>
    <w:rsid w:val="00420120"/>
    <w:rsid w:val="00424A18"/>
    <w:rsid w:val="00425AD0"/>
    <w:rsid w:val="00426A55"/>
    <w:rsid w:val="004317E8"/>
    <w:rsid w:val="00431F0B"/>
    <w:rsid w:val="00432DA0"/>
    <w:rsid w:val="00435C74"/>
    <w:rsid w:val="004363DA"/>
    <w:rsid w:val="00443DE1"/>
    <w:rsid w:val="00444722"/>
    <w:rsid w:val="00445068"/>
    <w:rsid w:val="00445461"/>
    <w:rsid w:val="004464C1"/>
    <w:rsid w:val="004508CC"/>
    <w:rsid w:val="0045265E"/>
    <w:rsid w:val="004532BE"/>
    <w:rsid w:val="004539CC"/>
    <w:rsid w:val="00453D6D"/>
    <w:rsid w:val="00453F54"/>
    <w:rsid w:val="0045650C"/>
    <w:rsid w:val="00460DB9"/>
    <w:rsid w:val="00460F6D"/>
    <w:rsid w:val="00463704"/>
    <w:rsid w:val="00465242"/>
    <w:rsid w:val="004715AB"/>
    <w:rsid w:val="00471ACD"/>
    <w:rsid w:val="00472914"/>
    <w:rsid w:val="004750F9"/>
    <w:rsid w:val="00480050"/>
    <w:rsid w:val="00480468"/>
    <w:rsid w:val="004812D3"/>
    <w:rsid w:val="00485ABD"/>
    <w:rsid w:val="004870A8"/>
    <w:rsid w:val="00490FF2"/>
    <w:rsid w:val="00491813"/>
    <w:rsid w:val="00492B60"/>
    <w:rsid w:val="00494618"/>
    <w:rsid w:val="00495BFF"/>
    <w:rsid w:val="00496EB0"/>
    <w:rsid w:val="004976E7"/>
    <w:rsid w:val="00497AD8"/>
    <w:rsid w:val="004A02E4"/>
    <w:rsid w:val="004A0734"/>
    <w:rsid w:val="004A0946"/>
    <w:rsid w:val="004A284E"/>
    <w:rsid w:val="004A3048"/>
    <w:rsid w:val="004A7523"/>
    <w:rsid w:val="004B046B"/>
    <w:rsid w:val="004B2E5C"/>
    <w:rsid w:val="004B5671"/>
    <w:rsid w:val="004B6AFC"/>
    <w:rsid w:val="004B7687"/>
    <w:rsid w:val="004C0DDC"/>
    <w:rsid w:val="004C6F5F"/>
    <w:rsid w:val="004C750D"/>
    <w:rsid w:val="004D7D56"/>
    <w:rsid w:val="004E01CA"/>
    <w:rsid w:val="004E160B"/>
    <w:rsid w:val="004E18E7"/>
    <w:rsid w:val="004E3481"/>
    <w:rsid w:val="004E4288"/>
    <w:rsid w:val="004E647D"/>
    <w:rsid w:val="004F0CDF"/>
    <w:rsid w:val="004F3100"/>
    <w:rsid w:val="004F48BD"/>
    <w:rsid w:val="005004AC"/>
    <w:rsid w:val="00501FEE"/>
    <w:rsid w:val="00502F8A"/>
    <w:rsid w:val="0050328F"/>
    <w:rsid w:val="00504548"/>
    <w:rsid w:val="00504F27"/>
    <w:rsid w:val="0050502C"/>
    <w:rsid w:val="005056F9"/>
    <w:rsid w:val="0051170F"/>
    <w:rsid w:val="00511760"/>
    <w:rsid w:val="00512D6D"/>
    <w:rsid w:val="00512E5B"/>
    <w:rsid w:val="00513090"/>
    <w:rsid w:val="00514C4D"/>
    <w:rsid w:val="005162B6"/>
    <w:rsid w:val="00516442"/>
    <w:rsid w:val="00517701"/>
    <w:rsid w:val="00517D23"/>
    <w:rsid w:val="00522819"/>
    <w:rsid w:val="00524BE8"/>
    <w:rsid w:val="00530981"/>
    <w:rsid w:val="0053386B"/>
    <w:rsid w:val="005340F2"/>
    <w:rsid w:val="00541B1F"/>
    <w:rsid w:val="00543E7A"/>
    <w:rsid w:val="005447B8"/>
    <w:rsid w:val="00545AA3"/>
    <w:rsid w:val="00550523"/>
    <w:rsid w:val="00551CE4"/>
    <w:rsid w:val="0055402F"/>
    <w:rsid w:val="00554A42"/>
    <w:rsid w:val="0055654C"/>
    <w:rsid w:val="00557F8A"/>
    <w:rsid w:val="005616CC"/>
    <w:rsid w:val="0056333C"/>
    <w:rsid w:val="00564229"/>
    <w:rsid w:val="00564939"/>
    <w:rsid w:val="005671F5"/>
    <w:rsid w:val="00570879"/>
    <w:rsid w:val="005728F0"/>
    <w:rsid w:val="00572BA7"/>
    <w:rsid w:val="00574A86"/>
    <w:rsid w:val="00574B17"/>
    <w:rsid w:val="00576A2B"/>
    <w:rsid w:val="00577A19"/>
    <w:rsid w:val="0058095D"/>
    <w:rsid w:val="00580F76"/>
    <w:rsid w:val="00581261"/>
    <w:rsid w:val="00590DC7"/>
    <w:rsid w:val="005937E6"/>
    <w:rsid w:val="00593D31"/>
    <w:rsid w:val="00594419"/>
    <w:rsid w:val="00597E5C"/>
    <w:rsid w:val="00597E97"/>
    <w:rsid w:val="005A1FFD"/>
    <w:rsid w:val="005A3892"/>
    <w:rsid w:val="005A5EEE"/>
    <w:rsid w:val="005A6569"/>
    <w:rsid w:val="005A794B"/>
    <w:rsid w:val="005B0823"/>
    <w:rsid w:val="005B1E50"/>
    <w:rsid w:val="005B4E37"/>
    <w:rsid w:val="005B5A6E"/>
    <w:rsid w:val="005B5B2D"/>
    <w:rsid w:val="005B5C08"/>
    <w:rsid w:val="005B5EF4"/>
    <w:rsid w:val="005B78E4"/>
    <w:rsid w:val="005C1C9C"/>
    <w:rsid w:val="005C2F1E"/>
    <w:rsid w:val="005C2FF0"/>
    <w:rsid w:val="005C3089"/>
    <w:rsid w:val="005C3A6A"/>
    <w:rsid w:val="005D1DD8"/>
    <w:rsid w:val="005D2029"/>
    <w:rsid w:val="005D269C"/>
    <w:rsid w:val="005D2B0B"/>
    <w:rsid w:val="005D400D"/>
    <w:rsid w:val="005D4314"/>
    <w:rsid w:val="005D4CE1"/>
    <w:rsid w:val="005E0205"/>
    <w:rsid w:val="005E30E7"/>
    <w:rsid w:val="005E5B9A"/>
    <w:rsid w:val="005E76BB"/>
    <w:rsid w:val="005F1FB7"/>
    <w:rsid w:val="005F2C13"/>
    <w:rsid w:val="005F381E"/>
    <w:rsid w:val="005F3E89"/>
    <w:rsid w:val="005F42B5"/>
    <w:rsid w:val="005F52D3"/>
    <w:rsid w:val="005F533F"/>
    <w:rsid w:val="005F5DFE"/>
    <w:rsid w:val="00600087"/>
    <w:rsid w:val="00600A2A"/>
    <w:rsid w:val="0060138F"/>
    <w:rsid w:val="006027D4"/>
    <w:rsid w:val="00603611"/>
    <w:rsid w:val="006043CD"/>
    <w:rsid w:val="00610607"/>
    <w:rsid w:val="006119D8"/>
    <w:rsid w:val="00614382"/>
    <w:rsid w:val="00617820"/>
    <w:rsid w:val="00621EFB"/>
    <w:rsid w:val="006234FF"/>
    <w:rsid w:val="00624D7A"/>
    <w:rsid w:val="00626AC2"/>
    <w:rsid w:val="00631DAC"/>
    <w:rsid w:val="00631E7D"/>
    <w:rsid w:val="0063277F"/>
    <w:rsid w:val="0064349D"/>
    <w:rsid w:val="00650557"/>
    <w:rsid w:val="00650CB6"/>
    <w:rsid w:val="0065280B"/>
    <w:rsid w:val="00653C19"/>
    <w:rsid w:val="006545A6"/>
    <w:rsid w:val="0066047C"/>
    <w:rsid w:val="006613E6"/>
    <w:rsid w:val="00661D02"/>
    <w:rsid w:val="00662D68"/>
    <w:rsid w:val="0066400D"/>
    <w:rsid w:val="00665DE0"/>
    <w:rsid w:val="00671740"/>
    <w:rsid w:val="00672246"/>
    <w:rsid w:val="006732F3"/>
    <w:rsid w:val="00674DF1"/>
    <w:rsid w:val="00680123"/>
    <w:rsid w:val="00680551"/>
    <w:rsid w:val="006805A9"/>
    <w:rsid w:val="00681455"/>
    <w:rsid w:val="00682DBE"/>
    <w:rsid w:val="0068459E"/>
    <w:rsid w:val="00684B60"/>
    <w:rsid w:val="006850F4"/>
    <w:rsid w:val="00685577"/>
    <w:rsid w:val="00686593"/>
    <w:rsid w:val="00687863"/>
    <w:rsid w:val="00690489"/>
    <w:rsid w:val="00694B69"/>
    <w:rsid w:val="00694DF1"/>
    <w:rsid w:val="006A0FFF"/>
    <w:rsid w:val="006A12E4"/>
    <w:rsid w:val="006A1D34"/>
    <w:rsid w:val="006A1F4C"/>
    <w:rsid w:val="006A2972"/>
    <w:rsid w:val="006A2A89"/>
    <w:rsid w:val="006A75EA"/>
    <w:rsid w:val="006B196E"/>
    <w:rsid w:val="006B3A4F"/>
    <w:rsid w:val="006B53B1"/>
    <w:rsid w:val="006B55AC"/>
    <w:rsid w:val="006B5A85"/>
    <w:rsid w:val="006B5FEA"/>
    <w:rsid w:val="006C026A"/>
    <w:rsid w:val="006C0B76"/>
    <w:rsid w:val="006C1E73"/>
    <w:rsid w:val="006C369A"/>
    <w:rsid w:val="006C518D"/>
    <w:rsid w:val="006C6334"/>
    <w:rsid w:val="006C70A3"/>
    <w:rsid w:val="006D1BBE"/>
    <w:rsid w:val="006D34A5"/>
    <w:rsid w:val="006D3DCA"/>
    <w:rsid w:val="006D650B"/>
    <w:rsid w:val="006D714F"/>
    <w:rsid w:val="006E0250"/>
    <w:rsid w:val="006E0DE8"/>
    <w:rsid w:val="006E247A"/>
    <w:rsid w:val="006E26E3"/>
    <w:rsid w:val="006E3522"/>
    <w:rsid w:val="006E424C"/>
    <w:rsid w:val="006E5344"/>
    <w:rsid w:val="006E605A"/>
    <w:rsid w:val="006E7BEC"/>
    <w:rsid w:val="006F1928"/>
    <w:rsid w:val="006F434D"/>
    <w:rsid w:val="006F435B"/>
    <w:rsid w:val="006F4CFA"/>
    <w:rsid w:val="006F7A52"/>
    <w:rsid w:val="00702CE9"/>
    <w:rsid w:val="00703173"/>
    <w:rsid w:val="00703238"/>
    <w:rsid w:val="0071269C"/>
    <w:rsid w:val="007137DB"/>
    <w:rsid w:val="0071404F"/>
    <w:rsid w:val="007211C3"/>
    <w:rsid w:val="00722175"/>
    <w:rsid w:val="0072264B"/>
    <w:rsid w:val="00722A3B"/>
    <w:rsid w:val="00725799"/>
    <w:rsid w:val="00726309"/>
    <w:rsid w:val="00727F65"/>
    <w:rsid w:val="00732E6B"/>
    <w:rsid w:val="00734B11"/>
    <w:rsid w:val="0073554F"/>
    <w:rsid w:val="00736014"/>
    <w:rsid w:val="00736C93"/>
    <w:rsid w:val="00741A76"/>
    <w:rsid w:val="0074575E"/>
    <w:rsid w:val="00747190"/>
    <w:rsid w:val="00747F03"/>
    <w:rsid w:val="00750248"/>
    <w:rsid w:val="0075245C"/>
    <w:rsid w:val="007524C1"/>
    <w:rsid w:val="00755895"/>
    <w:rsid w:val="00762C73"/>
    <w:rsid w:val="0076331B"/>
    <w:rsid w:val="00764CD1"/>
    <w:rsid w:val="00765CB4"/>
    <w:rsid w:val="00765F1A"/>
    <w:rsid w:val="00767E8B"/>
    <w:rsid w:val="00771067"/>
    <w:rsid w:val="00771BA2"/>
    <w:rsid w:val="00773173"/>
    <w:rsid w:val="00782A0C"/>
    <w:rsid w:val="007851E2"/>
    <w:rsid w:val="00785646"/>
    <w:rsid w:val="00785B32"/>
    <w:rsid w:val="007919E1"/>
    <w:rsid w:val="00792632"/>
    <w:rsid w:val="00793426"/>
    <w:rsid w:val="00794F5A"/>
    <w:rsid w:val="00796C23"/>
    <w:rsid w:val="007A12D6"/>
    <w:rsid w:val="007A6078"/>
    <w:rsid w:val="007B1797"/>
    <w:rsid w:val="007B1FBB"/>
    <w:rsid w:val="007B27A2"/>
    <w:rsid w:val="007B370B"/>
    <w:rsid w:val="007B546B"/>
    <w:rsid w:val="007B6DF8"/>
    <w:rsid w:val="007C4222"/>
    <w:rsid w:val="007C4B90"/>
    <w:rsid w:val="007C4FA2"/>
    <w:rsid w:val="007C60D9"/>
    <w:rsid w:val="007C6B57"/>
    <w:rsid w:val="007C7036"/>
    <w:rsid w:val="007C7E8C"/>
    <w:rsid w:val="007D0ABC"/>
    <w:rsid w:val="007D0AC7"/>
    <w:rsid w:val="007D21C2"/>
    <w:rsid w:val="007D702E"/>
    <w:rsid w:val="007D7996"/>
    <w:rsid w:val="007E12CF"/>
    <w:rsid w:val="007E1A8F"/>
    <w:rsid w:val="007E7BF2"/>
    <w:rsid w:val="007F0FFA"/>
    <w:rsid w:val="007F6C8C"/>
    <w:rsid w:val="007F6F6F"/>
    <w:rsid w:val="00801445"/>
    <w:rsid w:val="00802AE0"/>
    <w:rsid w:val="00810D49"/>
    <w:rsid w:val="00814AAE"/>
    <w:rsid w:val="008154B0"/>
    <w:rsid w:val="00815555"/>
    <w:rsid w:val="0081639B"/>
    <w:rsid w:val="00816A58"/>
    <w:rsid w:val="00823D59"/>
    <w:rsid w:val="00825DB8"/>
    <w:rsid w:val="008264D8"/>
    <w:rsid w:val="00826DB1"/>
    <w:rsid w:val="0083052D"/>
    <w:rsid w:val="00830666"/>
    <w:rsid w:val="00831D1A"/>
    <w:rsid w:val="00832DCB"/>
    <w:rsid w:val="00840173"/>
    <w:rsid w:val="008407D2"/>
    <w:rsid w:val="00842141"/>
    <w:rsid w:val="00842C41"/>
    <w:rsid w:val="008448A9"/>
    <w:rsid w:val="00847108"/>
    <w:rsid w:val="00847B45"/>
    <w:rsid w:val="008500BE"/>
    <w:rsid w:val="0085391D"/>
    <w:rsid w:val="00853EA5"/>
    <w:rsid w:val="00854E50"/>
    <w:rsid w:val="00855A67"/>
    <w:rsid w:val="00856482"/>
    <w:rsid w:val="00856EE4"/>
    <w:rsid w:val="00861221"/>
    <w:rsid w:val="00867520"/>
    <w:rsid w:val="00867ADF"/>
    <w:rsid w:val="008725B8"/>
    <w:rsid w:val="00872777"/>
    <w:rsid w:val="0087514A"/>
    <w:rsid w:val="00875FED"/>
    <w:rsid w:val="008760CF"/>
    <w:rsid w:val="00880589"/>
    <w:rsid w:val="00880E04"/>
    <w:rsid w:val="00881A5F"/>
    <w:rsid w:val="008835BF"/>
    <w:rsid w:val="00883AD9"/>
    <w:rsid w:val="00887F36"/>
    <w:rsid w:val="0089136C"/>
    <w:rsid w:val="0089216F"/>
    <w:rsid w:val="00895963"/>
    <w:rsid w:val="00896557"/>
    <w:rsid w:val="0089677F"/>
    <w:rsid w:val="008A4CD1"/>
    <w:rsid w:val="008A5278"/>
    <w:rsid w:val="008A5CD7"/>
    <w:rsid w:val="008B0315"/>
    <w:rsid w:val="008B05A1"/>
    <w:rsid w:val="008B0A7C"/>
    <w:rsid w:val="008B2519"/>
    <w:rsid w:val="008B3203"/>
    <w:rsid w:val="008B4147"/>
    <w:rsid w:val="008B44CB"/>
    <w:rsid w:val="008B4925"/>
    <w:rsid w:val="008B60FF"/>
    <w:rsid w:val="008C054C"/>
    <w:rsid w:val="008C1683"/>
    <w:rsid w:val="008C3074"/>
    <w:rsid w:val="008C40D8"/>
    <w:rsid w:val="008C46AB"/>
    <w:rsid w:val="008C52EE"/>
    <w:rsid w:val="008C6266"/>
    <w:rsid w:val="008C632F"/>
    <w:rsid w:val="008D2436"/>
    <w:rsid w:val="008D24E4"/>
    <w:rsid w:val="008D2BC8"/>
    <w:rsid w:val="008D408E"/>
    <w:rsid w:val="008D4332"/>
    <w:rsid w:val="008D5FB8"/>
    <w:rsid w:val="008D701E"/>
    <w:rsid w:val="008E0E80"/>
    <w:rsid w:val="008E363E"/>
    <w:rsid w:val="008E6815"/>
    <w:rsid w:val="008F0213"/>
    <w:rsid w:val="008F0451"/>
    <w:rsid w:val="008F0A31"/>
    <w:rsid w:val="008F0AB8"/>
    <w:rsid w:val="008F13D9"/>
    <w:rsid w:val="008F1724"/>
    <w:rsid w:val="008F3B69"/>
    <w:rsid w:val="008F3E5F"/>
    <w:rsid w:val="008F7427"/>
    <w:rsid w:val="008F7E69"/>
    <w:rsid w:val="009004A9"/>
    <w:rsid w:val="00900C00"/>
    <w:rsid w:val="0090205A"/>
    <w:rsid w:val="00902B7A"/>
    <w:rsid w:val="009053EC"/>
    <w:rsid w:val="00912E76"/>
    <w:rsid w:val="009132AB"/>
    <w:rsid w:val="009139D8"/>
    <w:rsid w:val="00913FCE"/>
    <w:rsid w:val="00915134"/>
    <w:rsid w:val="00916024"/>
    <w:rsid w:val="0091644F"/>
    <w:rsid w:val="00916870"/>
    <w:rsid w:val="00916C16"/>
    <w:rsid w:val="00920780"/>
    <w:rsid w:val="00920AAF"/>
    <w:rsid w:val="009216E0"/>
    <w:rsid w:val="0092271F"/>
    <w:rsid w:val="0092489A"/>
    <w:rsid w:val="00930C4F"/>
    <w:rsid w:val="00933668"/>
    <w:rsid w:val="0093583E"/>
    <w:rsid w:val="009367EE"/>
    <w:rsid w:val="0093703C"/>
    <w:rsid w:val="00940A52"/>
    <w:rsid w:val="00941948"/>
    <w:rsid w:val="009518C9"/>
    <w:rsid w:val="00952438"/>
    <w:rsid w:val="0095418F"/>
    <w:rsid w:val="00955564"/>
    <w:rsid w:val="00955DDF"/>
    <w:rsid w:val="00956790"/>
    <w:rsid w:val="00957B5A"/>
    <w:rsid w:val="0096021B"/>
    <w:rsid w:val="0096085D"/>
    <w:rsid w:val="009623AE"/>
    <w:rsid w:val="00964A4E"/>
    <w:rsid w:val="00970192"/>
    <w:rsid w:val="00972342"/>
    <w:rsid w:val="00974D89"/>
    <w:rsid w:val="00994B1C"/>
    <w:rsid w:val="009A0D62"/>
    <w:rsid w:val="009A141C"/>
    <w:rsid w:val="009A2900"/>
    <w:rsid w:val="009A52D2"/>
    <w:rsid w:val="009A5A4F"/>
    <w:rsid w:val="009A5F81"/>
    <w:rsid w:val="009A7EC0"/>
    <w:rsid w:val="009B2102"/>
    <w:rsid w:val="009B2FD7"/>
    <w:rsid w:val="009B34E5"/>
    <w:rsid w:val="009B383C"/>
    <w:rsid w:val="009B439B"/>
    <w:rsid w:val="009B4947"/>
    <w:rsid w:val="009B5DC1"/>
    <w:rsid w:val="009B5E4D"/>
    <w:rsid w:val="009B5EAB"/>
    <w:rsid w:val="009B600A"/>
    <w:rsid w:val="009B7093"/>
    <w:rsid w:val="009B7870"/>
    <w:rsid w:val="009C396A"/>
    <w:rsid w:val="009C41A3"/>
    <w:rsid w:val="009C4799"/>
    <w:rsid w:val="009C5A87"/>
    <w:rsid w:val="009C7363"/>
    <w:rsid w:val="009C787A"/>
    <w:rsid w:val="009D33CD"/>
    <w:rsid w:val="009D36FD"/>
    <w:rsid w:val="009E308D"/>
    <w:rsid w:val="009E4A72"/>
    <w:rsid w:val="009E4D0E"/>
    <w:rsid w:val="009F1B86"/>
    <w:rsid w:val="009F24D5"/>
    <w:rsid w:val="009F25CE"/>
    <w:rsid w:val="009F2CFC"/>
    <w:rsid w:val="009F5B6C"/>
    <w:rsid w:val="00A0202E"/>
    <w:rsid w:val="00A02843"/>
    <w:rsid w:val="00A0324D"/>
    <w:rsid w:val="00A03802"/>
    <w:rsid w:val="00A03A49"/>
    <w:rsid w:val="00A03BF4"/>
    <w:rsid w:val="00A05461"/>
    <w:rsid w:val="00A05F86"/>
    <w:rsid w:val="00A07C32"/>
    <w:rsid w:val="00A115FD"/>
    <w:rsid w:val="00A1232C"/>
    <w:rsid w:val="00A12475"/>
    <w:rsid w:val="00A1300C"/>
    <w:rsid w:val="00A154B5"/>
    <w:rsid w:val="00A15736"/>
    <w:rsid w:val="00A1776E"/>
    <w:rsid w:val="00A17C27"/>
    <w:rsid w:val="00A20B5B"/>
    <w:rsid w:val="00A23B06"/>
    <w:rsid w:val="00A249F6"/>
    <w:rsid w:val="00A24E68"/>
    <w:rsid w:val="00A302F7"/>
    <w:rsid w:val="00A320F7"/>
    <w:rsid w:val="00A3274D"/>
    <w:rsid w:val="00A400B0"/>
    <w:rsid w:val="00A41753"/>
    <w:rsid w:val="00A425A8"/>
    <w:rsid w:val="00A43DB0"/>
    <w:rsid w:val="00A44133"/>
    <w:rsid w:val="00A46D2A"/>
    <w:rsid w:val="00A473EC"/>
    <w:rsid w:val="00A5079F"/>
    <w:rsid w:val="00A550F6"/>
    <w:rsid w:val="00A562DD"/>
    <w:rsid w:val="00A56604"/>
    <w:rsid w:val="00A61BF8"/>
    <w:rsid w:val="00A61D40"/>
    <w:rsid w:val="00A62EA2"/>
    <w:rsid w:val="00A632F3"/>
    <w:rsid w:val="00A641B4"/>
    <w:rsid w:val="00A64566"/>
    <w:rsid w:val="00A6568B"/>
    <w:rsid w:val="00A70D8A"/>
    <w:rsid w:val="00A70E8F"/>
    <w:rsid w:val="00A712F3"/>
    <w:rsid w:val="00A7427C"/>
    <w:rsid w:val="00A743CF"/>
    <w:rsid w:val="00A81D36"/>
    <w:rsid w:val="00A82F4A"/>
    <w:rsid w:val="00A8486A"/>
    <w:rsid w:val="00A851C0"/>
    <w:rsid w:val="00A85379"/>
    <w:rsid w:val="00A920AE"/>
    <w:rsid w:val="00A9367B"/>
    <w:rsid w:val="00A95E20"/>
    <w:rsid w:val="00A96B5A"/>
    <w:rsid w:val="00A97A9A"/>
    <w:rsid w:val="00AA0210"/>
    <w:rsid w:val="00AA0D14"/>
    <w:rsid w:val="00AA41E2"/>
    <w:rsid w:val="00AA47F8"/>
    <w:rsid w:val="00AA546F"/>
    <w:rsid w:val="00AA7245"/>
    <w:rsid w:val="00AA7B59"/>
    <w:rsid w:val="00AB07F7"/>
    <w:rsid w:val="00AB17D2"/>
    <w:rsid w:val="00AB6105"/>
    <w:rsid w:val="00AB677D"/>
    <w:rsid w:val="00AC0304"/>
    <w:rsid w:val="00AC38EC"/>
    <w:rsid w:val="00AC488E"/>
    <w:rsid w:val="00AC5641"/>
    <w:rsid w:val="00AC6765"/>
    <w:rsid w:val="00AD1BBD"/>
    <w:rsid w:val="00AD39BC"/>
    <w:rsid w:val="00AD3B6F"/>
    <w:rsid w:val="00AD4F75"/>
    <w:rsid w:val="00AD6E46"/>
    <w:rsid w:val="00AE056D"/>
    <w:rsid w:val="00AE2FB2"/>
    <w:rsid w:val="00AE482C"/>
    <w:rsid w:val="00AE58B7"/>
    <w:rsid w:val="00AE6CEA"/>
    <w:rsid w:val="00AF45AE"/>
    <w:rsid w:val="00AF6145"/>
    <w:rsid w:val="00AF637C"/>
    <w:rsid w:val="00B02574"/>
    <w:rsid w:val="00B03893"/>
    <w:rsid w:val="00B03A71"/>
    <w:rsid w:val="00B05994"/>
    <w:rsid w:val="00B05EB6"/>
    <w:rsid w:val="00B06506"/>
    <w:rsid w:val="00B0677B"/>
    <w:rsid w:val="00B07180"/>
    <w:rsid w:val="00B1031C"/>
    <w:rsid w:val="00B13054"/>
    <w:rsid w:val="00B16BF4"/>
    <w:rsid w:val="00B16E65"/>
    <w:rsid w:val="00B17CEB"/>
    <w:rsid w:val="00B207BE"/>
    <w:rsid w:val="00B210CE"/>
    <w:rsid w:val="00B21138"/>
    <w:rsid w:val="00B22C95"/>
    <w:rsid w:val="00B2434B"/>
    <w:rsid w:val="00B305F8"/>
    <w:rsid w:val="00B32671"/>
    <w:rsid w:val="00B33BF2"/>
    <w:rsid w:val="00B3410F"/>
    <w:rsid w:val="00B3538B"/>
    <w:rsid w:val="00B35E2B"/>
    <w:rsid w:val="00B37372"/>
    <w:rsid w:val="00B3761A"/>
    <w:rsid w:val="00B41350"/>
    <w:rsid w:val="00B42078"/>
    <w:rsid w:val="00B42972"/>
    <w:rsid w:val="00B42DFD"/>
    <w:rsid w:val="00B43FA7"/>
    <w:rsid w:val="00B449B5"/>
    <w:rsid w:val="00B449B6"/>
    <w:rsid w:val="00B4542B"/>
    <w:rsid w:val="00B45560"/>
    <w:rsid w:val="00B52267"/>
    <w:rsid w:val="00B540BD"/>
    <w:rsid w:val="00B62FD1"/>
    <w:rsid w:val="00B65AB3"/>
    <w:rsid w:val="00B665B3"/>
    <w:rsid w:val="00B672F3"/>
    <w:rsid w:val="00B67720"/>
    <w:rsid w:val="00B7017D"/>
    <w:rsid w:val="00B732A4"/>
    <w:rsid w:val="00B73BAB"/>
    <w:rsid w:val="00B74D34"/>
    <w:rsid w:val="00B764C1"/>
    <w:rsid w:val="00B76F07"/>
    <w:rsid w:val="00B77D76"/>
    <w:rsid w:val="00B82FFA"/>
    <w:rsid w:val="00B84233"/>
    <w:rsid w:val="00B84BF3"/>
    <w:rsid w:val="00B8606C"/>
    <w:rsid w:val="00B905F0"/>
    <w:rsid w:val="00B90BA6"/>
    <w:rsid w:val="00B94F5F"/>
    <w:rsid w:val="00B95D0A"/>
    <w:rsid w:val="00BA4713"/>
    <w:rsid w:val="00BA50C7"/>
    <w:rsid w:val="00BA55BA"/>
    <w:rsid w:val="00BB06D6"/>
    <w:rsid w:val="00BB216F"/>
    <w:rsid w:val="00BB22FE"/>
    <w:rsid w:val="00BB511E"/>
    <w:rsid w:val="00BB659A"/>
    <w:rsid w:val="00BB706B"/>
    <w:rsid w:val="00BB7D1F"/>
    <w:rsid w:val="00BC068F"/>
    <w:rsid w:val="00BC316C"/>
    <w:rsid w:val="00BC3978"/>
    <w:rsid w:val="00BC508B"/>
    <w:rsid w:val="00BC7FC6"/>
    <w:rsid w:val="00BD12A1"/>
    <w:rsid w:val="00BD1EF2"/>
    <w:rsid w:val="00BD5360"/>
    <w:rsid w:val="00BD61C6"/>
    <w:rsid w:val="00BD7985"/>
    <w:rsid w:val="00BE1E5D"/>
    <w:rsid w:val="00BE3CCA"/>
    <w:rsid w:val="00BE6E61"/>
    <w:rsid w:val="00BE7587"/>
    <w:rsid w:val="00BF21EA"/>
    <w:rsid w:val="00BF32E5"/>
    <w:rsid w:val="00BF4923"/>
    <w:rsid w:val="00BF7DA1"/>
    <w:rsid w:val="00C0015F"/>
    <w:rsid w:val="00C01833"/>
    <w:rsid w:val="00C02262"/>
    <w:rsid w:val="00C033C0"/>
    <w:rsid w:val="00C050E2"/>
    <w:rsid w:val="00C06E1B"/>
    <w:rsid w:val="00C07BFC"/>
    <w:rsid w:val="00C12CF8"/>
    <w:rsid w:val="00C15ABB"/>
    <w:rsid w:val="00C16651"/>
    <w:rsid w:val="00C21121"/>
    <w:rsid w:val="00C22879"/>
    <w:rsid w:val="00C22E79"/>
    <w:rsid w:val="00C23407"/>
    <w:rsid w:val="00C273AC"/>
    <w:rsid w:val="00C27499"/>
    <w:rsid w:val="00C30897"/>
    <w:rsid w:val="00C30BD4"/>
    <w:rsid w:val="00C325FD"/>
    <w:rsid w:val="00C32A13"/>
    <w:rsid w:val="00C33D88"/>
    <w:rsid w:val="00C352DC"/>
    <w:rsid w:val="00C3537F"/>
    <w:rsid w:val="00C36A3F"/>
    <w:rsid w:val="00C40D0A"/>
    <w:rsid w:val="00C421CB"/>
    <w:rsid w:val="00C42F25"/>
    <w:rsid w:val="00C46AEA"/>
    <w:rsid w:val="00C46EB2"/>
    <w:rsid w:val="00C50284"/>
    <w:rsid w:val="00C50A58"/>
    <w:rsid w:val="00C52CF4"/>
    <w:rsid w:val="00C5371B"/>
    <w:rsid w:val="00C53C8C"/>
    <w:rsid w:val="00C5533D"/>
    <w:rsid w:val="00C561B7"/>
    <w:rsid w:val="00C61017"/>
    <w:rsid w:val="00C6348A"/>
    <w:rsid w:val="00C63683"/>
    <w:rsid w:val="00C638A7"/>
    <w:rsid w:val="00C65D2E"/>
    <w:rsid w:val="00C65FBB"/>
    <w:rsid w:val="00C672D2"/>
    <w:rsid w:val="00C70C48"/>
    <w:rsid w:val="00C72A89"/>
    <w:rsid w:val="00C76D0F"/>
    <w:rsid w:val="00C77D11"/>
    <w:rsid w:val="00C81D11"/>
    <w:rsid w:val="00C82C8B"/>
    <w:rsid w:val="00C8443A"/>
    <w:rsid w:val="00C85AA4"/>
    <w:rsid w:val="00C870FA"/>
    <w:rsid w:val="00C9007A"/>
    <w:rsid w:val="00C91B69"/>
    <w:rsid w:val="00C9286A"/>
    <w:rsid w:val="00C92FFB"/>
    <w:rsid w:val="00C93749"/>
    <w:rsid w:val="00C95585"/>
    <w:rsid w:val="00C9694A"/>
    <w:rsid w:val="00C97627"/>
    <w:rsid w:val="00CA0AEA"/>
    <w:rsid w:val="00CA1B40"/>
    <w:rsid w:val="00CA3E62"/>
    <w:rsid w:val="00CA41D4"/>
    <w:rsid w:val="00CA6C0B"/>
    <w:rsid w:val="00CA7103"/>
    <w:rsid w:val="00CB162B"/>
    <w:rsid w:val="00CB1806"/>
    <w:rsid w:val="00CB412D"/>
    <w:rsid w:val="00CC0670"/>
    <w:rsid w:val="00CC22AF"/>
    <w:rsid w:val="00CC49DF"/>
    <w:rsid w:val="00CC5A26"/>
    <w:rsid w:val="00CC6EAA"/>
    <w:rsid w:val="00CD13D2"/>
    <w:rsid w:val="00CD20D8"/>
    <w:rsid w:val="00CD274C"/>
    <w:rsid w:val="00CD6046"/>
    <w:rsid w:val="00CD673F"/>
    <w:rsid w:val="00CE0898"/>
    <w:rsid w:val="00CE42B5"/>
    <w:rsid w:val="00CE551C"/>
    <w:rsid w:val="00CE76A1"/>
    <w:rsid w:val="00CF00AE"/>
    <w:rsid w:val="00CF579E"/>
    <w:rsid w:val="00CF7AEF"/>
    <w:rsid w:val="00D02486"/>
    <w:rsid w:val="00D053D6"/>
    <w:rsid w:val="00D10E58"/>
    <w:rsid w:val="00D144EC"/>
    <w:rsid w:val="00D15C1B"/>
    <w:rsid w:val="00D16D05"/>
    <w:rsid w:val="00D20C8C"/>
    <w:rsid w:val="00D21374"/>
    <w:rsid w:val="00D229E4"/>
    <w:rsid w:val="00D2342A"/>
    <w:rsid w:val="00D3012B"/>
    <w:rsid w:val="00D334A7"/>
    <w:rsid w:val="00D3516D"/>
    <w:rsid w:val="00D366F5"/>
    <w:rsid w:val="00D36F7B"/>
    <w:rsid w:val="00D417CC"/>
    <w:rsid w:val="00D41AD4"/>
    <w:rsid w:val="00D4381E"/>
    <w:rsid w:val="00D439B8"/>
    <w:rsid w:val="00D43CA2"/>
    <w:rsid w:val="00D46F8C"/>
    <w:rsid w:val="00D50BE5"/>
    <w:rsid w:val="00D52667"/>
    <w:rsid w:val="00D528D5"/>
    <w:rsid w:val="00D61C88"/>
    <w:rsid w:val="00D61D7B"/>
    <w:rsid w:val="00D66013"/>
    <w:rsid w:val="00D70BCF"/>
    <w:rsid w:val="00D7388E"/>
    <w:rsid w:val="00D748D2"/>
    <w:rsid w:val="00D75430"/>
    <w:rsid w:val="00D75BA8"/>
    <w:rsid w:val="00D765D4"/>
    <w:rsid w:val="00D76B14"/>
    <w:rsid w:val="00D76B28"/>
    <w:rsid w:val="00D77481"/>
    <w:rsid w:val="00D778D7"/>
    <w:rsid w:val="00D80B69"/>
    <w:rsid w:val="00D82A72"/>
    <w:rsid w:val="00D8481D"/>
    <w:rsid w:val="00D84B8C"/>
    <w:rsid w:val="00D86FCA"/>
    <w:rsid w:val="00D905CF"/>
    <w:rsid w:val="00D9096A"/>
    <w:rsid w:val="00D9231E"/>
    <w:rsid w:val="00D92990"/>
    <w:rsid w:val="00D94466"/>
    <w:rsid w:val="00D946F1"/>
    <w:rsid w:val="00D94CA4"/>
    <w:rsid w:val="00D965C4"/>
    <w:rsid w:val="00DA02EB"/>
    <w:rsid w:val="00DA4DBE"/>
    <w:rsid w:val="00DA5374"/>
    <w:rsid w:val="00DA61C0"/>
    <w:rsid w:val="00DB011B"/>
    <w:rsid w:val="00DB184E"/>
    <w:rsid w:val="00DB2282"/>
    <w:rsid w:val="00DB36CF"/>
    <w:rsid w:val="00DC273C"/>
    <w:rsid w:val="00DC3A1E"/>
    <w:rsid w:val="00DC3B0C"/>
    <w:rsid w:val="00DC42F1"/>
    <w:rsid w:val="00DD2AF0"/>
    <w:rsid w:val="00DD4012"/>
    <w:rsid w:val="00DD40CB"/>
    <w:rsid w:val="00DD6424"/>
    <w:rsid w:val="00DD6B76"/>
    <w:rsid w:val="00DE18EB"/>
    <w:rsid w:val="00DE22C9"/>
    <w:rsid w:val="00DE2E54"/>
    <w:rsid w:val="00DE7F73"/>
    <w:rsid w:val="00DF2A6F"/>
    <w:rsid w:val="00DF2D6B"/>
    <w:rsid w:val="00DF5FEA"/>
    <w:rsid w:val="00E0120E"/>
    <w:rsid w:val="00E02654"/>
    <w:rsid w:val="00E03996"/>
    <w:rsid w:val="00E046C4"/>
    <w:rsid w:val="00E04B14"/>
    <w:rsid w:val="00E05280"/>
    <w:rsid w:val="00E11C95"/>
    <w:rsid w:val="00E12237"/>
    <w:rsid w:val="00E12318"/>
    <w:rsid w:val="00E1335F"/>
    <w:rsid w:val="00E1533C"/>
    <w:rsid w:val="00E1582C"/>
    <w:rsid w:val="00E16944"/>
    <w:rsid w:val="00E17116"/>
    <w:rsid w:val="00E22A4A"/>
    <w:rsid w:val="00E24204"/>
    <w:rsid w:val="00E2458F"/>
    <w:rsid w:val="00E26F49"/>
    <w:rsid w:val="00E27E2D"/>
    <w:rsid w:val="00E307AB"/>
    <w:rsid w:val="00E30E9B"/>
    <w:rsid w:val="00E311F4"/>
    <w:rsid w:val="00E330A2"/>
    <w:rsid w:val="00E40AAE"/>
    <w:rsid w:val="00E42E61"/>
    <w:rsid w:val="00E46ABD"/>
    <w:rsid w:val="00E46CD5"/>
    <w:rsid w:val="00E502C3"/>
    <w:rsid w:val="00E52F67"/>
    <w:rsid w:val="00E53385"/>
    <w:rsid w:val="00E55A70"/>
    <w:rsid w:val="00E57362"/>
    <w:rsid w:val="00E607B7"/>
    <w:rsid w:val="00E60C43"/>
    <w:rsid w:val="00E618DC"/>
    <w:rsid w:val="00E63AA6"/>
    <w:rsid w:val="00E67DC8"/>
    <w:rsid w:val="00E80A81"/>
    <w:rsid w:val="00E85A27"/>
    <w:rsid w:val="00E9543B"/>
    <w:rsid w:val="00EA1840"/>
    <w:rsid w:val="00EA33D5"/>
    <w:rsid w:val="00EA5196"/>
    <w:rsid w:val="00EA6B15"/>
    <w:rsid w:val="00EA7CB4"/>
    <w:rsid w:val="00EB04D4"/>
    <w:rsid w:val="00EB0A45"/>
    <w:rsid w:val="00EB0CA1"/>
    <w:rsid w:val="00EB3FD0"/>
    <w:rsid w:val="00EB515E"/>
    <w:rsid w:val="00EB6316"/>
    <w:rsid w:val="00EC3934"/>
    <w:rsid w:val="00EC3B15"/>
    <w:rsid w:val="00EC4973"/>
    <w:rsid w:val="00EC4C3E"/>
    <w:rsid w:val="00ED0EE5"/>
    <w:rsid w:val="00ED336A"/>
    <w:rsid w:val="00ED5B70"/>
    <w:rsid w:val="00ED69D4"/>
    <w:rsid w:val="00ED6C5E"/>
    <w:rsid w:val="00EE0BF6"/>
    <w:rsid w:val="00EE1524"/>
    <w:rsid w:val="00EE5BE7"/>
    <w:rsid w:val="00EE75C0"/>
    <w:rsid w:val="00EF195E"/>
    <w:rsid w:val="00EF400F"/>
    <w:rsid w:val="00EF56AF"/>
    <w:rsid w:val="00EF5839"/>
    <w:rsid w:val="00EF6548"/>
    <w:rsid w:val="00EF71DF"/>
    <w:rsid w:val="00F01C43"/>
    <w:rsid w:val="00F02F27"/>
    <w:rsid w:val="00F03BFC"/>
    <w:rsid w:val="00F04440"/>
    <w:rsid w:val="00F070EA"/>
    <w:rsid w:val="00F10D40"/>
    <w:rsid w:val="00F11EB2"/>
    <w:rsid w:val="00F148A5"/>
    <w:rsid w:val="00F17308"/>
    <w:rsid w:val="00F22F40"/>
    <w:rsid w:val="00F23D90"/>
    <w:rsid w:val="00F24E50"/>
    <w:rsid w:val="00F2521C"/>
    <w:rsid w:val="00F263C1"/>
    <w:rsid w:val="00F265C9"/>
    <w:rsid w:val="00F27DAC"/>
    <w:rsid w:val="00F33462"/>
    <w:rsid w:val="00F33CC2"/>
    <w:rsid w:val="00F34CE5"/>
    <w:rsid w:val="00F355C5"/>
    <w:rsid w:val="00F36638"/>
    <w:rsid w:val="00F37051"/>
    <w:rsid w:val="00F407D3"/>
    <w:rsid w:val="00F40E5A"/>
    <w:rsid w:val="00F41A1D"/>
    <w:rsid w:val="00F42304"/>
    <w:rsid w:val="00F427CB"/>
    <w:rsid w:val="00F42B7B"/>
    <w:rsid w:val="00F43F25"/>
    <w:rsid w:val="00F45B0D"/>
    <w:rsid w:val="00F46739"/>
    <w:rsid w:val="00F46DEB"/>
    <w:rsid w:val="00F531B8"/>
    <w:rsid w:val="00F54754"/>
    <w:rsid w:val="00F567B6"/>
    <w:rsid w:val="00F569B1"/>
    <w:rsid w:val="00F658F8"/>
    <w:rsid w:val="00F6596F"/>
    <w:rsid w:val="00F66C49"/>
    <w:rsid w:val="00F671FD"/>
    <w:rsid w:val="00F67327"/>
    <w:rsid w:val="00F70DC9"/>
    <w:rsid w:val="00F7444D"/>
    <w:rsid w:val="00F7451F"/>
    <w:rsid w:val="00F74A3B"/>
    <w:rsid w:val="00F74C3B"/>
    <w:rsid w:val="00F7648B"/>
    <w:rsid w:val="00F77A4A"/>
    <w:rsid w:val="00F77A55"/>
    <w:rsid w:val="00F83182"/>
    <w:rsid w:val="00F86915"/>
    <w:rsid w:val="00F87870"/>
    <w:rsid w:val="00F91522"/>
    <w:rsid w:val="00F93865"/>
    <w:rsid w:val="00F955EB"/>
    <w:rsid w:val="00F956F3"/>
    <w:rsid w:val="00F973F5"/>
    <w:rsid w:val="00F97AAE"/>
    <w:rsid w:val="00FA1AB8"/>
    <w:rsid w:val="00FA1E8D"/>
    <w:rsid w:val="00FA228C"/>
    <w:rsid w:val="00FA22DF"/>
    <w:rsid w:val="00FB088B"/>
    <w:rsid w:val="00FB0DD0"/>
    <w:rsid w:val="00FB11C9"/>
    <w:rsid w:val="00FB2200"/>
    <w:rsid w:val="00FB3405"/>
    <w:rsid w:val="00FB347B"/>
    <w:rsid w:val="00FB51F4"/>
    <w:rsid w:val="00FB76CE"/>
    <w:rsid w:val="00FC36CA"/>
    <w:rsid w:val="00FC3905"/>
    <w:rsid w:val="00FC3E16"/>
    <w:rsid w:val="00FC67D7"/>
    <w:rsid w:val="00FC707B"/>
    <w:rsid w:val="00FD15F0"/>
    <w:rsid w:val="00FD18BD"/>
    <w:rsid w:val="00FD1A40"/>
    <w:rsid w:val="00FD24E3"/>
    <w:rsid w:val="00FD2FE8"/>
    <w:rsid w:val="00FD63B7"/>
    <w:rsid w:val="00FD66DC"/>
    <w:rsid w:val="00FD79CE"/>
    <w:rsid w:val="00FD7FC9"/>
    <w:rsid w:val="00FE05A9"/>
    <w:rsid w:val="00FE34E2"/>
    <w:rsid w:val="00FE603F"/>
    <w:rsid w:val="00FF07B8"/>
    <w:rsid w:val="00FF2345"/>
    <w:rsid w:val="00FF24FD"/>
    <w:rsid w:val="00FF370C"/>
    <w:rsid w:val="00FF751D"/>
    <w:rsid w:val="46D650F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C33663"/>
  <w15:chartTrackingRefBased/>
  <w15:docId w15:val="{60FC7168-FB1B-4EFB-BDE2-05768C8C0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9694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9694A"/>
  </w:style>
  <w:style w:type="paragraph" w:styleId="Piedepgina">
    <w:name w:val="footer"/>
    <w:basedOn w:val="Normal"/>
    <w:link w:val="PiedepginaCar"/>
    <w:uiPriority w:val="99"/>
    <w:unhideWhenUsed/>
    <w:rsid w:val="00C9694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9694A"/>
  </w:style>
  <w:style w:type="paragraph" w:customStyle="1" w:styleId="Piedepgina1">
    <w:name w:val="Pie de página1"/>
    <w:basedOn w:val="Normal"/>
    <w:next w:val="Piedepgina"/>
    <w:uiPriority w:val="99"/>
    <w:unhideWhenUsed/>
    <w:rsid w:val="00C9694A"/>
    <w:pPr>
      <w:tabs>
        <w:tab w:val="center" w:pos="4419"/>
        <w:tab w:val="right" w:pos="8838"/>
      </w:tabs>
      <w:spacing w:after="0" w:line="240" w:lineRule="auto"/>
    </w:pPr>
    <w:rPr>
      <w:sz w:val="24"/>
      <w:lang w:val="es-MX"/>
    </w:rPr>
  </w:style>
  <w:style w:type="table" w:customStyle="1" w:styleId="Tablaconcuadrcula1">
    <w:name w:val="Tabla con cuadrícula1"/>
    <w:basedOn w:val="Tablanormal"/>
    <w:next w:val="Tablaconcuadrcula"/>
    <w:uiPriority w:val="39"/>
    <w:rsid w:val="00C969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1">
    <w:name w:val="Sin espaciado1"/>
    <w:next w:val="Sinespaciado"/>
    <w:uiPriority w:val="1"/>
    <w:qFormat/>
    <w:rsid w:val="00C9694A"/>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C9694A"/>
    <w:rPr>
      <w:sz w:val="20"/>
      <w:szCs w:val="20"/>
      <w:lang w:val="es-MX"/>
    </w:rPr>
  </w:style>
  <w:style w:type="paragraph" w:customStyle="1" w:styleId="Car1">
    <w:name w:val="Car1"/>
    <w:basedOn w:val="Normal"/>
    <w:next w:val="Textonotapie"/>
    <w:uiPriority w:val="99"/>
    <w:unhideWhenUsed/>
    <w:qFormat/>
    <w:rsid w:val="00C9694A"/>
    <w:pPr>
      <w:spacing w:after="0" w:line="240" w:lineRule="auto"/>
    </w:pPr>
    <w:rPr>
      <w:sz w:val="20"/>
      <w:szCs w:val="20"/>
      <w:lang w:val="es-MX"/>
    </w:rPr>
  </w:style>
  <w:style w:type="character" w:styleId="Refdenotaalpie">
    <w:name w:val="footnote reference"/>
    <w:aliases w:val="Ref. de nota al pie 2,Ref,de nota al pie,FC,Appel note de bas de p,f,4_G,16 Point,Superscript 6 Point,Texto nota al pie,Pie de Página,Texto de nota al pi,Nota de pie,Footnote symbol,Footnote,Ref. de nota al pie2,Pie de pagina,F,R,Re"/>
    <w:basedOn w:val="Fuentedeprrafopredeter"/>
    <w:link w:val="Appelnotedebasde"/>
    <w:uiPriority w:val="99"/>
    <w:unhideWhenUsed/>
    <w:qFormat/>
    <w:rsid w:val="00C9694A"/>
    <w:rPr>
      <w:vertAlign w:val="superscript"/>
    </w:rPr>
  </w:style>
  <w:style w:type="table" w:styleId="Tablaconcuadrcula">
    <w:name w:val="Table Grid"/>
    <w:basedOn w:val="Tablanormal"/>
    <w:uiPriority w:val="59"/>
    <w:rsid w:val="00C969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C9694A"/>
    <w:pPr>
      <w:spacing w:after="0" w:line="240" w:lineRule="auto"/>
    </w:pPr>
    <w:rPr>
      <w:sz w:val="20"/>
      <w:szCs w:val="20"/>
      <w:lang w:val="es-MX"/>
    </w:rPr>
  </w:style>
  <w:style w:type="character" w:customStyle="1" w:styleId="TextonotapieCar1">
    <w:name w:val="Texto nota pie Car1"/>
    <w:basedOn w:val="Fuentedeprrafopredeter"/>
    <w:uiPriority w:val="99"/>
    <w:semiHidden/>
    <w:rsid w:val="00C9694A"/>
    <w:rPr>
      <w:sz w:val="20"/>
      <w:szCs w:val="20"/>
    </w:rPr>
  </w:style>
  <w:style w:type="paragraph" w:customStyle="1" w:styleId="Appelnotedebasde">
    <w:name w:val="Appel note de bas de..."/>
    <w:basedOn w:val="Normal"/>
    <w:link w:val="Refdenotaalpie"/>
    <w:uiPriority w:val="99"/>
    <w:rsid w:val="00C9694A"/>
    <w:pPr>
      <w:spacing w:line="240" w:lineRule="exact"/>
    </w:pPr>
    <w:rPr>
      <w:vertAlign w:val="superscript"/>
    </w:rPr>
  </w:style>
  <w:style w:type="paragraph" w:styleId="Sinespaciado">
    <w:name w:val="No Spacing"/>
    <w:aliases w:val="No Indent"/>
    <w:uiPriority w:val="3"/>
    <w:qFormat/>
    <w:rsid w:val="00C9694A"/>
    <w:pPr>
      <w:spacing w:after="0" w:line="240" w:lineRule="auto"/>
    </w:pPr>
  </w:style>
  <w:style w:type="paragraph" w:styleId="Textonotaalfinal">
    <w:name w:val="endnote text"/>
    <w:basedOn w:val="Normal"/>
    <w:link w:val="TextonotaalfinalCar"/>
    <w:uiPriority w:val="99"/>
    <w:semiHidden/>
    <w:unhideWhenUsed/>
    <w:rsid w:val="00D02486"/>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D02486"/>
    <w:rPr>
      <w:sz w:val="20"/>
      <w:szCs w:val="20"/>
    </w:rPr>
  </w:style>
  <w:style w:type="character" w:styleId="Refdenotaalfinal">
    <w:name w:val="endnote reference"/>
    <w:basedOn w:val="Fuentedeprrafopredeter"/>
    <w:uiPriority w:val="99"/>
    <w:semiHidden/>
    <w:unhideWhenUsed/>
    <w:rsid w:val="00D02486"/>
    <w:rPr>
      <w:vertAlign w:val="superscript"/>
    </w:rPr>
  </w:style>
  <w:style w:type="paragraph" w:styleId="Textoindependiente">
    <w:name w:val="Body Text"/>
    <w:basedOn w:val="Normal"/>
    <w:link w:val="TextoindependienteCar"/>
    <w:uiPriority w:val="99"/>
    <w:unhideWhenUsed/>
    <w:rsid w:val="00EA5196"/>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EA5196"/>
    <w:rPr>
      <w:rFonts w:eastAsiaTheme="minorEastAsia"/>
      <w:lang w:eastAsia="es-CO"/>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EC4973"/>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C4973"/>
    <w:rPr>
      <w:sz w:val="24"/>
      <w:lang w:val="es-MX"/>
    </w:rPr>
  </w:style>
  <w:style w:type="paragraph" w:customStyle="1" w:styleId="Normal11pt">
    <w:name w:val="Normal + 11 pt"/>
    <w:aliases w:val="Negro,Justificado,Izquierda:  -0,95 cm,Derecha:  0,04 cm"/>
    <w:basedOn w:val="Normal"/>
    <w:uiPriority w:val="99"/>
    <w:rsid w:val="00C63683"/>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E85A27"/>
    <w:pPr>
      <w:spacing w:after="0" w:line="240" w:lineRule="auto"/>
    </w:pPr>
  </w:style>
  <w:style w:type="character" w:styleId="Refdecomentario">
    <w:name w:val="annotation reference"/>
    <w:basedOn w:val="Fuentedeprrafopredeter"/>
    <w:uiPriority w:val="99"/>
    <w:semiHidden/>
    <w:unhideWhenUsed/>
    <w:rsid w:val="00A712F3"/>
    <w:rPr>
      <w:sz w:val="16"/>
      <w:szCs w:val="16"/>
    </w:rPr>
  </w:style>
  <w:style w:type="paragraph" w:styleId="Textocomentario">
    <w:name w:val="annotation text"/>
    <w:basedOn w:val="Normal"/>
    <w:link w:val="TextocomentarioCar"/>
    <w:uiPriority w:val="99"/>
    <w:semiHidden/>
    <w:unhideWhenUsed/>
    <w:rsid w:val="00A712F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2F3"/>
    <w:rPr>
      <w:sz w:val="20"/>
      <w:szCs w:val="20"/>
    </w:rPr>
  </w:style>
  <w:style w:type="paragraph" w:styleId="Asuntodelcomentario">
    <w:name w:val="annotation subject"/>
    <w:basedOn w:val="Textocomentario"/>
    <w:next w:val="Textocomentario"/>
    <w:link w:val="AsuntodelcomentarioCar"/>
    <w:uiPriority w:val="99"/>
    <w:semiHidden/>
    <w:unhideWhenUsed/>
    <w:rsid w:val="00A712F3"/>
    <w:rPr>
      <w:b/>
      <w:bCs/>
    </w:rPr>
  </w:style>
  <w:style w:type="character" w:customStyle="1" w:styleId="AsuntodelcomentarioCar">
    <w:name w:val="Asunto del comentario Car"/>
    <w:basedOn w:val="TextocomentarioCar"/>
    <w:link w:val="Asuntodelcomentario"/>
    <w:uiPriority w:val="99"/>
    <w:semiHidden/>
    <w:rsid w:val="00A712F3"/>
    <w:rPr>
      <w:b/>
      <w:bCs/>
      <w:sz w:val="20"/>
      <w:szCs w:val="20"/>
    </w:rPr>
  </w:style>
  <w:style w:type="paragraph" w:customStyle="1" w:styleId="paragraph">
    <w:name w:val="paragraph"/>
    <w:basedOn w:val="Normal"/>
    <w:rsid w:val="00EB0A4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EB0A45"/>
  </w:style>
  <w:style w:type="character" w:customStyle="1" w:styleId="superscript">
    <w:name w:val="superscript"/>
    <w:basedOn w:val="Fuentedeprrafopredeter"/>
    <w:rsid w:val="00EB0A45"/>
  </w:style>
  <w:style w:type="character" w:customStyle="1" w:styleId="eop">
    <w:name w:val="eop"/>
    <w:basedOn w:val="Fuentedeprrafopredeter"/>
    <w:rsid w:val="00EB0A45"/>
  </w:style>
  <w:style w:type="character" w:styleId="Textodelmarcadordeposicin">
    <w:name w:val="Placeholder Text"/>
    <w:basedOn w:val="Fuentedeprrafopredeter"/>
    <w:uiPriority w:val="99"/>
    <w:semiHidden/>
    <w:rsid w:val="00AA0D14"/>
    <w:rPr>
      <w:color w:val="808080"/>
    </w:rPr>
  </w:style>
  <w:style w:type="paragraph" w:styleId="NormalWeb">
    <w:name w:val="Normal (Web)"/>
    <w:basedOn w:val="Normal"/>
    <w:link w:val="NormalWebCar"/>
    <w:uiPriority w:val="99"/>
    <w:unhideWhenUsed/>
    <w:rsid w:val="00624D7A"/>
    <w:pPr>
      <w:spacing w:before="100" w:beforeAutospacing="1" w:after="100" w:afterAutospacing="1" w:line="276" w:lineRule="auto"/>
      <w:jc w:val="both"/>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624D7A"/>
    <w:rPr>
      <w:rFonts w:ascii="Times New Roman" w:eastAsia="Times New Roman" w:hAnsi="Times New Roman" w:cs="Times New Roman"/>
      <w:sz w:val="24"/>
      <w:szCs w:val="24"/>
      <w:lang w:eastAsia="es-CO"/>
    </w:rPr>
  </w:style>
  <w:style w:type="character" w:customStyle="1" w:styleId="Hipervnculo1">
    <w:name w:val="Hipervínculo1"/>
    <w:basedOn w:val="Fuentedeprrafopredeter"/>
    <w:uiPriority w:val="99"/>
    <w:unhideWhenUsed/>
    <w:rsid w:val="00CB1806"/>
    <w:rPr>
      <w:color w:val="F2F2F2"/>
      <w:u w:val="single"/>
    </w:rPr>
  </w:style>
  <w:style w:type="character" w:styleId="Hipervnculo">
    <w:name w:val="Hyperlink"/>
    <w:basedOn w:val="Fuentedeprrafopredeter"/>
    <w:uiPriority w:val="99"/>
    <w:unhideWhenUsed/>
    <w:rsid w:val="00CB1806"/>
    <w:rPr>
      <w:color w:val="0563C1" w:themeColor="hyperlink"/>
      <w:u w:val="single"/>
    </w:rPr>
  </w:style>
  <w:style w:type="character" w:styleId="Mencinsinresolver">
    <w:name w:val="Unresolved Mention"/>
    <w:basedOn w:val="Fuentedeprrafopredeter"/>
    <w:uiPriority w:val="99"/>
    <w:semiHidden/>
    <w:unhideWhenUsed/>
    <w:rsid w:val="00A177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281329">
      <w:bodyDiv w:val="1"/>
      <w:marLeft w:val="0"/>
      <w:marRight w:val="0"/>
      <w:marTop w:val="0"/>
      <w:marBottom w:val="0"/>
      <w:divBdr>
        <w:top w:val="none" w:sz="0" w:space="0" w:color="auto"/>
        <w:left w:val="none" w:sz="0" w:space="0" w:color="auto"/>
        <w:bottom w:val="none" w:sz="0" w:space="0" w:color="auto"/>
        <w:right w:val="none" w:sz="0" w:space="0" w:color="auto"/>
      </w:divBdr>
      <w:divsChild>
        <w:div w:id="1108355442">
          <w:marLeft w:val="0"/>
          <w:marRight w:val="0"/>
          <w:marTop w:val="0"/>
          <w:marBottom w:val="0"/>
          <w:divBdr>
            <w:top w:val="none" w:sz="0" w:space="0" w:color="auto"/>
            <w:left w:val="none" w:sz="0" w:space="0" w:color="auto"/>
            <w:bottom w:val="none" w:sz="0" w:space="0" w:color="auto"/>
            <w:right w:val="none" w:sz="0" w:space="0" w:color="auto"/>
          </w:divBdr>
        </w:div>
        <w:div w:id="2119719486">
          <w:marLeft w:val="0"/>
          <w:marRight w:val="0"/>
          <w:marTop w:val="0"/>
          <w:marBottom w:val="0"/>
          <w:divBdr>
            <w:top w:val="none" w:sz="0" w:space="0" w:color="auto"/>
            <w:left w:val="none" w:sz="0" w:space="0" w:color="auto"/>
            <w:bottom w:val="none" w:sz="0" w:space="0" w:color="auto"/>
            <w:right w:val="none" w:sz="0" w:space="0" w:color="auto"/>
          </w:divBdr>
        </w:div>
      </w:divsChild>
    </w:div>
    <w:div w:id="353045445">
      <w:bodyDiv w:val="1"/>
      <w:marLeft w:val="0"/>
      <w:marRight w:val="0"/>
      <w:marTop w:val="0"/>
      <w:marBottom w:val="0"/>
      <w:divBdr>
        <w:top w:val="none" w:sz="0" w:space="0" w:color="auto"/>
        <w:left w:val="none" w:sz="0" w:space="0" w:color="auto"/>
        <w:bottom w:val="none" w:sz="0" w:space="0" w:color="auto"/>
        <w:right w:val="none" w:sz="0" w:space="0" w:color="auto"/>
      </w:divBdr>
      <w:divsChild>
        <w:div w:id="174882780">
          <w:marLeft w:val="0"/>
          <w:marRight w:val="0"/>
          <w:marTop w:val="0"/>
          <w:marBottom w:val="0"/>
          <w:divBdr>
            <w:top w:val="none" w:sz="0" w:space="0" w:color="auto"/>
            <w:left w:val="none" w:sz="0" w:space="0" w:color="auto"/>
            <w:bottom w:val="none" w:sz="0" w:space="0" w:color="auto"/>
            <w:right w:val="none" w:sz="0" w:space="0" w:color="auto"/>
          </w:divBdr>
        </w:div>
        <w:div w:id="948119861">
          <w:marLeft w:val="0"/>
          <w:marRight w:val="0"/>
          <w:marTop w:val="0"/>
          <w:marBottom w:val="0"/>
          <w:divBdr>
            <w:top w:val="none" w:sz="0" w:space="0" w:color="auto"/>
            <w:left w:val="none" w:sz="0" w:space="0" w:color="auto"/>
            <w:bottom w:val="none" w:sz="0" w:space="0" w:color="auto"/>
            <w:right w:val="none" w:sz="0" w:space="0" w:color="auto"/>
          </w:divBdr>
        </w:div>
        <w:div w:id="1525241000">
          <w:marLeft w:val="0"/>
          <w:marRight w:val="0"/>
          <w:marTop w:val="0"/>
          <w:marBottom w:val="0"/>
          <w:divBdr>
            <w:top w:val="none" w:sz="0" w:space="0" w:color="auto"/>
            <w:left w:val="none" w:sz="0" w:space="0" w:color="auto"/>
            <w:bottom w:val="none" w:sz="0" w:space="0" w:color="auto"/>
            <w:right w:val="none" w:sz="0" w:space="0" w:color="auto"/>
          </w:divBdr>
        </w:div>
        <w:div w:id="1640649084">
          <w:marLeft w:val="0"/>
          <w:marRight w:val="0"/>
          <w:marTop w:val="0"/>
          <w:marBottom w:val="0"/>
          <w:divBdr>
            <w:top w:val="none" w:sz="0" w:space="0" w:color="auto"/>
            <w:left w:val="none" w:sz="0" w:space="0" w:color="auto"/>
            <w:bottom w:val="none" w:sz="0" w:space="0" w:color="auto"/>
            <w:right w:val="none" w:sz="0" w:space="0" w:color="auto"/>
          </w:divBdr>
        </w:div>
      </w:divsChild>
    </w:div>
    <w:div w:id="1306937438">
      <w:bodyDiv w:val="1"/>
      <w:marLeft w:val="0"/>
      <w:marRight w:val="0"/>
      <w:marTop w:val="0"/>
      <w:marBottom w:val="0"/>
      <w:divBdr>
        <w:top w:val="none" w:sz="0" w:space="0" w:color="auto"/>
        <w:left w:val="none" w:sz="0" w:space="0" w:color="auto"/>
        <w:bottom w:val="none" w:sz="0" w:space="0" w:color="auto"/>
        <w:right w:val="none" w:sz="0" w:space="0" w:color="auto"/>
      </w:divBdr>
    </w:div>
    <w:div w:id="1585264076">
      <w:bodyDiv w:val="1"/>
      <w:marLeft w:val="0"/>
      <w:marRight w:val="0"/>
      <w:marTop w:val="0"/>
      <w:marBottom w:val="0"/>
      <w:divBdr>
        <w:top w:val="none" w:sz="0" w:space="0" w:color="auto"/>
        <w:left w:val="none" w:sz="0" w:space="0" w:color="auto"/>
        <w:bottom w:val="none" w:sz="0" w:space="0" w:color="auto"/>
        <w:right w:val="none" w:sz="0" w:space="0" w:color="auto"/>
      </w:divBdr>
      <w:divsChild>
        <w:div w:id="1389645038">
          <w:marLeft w:val="0"/>
          <w:marRight w:val="0"/>
          <w:marTop w:val="0"/>
          <w:marBottom w:val="0"/>
          <w:divBdr>
            <w:top w:val="none" w:sz="0" w:space="0" w:color="auto"/>
            <w:left w:val="none" w:sz="0" w:space="0" w:color="auto"/>
            <w:bottom w:val="none" w:sz="0" w:space="0" w:color="auto"/>
            <w:right w:val="none" w:sz="0" w:space="0" w:color="auto"/>
          </w:divBdr>
        </w:div>
        <w:div w:id="17010084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marloncabrera76@hotmail.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80690FE-3B29-424B-BEFD-D9A9D63147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8C4CB3-0261-4771-BE01-D44541BE6092}">
  <ds:schemaRefs>
    <ds:schemaRef ds:uri="http://schemas.microsoft.com/sharepoint/v3/contenttype/forms"/>
  </ds:schemaRefs>
</ds:datastoreItem>
</file>

<file path=customXml/itemProps3.xml><?xml version="1.0" encoding="utf-8"?>
<ds:datastoreItem xmlns:ds="http://schemas.openxmlformats.org/officeDocument/2006/customXml" ds:itemID="{ECDFB276-C4B4-485C-ABFF-C5C691280B49}">
  <ds:schemaRefs>
    <ds:schemaRef ds:uri="http://schemas.openxmlformats.org/officeDocument/2006/bibliography"/>
  </ds:schemaRefs>
</ds:datastoreItem>
</file>

<file path=customXml/itemProps4.xml><?xml version="1.0" encoding="utf-8"?>
<ds:datastoreItem xmlns:ds="http://schemas.openxmlformats.org/officeDocument/2006/customXml" ds:itemID="{EB47A84F-7636-40F6-8188-A0EC0F9E78BB}">
  <ds:schemaRefs>
    <ds:schemaRef ds:uri="http://schemas.microsoft.com/office/2006/metadata/properties"/>
    <ds:schemaRef ds:uri="a6cb9e4b-f1d1-4245-83ec-6cad768d538a"/>
    <ds:schemaRef ds:uri="http://schemas.openxmlformats.org/package/2006/metadata/core-properties"/>
    <ds:schemaRef ds:uri="http://purl.org/dc/dcmitype/"/>
    <ds:schemaRef ds:uri="http://www.w3.org/XML/1998/namespace"/>
    <ds:schemaRef ds:uri="http://schemas.microsoft.com/office/2006/documentManagement/types"/>
    <ds:schemaRef ds:uri="http://purl.org/dc/terms/"/>
    <ds:schemaRef ds:uri="http://schemas.microsoft.com/office/infopath/2007/PartnerControls"/>
    <ds:schemaRef ds:uri="9d85dbaf-23eb-4e57-a637-93dcacc8b1a1"/>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5015</Words>
  <Characters>27588</Characters>
  <Application>Microsoft Office Word</Application>
  <DocSecurity>0</DocSecurity>
  <Lines>229</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Diana Lucia Saavedra</cp:lastModifiedBy>
  <cp:revision>2</cp:revision>
  <dcterms:created xsi:type="dcterms:W3CDTF">2023-03-03T14:42:00Z</dcterms:created>
  <dcterms:modified xsi:type="dcterms:W3CDTF">2023-03-03T14:42:00Z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