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73571D" w14:textId="77777777" w:rsidR="00B629CA" w:rsidRPr="00F8695F" w:rsidRDefault="00B629CA" w:rsidP="00B629CA">
      <w:pPr>
        <w:spacing w:after="0" w:line="240" w:lineRule="auto"/>
        <w:jc w:val="both"/>
        <w:rPr>
          <w:rFonts w:ascii="Geomanist Light" w:hAnsi="Geomanist Light" w:cs="Arial"/>
          <w:b/>
          <w:bCs/>
          <w:lang w:val="es-MX"/>
        </w:rPr>
      </w:pPr>
      <w:bookmarkStart w:id="0" w:name="_Hlk103947551"/>
      <w:r w:rsidRPr="00F8695F">
        <w:rPr>
          <w:rFonts w:ascii="Geomanist Light" w:hAnsi="Geomanist Light" w:cs="Arial"/>
          <w:b/>
          <w:bCs/>
          <w:lang w:val="es-MX"/>
        </w:rPr>
        <w:t xml:space="preserve">DOCUMENTOS TIPO </w:t>
      </w:r>
      <w:bookmarkStart w:id="1" w:name="_Hlk112920014"/>
      <w:r w:rsidRPr="00F8695F">
        <w:rPr>
          <w:rFonts w:ascii="Geomanist Light" w:hAnsi="Geomanist Light" w:cs="Arial"/>
          <w:b/>
          <w:bCs/>
          <w:lang w:val="es-MX"/>
        </w:rPr>
        <w:t>–</w:t>
      </w:r>
      <w:bookmarkEnd w:id="1"/>
      <w:r w:rsidRPr="00F8695F">
        <w:rPr>
          <w:rFonts w:ascii="Geomanist Light" w:hAnsi="Geomanist Light" w:cs="Arial"/>
          <w:b/>
          <w:bCs/>
          <w:lang w:val="es-MX"/>
        </w:rPr>
        <w:t xml:space="preserve"> Acreditación de experiencia – Resolución 275 de 2022</w:t>
      </w:r>
    </w:p>
    <w:p w14:paraId="18E1BA32" w14:textId="77777777" w:rsidR="00B629CA" w:rsidRPr="00F8695F" w:rsidRDefault="00B629CA" w:rsidP="00B629CA">
      <w:pPr>
        <w:spacing w:after="0" w:line="240" w:lineRule="auto"/>
        <w:jc w:val="both"/>
        <w:rPr>
          <w:rFonts w:ascii="Geomanist Light" w:hAnsi="Geomanist Light" w:cs="Arial"/>
          <w:b/>
          <w:bCs/>
          <w:lang w:val="es-MX"/>
        </w:rPr>
      </w:pPr>
    </w:p>
    <w:p w14:paraId="26B0CEA8" w14:textId="77777777" w:rsidR="00B629CA" w:rsidRPr="00F8695F" w:rsidRDefault="00B629CA" w:rsidP="00B629CA">
      <w:pPr>
        <w:spacing w:after="0" w:line="240" w:lineRule="auto"/>
        <w:jc w:val="both"/>
        <w:rPr>
          <w:rFonts w:ascii="Geomanist Light" w:hAnsi="Geomanist Light" w:cs="Arial"/>
          <w:sz w:val="20"/>
          <w:szCs w:val="20"/>
          <w:lang w:val="es-MX"/>
        </w:rPr>
      </w:pPr>
      <w:r w:rsidRPr="00F8695F">
        <w:rPr>
          <w:rFonts w:ascii="Geomanist Light" w:hAnsi="Geomanist Light" w:cs="Arial"/>
          <w:sz w:val="20"/>
          <w:szCs w:val="20"/>
          <w:lang w:val="es-ES"/>
        </w:rPr>
        <w:t xml:space="preserve">[…] </w:t>
      </w:r>
      <w:r w:rsidRPr="00F8695F">
        <w:rPr>
          <w:rFonts w:ascii="Geomanist Light" w:hAnsi="Geomanist Light" w:cs="Arial"/>
          <w:sz w:val="20"/>
          <w:szCs w:val="20"/>
          <w:lang w:val="es-MX"/>
        </w:rPr>
        <w:t>d</w:t>
      </w:r>
      <w:r w:rsidRPr="00F8695F">
        <w:rPr>
          <w:rFonts w:ascii="Geomanist Light" w:hAnsi="Geomanist Light" w:cs="Arial"/>
          <w:sz w:val="20"/>
          <w:szCs w:val="20"/>
          <w:lang w:val="es-ES"/>
        </w:rPr>
        <w:t>e</w:t>
      </w:r>
      <w:r w:rsidRPr="00F8695F">
        <w:rPr>
          <w:rFonts w:ascii="Geomanist Light" w:hAnsi="Geomanist Light" w:cs="Arial"/>
          <w:sz w:val="20"/>
          <w:szCs w:val="20"/>
        </w:rPr>
        <w:t xml:space="preserve"> acuerdo con las condiciones fijadas en el documento base de infraestructura de agua potable y saneamiento básico y las modificaciones efectuadas por la Resolución 275 de 2022, la acreditación del requisito habilitante de experiencia se aborda desde distintos criterios. </w:t>
      </w:r>
      <w:r w:rsidRPr="00F8695F">
        <w:rPr>
          <w:rFonts w:ascii="Geomanist Light" w:hAnsi="Geomanist Light" w:cs="Arial"/>
          <w:sz w:val="20"/>
          <w:szCs w:val="20"/>
          <w:lang w:val="es-MX"/>
        </w:rPr>
        <w:t xml:space="preserve">En primer lugar, los contratos presentados por los proponentes deben corresponder a la actividad o actividades de experiencia general y específica que la entidad exija en el pliego de condiciones de acuerdo con los parámetros definidos en la Matriz 1 - Experiencia, sin perjuicio de las combinaciones de experiencia señalada en el literal A del numeral 3.5.2. en caso de requerirse. En segundo lugar, los proponentes deben acreditar el cumplimiento de las condiciones fijadas con mínimo uno (1) y máximo cinco (5) contratos, que debieron terminar antes de la fecha de cierre del proceso de contratación. En este punto, vale anotar que mediante la Resolución 275 de 2022 </w:t>
      </w:r>
      <w:r w:rsidRPr="00F8695F">
        <w:rPr>
          <w:rFonts w:ascii="Geomanist Light" w:hAnsi="Geomanist Light" w:cs="Arial"/>
          <w:sz w:val="20"/>
          <w:szCs w:val="20"/>
        </w:rPr>
        <w:t xml:space="preserve">se modificó el número de contratos para acreditar la experiencia teniendo en cuenta los criterios diferenciales habilitantes para Mipyme y emprendimientos y empresas de mujeres establecidos en el Decreto 1860 de 2021 […] </w:t>
      </w:r>
      <w:r w:rsidRPr="00F8695F">
        <w:rPr>
          <w:rFonts w:ascii="Geomanist Light" w:hAnsi="Geomanist Light" w:cs="Arial"/>
          <w:sz w:val="20"/>
          <w:szCs w:val="20"/>
          <w:lang w:val="es-MX"/>
        </w:rPr>
        <w:t xml:space="preserve">Por último, el número de contratos aportados por el proponente debe certificar un valor mínimo correspondiente a un porcentaje del presupuesto oficial del proceso de obra expresado en SMMLV, cuya evaluación se realizará teniendo en cuenta la tabla establecida en el numeral 3.5.8. del pliego de condiciones. </w:t>
      </w:r>
    </w:p>
    <w:p w14:paraId="67F4C93D" w14:textId="77777777" w:rsidR="00B629CA" w:rsidRPr="00F8695F" w:rsidRDefault="00B629CA" w:rsidP="00B629CA">
      <w:pPr>
        <w:spacing w:after="0" w:line="240" w:lineRule="auto"/>
        <w:jc w:val="both"/>
        <w:rPr>
          <w:rFonts w:ascii="Geomanist Light" w:hAnsi="Geomanist Light" w:cs="Arial"/>
          <w:b/>
          <w:bCs/>
          <w:lang w:val="es-MX"/>
        </w:rPr>
      </w:pPr>
    </w:p>
    <w:p w14:paraId="34D90A91" w14:textId="77777777" w:rsidR="00B629CA" w:rsidRPr="00F8695F" w:rsidRDefault="00B629CA" w:rsidP="00B629CA">
      <w:pPr>
        <w:spacing w:after="0" w:line="240" w:lineRule="auto"/>
        <w:jc w:val="both"/>
        <w:rPr>
          <w:rFonts w:ascii="Geomanist Light" w:hAnsi="Geomanist Light" w:cs="Arial"/>
          <w:b/>
          <w:bCs/>
          <w:lang w:val="es-MX"/>
        </w:rPr>
      </w:pPr>
      <w:r w:rsidRPr="00F8695F">
        <w:rPr>
          <w:rFonts w:ascii="Geomanist Light" w:hAnsi="Geomanist Light" w:cs="Arial"/>
          <w:b/>
          <w:bCs/>
          <w:lang w:val="es-MX"/>
        </w:rPr>
        <w:t xml:space="preserve">MATRIZ 1 EXPERIENCIA – Agua potable y saneamiento básico – Nota general </w:t>
      </w:r>
    </w:p>
    <w:p w14:paraId="05773B9D" w14:textId="77777777" w:rsidR="00B629CA" w:rsidRPr="00F8695F" w:rsidRDefault="00B629CA" w:rsidP="00B629CA">
      <w:pPr>
        <w:spacing w:after="0" w:line="240" w:lineRule="auto"/>
        <w:jc w:val="both"/>
        <w:rPr>
          <w:rFonts w:ascii="Geomanist Light" w:hAnsi="Geomanist Light" w:cs="Arial"/>
          <w:b/>
          <w:bCs/>
          <w:lang w:val="es-MX"/>
        </w:rPr>
      </w:pPr>
    </w:p>
    <w:p w14:paraId="4A36AED5" w14:textId="77777777" w:rsidR="00B629CA" w:rsidRPr="00F8695F" w:rsidRDefault="00B629CA" w:rsidP="00B629CA">
      <w:pPr>
        <w:spacing w:after="0" w:line="240" w:lineRule="auto"/>
        <w:jc w:val="both"/>
        <w:rPr>
          <w:rFonts w:ascii="Geomanist Light" w:hAnsi="Geomanist Light" w:cs="Arial"/>
          <w:sz w:val="20"/>
          <w:szCs w:val="20"/>
        </w:rPr>
      </w:pPr>
      <w:r w:rsidRPr="00F8695F">
        <w:rPr>
          <w:rFonts w:ascii="Geomanist Light" w:hAnsi="Geomanist Light" w:cs="Arial"/>
          <w:sz w:val="20"/>
          <w:szCs w:val="20"/>
          <w:lang w:val="es-ES_tradnl"/>
        </w:rPr>
        <w:t xml:space="preserve">Para algunas actividades de la matriz, se incluyó una nota </w:t>
      </w:r>
      <w:r w:rsidRPr="00F8695F">
        <w:rPr>
          <w:rFonts w:ascii="Geomanist Light" w:hAnsi="Geomanist Light" w:cs="Arial"/>
          <w:sz w:val="20"/>
          <w:szCs w:val="20"/>
        </w:rPr>
        <w:t xml:space="preserve">general de la experiencia específica relacionada con la acreditación del porcentaje (%) de dimensionamiento, así: </w:t>
      </w:r>
      <w:r w:rsidRPr="00F8695F">
        <w:rPr>
          <w:rFonts w:ascii="Geomanist Light" w:hAnsi="Geomanist Light" w:cs="Arial"/>
          <w:sz w:val="20"/>
          <w:szCs w:val="20"/>
          <w:lang w:val="es-ES_tradnl"/>
        </w:rPr>
        <w:t xml:space="preserve">En el caso que, debido a la magnitud física empleada como variable para establecimiento del % de dimensionamiento como experiencia específica, se aceptará que el mismo sea acreditado con la sumatoria de máximo dos (2) de los contratos válidos aportados, garantizando condiciones pluralistas y participativas, siendo requisitos adecuados y proporcionales. Cuando la entidad considere procedente esta posibilidad lo señalará en el pliego de condiciones al momento de indicar la experiencia a requerir. </w:t>
      </w:r>
      <w:r w:rsidRPr="00F8695F">
        <w:rPr>
          <w:rFonts w:ascii="Geomanist Light" w:hAnsi="Geomanist Light" w:cs="Arial"/>
          <w:sz w:val="20"/>
          <w:szCs w:val="20"/>
        </w:rPr>
        <w:t xml:space="preserve">De acuerdo con lo anterior, el proponente podrá acreditar en máximo dos (2) contratos válidos aportados el porcentaje (%) de dimensionamiento determinado en la experiencia específica. Esto significa que los 2 contratos aportados deberán cumplir con la experiencia general y sumar la totalidad del porcentaje (%) de dimensionamiento exigido para dicha experiencia. Sin embargo, debe precisarse que esta nota no aplica de forma automática para las actividades en las que está incluida, sino que será la entidad, en el pliego de condiciones, la que determine su aplicación de acuerdo con el alcance físico del proyecto y el requerimiento establecido para tal fin en la Matriz de Experiencia. </w:t>
      </w:r>
    </w:p>
    <w:p w14:paraId="2EDDEF15" w14:textId="77777777" w:rsidR="00B629CA" w:rsidRPr="00F8695F" w:rsidRDefault="00B629CA" w:rsidP="00B629CA">
      <w:pPr>
        <w:spacing w:after="0" w:line="240" w:lineRule="auto"/>
        <w:jc w:val="both"/>
        <w:rPr>
          <w:rFonts w:ascii="Geomanist Light" w:hAnsi="Geomanist Light" w:cs="Arial"/>
          <w:b/>
          <w:bCs/>
          <w:lang w:val="es-ES_tradnl"/>
        </w:rPr>
      </w:pPr>
    </w:p>
    <w:p w14:paraId="1329B9F8" w14:textId="26FF7223" w:rsidR="00B629CA" w:rsidRPr="00910CE9" w:rsidRDefault="00B629CA" w:rsidP="00B629CA">
      <w:pPr>
        <w:spacing w:after="0" w:line="240" w:lineRule="auto"/>
        <w:jc w:val="both"/>
        <w:rPr>
          <w:rFonts w:ascii="Geomanist Light" w:hAnsi="Geomanist Light" w:cs="Arial"/>
          <w:b/>
          <w:bCs/>
          <w:lang w:val="es-MX"/>
        </w:rPr>
      </w:pPr>
      <w:r w:rsidRPr="00F8695F">
        <w:rPr>
          <w:rFonts w:ascii="Geomanist Light" w:hAnsi="Geomanist Light" w:cs="Arial"/>
          <w:b/>
          <w:bCs/>
          <w:lang w:val="es-MX"/>
        </w:rPr>
        <w:t>EXPERIENCIA ESPECÍFICA –</w:t>
      </w:r>
      <w:r w:rsidR="001773FC" w:rsidRPr="00F8695F">
        <w:rPr>
          <w:rFonts w:ascii="Geomanist Light" w:hAnsi="Geomanist Light" w:cs="Arial"/>
          <w:b/>
          <w:bCs/>
          <w:lang w:val="es-MX"/>
        </w:rPr>
        <w:t xml:space="preserve"> </w:t>
      </w:r>
      <w:r w:rsidRPr="00F8695F">
        <w:rPr>
          <w:rFonts w:ascii="Geomanist Light" w:hAnsi="Geomanist Light" w:cs="Arial"/>
          <w:b/>
          <w:bCs/>
          <w:lang w:val="es-MX"/>
        </w:rPr>
        <w:t>Acreditación – Máximo dos (2) contratos</w:t>
      </w:r>
    </w:p>
    <w:p w14:paraId="42D0218E" w14:textId="77777777" w:rsidR="00B629CA" w:rsidRPr="00910CE9" w:rsidRDefault="00B629CA" w:rsidP="00B629CA">
      <w:pPr>
        <w:spacing w:after="0" w:line="240" w:lineRule="auto"/>
        <w:jc w:val="both"/>
        <w:rPr>
          <w:rFonts w:ascii="Geomanist Light" w:hAnsi="Geomanist Light" w:cs="Arial"/>
          <w:b/>
          <w:bCs/>
          <w:lang w:val="es-ES_tradnl"/>
        </w:rPr>
      </w:pPr>
    </w:p>
    <w:p w14:paraId="45A422D9" w14:textId="77777777" w:rsidR="00B629CA" w:rsidRPr="00910CE9" w:rsidRDefault="00B629CA" w:rsidP="00B629CA">
      <w:pPr>
        <w:spacing w:after="0" w:line="240" w:lineRule="auto"/>
        <w:jc w:val="both"/>
        <w:rPr>
          <w:rFonts w:ascii="Geomanist Light" w:hAnsi="Geomanist Light" w:cs="Arial"/>
          <w:sz w:val="20"/>
          <w:szCs w:val="20"/>
        </w:rPr>
      </w:pPr>
      <w:r w:rsidRPr="00910CE9">
        <w:rPr>
          <w:rFonts w:ascii="Geomanist Light" w:hAnsi="Geomanist Light" w:cs="Arial"/>
          <w:sz w:val="20"/>
          <w:szCs w:val="20"/>
        </w:rPr>
        <w:t>La</w:t>
      </w:r>
      <w:r w:rsidRPr="00910CE9">
        <w:rPr>
          <w:rFonts w:ascii="Geomanist Light" w:hAnsi="Geomanist Light" w:cs="Arial"/>
          <w:sz w:val="20"/>
          <w:szCs w:val="20"/>
          <w:lang w:val="es-ES_tradnl"/>
        </w:rPr>
        <w:t xml:space="preserve"> entidad deberá definir tres aspectos: i) la longitud de tubería equivalente a un determinado porcentaje, el cual establece la entidad de acuerdo con la cuantía del proceso, </w:t>
      </w:r>
      <w:proofErr w:type="spellStart"/>
      <w:r w:rsidRPr="00910CE9">
        <w:rPr>
          <w:rFonts w:ascii="Geomanist Light" w:hAnsi="Geomanist Light" w:cs="Arial"/>
          <w:sz w:val="20"/>
          <w:szCs w:val="20"/>
          <w:lang w:val="es-ES_tradnl"/>
        </w:rPr>
        <w:t>ii</w:t>
      </w:r>
      <w:proofErr w:type="spellEnd"/>
      <w:r w:rsidRPr="00910CE9">
        <w:rPr>
          <w:rFonts w:ascii="Geomanist Light" w:hAnsi="Geomanist Light" w:cs="Arial"/>
          <w:sz w:val="20"/>
          <w:szCs w:val="20"/>
          <w:lang w:val="es-ES_tradnl"/>
        </w:rPr>
        <w:t>) el material más representativo de la tubería -</w:t>
      </w:r>
      <w:r w:rsidRPr="00910CE9">
        <w:rPr>
          <w:rFonts w:ascii="Geomanist Light" w:hAnsi="Geomanist Light" w:cs="Arial"/>
          <w:sz w:val="20"/>
          <w:szCs w:val="20"/>
        </w:rPr>
        <w:t>PVC, HD, PEAD, GRP, ACCP, entre otras-</w:t>
      </w:r>
      <w:r w:rsidRPr="00910CE9">
        <w:rPr>
          <w:rFonts w:ascii="Geomanist Light" w:hAnsi="Geomanist Light" w:cs="Arial"/>
          <w:sz w:val="20"/>
          <w:szCs w:val="20"/>
          <w:lang w:val="es-ES_tradnl"/>
        </w:rPr>
        <w:t xml:space="preserve"> y, </w:t>
      </w:r>
      <w:proofErr w:type="spellStart"/>
      <w:r w:rsidRPr="00910CE9">
        <w:rPr>
          <w:rFonts w:ascii="Geomanist Light" w:hAnsi="Geomanist Light" w:cs="Arial"/>
          <w:sz w:val="20"/>
          <w:szCs w:val="20"/>
          <w:lang w:val="es-ES_tradnl"/>
        </w:rPr>
        <w:t>iii</w:t>
      </w:r>
      <w:proofErr w:type="spellEnd"/>
      <w:r w:rsidRPr="00910CE9">
        <w:rPr>
          <w:rFonts w:ascii="Geomanist Light" w:hAnsi="Geomanist Light" w:cs="Arial"/>
          <w:sz w:val="20"/>
          <w:szCs w:val="20"/>
          <w:lang w:val="es-ES_tradnl"/>
        </w:rPr>
        <w:t>) el rango de diámetros comerciales para la tubería principal o más representativa del proyecto o en su defecto un diámetro mínimo de referencia.</w:t>
      </w:r>
      <w:r w:rsidRPr="00910CE9">
        <w:rPr>
          <w:rFonts w:ascii="Geomanist Light" w:hAnsi="Geomanist Light" w:cs="Arial"/>
          <w:sz w:val="20"/>
          <w:szCs w:val="20"/>
        </w:rPr>
        <w:t xml:space="preserve"> En este caso, los proponentes podrán acreditar la longitud de tubería con la sumatoria de máximo dos contratos, siempre que así lo haya permitido la entidad, conforme lo explicado, y adicionalmente deberá cumplir con lo indicado en los demás aspectos.</w:t>
      </w:r>
    </w:p>
    <w:p w14:paraId="44D9A5A4" w14:textId="77777777" w:rsidR="00B629CA" w:rsidRPr="00910CE9" w:rsidRDefault="00B629CA" w:rsidP="00B629CA">
      <w:pPr>
        <w:spacing w:after="0" w:line="240" w:lineRule="auto"/>
        <w:jc w:val="both"/>
        <w:rPr>
          <w:rFonts w:ascii="Geomanist Light" w:hAnsi="Geomanist Light" w:cs="Arial"/>
        </w:rPr>
      </w:pPr>
    </w:p>
    <w:p w14:paraId="4481FA23" w14:textId="74306F50" w:rsidR="00F008EF" w:rsidRPr="00910CE9" w:rsidRDefault="00851A58" w:rsidP="00851A58">
      <w:pPr>
        <w:spacing w:after="0" w:line="276" w:lineRule="auto"/>
        <w:jc w:val="right"/>
        <w:rPr>
          <w:rFonts w:ascii="Geomanist Light" w:hAnsi="Geomanist Light" w:cs="Arial"/>
          <w:noProof/>
          <w:color w:val="000000" w:themeColor="text1"/>
        </w:rPr>
      </w:pPr>
      <w:r w:rsidRPr="00851A58">
        <w:rPr>
          <w:rFonts w:ascii="Geomanist Light" w:hAnsi="Geomanist Light" w:cs="Arial"/>
          <w:noProof/>
          <w:color w:val="000000" w:themeColor="text1"/>
        </w:rPr>
        <w:drawing>
          <wp:inline distT="0" distB="0" distL="0" distR="0" wp14:anchorId="012B32E6" wp14:editId="6AC15F8A">
            <wp:extent cx="2466975" cy="648922"/>
            <wp:effectExtent l="0" t="0" r="0" b="0"/>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pic:nvPicPr>
                  <pic:blipFill>
                    <a:blip r:embed="rId11"/>
                    <a:stretch>
                      <a:fillRect/>
                    </a:stretch>
                  </pic:blipFill>
                  <pic:spPr>
                    <a:xfrm>
                      <a:off x="0" y="0"/>
                      <a:ext cx="2493295" cy="655845"/>
                    </a:xfrm>
                    <a:prstGeom prst="rect">
                      <a:avLst/>
                    </a:prstGeom>
                  </pic:spPr>
                </pic:pic>
              </a:graphicData>
            </a:graphic>
          </wp:inline>
        </w:drawing>
      </w:r>
    </w:p>
    <w:p w14:paraId="7DD48F49" w14:textId="09FC40B5" w:rsidR="00B95C30" w:rsidRPr="00910CE9" w:rsidRDefault="00B95C30" w:rsidP="00E609E9">
      <w:pPr>
        <w:tabs>
          <w:tab w:val="left" w:pos="6114"/>
        </w:tabs>
        <w:spacing w:after="0" w:line="276" w:lineRule="auto"/>
        <w:jc w:val="both"/>
        <w:rPr>
          <w:rFonts w:ascii="Geomanist Light" w:hAnsi="Geomanist Light" w:cs="Arial"/>
          <w:b/>
          <w:color w:val="000000" w:themeColor="text1"/>
        </w:rPr>
      </w:pPr>
      <w:r w:rsidRPr="00910CE9">
        <w:rPr>
          <w:rFonts w:ascii="Geomanist Light" w:hAnsi="Geomanist Light" w:cs="Arial"/>
          <w:noProof/>
          <w:color w:val="000000" w:themeColor="text1"/>
        </w:rPr>
        <w:t xml:space="preserve">Bogotá D.C., </w:t>
      </w:r>
      <w:r w:rsidR="00851A58" w:rsidRPr="00874BB2">
        <w:rPr>
          <w:rFonts w:ascii="Geomanist Light" w:hAnsi="Geomanist Light" w:cs="Arial"/>
          <w:bCs/>
          <w:color w:val="000000" w:themeColor="text1"/>
        </w:rPr>
        <w:t>07 de diciembre de 2022</w:t>
      </w:r>
      <w:r w:rsidR="00765265" w:rsidRPr="00910CE9">
        <w:rPr>
          <w:rFonts w:ascii="Geomanist Light" w:hAnsi="Geomanist Light" w:cs="Arial"/>
          <w:b/>
          <w:color w:val="000000" w:themeColor="text1"/>
        </w:rPr>
        <w:tab/>
      </w:r>
    </w:p>
    <w:p w14:paraId="15083641" w14:textId="77777777" w:rsidR="006A3704" w:rsidRPr="00910CE9" w:rsidRDefault="006A3704" w:rsidP="00B7240D">
      <w:pPr>
        <w:spacing w:after="0" w:line="276" w:lineRule="auto"/>
        <w:jc w:val="both"/>
        <w:rPr>
          <w:rFonts w:ascii="Geomanist Light" w:hAnsi="Geomanist Light" w:cs="Arial"/>
          <w:b/>
          <w:color w:val="000000" w:themeColor="text1"/>
          <w:lang w:val="pt-BR"/>
        </w:rPr>
      </w:pPr>
    </w:p>
    <w:p w14:paraId="5F5AE9EF" w14:textId="7856999D" w:rsidR="00B95C30" w:rsidRPr="00910CE9" w:rsidRDefault="00B95C30" w:rsidP="00B7240D">
      <w:pPr>
        <w:spacing w:after="0" w:line="276" w:lineRule="auto"/>
        <w:jc w:val="both"/>
        <w:rPr>
          <w:rFonts w:ascii="Geomanist Light" w:hAnsi="Geomanist Light" w:cs="Arial"/>
          <w:color w:val="000000" w:themeColor="text1"/>
        </w:rPr>
      </w:pPr>
      <w:bookmarkStart w:id="2" w:name="_Hlk100051121"/>
      <w:r w:rsidRPr="00910CE9">
        <w:rPr>
          <w:rFonts w:ascii="Geomanist Light" w:hAnsi="Geomanist Light" w:cs="Arial"/>
          <w:color w:val="000000" w:themeColor="text1"/>
        </w:rPr>
        <w:t>Señor</w:t>
      </w:r>
      <w:r w:rsidR="00A92DC4" w:rsidRPr="00910CE9">
        <w:rPr>
          <w:rFonts w:ascii="Geomanist Light" w:hAnsi="Geomanist Light" w:cs="Arial"/>
          <w:color w:val="000000" w:themeColor="text1"/>
        </w:rPr>
        <w:t>a</w:t>
      </w:r>
    </w:p>
    <w:p w14:paraId="798A20AC" w14:textId="7D48F3A4" w:rsidR="005F5F37" w:rsidRPr="00910CE9" w:rsidRDefault="00A92DC4" w:rsidP="00B7240D">
      <w:pPr>
        <w:tabs>
          <w:tab w:val="center" w:pos="4394"/>
        </w:tabs>
        <w:spacing w:after="0" w:line="276" w:lineRule="auto"/>
        <w:jc w:val="both"/>
        <w:rPr>
          <w:rFonts w:ascii="Geomanist Light" w:hAnsi="Geomanist Light" w:cs="Arial"/>
          <w:b/>
          <w:color w:val="000000" w:themeColor="text1"/>
        </w:rPr>
      </w:pPr>
      <w:r w:rsidRPr="00910CE9">
        <w:rPr>
          <w:rFonts w:ascii="Geomanist Light" w:hAnsi="Geomanist Light" w:cs="Arial"/>
          <w:b/>
          <w:color w:val="000000" w:themeColor="text1"/>
        </w:rPr>
        <w:t>Ingrid Johana Suarez Canaria</w:t>
      </w:r>
      <w:r w:rsidR="00672A28" w:rsidRPr="00910CE9">
        <w:rPr>
          <w:rFonts w:ascii="Geomanist Light" w:hAnsi="Geomanist Light" w:cs="Arial"/>
          <w:b/>
          <w:color w:val="000000" w:themeColor="text1"/>
        </w:rPr>
        <w:t xml:space="preserve"> </w:t>
      </w:r>
      <w:r w:rsidR="00F650A2" w:rsidRPr="00910CE9">
        <w:rPr>
          <w:rFonts w:ascii="Geomanist Light" w:hAnsi="Geomanist Light" w:cs="Arial"/>
          <w:b/>
          <w:color w:val="000000" w:themeColor="text1"/>
        </w:rPr>
        <w:tab/>
      </w:r>
    </w:p>
    <w:p w14:paraId="122205C3" w14:textId="2B4B2EEA" w:rsidR="000277A2" w:rsidRPr="00910CE9" w:rsidRDefault="00672A28" w:rsidP="00B7240D">
      <w:pPr>
        <w:spacing w:after="0" w:line="276" w:lineRule="auto"/>
        <w:rPr>
          <w:rFonts w:ascii="Geomanist Light" w:hAnsi="Geomanist Light" w:cs="Arial"/>
          <w:b/>
          <w:bCs/>
          <w:color w:val="000000" w:themeColor="text1"/>
        </w:rPr>
      </w:pPr>
      <w:r w:rsidRPr="00910CE9">
        <w:rPr>
          <w:rFonts w:ascii="Geomanist Light" w:hAnsi="Geomanist Light" w:cs="Arial"/>
          <w:bCs/>
          <w:color w:val="000000" w:themeColor="text1"/>
        </w:rPr>
        <w:t>Bogotá D.C.</w:t>
      </w:r>
    </w:p>
    <w:p w14:paraId="7E85B200" w14:textId="77777777" w:rsidR="00B629CA" w:rsidRPr="00910CE9" w:rsidRDefault="005B1504" w:rsidP="00B7240D">
      <w:pPr>
        <w:spacing w:after="0" w:line="276" w:lineRule="auto"/>
        <w:rPr>
          <w:rFonts w:ascii="Geomanist Light" w:hAnsi="Geomanist Light" w:cs="Arial"/>
          <w:b/>
          <w:bCs/>
          <w:color w:val="000000" w:themeColor="text1"/>
        </w:rPr>
      </w:pPr>
      <w:r w:rsidRPr="00910CE9">
        <w:rPr>
          <w:rFonts w:ascii="Geomanist Light" w:hAnsi="Geomanist Light" w:cs="Arial"/>
          <w:b/>
          <w:bCs/>
          <w:color w:val="000000" w:themeColor="text1"/>
        </w:rPr>
        <w:t xml:space="preserve"> </w:t>
      </w:r>
    </w:p>
    <w:p w14:paraId="1BD594F9" w14:textId="01143018" w:rsidR="00B95C30" w:rsidRPr="00910CE9" w:rsidRDefault="005B1504" w:rsidP="00B7240D">
      <w:pPr>
        <w:spacing w:after="0" w:line="276" w:lineRule="auto"/>
        <w:rPr>
          <w:rFonts w:ascii="Geomanist Light" w:hAnsi="Geomanist Light" w:cs="Arial"/>
          <w:b/>
          <w:bCs/>
          <w:color w:val="000000" w:themeColor="text1"/>
          <w:lang w:val="pt-BR"/>
        </w:rPr>
      </w:pPr>
      <w:r w:rsidRPr="00910CE9">
        <w:rPr>
          <w:rFonts w:ascii="Geomanist Light" w:hAnsi="Geomanist Light" w:cs="Arial"/>
          <w:b/>
          <w:bCs/>
          <w:color w:val="000000" w:themeColor="text1"/>
        </w:rPr>
        <w:t xml:space="preserve">                    </w:t>
      </w:r>
      <w:r w:rsidR="00923FA6" w:rsidRPr="00910CE9">
        <w:rPr>
          <w:rFonts w:ascii="Geomanist Light" w:hAnsi="Geomanist Light" w:cs="Arial"/>
          <w:b/>
          <w:bCs/>
          <w:color w:val="000000" w:themeColor="text1"/>
        </w:rPr>
        <w:t xml:space="preserve">                      </w:t>
      </w:r>
      <w:r w:rsidRPr="00910CE9">
        <w:rPr>
          <w:rFonts w:ascii="Geomanist Light" w:hAnsi="Geomanist Light" w:cs="Arial"/>
          <w:b/>
          <w:bCs/>
          <w:color w:val="000000" w:themeColor="text1"/>
        </w:rPr>
        <w:t xml:space="preserve"> </w:t>
      </w:r>
      <w:r w:rsidR="00023FA5" w:rsidRPr="00910CE9">
        <w:rPr>
          <w:rFonts w:ascii="Geomanist Light" w:hAnsi="Geomanist Light" w:cs="Arial"/>
          <w:b/>
          <w:bCs/>
          <w:color w:val="000000" w:themeColor="text1"/>
          <w:lang w:val="pt-BR"/>
        </w:rPr>
        <w:t xml:space="preserve">Concepto C </w:t>
      </w:r>
      <w:r w:rsidR="00023FA5" w:rsidRPr="00910CE9">
        <w:rPr>
          <w:rFonts w:ascii="Courier New" w:hAnsi="Courier New" w:cs="Courier New"/>
          <w:b/>
          <w:bCs/>
          <w:color w:val="000000" w:themeColor="text1"/>
          <w:lang w:val="pt-BR"/>
        </w:rPr>
        <w:t>‒</w:t>
      </w:r>
      <w:r w:rsidR="00023FA5" w:rsidRPr="00910CE9">
        <w:rPr>
          <w:rFonts w:ascii="Geomanist Light" w:hAnsi="Geomanist Light" w:cs="Arial"/>
          <w:b/>
          <w:bCs/>
          <w:color w:val="000000" w:themeColor="text1"/>
          <w:lang w:val="pt-BR"/>
        </w:rPr>
        <w:t xml:space="preserve"> </w:t>
      </w:r>
      <w:r w:rsidR="00A92DC4" w:rsidRPr="00910CE9">
        <w:rPr>
          <w:rFonts w:ascii="Geomanist Light" w:hAnsi="Geomanist Light" w:cs="Arial"/>
          <w:b/>
          <w:bCs/>
          <w:color w:val="000000" w:themeColor="text1"/>
          <w:lang w:val="pt-BR"/>
        </w:rPr>
        <w:t>840</w:t>
      </w:r>
      <w:r w:rsidR="00907C90" w:rsidRPr="00910CE9">
        <w:rPr>
          <w:rFonts w:ascii="Geomanist Light" w:hAnsi="Geomanist Light" w:cs="Arial"/>
          <w:b/>
          <w:bCs/>
          <w:color w:val="000000" w:themeColor="text1"/>
          <w:lang w:val="pt-BR"/>
        </w:rPr>
        <w:t xml:space="preserve"> </w:t>
      </w:r>
      <w:r w:rsidR="00275FBF" w:rsidRPr="00910CE9">
        <w:rPr>
          <w:rFonts w:ascii="Geomanist Light" w:hAnsi="Geomanist Light" w:cs="Arial"/>
          <w:b/>
          <w:bCs/>
          <w:color w:val="000000" w:themeColor="text1"/>
          <w:lang w:val="pt-BR"/>
        </w:rPr>
        <w:t>de 202</w:t>
      </w:r>
      <w:r w:rsidR="00BF4EC5" w:rsidRPr="00910CE9">
        <w:rPr>
          <w:rFonts w:ascii="Geomanist Light" w:hAnsi="Geomanist Light" w:cs="Arial"/>
          <w:b/>
          <w:bCs/>
          <w:color w:val="000000" w:themeColor="text1"/>
          <w:lang w:val="pt-BR"/>
        </w:rPr>
        <w:t>2</w:t>
      </w:r>
    </w:p>
    <w:p w14:paraId="7063750E" w14:textId="77777777" w:rsidR="005F5F37" w:rsidRPr="00910CE9" w:rsidRDefault="005F5F37" w:rsidP="006A3704">
      <w:pPr>
        <w:spacing w:after="0" w:line="240" w:lineRule="auto"/>
        <w:rPr>
          <w:rFonts w:ascii="Geomanist Light" w:hAnsi="Geomanist Light" w:cs="Arial"/>
          <w:b/>
          <w:bCs/>
          <w:color w:val="000000" w:themeColor="text1"/>
          <w:lang w:val="pt-BR"/>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B95C30" w:rsidRPr="00910CE9" w14:paraId="19DFC051" w14:textId="77777777" w:rsidTr="00C06955">
        <w:trPr>
          <w:trHeight w:val="884"/>
        </w:trPr>
        <w:tc>
          <w:tcPr>
            <w:tcW w:w="2689" w:type="dxa"/>
          </w:tcPr>
          <w:p w14:paraId="6BC0D1AC" w14:textId="569BAEB9" w:rsidR="00B95C30" w:rsidRPr="00910CE9" w:rsidRDefault="00B95C30" w:rsidP="006A3704">
            <w:pPr>
              <w:spacing w:after="0" w:line="240" w:lineRule="auto"/>
              <w:jc w:val="both"/>
              <w:rPr>
                <w:rFonts w:ascii="Geomanist Light" w:hAnsi="Geomanist Light" w:cs="Arial"/>
                <w:b/>
                <w:color w:val="000000" w:themeColor="text1"/>
                <w:szCs w:val="24"/>
                <w:lang w:val="es-ES_tradnl" w:eastAsia="es-ES_tradnl"/>
              </w:rPr>
            </w:pPr>
            <w:r w:rsidRPr="00910CE9">
              <w:rPr>
                <w:rFonts w:ascii="Geomanist Light" w:hAnsi="Geomanist Light" w:cs="Arial"/>
                <w:b/>
                <w:color w:val="000000" w:themeColor="text1"/>
                <w:szCs w:val="24"/>
                <w:lang w:val="es-ES_tradnl" w:eastAsia="es-ES_tradnl"/>
              </w:rPr>
              <w:t>Temas:</w:t>
            </w:r>
            <w:r w:rsidR="005B1504" w:rsidRPr="00910CE9">
              <w:rPr>
                <w:rFonts w:ascii="Geomanist Light" w:hAnsi="Geomanist Light" w:cs="Arial"/>
                <w:b/>
                <w:color w:val="000000" w:themeColor="text1"/>
                <w:szCs w:val="24"/>
                <w:lang w:val="es-ES_tradnl" w:eastAsia="es-ES_tradnl"/>
              </w:rPr>
              <w:t xml:space="preserve">                   </w:t>
            </w:r>
          </w:p>
        </w:tc>
        <w:tc>
          <w:tcPr>
            <w:tcW w:w="6237" w:type="dxa"/>
          </w:tcPr>
          <w:p w14:paraId="4933FDAB" w14:textId="3EF6AF7E" w:rsidR="004F0538" w:rsidRPr="00910CE9" w:rsidRDefault="000237AE" w:rsidP="002A377F">
            <w:pPr>
              <w:spacing w:after="0" w:line="240" w:lineRule="auto"/>
              <w:jc w:val="both"/>
              <w:rPr>
                <w:rFonts w:ascii="Geomanist Light" w:hAnsi="Geomanist Light" w:cs="Arial"/>
                <w:noProof/>
                <w:lang w:val="es-MX"/>
              </w:rPr>
            </w:pPr>
            <w:r w:rsidRPr="00910CE9">
              <w:rPr>
                <w:rFonts w:ascii="Geomanist Light" w:hAnsi="Geomanist Light" w:cs="Arial"/>
                <w:noProof/>
                <w:lang w:val="es-MX"/>
              </w:rPr>
              <w:t xml:space="preserve">DOCUMENTOS TIPO – Acreditación de experiencia – Resolución 275 de 2022 / MATRIZ 1 EXPERIENCIA – Agua potable y saneamiento básico – Nota general / EXPERIENCIA ESPECÍFICA – Acreditación – Máximo dos (2) contratos </w:t>
            </w:r>
          </w:p>
          <w:p w14:paraId="5F389CAF" w14:textId="74DC79A7" w:rsidR="00980AF3" w:rsidRPr="00910CE9" w:rsidRDefault="00980AF3" w:rsidP="002A377F">
            <w:pPr>
              <w:spacing w:after="0" w:line="240" w:lineRule="auto"/>
              <w:jc w:val="both"/>
              <w:rPr>
                <w:rFonts w:ascii="Geomanist Light" w:hAnsi="Geomanist Light" w:cs="Arial"/>
                <w:noProof/>
                <w:lang w:val="es-MX"/>
              </w:rPr>
            </w:pPr>
          </w:p>
        </w:tc>
      </w:tr>
      <w:tr w:rsidR="00B95C30" w:rsidRPr="00910CE9" w14:paraId="27CD52AB" w14:textId="77777777" w:rsidTr="00D15356">
        <w:tc>
          <w:tcPr>
            <w:tcW w:w="2689" w:type="dxa"/>
          </w:tcPr>
          <w:p w14:paraId="37E195A1" w14:textId="017D9507" w:rsidR="00B95C30" w:rsidRPr="00910CE9" w:rsidRDefault="00B95C30" w:rsidP="006A3704">
            <w:pPr>
              <w:spacing w:after="0" w:line="240" w:lineRule="auto"/>
              <w:jc w:val="both"/>
              <w:rPr>
                <w:rFonts w:ascii="Geomanist Light" w:hAnsi="Geomanist Light" w:cs="Arial"/>
                <w:b/>
                <w:color w:val="000000" w:themeColor="text1"/>
                <w:szCs w:val="24"/>
                <w:lang w:val="es-ES_tradnl" w:eastAsia="es-ES_tradnl"/>
              </w:rPr>
            </w:pPr>
            <w:r w:rsidRPr="00910CE9">
              <w:rPr>
                <w:rFonts w:ascii="Geomanist Light" w:hAnsi="Geomanist Light" w:cs="Arial"/>
                <w:b/>
                <w:color w:val="000000" w:themeColor="text1"/>
                <w:szCs w:val="24"/>
                <w:lang w:val="es-ES_tradnl" w:eastAsia="es-ES_tradnl"/>
              </w:rPr>
              <w:t>Radicación:</w:t>
            </w:r>
            <w:r w:rsidR="005B1504" w:rsidRPr="00910CE9">
              <w:rPr>
                <w:rFonts w:ascii="Geomanist Light" w:hAnsi="Geomanist Light" w:cs="Arial"/>
                <w:b/>
                <w:color w:val="000000" w:themeColor="text1"/>
                <w:szCs w:val="24"/>
                <w:lang w:val="es-ES_tradnl" w:eastAsia="es-ES_tradnl"/>
              </w:rPr>
              <w:t xml:space="preserve">               </w:t>
            </w:r>
          </w:p>
        </w:tc>
        <w:tc>
          <w:tcPr>
            <w:tcW w:w="6237" w:type="dxa"/>
          </w:tcPr>
          <w:p w14:paraId="09088B1B" w14:textId="76F0360D" w:rsidR="00B95C30" w:rsidRPr="00910CE9" w:rsidRDefault="00B95C30" w:rsidP="006A3704">
            <w:pPr>
              <w:spacing w:after="0" w:line="240" w:lineRule="auto"/>
              <w:jc w:val="both"/>
              <w:rPr>
                <w:rFonts w:ascii="Geomanist Light" w:hAnsi="Geomanist Light" w:cs="Arial"/>
                <w:bCs/>
                <w:color w:val="000000" w:themeColor="text1"/>
                <w:szCs w:val="24"/>
                <w:lang w:val="es-ES_tradnl" w:eastAsia="es-ES_tradnl"/>
              </w:rPr>
            </w:pPr>
            <w:r w:rsidRPr="00910CE9">
              <w:rPr>
                <w:rFonts w:ascii="Geomanist Light" w:hAnsi="Geomanist Light" w:cs="Arial"/>
                <w:bCs/>
                <w:color w:val="000000" w:themeColor="text1"/>
                <w:szCs w:val="24"/>
                <w:lang w:val="es-ES_tradnl" w:eastAsia="es-ES_tradnl"/>
              </w:rPr>
              <w:t>Respuesta a consulta</w:t>
            </w:r>
            <w:r w:rsidR="000D0CC7" w:rsidRPr="00910CE9">
              <w:rPr>
                <w:rFonts w:ascii="Geomanist Light" w:hAnsi="Geomanist Light" w:cs="Arial"/>
                <w:bCs/>
                <w:color w:val="000000" w:themeColor="text1"/>
                <w:szCs w:val="24"/>
                <w:lang w:val="es-ES_tradnl" w:eastAsia="es-ES_tradnl"/>
              </w:rPr>
              <w:t xml:space="preserve"> </w:t>
            </w:r>
            <w:r w:rsidR="00A92DC4" w:rsidRPr="00910CE9">
              <w:rPr>
                <w:rFonts w:ascii="Geomanist Light" w:hAnsi="Geomanist Light" w:cs="Arial"/>
                <w:bCs/>
                <w:color w:val="000000" w:themeColor="text1"/>
                <w:szCs w:val="24"/>
                <w:lang w:val="es-ES_tradnl" w:eastAsia="es-ES_tradnl"/>
              </w:rPr>
              <w:t>P20221024010702</w:t>
            </w:r>
          </w:p>
        </w:tc>
      </w:tr>
    </w:tbl>
    <w:p w14:paraId="234C0002" w14:textId="62B39031" w:rsidR="005F5F37" w:rsidRPr="00910CE9" w:rsidRDefault="005F5F37" w:rsidP="00B7240D">
      <w:pPr>
        <w:spacing w:after="0" w:line="274" w:lineRule="auto"/>
        <w:jc w:val="both"/>
        <w:rPr>
          <w:rFonts w:ascii="Geomanist Light" w:hAnsi="Geomanist Light" w:cs="Arial"/>
          <w:color w:val="000000" w:themeColor="text1"/>
          <w:lang w:val="es-ES_tradnl"/>
        </w:rPr>
      </w:pPr>
    </w:p>
    <w:p w14:paraId="1DAF8FE2" w14:textId="77777777" w:rsidR="006A3704" w:rsidRPr="00910CE9" w:rsidRDefault="006A3704" w:rsidP="00B7240D">
      <w:pPr>
        <w:spacing w:after="0" w:line="274" w:lineRule="auto"/>
        <w:jc w:val="both"/>
        <w:rPr>
          <w:rFonts w:ascii="Geomanist Light" w:hAnsi="Geomanist Light" w:cs="Arial"/>
          <w:color w:val="000000" w:themeColor="text1"/>
          <w:lang w:val="es-ES_tradnl"/>
        </w:rPr>
      </w:pPr>
    </w:p>
    <w:p w14:paraId="1CF4AEA0" w14:textId="5359AE65" w:rsidR="003C3339" w:rsidRPr="00910CE9" w:rsidRDefault="003C3339" w:rsidP="00B7240D">
      <w:pPr>
        <w:spacing w:after="0" w:line="274" w:lineRule="auto"/>
        <w:jc w:val="both"/>
        <w:rPr>
          <w:rFonts w:ascii="Geomanist Light" w:hAnsi="Geomanist Light" w:cs="Arial"/>
          <w:color w:val="000000" w:themeColor="text1"/>
          <w:lang w:val="es-ES_tradnl"/>
        </w:rPr>
      </w:pPr>
      <w:r w:rsidRPr="00910CE9">
        <w:rPr>
          <w:rFonts w:ascii="Geomanist Light" w:hAnsi="Geomanist Light" w:cs="Arial"/>
          <w:color w:val="000000" w:themeColor="text1"/>
          <w:lang w:val="es-ES_tradnl"/>
        </w:rPr>
        <w:t>Estimad</w:t>
      </w:r>
      <w:r w:rsidR="00A92DC4" w:rsidRPr="00910CE9">
        <w:rPr>
          <w:rFonts w:ascii="Geomanist Light" w:hAnsi="Geomanist Light" w:cs="Arial"/>
          <w:color w:val="000000" w:themeColor="text1"/>
          <w:lang w:val="es-ES_tradnl"/>
        </w:rPr>
        <w:t>a</w:t>
      </w:r>
      <w:r w:rsidRPr="00910CE9">
        <w:rPr>
          <w:rFonts w:ascii="Geomanist Light" w:hAnsi="Geomanist Light" w:cs="Arial"/>
          <w:color w:val="000000" w:themeColor="text1"/>
          <w:lang w:val="es-ES_tradnl"/>
        </w:rPr>
        <w:t xml:space="preserve"> señor</w:t>
      </w:r>
      <w:r w:rsidR="00A92DC4" w:rsidRPr="00910CE9">
        <w:rPr>
          <w:rFonts w:ascii="Geomanist Light" w:hAnsi="Geomanist Light" w:cs="Arial"/>
          <w:color w:val="000000" w:themeColor="text1"/>
          <w:lang w:val="es-ES_tradnl"/>
        </w:rPr>
        <w:t>a</w:t>
      </w:r>
      <w:r w:rsidR="00DA371B" w:rsidRPr="00910CE9">
        <w:rPr>
          <w:rFonts w:ascii="Geomanist Light" w:hAnsi="Geomanist Light" w:cs="Arial"/>
          <w:color w:val="000000" w:themeColor="text1"/>
          <w:lang w:val="es-ES_tradnl"/>
        </w:rPr>
        <w:t xml:space="preserve"> </w:t>
      </w:r>
      <w:r w:rsidR="00A92DC4" w:rsidRPr="00910CE9">
        <w:rPr>
          <w:rFonts w:ascii="Geomanist Light" w:hAnsi="Geomanist Light" w:cs="Arial"/>
          <w:color w:val="000000" w:themeColor="text1"/>
          <w:lang w:val="es-ES_tradnl"/>
        </w:rPr>
        <w:t>Suarez</w:t>
      </w:r>
      <w:r w:rsidR="008C3FFC" w:rsidRPr="00910CE9">
        <w:rPr>
          <w:rFonts w:ascii="Geomanist Light" w:hAnsi="Geomanist Light" w:cs="Arial"/>
          <w:color w:val="000000" w:themeColor="text1"/>
          <w:lang w:val="es-ES_tradnl"/>
        </w:rPr>
        <w:t xml:space="preserve">: </w:t>
      </w:r>
    </w:p>
    <w:p w14:paraId="1EAE5543" w14:textId="37990AD8" w:rsidR="00DD5B04" w:rsidRPr="00910CE9" w:rsidRDefault="00DD5B04" w:rsidP="00B7240D">
      <w:pPr>
        <w:spacing w:after="0" w:line="274" w:lineRule="auto"/>
        <w:jc w:val="both"/>
        <w:rPr>
          <w:rFonts w:ascii="Geomanist Light" w:hAnsi="Geomanist Light" w:cs="Arial"/>
          <w:color w:val="000000" w:themeColor="text1"/>
          <w:lang w:val="es-ES_tradnl"/>
        </w:rPr>
      </w:pPr>
    </w:p>
    <w:p w14:paraId="2109B2D3" w14:textId="3B86D6B9" w:rsidR="00DD5B04" w:rsidRPr="00910CE9" w:rsidRDefault="00DD5B04" w:rsidP="00B7240D">
      <w:pPr>
        <w:spacing w:after="0" w:line="274" w:lineRule="auto"/>
        <w:jc w:val="both"/>
        <w:rPr>
          <w:rFonts w:ascii="Geomanist Light" w:hAnsi="Geomanist Light" w:cs="Arial"/>
          <w:color w:val="000000" w:themeColor="text1"/>
          <w:lang w:val="es-ES_tradnl"/>
        </w:rPr>
      </w:pPr>
      <w:r w:rsidRPr="00910CE9">
        <w:rPr>
          <w:rFonts w:ascii="Geomanist Light" w:hAnsi="Geomanist Light" w:cs="Arial"/>
          <w:color w:val="000000" w:themeColor="text1"/>
          <w:lang w:val="es-ES_tradnl"/>
        </w:rPr>
        <w:t>En ejercicio de la competencia otorgada por el numeral 8 del artículo 11 y el numeral 5 del artículo 3 del Decreto Ley 4170 de 2011,</w:t>
      </w:r>
      <w:r w:rsidR="00B24D49" w:rsidRPr="00910CE9">
        <w:rPr>
          <w:rFonts w:ascii="Geomanist Light" w:eastAsia="Arial MT" w:hAnsi="Geomanist Light" w:cs="Arial"/>
          <w:lang w:val="es-ES"/>
        </w:rPr>
        <w:t xml:space="preserve"> </w:t>
      </w:r>
      <w:r w:rsidRPr="00910CE9">
        <w:rPr>
          <w:rFonts w:ascii="Geomanist Light" w:hAnsi="Geomanist Light" w:cs="Arial"/>
          <w:color w:val="000000" w:themeColor="text1"/>
          <w:lang w:val="es-ES_tradnl"/>
        </w:rPr>
        <w:t xml:space="preserve">la Agencia Nacional de Contratación Pública </w:t>
      </w:r>
      <w:r w:rsidR="00C31846" w:rsidRPr="00910CE9">
        <w:rPr>
          <w:rFonts w:ascii="Geomanist Light" w:hAnsi="Geomanist Light" w:cs="Arial"/>
          <w:color w:val="000000" w:themeColor="text1"/>
          <w:lang w:val="es-ES_tradnl"/>
        </w:rPr>
        <w:t>–</w:t>
      </w:r>
      <w:r w:rsidRPr="00910CE9">
        <w:rPr>
          <w:rFonts w:ascii="Geomanist Light" w:hAnsi="Geomanist Light" w:cs="Arial"/>
          <w:color w:val="000000" w:themeColor="text1"/>
          <w:lang w:val="es-ES_tradnl"/>
        </w:rPr>
        <w:t xml:space="preserve"> Colombia Compra Eficiente</w:t>
      </w:r>
      <w:r w:rsidR="00CE69CC" w:rsidRPr="00910CE9">
        <w:rPr>
          <w:rFonts w:ascii="Geomanist Light" w:hAnsi="Geomanist Light" w:cs="Arial"/>
          <w:color w:val="000000" w:themeColor="text1"/>
          <w:lang w:val="es-ES_tradnl"/>
        </w:rPr>
        <w:t xml:space="preserve">, </w:t>
      </w:r>
      <w:r w:rsidRPr="00910CE9">
        <w:rPr>
          <w:rFonts w:ascii="Geomanist Light" w:hAnsi="Geomanist Light" w:cs="Arial"/>
          <w:color w:val="000000" w:themeColor="text1"/>
          <w:lang w:val="es-ES_tradnl"/>
        </w:rPr>
        <w:t xml:space="preserve">responde </w:t>
      </w:r>
      <w:r w:rsidR="00F14618" w:rsidRPr="00910CE9">
        <w:rPr>
          <w:rFonts w:ascii="Geomanist Light" w:hAnsi="Geomanist Light" w:cs="Arial"/>
          <w:color w:val="000000" w:themeColor="text1"/>
          <w:lang w:val="es-ES_tradnl"/>
        </w:rPr>
        <w:t>su</w:t>
      </w:r>
      <w:r w:rsidR="003902B1" w:rsidRPr="00910CE9">
        <w:rPr>
          <w:rFonts w:ascii="Geomanist Light" w:hAnsi="Geomanist Light" w:cs="Arial"/>
          <w:color w:val="000000" w:themeColor="text1"/>
          <w:lang w:val="es-ES_tradnl"/>
        </w:rPr>
        <w:t xml:space="preserve"> </w:t>
      </w:r>
      <w:r w:rsidR="00F14618" w:rsidRPr="00910CE9">
        <w:rPr>
          <w:rFonts w:ascii="Geomanist Light" w:hAnsi="Geomanist Light" w:cs="Arial"/>
          <w:color w:val="000000" w:themeColor="text1"/>
          <w:lang w:val="es-ES_tradnl"/>
        </w:rPr>
        <w:t>consulta</w:t>
      </w:r>
      <w:r w:rsidR="00150A17" w:rsidRPr="00910CE9">
        <w:rPr>
          <w:rFonts w:ascii="Geomanist Light" w:hAnsi="Geomanist Light" w:cs="Arial"/>
          <w:color w:val="000000" w:themeColor="text1"/>
          <w:lang w:val="es-ES_tradnl"/>
        </w:rPr>
        <w:t xml:space="preserve"> </w:t>
      </w:r>
      <w:r w:rsidR="00A92DC4" w:rsidRPr="00910CE9">
        <w:rPr>
          <w:rFonts w:ascii="Geomanist Light" w:hAnsi="Geomanist Light" w:cs="Arial"/>
          <w:color w:val="000000" w:themeColor="text1"/>
          <w:lang w:val="es-ES_tradnl"/>
        </w:rPr>
        <w:t>d</w:t>
      </w:r>
      <w:r w:rsidR="00F14618" w:rsidRPr="00910CE9">
        <w:rPr>
          <w:rFonts w:ascii="Geomanist Light" w:hAnsi="Geomanist Light" w:cs="Arial"/>
          <w:color w:val="000000" w:themeColor="text1"/>
          <w:lang w:val="es-ES_tradnl"/>
        </w:rPr>
        <w:t xml:space="preserve">el </w:t>
      </w:r>
      <w:r w:rsidR="00A92DC4" w:rsidRPr="00910CE9">
        <w:rPr>
          <w:rFonts w:ascii="Geomanist Light" w:hAnsi="Geomanist Light" w:cs="Arial"/>
          <w:color w:val="000000" w:themeColor="text1"/>
          <w:lang w:val="es-ES_tradnl"/>
        </w:rPr>
        <w:t>24</w:t>
      </w:r>
      <w:r w:rsidR="00150A17" w:rsidRPr="00910CE9">
        <w:rPr>
          <w:rFonts w:ascii="Geomanist Light" w:hAnsi="Geomanist Light" w:cs="Arial"/>
          <w:color w:val="000000" w:themeColor="text1"/>
          <w:lang w:val="es-ES_tradnl"/>
        </w:rPr>
        <w:t xml:space="preserve"> </w:t>
      </w:r>
      <w:r w:rsidR="00F14618" w:rsidRPr="00910CE9">
        <w:rPr>
          <w:rFonts w:ascii="Geomanist Light" w:hAnsi="Geomanist Light" w:cs="Arial"/>
          <w:color w:val="000000" w:themeColor="text1"/>
          <w:lang w:val="es-ES_tradnl"/>
        </w:rPr>
        <w:t xml:space="preserve">de </w:t>
      </w:r>
      <w:r w:rsidR="00A92DC4" w:rsidRPr="00910CE9">
        <w:rPr>
          <w:rFonts w:ascii="Geomanist Light" w:hAnsi="Geomanist Light" w:cs="Arial"/>
          <w:color w:val="000000" w:themeColor="text1"/>
          <w:lang w:val="es-ES_tradnl"/>
        </w:rPr>
        <w:t>octubre</w:t>
      </w:r>
      <w:r w:rsidR="00F14618" w:rsidRPr="00910CE9">
        <w:rPr>
          <w:rFonts w:ascii="Geomanist Light" w:hAnsi="Geomanist Light" w:cs="Arial"/>
          <w:color w:val="000000" w:themeColor="text1"/>
          <w:lang w:val="es-ES_tradnl"/>
        </w:rPr>
        <w:t xml:space="preserve"> de 202</w:t>
      </w:r>
      <w:r w:rsidR="00782354" w:rsidRPr="00910CE9">
        <w:rPr>
          <w:rFonts w:ascii="Geomanist Light" w:hAnsi="Geomanist Light" w:cs="Arial"/>
          <w:color w:val="000000" w:themeColor="text1"/>
          <w:lang w:val="es-ES_tradnl"/>
        </w:rPr>
        <w:t>2</w:t>
      </w:r>
      <w:r w:rsidR="00F14618" w:rsidRPr="00910CE9">
        <w:rPr>
          <w:rFonts w:ascii="Geomanist Light" w:hAnsi="Geomanist Light" w:cs="Arial"/>
          <w:color w:val="000000" w:themeColor="text1"/>
          <w:lang w:val="es-ES_tradnl"/>
        </w:rPr>
        <w:t>.</w:t>
      </w:r>
    </w:p>
    <w:p w14:paraId="0C1E0712" w14:textId="77777777" w:rsidR="00DD5B04" w:rsidRPr="00910CE9" w:rsidRDefault="00DD5B04" w:rsidP="00443945">
      <w:pPr>
        <w:spacing w:after="0" w:line="276" w:lineRule="auto"/>
        <w:jc w:val="both"/>
        <w:rPr>
          <w:rFonts w:ascii="Geomanist Light" w:hAnsi="Geomanist Light" w:cs="Arial"/>
          <w:b/>
          <w:color w:val="000000" w:themeColor="text1"/>
          <w:lang w:val="es-ES_tradnl"/>
        </w:rPr>
      </w:pPr>
    </w:p>
    <w:p w14:paraId="7701FCC7" w14:textId="77777777" w:rsidR="00DD5B04" w:rsidRPr="00910CE9" w:rsidRDefault="00DD5B04">
      <w:pPr>
        <w:pStyle w:val="Prrafodelista"/>
        <w:numPr>
          <w:ilvl w:val="0"/>
          <w:numId w:val="1"/>
        </w:numPr>
        <w:tabs>
          <w:tab w:val="left" w:pos="0"/>
          <w:tab w:val="left" w:pos="142"/>
          <w:tab w:val="left" w:pos="284"/>
        </w:tabs>
        <w:spacing w:line="276" w:lineRule="auto"/>
        <w:ind w:left="0" w:firstLine="0"/>
        <w:jc w:val="both"/>
        <w:rPr>
          <w:rFonts w:ascii="Geomanist Light" w:eastAsia="Calibri" w:hAnsi="Geomanist Light" w:cs="Arial"/>
          <w:b/>
          <w:color w:val="000000" w:themeColor="text1"/>
          <w:sz w:val="22"/>
          <w:lang w:val="es-ES_tradnl"/>
        </w:rPr>
      </w:pPr>
      <w:r w:rsidRPr="00910CE9">
        <w:rPr>
          <w:rFonts w:ascii="Geomanist Light" w:eastAsia="Calibri" w:hAnsi="Geomanist Light" w:cs="Arial"/>
          <w:b/>
          <w:color w:val="000000" w:themeColor="text1"/>
          <w:sz w:val="22"/>
          <w:lang w:val="es-ES_tradnl"/>
        </w:rPr>
        <w:t xml:space="preserve">Problema planteado </w:t>
      </w:r>
    </w:p>
    <w:p w14:paraId="224B43D3" w14:textId="23DC0BDF" w:rsidR="00DD5B04" w:rsidRPr="00910CE9" w:rsidRDefault="00DD5B04" w:rsidP="00B7240D">
      <w:pPr>
        <w:tabs>
          <w:tab w:val="left" w:pos="426"/>
        </w:tabs>
        <w:spacing w:after="0" w:line="276" w:lineRule="auto"/>
        <w:jc w:val="both"/>
        <w:rPr>
          <w:rFonts w:ascii="Geomanist Light" w:hAnsi="Geomanist Light" w:cs="Arial"/>
          <w:b/>
          <w:color w:val="000000" w:themeColor="text1"/>
          <w:lang w:val="es-ES_tradnl"/>
        </w:rPr>
      </w:pPr>
    </w:p>
    <w:p w14:paraId="27D85DBF" w14:textId="77777777" w:rsidR="00807D00" w:rsidRPr="00910CE9" w:rsidRDefault="00A92DC4" w:rsidP="00B7240D">
      <w:pPr>
        <w:spacing w:after="0" w:line="276" w:lineRule="auto"/>
        <w:jc w:val="both"/>
        <w:rPr>
          <w:rFonts w:ascii="Geomanist Light" w:hAnsi="Geomanist Light" w:cs="Arial"/>
          <w:bCs/>
        </w:rPr>
      </w:pPr>
      <w:r w:rsidRPr="00910CE9">
        <w:rPr>
          <w:rFonts w:ascii="Geomanist Light" w:hAnsi="Geomanist Light" w:cs="Arial"/>
          <w:bCs/>
        </w:rPr>
        <w:t xml:space="preserve">En relación con los documentos tipo </w:t>
      </w:r>
      <w:r w:rsidRPr="00910CE9">
        <w:rPr>
          <w:rFonts w:ascii="Geomanist Light" w:hAnsi="Geomanist Light" w:cs="Arial"/>
          <w:bCs/>
          <w:lang w:val="es-ES_tradnl"/>
        </w:rPr>
        <w:t>de agua potable y saneamiento básico usted formula la siguiente consulta</w:t>
      </w:r>
      <w:r w:rsidR="000D0CC7" w:rsidRPr="00910CE9">
        <w:rPr>
          <w:rFonts w:ascii="Geomanist Light" w:hAnsi="Geomanist Light" w:cs="Arial"/>
          <w:bCs/>
        </w:rPr>
        <w:t xml:space="preserve">: </w:t>
      </w:r>
    </w:p>
    <w:p w14:paraId="1B71F0EF" w14:textId="77777777" w:rsidR="00807D00" w:rsidRPr="00910CE9" w:rsidRDefault="00807D00" w:rsidP="00B7240D">
      <w:pPr>
        <w:spacing w:after="0" w:line="276" w:lineRule="auto"/>
        <w:jc w:val="both"/>
        <w:rPr>
          <w:rFonts w:ascii="Geomanist Light" w:hAnsi="Geomanist Light" w:cs="Arial"/>
          <w:bCs/>
        </w:rPr>
      </w:pPr>
    </w:p>
    <w:p w14:paraId="3875CC47" w14:textId="342C1D6F" w:rsidR="00DA371B" w:rsidRPr="00910CE9" w:rsidRDefault="00A92DC4" w:rsidP="00E609E9">
      <w:pPr>
        <w:spacing w:after="0" w:line="240" w:lineRule="auto"/>
        <w:ind w:left="709" w:right="709"/>
        <w:jc w:val="both"/>
        <w:rPr>
          <w:rFonts w:ascii="Geomanist Light" w:hAnsi="Geomanist Light" w:cs="Arial"/>
          <w:sz w:val="21"/>
          <w:szCs w:val="21"/>
          <w:lang w:val="es-MX"/>
        </w:rPr>
      </w:pPr>
      <w:r w:rsidRPr="00910CE9">
        <w:rPr>
          <w:rFonts w:ascii="Geomanist Light" w:hAnsi="Geomanist Light" w:cs="Arial"/>
          <w:color w:val="000000"/>
          <w:sz w:val="21"/>
          <w:szCs w:val="21"/>
          <w:bdr w:val="none" w:sz="0" w:space="0" w:color="auto" w:frame="1"/>
        </w:rPr>
        <w:t>«</w:t>
      </w:r>
      <w:r w:rsidRPr="00910CE9">
        <w:rPr>
          <w:rFonts w:ascii="Geomanist Light" w:hAnsi="Geomanist Light" w:cs="Arial"/>
          <w:bCs/>
          <w:sz w:val="21"/>
          <w:szCs w:val="21"/>
        </w:rPr>
        <w:t>Respetuosamente</w:t>
      </w:r>
      <w:r w:rsidRPr="00910CE9">
        <w:rPr>
          <w:rFonts w:cs="Calibri"/>
          <w:bCs/>
          <w:sz w:val="21"/>
          <w:szCs w:val="21"/>
        </w:rPr>
        <w:t> </w:t>
      </w:r>
      <w:r w:rsidRPr="00910CE9">
        <w:rPr>
          <w:rFonts w:ascii="Geomanist Light" w:hAnsi="Geomanist Light" w:cs="Arial"/>
          <w:bCs/>
          <w:sz w:val="21"/>
          <w:szCs w:val="21"/>
        </w:rPr>
        <w:t>solicito aclaraci</w:t>
      </w:r>
      <w:r w:rsidRPr="00910CE9">
        <w:rPr>
          <w:rFonts w:ascii="Geomanist Light" w:hAnsi="Geomanist Light" w:cs="Geomanist Light"/>
          <w:bCs/>
          <w:sz w:val="21"/>
          <w:szCs w:val="21"/>
        </w:rPr>
        <w:t>ó</w:t>
      </w:r>
      <w:r w:rsidRPr="00910CE9">
        <w:rPr>
          <w:rFonts w:ascii="Geomanist Light" w:hAnsi="Geomanist Light" w:cs="Arial"/>
          <w:bCs/>
          <w:sz w:val="21"/>
          <w:szCs w:val="21"/>
        </w:rPr>
        <w:t>n de los pliegos</w:t>
      </w:r>
      <w:r w:rsidRPr="00910CE9">
        <w:rPr>
          <w:rFonts w:cs="Calibri"/>
          <w:bCs/>
          <w:sz w:val="21"/>
          <w:szCs w:val="21"/>
        </w:rPr>
        <w:t> </w:t>
      </w:r>
      <w:r w:rsidRPr="00910CE9">
        <w:rPr>
          <w:rFonts w:ascii="Geomanist Light" w:hAnsi="Geomanist Light" w:cs="Arial"/>
          <w:bCs/>
          <w:sz w:val="21"/>
          <w:szCs w:val="21"/>
        </w:rPr>
        <w:t>sector infraestructura agua potable y saneamiento b</w:t>
      </w:r>
      <w:r w:rsidRPr="00910CE9">
        <w:rPr>
          <w:rFonts w:ascii="Geomanist Light" w:hAnsi="Geomanist Light" w:cs="Geomanist Light"/>
          <w:bCs/>
          <w:sz w:val="21"/>
          <w:szCs w:val="21"/>
        </w:rPr>
        <w:t>á</w:t>
      </w:r>
      <w:r w:rsidRPr="00910CE9">
        <w:rPr>
          <w:rFonts w:ascii="Geomanist Light" w:hAnsi="Geomanist Light" w:cs="Arial"/>
          <w:bCs/>
          <w:sz w:val="21"/>
          <w:szCs w:val="21"/>
        </w:rPr>
        <w:t>sico, respecto al n</w:t>
      </w:r>
      <w:r w:rsidRPr="00910CE9">
        <w:rPr>
          <w:rFonts w:ascii="Geomanist Light" w:hAnsi="Geomanist Light" w:cs="Geomanist Light"/>
          <w:bCs/>
          <w:sz w:val="21"/>
          <w:szCs w:val="21"/>
        </w:rPr>
        <w:t>ú</w:t>
      </w:r>
      <w:r w:rsidRPr="00910CE9">
        <w:rPr>
          <w:rFonts w:ascii="Geomanist Light" w:hAnsi="Geomanist Light" w:cs="Arial"/>
          <w:bCs/>
          <w:sz w:val="21"/>
          <w:szCs w:val="21"/>
        </w:rPr>
        <w:t>mero</w:t>
      </w:r>
      <w:r w:rsidRPr="00910CE9">
        <w:rPr>
          <w:rFonts w:cs="Calibri"/>
          <w:bCs/>
          <w:sz w:val="21"/>
          <w:szCs w:val="21"/>
        </w:rPr>
        <w:t> </w:t>
      </w:r>
      <w:r w:rsidRPr="00910CE9">
        <w:rPr>
          <w:rFonts w:ascii="Geomanist Light" w:hAnsi="Geomanist Light" w:cs="Arial"/>
          <w:bCs/>
          <w:sz w:val="21"/>
          <w:szCs w:val="21"/>
        </w:rPr>
        <w:t>de contratos para probar experiencia, los pliegos establecen m</w:t>
      </w:r>
      <w:r w:rsidRPr="00910CE9">
        <w:rPr>
          <w:rFonts w:ascii="Geomanist Light" w:hAnsi="Geomanist Light" w:cs="Geomanist Light"/>
          <w:bCs/>
          <w:sz w:val="21"/>
          <w:szCs w:val="21"/>
        </w:rPr>
        <w:t>í</w:t>
      </w:r>
      <w:r w:rsidRPr="00910CE9">
        <w:rPr>
          <w:rFonts w:ascii="Geomanist Light" w:hAnsi="Geomanist Light" w:cs="Arial"/>
          <w:bCs/>
          <w:sz w:val="21"/>
          <w:szCs w:val="21"/>
        </w:rPr>
        <w:t>nimo</w:t>
      </w:r>
      <w:r w:rsidRPr="00910CE9">
        <w:rPr>
          <w:rFonts w:cs="Calibri"/>
          <w:bCs/>
          <w:sz w:val="21"/>
          <w:szCs w:val="21"/>
        </w:rPr>
        <w:t> </w:t>
      </w:r>
      <w:r w:rsidRPr="00910CE9">
        <w:rPr>
          <w:rFonts w:ascii="Geomanist Light" w:hAnsi="Geomanist Light" w:cs="Arial"/>
          <w:bCs/>
          <w:sz w:val="21"/>
          <w:szCs w:val="21"/>
        </w:rPr>
        <w:t>1 y m</w:t>
      </w:r>
      <w:r w:rsidRPr="00910CE9">
        <w:rPr>
          <w:rFonts w:ascii="Geomanist Light" w:hAnsi="Geomanist Light" w:cs="Geomanist Light"/>
          <w:bCs/>
          <w:sz w:val="21"/>
          <w:szCs w:val="21"/>
        </w:rPr>
        <w:t>á</w:t>
      </w:r>
      <w:r w:rsidRPr="00910CE9">
        <w:rPr>
          <w:rFonts w:ascii="Geomanist Light" w:hAnsi="Geomanist Light" w:cs="Arial"/>
          <w:bCs/>
          <w:sz w:val="21"/>
          <w:szCs w:val="21"/>
        </w:rPr>
        <w:t>ximo</w:t>
      </w:r>
      <w:r w:rsidRPr="00910CE9">
        <w:rPr>
          <w:rFonts w:cs="Calibri"/>
          <w:bCs/>
          <w:sz w:val="21"/>
          <w:szCs w:val="21"/>
        </w:rPr>
        <w:t> </w:t>
      </w:r>
      <w:r w:rsidRPr="00910CE9">
        <w:rPr>
          <w:rFonts w:ascii="Geomanist Light" w:hAnsi="Geomanist Light" w:cs="Arial"/>
          <w:bCs/>
          <w:sz w:val="21"/>
          <w:szCs w:val="21"/>
        </w:rPr>
        <w:t xml:space="preserve">5 contratos, sin </w:t>
      </w:r>
      <w:proofErr w:type="gramStart"/>
      <w:r w:rsidRPr="00910CE9">
        <w:rPr>
          <w:rFonts w:ascii="Geomanist Light" w:hAnsi="Geomanist Light" w:cs="Arial"/>
          <w:bCs/>
          <w:sz w:val="21"/>
          <w:szCs w:val="21"/>
        </w:rPr>
        <w:t>embargo</w:t>
      </w:r>
      <w:proofErr w:type="gramEnd"/>
      <w:r w:rsidRPr="00910CE9">
        <w:rPr>
          <w:rFonts w:ascii="Geomanist Light" w:hAnsi="Geomanist Light" w:cs="Arial"/>
          <w:bCs/>
          <w:sz w:val="21"/>
          <w:szCs w:val="21"/>
        </w:rPr>
        <w:t xml:space="preserve"> en la matriz 1. se establece ''</w:t>
      </w:r>
      <w:r w:rsidRPr="00910CE9">
        <w:rPr>
          <w:rFonts w:ascii="Geomanist Light" w:hAnsi="Geomanist Light" w:cs="Arial"/>
          <w:b/>
          <w:i/>
          <w:iCs/>
          <w:sz w:val="21"/>
          <w:szCs w:val="21"/>
        </w:rPr>
        <w:t>E</w:t>
      </w:r>
      <w:r w:rsidRPr="00910CE9">
        <w:rPr>
          <w:rFonts w:ascii="Geomanist Light" w:hAnsi="Geomanist Light" w:cs="Arial"/>
          <w:b/>
          <w:bCs/>
          <w:i/>
          <w:iCs/>
          <w:sz w:val="21"/>
          <w:szCs w:val="21"/>
        </w:rPr>
        <w:t xml:space="preserve">n el caso que, debido a la magnitud física empleada como variable para establecimiento del % de dimensionamiento como experiencia específica, se aceptará que el mismo sea acreditado con la </w:t>
      </w:r>
      <w:r w:rsidRPr="00910CE9">
        <w:rPr>
          <w:rFonts w:ascii="Geomanist Light" w:hAnsi="Geomanist Light" w:cs="Arial"/>
          <w:b/>
          <w:bCs/>
          <w:i/>
          <w:iCs/>
          <w:sz w:val="21"/>
          <w:szCs w:val="21"/>
        </w:rPr>
        <w:lastRenderedPageBreak/>
        <w:t>sumatoria de máximo dos (2) de los contratos válidos aportados, garantizando condiciones pluralistas y participativas, siendo requisitos adecuados y proporcionales. Cuando la entidad considere procedente esta posibilidad lo señalará en el pliego de condiciones al momento de indicar la experiencia a requerir.</w:t>
      </w:r>
      <w:bookmarkStart w:id="3" w:name="_Hlk80695829"/>
      <w:r w:rsidR="00BD6FF7" w:rsidRPr="00910CE9">
        <w:rPr>
          <w:rFonts w:ascii="Geomanist Light" w:hAnsi="Geomanist Light" w:cs="Arial"/>
          <w:sz w:val="21"/>
          <w:szCs w:val="21"/>
        </w:rPr>
        <w:t xml:space="preserve"> Al respecto, tenemos confusión entonces como se demuestra experiencia, si en la matriz 1. se limita a 2 contratos y en el pliego indica 5</w:t>
      </w:r>
      <w:r w:rsidR="00BD6FF7" w:rsidRPr="00910CE9">
        <w:rPr>
          <w:rFonts w:ascii="Geomanist Light" w:hAnsi="Geomanist Light" w:cs="Arial"/>
          <w:sz w:val="21"/>
          <w:szCs w:val="21"/>
          <w:lang w:val="es-MX"/>
        </w:rPr>
        <w:t>»</w:t>
      </w:r>
      <w:bookmarkEnd w:id="3"/>
      <w:r w:rsidR="00BD6FF7" w:rsidRPr="00910CE9">
        <w:rPr>
          <w:rFonts w:ascii="Geomanist Light" w:hAnsi="Geomanist Light" w:cs="Arial"/>
          <w:sz w:val="21"/>
          <w:szCs w:val="21"/>
          <w:lang w:val="es-MX"/>
        </w:rPr>
        <w:t>.</w:t>
      </w:r>
    </w:p>
    <w:p w14:paraId="36F2FF35" w14:textId="77777777" w:rsidR="00BD6FF7" w:rsidRPr="00910CE9" w:rsidRDefault="00BD6FF7" w:rsidP="00BD6FF7">
      <w:pPr>
        <w:spacing w:after="0" w:line="276" w:lineRule="auto"/>
        <w:jc w:val="both"/>
        <w:rPr>
          <w:rFonts w:ascii="Geomanist Light" w:hAnsi="Geomanist Light" w:cs="Arial"/>
          <w:bCs/>
        </w:rPr>
      </w:pPr>
    </w:p>
    <w:p w14:paraId="124D2DCA" w14:textId="77777777" w:rsidR="00DD5B04" w:rsidRPr="00910CE9" w:rsidRDefault="00DD5B04">
      <w:pPr>
        <w:pStyle w:val="Prrafodelista"/>
        <w:numPr>
          <w:ilvl w:val="0"/>
          <w:numId w:val="1"/>
        </w:numPr>
        <w:tabs>
          <w:tab w:val="left" w:pos="0"/>
          <w:tab w:val="left" w:pos="284"/>
        </w:tabs>
        <w:spacing w:line="276" w:lineRule="auto"/>
        <w:ind w:left="0" w:firstLine="0"/>
        <w:jc w:val="both"/>
        <w:rPr>
          <w:rFonts w:ascii="Geomanist Light" w:eastAsia="Calibri" w:hAnsi="Geomanist Light" w:cs="Arial"/>
          <w:b/>
          <w:color w:val="000000" w:themeColor="text1"/>
          <w:sz w:val="22"/>
          <w:lang w:val="es-ES_tradnl"/>
        </w:rPr>
      </w:pPr>
      <w:r w:rsidRPr="00910CE9">
        <w:rPr>
          <w:rFonts w:ascii="Geomanist Light" w:eastAsia="Calibri" w:hAnsi="Geomanist Light" w:cs="Arial"/>
          <w:b/>
          <w:color w:val="000000" w:themeColor="text1"/>
          <w:sz w:val="22"/>
          <w:lang w:val="es-ES_tradnl"/>
        </w:rPr>
        <w:t>Consideraciones</w:t>
      </w:r>
    </w:p>
    <w:p w14:paraId="395997FF" w14:textId="77777777" w:rsidR="00621981" w:rsidRPr="00910CE9" w:rsidRDefault="00621981" w:rsidP="00B7240D">
      <w:pPr>
        <w:spacing w:after="0" w:line="276" w:lineRule="auto"/>
        <w:jc w:val="both"/>
        <w:rPr>
          <w:rFonts w:ascii="Geomanist Light" w:hAnsi="Geomanist Light" w:cs="Arial"/>
          <w:color w:val="000000" w:themeColor="text1"/>
        </w:rPr>
      </w:pPr>
    </w:p>
    <w:p w14:paraId="146A40B9" w14:textId="77777777" w:rsidR="00A92DC4" w:rsidRPr="00910CE9" w:rsidRDefault="00A92DC4" w:rsidP="00B629CA">
      <w:pPr>
        <w:spacing w:after="0" w:line="276" w:lineRule="auto"/>
        <w:jc w:val="both"/>
        <w:rPr>
          <w:rFonts w:ascii="Geomanist Light" w:hAnsi="Geomanist Light" w:cs="Arial"/>
          <w:b/>
          <w:bCs/>
          <w:color w:val="000000" w:themeColor="text1"/>
        </w:rPr>
      </w:pPr>
      <w:r w:rsidRPr="00910CE9">
        <w:rPr>
          <w:rFonts w:ascii="Geomanist Light" w:hAnsi="Geomanist Light" w:cs="Arial"/>
          <w:bCs/>
          <w:color w:val="000000" w:themeColor="text1"/>
          <w:lang w:val="es-ES_tradnl"/>
        </w:rPr>
        <w:t>Para responder el interrogante planteado, se analizarán los siguientes temas:</w:t>
      </w:r>
      <w:r w:rsidRPr="00910CE9">
        <w:rPr>
          <w:rFonts w:ascii="Geomanist Light" w:hAnsi="Geomanist Light" w:cs="Arial"/>
          <w:bCs/>
          <w:color w:val="000000" w:themeColor="text1"/>
          <w:lang w:val="es-ES"/>
        </w:rPr>
        <w:t xml:space="preserve"> </w:t>
      </w:r>
      <w:r w:rsidRPr="00910CE9">
        <w:rPr>
          <w:rFonts w:ascii="Geomanist Light" w:hAnsi="Geomanist Light" w:cs="Arial"/>
          <w:bCs/>
          <w:color w:val="000000" w:themeColor="text1"/>
        </w:rPr>
        <w:t>i) la experiencia en los</w:t>
      </w:r>
      <w:r w:rsidRPr="00910CE9">
        <w:rPr>
          <w:rFonts w:ascii="Geomanist Light" w:hAnsi="Geomanist Light" w:cs="Arial"/>
          <w:b/>
          <w:bCs/>
          <w:color w:val="000000" w:themeColor="text1"/>
        </w:rPr>
        <w:t xml:space="preserve"> </w:t>
      </w:r>
      <w:r w:rsidRPr="00910CE9">
        <w:rPr>
          <w:rFonts w:ascii="Geomanist Light" w:hAnsi="Geomanist Light" w:cs="Arial"/>
          <w:bCs/>
          <w:color w:val="000000" w:themeColor="text1"/>
        </w:rPr>
        <w:t>Documentos Tipo de licitación pública para obra de infraestructura de agua potable y saneamiento básico</w:t>
      </w:r>
      <w:r w:rsidRPr="00910CE9">
        <w:rPr>
          <w:rFonts w:ascii="Geomanist Light" w:hAnsi="Geomanist Light" w:cs="Arial"/>
          <w:b/>
          <w:bCs/>
          <w:color w:val="000000" w:themeColor="text1"/>
        </w:rPr>
        <w:t xml:space="preserve"> </w:t>
      </w:r>
      <w:r w:rsidRPr="00910CE9">
        <w:rPr>
          <w:rFonts w:ascii="Geomanist Light" w:hAnsi="Geomanist Light" w:cs="Arial"/>
          <w:bCs/>
          <w:color w:val="000000" w:themeColor="text1"/>
        </w:rPr>
        <w:t xml:space="preserve">y </w:t>
      </w:r>
      <w:proofErr w:type="spellStart"/>
      <w:r w:rsidRPr="00910CE9">
        <w:rPr>
          <w:rFonts w:ascii="Geomanist Light" w:hAnsi="Geomanist Light" w:cs="Arial"/>
          <w:bCs/>
          <w:color w:val="000000" w:themeColor="text1"/>
        </w:rPr>
        <w:t>ii</w:t>
      </w:r>
      <w:proofErr w:type="spellEnd"/>
      <w:r w:rsidRPr="00910CE9">
        <w:rPr>
          <w:rFonts w:ascii="Geomanist Light" w:hAnsi="Geomanist Light" w:cs="Arial"/>
          <w:bCs/>
          <w:color w:val="000000" w:themeColor="text1"/>
        </w:rPr>
        <w:t>) la acreditación de la experiencia específica con máximo dos (2) contratos</w:t>
      </w:r>
      <w:bookmarkStart w:id="4" w:name="_Hlk80780897"/>
      <w:r w:rsidRPr="00910CE9">
        <w:rPr>
          <w:rFonts w:ascii="Geomanist Light" w:hAnsi="Geomanist Light" w:cs="Arial"/>
          <w:bCs/>
          <w:color w:val="000000" w:themeColor="text1"/>
        </w:rPr>
        <w:t xml:space="preserve"> de acuerdo con la «Matriz 1 </w:t>
      </w:r>
      <w:r w:rsidRPr="00910CE9">
        <w:rPr>
          <w:rFonts w:ascii="Courier New" w:hAnsi="Courier New" w:cs="Courier New"/>
          <w:bCs/>
          <w:color w:val="000000" w:themeColor="text1"/>
        </w:rPr>
        <w:t>‒</w:t>
      </w:r>
      <w:r w:rsidRPr="00910CE9">
        <w:rPr>
          <w:rFonts w:ascii="Geomanist Light" w:hAnsi="Geomanist Light" w:cs="Arial"/>
          <w:bCs/>
          <w:color w:val="000000" w:themeColor="text1"/>
        </w:rPr>
        <w:t xml:space="preserve"> Experiencia</w:t>
      </w:r>
      <w:r w:rsidRPr="00910CE9">
        <w:rPr>
          <w:rFonts w:ascii="Geomanist Light" w:hAnsi="Geomanist Light" w:cs="Geomanist Light"/>
          <w:bCs/>
          <w:color w:val="000000" w:themeColor="text1"/>
        </w:rPr>
        <w:t>»</w:t>
      </w:r>
      <w:r w:rsidRPr="00910CE9">
        <w:rPr>
          <w:rFonts w:ascii="Geomanist Light" w:hAnsi="Geomanist Light" w:cs="Arial"/>
          <w:bCs/>
          <w:color w:val="000000" w:themeColor="text1"/>
        </w:rPr>
        <w:t>.</w:t>
      </w:r>
    </w:p>
    <w:p w14:paraId="4695A7EA" w14:textId="5CCC1F6C" w:rsidR="005A34A8" w:rsidRPr="00910CE9" w:rsidRDefault="00A92DC4" w:rsidP="00B629CA">
      <w:pPr>
        <w:spacing w:before="120" w:after="0" w:line="276" w:lineRule="auto"/>
        <w:ind w:firstLine="709"/>
        <w:jc w:val="both"/>
        <w:rPr>
          <w:rFonts w:ascii="Geomanist Light" w:hAnsi="Geomanist Light" w:cs="Arial"/>
          <w:bCs/>
          <w:color w:val="000000" w:themeColor="text1"/>
        </w:rPr>
      </w:pPr>
      <w:bookmarkStart w:id="5" w:name="_Hlk94276537"/>
      <w:bookmarkEnd w:id="4"/>
      <w:r w:rsidRPr="00910CE9">
        <w:rPr>
          <w:rFonts w:ascii="Geomanist Light" w:hAnsi="Geomanist Light" w:cs="Arial"/>
          <w:bCs/>
          <w:color w:val="000000" w:themeColor="text1"/>
          <w:lang w:val="es-MX"/>
        </w:rPr>
        <w:t xml:space="preserve">La Agencia Nacional de Contratación Pública – Colombia Compra Eficiente se ha pronunciado en diferentes conceptos sobre la forma de establecer y acreditar la experiencia exigible en procesos de contratación adelantados con documentos tipo, en los Conceptos  </w:t>
      </w:r>
      <w:r w:rsidRPr="00910CE9">
        <w:rPr>
          <w:rFonts w:ascii="Geomanist Light" w:hAnsi="Geomanist Light" w:cs="Arial"/>
          <w:bCs/>
          <w:color w:val="000000" w:themeColor="text1"/>
        </w:rPr>
        <w:t>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w:t>
      </w:r>
      <w:r w:rsidR="005A34A8" w:rsidRPr="00910CE9">
        <w:rPr>
          <w:rFonts w:ascii="Geomanist Light" w:hAnsi="Geomanist Light" w:cs="Arial"/>
          <w:bCs/>
          <w:color w:val="000000" w:themeColor="text1"/>
        </w:rPr>
        <w:t>,</w:t>
      </w:r>
      <w:r w:rsidRPr="00910CE9">
        <w:rPr>
          <w:rFonts w:ascii="Geomanist Light" w:hAnsi="Geomanist Light" w:cs="Arial"/>
          <w:bCs/>
          <w:color w:val="000000" w:themeColor="text1"/>
        </w:rPr>
        <w:t xml:space="preserve"> C-735 del 28 de enero de 2022</w:t>
      </w:r>
      <w:r w:rsidR="005A34A8" w:rsidRPr="00910CE9">
        <w:rPr>
          <w:rFonts w:ascii="Geomanist Light" w:hAnsi="Geomanist Light" w:cs="Arial"/>
          <w:bCs/>
          <w:color w:val="000000" w:themeColor="text1"/>
        </w:rPr>
        <w:t xml:space="preserve"> y C-637 del 27 de septiembre de 2022</w:t>
      </w:r>
      <w:r w:rsidRPr="00910CE9">
        <w:rPr>
          <w:rFonts w:ascii="Geomanist Light" w:hAnsi="Geomanist Light" w:cs="Arial"/>
          <w:bCs/>
          <w:color w:val="000000" w:themeColor="text1"/>
          <w:vertAlign w:val="superscript"/>
        </w:rPr>
        <w:footnoteReference w:id="2"/>
      </w:r>
      <w:r w:rsidRPr="00910CE9">
        <w:rPr>
          <w:rFonts w:ascii="Geomanist Light" w:hAnsi="Geomanist Light" w:cs="Arial"/>
          <w:bCs/>
          <w:color w:val="000000" w:themeColor="text1"/>
          <w:lang w:val="es-MX"/>
        </w:rPr>
        <w:t>. En lo pertinente, la tesis expuesta en estos conceptos se reitera a continuación:</w:t>
      </w:r>
      <w:bookmarkEnd w:id="5"/>
    </w:p>
    <w:p w14:paraId="4C055FC7" w14:textId="0CB2E8B2" w:rsidR="00DE3B48" w:rsidRPr="00910CE9" w:rsidRDefault="00571301" w:rsidP="005A34A8">
      <w:pPr>
        <w:spacing w:after="0" w:line="276" w:lineRule="auto"/>
        <w:jc w:val="both"/>
        <w:rPr>
          <w:rFonts w:ascii="Geomanist Light" w:hAnsi="Geomanist Light" w:cs="Arial"/>
          <w:bCs/>
          <w:color w:val="000000" w:themeColor="text1"/>
        </w:rPr>
      </w:pPr>
      <w:r w:rsidRPr="00910CE9">
        <w:rPr>
          <w:rFonts w:ascii="Geomanist Light" w:hAnsi="Geomanist Light" w:cs="Arial"/>
          <w:bCs/>
          <w:lang w:val="es-ES_tradnl"/>
        </w:rPr>
        <w:tab/>
      </w:r>
    </w:p>
    <w:p w14:paraId="663F100A" w14:textId="358F8FCD" w:rsidR="00DB209F" w:rsidRPr="00910CE9" w:rsidRDefault="00DB209F" w:rsidP="00471351">
      <w:pPr>
        <w:spacing w:after="0" w:line="276" w:lineRule="auto"/>
        <w:jc w:val="both"/>
        <w:rPr>
          <w:rFonts w:ascii="Geomanist Light" w:hAnsi="Geomanist Light" w:cs="Arial"/>
          <w:b/>
          <w:bCs/>
          <w:color w:val="000000" w:themeColor="text1"/>
        </w:rPr>
      </w:pPr>
      <w:r w:rsidRPr="00910CE9">
        <w:rPr>
          <w:rFonts w:ascii="Geomanist Light" w:hAnsi="Geomanist Light" w:cs="Arial"/>
          <w:b/>
          <w:color w:val="000000" w:themeColor="text1"/>
        </w:rPr>
        <w:lastRenderedPageBreak/>
        <w:t xml:space="preserve">2.1. </w:t>
      </w:r>
      <w:r w:rsidR="005A34A8" w:rsidRPr="00910CE9">
        <w:rPr>
          <w:rFonts w:ascii="Geomanist Light" w:hAnsi="Geomanist Light" w:cs="Arial"/>
          <w:b/>
          <w:color w:val="000000" w:themeColor="text1"/>
        </w:rPr>
        <w:t>La experiencia en los</w:t>
      </w:r>
      <w:r w:rsidR="005A34A8" w:rsidRPr="00910CE9">
        <w:rPr>
          <w:rFonts w:ascii="Geomanist Light" w:hAnsi="Geomanist Light" w:cs="Arial"/>
          <w:b/>
          <w:bCs/>
          <w:color w:val="000000" w:themeColor="text1"/>
        </w:rPr>
        <w:t xml:space="preserve"> Documentos Tipo de licitación pública </w:t>
      </w:r>
      <w:r w:rsidR="005A34A8" w:rsidRPr="00910CE9">
        <w:rPr>
          <w:rFonts w:ascii="Geomanist Light" w:hAnsi="Geomanist Light" w:cs="Arial"/>
          <w:b/>
          <w:color w:val="000000" w:themeColor="text1"/>
        </w:rPr>
        <w:t xml:space="preserve">para obra de infraestructura </w:t>
      </w:r>
      <w:r w:rsidR="005A34A8" w:rsidRPr="00910CE9">
        <w:rPr>
          <w:rFonts w:ascii="Geomanist Light" w:hAnsi="Geomanist Light" w:cs="Arial"/>
          <w:b/>
          <w:bCs/>
          <w:color w:val="000000" w:themeColor="text1"/>
        </w:rPr>
        <w:t>de agua potable y saneamiento básico</w:t>
      </w:r>
    </w:p>
    <w:p w14:paraId="471054AA" w14:textId="77777777" w:rsidR="00DB209F" w:rsidRPr="00910CE9" w:rsidRDefault="00DB209F" w:rsidP="00471351">
      <w:pPr>
        <w:spacing w:after="0" w:line="276" w:lineRule="auto"/>
        <w:jc w:val="both"/>
        <w:rPr>
          <w:rFonts w:ascii="Geomanist Light" w:hAnsi="Geomanist Light" w:cs="Arial"/>
          <w:b/>
          <w:lang w:val="es-ES_tradnl"/>
        </w:rPr>
      </w:pPr>
    </w:p>
    <w:p w14:paraId="3AE25B18" w14:textId="0DBE6592" w:rsidR="005A34A8" w:rsidRPr="00910CE9" w:rsidRDefault="005A34A8" w:rsidP="00E609E9">
      <w:pPr>
        <w:spacing w:after="120" w:line="276" w:lineRule="auto"/>
        <w:jc w:val="both"/>
        <w:rPr>
          <w:rFonts w:ascii="Geomanist Light" w:hAnsi="Geomanist Light" w:cs="Arial"/>
          <w:bCs/>
          <w:lang w:val="es-ES"/>
        </w:rPr>
      </w:pPr>
      <w:r w:rsidRPr="00910CE9">
        <w:rPr>
          <w:rFonts w:ascii="Geomanist Light" w:hAnsi="Geomanist Light" w:cs="Arial"/>
          <w:bCs/>
          <w:lang w:val="es-ES"/>
        </w:rPr>
        <w:t>El artículo 1 Ley 2022 de 2020 otorgó a la Agencia Nacional de Contratación Pública – Colombia Compra Eficiente la competencia para adoptar los documentos tipo</w:t>
      </w:r>
      <w:r w:rsidR="00DF1631" w:rsidRPr="00910CE9">
        <w:rPr>
          <w:rStyle w:val="Refdenotaalpie"/>
          <w:rFonts w:ascii="Geomanist Light" w:hAnsi="Geomanist Light" w:cs="Arial"/>
          <w:bCs/>
          <w:lang w:val="es-ES"/>
        </w:rPr>
        <w:footnoteReference w:id="3"/>
      </w:r>
      <w:r w:rsidRPr="00910CE9">
        <w:rPr>
          <w:rFonts w:ascii="Geomanist Light" w:hAnsi="Geomanist Light" w:cs="Arial"/>
          <w:bCs/>
          <w:lang w:val="es-ES"/>
        </w:rPr>
        <w:t xml:space="preserve">. Así mismo, reiteró la obligatoriedad del uso de los documentos tipo para todas las entidades públicas sometidas al Estatuto General de Contratación de la Administración Pública </w:t>
      </w:r>
      <w:r w:rsidRPr="00910CE9">
        <w:rPr>
          <w:rFonts w:ascii="Courier New" w:hAnsi="Courier New" w:cs="Courier New"/>
          <w:bCs/>
          <w:lang w:val="es-ES"/>
        </w:rPr>
        <w:t>‒</w:t>
      </w:r>
      <w:r w:rsidRPr="00910CE9">
        <w:rPr>
          <w:rFonts w:ascii="Geomanist Light" w:hAnsi="Geomanist Light" w:cs="Arial"/>
          <w:bCs/>
          <w:lang w:val="es-ES"/>
        </w:rPr>
        <w:t>EGCAP</w:t>
      </w:r>
      <w:r w:rsidRPr="00910CE9">
        <w:rPr>
          <w:rFonts w:ascii="Courier New" w:hAnsi="Courier New" w:cs="Courier New"/>
          <w:bCs/>
          <w:lang w:val="es-ES"/>
        </w:rPr>
        <w:t>‒</w:t>
      </w:r>
      <w:r w:rsidRPr="00910CE9">
        <w:rPr>
          <w:rFonts w:ascii="Geomanist Light" w:hAnsi="Geomanist Light" w:cs="Arial"/>
          <w:bCs/>
          <w:lang w:val="es-ES"/>
        </w:rPr>
        <w:t xml:space="preserve">. Esto implica que las autoridades deben implementar los documentos tipo que tengan por objeto las actividades contempladas en la «Matriz 1 </w:t>
      </w:r>
      <w:r w:rsidRPr="00910CE9">
        <w:rPr>
          <w:rFonts w:ascii="Courier New" w:hAnsi="Courier New" w:cs="Courier New"/>
          <w:bCs/>
          <w:lang w:val="es-ES"/>
        </w:rPr>
        <w:t>‒</w:t>
      </w:r>
      <w:r w:rsidRPr="00910CE9">
        <w:rPr>
          <w:rFonts w:ascii="Geomanist Light" w:hAnsi="Geomanist Light" w:cs="Arial"/>
          <w:bCs/>
          <w:lang w:val="es-ES"/>
        </w:rPr>
        <w:t xml:space="preserve"> Experiencia</w:t>
      </w:r>
      <w:r w:rsidRPr="00910CE9">
        <w:rPr>
          <w:rFonts w:ascii="Geomanist Light" w:hAnsi="Geomanist Light" w:cs="Geomanist Light"/>
          <w:bCs/>
          <w:lang w:val="es-ES"/>
        </w:rPr>
        <w:t>»</w:t>
      </w:r>
      <w:r w:rsidRPr="00910CE9">
        <w:rPr>
          <w:rFonts w:ascii="Geomanist Light" w:hAnsi="Geomanist Light" w:cs="Arial"/>
          <w:bCs/>
          <w:lang w:val="es-ES"/>
        </w:rPr>
        <w:t xml:space="preserve">, sin perjuicio de su </w:t>
      </w:r>
      <w:r w:rsidRPr="00910CE9">
        <w:rPr>
          <w:rFonts w:ascii="Geomanist Light" w:hAnsi="Geomanist Light" w:cs="Geomanist Light"/>
          <w:bCs/>
          <w:lang w:val="es-ES"/>
        </w:rPr>
        <w:t>«</w:t>
      </w:r>
      <w:r w:rsidRPr="00910CE9">
        <w:rPr>
          <w:rFonts w:ascii="Geomanist Light" w:hAnsi="Geomanist Light" w:cs="Arial"/>
          <w:bCs/>
          <w:lang w:val="es-ES"/>
        </w:rPr>
        <w:t>inalterabilidad</w:t>
      </w:r>
      <w:r w:rsidRPr="00910CE9">
        <w:rPr>
          <w:rFonts w:ascii="Geomanist Light" w:hAnsi="Geomanist Light" w:cs="Geomanist Light"/>
          <w:bCs/>
          <w:lang w:val="es-ES"/>
        </w:rPr>
        <w:t>»</w:t>
      </w:r>
      <w:r w:rsidRPr="00910CE9">
        <w:rPr>
          <w:rFonts w:ascii="Geomanist Light" w:hAnsi="Geomanist Light" w:cs="Arial"/>
          <w:bCs/>
          <w:lang w:val="es-ES"/>
        </w:rPr>
        <w:t>. Lo anterior significa que las entidades p</w:t>
      </w:r>
      <w:r w:rsidRPr="00910CE9">
        <w:rPr>
          <w:rFonts w:ascii="Geomanist Light" w:hAnsi="Geomanist Light" w:cs="Geomanist Light"/>
          <w:bCs/>
          <w:lang w:val="es-ES"/>
        </w:rPr>
        <w:t>ú</w:t>
      </w:r>
      <w:r w:rsidRPr="00910CE9">
        <w:rPr>
          <w:rFonts w:ascii="Geomanist Light" w:hAnsi="Geomanist Light" w:cs="Arial"/>
          <w:bCs/>
          <w:lang w:val="es-ES"/>
        </w:rPr>
        <w:t>blicas carecen de la facultad para modificarlos, con excepción de aquellos aspectos que pueden diligenciar, es decir, las descripciones que están incluidas entre corchetes y resaltadas en gris o cuya modificación sea permitida por los mismos documentos tipo.</w:t>
      </w:r>
    </w:p>
    <w:p w14:paraId="18CD8A8D" w14:textId="1E80D366" w:rsidR="005A34A8" w:rsidRPr="00910CE9" w:rsidRDefault="005A34A8" w:rsidP="00E609E9">
      <w:pPr>
        <w:spacing w:after="0" w:line="276" w:lineRule="auto"/>
        <w:ind w:firstLine="708"/>
        <w:jc w:val="both"/>
        <w:rPr>
          <w:rFonts w:ascii="Geomanist Light" w:hAnsi="Geomanist Light" w:cs="Arial"/>
          <w:bCs/>
          <w:lang w:val="es-ES"/>
        </w:rPr>
      </w:pPr>
      <w:r w:rsidRPr="00910CE9">
        <w:rPr>
          <w:rFonts w:ascii="Geomanist Light" w:hAnsi="Geomanist Light" w:cs="Arial"/>
          <w:bCs/>
          <w:lang w:val="es-ES"/>
        </w:rPr>
        <w:t xml:space="preserve">Así, en desarrollo del artículo 1 de la Ley 2022 de 2020, esta Agencia expidió las Resoluciones 248 y 249 del 1 de diciembre de 2020, modificadas por las Resoluciones 161 del </w:t>
      </w:r>
      <w:r w:rsidRPr="00910CE9">
        <w:rPr>
          <w:rFonts w:ascii="Geomanist Light" w:hAnsi="Geomanist Light" w:cs="Arial"/>
          <w:bCs/>
          <w:lang w:val="es-ES"/>
        </w:rPr>
        <w:lastRenderedPageBreak/>
        <w:t>17 de junio de 2021, 173 del 30 de junio de 2021, 304 del 13 de octubre de 2021</w:t>
      </w:r>
      <w:r w:rsidR="00DF1631" w:rsidRPr="00910CE9">
        <w:rPr>
          <w:rStyle w:val="Refdenotaalpie"/>
          <w:rFonts w:ascii="Geomanist Light" w:hAnsi="Geomanist Light" w:cs="Arial"/>
          <w:bCs/>
          <w:lang w:val="es-ES"/>
        </w:rPr>
        <w:footnoteReference w:id="4"/>
      </w:r>
      <w:r w:rsidRPr="00910CE9">
        <w:rPr>
          <w:rFonts w:ascii="Geomanist Light" w:hAnsi="Geomanist Light" w:cs="Arial"/>
          <w:bCs/>
          <w:lang w:val="es-ES"/>
        </w:rPr>
        <w:t>. Mediante estos actos administrativos se adoptaron los documentos tipo para licitación de obras públicas de infraestructura de agua potable y saneamiento básico y los documentos tipo para licitación de obras públicas de infraestructura de agua potable y saneamiento básico, en modalidad llave en mano.</w:t>
      </w:r>
    </w:p>
    <w:p w14:paraId="20490D1B" w14:textId="77777777" w:rsidR="005A34A8" w:rsidRPr="00910CE9" w:rsidRDefault="005A34A8" w:rsidP="005A34A8">
      <w:pPr>
        <w:spacing w:before="120" w:after="0" w:line="276" w:lineRule="auto"/>
        <w:ind w:firstLine="709"/>
        <w:jc w:val="both"/>
        <w:rPr>
          <w:rFonts w:ascii="Geomanist Light" w:hAnsi="Geomanist Light" w:cs="Arial"/>
          <w:bCs/>
          <w:lang w:val="es-ES"/>
        </w:rPr>
      </w:pPr>
      <w:r w:rsidRPr="00910CE9">
        <w:rPr>
          <w:rFonts w:ascii="Geomanist Light" w:hAnsi="Geomanist Light" w:cs="Arial"/>
          <w:bCs/>
          <w:lang w:val="es-ES"/>
        </w:rPr>
        <w:t xml:space="preserve"> Al respecto, es pertinente mencionar que con ocasión a la expedición del Decreto 1860 del 24 de diciembre de 2021, que modificó el Decreto 1082 de 2015 y reglamentó los artículos 30, 31, 32, 34 y 35 de la Ley 2069 de 2020, la Agencia ajustó los diferentes documentos tipo que había expedido hasta ese momento, con la finalidad de hacerlos compatibles con la nueva regulación. De esta manera, se expidió la Resolución 275 del 24 de junio de 2022, «Por la cual se modifican los documentos tipo adoptados por la Agencia Nacional de Contratación Pública – Colombia Compra Eficiente» que se aplicará a los procesos de contratación cuyo aviso de convocatoria se publique a partir del 29 de agosto de 2022. Esta resolución reguló los criterios diferenciales habilitantes y puntajes adicionales para Mipyme y empresas y emprendimientos de mujeres, así como el fomento a la ejecución de contratos estatales por parte de población en pobreza extrema, desplazados por la violencia, personas en proceso de reintegración o reincorporación y sujetos de especial protección constitucional, los factores de desempate y la limitación de la convocatoria a Mipyme. </w:t>
      </w:r>
    </w:p>
    <w:p w14:paraId="2D887C08" w14:textId="77777777" w:rsidR="005A34A8" w:rsidRPr="00910CE9" w:rsidRDefault="005A34A8" w:rsidP="005A34A8">
      <w:pPr>
        <w:spacing w:before="120" w:after="0" w:line="276" w:lineRule="auto"/>
        <w:ind w:firstLine="709"/>
        <w:jc w:val="both"/>
        <w:rPr>
          <w:rFonts w:ascii="Geomanist Light" w:hAnsi="Geomanist Light" w:cs="Arial"/>
          <w:bCs/>
          <w:lang w:val="es-ES"/>
        </w:rPr>
      </w:pPr>
      <w:r w:rsidRPr="00910CE9">
        <w:rPr>
          <w:rFonts w:ascii="Geomanist Light" w:hAnsi="Geomanist Light" w:cs="Arial"/>
          <w:bCs/>
          <w:lang w:val="es-ES"/>
        </w:rPr>
        <w:t xml:space="preserve">En desarrollo de lo anterior, se modificó, entre otros aspectos, las reglas de acreditación de experiencia en los documentos tipo de agua potable y saneamiento básico, para lo cual se establecieron condiciones más exigentes frente a los demás proponentes que concurran al procedimiento de selección que no demuestren la calidad de Mipyme y/o emprendimiento y empresas de mujeres. Asimismo, se realizaron ajustes al contenido de la Matriz 1 Experiencia y de los formatos y anexos que componen el documento tipo. </w:t>
      </w:r>
    </w:p>
    <w:p w14:paraId="680B13B9" w14:textId="4FF83FF2" w:rsidR="005A34A8" w:rsidRPr="00910CE9" w:rsidRDefault="005A34A8" w:rsidP="005A34A8">
      <w:pPr>
        <w:spacing w:before="120" w:after="0" w:line="276" w:lineRule="auto"/>
        <w:ind w:firstLine="709"/>
        <w:jc w:val="both"/>
        <w:rPr>
          <w:rFonts w:ascii="Geomanist Light" w:hAnsi="Geomanist Light" w:cs="Arial"/>
          <w:bCs/>
          <w:lang w:val="es-ES"/>
        </w:rPr>
      </w:pPr>
      <w:r w:rsidRPr="00910CE9">
        <w:rPr>
          <w:rFonts w:ascii="Geomanist Light" w:hAnsi="Geomanist Light" w:cs="Arial"/>
          <w:bCs/>
          <w:lang w:val="es-ES"/>
        </w:rPr>
        <w:lastRenderedPageBreak/>
        <w:t>En este contexto, de acuerdo con las condiciones fijadas en el documento base de infraestructura de agua potable y saneamiento básico y las modificaciones efectuadas por la Resolución 275 de 2022,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definidos en la Matriz 1 - Experiencia, sin perjuicio de las combinaciones de experiencia señalada en el literal A del numeral 3.5.2. en caso de requerirse</w:t>
      </w:r>
      <w:r w:rsidR="00DF1631" w:rsidRPr="00910CE9">
        <w:rPr>
          <w:rStyle w:val="Refdenotaalpie"/>
          <w:rFonts w:ascii="Geomanist Light" w:hAnsi="Geomanist Light" w:cs="Arial"/>
          <w:bCs/>
          <w:lang w:val="es-ES"/>
        </w:rPr>
        <w:footnoteReference w:id="5"/>
      </w:r>
      <w:r w:rsidR="006D1918" w:rsidRPr="00910CE9">
        <w:rPr>
          <w:rFonts w:ascii="Geomanist Light" w:hAnsi="Geomanist Light" w:cs="Arial"/>
          <w:bCs/>
          <w:lang w:val="es-ES"/>
        </w:rPr>
        <w:t>.</w:t>
      </w:r>
      <w:r w:rsidRPr="00910CE9">
        <w:rPr>
          <w:rFonts w:ascii="Geomanist Light" w:hAnsi="Geomanist Light" w:cs="Arial"/>
          <w:bCs/>
          <w:lang w:val="es-ES"/>
        </w:rPr>
        <w:t xml:space="preserve"> </w:t>
      </w:r>
    </w:p>
    <w:p w14:paraId="0C0091BA" w14:textId="77777777" w:rsidR="005A34A8" w:rsidRPr="00910CE9" w:rsidRDefault="005A34A8" w:rsidP="005A34A8">
      <w:pPr>
        <w:spacing w:before="120" w:after="0" w:line="276" w:lineRule="auto"/>
        <w:ind w:firstLine="709"/>
        <w:jc w:val="both"/>
        <w:rPr>
          <w:rFonts w:ascii="Geomanist Light" w:hAnsi="Geomanist Light" w:cs="Arial"/>
          <w:bCs/>
          <w:lang w:val="es-ES"/>
        </w:rPr>
      </w:pPr>
      <w:bookmarkStart w:id="6" w:name="_Hlk119503807"/>
      <w:r w:rsidRPr="00910CE9">
        <w:rPr>
          <w:rFonts w:ascii="Geomanist Light" w:hAnsi="Geomanist Light" w:cs="Arial"/>
          <w:bCs/>
          <w:lang w:val="es-ES"/>
        </w:rPr>
        <w:t>En segundo lugar, los proponentes deben acreditar el cumplimiento de las condiciones fijadas con mínimo uno (1) y máximo cinco (5) contratos, que debieron terminar antes de la fecha de cierre del proceso de contratación</w:t>
      </w:r>
      <w:bookmarkEnd w:id="6"/>
      <w:r w:rsidRPr="00910CE9">
        <w:rPr>
          <w:rFonts w:ascii="Geomanist Light" w:hAnsi="Geomanist Light" w:cs="Arial"/>
          <w:bCs/>
          <w:lang w:val="es-ES"/>
        </w:rPr>
        <w:t>. En este punto, vale anotar que mediante la Resolución 275 de 2022 se modificó el número de contratos para acreditar la experiencia teniendo en cuenta los criterios diferenciales habilitantes para Mipyme y emprendimientos y empresas de mujeres establecidos en el Decreto 1860 de 2021. De esta manera, en los procesos cuyo aviso de convocatoria fue publicado después del 29 de agosto de 2022 el proponente acreditará la experiencia solicitada con máximo cinco (5) contratos. Sin embargo, si el proponente prueba la calidad de Mipyme o de emprendimiento y empresa de mujer con domicilio en el territorio nacional de conformidad con lo previsto en el artículo 2.2.1.13.2.2 del Decreto 1074 de 2015 y los artículos 2.2.1.2.4.2.4. y 2.2.1.2.4.2.14 del Decreto 1082 de 2015, podrá acreditar la experiencia solicitada con un (1) contrato adicional a los cinco (5) inicialmente previstos, para un máximo de seis (6) contratos. En caso de que el proponente pruebe la calidad de Mipyme y de emprendimiento y empresa de mujer con domicilio en el territorio nacional de manera conjunta, podrá demostrar la experiencia solicitada con dos (2) contratos adicionales a los cinco (5) inicialmente previstos, para un máximo de siete (7).</w:t>
      </w:r>
    </w:p>
    <w:p w14:paraId="0CE3472B" w14:textId="1C002C15" w:rsidR="005A34A8" w:rsidRPr="00910CE9" w:rsidRDefault="005A34A8" w:rsidP="005A34A8">
      <w:pPr>
        <w:spacing w:before="120" w:after="0" w:line="276" w:lineRule="auto"/>
        <w:ind w:firstLine="709"/>
        <w:jc w:val="both"/>
        <w:rPr>
          <w:rFonts w:ascii="Geomanist Light" w:hAnsi="Geomanist Light" w:cs="Arial"/>
          <w:bCs/>
          <w:lang w:val="es-ES"/>
        </w:rPr>
      </w:pPr>
      <w:r w:rsidRPr="00910CE9">
        <w:rPr>
          <w:rFonts w:ascii="Geomanist Light" w:hAnsi="Geomanist Light" w:cs="Arial"/>
          <w:bCs/>
          <w:lang w:val="es-ES"/>
        </w:rPr>
        <w:t xml:space="preserve">Por último, el número de contratos aportados por el proponente debe certificar un valor mínimo correspondiente a un porcentaje del presupuesto oficial del proceso de obra expresado en SMMLV, cuya evaluación se realizará teniendo en cuenta la tabla establecida </w:t>
      </w:r>
      <w:r w:rsidRPr="00910CE9">
        <w:rPr>
          <w:rFonts w:ascii="Geomanist Light" w:hAnsi="Geomanist Light" w:cs="Arial"/>
          <w:bCs/>
          <w:lang w:val="es-ES"/>
        </w:rPr>
        <w:lastRenderedPageBreak/>
        <w:t>en el numeral 3.5.8. del pliego de condiciones</w:t>
      </w:r>
      <w:r w:rsidR="00DF1631" w:rsidRPr="00910CE9">
        <w:rPr>
          <w:rStyle w:val="Refdenotaalpie"/>
          <w:rFonts w:ascii="Geomanist Light" w:hAnsi="Geomanist Light" w:cs="Arial"/>
          <w:bCs/>
          <w:lang w:val="es-ES"/>
        </w:rPr>
        <w:footnoteReference w:id="6"/>
      </w:r>
      <w:r w:rsidRPr="00910CE9">
        <w:rPr>
          <w:rFonts w:ascii="Geomanist Light" w:hAnsi="Geomanist Light" w:cs="Arial"/>
          <w:bCs/>
          <w:lang w:val="es-ES"/>
        </w:rPr>
        <w:t xml:space="preserve">. De esta manera, quienes acrediten la experiencia mediante 1 </w:t>
      </w:r>
      <w:proofErr w:type="spellStart"/>
      <w:r w:rsidRPr="00910CE9">
        <w:rPr>
          <w:rFonts w:ascii="Geomanist Light" w:hAnsi="Geomanist Light" w:cs="Arial"/>
          <w:bCs/>
          <w:lang w:val="es-ES"/>
        </w:rPr>
        <w:t>ó</w:t>
      </w:r>
      <w:proofErr w:type="spellEnd"/>
      <w:r w:rsidRPr="00910CE9">
        <w:rPr>
          <w:rFonts w:ascii="Geomanist Light" w:hAnsi="Geomanist Light" w:cs="Arial"/>
          <w:bCs/>
          <w:lang w:val="es-ES"/>
        </w:rPr>
        <w:t xml:space="preserve"> 2 contratos, la sumatoria de los valores ejecutados en debe ser superior al 75% del valor del presupuesto oficial de obra expresado en SMMLV; si emplea 3 </w:t>
      </w:r>
      <w:proofErr w:type="spellStart"/>
      <w:r w:rsidRPr="00910CE9">
        <w:rPr>
          <w:rFonts w:ascii="Geomanist Light" w:hAnsi="Geomanist Light" w:cs="Arial"/>
          <w:bCs/>
          <w:lang w:val="es-ES"/>
        </w:rPr>
        <w:t>ó</w:t>
      </w:r>
      <w:proofErr w:type="spellEnd"/>
      <w:r w:rsidRPr="00910CE9">
        <w:rPr>
          <w:rFonts w:ascii="Geomanist Light" w:hAnsi="Geomanist Light" w:cs="Arial"/>
          <w:bCs/>
          <w:lang w:val="es-ES"/>
        </w:rPr>
        <w:t xml:space="preserve"> 4 contratos, la sumatoria de estos debe ser superior al 120% del valor del presupuesto oficial; y si emplea 5 contratos, sus valores sumados deberán alcanzar o superar el 150% del presupuesto oficial. Si el número de contratos aportados supera los cinco (5) inicialmente previstos en este numeral, puesto que el proponente demostró la calidad de Mipyme y/o emprendimiento y empresa de mujer, estos contratos adicionales, se tendrán en cuenta para demostrar el valor del ciento cincuenta por ciento (150 %) del valor del Presupuesto Oficial.</w:t>
      </w:r>
    </w:p>
    <w:p w14:paraId="062DF1C0" w14:textId="77777777" w:rsidR="005A34A8" w:rsidRPr="00910CE9" w:rsidRDefault="005A34A8" w:rsidP="005A34A8">
      <w:pPr>
        <w:spacing w:before="120" w:after="0" w:line="276" w:lineRule="auto"/>
        <w:ind w:firstLine="709"/>
        <w:jc w:val="both"/>
        <w:rPr>
          <w:rFonts w:ascii="Geomanist Light" w:hAnsi="Geomanist Light" w:cs="Arial"/>
          <w:bCs/>
          <w:lang w:val="es-ES"/>
        </w:rPr>
      </w:pPr>
      <w:r w:rsidRPr="00910CE9">
        <w:rPr>
          <w:rFonts w:ascii="Geomanist Light" w:hAnsi="Geomanist Light" w:cs="Arial"/>
          <w:bCs/>
          <w:lang w:val="es-ES"/>
        </w:rPr>
        <w:t xml:space="preserve">En este sentido, los proponentes podrán optar por acreditar los requisitos de experiencia solicitada mediante mínimo uno (1) y máximo cinco (5) contratos, sin perjuicio de lo previsto en las reglas de los criterios diferenciales por ser Mipyme y/o emprendimientos y empresas de mujeres, y tendrán en cuenta que, de acuerdo con el numeral 3.5.8 del documento base, la cantidad de contratos que aporten para acreditar dicha experiencia </w:t>
      </w:r>
      <w:r w:rsidRPr="00910CE9">
        <w:rPr>
          <w:rFonts w:ascii="Geomanist Light" w:hAnsi="Geomanist Light" w:cs="Arial"/>
          <w:bCs/>
          <w:lang w:val="es-ES"/>
        </w:rPr>
        <w:lastRenderedPageBreak/>
        <w:t xml:space="preserve">determinará el porcentaje del valor del presupuesto oficial que la sumatoria de dichos contratos debe alcanzar para cumplir con el requisito habilitante. </w:t>
      </w:r>
    </w:p>
    <w:p w14:paraId="2B9FFDE9" w14:textId="77777777" w:rsidR="005A34A8" w:rsidRPr="00910CE9" w:rsidRDefault="005A34A8" w:rsidP="005A34A8">
      <w:pPr>
        <w:spacing w:before="120" w:after="0" w:line="276" w:lineRule="auto"/>
        <w:ind w:firstLine="709"/>
        <w:jc w:val="both"/>
        <w:rPr>
          <w:rFonts w:ascii="Geomanist Light" w:hAnsi="Geomanist Light" w:cs="Arial"/>
          <w:bCs/>
          <w:lang w:val="es-ES"/>
        </w:rPr>
      </w:pPr>
      <w:r w:rsidRPr="00910CE9">
        <w:rPr>
          <w:rFonts w:ascii="Geomanist Light" w:hAnsi="Geomanist Light" w:cs="Arial"/>
          <w:bCs/>
          <w:lang w:val="es-ES"/>
        </w:rPr>
        <w:t xml:space="preserve">Para fijar las condiciones que deben cumplir los contratos aportados, en términos de actividades ejecutadas, las entidades deben emplear la «Matriz 1 – Experiencia» de los documentos tipo de agua potable y saneamiento básico, sin perjuicio de las combinaciones de experiencia señalada en el literal A del numeral 3.5.2. en caso de requerirse. Este documento estandariza las condiciones de experiencia general y/o experiencia específica que deben requerir las entidades estatales a los proponentes para acreditar el requisito habilitante de experiencia, de acuerdo con: i) el tipo de obra de infraestructura de agua potable y saneamiento, </w:t>
      </w:r>
      <w:proofErr w:type="spellStart"/>
      <w:r w:rsidRPr="00910CE9">
        <w:rPr>
          <w:rFonts w:ascii="Geomanist Light" w:hAnsi="Geomanist Light" w:cs="Arial"/>
          <w:bCs/>
          <w:lang w:val="es-ES"/>
        </w:rPr>
        <w:t>ii</w:t>
      </w:r>
      <w:proofErr w:type="spellEnd"/>
      <w:r w:rsidRPr="00910CE9">
        <w:rPr>
          <w:rFonts w:ascii="Geomanist Light" w:hAnsi="Geomanist Light" w:cs="Arial"/>
          <w:bCs/>
          <w:lang w:val="es-ES"/>
        </w:rPr>
        <w:t xml:space="preserve">) la actividad a contratar y </w:t>
      </w:r>
      <w:proofErr w:type="spellStart"/>
      <w:r w:rsidRPr="00910CE9">
        <w:rPr>
          <w:rFonts w:ascii="Geomanist Light" w:hAnsi="Geomanist Light" w:cs="Arial"/>
          <w:bCs/>
          <w:lang w:val="es-ES"/>
        </w:rPr>
        <w:t>iii</w:t>
      </w:r>
      <w:proofErr w:type="spellEnd"/>
      <w:r w:rsidRPr="00910CE9">
        <w:rPr>
          <w:rFonts w:ascii="Geomanist Light" w:hAnsi="Geomanist Light" w:cs="Arial"/>
          <w:bCs/>
          <w:lang w:val="es-ES"/>
        </w:rPr>
        <w:t>) la cuantía del proceso de contratación.</w:t>
      </w:r>
    </w:p>
    <w:p w14:paraId="33DC9F19" w14:textId="77777777" w:rsidR="005A34A8" w:rsidRPr="00910CE9" w:rsidRDefault="005A34A8" w:rsidP="005A34A8">
      <w:pPr>
        <w:spacing w:before="120" w:after="0" w:line="276" w:lineRule="auto"/>
        <w:ind w:firstLine="709"/>
        <w:jc w:val="both"/>
        <w:rPr>
          <w:rFonts w:ascii="Geomanist Light" w:hAnsi="Geomanist Light" w:cs="Arial"/>
          <w:bCs/>
          <w:lang w:val="es-ES"/>
        </w:rPr>
      </w:pPr>
      <w:r w:rsidRPr="00910CE9">
        <w:rPr>
          <w:rFonts w:ascii="Geomanist Light" w:hAnsi="Geomanist Light" w:cs="Arial"/>
          <w:bCs/>
          <w:lang w:val="es-ES"/>
        </w:rPr>
        <w:t>En relación con el primer aspecto, la Matriz 1 –con los cambios de la Resolución 275 del 2022– está constituida por siete (7) tipos de obras de infraestructura de agua potable y saneamiento básico, a saber: 1) obras de acueductos, 2) obras de alcantarillado –sanitarios y/o pluviales y/o combinados–, 3) obras de aseo y/o manejo de residuos, 4) obras para PTAP –planta de tratamiento de agua potable– y/o PTAR –planta de tratamiento de aguas residuales–, 5) unidades sanitarias para vivienda rural dispersa.–, 6) sistemas no convencionales de potabilización y tratamiento de aguas residuales y 7) estudios y diseños –en el caso de proyectos que requieran labores de estudios, diseños y construcción bajo la modalidad de llave en mano.</w:t>
      </w:r>
    </w:p>
    <w:p w14:paraId="31D0588D" w14:textId="77777777" w:rsidR="005A34A8" w:rsidRPr="00910CE9" w:rsidRDefault="005A34A8" w:rsidP="005A34A8">
      <w:pPr>
        <w:spacing w:before="120" w:after="0" w:line="276" w:lineRule="auto"/>
        <w:ind w:firstLine="709"/>
        <w:jc w:val="both"/>
        <w:rPr>
          <w:rFonts w:ascii="Geomanist Light" w:hAnsi="Geomanist Light" w:cs="Arial"/>
          <w:bCs/>
          <w:lang w:val="es-ES"/>
        </w:rPr>
      </w:pPr>
      <w:r w:rsidRPr="00910CE9">
        <w:rPr>
          <w:rFonts w:ascii="Geomanist Light" w:hAnsi="Geomanist Light" w:cs="Arial"/>
          <w:bCs/>
          <w:lang w:val="es-ES"/>
        </w:rPr>
        <w:t xml:space="preserve">Con respecto a la actividad a contratar, la Matriz 1 establece cuáles son las que corresponden a cada uno de los tipos de infraestructura mencionados, con el fin de que la entidad identifique aquellas en las cuales se encuadre de mejor forma el objeto que pretende ejecutar y determinar los requisitos de experiencia exigibles. Por último, el documento establece los rangos dentro de los cuales se debe identificar el presupuesto del proceso de contratación. </w:t>
      </w:r>
    </w:p>
    <w:p w14:paraId="20E1E43A" w14:textId="77777777" w:rsidR="005A34A8" w:rsidRPr="00910CE9" w:rsidRDefault="005A34A8" w:rsidP="005A34A8">
      <w:pPr>
        <w:spacing w:before="120" w:after="0" w:line="276" w:lineRule="auto"/>
        <w:ind w:firstLine="709"/>
        <w:jc w:val="both"/>
        <w:rPr>
          <w:rFonts w:ascii="Geomanist Light" w:hAnsi="Geomanist Light" w:cs="Arial"/>
          <w:bCs/>
          <w:lang w:val="es-ES"/>
        </w:rPr>
      </w:pPr>
      <w:r w:rsidRPr="00910CE9">
        <w:rPr>
          <w:rFonts w:ascii="Geomanist Light" w:hAnsi="Geomanist Light" w:cs="Arial"/>
          <w:bCs/>
          <w:lang w:val="es-ES"/>
        </w:rPr>
        <w:t xml:space="preserve">Conforme con lo expuesto, para definir la experiencia exigible en un proceso de contratación de licitación de obra pública de agua potable y saneamiento básico se deben seguir los siguientes pasos: </w:t>
      </w:r>
    </w:p>
    <w:p w14:paraId="14FD5818" w14:textId="4E8CD9EB" w:rsidR="005A34A8" w:rsidRPr="00910CE9" w:rsidRDefault="005A34A8" w:rsidP="005A34A8">
      <w:pPr>
        <w:tabs>
          <w:tab w:val="left" w:pos="567"/>
        </w:tabs>
        <w:spacing w:before="120" w:line="276" w:lineRule="auto"/>
        <w:ind w:firstLine="709"/>
        <w:jc w:val="both"/>
        <w:rPr>
          <w:rFonts w:ascii="Geomanist Light" w:hAnsi="Geomanist Light" w:cs="Arial"/>
          <w:bCs/>
          <w:lang w:val="es-ES"/>
        </w:rPr>
      </w:pPr>
      <w:r w:rsidRPr="00910CE9">
        <w:rPr>
          <w:rFonts w:ascii="Geomanist Light" w:hAnsi="Geomanist Light" w:cs="Arial"/>
          <w:bCs/>
          <w:lang w:val="es-ES"/>
        </w:rPr>
        <w:t>i) Identificar en la «Matriz 1 – Experiencia» el tipo de infraestructura sobre el cual recae la obra a ejecutar.</w:t>
      </w:r>
    </w:p>
    <w:p w14:paraId="56294E16" w14:textId="7A071C55" w:rsidR="005A34A8" w:rsidRPr="00910CE9" w:rsidRDefault="005A34A8" w:rsidP="005A34A8">
      <w:pPr>
        <w:tabs>
          <w:tab w:val="left" w:pos="567"/>
        </w:tabs>
        <w:spacing w:before="120" w:after="0" w:line="276" w:lineRule="auto"/>
        <w:ind w:firstLine="709"/>
        <w:jc w:val="both"/>
        <w:rPr>
          <w:rFonts w:ascii="Geomanist Light" w:hAnsi="Geomanist Light" w:cs="Arial"/>
          <w:bCs/>
          <w:lang w:val="es-ES"/>
        </w:rPr>
      </w:pPr>
      <w:proofErr w:type="spellStart"/>
      <w:r w:rsidRPr="00910CE9">
        <w:rPr>
          <w:rFonts w:ascii="Geomanist Light" w:hAnsi="Geomanist Light" w:cs="Arial"/>
          <w:bCs/>
          <w:lang w:val="es-ES"/>
        </w:rPr>
        <w:t>ii</w:t>
      </w:r>
      <w:proofErr w:type="spellEnd"/>
      <w:r w:rsidRPr="00910CE9">
        <w:rPr>
          <w:rFonts w:ascii="Geomanist Light" w:hAnsi="Geomanist Light" w:cs="Arial"/>
          <w:bCs/>
          <w:lang w:val="es-ES"/>
        </w:rPr>
        <w:t xml:space="preserve">) Una vez definido el tipo de infraestructura, identificar la «actividad a contratar» acorde con la «Matriz 1 - Experiencia». Esta actividad corresponde a la obra que pretenda ejecutar la entidad estatal de acuerdo con el objeto y su alcance. En este sentido, la entidad </w:t>
      </w:r>
      <w:r w:rsidRPr="00910CE9">
        <w:rPr>
          <w:rFonts w:ascii="Geomanist Light" w:hAnsi="Geomanist Light" w:cs="Arial"/>
          <w:bCs/>
          <w:lang w:val="es-ES"/>
        </w:rPr>
        <w:lastRenderedPageBreak/>
        <w:t>debe identificar cuál o cuáles de las actividades a contratar definidas en la «Matriz 1 – Experiencia» corresponden a las obras que ejecutará y de esta manera solicitar la experiencia que corresponde.</w:t>
      </w:r>
    </w:p>
    <w:p w14:paraId="09A572C5" w14:textId="6D6A549E" w:rsidR="005A34A8" w:rsidRPr="00910CE9" w:rsidRDefault="005A34A8" w:rsidP="005A34A8">
      <w:pPr>
        <w:tabs>
          <w:tab w:val="left" w:pos="567"/>
        </w:tabs>
        <w:spacing w:before="120" w:after="0" w:line="276" w:lineRule="auto"/>
        <w:ind w:firstLine="709"/>
        <w:jc w:val="both"/>
        <w:rPr>
          <w:rFonts w:ascii="Geomanist Light" w:hAnsi="Geomanist Light" w:cs="Arial"/>
          <w:bCs/>
          <w:lang w:val="es-ES"/>
        </w:rPr>
      </w:pPr>
      <w:proofErr w:type="spellStart"/>
      <w:r w:rsidRPr="00910CE9">
        <w:rPr>
          <w:rFonts w:ascii="Geomanist Light" w:hAnsi="Geomanist Light" w:cs="Arial"/>
          <w:bCs/>
          <w:lang w:val="es-ES"/>
        </w:rPr>
        <w:t>iii</w:t>
      </w:r>
      <w:proofErr w:type="spellEnd"/>
      <w:r w:rsidRPr="00910CE9">
        <w:rPr>
          <w:rFonts w:ascii="Geomanist Light" w:hAnsi="Geomanist Light" w:cs="Arial"/>
          <w:bCs/>
          <w:lang w:val="es-ES"/>
        </w:rPr>
        <w:t>) Identificar el rango de cuantía en el cual se encuentra el proceso de contratación de acuerdo con el presupuesto oficial.</w:t>
      </w:r>
    </w:p>
    <w:p w14:paraId="2B309BB3" w14:textId="13643526" w:rsidR="005A34A8" w:rsidRPr="00910CE9" w:rsidRDefault="005A34A8" w:rsidP="005A34A8">
      <w:pPr>
        <w:tabs>
          <w:tab w:val="left" w:pos="567"/>
        </w:tabs>
        <w:spacing w:before="120" w:after="0" w:line="276" w:lineRule="auto"/>
        <w:ind w:firstLine="709"/>
        <w:jc w:val="both"/>
        <w:rPr>
          <w:rFonts w:ascii="Geomanist Light" w:hAnsi="Geomanist Light" w:cs="Arial"/>
          <w:bCs/>
          <w:lang w:val="es-ES"/>
        </w:rPr>
      </w:pPr>
      <w:proofErr w:type="spellStart"/>
      <w:r w:rsidRPr="00910CE9">
        <w:rPr>
          <w:rFonts w:ascii="Geomanist Light" w:hAnsi="Geomanist Light" w:cs="Arial"/>
          <w:bCs/>
          <w:lang w:val="es-ES"/>
        </w:rPr>
        <w:t>iv</w:t>
      </w:r>
      <w:proofErr w:type="spellEnd"/>
      <w:r w:rsidRPr="00910CE9">
        <w:rPr>
          <w:rFonts w:ascii="Geomanist Light" w:hAnsi="Geomanist Light" w:cs="Arial"/>
          <w:bCs/>
          <w:lang w:val="es-ES"/>
        </w:rPr>
        <w:t>) Identificar la «Experiencia general» exigible acorde con la «Matriz 1 - Experiencia», teniendo en cuenta la actividad a contratar y el rango de la cuantía del proceso de contratación.</w:t>
      </w:r>
    </w:p>
    <w:p w14:paraId="02D1FB59" w14:textId="26156AF3" w:rsidR="005A34A8" w:rsidRPr="00910CE9" w:rsidRDefault="005A34A8" w:rsidP="005A34A8">
      <w:pPr>
        <w:tabs>
          <w:tab w:val="left" w:pos="567"/>
        </w:tabs>
        <w:spacing w:before="120" w:after="0" w:line="276" w:lineRule="auto"/>
        <w:ind w:firstLine="709"/>
        <w:jc w:val="both"/>
        <w:rPr>
          <w:rFonts w:ascii="Geomanist Light" w:hAnsi="Geomanist Light" w:cs="Arial"/>
          <w:bCs/>
          <w:lang w:val="es-ES"/>
        </w:rPr>
      </w:pPr>
      <w:r w:rsidRPr="00910CE9">
        <w:rPr>
          <w:rFonts w:ascii="Geomanist Light" w:hAnsi="Geomanist Light" w:cs="Arial"/>
          <w:bCs/>
          <w:lang w:val="es-ES"/>
        </w:rPr>
        <w:t>v) Identificar la «Experiencia específica» exigible, el porcentaje de dimensionamiento, que puede solicitarse acorde con las magnitudes a ejecutar de acuerdo con la cuantía del proceso de contratación y las especificaciones técnicas que determina cada actividad.</w:t>
      </w:r>
    </w:p>
    <w:p w14:paraId="0AEA8008" w14:textId="77777777" w:rsidR="005A34A8" w:rsidRPr="00910CE9" w:rsidRDefault="005A34A8" w:rsidP="005A34A8">
      <w:pPr>
        <w:spacing w:before="120" w:after="0" w:line="276" w:lineRule="auto"/>
        <w:ind w:firstLine="709"/>
        <w:jc w:val="both"/>
        <w:rPr>
          <w:rFonts w:ascii="Geomanist Light" w:hAnsi="Geomanist Light" w:cs="Arial"/>
          <w:bCs/>
          <w:lang w:val="es-ES"/>
        </w:rPr>
      </w:pPr>
      <w:r w:rsidRPr="00910CE9">
        <w:rPr>
          <w:rFonts w:ascii="Geomanist Light" w:hAnsi="Geomanist Light" w:cs="Arial"/>
          <w:bCs/>
          <w:lang w:val="es-ES"/>
        </w:rPr>
        <w:t xml:space="preserve">Así las cosas, en la etapa de planeación, la entidad estatal debe identificar el tipo de obra de infraestructura y las actividades definidas en la «Matriz 1 – Experiencia» atendiendo el alcance del objeto a contratar. De esta manera, la «experiencia general» y la «experiencia específica» se solicitará de acuerdo con la actividad a contratar, con la cuantía del procedimiento y teniendo en cuenta las condiciones técnicas requeridas por la entidad, aspecto que deberá acreditarse de acuerdo con las instrucciones establecidas en dicha matriz para cada actividad. </w:t>
      </w:r>
    </w:p>
    <w:p w14:paraId="5CFF7739" w14:textId="77777777" w:rsidR="00A2562F" w:rsidRPr="00910CE9" w:rsidRDefault="00A2562F" w:rsidP="006D551F">
      <w:pPr>
        <w:spacing w:after="0" w:line="276" w:lineRule="auto"/>
        <w:jc w:val="both"/>
        <w:rPr>
          <w:rFonts w:ascii="Geomanist Light" w:hAnsi="Geomanist Light" w:cs="Arial"/>
          <w:lang w:val="es-MX"/>
        </w:rPr>
      </w:pPr>
    </w:p>
    <w:p w14:paraId="5A875ECF" w14:textId="24B5A416" w:rsidR="00DB209F" w:rsidRPr="00910CE9" w:rsidRDefault="00DB209F" w:rsidP="00245784">
      <w:pPr>
        <w:spacing w:after="0" w:line="276" w:lineRule="auto"/>
        <w:jc w:val="both"/>
        <w:rPr>
          <w:rFonts w:ascii="Geomanist Light" w:hAnsi="Geomanist Light" w:cs="Arial"/>
          <w:b/>
          <w:bCs/>
          <w:lang w:val="es-ES"/>
        </w:rPr>
      </w:pPr>
      <w:r w:rsidRPr="00910CE9">
        <w:rPr>
          <w:rFonts w:ascii="Geomanist Light" w:hAnsi="Geomanist Light" w:cs="Arial"/>
          <w:b/>
          <w:bCs/>
          <w:lang w:val="es-ES"/>
        </w:rPr>
        <w:t>2.2.</w:t>
      </w:r>
      <w:r w:rsidRPr="00910CE9">
        <w:rPr>
          <w:rFonts w:ascii="Geomanist Light" w:hAnsi="Geomanist Light" w:cs="Arial"/>
          <w:b/>
          <w:bCs/>
          <w:i/>
          <w:iCs/>
          <w:lang w:val="es-ES"/>
        </w:rPr>
        <w:t xml:space="preserve">  </w:t>
      </w:r>
      <w:r w:rsidR="005A34A8" w:rsidRPr="00910CE9">
        <w:rPr>
          <w:rFonts w:ascii="Geomanist Light" w:hAnsi="Geomanist Light" w:cs="Arial"/>
          <w:b/>
          <w:bCs/>
          <w:lang w:val="es-MX"/>
        </w:rPr>
        <w:t>Acreditación de experiencia específica en máximo dos (2) contratos</w:t>
      </w:r>
      <w:r w:rsidR="005A34A8" w:rsidRPr="00910CE9">
        <w:rPr>
          <w:rFonts w:ascii="Geomanist Light" w:hAnsi="Geomanist Light" w:cs="Arial"/>
          <w:b/>
          <w:bCs/>
        </w:rPr>
        <w:t xml:space="preserve"> de acuerdo con la «Matriz 1 </w:t>
      </w:r>
      <w:r w:rsidR="005A34A8" w:rsidRPr="00910CE9">
        <w:rPr>
          <w:rFonts w:ascii="Courier New" w:hAnsi="Courier New" w:cs="Courier New"/>
          <w:b/>
          <w:bCs/>
        </w:rPr>
        <w:t>‒</w:t>
      </w:r>
      <w:r w:rsidR="005A34A8" w:rsidRPr="00910CE9">
        <w:rPr>
          <w:rFonts w:ascii="Geomanist Light" w:hAnsi="Geomanist Light" w:cs="Arial"/>
          <w:b/>
          <w:bCs/>
        </w:rPr>
        <w:t xml:space="preserve"> Experiencia</w:t>
      </w:r>
      <w:r w:rsidR="005A34A8" w:rsidRPr="00910CE9">
        <w:rPr>
          <w:rFonts w:ascii="Geomanist Light" w:hAnsi="Geomanist Light" w:cs="Geomanist Light"/>
          <w:b/>
          <w:bCs/>
        </w:rPr>
        <w:t>»</w:t>
      </w:r>
    </w:p>
    <w:p w14:paraId="164D1693" w14:textId="77777777" w:rsidR="00DB209F" w:rsidRPr="00910CE9" w:rsidRDefault="00DB209F" w:rsidP="00245784">
      <w:pPr>
        <w:spacing w:after="0" w:line="276" w:lineRule="auto"/>
        <w:ind w:firstLine="680"/>
        <w:jc w:val="both"/>
        <w:rPr>
          <w:rFonts w:ascii="Geomanist Light" w:hAnsi="Geomanist Light" w:cs="Arial"/>
          <w:b/>
          <w:bCs/>
          <w:lang w:val="es-ES"/>
        </w:rPr>
      </w:pPr>
      <w:r w:rsidRPr="00910CE9">
        <w:rPr>
          <w:rFonts w:ascii="Geomanist Light" w:hAnsi="Geomanist Light" w:cs="Arial"/>
          <w:b/>
          <w:bCs/>
          <w:lang w:val="es-ES"/>
        </w:rPr>
        <w:t xml:space="preserve">  </w:t>
      </w:r>
    </w:p>
    <w:p w14:paraId="14D7F7DC" w14:textId="77777777" w:rsidR="005A34A8" w:rsidRPr="00910CE9" w:rsidRDefault="005A34A8" w:rsidP="005A34A8">
      <w:pPr>
        <w:spacing w:after="0" w:line="276" w:lineRule="auto"/>
        <w:jc w:val="both"/>
        <w:rPr>
          <w:rFonts w:ascii="Geomanist Light" w:hAnsi="Geomanist Light" w:cs="Arial"/>
          <w:bCs/>
        </w:rPr>
      </w:pPr>
      <w:r w:rsidRPr="00910CE9">
        <w:rPr>
          <w:rFonts w:ascii="Geomanist Light" w:hAnsi="Geomanist Light" w:cs="Arial"/>
          <w:bCs/>
          <w:lang w:val="es-MX"/>
        </w:rPr>
        <w:t>Indicadas las prescripciones generales respecto a la exigencia de la experiencia en los procedimientos de licitación de obra pública de infraestructura de agua potable y saneamiento básico, regidos por los documentos tipo, corresponde analizar de forma precisa la posibilidad de acreditar la experiencia específica con dos contratos de acuerdo con lo señalado «Matriz 1 – Experiencia»</w:t>
      </w:r>
      <w:r w:rsidRPr="00910CE9">
        <w:rPr>
          <w:rFonts w:ascii="Geomanist Light" w:hAnsi="Geomanist Light" w:cs="Arial"/>
          <w:bCs/>
          <w:lang w:val="es-ES_tradnl"/>
        </w:rPr>
        <w:t xml:space="preserve">. Así, </w:t>
      </w:r>
      <w:bookmarkStart w:id="10" w:name="_Hlk119503962"/>
      <w:r w:rsidRPr="00910CE9">
        <w:rPr>
          <w:rFonts w:ascii="Geomanist Light" w:hAnsi="Geomanist Light" w:cs="Arial"/>
          <w:bCs/>
          <w:lang w:val="es-ES_tradnl"/>
        </w:rPr>
        <w:t xml:space="preserve">para algunas actividades de la matriz, se incluyó una nota </w:t>
      </w:r>
      <w:r w:rsidRPr="00910CE9">
        <w:rPr>
          <w:rFonts w:ascii="Geomanist Light" w:hAnsi="Geomanist Light" w:cs="Arial"/>
          <w:bCs/>
        </w:rPr>
        <w:t>general de la experiencia específica relacionada con la acreditación del porcentaje (%) de dimensionamiento, la cual, con las modificaciones de la Resolución 275 de 2022, señala lo siguiente</w:t>
      </w:r>
      <w:bookmarkEnd w:id="10"/>
      <w:r w:rsidRPr="00910CE9">
        <w:rPr>
          <w:rFonts w:ascii="Geomanist Light" w:hAnsi="Geomanist Light" w:cs="Arial"/>
          <w:bCs/>
        </w:rPr>
        <w:t xml:space="preserve">: </w:t>
      </w:r>
    </w:p>
    <w:p w14:paraId="3C4C5F48" w14:textId="77777777" w:rsidR="005A34A8" w:rsidRPr="00910CE9" w:rsidRDefault="005A34A8" w:rsidP="00DF1631">
      <w:pPr>
        <w:spacing w:after="0" w:line="276" w:lineRule="auto"/>
        <w:jc w:val="both"/>
        <w:rPr>
          <w:rFonts w:ascii="Geomanist Light" w:hAnsi="Geomanist Light" w:cs="Arial"/>
          <w:bCs/>
        </w:rPr>
      </w:pPr>
    </w:p>
    <w:p w14:paraId="58F02C04" w14:textId="1E2ECF15" w:rsidR="005A34A8" w:rsidRPr="00910CE9" w:rsidRDefault="00A41292" w:rsidP="00BD6FF7">
      <w:pPr>
        <w:spacing w:after="0" w:line="240" w:lineRule="auto"/>
        <w:ind w:left="709" w:right="709"/>
        <w:jc w:val="both"/>
        <w:rPr>
          <w:rFonts w:ascii="Geomanist Light" w:hAnsi="Geomanist Light" w:cs="Arial"/>
          <w:bCs/>
          <w:lang w:val="es-ES_tradnl"/>
        </w:rPr>
      </w:pPr>
      <w:r w:rsidRPr="00910CE9">
        <w:rPr>
          <w:rFonts w:ascii="Geomanist Light" w:hAnsi="Geomanist Light" w:cs="Arial"/>
          <w:bCs/>
          <w:lang w:val="es-ES_tradnl"/>
        </w:rPr>
        <w:t>«</w:t>
      </w:r>
      <w:r w:rsidR="005A34A8" w:rsidRPr="00910CE9">
        <w:rPr>
          <w:rFonts w:ascii="Geomanist Light" w:hAnsi="Geomanist Light" w:cs="Arial"/>
          <w:bCs/>
          <w:lang w:val="es-ES_tradnl"/>
        </w:rPr>
        <w:t xml:space="preserve">En el caso que, debido a la magnitud física empleada como variable para establecimiento del % de dimensionamiento como experiencia específica, se aceptará que el mismo sea acreditado con la sumatoria de máximo dos (2) de los contratos válidos aportados, garantizando condiciones pluralistas y </w:t>
      </w:r>
      <w:r w:rsidR="005A34A8" w:rsidRPr="00910CE9">
        <w:rPr>
          <w:rFonts w:ascii="Geomanist Light" w:hAnsi="Geomanist Light" w:cs="Arial"/>
          <w:bCs/>
          <w:lang w:val="es-ES_tradnl"/>
        </w:rPr>
        <w:lastRenderedPageBreak/>
        <w:t>participativas, siendo requisitos adecuados y proporcionales. Cuando la entidad considere procedente esta posibilidad lo señalará en el pliego de condiciones al momento de indicar la experiencia a requerir</w:t>
      </w:r>
      <w:r w:rsidRPr="00910CE9">
        <w:rPr>
          <w:rFonts w:ascii="Geomanist Light" w:hAnsi="Geomanist Light" w:cs="Arial"/>
          <w:bCs/>
          <w:lang w:val="es-ES_tradnl"/>
        </w:rPr>
        <w:t>»</w:t>
      </w:r>
      <w:r w:rsidR="005A34A8" w:rsidRPr="00910CE9">
        <w:rPr>
          <w:rFonts w:ascii="Geomanist Light" w:hAnsi="Geomanist Light" w:cs="Arial"/>
          <w:bCs/>
          <w:lang w:val="es-ES_tradnl"/>
        </w:rPr>
        <w:t>.</w:t>
      </w:r>
    </w:p>
    <w:p w14:paraId="10D56DA6" w14:textId="77777777" w:rsidR="005A34A8" w:rsidRPr="00910CE9" w:rsidRDefault="005A34A8" w:rsidP="005A34A8">
      <w:pPr>
        <w:spacing w:after="0" w:line="276" w:lineRule="auto"/>
        <w:ind w:firstLine="709"/>
        <w:jc w:val="both"/>
        <w:rPr>
          <w:rFonts w:ascii="Geomanist Light" w:hAnsi="Geomanist Light" w:cs="Arial"/>
          <w:bCs/>
          <w:lang w:val="es-ES_tradnl"/>
        </w:rPr>
      </w:pPr>
    </w:p>
    <w:p w14:paraId="66DC24C3" w14:textId="3F57C19A" w:rsidR="005A34A8" w:rsidRPr="00910CE9" w:rsidRDefault="005A34A8" w:rsidP="005A34A8">
      <w:pPr>
        <w:spacing w:after="0" w:line="276" w:lineRule="auto"/>
        <w:ind w:firstLine="709"/>
        <w:jc w:val="both"/>
        <w:rPr>
          <w:rFonts w:ascii="Geomanist Light" w:hAnsi="Geomanist Light" w:cs="Arial"/>
          <w:bCs/>
        </w:rPr>
      </w:pPr>
      <w:r w:rsidRPr="00910CE9">
        <w:rPr>
          <w:rFonts w:ascii="Geomanist Light" w:hAnsi="Geomanist Light" w:cs="Arial"/>
          <w:bCs/>
        </w:rPr>
        <w:t xml:space="preserve">De acuerdo con lo anterior, </w:t>
      </w:r>
      <w:r w:rsidR="00BD6FF7" w:rsidRPr="00910CE9">
        <w:rPr>
          <w:rFonts w:ascii="Geomanist Light" w:hAnsi="Geomanist Light" w:cs="Arial"/>
          <w:bCs/>
        </w:rPr>
        <w:t>de los 5 contratos que puede aportar el proponente</w:t>
      </w:r>
      <w:r w:rsidR="009D5E3C" w:rsidRPr="00910CE9">
        <w:rPr>
          <w:rFonts w:ascii="Geomanist Light" w:hAnsi="Geomanist Light" w:cs="Arial"/>
          <w:bCs/>
        </w:rPr>
        <w:t xml:space="preserve"> conforme se explicó en el numeral 2.1</w:t>
      </w:r>
      <w:r w:rsidR="00BD6FF7" w:rsidRPr="00910CE9">
        <w:rPr>
          <w:rFonts w:ascii="Geomanist Light" w:hAnsi="Geomanist Light" w:cs="Arial"/>
          <w:bCs/>
        </w:rPr>
        <w:t>, podrá acreditar en máximo dos (2) de estos el porcentaje (%) de dimensionamiento determinado en la experiencia específica</w:t>
      </w:r>
      <w:r w:rsidRPr="00910CE9">
        <w:rPr>
          <w:rFonts w:ascii="Geomanist Light" w:hAnsi="Geomanist Light" w:cs="Arial"/>
          <w:bCs/>
        </w:rPr>
        <w:t>. Esto significa que los 2 contratos aportados que cumplan con la experiencia general podrán sumar la totalidad del porcentaje (%) de dimensionamiento exigido</w:t>
      </w:r>
      <w:r w:rsidR="001E6A45" w:rsidRPr="00910CE9">
        <w:rPr>
          <w:rFonts w:ascii="Geomanist Light" w:hAnsi="Geomanist Light" w:cs="Arial"/>
          <w:bCs/>
        </w:rPr>
        <w:t xml:space="preserve">. </w:t>
      </w:r>
    </w:p>
    <w:p w14:paraId="267B342B" w14:textId="3C48288D" w:rsidR="005A34A8" w:rsidRPr="00910CE9" w:rsidRDefault="005A34A8" w:rsidP="005A34A8">
      <w:pPr>
        <w:spacing w:before="120" w:after="0" w:line="276" w:lineRule="auto"/>
        <w:ind w:firstLine="709"/>
        <w:jc w:val="both"/>
        <w:rPr>
          <w:rFonts w:ascii="Geomanist Light" w:hAnsi="Geomanist Light" w:cs="Arial"/>
          <w:bCs/>
        </w:rPr>
      </w:pPr>
      <w:r w:rsidRPr="00910CE9">
        <w:rPr>
          <w:rFonts w:ascii="Geomanist Light" w:hAnsi="Geomanist Light" w:cs="Arial"/>
          <w:bCs/>
        </w:rPr>
        <w:t xml:space="preserve">Sin embargo, debe precisarse que esta nota no aplica de forma automática para las actividades en las que está incluida, sino que será la entidad, en el pliego de condiciones, la que determine su aplicación de acuerdo con el alcance físico del proyecto y el requerimiento establecido para tal fin en la Matriz de Experiencia. Lo anterior se colige de la misma redacción de la nota, en la que se indica que </w:t>
      </w:r>
      <w:r w:rsidRPr="00910CE9">
        <w:rPr>
          <w:rFonts w:ascii="Geomanist Light" w:hAnsi="Geomanist Light" w:cs="Arial"/>
          <w:bCs/>
          <w:lang w:val="es-ES_tradnl"/>
        </w:rPr>
        <w:t>«</w:t>
      </w:r>
      <w:r w:rsidRPr="00910CE9">
        <w:rPr>
          <w:rFonts w:ascii="Geomanist Light" w:hAnsi="Geomanist Light" w:cs="Arial"/>
          <w:bCs/>
        </w:rPr>
        <w:t>Cuando la entidad considere procedente esta posibilidad lo señalará en el pliego de condiciones al momento de indicar la experiencia a requerir</w:t>
      </w:r>
      <w:r w:rsidRPr="00910CE9">
        <w:rPr>
          <w:rFonts w:ascii="Geomanist Light" w:hAnsi="Geomanist Light" w:cs="Arial"/>
          <w:bCs/>
          <w:lang w:val="es-ES_tradnl"/>
        </w:rPr>
        <w:t xml:space="preserve">», es decir, que su aplicación está condicionada a que la entidad lo establezca. De esta manera, si la magnitud que se requiera usualmente es difícil acreditarla con un solo contrato y la entidad lo considera procedente por las condiciones particulares del proyecto, se aplicará la nota general señalada, situación de la cual la entidad deberá dejar constancia en los documentos del proceso de contratación, siendo estos requisitos adecuados y proporcionales, sin perjuicio que sea un aspecto susceptible de observación por parte de los interesados en el proceso de selección. </w:t>
      </w:r>
    </w:p>
    <w:p w14:paraId="5F8D1B9A" w14:textId="77777777" w:rsidR="005A34A8" w:rsidRPr="00910CE9" w:rsidRDefault="005A34A8" w:rsidP="005A34A8">
      <w:pPr>
        <w:spacing w:before="120" w:after="0" w:line="276" w:lineRule="auto"/>
        <w:ind w:firstLine="709"/>
        <w:jc w:val="both"/>
        <w:rPr>
          <w:rFonts w:ascii="Geomanist Light" w:hAnsi="Geomanist Light" w:cs="Arial"/>
          <w:bCs/>
        </w:rPr>
      </w:pPr>
      <w:r w:rsidRPr="00910CE9">
        <w:rPr>
          <w:rFonts w:ascii="Geomanist Light" w:hAnsi="Geomanist Light" w:cs="Arial"/>
          <w:bCs/>
        </w:rPr>
        <w:t xml:space="preserve">En este sentido, a la entidad estatal le corresponde definir si acepta que el porcentaje (%) de dimensionamiento exigido para la experiencia específica sea acreditado mediante máximo dos (2) contratos. Para ello </w:t>
      </w:r>
      <w:r w:rsidRPr="00910CE9">
        <w:rPr>
          <w:rFonts w:ascii="Geomanist Light" w:hAnsi="Geomanist Light" w:cs="Arial"/>
          <w:bCs/>
          <w:lang w:val="es-ES_tradnl"/>
        </w:rPr>
        <w:t xml:space="preserve">tendrá en cuenta criterios objetivos, como son la magnitud física empleada como variable en el proceso de contratación, las observaciones al pliego de condiciones y demás consideraciones de tipo técnico, que permitan establecer la necesidad de acreditar el porcentaje (%) de dimensionamiento en máximo dos (2) contratos, para garantizar la libre concurrencia. De este modo, en caso de que se determine que serán máximo dos (2) contratos, </w:t>
      </w:r>
      <w:r w:rsidRPr="00910CE9">
        <w:rPr>
          <w:rFonts w:ascii="Geomanist Light" w:hAnsi="Geomanist Light" w:cs="Arial"/>
          <w:bCs/>
        </w:rPr>
        <w:t xml:space="preserve">los proponentes podrán acreditar el porcentaje (%) de dimensionamiento correspondiente a la experiencia específica respectiva con la sumatoria de ellos. Adicionalmente, cabe aclarar que esta nota únicamente es aplicable en la experiencia específica de las actividades que la contemplen. Por lo tanto, aquellas actividades que no incluyan la nota general de experiencia específica deberán ceñirse a lo </w:t>
      </w:r>
      <w:r w:rsidRPr="00910CE9">
        <w:rPr>
          <w:rFonts w:ascii="Geomanist Light" w:hAnsi="Geomanist Light" w:cs="Arial"/>
          <w:bCs/>
        </w:rPr>
        <w:lastRenderedPageBreak/>
        <w:t xml:space="preserve">expresamente dispuesto en la matriz, como es el caso, por ejemplo, de las actividades 3.3 y 6. </w:t>
      </w:r>
    </w:p>
    <w:p w14:paraId="27DF5180" w14:textId="3FE413EA" w:rsidR="005A34A8" w:rsidRPr="00910CE9" w:rsidRDefault="005A34A8" w:rsidP="005A34A8">
      <w:pPr>
        <w:spacing w:before="120" w:after="0" w:line="276" w:lineRule="auto"/>
        <w:ind w:firstLine="709"/>
        <w:jc w:val="both"/>
        <w:rPr>
          <w:rFonts w:ascii="Geomanist Light" w:hAnsi="Geomanist Light" w:cs="Arial"/>
          <w:bCs/>
        </w:rPr>
      </w:pPr>
      <w:bookmarkStart w:id="11" w:name="_Hlk94276719"/>
      <w:r w:rsidRPr="00910CE9">
        <w:rPr>
          <w:rFonts w:ascii="Geomanist Light" w:hAnsi="Geomanist Light" w:cs="Arial"/>
          <w:bCs/>
        </w:rPr>
        <w:t xml:space="preserve">A modo de ejemplo, la actividad 1.1 contempla los proyectos de construcción de acueductos (urbanos y/o rurales) y/u obras complementarias. </w:t>
      </w:r>
      <w:r w:rsidRPr="00910CE9">
        <w:rPr>
          <w:rFonts w:ascii="Geomanist Light" w:hAnsi="Geomanist Light" w:cs="Arial"/>
          <w:bCs/>
          <w:lang w:val="es-ES_tradnl"/>
        </w:rPr>
        <w:t>Para esta actividad se determina como experiencia general que los proyectos correspondan o hayan contenido actividades de construcción de acueducto.</w:t>
      </w:r>
      <w:r w:rsidRPr="00910CE9">
        <w:rPr>
          <w:rFonts w:ascii="Geomanist Light" w:hAnsi="Geomanist Light" w:cs="Arial"/>
          <w:bCs/>
        </w:rPr>
        <w:t xml:space="preserve"> Respecto de la experiencia específica se incluyó la siguiente nota general:</w:t>
      </w:r>
    </w:p>
    <w:p w14:paraId="2591B4D0" w14:textId="77777777" w:rsidR="005A34A8" w:rsidRPr="00910CE9" w:rsidRDefault="005A34A8" w:rsidP="005A34A8">
      <w:pPr>
        <w:spacing w:after="0" w:line="276" w:lineRule="auto"/>
        <w:ind w:firstLine="709"/>
        <w:jc w:val="both"/>
        <w:rPr>
          <w:rFonts w:ascii="Geomanist Light" w:hAnsi="Geomanist Light" w:cs="Arial"/>
          <w:bCs/>
        </w:rPr>
      </w:pPr>
    </w:p>
    <w:p w14:paraId="3D46532C" w14:textId="343238F2" w:rsidR="005A34A8" w:rsidRPr="00910CE9" w:rsidRDefault="00A41292" w:rsidP="005A34A8">
      <w:pPr>
        <w:spacing w:after="0" w:line="240" w:lineRule="auto"/>
        <w:ind w:left="709" w:right="709"/>
        <w:jc w:val="both"/>
        <w:rPr>
          <w:rFonts w:ascii="Geomanist Light" w:hAnsi="Geomanist Light" w:cs="Arial"/>
          <w:bCs/>
          <w:lang w:val="es-ES_tradnl"/>
        </w:rPr>
      </w:pPr>
      <w:r w:rsidRPr="00910CE9">
        <w:rPr>
          <w:rFonts w:ascii="Geomanist Light" w:hAnsi="Geomanist Light" w:cs="Arial"/>
          <w:bCs/>
          <w:lang w:val="es-ES_tradnl"/>
        </w:rPr>
        <w:t>«</w:t>
      </w:r>
      <w:r w:rsidR="005A34A8" w:rsidRPr="00910CE9">
        <w:rPr>
          <w:rFonts w:ascii="Geomanist Light" w:hAnsi="Geomanist Light" w:cs="Arial"/>
          <w:bCs/>
          <w:lang w:val="es-ES_tradnl"/>
        </w:rPr>
        <w:t>En el caso que, debido a la magnitud física empleada como variable para establecimiento del % de dimensionamiento como experiencia específica, se aceptará que el mismo sea acreditado con la sumatoria de máximo dos (2) de los contratos válidos aportados, garantizando condiciones pluralistas y participativas, siendo requisitos adecuados y proporcionales. Cuando la entidad considere procedente esta posibilidad lo señalará en el pliego de condiciones al momento de indicar la experiencia a requerir.</w:t>
      </w:r>
    </w:p>
    <w:p w14:paraId="4DF19740" w14:textId="77777777" w:rsidR="005A34A8" w:rsidRPr="00910CE9" w:rsidRDefault="005A34A8" w:rsidP="005A34A8">
      <w:pPr>
        <w:spacing w:after="0" w:line="240" w:lineRule="auto"/>
        <w:ind w:left="709" w:right="709"/>
        <w:jc w:val="both"/>
        <w:rPr>
          <w:rFonts w:ascii="Geomanist Light" w:hAnsi="Geomanist Light" w:cs="Arial"/>
          <w:bCs/>
          <w:lang w:val="es-ES_tradnl"/>
        </w:rPr>
      </w:pPr>
    </w:p>
    <w:p w14:paraId="48444B0A" w14:textId="3BFA3F3A" w:rsidR="005A34A8" w:rsidRPr="00910CE9" w:rsidRDefault="005A34A8" w:rsidP="005A34A8">
      <w:pPr>
        <w:spacing w:after="0" w:line="240" w:lineRule="auto"/>
        <w:ind w:left="709" w:right="709"/>
        <w:jc w:val="both"/>
        <w:rPr>
          <w:rFonts w:ascii="Geomanist Light" w:hAnsi="Geomanist Light" w:cs="Arial"/>
          <w:bCs/>
          <w:lang w:val="es-ES_tradnl"/>
        </w:rPr>
      </w:pPr>
      <w:r w:rsidRPr="00910CE9">
        <w:rPr>
          <w:rFonts w:ascii="Geomanist Light" w:hAnsi="Geomanist Light" w:cs="Arial"/>
          <w:bCs/>
          <w:lang w:val="es-ES_tradnl"/>
        </w:rPr>
        <w:t>La entidad NO podrá escoger más de 3 requisitos de experiencia específica, por lo que identificará los de mayor relevancia para el proyecto según la actividad a contratar</w:t>
      </w:r>
      <w:r w:rsidR="00A41292" w:rsidRPr="00910CE9">
        <w:rPr>
          <w:rFonts w:ascii="Geomanist Light" w:hAnsi="Geomanist Light" w:cs="Arial"/>
          <w:bCs/>
          <w:lang w:val="es-ES_tradnl"/>
        </w:rPr>
        <w:t>»</w:t>
      </w:r>
      <w:r w:rsidRPr="00910CE9">
        <w:rPr>
          <w:rFonts w:ascii="Geomanist Light" w:hAnsi="Geomanist Light" w:cs="Arial"/>
          <w:bCs/>
          <w:lang w:val="es-ES_tradnl"/>
        </w:rPr>
        <w:t>.</w:t>
      </w:r>
    </w:p>
    <w:p w14:paraId="7EFFA1D6" w14:textId="77777777" w:rsidR="005A34A8" w:rsidRPr="00910CE9" w:rsidRDefault="005A34A8" w:rsidP="005A34A8">
      <w:pPr>
        <w:spacing w:after="0" w:line="240" w:lineRule="auto"/>
        <w:ind w:left="709" w:right="709"/>
        <w:jc w:val="both"/>
        <w:rPr>
          <w:rFonts w:ascii="Geomanist Light" w:hAnsi="Geomanist Light" w:cs="Arial"/>
          <w:bCs/>
        </w:rPr>
      </w:pPr>
    </w:p>
    <w:p w14:paraId="2FF07B77" w14:textId="7C703BA0" w:rsidR="005A34A8" w:rsidRPr="00910CE9" w:rsidRDefault="005A34A8" w:rsidP="005A34A8">
      <w:pPr>
        <w:spacing w:before="120" w:after="0" w:line="276" w:lineRule="auto"/>
        <w:ind w:firstLine="709"/>
        <w:jc w:val="both"/>
        <w:rPr>
          <w:rFonts w:ascii="Geomanist Light" w:hAnsi="Geomanist Light" w:cs="Arial"/>
          <w:bCs/>
        </w:rPr>
      </w:pPr>
      <w:r w:rsidRPr="00910CE9">
        <w:rPr>
          <w:rFonts w:ascii="Geomanist Light" w:hAnsi="Geomanist Light" w:cs="Arial"/>
          <w:bCs/>
        </w:rPr>
        <w:t xml:space="preserve">Conforme con lo expuesto, para esta actividad la entidad podrá aceptar que el porcentaje (%) de dimensionamiento exigido en la experiencia específica sea acreditado con la sumatoria de máximo dos (2) de los contratos válidos aportados. Sin embargo, como se indicó, será la entidad la que determine si procede aceptar su acreditación bajo estas condiciones debido a la magnitud física empleada como variable para establecimiento del % de dimensionamiento de la experiencia específica. </w:t>
      </w:r>
      <w:r w:rsidR="00D3274B" w:rsidRPr="00910CE9">
        <w:rPr>
          <w:rFonts w:ascii="Geomanist Light" w:hAnsi="Geomanist Light" w:cs="Arial"/>
          <w:bCs/>
        </w:rPr>
        <w:t xml:space="preserve">Entonces, el proponente puede acreditar la experiencia requerida con máximo cinco (5) contratos, de los cuales dos (2) </w:t>
      </w:r>
      <w:r w:rsidR="006D7465" w:rsidRPr="00910CE9">
        <w:rPr>
          <w:rFonts w:ascii="Geomanist Light" w:hAnsi="Geomanist Light" w:cs="Arial"/>
          <w:bCs/>
        </w:rPr>
        <w:t>deberán</w:t>
      </w:r>
      <w:r w:rsidR="00D3274B" w:rsidRPr="00910CE9">
        <w:rPr>
          <w:rFonts w:ascii="Geomanist Light" w:hAnsi="Geomanist Light" w:cs="Arial"/>
          <w:bCs/>
        </w:rPr>
        <w:t xml:space="preserve"> acreditar el porcentaje (%) de dimensionamiento </w:t>
      </w:r>
      <w:r w:rsidR="006E677D" w:rsidRPr="00910CE9">
        <w:rPr>
          <w:rFonts w:ascii="Geomanist Light" w:hAnsi="Geomanist Light" w:cs="Arial"/>
          <w:bCs/>
        </w:rPr>
        <w:t xml:space="preserve">de </w:t>
      </w:r>
      <w:r w:rsidR="00D3274B" w:rsidRPr="00910CE9">
        <w:rPr>
          <w:rFonts w:ascii="Geomanist Light" w:hAnsi="Geomanist Light" w:cs="Arial"/>
          <w:bCs/>
        </w:rPr>
        <w:t>la experiencia específica solicitada por la entidad, si así lo determina</w:t>
      </w:r>
      <w:r w:rsidR="006E677D" w:rsidRPr="00910CE9">
        <w:rPr>
          <w:rFonts w:ascii="Geomanist Light" w:hAnsi="Geomanist Light" w:cs="Arial"/>
          <w:bCs/>
        </w:rPr>
        <w:t xml:space="preserve">. </w:t>
      </w:r>
      <w:r w:rsidR="00D3274B" w:rsidRPr="00910CE9">
        <w:rPr>
          <w:rFonts w:ascii="Geomanist Light" w:hAnsi="Geomanist Light" w:cs="Arial"/>
          <w:bCs/>
        </w:rPr>
        <w:t xml:space="preserve"> </w:t>
      </w:r>
    </w:p>
    <w:p w14:paraId="37BD4D49" w14:textId="77777777" w:rsidR="005A34A8" w:rsidRPr="00910CE9" w:rsidRDefault="005A34A8" w:rsidP="005A34A8">
      <w:pPr>
        <w:spacing w:before="120" w:after="0" w:line="276" w:lineRule="auto"/>
        <w:ind w:firstLine="709"/>
        <w:jc w:val="both"/>
        <w:rPr>
          <w:rFonts w:ascii="Geomanist Light" w:hAnsi="Geomanist Light" w:cs="Arial"/>
          <w:bCs/>
        </w:rPr>
      </w:pPr>
      <w:bookmarkStart w:id="12" w:name="_Hlk94276763"/>
      <w:bookmarkEnd w:id="11"/>
      <w:r w:rsidRPr="00910CE9">
        <w:rPr>
          <w:rFonts w:ascii="Geomanist Light" w:hAnsi="Geomanist Light" w:cs="Arial"/>
          <w:bCs/>
        </w:rPr>
        <w:t xml:space="preserve">En relación con los requisitos de experiencia específica de la actividad 1.1, </w:t>
      </w:r>
      <w:r w:rsidRPr="00910CE9">
        <w:rPr>
          <w:rFonts w:ascii="Geomanist Light" w:hAnsi="Geomanist Light" w:cs="Arial"/>
          <w:bCs/>
          <w:lang w:val="es-ES_tradnl"/>
        </w:rPr>
        <w:t xml:space="preserve">señala la matriz que </w:t>
      </w:r>
      <w:r w:rsidRPr="00910CE9">
        <w:rPr>
          <w:rFonts w:ascii="Geomanist Light" w:hAnsi="Geomanist Light" w:cs="Arial"/>
          <w:bCs/>
        </w:rPr>
        <w:t xml:space="preserve">«-Por lo menos uno (1) de los contratos válidos aportados como experiencia general debe contar con una longitud de tubería equivalente al (F%) de la longitud total establecida en el presente proceso de selección, y que contemple como mínimo las mismas condiciones técnicas (entiéndase como mismas condiciones técnicas la instalación según el tipo de tubería: PVC, HD, PEAD, GRP, ACCP, otras) el cual corresponde a [la Entidad establecerá el material más representativo en este apartado], y cuyo diámetro principal, o más </w:t>
      </w:r>
      <w:r w:rsidRPr="00910CE9">
        <w:rPr>
          <w:rFonts w:ascii="Geomanist Light" w:hAnsi="Geomanist Light" w:cs="Arial"/>
          <w:bCs/>
        </w:rPr>
        <w:lastRenderedPageBreak/>
        <w:t xml:space="preserve">representativo, se encuentre entre el siguiente rango (XX" y XX") [la Entidad establecerá el rango de diámetros que correspondan a la tubería principal o de mayor relevancia del proyecto, que correspondan a diámetros comerciales (p.ej.: 26" a 32"), o en su defecto, establecerá un diámetro mínimo de referencia, es decir mayor o igual a XX"». Esta experiencia debe acreditarse de forma obligatoria. </w:t>
      </w:r>
    </w:p>
    <w:p w14:paraId="744AC72D" w14:textId="77777777" w:rsidR="005A34A8" w:rsidRPr="00910CE9" w:rsidRDefault="005A34A8" w:rsidP="005A34A8">
      <w:pPr>
        <w:spacing w:before="120" w:after="0" w:line="276" w:lineRule="auto"/>
        <w:ind w:firstLine="709"/>
        <w:jc w:val="both"/>
        <w:rPr>
          <w:rFonts w:ascii="Geomanist Light" w:hAnsi="Geomanist Light" w:cs="Arial"/>
          <w:bCs/>
          <w:lang w:val="es-ES_tradnl"/>
        </w:rPr>
      </w:pPr>
      <w:r w:rsidRPr="00910CE9">
        <w:rPr>
          <w:rFonts w:ascii="Geomanist Light" w:hAnsi="Geomanist Light" w:cs="Arial"/>
          <w:bCs/>
          <w:lang w:val="es-ES_tradnl"/>
        </w:rPr>
        <w:t xml:space="preserve">Además, según la matriz, la entidad podrá escoger hasta dos (2) combinaciones de experiencia específica de las opciones enlistadas, según la pertinencia de estas y el alcance del futuro contrato. </w:t>
      </w:r>
      <w:r w:rsidRPr="00910CE9">
        <w:rPr>
          <w:rFonts w:ascii="Geomanist Light" w:hAnsi="Geomanist Light" w:cs="Arial"/>
          <w:bCs/>
          <w:lang w:val="es-MX"/>
        </w:rPr>
        <w:t>Es decir, que la entidad puede establecer una exigencia de experiencia específica o, por el contrario, exigir hasta dos (2) requisitos adicionales para verificar la idoneidad del proponente, de acuerdo con el análisis de la entidad. Al respecto, la «Matriz 1 – Experiencia» dispone lo siguiente:</w:t>
      </w:r>
    </w:p>
    <w:p w14:paraId="73C80B7F" w14:textId="77777777" w:rsidR="005A34A8" w:rsidRPr="00910CE9" w:rsidRDefault="005A34A8" w:rsidP="005A34A8">
      <w:pPr>
        <w:spacing w:after="0" w:line="276" w:lineRule="auto"/>
        <w:jc w:val="both"/>
        <w:rPr>
          <w:rFonts w:ascii="Geomanist Light" w:hAnsi="Geomanist Light" w:cs="Arial"/>
          <w:bCs/>
          <w:lang w:val="es-ES_tradnl"/>
        </w:rPr>
      </w:pPr>
    </w:p>
    <w:p w14:paraId="5C6DF49B" w14:textId="3790FC5E" w:rsidR="005A34A8" w:rsidRPr="00910CE9" w:rsidRDefault="00B206A9" w:rsidP="005A34A8">
      <w:pPr>
        <w:tabs>
          <w:tab w:val="left" w:pos="8080"/>
        </w:tabs>
        <w:spacing w:after="0" w:line="240" w:lineRule="auto"/>
        <w:ind w:left="709" w:right="709"/>
        <w:jc w:val="both"/>
        <w:rPr>
          <w:rFonts w:ascii="Geomanist Light" w:hAnsi="Geomanist Light" w:cs="Arial"/>
          <w:bCs/>
          <w:lang w:val="es-ES_tradnl"/>
        </w:rPr>
      </w:pPr>
      <w:r w:rsidRPr="00910CE9">
        <w:rPr>
          <w:rFonts w:ascii="Geomanist Light" w:hAnsi="Geomanist Light" w:cs="Arial"/>
          <w:bCs/>
          <w:lang w:val="es-ES_tradnl"/>
        </w:rPr>
        <w:t>«</w:t>
      </w:r>
      <w:r w:rsidR="005A34A8" w:rsidRPr="00910CE9">
        <w:rPr>
          <w:rFonts w:ascii="Geomanist Light" w:hAnsi="Geomanist Light" w:cs="Arial"/>
          <w:bCs/>
          <w:lang w:val="es-ES_tradnl"/>
        </w:rPr>
        <w:t xml:space="preserve">'Proyectos de Acueductos: </w:t>
      </w:r>
    </w:p>
    <w:p w14:paraId="014DC6B0"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p>
    <w:p w14:paraId="1FCC0264" w14:textId="77777777" w:rsidR="005A34A8" w:rsidRPr="00910CE9" w:rsidRDefault="005A34A8" w:rsidP="005A34A8">
      <w:pPr>
        <w:tabs>
          <w:tab w:val="left" w:pos="8080"/>
        </w:tabs>
        <w:spacing w:after="0" w:line="240" w:lineRule="auto"/>
        <w:ind w:left="709" w:right="709"/>
        <w:jc w:val="both"/>
        <w:rPr>
          <w:rFonts w:ascii="Geomanist Light" w:hAnsi="Geomanist Light" w:cs="Arial"/>
          <w:bCs/>
          <w:highlight w:val="lightGray"/>
          <w:lang w:val="es-ES_tradnl"/>
        </w:rPr>
      </w:pPr>
      <w:r w:rsidRPr="00910CE9">
        <w:rPr>
          <w:rFonts w:ascii="Geomanist Light" w:hAnsi="Geomanist Light" w:cs="Arial"/>
          <w:bCs/>
          <w:highlight w:val="lightGray"/>
          <w:lang w:val="es-ES_tradnl"/>
        </w:rPr>
        <w:t>[Sin perjuicio, de la experiencia específica anterior que será obligatoria, es decir, la inmediatamente anterior, la Entidad escogerá una o más combinaciones de experiencia específica, sin que sobrepase a 2 requisitos de las opciones enlistadas a continuación, según sea analizada la pertinencia de las mismas y el alcance del futuro contrato a suscribir de acuerdo con las siguientes alternativas:</w:t>
      </w:r>
    </w:p>
    <w:p w14:paraId="70846F7F" w14:textId="77777777" w:rsidR="005A34A8" w:rsidRPr="00910CE9" w:rsidRDefault="005A34A8" w:rsidP="005A34A8">
      <w:pPr>
        <w:tabs>
          <w:tab w:val="left" w:pos="8080"/>
        </w:tabs>
        <w:spacing w:after="0" w:line="240" w:lineRule="auto"/>
        <w:ind w:left="709" w:right="709"/>
        <w:jc w:val="both"/>
        <w:rPr>
          <w:rFonts w:ascii="Geomanist Light" w:hAnsi="Geomanist Light" w:cs="Arial"/>
          <w:bCs/>
          <w:highlight w:val="lightGray"/>
          <w:lang w:val="es-ES_tradnl"/>
        </w:rPr>
      </w:pPr>
    </w:p>
    <w:p w14:paraId="23B6572F"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r w:rsidRPr="00910CE9">
        <w:rPr>
          <w:rFonts w:ascii="Geomanist Light" w:hAnsi="Geomanist Light" w:cs="Arial"/>
          <w:bCs/>
          <w:highlight w:val="lightGray"/>
          <w:lang w:val="es-ES_tradnl"/>
        </w:rPr>
        <w:t>Tenga en cuenta que el factor F% se aplicará de acuerdo al rango de SMMLV en el cual se encuentre el proceso de contratación</w:t>
      </w:r>
      <w:r w:rsidRPr="00910CE9">
        <w:rPr>
          <w:rFonts w:ascii="Geomanist Light" w:hAnsi="Geomanist Light" w:cs="Arial"/>
          <w:bCs/>
          <w:lang w:val="es-ES_tradnl"/>
        </w:rPr>
        <w:t>.]</w:t>
      </w:r>
    </w:p>
    <w:p w14:paraId="253B617F"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p>
    <w:p w14:paraId="7217FA2F"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r w:rsidRPr="00910CE9">
        <w:rPr>
          <w:rFonts w:ascii="Geomanist Light" w:hAnsi="Geomanist Light" w:cs="Arial"/>
          <w:bCs/>
          <w:lang w:val="es-ES_tradnl"/>
        </w:rPr>
        <w:t>'- Por lo menos uno (1) de los contratos válidos aportados debe acreditar experiencia general en estructuras de captación, las cuales deben ser iguales o mayores al (F%) de los litros por segundo (</w:t>
      </w:r>
      <w:proofErr w:type="spellStart"/>
      <w:r w:rsidRPr="00910CE9">
        <w:rPr>
          <w:rFonts w:ascii="Geomanist Light" w:hAnsi="Geomanist Light" w:cs="Arial"/>
          <w:bCs/>
          <w:lang w:val="es-ES_tradnl"/>
        </w:rPr>
        <w:t>lps</w:t>
      </w:r>
      <w:proofErr w:type="spellEnd"/>
      <w:r w:rsidRPr="00910CE9">
        <w:rPr>
          <w:rFonts w:ascii="Geomanist Light" w:hAnsi="Geomanist Light" w:cs="Arial"/>
          <w:bCs/>
          <w:lang w:val="es-ES_tradnl"/>
        </w:rPr>
        <w:t>) establecidos en la presente convocatoria para la captación. SI APLICA.</w:t>
      </w:r>
    </w:p>
    <w:p w14:paraId="1CE5CDFE"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p>
    <w:p w14:paraId="371C58EC"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r w:rsidRPr="00910CE9">
        <w:rPr>
          <w:rFonts w:ascii="Geomanist Light" w:hAnsi="Geomanist Light" w:cs="Arial"/>
          <w:bCs/>
          <w:lang w:val="es-ES_tradnl"/>
        </w:rPr>
        <w:t>'- Para sistemas de abastecimiento diferenciales, tales como sistemas de acueducto con opciones tecnológicas, soluciones alternativas colectivas de agua, soluciones alternativas individuales de agua, o cualquier otro sistema no convencional de abastecimiento, se debe acreditar por lo menos uno (1) de los contratos válidos aportados donde se relacione la experiencia en CONSTRUCCIÓN de sistemas de abastecimiento no convenciones que tengan relación con el objeto a contratar. SI APLICA.</w:t>
      </w:r>
    </w:p>
    <w:p w14:paraId="558C32CB"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p>
    <w:p w14:paraId="7E858682"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r w:rsidRPr="00910CE9">
        <w:rPr>
          <w:rFonts w:ascii="Geomanist Light" w:hAnsi="Geomanist Light" w:cs="Arial"/>
          <w:bCs/>
          <w:lang w:val="es-ES_tradnl"/>
        </w:rPr>
        <w:t xml:space="preserve">'- Para sistemas de abastecimiento diferenciales, tales como pozos profundos o pilas de abastecimiento debe acreditar por lo menos uno (1) de los contratos </w:t>
      </w:r>
      <w:r w:rsidRPr="00910CE9">
        <w:rPr>
          <w:rFonts w:ascii="Geomanist Light" w:hAnsi="Geomanist Light" w:cs="Arial"/>
          <w:bCs/>
          <w:lang w:val="es-ES_tradnl"/>
        </w:rPr>
        <w:lastRenderedPageBreak/>
        <w:t>válidos aportados donde se relacione la experiencia en CONSTRUCCIÓN de pozos, donde se detalle el caudal y la profundidad, el cual corresponda al (F%) del requerido en el proceso de selección, el cual como referente es [la Entidad establecerá únicamente el caudal de referencia y la profundidad, el cual será aplicado el factor F%].</w:t>
      </w:r>
    </w:p>
    <w:p w14:paraId="63863797"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p>
    <w:p w14:paraId="2F0F7A31"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r w:rsidRPr="00910CE9">
        <w:rPr>
          <w:rFonts w:ascii="Geomanist Light" w:hAnsi="Geomanist Light" w:cs="Arial"/>
          <w:bCs/>
          <w:lang w:val="es-ES_tradnl"/>
        </w:rPr>
        <w:t>'-Por lo menos uno (1) de los contratos válidos aportados debe acreditar experiencia general en el componente de aducción y actividades complementarias. SI APLICA.</w:t>
      </w:r>
    </w:p>
    <w:p w14:paraId="7FCF7793"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p>
    <w:p w14:paraId="552B3112"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r w:rsidRPr="00910CE9">
        <w:rPr>
          <w:rFonts w:ascii="Geomanist Light" w:hAnsi="Geomanist Light" w:cs="Arial"/>
          <w:bCs/>
          <w:lang w:val="es-ES_tradnl"/>
        </w:rPr>
        <w:t xml:space="preserve">'-Por lo menos uno (1) de los contratos válidos aportados como experiencia general, debe contar con la construcción de al menos un tanque de almacenamiento de agua potable (elevado, a nivel o subterráneo) con volumen igual o mayor a (F%) metros cúbicos del volumen establecido en la presente convocatoria; y la cual debe corresponder con el tipo de materia de la estructura requerida (Concreto, PRFV, ACERO, </w:t>
      </w:r>
      <w:proofErr w:type="spellStart"/>
      <w:r w:rsidRPr="00910CE9">
        <w:rPr>
          <w:rFonts w:ascii="Geomanist Light" w:hAnsi="Geomanist Light" w:cs="Arial"/>
          <w:bCs/>
          <w:lang w:val="es-ES_tradnl"/>
        </w:rPr>
        <w:t>etc</w:t>
      </w:r>
      <w:proofErr w:type="spellEnd"/>
      <w:r w:rsidRPr="00910CE9">
        <w:rPr>
          <w:rFonts w:ascii="Geomanist Light" w:hAnsi="Geomanist Light" w:cs="Arial"/>
          <w:bCs/>
          <w:lang w:val="es-ES_tradnl"/>
        </w:rPr>
        <w:t>) [la Entidad establecerá el material en el cual fue planeada la construcción del mismo así como el volumen requerido del tanque]. SI APLICA.</w:t>
      </w:r>
    </w:p>
    <w:p w14:paraId="75066451"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p>
    <w:p w14:paraId="11435D08"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r w:rsidRPr="00910CE9">
        <w:rPr>
          <w:rFonts w:ascii="Geomanist Light" w:hAnsi="Geomanist Light" w:cs="Arial"/>
          <w:bCs/>
          <w:lang w:val="es-ES_tradnl"/>
        </w:rPr>
        <w:t>'-Por lo menos uno (1) de los contratos válidos aportados debe acreditar experiencia general en el componente de conducción. SI APLICA</w:t>
      </w:r>
    </w:p>
    <w:p w14:paraId="6054BB12"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p>
    <w:p w14:paraId="2D99801A" w14:textId="2BDCC5DC"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r w:rsidRPr="00910CE9">
        <w:rPr>
          <w:rFonts w:ascii="Geomanist Light" w:hAnsi="Geomanist Light" w:cs="Arial"/>
          <w:bCs/>
          <w:lang w:val="es-ES_tradnl"/>
        </w:rPr>
        <w:t>'-Por lo menos uno (1) de los contratos válidos aportados debe acreditar experiencia general en el componente de Estaciones de Bombeo de Agua Cruda-EBAC, el cual sea igual o mayor al (F%) del caudal requerido en el presente proceso [la Entidad establecerá el caudal de bombeo estimado o esperado correspondientes al componente de estaciones de bombeo de agua cruda, para ser aplicado el factor F%]. SI APLICA</w:t>
      </w:r>
    </w:p>
    <w:p w14:paraId="4F9F5832" w14:textId="77777777" w:rsidR="008D379C" w:rsidRPr="00910CE9" w:rsidRDefault="008D379C" w:rsidP="005A34A8">
      <w:pPr>
        <w:tabs>
          <w:tab w:val="left" w:pos="8080"/>
        </w:tabs>
        <w:spacing w:after="0" w:line="240" w:lineRule="auto"/>
        <w:ind w:left="709" w:right="709"/>
        <w:jc w:val="both"/>
        <w:rPr>
          <w:rFonts w:ascii="Geomanist Light" w:hAnsi="Geomanist Light" w:cs="Arial"/>
          <w:bCs/>
          <w:lang w:val="es-ES_tradnl"/>
        </w:rPr>
      </w:pPr>
    </w:p>
    <w:p w14:paraId="74D421C2"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r w:rsidRPr="00910CE9">
        <w:rPr>
          <w:rFonts w:ascii="Geomanist Light" w:hAnsi="Geomanist Light" w:cs="Arial"/>
          <w:bCs/>
          <w:lang w:val="es-ES_tradnl"/>
        </w:rPr>
        <w:t>'-Para la intervención a sistema de almacenamiento, tales como embalses o tanques de almacenamiento el proponente deberá acreditar que en por lo menos uno (1) de los contratos válidos aportados como experiencia general se acredite la experiencia en sistemas de almacenamiento tipo tanques de almacenamiento o embalses. SI APLICA.</w:t>
      </w:r>
    </w:p>
    <w:p w14:paraId="09201826"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p>
    <w:p w14:paraId="2F4B2945"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r w:rsidRPr="00910CE9">
        <w:rPr>
          <w:rFonts w:ascii="Geomanist Light" w:hAnsi="Geomanist Light" w:cs="Arial"/>
          <w:bCs/>
          <w:lang w:val="es-ES_tradnl"/>
        </w:rPr>
        <w:t>'-Por lo menos uno (1) de los contratos válidos aportados como experiencia general, debe contar con el componente de conexiones domiciliarias, las cuales deben ser iguales o mayores al (F%) de los requeridos en el presente proceso, para los cuales el valor referente es [la Entidad establecerá el número estimado de conexiones domiciliarias para establecer la relación según el factor F%]. SI APLICA.</w:t>
      </w:r>
    </w:p>
    <w:p w14:paraId="717B1022"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p>
    <w:p w14:paraId="1926E0EA"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r w:rsidRPr="00910CE9">
        <w:rPr>
          <w:rFonts w:ascii="Geomanist Light" w:hAnsi="Geomanist Light" w:cs="Arial"/>
          <w:bCs/>
          <w:lang w:val="es-ES_tradnl"/>
        </w:rPr>
        <w:t>'-Por lo menos uno (1) de los contratos válidos aportados debe acreditar experiencia general en entibados para construcción de acueductos y/o alcantarillados. SI APLICA.</w:t>
      </w:r>
    </w:p>
    <w:p w14:paraId="038F2E87"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p>
    <w:p w14:paraId="26F8A964"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r w:rsidRPr="00910CE9">
        <w:rPr>
          <w:rFonts w:ascii="Geomanist Light" w:hAnsi="Geomanist Light" w:cs="Arial"/>
          <w:bCs/>
          <w:lang w:val="es-ES_tradnl"/>
        </w:rPr>
        <w:t>'- Por lo menos uno (1) de los contratos válidos aportados como experiencia general, debe corresponder a la ejecución de un proyecto en zona rural y/o de difícil acceso, para lo cual entiéndase una zona de difícil acceso como aquella donde el transporte debe ser realizado de forma fluvial o aérea para su ejecución. SI APLICA</w:t>
      </w:r>
    </w:p>
    <w:p w14:paraId="2C872B95" w14:textId="77777777"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p>
    <w:p w14:paraId="589FCD31" w14:textId="1F817CED" w:rsidR="005A34A8" w:rsidRPr="00910CE9" w:rsidRDefault="005A34A8" w:rsidP="005A34A8">
      <w:pPr>
        <w:tabs>
          <w:tab w:val="left" w:pos="8080"/>
        </w:tabs>
        <w:spacing w:after="0" w:line="240" w:lineRule="auto"/>
        <w:ind w:left="709" w:right="709"/>
        <w:jc w:val="both"/>
        <w:rPr>
          <w:rFonts w:ascii="Geomanist Light" w:hAnsi="Geomanist Light" w:cs="Arial"/>
          <w:bCs/>
          <w:lang w:val="es-ES_tradnl"/>
        </w:rPr>
      </w:pPr>
      <w:r w:rsidRPr="00910CE9">
        <w:rPr>
          <w:rFonts w:ascii="Geomanist Light" w:hAnsi="Geomanist Light" w:cs="Arial"/>
          <w:bCs/>
          <w:lang w:val="es-ES_tradnl"/>
        </w:rPr>
        <w:t>'- Por lo menos uno (1) de los contratos válidos aportados como experiencia general debe corresponder a la ejecución de un proyecto en zona urbana. SI APLICA</w:t>
      </w:r>
      <w:r w:rsidR="00B206A9" w:rsidRPr="00910CE9">
        <w:rPr>
          <w:rFonts w:ascii="Geomanist Light" w:hAnsi="Geomanist Light" w:cs="Arial"/>
          <w:bCs/>
          <w:lang w:val="es-ES_tradnl"/>
        </w:rPr>
        <w:t>».</w:t>
      </w:r>
    </w:p>
    <w:p w14:paraId="058FB762" w14:textId="77777777" w:rsidR="005A34A8" w:rsidRPr="00910CE9" w:rsidRDefault="005A34A8" w:rsidP="005A34A8">
      <w:pPr>
        <w:spacing w:after="0" w:line="276" w:lineRule="auto"/>
        <w:ind w:firstLine="709"/>
        <w:jc w:val="both"/>
        <w:rPr>
          <w:rFonts w:ascii="Geomanist Light" w:hAnsi="Geomanist Light" w:cs="Arial"/>
          <w:bCs/>
          <w:lang w:val="es-ES_tradnl"/>
        </w:rPr>
      </w:pPr>
    </w:p>
    <w:p w14:paraId="757AD143" w14:textId="77777777" w:rsidR="005A34A8" w:rsidRPr="00910CE9" w:rsidRDefault="005A34A8" w:rsidP="005A34A8">
      <w:pPr>
        <w:spacing w:after="0" w:line="276" w:lineRule="auto"/>
        <w:ind w:firstLine="709"/>
        <w:jc w:val="both"/>
        <w:rPr>
          <w:rFonts w:ascii="Geomanist Light" w:hAnsi="Geomanist Light" w:cs="Arial"/>
          <w:bCs/>
        </w:rPr>
      </w:pPr>
      <w:r w:rsidRPr="00910CE9">
        <w:rPr>
          <w:rFonts w:ascii="Geomanist Light" w:hAnsi="Geomanist Light" w:cs="Arial"/>
          <w:bCs/>
          <w:lang w:val="es-ES_tradnl"/>
        </w:rPr>
        <w:t xml:space="preserve">Como se evidencia, cada uno de los requisitos de experiencia específica exigidos en esta actividad, por regla general, se acreditará en </w:t>
      </w:r>
      <w:r w:rsidRPr="00910CE9">
        <w:rPr>
          <w:rFonts w:ascii="Geomanist Light" w:hAnsi="Geomanist Light" w:cs="Arial"/>
          <w:bCs/>
        </w:rPr>
        <w:t>«</w:t>
      </w:r>
      <w:r w:rsidRPr="00910CE9">
        <w:rPr>
          <w:rFonts w:ascii="Geomanist Light" w:hAnsi="Geomanist Light" w:cs="Arial"/>
          <w:bCs/>
          <w:lang w:val="es-ES_tradnl"/>
        </w:rPr>
        <w:t>por lo menos 1 de los contratos válidos aportados</w:t>
      </w:r>
      <w:r w:rsidRPr="00910CE9">
        <w:rPr>
          <w:rFonts w:ascii="Geomanist Light" w:hAnsi="Geomanist Light" w:cs="Arial"/>
          <w:bCs/>
        </w:rPr>
        <w:t>»</w:t>
      </w:r>
      <w:r w:rsidRPr="00910CE9">
        <w:rPr>
          <w:rFonts w:ascii="Geomanist Light" w:hAnsi="Geomanist Light" w:cs="Arial"/>
          <w:bCs/>
          <w:lang w:val="es-ES_tradnl"/>
        </w:rPr>
        <w:t xml:space="preserve">. Sin embargo, </w:t>
      </w:r>
      <w:r w:rsidRPr="00910CE9">
        <w:rPr>
          <w:rFonts w:ascii="Geomanist Light" w:hAnsi="Geomanist Light" w:cs="Arial"/>
          <w:bCs/>
        </w:rPr>
        <w:t>con base en la nota general señalada, el proponente podrá acreditar el porcentaje (%) de dimensionamiento requerido con la sumatoria de máximo dos (2) de los contratos válidos aportados, siempre que así lo haya establecido la entidad estatal en el pliego de condiciones.</w:t>
      </w:r>
    </w:p>
    <w:bookmarkEnd w:id="12"/>
    <w:p w14:paraId="03BAED0E" w14:textId="77777777" w:rsidR="005A34A8" w:rsidRPr="00910CE9" w:rsidRDefault="005A34A8" w:rsidP="005A34A8">
      <w:pPr>
        <w:spacing w:before="120" w:after="0" w:line="276" w:lineRule="auto"/>
        <w:ind w:firstLine="709"/>
        <w:jc w:val="both"/>
        <w:rPr>
          <w:rFonts w:ascii="Geomanist Light" w:hAnsi="Geomanist Light" w:cs="Arial"/>
          <w:bCs/>
        </w:rPr>
      </w:pPr>
      <w:r w:rsidRPr="00910CE9">
        <w:rPr>
          <w:rFonts w:ascii="Geomanist Light" w:hAnsi="Geomanist Light" w:cs="Arial"/>
          <w:bCs/>
        </w:rPr>
        <w:t>Ahora bien, retomando la experiencia específica obligatoria que se señaló en líneas anteriores, la</w:t>
      </w:r>
      <w:r w:rsidRPr="00910CE9">
        <w:rPr>
          <w:rFonts w:ascii="Geomanist Light" w:hAnsi="Geomanist Light" w:cs="Arial"/>
          <w:bCs/>
          <w:lang w:val="es-ES_tradnl"/>
        </w:rPr>
        <w:t xml:space="preserve"> entidad deberá definir tres aspectos: i) la longitud de tubería equivalente a un determinado porcentaje, el cual establece la entidad de acuerdo con la cuantía del proceso, </w:t>
      </w:r>
      <w:proofErr w:type="spellStart"/>
      <w:r w:rsidRPr="00910CE9">
        <w:rPr>
          <w:rFonts w:ascii="Geomanist Light" w:hAnsi="Geomanist Light" w:cs="Arial"/>
          <w:bCs/>
          <w:lang w:val="es-ES_tradnl"/>
        </w:rPr>
        <w:t>ii</w:t>
      </w:r>
      <w:proofErr w:type="spellEnd"/>
      <w:r w:rsidRPr="00910CE9">
        <w:rPr>
          <w:rFonts w:ascii="Geomanist Light" w:hAnsi="Geomanist Light" w:cs="Arial"/>
          <w:bCs/>
          <w:lang w:val="es-ES_tradnl"/>
        </w:rPr>
        <w:t>) el material más representativo de la tubería -</w:t>
      </w:r>
      <w:r w:rsidRPr="00910CE9">
        <w:rPr>
          <w:rFonts w:ascii="Geomanist Light" w:hAnsi="Geomanist Light" w:cs="Arial"/>
          <w:bCs/>
        </w:rPr>
        <w:t>PVC, HD, PEAD, GRP, ACCP, entre otras-</w:t>
      </w:r>
      <w:r w:rsidRPr="00910CE9">
        <w:rPr>
          <w:rFonts w:ascii="Geomanist Light" w:hAnsi="Geomanist Light" w:cs="Arial"/>
          <w:bCs/>
          <w:lang w:val="es-ES_tradnl"/>
        </w:rPr>
        <w:t xml:space="preserve"> y, </w:t>
      </w:r>
      <w:proofErr w:type="spellStart"/>
      <w:r w:rsidRPr="00910CE9">
        <w:rPr>
          <w:rFonts w:ascii="Geomanist Light" w:hAnsi="Geomanist Light" w:cs="Arial"/>
          <w:bCs/>
          <w:lang w:val="es-ES_tradnl"/>
        </w:rPr>
        <w:t>iii</w:t>
      </w:r>
      <w:proofErr w:type="spellEnd"/>
      <w:r w:rsidRPr="00910CE9">
        <w:rPr>
          <w:rFonts w:ascii="Geomanist Light" w:hAnsi="Geomanist Light" w:cs="Arial"/>
          <w:bCs/>
          <w:lang w:val="es-ES_tradnl"/>
        </w:rPr>
        <w:t>) el rango de diámetros comerciales para la tubería principal o más representativa del proyecto o en su defecto un diámetro mínimo de referencia. En este caso, los proponentes podrán acreditar la longitud de tubería con la sumatoria de máximo dos contratos, siempre que así lo haya permitido la entidad, conforme lo explicado, y</w:t>
      </w:r>
      <w:r w:rsidRPr="00910CE9">
        <w:rPr>
          <w:rFonts w:ascii="Geomanist Light" w:hAnsi="Geomanist Light" w:cs="Arial"/>
          <w:bCs/>
        </w:rPr>
        <w:t xml:space="preserve"> adicionalmente deberá cumplir con lo indicado en los demás aspectos. Por ejemplo, si la longitud de tubería a acreditar corresponde a 10 km, el material del contrato es PVC y el rango del diámetro se estableció entre 20” a 28”, el proponente podrá acreditar en máximo dos (2) contratos que sumen la totalidad de la longitud de tubería de 10 km, pero cada contrato deberá cumplir tanto con el material como con el rango de diámetro determinado. </w:t>
      </w:r>
    </w:p>
    <w:p w14:paraId="4EEBA4E8" w14:textId="48D46B4A" w:rsidR="005A34A8" w:rsidRPr="00910CE9" w:rsidRDefault="005A34A8" w:rsidP="005A34A8">
      <w:pPr>
        <w:spacing w:before="120" w:after="0" w:line="276" w:lineRule="auto"/>
        <w:ind w:firstLine="709"/>
        <w:jc w:val="both"/>
        <w:rPr>
          <w:rFonts w:ascii="Geomanist Light" w:hAnsi="Geomanist Light" w:cs="Arial"/>
          <w:bCs/>
        </w:rPr>
      </w:pPr>
      <w:r w:rsidRPr="00910CE9">
        <w:rPr>
          <w:rFonts w:ascii="Geomanist Light" w:hAnsi="Geomanist Light" w:cs="Arial"/>
          <w:bCs/>
        </w:rPr>
        <w:t xml:space="preserve">De esta manera, el proponente podrá acreditar la longitud de tubería de 10km en máximo dos contratos que sumen la totalidad de estas magnitudes, siempre que así lo haya determinado la entidad. En todo caso, el oferente tendrá en cuenta que el máximo de </w:t>
      </w:r>
      <w:r w:rsidRPr="00910CE9">
        <w:rPr>
          <w:rFonts w:ascii="Geomanist Light" w:hAnsi="Geomanist Light" w:cs="Arial"/>
          <w:bCs/>
        </w:rPr>
        <w:lastRenderedPageBreak/>
        <w:t xml:space="preserve">contratos permitidos para acreditar la experiencia es </w:t>
      </w:r>
      <w:r w:rsidR="00BD6FF7" w:rsidRPr="00910CE9">
        <w:rPr>
          <w:rFonts w:ascii="Geomanist Light" w:hAnsi="Geomanist Light" w:cs="Arial"/>
          <w:bCs/>
        </w:rPr>
        <w:t xml:space="preserve">de hasta </w:t>
      </w:r>
      <w:r w:rsidRPr="00910CE9">
        <w:rPr>
          <w:rFonts w:ascii="Geomanist Light" w:hAnsi="Geomanist Light" w:cs="Arial"/>
          <w:bCs/>
        </w:rPr>
        <w:t>cinco (5), sin perjuicio de lo previsto en las reglas de los criterios diferenciales por ser Mipyme y/o emprendimientos y empresas de mujeres, y que el número de contratos que aporte impactará en el valor del presupuesto oficial del proceso que deberá acreditar para cumplir con el requisito habilitante, de acuerdo con lo explicado en el numeral 2.1. de este concepto.</w:t>
      </w:r>
    </w:p>
    <w:p w14:paraId="7DCEC12C" w14:textId="77777777" w:rsidR="00DB209F" w:rsidRPr="00910CE9" w:rsidRDefault="00DB209F" w:rsidP="00E41229">
      <w:pPr>
        <w:tabs>
          <w:tab w:val="left" w:pos="0"/>
          <w:tab w:val="left" w:pos="6645"/>
        </w:tabs>
        <w:spacing w:after="0" w:line="276" w:lineRule="auto"/>
        <w:jc w:val="both"/>
        <w:rPr>
          <w:rFonts w:ascii="Geomanist Light" w:hAnsi="Geomanist Light" w:cs="Arial"/>
          <w:bCs/>
          <w:lang w:val="es-ES_tradnl"/>
        </w:rPr>
      </w:pPr>
    </w:p>
    <w:p w14:paraId="01C0F502" w14:textId="5CEEEEEC" w:rsidR="00F9574A" w:rsidRPr="00910CE9" w:rsidRDefault="004177A6" w:rsidP="00E41229">
      <w:pPr>
        <w:tabs>
          <w:tab w:val="left" w:pos="0"/>
        </w:tabs>
        <w:spacing w:after="0" w:line="276" w:lineRule="auto"/>
        <w:jc w:val="both"/>
        <w:rPr>
          <w:rFonts w:ascii="Geomanist Light" w:hAnsi="Geomanist Light" w:cs="Arial"/>
          <w:b/>
          <w:color w:val="000000" w:themeColor="text1"/>
          <w:lang w:val="es-ES_tradnl"/>
        </w:rPr>
      </w:pPr>
      <w:r w:rsidRPr="00910CE9">
        <w:rPr>
          <w:rFonts w:ascii="Geomanist Light" w:hAnsi="Geomanist Light" w:cs="Arial"/>
          <w:b/>
          <w:color w:val="000000" w:themeColor="text1"/>
          <w:lang w:val="es-ES_tradnl"/>
        </w:rPr>
        <w:t>3</w:t>
      </w:r>
      <w:r w:rsidR="00B011A9" w:rsidRPr="00910CE9">
        <w:rPr>
          <w:rFonts w:ascii="Geomanist Light" w:hAnsi="Geomanist Light" w:cs="Arial"/>
          <w:b/>
          <w:color w:val="000000" w:themeColor="text1"/>
          <w:lang w:val="es-ES_tradnl"/>
        </w:rPr>
        <w:t xml:space="preserve">. </w:t>
      </w:r>
      <w:r w:rsidR="00DD5B04" w:rsidRPr="00910CE9">
        <w:rPr>
          <w:rFonts w:ascii="Geomanist Light" w:hAnsi="Geomanist Light" w:cs="Arial"/>
          <w:b/>
          <w:color w:val="000000" w:themeColor="text1"/>
          <w:lang w:val="es-ES_tradnl"/>
        </w:rPr>
        <w:t>Respuesta</w:t>
      </w:r>
    </w:p>
    <w:p w14:paraId="5550B511" w14:textId="77777777" w:rsidR="00E41229" w:rsidRPr="00910CE9" w:rsidRDefault="00E41229" w:rsidP="000F7239">
      <w:pPr>
        <w:tabs>
          <w:tab w:val="left" w:pos="0"/>
        </w:tabs>
        <w:spacing w:after="0" w:line="276" w:lineRule="auto"/>
        <w:jc w:val="both"/>
        <w:rPr>
          <w:rFonts w:ascii="Geomanist Light" w:hAnsi="Geomanist Light" w:cs="Arial"/>
          <w:b/>
          <w:color w:val="000000" w:themeColor="text1"/>
          <w:lang w:val="es-ES_tradnl"/>
        </w:rPr>
      </w:pPr>
    </w:p>
    <w:p w14:paraId="65F7DB09" w14:textId="3945E2A8" w:rsidR="006D551F" w:rsidRPr="00910CE9" w:rsidRDefault="00B629CA" w:rsidP="00BD6FF7">
      <w:pPr>
        <w:spacing w:after="0" w:line="240" w:lineRule="auto"/>
        <w:ind w:left="709" w:right="709"/>
        <w:jc w:val="both"/>
        <w:rPr>
          <w:rFonts w:ascii="Geomanist Light" w:hAnsi="Geomanist Light" w:cs="Arial"/>
          <w:b/>
          <w:bCs/>
          <w:i/>
          <w:iCs/>
        </w:rPr>
      </w:pPr>
      <w:r w:rsidRPr="00910CE9">
        <w:rPr>
          <w:rFonts w:ascii="Geomanist Light" w:hAnsi="Geomanist Light" w:cs="Arial"/>
          <w:color w:val="000000"/>
          <w:sz w:val="21"/>
          <w:szCs w:val="21"/>
          <w:bdr w:val="none" w:sz="0" w:space="0" w:color="auto" w:frame="1"/>
        </w:rPr>
        <w:t>«</w:t>
      </w:r>
      <w:r w:rsidRPr="00910CE9">
        <w:rPr>
          <w:rFonts w:ascii="Geomanist Light" w:hAnsi="Geomanist Light" w:cs="Arial"/>
          <w:bCs/>
        </w:rPr>
        <w:t>Respetuosamente</w:t>
      </w:r>
      <w:r w:rsidRPr="00910CE9">
        <w:rPr>
          <w:rFonts w:cs="Calibri"/>
          <w:bCs/>
        </w:rPr>
        <w:t> </w:t>
      </w:r>
      <w:r w:rsidRPr="00910CE9">
        <w:rPr>
          <w:rFonts w:ascii="Geomanist Light" w:hAnsi="Geomanist Light" w:cs="Arial"/>
          <w:bCs/>
        </w:rPr>
        <w:t>solicito aclaraci</w:t>
      </w:r>
      <w:r w:rsidRPr="00910CE9">
        <w:rPr>
          <w:rFonts w:ascii="Geomanist Light" w:hAnsi="Geomanist Light" w:cs="Geomanist Light"/>
          <w:bCs/>
        </w:rPr>
        <w:t>ó</w:t>
      </w:r>
      <w:r w:rsidRPr="00910CE9">
        <w:rPr>
          <w:rFonts w:ascii="Geomanist Light" w:hAnsi="Geomanist Light" w:cs="Arial"/>
          <w:bCs/>
        </w:rPr>
        <w:t>n de los pliegos</w:t>
      </w:r>
      <w:r w:rsidRPr="00910CE9">
        <w:rPr>
          <w:rFonts w:cs="Calibri"/>
          <w:bCs/>
        </w:rPr>
        <w:t> </w:t>
      </w:r>
      <w:r w:rsidRPr="00910CE9">
        <w:rPr>
          <w:rFonts w:ascii="Geomanist Light" w:hAnsi="Geomanist Light" w:cs="Arial"/>
          <w:bCs/>
        </w:rPr>
        <w:t>sector infraestructura agua potable y saneamiento b</w:t>
      </w:r>
      <w:r w:rsidRPr="00910CE9">
        <w:rPr>
          <w:rFonts w:ascii="Geomanist Light" w:hAnsi="Geomanist Light" w:cs="Geomanist Light"/>
          <w:bCs/>
        </w:rPr>
        <w:t>á</w:t>
      </w:r>
      <w:r w:rsidRPr="00910CE9">
        <w:rPr>
          <w:rFonts w:ascii="Geomanist Light" w:hAnsi="Geomanist Light" w:cs="Arial"/>
          <w:bCs/>
        </w:rPr>
        <w:t>sico, respecto al n</w:t>
      </w:r>
      <w:r w:rsidRPr="00910CE9">
        <w:rPr>
          <w:rFonts w:ascii="Geomanist Light" w:hAnsi="Geomanist Light" w:cs="Geomanist Light"/>
          <w:bCs/>
        </w:rPr>
        <w:t>ú</w:t>
      </w:r>
      <w:r w:rsidRPr="00910CE9">
        <w:rPr>
          <w:rFonts w:ascii="Geomanist Light" w:hAnsi="Geomanist Light" w:cs="Arial"/>
          <w:bCs/>
        </w:rPr>
        <w:t>mero</w:t>
      </w:r>
      <w:r w:rsidRPr="00910CE9">
        <w:rPr>
          <w:rFonts w:cs="Calibri"/>
          <w:bCs/>
        </w:rPr>
        <w:t> </w:t>
      </w:r>
      <w:r w:rsidRPr="00910CE9">
        <w:rPr>
          <w:rFonts w:ascii="Geomanist Light" w:hAnsi="Geomanist Light" w:cs="Arial"/>
          <w:bCs/>
        </w:rPr>
        <w:t>de contratos para probar experiencia, los pliegos establecen m</w:t>
      </w:r>
      <w:r w:rsidRPr="00910CE9">
        <w:rPr>
          <w:rFonts w:ascii="Geomanist Light" w:hAnsi="Geomanist Light" w:cs="Geomanist Light"/>
          <w:bCs/>
        </w:rPr>
        <w:t>í</w:t>
      </w:r>
      <w:r w:rsidRPr="00910CE9">
        <w:rPr>
          <w:rFonts w:ascii="Geomanist Light" w:hAnsi="Geomanist Light" w:cs="Arial"/>
          <w:bCs/>
        </w:rPr>
        <w:t>nimo</w:t>
      </w:r>
      <w:r w:rsidRPr="00910CE9">
        <w:rPr>
          <w:rFonts w:cs="Calibri"/>
          <w:bCs/>
        </w:rPr>
        <w:t> </w:t>
      </w:r>
      <w:r w:rsidRPr="00910CE9">
        <w:rPr>
          <w:rFonts w:ascii="Geomanist Light" w:hAnsi="Geomanist Light" w:cs="Arial"/>
          <w:bCs/>
        </w:rPr>
        <w:t>1 y m</w:t>
      </w:r>
      <w:r w:rsidRPr="00910CE9">
        <w:rPr>
          <w:rFonts w:ascii="Geomanist Light" w:hAnsi="Geomanist Light" w:cs="Geomanist Light"/>
          <w:bCs/>
        </w:rPr>
        <w:t>á</w:t>
      </w:r>
      <w:r w:rsidRPr="00910CE9">
        <w:rPr>
          <w:rFonts w:ascii="Geomanist Light" w:hAnsi="Geomanist Light" w:cs="Arial"/>
          <w:bCs/>
        </w:rPr>
        <w:t>ximo</w:t>
      </w:r>
      <w:r w:rsidRPr="00910CE9">
        <w:rPr>
          <w:rFonts w:cs="Calibri"/>
          <w:bCs/>
        </w:rPr>
        <w:t> </w:t>
      </w:r>
      <w:r w:rsidRPr="00910CE9">
        <w:rPr>
          <w:rFonts w:ascii="Geomanist Light" w:hAnsi="Geomanist Light" w:cs="Arial"/>
          <w:bCs/>
        </w:rPr>
        <w:t>5 contratos, sin embargo en la matriz 1. se establece ''</w:t>
      </w:r>
      <w:r w:rsidRPr="00910CE9">
        <w:rPr>
          <w:rFonts w:ascii="Geomanist Light" w:hAnsi="Geomanist Light" w:cs="Arial"/>
          <w:b/>
          <w:i/>
          <w:iCs/>
        </w:rPr>
        <w:t>E</w:t>
      </w:r>
      <w:r w:rsidRPr="00910CE9">
        <w:rPr>
          <w:rFonts w:ascii="Geomanist Light" w:hAnsi="Geomanist Light" w:cs="Arial"/>
          <w:b/>
          <w:bCs/>
          <w:i/>
          <w:iCs/>
        </w:rPr>
        <w:t>n el caso que, debido a la magnitud física empleada como variable para establecimiento del % de dimensionamiento como experiencia específica, se aceptará que el mismo sea acreditado con la sumatoria de máximo dos (2) de los contratos válidos aportados, garantizando condiciones pluralistas y participativas, siendo requisitos adecuados y proporcionales. Cuando la entidad considere procedente esta posibilidad lo señalará en el pliego de condiciones al momento de indicar la experiencia a requerir.</w:t>
      </w:r>
      <w:r w:rsidR="00BD6FF7" w:rsidRPr="00910CE9">
        <w:rPr>
          <w:rFonts w:ascii="Geomanist Light" w:eastAsia="Times New Roman" w:hAnsi="Geomanist Light" w:cs="Arial"/>
          <w:lang w:eastAsia="es-CO"/>
        </w:rPr>
        <w:t xml:space="preserve"> </w:t>
      </w:r>
      <w:r w:rsidR="00BD6FF7" w:rsidRPr="00910CE9">
        <w:rPr>
          <w:rFonts w:ascii="Geomanist Light" w:hAnsi="Geomanist Light" w:cs="Arial"/>
        </w:rPr>
        <w:t>Al respecto, tenemos confusión entonces como se demuestra experiencia, si en la matriz 1. se limita a 2 contratos y en el pliego indica 5</w:t>
      </w:r>
      <w:r w:rsidRPr="00910CE9">
        <w:rPr>
          <w:rFonts w:ascii="Geomanist Light" w:hAnsi="Geomanist Light" w:cs="Arial"/>
          <w:sz w:val="21"/>
          <w:szCs w:val="21"/>
          <w:lang w:val="es-MX"/>
        </w:rPr>
        <w:t>»</w:t>
      </w:r>
    </w:p>
    <w:p w14:paraId="19B19C08" w14:textId="77777777" w:rsidR="006D551F" w:rsidRPr="00910CE9" w:rsidRDefault="006D551F" w:rsidP="009D5E3C">
      <w:pPr>
        <w:spacing w:after="0" w:line="276" w:lineRule="auto"/>
        <w:jc w:val="both"/>
        <w:rPr>
          <w:rFonts w:ascii="Geomanist Light" w:hAnsi="Geomanist Light" w:cs="Arial"/>
          <w:lang w:val="es-ES_tradnl"/>
        </w:rPr>
      </w:pPr>
    </w:p>
    <w:p w14:paraId="37A0D5C7" w14:textId="7F7734D3" w:rsidR="0047183E" w:rsidRPr="00910CE9" w:rsidRDefault="009D5E3C" w:rsidP="009D5E3C">
      <w:pPr>
        <w:spacing w:after="0" w:line="276" w:lineRule="auto"/>
        <w:jc w:val="both"/>
        <w:rPr>
          <w:rFonts w:ascii="Geomanist Light" w:hAnsi="Geomanist Light" w:cs="Arial"/>
          <w:bCs/>
          <w:lang w:val="es-ES"/>
        </w:rPr>
      </w:pPr>
      <w:r w:rsidRPr="00910CE9">
        <w:rPr>
          <w:rFonts w:ascii="Geomanist Light" w:hAnsi="Geomanist Light" w:cs="Arial"/>
          <w:bCs/>
          <w:lang w:val="es-ES"/>
        </w:rPr>
        <w:t>De acuerdo con las condiciones fijadas en el documento base de infraestructura de agua potable y saneamiento básico y las modificaciones efectuadas por la Resolución 275 de 2022,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definidos en la Matriz 1 - Experiencia, sin perjuicio de las combinaciones de experiencia señalada en el literal A del numeral 3.5.2. en caso de requerirse. En segundo lugar, los proponentes deben acreditar el cumplimiento de las condiciones fijadas con mínimo uno (1) y máximo cinco (5) contratos, que debieron terminar antes de la fecha de cierre del proceso de contratación</w:t>
      </w:r>
      <w:r w:rsidR="0047183E" w:rsidRPr="00910CE9">
        <w:rPr>
          <w:rFonts w:ascii="Geomanist Light" w:hAnsi="Geomanist Light" w:cs="Arial"/>
          <w:bCs/>
          <w:lang w:val="es-ES"/>
        </w:rPr>
        <w:t xml:space="preserve">, </w:t>
      </w:r>
      <w:r w:rsidR="0047183E" w:rsidRPr="00910CE9">
        <w:rPr>
          <w:rFonts w:ascii="Geomanist Light" w:hAnsi="Geomanist Light" w:cs="Arial"/>
        </w:rPr>
        <w:t>sin perjuicio de lo previsto en las reglas de los criterios diferenciales por ser Mipyme y/o emprendimientos y empresas de mujeres</w:t>
      </w:r>
      <w:r w:rsidRPr="00910CE9">
        <w:rPr>
          <w:rFonts w:ascii="Geomanist Light" w:hAnsi="Geomanist Light" w:cs="Arial"/>
          <w:bCs/>
          <w:lang w:val="es-ES"/>
        </w:rPr>
        <w:t>. Por último, el número de contratos aportados por el proponente debe certificar un valor mínimo correspondiente a un porcentaje del presupuesto oficial del proceso de obra expresado en SMMLV, cuya evaluación se realizará teniendo en cuenta la tabla establecida en el numeral 3.5.8. del pliego de condiciones.</w:t>
      </w:r>
    </w:p>
    <w:p w14:paraId="319828E6" w14:textId="252A3CC4" w:rsidR="0047183E" w:rsidRPr="00910CE9" w:rsidRDefault="008D1AE7" w:rsidP="0047183E">
      <w:pPr>
        <w:spacing w:before="120" w:after="0" w:line="276" w:lineRule="auto"/>
        <w:ind w:firstLine="709"/>
        <w:jc w:val="both"/>
        <w:rPr>
          <w:rFonts w:ascii="Geomanist Light" w:hAnsi="Geomanist Light" w:cs="Arial"/>
          <w:bCs/>
        </w:rPr>
      </w:pPr>
      <w:r w:rsidRPr="00910CE9">
        <w:rPr>
          <w:rFonts w:ascii="Geomanist Light" w:hAnsi="Geomanist Light" w:cs="Arial"/>
          <w:bCs/>
          <w:lang w:val="es-ES"/>
        </w:rPr>
        <w:lastRenderedPageBreak/>
        <w:t>E</w:t>
      </w:r>
      <w:r w:rsidR="0047183E" w:rsidRPr="00910CE9">
        <w:rPr>
          <w:rFonts w:ascii="Geomanist Light" w:hAnsi="Geomanist Light" w:cs="Arial"/>
          <w:bCs/>
          <w:lang w:val="es-ES"/>
        </w:rPr>
        <w:t xml:space="preserve">n la «Matriz 1 – Experiencia» se estandariza las condiciones de experiencia general y experiencia específica que deben requerir las entidades estatales a los proponentes para acreditar el requisito habilitante de experiencia, de acuerdo con: i) el tipo de obra de infraestructura de agua potable y saneamiento, </w:t>
      </w:r>
      <w:proofErr w:type="spellStart"/>
      <w:r w:rsidR="0047183E" w:rsidRPr="00910CE9">
        <w:rPr>
          <w:rFonts w:ascii="Geomanist Light" w:hAnsi="Geomanist Light" w:cs="Arial"/>
          <w:bCs/>
          <w:lang w:val="es-ES"/>
        </w:rPr>
        <w:t>ii</w:t>
      </w:r>
      <w:proofErr w:type="spellEnd"/>
      <w:r w:rsidR="0047183E" w:rsidRPr="00910CE9">
        <w:rPr>
          <w:rFonts w:ascii="Geomanist Light" w:hAnsi="Geomanist Light" w:cs="Arial"/>
          <w:bCs/>
          <w:lang w:val="es-ES"/>
        </w:rPr>
        <w:t xml:space="preserve">) la actividad a contratar y </w:t>
      </w:r>
      <w:proofErr w:type="spellStart"/>
      <w:r w:rsidR="0047183E" w:rsidRPr="00910CE9">
        <w:rPr>
          <w:rFonts w:ascii="Geomanist Light" w:hAnsi="Geomanist Light" w:cs="Arial"/>
          <w:bCs/>
          <w:lang w:val="es-ES"/>
        </w:rPr>
        <w:t>iii</w:t>
      </w:r>
      <w:proofErr w:type="spellEnd"/>
      <w:r w:rsidR="0047183E" w:rsidRPr="00910CE9">
        <w:rPr>
          <w:rFonts w:ascii="Geomanist Light" w:hAnsi="Geomanist Light" w:cs="Arial"/>
          <w:bCs/>
          <w:lang w:val="es-ES"/>
        </w:rPr>
        <w:t xml:space="preserve">) la cuantía del proceso de contratación. Para algunas actividades se incluyó una nota general de la experiencia específica relacionada con la acreditación del porcentaje (%) de dimensionamiento, según la cual </w:t>
      </w:r>
      <w:r w:rsidR="00B629CA" w:rsidRPr="00910CE9">
        <w:rPr>
          <w:rFonts w:ascii="Geomanist Light" w:hAnsi="Geomanist Light" w:cs="Arial"/>
          <w:bCs/>
        </w:rPr>
        <w:t xml:space="preserve">el proponente podrá acreditar en máximo dos (2) contratos válidos aportados el porcentaje (%) de dimensionamiento determinado en la experiencia específica. </w:t>
      </w:r>
    </w:p>
    <w:p w14:paraId="68F8395C" w14:textId="044283D8" w:rsidR="00B629CA" w:rsidRPr="00910CE9" w:rsidRDefault="009D5E3C" w:rsidP="0047183E">
      <w:pPr>
        <w:spacing w:before="120" w:after="0" w:line="276" w:lineRule="auto"/>
        <w:ind w:firstLine="709"/>
        <w:jc w:val="both"/>
        <w:rPr>
          <w:rFonts w:ascii="Geomanist Light" w:hAnsi="Geomanist Light" w:cs="Arial"/>
          <w:bCs/>
          <w:lang w:val="es-ES"/>
        </w:rPr>
      </w:pPr>
      <w:r w:rsidRPr="00910CE9">
        <w:rPr>
          <w:rFonts w:ascii="Geomanist Light" w:hAnsi="Geomanist Light" w:cs="Arial"/>
          <w:bCs/>
        </w:rPr>
        <w:t>De acuerdo con lo anterior, de los 5 contratos que puede aportar el proponente</w:t>
      </w:r>
      <w:r w:rsidR="00EC25DF" w:rsidRPr="00910CE9">
        <w:rPr>
          <w:rFonts w:ascii="Geomanist Light" w:hAnsi="Geomanist Light" w:cs="Arial"/>
          <w:bCs/>
        </w:rPr>
        <w:t xml:space="preserve"> para la acreditación de las condiciones de experiencia</w:t>
      </w:r>
      <w:r w:rsidRPr="00910CE9">
        <w:rPr>
          <w:rFonts w:ascii="Geomanist Light" w:hAnsi="Geomanist Light" w:cs="Arial"/>
          <w:bCs/>
        </w:rPr>
        <w:t xml:space="preserve"> conforme se explicó en el numeral 2.1</w:t>
      </w:r>
      <w:r w:rsidR="0047183E" w:rsidRPr="00910CE9">
        <w:rPr>
          <w:rFonts w:ascii="Geomanist Light" w:hAnsi="Geomanist Light" w:cs="Arial"/>
          <w:bCs/>
        </w:rPr>
        <w:t xml:space="preserve"> de este concepto</w:t>
      </w:r>
      <w:r w:rsidRPr="00910CE9">
        <w:rPr>
          <w:rFonts w:ascii="Geomanist Light" w:hAnsi="Geomanist Light" w:cs="Arial"/>
          <w:bCs/>
        </w:rPr>
        <w:t xml:space="preserve">, podrá </w:t>
      </w:r>
      <w:r w:rsidR="00EC25DF" w:rsidRPr="00910CE9">
        <w:rPr>
          <w:rFonts w:ascii="Geomanist Light" w:hAnsi="Geomanist Light" w:cs="Arial"/>
          <w:bCs/>
        </w:rPr>
        <w:t>acreditar</w:t>
      </w:r>
      <w:r w:rsidRPr="00910CE9">
        <w:rPr>
          <w:rFonts w:ascii="Geomanist Light" w:hAnsi="Geomanist Light" w:cs="Arial"/>
          <w:bCs/>
        </w:rPr>
        <w:t xml:space="preserve"> en máximo dos (2) de estos el porcentaje (%) de dimensionamiento determinado </w:t>
      </w:r>
      <w:r w:rsidR="00EC25DF" w:rsidRPr="00910CE9">
        <w:rPr>
          <w:rFonts w:ascii="Geomanist Light" w:hAnsi="Geomanist Light" w:cs="Arial"/>
          <w:bCs/>
        </w:rPr>
        <w:t>para la</w:t>
      </w:r>
      <w:r w:rsidRPr="00910CE9">
        <w:rPr>
          <w:rFonts w:ascii="Geomanist Light" w:hAnsi="Geomanist Light" w:cs="Arial"/>
          <w:bCs/>
        </w:rPr>
        <w:t xml:space="preserve"> experiencia específica</w:t>
      </w:r>
      <w:r w:rsidR="00EC25DF" w:rsidRPr="00910CE9">
        <w:rPr>
          <w:rFonts w:ascii="Geomanist Light" w:hAnsi="Geomanist Light" w:cs="Arial"/>
          <w:bCs/>
        </w:rPr>
        <w:t xml:space="preserve"> establecida en la matriz</w:t>
      </w:r>
      <w:r w:rsidRPr="00910CE9">
        <w:rPr>
          <w:rFonts w:ascii="Geomanist Light" w:hAnsi="Geomanist Light" w:cs="Arial"/>
          <w:bCs/>
        </w:rPr>
        <w:t xml:space="preserve">. </w:t>
      </w:r>
      <w:r w:rsidR="00B629CA" w:rsidRPr="00910CE9">
        <w:rPr>
          <w:rFonts w:ascii="Geomanist Light" w:hAnsi="Geomanist Light" w:cs="Arial"/>
          <w:bCs/>
        </w:rPr>
        <w:t xml:space="preserve">Esto significa que los dos (2) contratos aportados deberán cumplir con la experiencia general </w:t>
      </w:r>
      <w:r w:rsidR="00EC25DF" w:rsidRPr="00910CE9">
        <w:rPr>
          <w:rFonts w:ascii="Geomanist Light" w:hAnsi="Geomanist Light" w:cs="Arial"/>
          <w:bCs/>
        </w:rPr>
        <w:t xml:space="preserve">requerida </w:t>
      </w:r>
      <w:r w:rsidR="00B629CA" w:rsidRPr="00910CE9">
        <w:rPr>
          <w:rFonts w:ascii="Geomanist Light" w:hAnsi="Geomanist Light" w:cs="Arial"/>
          <w:bCs/>
        </w:rPr>
        <w:t>y sumar la totalidad del porcentaje (%) de dimensionamiento exigid</w:t>
      </w:r>
      <w:r w:rsidR="001E6A45" w:rsidRPr="00910CE9">
        <w:rPr>
          <w:rFonts w:ascii="Geomanist Light" w:hAnsi="Geomanist Light" w:cs="Arial"/>
          <w:bCs/>
        </w:rPr>
        <w:t xml:space="preserve">o. </w:t>
      </w:r>
    </w:p>
    <w:p w14:paraId="7C044831" w14:textId="06C89F95" w:rsidR="00A27EA4" w:rsidRPr="00910CE9" w:rsidRDefault="00B629CA" w:rsidP="001E6A45">
      <w:pPr>
        <w:spacing w:before="120" w:after="0" w:line="276" w:lineRule="auto"/>
        <w:ind w:firstLine="709"/>
        <w:jc w:val="both"/>
        <w:rPr>
          <w:rFonts w:ascii="Geomanist Light" w:hAnsi="Geomanist Light" w:cs="Arial"/>
          <w:lang w:val="es-ES_tradnl"/>
        </w:rPr>
      </w:pPr>
      <w:r w:rsidRPr="00910CE9">
        <w:rPr>
          <w:rFonts w:ascii="Geomanist Light" w:hAnsi="Geomanist Light" w:cs="Arial"/>
          <w:bCs/>
        </w:rPr>
        <w:t xml:space="preserve">Sin embargo, debe precisarse que esta nota no aplica de forma automática para las actividades en las que está incluida, sino que será la entidad, en el pliego de condiciones, la que determine su aplicación de acuerdo con el alcance físico del proyecto y el requerimiento establecido para tal fin en la Matriz de Experiencia. Lo anterior se colige de la misma redacción de la nota, en la que se indica que </w:t>
      </w:r>
      <w:r w:rsidRPr="00910CE9">
        <w:rPr>
          <w:rFonts w:ascii="Geomanist Light" w:hAnsi="Geomanist Light" w:cs="Arial"/>
          <w:bCs/>
          <w:lang w:val="es-ES_tradnl"/>
        </w:rPr>
        <w:t>«</w:t>
      </w:r>
      <w:r w:rsidRPr="00910CE9">
        <w:rPr>
          <w:rFonts w:ascii="Geomanist Light" w:hAnsi="Geomanist Light" w:cs="Arial"/>
          <w:bCs/>
        </w:rPr>
        <w:t>Cuando la entidad considere procedente esta posibilidad lo señalará en el pliego de condiciones al momento de indicar la experiencia a requerir</w:t>
      </w:r>
      <w:r w:rsidRPr="00910CE9">
        <w:rPr>
          <w:rFonts w:ascii="Geomanist Light" w:hAnsi="Geomanist Light" w:cs="Arial"/>
          <w:bCs/>
          <w:lang w:val="es-ES_tradnl"/>
        </w:rPr>
        <w:t xml:space="preserve">», es decir, que su aplicación está condicionada a que la entidad lo establezca. De esta manera, si la magnitud que se requiera usualmente es difícil acreditarla con un solo contrato y la entidad lo considera procedente por las condiciones particulares del proyecto, se aplicará la nota general señalada, situación de la cual la entidad deberá dejar constancia en los documentos del proceso de contratación, siendo estos requisitos adecuados y proporcionales, sin perjuicio que sea un aspecto susceptible de observación por parte de los interesados en el proceso de selección. </w:t>
      </w:r>
    </w:p>
    <w:p w14:paraId="5A0EBD0D" w14:textId="77777777" w:rsidR="001E6A45" w:rsidRPr="00910CE9" w:rsidRDefault="001E6A45" w:rsidP="001E6A45">
      <w:pPr>
        <w:spacing w:before="120" w:after="0" w:line="276" w:lineRule="auto"/>
        <w:ind w:firstLine="709"/>
        <w:jc w:val="both"/>
        <w:rPr>
          <w:rFonts w:ascii="Geomanist Light" w:hAnsi="Geomanist Light" w:cs="Arial"/>
          <w:lang w:val="es-ES_tradnl"/>
        </w:rPr>
      </w:pPr>
    </w:p>
    <w:p w14:paraId="056816F7" w14:textId="36C087E7" w:rsidR="00D40F8B" w:rsidRPr="00910CE9" w:rsidRDefault="00DD5B04" w:rsidP="00B21AD4">
      <w:pPr>
        <w:widowControl w:val="0"/>
        <w:autoSpaceDE w:val="0"/>
        <w:autoSpaceDN w:val="0"/>
        <w:spacing w:line="276" w:lineRule="auto"/>
        <w:jc w:val="both"/>
        <w:rPr>
          <w:rFonts w:ascii="Geomanist Light" w:hAnsi="Geomanist Light" w:cs="Arial"/>
          <w:lang w:val="es-ES_tradnl" w:bidi="es-ES"/>
        </w:rPr>
      </w:pPr>
      <w:r w:rsidRPr="00910CE9">
        <w:rPr>
          <w:rFonts w:ascii="Geomanist Light" w:hAnsi="Geomanist Light" w:cs="Arial"/>
          <w:color w:val="000000" w:themeColor="text1"/>
          <w:lang w:val="es-ES_tradnl"/>
        </w:rPr>
        <w:t>Este concepto tiene el alcance previsto en el artículo 28 del Código de Procedimiento Administrativo y de</w:t>
      </w:r>
      <w:r w:rsidR="00D40F8B" w:rsidRPr="00910CE9">
        <w:rPr>
          <w:rFonts w:ascii="Geomanist Light" w:hAnsi="Geomanist Light" w:cs="Arial"/>
          <w:color w:val="000000" w:themeColor="text1"/>
          <w:lang w:val="es-ES_tradnl"/>
        </w:rPr>
        <w:t xml:space="preserve"> lo Contencioso Administrativo.</w:t>
      </w:r>
    </w:p>
    <w:p w14:paraId="6F54E9C9" w14:textId="77777777" w:rsidR="00003233" w:rsidRPr="00910CE9" w:rsidRDefault="00003233" w:rsidP="00D40F8B">
      <w:pPr>
        <w:spacing w:before="120" w:line="276" w:lineRule="auto"/>
        <w:jc w:val="both"/>
        <w:rPr>
          <w:rFonts w:ascii="Geomanist Light" w:hAnsi="Geomanist Light" w:cs="Arial"/>
          <w:color w:val="000000" w:themeColor="text1"/>
          <w:lang w:val="es-ES_tradnl"/>
        </w:rPr>
      </w:pPr>
    </w:p>
    <w:p w14:paraId="349855C9" w14:textId="4E2C915B" w:rsidR="00D40F8B" w:rsidRPr="00910CE9" w:rsidRDefault="00861F0F" w:rsidP="00DF76A2">
      <w:pPr>
        <w:pStyle w:val="NormalWeb"/>
        <w:spacing w:before="0" w:beforeAutospacing="0" w:after="0" w:afterAutospacing="0" w:line="276" w:lineRule="auto"/>
        <w:jc w:val="both"/>
        <w:rPr>
          <w:rFonts w:ascii="Geomanist Light" w:hAnsi="Geomanist Light" w:cs="Arial"/>
          <w:color w:val="000000" w:themeColor="text1"/>
          <w:sz w:val="22"/>
          <w:szCs w:val="22"/>
          <w:lang w:val="es-ES_tradnl"/>
        </w:rPr>
      </w:pPr>
      <w:r w:rsidRPr="00910CE9">
        <w:rPr>
          <w:rFonts w:ascii="Geomanist Light" w:hAnsi="Geomanist Light" w:cs="Arial"/>
          <w:color w:val="000000" w:themeColor="text1"/>
          <w:sz w:val="22"/>
          <w:szCs w:val="22"/>
          <w:lang w:val="es-ES_tradnl"/>
        </w:rPr>
        <w:t>Atentamente,</w:t>
      </w:r>
    </w:p>
    <w:p w14:paraId="10A1E411" w14:textId="09E135C8" w:rsidR="00D40F8B" w:rsidRPr="00910CE9" w:rsidRDefault="00910CE9" w:rsidP="00003233">
      <w:pPr>
        <w:pStyle w:val="NormalWeb"/>
        <w:spacing w:before="0" w:beforeAutospacing="0" w:after="0" w:afterAutospacing="0" w:line="276" w:lineRule="auto"/>
        <w:jc w:val="center"/>
        <w:rPr>
          <w:rFonts w:ascii="Geomanist Light" w:hAnsi="Geomanist Light" w:cs="Arial"/>
          <w:color w:val="000000" w:themeColor="text1"/>
          <w:sz w:val="22"/>
          <w:szCs w:val="22"/>
          <w:lang w:val="es-ES_tradnl"/>
        </w:rPr>
      </w:pPr>
      <w:r w:rsidRPr="00910CE9">
        <w:rPr>
          <w:rFonts w:ascii="Geomanist Light" w:hAnsi="Geomanist Light" w:cs="Arial"/>
          <w:noProof/>
          <w:color w:val="000000"/>
          <w:lang w:val="es-ES_tradnl"/>
        </w:rPr>
        <w:lastRenderedPageBreak/>
        <w:drawing>
          <wp:inline distT="0" distB="0" distL="0" distR="0" wp14:anchorId="605FE0F8" wp14:editId="18971F1C">
            <wp:extent cx="2905125" cy="1114655"/>
            <wp:effectExtent l="0" t="0" r="0" b="9525"/>
            <wp:docPr id="2"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12252" cy="1117390"/>
                    </a:xfrm>
                    <a:prstGeom prst="rect">
                      <a:avLst/>
                    </a:prstGeom>
                    <a:noFill/>
                    <a:ln>
                      <a:noFill/>
                    </a:ln>
                  </pic:spPr>
                </pic:pic>
              </a:graphicData>
            </a:graphic>
          </wp:inline>
        </w:drawing>
      </w:r>
    </w:p>
    <w:p w14:paraId="1ED13883" w14:textId="77777777" w:rsidR="00003233" w:rsidRPr="00910CE9" w:rsidRDefault="00003233" w:rsidP="00AD4A51">
      <w:pPr>
        <w:pStyle w:val="NormalWeb"/>
        <w:spacing w:before="0" w:beforeAutospacing="0" w:after="0" w:afterAutospacing="0"/>
        <w:rPr>
          <w:rFonts w:ascii="Geomanist Light" w:hAnsi="Geomanist Light" w:cs="Arial"/>
          <w:color w:val="000000" w:themeColor="text1"/>
          <w:sz w:val="22"/>
          <w:szCs w:val="2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DD5B04" w:rsidRPr="00910CE9" w14:paraId="0C7DC5F7" w14:textId="77777777" w:rsidTr="00D40F8B">
        <w:trPr>
          <w:trHeight w:val="160"/>
        </w:trPr>
        <w:tc>
          <w:tcPr>
            <w:tcW w:w="812" w:type="dxa"/>
            <w:vAlign w:val="center"/>
            <w:hideMark/>
          </w:tcPr>
          <w:p w14:paraId="5BDB1AC9" w14:textId="77777777" w:rsidR="00DD5B04" w:rsidRPr="00910CE9" w:rsidRDefault="00DD5B04" w:rsidP="00AD4A51">
            <w:pPr>
              <w:spacing w:after="0" w:line="240" w:lineRule="auto"/>
              <w:jc w:val="both"/>
              <w:rPr>
                <w:rFonts w:ascii="Geomanist Light" w:hAnsi="Geomanist Light" w:cs="Arial"/>
                <w:color w:val="000000" w:themeColor="text1"/>
                <w:sz w:val="16"/>
                <w:szCs w:val="16"/>
                <w:lang w:val="es-ES_tradnl" w:eastAsia="es-ES"/>
              </w:rPr>
            </w:pPr>
            <w:r w:rsidRPr="00910CE9">
              <w:rPr>
                <w:rFonts w:ascii="Geomanist Light" w:hAnsi="Geomanist Light"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7F9F79B1" w14:textId="6E181913" w:rsidR="00DD5B04" w:rsidRPr="00910CE9" w:rsidRDefault="00F412DF" w:rsidP="00AD4A51">
            <w:pPr>
              <w:spacing w:after="0" w:line="240" w:lineRule="auto"/>
              <w:jc w:val="both"/>
              <w:rPr>
                <w:rFonts w:ascii="Geomanist Light" w:hAnsi="Geomanist Light" w:cs="Arial"/>
                <w:color w:val="000000" w:themeColor="text1"/>
                <w:sz w:val="16"/>
                <w:szCs w:val="16"/>
                <w:lang w:val="es-ES_tradnl" w:eastAsia="es-ES"/>
              </w:rPr>
            </w:pPr>
            <w:r w:rsidRPr="00910CE9">
              <w:rPr>
                <w:rFonts w:ascii="Geomanist Light" w:hAnsi="Geomanist Light" w:cs="Arial"/>
                <w:color w:val="000000" w:themeColor="text1"/>
                <w:sz w:val="16"/>
                <w:szCs w:val="16"/>
                <w:lang w:val="es-ES_tradnl" w:eastAsia="es-ES"/>
              </w:rPr>
              <w:t>Tatiana Baquero Iguarán</w:t>
            </w:r>
          </w:p>
          <w:p w14:paraId="240C71FD" w14:textId="31312C95" w:rsidR="00DD5B04" w:rsidRPr="00910CE9" w:rsidRDefault="00DD5B04" w:rsidP="00AD4A51">
            <w:pPr>
              <w:spacing w:after="0" w:line="240" w:lineRule="auto"/>
              <w:jc w:val="both"/>
              <w:rPr>
                <w:rFonts w:ascii="Geomanist Light" w:hAnsi="Geomanist Light" w:cs="Arial"/>
                <w:color w:val="000000" w:themeColor="text1"/>
                <w:sz w:val="16"/>
                <w:szCs w:val="16"/>
                <w:lang w:val="es-ES_tradnl" w:eastAsia="es-ES"/>
              </w:rPr>
            </w:pPr>
            <w:r w:rsidRPr="00910CE9">
              <w:rPr>
                <w:rFonts w:ascii="Geomanist Light" w:hAnsi="Geomanist Light" w:cs="Arial"/>
                <w:color w:val="000000" w:themeColor="text1"/>
                <w:sz w:val="16"/>
                <w:szCs w:val="16"/>
                <w:lang w:val="es-ES_tradnl" w:eastAsia="es-ES"/>
              </w:rPr>
              <w:t>Contratista</w:t>
            </w:r>
            <w:r w:rsidR="00FF0050" w:rsidRPr="00910CE9">
              <w:rPr>
                <w:rFonts w:ascii="Geomanist Light" w:hAnsi="Geomanist Light" w:cs="Arial"/>
                <w:color w:val="000000" w:themeColor="text1"/>
                <w:sz w:val="16"/>
                <w:szCs w:val="16"/>
                <w:lang w:val="es-ES_tradnl" w:eastAsia="es-ES"/>
              </w:rPr>
              <w:t xml:space="preserve"> de la </w:t>
            </w:r>
            <w:r w:rsidRPr="00910CE9">
              <w:rPr>
                <w:rFonts w:ascii="Geomanist Light" w:hAnsi="Geomanist Light" w:cs="Arial"/>
                <w:color w:val="000000" w:themeColor="text1"/>
                <w:sz w:val="16"/>
                <w:szCs w:val="16"/>
                <w:lang w:val="es-ES_tradnl" w:eastAsia="es-ES"/>
              </w:rPr>
              <w:t>Subdirección de Gestión Contractual</w:t>
            </w:r>
          </w:p>
        </w:tc>
      </w:tr>
      <w:tr w:rsidR="00DD5B04" w:rsidRPr="00910CE9" w14:paraId="2F8FD650" w14:textId="77777777" w:rsidTr="00D15356">
        <w:trPr>
          <w:trHeight w:val="330"/>
        </w:trPr>
        <w:tc>
          <w:tcPr>
            <w:tcW w:w="812" w:type="dxa"/>
            <w:vAlign w:val="center"/>
            <w:hideMark/>
          </w:tcPr>
          <w:p w14:paraId="50203A0B" w14:textId="77777777" w:rsidR="00DD5B04" w:rsidRPr="00910CE9" w:rsidRDefault="00DD5B04" w:rsidP="00AD4A51">
            <w:pPr>
              <w:spacing w:after="0" w:line="240" w:lineRule="auto"/>
              <w:jc w:val="both"/>
              <w:rPr>
                <w:rFonts w:ascii="Geomanist Light" w:hAnsi="Geomanist Light" w:cs="Arial"/>
                <w:color w:val="000000" w:themeColor="text1"/>
                <w:sz w:val="16"/>
                <w:szCs w:val="16"/>
                <w:lang w:val="es-ES_tradnl" w:eastAsia="es-ES"/>
              </w:rPr>
            </w:pPr>
            <w:r w:rsidRPr="00910CE9">
              <w:rPr>
                <w:rFonts w:ascii="Geomanist Light" w:hAnsi="Geomanist Light" w:cs="Arial"/>
                <w:color w:val="000000" w:themeColor="text1"/>
                <w:sz w:val="16"/>
                <w:szCs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21A4DC18" w14:textId="7A62242E" w:rsidR="003A07D9" w:rsidRPr="00910CE9" w:rsidRDefault="0037195B" w:rsidP="00AD4A51">
            <w:pPr>
              <w:spacing w:after="0" w:line="240" w:lineRule="auto"/>
              <w:jc w:val="both"/>
              <w:rPr>
                <w:rFonts w:ascii="Geomanist Light" w:hAnsi="Geomanist Light" w:cs="Arial"/>
                <w:color w:val="000000" w:themeColor="text1"/>
                <w:sz w:val="16"/>
                <w:szCs w:val="16"/>
                <w:lang w:eastAsia="es-ES"/>
              </w:rPr>
            </w:pPr>
            <w:r w:rsidRPr="00910CE9">
              <w:rPr>
                <w:rFonts w:ascii="Geomanist Light" w:hAnsi="Geomanist Light" w:cs="Arial"/>
                <w:color w:val="000000" w:themeColor="text1"/>
                <w:sz w:val="16"/>
                <w:szCs w:val="16"/>
                <w:lang w:eastAsia="es-ES"/>
              </w:rPr>
              <w:t xml:space="preserve">Alejandro Sarmiento Cantillo </w:t>
            </w:r>
          </w:p>
          <w:p w14:paraId="130B3228" w14:textId="7B765391" w:rsidR="00DD5B04" w:rsidRPr="00910CE9" w:rsidRDefault="003A07D9" w:rsidP="00AD4A51">
            <w:pPr>
              <w:spacing w:after="0" w:line="240" w:lineRule="auto"/>
              <w:jc w:val="both"/>
              <w:rPr>
                <w:rFonts w:ascii="Geomanist Light" w:hAnsi="Geomanist Light" w:cs="Arial"/>
                <w:color w:val="000000" w:themeColor="text1"/>
                <w:sz w:val="16"/>
                <w:szCs w:val="16"/>
                <w:lang w:eastAsia="es-ES"/>
              </w:rPr>
            </w:pPr>
            <w:r w:rsidRPr="00910CE9">
              <w:rPr>
                <w:rFonts w:ascii="Geomanist Light" w:hAnsi="Geomanist Light" w:cs="Arial"/>
                <w:color w:val="000000" w:themeColor="text1"/>
                <w:sz w:val="16"/>
                <w:szCs w:val="16"/>
                <w:lang w:eastAsia="es-ES"/>
              </w:rPr>
              <w:t>Gestor T1-15 de la Subdirección de Gestión Contractual</w:t>
            </w:r>
          </w:p>
        </w:tc>
      </w:tr>
      <w:tr w:rsidR="00DD5B04" w:rsidRPr="00910CE9" w14:paraId="0FCBCA4A" w14:textId="77777777" w:rsidTr="00D15356">
        <w:trPr>
          <w:trHeight w:val="300"/>
        </w:trPr>
        <w:tc>
          <w:tcPr>
            <w:tcW w:w="812" w:type="dxa"/>
            <w:vAlign w:val="center"/>
            <w:hideMark/>
          </w:tcPr>
          <w:p w14:paraId="3C1D943A" w14:textId="77777777" w:rsidR="00DD5B04" w:rsidRPr="00910CE9" w:rsidRDefault="00DD5B04" w:rsidP="00AD4A51">
            <w:pPr>
              <w:spacing w:after="0" w:line="240" w:lineRule="auto"/>
              <w:jc w:val="both"/>
              <w:rPr>
                <w:rFonts w:ascii="Geomanist Light" w:hAnsi="Geomanist Light" w:cs="Arial"/>
                <w:color w:val="000000" w:themeColor="text1"/>
                <w:sz w:val="16"/>
                <w:szCs w:val="16"/>
                <w:lang w:val="es-ES_tradnl" w:eastAsia="es-ES"/>
              </w:rPr>
            </w:pPr>
            <w:r w:rsidRPr="00910CE9">
              <w:rPr>
                <w:rFonts w:ascii="Geomanist Light" w:hAnsi="Geomanist Light"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36C05559" w14:textId="5D2A6936" w:rsidR="008657C6" w:rsidRPr="00910CE9" w:rsidRDefault="006F0D34" w:rsidP="00AD4A51">
            <w:pPr>
              <w:spacing w:after="0" w:line="240" w:lineRule="auto"/>
              <w:rPr>
                <w:rFonts w:ascii="Geomanist Light" w:hAnsi="Geomanist Light" w:cs="Arial"/>
                <w:color w:val="000000" w:themeColor="text1"/>
                <w:sz w:val="16"/>
                <w:szCs w:val="16"/>
                <w:lang w:eastAsia="es-ES"/>
              </w:rPr>
            </w:pPr>
            <w:r w:rsidRPr="00910CE9">
              <w:rPr>
                <w:rFonts w:ascii="Geomanist Light" w:hAnsi="Geomanist Light" w:cs="Arial"/>
                <w:color w:val="000000" w:themeColor="text1"/>
                <w:sz w:val="16"/>
                <w:szCs w:val="16"/>
                <w:lang w:eastAsia="es-ES"/>
              </w:rPr>
              <w:t>Nohelia del Carmen Zawady Palacio</w:t>
            </w:r>
          </w:p>
          <w:p w14:paraId="1ADC483B" w14:textId="0021CE89" w:rsidR="00DD5B04" w:rsidRPr="00910CE9" w:rsidRDefault="008657C6" w:rsidP="00AD4A51">
            <w:pPr>
              <w:spacing w:after="0" w:line="240" w:lineRule="auto"/>
              <w:jc w:val="both"/>
              <w:rPr>
                <w:rFonts w:ascii="Geomanist Light" w:hAnsi="Geomanist Light" w:cs="Arial"/>
                <w:color w:val="000000" w:themeColor="text1"/>
                <w:sz w:val="16"/>
                <w:szCs w:val="16"/>
                <w:lang w:val="es-ES_tradnl" w:eastAsia="es-ES"/>
              </w:rPr>
            </w:pPr>
            <w:r w:rsidRPr="00910CE9">
              <w:rPr>
                <w:rFonts w:ascii="Geomanist Light" w:eastAsia="Arial" w:hAnsi="Geomanist Light" w:cs="Arial"/>
                <w:color w:val="000000"/>
                <w:sz w:val="16"/>
                <w:szCs w:val="16"/>
              </w:rPr>
              <w:t>Subdirector</w:t>
            </w:r>
            <w:r w:rsidR="006F0D34" w:rsidRPr="00910CE9">
              <w:rPr>
                <w:rFonts w:ascii="Geomanist Light" w:eastAsia="Arial" w:hAnsi="Geomanist Light" w:cs="Arial"/>
                <w:color w:val="000000"/>
                <w:sz w:val="16"/>
                <w:szCs w:val="16"/>
              </w:rPr>
              <w:t>a</w:t>
            </w:r>
            <w:r w:rsidRPr="00910CE9">
              <w:rPr>
                <w:rFonts w:ascii="Geomanist Light" w:eastAsia="Arial" w:hAnsi="Geomanist Light" w:cs="Arial"/>
                <w:color w:val="000000"/>
                <w:sz w:val="16"/>
                <w:szCs w:val="16"/>
              </w:rPr>
              <w:t xml:space="preserve"> de Gestión Contractual</w:t>
            </w:r>
          </w:p>
        </w:tc>
      </w:tr>
      <w:bookmarkEnd w:id="0"/>
      <w:bookmarkEnd w:id="2"/>
    </w:tbl>
    <w:p w14:paraId="6FD7D67A" w14:textId="77777777" w:rsidR="00931625" w:rsidRPr="00910CE9" w:rsidRDefault="00931625" w:rsidP="00471351">
      <w:pPr>
        <w:spacing w:before="120" w:after="0" w:line="276" w:lineRule="auto"/>
        <w:ind w:firstLine="680"/>
        <w:jc w:val="both"/>
        <w:rPr>
          <w:rFonts w:ascii="Geomanist Light" w:hAnsi="Geomanist Light" w:cs="Arial"/>
          <w:lang w:val="es-MX"/>
        </w:rPr>
      </w:pPr>
    </w:p>
    <w:p w14:paraId="575AF8D6" w14:textId="503E82EC" w:rsidR="003A07D9" w:rsidRPr="00910CE9" w:rsidRDefault="003A07D9" w:rsidP="003A07D9">
      <w:pPr>
        <w:tabs>
          <w:tab w:val="left" w:pos="3570"/>
        </w:tabs>
        <w:rPr>
          <w:rFonts w:ascii="Geomanist Light" w:hAnsi="Geomanist Light" w:cs="Arial"/>
          <w:lang w:val="es-ES_tradnl"/>
        </w:rPr>
      </w:pPr>
    </w:p>
    <w:sectPr w:rsidR="003A07D9" w:rsidRPr="00910CE9" w:rsidSect="00E609E9">
      <w:headerReference w:type="default" r:id="rId13"/>
      <w:footerReference w:type="default" r:id="rId14"/>
      <w:pgSz w:w="12240" w:h="15840"/>
      <w:pgMar w:top="2041" w:right="1750" w:bottom="1418" w:left="1701" w:header="340" w:footer="22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96F467" w14:textId="77777777" w:rsidR="009548A1" w:rsidRDefault="009548A1">
      <w:r>
        <w:separator/>
      </w:r>
    </w:p>
  </w:endnote>
  <w:endnote w:type="continuationSeparator" w:id="0">
    <w:p w14:paraId="7010B7D4" w14:textId="77777777" w:rsidR="009548A1" w:rsidRDefault="009548A1">
      <w:r>
        <w:continuationSeparator/>
      </w:r>
    </w:p>
  </w:endnote>
  <w:endnote w:type="continuationNotice" w:id="1">
    <w:p w14:paraId="7A9B2FA4" w14:textId="77777777" w:rsidR="009548A1" w:rsidRDefault="009548A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Geomanist Light">
    <w:altName w:val="Calibri"/>
    <w:panose1 w:val="02000503000000020004"/>
    <w:charset w:val="00"/>
    <w:family w:val="modern"/>
    <w:notTrueType/>
    <w:pitch w:val="variable"/>
    <w:sig w:usb0="A000002F" w:usb1="1000004A" w:usb2="00000000" w:usb3="00000000" w:csb0="00000193" w:csb1="00000000"/>
  </w:font>
  <w:font w:name="Courier New">
    <w:panose1 w:val="02070309020205020404"/>
    <w:charset w:val="00"/>
    <w:family w:val="modern"/>
    <w:pitch w:val="fixed"/>
    <w:sig w:usb0="E0002EFF" w:usb1="C0007843" w:usb2="00000009" w:usb3="00000000" w:csb0="000001FF" w:csb1="00000000"/>
  </w:font>
  <w:font w:name="Arial MT">
    <w:altName w:val="Arial"/>
    <w:charset w:val="01"/>
    <w:family w:val="swiss"/>
    <w:pitch w:val="variable"/>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2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FC6A04" w14:textId="7C6D95CC" w:rsidR="00E2520A" w:rsidRPr="0020796E" w:rsidRDefault="0020796E" w:rsidP="0020796E">
    <w:pPr>
      <w:pStyle w:val="Piedepgina"/>
      <w:rPr>
        <w:rFonts w:ascii="Arial" w:hAnsi="Arial" w:cs="Arial"/>
        <w:color w:val="7F7F7F"/>
        <w:sz w:val="16"/>
        <w:szCs w:val="16"/>
      </w:rPr>
    </w:pPr>
    <w:r>
      <w:rPr>
        <w:noProof/>
      </w:rPr>
      <w:drawing>
        <wp:inline distT="0" distB="0" distL="0" distR="0" wp14:anchorId="4EE241A6" wp14:editId="327EECCF">
          <wp:extent cx="5553075" cy="866719"/>
          <wp:effectExtent l="0" t="0" r="0" b="0"/>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595787" cy="873385"/>
                  </a:xfrm>
                  <a:prstGeom prst="rect">
                    <a:avLst/>
                  </a:prstGeom>
                </pic:spPr>
              </pic:pic>
            </a:graphicData>
          </a:graphic>
        </wp:inline>
      </w:drawing>
    </w:r>
  </w:p>
  <w:tbl>
    <w:tblPr>
      <w:tblStyle w:val="Tablaconcuadrcula"/>
      <w:tblW w:w="864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36"/>
      <w:gridCol w:w="844"/>
      <w:gridCol w:w="1653"/>
      <w:gridCol w:w="720"/>
      <w:gridCol w:w="2538"/>
      <w:gridCol w:w="1418"/>
    </w:tblGrid>
    <w:tr w:rsidR="0020796E" w:rsidRPr="00080DA3" w14:paraId="68BC7901" w14:textId="77777777" w:rsidTr="0020796E">
      <w:trPr>
        <w:trHeight w:val="198"/>
        <w:jc w:val="center"/>
      </w:trPr>
      <w:tc>
        <w:tcPr>
          <w:tcW w:w="276" w:type="dxa"/>
          <w:tcBorders>
            <w:top w:val="dotted" w:sz="4" w:space="0" w:color="6D6D6D" w:themeColor="background1" w:themeShade="80"/>
            <w:left w:val="dotted" w:sz="4" w:space="0" w:color="6D6D6D" w:themeColor="background1" w:themeShade="80"/>
            <w:bottom w:val="dotted" w:sz="4" w:space="0" w:color="6D6D6D" w:themeColor="background1" w:themeShade="80"/>
          </w:tcBorders>
          <w:shd w:val="clear" w:color="auto" w:fill="auto"/>
        </w:tcPr>
        <w:p w14:paraId="708FF6F4" w14:textId="77777777" w:rsidR="0020796E" w:rsidRPr="00080DA3" w:rsidRDefault="0020796E" w:rsidP="0020796E">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6D6D6D" w:themeColor="background1" w:themeShade="80"/>
            <w:bottom w:val="dotted" w:sz="4" w:space="0" w:color="6D6D6D" w:themeColor="background1" w:themeShade="80"/>
            <w:right w:val="dotted" w:sz="4" w:space="0" w:color="6D6D6D" w:themeColor="background1" w:themeShade="80"/>
          </w:tcBorders>
          <w:shd w:val="clear" w:color="auto" w:fill="auto"/>
        </w:tcPr>
        <w:p w14:paraId="5E01DE96" w14:textId="77777777" w:rsidR="0020796E" w:rsidRPr="00080DA3" w:rsidRDefault="0020796E" w:rsidP="0020796E">
          <w:pPr>
            <w:pStyle w:val="Piedepgina"/>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1</w:t>
          </w:r>
        </w:p>
      </w:tc>
      <w:tc>
        <w:tcPr>
          <w:tcW w:w="844" w:type="dxa"/>
          <w:tcBorders>
            <w:top w:val="dotted" w:sz="4" w:space="0" w:color="6D6D6D" w:themeColor="background1" w:themeShade="80"/>
            <w:left w:val="dotted" w:sz="4" w:space="0" w:color="6D6D6D" w:themeColor="background1" w:themeShade="80"/>
            <w:bottom w:val="dotted" w:sz="4" w:space="0" w:color="6D6D6D" w:themeColor="background1" w:themeShade="80"/>
          </w:tcBorders>
          <w:shd w:val="clear" w:color="auto" w:fill="auto"/>
        </w:tcPr>
        <w:p w14:paraId="08C4F949" w14:textId="77777777" w:rsidR="0020796E" w:rsidRPr="00080DA3" w:rsidRDefault="0020796E" w:rsidP="0020796E">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6D6D6D" w:themeColor="background1" w:themeShade="80"/>
            <w:bottom w:val="dotted" w:sz="4" w:space="0" w:color="6D6D6D" w:themeColor="background1" w:themeShade="80"/>
            <w:right w:val="dotted" w:sz="4" w:space="0" w:color="6D6D6D" w:themeColor="background1" w:themeShade="80"/>
          </w:tcBorders>
          <w:shd w:val="clear" w:color="auto" w:fill="auto"/>
          <w:vAlign w:val="center"/>
        </w:tcPr>
        <w:p w14:paraId="079C225D" w14:textId="77777777" w:rsidR="0020796E" w:rsidRPr="004B6B0E" w:rsidRDefault="0020796E" w:rsidP="0020796E">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6D6D6D" w:themeColor="background1" w:themeShade="80"/>
            <w:left w:val="dotted" w:sz="4" w:space="0" w:color="6D6D6D" w:themeColor="background1" w:themeShade="80"/>
            <w:bottom w:val="dotted" w:sz="4" w:space="0" w:color="6D6D6D" w:themeColor="background1" w:themeShade="80"/>
          </w:tcBorders>
          <w:shd w:val="clear" w:color="auto" w:fill="auto"/>
        </w:tcPr>
        <w:p w14:paraId="0BDF1025" w14:textId="77777777" w:rsidR="0020796E" w:rsidRPr="00080DA3" w:rsidRDefault="0020796E" w:rsidP="0020796E">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6D6D6D" w:themeColor="background1" w:themeShade="80"/>
            <w:bottom w:val="dotted" w:sz="4" w:space="0" w:color="6D6D6D" w:themeColor="background1" w:themeShade="80"/>
            <w:right w:val="dotted" w:sz="4" w:space="0" w:color="6D6D6D" w:themeColor="background1" w:themeShade="80"/>
          </w:tcBorders>
          <w:shd w:val="clear" w:color="auto" w:fill="auto"/>
        </w:tcPr>
        <w:p w14:paraId="077B246D" w14:textId="77777777" w:rsidR="0020796E" w:rsidRPr="00080DA3" w:rsidRDefault="0020796E" w:rsidP="0020796E">
          <w:pPr>
            <w:pStyle w:val="Piedepgina"/>
            <w:jc w:val="center"/>
            <w:rPr>
              <w:rFonts w:ascii="Geomanist Light" w:hAnsi="Geomanist Light"/>
              <w:sz w:val="18"/>
              <w:szCs w:val="18"/>
            </w:rPr>
          </w:pPr>
          <w:r>
            <w:rPr>
              <w:rFonts w:ascii="Geomanist Light" w:hAnsi="Geomanist Light"/>
              <w:sz w:val="18"/>
              <w:szCs w:val="18"/>
            </w:rPr>
            <w:t>30</w:t>
          </w:r>
          <w:r w:rsidRPr="00080DA3">
            <w:rPr>
              <w:rFonts w:ascii="Geomanist Light" w:hAnsi="Geomanist Light"/>
              <w:sz w:val="18"/>
              <w:szCs w:val="18"/>
            </w:rPr>
            <w:t xml:space="preserve"> de </w:t>
          </w:r>
          <w:r>
            <w:rPr>
              <w:rFonts w:ascii="Geomanist Light" w:hAnsi="Geomanist Light"/>
              <w:sz w:val="18"/>
              <w:szCs w:val="18"/>
            </w:rPr>
            <w:t>agosto</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6D6D6D" w:themeColor="background1" w:themeShade="80"/>
            <w:left w:val="dotted" w:sz="4" w:space="0" w:color="6D6D6D" w:themeColor="background1" w:themeShade="80"/>
            <w:bottom w:val="dotted" w:sz="4" w:space="0" w:color="6D6D6D" w:themeColor="background1" w:themeShade="80"/>
            <w:right w:val="dotted" w:sz="4" w:space="0" w:color="6D6D6D" w:themeColor="background1" w:themeShade="80"/>
          </w:tcBorders>
          <w:shd w:val="clear" w:color="auto" w:fill="auto"/>
        </w:tcPr>
        <w:p w14:paraId="1A3119EE" w14:textId="77777777" w:rsidR="0020796E" w:rsidRPr="00080DA3" w:rsidRDefault="0020796E" w:rsidP="0020796E">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2</w:t>
          </w:r>
          <w:r w:rsidRPr="00080DA3">
            <w:rPr>
              <w:rFonts w:ascii="Geomanist Light" w:hAnsi="Geomanist Light"/>
              <w:b/>
              <w:bCs/>
              <w:sz w:val="18"/>
              <w:szCs w:val="18"/>
            </w:rPr>
            <w:fldChar w:fldCharType="end"/>
          </w:r>
        </w:p>
      </w:tc>
    </w:tr>
  </w:tbl>
  <w:p w14:paraId="2CCD54A3" w14:textId="77777777" w:rsidR="00E2520A" w:rsidRDefault="00E252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389186" w14:textId="77777777" w:rsidR="009548A1" w:rsidRDefault="009548A1">
      <w:r>
        <w:separator/>
      </w:r>
    </w:p>
  </w:footnote>
  <w:footnote w:type="continuationSeparator" w:id="0">
    <w:p w14:paraId="735B7798" w14:textId="77777777" w:rsidR="009548A1" w:rsidRDefault="009548A1">
      <w:r>
        <w:continuationSeparator/>
      </w:r>
    </w:p>
  </w:footnote>
  <w:footnote w:type="continuationNotice" w:id="1">
    <w:p w14:paraId="27B3CD9B" w14:textId="77777777" w:rsidR="009548A1" w:rsidRDefault="009548A1"/>
  </w:footnote>
  <w:footnote w:id="2">
    <w:p w14:paraId="6186FBAB" w14:textId="1F69F90F" w:rsidR="00A92DC4" w:rsidRPr="00910CE9" w:rsidRDefault="00A92DC4" w:rsidP="00A92DC4">
      <w:pPr>
        <w:pStyle w:val="Textonotapie"/>
        <w:ind w:firstLine="709"/>
        <w:jc w:val="both"/>
        <w:rPr>
          <w:rFonts w:ascii="Geomanist Light" w:eastAsia="Calibri" w:hAnsi="Geomanist Light" w:cs="Arial"/>
          <w:bCs/>
          <w:sz w:val="18"/>
          <w:szCs w:val="18"/>
          <w:lang w:val="es-ES"/>
        </w:rPr>
      </w:pPr>
      <w:r w:rsidRPr="00910CE9">
        <w:rPr>
          <w:rStyle w:val="Refdenotaalpie"/>
          <w:rFonts w:ascii="Geomanist Light" w:hAnsi="Geomanist Light" w:cs="Arial"/>
          <w:sz w:val="16"/>
          <w:szCs w:val="16"/>
        </w:rPr>
        <w:footnoteRef/>
      </w:r>
      <w:r w:rsidRPr="00910CE9">
        <w:rPr>
          <w:rFonts w:ascii="Geomanist Light" w:hAnsi="Geomanist Light" w:cs="Arial"/>
          <w:sz w:val="16"/>
          <w:szCs w:val="16"/>
        </w:rPr>
        <w:t xml:space="preserve"> </w:t>
      </w:r>
      <w:r w:rsidRPr="00910CE9">
        <w:rPr>
          <w:rFonts w:ascii="Geomanist Light" w:eastAsia="Calibri" w:hAnsi="Geomanist Light" w:cs="Arial"/>
          <w:bCs/>
          <w:sz w:val="18"/>
          <w:szCs w:val="18"/>
          <w:lang w:val="es-ES"/>
        </w:rPr>
        <w:t xml:space="preserve">Estos conceptos pueden ser consultados en el siguiente </w:t>
      </w:r>
      <w:proofErr w:type="gramStart"/>
      <w:r w:rsidRPr="00910CE9">
        <w:rPr>
          <w:rFonts w:ascii="Geomanist Light" w:eastAsia="Calibri" w:hAnsi="Geomanist Light" w:cs="Arial"/>
          <w:bCs/>
          <w:sz w:val="18"/>
          <w:szCs w:val="18"/>
          <w:lang w:val="es-ES"/>
        </w:rPr>
        <w:t>link</w:t>
      </w:r>
      <w:proofErr w:type="gramEnd"/>
      <w:r w:rsidRPr="00910CE9">
        <w:rPr>
          <w:rFonts w:ascii="Geomanist Light" w:eastAsia="Calibri" w:hAnsi="Geomanist Light" w:cs="Arial"/>
          <w:bCs/>
          <w:sz w:val="18"/>
          <w:szCs w:val="18"/>
          <w:lang w:val="es-ES"/>
        </w:rPr>
        <w:t xml:space="preserve"> </w:t>
      </w:r>
      <w:hyperlink r:id="rId1" w:history="1">
        <w:r w:rsidR="003467FF" w:rsidRPr="00910CE9">
          <w:rPr>
            <w:rStyle w:val="Hipervnculo"/>
            <w:rFonts w:ascii="Geomanist Light" w:hAnsi="Geomanist Light"/>
            <w:color w:val="auto"/>
          </w:rPr>
          <w:t>https://relatoria.colombiacompra.gov.co/busqueda/conceptos#</w:t>
        </w:r>
      </w:hyperlink>
    </w:p>
    <w:p w14:paraId="46AE63E5" w14:textId="77777777" w:rsidR="003467FF" w:rsidRPr="00910CE9" w:rsidRDefault="003467FF" w:rsidP="00A92DC4">
      <w:pPr>
        <w:pStyle w:val="Textonotapie"/>
        <w:ind w:firstLine="709"/>
        <w:jc w:val="both"/>
        <w:rPr>
          <w:rFonts w:ascii="Geomanist Light" w:hAnsi="Geomanist Light" w:cs="Arial"/>
          <w:sz w:val="16"/>
          <w:szCs w:val="16"/>
          <w:lang w:val="es-CO"/>
        </w:rPr>
      </w:pPr>
    </w:p>
  </w:footnote>
  <w:footnote w:id="3">
    <w:p w14:paraId="7A044BEA" w14:textId="77777777" w:rsidR="00DF1631" w:rsidRPr="00910CE9" w:rsidRDefault="00DF1631" w:rsidP="00DF1631">
      <w:pPr>
        <w:pStyle w:val="Textonotapie"/>
        <w:ind w:firstLine="709"/>
        <w:jc w:val="both"/>
        <w:rPr>
          <w:rFonts w:ascii="Geomanist Light" w:eastAsia="Calibri" w:hAnsi="Geomanist Light" w:cs="Arial"/>
          <w:bCs/>
          <w:sz w:val="18"/>
          <w:szCs w:val="18"/>
          <w:lang w:val="es-ES"/>
        </w:rPr>
      </w:pPr>
      <w:r w:rsidRPr="00910CE9">
        <w:rPr>
          <w:rStyle w:val="Refdenotaalpie"/>
          <w:rFonts w:ascii="Geomanist Light" w:hAnsi="Geomanist Light" w:cs="Arial"/>
        </w:rPr>
        <w:footnoteRef/>
      </w:r>
      <w:r w:rsidRPr="00910CE9">
        <w:rPr>
          <w:rFonts w:ascii="Geomanist Light" w:hAnsi="Geomanist Light" w:cs="Arial"/>
        </w:rPr>
        <w:t xml:space="preserve"> </w:t>
      </w:r>
      <w:r w:rsidRPr="00910CE9">
        <w:rPr>
          <w:rFonts w:ascii="Geomanist Light" w:eastAsia="Calibri" w:hAnsi="Geomanist Light" w:cs="Arial"/>
          <w:bCs/>
          <w:sz w:val="18"/>
          <w:szCs w:val="18"/>
          <w:lang w:val="es-ES"/>
        </w:rPr>
        <w:t>El artículo 1 de la Ley 2022 de 2020 modifica el artículo 4 de la Ley 1882 de 2018, el cual adiciona el parágrafo 7 al artículo 2 de la Ley 1150 de 2007 y dispone que: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11E1584E" w14:textId="77777777" w:rsidR="00DF1631" w:rsidRPr="00910CE9" w:rsidRDefault="00DF1631" w:rsidP="00DF1631">
      <w:pPr>
        <w:pStyle w:val="Textonotapie"/>
        <w:ind w:firstLine="709"/>
        <w:jc w:val="both"/>
        <w:rPr>
          <w:rFonts w:ascii="Geomanist Light" w:eastAsia="Calibri" w:hAnsi="Geomanist Light" w:cs="Arial"/>
          <w:bCs/>
          <w:sz w:val="18"/>
          <w:szCs w:val="18"/>
          <w:lang w:val="es-ES"/>
        </w:rPr>
      </w:pPr>
      <w:proofErr w:type="gramStart"/>
      <w:r w:rsidRPr="00910CE9">
        <w:rPr>
          <w:rFonts w:ascii="Geomanist Light" w:eastAsia="Calibri" w:hAnsi="Geomanist Light" w:cs="Arial"/>
          <w:bCs/>
          <w:sz w:val="18"/>
          <w:szCs w:val="18"/>
          <w:lang w:val="es-ES"/>
        </w:rPr>
        <w:t>»Dentro</w:t>
      </w:r>
      <w:proofErr w:type="gramEnd"/>
      <w:r w:rsidRPr="00910CE9">
        <w:rPr>
          <w:rFonts w:ascii="Geomanist Light" w:eastAsia="Calibri" w:hAnsi="Geomanist Light" w:cs="Arial"/>
          <w:bCs/>
          <w:sz w:val="18"/>
          <w:szCs w:val="18"/>
          <w:lang w:val="es-ES"/>
        </w:rPr>
        <w:t xml:space="preserve">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0D056B66" w14:textId="77777777" w:rsidR="00DF1631" w:rsidRPr="00910CE9" w:rsidRDefault="00DF1631" w:rsidP="00DF1631">
      <w:pPr>
        <w:pStyle w:val="Textonotapie"/>
        <w:ind w:firstLine="709"/>
        <w:jc w:val="both"/>
        <w:rPr>
          <w:rFonts w:ascii="Geomanist Light" w:eastAsia="Calibri" w:hAnsi="Geomanist Light" w:cs="Arial"/>
          <w:bCs/>
          <w:sz w:val="18"/>
          <w:szCs w:val="18"/>
          <w:lang w:val="es-ES"/>
        </w:rPr>
      </w:pPr>
      <w:proofErr w:type="gramStart"/>
      <w:r w:rsidRPr="00910CE9">
        <w:rPr>
          <w:rFonts w:ascii="Geomanist Light" w:eastAsia="Calibri" w:hAnsi="Geomanist Light" w:cs="Arial"/>
          <w:bCs/>
          <w:sz w:val="18"/>
          <w:szCs w:val="18"/>
          <w:lang w:val="es-ES"/>
        </w:rPr>
        <w:t>»Con</w:t>
      </w:r>
      <w:proofErr w:type="gramEnd"/>
      <w:r w:rsidRPr="00910CE9">
        <w:rPr>
          <w:rFonts w:ascii="Geomanist Light" w:eastAsia="Calibri" w:hAnsi="Geomanist Light" w:cs="Arial"/>
          <w:bCs/>
          <w:sz w:val="18"/>
          <w:szCs w:val="18"/>
          <w:lang w:val="es-ES"/>
        </w:rPr>
        <w:t xml:space="preserve">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23F5F156" w14:textId="77777777" w:rsidR="00DF1631" w:rsidRPr="00910CE9" w:rsidRDefault="00DF1631" w:rsidP="00DF1631">
      <w:pPr>
        <w:pStyle w:val="Textonotapie"/>
        <w:ind w:firstLine="709"/>
        <w:jc w:val="both"/>
        <w:rPr>
          <w:rFonts w:ascii="Geomanist Light" w:eastAsia="Calibri" w:hAnsi="Geomanist Light" w:cs="Arial"/>
          <w:bCs/>
          <w:sz w:val="18"/>
          <w:szCs w:val="18"/>
          <w:lang w:val="es-ES"/>
        </w:rPr>
      </w:pPr>
      <w:r w:rsidRPr="00910CE9">
        <w:rPr>
          <w:rFonts w:ascii="Geomanist Light" w:eastAsia="Calibri" w:hAnsi="Geomanist Light" w:cs="Arial"/>
          <w:bCs/>
          <w:sz w:val="18"/>
          <w:szCs w:val="18"/>
          <w:lang w:val="es-ES"/>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5C4B577F" w14:textId="10C015E7" w:rsidR="00DF1631" w:rsidRPr="00910CE9" w:rsidRDefault="00DF1631" w:rsidP="00DF1631">
      <w:pPr>
        <w:pStyle w:val="Textonotapie"/>
        <w:ind w:firstLine="709"/>
        <w:jc w:val="both"/>
        <w:rPr>
          <w:rFonts w:ascii="Geomanist Light" w:eastAsia="Calibri" w:hAnsi="Geomanist Light" w:cs="Arial"/>
          <w:bCs/>
          <w:sz w:val="18"/>
          <w:szCs w:val="18"/>
          <w:lang w:val="es-ES"/>
        </w:rPr>
      </w:pPr>
      <w:r w:rsidRPr="00910CE9">
        <w:rPr>
          <w:rFonts w:ascii="Geomanist Light" w:eastAsia="Calibri" w:hAnsi="Geomanist Light" w:cs="Arial"/>
          <w:bCs/>
          <w:sz w:val="18"/>
          <w:szCs w:val="18"/>
          <w:lang w:val="es-ES"/>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4">
    <w:p w14:paraId="4F3AB224" w14:textId="18F2CCD6" w:rsidR="00DF1631" w:rsidRPr="00910CE9" w:rsidRDefault="00DF1631" w:rsidP="00DF1631">
      <w:pPr>
        <w:pStyle w:val="Textonotapie"/>
        <w:ind w:firstLine="709"/>
        <w:jc w:val="both"/>
        <w:rPr>
          <w:rFonts w:ascii="Geomanist Light" w:hAnsi="Geomanist Light" w:cs="Arial"/>
          <w:lang w:val="es-CO"/>
        </w:rPr>
      </w:pPr>
      <w:r w:rsidRPr="00910CE9">
        <w:rPr>
          <w:rStyle w:val="Refdenotaalpie"/>
          <w:rFonts w:ascii="Geomanist Light" w:hAnsi="Geomanist Light" w:cs="Arial"/>
        </w:rPr>
        <w:footnoteRef/>
      </w:r>
      <w:r w:rsidRPr="00910CE9">
        <w:rPr>
          <w:rFonts w:ascii="Geomanist Light" w:hAnsi="Geomanist Light" w:cs="Arial"/>
        </w:rPr>
        <w:t xml:space="preserve"> </w:t>
      </w:r>
      <w:r w:rsidRPr="00910CE9">
        <w:rPr>
          <w:rFonts w:ascii="Geomanist Light" w:eastAsia="Calibri" w:hAnsi="Geomanist Light" w:cs="Arial"/>
          <w:bCs/>
          <w:sz w:val="18"/>
          <w:szCs w:val="18"/>
          <w:lang w:val="es-ES"/>
        </w:rPr>
        <w:t>Mediante la Resolución 161 del 17 de junio de 2021 se estandarizó la acreditación de los factores de desempate del artículo 35 de la Ley 2069 de 2020, dirigido a los procesos de selección que deban adelantarse con documentos tipo y se realizaron modificaciones a los documentos base, formatos y anexos de los documentos tipo. Igualmente, se expidió la Resolución 173 del 30 de junio de 2021 mediante la cual se modificaron las Matrices 1 – Experiencia de los documentos tipo del sector de agua potable y saneamiento básico y su implementación resulta obligatoria para los procesos de contratación cuyo aviso de convocatoria se publique a partir del 12 de julio de 2021. Además, el 13 de octubre se expidió la Resolución 304 del 2021 «Por la cual se modifican los Documentos Tipo adoptados por la Agencia Nacional de Contratación Pública -Colombia Compra Eficiente», mediante la cual se ajustan los documentos tipo de acuerdo con el Decreto 680 de 2021 y se modifican otros aspectos de estos documentos.</w:t>
      </w:r>
    </w:p>
  </w:footnote>
  <w:footnote w:id="5">
    <w:p w14:paraId="01BA0924" w14:textId="32EF8C83" w:rsidR="00DF1631" w:rsidRPr="00910CE9" w:rsidRDefault="00DF1631" w:rsidP="00DF1631">
      <w:pPr>
        <w:pStyle w:val="Textonotapie"/>
        <w:ind w:firstLine="709"/>
        <w:jc w:val="both"/>
        <w:rPr>
          <w:rFonts w:ascii="Geomanist Light" w:hAnsi="Geomanist Light" w:cs="Arial"/>
          <w:lang w:val="es-CO"/>
        </w:rPr>
      </w:pPr>
      <w:r w:rsidRPr="00910CE9">
        <w:rPr>
          <w:rStyle w:val="Refdenotaalpie"/>
          <w:rFonts w:ascii="Geomanist Light" w:hAnsi="Geomanist Light" w:cs="Arial"/>
        </w:rPr>
        <w:footnoteRef/>
      </w:r>
      <w:r w:rsidRPr="00910CE9">
        <w:rPr>
          <w:rFonts w:ascii="Geomanist Light" w:hAnsi="Geomanist Light" w:cs="Arial"/>
        </w:rPr>
        <w:t xml:space="preserve"> </w:t>
      </w:r>
      <w:r w:rsidRPr="00910CE9">
        <w:rPr>
          <w:rFonts w:ascii="Geomanist Light" w:eastAsia="Calibri" w:hAnsi="Geomanist Light" w:cs="Arial"/>
          <w:bCs/>
          <w:sz w:val="18"/>
          <w:szCs w:val="18"/>
          <w:lang w:val="es-ES"/>
        </w:rPr>
        <w:t>Es importante indicar que con la expedición de la Resolución 275 del 24 de junio de 2022 se unificó la regla referente la acreditación y combinación de experiencia para todos los documentos tipo. Para estos efectos, en el literal A del numeral 3.5.2 de los documentos tipo de agua potable y saneamiento básico se estableció que en el caso que eventualmente se soliciten combinaciones de diferentes actividades a contratar con una misma o diferentes matrices de experiencia, la entidad identificará y definirá la actividad principal o de mayor relevancia y la actividad secundaria o accesoria a la principal, de acuerdo con las características del proyecto en particular y teniendo en cuenta los lineamientos señalados en dicho numeral.</w:t>
      </w:r>
    </w:p>
  </w:footnote>
  <w:footnote w:id="6">
    <w:p w14:paraId="349D8BD6" w14:textId="77777777" w:rsidR="00DF1631" w:rsidRPr="00910CE9" w:rsidRDefault="00DF1631" w:rsidP="00E609E9">
      <w:pPr>
        <w:pStyle w:val="Textonotapie"/>
        <w:ind w:firstLine="708"/>
        <w:jc w:val="both"/>
        <w:rPr>
          <w:rFonts w:ascii="Geomanist Light" w:eastAsia="Calibri" w:hAnsi="Geomanist Light" w:cs="Arial"/>
          <w:bCs/>
          <w:sz w:val="18"/>
          <w:szCs w:val="18"/>
          <w:lang w:val="es-ES"/>
        </w:rPr>
      </w:pPr>
      <w:r w:rsidRPr="00910CE9">
        <w:rPr>
          <w:rStyle w:val="Refdenotaalpie"/>
          <w:rFonts w:ascii="Geomanist Light" w:hAnsi="Geomanist Light" w:cs="Arial"/>
        </w:rPr>
        <w:footnoteRef/>
      </w:r>
      <w:r w:rsidRPr="00910CE9">
        <w:rPr>
          <w:rFonts w:ascii="Geomanist Light" w:hAnsi="Geomanist Light" w:cs="Arial"/>
        </w:rPr>
        <w:t xml:space="preserve"> </w:t>
      </w:r>
      <w:r w:rsidRPr="00910CE9">
        <w:rPr>
          <w:rFonts w:ascii="Geomanist Light" w:eastAsia="Calibri" w:hAnsi="Geomanist Light" w:cs="Arial"/>
          <w:bCs/>
          <w:sz w:val="18"/>
          <w:szCs w:val="18"/>
          <w:lang w:val="es-ES"/>
        </w:rPr>
        <w:t>«</w:t>
      </w:r>
      <w:bookmarkStart w:id="7" w:name="_Toc67583310"/>
      <w:bookmarkStart w:id="8" w:name="_Toc78789458"/>
      <w:bookmarkStart w:id="9" w:name="_Toc84486074"/>
      <w:r w:rsidRPr="00910CE9">
        <w:rPr>
          <w:rFonts w:ascii="Geomanist Light" w:eastAsia="Calibri" w:hAnsi="Geomanist Light" w:cs="Arial"/>
          <w:bCs/>
          <w:sz w:val="18"/>
          <w:szCs w:val="18"/>
          <w:lang w:val="es-ES"/>
        </w:rPr>
        <w:t>3.5.</w:t>
      </w:r>
      <w:proofErr w:type="gramStart"/>
      <w:r w:rsidRPr="00910CE9">
        <w:rPr>
          <w:rFonts w:ascii="Geomanist Light" w:eastAsia="Calibri" w:hAnsi="Geomanist Light" w:cs="Arial"/>
          <w:bCs/>
          <w:sz w:val="18"/>
          <w:szCs w:val="18"/>
          <w:lang w:val="es-ES"/>
        </w:rPr>
        <w:t>8.RELACIÓN</w:t>
      </w:r>
      <w:proofErr w:type="gramEnd"/>
      <w:r w:rsidRPr="00910CE9">
        <w:rPr>
          <w:rFonts w:ascii="Geomanist Light" w:eastAsia="Calibri" w:hAnsi="Geomanist Light" w:cs="Arial"/>
          <w:bCs/>
          <w:sz w:val="18"/>
          <w:szCs w:val="18"/>
          <w:lang w:val="es-ES"/>
        </w:rPr>
        <w:t xml:space="preserve"> DE LOS CONTRATOS FRENTE AL PRESUPUESTO OFICIAL</w:t>
      </w:r>
      <w:bookmarkEnd w:id="7"/>
      <w:bookmarkEnd w:id="8"/>
      <w:bookmarkEnd w:id="9"/>
    </w:p>
    <w:p w14:paraId="1B0A63D7" w14:textId="65D5D77E" w:rsidR="00DF1631" w:rsidRPr="00910CE9" w:rsidRDefault="00DF1631" w:rsidP="00DF1631">
      <w:pPr>
        <w:pStyle w:val="Textonotapie"/>
        <w:rPr>
          <w:rFonts w:ascii="Geomanist Light" w:eastAsia="Calibri" w:hAnsi="Geomanist Light" w:cs="Arial"/>
          <w:bCs/>
          <w:sz w:val="18"/>
          <w:szCs w:val="18"/>
          <w:lang w:val="es-ES"/>
        </w:rPr>
      </w:pPr>
      <w:r w:rsidRPr="00910CE9">
        <w:rPr>
          <w:rFonts w:ascii="Geomanist Light" w:eastAsia="Calibri" w:hAnsi="Geomanist Light" w:cs="Arial"/>
          <w:bCs/>
          <w:sz w:val="18"/>
          <w:szCs w:val="18"/>
          <w:lang w:val="es-ES"/>
        </w:rPr>
        <w:t>La verificación del número de contratos para acreditar la experiencia se realiza de la siguiente manera:</w:t>
      </w:r>
    </w:p>
    <w:p w14:paraId="57B8EDB0" w14:textId="77777777" w:rsidR="00DF1631" w:rsidRPr="00910CE9" w:rsidRDefault="00DF1631" w:rsidP="00DF1631">
      <w:pPr>
        <w:pStyle w:val="Textonotapie"/>
        <w:rPr>
          <w:rFonts w:ascii="Geomanist Light" w:eastAsia="Calibri" w:hAnsi="Geomanist Light" w:cs="Arial"/>
          <w:bCs/>
          <w:sz w:val="18"/>
          <w:szCs w:val="18"/>
          <w:lang w:val="es-ES"/>
        </w:rPr>
      </w:pP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47"/>
        <w:gridCol w:w="4182"/>
      </w:tblGrid>
      <w:tr w:rsidR="00DF1631" w:rsidRPr="00910CE9" w14:paraId="254E6E15" w14:textId="77777777" w:rsidTr="00E21C10">
        <w:trPr>
          <w:trHeight w:val="774"/>
          <w:tblHeader/>
        </w:trPr>
        <w:tc>
          <w:tcPr>
            <w:tcW w:w="3047" w:type="dxa"/>
            <w:tcBorders>
              <w:top w:val="double" w:sz="4" w:space="0" w:color="auto"/>
              <w:left w:val="double" w:sz="4" w:space="0" w:color="auto"/>
              <w:bottom w:val="single" w:sz="4" w:space="0" w:color="000000"/>
              <w:right w:val="single" w:sz="4" w:space="0" w:color="000000"/>
            </w:tcBorders>
            <w:shd w:val="clear" w:color="auto" w:fill="404040"/>
            <w:vAlign w:val="center"/>
            <w:hideMark/>
          </w:tcPr>
          <w:p w14:paraId="78A4F370" w14:textId="77777777" w:rsidR="00DF1631" w:rsidRPr="00910CE9" w:rsidRDefault="00DF1631" w:rsidP="00DF1631">
            <w:pPr>
              <w:pStyle w:val="Textonotapie"/>
              <w:jc w:val="center"/>
              <w:rPr>
                <w:rFonts w:ascii="Geomanist Light" w:eastAsia="Calibri" w:hAnsi="Geomanist Light" w:cs="Arial"/>
                <w:b/>
                <w:color w:val="FFFFFF" w:themeColor="accent2"/>
                <w:sz w:val="18"/>
                <w:szCs w:val="18"/>
                <w:lang w:val="es-ES"/>
              </w:rPr>
            </w:pPr>
            <w:r w:rsidRPr="00910CE9">
              <w:rPr>
                <w:rFonts w:ascii="Geomanist Light" w:eastAsia="Calibri" w:hAnsi="Geomanist Light" w:cs="Arial"/>
                <w:b/>
                <w:color w:val="FFFFFF" w:themeColor="accent2"/>
                <w:sz w:val="18"/>
                <w:szCs w:val="18"/>
                <w:lang w:val="es-ES"/>
              </w:rPr>
              <w:t>Número de contratos con los cuales el Proponente cumple la experiencia acreditada</w:t>
            </w:r>
          </w:p>
        </w:tc>
        <w:tc>
          <w:tcPr>
            <w:tcW w:w="4182" w:type="dxa"/>
            <w:tcBorders>
              <w:top w:val="double" w:sz="4" w:space="0" w:color="auto"/>
              <w:left w:val="single" w:sz="4" w:space="0" w:color="000000"/>
              <w:bottom w:val="single" w:sz="4" w:space="0" w:color="000000"/>
              <w:right w:val="double" w:sz="4" w:space="0" w:color="auto"/>
            </w:tcBorders>
            <w:shd w:val="clear" w:color="auto" w:fill="404040"/>
            <w:vAlign w:val="center"/>
            <w:hideMark/>
          </w:tcPr>
          <w:p w14:paraId="6B1C02B3" w14:textId="77777777" w:rsidR="00DF1631" w:rsidRPr="00910CE9" w:rsidRDefault="00DF1631" w:rsidP="00DF1631">
            <w:pPr>
              <w:pStyle w:val="Textonotapie"/>
              <w:jc w:val="center"/>
              <w:rPr>
                <w:rFonts w:ascii="Geomanist Light" w:eastAsia="Calibri" w:hAnsi="Geomanist Light" w:cs="Arial"/>
                <w:b/>
                <w:color w:val="FFFFFF" w:themeColor="accent2"/>
                <w:sz w:val="18"/>
                <w:szCs w:val="18"/>
                <w:lang w:val="es-ES"/>
              </w:rPr>
            </w:pPr>
            <w:proofErr w:type="gramStart"/>
            <w:r w:rsidRPr="00910CE9">
              <w:rPr>
                <w:rFonts w:ascii="Geomanist Light" w:eastAsia="Calibri" w:hAnsi="Geomanist Light" w:cs="Arial"/>
                <w:b/>
                <w:color w:val="FFFFFF" w:themeColor="accent2"/>
                <w:sz w:val="18"/>
                <w:szCs w:val="18"/>
                <w:lang w:val="es-ES"/>
              </w:rPr>
              <w:t>Valor mínimo a certificar</w:t>
            </w:r>
            <w:proofErr w:type="gramEnd"/>
          </w:p>
          <w:p w14:paraId="2CA08656" w14:textId="77777777" w:rsidR="00DF1631" w:rsidRPr="00910CE9" w:rsidRDefault="00DF1631" w:rsidP="00DF1631">
            <w:pPr>
              <w:pStyle w:val="Textonotapie"/>
              <w:jc w:val="center"/>
              <w:rPr>
                <w:rFonts w:ascii="Geomanist Light" w:eastAsia="Calibri" w:hAnsi="Geomanist Light" w:cs="Arial"/>
                <w:b/>
                <w:color w:val="FFFFFF" w:themeColor="accent2"/>
                <w:sz w:val="18"/>
                <w:szCs w:val="18"/>
                <w:lang w:val="es-ES"/>
              </w:rPr>
            </w:pPr>
            <w:r w:rsidRPr="00910CE9">
              <w:rPr>
                <w:rFonts w:ascii="Geomanist Light" w:eastAsia="Calibri" w:hAnsi="Geomanist Light" w:cs="Arial"/>
                <w:b/>
                <w:color w:val="FFFFFF" w:themeColor="accent2"/>
                <w:sz w:val="18"/>
                <w:szCs w:val="18"/>
                <w:lang w:val="es-ES"/>
              </w:rPr>
              <w:t>(como % del Presupuesto Oficial de obra expresado en SMMLV)</w:t>
            </w:r>
          </w:p>
        </w:tc>
      </w:tr>
      <w:tr w:rsidR="00DF1631" w:rsidRPr="00910CE9" w14:paraId="16994320" w14:textId="77777777" w:rsidTr="00E21C10">
        <w:trPr>
          <w:trHeight w:val="267"/>
        </w:trPr>
        <w:tc>
          <w:tcPr>
            <w:tcW w:w="3047" w:type="dxa"/>
            <w:tcBorders>
              <w:top w:val="single" w:sz="4" w:space="0" w:color="000000"/>
              <w:left w:val="double" w:sz="4" w:space="0" w:color="auto"/>
              <w:bottom w:val="single" w:sz="4" w:space="0" w:color="000000"/>
              <w:right w:val="single" w:sz="4" w:space="0" w:color="000000"/>
            </w:tcBorders>
            <w:vAlign w:val="center"/>
            <w:hideMark/>
          </w:tcPr>
          <w:p w14:paraId="4CE1D121" w14:textId="77777777" w:rsidR="00DF1631" w:rsidRPr="00910CE9" w:rsidRDefault="00DF1631" w:rsidP="00DF1631">
            <w:pPr>
              <w:pStyle w:val="Textonotapie"/>
              <w:jc w:val="center"/>
              <w:rPr>
                <w:rFonts w:ascii="Geomanist Light" w:eastAsia="Calibri" w:hAnsi="Geomanist Light" w:cs="Arial"/>
                <w:bCs/>
                <w:sz w:val="18"/>
                <w:szCs w:val="18"/>
                <w:lang w:val="es-ES"/>
              </w:rPr>
            </w:pPr>
            <w:r w:rsidRPr="00910CE9">
              <w:rPr>
                <w:rFonts w:ascii="Geomanist Light" w:eastAsia="Calibri" w:hAnsi="Geomanist Light" w:cs="Arial"/>
                <w:bCs/>
                <w:sz w:val="18"/>
                <w:szCs w:val="18"/>
                <w:lang w:val="es-ES"/>
              </w:rPr>
              <w:t>De 1 hasta 2</w:t>
            </w:r>
          </w:p>
        </w:tc>
        <w:tc>
          <w:tcPr>
            <w:tcW w:w="4182" w:type="dxa"/>
            <w:tcBorders>
              <w:top w:val="single" w:sz="4" w:space="0" w:color="000000"/>
              <w:left w:val="single" w:sz="4" w:space="0" w:color="000000"/>
              <w:bottom w:val="single" w:sz="4" w:space="0" w:color="000000"/>
              <w:right w:val="double" w:sz="4" w:space="0" w:color="auto"/>
            </w:tcBorders>
            <w:vAlign w:val="center"/>
            <w:hideMark/>
          </w:tcPr>
          <w:p w14:paraId="0E20ACFE" w14:textId="77777777" w:rsidR="00DF1631" w:rsidRPr="00910CE9" w:rsidRDefault="00DF1631" w:rsidP="00DF1631">
            <w:pPr>
              <w:pStyle w:val="Textonotapie"/>
              <w:jc w:val="center"/>
              <w:rPr>
                <w:rFonts w:ascii="Geomanist Light" w:eastAsia="Calibri" w:hAnsi="Geomanist Light" w:cs="Arial"/>
                <w:bCs/>
                <w:sz w:val="18"/>
                <w:szCs w:val="18"/>
                <w:lang w:val="es-ES"/>
              </w:rPr>
            </w:pPr>
            <w:r w:rsidRPr="00910CE9">
              <w:rPr>
                <w:rFonts w:ascii="Geomanist Light" w:eastAsia="Calibri" w:hAnsi="Geomanist Light" w:cs="Arial"/>
                <w:bCs/>
                <w:sz w:val="18"/>
                <w:szCs w:val="18"/>
                <w:lang w:val="es-ES"/>
              </w:rPr>
              <w:t>75 %</w:t>
            </w:r>
          </w:p>
        </w:tc>
      </w:tr>
      <w:tr w:rsidR="00DF1631" w:rsidRPr="00910CE9" w14:paraId="20A3937A" w14:textId="77777777" w:rsidTr="00DF1631">
        <w:trPr>
          <w:trHeight w:val="70"/>
        </w:trPr>
        <w:tc>
          <w:tcPr>
            <w:tcW w:w="3047" w:type="dxa"/>
            <w:tcBorders>
              <w:top w:val="single" w:sz="4" w:space="0" w:color="000000"/>
              <w:left w:val="double" w:sz="4" w:space="0" w:color="auto"/>
              <w:bottom w:val="single" w:sz="4" w:space="0" w:color="000000"/>
              <w:right w:val="single" w:sz="4" w:space="0" w:color="000000"/>
            </w:tcBorders>
            <w:vAlign w:val="center"/>
            <w:hideMark/>
          </w:tcPr>
          <w:p w14:paraId="10B0D49B" w14:textId="77777777" w:rsidR="00DF1631" w:rsidRPr="00910CE9" w:rsidRDefault="00DF1631" w:rsidP="00DF1631">
            <w:pPr>
              <w:pStyle w:val="Textonotapie"/>
              <w:jc w:val="center"/>
              <w:rPr>
                <w:rFonts w:ascii="Geomanist Light" w:eastAsia="Calibri" w:hAnsi="Geomanist Light" w:cs="Arial"/>
                <w:bCs/>
                <w:sz w:val="18"/>
                <w:szCs w:val="18"/>
                <w:lang w:val="es-ES"/>
              </w:rPr>
            </w:pPr>
            <w:r w:rsidRPr="00910CE9">
              <w:rPr>
                <w:rFonts w:ascii="Geomanist Light" w:eastAsia="Calibri" w:hAnsi="Geomanist Light" w:cs="Arial"/>
                <w:bCs/>
                <w:sz w:val="18"/>
                <w:szCs w:val="18"/>
                <w:lang w:val="es-ES"/>
              </w:rPr>
              <w:t>De 3 hasta 4</w:t>
            </w:r>
          </w:p>
        </w:tc>
        <w:tc>
          <w:tcPr>
            <w:tcW w:w="4182" w:type="dxa"/>
            <w:tcBorders>
              <w:top w:val="single" w:sz="4" w:space="0" w:color="000000"/>
              <w:left w:val="single" w:sz="4" w:space="0" w:color="000000"/>
              <w:bottom w:val="single" w:sz="4" w:space="0" w:color="000000"/>
              <w:right w:val="double" w:sz="4" w:space="0" w:color="auto"/>
            </w:tcBorders>
            <w:vAlign w:val="center"/>
            <w:hideMark/>
          </w:tcPr>
          <w:p w14:paraId="6AD8F7B4" w14:textId="77777777" w:rsidR="00DF1631" w:rsidRPr="00910CE9" w:rsidRDefault="00DF1631" w:rsidP="00DF1631">
            <w:pPr>
              <w:pStyle w:val="Textonotapie"/>
              <w:jc w:val="center"/>
              <w:rPr>
                <w:rFonts w:ascii="Geomanist Light" w:eastAsia="Calibri" w:hAnsi="Geomanist Light" w:cs="Arial"/>
                <w:bCs/>
                <w:sz w:val="18"/>
                <w:szCs w:val="18"/>
                <w:lang w:val="es-ES"/>
              </w:rPr>
            </w:pPr>
            <w:r w:rsidRPr="00910CE9">
              <w:rPr>
                <w:rFonts w:ascii="Geomanist Light" w:eastAsia="Calibri" w:hAnsi="Geomanist Light" w:cs="Arial"/>
                <w:bCs/>
                <w:sz w:val="18"/>
                <w:szCs w:val="18"/>
                <w:lang w:val="es-ES"/>
              </w:rPr>
              <w:t>120 %</w:t>
            </w:r>
          </w:p>
        </w:tc>
      </w:tr>
      <w:tr w:rsidR="00DF1631" w:rsidRPr="00910CE9" w14:paraId="144272D7" w14:textId="77777777" w:rsidTr="00E21C10">
        <w:trPr>
          <w:trHeight w:val="282"/>
        </w:trPr>
        <w:tc>
          <w:tcPr>
            <w:tcW w:w="3047" w:type="dxa"/>
            <w:tcBorders>
              <w:top w:val="single" w:sz="4" w:space="0" w:color="000000"/>
              <w:left w:val="double" w:sz="4" w:space="0" w:color="auto"/>
              <w:bottom w:val="single" w:sz="4" w:space="0" w:color="000000"/>
              <w:right w:val="single" w:sz="4" w:space="0" w:color="000000"/>
            </w:tcBorders>
            <w:vAlign w:val="center"/>
            <w:hideMark/>
          </w:tcPr>
          <w:p w14:paraId="3E5D7621" w14:textId="77777777" w:rsidR="00DF1631" w:rsidRPr="00910CE9" w:rsidRDefault="00DF1631" w:rsidP="00DF1631">
            <w:pPr>
              <w:pStyle w:val="Textonotapie"/>
              <w:jc w:val="center"/>
              <w:rPr>
                <w:rFonts w:ascii="Geomanist Light" w:eastAsia="Calibri" w:hAnsi="Geomanist Light" w:cs="Arial"/>
                <w:bCs/>
                <w:sz w:val="18"/>
                <w:szCs w:val="18"/>
                <w:lang w:val="es-ES"/>
              </w:rPr>
            </w:pPr>
            <w:r w:rsidRPr="00910CE9">
              <w:rPr>
                <w:rFonts w:ascii="Geomanist Light" w:eastAsia="Calibri" w:hAnsi="Geomanist Light" w:cs="Arial"/>
                <w:bCs/>
                <w:sz w:val="18"/>
                <w:szCs w:val="18"/>
                <w:lang w:val="es-ES"/>
              </w:rPr>
              <w:t>Hasta 5</w:t>
            </w:r>
          </w:p>
        </w:tc>
        <w:tc>
          <w:tcPr>
            <w:tcW w:w="4182" w:type="dxa"/>
            <w:tcBorders>
              <w:top w:val="single" w:sz="4" w:space="0" w:color="000000"/>
              <w:left w:val="single" w:sz="4" w:space="0" w:color="000000"/>
              <w:bottom w:val="single" w:sz="4" w:space="0" w:color="000000"/>
              <w:right w:val="double" w:sz="4" w:space="0" w:color="auto"/>
            </w:tcBorders>
            <w:vAlign w:val="center"/>
            <w:hideMark/>
          </w:tcPr>
          <w:p w14:paraId="22899C6B" w14:textId="77777777" w:rsidR="00DF1631" w:rsidRPr="00910CE9" w:rsidRDefault="00DF1631" w:rsidP="00DF1631">
            <w:pPr>
              <w:pStyle w:val="Textonotapie"/>
              <w:jc w:val="center"/>
              <w:rPr>
                <w:rFonts w:ascii="Geomanist Light" w:eastAsia="Calibri" w:hAnsi="Geomanist Light" w:cs="Arial"/>
                <w:bCs/>
                <w:sz w:val="18"/>
                <w:szCs w:val="18"/>
                <w:lang w:val="es-ES"/>
              </w:rPr>
            </w:pPr>
            <w:r w:rsidRPr="00910CE9">
              <w:rPr>
                <w:rFonts w:ascii="Geomanist Light" w:eastAsia="Calibri" w:hAnsi="Geomanist Light" w:cs="Arial"/>
                <w:bCs/>
                <w:sz w:val="18"/>
                <w:szCs w:val="18"/>
                <w:lang w:val="es-ES"/>
              </w:rPr>
              <w:t>150 %</w:t>
            </w:r>
          </w:p>
        </w:tc>
      </w:tr>
    </w:tbl>
    <w:p w14:paraId="543C5DE6" w14:textId="77777777" w:rsidR="00DF1631" w:rsidRPr="00910CE9" w:rsidRDefault="00DF1631" w:rsidP="00DF1631">
      <w:pPr>
        <w:pStyle w:val="Textonotapie"/>
        <w:rPr>
          <w:rFonts w:ascii="Geomanist Light" w:eastAsia="Calibri" w:hAnsi="Geomanist Light" w:cs="Arial"/>
          <w:bCs/>
          <w:sz w:val="18"/>
          <w:szCs w:val="18"/>
          <w:lang w:val="es-ES"/>
        </w:rPr>
      </w:pPr>
    </w:p>
    <w:p w14:paraId="2AEB1872" w14:textId="77777777" w:rsidR="00DF1631" w:rsidRPr="00910CE9" w:rsidRDefault="00DF1631" w:rsidP="00DF1631">
      <w:pPr>
        <w:pStyle w:val="Textonotapie"/>
        <w:ind w:firstLine="709"/>
        <w:jc w:val="both"/>
        <w:rPr>
          <w:rFonts w:ascii="Geomanist Light" w:eastAsia="Calibri" w:hAnsi="Geomanist Light" w:cs="Arial"/>
          <w:bCs/>
          <w:sz w:val="18"/>
          <w:szCs w:val="18"/>
          <w:lang w:val="es-ES"/>
        </w:rPr>
      </w:pPr>
      <w:r w:rsidRPr="00910CE9">
        <w:rPr>
          <w:rFonts w:ascii="Geomanist Light" w:eastAsia="Calibri" w:hAnsi="Geomanist Light" w:cs="Arial"/>
          <w:bCs/>
          <w:sz w:val="18"/>
          <w:szCs w:val="18"/>
          <w:lang w:val="es-ES"/>
        </w:rPr>
        <w:t>«Si el número de contratos aportados supera los cinco (5) inicialmente previstos en este numeral,</w:t>
      </w:r>
      <w:r w:rsidRPr="00910CE9">
        <w:rPr>
          <w:rFonts w:ascii="Calibri" w:eastAsia="Calibri" w:hAnsi="Calibri" w:cs="Calibri"/>
          <w:bCs/>
          <w:sz w:val="18"/>
          <w:szCs w:val="18"/>
          <w:lang w:val="es-ES"/>
        </w:rPr>
        <w:t> </w:t>
      </w:r>
      <w:r w:rsidRPr="00910CE9">
        <w:rPr>
          <w:rFonts w:ascii="Geomanist Light" w:eastAsia="Calibri" w:hAnsi="Geomanist Light" w:cs="Arial"/>
          <w:bCs/>
          <w:sz w:val="18"/>
          <w:szCs w:val="18"/>
          <w:lang w:val="es-ES"/>
        </w:rPr>
        <w:t>debido a la posibilidad de allegar contratos adicionales por tratarse de una</w:t>
      </w:r>
      <w:r w:rsidRPr="00910CE9">
        <w:rPr>
          <w:rFonts w:ascii="Calibri" w:eastAsia="Calibri" w:hAnsi="Calibri" w:cs="Calibri"/>
          <w:bCs/>
          <w:sz w:val="18"/>
          <w:szCs w:val="18"/>
          <w:lang w:val="es-ES"/>
        </w:rPr>
        <w:t> </w:t>
      </w:r>
      <w:r w:rsidRPr="00910CE9">
        <w:rPr>
          <w:rFonts w:ascii="Geomanist Light" w:eastAsia="Calibri" w:hAnsi="Geomanist Light" w:cs="Arial"/>
          <w:bCs/>
          <w:sz w:val="18"/>
          <w:szCs w:val="18"/>
          <w:lang w:val="es-ES"/>
        </w:rPr>
        <w:t>Mipyme y/o emprendimiento y empresa de mujer, estos contratos adicionales, ya sean seis (6) o siete (7) contratos -dependiendo si acredita una o ambas condiciones-, se tendr</w:t>
      </w:r>
      <w:r w:rsidRPr="00910CE9">
        <w:rPr>
          <w:rFonts w:ascii="Geomanist Light" w:eastAsia="Calibri" w:hAnsi="Geomanist Light" w:cs="Geomanist Light"/>
          <w:bCs/>
          <w:sz w:val="18"/>
          <w:szCs w:val="18"/>
          <w:lang w:val="es-ES"/>
        </w:rPr>
        <w:t>á</w:t>
      </w:r>
      <w:r w:rsidRPr="00910CE9">
        <w:rPr>
          <w:rFonts w:ascii="Geomanist Light" w:eastAsia="Calibri" w:hAnsi="Geomanist Light" w:cs="Arial"/>
          <w:bCs/>
          <w:sz w:val="18"/>
          <w:szCs w:val="18"/>
          <w:lang w:val="es-ES"/>
        </w:rPr>
        <w:t>n en cuenta para demostrar el valor del ciento cincuenta por ciento (150 %) del valor del Presupuesto Oficial.</w:t>
      </w:r>
    </w:p>
    <w:p w14:paraId="1815A9BA" w14:textId="77777777" w:rsidR="00DF1631" w:rsidRPr="00910CE9" w:rsidRDefault="00DF1631" w:rsidP="00DF1631">
      <w:pPr>
        <w:pStyle w:val="Textonotapie"/>
        <w:ind w:firstLine="709"/>
        <w:jc w:val="both"/>
        <w:rPr>
          <w:rFonts w:ascii="Geomanist Light" w:eastAsia="Calibri" w:hAnsi="Geomanist Light" w:cs="Arial"/>
          <w:bCs/>
          <w:sz w:val="18"/>
          <w:szCs w:val="18"/>
          <w:lang w:val="es-ES"/>
        </w:rPr>
      </w:pPr>
      <w:r w:rsidRPr="00910CE9">
        <w:rPr>
          <w:rFonts w:ascii="Geomanist Light" w:eastAsia="Calibri" w:hAnsi="Geomanist Light" w:cs="Arial"/>
          <w:bCs/>
          <w:sz w:val="18"/>
          <w:szCs w:val="18"/>
          <w:lang w:val="es-ES"/>
        </w:rPr>
        <w:t>«La verificación se hará con base en la sumatoria de los valores totales ejecutados (incluido IVA) en SMMLV de los contratos que cumplan con los requisitos establecidos en este Pliego de Condiciones.</w:t>
      </w:r>
    </w:p>
    <w:p w14:paraId="121D1605" w14:textId="77777777" w:rsidR="00DF1631" w:rsidRPr="00910CE9" w:rsidRDefault="00DF1631" w:rsidP="00DF1631">
      <w:pPr>
        <w:pStyle w:val="Textonotapie"/>
        <w:jc w:val="both"/>
        <w:rPr>
          <w:rFonts w:ascii="Geomanist Light" w:eastAsia="Calibri" w:hAnsi="Geomanist Light" w:cs="Arial"/>
          <w:bCs/>
          <w:sz w:val="18"/>
          <w:szCs w:val="18"/>
          <w:lang w:val="es-ES"/>
        </w:rPr>
      </w:pPr>
      <w:r w:rsidRPr="00910CE9">
        <w:rPr>
          <w:rFonts w:ascii="Geomanist Light" w:eastAsia="Calibri" w:hAnsi="Geomanist Light" w:cs="Arial"/>
          <w:bCs/>
          <w:sz w:val="18"/>
          <w:szCs w:val="18"/>
          <w:lang w:val="es-ES"/>
        </w:rPr>
        <w:t>El Proponente cumple el requisito de experiencia si la sumatoria de los valores totales ejecutados (incluido IVA) de los contratos expresados en SMMLV es mayor o igual al valor mínimo a certificar establecido en la tabla anterior.</w:t>
      </w:r>
    </w:p>
    <w:p w14:paraId="00E2824E" w14:textId="77777777" w:rsidR="00DF1631" w:rsidRPr="00910CE9" w:rsidRDefault="00DF1631" w:rsidP="00DF1631">
      <w:pPr>
        <w:pStyle w:val="Textonotapie"/>
        <w:ind w:firstLine="709"/>
        <w:jc w:val="both"/>
        <w:rPr>
          <w:rFonts w:ascii="Geomanist Light" w:eastAsia="Calibri" w:hAnsi="Geomanist Light" w:cs="Arial"/>
          <w:bCs/>
          <w:sz w:val="18"/>
          <w:szCs w:val="18"/>
          <w:lang w:val="es-ES"/>
        </w:rPr>
      </w:pPr>
      <w:r w:rsidRPr="00910CE9">
        <w:rPr>
          <w:rFonts w:ascii="Geomanist Light" w:eastAsia="Calibri" w:hAnsi="Geomanist Light" w:cs="Arial"/>
          <w:bCs/>
          <w:sz w:val="18"/>
          <w:szCs w:val="18"/>
          <w:lang w:val="es-ES"/>
        </w:rPr>
        <w:t>«En caso de que el número de contratos con los cuales el Proponente acredita la experiencia no satisface el porcentaje mínimo a certificar establecido en la tabla anterior, se calificará la propuesta como no hábil y el Proponente podrá subsanarla en los términos contemplados en la sección 1.6.</w:t>
      </w:r>
    </w:p>
    <w:p w14:paraId="0CAD9E90" w14:textId="1EF7785E" w:rsidR="00DF1631" w:rsidRPr="00910CE9" w:rsidRDefault="00DF1631" w:rsidP="00DF1631">
      <w:pPr>
        <w:pStyle w:val="Textonotapie"/>
        <w:ind w:firstLine="709"/>
        <w:jc w:val="both"/>
        <w:rPr>
          <w:rFonts w:ascii="Geomanist Light" w:eastAsia="Calibri" w:hAnsi="Geomanist Light" w:cs="Arial"/>
          <w:bCs/>
          <w:sz w:val="18"/>
          <w:szCs w:val="18"/>
          <w:lang w:val="es-ES"/>
        </w:rPr>
      </w:pPr>
      <w:r w:rsidRPr="00910CE9">
        <w:rPr>
          <w:rFonts w:ascii="Geomanist Light" w:eastAsia="Calibri" w:hAnsi="Geomanist Light" w:cs="Arial"/>
          <w:bCs/>
          <w:sz w:val="18"/>
          <w:szCs w:val="18"/>
          <w:lang w:val="es-ES"/>
        </w:rPr>
        <w:t>«[En los procesos estructurados por lotes o por grupos, el valor mínimo a certificar debe ser en relación con el valor del Presupuesto Oficial del respectivo lote o grupo expresado en SMMLV]”.</w:t>
      </w:r>
    </w:p>
    <w:p w14:paraId="4DA7E524" w14:textId="7BA8C4F0" w:rsidR="00DF1631" w:rsidRPr="00910CE9" w:rsidRDefault="00DF1631">
      <w:pPr>
        <w:pStyle w:val="Textonotapie"/>
        <w:rPr>
          <w:rFonts w:ascii="Geomanist Light" w:hAnsi="Geomanist Light" w:cs="Arial"/>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80E31D" w14:textId="6E2810A5" w:rsidR="00E2520A" w:rsidRDefault="00E2520A" w:rsidP="006A3704">
    <w:pPr>
      <w:spacing w:after="0" w:line="240" w:lineRule="auto"/>
    </w:pPr>
  </w:p>
  <w:p w14:paraId="603D9E86" w14:textId="61607A32" w:rsidR="0020796E" w:rsidRDefault="0020796E" w:rsidP="006A3704">
    <w:pPr>
      <w:spacing w:after="0" w:line="240" w:lineRule="auto"/>
      <w:rPr>
        <w:rFonts w:ascii="Geomanist Bold" w:hAnsi="Geomanist Bold"/>
        <w:color w:val="002060"/>
      </w:rPr>
    </w:pPr>
    <w:r>
      <w:rPr>
        <w:noProof/>
      </w:rPr>
      <w:drawing>
        <wp:anchor distT="0" distB="0" distL="0" distR="0" simplePos="0" relativeHeight="251659264" behindDoc="1" locked="0" layoutInCell="1" allowOverlap="1" wp14:anchorId="2298F00B" wp14:editId="691EE5BD">
          <wp:simplePos x="0" y="0"/>
          <wp:positionH relativeFrom="margin">
            <wp:align>right</wp:align>
          </wp:positionH>
          <wp:positionV relativeFrom="paragraph">
            <wp:posOffset>6985</wp:posOffset>
          </wp:positionV>
          <wp:extent cx="1657350" cy="676275"/>
          <wp:effectExtent l="0" t="0" r="0" b="9525"/>
          <wp:wrapNone/>
          <wp:docPr id="3" name="Imagen 3" descr="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676275"/>
                  </a:xfrm>
                  <a:prstGeom prst="rect">
                    <a:avLst/>
                  </a:prstGeom>
                  <a:noFill/>
                </pic:spPr>
              </pic:pic>
            </a:graphicData>
          </a:graphic>
          <wp14:sizeRelH relativeFrom="margin">
            <wp14:pctWidth>0</wp14:pctWidth>
          </wp14:sizeRelH>
          <wp14:sizeRelV relativeFrom="margin">
            <wp14:pctHeight>0</wp14:pctHeight>
          </wp14:sizeRelV>
        </wp:anchor>
      </w:drawing>
    </w:r>
    <w:r>
      <w:rPr>
        <w:rFonts w:ascii="Geomanist Bold" w:hAnsi="Geomanist Bold"/>
        <w:color w:val="002060"/>
      </w:rPr>
      <w:t xml:space="preserve">FORMATO PQRSD </w:t>
    </w:r>
  </w:p>
  <w:tbl>
    <w:tblPr>
      <w:tblW w:w="9405" w:type="dxa"/>
      <w:tblBorders>
        <w:insideH w:val="nil"/>
        <w:insideV w:val="nil"/>
      </w:tblBorders>
      <w:tblLayout w:type="fixed"/>
      <w:tblLook w:val="0400" w:firstRow="0" w:lastRow="0" w:firstColumn="0" w:lastColumn="0" w:noHBand="0" w:noVBand="1"/>
    </w:tblPr>
    <w:tblGrid>
      <w:gridCol w:w="6757"/>
      <w:gridCol w:w="1324"/>
      <w:gridCol w:w="1324"/>
    </w:tblGrid>
    <w:tr w:rsidR="0020796E" w14:paraId="48C686BC" w14:textId="77777777" w:rsidTr="0020796E">
      <w:tc>
        <w:tcPr>
          <w:tcW w:w="6757" w:type="dxa"/>
          <w:tcBorders>
            <w:top w:val="nil"/>
            <w:left w:val="nil"/>
            <w:bottom w:val="nil"/>
            <w:right w:val="nil"/>
          </w:tcBorders>
          <w:hideMark/>
        </w:tcPr>
        <w:p w14:paraId="36F7744A" w14:textId="77777777" w:rsidR="0020796E" w:rsidRDefault="0020796E" w:rsidP="006A3704">
          <w:pPr>
            <w:tabs>
              <w:tab w:val="center" w:pos="4419"/>
              <w:tab w:val="center" w:pos="5400"/>
              <w:tab w:val="right" w:pos="8838"/>
            </w:tabs>
            <w:spacing w:after="0" w:line="240" w:lineRule="auto"/>
            <w:rPr>
              <w:rFonts w:ascii="Geomanist Bold" w:eastAsia="Geo" w:hAnsi="Geomanist Bold" w:cs="Geo"/>
              <w:b/>
              <w:color w:val="002060"/>
              <w:lang w:eastAsia="es-CO"/>
            </w:rPr>
          </w:pPr>
          <w:r>
            <w:rPr>
              <w:rFonts w:ascii="Geomanist Bold" w:eastAsia="Geo" w:hAnsi="Geomanist Bold" w:cs="Geo"/>
              <w:b/>
              <w:color w:val="000000"/>
              <w:sz w:val="20"/>
              <w:szCs w:val="20"/>
              <w:lang w:eastAsia="es-CO"/>
            </w:rPr>
            <w:t xml:space="preserve">Código: </w:t>
          </w:r>
          <w:r>
            <w:rPr>
              <w:rFonts w:ascii="Geomanist Light" w:eastAsia="Geo" w:hAnsi="Geomanist Light" w:cs="Geo"/>
              <w:b/>
              <w:color w:val="000000"/>
              <w:sz w:val="18"/>
              <w:szCs w:val="18"/>
              <w:lang w:eastAsia="es-CO"/>
            </w:rPr>
            <w:t>CCE-PQRSD-FM-08</w:t>
          </w:r>
        </w:p>
        <w:p w14:paraId="4E350D27" w14:textId="77777777" w:rsidR="0020796E" w:rsidRDefault="0020796E" w:rsidP="006A3704">
          <w:pPr>
            <w:tabs>
              <w:tab w:val="center" w:pos="4419"/>
              <w:tab w:val="center" w:pos="5400"/>
              <w:tab w:val="right" w:pos="8838"/>
            </w:tabs>
            <w:spacing w:after="0" w:line="240" w:lineRule="auto"/>
            <w:rPr>
              <w:rFonts w:asciiTheme="minorHAnsi" w:eastAsia="Arial Nova" w:hAnsiTheme="minorHAnsi" w:cs="Arial Nova"/>
              <w:color w:val="000000"/>
              <w:sz w:val="18"/>
              <w:szCs w:val="18"/>
              <w:lang w:eastAsia="es-CO"/>
            </w:rPr>
          </w:pPr>
          <w:r>
            <w:rPr>
              <w:rFonts w:ascii="Geomanist Bold" w:eastAsia="Geo" w:hAnsi="Geomanist Bold" w:cs="Geo"/>
              <w:b/>
              <w:color w:val="000000"/>
              <w:sz w:val="20"/>
              <w:szCs w:val="20"/>
              <w:lang w:eastAsia="es-CO"/>
            </w:rPr>
            <w:t>Versión</w:t>
          </w:r>
          <w:r>
            <w:rPr>
              <w:rFonts w:ascii="Geomanist Bold" w:eastAsia="Arial Nova" w:hAnsi="Geomanist Bold" w:cs="Arial Nova"/>
              <w:b/>
              <w:color w:val="000000"/>
              <w:sz w:val="20"/>
              <w:szCs w:val="20"/>
              <w:lang w:eastAsia="es-CO"/>
            </w:rPr>
            <w:t xml:space="preserve">: </w:t>
          </w:r>
          <w:r>
            <w:rPr>
              <w:rFonts w:ascii="Geomanist Light" w:eastAsia="Geo" w:hAnsi="Geomanist Light" w:cs="Geo"/>
              <w:sz w:val="18"/>
              <w:szCs w:val="18"/>
              <w:lang w:eastAsia="es-CO"/>
            </w:rPr>
            <w:t>01 DEL 30 DE AGOSTO DE 2022</w:t>
          </w:r>
        </w:p>
      </w:tc>
      <w:tc>
        <w:tcPr>
          <w:tcW w:w="1324" w:type="dxa"/>
          <w:tcBorders>
            <w:top w:val="nil"/>
            <w:left w:val="nil"/>
            <w:bottom w:val="nil"/>
            <w:right w:val="nil"/>
          </w:tcBorders>
        </w:tcPr>
        <w:p w14:paraId="64467BF0" w14:textId="77777777" w:rsidR="0020796E" w:rsidRDefault="0020796E" w:rsidP="006A3704">
          <w:pPr>
            <w:spacing w:after="0" w:line="240" w:lineRule="auto"/>
            <w:jc w:val="right"/>
            <w:rPr>
              <w:rFonts w:eastAsia="Arial Nova" w:cs="Arial Nova"/>
              <w:lang w:eastAsia="es-CO"/>
            </w:rPr>
          </w:pPr>
        </w:p>
      </w:tc>
      <w:tc>
        <w:tcPr>
          <w:tcW w:w="1324" w:type="dxa"/>
          <w:tcBorders>
            <w:top w:val="nil"/>
            <w:left w:val="nil"/>
            <w:bottom w:val="nil"/>
            <w:right w:val="nil"/>
          </w:tcBorders>
        </w:tcPr>
        <w:p w14:paraId="7F0DA02B" w14:textId="77777777" w:rsidR="0020796E" w:rsidRDefault="0020796E" w:rsidP="006A3704">
          <w:pPr>
            <w:spacing w:after="0" w:line="240" w:lineRule="auto"/>
            <w:jc w:val="right"/>
            <w:rPr>
              <w:rFonts w:eastAsia="Arial Nova" w:cs="Arial Nova"/>
              <w:lang w:eastAsia="es-CO"/>
            </w:rPr>
          </w:pPr>
        </w:p>
      </w:tc>
    </w:tr>
  </w:tbl>
  <w:p w14:paraId="5DBE9C96" w14:textId="263A9DAC" w:rsidR="00E2520A" w:rsidRDefault="0020796E" w:rsidP="0020796E">
    <w:r>
      <w:rPr>
        <w:noProof/>
      </w:rPr>
      <w:drawing>
        <wp:inline distT="0" distB="0" distL="0" distR="0" wp14:anchorId="31BFA4E7" wp14:editId="20260E75">
          <wp:extent cx="3238500" cy="76200"/>
          <wp:effectExtent l="0" t="0" r="0" b="0"/>
          <wp:docPr id="26" name="image1.png"/>
          <wp:cNvGraphicFramePr/>
          <a:graphic xmlns:a="http://schemas.openxmlformats.org/drawingml/2006/main">
            <a:graphicData uri="http://schemas.openxmlformats.org/drawingml/2006/picture">
              <pic:pic xmlns:pic="http://schemas.openxmlformats.org/drawingml/2006/picture">
                <pic:nvPicPr>
                  <pic:cNvPr id="26" name="image1.png"/>
                  <pic:cNvPicPr/>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51AD"/>
    <w:multiLevelType w:val="hybridMultilevel"/>
    <w:tmpl w:val="BA722234"/>
    <w:lvl w:ilvl="0" w:tplc="1D4060DE">
      <w:start w:val="1"/>
      <w:numFmt w:val="decimal"/>
      <w:pStyle w:val="Capitulo8"/>
      <w:lvlText w:val="8.%1."/>
      <w:lvlJc w:val="left"/>
      <w:pPr>
        <w:ind w:left="1004" w:hanging="360"/>
      </w:pPr>
    </w:lvl>
    <w:lvl w:ilvl="1" w:tplc="240A0019">
      <w:start w:val="1"/>
      <w:numFmt w:val="lowerLetter"/>
      <w:lvlText w:val="%2."/>
      <w:lvlJc w:val="left"/>
      <w:pPr>
        <w:ind w:left="1724" w:hanging="360"/>
      </w:pPr>
    </w:lvl>
    <w:lvl w:ilvl="2" w:tplc="240A001B">
      <w:start w:val="1"/>
      <w:numFmt w:val="lowerRoman"/>
      <w:lvlText w:val="%3."/>
      <w:lvlJc w:val="right"/>
      <w:pPr>
        <w:ind w:left="2444" w:hanging="180"/>
      </w:pPr>
    </w:lvl>
    <w:lvl w:ilvl="3" w:tplc="240A000F">
      <w:start w:val="1"/>
      <w:numFmt w:val="decimal"/>
      <w:lvlText w:val="%4."/>
      <w:lvlJc w:val="left"/>
      <w:pPr>
        <w:ind w:left="3164" w:hanging="360"/>
      </w:pPr>
    </w:lvl>
    <w:lvl w:ilvl="4" w:tplc="240A0019">
      <w:start w:val="1"/>
      <w:numFmt w:val="lowerLetter"/>
      <w:lvlText w:val="%5."/>
      <w:lvlJc w:val="left"/>
      <w:pPr>
        <w:ind w:left="3884" w:hanging="360"/>
      </w:pPr>
    </w:lvl>
    <w:lvl w:ilvl="5" w:tplc="240A001B">
      <w:start w:val="1"/>
      <w:numFmt w:val="lowerRoman"/>
      <w:lvlText w:val="%6."/>
      <w:lvlJc w:val="right"/>
      <w:pPr>
        <w:ind w:left="4604" w:hanging="180"/>
      </w:pPr>
    </w:lvl>
    <w:lvl w:ilvl="6" w:tplc="240A000F">
      <w:start w:val="1"/>
      <w:numFmt w:val="decimal"/>
      <w:lvlText w:val="%7."/>
      <w:lvlJc w:val="left"/>
      <w:pPr>
        <w:ind w:left="5324" w:hanging="360"/>
      </w:pPr>
    </w:lvl>
    <w:lvl w:ilvl="7" w:tplc="240A0019">
      <w:start w:val="1"/>
      <w:numFmt w:val="lowerLetter"/>
      <w:lvlText w:val="%8."/>
      <w:lvlJc w:val="left"/>
      <w:pPr>
        <w:ind w:left="6044" w:hanging="360"/>
      </w:pPr>
    </w:lvl>
    <w:lvl w:ilvl="8" w:tplc="240A001B">
      <w:start w:val="1"/>
      <w:numFmt w:val="lowerRoman"/>
      <w:lvlText w:val="%9."/>
      <w:lvlJc w:val="right"/>
      <w:pPr>
        <w:ind w:left="6764" w:hanging="180"/>
      </w:pPr>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num w:numId="1" w16cid:durableId="1008755670">
    <w:abstractNumId w:val="1"/>
  </w:num>
  <w:num w:numId="2" w16cid:durableId="168397169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s-ES" w:vendorID="64" w:dllVersion="6" w:nlCheck="1" w:checkStyle="1"/>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CO" w:vendorID="64" w:dllVersion="0" w:nlCheck="1" w:checkStyle="0"/>
  <w:activeWritingStyle w:appName="MSWord" w:lang="pt-BR" w:vendorID="64" w:dllVersion="0" w:nlCheck="1" w:checkStyle="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0B1"/>
    <w:rsid w:val="00000559"/>
    <w:rsid w:val="0000162E"/>
    <w:rsid w:val="00001A1C"/>
    <w:rsid w:val="00001FFD"/>
    <w:rsid w:val="00002027"/>
    <w:rsid w:val="000020FE"/>
    <w:rsid w:val="00002AA7"/>
    <w:rsid w:val="000031A8"/>
    <w:rsid w:val="00003233"/>
    <w:rsid w:val="000037D0"/>
    <w:rsid w:val="00003C5C"/>
    <w:rsid w:val="000040D7"/>
    <w:rsid w:val="00004556"/>
    <w:rsid w:val="000051AF"/>
    <w:rsid w:val="00005958"/>
    <w:rsid w:val="000059D3"/>
    <w:rsid w:val="0000600A"/>
    <w:rsid w:val="00006081"/>
    <w:rsid w:val="000060D0"/>
    <w:rsid w:val="00006D78"/>
    <w:rsid w:val="000075EA"/>
    <w:rsid w:val="00007750"/>
    <w:rsid w:val="000077FD"/>
    <w:rsid w:val="00007E37"/>
    <w:rsid w:val="00010408"/>
    <w:rsid w:val="00010C40"/>
    <w:rsid w:val="000112B4"/>
    <w:rsid w:val="00011DCC"/>
    <w:rsid w:val="00012532"/>
    <w:rsid w:val="00012B9E"/>
    <w:rsid w:val="00012FBA"/>
    <w:rsid w:val="000134A4"/>
    <w:rsid w:val="00013C6B"/>
    <w:rsid w:val="0001406B"/>
    <w:rsid w:val="000143F8"/>
    <w:rsid w:val="00014624"/>
    <w:rsid w:val="000147ED"/>
    <w:rsid w:val="000159D5"/>
    <w:rsid w:val="00015B44"/>
    <w:rsid w:val="00015CEF"/>
    <w:rsid w:val="00016081"/>
    <w:rsid w:val="000165AC"/>
    <w:rsid w:val="00016651"/>
    <w:rsid w:val="00016881"/>
    <w:rsid w:val="000171A2"/>
    <w:rsid w:val="00017B65"/>
    <w:rsid w:val="00020158"/>
    <w:rsid w:val="000204EA"/>
    <w:rsid w:val="000207E0"/>
    <w:rsid w:val="00020D41"/>
    <w:rsid w:val="00020D87"/>
    <w:rsid w:val="00020F8F"/>
    <w:rsid w:val="00021A95"/>
    <w:rsid w:val="00021C0A"/>
    <w:rsid w:val="00021F62"/>
    <w:rsid w:val="0002256F"/>
    <w:rsid w:val="0002296A"/>
    <w:rsid w:val="000229E6"/>
    <w:rsid w:val="000237AE"/>
    <w:rsid w:val="00023DAE"/>
    <w:rsid w:val="00023FA5"/>
    <w:rsid w:val="00024592"/>
    <w:rsid w:val="00024896"/>
    <w:rsid w:val="00024C2F"/>
    <w:rsid w:val="00025065"/>
    <w:rsid w:val="000258A6"/>
    <w:rsid w:val="00026092"/>
    <w:rsid w:val="000263F0"/>
    <w:rsid w:val="00026407"/>
    <w:rsid w:val="000264F6"/>
    <w:rsid w:val="00026608"/>
    <w:rsid w:val="00026B36"/>
    <w:rsid w:val="00026DEB"/>
    <w:rsid w:val="0002738B"/>
    <w:rsid w:val="00027545"/>
    <w:rsid w:val="00027787"/>
    <w:rsid w:val="000277A2"/>
    <w:rsid w:val="000278D2"/>
    <w:rsid w:val="00030747"/>
    <w:rsid w:val="00031384"/>
    <w:rsid w:val="000315E1"/>
    <w:rsid w:val="00031AD9"/>
    <w:rsid w:val="0003236E"/>
    <w:rsid w:val="000323E9"/>
    <w:rsid w:val="00033295"/>
    <w:rsid w:val="00033358"/>
    <w:rsid w:val="0003339A"/>
    <w:rsid w:val="00034134"/>
    <w:rsid w:val="000341F2"/>
    <w:rsid w:val="00034651"/>
    <w:rsid w:val="000351F2"/>
    <w:rsid w:val="00035224"/>
    <w:rsid w:val="00036E03"/>
    <w:rsid w:val="000406DB"/>
    <w:rsid w:val="0004094D"/>
    <w:rsid w:val="00040A5E"/>
    <w:rsid w:val="00041029"/>
    <w:rsid w:val="0004149B"/>
    <w:rsid w:val="00041717"/>
    <w:rsid w:val="00041CA0"/>
    <w:rsid w:val="000427F7"/>
    <w:rsid w:val="00042961"/>
    <w:rsid w:val="00042C25"/>
    <w:rsid w:val="00042D03"/>
    <w:rsid w:val="00043086"/>
    <w:rsid w:val="000430A0"/>
    <w:rsid w:val="00043A33"/>
    <w:rsid w:val="00043D3B"/>
    <w:rsid w:val="00043D4D"/>
    <w:rsid w:val="00043F5D"/>
    <w:rsid w:val="0004418C"/>
    <w:rsid w:val="00044204"/>
    <w:rsid w:val="000449D4"/>
    <w:rsid w:val="000466E8"/>
    <w:rsid w:val="00046717"/>
    <w:rsid w:val="00046A63"/>
    <w:rsid w:val="00046B8D"/>
    <w:rsid w:val="00046C09"/>
    <w:rsid w:val="00046EDB"/>
    <w:rsid w:val="0004716A"/>
    <w:rsid w:val="00047316"/>
    <w:rsid w:val="00047385"/>
    <w:rsid w:val="000473E8"/>
    <w:rsid w:val="00050021"/>
    <w:rsid w:val="000500E1"/>
    <w:rsid w:val="00050460"/>
    <w:rsid w:val="000504DE"/>
    <w:rsid w:val="00051074"/>
    <w:rsid w:val="00051A19"/>
    <w:rsid w:val="0005211A"/>
    <w:rsid w:val="000528C3"/>
    <w:rsid w:val="00052B79"/>
    <w:rsid w:val="00052B86"/>
    <w:rsid w:val="00052EA0"/>
    <w:rsid w:val="000536E3"/>
    <w:rsid w:val="00053EDA"/>
    <w:rsid w:val="00053F84"/>
    <w:rsid w:val="0005419F"/>
    <w:rsid w:val="00054252"/>
    <w:rsid w:val="0005474D"/>
    <w:rsid w:val="00055CB9"/>
    <w:rsid w:val="00056F66"/>
    <w:rsid w:val="0005702F"/>
    <w:rsid w:val="00057661"/>
    <w:rsid w:val="0005779C"/>
    <w:rsid w:val="00057848"/>
    <w:rsid w:val="00057B4F"/>
    <w:rsid w:val="00061D06"/>
    <w:rsid w:val="00062289"/>
    <w:rsid w:val="0006294B"/>
    <w:rsid w:val="00062CDD"/>
    <w:rsid w:val="00063FA5"/>
    <w:rsid w:val="000640AF"/>
    <w:rsid w:val="00064940"/>
    <w:rsid w:val="00064CAE"/>
    <w:rsid w:val="00064DB7"/>
    <w:rsid w:val="00064FA7"/>
    <w:rsid w:val="00065195"/>
    <w:rsid w:val="00065A18"/>
    <w:rsid w:val="000703DE"/>
    <w:rsid w:val="00070AF1"/>
    <w:rsid w:val="00070B59"/>
    <w:rsid w:val="000714DE"/>
    <w:rsid w:val="0007254F"/>
    <w:rsid w:val="000726D1"/>
    <w:rsid w:val="00073C30"/>
    <w:rsid w:val="00074305"/>
    <w:rsid w:val="00074B2A"/>
    <w:rsid w:val="00075057"/>
    <w:rsid w:val="00075108"/>
    <w:rsid w:val="00075A47"/>
    <w:rsid w:val="00075B3E"/>
    <w:rsid w:val="00075F7D"/>
    <w:rsid w:val="00076456"/>
    <w:rsid w:val="00076604"/>
    <w:rsid w:val="0007779B"/>
    <w:rsid w:val="000777E7"/>
    <w:rsid w:val="0007790A"/>
    <w:rsid w:val="0008017B"/>
    <w:rsid w:val="00080287"/>
    <w:rsid w:val="00080ACD"/>
    <w:rsid w:val="000811ED"/>
    <w:rsid w:val="00081284"/>
    <w:rsid w:val="0008191B"/>
    <w:rsid w:val="00081D62"/>
    <w:rsid w:val="00081E36"/>
    <w:rsid w:val="000820A1"/>
    <w:rsid w:val="000820CE"/>
    <w:rsid w:val="000822F2"/>
    <w:rsid w:val="00082B74"/>
    <w:rsid w:val="00083099"/>
    <w:rsid w:val="00083222"/>
    <w:rsid w:val="00083EDC"/>
    <w:rsid w:val="00083EE6"/>
    <w:rsid w:val="000847C0"/>
    <w:rsid w:val="00084873"/>
    <w:rsid w:val="00084B97"/>
    <w:rsid w:val="0008508B"/>
    <w:rsid w:val="0008510E"/>
    <w:rsid w:val="000856DE"/>
    <w:rsid w:val="00085F17"/>
    <w:rsid w:val="00085FB3"/>
    <w:rsid w:val="0008686B"/>
    <w:rsid w:val="00086B2A"/>
    <w:rsid w:val="00086ED2"/>
    <w:rsid w:val="00090A44"/>
    <w:rsid w:val="00090CAE"/>
    <w:rsid w:val="000914D6"/>
    <w:rsid w:val="00091569"/>
    <w:rsid w:val="00091E55"/>
    <w:rsid w:val="00091FBB"/>
    <w:rsid w:val="00092DCA"/>
    <w:rsid w:val="000935F8"/>
    <w:rsid w:val="00093C51"/>
    <w:rsid w:val="000942EB"/>
    <w:rsid w:val="00095B70"/>
    <w:rsid w:val="00095C0D"/>
    <w:rsid w:val="00095EB2"/>
    <w:rsid w:val="0009617E"/>
    <w:rsid w:val="00096489"/>
    <w:rsid w:val="000979CF"/>
    <w:rsid w:val="00097A00"/>
    <w:rsid w:val="000A03C8"/>
    <w:rsid w:val="000A05F2"/>
    <w:rsid w:val="000A06C4"/>
    <w:rsid w:val="000A0861"/>
    <w:rsid w:val="000A0ED1"/>
    <w:rsid w:val="000A1139"/>
    <w:rsid w:val="000A126D"/>
    <w:rsid w:val="000A12DB"/>
    <w:rsid w:val="000A17C8"/>
    <w:rsid w:val="000A1AEE"/>
    <w:rsid w:val="000A20D7"/>
    <w:rsid w:val="000A2128"/>
    <w:rsid w:val="000A362F"/>
    <w:rsid w:val="000A367A"/>
    <w:rsid w:val="000A3B49"/>
    <w:rsid w:val="000A41BA"/>
    <w:rsid w:val="000A446A"/>
    <w:rsid w:val="000A5AAF"/>
    <w:rsid w:val="000A5F97"/>
    <w:rsid w:val="000A648E"/>
    <w:rsid w:val="000A73BB"/>
    <w:rsid w:val="000A7EF4"/>
    <w:rsid w:val="000B0A15"/>
    <w:rsid w:val="000B0DF3"/>
    <w:rsid w:val="000B103F"/>
    <w:rsid w:val="000B10D0"/>
    <w:rsid w:val="000B1437"/>
    <w:rsid w:val="000B1470"/>
    <w:rsid w:val="000B2B86"/>
    <w:rsid w:val="000B3051"/>
    <w:rsid w:val="000B3F7E"/>
    <w:rsid w:val="000B419B"/>
    <w:rsid w:val="000B4716"/>
    <w:rsid w:val="000B5781"/>
    <w:rsid w:val="000B5891"/>
    <w:rsid w:val="000B6E4B"/>
    <w:rsid w:val="000B7122"/>
    <w:rsid w:val="000B78F1"/>
    <w:rsid w:val="000C0185"/>
    <w:rsid w:val="000C0444"/>
    <w:rsid w:val="000C0960"/>
    <w:rsid w:val="000C0F81"/>
    <w:rsid w:val="000C128D"/>
    <w:rsid w:val="000C17A3"/>
    <w:rsid w:val="000C1D4B"/>
    <w:rsid w:val="000C3260"/>
    <w:rsid w:val="000C3616"/>
    <w:rsid w:val="000C3803"/>
    <w:rsid w:val="000C3B77"/>
    <w:rsid w:val="000C4F49"/>
    <w:rsid w:val="000C5861"/>
    <w:rsid w:val="000C5F6D"/>
    <w:rsid w:val="000C639D"/>
    <w:rsid w:val="000C67BB"/>
    <w:rsid w:val="000C6C31"/>
    <w:rsid w:val="000C6DBC"/>
    <w:rsid w:val="000C6F79"/>
    <w:rsid w:val="000C7211"/>
    <w:rsid w:val="000C7476"/>
    <w:rsid w:val="000C7683"/>
    <w:rsid w:val="000C7711"/>
    <w:rsid w:val="000C7AA2"/>
    <w:rsid w:val="000C7F0B"/>
    <w:rsid w:val="000D0462"/>
    <w:rsid w:val="000D053D"/>
    <w:rsid w:val="000D0CC7"/>
    <w:rsid w:val="000D0CD9"/>
    <w:rsid w:val="000D0ED2"/>
    <w:rsid w:val="000D1CEB"/>
    <w:rsid w:val="000D2563"/>
    <w:rsid w:val="000D25BF"/>
    <w:rsid w:val="000D3FDC"/>
    <w:rsid w:val="000D4E38"/>
    <w:rsid w:val="000D50DB"/>
    <w:rsid w:val="000D5ABA"/>
    <w:rsid w:val="000D6288"/>
    <w:rsid w:val="000D6CAF"/>
    <w:rsid w:val="000D7541"/>
    <w:rsid w:val="000D75E1"/>
    <w:rsid w:val="000D776B"/>
    <w:rsid w:val="000E0B3C"/>
    <w:rsid w:val="000E1AC9"/>
    <w:rsid w:val="000E1CEB"/>
    <w:rsid w:val="000E22CF"/>
    <w:rsid w:val="000E2977"/>
    <w:rsid w:val="000E2B36"/>
    <w:rsid w:val="000E300F"/>
    <w:rsid w:val="000E30AC"/>
    <w:rsid w:val="000E3B46"/>
    <w:rsid w:val="000E3E11"/>
    <w:rsid w:val="000E4596"/>
    <w:rsid w:val="000E5399"/>
    <w:rsid w:val="000E5768"/>
    <w:rsid w:val="000E5843"/>
    <w:rsid w:val="000E5C89"/>
    <w:rsid w:val="000E6139"/>
    <w:rsid w:val="000E6B73"/>
    <w:rsid w:val="000E6B88"/>
    <w:rsid w:val="000E6BE1"/>
    <w:rsid w:val="000E7E0B"/>
    <w:rsid w:val="000F078A"/>
    <w:rsid w:val="000F122D"/>
    <w:rsid w:val="000F1450"/>
    <w:rsid w:val="000F14E8"/>
    <w:rsid w:val="000F1BBD"/>
    <w:rsid w:val="000F2739"/>
    <w:rsid w:val="000F2928"/>
    <w:rsid w:val="000F3138"/>
    <w:rsid w:val="000F3D39"/>
    <w:rsid w:val="000F4403"/>
    <w:rsid w:val="000F4C3F"/>
    <w:rsid w:val="000F4E17"/>
    <w:rsid w:val="000F5A94"/>
    <w:rsid w:val="000F636A"/>
    <w:rsid w:val="000F6578"/>
    <w:rsid w:val="000F70CD"/>
    <w:rsid w:val="000F7239"/>
    <w:rsid w:val="000F79F9"/>
    <w:rsid w:val="000F7ABD"/>
    <w:rsid w:val="000F7E8F"/>
    <w:rsid w:val="000F7FBB"/>
    <w:rsid w:val="001000FB"/>
    <w:rsid w:val="00101134"/>
    <w:rsid w:val="00102605"/>
    <w:rsid w:val="00102686"/>
    <w:rsid w:val="00102745"/>
    <w:rsid w:val="001032E3"/>
    <w:rsid w:val="00103361"/>
    <w:rsid w:val="00103855"/>
    <w:rsid w:val="00103915"/>
    <w:rsid w:val="00103EA0"/>
    <w:rsid w:val="001046B8"/>
    <w:rsid w:val="00104F1C"/>
    <w:rsid w:val="001051E5"/>
    <w:rsid w:val="00105A74"/>
    <w:rsid w:val="00105ACB"/>
    <w:rsid w:val="00105AEF"/>
    <w:rsid w:val="00106259"/>
    <w:rsid w:val="001062F0"/>
    <w:rsid w:val="001065E4"/>
    <w:rsid w:val="001068EB"/>
    <w:rsid w:val="001078CE"/>
    <w:rsid w:val="00110CEB"/>
    <w:rsid w:val="00110F61"/>
    <w:rsid w:val="001111BD"/>
    <w:rsid w:val="0011165A"/>
    <w:rsid w:val="00111B2B"/>
    <w:rsid w:val="00111ED9"/>
    <w:rsid w:val="00112609"/>
    <w:rsid w:val="00112774"/>
    <w:rsid w:val="00112783"/>
    <w:rsid w:val="00112B2E"/>
    <w:rsid w:val="00112EFA"/>
    <w:rsid w:val="00113003"/>
    <w:rsid w:val="00113062"/>
    <w:rsid w:val="00113705"/>
    <w:rsid w:val="00113952"/>
    <w:rsid w:val="00113975"/>
    <w:rsid w:val="00113CFC"/>
    <w:rsid w:val="00113FEA"/>
    <w:rsid w:val="00113FF2"/>
    <w:rsid w:val="00114324"/>
    <w:rsid w:val="0011452E"/>
    <w:rsid w:val="00114A22"/>
    <w:rsid w:val="00114E9D"/>
    <w:rsid w:val="0011507B"/>
    <w:rsid w:val="001155EE"/>
    <w:rsid w:val="00115715"/>
    <w:rsid w:val="00115D13"/>
    <w:rsid w:val="00116328"/>
    <w:rsid w:val="001169FD"/>
    <w:rsid w:val="001174C9"/>
    <w:rsid w:val="00117C82"/>
    <w:rsid w:val="00117E69"/>
    <w:rsid w:val="00121103"/>
    <w:rsid w:val="0012156A"/>
    <w:rsid w:val="00121BAB"/>
    <w:rsid w:val="00121E3C"/>
    <w:rsid w:val="00122490"/>
    <w:rsid w:val="00122B23"/>
    <w:rsid w:val="00122B7E"/>
    <w:rsid w:val="00123D64"/>
    <w:rsid w:val="00123FB5"/>
    <w:rsid w:val="0012400F"/>
    <w:rsid w:val="001246C9"/>
    <w:rsid w:val="001249DC"/>
    <w:rsid w:val="00124CED"/>
    <w:rsid w:val="00125340"/>
    <w:rsid w:val="0012572D"/>
    <w:rsid w:val="00125BED"/>
    <w:rsid w:val="00125C59"/>
    <w:rsid w:val="00125D4F"/>
    <w:rsid w:val="00126825"/>
    <w:rsid w:val="00126F9B"/>
    <w:rsid w:val="00127004"/>
    <w:rsid w:val="00127AF2"/>
    <w:rsid w:val="00127EDC"/>
    <w:rsid w:val="00127F6D"/>
    <w:rsid w:val="00130355"/>
    <w:rsid w:val="00131B5A"/>
    <w:rsid w:val="00132C30"/>
    <w:rsid w:val="00132EFD"/>
    <w:rsid w:val="00133AED"/>
    <w:rsid w:val="00134FF9"/>
    <w:rsid w:val="00135E88"/>
    <w:rsid w:val="0013695C"/>
    <w:rsid w:val="00136BF7"/>
    <w:rsid w:val="001373B5"/>
    <w:rsid w:val="001378B9"/>
    <w:rsid w:val="00137FD1"/>
    <w:rsid w:val="00137FFA"/>
    <w:rsid w:val="00140109"/>
    <w:rsid w:val="0014029B"/>
    <w:rsid w:val="00140A4F"/>
    <w:rsid w:val="001413AB"/>
    <w:rsid w:val="00141A94"/>
    <w:rsid w:val="001432AF"/>
    <w:rsid w:val="00144335"/>
    <w:rsid w:val="0014502F"/>
    <w:rsid w:val="00145282"/>
    <w:rsid w:val="001453B0"/>
    <w:rsid w:val="001454D9"/>
    <w:rsid w:val="00145D8E"/>
    <w:rsid w:val="00146083"/>
    <w:rsid w:val="001462F7"/>
    <w:rsid w:val="001466F0"/>
    <w:rsid w:val="00146B60"/>
    <w:rsid w:val="00147798"/>
    <w:rsid w:val="00150005"/>
    <w:rsid w:val="00150A17"/>
    <w:rsid w:val="00151B99"/>
    <w:rsid w:val="001521B2"/>
    <w:rsid w:val="00152288"/>
    <w:rsid w:val="00152EDD"/>
    <w:rsid w:val="00153491"/>
    <w:rsid w:val="0015361C"/>
    <w:rsid w:val="0015372F"/>
    <w:rsid w:val="00153A05"/>
    <w:rsid w:val="00153A18"/>
    <w:rsid w:val="00153A87"/>
    <w:rsid w:val="00153BFB"/>
    <w:rsid w:val="0015407E"/>
    <w:rsid w:val="0015448E"/>
    <w:rsid w:val="00154A6F"/>
    <w:rsid w:val="00155D08"/>
    <w:rsid w:val="00156BE5"/>
    <w:rsid w:val="00156FDB"/>
    <w:rsid w:val="00157232"/>
    <w:rsid w:val="001577C5"/>
    <w:rsid w:val="00160401"/>
    <w:rsid w:val="00160D4E"/>
    <w:rsid w:val="00161E62"/>
    <w:rsid w:val="00161F1C"/>
    <w:rsid w:val="0016200B"/>
    <w:rsid w:val="00162AEC"/>
    <w:rsid w:val="00163D7A"/>
    <w:rsid w:val="00164281"/>
    <w:rsid w:val="00164AF1"/>
    <w:rsid w:val="001654DF"/>
    <w:rsid w:val="00167503"/>
    <w:rsid w:val="001676A9"/>
    <w:rsid w:val="0016789B"/>
    <w:rsid w:val="00167A15"/>
    <w:rsid w:val="00167A50"/>
    <w:rsid w:val="00167D66"/>
    <w:rsid w:val="00167DF5"/>
    <w:rsid w:val="00170001"/>
    <w:rsid w:val="0017145A"/>
    <w:rsid w:val="00171EE0"/>
    <w:rsid w:val="00172198"/>
    <w:rsid w:val="00172612"/>
    <w:rsid w:val="001726C0"/>
    <w:rsid w:val="00172817"/>
    <w:rsid w:val="001734E3"/>
    <w:rsid w:val="0017350E"/>
    <w:rsid w:val="00173754"/>
    <w:rsid w:val="0017391B"/>
    <w:rsid w:val="001742BF"/>
    <w:rsid w:val="001749DF"/>
    <w:rsid w:val="00175E49"/>
    <w:rsid w:val="00176431"/>
    <w:rsid w:val="00176470"/>
    <w:rsid w:val="0017659F"/>
    <w:rsid w:val="00177076"/>
    <w:rsid w:val="001773FC"/>
    <w:rsid w:val="001805C1"/>
    <w:rsid w:val="00180A2E"/>
    <w:rsid w:val="001813AF"/>
    <w:rsid w:val="001829CD"/>
    <w:rsid w:val="00182F01"/>
    <w:rsid w:val="00184F27"/>
    <w:rsid w:val="001850E6"/>
    <w:rsid w:val="0018519B"/>
    <w:rsid w:val="001857D6"/>
    <w:rsid w:val="00185AFE"/>
    <w:rsid w:val="00185E78"/>
    <w:rsid w:val="00186984"/>
    <w:rsid w:val="00187177"/>
    <w:rsid w:val="00187443"/>
    <w:rsid w:val="00187ABD"/>
    <w:rsid w:val="001904E3"/>
    <w:rsid w:val="0019087A"/>
    <w:rsid w:val="00191395"/>
    <w:rsid w:val="00191C5A"/>
    <w:rsid w:val="00191CEB"/>
    <w:rsid w:val="00191E63"/>
    <w:rsid w:val="00192D68"/>
    <w:rsid w:val="0019388B"/>
    <w:rsid w:val="00193B9A"/>
    <w:rsid w:val="00193F7E"/>
    <w:rsid w:val="00194458"/>
    <w:rsid w:val="001946AE"/>
    <w:rsid w:val="001946D5"/>
    <w:rsid w:val="00194E8C"/>
    <w:rsid w:val="00194EF3"/>
    <w:rsid w:val="001962EC"/>
    <w:rsid w:val="001963DD"/>
    <w:rsid w:val="001965DB"/>
    <w:rsid w:val="00196647"/>
    <w:rsid w:val="00196DC9"/>
    <w:rsid w:val="001A0236"/>
    <w:rsid w:val="001A028A"/>
    <w:rsid w:val="001A0AF8"/>
    <w:rsid w:val="001A18D5"/>
    <w:rsid w:val="001A192C"/>
    <w:rsid w:val="001A1D4A"/>
    <w:rsid w:val="001A238C"/>
    <w:rsid w:val="001A2BDB"/>
    <w:rsid w:val="001A3011"/>
    <w:rsid w:val="001A325B"/>
    <w:rsid w:val="001A3FC3"/>
    <w:rsid w:val="001A42FB"/>
    <w:rsid w:val="001A43C6"/>
    <w:rsid w:val="001A4A08"/>
    <w:rsid w:val="001A4DAF"/>
    <w:rsid w:val="001A652F"/>
    <w:rsid w:val="001A66DF"/>
    <w:rsid w:val="001A67D0"/>
    <w:rsid w:val="001A687E"/>
    <w:rsid w:val="001A6BF1"/>
    <w:rsid w:val="001A7313"/>
    <w:rsid w:val="001A7591"/>
    <w:rsid w:val="001A75B1"/>
    <w:rsid w:val="001A7FBE"/>
    <w:rsid w:val="001B0366"/>
    <w:rsid w:val="001B0444"/>
    <w:rsid w:val="001B096B"/>
    <w:rsid w:val="001B0F9F"/>
    <w:rsid w:val="001B123C"/>
    <w:rsid w:val="001B1A0D"/>
    <w:rsid w:val="001B1BF1"/>
    <w:rsid w:val="001B2456"/>
    <w:rsid w:val="001B2890"/>
    <w:rsid w:val="001B2B27"/>
    <w:rsid w:val="001B40C7"/>
    <w:rsid w:val="001B449C"/>
    <w:rsid w:val="001B4AA2"/>
    <w:rsid w:val="001B4ADE"/>
    <w:rsid w:val="001B5C86"/>
    <w:rsid w:val="001B5EF8"/>
    <w:rsid w:val="001C027C"/>
    <w:rsid w:val="001C037A"/>
    <w:rsid w:val="001C07C6"/>
    <w:rsid w:val="001C08B2"/>
    <w:rsid w:val="001C19CD"/>
    <w:rsid w:val="001C22D5"/>
    <w:rsid w:val="001C2515"/>
    <w:rsid w:val="001C2550"/>
    <w:rsid w:val="001C26FB"/>
    <w:rsid w:val="001C33C1"/>
    <w:rsid w:val="001C3E30"/>
    <w:rsid w:val="001C3E5C"/>
    <w:rsid w:val="001C5072"/>
    <w:rsid w:val="001C5B2A"/>
    <w:rsid w:val="001C600B"/>
    <w:rsid w:val="001C6407"/>
    <w:rsid w:val="001C6898"/>
    <w:rsid w:val="001C6DD8"/>
    <w:rsid w:val="001C7515"/>
    <w:rsid w:val="001C7C7B"/>
    <w:rsid w:val="001D068D"/>
    <w:rsid w:val="001D0A71"/>
    <w:rsid w:val="001D0C08"/>
    <w:rsid w:val="001D12D1"/>
    <w:rsid w:val="001D15DF"/>
    <w:rsid w:val="001D2970"/>
    <w:rsid w:val="001D30F3"/>
    <w:rsid w:val="001D31A0"/>
    <w:rsid w:val="001D338E"/>
    <w:rsid w:val="001D3D3F"/>
    <w:rsid w:val="001D408D"/>
    <w:rsid w:val="001D4141"/>
    <w:rsid w:val="001D56E9"/>
    <w:rsid w:val="001D7923"/>
    <w:rsid w:val="001D796A"/>
    <w:rsid w:val="001D7A84"/>
    <w:rsid w:val="001D7C79"/>
    <w:rsid w:val="001E0E15"/>
    <w:rsid w:val="001E15F0"/>
    <w:rsid w:val="001E1CC4"/>
    <w:rsid w:val="001E1D38"/>
    <w:rsid w:val="001E1DEE"/>
    <w:rsid w:val="001E250D"/>
    <w:rsid w:val="001E4258"/>
    <w:rsid w:val="001E442F"/>
    <w:rsid w:val="001E4587"/>
    <w:rsid w:val="001E56FF"/>
    <w:rsid w:val="001E5A69"/>
    <w:rsid w:val="001E5B84"/>
    <w:rsid w:val="001E5D6A"/>
    <w:rsid w:val="001E62E9"/>
    <w:rsid w:val="001E6A45"/>
    <w:rsid w:val="001E70FB"/>
    <w:rsid w:val="001E780A"/>
    <w:rsid w:val="001F07D6"/>
    <w:rsid w:val="001F0FA0"/>
    <w:rsid w:val="001F1349"/>
    <w:rsid w:val="001F1863"/>
    <w:rsid w:val="001F232D"/>
    <w:rsid w:val="001F2356"/>
    <w:rsid w:val="001F2A68"/>
    <w:rsid w:val="001F35AE"/>
    <w:rsid w:val="001F39EA"/>
    <w:rsid w:val="001F4773"/>
    <w:rsid w:val="001F5008"/>
    <w:rsid w:val="001F512D"/>
    <w:rsid w:val="001F56AA"/>
    <w:rsid w:val="001F58AA"/>
    <w:rsid w:val="001F5EF6"/>
    <w:rsid w:val="001F657F"/>
    <w:rsid w:val="001F6BD5"/>
    <w:rsid w:val="001F6FB6"/>
    <w:rsid w:val="001F7978"/>
    <w:rsid w:val="001F7A0E"/>
    <w:rsid w:val="0020022E"/>
    <w:rsid w:val="002004AC"/>
    <w:rsid w:val="0020054E"/>
    <w:rsid w:val="00200B51"/>
    <w:rsid w:val="0020106C"/>
    <w:rsid w:val="00201F1E"/>
    <w:rsid w:val="0020299B"/>
    <w:rsid w:val="00202E44"/>
    <w:rsid w:val="002037AA"/>
    <w:rsid w:val="00203FE3"/>
    <w:rsid w:val="002042D8"/>
    <w:rsid w:val="00204515"/>
    <w:rsid w:val="00204BF5"/>
    <w:rsid w:val="00204D91"/>
    <w:rsid w:val="00204D9B"/>
    <w:rsid w:val="00204E6B"/>
    <w:rsid w:val="002058D4"/>
    <w:rsid w:val="00205BAA"/>
    <w:rsid w:val="0020632A"/>
    <w:rsid w:val="002064A6"/>
    <w:rsid w:val="0020697F"/>
    <w:rsid w:val="002077FA"/>
    <w:rsid w:val="0020796E"/>
    <w:rsid w:val="00210430"/>
    <w:rsid w:val="0021096F"/>
    <w:rsid w:val="002110EB"/>
    <w:rsid w:val="00211338"/>
    <w:rsid w:val="00211342"/>
    <w:rsid w:val="00211388"/>
    <w:rsid w:val="0021148C"/>
    <w:rsid w:val="00211694"/>
    <w:rsid w:val="0021201A"/>
    <w:rsid w:val="00213592"/>
    <w:rsid w:val="00213A1F"/>
    <w:rsid w:val="00213C63"/>
    <w:rsid w:val="00214502"/>
    <w:rsid w:val="00214741"/>
    <w:rsid w:val="0021539A"/>
    <w:rsid w:val="00215793"/>
    <w:rsid w:val="00215852"/>
    <w:rsid w:val="00215AC4"/>
    <w:rsid w:val="00215B8E"/>
    <w:rsid w:val="00216264"/>
    <w:rsid w:val="002168B8"/>
    <w:rsid w:val="002176B6"/>
    <w:rsid w:val="0021792D"/>
    <w:rsid w:val="00217DB8"/>
    <w:rsid w:val="0022032A"/>
    <w:rsid w:val="002221CE"/>
    <w:rsid w:val="00222BE8"/>
    <w:rsid w:val="00223102"/>
    <w:rsid w:val="002232CB"/>
    <w:rsid w:val="00223EFE"/>
    <w:rsid w:val="00224022"/>
    <w:rsid w:val="00224ABA"/>
    <w:rsid w:val="00225C7E"/>
    <w:rsid w:val="00226055"/>
    <w:rsid w:val="0022613F"/>
    <w:rsid w:val="00226236"/>
    <w:rsid w:val="00226287"/>
    <w:rsid w:val="00226DF9"/>
    <w:rsid w:val="002270C9"/>
    <w:rsid w:val="00227710"/>
    <w:rsid w:val="00227A8B"/>
    <w:rsid w:val="0023146B"/>
    <w:rsid w:val="002315A0"/>
    <w:rsid w:val="00231CE0"/>
    <w:rsid w:val="00231DBA"/>
    <w:rsid w:val="00231EC7"/>
    <w:rsid w:val="00232354"/>
    <w:rsid w:val="00232A6C"/>
    <w:rsid w:val="00232E15"/>
    <w:rsid w:val="00233079"/>
    <w:rsid w:val="0023382C"/>
    <w:rsid w:val="00233977"/>
    <w:rsid w:val="00233C58"/>
    <w:rsid w:val="00233C71"/>
    <w:rsid w:val="002345B6"/>
    <w:rsid w:val="00234B84"/>
    <w:rsid w:val="00235D5E"/>
    <w:rsid w:val="00236016"/>
    <w:rsid w:val="00236E95"/>
    <w:rsid w:val="00237065"/>
    <w:rsid w:val="00237589"/>
    <w:rsid w:val="0023758D"/>
    <w:rsid w:val="002375A7"/>
    <w:rsid w:val="0024016B"/>
    <w:rsid w:val="0024019A"/>
    <w:rsid w:val="002402A8"/>
    <w:rsid w:val="00240695"/>
    <w:rsid w:val="002411DE"/>
    <w:rsid w:val="0024131D"/>
    <w:rsid w:val="002413B5"/>
    <w:rsid w:val="002414D3"/>
    <w:rsid w:val="002415B8"/>
    <w:rsid w:val="00241618"/>
    <w:rsid w:val="00242D62"/>
    <w:rsid w:val="00243057"/>
    <w:rsid w:val="002431D7"/>
    <w:rsid w:val="00243257"/>
    <w:rsid w:val="00243434"/>
    <w:rsid w:val="00244058"/>
    <w:rsid w:val="00244F9A"/>
    <w:rsid w:val="00245718"/>
    <w:rsid w:val="00245784"/>
    <w:rsid w:val="002459A9"/>
    <w:rsid w:val="00245E07"/>
    <w:rsid w:val="00246A5D"/>
    <w:rsid w:val="0024729C"/>
    <w:rsid w:val="00247712"/>
    <w:rsid w:val="00250C45"/>
    <w:rsid w:val="00250EC6"/>
    <w:rsid w:val="00251866"/>
    <w:rsid w:val="00251A9F"/>
    <w:rsid w:val="00252492"/>
    <w:rsid w:val="00252B35"/>
    <w:rsid w:val="0025316D"/>
    <w:rsid w:val="002532F4"/>
    <w:rsid w:val="00253A02"/>
    <w:rsid w:val="00253B81"/>
    <w:rsid w:val="002554DE"/>
    <w:rsid w:val="00255E11"/>
    <w:rsid w:val="00256835"/>
    <w:rsid w:val="002569F0"/>
    <w:rsid w:val="00256ECF"/>
    <w:rsid w:val="00257730"/>
    <w:rsid w:val="00257999"/>
    <w:rsid w:val="00257C83"/>
    <w:rsid w:val="002604AA"/>
    <w:rsid w:val="0026059D"/>
    <w:rsid w:val="0026129B"/>
    <w:rsid w:val="00261560"/>
    <w:rsid w:val="00261715"/>
    <w:rsid w:val="00261CF9"/>
    <w:rsid w:val="00261EC0"/>
    <w:rsid w:val="0026231B"/>
    <w:rsid w:val="002626D5"/>
    <w:rsid w:val="00262A26"/>
    <w:rsid w:val="0026306A"/>
    <w:rsid w:val="00263101"/>
    <w:rsid w:val="00263201"/>
    <w:rsid w:val="00263336"/>
    <w:rsid w:val="00263A37"/>
    <w:rsid w:val="00263EAE"/>
    <w:rsid w:val="00264409"/>
    <w:rsid w:val="002648AB"/>
    <w:rsid w:val="002653A6"/>
    <w:rsid w:val="00265663"/>
    <w:rsid w:val="0026608D"/>
    <w:rsid w:val="002661F1"/>
    <w:rsid w:val="002663BA"/>
    <w:rsid w:val="002664B7"/>
    <w:rsid w:val="00266CB5"/>
    <w:rsid w:val="00267D66"/>
    <w:rsid w:val="002711A4"/>
    <w:rsid w:val="00271F13"/>
    <w:rsid w:val="002721E2"/>
    <w:rsid w:val="00274DB5"/>
    <w:rsid w:val="00275BB1"/>
    <w:rsid w:val="00275FBF"/>
    <w:rsid w:val="00276373"/>
    <w:rsid w:val="00277933"/>
    <w:rsid w:val="00277F13"/>
    <w:rsid w:val="00277F8D"/>
    <w:rsid w:val="00277FA7"/>
    <w:rsid w:val="00280F3D"/>
    <w:rsid w:val="0028106A"/>
    <w:rsid w:val="00281EB4"/>
    <w:rsid w:val="00282C21"/>
    <w:rsid w:val="0028308E"/>
    <w:rsid w:val="002830FE"/>
    <w:rsid w:val="002831B9"/>
    <w:rsid w:val="002834E9"/>
    <w:rsid w:val="0028396F"/>
    <w:rsid w:val="00283A52"/>
    <w:rsid w:val="00283C5E"/>
    <w:rsid w:val="00283E26"/>
    <w:rsid w:val="0028428F"/>
    <w:rsid w:val="00284CFC"/>
    <w:rsid w:val="00285624"/>
    <w:rsid w:val="0028565E"/>
    <w:rsid w:val="00285832"/>
    <w:rsid w:val="00285969"/>
    <w:rsid w:val="0028663B"/>
    <w:rsid w:val="00286CEC"/>
    <w:rsid w:val="002871A9"/>
    <w:rsid w:val="00287B7E"/>
    <w:rsid w:val="00290781"/>
    <w:rsid w:val="00290929"/>
    <w:rsid w:val="002912D3"/>
    <w:rsid w:val="00291784"/>
    <w:rsid w:val="002929BB"/>
    <w:rsid w:val="00292E64"/>
    <w:rsid w:val="002932BA"/>
    <w:rsid w:val="00293669"/>
    <w:rsid w:val="00294368"/>
    <w:rsid w:val="00294B78"/>
    <w:rsid w:val="00295646"/>
    <w:rsid w:val="002957FA"/>
    <w:rsid w:val="00295820"/>
    <w:rsid w:val="00295949"/>
    <w:rsid w:val="0029624A"/>
    <w:rsid w:val="00296922"/>
    <w:rsid w:val="0029697C"/>
    <w:rsid w:val="00296EAF"/>
    <w:rsid w:val="00296F71"/>
    <w:rsid w:val="00297098"/>
    <w:rsid w:val="002A05D4"/>
    <w:rsid w:val="002A09FF"/>
    <w:rsid w:val="002A0C01"/>
    <w:rsid w:val="002A0E60"/>
    <w:rsid w:val="002A1588"/>
    <w:rsid w:val="002A1A58"/>
    <w:rsid w:val="002A1B02"/>
    <w:rsid w:val="002A1C53"/>
    <w:rsid w:val="002A28FC"/>
    <w:rsid w:val="002A2B44"/>
    <w:rsid w:val="002A2EA5"/>
    <w:rsid w:val="002A377F"/>
    <w:rsid w:val="002A3842"/>
    <w:rsid w:val="002A3D94"/>
    <w:rsid w:val="002A4736"/>
    <w:rsid w:val="002A4B1C"/>
    <w:rsid w:val="002A4BDD"/>
    <w:rsid w:val="002A4CC8"/>
    <w:rsid w:val="002A4DBB"/>
    <w:rsid w:val="002A5A80"/>
    <w:rsid w:val="002A6AFB"/>
    <w:rsid w:val="002A6E3A"/>
    <w:rsid w:val="002A733D"/>
    <w:rsid w:val="002A774A"/>
    <w:rsid w:val="002A7AFB"/>
    <w:rsid w:val="002A7E5C"/>
    <w:rsid w:val="002A7F6D"/>
    <w:rsid w:val="002B020D"/>
    <w:rsid w:val="002B1342"/>
    <w:rsid w:val="002B27C8"/>
    <w:rsid w:val="002B2A7F"/>
    <w:rsid w:val="002B330B"/>
    <w:rsid w:val="002B39BE"/>
    <w:rsid w:val="002B4039"/>
    <w:rsid w:val="002B438C"/>
    <w:rsid w:val="002B48DB"/>
    <w:rsid w:val="002B4B34"/>
    <w:rsid w:val="002B508E"/>
    <w:rsid w:val="002B541A"/>
    <w:rsid w:val="002B6407"/>
    <w:rsid w:val="002B6416"/>
    <w:rsid w:val="002B6459"/>
    <w:rsid w:val="002B64D2"/>
    <w:rsid w:val="002B6A75"/>
    <w:rsid w:val="002B73B0"/>
    <w:rsid w:val="002B7F7A"/>
    <w:rsid w:val="002C078F"/>
    <w:rsid w:val="002C1143"/>
    <w:rsid w:val="002C24B4"/>
    <w:rsid w:val="002C2739"/>
    <w:rsid w:val="002C2B3A"/>
    <w:rsid w:val="002C2B87"/>
    <w:rsid w:val="002C3CF4"/>
    <w:rsid w:val="002C441A"/>
    <w:rsid w:val="002C4A73"/>
    <w:rsid w:val="002C4B84"/>
    <w:rsid w:val="002C4C0C"/>
    <w:rsid w:val="002C5016"/>
    <w:rsid w:val="002C5570"/>
    <w:rsid w:val="002C5C2F"/>
    <w:rsid w:val="002C5D0F"/>
    <w:rsid w:val="002C5E87"/>
    <w:rsid w:val="002C60B9"/>
    <w:rsid w:val="002C6A1D"/>
    <w:rsid w:val="002C6F77"/>
    <w:rsid w:val="002C6F94"/>
    <w:rsid w:val="002C704D"/>
    <w:rsid w:val="002C77DD"/>
    <w:rsid w:val="002D0845"/>
    <w:rsid w:val="002D0933"/>
    <w:rsid w:val="002D0F58"/>
    <w:rsid w:val="002D1866"/>
    <w:rsid w:val="002D19BB"/>
    <w:rsid w:val="002D1A9B"/>
    <w:rsid w:val="002D22C5"/>
    <w:rsid w:val="002D301F"/>
    <w:rsid w:val="002D302A"/>
    <w:rsid w:val="002D36C6"/>
    <w:rsid w:val="002D37C1"/>
    <w:rsid w:val="002D444B"/>
    <w:rsid w:val="002D4A45"/>
    <w:rsid w:val="002D4A73"/>
    <w:rsid w:val="002D4AB1"/>
    <w:rsid w:val="002D4B42"/>
    <w:rsid w:val="002D4DBA"/>
    <w:rsid w:val="002D5A1B"/>
    <w:rsid w:val="002D65BC"/>
    <w:rsid w:val="002D6D7E"/>
    <w:rsid w:val="002D7EDD"/>
    <w:rsid w:val="002E055C"/>
    <w:rsid w:val="002E1050"/>
    <w:rsid w:val="002E18E5"/>
    <w:rsid w:val="002E1953"/>
    <w:rsid w:val="002E2D7D"/>
    <w:rsid w:val="002E3AB5"/>
    <w:rsid w:val="002E3D76"/>
    <w:rsid w:val="002E40A1"/>
    <w:rsid w:val="002E48EC"/>
    <w:rsid w:val="002E4B44"/>
    <w:rsid w:val="002E4ECB"/>
    <w:rsid w:val="002E4F23"/>
    <w:rsid w:val="002E5B53"/>
    <w:rsid w:val="002E74C4"/>
    <w:rsid w:val="002E7847"/>
    <w:rsid w:val="002E7FCF"/>
    <w:rsid w:val="002F0073"/>
    <w:rsid w:val="002F0618"/>
    <w:rsid w:val="002F1D41"/>
    <w:rsid w:val="002F240B"/>
    <w:rsid w:val="002F2F50"/>
    <w:rsid w:val="002F3601"/>
    <w:rsid w:val="002F45F6"/>
    <w:rsid w:val="002F4B5E"/>
    <w:rsid w:val="002F692F"/>
    <w:rsid w:val="002F69BE"/>
    <w:rsid w:val="002F7B66"/>
    <w:rsid w:val="00300AC1"/>
    <w:rsid w:val="00300CB4"/>
    <w:rsid w:val="00300DE7"/>
    <w:rsid w:val="00300E24"/>
    <w:rsid w:val="0030101C"/>
    <w:rsid w:val="003033BA"/>
    <w:rsid w:val="003043A3"/>
    <w:rsid w:val="00304B96"/>
    <w:rsid w:val="00304BD4"/>
    <w:rsid w:val="0030500A"/>
    <w:rsid w:val="0030517B"/>
    <w:rsid w:val="003052EB"/>
    <w:rsid w:val="00305FCB"/>
    <w:rsid w:val="0030600C"/>
    <w:rsid w:val="003063C3"/>
    <w:rsid w:val="00306B44"/>
    <w:rsid w:val="00307C44"/>
    <w:rsid w:val="0031088E"/>
    <w:rsid w:val="00310A35"/>
    <w:rsid w:val="00310CAF"/>
    <w:rsid w:val="00310D01"/>
    <w:rsid w:val="00311324"/>
    <w:rsid w:val="00311376"/>
    <w:rsid w:val="003118E7"/>
    <w:rsid w:val="00311A1F"/>
    <w:rsid w:val="00311B47"/>
    <w:rsid w:val="00311D52"/>
    <w:rsid w:val="00312190"/>
    <w:rsid w:val="003125E0"/>
    <w:rsid w:val="00312606"/>
    <w:rsid w:val="0031271D"/>
    <w:rsid w:val="0031336A"/>
    <w:rsid w:val="00313447"/>
    <w:rsid w:val="00313748"/>
    <w:rsid w:val="003138A4"/>
    <w:rsid w:val="00313EA3"/>
    <w:rsid w:val="0031447D"/>
    <w:rsid w:val="0031496A"/>
    <w:rsid w:val="00315457"/>
    <w:rsid w:val="003161A4"/>
    <w:rsid w:val="00316955"/>
    <w:rsid w:val="0031720A"/>
    <w:rsid w:val="0031749B"/>
    <w:rsid w:val="003174E5"/>
    <w:rsid w:val="00317C9D"/>
    <w:rsid w:val="00317CD2"/>
    <w:rsid w:val="00317D99"/>
    <w:rsid w:val="00317EA2"/>
    <w:rsid w:val="0032078D"/>
    <w:rsid w:val="003209BE"/>
    <w:rsid w:val="00320A6E"/>
    <w:rsid w:val="00320F34"/>
    <w:rsid w:val="0032137B"/>
    <w:rsid w:val="003214F7"/>
    <w:rsid w:val="00321BD6"/>
    <w:rsid w:val="00321FA3"/>
    <w:rsid w:val="003227D3"/>
    <w:rsid w:val="003228EB"/>
    <w:rsid w:val="00322937"/>
    <w:rsid w:val="00322A46"/>
    <w:rsid w:val="00322A84"/>
    <w:rsid w:val="00323881"/>
    <w:rsid w:val="00323B73"/>
    <w:rsid w:val="003254F5"/>
    <w:rsid w:val="00325D98"/>
    <w:rsid w:val="0032682A"/>
    <w:rsid w:val="00327A5C"/>
    <w:rsid w:val="0033092C"/>
    <w:rsid w:val="0033122A"/>
    <w:rsid w:val="003315AC"/>
    <w:rsid w:val="00331932"/>
    <w:rsid w:val="00331A60"/>
    <w:rsid w:val="0033245D"/>
    <w:rsid w:val="00332F46"/>
    <w:rsid w:val="00333873"/>
    <w:rsid w:val="00333A88"/>
    <w:rsid w:val="00333FFB"/>
    <w:rsid w:val="00335B15"/>
    <w:rsid w:val="00335B21"/>
    <w:rsid w:val="00335D3F"/>
    <w:rsid w:val="00336104"/>
    <w:rsid w:val="00336729"/>
    <w:rsid w:val="00336AB1"/>
    <w:rsid w:val="0033726D"/>
    <w:rsid w:val="00337362"/>
    <w:rsid w:val="00337807"/>
    <w:rsid w:val="00337CA8"/>
    <w:rsid w:val="00337EAD"/>
    <w:rsid w:val="0034125B"/>
    <w:rsid w:val="0034177C"/>
    <w:rsid w:val="00342345"/>
    <w:rsid w:val="00342B56"/>
    <w:rsid w:val="00342C27"/>
    <w:rsid w:val="003430C8"/>
    <w:rsid w:val="003432C8"/>
    <w:rsid w:val="003434B3"/>
    <w:rsid w:val="00343536"/>
    <w:rsid w:val="00343EFB"/>
    <w:rsid w:val="00344014"/>
    <w:rsid w:val="003443DF"/>
    <w:rsid w:val="00344760"/>
    <w:rsid w:val="00344A64"/>
    <w:rsid w:val="003467FF"/>
    <w:rsid w:val="0034680A"/>
    <w:rsid w:val="00346C62"/>
    <w:rsid w:val="0034740F"/>
    <w:rsid w:val="0034778E"/>
    <w:rsid w:val="003501E2"/>
    <w:rsid w:val="00350A59"/>
    <w:rsid w:val="00351E10"/>
    <w:rsid w:val="0035254F"/>
    <w:rsid w:val="003525E7"/>
    <w:rsid w:val="0035273A"/>
    <w:rsid w:val="00352D59"/>
    <w:rsid w:val="003533F4"/>
    <w:rsid w:val="003536F6"/>
    <w:rsid w:val="00353DD5"/>
    <w:rsid w:val="00354A64"/>
    <w:rsid w:val="00355131"/>
    <w:rsid w:val="00355462"/>
    <w:rsid w:val="00356438"/>
    <w:rsid w:val="00356687"/>
    <w:rsid w:val="00357107"/>
    <w:rsid w:val="0036098D"/>
    <w:rsid w:val="003609C4"/>
    <w:rsid w:val="00361A59"/>
    <w:rsid w:val="003631CC"/>
    <w:rsid w:val="00363348"/>
    <w:rsid w:val="00363857"/>
    <w:rsid w:val="00363D59"/>
    <w:rsid w:val="003640F7"/>
    <w:rsid w:val="00364300"/>
    <w:rsid w:val="00365D3A"/>
    <w:rsid w:val="003661DD"/>
    <w:rsid w:val="003664FF"/>
    <w:rsid w:val="00366B70"/>
    <w:rsid w:val="00366BD2"/>
    <w:rsid w:val="003670B8"/>
    <w:rsid w:val="0036776E"/>
    <w:rsid w:val="003704A3"/>
    <w:rsid w:val="003706F2"/>
    <w:rsid w:val="0037124F"/>
    <w:rsid w:val="0037195B"/>
    <w:rsid w:val="00373827"/>
    <w:rsid w:val="00373971"/>
    <w:rsid w:val="00373F04"/>
    <w:rsid w:val="0037401C"/>
    <w:rsid w:val="00374A1E"/>
    <w:rsid w:val="0037507B"/>
    <w:rsid w:val="003759D1"/>
    <w:rsid w:val="00375C7C"/>
    <w:rsid w:val="003762F6"/>
    <w:rsid w:val="00376A1F"/>
    <w:rsid w:val="00377027"/>
    <w:rsid w:val="00377135"/>
    <w:rsid w:val="00380272"/>
    <w:rsid w:val="00380355"/>
    <w:rsid w:val="00380576"/>
    <w:rsid w:val="003805DB"/>
    <w:rsid w:val="003813F4"/>
    <w:rsid w:val="0038152A"/>
    <w:rsid w:val="00382BAD"/>
    <w:rsid w:val="00383A8D"/>
    <w:rsid w:val="00383B2B"/>
    <w:rsid w:val="00384CD6"/>
    <w:rsid w:val="00384DF1"/>
    <w:rsid w:val="00384FF3"/>
    <w:rsid w:val="003852D5"/>
    <w:rsid w:val="003859DA"/>
    <w:rsid w:val="00386456"/>
    <w:rsid w:val="003865A9"/>
    <w:rsid w:val="00387642"/>
    <w:rsid w:val="00390088"/>
    <w:rsid w:val="003902B1"/>
    <w:rsid w:val="003903B6"/>
    <w:rsid w:val="00390F32"/>
    <w:rsid w:val="0039135E"/>
    <w:rsid w:val="00391BE4"/>
    <w:rsid w:val="0039200F"/>
    <w:rsid w:val="00392FFF"/>
    <w:rsid w:val="0039319C"/>
    <w:rsid w:val="003938CD"/>
    <w:rsid w:val="00393CAE"/>
    <w:rsid w:val="003945DC"/>
    <w:rsid w:val="003945F4"/>
    <w:rsid w:val="00394EB5"/>
    <w:rsid w:val="0039539A"/>
    <w:rsid w:val="003953B4"/>
    <w:rsid w:val="0039615F"/>
    <w:rsid w:val="003965C8"/>
    <w:rsid w:val="00396675"/>
    <w:rsid w:val="00396A29"/>
    <w:rsid w:val="00397FF0"/>
    <w:rsid w:val="003A07D9"/>
    <w:rsid w:val="003A0878"/>
    <w:rsid w:val="003A10DE"/>
    <w:rsid w:val="003A1561"/>
    <w:rsid w:val="003A1D25"/>
    <w:rsid w:val="003A22A2"/>
    <w:rsid w:val="003A2447"/>
    <w:rsid w:val="003A2AA1"/>
    <w:rsid w:val="003A31A5"/>
    <w:rsid w:val="003A3851"/>
    <w:rsid w:val="003A39DD"/>
    <w:rsid w:val="003A4A8E"/>
    <w:rsid w:val="003A563C"/>
    <w:rsid w:val="003A581E"/>
    <w:rsid w:val="003A6160"/>
    <w:rsid w:val="003A65A5"/>
    <w:rsid w:val="003A72F5"/>
    <w:rsid w:val="003A78E5"/>
    <w:rsid w:val="003B0341"/>
    <w:rsid w:val="003B120F"/>
    <w:rsid w:val="003B1E57"/>
    <w:rsid w:val="003B1F7F"/>
    <w:rsid w:val="003B2885"/>
    <w:rsid w:val="003B2E6C"/>
    <w:rsid w:val="003B2EF3"/>
    <w:rsid w:val="003B3676"/>
    <w:rsid w:val="003B4B1C"/>
    <w:rsid w:val="003B4CB2"/>
    <w:rsid w:val="003B534F"/>
    <w:rsid w:val="003B5391"/>
    <w:rsid w:val="003B5952"/>
    <w:rsid w:val="003B65D7"/>
    <w:rsid w:val="003B65E0"/>
    <w:rsid w:val="003B6BD4"/>
    <w:rsid w:val="003B6E93"/>
    <w:rsid w:val="003B6F4D"/>
    <w:rsid w:val="003B6FE7"/>
    <w:rsid w:val="003B7413"/>
    <w:rsid w:val="003B7B6B"/>
    <w:rsid w:val="003C0791"/>
    <w:rsid w:val="003C0D1F"/>
    <w:rsid w:val="003C116A"/>
    <w:rsid w:val="003C1AF4"/>
    <w:rsid w:val="003C1B63"/>
    <w:rsid w:val="003C1CB8"/>
    <w:rsid w:val="003C2550"/>
    <w:rsid w:val="003C287F"/>
    <w:rsid w:val="003C3339"/>
    <w:rsid w:val="003C375A"/>
    <w:rsid w:val="003C43F6"/>
    <w:rsid w:val="003C4D9F"/>
    <w:rsid w:val="003C5118"/>
    <w:rsid w:val="003C622C"/>
    <w:rsid w:val="003C6D53"/>
    <w:rsid w:val="003C6DE8"/>
    <w:rsid w:val="003C73C7"/>
    <w:rsid w:val="003D0195"/>
    <w:rsid w:val="003D03F3"/>
    <w:rsid w:val="003D050B"/>
    <w:rsid w:val="003D0B98"/>
    <w:rsid w:val="003D0C3C"/>
    <w:rsid w:val="003D0DE5"/>
    <w:rsid w:val="003D1351"/>
    <w:rsid w:val="003D21C1"/>
    <w:rsid w:val="003D3707"/>
    <w:rsid w:val="003D3B15"/>
    <w:rsid w:val="003D3B2E"/>
    <w:rsid w:val="003D484D"/>
    <w:rsid w:val="003D49CB"/>
    <w:rsid w:val="003D4BD6"/>
    <w:rsid w:val="003D5960"/>
    <w:rsid w:val="003D6412"/>
    <w:rsid w:val="003D6B8F"/>
    <w:rsid w:val="003D7566"/>
    <w:rsid w:val="003D7708"/>
    <w:rsid w:val="003D79E4"/>
    <w:rsid w:val="003D7C2F"/>
    <w:rsid w:val="003E08B3"/>
    <w:rsid w:val="003E09BB"/>
    <w:rsid w:val="003E159D"/>
    <w:rsid w:val="003E20EA"/>
    <w:rsid w:val="003E210C"/>
    <w:rsid w:val="003E27ED"/>
    <w:rsid w:val="003E2913"/>
    <w:rsid w:val="003E2F55"/>
    <w:rsid w:val="003E317C"/>
    <w:rsid w:val="003E34DB"/>
    <w:rsid w:val="003E3833"/>
    <w:rsid w:val="003E3902"/>
    <w:rsid w:val="003E3AF9"/>
    <w:rsid w:val="003E412A"/>
    <w:rsid w:val="003E4A70"/>
    <w:rsid w:val="003E4C48"/>
    <w:rsid w:val="003E4CD9"/>
    <w:rsid w:val="003E54B3"/>
    <w:rsid w:val="003E5780"/>
    <w:rsid w:val="003E5B9F"/>
    <w:rsid w:val="003E6072"/>
    <w:rsid w:val="003E611E"/>
    <w:rsid w:val="003E62C1"/>
    <w:rsid w:val="003E6AB6"/>
    <w:rsid w:val="003E6E0B"/>
    <w:rsid w:val="003E6F27"/>
    <w:rsid w:val="003E6F6D"/>
    <w:rsid w:val="003E71CD"/>
    <w:rsid w:val="003E74E5"/>
    <w:rsid w:val="003E76DF"/>
    <w:rsid w:val="003E78DA"/>
    <w:rsid w:val="003E7A8B"/>
    <w:rsid w:val="003E7DF5"/>
    <w:rsid w:val="003F04B0"/>
    <w:rsid w:val="003F0F7F"/>
    <w:rsid w:val="003F300D"/>
    <w:rsid w:val="003F391F"/>
    <w:rsid w:val="003F4599"/>
    <w:rsid w:val="003F45E1"/>
    <w:rsid w:val="003F4F6C"/>
    <w:rsid w:val="003F516A"/>
    <w:rsid w:val="003F559E"/>
    <w:rsid w:val="003F5DB7"/>
    <w:rsid w:val="003F6181"/>
    <w:rsid w:val="003F63DF"/>
    <w:rsid w:val="003F7343"/>
    <w:rsid w:val="003F7FCA"/>
    <w:rsid w:val="00400002"/>
    <w:rsid w:val="00400054"/>
    <w:rsid w:val="004016A3"/>
    <w:rsid w:val="00401B31"/>
    <w:rsid w:val="0040202B"/>
    <w:rsid w:val="00402DE1"/>
    <w:rsid w:val="00402EEB"/>
    <w:rsid w:val="004037C2"/>
    <w:rsid w:val="00404041"/>
    <w:rsid w:val="00404B43"/>
    <w:rsid w:val="00404C61"/>
    <w:rsid w:val="00405487"/>
    <w:rsid w:val="004054B1"/>
    <w:rsid w:val="0040550C"/>
    <w:rsid w:val="00405792"/>
    <w:rsid w:val="0040602B"/>
    <w:rsid w:val="00407A7A"/>
    <w:rsid w:val="00407ABC"/>
    <w:rsid w:val="00407BFD"/>
    <w:rsid w:val="00407F1E"/>
    <w:rsid w:val="004106C5"/>
    <w:rsid w:val="00410A88"/>
    <w:rsid w:val="004112B5"/>
    <w:rsid w:val="00411317"/>
    <w:rsid w:val="00411A9E"/>
    <w:rsid w:val="00411D88"/>
    <w:rsid w:val="0041214C"/>
    <w:rsid w:val="0041259F"/>
    <w:rsid w:val="00412B4D"/>
    <w:rsid w:val="00412BBF"/>
    <w:rsid w:val="00412C51"/>
    <w:rsid w:val="00413262"/>
    <w:rsid w:val="0041329C"/>
    <w:rsid w:val="004139F4"/>
    <w:rsid w:val="00413FFA"/>
    <w:rsid w:val="00414246"/>
    <w:rsid w:val="0041475B"/>
    <w:rsid w:val="00414760"/>
    <w:rsid w:val="00414C2F"/>
    <w:rsid w:val="00414D9A"/>
    <w:rsid w:val="00415194"/>
    <w:rsid w:val="00415816"/>
    <w:rsid w:val="00415B88"/>
    <w:rsid w:val="00415D32"/>
    <w:rsid w:val="004160A2"/>
    <w:rsid w:val="004166CB"/>
    <w:rsid w:val="00416879"/>
    <w:rsid w:val="00417089"/>
    <w:rsid w:val="004170D7"/>
    <w:rsid w:val="004177A6"/>
    <w:rsid w:val="00417EFD"/>
    <w:rsid w:val="004200EE"/>
    <w:rsid w:val="004209D2"/>
    <w:rsid w:val="00420D6E"/>
    <w:rsid w:val="00421BD2"/>
    <w:rsid w:val="00421E00"/>
    <w:rsid w:val="00421FCB"/>
    <w:rsid w:val="00421FF6"/>
    <w:rsid w:val="0042261B"/>
    <w:rsid w:val="00422DCA"/>
    <w:rsid w:val="00423F9F"/>
    <w:rsid w:val="0042499B"/>
    <w:rsid w:val="00424FEC"/>
    <w:rsid w:val="0042540A"/>
    <w:rsid w:val="00425444"/>
    <w:rsid w:val="00425C43"/>
    <w:rsid w:val="00426C69"/>
    <w:rsid w:val="004273FA"/>
    <w:rsid w:val="004277B4"/>
    <w:rsid w:val="00430186"/>
    <w:rsid w:val="00430730"/>
    <w:rsid w:val="0043269A"/>
    <w:rsid w:val="00432E14"/>
    <w:rsid w:val="004333C2"/>
    <w:rsid w:val="00433ACB"/>
    <w:rsid w:val="00434787"/>
    <w:rsid w:val="004347DA"/>
    <w:rsid w:val="00434C13"/>
    <w:rsid w:val="00435F8A"/>
    <w:rsid w:val="00436323"/>
    <w:rsid w:val="0043683F"/>
    <w:rsid w:val="00436E45"/>
    <w:rsid w:val="00436F40"/>
    <w:rsid w:val="004370FA"/>
    <w:rsid w:val="00437266"/>
    <w:rsid w:val="00440096"/>
    <w:rsid w:val="004403DD"/>
    <w:rsid w:val="00440DB0"/>
    <w:rsid w:val="00440FAD"/>
    <w:rsid w:val="0044105D"/>
    <w:rsid w:val="00441291"/>
    <w:rsid w:val="004420AB"/>
    <w:rsid w:val="004422D6"/>
    <w:rsid w:val="004427AC"/>
    <w:rsid w:val="00442D4D"/>
    <w:rsid w:val="00443613"/>
    <w:rsid w:val="0044374D"/>
    <w:rsid w:val="00443865"/>
    <w:rsid w:val="00443945"/>
    <w:rsid w:val="00443B55"/>
    <w:rsid w:val="00443D27"/>
    <w:rsid w:val="00445AC2"/>
    <w:rsid w:val="00446037"/>
    <w:rsid w:val="0044642F"/>
    <w:rsid w:val="004468C3"/>
    <w:rsid w:val="00447021"/>
    <w:rsid w:val="0044772C"/>
    <w:rsid w:val="004502AA"/>
    <w:rsid w:val="004507BD"/>
    <w:rsid w:val="00450846"/>
    <w:rsid w:val="00450B1A"/>
    <w:rsid w:val="004510BD"/>
    <w:rsid w:val="0045159C"/>
    <w:rsid w:val="00451A52"/>
    <w:rsid w:val="00451FC8"/>
    <w:rsid w:val="0045271D"/>
    <w:rsid w:val="00452755"/>
    <w:rsid w:val="00452803"/>
    <w:rsid w:val="004529C6"/>
    <w:rsid w:val="00452D2A"/>
    <w:rsid w:val="00452EAD"/>
    <w:rsid w:val="004531D5"/>
    <w:rsid w:val="004533D1"/>
    <w:rsid w:val="004534D1"/>
    <w:rsid w:val="00453A53"/>
    <w:rsid w:val="004544CA"/>
    <w:rsid w:val="00454548"/>
    <w:rsid w:val="00454582"/>
    <w:rsid w:val="00454717"/>
    <w:rsid w:val="00455047"/>
    <w:rsid w:val="00455354"/>
    <w:rsid w:val="0045558D"/>
    <w:rsid w:val="00455811"/>
    <w:rsid w:val="00455DEE"/>
    <w:rsid w:val="00456970"/>
    <w:rsid w:val="00456BB1"/>
    <w:rsid w:val="00456DDB"/>
    <w:rsid w:val="0046080F"/>
    <w:rsid w:val="00460915"/>
    <w:rsid w:val="00460946"/>
    <w:rsid w:val="004613D2"/>
    <w:rsid w:val="004614A9"/>
    <w:rsid w:val="00461B6F"/>
    <w:rsid w:val="00461E97"/>
    <w:rsid w:val="00462452"/>
    <w:rsid w:val="0046268F"/>
    <w:rsid w:val="0046284F"/>
    <w:rsid w:val="00462B10"/>
    <w:rsid w:val="00462C04"/>
    <w:rsid w:val="0046320A"/>
    <w:rsid w:val="004633CF"/>
    <w:rsid w:val="0046361D"/>
    <w:rsid w:val="004638E2"/>
    <w:rsid w:val="00463E31"/>
    <w:rsid w:val="00464030"/>
    <w:rsid w:val="004647F8"/>
    <w:rsid w:val="004647FB"/>
    <w:rsid w:val="00465456"/>
    <w:rsid w:val="00465677"/>
    <w:rsid w:val="00465AC3"/>
    <w:rsid w:val="00466616"/>
    <w:rsid w:val="00466A0C"/>
    <w:rsid w:val="00470A6A"/>
    <w:rsid w:val="00470D92"/>
    <w:rsid w:val="004712D1"/>
    <w:rsid w:val="00471351"/>
    <w:rsid w:val="0047183E"/>
    <w:rsid w:val="00471DF7"/>
    <w:rsid w:val="00471F6B"/>
    <w:rsid w:val="00472056"/>
    <w:rsid w:val="0047295C"/>
    <w:rsid w:val="00472D8E"/>
    <w:rsid w:val="004734CF"/>
    <w:rsid w:val="00474889"/>
    <w:rsid w:val="00475C5A"/>
    <w:rsid w:val="00475C9C"/>
    <w:rsid w:val="0047676B"/>
    <w:rsid w:val="0047773C"/>
    <w:rsid w:val="00477C5F"/>
    <w:rsid w:val="00480050"/>
    <w:rsid w:val="004808DE"/>
    <w:rsid w:val="00481AC4"/>
    <w:rsid w:val="00481DC1"/>
    <w:rsid w:val="00482507"/>
    <w:rsid w:val="0048268A"/>
    <w:rsid w:val="00482BB3"/>
    <w:rsid w:val="00483356"/>
    <w:rsid w:val="004835CA"/>
    <w:rsid w:val="004836F8"/>
    <w:rsid w:val="004836FE"/>
    <w:rsid w:val="00483D20"/>
    <w:rsid w:val="00484074"/>
    <w:rsid w:val="004843F9"/>
    <w:rsid w:val="00484F0F"/>
    <w:rsid w:val="00484F40"/>
    <w:rsid w:val="0048540C"/>
    <w:rsid w:val="0048592F"/>
    <w:rsid w:val="0048605E"/>
    <w:rsid w:val="004861B4"/>
    <w:rsid w:val="00486741"/>
    <w:rsid w:val="00486AB4"/>
    <w:rsid w:val="00486BD0"/>
    <w:rsid w:val="00486D00"/>
    <w:rsid w:val="00487263"/>
    <w:rsid w:val="0048734F"/>
    <w:rsid w:val="0049029D"/>
    <w:rsid w:val="0049030C"/>
    <w:rsid w:val="004903C0"/>
    <w:rsid w:val="0049105E"/>
    <w:rsid w:val="0049114B"/>
    <w:rsid w:val="004912A8"/>
    <w:rsid w:val="00491577"/>
    <w:rsid w:val="0049196E"/>
    <w:rsid w:val="0049241A"/>
    <w:rsid w:val="00492C1F"/>
    <w:rsid w:val="00492E4C"/>
    <w:rsid w:val="00493B2C"/>
    <w:rsid w:val="00493E04"/>
    <w:rsid w:val="004940E3"/>
    <w:rsid w:val="004942DE"/>
    <w:rsid w:val="0049530F"/>
    <w:rsid w:val="00495980"/>
    <w:rsid w:val="00496664"/>
    <w:rsid w:val="00496786"/>
    <w:rsid w:val="0049695B"/>
    <w:rsid w:val="00496D8F"/>
    <w:rsid w:val="00497463"/>
    <w:rsid w:val="00497B15"/>
    <w:rsid w:val="00497BA8"/>
    <w:rsid w:val="004A054C"/>
    <w:rsid w:val="004A08D1"/>
    <w:rsid w:val="004A16C1"/>
    <w:rsid w:val="004A188D"/>
    <w:rsid w:val="004A1CE2"/>
    <w:rsid w:val="004A2069"/>
    <w:rsid w:val="004A2800"/>
    <w:rsid w:val="004A34D2"/>
    <w:rsid w:val="004A41BA"/>
    <w:rsid w:val="004A4301"/>
    <w:rsid w:val="004A4E65"/>
    <w:rsid w:val="004A58EE"/>
    <w:rsid w:val="004A59B7"/>
    <w:rsid w:val="004A623B"/>
    <w:rsid w:val="004A6A04"/>
    <w:rsid w:val="004A6A52"/>
    <w:rsid w:val="004A6C78"/>
    <w:rsid w:val="004A776E"/>
    <w:rsid w:val="004A79F2"/>
    <w:rsid w:val="004B0135"/>
    <w:rsid w:val="004B0F0B"/>
    <w:rsid w:val="004B1501"/>
    <w:rsid w:val="004B1560"/>
    <w:rsid w:val="004B163F"/>
    <w:rsid w:val="004B1D90"/>
    <w:rsid w:val="004B2197"/>
    <w:rsid w:val="004B298A"/>
    <w:rsid w:val="004B459F"/>
    <w:rsid w:val="004B4BB5"/>
    <w:rsid w:val="004B578D"/>
    <w:rsid w:val="004B5BE7"/>
    <w:rsid w:val="004B5E2D"/>
    <w:rsid w:val="004B5ED5"/>
    <w:rsid w:val="004B6793"/>
    <w:rsid w:val="004B6C07"/>
    <w:rsid w:val="004B72BB"/>
    <w:rsid w:val="004B74D3"/>
    <w:rsid w:val="004B76D3"/>
    <w:rsid w:val="004B7773"/>
    <w:rsid w:val="004B788E"/>
    <w:rsid w:val="004B79B3"/>
    <w:rsid w:val="004B7E5D"/>
    <w:rsid w:val="004C0DD8"/>
    <w:rsid w:val="004C22F7"/>
    <w:rsid w:val="004C2B27"/>
    <w:rsid w:val="004C3929"/>
    <w:rsid w:val="004C3D09"/>
    <w:rsid w:val="004C4DCB"/>
    <w:rsid w:val="004C5212"/>
    <w:rsid w:val="004C5464"/>
    <w:rsid w:val="004C5B3B"/>
    <w:rsid w:val="004C5BAC"/>
    <w:rsid w:val="004C5EF0"/>
    <w:rsid w:val="004C7226"/>
    <w:rsid w:val="004C74C9"/>
    <w:rsid w:val="004C7D70"/>
    <w:rsid w:val="004D02F9"/>
    <w:rsid w:val="004D03FE"/>
    <w:rsid w:val="004D0446"/>
    <w:rsid w:val="004D0A4F"/>
    <w:rsid w:val="004D0E03"/>
    <w:rsid w:val="004D0F95"/>
    <w:rsid w:val="004D106A"/>
    <w:rsid w:val="004D31EE"/>
    <w:rsid w:val="004D36AF"/>
    <w:rsid w:val="004D3BD1"/>
    <w:rsid w:val="004D4BA1"/>
    <w:rsid w:val="004D5451"/>
    <w:rsid w:val="004D546B"/>
    <w:rsid w:val="004D584D"/>
    <w:rsid w:val="004D58DE"/>
    <w:rsid w:val="004D6041"/>
    <w:rsid w:val="004D61E1"/>
    <w:rsid w:val="004D6826"/>
    <w:rsid w:val="004D6D5E"/>
    <w:rsid w:val="004E023F"/>
    <w:rsid w:val="004E02DB"/>
    <w:rsid w:val="004E0742"/>
    <w:rsid w:val="004E0C64"/>
    <w:rsid w:val="004E0F6B"/>
    <w:rsid w:val="004E1545"/>
    <w:rsid w:val="004E1F1C"/>
    <w:rsid w:val="004E24E8"/>
    <w:rsid w:val="004E2A35"/>
    <w:rsid w:val="004E40CE"/>
    <w:rsid w:val="004E4465"/>
    <w:rsid w:val="004E518D"/>
    <w:rsid w:val="004E5736"/>
    <w:rsid w:val="004E5B36"/>
    <w:rsid w:val="004E6045"/>
    <w:rsid w:val="004E6758"/>
    <w:rsid w:val="004E6A34"/>
    <w:rsid w:val="004E6F43"/>
    <w:rsid w:val="004E7200"/>
    <w:rsid w:val="004F034D"/>
    <w:rsid w:val="004F0538"/>
    <w:rsid w:val="004F091D"/>
    <w:rsid w:val="004F0960"/>
    <w:rsid w:val="004F0A5C"/>
    <w:rsid w:val="004F163F"/>
    <w:rsid w:val="004F18A0"/>
    <w:rsid w:val="004F1A08"/>
    <w:rsid w:val="004F2B64"/>
    <w:rsid w:val="004F3764"/>
    <w:rsid w:val="004F3EEF"/>
    <w:rsid w:val="004F47D0"/>
    <w:rsid w:val="004F4B65"/>
    <w:rsid w:val="004F4DA2"/>
    <w:rsid w:val="004F548C"/>
    <w:rsid w:val="004F5930"/>
    <w:rsid w:val="004F5970"/>
    <w:rsid w:val="004F5F0C"/>
    <w:rsid w:val="004F6121"/>
    <w:rsid w:val="004F6161"/>
    <w:rsid w:val="004F66BC"/>
    <w:rsid w:val="004F67B2"/>
    <w:rsid w:val="004F6C26"/>
    <w:rsid w:val="004F7AC9"/>
    <w:rsid w:val="004F7B81"/>
    <w:rsid w:val="005004B0"/>
    <w:rsid w:val="0050062F"/>
    <w:rsid w:val="005012E2"/>
    <w:rsid w:val="00501481"/>
    <w:rsid w:val="0050160F"/>
    <w:rsid w:val="005016C7"/>
    <w:rsid w:val="0050284E"/>
    <w:rsid w:val="0050332C"/>
    <w:rsid w:val="00504F88"/>
    <w:rsid w:val="00505DCB"/>
    <w:rsid w:val="005075CA"/>
    <w:rsid w:val="00507D10"/>
    <w:rsid w:val="0051074C"/>
    <w:rsid w:val="00510DE9"/>
    <w:rsid w:val="00511142"/>
    <w:rsid w:val="005111E2"/>
    <w:rsid w:val="00511231"/>
    <w:rsid w:val="005122C5"/>
    <w:rsid w:val="005122F2"/>
    <w:rsid w:val="00512779"/>
    <w:rsid w:val="00512986"/>
    <w:rsid w:val="00512C4F"/>
    <w:rsid w:val="00513042"/>
    <w:rsid w:val="0051334F"/>
    <w:rsid w:val="00513399"/>
    <w:rsid w:val="00513AA0"/>
    <w:rsid w:val="00513AF2"/>
    <w:rsid w:val="00514575"/>
    <w:rsid w:val="00514C03"/>
    <w:rsid w:val="00514D67"/>
    <w:rsid w:val="00515515"/>
    <w:rsid w:val="00515F54"/>
    <w:rsid w:val="00516338"/>
    <w:rsid w:val="0051635C"/>
    <w:rsid w:val="00516C5B"/>
    <w:rsid w:val="00517612"/>
    <w:rsid w:val="00517CFB"/>
    <w:rsid w:val="00517F33"/>
    <w:rsid w:val="00517F85"/>
    <w:rsid w:val="00520065"/>
    <w:rsid w:val="00520899"/>
    <w:rsid w:val="00520922"/>
    <w:rsid w:val="005209FC"/>
    <w:rsid w:val="00520E50"/>
    <w:rsid w:val="005224E5"/>
    <w:rsid w:val="005226BE"/>
    <w:rsid w:val="005235ED"/>
    <w:rsid w:val="005236D9"/>
    <w:rsid w:val="00523903"/>
    <w:rsid w:val="005239B6"/>
    <w:rsid w:val="00523C45"/>
    <w:rsid w:val="00524165"/>
    <w:rsid w:val="005242BA"/>
    <w:rsid w:val="005246E7"/>
    <w:rsid w:val="00524FD2"/>
    <w:rsid w:val="00525621"/>
    <w:rsid w:val="00525B2E"/>
    <w:rsid w:val="00525E61"/>
    <w:rsid w:val="00526431"/>
    <w:rsid w:val="005265D8"/>
    <w:rsid w:val="005272AC"/>
    <w:rsid w:val="00527440"/>
    <w:rsid w:val="00527C6B"/>
    <w:rsid w:val="00527E57"/>
    <w:rsid w:val="00530405"/>
    <w:rsid w:val="00530522"/>
    <w:rsid w:val="005305E5"/>
    <w:rsid w:val="00530F38"/>
    <w:rsid w:val="00531F26"/>
    <w:rsid w:val="0053277C"/>
    <w:rsid w:val="005327C0"/>
    <w:rsid w:val="00533101"/>
    <w:rsid w:val="005336C5"/>
    <w:rsid w:val="00533CA9"/>
    <w:rsid w:val="00533DA7"/>
    <w:rsid w:val="005342A3"/>
    <w:rsid w:val="005346AD"/>
    <w:rsid w:val="00534C25"/>
    <w:rsid w:val="00534C80"/>
    <w:rsid w:val="00534EFB"/>
    <w:rsid w:val="00534F60"/>
    <w:rsid w:val="005357F1"/>
    <w:rsid w:val="00536053"/>
    <w:rsid w:val="005369E6"/>
    <w:rsid w:val="00536E03"/>
    <w:rsid w:val="00536E62"/>
    <w:rsid w:val="005371AC"/>
    <w:rsid w:val="00537672"/>
    <w:rsid w:val="0053772F"/>
    <w:rsid w:val="00537B77"/>
    <w:rsid w:val="00540C4C"/>
    <w:rsid w:val="00541571"/>
    <w:rsid w:val="0054275A"/>
    <w:rsid w:val="005428B8"/>
    <w:rsid w:val="00542BD7"/>
    <w:rsid w:val="00542E67"/>
    <w:rsid w:val="00543084"/>
    <w:rsid w:val="0054413A"/>
    <w:rsid w:val="00544288"/>
    <w:rsid w:val="005446BB"/>
    <w:rsid w:val="00545E30"/>
    <w:rsid w:val="00545EA3"/>
    <w:rsid w:val="00546293"/>
    <w:rsid w:val="00546C9B"/>
    <w:rsid w:val="00547BF6"/>
    <w:rsid w:val="005502F9"/>
    <w:rsid w:val="00551098"/>
    <w:rsid w:val="00551581"/>
    <w:rsid w:val="00551598"/>
    <w:rsid w:val="00551610"/>
    <w:rsid w:val="0055162B"/>
    <w:rsid w:val="00551BFF"/>
    <w:rsid w:val="00551D68"/>
    <w:rsid w:val="00552B3E"/>
    <w:rsid w:val="00554254"/>
    <w:rsid w:val="00554F3F"/>
    <w:rsid w:val="00555084"/>
    <w:rsid w:val="005551AA"/>
    <w:rsid w:val="0055629A"/>
    <w:rsid w:val="005564CA"/>
    <w:rsid w:val="005568EA"/>
    <w:rsid w:val="00557140"/>
    <w:rsid w:val="00557B90"/>
    <w:rsid w:val="00557DE4"/>
    <w:rsid w:val="0056058C"/>
    <w:rsid w:val="00560C87"/>
    <w:rsid w:val="00560EF9"/>
    <w:rsid w:val="00560F51"/>
    <w:rsid w:val="005611CF"/>
    <w:rsid w:val="00561249"/>
    <w:rsid w:val="0056182B"/>
    <w:rsid w:val="00561AF3"/>
    <w:rsid w:val="00561E0B"/>
    <w:rsid w:val="00562141"/>
    <w:rsid w:val="00562D86"/>
    <w:rsid w:val="005640B7"/>
    <w:rsid w:val="005642EC"/>
    <w:rsid w:val="00564704"/>
    <w:rsid w:val="00564712"/>
    <w:rsid w:val="00564ED5"/>
    <w:rsid w:val="005657A8"/>
    <w:rsid w:val="00565952"/>
    <w:rsid w:val="00565D27"/>
    <w:rsid w:val="00566866"/>
    <w:rsid w:val="005670A5"/>
    <w:rsid w:val="00567106"/>
    <w:rsid w:val="005675E0"/>
    <w:rsid w:val="00567723"/>
    <w:rsid w:val="00567AB8"/>
    <w:rsid w:val="00567C02"/>
    <w:rsid w:val="005707F7"/>
    <w:rsid w:val="00570A26"/>
    <w:rsid w:val="00571301"/>
    <w:rsid w:val="0057170B"/>
    <w:rsid w:val="0057221F"/>
    <w:rsid w:val="00572539"/>
    <w:rsid w:val="005726FB"/>
    <w:rsid w:val="0057337D"/>
    <w:rsid w:val="00573504"/>
    <w:rsid w:val="00574708"/>
    <w:rsid w:val="00574D81"/>
    <w:rsid w:val="005756AA"/>
    <w:rsid w:val="00575FB1"/>
    <w:rsid w:val="00576043"/>
    <w:rsid w:val="0057614A"/>
    <w:rsid w:val="00576233"/>
    <w:rsid w:val="0057696F"/>
    <w:rsid w:val="005771B1"/>
    <w:rsid w:val="005774FE"/>
    <w:rsid w:val="0058040C"/>
    <w:rsid w:val="00580918"/>
    <w:rsid w:val="00580A56"/>
    <w:rsid w:val="00580D6D"/>
    <w:rsid w:val="005813DE"/>
    <w:rsid w:val="00581796"/>
    <w:rsid w:val="00581B45"/>
    <w:rsid w:val="00582480"/>
    <w:rsid w:val="00582763"/>
    <w:rsid w:val="0058290E"/>
    <w:rsid w:val="00582CAB"/>
    <w:rsid w:val="00582F4E"/>
    <w:rsid w:val="00583121"/>
    <w:rsid w:val="0058375E"/>
    <w:rsid w:val="00583AC8"/>
    <w:rsid w:val="00584233"/>
    <w:rsid w:val="005842D0"/>
    <w:rsid w:val="0058457E"/>
    <w:rsid w:val="005855AE"/>
    <w:rsid w:val="00585829"/>
    <w:rsid w:val="00585CA8"/>
    <w:rsid w:val="00586412"/>
    <w:rsid w:val="005864B9"/>
    <w:rsid w:val="005866C4"/>
    <w:rsid w:val="00586BDB"/>
    <w:rsid w:val="00590123"/>
    <w:rsid w:val="00590F1A"/>
    <w:rsid w:val="00591C03"/>
    <w:rsid w:val="00591E2A"/>
    <w:rsid w:val="005923C4"/>
    <w:rsid w:val="00592B56"/>
    <w:rsid w:val="00593F75"/>
    <w:rsid w:val="005940A0"/>
    <w:rsid w:val="00594257"/>
    <w:rsid w:val="0059429A"/>
    <w:rsid w:val="005948B5"/>
    <w:rsid w:val="00595FDD"/>
    <w:rsid w:val="00596AF7"/>
    <w:rsid w:val="00596CCE"/>
    <w:rsid w:val="00596E4A"/>
    <w:rsid w:val="00597096"/>
    <w:rsid w:val="00597E38"/>
    <w:rsid w:val="005A1976"/>
    <w:rsid w:val="005A1D75"/>
    <w:rsid w:val="005A2120"/>
    <w:rsid w:val="005A2501"/>
    <w:rsid w:val="005A2C80"/>
    <w:rsid w:val="005A3066"/>
    <w:rsid w:val="005A3457"/>
    <w:rsid w:val="005A34A8"/>
    <w:rsid w:val="005A3B35"/>
    <w:rsid w:val="005A3C4B"/>
    <w:rsid w:val="005A3E5A"/>
    <w:rsid w:val="005A43F3"/>
    <w:rsid w:val="005A496F"/>
    <w:rsid w:val="005A4A56"/>
    <w:rsid w:val="005A4F02"/>
    <w:rsid w:val="005A5A3D"/>
    <w:rsid w:val="005A5C25"/>
    <w:rsid w:val="005A6035"/>
    <w:rsid w:val="005A6B75"/>
    <w:rsid w:val="005A6E00"/>
    <w:rsid w:val="005A718A"/>
    <w:rsid w:val="005B0891"/>
    <w:rsid w:val="005B09BE"/>
    <w:rsid w:val="005B12B2"/>
    <w:rsid w:val="005B143B"/>
    <w:rsid w:val="005B1504"/>
    <w:rsid w:val="005B1E45"/>
    <w:rsid w:val="005B21C4"/>
    <w:rsid w:val="005B2A28"/>
    <w:rsid w:val="005B3621"/>
    <w:rsid w:val="005B4948"/>
    <w:rsid w:val="005B501D"/>
    <w:rsid w:val="005B54CC"/>
    <w:rsid w:val="005B6AE8"/>
    <w:rsid w:val="005B74AD"/>
    <w:rsid w:val="005B7E96"/>
    <w:rsid w:val="005C0429"/>
    <w:rsid w:val="005C084F"/>
    <w:rsid w:val="005C0EE9"/>
    <w:rsid w:val="005C1575"/>
    <w:rsid w:val="005C1716"/>
    <w:rsid w:val="005C1954"/>
    <w:rsid w:val="005C1C0B"/>
    <w:rsid w:val="005C1D53"/>
    <w:rsid w:val="005C2011"/>
    <w:rsid w:val="005C2614"/>
    <w:rsid w:val="005C36CF"/>
    <w:rsid w:val="005C3EA3"/>
    <w:rsid w:val="005C5011"/>
    <w:rsid w:val="005C529E"/>
    <w:rsid w:val="005C57BA"/>
    <w:rsid w:val="005C5C52"/>
    <w:rsid w:val="005C5D3D"/>
    <w:rsid w:val="005C5F05"/>
    <w:rsid w:val="005C7497"/>
    <w:rsid w:val="005C7F3E"/>
    <w:rsid w:val="005D02AE"/>
    <w:rsid w:val="005D0E1C"/>
    <w:rsid w:val="005D1051"/>
    <w:rsid w:val="005D2044"/>
    <w:rsid w:val="005D27DC"/>
    <w:rsid w:val="005D2917"/>
    <w:rsid w:val="005D2EB2"/>
    <w:rsid w:val="005D2F48"/>
    <w:rsid w:val="005D41F2"/>
    <w:rsid w:val="005D4613"/>
    <w:rsid w:val="005D464B"/>
    <w:rsid w:val="005D466F"/>
    <w:rsid w:val="005D49F0"/>
    <w:rsid w:val="005D50BA"/>
    <w:rsid w:val="005D51FA"/>
    <w:rsid w:val="005D53E8"/>
    <w:rsid w:val="005D5A26"/>
    <w:rsid w:val="005D5A9D"/>
    <w:rsid w:val="005D60D4"/>
    <w:rsid w:val="005D65D4"/>
    <w:rsid w:val="005D6651"/>
    <w:rsid w:val="005D691D"/>
    <w:rsid w:val="005D6A72"/>
    <w:rsid w:val="005D7035"/>
    <w:rsid w:val="005D7147"/>
    <w:rsid w:val="005D749F"/>
    <w:rsid w:val="005D791B"/>
    <w:rsid w:val="005D7CF2"/>
    <w:rsid w:val="005D7F92"/>
    <w:rsid w:val="005E0D7B"/>
    <w:rsid w:val="005E1595"/>
    <w:rsid w:val="005E15F4"/>
    <w:rsid w:val="005E181F"/>
    <w:rsid w:val="005E1F1D"/>
    <w:rsid w:val="005E273D"/>
    <w:rsid w:val="005E3278"/>
    <w:rsid w:val="005E363B"/>
    <w:rsid w:val="005E3760"/>
    <w:rsid w:val="005E3B0D"/>
    <w:rsid w:val="005E6EA5"/>
    <w:rsid w:val="005E773C"/>
    <w:rsid w:val="005E7BED"/>
    <w:rsid w:val="005F041F"/>
    <w:rsid w:val="005F1216"/>
    <w:rsid w:val="005F1819"/>
    <w:rsid w:val="005F1D7D"/>
    <w:rsid w:val="005F1D89"/>
    <w:rsid w:val="005F22AB"/>
    <w:rsid w:val="005F305B"/>
    <w:rsid w:val="005F3361"/>
    <w:rsid w:val="005F3B1E"/>
    <w:rsid w:val="005F3B47"/>
    <w:rsid w:val="005F4481"/>
    <w:rsid w:val="005F49AF"/>
    <w:rsid w:val="005F4A58"/>
    <w:rsid w:val="005F54DF"/>
    <w:rsid w:val="005F5888"/>
    <w:rsid w:val="005F5984"/>
    <w:rsid w:val="005F5F37"/>
    <w:rsid w:val="005F63B1"/>
    <w:rsid w:val="005F6CE2"/>
    <w:rsid w:val="005F7111"/>
    <w:rsid w:val="005F72E9"/>
    <w:rsid w:val="005F730E"/>
    <w:rsid w:val="005F780B"/>
    <w:rsid w:val="005F7B0D"/>
    <w:rsid w:val="00600195"/>
    <w:rsid w:val="00600473"/>
    <w:rsid w:val="006013C9"/>
    <w:rsid w:val="006016EA"/>
    <w:rsid w:val="00602B45"/>
    <w:rsid w:val="00603499"/>
    <w:rsid w:val="006035F5"/>
    <w:rsid w:val="00603CC2"/>
    <w:rsid w:val="006047D1"/>
    <w:rsid w:val="00604A55"/>
    <w:rsid w:val="00604BC7"/>
    <w:rsid w:val="00604D3F"/>
    <w:rsid w:val="0060580F"/>
    <w:rsid w:val="00605AC3"/>
    <w:rsid w:val="00606908"/>
    <w:rsid w:val="00607996"/>
    <w:rsid w:val="00607A37"/>
    <w:rsid w:val="00607E9F"/>
    <w:rsid w:val="0061085E"/>
    <w:rsid w:val="00610DAF"/>
    <w:rsid w:val="00611398"/>
    <w:rsid w:val="00612322"/>
    <w:rsid w:val="006123C0"/>
    <w:rsid w:val="00613191"/>
    <w:rsid w:val="006133F9"/>
    <w:rsid w:val="006134B3"/>
    <w:rsid w:val="00613DE1"/>
    <w:rsid w:val="0061401F"/>
    <w:rsid w:val="00614166"/>
    <w:rsid w:val="00614817"/>
    <w:rsid w:val="006149CC"/>
    <w:rsid w:val="006157A9"/>
    <w:rsid w:val="0061591D"/>
    <w:rsid w:val="00615ED0"/>
    <w:rsid w:val="0061604C"/>
    <w:rsid w:val="0061610B"/>
    <w:rsid w:val="00616C2B"/>
    <w:rsid w:val="006174FA"/>
    <w:rsid w:val="006178D1"/>
    <w:rsid w:val="00620435"/>
    <w:rsid w:val="00620719"/>
    <w:rsid w:val="006212C9"/>
    <w:rsid w:val="00621981"/>
    <w:rsid w:val="00621D0C"/>
    <w:rsid w:val="00622470"/>
    <w:rsid w:val="00622725"/>
    <w:rsid w:val="006231AA"/>
    <w:rsid w:val="00623482"/>
    <w:rsid w:val="00623AC2"/>
    <w:rsid w:val="00623E9C"/>
    <w:rsid w:val="00623FF7"/>
    <w:rsid w:val="006240EF"/>
    <w:rsid w:val="0062471F"/>
    <w:rsid w:val="00624C21"/>
    <w:rsid w:val="00625A26"/>
    <w:rsid w:val="00625F38"/>
    <w:rsid w:val="006266D7"/>
    <w:rsid w:val="00626D42"/>
    <w:rsid w:val="00626EE3"/>
    <w:rsid w:val="00626F62"/>
    <w:rsid w:val="006274AD"/>
    <w:rsid w:val="00627532"/>
    <w:rsid w:val="006302AA"/>
    <w:rsid w:val="00630921"/>
    <w:rsid w:val="006310C3"/>
    <w:rsid w:val="0063161E"/>
    <w:rsid w:val="0063167C"/>
    <w:rsid w:val="00631A31"/>
    <w:rsid w:val="00631BB5"/>
    <w:rsid w:val="00631DD0"/>
    <w:rsid w:val="0063295C"/>
    <w:rsid w:val="00633367"/>
    <w:rsid w:val="00633DBF"/>
    <w:rsid w:val="00634122"/>
    <w:rsid w:val="00634477"/>
    <w:rsid w:val="00634504"/>
    <w:rsid w:val="00634C03"/>
    <w:rsid w:val="006355B6"/>
    <w:rsid w:val="00635E32"/>
    <w:rsid w:val="006365DE"/>
    <w:rsid w:val="00636BE4"/>
    <w:rsid w:val="0063746C"/>
    <w:rsid w:val="00637802"/>
    <w:rsid w:val="00637836"/>
    <w:rsid w:val="00637C26"/>
    <w:rsid w:val="00637F44"/>
    <w:rsid w:val="00640659"/>
    <w:rsid w:val="00641078"/>
    <w:rsid w:val="00641242"/>
    <w:rsid w:val="00641C4E"/>
    <w:rsid w:val="00642A32"/>
    <w:rsid w:val="006433D5"/>
    <w:rsid w:val="006438A1"/>
    <w:rsid w:val="00646B20"/>
    <w:rsid w:val="00646D0F"/>
    <w:rsid w:val="0064708F"/>
    <w:rsid w:val="00647936"/>
    <w:rsid w:val="00647A36"/>
    <w:rsid w:val="00647DCC"/>
    <w:rsid w:val="00647EFA"/>
    <w:rsid w:val="00647F14"/>
    <w:rsid w:val="00650027"/>
    <w:rsid w:val="006504EC"/>
    <w:rsid w:val="00650533"/>
    <w:rsid w:val="00650DE0"/>
    <w:rsid w:val="006513FF"/>
    <w:rsid w:val="00651B9C"/>
    <w:rsid w:val="00651C47"/>
    <w:rsid w:val="00651D98"/>
    <w:rsid w:val="00652854"/>
    <w:rsid w:val="00652D2C"/>
    <w:rsid w:val="00652E70"/>
    <w:rsid w:val="0065303A"/>
    <w:rsid w:val="00653091"/>
    <w:rsid w:val="0065339A"/>
    <w:rsid w:val="00653469"/>
    <w:rsid w:val="00653FD4"/>
    <w:rsid w:val="00654A38"/>
    <w:rsid w:val="00654B4B"/>
    <w:rsid w:val="00654B63"/>
    <w:rsid w:val="00655301"/>
    <w:rsid w:val="00655371"/>
    <w:rsid w:val="00655876"/>
    <w:rsid w:val="00656C4B"/>
    <w:rsid w:val="006573EA"/>
    <w:rsid w:val="006600F9"/>
    <w:rsid w:val="00661029"/>
    <w:rsid w:val="00661042"/>
    <w:rsid w:val="0066135A"/>
    <w:rsid w:val="00661639"/>
    <w:rsid w:val="0066272D"/>
    <w:rsid w:val="00662E58"/>
    <w:rsid w:val="00662F39"/>
    <w:rsid w:val="006635A0"/>
    <w:rsid w:val="00664351"/>
    <w:rsid w:val="00665968"/>
    <w:rsid w:val="00665BF7"/>
    <w:rsid w:val="00666178"/>
    <w:rsid w:val="0066639E"/>
    <w:rsid w:val="00666473"/>
    <w:rsid w:val="00666555"/>
    <w:rsid w:val="00666C72"/>
    <w:rsid w:val="00666E6C"/>
    <w:rsid w:val="0066707F"/>
    <w:rsid w:val="00667781"/>
    <w:rsid w:val="00667ED8"/>
    <w:rsid w:val="0067060F"/>
    <w:rsid w:val="0067064C"/>
    <w:rsid w:val="00670B20"/>
    <w:rsid w:val="00670E12"/>
    <w:rsid w:val="0067160D"/>
    <w:rsid w:val="00672971"/>
    <w:rsid w:val="00672A28"/>
    <w:rsid w:val="00672DE7"/>
    <w:rsid w:val="00672E80"/>
    <w:rsid w:val="006739E4"/>
    <w:rsid w:val="00673ECF"/>
    <w:rsid w:val="0067426B"/>
    <w:rsid w:val="00674A1B"/>
    <w:rsid w:val="006754F8"/>
    <w:rsid w:val="006758BE"/>
    <w:rsid w:val="00676127"/>
    <w:rsid w:val="00676AED"/>
    <w:rsid w:val="006776AC"/>
    <w:rsid w:val="00677981"/>
    <w:rsid w:val="006779B2"/>
    <w:rsid w:val="00677F26"/>
    <w:rsid w:val="006802A7"/>
    <w:rsid w:val="006811C9"/>
    <w:rsid w:val="006812CE"/>
    <w:rsid w:val="006823DC"/>
    <w:rsid w:val="00682791"/>
    <w:rsid w:val="00682C89"/>
    <w:rsid w:val="006832B8"/>
    <w:rsid w:val="006837B2"/>
    <w:rsid w:val="00683800"/>
    <w:rsid w:val="00684411"/>
    <w:rsid w:val="00684434"/>
    <w:rsid w:val="00684C8A"/>
    <w:rsid w:val="00684CF5"/>
    <w:rsid w:val="006853EA"/>
    <w:rsid w:val="0068553E"/>
    <w:rsid w:val="00685E7B"/>
    <w:rsid w:val="0068628A"/>
    <w:rsid w:val="00686551"/>
    <w:rsid w:val="0068730C"/>
    <w:rsid w:val="00687504"/>
    <w:rsid w:val="00687A14"/>
    <w:rsid w:val="00687A8C"/>
    <w:rsid w:val="006906FA"/>
    <w:rsid w:val="00690839"/>
    <w:rsid w:val="006908DB"/>
    <w:rsid w:val="00690DE9"/>
    <w:rsid w:val="00691DE9"/>
    <w:rsid w:val="00691EAA"/>
    <w:rsid w:val="00692245"/>
    <w:rsid w:val="00692FFA"/>
    <w:rsid w:val="006932E0"/>
    <w:rsid w:val="00693772"/>
    <w:rsid w:val="00694160"/>
    <w:rsid w:val="006959A5"/>
    <w:rsid w:val="00695C0C"/>
    <w:rsid w:val="00696736"/>
    <w:rsid w:val="00696A05"/>
    <w:rsid w:val="00696DCD"/>
    <w:rsid w:val="00697665"/>
    <w:rsid w:val="00697C9A"/>
    <w:rsid w:val="00697E68"/>
    <w:rsid w:val="006A0274"/>
    <w:rsid w:val="006A24B9"/>
    <w:rsid w:val="006A2A43"/>
    <w:rsid w:val="006A2BF1"/>
    <w:rsid w:val="006A2F9A"/>
    <w:rsid w:val="006A34E4"/>
    <w:rsid w:val="006A3704"/>
    <w:rsid w:val="006A3A5A"/>
    <w:rsid w:val="006A44CF"/>
    <w:rsid w:val="006A457D"/>
    <w:rsid w:val="006A4749"/>
    <w:rsid w:val="006A55EE"/>
    <w:rsid w:val="006A575B"/>
    <w:rsid w:val="006A59DE"/>
    <w:rsid w:val="006A63EB"/>
    <w:rsid w:val="006A6655"/>
    <w:rsid w:val="006A6803"/>
    <w:rsid w:val="006A687C"/>
    <w:rsid w:val="006A6B0B"/>
    <w:rsid w:val="006A6BF9"/>
    <w:rsid w:val="006A6F85"/>
    <w:rsid w:val="006A7CB5"/>
    <w:rsid w:val="006A7FD0"/>
    <w:rsid w:val="006B025C"/>
    <w:rsid w:val="006B16D3"/>
    <w:rsid w:val="006B2534"/>
    <w:rsid w:val="006B2CB2"/>
    <w:rsid w:val="006B347D"/>
    <w:rsid w:val="006B3E19"/>
    <w:rsid w:val="006B4488"/>
    <w:rsid w:val="006B671C"/>
    <w:rsid w:val="006B67AC"/>
    <w:rsid w:val="006B6A25"/>
    <w:rsid w:val="006B7285"/>
    <w:rsid w:val="006B786A"/>
    <w:rsid w:val="006B7E4E"/>
    <w:rsid w:val="006C003A"/>
    <w:rsid w:val="006C1C1B"/>
    <w:rsid w:val="006C2454"/>
    <w:rsid w:val="006C2551"/>
    <w:rsid w:val="006C36BD"/>
    <w:rsid w:val="006C3746"/>
    <w:rsid w:val="006C37CA"/>
    <w:rsid w:val="006C3889"/>
    <w:rsid w:val="006C40B7"/>
    <w:rsid w:val="006C40D2"/>
    <w:rsid w:val="006C5B15"/>
    <w:rsid w:val="006C5D32"/>
    <w:rsid w:val="006C5DCB"/>
    <w:rsid w:val="006C70C4"/>
    <w:rsid w:val="006C775C"/>
    <w:rsid w:val="006D04DA"/>
    <w:rsid w:val="006D10F6"/>
    <w:rsid w:val="006D1475"/>
    <w:rsid w:val="006D1544"/>
    <w:rsid w:val="006D1688"/>
    <w:rsid w:val="006D1918"/>
    <w:rsid w:val="006D1FF3"/>
    <w:rsid w:val="006D2C65"/>
    <w:rsid w:val="006D32C6"/>
    <w:rsid w:val="006D360E"/>
    <w:rsid w:val="006D3697"/>
    <w:rsid w:val="006D39D2"/>
    <w:rsid w:val="006D3F2A"/>
    <w:rsid w:val="006D4370"/>
    <w:rsid w:val="006D46A3"/>
    <w:rsid w:val="006D551F"/>
    <w:rsid w:val="006D658F"/>
    <w:rsid w:val="006D69FA"/>
    <w:rsid w:val="006D6A12"/>
    <w:rsid w:val="006D712D"/>
    <w:rsid w:val="006D7465"/>
    <w:rsid w:val="006D7687"/>
    <w:rsid w:val="006D7A60"/>
    <w:rsid w:val="006D7D1F"/>
    <w:rsid w:val="006D7D8A"/>
    <w:rsid w:val="006E0572"/>
    <w:rsid w:val="006E05D8"/>
    <w:rsid w:val="006E08EE"/>
    <w:rsid w:val="006E0DFD"/>
    <w:rsid w:val="006E1130"/>
    <w:rsid w:val="006E155A"/>
    <w:rsid w:val="006E3452"/>
    <w:rsid w:val="006E39D1"/>
    <w:rsid w:val="006E437F"/>
    <w:rsid w:val="006E4D5B"/>
    <w:rsid w:val="006E602F"/>
    <w:rsid w:val="006E6720"/>
    <w:rsid w:val="006E677D"/>
    <w:rsid w:val="006E68FA"/>
    <w:rsid w:val="006E7275"/>
    <w:rsid w:val="006E77B8"/>
    <w:rsid w:val="006E7824"/>
    <w:rsid w:val="006F0D34"/>
    <w:rsid w:val="006F15CC"/>
    <w:rsid w:val="006F1EED"/>
    <w:rsid w:val="006F3BDD"/>
    <w:rsid w:val="006F4147"/>
    <w:rsid w:val="006F4315"/>
    <w:rsid w:val="006F4478"/>
    <w:rsid w:val="006F458D"/>
    <w:rsid w:val="006F4A6D"/>
    <w:rsid w:val="006F4CB0"/>
    <w:rsid w:val="006F4F78"/>
    <w:rsid w:val="006F547E"/>
    <w:rsid w:val="006F5656"/>
    <w:rsid w:val="006F5CA8"/>
    <w:rsid w:val="006F5CCF"/>
    <w:rsid w:val="006F6A47"/>
    <w:rsid w:val="006F772B"/>
    <w:rsid w:val="006F78DC"/>
    <w:rsid w:val="006F7E39"/>
    <w:rsid w:val="00700D5F"/>
    <w:rsid w:val="0070138A"/>
    <w:rsid w:val="0070157E"/>
    <w:rsid w:val="007030D4"/>
    <w:rsid w:val="0070317C"/>
    <w:rsid w:val="00703279"/>
    <w:rsid w:val="007032BF"/>
    <w:rsid w:val="00703B61"/>
    <w:rsid w:val="00703B97"/>
    <w:rsid w:val="00703E11"/>
    <w:rsid w:val="00704102"/>
    <w:rsid w:val="0070461C"/>
    <w:rsid w:val="00705631"/>
    <w:rsid w:val="00705818"/>
    <w:rsid w:val="00705F62"/>
    <w:rsid w:val="0070773F"/>
    <w:rsid w:val="00707903"/>
    <w:rsid w:val="00707ED3"/>
    <w:rsid w:val="007101B7"/>
    <w:rsid w:val="00710668"/>
    <w:rsid w:val="007110F4"/>
    <w:rsid w:val="007112B1"/>
    <w:rsid w:val="0071130F"/>
    <w:rsid w:val="007119BD"/>
    <w:rsid w:val="00711EE1"/>
    <w:rsid w:val="00712714"/>
    <w:rsid w:val="007128E3"/>
    <w:rsid w:val="007129AB"/>
    <w:rsid w:val="00712B63"/>
    <w:rsid w:val="007130E7"/>
    <w:rsid w:val="00713526"/>
    <w:rsid w:val="00713D6A"/>
    <w:rsid w:val="00713FC5"/>
    <w:rsid w:val="00715BBF"/>
    <w:rsid w:val="00715C29"/>
    <w:rsid w:val="00715CBD"/>
    <w:rsid w:val="00715E86"/>
    <w:rsid w:val="00715EAA"/>
    <w:rsid w:val="00716CAD"/>
    <w:rsid w:val="00716F18"/>
    <w:rsid w:val="0071716D"/>
    <w:rsid w:val="0071718F"/>
    <w:rsid w:val="00717363"/>
    <w:rsid w:val="0071745E"/>
    <w:rsid w:val="00717786"/>
    <w:rsid w:val="00717ACB"/>
    <w:rsid w:val="00717D81"/>
    <w:rsid w:val="007210A9"/>
    <w:rsid w:val="00721BFF"/>
    <w:rsid w:val="00722376"/>
    <w:rsid w:val="00722FD8"/>
    <w:rsid w:val="007236C4"/>
    <w:rsid w:val="00723B59"/>
    <w:rsid w:val="00724635"/>
    <w:rsid w:val="0072554B"/>
    <w:rsid w:val="00725AFD"/>
    <w:rsid w:val="00725F81"/>
    <w:rsid w:val="00726603"/>
    <w:rsid w:val="00727DDC"/>
    <w:rsid w:val="0073000A"/>
    <w:rsid w:val="00730CD6"/>
    <w:rsid w:val="00730F74"/>
    <w:rsid w:val="0073114B"/>
    <w:rsid w:val="00734414"/>
    <w:rsid w:val="00734952"/>
    <w:rsid w:val="00734990"/>
    <w:rsid w:val="00734FF5"/>
    <w:rsid w:val="00735761"/>
    <w:rsid w:val="00735B78"/>
    <w:rsid w:val="00735DA7"/>
    <w:rsid w:val="007367B7"/>
    <w:rsid w:val="007368B4"/>
    <w:rsid w:val="007378E0"/>
    <w:rsid w:val="00737C5C"/>
    <w:rsid w:val="0074026F"/>
    <w:rsid w:val="00740529"/>
    <w:rsid w:val="00740A6C"/>
    <w:rsid w:val="00741358"/>
    <w:rsid w:val="00741626"/>
    <w:rsid w:val="00742332"/>
    <w:rsid w:val="00742886"/>
    <w:rsid w:val="00742B18"/>
    <w:rsid w:val="00742DD2"/>
    <w:rsid w:val="007437C6"/>
    <w:rsid w:val="007439EE"/>
    <w:rsid w:val="007441A2"/>
    <w:rsid w:val="00744B15"/>
    <w:rsid w:val="00744E80"/>
    <w:rsid w:val="00745035"/>
    <w:rsid w:val="0074531C"/>
    <w:rsid w:val="00745547"/>
    <w:rsid w:val="007459D0"/>
    <w:rsid w:val="0074623A"/>
    <w:rsid w:val="00746420"/>
    <w:rsid w:val="00746E04"/>
    <w:rsid w:val="00746E08"/>
    <w:rsid w:val="00746E3D"/>
    <w:rsid w:val="007472B2"/>
    <w:rsid w:val="007473B9"/>
    <w:rsid w:val="007474ED"/>
    <w:rsid w:val="00747529"/>
    <w:rsid w:val="007476EE"/>
    <w:rsid w:val="00747C96"/>
    <w:rsid w:val="00750075"/>
    <w:rsid w:val="007502EC"/>
    <w:rsid w:val="00750382"/>
    <w:rsid w:val="0075094E"/>
    <w:rsid w:val="00750FA8"/>
    <w:rsid w:val="00750FB5"/>
    <w:rsid w:val="00751B4C"/>
    <w:rsid w:val="007522E8"/>
    <w:rsid w:val="00752ABF"/>
    <w:rsid w:val="007537BD"/>
    <w:rsid w:val="00753BAC"/>
    <w:rsid w:val="00754A0B"/>
    <w:rsid w:val="007552DB"/>
    <w:rsid w:val="00755B08"/>
    <w:rsid w:val="00755BE4"/>
    <w:rsid w:val="00755DD0"/>
    <w:rsid w:val="0075647A"/>
    <w:rsid w:val="007566BE"/>
    <w:rsid w:val="00756A2F"/>
    <w:rsid w:val="007573E1"/>
    <w:rsid w:val="0075749E"/>
    <w:rsid w:val="007577DA"/>
    <w:rsid w:val="00757B2D"/>
    <w:rsid w:val="00757BAD"/>
    <w:rsid w:val="00757D62"/>
    <w:rsid w:val="00760844"/>
    <w:rsid w:val="00760867"/>
    <w:rsid w:val="00760EB6"/>
    <w:rsid w:val="0076105F"/>
    <w:rsid w:val="0076167B"/>
    <w:rsid w:val="007616DB"/>
    <w:rsid w:val="0076200D"/>
    <w:rsid w:val="0076228A"/>
    <w:rsid w:val="00762440"/>
    <w:rsid w:val="0076260A"/>
    <w:rsid w:val="007629B7"/>
    <w:rsid w:val="00762E60"/>
    <w:rsid w:val="007634AD"/>
    <w:rsid w:val="00763527"/>
    <w:rsid w:val="0076387E"/>
    <w:rsid w:val="00763927"/>
    <w:rsid w:val="00764996"/>
    <w:rsid w:val="0076522C"/>
    <w:rsid w:val="00765265"/>
    <w:rsid w:val="00766ECC"/>
    <w:rsid w:val="0076702F"/>
    <w:rsid w:val="007672F3"/>
    <w:rsid w:val="007676A9"/>
    <w:rsid w:val="007677B5"/>
    <w:rsid w:val="007678B1"/>
    <w:rsid w:val="00770317"/>
    <w:rsid w:val="007708A8"/>
    <w:rsid w:val="00771D75"/>
    <w:rsid w:val="007720F7"/>
    <w:rsid w:val="00772275"/>
    <w:rsid w:val="00773350"/>
    <w:rsid w:val="00773484"/>
    <w:rsid w:val="007734E4"/>
    <w:rsid w:val="0077380D"/>
    <w:rsid w:val="0077393F"/>
    <w:rsid w:val="00773BC8"/>
    <w:rsid w:val="0077466F"/>
    <w:rsid w:val="007752B7"/>
    <w:rsid w:val="007759A8"/>
    <w:rsid w:val="00775D98"/>
    <w:rsid w:val="00776FE5"/>
    <w:rsid w:val="00777101"/>
    <w:rsid w:val="00777218"/>
    <w:rsid w:val="007774E7"/>
    <w:rsid w:val="0077768C"/>
    <w:rsid w:val="00777696"/>
    <w:rsid w:val="00777E63"/>
    <w:rsid w:val="00777F46"/>
    <w:rsid w:val="00777FF4"/>
    <w:rsid w:val="00780251"/>
    <w:rsid w:val="007804FE"/>
    <w:rsid w:val="00780F32"/>
    <w:rsid w:val="0078122E"/>
    <w:rsid w:val="00781939"/>
    <w:rsid w:val="00781D29"/>
    <w:rsid w:val="00782354"/>
    <w:rsid w:val="007825EF"/>
    <w:rsid w:val="007827B0"/>
    <w:rsid w:val="0078286B"/>
    <w:rsid w:val="00782D2C"/>
    <w:rsid w:val="00782FC2"/>
    <w:rsid w:val="007838B5"/>
    <w:rsid w:val="00784FC4"/>
    <w:rsid w:val="00785420"/>
    <w:rsid w:val="00785BBB"/>
    <w:rsid w:val="00786FAD"/>
    <w:rsid w:val="007873C9"/>
    <w:rsid w:val="00787D90"/>
    <w:rsid w:val="00787F5E"/>
    <w:rsid w:val="00790164"/>
    <w:rsid w:val="007906E2"/>
    <w:rsid w:val="00790A24"/>
    <w:rsid w:val="00790A37"/>
    <w:rsid w:val="00790A60"/>
    <w:rsid w:val="00790CE2"/>
    <w:rsid w:val="0079146D"/>
    <w:rsid w:val="007917AD"/>
    <w:rsid w:val="00791C32"/>
    <w:rsid w:val="00791E08"/>
    <w:rsid w:val="00791FF0"/>
    <w:rsid w:val="007923D0"/>
    <w:rsid w:val="0079302C"/>
    <w:rsid w:val="007930D3"/>
    <w:rsid w:val="0079381F"/>
    <w:rsid w:val="00793AE3"/>
    <w:rsid w:val="00793B2E"/>
    <w:rsid w:val="007942C3"/>
    <w:rsid w:val="007943FC"/>
    <w:rsid w:val="007948F5"/>
    <w:rsid w:val="00795647"/>
    <w:rsid w:val="007963F6"/>
    <w:rsid w:val="00796418"/>
    <w:rsid w:val="00796485"/>
    <w:rsid w:val="00796576"/>
    <w:rsid w:val="00796E80"/>
    <w:rsid w:val="007977F1"/>
    <w:rsid w:val="007979AD"/>
    <w:rsid w:val="00797A9C"/>
    <w:rsid w:val="00797EB7"/>
    <w:rsid w:val="007A0EAB"/>
    <w:rsid w:val="007A2159"/>
    <w:rsid w:val="007A2341"/>
    <w:rsid w:val="007A31F6"/>
    <w:rsid w:val="007A38A1"/>
    <w:rsid w:val="007A3967"/>
    <w:rsid w:val="007A3BBE"/>
    <w:rsid w:val="007A4629"/>
    <w:rsid w:val="007A4766"/>
    <w:rsid w:val="007A5816"/>
    <w:rsid w:val="007A5947"/>
    <w:rsid w:val="007A6C5F"/>
    <w:rsid w:val="007A6D9B"/>
    <w:rsid w:val="007B00D8"/>
    <w:rsid w:val="007B0313"/>
    <w:rsid w:val="007B05FB"/>
    <w:rsid w:val="007B0854"/>
    <w:rsid w:val="007B0E48"/>
    <w:rsid w:val="007B18FD"/>
    <w:rsid w:val="007B1935"/>
    <w:rsid w:val="007B1D1B"/>
    <w:rsid w:val="007B1D1E"/>
    <w:rsid w:val="007B303E"/>
    <w:rsid w:val="007B32C0"/>
    <w:rsid w:val="007B32F7"/>
    <w:rsid w:val="007B3659"/>
    <w:rsid w:val="007B4558"/>
    <w:rsid w:val="007B4632"/>
    <w:rsid w:val="007B46A2"/>
    <w:rsid w:val="007B4828"/>
    <w:rsid w:val="007B4B2D"/>
    <w:rsid w:val="007B4D4A"/>
    <w:rsid w:val="007B5428"/>
    <w:rsid w:val="007B54FE"/>
    <w:rsid w:val="007B57A5"/>
    <w:rsid w:val="007B699E"/>
    <w:rsid w:val="007B6C64"/>
    <w:rsid w:val="007B6EC8"/>
    <w:rsid w:val="007B6F81"/>
    <w:rsid w:val="007B700B"/>
    <w:rsid w:val="007B7992"/>
    <w:rsid w:val="007B7EA2"/>
    <w:rsid w:val="007C025A"/>
    <w:rsid w:val="007C081B"/>
    <w:rsid w:val="007C097D"/>
    <w:rsid w:val="007C0C17"/>
    <w:rsid w:val="007C13FA"/>
    <w:rsid w:val="007C1672"/>
    <w:rsid w:val="007C23D2"/>
    <w:rsid w:val="007C2AD3"/>
    <w:rsid w:val="007C312A"/>
    <w:rsid w:val="007C3570"/>
    <w:rsid w:val="007C3F3B"/>
    <w:rsid w:val="007C4241"/>
    <w:rsid w:val="007C4630"/>
    <w:rsid w:val="007C55FF"/>
    <w:rsid w:val="007C6339"/>
    <w:rsid w:val="007C6EC5"/>
    <w:rsid w:val="007C7C43"/>
    <w:rsid w:val="007C7F0D"/>
    <w:rsid w:val="007D0D03"/>
    <w:rsid w:val="007D1134"/>
    <w:rsid w:val="007D20CF"/>
    <w:rsid w:val="007D23F7"/>
    <w:rsid w:val="007D2566"/>
    <w:rsid w:val="007D2C18"/>
    <w:rsid w:val="007D2D74"/>
    <w:rsid w:val="007D333D"/>
    <w:rsid w:val="007D3395"/>
    <w:rsid w:val="007D33A0"/>
    <w:rsid w:val="007D3693"/>
    <w:rsid w:val="007D3C6D"/>
    <w:rsid w:val="007D409B"/>
    <w:rsid w:val="007D481A"/>
    <w:rsid w:val="007D5402"/>
    <w:rsid w:val="007D5648"/>
    <w:rsid w:val="007D58C5"/>
    <w:rsid w:val="007D5DE8"/>
    <w:rsid w:val="007D7503"/>
    <w:rsid w:val="007D7C53"/>
    <w:rsid w:val="007D7CFC"/>
    <w:rsid w:val="007D7FFC"/>
    <w:rsid w:val="007E0812"/>
    <w:rsid w:val="007E16A4"/>
    <w:rsid w:val="007E18DF"/>
    <w:rsid w:val="007E2A04"/>
    <w:rsid w:val="007E2C36"/>
    <w:rsid w:val="007E2F33"/>
    <w:rsid w:val="007E342A"/>
    <w:rsid w:val="007E350D"/>
    <w:rsid w:val="007E5C4A"/>
    <w:rsid w:val="007E64D4"/>
    <w:rsid w:val="007E66E9"/>
    <w:rsid w:val="007E69F2"/>
    <w:rsid w:val="007E7432"/>
    <w:rsid w:val="007E74BF"/>
    <w:rsid w:val="007E79BA"/>
    <w:rsid w:val="007F14D3"/>
    <w:rsid w:val="007F1C15"/>
    <w:rsid w:val="007F1C42"/>
    <w:rsid w:val="007F1D9D"/>
    <w:rsid w:val="007F1E28"/>
    <w:rsid w:val="007F1F63"/>
    <w:rsid w:val="007F21D8"/>
    <w:rsid w:val="007F22A0"/>
    <w:rsid w:val="007F28FB"/>
    <w:rsid w:val="007F2F90"/>
    <w:rsid w:val="007F2FFF"/>
    <w:rsid w:val="007F3320"/>
    <w:rsid w:val="007F392A"/>
    <w:rsid w:val="007F3AC1"/>
    <w:rsid w:val="007F48FA"/>
    <w:rsid w:val="007F4976"/>
    <w:rsid w:val="007F5A56"/>
    <w:rsid w:val="007F5F90"/>
    <w:rsid w:val="007F616E"/>
    <w:rsid w:val="007F665F"/>
    <w:rsid w:val="007F6B46"/>
    <w:rsid w:val="007F72CB"/>
    <w:rsid w:val="007F736A"/>
    <w:rsid w:val="007F75F1"/>
    <w:rsid w:val="007F7635"/>
    <w:rsid w:val="007F785F"/>
    <w:rsid w:val="007F7AF6"/>
    <w:rsid w:val="007F7E36"/>
    <w:rsid w:val="00800681"/>
    <w:rsid w:val="00800E6D"/>
    <w:rsid w:val="008014D9"/>
    <w:rsid w:val="0080150F"/>
    <w:rsid w:val="0080153A"/>
    <w:rsid w:val="00801A2A"/>
    <w:rsid w:val="00802041"/>
    <w:rsid w:val="008022C9"/>
    <w:rsid w:val="00802C0C"/>
    <w:rsid w:val="00802F9E"/>
    <w:rsid w:val="00803700"/>
    <w:rsid w:val="00803D9D"/>
    <w:rsid w:val="008059C6"/>
    <w:rsid w:val="00805AD7"/>
    <w:rsid w:val="00805BD6"/>
    <w:rsid w:val="00805DE3"/>
    <w:rsid w:val="0080750F"/>
    <w:rsid w:val="00807666"/>
    <w:rsid w:val="00807C35"/>
    <w:rsid w:val="00807D00"/>
    <w:rsid w:val="00807F02"/>
    <w:rsid w:val="00807F69"/>
    <w:rsid w:val="00807FF6"/>
    <w:rsid w:val="008100EC"/>
    <w:rsid w:val="008100F7"/>
    <w:rsid w:val="00810206"/>
    <w:rsid w:val="008104E6"/>
    <w:rsid w:val="00811898"/>
    <w:rsid w:val="008120C4"/>
    <w:rsid w:val="008124D8"/>
    <w:rsid w:val="0081323E"/>
    <w:rsid w:val="00813A7B"/>
    <w:rsid w:val="00813F04"/>
    <w:rsid w:val="00814B72"/>
    <w:rsid w:val="00814D88"/>
    <w:rsid w:val="008150B1"/>
    <w:rsid w:val="00815251"/>
    <w:rsid w:val="00815A07"/>
    <w:rsid w:val="00815C82"/>
    <w:rsid w:val="00815DA5"/>
    <w:rsid w:val="00816221"/>
    <w:rsid w:val="0081766B"/>
    <w:rsid w:val="00820406"/>
    <w:rsid w:val="00820705"/>
    <w:rsid w:val="00820CBF"/>
    <w:rsid w:val="00820FA8"/>
    <w:rsid w:val="008212FD"/>
    <w:rsid w:val="00821489"/>
    <w:rsid w:val="008217B7"/>
    <w:rsid w:val="00821F5E"/>
    <w:rsid w:val="0082239B"/>
    <w:rsid w:val="0082282A"/>
    <w:rsid w:val="0082292E"/>
    <w:rsid w:val="00822D06"/>
    <w:rsid w:val="00822D87"/>
    <w:rsid w:val="0082348D"/>
    <w:rsid w:val="008234E0"/>
    <w:rsid w:val="008236BE"/>
    <w:rsid w:val="00823A46"/>
    <w:rsid w:val="008241BC"/>
    <w:rsid w:val="008241CE"/>
    <w:rsid w:val="00824BF3"/>
    <w:rsid w:val="00825240"/>
    <w:rsid w:val="00825B43"/>
    <w:rsid w:val="008260E2"/>
    <w:rsid w:val="0082629D"/>
    <w:rsid w:val="008264B1"/>
    <w:rsid w:val="00827203"/>
    <w:rsid w:val="0082767A"/>
    <w:rsid w:val="00827CC0"/>
    <w:rsid w:val="008309D9"/>
    <w:rsid w:val="00831026"/>
    <w:rsid w:val="0083119B"/>
    <w:rsid w:val="00831654"/>
    <w:rsid w:val="00831BAE"/>
    <w:rsid w:val="00832216"/>
    <w:rsid w:val="00832CD0"/>
    <w:rsid w:val="00832FDC"/>
    <w:rsid w:val="00833430"/>
    <w:rsid w:val="00834128"/>
    <w:rsid w:val="0083417F"/>
    <w:rsid w:val="00835143"/>
    <w:rsid w:val="008351F8"/>
    <w:rsid w:val="00835741"/>
    <w:rsid w:val="00836404"/>
    <w:rsid w:val="00836E74"/>
    <w:rsid w:val="00836EAB"/>
    <w:rsid w:val="00837673"/>
    <w:rsid w:val="00837937"/>
    <w:rsid w:val="00837D82"/>
    <w:rsid w:val="00840893"/>
    <w:rsid w:val="008409EC"/>
    <w:rsid w:val="00840E88"/>
    <w:rsid w:val="0084195A"/>
    <w:rsid w:val="008423EC"/>
    <w:rsid w:val="0084332E"/>
    <w:rsid w:val="00843615"/>
    <w:rsid w:val="00843698"/>
    <w:rsid w:val="00843A4B"/>
    <w:rsid w:val="00843B57"/>
    <w:rsid w:val="00843B60"/>
    <w:rsid w:val="00843D33"/>
    <w:rsid w:val="00844D4F"/>
    <w:rsid w:val="00845AE3"/>
    <w:rsid w:val="008466A0"/>
    <w:rsid w:val="00846D1D"/>
    <w:rsid w:val="00847535"/>
    <w:rsid w:val="00847744"/>
    <w:rsid w:val="00847804"/>
    <w:rsid w:val="00847B6D"/>
    <w:rsid w:val="00847FFA"/>
    <w:rsid w:val="0085092D"/>
    <w:rsid w:val="00850D82"/>
    <w:rsid w:val="00850F79"/>
    <w:rsid w:val="0085100B"/>
    <w:rsid w:val="00851A58"/>
    <w:rsid w:val="0085304C"/>
    <w:rsid w:val="00853973"/>
    <w:rsid w:val="00853B5D"/>
    <w:rsid w:val="00853C4A"/>
    <w:rsid w:val="00854853"/>
    <w:rsid w:val="008548CA"/>
    <w:rsid w:val="00856C06"/>
    <w:rsid w:val="0085790B"/>
    <w:rsid w:val="00857AAC"/>
    <w:rsid w:val="00857C95"/>
    <w:rsid w:val="00857E78"/>
    <w:rsid w:val="00860AEF"/>
    <w:rsid w:val="0086122C"/>
    <w:rsid w:val="00861310"/>
    <w:rsid w:val="00861B7B"/>
    <w:rsid w:val="00861F0F"/>
    <w:rsid w:val="00861F53"/>
    <w:rsid w:val="0086289E"/>
    <w:rsid w:val="008633D3"/>
    <w:rsid w:val="008633D8"/>
    <w:rsid w:val="00863413"/>
    <w:rsid w:val="0086394E"/>
    <w:rsid w:val="00863F8A"/>
    <w:rsid w:val="00863FE3"/>
    <w:rsid w:val="00864241"/>
    <w:rsid w:val="0086468A"/>
    <w:rsid w:val="00864CD5"/>
    <w:rsid w:val="008650BE"/>
    <w:rsid w:val="00865127"/>
    <w:rsid w:val="008657C6"/>
    <w:rsid w:val="0086633B"/>
    <w:rsid w:val="00866495"/>
    <w:rsid w:val="00866931"/>
    <w:rsid w:val="00866FEF"/>
    <w:rsid w:val="00867326"/>
    <w:rsid w:val="0086737F"/>
    <w:rsid w:val="00867512"/>
    <w:rsid w:val="00867624"/>
    <w:rsid w:val="0087033C"/>
    <w:rsid w:val="00870B44"/>
    <w:rsid w:val="008712E8"/>
    <w:rsid w:val="008715ED"/>
    <w:rsid w:val="008717D8"/>
    <w:rsid w:val="00871E3C"/>
    <w:rsid w:val="0087213A"/>
    <w:rsid w:val="00872B54"/>
    <w:rsid w:val="00872F97"/>
    <w:rsid w:val="00873863"/>
    <w:rsid w:val="0087392A"/>
    <w:rsid w:val="00874607"/>
    <w:rsid w:val="00874915"/>
    <w:rsid w:val="00874B89"/>
    <w:rsid w:val="00874BB2"/>
    <w:rsid w:val="008752DA"/>
    <w:rsid w:val="00875403"/>
    <w:rsid w:val="00875434"/>
    <w:rsid w:val="00875C2F"/>
    <w:rsid w:val="00875E7C"/>
    <w:rsid w:val="00876215"/>
    <w:rsid w:val="0087646C"/>
    <w:rsid w:val="00876815"/>
    <w:rsid w:val="00877932"/>
    <w:rsid w:val="008807F0"/>
    <w:rsid w:val="008808C7"/>
    <w:rsid w:val="0088106B"/>
    <w:rsid w:val="0088107D"/>
    <w:rsid w:val="008812E2"/>
    <w:rsid w:val="00881596"/>
    <w:rsid w:val="0088168A"/>
    <w:rsid w:val="00881E64"/>
    <w:rsid w:val="00882A3F"/>
    <w:rsid w:val="00882E39"/>
    <w:rsid w:val="0088497E"/>
    <w:rsid w:val="008850E3"/>
    <w:rsid w:val="008850EB"/>
    <w:rsid w:val="00885D6C"/>
    <w:rsid w:val="00886DF2"/>
    <w:rsid w:val="00886FB9"/>
    <w:rsid w:val="00887080"/>
    <w:rsid w:val="00887281"/>
    <w:rsid w:val="00887BC5"/>
    <w:rsid w:val="00887C79"/>
    <w:rsid w:val="008907CC"/>
    <w:rsid w:val="00890F8E"/>
    <w:rsid w:val="0089107B"/>
    <w:rsid w:val="008913CC"/>
    <w:rsid w:val="00891411"/>
    <w:rsid w:val="008914AE"/>
    <w:rsid w:val="00891669"/>
    <w:rsid w:val="00891838"/>
    <w:rsid w:val="008919CF"/>
    <w:rsid w:val="00891F84"/>
    <w:rsid w:val="008928EC"/>
    <w:rsid w:val="00892E5D"/>
    <w:rsid w:val="008935CF"/>
    <w:rsid w:val="00894436"/>
    <w:rsid w:val="00894BB1"/>
    <w:rsid w:val="008950CB"/>
    <w:rsid w:val="008951D0"/>
    <w:rsid w:val="0089572F"/>
    <w:rsid w:val="0089582D"/>
    <w:rsid w:val="008959C6"/>
    <w:rsid w:val="00895C08"/>
    <w:rsid w:val="00895FD3"/>
    <w:rsid w:val="0089606D"/>
    <w:rsid w:val="00896129"/>
    <w:rsid w:val="008965DF"/>
    <w:rsid w:val="0089774F"/>
    <w:rsid w:val="00897875"/>
    <w:rsid w:val="00897B2E"/>
    <w:rsid w:val="00897B8F"/>
    <w:rsid w:val="008A00D8"/>
    <w:rsid w:val="008A00D9"/>
    <w:rsid w:val="008A07D5"/>
    <w:rsid w:val="008A20C5"/>
    <w:rsid w:val="008A2527"/>
    <w:rsid w:val="008A295B"/>
    <w:rsid w:val="008A2A23"/>
    <w:rsid w:val="008A2AF5"/>
    <w:rsid w:val="008A2B5A"/>
    <w:rsid w:val="008A2DD1"/>
    <w:rsid w:val="008A3F9D"/>
    <w:rsid w:val="008A5474"/>
    <w:rsid w:val="008A5C9A"/>
    <w:rsid w:val="008A6A55"/>
    <w:rsid w:val="008A6C5C"/>
    <w:rsid w:val="008A6DF0"/>
    <w:rsid w:val="008A6F6E"/>
    <w:rsid w:val="008A7888"/>
    <w:rsid w:val="008A796E"/>
    <w:rsid w:val="008B03D8"/>
    <w:rsid w:val="008B0862"/>
    <w:rsid w:val="008B088C"/>
    <w:rsid w:val="008B1BF5"/>
    <w:rsid w:val="008B2268"/>
    <w:rsid w:val="008B263F"/>
    <w:rsid w:val="008B2AAC"/>
    <w:rsid w:val="008B3A08"/>
    <w:rsid w:val="008B47A6"/>
    <w:rsid w:val="008B6649"/>
    <w:rsid w:val="008B672C"/>
    <w:rsid w:val="008B7611"/>
    <w:rsid w:val="008C036D"/>
    <w:rsid w:val="008C0743"/>
    <w:rsid w:val="008C0B4C"/>
    <w:rsid w:val="008C11F0"/>
    <w:rsid w:val="008C1DBA"/>
    <w:rsid w:val="008C20B8"/>
    <w:rsid w:val="008C24E7"/>
    <w:rsid w:val="008C2500"/>
    <w:rsid w:val="008C2792"/>
    <w:rsid w:val="008C2CAC"/>
    <w:rsid w:val="008C3E2A"/>
    <w:rsid w:val="008C3FFC"/>
    <w:rsid w:val="008C45BD"/>
    <w:rsid w:val="008C46E0"/>
    <w:rsid w:val="008C4B19"/>
    <w:rsid w:val="008C5295"/>
    <w:rsid w:val="008C5485"/>
    <w:rsid w:val="008C568F"/>
    <w:rsid w:val="008C62D4"/>
    <w:rsid w:val="008C6644"/>
    <w:rsid w:val="008C6924"/>
    <w:rsid w:val="008C6B89"/>
    <w:rsid w:val="008C6DE3"/>
    <w:rsid w:val="008D09E3"/>
    <w:rsid w:val="008D18AA"/>
    <w:rsid w:val="008D1A16"/>
    <w:rsid w:val="008D1A2A"/>
    <w:rsid w:val="008D1AE7"/>
    <w:rsid w:val="008D29B1"/>
    <w:rsid w:val="008D2EB5"/>
    <w:rsid w:val="008D30D2"/>
    <w:rsid w:val="008D35D9"/>
    <w:rsid w:val="008D379C"/>
    <w:rsid w:val="008D3B85"/>
    <w:rsid w:val="008D4527"/>
    <w:rsid w:val="008D462D"/>
    <w:rsid w:val="008D51F2"/>
    <w:rsid w:val="008D66CA"/>
    <w:rsid w:val="008D69B1"/>
    <w:rsid w:val="008D7338"/>
    <w:rsid w:val="008E0012"/>
    <w:rsid w:val="008E0DF7"/>
    <w:rsid w:val="008E0FAD"/>
    <w:rsid w:val="008E1347"/>
    <w:rsid w:val="008E16E0"/>
    <w:rsid w:val="008E1836"/>
    <w:rsid w:val="008E1C15"/>
    <w:rsid w:val="008E1C9A"/>
    <w:rsid w:val="008E23C7"/>
    <w:rsid w:val="008E28BD"/>
    <w:rsid w:val="008E38B4"/>
    <w:rsid w:val="008E3BA4"/>
    <w:rsid w:val="008E41C4"/>
    <w:rsid w:val="008E44AB"/>
    <w:rsid w:val="008E5179"/>
    <w:rsid w:val="008E6598"/>
    <w:rsid w:val="008E6A17"/>
    <w:rsid w:val="008E71A8"/>
    <w:rsid w:val="008E7214"/>
    <w:rsid w:val="008E7348"/>
    <w:rsid w:val="008E7884"/>
    <w:rsid w:val="008E7D6E"/>
    <w:rsid w:val="008F0737"/>
    <w:rsid w:val="008F1056"/>
    <w:rsid w:val="008F293D"/>
    <w:rsid w:val="008F2A43"/>
    <w:rsid w:val="008F2E8D"/>
    <w:rsid w:val="008F3374"/>
    <w:rsid w:val="008F387B"/>
    <w:rsid w:val="008F3DD9"/>
    <w:rsid w:val="008F4814"/>
    <w:rsid w:val="008F4B91"/>
    <w:rsid w:val="008F4DA6"/>
    <w:rsid w:val="008F538E"/>
    <w:rsid w:val="008F59B4"/>
    <w:rsid w:val="008F5A20"/>
    <w:rsid w:val="008F5ABA"/>
    <w:rsid w:val="008F6CF9"/>
    <w:rsid w:val="008F78EC"/>
    <w:rsid w:val="008F7905"/>
    <w:rsid w:val="008F7989"/>
    <w:rsid w:val="00901768"/>
    <w:rsid w:val="00901EEF"/>
    <w:rsid w:val="009026AF"/>
    <w:rsid w:val="009028E8"/>
    <w:rsid w:val="00902E5C"/>
    <w:rsid w:val="0090350D"/>
    <w:rsid w:val="009039EB"/>
    <w:rsid w:val="009046E5"/>
    <w:rsid w:val="009047C5"/>
    <w:rsid w:val="009058D1"/>
    <w:rsid w:val="00905C04"/>
    <w:rsid w:val="00906BE2"/>
    <w:rsid w:val="009070AA"/>
    <w:rsid w:val="00907203"/>
    <w:rsid w:val="00907C90"/>
    <w:rsid w:val="00907F8F"/>
    <w:rsid w:val="00910683"/>
    <w:rsid w:val="00910AB1"/>
    <w:rsid w:val="00910CE9"/>
    <w:rsid w:val="00910E00"/>
    <w:rsid w:val="009111AE"/>
    <w:rsid w:val="009116CE"/>
    <w:rsid w:val="00911714"/>
    <w:rsid w:val="00911A5B"/>
    <w:rsid w:val="0091244B"/>
    <w:rsid w:val="009136D4"/>
    <w:rsid w:val="00913857"/>
    <w:rsid w:val="00913BB9"/>
    <w:rsid w:val="00914B9A"/>
    <w:rsid w:val="00914C3F"/>
    <w:rsid w:val="00914DEF"/>
    <w:rsid w:val="00914F33"/>
    <w:rsid w:val="009153F6"/>
    <w:rsid w:val="00915FCE"/>
    <w:rsid w:val="00916847"/>
    <w:rsid w:val="00916AFE"/>
    <w:rsid w:val="00916FC8"/>
    <w:rsid w:val="009170D3"/>
    <w:rsid w:val="0091759C"/>
    <w:rsid w:val="00917910"/>
    <w:rsid w:val="00920026"/>
    <w:rsid w:val="0092032F"/>
    <w:rsid w:val="009203E2"/>
    <w:rsid w:val="00921304"/>
    <w:rsid w:val="00921805"/>
    <w:rsid w:val="00921BA7"/>
    <w:rsid w:val="00923396"/>
    <w:rsid w:val="00923F56"/>
    <w:rsid w:val="00923FA6"/>
    <w:rsid w:val="009246C4"/>
    <w:rsid w:val="00925743"/>
    <w:rsid w:val="0092579F"/>
    <w:rsid w:val="00927E8D"/>
    <w:rsid w:val="00927F23"/>
    <w:rsid w:val="00930698"/>
    <w:rsid w:val="00930727"/>
    <w:rsid w:val="009307CD"/>
    <w:rsid w:val="00930C81"/>
    <w:rsid w:val="00931059"/>
    <w:rsid w:val="009311D1"/>
    <w:rsid w:val="00931451"/>
    <w:rsid w:val="009314FA"/>
    <w:rsid w:val="00931625"/>
    <w:rsid w:val="0093194F"/>
    <w:rsid w:val="00931BF3"/>
    <w:rsid w:val="00931C55"/>
    <w:rsid w:val="009330BE"/>
    <w:rsid w:val="00933333"/>
    <w:rsid w:val="0093349A"/>
    <w:rsid w:val="009337B2"/>
    <w:rsid w:val="00933FCB"/>
    <w:rsid w:val="00934E69"/>
    <w:rsid w:val="009367D5"/>
    <w:rsid w:val="00937401"/>
    <w:rsid w:val="00937561"/>
    <w:rsid w:val="009376FB"/>
    <w:rsid w:val="00937D6B"/>
    <w:rsid w:val="00940477"/>
    <w:rsid w:val="00940876"/>
    <w:rsid w:val="00940A53"/>
    <w:rsid w:val="00940F3C"/>
    <w:rsid w:val="00940FC1"/>
    <w:rsid w:val="009410E0"/>
    <w:rsid w:val="009444B4"/>
    <w:rsid w:val="00944644"/>
    <w:rsid w:val="009447E6"/>
    <w:rsid w:val="009449F9"/>
    <w:rsid w:val="00945006"/>
    <w:rsid w:val="009451CE"/>
    <w:rsid w:val="00945812"/>
    <w:rsid w:val="00945C38"/>
    <w:rsid w:val="00945E18"/>
    <w:rsid w:val="009460F9"/>
    <w:rsid w:val="009464D7"/>
    <w:rsid w:val="00946A24"/>
    <w:rsid w:val="009470D4"/>
    <w:rsid w:val="00947337"/>
    <w:rsid w:val="00947AA9"/>
    <w:rsid w:val="009512FA"/>
    <w:rsid w:val="00951E57"/>
    <w:rsid w:val="00953018"/>
    <w:rsid w:val="009533E2"/>
    <w:rsid w:val="00953554"/>
    <w:rsid w:val="0095385A"/>
    <w:rsid w:val="00953928"/>
    <w:rsid w:val="009540F0"/>
    <w:rsid w:val="009548A1"/>
    <w:rsid w:val="00955163"/>
    <w:rsid w:val="00955463"/>
    <w:rsid w:val="00955906"/>
    <w:rsid w:val="00955978"/>
    <w:rsid w:val="00957010"/>
    <w:rsid w:val="009574FE"/>
    <w:rsid w:val="0095780A"/>
    <w:rsid w:val="009579E4"/>
    <w:rsid w:val="00957AA4"/>
    <w:rsid w:val="00957ACB"/>
    <w:rsid w:val="00957E21"/>
    <w:rsid w:val="00957F27"/>
    <w:rsid w:val="009609F0"/>
    <w:rsid w:val="00960BDB"/>
    <w:rsid w:val="0096147D"/>
    <w:rsid w:val="00961E5F"/>
    <w:rsid w:val="009625C6"/>
    <w:rsid w:val="009629B5"/>
    <w:rsid w:val="00962A50"/>
    <w:rsid w:val="00962E25"/>
    <w:rsid w:val="00962F47"/>
    <w:rsid w:val="009631BD"/>
    <w:rsid w:val="00964138"/>
    <w:rsid w:val="00964B3F"/>
    <w:rsid w:val="00964C98"/>
    <w:rsid w:val="00964D5B"/>
    <w:rsid w:val="00964E0A"/>
    <w:rsid w:val="00965FF8"/>
    <w:rsid w:val="00966214"/>
    <w:rsid w:val="00971441"/>
    <w:rsid w:val="009715D4"/>
    <w:rsid w:val="00971AC8"/>
    <w:rsid w:val="00971E04"/>
    <w:rsid w:val="00972470"/>
    <w:rsid w:val="009739A9"/>
    <w:rsid w:val="00973AA2"/>
    <w:rsid w:val="00973DF6"/>
    <w:rsid w:val="0097494E"/>
    <w:rsid w:val="00974B58"/>
    <w:rsid w:val="00975140"/>
    <w:rsid w:val="00975DA3"/>
    <w:rsid w:val="009761ED"/>
    <w:rsid w:val="00976E23"/>
    <w:rsid w:val="009801E7"/>
    <w:rsid w:val="0098022F"/>
    <w:rsid w:val="00980AF3"/>
    <w:rsid w:val="009810CC"/>
    <w:rsid w:val="009810DE"/>
    <w:rsid w:val="009816A2"/>
    <w:rsid w:val="00981D3C"/>
    <w:rsid w:val="009822D7"/>
    <w:rsid w:val="009827E6"/>
    <w:rsid w:val="00982E70"/>
    <w:rsid w:val="00982F84"/>
    <w:rsid w:val="0098427D"/>
    <w:rsid w:val="00984567"/>
    <w:rsid w:val="00985102"/>
    <w:rsid w:val="009865D5"/>
    <w:rsid w:val="009876F2"/>
    <w:rsid w:val="00987716"/>
    <w:rsid w:val="00987C77"/>
    <w:rsid w:val="00990345"/>
    <w:rsid w:val="00990701"/>
    <w:rsid w:val="0099090B"/>
    <w:rsid w:val="00990BC7"/>
    <w:rsid w:val="0099119C"/>
    <w:rsid w:val="0099137A"/>
    <w:rsid w:val="00991805"/>
    <w:rsid w:val="0099211C"/>
    <w:rsid w:val="00993158"/>
    <w:rsid w:val="00993B78"/>
    <w:rsid w:val="0099483A"/>
    <w:rsid w:val="00995119"/>
    <w:rsid w:val="009953AD"/>
    <w:rsid w:val="00995503"/>
    <w:rsid w:val="0099583D"/>
    <w:rsid w:val="00995B7C"/>
    <w:rsid w:val="00996992"/>
    <w:rsid w:val="00996E1E"/>
    <w:rsid w:val="00997392"/>
    <w:rsid w:val="0099747C"/>
    <w:rsid w:val="0099771C"/>
    <w:rsid w:val="009A01E4"/>
    <w:rsid w:val="009A0917"/>
    <w:rsid w:val="009A0A33"/>
    <w:rsid w:val="009A0A35"/>
    <w:rsid w:val="009A1351"/>
    <w:rsid w:val="009A2435"/>
    <w:rsid w:val="009A3253"/>
    <w:rsid w:val="009A35DC"/>
    <w:rsid w:val="009A38AB"/>
    <w:rsid w:val="009A3CFB"/>
    <w:rsid w:val="009A3D47"/>
    <w:rsid w:val="009A4D63"/>
    <w:rsid w:val="009A5356"/>
    <w:rsid w:val="009A5468"/>
    <w:rsid w:val="009A5D99"/>
    <w:rsid w:val="009A608C"/>
    <w:rsid w:val="009A60D1"/>
    <w:rsid w:val="009A6CA7"/>
    <w:rsid w:val="009A6FDF"/>
    <w:rsid w:val="009A76D6"/>
    <w:rsid w:val="009B01D3"/>
    <w:rsid w:val="009B0522"/>
    <w:rsid w:val="009B199E"/>
    <w:rsid w:val="009B1D3E"/>
    <w:rsid w:val="009B257D"/>
    <w:rsid w:val="009B27AC"/>
    <w:rsid w:val="009B2E29"/>
    <w:rsid w:val="009B3163"/>
    <w:rsid w:val="009B422F"/>
    <w:rsid w:val="009B46BC"/>
    <w:rsid w:val="009B4D1A"/>
    <w:rsid w:val="009B527F"/>
    <w:rsid w:val="009B558B"/>
    <w:rsid w:val="009B6801"/>
    <w:rsid w:val="009B68DD"/>
    <w:rsid w:val="009B6D21"/>
    <w:rsid w:val="009B7266"/>
    <w:rsid w:val="009B78ED"/>
    <w:rsid w:val="009C181C"/>
    <w:rsid w:val="009C1C7F"/>
    <w:rsid w:val="009C28A2"/>
    <w:rsid w:val="009C3239"/>
    <w:rsid w:val="009C3828"/>
    <w:rsid w:val="009C3D2C"/>
    <w:rsid w:val="009C4987"/>
    <w:rsid w:val="009C523F"/>
    <w:rsid w:val="009C59BF"/>
    <w:rsid w:val="009C5E4F"/>
    <w:rsid w:val="009C5F64"/>
    <w:rsid w:val="009C5F82"/>
    <w:rsid w:val="009C70F8"/>
    <w:rsid w:val="009C756F"/>
    <w:rsid w:val="009C78A3"/>
    <w:rsid w:val="009D0156"/>
    <w:rsid w:val="009D05DA"/>
    <w:rsid w:val="009D0872"/>
    <w:rsid w:val="009D11F6"/>
    <w:rsid w:val="009D13B9"/>
    <w:rsid w:val="009D1A14"/>
    <w:rsid w:val="009D1E2A"/>
    <w:rsid w:val="009D1FA0"/>
    <w:rsid w:val="009D2BDF"/>
    <w:rsid w:val="009D3736"/>
    <w:rsid w:val="009D3964"/>
    <w:rsid w:val="009D40B8"/>
    <w:rsid w:val="009D4529"/>
    <w:rsid w:val="009D4B03"/>
    <w:rsid w:val="009D5E3C"/>
    <w:rsid w:val="009D604F"/>
    <w:rsid w:val="009D61BB"/>
    <w:rsid w:val="009D6410"/>
    <w:rsid w:val="009D65FF"/>
    <w:rsid w:val="009D66B2"/>
    <w:rsid w:val="009D68BB"/>
    <w:rsid w:val="009D6E3A"/>
    <w:rsid w:val="009D70C2"/>
    <w:rsid w:val="009D7278"/>
    <w:rsid w:val="009D773A"/>
    <w:rsid w:val="009D7ADB"/>
    <w:rsid w:val="009D7B33"/>
    <w:rsid w:val="009E0703"/>
    <w:rsid w:val="009E0E95"/>
    <w:rsid w:val="009E16DA"/>
    <w:rsid w:val="009E1CD4"/>
    <w:rsid w:val="009E20DC"/>
    <w:rsid w:val="009E2391"/>
    <w:rsid w:val="009E24F8"/>
    <w:rsid w:val="009E476A"/>
    <w:rsid w:val="009E4E05"/>
    <w:rsid w:val="009E52D9"/>
    <w:rsid w:val="009E53D7"/>
    <w:rsid w:val="009E56FF"/>
    <w:rsid w:val="009E5CB1"/>
    <w:rsid w:val="009E5E56"/>
    <w:rsid w:val="009E61EA"/>
    <w:rsid w:val="009E6990"/>
    <w:rsid w:val="009E6FEE"/>
    <w:rsid w:val="009F060F"/>
    <w:rsid w:val="009F0781"/>
    <w:rsid w:val="009F0850"/>
    <w:rsid w:val="009F0D40"/>
    <w:rsid w:val="009F11B2"/>
    <w:rsid w:val="009F1BDF"/>
    <w:rsid w:val="009F1EAE"/>
    <w:rsid w:val="009F1EBA"/>
    <w:rsid w:val="009F29A5"/>
    <w:rsid w:val="009F369D"/>
    <w:rsid w:val="009F36FE"/>
    <w:rsid w:val="009F46A9"/>
    <w:rsid w:val="009F4F25"/>
    <w:rsid w:val="009F507A"/>
    <w:rsid w:val="009F59C2"/>
    <w:rsid w:val="009F61DE"/>
    <w:rsid w:val="009F7263"/>
    <w:rsid w:val="009F74FA"/>
    <w:rsid w:val="009F76EA"/>
    <w:rsid w:val="009F78D8"/>
    <w:rsid w:val="009F78EB"/>
    <w:rsid w:val="009F7D10"/>
    <w:rsid w:val="009F7F32"/>
    <w:rsid w:val="009F7FEB"/>
    <w:rsid w:val="00A01852"/>
    <w:rsid w:val="00A0188B"/>
    <w:rsid w:val="00A01E73"/>
    <w:rsid w:val="00A023E7"/>
    <w:rsid w:val="00A02B88"/>
    <w:rsid w:val="00A03160"/>
    <w:rsid w:val="00A036AC"/>
    <w:rsid w:val="00A03C54"/>
    <w:rsid w:val="00A041BC"/>
    <w:rsid w:val="00A0447F"/>
    <w:rsid w:val="00A046D2"/>
    <w:rsid w:val="00A04A54"/>
    <w:rsid w:val="00A05B4B"/>
    <w:rsid w:val="00A066C3"/>
    <w:rsid w:val="00A06754"/>
    <w:rsid w:val="00A06942"/>
    <w:rsid w:val="00A069E0"/>
    <w:rsid w:val="00A06E4A"/>
    <w:rsid w:val="00A078FB"/>
    <w:rsid w:val="00A1036D"/>
    <w:rsid w:val="00A1069F"/>
    <w:rsid w:val="00A10919"/>
    <w:rsid w:val="00A10ACA"/>
    <w:rsid w:val="00A10D04"/>
    <w:rsid w:val="00A10D08"/>
    <w:rsid w:val="00A12091"/>
    <w:rsid w:val="00A12355"/>
    <w:rsid w:val="00A12384"/>
    <w:rsid w:val="00A127A3"/>
    <w:rsid w:val="00A127D2"/>
    <w:rsid w:val="00A12ADA"/>
    <w:rsid w:val="00A12E91"/>
    <w:rsid w:val="00A143EC"/>
    <w:rsid w:val="00A14A60"/>
    <w:rsid w:val="00A1500F"/>
    <w:rsid w:val="00A15621"/>
    <w:rsid w:val="00A15670"/>
    <w:rsid w:val="00A157A0"/>
    <w:rsid w:val="00A1585B"/>
    <w:rsid w:val="00A15BBC"/>
    <w:rsid w:val="00A15C19"/>
    <w:rsid w:val="00A1656E"/>
    <w:rsid w:val="00A16809"/>
    <w:rsid w:val="00A17769"/>
    <w:rsid w:val="00A17EA2"/>
    <w:rsid w:val="00A20264"/>
    <w:rsid w:val="00A20997"/>
    <w:rsid w:val="00A21454"/>
    <w:rsid w:val="00A22025"/>
    <w:rsid w:val="00A220AB"/>
    <w:rsid w:val="00A22498"/>
    <w:rsid w:val="00A22571"/>
    <w:rsid w:val="00A23023"/>
    <w:rsid w:val="00A23A08"/>
    <w:rsid w:val="00A24560"/>
    <w:rsid w:val="00A2562F"/>
    <w:rsid w:val="00A25B0F"/>
    <w:rsid w:val="00A25BBB"/>
    <w:rsid w:val="00A25F8E"/>
    <w:rsid w:val="00A279D2"/>
    <w:rsid w:val="00A27EA4"/>
    <w:rsid w:val="00A27F18"/>
    <w:rsid w:val="00A27FB6"/>
    <w:rsid w:val="00A30121"/>
    <w:rsid w:val="00A30368"/>
    <w:rsid w:val="00A3043A"/>
    <w:rsid w:val="00A30E02"/>
    <w:rsid w:val="00A30F6A"/>
    <w:rsid w:val="00A31BA2"/>
    <w:rsid w:val="00A31C3E"/>
    <w:rsid w:val="00A34538"/>
    <w:rsid w:val="00A34677"/>
    <w:rsid w:val="00A34BA0"/>
    <w:rsid w:val="00A3540F"/>
    <w:rsid w:val="00A35630"/>
    <w:rsid w:val="00A35914"/>
    <w:rsid w:val="00A36189"/>
    <w:rsid w:val="00A3622F"/>
    <w:rsid w:val="00A36DDC"/>
    <w:rsid w:val="00A37E73"/>
    <w:rsid w:val="00A37FB6"/>
    <w:rsid w:val="00A4006F"/>
    <w:rsid w:val="00A4104A"/>
    <w:rsid w:val="00A41081"/>
    <w:rsid w:val="00A411CA"/>
    <w:rsid w:val="00A41292"/>
    <w:rsid w:val="00A413AD"/>
    <w:rsid w:val="00A4169F"/>
    <w:rsid w:val="00A42096"/>
    <w:rsid w:val="00A421E7"/>
    <w:rsid w:val="00A426F3"/>
    <w:rsid w:val="00A42FDF"/>
    <w:rsid w:val="00A430A9"/>
    <w:rsid w:val="00A431A2"/>
    <w:rsid w:val="00A431FE"/>
    <w:rsid w:val="00A439E5"/>
    <w:rsid w:val="00A43D1B"/>
    <w:rsid w:val="00A4497A"/>
    <w:rsid w:val="00A44BE8"/>
    <w:rsid w:val="00A44C96"/>
    <w:rsid w:val="00A44F54"/>
    <w:rsid w:val="00A45F9B"/>
    <w:rsid w:val="00A461BF"/>
    <w:rsid w:val="00A46574"/>
    <w:rsid w:val="00A4657A"/>
    <w:rsid w:val="00A467C4"/>
    <w:rsid w:val="00A4777D"/>
    <w:rsid w:val="00A500B1"/>
    <w:rsid w:val="00A500F3"/>
    <w:rsid w:val="00A51520"/>
    <w:rsid w:val="00A5292D"/>
    <w:rsid w:val="00A52CC5"/>
    <w:rsid w:val="00A52D3F"/>
    <w:rsid w:val="00A52EE5"/>
    <w:rsid w:val="00A53037"/>
    <w:rsid w:val="00A532B9"/>
    <w:rsid w:val="00A5351D"/>
    <w:rsid w:val="00A53A2B"/>
    <w:rsid w:val="00A53D84"/>
    <w:rsid w:val="00A53E79"/>
    <w:rsid w:val="00A54031"/>
    <w:rsid w:val="00A5426D"/>
    <w:rsid w:val="00A54E83"/>
    <w:rsid w:val="00A54FC2"/>
    <w:rsid w:val="00A55122"/>
    <w:rsid w:val="00A5696C"/>
    <w:rsid w:val="00A56DE7"/>
    <w:rsid w:val="00A57714"/>
    <w:rsid w:val="00A57EB2"/>
    <w:rsid w:val="00A6009E"/>
    <w:rsid w:val="00A60762"/>
    <w:rsid w:val="00A607A7"/>
    <w:rsid w:val="00A60B1F"/>
    <w:rsid w:val="00A61C60"/>
    <w:rsid w:val="00A61F10"/>
    <w:rsid w:val="00A62589"/>
    <w:rsid w:val="00A62C3A"/>
    <w:rsid w:val="00A63812"/>
    <w:rsid w:val="00A63DF7"/>
    <w:rsid w:val="00A64505"/>
    <w:rsid w:val="00A65CC5"/>
    <w:rsid w:val="00A668BA"/>
    <w:rsid w:val="00A66FA7"/>
    <w:rsid w:val="00A677F6"/>
    <w:rsid w:val="00A67E16"/>
    <w:rsid w:val="00A703CC"/>
    <w:rsid w:val="00A70C5C"/>
    <w:rsid w:val="00A71E4C"/>
    <w:rsid w:val="00A71EA7"/>
    <w:rsid w:val="00A72849"/>
    <w:rsid w:val="00A730AD"/>
    <w:rsid w:val="00A733D2"/>
    <w:rsid w:val="00A73855"/>
    <w:rsid w:val="00A73D64"/>
    <w:rsid w:val="00A73FEA"/>
    <w:rsid w:val="00A74216"/>
    <w:rsid w:val="00A744B4"/>
    <w:rsid w:val="00A74D61"/>
    <w:rsid w:val="00A751E3"/>
    <w:rsid w:val="00A75504"/>
    <w:rsid w:val="00A75CD9"/>
    <w:rsid w:val="00A76438"/>
    <w:rsid w:val="00A77168"/>
    <w:rsid w:val="00A7723B"/>
    <w:rsid w:val="00A77525"/>
    <w:rsid w:val="00A7793C"/>
    <w:rsid w:val="00A77D21"/>
    <w:rsid w:val="00A80085"/>
    <w:rsid w:val="00A8043B"/>
    <w:rsid w:val="00A81323"/>
    <w:rsid w:val="00A81AC0"/>
    <w:rsid w:val="00A820CB"/>
    <w:rsid w:val="00A82342"/>
    <w:rsid w:val="00A83BEF"/>
    <w:rsid w:val="00A841E1"/>
    <w:rsid w:val="00A84443"/>
    <w:rsid w:val="00A8487F"/>
    <w:rsid w:val="00A848FC"/>
    <w:rsid w:val="00A849A3"/>
    <w:rsid w:val="00A84A0E"/>
    <w:rsid w:val="00A84D7C"/>
    <w:rsid w:val="00A851FD"/>
    <w:rsid w:val="00A86B64"/>
    <w:rsid w:val="00A86E0B"/>
    <w:rsid w:val="00A9069B"/>
    <w:rsid w:val="00A90F12"/>
    <w:rsid w:val="00A9106F"/>
    <w:rsid w:val="00A91603"/>
    <w:rsid w:val="00A92DC4"/>
    <w:rsid w:val="00A93101"/>
    <w:rsid w:val="00A94293"/>
    <w:rsid w:val="00A94760"/>
    <w:rsid w:val="00A9496E"/>
    <w:rsid w:val="00A949F0"/>
    <w:rsid w:val="00A94BDE"/>
    <w:rsid w:val="00A94FCA"/>
    <w:rsid w:val="00A95BFB"/>
    <w:rsid w:val="00A95E4C"/>
    <w:rsid w:val="00A96C60"/>
    <w:rsid w:val="00A97223"/>
    <w:rsid w:val="00A9740B"/>
    <w:rsid w:val="00A9766C"/>
    <w:rsid w:val="00A977F8"/>
    <w:rsid w:val="00A97C93"/>
    <w:rsid w:val="00AA08E7"/>
    <w:rsid w:val="00AA0A06"/>
    <w:rsid w:val="00AA1351"/>
    <w:rsid w:val="00AA1859"/>
    <w:rsid w:val="00AA1C84"/>
    <w:rsid w:val="00AA24FD"/>
    <w:rsid w:val="00AA3D7B"/>
    <w:rsid w:val="00AA42A0"/>
    <w:rsid w:val="00AA42E3"/>
    <w:rsid w:val="00AA442B"/>
    <w:rsid w:val="00AA46A4"/>
    <w:rsid w:val="00AA4F3D"/>
    <w:rsid w:val="00AA5687"/>
    <w:rsid w:val="00AA5779"/>
    <w:rsid w:val="00AA58A1"/>
    <w:rsid w:val="00AA61C7"/>
    <w:rsid w:val="00AA669D"/>
    <w:rsid w:val="00AA66ED"/>
    <w:rsid w:val="00AA6BE1"/>
    <w:rsid w:val="00AA7416"/>
    <w:rsid w:val="00AA7619"/>
    <w:rsid w:val="00AA7A60"/>
    <w:rsid w:val="00AA7B42"/>
    <w:rsid w:val="00AB041C"/>
    <w:rsid w:val="00AB04D6"/>
    <w:rsid w:val="00AB0C5D"/>
    <w:rsid w:val="00AB14E8"/>
    <w:rsid w:val="00AB17EC"/>
    <w:rsid w:val="00AB19AF"/>
    <w:rsid w:val="00AB1B1D"/>
    <w:rsid w:val="00AB2080"/>
    <w:rsid w:val="00AB2216"/>
    <w:rsid w:val="00AB2C0A"/>
    <w:rsid w:val="00AB358D"/>
    <w:rsid w:val="00AB37A1"/>
    <w:rsid w:val="00AB3BAD"/>
    <w:rsid w:val="00AB3CFD"/>
    <w:rsid w:val="00AB40C6"/>
    <w:rsid w:val="00AB49BC"/>
    <w:rsid w:val="00AB4DEE"/>
    <w:rsid w:val="00AB4E32"/>
    <w:rsid w:val="00AB579A"/>
    <w:rsid w:val="00AB5BC4"/>
    <w:rsid w:val="00AB5DB2"/>
    <w:rsid w:val="00AB724B"/>
    <w:rsid w:val="00AB726C"/>
    <w:rsid w:val="00AB72B4"/>
    <w:rsid w:val="00AC01FD"/>
    <w:rsid w:val="00AC02AA"/>
    <w:rsid w:val="00AC0537"/>
    <w:rsid w:val="00AC0A84"/>
    <w:rsid w:val="00AC264D"/>
    <w:rsid w:val="00AC2A0B"/>
    <w:rsid w:val="00AC2BEC"/>
    <w:rsid w:val="00AC2BEE"/>
    <w:rsid w:val="00AC2E53"/>
    <w:rsid w:val="00AC2F8F"/>
    <w:rsid w:val="00AC484F"/>
    <w:rsid w:val="00AC4A42"/>
    <w:rsid w:val="00AC4B20"/>
    <w:rsid w:val="00AC4D8F"/>
    <w:rsid w:val="00AC56F2"/>
    <w:rsid w:val="00AC5B83"/>
    <w:rsid w:val="00AC6886"/>
    <w:rsid w:val="00AC717C"/>
    <w:rsid w:val="00AC71C3"/>
    <w:rsid w:val="00AD0DA5"/>
    <w:rsid w:val="00AD1499"/>
    <w:rsid w:val="00AD1EFA"/>
    <w:rsid w:val="00AD2072"/>
    <w:rsid w:val="00AD2808"/>
    <w:rsid w:val="00AD2DBD"/>
    <w:rsid w:val="00AD2FBF"/>
    <w:rsid w:val="00AD416B"/>
    <w:rsid w:val="00AD455D"/>
    <w:rsid w:val="00AD463C"/>
    <w:rsid w:val="00AD46A2"/>
    <w:rsid w:val="00AD47E8"/>
    <w:rsid w:val="00AD4A51"/>
    <w:rsid w:val="00AD4F60"/>
    <w:rsid w:val="00AD5044"/>
    <w:rsid w:val="00AD5114"/>
    <w:rsid w:val="00AD6236"/>
    <w:rsid w:val="00AD67E6"/>
    <w:rsid w:val="00AD7619"/>
    <w:rsid w:val="00AD7770"/>
    <w:rsid w:val="00AE04A1"/>
    <w:rsid w:val="00AE0D1C"/>
    <w:rsid w:val="00AE0E4F"/>
    <w:rsid w:val="00AE1772"/>
    <w:rsid w:val="00AE1990"/>
    <w:rsid w:val="00AE1BBA"/>
    <w:rsid w:val="00AE2523"/>
    <w:rsid w:val="00AE25E8"/>
    <w:rsid w:val="00AE2631"/>
    <w:rsid w:val="00AE2AD4"/>
    <w:rsid w:val="00AE2BD9"/>
    <w:rsid w:val="00AE2CA7"/>
    <w:rsid w:val="00AE2F1D"/>
    <w:rsid w:val="00AE4B2B"/>
    <w:rsid w:val="00AE586F"/>
    <w:rsid w:val="00AE5A78"/>
    <w:rsid w:val="00AE6582"/>
    <w:rsid w:val="00AE6DC5"/>
    <w:rsid w:val="00AE73D7"/>
    <w:rsid w:val="00AE7686"/>
    <w:rsid w:val="00AE799A"/>
    <w:rsid w:val="00AF0514"/>
    <w:rsid w:val="00AF078E"/>
    <w:rsid w:val="00AF0E81"/>
    <w:rsid w:val="00AF117A"/>
    <w:rsid w:val="00AF186E"/>
    <w:rsid w:val="00AF19C6"/>
    <w:rsid w:val="00AF19DF"/>
    <w:rsid w:val="00AF1F4F"/>
    <w:rsid w:val="00AF26CF"/>
    <w:rsid w:val="00AF4761"/>
    <w:rsid w:val="00AF47D5"/>
    <w:rsid w:val="00AF4E92"/>
    <w:rsid w:val="00AF554B"/>
    <w:rsid w:val="00AF5C9B"/>
    <w:rsid w:val="00AF5D53"/>
    <w:rsid w:val="00AF5E2D"/>
    <w:rsid w:val="00AF644B"/>
    <w:rsid w:val="00AF6CA6"/>
    <w:rsid w:val="00AF6EB6"/>
    <w:rsid w:val="00AF7796"/>
    <w:rsid w:val="00B011A9"/>
    <w:rsid w:val="00B024ED"/>
    <w:rsid w:val="00B02C4A"/>
    <w:rsid w:val="00B02EB3"/>
    <w:rsid w:val="00B02FCB"/>
    <w:rsid w:val="00B033F8"/>
    <w:rsid w:val="00B039BE"/>
    <w:rsid w:val="00B03C1E"/>
    <w:rsid w:val="00B04400"/>
    <w:rsid w:val="00B04835"/>
    <w:rsid w:val="00B05A55"/>
    <w:rsid w:val="00B05DE1"/>
    <w:rsid w:val="00B06595"/>
    <w:rsid w:val="00B10109"/>
    <w:rsid w:val="00B1053C"/>
    <w:rsid w:val="00B1085E"/>
    <w:rsid w:val="00B10FD0"/>
    <w:rsid w:val="00B10FD1"/>
    <w:rsid w:val="00B11896"/>
    <w:rsid w:val="00B11CE3"/>
    <w:rsid w:val="00B12735"/>
    <w:rsid w:val="00B129C6"/>
    <w:rsid w:val="00B131C4"/>
    <w:rsid w:val="00B13386"/>
    <w:rsid w:val="00B13533"/>
    <w:rsid w:val="00B13C48"/>
    <w:rsid w:val="00B13E35"/>
    <w:rsid w:val="00B13EC0"/>
    <w:rsid w:val="00B14102"/>
    <w:rsid w:val="00B14BFB"/>
    <w:rsid w:val="00B14D32"/>
    <w:rsid w:val="00B1557C"/>
    <w:rsid w:val="00B155DC"/>
    <w:rsid w:val="00B15766"/>
    <w:rsid w:val="00B1577D"/>
    <w:rsid w:val="00B158F6"/>
    <w:rsid w:val="00B159AA"/>
    <w:rsid w:val="00B15DB1"/>
    <w:rsid w:val="00B1666A"/>
    <w:rsid w:val="00B1686D"/>
    <w:rsid w:val="00B17037"/>
    <w:rsid w:val="00B1741D"/>
    <w:rsid w:val="00B17447"/>
    <w:rsid w:val="00B17563"/>
    <w:rsid w:val="00B1771D"/>
    <w:rsid w:val="00B17B91"/>
    <w:rsid w:val="00B20209"/>
    <w:rsid w:val="00B203AF"/>
    <w:rsid w:val="00B203C9"/>
    <w:rsid w:val="00B206A9"/>
    <w:rsid w:val="00B2088D"/>
    <w:rsid w:val="00B208FF"/>
    <w:rsid w:val="00B21AD4"/>
    <w:rsid w:val="00B21C18"/>
    <w:rsid w:val="00B228D1"/>
    <w:rsid w:val="00B22C58"/>
    <w:rsid w:val="00B22E22"/>
    <w:rsid w:val="00B22F5F"/>
    <w:rsid w:val="00B23813"/>
    <w:rsid w:val="00B23FD9"/>
    <w:rsid w:val="00B2450F"/>
    <w:rsid w:val="00B24591"/>
    <w:rsid w:val="00B245D5"/>
    <w:rsid w:val="00B24C36"/>
    <w:rsid w:val="00B24D49"/>
    <w:rsid w:val="00B24F94"/>
    <w:rsid w:val="00B25126"/>
    <w:rsid w:val="00B25A52"/>
    <w:rsid w:val="00B25B0A"/>
    <w:rsid w:val="00B25FC3"/>
    <w:rsid w:val="00B26CC4"/>
    <w:rsid w:val="00B27026"/>
    <w:rsid w:val="00B27763"/>
    <w:rsid w:val="00B27875"/>
    <w:rsid w:val="00B3008D"/>
    <w:rsid w:val="00B309C9"/>
    <w:rsid w:val="00B30E11"/>
    <w:rsid w:val="00B30EEB"/>
    <w:rsid w:val="00B30FD0"/>
    <w:rsid w:val="00B31423"/>
    <w:rsid w:val="00B31710"/>
    <w:rsid w:val="00B323E0"/>
    <w:rsid w:val="00B32DC0"/>
    <w:rsid w:val="00B3346C"/>
    <w:rsid w:val="00B335E4"/>
    <w:rsid w:val="00B33C23"/>
    <w:rsid w:val="00B345B4"/>
    <w:rsid w:val="00B348B1"/>
    <w:rsid w:val="00B34A28"/>
    <w:rsid w:val="00B34C35"/>
    <w:rsid w:val="00B34EB2"/>
    <w:rsid w:val="00B35046"/>
    <w:rsid w:val="00B35B6A"/>
    <w:rsid w:val="00B36D46"/>
    <w:rsid w:val="00B37657"/>
    <w:rsid w:val="00B37AFD"/>
    <w:rsid w:val="00B37B07"/>
    <w:rsid w:val="00B4046F"/>
    <w:rsid w:val="00B407C1"/>
    <w:rsid w:val="00B40B47"/>
    <w:rsid w:val="00B41D39"/>
    <w:rsid w:val="00B422C0"/>
    <w:rsid w:val="00B426CA"/>
    <w:rsid w:val="00B426E1"/>
    <w:rsid w:val="00B4298E"/>
    <w:rsid w:val="00B42B61"/>
    <w:rsid w:val="00B437F8"/>
    <w:rsid w:val="00B4387A"/>
    <w:rsid w:val="00B44196"/>
    <w:rsid w:val="00B44260"/>
    <w:rsid w:val="00B44746"/>
    <w:rsid w:val="00B44854"/>
    <w:rsid w:val="00B44E8C"/>
    <w:rsid w:val="00B453FE"/>
    <w:rsid w:val="00B458D0"/>
    <w:rsid w:val="00B46120"/>
    <w:rsid w:val="00B46783"/>
    <w:rsid w:val="00B47040"/>
    <w:rsid w:val="00B47694"/>
    <w:rsid w:val="00B4792C"/>
    <w:rsid w:val="00B50CAE"/>
    <w:rsid w:val="00B512AD"/>
    <w:rsid w:val="00B5196C"/>
    <w:rsid w:val="00B525CB"/>
    <w:rsid w:val="00B52697"/>
    <w:rsid w:val="00B53E7C"/>
    <w:rsid w:val="00B5400D"/>
    <w:rsid w:val="00B54D8F"/>
    <w:rsid w:val="00B55857"/>
    <w:rsid w:val="00B55C69"/>
    <w:rsid w:val="00B56851"/>
    <w:rsid w:val="00B56A6A"/>
    <w:rsid w:val="00B56D6E"/>
    <w:rsid w:val="00B572F7"/>
    <w:rsid w:val="00B57B9D"/>
    <w:rsid w:val="00B57DAF"/>
    <w:rsid w:val="00B60094"/>
    <w:rsid w:val="00B6022C"/>
    <w:rsid w:val="00B60867"/>
    <w:rsid w:val="00B614F8"/>
    <w:rsid w:val="00B61994"/>
    <w:rsid w:val="00B61FD4"/>
    <w:rsid w:val="00B62880"/>
    <w:rsid w:val="00B629CA"/>
    <w:rsid w:val="00B63872"/>
    <w:rsid w:val="00B63B64"/>
    <w:rsid w:val="00B63CB2"/>
    <w:rsid w:val="00B63F51"/>
    <w:rsid w:val="00B6416D"/>
    <w:rsid w:val="00B64246"/>
    <w:rsid w:val="00B64EDB"/>
    <w:rsid w:val="00B65379"/>
    <w:rsid w:val="00B654D3"/>
    <w:rsid w:val="00B65938"/>
    <w:rsid w:val="00B65BBE"/>
    <w:rsid w:val="00B65C8A"/>
    <w:rsid w:val="00B65CE2"/>
    <w:rsid w:val="00B65CED"/>
    <w:rsid w:val="00B660AD"/>
    <w:rsid w:val="00B66109"/>
    <w:rsid w:val="00B66349"/>
    <w:rsid w:val="00B67630"/>
    <w:rsid w:val="00B67FBF"/>
    <w:rsid w:val="00B7024E"/>
    <w:rsid w:val="00B71FA7"/>
    <w:rsid w:val="00B72110"/>
    <w:rsid w:val="00B7240D"/>
    <w:rsid w:val="00B72983"/>
    <w:rsid w:val="00B72B91"/>
    <w:rsid w:val="00B73019"/>
    <w:rsid w:val="00B7315F"/>
    <w:rsid w:val="00B7323A"/>
    <w:rsid w:val="00B73356"/>
    <w:rsid w:val="00B7353B"/>
    <w:rsid w:val="00B7358A"/>
    <w:rsid w:val="00B737FB"/>
    <w:rsid w:val="00B7423D"/>
    <w:rsid w:val="00B74605"/>
    <w:rsid w:val="00B74A8A"/>
    <w:rsid w:val="00B74D05"/>
    <w:rsid w:val="00B777FA"/>
    <w:rsid w:val="00B77850"/>
    <w:rsid w:val="00B7796B"/>
    <w:rsid w:val="00B77A14"/>
    <w:rsid w:val="00B8039D"/>
    <w:rsid w:val="00B80C72"/>
    <w:rsid w:val="00B81964"/>
    <w:rsid w:val="00B81E0A"/>
    <w:rsid w:val="00B81E6F"/>
    <w:rsid w:val="00B82123"/>
    <w:rsid w:val="00B8225B"/>
    <w:rsid w:val="00B82BB5"/>
    <w:rsid w:val="00B83182"/>
    <w:rsid w:val="00B83811"/>
    <w:rsid w:val="00B83B09"/>
    <w:rsid w:val="00B84684"/>
    <w:rsid w:val="00B84866"/>
    <w:rsid w:val="00B848DF"/>
    <w:rsid w:val="00B84F1B"/>
    <w:rsid w:val="00B851E4"/>
    <w:rsid w:val="00B854CE"/>
    <w:rsid w:val="00B85681"/>
    <w:rsid w:val="00B857EB"/>
    <w:rsid w:val="00B86162"/>
    <w:rsid w:val="00B86877"/>
    <w:rsid w:val="00B8695D"/>
    <w:rsid w:val="00B86D58"/>
    <w:rsid w:val="00B86E66"/>
    <w:rsid w:val="00B873BA"/>
    <w:rsid w:val="00B8746F"/>
    <w:rsid w:val="00B8760D"/>
    <w:rsid w:val="00B87706"/>
    <w:rsid w:val="00B87F98"/>
    <w:rsid w:val="00B900BD"/>
    <w:rsid w:val="00B90A49"/>
    <w:rsid w:val="00B90C2B"/>
    <w:rsid w:val="00B90E5C"/>
    <w:rsid w:val="00B910A5"/>
    <w:rsid w:val="00B91214"/>
    <w:rsid w:val="00B91B8E"/>
    <w:rsid w:val="00B91E13"/>
    <w:rsid w:val="00B92531"/>
    <w:rsid w:val="00B92618"/>
    <w:rsid w:val="00B92751"/>
    <w:rsid w:val="00B92B69"/>
    <w:rsid w:val="00B92CC6"/>
    <w:rsid w:val="00B935C9"/>
    <w:rsid w:val="00B93E3D"/>
    <w:rsid w:val="00B94033"/>
    <w:rsid w:val="00B95018"/>
    <w:rsid w:val="00B95464"/>
    <w:rsid w:val="00B956DC"/>
    <w:rsid w:val="00B95C30"/>
    <w:rsid w:val="00B95D38"/>
    <w:rsid w:val="00B95E3D"/>
    <w:rsid w:val="00B95F7F"/>
    <w:rsid w:val="00B9691F"/>
    <w:rsid w:val="00B969E0"/>
    <w:rsid w:val="00B96EEC"/>
    <w:rsid w:val="00B9710A"/>
    <w:rsid w:val="00B97392"/>
    <w:rsid w:val="00B973C6"/>
    <w:rsid w:val="00B97691"/>
    <w:rsid w:val="00B976C7"/>
    <w:rsid w:val="00BA0C54"/>
    <w:rsid w:val="00BA1382"/>
    <w:rsid w:val="00BA1D64"/>
    <w:rsid w:val="00BA1EFD"/>
    <w:rsid w:val="00BA20D8"/>
    <w:rsid w:val="00BA22FC"/>
    <w:rsid w:val="00BA2D78"/>
    <w:rsid w:val="00BA2F30"/>
    <w:rsid w:val="00BA4771"/>
    <w:rsid w:val="00BA4DA4"/>
    <w:rsid w:val="00BA5027"/>
    <w:rsid w:val="00BA665B"/>
    <w:rsid w:val="00BA7370"/>
    <w:rsid w:val="00BA778B"/>
    <w:rsid w:val="00BB0888"/>
    <w:rsid w:val="00BB0DF1"/>
    <w:rsid w:val="00BB0E9B"/>
    <w:rsid w:val="00BB2729"/>
    <w:rsid w:val="00BB2841"/>
    <w:rsid w:val="00BB2F3D"/>
    <w:rsid w:val="00BB300F"/>
    <w:rsid w:val="00BB32C9"/>
    <w:rsid w:val="00BB35C5"/>
    <w:rsid w:val="00BB3D17"/>
    <w:rsid w:val="00BB43A7"/>
    <w:rsid w:val="00BB47D0"/>
    <w:rsid w:val="00BB4C8E"/>
    <w:rsid w:val="00BB57ED"/>
    <w:rsid w:val="00BB65C3"/>
    <w:rsid w:val="00BB662E"/>
    <w:rsid w:val="00BB67A9"/>
    <w:rsid w:val="00BB6C01"/>
    <w:rsid w:val="00BB6C4C"/>
    <w:rsid w:val="00BB7942"/>
    <w:rsid w:val="00BB7CD1"/>
    <w:rsid w:val="00BB7D1F"/>
    <w:rsid w:val="00BC0F33"/>
    <w:rsid w:val="00BC14A7"/>
    <w:rsid w:val="00BC1611"/>
    <w:rsid w:val="00BC1632"/>
    <w:rsid w:val="00BC17CC"/>
    <w:rsid w:val="00BC1862"/>
    <w:rsid w:val="00BC229E"/>
    <w:rsid w:val="00BC23C0"/>
    <w:rsid w:val="00BC2898"/>
    <w:rsid w:val="00BC2928"/>
    <w:rsid w:val="00BC2AA9"/>
    <w:rsid w:val="00BC2BB1"/>
    <w:rsid w:val="00BC2D8D"/>
    <w:rsid w:val="00BC34A3"/>
    <w:rsid w:val="00BC3ED5"/>
    <w:rsid w:val="00BC3FF9"/>
    <w:rsid w:val="00BC4834"/>
    <w:rsid w:val="00BC4A97"/>
    <w:rsid w:val="00BC5A25"/>
    <w:rsid w:val="00BC5FDD"/>
    <w:rsid w:val="00BC68B4"/>
    <w:rsid w:val="00BC6C2D"/>
    <w:rsid w:val="00BC762B"/>
    <w:rsid w:val="00BC7B8D"/>
    <w:rsid w:val="00BC7B9A"/>
    <w:rsid w:val="00BD00A9"/>
    <w:rsid w:val="00BD0140"/>
    <w:rsid w:val="00BD02CC"/>
    <w:rsid w:val="00BD1675"/>
    <w:rsid w:val="00BD2063"/>
    <w:rsid w:val="00BD33D9"/>
    <w:rsid w:val="00BD38C5"/>
    <w:rsid w:val="00BD3A59"/>
    <w:rsid w:val="00BD3C11"/>
    <w:rsid w:val="00BD3CF1"/>
    <w:rsid w:val="00BD3DEA"/>
    <w:rsid w:val="00BD3E97"/>
    <w:rsid w:val="00BD40E4"/>
    <w:rsid w:val="00BD4563"/>
    <w:rsid w:val="00BD52FE"/>
    <w:rsid w:val="00BD62CF"/>
    <w:rsid w:val="00BD67B2"/>
    <w:rsid w:val="00BD6A07"/>
    <w:rsid w:val="00BD6FF7"/>
    <w:rsid w:val="00BD78AB"/>
    <w:rsid w:val="00BD78FE"/>
    <w:rsid w:val="00BD7A91"/>
    <w:rsid w:val="00BE0149"/>
    <w:rsid w:val="00BE0767"/>
    <w:rsid w:val="00BE12D7"/>
    <w:rsid w:val="00BE1372"/>
    <w:rsid w:val="00BE1775"/>
    <w:rsid w:val="00BE17A2"/>
    <w:rsid w:val="00BE18DA"/>
    <w:rsid w:val="00BE26C0"/>
    <w:rsid w:val="00BE3442"/>
    <w:rsid w:val="00BE45DF"/>
    <w:rsid w:val="00BE47B2"/>
    <w:rsid w:val="00BE48C7"/>
    <w:rsid w:val="00BE4F66"/>
    <w:rsid w:val="00BE4F8C"/>
    <w:rsid w:val="00BE5238"/>
    <w:rsid w:val="00BE5D35"/>
    <w:rsid w:val="00BE6074"/>
    <w:rsid w:val="00BE67A2"/>
    <w:rsid w:val="00BE7257"/>
    <w:rsid w:val="00BF020D"/>
    <w:rsid w:val="00BF1D44"/>
    <w:rsid w:val="00BF1DD2"/>
    <w:rsid w:val="00BF1FDE"/>
    <w:rsid w:val="00BF23A3"/>
    <w:rsid w:val="00BF28DB"/>
    <w:rsid w:val="00BF2A7E"/>
    <w:rsid w:val="00BF3331"/>
    <w:rsid w:val="00BF3356"/>
    <w:rsid w:val="00BF37EC"/>
    <w:rsid w:val="00BF3A45"/>
    <w:rsid w:val="00BF436F"/>
    <w:rsid w:val="00BF4EC5"/>
    <w:rsid w:val="00BF5723"/>
    <w:rsid w:val="00BF5C05"/>
    <w:rsid w:val="00BF60C8"/>
    <w:rsid w:val="00BF6A78"/>
    <w:rsid w:val="00BF6FC6"/>
    <w:rsid w:val="00BF73E1"/>
    <w:rsid w:val="00BF7C52"/>
    <w:rsid w:val="00BF7F99"/>
    <w:rsid w:val="00C00704"/>
    <w:rsid w:val="00C00713"/>
    <w:rsid w:val="00C009A0"/>
    <w:rsid w:val="00C01F74"/>
    <w:rsid w:val="00C02558"/>
    <w:rsid w:val="00C0285F"/>
    <w:rsid w:val="00C0287A"/>
    <w:rsid w:val="00C02F35"/>
    <w:rsid w:val="00C03305"/>
    <w:rsid w:val="00C03515"/>
    <w:rsid w:val="00C03738"/>
    <w:rsid w:val="00C037A6"/>
    <w:rsid w:val="00C040D6"/>
    <w:rsid w:val="00C043F5"/>
    <w:rsid w:val="00C044E3"/>
    <w:rsid w:val="00C047A8"/>
    <w:rsid w:val="00C04BDB"/>
    <w:rsid w:val="00C052C6"/>
    <w:rsid w:val="00C059D4"/>
    <w:rsid w:val="00C05A61"/>
    <w:rsid w:val="00C06955"/>
    <w:rsid w:val="00C06CCF"/>
    <w:rsid w:val="00C07E8B"/>
    <w:rsid w:val="00C108B8"/>
    <w:rsid w:val="00C10C0B"/>
    <w:rsid w:val="00C11503"/>
    <w:rsid w:val="00C1159D"/>
    <w:rsid w:val="00C11683"/>
    <w:rsid w:val="00C11798"/>
    <w:rsid w:val="00C118DB"/>
    <w:rsid w:val="00C1233E"/>
    <w:rsid w:val="00C12408"/>
    <w:rsid w:val="00C125C1"/>
    <w:rsid w:val="00C1299A"/>
    <w:rsid w:val="00C12F05"/>
    <w:rsid w:val="00C12FB3"/>
    <w:rsid w:val="00C1304A"/>
    <w:rsid w:val="00C138BC"/>
    <w:rsid w:val="00C13D85"/>
    <w:rsid w:val="00C142A9"/>
    <w:rsid w:val="00C14639"/>
    <w:rsid w:val="00C14E82"/>
    <w:rsid w:val="00C14FF6"/>
    <w:rsid w:val="00C150A6"/>
    <w:rsid w:val="00C15A85"/>
    <w:rsid w:val="00C1641B"/>
    <w:rsid w:val="00C165FC"/>
    <w:rsid w:val="00C1680E"/>
    <w:rsid w:val="00C16E9D"/>
    <w:rsid w:val="00C176D5"/>
    <w:rsid w:val="00C2082C"/>
    <w:rsid w:val="00C20832"/>
    <w:rsid w:val="00C209F7"/>
    <w:rsid w:val="00C20EB0"/>
    <w:rsid w:val="00C21005"/>
    <w:rsid w:val="00C2183B"/>
    <w:rsid w:val="00C21B56"/>
    <w:rsid w:val="00C220B6"/>
    <w:rsid w:val="00C22492"/>
    <w:rsid w:val="00C229E0"/>
    <w:rsid w:val="00C22D7C"/>
    <w:rsid w:val="00C22DDE"/>
    <w:rsid w:val="00C22EA9"/>
    <w:rsid w:val="00C2338B"/>
    <w:rsid w:val="00C233CE"/>
    <w:rsid w:val="00C23661"/>
    <w:rsid w:val="00C236AE"/>
    <w:rsid w:val="00C237DD"/>
    <w:rsid w:val="00C238F4"/>
    <w:rsid w:val="00C23924"/>
    <w:rsid w:val="00C23A99"/>
    <w:rsid w:val="00C245EE"/>
    <w:rsid w:val="00C2475A"/>
    <w:rsid w:val="00C24AE1"/>
    <w:rsid w:val="00C24B8D"/>
    <w:rsid w:val="00C24BD7"/>
    <w:rsid w:val="00C252CC"/>
    <w:rsid w:val="00C25813"/>
    <w:rsid w:val="00C27143"/>
    <w:rsid w:val="00C27490"/>
    <w:rsid w:val="00C27A55"/>
    <w:rsid w:val="00C27D37"/>
    <w:rsid w:val="00C27FB2"/>
    <w:rsid w:val="00C302E5"/>
    <w:rsid w:val="00C309E8"/>
    <w:rsid w:val="00C30D80"/>
    <w:rsid w:val="00C31846"/>
    <w:rsid w:val="00C32017"/>
    <w:rsid w:val="00C325CD"/>
    <w:rsid w:val="00C3322E"/>
    <w:rsid w:val="00C332B4"/>
    <w:rsid w:val="00C337F5"/>
    <w:rsid w:val="00C33B90"/>
    <w:rsid w:val="00C34350"/>
    <w:rsid w:val="00C34B5F"/>
    <w:rsid w:val="00C3543E"/>
    <w:rsid w:val="00C358D4"/>
    <w:rsid w:val="00C36785"/>
    <w:rsid w:val="00C36845"/>
    <w:rsid w:val="00C3711C"/>
    <w:rsid w:val="00C37256"/>
    <w:rsid w:val="00C37A7B"/>
    <w:rsid w:val="00C37CFF"/>
    <w:rsid w:val="00C37FFE"/>
    <w:rsid w:val="00C407E4"/>
    <w:rsid w:val="00C40B50"/>
    <w:rsid w:val="00C41457"/>
    <w:rsid w:val="00C416D9"/>
    <w:rsid w:val="00C41858"/>
    <w:rsid w:val="00C419E3"/>
    <w:rsid w:val="00C419F4"/>
    <w:rsid w:val="00C41E6A"/>
    <w:rsid w:val="00C41F7F"/>
    <w:rsid w:val="00C421A3"/>
    <w:rsid w:val="00C42247"/>
    <w:rsid w:val="00C439BE"/>
    <w:rsid w:val="00C443CC"/>
    <w:rsid w:val="00C44E61"/>
    <w:rsid w:val="00C4539B"/>
    <w:rsid w:val="00C45466"/>
    <w:rsid w:val="00C455C1"/>
    <w:rsid w:val="00C4581D"/>
    <w:rsid w:val="00C4634C"/>
    <w:rsid w:val="00C47472"/>
    <w:rsid w:val="00C47EA5"/>
    <w:rsid w:val="00C500F0"/>
    <w:rsid w:val="00C502BB"/>
    <w:rsid w:val="00C504A7"/>
    <w:rsid w:val="00C506C9"/>
    <w:rsid w:val="00C50A16"/>
    <w:rsid w:val="00C5122B"/>
    <w:rsid w:val="00C51C9A"/>
    <w:rsid w:val="00C51E32"/>
    <w:rsid w:val="00C52428"/>
    <w:rsid w:val="00C52C68"/>
    <w:rsid w:val="00C52D98"/>
    <w:rsid w:val="00C5325C"/>
    <w:rsid w:val="00C53D24"/>
    <w:rsid w:val="00C54640"/>
    <w:rsid w:val="00C547A6"/>
    <w:rsid w:val="00C54A3A"/>
    <w:rsid w:val="00C5503F"/>
    <w:rsid w:val="00C55C32"/>
    <w:rsid w:val="00C56A67"/>
    <w:rsid w:val="00C56CC2"/>
    <w:rsid w:val="00C56EB3"/>
    <w:rsid w:val="00C5717C"/>
    <w:rsid w:val="00C57498"/>
    <w:rsid w:val="00C5763C"/>
    <w:rsid w:val="00C577CA"/>
    <w:rsid w:val="00C5780C"/>
    <w:rsid w:val="00C5796B"/>
    <w:rsid w:val="00C619A1"/>
    <w:rsid w:val="00C62370"/>
    <w:rsid w:val="00C62545"/>
    <w:rsid w:val="00C62A11"/>
    <w:rsid w:val="00C62BBB"/>
    <w:rsid w:val="00C6305F"/>
    <w:rsid w:val="00C6325B"/>
    <w:rsid w:val="00C63DBF"/>
    <w:rsid w:val="00C63E99"/>
    <w:rsid w:val="00C64161"/>
    <w:rsid w:val="00C641BD"/>
    <w:rsid w:val="00C649B8"/>
    <w:rsid w:val="00C64A64"/>
    <w:rsid w:val="00C64AA2"/>
    <w:rsid w:val="00C65151"/>
    <w:rsid w:val="00C653B9"/>
    <w:rsid w:val="00C657F4"/>
    <w:rsid w:val="00C66119"/>
    <w:rsid w:val="00C66292"/>
    <w:rsid w:val="00C66EA4"/>
    <w:rsid w:val="00C672A3"/>
    <w:rsid w:val="00C672F1"/>
    <w:rsid w:val="00C673D0"/>
    <w:rsid w:val="00C6742E"/>
    <w:rsid w:val="00C677BE"/>
    <w:rsid w:val="00C70012"/>
    <w:rsid w:val="00C70321"/>
    <w:rsid w:val="00C71CBB"/>
    <w:rsid w:val="00C71E2A"/>
    <w:rsid w:val="00C72571"/>
    <w:rsid w:val="00C733BA"/>
    <w:rsid w:val="00C734F3"/>
    <w:rsid w:val="00C74F3F"/>
    <w:rsid w:val="00C760DC"/>
    <w:rsid w:val="00C764E2"/>
    <w:rsid w:val="00C76E2D"/>
    <w:rsid w:val="00C800AB"/>
    <w:rsid w:val="00C8082B"/>
    <w:rsid w:val="00C81A88"/>
    <w:rsid w:val="00C81AEC"/>
    <w:rsid w:val="00C81D46"/>
    <w:rsid w:val="00C820AD"/>
    <w:rsid w:val="00C82298"/>
    <w:rsid w:val="00C82F91"/>
    <w:rsid w:val="00C82F97"/>
    <w:rsid w:val="00C833B4"/>
    <w:rsid w:val="00C84284"/>
    <w:rsid w:val="00C84E33"/>
    <w:rsid w:val="00C853E0"/>
    <w:rsid w:val="00C856D1"/>
    <w:rsid w:val="00C85897"/>
    <w:rsid w:val="00C85FFC"/>
    <w:rsid w:val="00C86123"/>
    <w:rsid w:val="00C861FC"/>
    <w:rsid w:val="00C86C87"/>
    <w:rsid w:val="00C8705B"/>
    <w:rsid w:val="00C87090"/>
    <w:rsid w:val="00C9005E"/>
    <w:rsid w:val="00C90111"/>
    <w:rsid w:val="00C90CA9"/>
    <w:rsid w:val="00C915F2"/>
    <w:rsid w:val="00C917B1"/>
    <w:rsid w:val="00C9193C"/>
    <w:rsid w:val="00C91B77"/>
    <w:rsid w:val="00C920E2"/>
    <w:rsid w:val="00C923AA"/>
    <w:rsid w:val="00C93154"/>
    <w:rsid w:val="00C93765"/>
    <w:rsid w:val="00C937BF"/>
    <w:rsid w:val="00C93877"/>
    <w:rsid w:val="00C93D8C"/>
    <w:rsid w:val="00C946CC"/>
    <w:rsid w:val="00C94763"/>
    <w:rsid w:val="00C95986"/>
    <w:rsid w:val="00C959BD"/>
    <w:rsid w:val="00C95E49"/>
    <w:rsid w:val="00C95F44"/>
    <w:rsid w:val="00C96D1B"/>
    <w:rsid w:val="00C97106"/>
    <w:rsid w:val="00C97684"/>
    <w:rsid w:val="00CA0031"/>
    <w:rsid w:val="00CA0413"/>
    <w:rsid w:val="00CA043A"/>
    <w:rsid w:val="00CA04F8"/>
    <w:rsid w:val="00CA0D61"/>
    <w:rsid w:val="00CA0DBA"/>
    <w:rsid w:val="00CA1691"/>
    <w:rsid w:val="00CA2314"/>
    <w:rsid w:val="00CA2E65"/>
    <w:rsid w:val="00CA2EA1"/>
    <w:rsid w:val="00CA41E7"/>
    <w:rsid w:val="00CA4B2B"/>
    <w:rsid w:val="00CA5520"/>
    <w:rsid w:val="00CA5812"/>
    <w:rsid w:val="00CA5BD4"/>
    <w:rsid w:val="00CA5C14"/>
    <w:rsid w:val="00CA76FC"/>
    <w:rsid w:val="00CA7E7B"/>
    <w:rsid w:val="00CB0236"/>
    <w:rsid w:val="00CB1324"/>
    <w:rsid w:val="00CB19E3"/>
    <w:rsid w:val="00CB2C3A"/>
    <w:rsid w:val="00CB2D38"/>
    <w:rsid w:val="00CB353F"/>
    <w:rsid w:val="00CB365A"/>
    <w:rsid w:val="00CB4137"/>
    <w:rsid w:val="00CB52D0"/>
    <w:rsid w:val="00CB5578"/>
    <w:rsid w:val="00CB5671"/>
    <w:rsid w:val="00CB591C"/>
    <w:rsid w:val="00CB5943"/>
    <w:rsid w:val="00CB61B3"/>
    <w:rsid w:val="00CB65D4"/>
    <w:rsid w:val="00CB6F83"/>
    <w:rsid w:val="00CB72AE"/>
    <w:rsid w:val="00CB78AD"/>
    <w:rsid w:val="00CC00CD"/>
    <w:rsid w:val="00CC0579"/>
    <w:rsid w:val="00CC0AF3"/>
    <w:rsid w:val="00CC0BC6"/>
    <w:rsid w:val="00CC0E68"/>
    <w:rsid w:val="00CC21AC"/>
    <w:rsid w:val="00CC2514"/>
    <w:rsid w:val="00CC2756"/>
    <w:rsid w:val="00CC2CBD"/>
    <w:rsid w:val="00CC2F69"/>
    <w:rsid w:val="00CC315F"/>
    <w:rsid w:val="00CC3D38"/>
    <w:rsid w:val="00CC404B"/>
    <w:rsid w:val="00CC40C3"/>
    <w:rsid w:val="00CC4E5D"/>
    <w:rsid w:val="00CC50AE"/>
    <w:rsid w:val="00CC5864"/>
    <w:rsid w:val="00CC61B7"/>
    <w:rsid w:val="00CC61CA"/>
    <w:rsid w:val="00CC6668"/>
    <w:rsid w:val="00CC69EC"/>
    <w:rsid w:val="00CC71D3"/>
    <w:rsid w:val="00CC7301"/>
    <w:rsid w:val="00CC743D"/>
    <w:rsid w:val="00CC7E86"/>
    <w:rsid w:val="00CD050A"/>
    <w:rsid w:val="00CD0D1F"/>
    <w:rsid w:val="00CD205D"/>
    <w:rsid w:val="00CD2A22"/>
    <w:rsid w:val="00CD2B50"/>
    <w:rsid w:val="00CD3AD3"/>
    <w:rsid w:val="00CD41FE"/>
    <w:rsid w:val="00CD4506"/>
    <w:rsid w:val="00CD520B"/>
    <w:rsid w:val="00CD592E"/>
    <w:rsid w:val="00CD5982"/>
    <w:rsid w:val="00CD5A1A"/>
    <w:rsid w:val="00CD6054"/>
    <w:rsid w:val="00CD71E9"/>
    <w:rsid w:val="00CD7EFA"/>
    <w:rsid w:val="00CE020E"/>
    <w:rsid w:val="00CE0566"/>
    <w:rsid w:val="00CE16A9"/>
    <w:rsid w:val="00CE1CD4"/>
    <w:rsid w:val="00CE23FE"/>
    <w:rsid w:val="00CE2761"/>
    <w:rsid w:val="00CE2B49"/>
    <w:rsid w:val="00CE314E"/>
    <w:rsid w:val="00CE3D5C"/>
    <w:rsid w:val="00CE3E14"/>
    <w:rsid w:val="00CE44C7"/>
    <w:rsid w:val="00CE53CC"/>
    <w:rsid w:val="00CE65A7"/>
    <w:rsid w:val="00CE68FE"/>
    <w:rsid w:val="00CE69CC"/>
    <w:rsid w:val="00CE6EC4"/>
    <w:rsid w:val="00CE7A77"/>
    <w:rsid w:val="00CE7F26"/>
    <w:rsid w:val="00CE7FBF"/>
    <w:rsid w:val="00CF1066"/>
    <w:rsid w:val="00CF1226"/>
    <w:rsid w:val="00CF16C0"/>
    <w:rsid w:val="00CF1ABB"/>
    <w:rsid w:val="00CF1E1D"/>
    <w:rsid w:val="00CF24FE"/>
    <w:rsid w:val="00CF35D0"/>
    <w:rsid w:val="00CF3DD5"/>
    <w:rsid w:val="00CF41D5"/>
    <w:rsid w:val="00CF4897"/>
    <w:rsid w:val="00CF4AF7"/>
    <w:rsid w:val="00CF4D20"/>
    <w:rsid w:val="00CF539C"/>
    <w:rsid w:val="00CF55DF"/>
    <w:rsid w:val="00CF6180"/>
    <w:rsid w:val="00CF64F6"/>
    <w:rsid w:val="00CF665F"/>
    <w:rsid w:val="00CF73F8"/>
    <w:rsid w:val="00CF75A1"/>
    <w:rsid w:val="00CF7928"/>
    <w:rsid w:val="00CF7CA2"/>
    <w:rsid w:val="00CF7EA4"/>
    <w:rsid w:val="00D00A8E"/>
    <w:rsid w:val="00D00DE0"/>
    <w:rsid w:val="00D00F79"/>
    <w:rsid w:val="00D012BF"/>
    <w:rsid w:val="00D01760"/>
    <w:rsid w:val="00D0368E"/>
    <w:rsid w:val="00D03D2D"/>
    <w:rsid w:val="00D03E7B"/>
    <w:rsid w:val="00D0401A"/>
    <w:rsid w:val="00D04750"/>
    <w:rsid w:val="00D047E0"/>
    <w:rsid w:val="00D04B9F"/>
    <w:rsid w:val="00D04FFB"/>
    <w:rsid w:val="00D05153"/>
    <w:rsid w:val="00D058E9"/>
    <w:rsid w:val="00D0612A"/>
    <w:rsid w:val="00D068E3"/>
    <w:rsid w:val="00D06A0E"/>
    <w:rsid w:val="00D06D40"/>
    <w:rsid w:val="00D1060D"/>
    <w:rsid w:val="00D10E7C"/>
    <w:rsid w:val="00D11182"/>
    <w:rsid w:val="00D1137B"/>
    <w:rsid w:val="00D11807"/>
    <w:rsid w:val="00D11DB3"/>
    <w:rsid w:val="00D11E0B"/>
    <w:rsid w:val="00D12D82"/>
    <w:rsid w:val="00D1306E"/>
    <w:rsid w:val="00D134CD"/>
    <w:rsid w:val="00D13CE5"/>
    <w:rsid w:val="00D13D98"/>
    <w:rsid w:val="00D14B5F"/>
    <w:rsid w:val="00D14E13"/>
    <w:rsid w:val="00D14F23"/>
    <w:rsid w:val="00D15356"/>
    <w:rsid w:val="00D16054"/>
    <w:rsid w:val="00D160AA"/>
    <w:rsid w:val="00D16740"/>
    <w:rsid w:val="00D16A8B"/>
    <w:rsid w:val="00D16B5C"/>
    <w:rsid w:val="00D16E39"/>
    <w:rsid w:val="00D17951"/>
    <w:rsid w:val="00D17AD8"/>
    <w:rsid w:val="00D17B53"/>
    <w:rsid w:val="00D2104A"/>
    <w:rsid w:val="00D21302"/>
    <w:rsid w:val="00D213F1"/>
    <w:rsid w:val="00D21BB5"/>
    <w:rsid w:val="00D21FFC"/>
    <w:rsid w:val="00D223A3"/>
    <w:rsid w:val="00D223B6"/>
    <w:rsid w:val="00D223E8"/>
    <w:rsid w:val="00D22CB5"/>
    <w:rsid w:val="00D22DC8"/>
    <w:rsid w:val="00D24358"/>
    <w:rsid w:val="00D24ECD"/>
    <w:rsid w:val="00D2522A"/>
    <w:rsid w:val="00D2531C"/>
    <w:rsid w:val="00D255F3"/>
    <w:rsid w:val="00D25FC7"/>
    <w:rsid w:val="00D26C21"/>
    <w:rsid w:val="00D2742F"/>
    <w:rsid w:val="00D2754F"/>
    <w:rsid w:val="00D27793"/>
    <w:rsid w:val="00D27912"/>
    <w:rsid w:val="00D279D9"/>
    <w:rsid w:val="00D30418"/>
    <w:rsid w:val="00D312DC"/>
    <w:rsid w:val="00D31B84"/>
    <w:rsid w:val="00D31C6A"/>
    <w:rsid w:val="00D31EDF"/>
    <w:rsid w:val="00D31FF9"/>
    <w:rsid w:val="00D32149"/>
    <w:rsid w:val="00D32256"/>
    <w:rsid w:val="00D3274B"/>
    <w:rsid w:val="00D32A27"/>
    <w:rsid w:val="00D32ABC"/>
    <w:rsid w:val="00D33010"/>
    <w:rsid w:val="00D34B25"/>
    <w:rsid w:val="00D34F4E"/>
    <w:rsid w:val="00D35753"/>
    <w:rsid w:val="00D357F3"/>
    <w:rsid w:val="00D35C0E"/>
    <w:rsid w:val="00D373A8"/>
    <w:rsid w:val="00D375FF"/>
    <w:rsid w:val="00D379A5"/>
    <w:rsid w:val="00D4017C"/>
    <w:rsid w:val="00D401BE"/>
    <w:rsid w:val="00D4043A"/>
    <w:rsid w:val="00D40A8E"/>
    <w:rsid w:val="00D40AB0"/>
    <w:rsid w:val="00D40DB0"/>
    <w:rsid w:val="00D40F8B"/>
    <w:rsid w:val="00D41858"/>
    <w:rsid w:val="00D422DB"/>
    <w:rsid w:val="00D42A83"/>
    <w:rsid w:val="00D42AC2"/>
    <w:rsid w:val="00D43988"/>
    <w:rsid w:val="00D4498E"/>
    <w:rsid w:val="00D4515F"/>
    <w:rsid w:val="00D451E8"/>
    <w:rsid w:val="00D4636B"/>
    <w:rsid w:val="00D466C9"/>
    <w:rsid w:val="00D467D8"/>
    <w:rsid w:val="00D47275"/>
    <w:rsid w:val="00D4750C"/>
    <w:rsid w:val="00D4767B"/>
    <w:rsid w:val="00D50AEF"/>
    <w:rsid w:val="00D50C39"/>
    <w:rsid w:val="00D51E15"/>
    <w:rsid w:val="00D52B7E"/>
    <w:rsid w:val="00D52E2F"/>
    <w:rsid w:val="00D52F59"/>
    <w:rsid w:val="00D53E3E"/>
    <w:rsid w:val="00D5520D"/>
    <w:rsid w:val="00D55279"/>
    <w:rsid w:val="00D55904"/>
    <w:rsid w:val="00D55C94"/>
    <w:rsid w:val="00D5616F"/>
    <w:rsid w:val="00D568BA"/>
    <w:rsid w:val="00D57940"/>
    <w:rsid w:val="00D60327"/>
    <w:rsid w:val="00D61526"/>
    <w:rsid w:val="00D61F81"/>
    <w:rsid w:val="00D623A9"/>
    <w:rsid w:val="00D62BE6"/>
    <w:rsid w:val="00D630E3"/>
    <w:rsid w:val="00D633AC"/>
    <w:rsid w:val="00D63766"/>
    <w:rsid w:val="00D63912"/>
    <w:rsid w:val="00D63923"/>
    <w:rsid w:val="00D63F05"/>
    <w:rsid w:val="00D6451B"/>
    <w:rsid w:val="00D64A49"/>
    <w:rsid w:val="00D64B57"/>
    <w:rsid w:val="00D64C97"/>
    <w:rsid w:val="00D65A92"/>
    <w:rsid w:val="00D65DEA"/>
    <w:rsid w:val="00D65DFE"/>
    <w:rsid w:val="00D67BC7"/>
    <w:rsid w:val="00D701F1"/>
    <w:rsid w:val="00D705D3"/>
    <w:rsid w:val="00D7088A"/>
    <w:rsid w:val="00D70E00"/>
    <w:rsid w:val="00D71014"/>
    <w:rsid w:val="00D715AC"/>
    <w:rsid w:val="00D71851"/>
    <w:rsid w:val="00D718CF"/>
    <w:rsid w:val="00D728F5"/>
    <w:rsid w:val="00D72E9D"/>
    <w:rsid w:val="00D73249"/>
    <w:rsid w:val="00D73419"/>
    <w:rsid w:val="00D73CA9"/>
    <w:rsid w:val="00D7481A"/>
    <w:rsid w:val="00D751B7"/>
    <w:rsid w:val="00D7524B"/>
    <w:rsid w:val="00D75396"/>
    <w:rsid w:val="00D759C0"/>
    <w:rsid w:val="00D75C05"/>
    <w:rsid w:val="00D75E99"/>
    <w:rsid w:val="00D766C7"/>
    <w:rsid w:val="00D76901"/>
    <w:rsid w:val="00D7692B"/>
    <w:rsid w:val="00D76A19"/>
    <w:rsid w:val="00D76CBD"/>
    <w:rsid w:val="00D7734F"/>
    <w:rsid w:val="00D8044C"/>
    <w:rsid w:val="00D805D6"/>
    <w:rsid w:val="00D8075E"/>
    <w:rsid w:val="00D80860"/>
    <w:rsid w:val="00D80D4C"/>
    <w:rsid w:val="00D80E21"/>
    <w:rsid w:val="00D8166D"/>
    <w:rsid w:val="00D81718"/>
    <w:rsid w:val="00D8184D"/>
    <w:rsid w:val="00D81A7B"/>
    <w:rsid w:val="00D81B74"/>
    <w:rsid w:val="00D8223C"/>
    <w:rsid w:val="00D82B57"/>
    <w:rsid w:val="00D82CE5"/>
    <w:rsid w:val="00D8342C"/>
    <w:rsid w:val="00D85494"/>
    <w:rsid w:val="00D8582C"/>
    <w:rsid w:val="00D85D61"/>
    <w:rsid w:val="00D8616D"/>
    <w:rsid w:val="00D8711B"/>
    <w:rsid w:val="00D87384"/>
    <w:rsid w:val="00D90683"/>
    <w:rsid w:val="00D915C8"/>
    <w:rsid w:val="00D92251"/>
    <w:rsid w:val="00D9261C"/>
    <w:rsid w:val="00D92856"/>
    <w:rsid w:val="00D9310B"/>
    <w:rsid w:val="00D93299"/>
    <w:rsid w:val="00D93726"/>
    <w:rsid w:val="00D93DD3"/>
    <w:rsid w:val="00D93F3E"/>
    <w:rsid w:val="00D9405B"/>
    <w:rsid w:val="00D94942"/>
    <w:rsid w:val="00D95145"/>
    <w:rsid w:val="00D96418"/>
    <w:rsid w:val="00D967CB"/>
    <w:rsid w:val="00D96EE0"/>
    <w:rsid w:val="00D97BD1"/>
    <w:rsid w:val="00DA06B8"/>
    <w:rsid w:val="00DA286D"/>
    <w:rsid w:val="00DA2969"/>
    <w:rsid w:val="00DA29B7"/>
    <w:rsid w:val="00DA371B"/>
    <w:rsid w:val="00DA3BC0"/>
    <w:rsid w:val="00DA4842"/>
    <w:rsid w:val="00DA49EF"/>
    <w:rsid w:val="00DA5989"/>
    <w:rsid w:val="00DA5AB1"/>
    <w:rsid w:val="00DA5F9D"/>
    <w:rsid w:val="00DA69B2"/>
    <w:rsid w:val="00DA6A7B"/>
    <w:rsid w:val="00DA735F"/>
    <w:rsid w:val="00DA7462"/>
    <w:rsid w:val="00DA777E"/>
    <w:rsid w:val="00DA7AD0"/>
    <w:rsid w:val="00DA7C08"/>
    <w:rsid w:val="00DB02D7"/>
    <w:rsid w:val="00DB03CC"/>
    <w:rsid w:val="00DB12D4"/>
    <w:rsid w:val="00DB13DD"/>
    <w:rsid w:val="00DB14F0"/>
    <w:rsid w:val="00DB1745"/>
    <w:rsid w:val="00DB1AFF"/>
    <w:rsid w:val="00DB209F"/>
    <w:rsid w:val="00DB219A"/>
    <w:rsid w:val="00DB3165"/>
    <w:rsid w:val="00DB350B"/>
    <w:rsid w:val="00DB40A0"/>
    <w:rsid w:val="00DB4292"/>
    <w:rsid w:val="00DB5196"/>
    <w:rsid w:val="00DB5C03"/>
    <w:rsid w:val="00DB68BB"/>
    <w:rsid w:val="00DB6E46"/>
    <w:rsid w:val="00DB7117"/>
    <w:rsid w:val="00DB7760"/>
    <w:rsid w:val="00DB7DD4"/>
    <w:rsid w:val="00DB7E44"/>
    <w:rsid w:val="00DC00B4"/>
    <w:rsid w:val="00DC037A"/>
    <w:rsid w:val="00DC0954"/>
    <w:rsid w:val="00DC0D1A"/>
    <w:rsid w:val="00DC15BA"/>
    <w:rsid w:val="00DC18CD"/>
    <w:rsid w:val="00DC1A68"/>
    <w:rsid w:val="00DC2848"/>
    <w:rsid w:val="00DC30B8"/>
    <w:rsid w:val="00DC32C6"/>
    <w:rsid w:val="00DC3720"/>
    <w:rsid w:val="00DC406B"/>
    <w:rsid w:val="00DC478F"/>
    <w:rsid w:val="00DC5DFB"/>
    <w:rsid w:val="00DC62E5"/>
    <w:rsid w:val="00DC6AB9"/>
    <w:rsid w:val="00DC6F33"/>
    <w:rsid w:val="00DC729E"/>
    <w:rsid w:val="00DC7349"/>
    <w:rsid w:val="00DC7456"/>
    <w:rsid w:val="00DD0246"/>
    <w:rsid w:val="00DD118B"/>
    <w:rsid w:val="00DD14D8"/>
    <w:rsid w:val="00DD1599"/>
    <w:rsid w:val="00DD177F"/>
    <w:rsid w:val="00DD1B03"/>
    <w:rsid w:val="00DD2772"/>
    <w:rsid w:val="00DD2A62"/>
    <w:rsid w:val="00DD2F2F"/>
    <w:rsid w:val="00DD2F7A"/>
    <w:rsid w:val="00DD3885"/>
    <w:rsid w:val="00DD5056"/>
    <w:rsid w:val="00DD5808"/>
    <w:rsid w:val="00DD5946"/>
    <w:rsid w:val="00DD5B04"/>
    <w:rsid w:val="00DD5DAE"/>
    <w:rsid w:val="00DD5EC6"/>
    <w:rsid w:val="00DD605F"/>
    <w:rsid w:val="00DD6657"/>
    <w:rsid w:val="00DD6D71"/>
    <w:rsid w:val="00DD7236"/>
    <w:rsid w:val="00DD72A0"/>
    <w:rsid w:val="00DD735D"/>
    <w:rsid w:val="00DE0159"/>
    <w:rsid w:val="00DE04C7"/>
    <w:rsid w:val="00DE064A"/>
    <w:rsid w:val="00DE0755"/>
    <w:rsid w:val="00DE082D"/>
    <w:rsid w:val="00DE1260"/>
    <w:rsid w:val="00DE1410"/>
    <w:rsid w:val="00DE1ED0"/>
    <w:rsid w:val="00DE3119"/>
    <w:rsid w:val="00DE3B48"/>
    <w:rsid w:val="00DE3F23"/>
    <w:rsid w:val="00DE3FF0"/>
    <w:rsid w:val="00DE4105"/>
    <w:rsid w:val="00DE5189"/>
    <w:rsid w:val="00DE6230"/>
    <w:rsid w:val="00DE7108"/>
    <w:rsid w:val="00DE78D1"/>
    <w:rsid w:val="00DE7CCA"/>
    <w:rsid w:val="00DF0263"/>
    <w:rsid w:val="00DF06D2"/>
    <w:rsid w:val="00DF0EB4"/>
    <w:rsid w:val="00DF1412"/>
    <w:rsid w:val="00DF1631"/>
    <w:rsid w:val="00DF1E36"/>
    <w:rsid w:val="00DF1FDB"/>
    <w:rsid w:val="00DF236B"/>
    <w:rsid w:val="00DF2656"/>
    <w:rsid w:val="00DF2A91"/>
    <w:rsid w:val="00DF2F82"/>
    <w:rsid w:val="00DF3131"/>
    <w:rsid w:val="00DF3747"/>
    <w:rsid w:val="00DF3889"/>
    <w:rsid w:val="00DF3CC9"/>
    <w:rsid w:val="00DF4451"/>
    <w:rsid w:val="00DF49FF"/>
    <w:rsid w:val="00DF4FFB"/>
    <w:rsid w:val="00DF5236"/>
    <w:rsid w:val="00DF5D32"/>
    <w:rsid w:val="00DF651F"/>
    <w:rsid w:val="00DF6E10"/>
    <w:rsid w:val="00DF6F43"/>
    <w:rsid w:val="00DF752F"/>
    <w:rsid w:val="00DF76A2"/>
    <w:rsid w:val="00DF7B33"/>
    <w:rsid w:val="00E00B7A"/>
    <w:rsid w:val="00E01D90"/>
    <w:rsid w:val="00E02186"/>
    <w:rsid w:val="00E026BB"/>
    <w:rsid w:val="00E027C5"/>
    <w:rsid w:val="00E03124"/>
    <w:rsid w:val="00E03148"/>
    <w:rsid w:val="00E031EB"/>
    <w:rsid w:val="00E03951"/>
    <w:rsid w:val="00E03DB8"/>
    <w:rsid w:val="00E0466B"/>
    <w:rsid w:val="00E0573A"/>
    <w:rsid w:val="00E057BA"/>
    <w:rsid w:val="00E057C0"/>
    <w:rsid w:val="00E05E70"/>
    <w:rsid w:val="00E0631A"/>
    <w:rsid w:val="00E064BC"/>
    <w:rsid w:val="00E07225"/>
    <w:rsid w:val="00E079FF"/>
    <w:rsid w:val="00E07AAA"/>
    <w:rsid w:val="00E07B7A"/>
    <w:rsid w:val="00E1002B"/>
    <w:rsid w:val="00E1079C"/>
    <w:rsid w:val="00E109DD"/>
    <w:rsid w:val="00E11229"/>
    <w:rsid w:val="00E114CA"/>
    <w:rsid w:val="00E11CF0"/>
    <w:rsid w:val="00E12A54"/>
    <w:rsid w:val="00E12E62"/>
    <w:rsid w:val="00E132D5"/>
    <w:rsid w:val="00E1397F"/>
    <w:rsid w:val="00E13AB8"/>
    <w:rsid w:val="00E13D8F"/>
    <w:rsid w:val="00E1482E"/>
    <w:rsid w:val="00E155D3"/>
    <w:rsid w:val="00E16382"/>
    <w:rsid w:val="00E16572"/>
    <w:rsid w:val="00E1699C"/>
    <w:rsid w:val="00E16E75"/>
    <w:rsid w:val="00E1746D"/>
    <w:rsid w:val="00E175E5"/>
    <w:rsid w:val="00E2012A"/>
    <w:rsid w:val="00E205A2"/>
    <w:rsid w:val="00E20BA4"/>
    <w:rsid w:val="00E20BF7"/>
    <w:rsid w:val="00E20C24"/>
    <w:rsid w:val="00E23137"/>
    <w:rsid w:val="00E231B0"/>
    <w:rsid w:val="00E23980"/>
    <w:rsid w:val="00E241E9"/>
    <w:rsid w:val="00E2510E"/>
    <w:rsid w:val="00E2520A"/>
    <w:rsid w:val="00E253EB"/>
    <w:rsid w:val="00E257C3"/>
    <w:rsid w:val="00E25CB3"/>
    <w:rsid w:val="00E25DA4"/>
    <w:rsid w:val="00E25DBC"/>
    <w:rsid w:val="00E26CB8"/>
    <w:rsid w:val="00E26FCF"/>
    <w:rsid w:val="00E27165"/>
    <w:rsid w:val="00E27226"/>
    <w:rsid w:val="00E3044A"/>
    <w:rsid w:val="00E3189C"/>
    <w:rsid w:val="00E31A4A"/>
    <w:rsid w:val="00E31C43"/>
    <w:rsid w:val="00E321D8"/>
    <w:rsid w:val="00E32206"/>
    <w:rsid w:val="00E32DD5"/>
    <w:rsid w:val="00E32FA8"/>
    <w:rsid w:val="00E3344A"/>
    <w:rsid w:val="00E33B29"/>
    <w:rsid w:val="00E33B62"/>
    <w:rsid w:val="00E3403D"/>
    <w:rsid w:val="00E34E6C"/>
    <w:rsid w:val="00E350D8"/>
    <w:rsid w:val="00E353E2"/>
    <w:rsid w:val="00E36345"/>
    <w:rsid w:val="00E367A6"/>
    <w:rsid w:val="00E36C86"/>
    <w:rsid w:val="00E36CEB"/>
    <w:rsid w:val="00E37A28"/>
    <w:rsid w:val="00E37CD3"/>
    <w:rsid w:val="00E40430"/>
    <w:rsid w:val="00E40690"/>
    <w:rsid w:val="00E40AEB"/>
    <w:rsid w:val="00E41229"/>
    <w:rsid w:val="00E4143A"/>
    <w:rsid w:val="00E41A5D"/>
    <w:rsid w:val="00E424C8"/>
    <w:rsid w:val="00E4251D"/>
    <w:rsid w:val="00E42F41"/>
    <w:rsid w:val="00E438B9"/>
    <w:rsid w:val="00E43D00"/>
    <w:rsid w:val="00E44128"/>
    <w:rsid w:val="00E445E4"/>
    <w:rsid w:val="00E457CB"/>
    <w:rsid w:val="00E45D47"/>
    <w:rsid w:val="00E45DE4"/>
    <w:rsid w:val="00E45E63"/>
    <w:rsid w:val="00E46D10"/>
    <w:rsid w:val="00E50A7B"/>
    <w:rsid w:val="00E50B0B"/>
    <w:rsid w:val="00E510D0"/>
    <w:rsid w:val="00E510FE"/>
    <w:rsid w:val="00E5142F"/>
    <w:rsid w:val="00E51E25"/>
    <w:rsid w:val="00E5205B"/>
    <w:rsid w:val="00E521AE"/>
    <w:rsid w:val="00E52C99"/>
    <w:rsid w:val="00E53BCA"/>
    <w:rsid w:val="00E53F02"/>
    <w:rsid w:val="00E54534"/>
    <w:rsid w:val="00E548C3"/>
    <w:rsid w:val="00E54DA0"/>
    <w:rsid w:val="00E54F27"/>
    <w:rsid w:val="00E556F5"/>
    <w:rsid w:val="00E55FF1"/>
    <w:rsid w:val="00E56090"/>
    <w:rsid w:val="00E565B9"/>
    <w:rsid w:val="00E5733B"/>
    <w:rsid w:val="00E5756C"/>
    <w:rsid w:val="00E601BE"/>
    <w:rsid w:val="00E609E9"/>
    <w:rsid w:val="00E60B5F"/>
    <w:rsid w:val="00E613AE"/>
    <w:rsid w:val="00E61429"/>
    <w:rsid w:val="00E61ABB"/>
    <w:rsid w:val="00E61FD7"/>
    <w:rsid w:val="00E623E6"/>
    <w:rsid w:val="00E624EC"/>
    <w:rsid w:val="00E630C0"/>
    <w:rsid w:val="00E63107"/>
    <w:rsid w:val="00E634E6"/>
    <w:rsid w:val="00E63DCE"/>
    <w:rsid w:val="00E64700"/>
    <w:rsid w:val="00E64E0B"/>
    <w:rsid w:val="00E65074"/>
    <w:rsid w:val="00E655E2"/>
    <w:rsid w:val="00E65E70"/>
    <w:rsid w:val="00E65EE9"/>
    <w:rsid w:val="00E66087"/>
    <w:rsid w:val="00E6685F"/>
    <w:rsid w:val="00E66D79"/>
    <w:rsid w:val="00E66FF9"/>
    <w:rsid w:val="00E67856"/>
    <w:rsid w:val="00E679C8"/>
    <w:rsid w:val="00E70314"/>
    <w:rsid w:val="00E704AC"/>
    <w:rsid w:val="00E70B2D"/>
    <w:rsid w:val="00E70FCD"/>
    <w:rsid w:val="00E724E7"/>
    <w:rsid w:val="00E729DC"/>
    <w:rsid w:val="00E72B41"/>
    <w:rsid w:val="00E7343E"/>
    <w:rsid w:val="00E7347B"/>
    <w:rsid w:val="00E73D03"/>
    <w:rsid w:val="00E7471C"/>
    <w:rsid w:val="00E7498A"/>
    <w:rsid w:val="00E7514E"/>
    <w:rsid w:val="00E75B34"/>
    <w:rsid w:val="00E77AF5"/>
    <w:rsid w:val="00E77D4E"/>
    <w:rsid w:val="00E8029A"/>
    <w:rsid w:val="00E803A6"/>
    <w:rsid w:val="00E81653"/>
    <w:rsid w:val="00E823F9"/>
    <w:rsid w:val="00E82C1F"/>
    <w:rsid w:val="00E82EEA"/>
    <w:rsid w:val="00E83671"/>
    <w:rsid w:val="00E8414B"/>
    <w:rsid w:val="00E84793"/>
    <w:rsid w:val="00E84A71"/>
    <w:rsid w:val="00E8544B"/>
    <w:rsid w:val="00E8554E"/>
    <w:rsid w:val="00E86556"/>
    <w:rsid w:val="00E86798"/>
    <w:rsid w:val="00E86D35"/>
    <w:rsid w:val="00E86DC2"/>
    <w:rsid w:val="00E86E32"/>
    <w:rsid w:val="00E8732E"/>
    <w:rsid w:val="00E9011F"/>
    <w:rsid w:val="00E906EB"/>
    <w:rsid w:val="00E90F07"/>
    <w:rsid w:val="00E913F9"/>
    <w:rsid w:val="00E9241E"/>
    <w:rsid w:val="00E92460"/>
    <w:rsid w:val="00E92E62"/>
    <w:rsid w:val="00E92E8B"/>
    <w:rsid w:val="00E93804"/>
    <w:rsid w:val="00E93A86"/>
    <w:rsid w:val="00E941AA"/>
    <w:rsid w:val="00E94420"/>
    <w:rsid w:val="00E950D0"/>
    <w:rsid w:val="00E95434"/>
    <w:rsid w:val="00E96467"/>
    <w:rsid w:val="00E966DA"/>
    <w:rsid w:val="00E96948"/>
    <w:rsid w:val="00E9737B"/>
    <w:rsid w:val="00E97A3F"/>
    <w:rsid w:val="00E97F0A"/>
    <w:rsid w:val="00EA0100"/>
    <w:rsid w:val="00EA010D"/>
    <w:rsid w:val="00EA04DC"/>
    <w:rsid w:val="00EA0886"/>
    <w:rsid w:val="00EA0BCE"/>
    <w:rsid w:val="00EA0FAA"/>
    <w:rsid w:val="00EA2726"/>
    <w:rsid w:val="00EA2744"/>
    <w:rsid w:val="00EA2937"/>
    <w:rsid w:val="00EA37B9"/>
    <w:rsid w:val="00EA39F7"/>
    <w:rsid w:val="00EA3B27"/>
    <w:rsid w:val="00EA3DC2"/>
    <w:rsid w:val="00EA42E3"/>
    <w:rsid w:val="00EA434E"/>
    <w:rsid w:val="00EA4757"/>
    <w:rsid w:val="00EA51FF"/>
    <w:rsid w:val="00EA53D3"/>
    <w:rsid w:val="00EA560B"/>
    <w:rsid w:val="00EA5669"/>
    <w:rsid w:val="00EA5C05"/>
    <w:rsid w:val="00EA63EF"/>
    <w:rsid w:val="00EA6750"/>
    <w:rsid w:val="00EB0382"/>
    <w:rsid w:val="00EB0A89"/>
    <w:rsid w:val="00EB0B22"/>
    <w:rsid w:val="00EB151B"/>
    <w:rsid w:val="00EB1573"/>
    <w:rsid w:val="00EB1650"/>
    <w:rsid w:val="00EB17CA"/>
    <w:rsid w:val="00EB1910"/>
    <w:rsid w:val="00EB1D24"/>
    <w:rsid w:val="00EB209B"/>
    <w:rsid w:val="00EB26F2"/>
    <w:rsid w:val="00EB2E97"/>
    <w:rsid w:val="00EB3416"/>
    <w:rsid w:val="00EB3A5C"/>
    <w:rsid w:val="00EB4AE1"/>
    <w:rsid w:val="00EB52F4"/>
    <w:rsid w:val="00EB5694"/>
    <w:rsid w:val="00EB5779"/>
    <w:rsid w:val="00EB6098"/>
    <w:rsid w:val="00EB6199"/>
    <w:rsid w:val="00EB65ED"/>
    <w:rsid w:val="00EB67F1"/>
    <w:rsid w:val="00EB72CD"/>
    <w:rsid w:val="00EB749A"/>
    <w:rsid w:val="00EB76B6"/>
    <w:rsid w:val="00EB7D8A"/>
    <w:rsid w:val="00EB7EA7"/>
    <w:rsid w:val="00EC05E2"/>
    <w:rsid w:val="00EC08AF"/>
    <w:rsid w:val="00EC0B29"/>
    <w:rsid w:val="00EC0E84"/>
    <w:rsid w:val="00EC16E2"/>
    <w:rsid w:val="00EC1CE7"/>
    <w:rsid w:val="00EC2497"/>
    <w:rsid w:val="00EC25DF"/>
    <w:rsid w:val="00EC26F1"/>
    <w:rsid w:val="00EC346B"/>
    <w:rsid w:val="00EC36B1"/>
    <w:rsid w:val="00EC3C94"/>
    <w:rsid w:val="00EC44DF"/>
    <w:rsid w:val="00EC4AB1"/>
    <w:rsid w:val="00EC4EFB"/>
    <w:rsid w:val="00EC4FB9"/>
    <w:rsid w:val="00EC5310"/>
    <w:rsid w:val="00EC5393"/>
    <w:rsid w:val="00EC5741"/>
    <w:rsid w:val="00EC5ACE"/>
    <w:rsid w:val="00EC5DA3"/>
    <w:rsid w:val="00EC6014"/>
    <w:rsid w:val="00EC6B3E"/>
    <w:rsid w:val="00EC6D8D"/>
    <w:rsid w:val="00EC71C7"/>
    <w:rsid w:val="00EC73DE"/>
    <w:rsid w:val="00EC7637"/>
    <w:rsid w:val="00EC7B63"/>
    <w:rsid w:val="00EC7CF2"/>
    <w:rsid w:val="00ED046B"/>
    <w:rsid w:val="00ED046C"/>
    <w:rsid w:val="00ED053A"/>
    <w:rsid w:val="00ED17E3"/>
    <w:rsid w:val="00ED1F03"/>
    <w:rsid w:val="00ED2D27"/>
    <w:rsid w:val="00ED3347"/>
    <w:rsid w:val="00ED38FD"/>
    <w:rsid w:val="00ED3954"/>
    <w:rsid w:val="00ED4048"/>
    <w:rsid w:val="00ED43A2"/>
    <w:rsid w:val="00ED4967"/>
    <w:rsid w:val="00ED4EC8"/>
    <w:rsid w:val="00ED510D"/>
    <w:rsid w:val="00ED5140"/>
    <w:rsid w:val="00ED522A"/>
    <w:rsid w:val="00ED538C"/>
    <w:rsid w:val="00ED5771"/>
    <w:rsid w:val="00ED587F"/>
    <w:rsid w:val="00ED5964"/>
    <w:rsid w:val="00ED623F"/>
    <w:rsid w:val="00ED69BA"/>
    <w:rsid w:val="00ED72E9"/>
    <w:rsid w:val="00ED732E"/>
    <w:rsid w:val="00ED77F0"/>
    <w:rsid w:val="00ED7FBC"/>
    <w:rsid w:val="00EE0253"/>
    <w:rsid w:val="00EE0297"/>
    <w:rsid w:val="00EE0789"/>
    <w:rsid w:val="00EE0B63"/>
    <w:rsid w:val="00EE1258"/>
    <w:rsid w:val="00EE13DA"/>
    <w:rsid w:val="00EE162F"/>
    <w:rsid w:val="00EE1668"/>
    <w:rsid w:val="00EE1CE5"/>
    <w:rsid w:val="00EE234F"/>
    <w:rsid w:val="00EE366D"/>
    <w:rsid w:val="00EE3F96"/>
    <w:rsid w:val="00EE5350"/>
    <w:rsid w:val="00EE5454"/>
    <w:rsid w:val="00EE58B8"/>
    <w:rsid w:val="00EE59B5"/>
    <w:rsid w:val="00EE5CF6"/>
    <w:rsid w:val="00EE5D1D"/>
    <w:rsid w:val="00EE5FB7"/>
    <w:rsid w:val="00EE666A"/>
    <w:rsid w:val="00EE6A1A"/>
    <w:rsid w:val="00EE7B54"/>
    <w:rsid w:val="00EE7C88"/>
    <w:rsid w:val="00EE7C8B"/>
    <w:rsid w:val="00EF0209"/>
    <w:rsid w:val="00EF0EA4"/>
    <w:rsid w:val="00EF1E97"/>
    <w:rsid w:val="00EF2436"/>
    <w:rsid w:val="00EF2547"/>
    <w:rsid w:val="00EF2B2B"/>
    <w:rsid w:val="00EF2E1C"/>
    <w:rsid w:val="00EF2FD6"/>
    <w:rsid w:val="00EF3217"/>
    <w:rsid w:val="00EF326A"/>
    <w:rsid w:val="00EF3A5D"/>
    <w:rsid w:val="00EF3F02"/>
    <w:rsid w:val="00EF427A"/>
    <w:rsid w:val="00EF45DF"/>
    <w:rsid w:val="00EF4952"/>
    <w:rsid w:val="00EF498F"/>
    <w:rsid w:val="00EF4A42"/>
    <w:rsid w:val="00EF510C"/>
    <w:rsid w:val="00EF55C4"/>
    <w:rsid w:val="00EF57BC"/>
    <w:rsid w:val="00EF5FD2"/>
    <w:rsid w:val="00EF61F5"/>
    <w:rsid w:val="00EF6784"/>
    <w:rsid w:val="00EF688A"/>
    <w:rsid w:val="00EF6A03"/>
    <w:rsid w:val="00EF6DC2"/>
    <w:rsid w:val="00EF7BF4"/>
    <w:rsid w:val="00F0030F"/>
    <w:rsid w:val="00F00674"/>
    <w:rsid w:val="00F008EF"/>
    <w:rsid w:val="00F01657"/>
    <w:rsid w:val="00F01E67"/>
    <w:rsid w:val="00F021B7"/>
    <w:rsid w:val="00F02744"/>
    <w:rsid w:val="00F02BFD"/>
    <w:rsid w:val="00F02D25"/>
    <w:rsid w:val="00F0435D"/>
    <w:rsid w:val="00F04580"/>
    <w:rsid w:val="00F047E7"/>
    <w:rsid w:val="00F04ECA"/>
    <w:rsid w:val="00F04EDA"/>
    <w:rsid w:val="00F05876"/>
    <w:rsid w:val="00F05DC2"/>
    <w:rsid w:val="00F06E19"/>
    <w:rsid w:val="00F06F84"/>
    <w:rsid w:val="00F076E7"/>
    <w:rsid w:val="00F07AA1"/>
    <w:rsid w:val="00F10003"/>
    <w:rsid w:val="00F105AE"/>
    <w:rsid w:val="00F10618"/>
    <w:rsid w:val="00F10FC4"/>
    <w:rsid w:val="00F1108B"/>
    <w:rsid w:val="00F11768"/>
    <w:rsid w:val="00F11951"/>
    <w:rsid w:val="00F11BA8"/>
    <w:rsid w:val="00F12259"/>
    <w:rsid w:val="00F12262"/>
    <w:rsid w:val="00F12AF8"/>
    <w:rsid w:val="00F12C52"/>
    <w:rsid w:val="00F14352"/>
    <w:rsid w:val="00F144BA"/>
    <w:rsid w:val="00F14618"/>
    <w:rsid w:val="00F148B7"/>
    <w:rsid w:val="00F14BE9"/>
    <w:rsid w:val="00F14EA9"/>
    <w:rsid w:val="00F15505"/>
    <w:rsid w:val="00F15BFF"/>
    <w:rsid w:val="00F17105"/>
    <w:rsid w:val="00F20A0B"/>
    <w:rsid w:val="00F213A0"/>
    <w:rsid w:val="00F217AB"/>
    <w:rsid w:val="00F21A51"/>
    <w:rsid w:val="00F21D54"/>
    <w:rsid w:val="00F21D6D"/>
    <w:rsid w:val="00F21EF4"/>
    <w:rsid w:val="00F227B8"/>
    <w:rsid w:val="00F23113"/>
    <w:rsid w:val="00F23255"/>
    <w:rsid w:val="00F23393"/>
    <w:rsid w:val="00F23759"/>
    <w:rsid w:val="00F239D4"/>
    <w:rsid w:val="00F23CB5"/>
    <w:rsid w:val="00F240F0"/>
    <w:rsid w:val="00F245A1"/>
    <w:rsid w:val="00F24644"/>
    <w:rsid w:val="00F24ABF"/>
    <w:rsid w:val="00F256FD"/>
    <w:rsid w:val="00F259F1"/>
    <w:rsid w:val="00F26E83"/>
    <w:rsid w:val="00F26F33"/>
    <w:rsid w:val="00F27E74"/>
    <w:rsid w:val="00F300A8"/>
    <w:rsid w:val="00F30265"/>
    <w:rsid w:val="00F30400"/>
    <w:rsid w:val="00F3079E"/>
    <w:rsid w:val="00F32C50"/>
    <w:rsid w:val="00F33980"/>
    <w:rsid w:val="00F3399B"/>
    <w:rsid w:val="00F33C1A"/>
    <w:rsid w:val="00F3461B"/>
    <w:rsid w:val="00F346ED"/>
    <w:rsid w:val="00F34945"/>
    <w:rsid w:val="00F34E1E"/>
    <w:rsid w:val="00F351E8"/>
    <w:rsid w:val="00F353FF"/>
    <w:rsid w:val="00F3570C"/>
    <w:rsid w:val="00F368FF"/>
    <w:rsid w:val="00F37068"/>
    <w:rsid w:val="00F37F3F"/>
    <w:rsid w:val="00F40201"/>
    <w:rsid w:val="00F404A9"/>
    <w:rsid w:val="00F40992"/>
    <w:rsid w:val="00F40A99"/>
    <w:rsid w:val="00F40AEC"/>
    <w:rsid w:val="00F412DF"/>
    <w:rsid w:val="00F41596"/>
    <w:rsid w:val="00F41D8B"/>
    <w:rsid w:val="00F42121"/>
    <w:rsid w:val="00F424B3"/>
    <w:rsid w:val="00F428B1"/>
    <w:rsid w:val="00F428B4"/>
    <w:rsid w:val="00F43222"/>
    <w:rsid w:val="00F4345D"/>
    <w:rsid w:val="00F4387B"/>
    <w:rsid w:val="00F4425D"/>
    <w:rsid w:val="00F4518D"/>
    <w:rsid w:val="00F45B91"/>
    <w:rsid w:val="00F46285"/>
    <w:rsid w:val="00F4630A"/>
    <w:rsid w:val="00F46639"/>
    <w:rsid w:val="00F46692"/>
    <w:rsid w:val="00F46B9E"/>
    <w:rsid w:val="00F47AAA"/>
    <w:rsid w:val="00F47B3B"/>
    <w:rsid w:val="00F50183"/>
    <w:rsid w:val="00F50D92"/>
    <w:rsid w:val="00F50E0B"/>
    <w:rsid w:val="00F51765"/>
    <w:rsid w:val="00F51A51"/>
    <w:rsid w:val="00F51CB4"/>
    <w:rsid w:val="00F52324"/>
    <w:rsid w:val="00F52950"/>
    <w:rsid w:val="00F52C9D"/>
    <w:rsid w:val="00F52E39"/>
    <w:rsid w:val="00F533F1"/>
    <w:rsid w:val="00F53ADC"/>
    <w:rsid w:val="00F55679"/>
    <w:rsid w:val="00F561E3"/>
    <w:rsid w:val="00F565E6"/>
    <w:rsid w:val="00F56AFA"/>
    <w:rsid w:val="00F575E2"/>
    <w:rsid w:val="00F579FF"/>
    <w:rsid w:val="00F600E0"/>
    <w:rsid w:val="00F600FD"/>
    <w:rsid w:val="00F605EC"/>
    <w:rsid w:val="00F60F60"/>
    <w:rsid w:val="00F612CE"/>
    <w:rsid w:val="00F624A7"/>
    <w:rsid w:val="00F62AB6"/>
    <w:rsid w:val="00F63984"/>
    <w:rsid w:val="00F650A2"/>
    <w:rsid w:val="00F65A3C"/>
    <w:rsid w:val="00F66282"/>
    <w:rsid w:val="00F67D8B"/>
    <w:rsid w:val="00F70961"/>
    <w:rsid w:val="00F70A8F"/>
    <w:rsid w:val="00F70F18"/>
    <w:rsid w:val="00F71397"/>
    <w:rsid w:val="00F72389"/>
    <w:rsid w:val="00F72516"/>
    <w:rsid w:val="00F72FB4"/>
    <w:rsid w:val="00F732C4"/>
    <w:rsid w:val="00F735E5"/>
    <w:rsid w:val="00F739B4"/>
    <w:rsid w:val="00F73C77"/>
    <w:rsid w:val="00F73DD9"/>
    <w:rsid w:val="00F73E80"/>
    <w:rsid w:val="00F7469C"/>
    <w:rsid w:val="00F747E9"/>
    <w:rsid w:val="00F7492E"/>
    <w:rsid w:val="00F74945"/>
    <w:rsid w:val="00F749A3"/>
    <w:rsid w:val="00F74A04"/>
    <w:rsid w:val="00F74AE8"/>
    <w:rsid w:val="00F74DC7"/>
    <w:rsid w:val="00F75A86"/>
    <w:rsid w:val="00F7603E"/>
    <w:rsid w:val="00F76C11"/>
    <w:rsid w:val="00F77021"/>
    <w:rsid w:val="00F775CB"/>
    <w:rsid w:val="00F77E61"/>
    <w:rsid w:val="00F814B2"/>
    <w:rsid w:val="00F815AC"/>
    <w:rsid w:val="00F82CA5"/>
    <w:rsid w:val="00F83200"/>
    <w:rsid w:val="00F83B33"/>
    <w:rsid w:val="00F83CAE"/>
    <w:rsid w:val="00F840BF"/>
    <w:rsid w:val="00F8415D"/>
    <w:rsid w:val="00F8427A"/>
    <w:rsid w:val="00F843DF"/>
    <w:rsid w:val="00F84899"/>
    <w:rsid w:val="00F848AB"/>
    <w:rsid w:val="00F84A0A"/>
    <w:rsid w:val="00F84D13"/>
    <w:rsid w:val="00F853A5"/>
    <w:rsid w:val="00F85585"/>
    <w:rsid w:val="00F856EE"/>
    <w:rsid w:val="00F859F0"/>
    <w:rsid w:val="00F85CC1"/>
    <w:rsid w:val="00F8695F"/>
    <w:rsid w:val="00F86A41"/>
    <w:rsid w:val="00F86B5D"/>
    <w:rsid w:val="00F87464"/>
    <w:rsid w:val="00F87634"/>
    <w:rsid w:val="00F87C13"/>
    <w:rsid w:val="00F87C5A"/>
    <w:rsid w:val="00F87E29"/>
    <w:rsid w:val="00F87F18"/>
    <w:rsid w:val="00F87F68"/>
    <w:rsid w:val="00F90C4D"/>
    <w:rsid w:val="00F90F7A"/>
    <w:rsid w:val="00F90FA8"/>
    <w:rsid w:val="00F9167D"/>
    <w:rsid w:val="00F91CB2"/>
    <w:rsid w:val="00F9289C"/>
    <w:rsid w:val="00F93DBC"/>
    <w:rsid w:val="00F93E41"/>
    <w:rsid w:val="00F94600"/>
    <w:rsid w:val="00F94644"/>
    <w:rsid w:val="00F95075"/>
    <w:rsid w:val="00F9537B"/>
    <w:rsid w:val="00F95467"/>
    <w:rsid w:val="00F954BA"/>
    <w:rsid w:val="00F95567"/>
    <w:rsid w:val="00F9574A"/>
    <w:rsid w:val="00F963FC"/>
    <w:rsid w:val="00F96F06"/>
    <w:rsid w:val="00F96FD6"/>
    <w:rsid w:val="00FA015F"/>
    <w:rsid w:val="00FA0FAC"/>
    <w:rsid w:val="00FA1DA2"/>
    <w:rsid w:val="00FA3414"/>
    <w:rsid w:val="00FA347A"/>
    <w:rsid w:val="00FA39D7"/>
    <w:rsid w:val="00FA3CDE"/>
    <w:rsid w:val="00FA49B7"/>
    <w:rsid w:val="00FA5043"/>
    <w:rsid w:val="00FA5A77"/>
    <w:rsid w:val="00FA5ECF"/>
    <w:rsid w:val="00FA6179"/>
    <w:rsid w:val="00FA6F8B"/>
    <w:rsid w:val="00FA7A30"/>
    <w:rsid w:val="00FA7F7F"/>
    <w:rsid w:val="00FB033F"/>
    <w:rsid w:val="00FB12E3"/>
    <w:rsid w:val="00FB1570"/>
    <w:rsid w:val="00FB193B"/>
    <w:rsid w:val="00FB1FBC"/>
    <w:rsid w:val="00FB27B7"/>
    <w:rsid w:val="00FB2C36"/>
    <w:rsid w:val="00FB3444"/>
    <w:rsid w:val="00FB3483"/>
    <w:rsid w:val="00FB35E3"/>
    <w:rsid w:val="00FB4D3F"/>
    <w:rsid w:val="00FB583C"/>
    <w:rsid w:val="00FB61D1"/>
    <w:rsid w:val="00FB630E"/>
    <w:rsid w:val="00FB6738"/>
    <w:rsid w:val="00FB691B"/>
    <w:rsid w:val="00FB731C"/>
    <w:rsid w:val="00FB7DF8"/>
    <w:rsid w:val="00FC05A0"/>
    <w:rsid w:val="00FC0811"/>
    <w:rsid w:val="00FC1196"/>
    <w:rsid w:val="00FC15EB"/>
    <w:rsid w:val="00FC18DC"/>
    <w:rsid w:val="00FC2AC4"/>
    <w:rsid w:val="00FC2D6D"/>
    <w:rsid w:val="00FC2F73"/>
    <w:rsid w:val="00FC3A9B"/>
    <w:rsid w:val="00FC3AE1"/>
    <w:rsid w:val="00FC3DFC"/>
    <w:rsid w:val="00FC3EF4"/>
    <w:rsid w:val="00FC431B"/>
    <w:rsid w:val="00FC434C"/>
    <w:rsid w:val="00FC4FDF"/>
    <w:rsid w:val="00FC5CF4"/>
    <w:rsid w:val="00FC6A39"/>
    <w:rsid w:val="00FC6E50"/>
    <w:rsid w:val="00FC710F"/>
    <w:rsid w:val="00FC79AB"/>
    <w:rsid w:val="00FC7BE7"/>
    <w:rsid w:val="00FC7DAC"/>
    <w:rsid w:val="00FD04AE"/>
    <w:rsid w:val="00FD086B"/>
    <w:rsid w:val="00FD1890"/>
    <w:rsid w:val="00FD1994"/>
    <w:rsid w:val="00FD1B08"/>
    <w:rsid w:val="00FD21A9"/>
    <w:rsid w:val="00FD2AC8"/>
    <w:rsid w:val="00FD2CA6"/>
    <w:rsid w:val="00FD3508"/>
    <w:rsid w:val="00FD393C"/>
    <w:rsid w:val="00FD3D53"/>
    <w:rsid w:val="00FD43BB"/>
    <w:rsid w:val="00FD4AF3"/>
    <w:rsid w:val="00FD4E0F"/>
    <w:rsid w:val="00FD556A"/>
    <w:rsid w:val="00FD5A69"/>
    <w:rsid w:val="00FD6F3C"/>
    <w:rsid w:val="00FD798D"/>
    <w:rsid w:val="00FD7BD8"/>
    <w:rsid w:val="00FD7FB9"/>
    <w:rsid w:val="00FE100E"/>
    <w:rsid w:val="00FE141E"/>
    <w:rsid w:val="00FE144E"/>
    <w:rsid w:val="00FE1689"/>
    <w:rsid w:val="00FE1768"/>
    <w:rsid w:val="00FE24F4"/>
    <w:rsid w:val="00FE2560"/>
    <w:rsid w:val="00FE35D0"/>
    <w:rsid w:val="00FE4058"/>
    <w:rsid w:val="00FE41AC"/>
    <w:rsid w:val="00FE42E2"/>
    <w:rsid w:val="00FE42ED"/>
    <w:rsid w:val="00FE4C6D"/>
    <w:rsid w:val="00FE55A7"/>
    <w:rsid w:val="00FE55E6"/>
    <w:rsid w:val="00FE56D5"/>
    <w:rsid w:val="00FE576D"/>
    <w:rsid w:val="00FE5C5A"/>
    <w:rsid w:val="00FE6432"/>
    <w:rsid w:val="00FE6517"/>
    <w:rsid w:val="00FE72A0"/>
    <w:rsid w:val="00FE7CD6"/>
    <w:rsid w:val="00FF0050"/>
    <w:rsid w:val="00FF045F"/>
    <w:rsid w:val="00FF0679"/>
    <w:rsid w:val="00FF0712"/>
    <w:rsid w:val="00FF0976"/>
    <w:rsid w:val="00FF13D4"/>
    <w:rsid w:val="00FF2053"/>
    <w:rsid w:val="00FF2F4E"/>
    <w:rsid w:val="00FF3B37"/>
    <w:rsid w:val="00FF3D6F"/>
    <w:rsid w:val="00FF4BD8"/>
    <w:rsid w:val="00FF4D11"/>
    <w:rsid w:val="00FF5214"/>
    <w:rsid w:val="00FF53A5"/>
    <w:rsid w:val="00FF596E"/>
    <w:rsid w:val="00FF5B59"/>
    <w:rsid w:val="00FF5BFD"/>
    <w:rsid w:val="00FF5C01"/>
    <w:rsid w:val="00FF5F9D"/>
    <w:rsid w:val="00FF6095"/>
    <w:rsid w:val="00FF62FE"/>
    <w:rsid w:val="00FF6553"/>
    <w:rsid w:val="00FF7134"/>
    <w:rsid w:val="00FF7A3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7B6B"/>
    <w:pPr>
      <w:spacing w:after="160" w:line="256" w:lineRule="auto"/>
    </w:pPr>
    <w:rPr>
      <w:rFonts w:ascii="Calibri" w:eastAsia="Calibri" w:hAnsi="Calibri" w:cs="Times New Roman"/>
    </w:rPr>
  </w:style>
  <w:style w:type="paragraph" w:styleId="Ttulo1">
    <w:name w:val="heading 1"/>
    <w:basedOn w:val="Normal"/>
    <w:link w:val="Ttulo1Car"/>
    <w:uiPriority w:val="1"/>
    <w:qFormat/>
    <w:rsid w:val="006D712D"/>
    <w:pPr>
      <w:widowControl w:val="0"/>
      <w:autoSpaceDE w:val="0"/>
      <w:autoSpaceDN w:val="0"/>
      <w:spacing w:after="0" w:line="240" w:lineRule="auto"/>
      <w:ind w:left="660" w:hanging="366"/>
      <w:outlineLvl w:val="0"/>
    </w:pPr>
    <w:rPr>
      <w:rFonts w:ascii="Arial" w:eastAsia="Arial" w:hAnsi="Arial" w:cs="Arial"/>
      <w:b/>
      <w:bCs/>
      <w:lang w:val="es-ES"/>
    </w:rPr>
  </w:style>
  <w:style w:type="paragraph" w:styleId="Ttulo2">
    <w:name w:val="heading 2"/>
    <w:basedOn w:val="Normal"/>
    <w:next w:val="Normal"/>
    <w:link w:val="Ttulo2Car"/>
    <w:uiPriority w:val="9"/>
    <w:semiHidden/>
    <w:unhideWhenUsed/>
    <w:qFormat/>
    <w:rsid w:val="00965FF8"/>
    <w:pPr>
      <w:keepNext/>
      <w:keepLines/>
      <w:spacing w:before="40" w:after="0" w:line="240" w:lineRule="auto"/>
      <w:outlineLvl w:val="1"/>
    </w:pPr>
    <w:rPr>
      <w:rFonts w:asciiTheme="majorHAnsi" w:eastAsiaTheme="majorEastAsia" w:hAnsiTheme="majorHAnsi" w:cstheme="majorBidi"/>
      <w:color w:val="365F91" w:themeColor="accent1" w:themeShade="BF"/>
      <w:sz w:val="26"/>
      <w:szCs w:val="26"/>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spacing w:after="0" w:line="240" w:lineRule="auto"/>
    </w:pPr>
    <w:rPr>
      <w:rFonts w:asciiTheme="minorHAnsi" w:eastAsiaTheme="minorHAnsi" w:hAnsiTheme="minorHAnsi" w:cstheme="minorBidi"/>
      <w:sz w:val="24"/>
      <w:lang w:val="es-MX"/>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pPr>
      <w:spacing w:after="0" w:line="240" w:lineRule="auto"/>
    </w:pPr>
    <w:rPr>
      <w:rFonts w:ascii="Tahoma" w:eastAsiaTheme="minorHAnsi" w:hAnsi="Tahoma" w:cs="Tahoma"/>
      <w:sz w:val="16"/>
      <w:szCs w:val="16"/>
      <w:lang w:val="es-MX"/>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spacing w:after="0" w:line="240" w:lineRule="auto"/>
    </w:pPr>
    <w:rPr>
      <w:rFonts w:asciiTheme="minorHAnsi" w:eastAsiaTheme="minorHAnsi" w:hAnsiTheme="minorHAnsi" w:cstheme="minorBidi"/>
      <w:sz w:val="24"/>
      <w:lang w:val="es-MX"/>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3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9047C5"/>
    <w:pPr>
      <w:spacing w:after="0" w:line="240" w:lineRule="auto"/>
      <w:ind w:left="720"/>
      <w:contextualSpacing/>
    </w:pPr>
    <w:rPr>
      <w:rFonts w:asciiTheme="minorHAnsi" w:eastAsiaTheme="minorHAnsi" w:hAnsiTheme="minorHAnsi" w:cstheme="minorBidi"/>
      <w:sz w:val="24"/>
      <w:lang w:val="es-MX"/>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pPr>
      <w:spacing w:after="0" w:line="240" w:lineRule="auto"/>
    </w:pPr>
    <w:rPr>
      <w:rFonts w:asciiTheme="minorHAnsi" w:eastAsiaTheme="minorHAnsi" w:hAnsiTheme="minorHAnsi" w:cstheme="minorBidi"/>
      <w:sz w:val="20"/>
      <w:szCs w:val="20"/>
      <w:lang w:val="es-MX"/>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line="240" w:lineRule="auto"/>
    </w:pPr>
    <w:rPr>
      <w:rFonts w:ascii="Times New Roman" w:eastAsia="Times New Roman" w:hAnsi="Times New Roman"/>
      <w:sz w:val="24"/>
      <w:szCs w:val="24"/>
      <w:lang w:eastAsia="es-CO"/>
    </w:rPr>
  </w:style>
  <w:style w:type="paragraph" w:styleId="Sinespaciado">
    <w:name w:val="No Spacing"/>
    <w:aliases w:val="No Indent"/>
    <w:link w:val="SinespaciadoCar"/>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fn"/>
    <w:basedOn w:val="Normal"/>
    <w:link w:val="TextonotapieCar"/>
    <w:uiPriority w:val="99"/>
    <w:unhideWhenUsed/>
    <w:qFormat/>
    <w:rsid w:val="007B0854"/>
    <w:pPr>
      <w:spacing w:after="0" w:line="240" w:lineRule="auto"/>
    </w:pPr>
    <w:rPr>
      <w:rFonts w:asciiTheme="minorHAnsi" w:eastAsiaTheme="minorHAnsi" w:hAnsiTheme="minorHAnsi" w:cstheme="minorBidi"/>
      <w:sz w:val="20"/>
      <w:szCs w:val="20"/>
      <w:lang w:val="es-MX"/>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eastAsia="Times New Roman"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customStyle="1" w:styleId="Mencinsinresolver3">
    <w:name w:val="Mención sin resolver3"/>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line="240" w:lineRule="auto"/>
    </w:pPr>
    <w:rPr>
      <w:rFonts w:ascii="Times New Roman" w:eastAsia="Times New Roman" w:hAnsi="Times New Roman"/>
      <w:sz w:val="24"/>
      <w:szCs w:val="24"/>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line="240" w:lineRule="exact"/>
    </w:pPr>
    <w:rPr>
      <w:rFonts w:asciiTheme="minorHAnsi" w:eastAsiaTheme="minorHAnsi" w:hAnsiTheme="minorHAnsi" w:cstheme="minorBidi"/>
      <w:vertAlign w:val="superscript"/>
    </w:rPr>
  </w:style>
  <w:style w:type="paragraph" w:styleId="Sangradetextonormal">
    <w:name w:val="Body Text Indent"/>
    <w:basedOn w:val="Normal"/>
    <w:link w:val="SangradetextonormalCar"/>
    <w:uiPriority w:val="99"/>
    <w:semiHidden/>
    <w:unhideWhenUsed/>
    <w:rsid w:val="006B7E4E"/>
    <w:pPr>
      <w:spacing w:after="120" w:line="240" w:lineRule="auto"/>
      <w:ind w:left="283"/>
    </w:pPr>
    <w:rPr>
      <w:rFonts w:asciiTheme="minorHAnsi" w:eastAsiaTheme="minorHAnsi" w:hAnsiTheme="minorHAnsi" w:cstheme="minorBidi"/>
      <w:sz w:val="24"/>
      <w:lang w:val="es-MX"/>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paragraph" w:customStyle="1" w:styleId="InviasNormal">
    <w:name w:val="Invias Normal"/>
    <w:basedOn w:val="Normal"/>
    <w:link w:val="InviasNormalCar"/>
    <w:qFormat/>
    <w:rsid w:val="00433ACB"/>
    <w:pPr>
      <w:tabs>
        <w:tab w:val="left" w:pos="-142"/>
      </w:tabs>
      <w:autoSpaceDE w:val="0"/>
      <w:autoSpaceDN w:val="0"/>
      <w:adjustRightInd w:val="0"/>
      <w:spacing w:before="120" w:after="240" w:line="240" w:lineRule="auto"/>
      <w:jc w:val="both"/>
    </w:pPr>
    <w:rPr>
      <w:rFonts w:ascii="Arial Narrow" w:eastAsia="Times New Roman" w:hAnsi="Arial Narrow"/>
      <w:color w:val="3C3C3C" w:themeColor="background2" w:themeShade="40"/>
      <w:sz w:val="24"/>
      <w:szCs w:val="24"/>
      <w:lang w:val="x-none" w:eastAsia="es-ES"/>
    </w:rPr>
  </w:style>
  <w:style w:type="character" w:customStyle="1" w:styleId="InviasNormalCar">
    <w:name w:val="Invias Normal Car"/>
    <w:link w:val="InviasNormal"/>
    <w:locked/>
    <w:rsid w:val="00433ACB"/>
    <w:rPr>
      <w:rFonts w:ascii="Arial Narrow" w:eastAsia="Times New Roman" w:hAnsi="Arial Narrow" w:cs="Times New Roman"/>
      <w:color w:val="3C3C3C" w:themeColor="background2" w:themeShade="40"/>
      <w:sz w:val="24"/>
      <w:szCs w:val="24"/>
      <w:lang w:val="x-none" w:eastAsia="es-ES"/>
    </w:rPr>
  </w:style>
  <w:style w:type="table" w:customStyle="1" w:styleId="Tablaconcuadrcula2">
    <w:name w:val="Tabla con cuadrícula2"/>
    <w:basedOn w:val="Tablanormal"/>
    <w:next w:val="Tablaconcuadrcula"/>
    <w:uiPriority w:val="39"/>
    <w:rsid w:val="001E25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spacing">
    <w:name w:val="x_msonospacing"/>
    <w:basedOn w:val="Normal"/>
    <w:rsid w:val="00292E64"/>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Capitulo8">
    <w:name w:val="Capitulo 8"/>
    <w:basedOn w:val="Normal"/>
    <w:qFormat/>
    <w:rsid w:val="00DB5196"/>
    <w:pPr>
      <w:numPr>
        <w:numId w:val="2"/>
      </w:numPr>
      <w:spacing w:after="200" w:line="276" w:lineRule="auto"/>
      <w:ind w:left="1020" w:hanging="680"/>
      <w:contextualSpacing/>
      <w:jc w:val="both"/>
    </w:pPr>
    <w:rPr>
      <w:rFonts w:ascii="Arial" w:hAnsi="Arial" w:cs="Arial"/>
      <w:b/>
      <w:bCs/>
      <w:color w:val="1C1C1C"/>
      <w:sz w:val="20"/>
      <w:szCs w:val="20"/>
    </w:rPr>
  </w:style>
  <w:style w:type="paragraph" w:customStyle="1" w:styleId="Normal11pt">
    <w:name w:val="Normal + 11 pt"/>
    <w:aliases w:val="Negro,Justificado,Izquierda:  -0,95 cm,Derecha:  0,04 cm"/>
    <w:basedOn w:val="Normal"/>
    <w:uiPriority w:val="99"/>
    <w:rsid w:val="008A2527"/>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E100E"/>
    <w:pPr>
      <w:spacing w:after="0" w:line="240" w:lineRule="auto"/>
    </w:pPr>
    <w:rPr>
      <w:rFonts w:ascii="Times New Roman" w:eastAsia="Times New Roman" w:hAnsi="Times New Roman" w:cs="Times New Roman"/>
      <w:sz w:val="24"/>
      <w:szCs w:val="24"/>
      <w:lang w:eastAsia="es-ES_tradnl"/>
    </w:rPr>
  </w:style>
  <w:style w:type="character" w:styleId="Mencinsinresolver">
    <w:name w:val="Unresolved Mention"/>
    <w:basedOn w:val="Fuentedeprrafopredeter"/>
    <w:uiPriority w:val="99"/>
    <w:semiHidden/>
    <w:unhideWhenUsed/>
    <w:rsid w:val="002B4039"/>
    <w:rPr>
      <w:color w:val="605E5C"/>
      <w:shd w:val="clear" w:color="auto" w:fill="E1DFDD"/>
    </w:rPr>
  </w:style>
  <w:style w:type="character" w:customStyle="1" w:styleId="baj">
    <w:name w:val="b_aj"/>
    <w:basedOn w:val="Fuentedeprrafopredeter"/>
    <w:rsid w:val="008F293D"/>
  </w:style>
  <w:style w:type="character" w:customStyle="1" w:styleId="SinespaciadoCar">
    <w:name w:val="Sin espaciado Car"/>
    <w:aliases w:val="No Indent Car"/>
    <w:link w:val="Sinespaciado"/>
    <w:uiPriority w:val="3"/>
    <w:rsid w:val="00B44E8C"/>
    <w:rPr>
      <w:sz w:val="24"/>
      <w:lang w:val="es-MX"/>
    </w:rPr>
  </w:style>
  <w:style w:type="character" w:customStyle="1" w:styleId="apple-converted-space">
    <w:name w:val="apple-converted-space"/>
    <w:basedOn w:val="Fuentedeprrafopredeter"/>
    <w:rsid w:val="00B65BBE"/>
  </w:style>
  <w:style w:type="character" w:customStyle="1" w:styleId="Ttulo2Car">
    <w:name w:val="Título 2 Car"/>
    <w:basedOn w:val="Fuentedeprrafopredeter"/>
    <w:link w:val="Ttulo2"/>
    <w:uiPriority w:val="9"/>
    <w:semiHidden/>
    <w:rsid w:val="00965FF8"/>
    <w:rPr>
      <w:rFonts w:asciiTheme="majorHAnsi" w:eastAsiaTheme="majorEastAsia" w:hAnsiTheme="majorHAnsi" w:cstheme="majorBidi"/>
      <w:color w:val="365F91" w:themeColor="accent1" w:themeShade="BF"/>
      <w:sz w:val="26"/>
      <w:szCs w:val="26"/>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4595">
      <w:bodyDiv w:val="1"/>
      <w:marLeft w:val="0"/>
      <w:marRight w:val="0"/>
      <w:marTop w:val="0"/>
      <w:marBottom w:val="0"/>
      <w:divBdr>
        <w:top w:val="none" w:sz="0" w:space="0" w:color="auto"/>
        <w:left w:val="none" w:sz="0" w:space="0" w:color="auto"/>
        <w:bottom w:val="none" w:sz="0" w:space="0" w:color="auto"/>
        <w:right w:val="none" w:sz="0" w:space="0" w:color="auto"/>
      </w:divBdr>
    </w:div>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43665026">
      <w:bodyDiv w:val="1"/>
      <w:marLeft w:val="0"/>
      <w:marRight w:val="0"/>
      <w:marTop w:val="0"/>
      <w:marBottom w:val="0"/>
      <w:divBdr>
        <w:top w:val="none" w:sz="0" w:space="0" w:color="auto"/>
        <w:left w:val="none" w:sz="0" w:space="0" w:color="auto"/>
        <w:bottom w:val="none" w:sz="0" w:space="0" w:color="auto"/>
        <w:right w:val="none" w:sz="0" w:space="0" w:color="auto"/>
      </w:divBdr>
    </w:div>
    <w:div w:id="150634424">
      <w:bodyDiv w:val="1"/>
      <w:marLeft w:val="0"/>
      <w:marRight w:val="0"/>
      <w:marTop w:val="0"/>
      <w:marBottom w:val="0"/>
      <w:divBdr>
        <w:top w:val="none" w:sz="0" w:space="0" w:color="auto"/>
        <w:left w:val="none" w:sz="0" w:space="0" w:color="auto"/>
        <w:bottom w:val="none" w:sz="0" w:space="0" w:color="auto"/>
        <w:right w:val="none" w:sz="0" w:space="0" w:color="auto"/>
      </w:divBdr>
    </w:div>
    <w:div w:id="163715100">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70150232">
      <w:bodyDiv w:val="1"/>
      <w:marLeft w:val="0"/>
      <w:marRight w:val="0"/>
      <w:marTop w:val="0"/>
      <w:marBottom w:val="0"/>
      <w:divBdr>
        <w:top w:val="none" w:sz="0" w:space="0" w:color="auto"/>
        <w:left w:val="none" w:sz="0" w:space="0" w:color="auto"/>
        <w:bottom w:val="none" w:sz="0" w:space="0" w:color="auto"/>
        <w:right w:val="none" w:sz="0" w:space="0" w:color="auto"/>
      </w:divBdr>
    </w:div>
    <w:div w:id="181166487">
      <w:bodyDiv w:val="1"/>
      <w:marLeft w:val="0"/>
      <w:marRight w:val="0"/>
      <w:marTop w:val="0"/>
      <w:marBottom w:val="0"/>
      <w:divBdr>
        <w:top w:val="none" w:sz="0" w:space="0" w:color="auto"/>
        <w:left w:val="none" w:sz="0" w:space="0" w:color="auto"/>
        <w:bottom w:val="none" w:sz="0" w:space="0" w:color="auto"/>
        <w:right w:val="none" w:sz="0" w:space="0" w:color="auto"/>
      </w:divBdr>
    </w:div>
    <w:div w:id="192500427">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365726">
      <w:bodyDiv w:val="1"/>
      <w:marLeft w:val="0"/>
      <w:marRight w:val="0"/>
      <w:marTop w:val="0"/>
      <w:marBottom w:val="0"/>
      <w:divBdr>
        <w:top w:val="none" w:sz="0" w:space="0" w:color="auto"/>
        <w:left w:val="none" w:sz="0" w:space="0" w:color="auto"/>
        <w:bottom w:val="none" w:sz="0" w:space="0" w:color="auto"/>
        <w:right w:val="none" w:sz="0" w:space="0" w:color="auto"/>
      </w:divBdr>
    </w:div>
    <w:div w:id="292368787">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09094643">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22467761">
      <w:bodyDiv w:val="1"/>
      <w:marLeft w:val="0"/>
      <w:marRight w:val="0"/>
      <w:marTop w:val="0"/>
      <w:marBottom w:val="0"/>
      <w:divBdr>
        <w:top w:val="none" w:sz="0" w:space="0" w:color="auto"/>
        <w:left w:val="none" w:sz="0" w:space="0" w:color="auto"/>
        <w:bottom w:val="none" w:sz="0" w:space="0" w:color="auto"/>
        <w:right w:val="none" w:sz="0" w:space="0" w:color="auto"/>
      </w:divBdr>
    </w:div>
    <w:div w:id="323438076">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52458027">
      <w:bodyDiv w:val="1"/>
      <w:marLeft w:val="0"/>
      <w:marRight w:val="0"/>
      <w:marTop w:val="0"/>
      <w:marBottom w:val="0"/>
      <w:divBdr>
        <w:top w:val="none" w:sz="0" w:space="0" w:color="auto"/>
        <w:left w:val="none" w:sz="0" w:space="0" w:color="auto"/>
        <w:bottom w:val="none" w:sz="0" w:space="0" w:color="auto"/>
        <w:right w:val="none" w:sz="0" w:space="0" w:color="auto"/>
      </w:divBdr>
    </w:div>
    <w:div w:id="373847752">
      <w:bodyDiv w:val="1"/>
      <w:marLeft w:val="0"/>
      <w:marRight w:val="0"/>
      <w:marTop w:val="0"/>
      <w:marBottom w:val="0"/>
      <w:divBdr>
        <w:top w:val="none" w:sz="0" w:space="0" w:color="auto"/>
        <w:left w:val="none" w:sz="0" w:space="0" w:color="auto"/>
        <w:bottom w:val="none" w:sz="0" w:space="0" w:color="auto"/>
        <w:right w:val="none" w:sz="0" w:space="0" w:color="auto"/>
      </w:divBdr>
      <w:divsChild>
        <w:div w:id="250747312">
          <w:marLeft w:val="0"/>
          <w:marRight w:val="0"/>
          <w:marTop w:val="0"/>
          <w:marBottom w:val="0"/>
          <w:divBdr>
            <w:top w:val="none" w:sz="0" w:space="0" w:color="auto"/>
            <w:left w:val="none" w:sz="0" w:space="0" w:color="auto"/>
            <w:bottom w:val="none" w:sz="0" w:space="0" w:color="auto"/>
            <w:right w:val="none" w:sz="0" w:space="0" w:color="auto"/>
          </w:divBdr>
        </w:div>
        <w:div w:id="2067101779">
          <w:marLeft w:val="0"/>
          <w:marRight w:val="0"/>
          <w:marTop w:val="0"/>
          <w:marBottom w:val="0"/>
          <w:divBdr>
            <w:top w:val="none" w:sz="0" w:space="0" w:color="auto"/>
            <w:left w:val="none" w:sz="0" w:space="0" w:color="auto"/>
            <w:bottom w:val="none" w:sz="0" w:space="0" w:color="auto"/>
            <w:right w:val="none" w:sz="0" w:space="0" w:color="auto"/>
          </w:divBdr>
        </w:div>
        <w:div w:id="856118546">
          <w:marLeft w:val="0"/>
          <w:marRight w:val="0"/>
          <w:marTop w:val="0"/>
          <w:marBottom w:val="0"/>
          <w:divBdr>
            <w:top w:val="none" w:sz="0" w:space="0" w:color="auto"/>
            <w:left w:val="none" w:sz="0" w:space="0" w:color="auto"/>
            <w:bottom w:val="none" w:sz="0" w:space="0" w:color="auto"/>
            <w:right w:val="none" w:sz="0" w:space="0" w:color="auto"/>
          </w:divBdr>
        </w:div>
        <w:div w:id="701177010">
          <w:marLeft w:val="0"/>
          <w:marRight w:val="0"/>
          <w:marTop w:val="0"/>
          <w:marBottom w:val="0"/>
          <w:divBdr>
            <w:top w:val="none" w:sz="0" w:space="0" w:color="auto"/>
            <w:left w:val="none" w:sz="0" w:space="0" w:color="auto"/>
            <w:bottom w:val="none" w:sz="0" w:space="0" w:color="auto"/>
            <w:right w:val="none" w:sz="0" w:space="0" w:color="auto"/>
          </w:divBdr>
        </w:div>
        <w:div w:id="1979995553">
          <w:marLeft w:val="0"/>
          <w:marRight w:val="0"/>
          <w:marTop w:val="0"/>
          <w:marBottom w:val="0"/>
          <w:divBdr>
            <w:top w:val="none" w:sz="0" w:space="0" w:color="auto"/>
            <w:left w:val="none" w:sz="0" w:space="0" w:color="auto"/>
            <w:bottom w:val="none" w:sz="0" w:space="0" w:color="auto"/>
            <w:right w:val="none" w:sz="0" w:space="0" w:color="auto"/>
          </w:divBdr>
        </w:div>
        <w:div w:id="386532194">
          <w:marLeft w:val="0"/>
          <w:marRight w:val="0"/>
          <w:marTop w:val="0"/>
          <w:marBottom w:val="0"/>
          <w:divBdr>
            <w:top w:val="none" w:sz="0" w:space="0" w:color="auto"/>
            <w:left w:val="none" w:sz="0" w:space="0" w:color="auto"/>
            <w:bottom w:val="none" w:sz="0" w:space="0" w:color="auto"/>
            <w:right w:val="none" w:sz="0" w:space="0" w:color="auto"/>
          </w:divBdr>
        </w:div>
        <w:div w:id="1443916966">
          <w:marLeft w:val="0"/>
          <w:marRight w:val="0"/>
          <w:marTop w:val="0"/>
          <w:marBottom w:val="0"/>
          <w:divBdr>
            <w:top w:val="none" w:sz="0" w:space="0" w:color="auto"/>
            <w:left w:val="none" w:sz="0" w:space="0" w:color="auto"/>
            <w:bottom w:val="none" w:sz="0" w:space="0" w:color="auto"/>
            <w:right w:val="none" w:sz="0" w:space="0" w:color="auto"/>
          </w:divBdr>
        </w:div>
        <w:div w:id="1463428840">
          <w:marLeft w:val="0"/>
          <w:marRight w:val="0"/>
          <w:marTop w:val="0"/>
          <w:marBottom w:val="0"/>
          <w:divBdr>
            <w:top w:val="none" w:sz="0" w:space="0" w:color="auto"/>
            <w:left w:val="none" w:sz="0" w:space="0" w:color="auto"/>
            <w:bottom w:val="none" w:sz="0" w:space="0" w:color="auto"/>
            <w:right w:val="none" w:sz="0" w:space="0" w:color="auto"/>
          </w:divBdr>
        </w:div>
        <w:div w:id="340739953">
          <w:marLeft w:val="0"/>
          <w:marRight w:val="0"/>
          <w:marTop w:val="0"/>
          <w:marBottom w:val="0"/>
          <w:divBdr>
            <w:top w:val="none" w:sz="0" w:space="0" w:color="auto"/>
            <w:left w:val="none" w:sz="0" w:space="0" w:color="auto"/>
            <w:bottom w:val="none" w:sz="0" w:space="0" w:color="auto"/>
            <w:right w:val="none" w:sz="0" w:space="0" w:color="auto"/>
          </w:divBdr>
        </w:div>
        <w:div w:id="1214005837">
          <w:marLeft w:val="0"/>
          <w:marRight w:val="0"/>
          <w:marTop w:val="0"/>
          <w:marBottom w:val="0"/>
          <w:divBdr>
            <w:top w:val="none" w:sz="0" w:space="0" w:color="auto"/>
            <w:left w:val="none" w:sz="0" w:space="0" w:color="auto"/>
            <w:bottom w:val="none" w:sz="0" w:space="0" w:color="auto"/>
            <w:right w:val="none" w:sz="0" w:space="0" w:color="auto"/>
          </w:divBdr>
        </w:div>
        <w:div w:id="689572277">
          <w:marLeft w:val="0"/>
          <w:marRight w:val="0"/>
          <w:marTop w:val="0"/>
          <w:marBottom w:val="0"/>
          <w:divBdr>
            <w:top w:val="none" w:sz="0" w:space="0" w:color="auto"/>
            <w:left w:val="none" w:sz="0" w:space="0" w:color="auto"/>
            <w:bottom w:val="none" w:sz="0" w:space="0" w:color="auto"/>
            <w:right w:val="none" w:sz="0" w:space="0" w:color="auto"/>
          </w:divBdr>
        </w:div>
        <w:div w:id="1848668085">
          <w:marLeft w:val="0"/>
          <w:marRight w:val="0"/>
          <w:marTop w:val="0"/>
          <w:marBottom w:val="0"/>
          <w:divBdr>
            <w:top w:val="none" w:sz="0" w:space="0" w:color="auto"/>
            <w:left w:val="none" w:sz="0" w:space="0" w:color="auto"/>
            <w:bottom w:val="none" w:sz="0" w:space="0" w:color="auto"/>
            <w:right w:val="none" w:sz="0" w:space="0" w:color="auto"/>
          </w:divBdr>
        </w:div>
        <w:div w:id="355351056">
          <w:marLeft w:val="0"/>
          <w:marRight w:val="0"/>
          <w:marTop w:val="0"/>
          <w:marBottom w:val="0"/>
          <w:divBdr>
            <w:top w:val="none" w:sz="0" w:space="0" w:color="auto"/>
            <w:left w:val="none" w:sz="0" w:space="0" w:color="auto"/>
            <w:bottom w:val="none" w:sz="0" w:space="0" w:color="auto"/>
            <w:right w:val="none" w:sz="0" w:space="0" w:color="auto"/>
          </w:divBdr>
        </w:div>
        <w:div w:id="185019911">
          <w:marLeft w:val="0"/>
          <w:marRight w:val="0"/>
          <w:marTop w:val="0"/>
          <w:marBottom w:val="0"/>
          <w:divBdr>
            <w:top w:val="none" w:sz="0" w:space="0" w:color="auto"/>
            <w:left w:val="none" w:sz="0" w:space="0" w:color="auto"/>
            <w:bottom w:val="none" w:sz="0" w:space="0" w:color="auto"/>
            <w:right w:val="none" w:sz="0" w:space="0" w:color="auto"/>
          </w:divBdr>
        </w:div>
        <w:div w:id="1409376571">
          <w:marLeft w:val="0"/>
          <w:marRight w:val="0"/>
          <w:marTop w:val="0"/>
          <w:marBottom w:val="0"/>
          <w:divBdr>
            <w:top w:val="none" w:sz="0" w:space="0" w:color="auto"/>
            <w:left w:val="none" w:sz="0" w:space="0" w:color="auto"/>
            <w:bottom w:val="none" w:sz="0" w:space="0" w:color="auto"/>
            <w:right w:val="none" w:sz="0" w:space="0" w:color="auto"/>
          </w:divBdr>
        </w:div>
        <w:div w:id="1153715860">
          <w:marLeft w:val="0"/>
          <w:marRight w:val="0"/>
          <w:marTop w:val="0"/>
          <w:marBottom w:val="0"/>
          <w:divBdr>
            <w:top w:val="none" w:sz="0" w:space="0" w:color="auto"/>
            <w:left w:val="none" w:sz="0" w:space="0" w:color="auto"/>
            <w:bottom w:val="none" w:sz="0" w:space="0" w:color="auto"/>
            <w:right w:val="none" w:sz="0" w:space="0" w:color="auto"/>
          </w:divBdr>
        </w:div>
        <w:div w:id="878051417">
          <w:marLeft w:val="0"/>
          <w:marRight w:val="0"/>
          <w:marTop w:val="0"/>
          <w:marBottom w:val="0"/>
          <w:divBdr>
            <w:top w:val="none" w:sz="0" w:space="0" w:color="auto"/>
            <w:left w:val="none" w:sz="0" w:space="0" w:color="auto"/>
            <w:bottom w:val="none" w:sz="0" w:space="0" w:color="auto"/>
            <w:right w:val="none" w:sz="0" w:space="0" w:color="auto"/>
          </w:divBdr>
        </w:div>
        <w:div w:id="1340767783">
          <w:marLeft w:val="0"/>
          <w:marRight w:val="0"/>
          <w:marTop w:val="0"/>
          <w:marBottom w:val="0"/>
          <w:divBdr>
            <w:top w:val="none" w:sz="0" w:space="0" w:color="auto"/>
            <w:left w:val="none" w:sz="0" w:space="0" w:color="auto"/>
            <w:bottom w:val="none" w:sz="0" w:space="0" w:color="auto"/>
            <w:right w:val="none" w:sz="0" w:space="0" w:color="auto"/>
          </w:divBdr>
        </w:div>
        <w:div w:id="1389064509">
          <w:marLeft w:val="0"/>
          <w:marRight w:val="0"/>
          <w:marTop w:val="0"/>
          <w:marBottom w:val="0"/>
          <w:divBdr>
            <w:top w:val="none" w:sz="0" w:space="0" w:color="auto"/>
            <w:left w:val="none" w:sz="0" w:space="0" w:color="auto"/>
            <w:bottom w:val="none" w:sz="0" w:space="0" w:color="auto"/>
            <w:right w:val="none" w:sz="0" w:space="0" w:color="auto"/>
          </w:divBdr>
        </w:div>
        <w:div w:id="1237981306">
          <w:marLeft w:val="0"/>
          <w:marRight w:val="0"/>
          <w:marTop w:val="0"/>
          <w:marBottom w:val="0"/>
          <w:divBdr>
            <w:top w:val="none" w:sz="0" w:space="0" w:color="auto"/>
            <w:left w:val="none" w:sz="0" w:space="0" w:color="auto"/>
            <w:bottom w:val="none" w:sz="0" w:space="0" w:color="auto"/>
            <w:right w:val="none" w:sz="0" w:space="0" w:color="auto"/>
          </w:divBdr>
        </w:div>
        <w:div w:id="497230276">
          <w:marLeft w:val="0"/>
          <w:marRight w:val="0"/>
          <w:marTop w:val="0"/>
          <w:marBottom w:val="0"/>
          <w:divBdr>
            <w:top w:val="none" w:sz="0" w:space="0" w:color="auto"/>
            <w:left w:val="none" w:sz="0" w:space="0" w:color="auto"/>
            <w:bottom w:val="none" w:sz="0" w:space="0" w:color="auto"/>
            <w:right w:val="none" w:sz="0" w:space="0" w:color="auto"/>
          </w:divBdr>
        </w:div>
        <w:div w:id="1948077385">
          <w:marLeft w:val="0"/>
          <w:marRight w:val="0"/>
          <w:marTop w:val="0"/>
          <w:marBottom w:val="0"/>
          <w:divBdr>
            <w:top w:val="none" w:sz="0" w:space="0" w:color="auto"/>
            <w:left w:val="none" w:sz="0" w:space="0" w:color="auto"/>
            <w:bottom w:val="none" w:sz="0" w:space="0" w:color="auto"/>
            <w:right w:val="none" w:sz="0" w:space="0" w:color="auto"/>
          </w:divBdr>
        </w:div>
        <w:div w:id="2077436875">
          <w:marLeft w:val="0"/>
          <w:marRight w:val="0"/>
          <w:marTop w:val="0"/>
          <w:marBottom w:val="0"/>
          <w:divBdr>
            <w:top w:val="none" w:sz="0" w:space="0" w:color="auto"/>
            <w:left w:val="none" w:sz="0" w:space="0" w:color="auto"/>
            <w:bottom w:val="none" w:sz="0" w:space="0" w:color="auto"/>
            <w:right w:val="none" w:sz="0" w:space="0" w:color="auto"/>
          </w:divBdr>
        </w:div>
        <w:div w:id="375393709">
          <w:marLeft w:val="0"/>
          <w:marRight w:val="0"/>
          <w:marTop w:val="0"/>
          <w:marBottom w:val="0"/>
          <w:divBdr>
            <w:top w:val="none" w:sz="0" w:space="0" w:color="auto"/>
            <w:left w:val="none" w:sz="0" w:space="0" w:color="auto"/>
            <w:bottom w:val="none" w:sz="0" w:space="0" w:color="auto"/>
            <w:right w:val="none" w:sz="0" w:space="0" w:color="auto"/>
          </w:divBdr>
        </w:div>
        <w:div w:id="1116949506">
          <w:marLeft w:val="0"/>
          <w:marRight w:val="0"/>
          <w:marTop w:val="0"/>
          <w:marBottom w:val="0"/>
          <w:divBdr>
            <w:top w:val="none" w:sz="0" w:space="0" w:color="auto"/>
            <w:left w:val="none" w:sz="0" w:space="0" w:color="auto"/>
            <w:bottom w:val="none" w:sz="0" w:space="0" w:color="auto"/>
            <w:right w:val="none" w:sz="0" w:space="0" w:color="auto"/>
          </w:divBdr>
        </w:div>
        <w:div w:id="2063670069">
          <w:marLeft w:val="0"/>
          <w:marRight w:val="0"/>
          <w:marTop w:val="0"/>
          <w:marBottom w:val="0"/>
          <w:divBdr>
            <w:top w:val="none" w:sz="0" w:space="0" w:color="auto"/>
            <w:left w:val="none" w:sz="0" w:space="0" w:color="auto"/>
            <w:bottom w:val="none" w:sz="0" w:space="0" w:color="auto"/>
            <w:right w:val="none" w:sz="0" w:space="0" w:color="auto"/>
          </w:divBdr>
        </w:div>
        <w:div w:id="1385788235">
          <w:marLeft w:val="0"/>
          <w:marRight w:val="0"/>
          <w:marTop w:val="0"/>
          <w:marBottom w:val="0"/>
          <w:divBdr>
            <w:top w:val="none" w:sz="0" w:space="0" w:color="auto"/>
            <w:left w:val="none" w:sz="0" w:space="0" w:color="auto"/>
            <w:bottom w:val="none" w:sz="0" w:space="0" w:color="auto"/>
            <w:right w:val="none" w:sz="0" w:space="0" w:color="auto"/>
          </w:divBdr>
        </w:div>
        <w:div w:id="774130227">
          <w:marLeft w:val="0"/>
          <w:marRight w:val="0"/>
          <w:marTop w:val="0"/>
          <w:marBottom w:val="0"/>
          <w:divBdr>
            <w:top w:val="none" w:sz="0" w:space="0" w:color="auto"/>
            <w:left w:val="none" w:sz="0" w:space="0" w:color="auto"/>
            <w:bottom w:val="none" w:sz="0" w:space="0" w:color="auto"/>
            <w:right w:val="none" w:sz="0" w:space="0" w:color="auto"/>
          </w:divBdr>
        </w:div>
        <w:div w:id="356153059">
          <w:marLeft w:val="0"/>
          <w:marRight w:val="0"/>
          <w:marTop w:val="0"/>
          <w:marBottom w:val="0"/>
          <w:divBdr>
            <w:top w:val="none" w:sz="0" w:space="0" w:color="auto"/>
            <w:left w:val="none" w:sz="0" w:space="0" w:color="auto"/>
            <w:bottom w:val="none" w:sz="0" w:space="0" w:color="auto"/>
            <w:right w:val="none" w:sz="0" w:space="0" w:color="auto"/>
          </w:divBdr>
        </w:div>
      </w:divsChild>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0754488">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728514">
      <w:bodyDiv w:val="1"/>
      <w:marLeft w:val="0"/>
      <w:marRight w:val="0"/>
      <w:marTop w:val="0"/>
      <w:marBottom w:val="0"/>
      <w:divBdr>
        <w:top w:val="none" w:sz="0" w:space="0" w:color="auto"/>
        <w:left w:val="none" w:sz="0" w:space="0" w:color="auto"/>
        <w:bottom w:val="none" w:sz="0" w:space="0" w:color="auto"/>
        <w:right w:val="none" w:sz="0" w:space="0" w:color="auto"/>
      </w:divBdr>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37856037">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76549578">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846009">
      <w:bodyDiv w:val="1"/>
      <w:marLeft w:val="0"/>
      <w:marRight w:val="0"/>
      <w:marTop w:val="0"/>
      <w:marBottom w:val="0"/>
      <w:divBdr>
        <w:top w:val="none" w:sz="0" w:space="0" w:color="auto"/>
        <w:left w:val="none" w:sz="0" w:space="0" w:color="auto"/>
        <w:bottom w:val="none" w:sz="0" w:space="0" w:color="auto"/>
        <w:right w:val="none" w:sz="0" w:space="0" w:color="auto"/>
      </w:divBdr>
      <w:divsChild>
        <w:div w:id="137571566">
          <w:marLeft w:val="0"/>
          <w:marRight w:val="0"/>
          <w:marTop w:val="0"/>
          <w:marBottom w:val="0"/>
          <w:divBdr>
            <w:top w:val="none" w:sz="0" w:space="0" w:color="auto"/>
            <w:left w:val="none" w:sz="0" w:space="0" w:color="auto"/>
            <w:bottom w:val="none" w:sz="0" w:space="0" w:color="auto"/>
            <w:right w:val="none" w:sz="0" w:space="0" w:color="auto"/>
          </w:divBdr>
        </w:div>
        <w:div w:id="776950387">
          <w:marLeft w:val="0"/>
          <w:marRight w:val="0"/>
          <w:marTop w:val="0"/>
          <w:marBottom w:val="0"/>
          <w:divBdr>
            <w:top w:val="none" w:sz="0" w:space="0" w:color="auto"/>
            <w:left w:val="none" w:sz="0" w:space="0" w:color="auto"/>
            <w:bottom w:val="none" w:sz="0" w:space="0" w:color="auto"/>
            <w:right w:val="none" w:sz="0" w:space="0" w:color="auto"/>
          </w:divBdr>
        </w:div>
        <w:div w:id="910965516">
          <w:marLeft w:val="0"/>
          <w:marRight w:val="0"/>
          <w:marTop w:val="0"/>
          <w:marBottom w:val="0"/>
          <w:divBdr>
            <w:top w:val="none" w:sz="0" w:space="0" w:color="auto"/>
            <w:left w:val="none" w:sz="0" w:space="0" w:color="auto"/>
            <w:bottom w:val="none" w:sz="0" w:space="0" w:color="auto"/>
            <w:right w:val="none" w:sz="0" w:space="0" w:color="auto"/>
          </w:divBdr>
        </w:div>
        <w:div w:id="1321274061">
          <w:marLeft w:val="0"/>
          <w:marRight w:val="0"/>
          <w:marTop w:val="0"/>
          <w:marBottom w:val="0"/>
          <w:divBdr>
            <w:top w:val="none" w:sz="0" w:space="0" w:color="auto"/>
            <w:left w:val="none" w:sz="0" w:space="0" w:color="auto"/>
            <w:bottom w:val="none" w:sz="0" w:space="0" w:color="auto"/>
            <w:right w:val="none" w:sz="0" w:space="0" w:color="auto"/>
          </w:divBdr>
        </w:div>
        <w:div w:id="1897934208">
          <w:marLeft w:val="0"/>
          <w:marRight w:val="0"/>
          <w:marTop w:val="0"/>
          <w:marBottom w:val="0"/>
          <w:divBdr>
            <w:top w:val="none" w:sz="0" w:space="0" w:color="auto"/>
            <w:left w:val="none" w:sz="0" w:space="0" w:color="auto"/>
            <w:bottom w:val="none" w:sz="0" w:space="0" w:color="auto"/>
            <w:right w:val="none" w:sz="0" w:space="0" w:color="auto"/>
          </w:divBdr>
        </w:div>
        <w:div w:id="326787748">
          <w:marLeft w:val="0"/>
          <w:marRight w:val="0"/>
          <w:marTop w:val="0"/>
          <w:marBottom w:val="0"/>
          <w:divBdr>
            <w:top w:val="none" w:sz="0" w:space="0" w:color="auto"/>
            <w:left w:val="none" w:sz="0" w:space="0" w:color="auto"/>
            <w:bottom w:val="none" w:sz="0" w:space="0" w:color="auto"/>
            <w:right w:val="none" w:sz="0" w:space="0" w:color="auto"/>
          </w:divBdr>
        </w:div>
        <w:div w:id="1145732085">
          <w:marLeft w:val="0"/>
          <w:marRight w:val="0"/>
          <w:marTop w:val="0"/>
          <w:marBottom w:val="0"/>
          <w:divBdr>
            <w:top w:val="none" w:sz="0" w:space="0" w:color="auto"/>
            <w:left w:val="none" w:sz="0" w:space="0" w:color="auto"/>
            <w:bottom w:val="none" w:sz="0" w:space="0" w:color="auto"/>
            <w:right w:val="none" w:sz="0" w:space="0" w:color="auto"/>
          </w:divBdr>
        </w:div>
        <w:div w:id="469977109">
          <w:marLeft w:val="0"/>
          <w:marRight w:val="0"/>
          <w:marTop w:val="0"/>
          <w:marBottom w:val="0"/>
          <w:divBdr>
            <w:top w:val="none" w:sz="0" w:space="0" w:color="auto"/>
            <w:left w:val="none" w:sz="0" w:space="0" w:color="auto"/>
            <w:bottom w:val="none" w:sz="0" w:space="0" w:color="auto"/>
            <w:right w:val="none" w:sz="0" w:space="0" w:color="auto"/>
          </w:divBdr>
        </w:div>
        <w:div w:id="1847742798">
          <w:marLeft w:val="0"/>
          <w:marRight w:val="0"/>
          <w:marTop w:val="0"/>
          <w:marBottom w:val="0"/>
          <w:divBdr>
            <w:top w:val="none" w:sz="0" w:space="0" w:color="auto"/>
            <w:left w:val="none" w:sz="0" w:space="0" w:color="auto"/>
            <w:bottom w:val="none" w:sz="0" w:space="0" w:color="auto"/>
            <w:right w:val="none" w:sz="0" w:space="0" w:color="auto"/>
          </w:divBdr>
        </w:div>
        <w:div w:id="754977389">
          <w:marLeft w:val="0"/>
          <w:marRight w:val="0"/>
          <w:marTop w:val="0"/>
          <w:marBottom w:val="0"/>
          <w:divBdr>
            <w:top w:val="none" w:sz="0" w:space="0" w:color="auto"/>
            <w:left w:val="none" w:sz="0" w:space="0" w:color="auto"/>
            <w:bottom w:val="none" w:sz="0" w:space="0" w:color="auto"/>
            <w:right w:val="none" w:sz="0" w:space="0" w:color="auto"/>
          </w:divBdr>
        </w:div>
        <w:div w:id="237255211">
          <w:marLeft w:val="0"/>
          <w:marRight w:val="0"/>
          <w:marTop w:val="0"/>
          <w:marBottom w:val="0"/>
          <w:divBdr>
            <w:top w:val="none" w:sz="0" w:space="0" w:color="auto"/>
            <w:left w:val="none" w:sz="0" w:space="0" w:color="auto"/>
            <w:bottom w:val="none" w:sz="0" w:space="0" w:color="auto"/>
            <w:right w:val="none" w:sz="0" w:space="0" w:color="auto"/>
          </w:divBdr>
        </w:div>
        <w:div w:id="218594642">
          <w:marLeft w:val="0"/>
          <w:marRight w:val="0"/>
          <w:marTop w:val="0"/>
          <w:marBottom w:val="0"/>
          <w:divBdr>
            <w:top w:val="none" w:sz="0" w:space="0" w:color="auto"/>
            <w:left w:val="none" w:sz="0" w:space="0" w:color="auto"/>
            <w:bottom w:val="none" w:sz="0" w:space="0" w:color="auto"/>
            <w:right w:val="none" w:sz="0" w:space="0" w:color="auto"/>
          </w:divBdr>
        </w:div>
        <w:div w:id="1396783654">
          <w:marLeft w:val="0"/>
          <w:marRight w:val="0"/>
          <w:marTop w:val="0"/>
          <w:marBottom w:val="0"/>
          <w:divBdr>
            <w:top w:val="none" w:sz="0" w:space="0" w:color="auto"/>
            <w:left w:val="none" w:sz="0" w:space="0" w:color="auto"/>
            <w:bottom w:val="none" w:sz="0" w:space="0" w:color="auto"/>
            <w:right w:val="none" w:sz="0" w:space="0" w:color="auto"/>
          </w:divBdr>
        </w:div>
        <w:div w:id="1592926720">
          <w:marLeft w:val="0"/>
          <w:marRight w:val="0"/>
          <w:marTop w:val="0"/>
          <w:marBottom w:val="0"/>
          <w:divBdr>
            <w:top w:val="none" w:sz="0" w:space="0" w:color="auto"/>
            <w:left w:val="none" w:sz="0" w:space="0" w:color="auto"/>
            <w:bottom w:val="none" w:sz="0" w:space="0" w:color="auto"/>
            <w:right w:val="none" w:sz="0" w:space="0" w:color="auto"/>
          </w:divBdr>
        </w:div>
        <w:div w:id="1953172906">
          <w:marLeft w:val="0"/>
          <w:marRight w:val="0"/>
          <w:marTop w:val="0"/>
          <w:marBottom w:val="0"/>
          <w:divBdr>
            <w:top w:val="none" w:sz="0" w:space="0" w:color="auto"/>
            <w:left w:val="none" w:sz="0" w:space="0" w:color="auto"/>
            <w:bottom w:val="none" w:sz="0" w:space="0" w:color="auto"/>
            <w:right w:val="none" w:sz="0" w:space="0" w:color="auto"/>
          </w:divBdr>
        </w:div>
        <w:div w:id="797845415">
          <w:marLeft w:val="0"/>
          <w:marRight w:val="0"/>
          <w:marTop w:val="0"/>
          <w:marBottom w:val="0"/>
          <w:divBdr>
            <w:top w:val="none" w:sz="0" w:space="0" w:color="auto"/>
            <w:left w:val="none" w:sz="0" w:space="0" w:color="auto"/>
            <w:bottom w:val="none" w:sz="0" w:space="0" w:color="auto"/>
            <w:right w:val="none" w:sz="0" w:space="0" w:color="auto"/>
          </w:divBdr>
        </w:div>
        <w:div w:id="1252548912">
          <w:marLeft w:val="0"/>
          <w:marRight w:val="0"/>
          <w:marTop w:val="0"/>
          <w:marBottom w:val="0"/>
          <w:divBdr>
            <w:top w:val="none" w:sz="0" w:space="0" w:color="auto"/>
            <w:left w:val="none" w:sz="0" w:space="0" w:color="auto"/>
            <w:bottom w:val="none" w:sz="0" w:space="0" w:color="auto"/>
            <w:right w:val="none" w:sz="0" w:space="0" w:color="auto"/>
          </w:divBdr>
        </w:div>
        <w:div w:id="132909867">
          <w:marLeft w:val="0"/>
          <w:marRight w:val="0"/>
          <w:marTop w:val="0"/>
          <w:marBottom w:val="0"/>
          <w:divBdr>
            <w:top w:val="none" w:sz="0" w:space="0" w:color="auto"/>
            <w:left w:val="none" w:sz="0" w:space="0" w:color="auto"/>
            <w:bottom w:val="none" w:sz="0" w:space="0" w:color="auto"/>
            <w:right w:val="none" w:sz="0" w:space="0" w:color="auto"/>
          </w:divBdr>
        </w:div>
        <w:div w:id="2121073037">
          <w:marLeft w:val="0"/>
          <w:marRight w:val="0"/>
          <w:marTop w:val="0"/>
          <w:marBottom w:val="0"/>
          <w:divBdr>
            <w:top w:val="none" w:sz="0" w:space="0" w:color="auto"/>
            <w:left w:val="none" w:sz="0" w:space="0" w:color="auto"/>
            <w:bottom w:val="none" w:sz="0" w:space="0" w:color="auto"/>
            <w:right w:val="none" w:sz="0" w:space="0" w:color="auto"/>
          </w:divBdr>
        </w:div>
        <w:div w:id="1987784308">
          <w:marLeft w:val="0"/>
          <w:marRight w:val="0"/>
          <w:marTop w:val="0"/>
          <w:marBottom w:val="0"/>
          <w:divBdr>
            <w:top w:val="none" w:sz="0" w:space="0" w:color="auto"/>
            <w:left w:val="none" w:sz="0" w:space="0" w:color="auto"/>
            <w:bottom w:val="none" w:sz="0" w:space="0" w:color="auto"/>
            <w:right w:val="none" w:sz="0" w:space="0" w:color="auto"/>
          </w:divBdr>
        </w:div>
        <w:div w:id="454369506">
          <w:marLeft w:val="0"/>
          <w:marRight w:val="0"/>
          <w:marTop w:val="0"/>
          <w:marBottom w:val="0"/>
          <w:divBdr>
            <w:top w:val="none" w:sz="0" w:space="0" w:color="auto"/>
            <w:left w:val="none" w:sz="0" w:space="0" w:color="auto"/>
            <w:bottom w:val="none" w:sz="0" w:space="0" w:color="auto"/>
            <w:right w:val="none" w:sz="0" w:space="0" w:color="auto"/>
          </w:divBdr>
        </w:div>
        <w:div w:id="217324288">
          <w:marLeft w:val="0"/>
          <w:marRight w:val="0"/>
          <w:marTop w:val="0"/>
          <w:marBottom w:val="0"/>
          <w:divBdr>
            <w:top w:val="none" w:sz="0" w:space="0" w:color="auto"/>
            <w:left w:val="none" w:sz="0" w:space="0" w:color="auto"/>
            <w:bottom w:val="none" w:sz="0" w:space="0" w:color="auto"/>
            <w:right w:val="none" w:sz="0" w:space="0" w:color="auto"/>
          </w:divBdr>
        </w:div>
        <w:div w:id="1636056527">
          <w:marLeft w:val="0"/>
          <w:marRight w:val="0"/>
          <w:marTop w:val="0"/>
          <w:marBottom w:val="0"/>
          <w:divBdr>
            <w:top w:val="none" w:sz="0" w:space="0" w:color="auto"/>
            <w:left w:val="none" w:sz="0" w:space="0" w:color="auto"/>
            <w:bottom w:val="none" w:sz="0" w:space="0" w:color="auto"/>
            <w:right w:val="none" w:sz="0" w:space="0" w:color="auto"/>
          </w:divBdr>
        </w:div>
        <w:div w:id="1275019623">
          <w:marLeft w:val="0"/>
          <w:marRight w:val="0"/>
          <w:marTop w:val="0"/>
          <w:marBottom w:val="0"/>
          <w:divBdr>
            <w:top w:val="none" w:sz="0" w:space="0" w:color="auto"/>
            <w:left w:val="none" w:sz="0" w:space="0" w:color="auto"/>
            <w:bottom w:val="none" w:sz="0" w:space="0" w:color="auto"/>
            <w:right w:val="none" w:sz="0" w:space="0" w:color="auto"/>
          </w:divBdr>
        </w:div>
        <w:div w:id="852885648">
          <w:marLeft w:val="0"/>
          <w:marRight w:val="0"/>
          <w:marTop w:val="0"/>
          <w:marBottom w:val="0"/>
          <w:divBdr>
            <w:top w:val="none" w:sz="0" w:space="0" w:color="auto"/>
            <w:left w:val="none" w:sz="0" w:space="0" w:color="auto"/>
            <w:bottom w:val="none" w:sz="0" w:space="0" w:color="auto"/>
            <w:right w:val="none" w:sz="0" w:space="0" w:color="auto"/>
          </w:divBdr>
        </w:div>
        <w:div w:id="207229013">
          <w:marLeft w:val="0"/>
          <w:marRight w:val="0"/>
          <w:marTop w:val="0"/>
          <w:marBottom w:val="0"/>
          <w:divBdr>
            <w:top w:val="none" w:sz="0" w:space="0" w:color="auto"/>
            <w:left w:val="none" w:sz="0" w:space="0" w:color="auto"/>
            <w:bottom w:val="none" w:sz="0" w:space="0" w:color="auto"/>
            <w:right w:val="none" w:sz="0" w:space="0" w:color="auto"/>
          </w:divBdr>
        </w:div>
        <w:div w:id="137576350">
          <w:marLeft w:val="0"/>
          <w:marRight w:val="0"/>
          <w:marTop w:val="0"/>
          <w:marBottom w:val="0"/>
          <w:divBdr>
            <w:top w:val="none" w:sz="0" w:space="0" w:color="auto"/>
            <w:left w:val="none" w:sz="0" w:space="0" w:color="auto"/>
            <w:bottom w:val="none" w:sz="0" w:space="0" w:color="auto"/>
            <w:right w:val="none" w:sz="0" w:space="0" w:color="auto"/>
          </w:divBdr>
        </w:div>
        <w:div w:id="473987455">
          <w:marLeft w:val="0"/>
          <w:marRight w:val="0"/>
          <w:marTop w:val="0"/>
          <w:marBottom w:val="0"/>
          <w:divBdr>
            <w:top w:val="none" w:sz="0" w:space="0" w:color="auto"/>
            <w:left w:val="none" w:sz="0" w:space="0" w:color="auto"/>
            <w:bottom w:val="none" w:sz="0" w:space="0" w:color="auto"/>
            <w:right w:val="none" w:sz="0" w:space="0" w:color="auto"/>
          </w:divBdr>
        </w:div>
        <w:div w:id="598680142">
          <w:marLeft w:val="0"/>
          <w:marRight w:val="0"/>
          <w:marTop w:val="0"/>
          <w:marBottom w:val="0"/>
          <w:divBdr>
            <w:top w:val="none" w:sz="0" w:space="0" w:color="auto"/>
            <w:left w:val="none" w:sz="0" w:space="0" w:color="auto"/>
            <w:bottom w:val="none" w:sz="0" w:space="0" w:color="auto"/>
            <w:right w:val="none" w:sz="0" w:space="0" w:color="auto"/>
          </w:divBdr>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22268598">
      <w:bodyDiv w:val="1"/>
      <w:marLeft w:val="0"/>
      <w:marRight w:val="0"/>
      <w:marTop w:val="0"/>
      <w:marBottom w:val="0"/>
      <w:divBdr>
        <w:top w:val="none" w:sz="0" w:space="0" w:color="auto"/>
        <w:left w:val="none" w:sz="0" w:space="0" w:color="auto"/>
        <w:bottom w:val="none" w:sz="0" w:space="0" w:color="auto"/>
        <w:right w:val="none" w:sz="0" w:space="0" w:color="auto"/>
      </w:divBdr>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50988880">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08723210">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2754698">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37901838">
      <w:bodyDiv w:val="1"/>
      <w:marLeft w:val="0"/>
      <w:marRight w:val="0"/>
      <w:marTop w:val="0"/>
      <w:marBottom w:val="0"/>
      <w:divBdr>
        <w:top w:val="none" w:sz="0" w:space="0" w:color="auto"/>
        <w:left w:val="none" w:sz="0" w:space="0" w:color="auto"/>
        <w:bottom w:val="none" w:sz="0" w:space="0" w:color="auto"/>
        <w:right w:val="none" w:sz="0" w:space="0" w:color="auto"/>
      </w:divBdr>
    </w:div>
    <w:div w:id="744378736">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1511602">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75096108">
      <w:bodyDiv w:val="1"/>
      <w:marLeft w:val="0"/>
      <w:marRight w:val="0"/>
      <w:marTop w:val="0"/>
      <w:marBottom w:val="0"/>
      <w:divBdr>
        <w:top w:val="none" w:sz="0" w:space="0" w:color="auto"/>
        <w:left w:val="none" w:sz="0" w:space="0" w:color="auto"/>
        <w:bottom w:val="none" w:sz="0" w:space="0" w:color="auto"/>
        <w:right w:val="none" w:sz="0" w:space="0" w:color="auto"/>
      </w:divBdr>
    </w:div>
    <w:div w:id="780107039">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20536661">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60507547">
      <w:bodyDiv w:val="1"/>
      <w:marLeft w:val="0"/>
      <w:marRight w:val="0"/>
      <w:marTop w:val="0"/>
      <w:marBottom w:val="0"/>
      <w:divBdr>
        <w:top w:val="none" w:sz="0" w:space="0" w:color="auto"/>
        <w:left w:val="none" w:sz="0" w:space="0" w:color="auto"/>
        <w:bottom w:val="none" w:sz="0" w:space="0" w:color="auto"/>
        <w:right w:val="none" w:sz="0" w:space="0" w:color="auto"/>
      </w:divBdr>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52325591">
      <w:bodyDiv w:val="1"/>
      <w:marLeft w:val="0"/>
      <w:marRight w:val="0"/>
      <w:marTop w:val="0"/>
      <w:marBottom w:val="0"/>
      <w:divBdr>
        <w:top w:val="none" w:sz="0" w:space="0" w:color="auto"/>
        <w:left w:val="none" w:sz="0" w:space="0" w:color="auto"/>
        <w:bottom w:val="none" w:sz="0" w:space="0" w:color="auto"/>
        <w:right w:val="none" w:sz="0" w:space="0" w:color="auto"/>
      </w:divBdr>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553196">
      <w:bodyDiv w:val="1"/>
      <w:marLeft w:val="0"/>
      <w:marRight w:val="0"/>
      <w:marTop w:val="0"/>
      <w:marBottom w:val="0"/>
      <w:divBdr>
        <w:top w:val="none" w:sz="0" w:space="0" w:color="auto"/>
        <w:left w:val="none" w:sz="0" w:space="0" w:color="auto"/>
        <w:bottom w:val="none" w:sz="0" w:space="0" w:color="auto"/>
        <w:right w:val="none" w:sz="0" w:space="0" w:color="auto"/>
      </w:divBdr>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4108089">
      <w:bodyDiv w:val="1"/>
      <w:marLeft w:val="0"/>
      <w:marRight w:val="0"/>
      <w:marTop w:val="0"/>
      <w:marBottom w:val="0"/>
      <w:divBdr>
        <w:top w:val="none" w:sz="0" w:space="0" w:color="auto"/>
        <w:left w:val="none" w:sz="0" w:space="0" w:color="auto"/>
        <w:bottom w:val="none" w:sz="0" w:space="0" w:color="auto"/>
        <w:right w:val="none" w:sz="0" w:space="0" w:color="auto"/>
      </w:divBdr>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65756435">
      <w:bodyDiv w:val="1"/>
      <w:marLeft w:val="0"/>
      <w:marRight w:val="0"/>
      <w:marTop w:val="0"/>
      <w:marBottom w:val="0"/>
      <w:divBdr>
        <w:top w:val="none" w:sz="0" w:space="0" w:color="auto"/>
        <w:left w:val="none" w:sz="0" w:space="0" w:color="auto"/>
        <w:bottom w:val="none" w:sz="0" w:space="0" w:color="auto"/>
        <w:right w:val="none" w:sz="0" w:space="0" w:color="auto"/>
      </w:divBdr>
    </w:div>
    <w:div w:id="1067269241">
      <w:bodyDiv w:val="1"/>
      <w:marLeft w:val="0"/>
      <w:marRight w:val="0"/>
      <w:marTop w:val="0"/>
      <w:marBottom w:val="0"/>
      <w:divBdr>
        <w:top w:val="none" w:sz="0" w:space="0" w:color="auto"/>
        <w:left w:val="none" w:sz="0" w:space="0" w:color="auto"/>
        <w:bottom w:val="none" w:sz="0" w:space="0" w:color="auto"/>
        <w:right w:val="none" w:sz="0" w:space="0" w:color="auto"/>
      </w:divBdr>
    </w:div>
    <w:div w:id="1068765936">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078676523">
      <w:bodyDiv w:val="1"/>
      <w:marLeft w:val="0"/>
      <w:marRight w:val="0"/>
      <w:marTop w:val="0"/>
      <w:marBottom w:val="0"/>
      <w:divBdr>
        <w:top w:val="none" w:sz="0" w:space="0" w:color="auto"/>
        <w:left w:val="none" w:sz="0" w:space="0" w:color="auto"/>
        <w:bottom w:val="none" w:sz="0" w:space="0" w:color="auto"/>
        <w:right w:val="none" w:sz="0" w:space="0" w:color="auto"/>
      </w:divBdr>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20952126">
      <w:bodyDiv w:val="1"/>
      <w:marLeft w:val="0"/>
      <w:marRight w:val="0"/>
      <w:marTop w:val="0"/>
      <w:marBottom w:val="0"/>
      <w:divBdr>
        <w:top w:val="none" w:sz="0" w:space="0" w:color="auto"/>
        <w:left w:val="none" w:sz="0" w:space="0" w:color="auto"/>
        <w:bottom w:val="none" w:sz="0" w:space="0" w:color="auto"/>
        <w:right w:val="none" w:sz="0" w:space="0" w:color="auto"/>
      </w:divBdr>
    </w:div>
    <w:div w:id="1122846840">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45702031">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6510106">
      <w:bodyDiv w:val="1"/>
      <w:marLeft w:val="0"/>
      <w:marRight w:val="0"/>
      <w:marTop w:val="0"/>
      <w:marBottom w:val="0"/>
      <w:divBdr>
        <w:top w:val="none" w:sz="0" w:space="0" w:color="auto"/>
        <w:left w:val="none" w:sz="0" w:space="0" w:color="auto"/>
        <w:bottom w:val="none" w:sz="0" w:space="0" w:color="auto"/>
        <w:right w:val="none" w:sz="0" w:space="0" w:color="auto"/>
      </w:divBdr>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55087140">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2684688">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6833607">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3574512">
      <w:bodyDiv w:val="1"/>
      <w:marLeft w:val="0"/>
      <w:marRight w:val="0"/>
      <w:marTop w:val="0"/>
      <w:marBottom w:val="0"/>
      <w:divBdr>
        <w:top w:val="none" w:sz="0" w:space="0" w:color="auto"/>
        <w:left w:val="none" w:sz="0" w:space="0" w:color="auto"/>
        <w:bottom w:val="none" w:sz="0" w:space="0" w:color="auto"/>
        <w:right w:val="none" w:sz="0" w:space="0" w:color="auto"/>
      </w:divBdr>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553150">
      <w:bodyDiv w:val="1"/>
      <w:marLeft w:val="0"/>
      <w:marRight w:val="0"/>
      <w:marTop w:val="0"/>
      <w:marBottom w:val="0"/>
      <w:divBdr>
        <w:top w:val="none" w:sz="0" w:space="0" w:color="auto"/>
        <w:left w:val="none" w:sz="0" w:space="0" w:color="auto"/>
        <w:bottom w:val="none" w:sz="0" w:space="0" w:color="auto"/>
        <w:right w:val="none" w:sz="0" w:space="0" w:color="auto"/>
      </w:divBdr>
    </w:div>
    <w:div w:id="1429808959">
      <w:bodyDiv w:val="1"/>
      <w:marLeft w:val="0"/>
      <w:marRight w:val="0"/>
      <w:marTop w:val="0"/>
      <w:marBottom w:val="0"/>
      <w:divBdr>
        <w:top w:val="none" w:sz="0" w:space="0" w:color="auto"/>
        <w:left w:val="none" w:sz="0" w:space="0" w:color="auto"/>
        <w:bottom w:val="none" w:sz="0" w:space="0" w:color="auto"/>
        <w:right w:val="none" w:sz="0" w:space="0" w:color="auto"/>
      </w:divBdr>
    </w:div>
    <w:div w:id="1438211117">
      <w:bodyDiv w:val="1"/>
      <w:marLeft w:val="0"/>
      <w:marRight w:val="0"/>
      <w:marTop w:val="0"/>
      <w:marBottom w:val="0"/>
      <w:divBdr>
        <w:top w:val="none" w:sz="0" w:space="0" w:color="auto"/>
        <w:left w:val="none" w:sz="0" w:space="0" w:color="auto"/>
        <w:bottom w:val="none" w:sz="0" w:space="0" w:color="auto"/>
        <w:right w:val="none" w:sz="0" w:space="0" w:color="auto"/>
      </w:divBdr>
    </w:div>
    <w:div w:id="1445539880">
      <w:bodyDiv w:val="1"/>
      <w:marLeft w:val="0"/>
      <w:marRight w:val="0"/>
      <w:marTop w:val="0"/>
      <w:marBottom w:val="0"/>
      <w:divBdr>
        <w:top w:val="none" w:sz="0" w:space="0" w:color="auto"/>
        <w:left w:val="none" w:sz="0" w:space="0" w:color="auto"/>
        <w:bottom w:val="none" w:sz="0" w:space="0" w:color="auto"/>
        <w:right w:val="none" w:sz="0" w:space="0" w:color="auto"/>
      </w:divBdr>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80684525">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2109097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36767183">
      <w:bodyDiv w:val="1"/>
      <w:marLeft w:val="0"/>
      <w:marRight w:val="0"/>
      <w:marTop w:val="0"/>
      <w:marBottom w:val="0"/>
      <w:divBdr>
        <w:top w:val="none" w:sz="0" w:space="0" w:color="auto"/>
        <w:left w:val="none" w:sz="0" w:space="0" w:color="auto"/>
        <w:bottom w:val="none" w:sz="0" w:space="0" w:color="auto"/>
        <w:right w:val="none" w:sz="0" w:space="0" w:color="auto"/>
      </w:divBdr>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71453629">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8027276">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62537683">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563439">
      <w:bodyDiv w:val="1"/>
      <w:marLeft w:val="0"/>
      <w:marRight w:val="0"/>
      <w:marTop w:val="0"/>
      <w:marBottom w:val="0"/>
      <w:divBdr>
        <w:top w:val="none" w:sz="0" w:space="0" w:color="auto"/>
        <w:left w:val="none" w:sz="0" w:space="0" w:color="auto"/>
        <w:bottom w:val="none" w:sz="0" w:space="0" w:color="auto"/>
        <w:right w:val="none" w:sz="0" w:space="0" w:color="auto"/>
      </w:divBdr>
    </w:div>
    <w:div w:id="1709986861">
      <w:bodyDiv w:val="1"/>
      <w:marLeft w:val="0"/>
      <w:marRight w:val="0"/>
      <w:marTop w:val="0"/>
      <w:marBottom w:val="0"/>
      <w:divBdr>
        <w:top w:val="none" w:sz="0" w:space="0" w:color="auto"/>
        <w:left w:val="none" w:sz="0" w:space="0" w:color="auto"/>
        <w:bottom w:val="none" w:sz="0" w:space="0" w:color="auto"/>
        <w:right w:val="none" w:sz="0" w:space="0" w:color="auto"/>
      </w:divBdr>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19355292">
      <w:bodyDiv w:val="1"/>
      <w:marLeft w:val="0"/>
      <w:marRight w:val="0"/>
      <w:marTop w:val="0"/>
      <w:marBottom w:val="0"/>
      <w:divBdr>
        <w:top w:val="none" w:sz="0" w:space="0" w:color="auto"/>
        <w:left w:val="none" w:sz="0" w:space="0" w:color="auto"/>
        <w:bottom w:val="none" w:sz="0" w:space="0" w:color="auto"/>
        <w:right w:val="none" w:sz="0" w:space="0" w:color="auto"/>
      </w:divBdr>
    </w:div>
    <w:div w:id="1721325717">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1898312">
      <w:bodyDiv w:val="1"/>
      <w:marLeft w:val="0"/>
      <w:marRight w:val="0"/>
      <w:marTop w:val="0"/>
      <w:marBottom w:val="0"/>
      <w:divBdr>
        <w:top w:val="none" w:sz="0" w:space="0" w:color="auto"/>
        <w:left w:val="none" w:sz="0" w:space="0" w:color="auto"/>
        <w:bottom w:val="none" w:sz="0" w:space="0" w:color="auto"/>
        <w:right w:val="none" w:sz="0" w:space="0" w:color="auto"/>
      </w:divBdr>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389405">
      <w:bodyDiv w:val="1"/>
      <w:marLeft w:val="0"/>
      <w:marRight w:val="0"/>
      <w:marTop w:val="0"/>
      <w:marBottom w:val="0"/>
      <w:divBdr>
        <w:top w:val="none" w:sz="0" w:space="0" w:color="auto"/>
        <w:left w:val="none" w:sz="0" w:space="0" w:color="auto"/>
        <w:bottom w:val="none" w:sz="0" w:space="0" w:color="auto"/>
        <w:right w:val="none" w:sz="0" w:space="0" w:color="auto"/>
      </w:divBdr>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1752339">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27279978">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886019032">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414109">
      <w:bodyDiv w:val="1"/>
      <w:marLeft w:val="0"/>
      <w:marRight w:val="0"/>
      <w:marTop w:val="0"/>
      <w:marBottom w:val="0"/>
      <w:divBdr>
        <w:top w:val="none" w:sz="0" w:space="0" w:color="auto"/>
        <w:left w:val="none" w:sz="0" w:space="0" w:color="auto"/>
        <w:bottom w:val="none" w:sz="0" w:space="0" w:color="auto"/>
        <w:right w:val="none" w:sz="0" w:space="0" w:color="auto"/>
      </w:divBdr>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71323304">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11176562">
      <w:bodyDiv w:val="1"/>
      <w:marLeft w:val="0"/>
      <w:marRight w:val="0"/>
      <w:marTop w:val="0"/>
      <w:marBottom w:val="0"/>
      <w:divBdr>
        <w:top w:val="none" w:sz="0" w:space="0" w:color="auto"/>
        <w:left w:val="none" w:sz="0" w:space="0" w:color="auto"/>
        <w:bottom w:val="none" w:sz="0" w:space="0" w:color="auto"/>
        <w:right w:val="none" w:sz="0" w:space="0" w:color="auto"/>
      </w:divBdr>
    </w:div>
    <w:div w:id="2012874366">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242409">
      <w:bodyDiv w:val="1"/>
      <w:marLeft w:val="0"/>
      <w:marRight w:val="0"/>
      <w:marTop w:val="0"/>
      <w:marBottom w:val="0"/>
      <w:divBdr>
        <w:top w:val="none" w:sz="0" w:space="0" w:color="auto"/>
        <w:left w:val="none" w:sz="0" w:space="0" w:color="auto"/>
        <w:bottom w:val="none" w:sz="0" w:space="0" w:color="auto"/>
        <w:right w:val="none" w:sz="0" w:space="0" w:color="auto"/>
      </w:divBdr>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84794416">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203182">
      <w:bodyDiv w:val="1"/>
      <w:marLeft w:val="0"/>
      <w:marRight w:val="0"/>
      <w:marTop w:val="0"/>
      <w:marBottom w:val="0"/>
      <w:divBdr>
        <w:top w:val="none" w:sz="0" w:space="0" w:color="auto"/>
        <w:left w:val="none" w:sz="0" w:space="0" w:color="auto"/>
        <w:bottom w:val="none" w:sz="0" w:space="0" w:color="auto"/>
        <w:right w:val="none" w:sz="0" w:space="0" w:color="auto"/>
      </w:divBdr>
    </w:div>
    <w:div w:id="2096899811">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11654730">
      <w:bodyDiv w:val="1"/>
      <w:marLeft w:val="0"/>
      <w:marRight w:val="0"/>
      <w:marTop w:val="0"/>
      <w:marBottom w:val="0"/>
      <w:divBdr>
        <w:top w:val="none" w:sz="0" w:space="0" w:color="auto"/>
        <w:left w:val="none" w:sz="0" w:space="0" w:color="auto"/>
        <w:bottom w:val="none" w:sz="0" w:space="0" w:color="auto"/>
        <w:right w:val="none" w:sz="0" w:space="0" w:color="auto"/>
      </w:divBdr>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4765444">
      <w:bodyDiv w:val="1"/>
      <w:marLeft w:val="0"/>
      <w:marRight w:val="0"/>
      <w:marTop w:val="0"/>
      <w:marBottom w:val="0"/>
      <w:divBdr>
        <w:top w:val="none" w:sz="0" w:space="0" w:color="auto"/>
        <w:left w:val="none" w:sz="0" w:space="0" w:color="auto"/>
        <w:bottom w:val="none" w:sz="0" w:space="0" w:color="auto"/>
        <w:right w:val="none" w:sz="0" w:space="0" w:color="auto"/>
      </w:divBdr>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2.xml><?xml version="1.0" encoding="utf-8"?>
<ds:datastoreItem xmlns:ds="http://schemas.openxmlformats.org/officeDocument/2006/customXml" ds:itemID="{96E42282-D077-45CA-8B22-FA407503A13B}">
  <ds:schemaRefs>
    <ds:schemaRef ds:uri="http://schemas.openxmlformats.org/officeDocument/2006/bibliography"/>
  </ds:schemaRefs>
</ds:datastoreItem>
</file>

<file path=customXml/itemProps3.xml><?xml version="1.0" encoding="utf-8"?>
<ds:datastoreItem xmlns:ds="http://schemas.openxmlformats.org/officeDocument/2006/customXml" ds:itemID="{E1443776-B444-47FB-9AB6-0C925280B2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D4414C5-DEED-4B13-A7CA-6B19E7E10D7B}">
  <ds:schemaRefs>
    <ds:schemaRef ds:uri="http://purl.org/dc/elements/1.1/"/>
    <ds:schemaRef ds:uri="http://schemas.microsoft.com/office/2006/documentManagement/types"/>
    <ds:schemaRef ds:uri="a6cb9e4b-f1d1-4245-83ec-6cad768d538a"/>
    <ds:schemaRef ds:uri="http://purl.org/dc/terms/"/>
    <ds:schemaRef ds:uri="http://schemas.microsoft.com/office/2006/metadata/properties"/>
    <ds:schemaRef ds:uri="http://purl.org/dc/dcmitype/"/>
    <ds:schemaRef ds:uri="http://schemas.microsoft.com/office/infopath/2007/PartnerControls"/>
    <ds:schemaRef ds:uri="http://schemas.openxmlformats.org/package/2006/metadata/core-properties"/>
    <ds:schemaRef ds:uri="9d85dbaf-23eb-4e57-a637-93dcacc8b1a1"/>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0</TotalTime>
  <Pages>17</Pages>
  <Words>5727</Words>
  <Characters>31499</Characters>
  <Application>Microsoft Office Word</Application>
  <DocSecurity>0</DocSecurity>
  <Lines>262</Lines>
  <Paragraphs>74</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37152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Ana Maria Velez Arteaga</cp:lastModifiedBy>
  <cp:revision>2</cp:revision>
  <cp:lastPrinted>2020-01-30T15:05:00Z</cp:lastPrinted>
  <dcterms:created xsi:type="dcterms:W3CDTF">2023-03-03T15:25:00Z</dcterms:created>
  <dcterms:modified xsi:type="dcterms:W3CDTF">2023-03-03T15:25:00Z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