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F1ECA" w14:textId="3BDCD2EF" w:rsidR="006219F8" w:rsidRPr="007566FE" w:rsidRDefault="1CC63BF5" w:rsidP="6B8BD3AC">
      <w:pPr>
        <w:rPr>
          <w:rFonts w:ascii="Geomanist Light" w:eastAsia="Geomanist Light" w:hAnsi="Geomanist Light" w:cs="Geomanist Light"/>
          <w:color w:val="201F1E"/>
          <w:lang w:val="es-MX"/>
        </w:rPr>
      </w:pPr>
      <w:r w:rsidRPr="6B8BD3AC">
        <w:rPr>
          <w:rFonts w:ascii="Geomanist Light" w:eastAsia="Geomanist Light" w:hAnsi="Geomanist Light" w:cs="Geomanist Light"/>
          <w:color w:val="000000" w:themeColor="text1"/>
          <w:lang w:val="es-MX"/>
        </w:rPr>
        <w:t>Bogotá D.C., </w:t>
      </w:r>
      <w:r w:rsidRPr="6B8BD3AC">
        <w:rPr>
          <w:rFonts w:ascii="Geomanist Light" w:eastAsia="Geomanist Light" w:hAnsi="Geomanist Light" w:cs="Geomanist Light"/>
          <w:color w:val="201F1E"/>
          <w:lang w:val="es-MX"/>
        </w:rPr>
        <w:t>[Día] de [</w:t>
      </w:r>
      <w:proofErr w:type="spellStart"/>
      <w:r w:rsidRPr="6B8BD3AC">
        <w:rPr>
          <w:rFonts w:ascii="Geomanist Light" w:eastAsia="Geomanist Light" w:hAnsi="Geomanist Light" w:cs="Geomanist Light"/>
          <w:color w:val="201F1E"/>
          <w:lang w:val="es-MX"/>
        </w:rPr>
        <w:t>Mes.NombreCapitalizado</w:t>
      </w:r>
      <w:proofErr w:type="spellEnd"/>
      <w:r w:rsidRPr="6B8BD3AC">
        <w:rPr>
          <w:rFonts w:ascii="Geomanist Light" w:eastAsia="Geomanist Light" w:hAnsi="Geomanist Light" w:cs="Geomanist Light"/>
          <w:color w:val="201F1E"/>
          <w:lang w:val="es-MX"/>
        </w:rPr>
        <w:t>] de [Año]</w:t>
      </w:r>
    </w:p>
    <w:p w14:paraId="4EBAA3F2" w14:textId="77777777" w:rsidR="00F73B81" w:rsidRDefault="00F73B81" w:rsidP="00AB7126">
      <w:pPr>
        <w:spacing w:after="0" w:line="240" w:lineRule="auto"/>
        <w:rPr>
          <w:rFonts w:ascii="Arial" w:eastAsia="Times New Roman" w:hAnsi="Arial" w:cs="Arial"/>
          <w:bCs/>
          <w:color w:val="000000" w:themeColor="text1"/>
          <w:szCs w:val="24"/>
          <w:lang w:eastAsia="es-ES_tradnl"/>
        </w:rPr>
      </w:pPr>
      <w:bookmarkStart w:id="0" w:name="_Hlk34951122"/>
    </w:p>
    <w:p w14:paraId="237C665B" w14:textId="77777777" w:rsidR="00F73B81" w:rsidRDefault="00F73B81" w:rsidP="00AB7126">
      <w:pPr>
        <w:spacing w:after="0" w:line="240" w:lineRule="auto"/>
        <w:rPr>
          <w:rFonts w:ascii="Arial" w:eastAsia="Times New Roman" w:hAnsi="Arial" w:cs="Arial"/>
          <w:bCs/>
          <w:color w:val="000000" w:themeColor="text1"/>
          <w:szCs w:val="24"/>
          <w:lang w:eastAsia="es-ES_tradnl"/>
        </w:rPr>
      </w:pPr>
    </w:p>
    <w:p w14:paraId="048B925B" w14:textId="751A07B2" w:rsidR="00F73B81" w:rsidRDefault="007D0AA6" w:rsidP="00396144">
      <w:pPr>
        <w:spacing w:after="0" w:line="240" w:lineRule="auto"/>
        <w:jc w:val="right"/>
        <w:rPr>
          <w:rFonts w:ascii="Arial" w:eastAsia="Times New Roman" w:hAnsi="Arial" w:cs="Arial"/>
          <w:bCs/>
          <w:color w:val="000000" w:themeColor="text1"/>
          <w:szCs w:val="24"/>
          <w:lang w:eastAsia="es-ES_tradnl"/>
        </w:rPr>
      </w:pPr>
      <w:r w:rsidRPr="007D0AA6">
        <w:rPr>
          <w:rFonts w:ascii="Arial" w:eastAsia="Times New Roman" w:hAnsi="Arial" w:cs="Arial"/>
          <w:bCs/>
          <w:noProof/>
          <w:color w:val="000000" w:themeColor="text1"/>
          <w:szCs w:val="24"/>
          <w:lang w:eastAsia="es-ES_tradnl"/>
        </w:rPr>
        <w:drawing>
          <wp:inline distT="0" distB="0" distL="0" distR="0" wp14:anchorId="46D770F0" wp14:editId="0B3B76E4">
            <wp:extent cx="3956538" cy="767715"/>
            <wp:effectExtent l="0" t="0" r="635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71465" cy="770611"/>
                    </a:xfrm>
                    <a:prstGeom prst="rect">
                      <a:avLst/>
                    </a:prstGeom>
                    <a:noFill/>
                    <a:ln>
                      <a:noFill/>
                    </a:ln>
                  </pic:spPr>
                </pic:pic>
              </a:graphicData>
            </a:graphic>
          </wp:inline>
        </w:drawing>
      </w:r>
    </w:p>
    <w:p w14:paraId="442E34B2" w14:textId="77777777" w:rsidR="00F73B81" w:rsidRDefault="00F73B81" w:rsidP="00AB7126">
      <w:pPr>
        <w:spacing w:after="0" w:line="240" w:lineRule="auto"/>
        <w:rPr>
          <w:rFonts w:ascii="Arial" w:eastAsia="Times New Roman" w:hAnsi="Arial" w:cs="Arial"/>
          <w:bCs/>
          <w:color w:val="000000" w:themeColor="text1"/>
          <w:szCs w:val="24"/>
          <w:lang w:eastAsia="es-ES_tradnl"/>
        </w:rPr>
      </w:pPr>
    </w:p>
    <w:p w14:paraId="4215AE48" w14:textId="0988122E" w:rsidR="00AB7126" w:rsidRPr="00AB7126" w:rsidRDefault="00AB7126" w:rsidP="00AB7126">
      <w:pPr>
        <w:spacing w:after="0" w:line="240" w:lineRule="auto"/>
        <w:rPr>
          <w:rFonts w:ascii="Arial" w:eastAsia="Times New Roman" w:hAnsi="Arial" w:cs="Arial"/>
          <w:bCs/>
          <w:color w:val="000000" w:themeColor="text1"/>
          <w:szCs w:val="24"/>
          <w:lang w:eastAsia="es-ES_tradnl"/>
        </w:rPr>
      </w:pPr>
      <w:r w:rsidRPr="00AB7126">
        <w:rPr>
          <w:rFonts w:ascii="Arial" w:eastAsia="Times New Roman" w:hAnsi="Arial" w:cs="Arial"/>
          <w:bCs/>
          <w:color w:val="000000" w:themeColor="text1"/>
          <w:szCs w:val="24"/>
          <w:lang w:eastAsia="es-ES_tradnl"/>
        </w:rPr>
        <w:t>Señora</w:t>
      </w:r>
    </w:p>
    <w:p w14:paraId="54CBCAEF" w14:textId="77777777" w:rsidR="00AB7126" w:rsidRDefault="00AB7126" w:rsidP="00AB7126">
      <w:pPr>
        <w:spacing w:after="0" w:line="240" w:lineRule="auto"/>
        <w:jc w:val="both"/>
        <w:rPr>
          <w:rFonts w:ascii="Arial" w:eastAsia="Times New Roman" w:hAnsi="Arial" w:cs="Arial"/>
          <w:b/>
          <w:color w:val="000000" w:themeColor="text1"/>
          <w:szCs w:val="24"/>
          <w:lang w:eastAsia="es-ES_tradnl"/>
        </w:rPr>
      </w:pPr>
      <w:r w:rsidRPr="00AB7126">
        <w:rPr>
          <w:rFonts w:ascii="Arial" w:eastAsia="Times New Roman" w:hAnsi="Arial" w:cs="Arial"/>
          <w:b/>
          <w:color w:val="000000" w:themeColor="text1"/>
          <w:szCs w:val="24"/>
          <w:lang w:eastAsia="es-ES_tradnl"/>
        </w:rPr>
        <w:t xml:space="preserve">Claudia Delgado </w:t>
      </w:r>
      <w:proofErr w:type="spellStart"/>
      <w:r w:rsidRPr="00AB7126">
        <w:rPr>
          <w:rFonts w:ascii="Arial" w:eastAsia="Times New Roman" w:hAnsi="Arial" w:cs="Arial"/>
          <w:b/>
          <w:color w:val="000000" w:themeColor="text1"/>
          <w:szCs w:val="24"/>
          <w:lang w:eastAsia="es-ES_tradnl"/>
        </w:rPr>
        <w:t>Aguacia</w:t>
      </w:r>
      <w:proofErr w:type="spellEnd"/>
      <w:r w:rsidRPr="00AB7126">
        <w:rPr>
          <w:rFonts w:ascii="Arial" w:eastAsia="Times New Roman" w:hAnsi="Arial" w:cs="Arial"/>
          <w:b/>
          <w:color w:val="000000" w:themeColor="text1"/>
          <w:szCs w:val="24"/>
          <w:lang w:eastAsia="es-ES_tradnl"/>
        </w:rPr>
        <w:t xml:space="preserve"> </w:t>
      </w:r>
    </w:p>
    <w:p w14:paraId="0D0DC11F" w14:textId="30FB7AB3" w:rsidR="00F73B81" w:rsidRPr="00AB7126" w:rsidRDefault="0042674C" w:rsidP="00AB7126">
      <w:pPr>
        <w:spacing w:after="0" w:line="240" w:lineRule="auto"/>
        <w:jc w:val="both"/>
        <w:rPr>
          <w:rFonts w:ascii="Arial" w:eastAsia="Times New Roman" w:hAnsi="Arial" w:cs="Arial"/>
          <w:b/>
          <w:color w:val="000000" w:themeColor="text1"/>
          <w:szCs w:val="24"/>
          <w:lang w:eastAsia="es-ES_tradnl"/>
        </w:rPr>
      </w:pPr>
      <w:hyperlink r:id="rId12" w:history="1">
        <w:r w:rsidR="00F73B81" w:rsidRPr="00634C71">
          <w:rPr>
            <w:rStyle w:val="Hipervnculo"/>
            <w:rFonts w:ascii="Arial" w:eastAsia="Times New Roman" w:hAnsi="Arial" w:cs="Arial"/>
            <w:b/>
            <w:szCs w:val="24"/>
            <w:lang w:eastAsia="es-ES_tradnl"/>
          </w:rPr>
          <w:t>claudiadelgadoaguacia@gmail.com</w:t>
        </w:r>
      </w:hyperlink>
      <w:r w:rsidR="00F73B81">
        <w:rPr>
          <w:rFonts w:ascii="Arial" w:eastAsia="Times New Roman" w:hAnsi="Arial" w:cs="Arial"/>
          <w:b/>
          <w:color w:val="000000" w:themeColor="text1"/>
          <w:szCs w:val="24"/>
          <w:lang w:eastAsia="es-ES_tradnl"/>
        </w:rPr>
        <w:t xml:space="preserve"> </w:t>
      </w:r>
    </w:p>
    <w:p w14:paraId="2935174E" w14:textId="77777777" w:rsidR="00AB7126" w:rsidRPr="00AB7126" w:rsidRDefault="00AB7126" w:rsidP="00AB7126">
      <w:pPr>
        <w:spacing w:after="0" w:line="240" w:lineRule="auto"/>
        <w:jc w:val="both"/>
        <w:rPr>
          <w:rFonts w:ascii="Arial" w:eastAsia="Times New Roman" w:hAnsi="Arial" w:cs="Arial"/>
          <w:bCs/>
          <w:color w:val="000000" w:themeColor="text1"/>
          <w:szCs w:val="24"/>
          <w:lang w:eastAsia="es-ES_tradnl"/>
        </w:rPr>
      </w:pPr>
      <w:r w:rsidRPr="00AB7126">
        <w:rPr>
          <w:rFonts w:ascii="Arial" w:eastAsia="Times New Roman" w:hAnsi="Arial" w:cs="Arial"/>
          <w:bCs/>
          <w:color w:val="000000" w:themeColor="text1"/>
          <w:szCs w:val="24"/>
          <w:lang w:eastAsia="es-ES_tradnl"/>
        </w:rPr>
        <w:t>Bogotá D.C.</w:t>
      </w:r>
    </w:p>
    <w:p w14:paraId="74CBD510" w14:textId="77777777" w:rsidR="00AB7126" w:rsidRPr="00AB7126" w:rsidRDefault="00AB7126" w:rsidP="00AB7126">
      <w:pPr>
        <w:spacing w:after="0" w:line="240" w:lineRule="auto"/>
        <w:jc w:val="both"/>
        <w:rPr>
          <w:rFonts w:ascii="Arial" w:eastAsia="Times New Roman" w:hAnsi="Arial" w:cs="Arial"/>
          <w:b/>
          <w:color w:val="000000" w:themeColor="text1"/>
          <w:lang w:eastAsia="es-ES_tradnl"/>
        </w:rPr>
      </w:pPr>
    </w:p>
    <w:p w14:paraId="4AB9BCD3" w14:textId="77777777" w:rsidR="00AB7126" w:rsidRPr="00AB7126" w:rsidRDefault="00AB7126" w:rsidP="00AB7126">
      <w:pPr>
        <w:spacing w:after="0" w:line="240" w:lineRule="auto"/>
        <w:jc w:val="both"/>
        <w:rPr>
          <w:rFonts w:ascii="Arial" w:eastAsia="Calibri" w:hAnsi="Arial" w:cs="Arial"/>
          <w:color w:val="000000" w:themeColor="text1"/>
          <w:lang w:eastAsia="es-ES_tradnl"/>
        </w:rPr>
      </w:pPr>
    </w:p>
    <w:p w14:paraId="528DC7CA" w14:textId="77777777" w:rsidR="00AB7126" w:rsidRPr="00AB7126" w:rsidRDefault="00AB7126" w:rsidP="00AB7126">
      <w:pPr>
        <w:spacing w:after="0" w:line="240" w:lineRule="auto"/>
        <w:rPr>
          <w:rFonts w:ascii="Arial" w:eastAsia="Calibri" w:hAnsi="Arial" w:cs="Arial"/>
          <w:b/>
          <w:bCs/>
          <w:color w:val="000000" w:themeColor="text1"/>
          <w:lang w:eastAsia="es-ES_tradnl"/>
        </w:rPr>
      </w:pPr>
      <w:r w:rsidRPr="00AB7126">
        <w:rPr>
          <w:rFonts w:ascii="Arial" w:eastAsia="Calibri" w:hAnsi="Arial" w:cs="Arial"/>
          <w:b/>
          <w:bCs/>
          <w:color w:val="000000" w:themeColor="text1"/>
          <w:lang w:eastAsia="es-ES_tradnl"/>
        </w:rPr>
        <w:t xml:space="preserve">                                            Concepto C ‒ 879 de 2022</w:t>
      </w:r>
    </w:p>
    <w:p w14:paraId="243661C2" w14:textId="77777777" w:rsidR="00AB7126" w:rsidRPr="00AB7126" w:rsidRDefault="00AB7126" w:rsidP="00AB7126">
      <w:pPr>
        <w:spacing w:after="0" w:line="240" w:lineRule="auto"/>
        <w:jc w:val="both"/>
        <w:rPr>
          <w:rFonts w:ascii="Arial" w:eastAsia="Calibri" w:hAnsi="Arial" w:cs="Arial"/>
          <w:color w:val="000000" w:themeColor="text1"/>
          <w:lang w:eastAsia="es-ES_tradnl"/>
        </w:rPr>
      </w:pPr>
    </w:p>
    <w:tbl>
      <w:tblPr>
        <w:tblStyle w:val="Tablaconcuadrcula"/>
        <w:tblW w:w="88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60"/>
        <w:gridCol w:w="6171"/>
      </w:tblGrid>
      <w:tr w:rsidR="00AB7126" w:rsidRPr="00AB7126" w14:paraId="52856FCD" w14:textId="77777777" w:rsidTr="00805F2D">
        <w:trPr>
          <w:trHeight w:val="1060"/>
        </w:trPr>
        <w:tc>
          <w:tcPr>
            <w:tcW w:w="2660" w:type="dxa"/>
          </w:tcPr>
          <w:p w14:paraId="55510CFE" w14:textId="77777777" w:rsidR="00AB7126" w:rsidRPr="00AB7126" w:rsidRDefault="00AB7126" w:rsidP="00AB7126">
            <w:pPr>
              <w:jc w:val="both"/>
              <w:rPr>
                <w:rFonts w:eastAsia="Calibri"/>
                <w:color w:val="000000" w:themeColor="text1"/>
                <w:lang w:eastAsia="es-ES_tradnl"/>
              </w:rPr>
            </w:pPr>
            <w:r w:rsidRPr="00AB7126">
              <w:rPr>
                <w:rFonts w:eastAsia="Calibri"/>
                <w:b/>
                <w:color w:val="000000" w:themeColor="text1"/>
                <w:lang w:eastAsia="es-ES_tradnl"/>
              </w:rPr>
              <w:t>Temas:</w:t>
            </w:r>
            <w:r w:rsidRPr="00AB7126">
              <w:rPr>
                <w:rFonts w:eastAsia="Calibri"/>
                <w:color w:val="000000" w:themeColor="text1"/>
                <w:lang w:eastAsia="es-ES_tradnl"/>
              </w:rPr>
              <w:t xml:space="preserve">                                      </w:t>
            </w:r>
          </w:p>
        </w:tc>
        <w:tc>
          <w:tcPr>
            <w:tcW w:w="6171" w:type="dxa"/>
          </w:tcPr>
          <w:p w14:paraId="216C4AFC" w14:textId="77777777" w:rsidR="00AB7126" w:rsidRPr="00AB7126" w:rsidRDefault="00AB7126" w:rsidP="00AB7126">
            <w:pPr>
              <w:jc w:val="both"/>
              <w:rPr>
                <w:rFonts w:eastAsia="Calibri"/>
                <w:bCs/>
                <w:lang w:val="es-MX"/>
              </w:rPr>
            </w:pPr>
            <w:r w:rsidRPr="00AB7126">
              <w:rPr>
                <w:rFonts w:eastAsia="Calibri"/>
                <w:bCs/>
              </w:rPr>
              <w:t xml:space="preserve">SUPERVISIÓN – Noción ‒ Ley 1474 de 2011 / </w:t>
            </w:r>
            <w:r w:rsidRPr="00AB7126">
              <w:rPr>
                <w:rFonts w:eastAsia="Calibri"/>
                <w:bCs/>
                <w:color w:val="000000" w:themeColor="text1"/>
                <w:lang w:eastAsia="es-ES_tradnl"/>
              </w:rPr>
              <w:t xml:space="preserve">CONTRATOS ESTATALES – Deber de vigilancia y control / SUPERVISIÓN – Características – Diferencias – Interventoría / INTERVENTORÍA – Características / SUPERVISIÓN E INTERVENTORÍA – Concurrencia / </w:t>
            </w:r>
            <w:r w:rsidRPr="00AB7126">
              <w:rPr>
                <w:rFonts w:eastAsia="Calibri"/>
                <w:bCs/>
                <w:lang w:val="es-MX"/>
              </w:rPr>
              <w:t>SUPERVISIÓN – Designación – Plazo</w:t>
            </w:r>
          </w:p>
        </w:tc>
      </w:tr>
      <w:tr w:rsidR="00AB7126" w:rsidRPr="00AB7126" w14:paraId="32E5E65C" w14:textId="77777777" w:rsidTr="00805F2D">
        <w:trPr>
          <w:trHeight w:val="367"/>
        </w:trPr>
        <w:tc>
          <w:tcPr>
            <w:tcW w:w="2660" w:type="dxa"/>
          </w:tcPr>
          <w:p w14:paraId="641EE589" w14:textId="77777777" w:rsidR="00AB7126" w:rsidRPr="00AB7126" w:rsidRDefault="00AB7126" w:rsidP="00AB7126">
            <w:pPr>
              <w:spacing w:before="120"/>
              <w:jc w:val="both"/>
              <w:rPr>
                <w:rFonts w:eastAsia="Calibri"/>
                <w:b/>
                <w:color w:val="000000" w:themeColor="text1"/>
                <w:lang w:eastAsia="es-ES_tradnl"/>
              </w:rPr>
            </w:pPr>
            <w:r w:rsidRPr="00AB7126">
              <w:rPr>
                <w:rFonts w:eastAsia="Calibri"/>
                <w:b/>
                <w:color w:val="000000" w:themeColor="text1"/>
                <w:lang w:eastAsia="es-ES_tradnl"/>
              </w:rPr>
              <w:t>Radicación:</w:t>
            </w:r>
            <w:r w:rsidRPr="00AB7126">
              <w:rPr>
                <w:rFonts w:eastAsia="Calibri"/>
                <w:color w:val="000000" w:themeColor="text1"/>
                <w:lang w:eastAsia="es-ES_tradnl"/>
              </w:rPr>
              <w:t xml:space="preserve">                              </w:t>
            </w:r>
          </w:p>
        </w:tc>
        <w:tc>
          <w:tcPr>
            <w:tcW w:w="6171" w:type="dxa"/>
          </w:tcPr>
          <w:p w14:paraId="10589F59" w14:textId="77777777" w:rsidR="00AB7126" w:rsidRPr="00AB7126" w:rsidRDefault="00AB7126" w:rsidP="00AB7126">
            <w:pPr>
              <w:spacing w:before="120"/>
              <w:jc w:val="both"/>
              <w:rPr>
                <w:rFonts w:eastAsia="Calibri"/>
                <w:color w:val="000000" w:themeColor="text1"/>
                <w:lang w:eastAsia="es-ES_tradnl"/>
              </w:rPr>
            </w:pPr>
            <w:r w:rsidRPr="00AB7126">
              <w:rPr>
                <w:rFonts w:eastAsia="Arial"/>
              </w:rPr>
              <w:t>Respuesta a la consulta P20221110011287</w:t>
            </w:r>
          </w:p>
        </w:tc>
      </w:tr>
    </w:tbl>
    <w:p w14:paraId="38C326C6" w14:textId="77777777" w:rsidR="00AB7126" w:rsidRPr="00AB7126" w:rsidRDefault="00AB7126" w:rsidP="00AB7126">
      <w:pPr>
        <w:spacing w:after="0" w:line="240" w:lineRule="auto"/>
        <w:jc w:val="both"/>
        <w:rPr>
          <w:rFonts w:ascii="Arial" w:eastAsia="Calibri" w:hAnsi="Arial" w:cs="Arial"/>
          <w:color w:val="000000" w:themeColor="text1"/>
          <w:szCs w:val="24"/>
          <w:lang w:eastAsia="es-ES_tradnl"/>
        </w:rPr>
      </w:pPr>
    </w:p>
    <w:p w14:paraId="31B33B1E" w14:textId="77777777" w:rsidR="00AB7126" w:rsidRPr="00AB7126" w:rsidRDefault="00AB7126" w:rsidP="00AB7126">
      <w:pPr>
        <w:spacing w:after="0" w:line="240" w:lineRule="auto"/>
        <w:jc w:val="both"/>
        <w:rPr>
          <w:rFonts w:ascii="Arial" w:eastAsia="Calibri" w:hAnsi="Arial" w:cs="Arial"/>
          <w:color w:val="000000" w:themeColor="text1"/>
          <w:szCs w:val="24"/>
          <w:lang w:eastAsia="es-ES_tradnl"/>
        </w:rPr>
      </w:pPr>
    </w:p>
    <w:p w14:paraId="43EFC8C9" w14:textId="77777777" w:rsidR="00AB7126" w:rsidRPr="00AB7126" w:rsidRDefault="00AB7126" w:rsidP="00AB7126">
      <w:pPr>
        <w:spacing w:after="0" w:line="240" w:lineRule="auto"/>
        <w:jc w:val="both"/>
        <w:rPr>
          <w:rFonts w:ascii="Arial" w:eastAsia="Calibri" w:hAnsi="Arial" w:cs="Arial"/>
          <w:color w:val="000000" w:themeColor="text1"/>
          <w:szCs w:val="24"/>
          <w:lang w:eastAsia="es-ES_tradnl"/>
        </w:rPr>
      </w:pPr>
      <w:r w:rsidRPr="00AB7126">
        <w:rPr>
          <w:rFonts w:ascii="Arial" w:eastAsia="Calibri" w:hAnsi="Arial" w:cs="Arial"/>
          <w:color w:val="000000" w:themeColor="text1"/>
          <w:szCs w:val="24"/>
          <w:lang w:eastAsia="es-ES_tradnl"/>
        </w:rPr>
        <w:t xml:space="preserve">Estimada señora Delgado </w:t>
      </w:r>
      <w:proofErr w:type="spellStart"/>
      <w:r w:rsidRPr="00AB7126">
        <w:rPr>
          <w:rFonts w:ascii="Arial" w:eastAsia="Calibri" w:hAnsi="Arial" w:cs="Arial"/>
          <w:color w:val="000000" w:themeColor="text1"/>
          <w:szCs w:val="24"/>
          <w:lang w:eastAsia="es-ES_tradnl"/>
        </w:rPr>
        <w:t>Aguacia</w:t>
      </w:r>
      <w:proofErr w:type="spellEnd"/>
      <w:r w:rsidRPr="00AB7126">
        <w:rPr>
          <w:rFonts w:ascii="Arial" w:eastAsia="Calibri" w:hAnsi="Arial" w:cs="Arial"/>
          <w:color w:val="000000" w:themeColor="text1"/>
          <w:szCs w:val="24"/>
          <w:lang w:eastAsia="es-ES_tradnl"/>
        </w:rPr>
        <w:t>,</w:t>
      </w:r>
    </w:p>
    <w:p w14:paraId="60F6AD85" w14:textId="77777777" w:rsidR="00AB7126" w:rsidRPr="00AB7126" w:rsidRDefault="00AB7126" w:rsidP="00AB7126">
      <w:pPr>
        <w:spacing w:after="0" w:line="240" w:lineRule="auto"/>
        <w:jc w:val="both"/>
        <w:rPr>
          <w:rFonts w:ascii="Arial" w:eastAsia="Calibri" w:hAnsi="Arial" w:cs="Arial"/>
          <w:color w:val="000000" w:themeColor="text1"/>
          <w:szCs w:val="24"/>
          <w:lang w:eastAsia="es-ES_tradnl"/>
        </w:rPr>
      </w:pPr>
    </w:p>
    <w:p w14:paraId="726BB3BC" w14:textId="77777777" w:rsidR="00AB7126" w:rsidRPr="00AB7126" w:rsidRDefault="00AB7126" w:rsidP="00AB7126">
      <w:pPr>
        <w:spacing w:after="0" w:line="276" w:lineRule="auto"/>
        <w:jc w:val="both"/>
        <w:rPr>
          <w:rFonts w:ascii="Arial" w:eastAsia="Calibri" w:hAnsi="Arial" w:cs="Arial"/>
          <w:color w:val="000000" w:themeColor="text1"/>
          <w:szCs w:val="24"/>
          <w:lang w:eastAsia="es-ES_tradnl"/>
        </w:rPr>
      </w:pPr>
      <w:r w:rsidRPr="00AB7126">
        <w:rPr>
          <w:rFonts w:ascii="Arial" w:eastAsia="Calibri" w:hAnsi="Arial" w:cs="Arial"/>
          <w:color w:val="000000" w:themeColor="text1"/>
          <w:szCs w:val="24"/>
          <w:lang w:eastAsia="es-ES_tradnl"/>
        </w:rPr>
        <w:t>En ejercicio de la competencia otorgada por el numeral 8 del artículo 11 y el numeral 5 del artículo 3 del Decreto Ley 4170 de 2011, la Agencia Nacional de Contratación Pública – Colombia Compra Eficiente responde sus consultas del 10 de noviembre de 2022.</w:t>
      </w:r>
    </w:p>
    <w:p w14:paraId="28DB2D22" w14:textId="77777777" w:rsidR="00AB7126" w:rsidRPr="00AB7126" w:rsidRDefault="00AB7126" w:rsidP="00AB7126">
      <w:pPr>
        <w:spacing w:after="0" w:line="276" w:lineRule="auto"/>
        <w:jc w:val="both"/>
        <w:rPr>
          <w:rFonts w:ascii="Arial" w:eastAsia="Calibri" w:hAnsi="Arial" w:cs="Arial"/>
          <w:b/>
          <w:color w:val="000000" w:themeColor="text1"/>
          <w:szCs w:val="24"/>
          <w:lang w:eastAsia="es-ES_tradnl"/>
        </w:rPr>
      </w:pPr>
    </w:p>
    <w:p w14:paraId="7B5F3250" w14:textId="77777777" w:rsidR="00AB7126" w:rsidRPr="00AB7126" w:rsidRDefault="00AB7126" w:rsidP="00AB7126">
      <w:pPr>
        <w:numPr>
          <w:ilvl w:val="0"/>
          <w:numId w:val="4"/>
        </w:numPr>
        <w:tabs>
          <w:tab w:val="left" w:pos="0"/>
          <w:tab w:val="left" w:pos="142"/>
          <w:tab w:val="left" w:pos="284"/>
        </w:tabs>
        <w:spacing w:after="0" w:line="276" w:lineRule="auto"/>
        <w:ind w:left="0" w:firstLine="0"/>
        <w:contextualSpacing/>
        <w:jc w:val="both"/>
        <w:rPr>
          <w:rFonts w:ascii="Arial" w:eastAsia="Calibri" w:hAnsi="Arial" w:cs="Arial"/>
          <w:b/>
          <w:color w:val="000000" w:themeColor="text1"/>
        </w:rPr>
      </w:pPr>
      <w:r w:rsidRPr="00AB7126">
        <w:rPr>
          <w:rFonts w:ascii="Arial" w:eastAsia="Calibri" w:hAnsi="Arial" w:cs="Arial"/>
          <w:b/>
          <w:color w:val="000000" w:themeColor="text1"/>
        </w:rPr>
        <w:t xml:space="preserve">Problema planteado </w:t>
      </w:r>
    </w:p>
    <w:p w14:paraId="0E1A136A" w14:textId="77777777" w:rsidR="00AB7126" w:rsidRPr="00AB7126" w:rsidRDefault="00AB7126" w:rsidP="00AB7126">
      <w:pPr>
        <w:tabs>
          <w:tab w:val="left" w:pos="426"/>
        </w:tabs>
        <w:spacing w:after="0" w:line="276" w:lineRule="auto"/>
        <w:jc w:val="both"/>
        <w:rPr>
          <w:rFonts w:ascii="Arial" w:eastAsia="Calibri" w:hAnsi="Arial" w:cs="Arial"/>
          <w:b/>
          <w:color w:val="000000" w:themeColor="text1"/>
          <w:szCs w:val="24"/>
          <w:lang w:eastAsia="es-ES_tradnl"/>
        </w:rPr>
      </w:pPr>
    </w:p>
    <w:p w14:paraId="19676FCD" w14:textId="77777777" w:rsidR="00AB7126" w:rsidRPr="00AB7126" w:rsidRDefault="00AB7126" w:rsidP="00AB7126">
      <w:pPr>
        <w:spacing w:after="0" w:line="276" w:lineRule="auto"/>
        <w:jc w:val="both"/>
        <w:rPr>
          <w:rFonts w:ascii="Arial" w:eastAsia="Times New Roman" w:hAnsi="Arial" w:cs="Arial"/>
          <w:color w:val="000000" w:themeColor="text1"/>
          <w:szCs w:val="24"/>
          <w:lang w:eastAsia="es-ES_tradnl"/>
        </w:rPr>
      </w:pPr>
      <w:r w:rsidRPr="00AB7126">
        <w:rPr>
          <w:rFonts w:ascii="Arial" w:eastAsia="Times New Roman" w:hAnsi="Arial" w:cs="Arial"/>
          <w:color w:val="000000" w:themeColor="text1"/>
          <w:szCs w:val="24"/>
          <w:lang w:eastAsia="es-ES_tradnl"/>
        </w:rPr>
        <w:t xml:space="preserve">Usted formula la siguiente pregunta: </w:t>
      </w:r>
    </w:p>
    <w:p w14:paraId="3038B7FB" w14:textId="77777777" w:rsidR="00AB7126" w:rsidRPr="00AB7126" w:rsidRDefault="00AB7126" w:rsidP="00AB7126">
      <w:pPr>
        <w:spacing w:after="0" w:line="240" w:lineRule="auto"/>
        <w:jc w:val="both"/>
        <w:rPr>
          <w:rFonts w:ascii="Arial" w:eastAsia="Times New Roman" w:hAnsi="Arial" w:cs="Arial"/>
          <w:color w:val="000000" w:themeColor="text1"/>
          <w:szCs w:val="24"/>
          <w:lang w:eastAsia="es-ES_tradnl"/>
        </w:rPr>
      </w:pPr>
    </w:p>
    <w:p w14:paraId="0AF6EDFB" w14:textId="77777777" w:rsidR="00AB7126" w:rsidRPr="00AB7126" w:rsidRDefault="00AB7126" w:rsidP="00BE2C01">
      <w:pPr>
        <w:spacing w:after="0" w:line="240" w:lineRule="auto"/>
        <w:ind w:left="709" w:right="709"/>
        <w:jc w:val="both"/>
        <w:rPr>
          <w:rFonts w:ascii="Arial" w:eastAsia="Times New Roman" w:hAnsi="Arial" w:cs="Arial"/>
          <w:color w:val="000000" w:themeColor="text1"/>
          <w:sz w:val="21"/>
          <w:szCs w:val="21"/>
          <w:lang w:eastAsia="es-ES_tradnl"/>
        </w:rPr>
      </w:pPr>
      <w:r w:rsidRPr="00AB7126">
        <w:rPr>
          <w:rFonts w:ascii="Arial" w:eastAsia="Times New Roman" w:hAnsi="Arial" w:cs="Arial"/>
          <w:color w:val="000000" w:themeColor="text1"/>
          <w:sz w:val="21"/>
          <w:szCs w:val="21"/>
          <w:lang w:eastAsia="es-ES_tradnl"/>
        </w:rPr>
        <w:t xml:space="preserve">«[…] dentro de un contrato de obra pública, la interventoría está facultada legalmente para solicitar el cambio de profesionales del contratista, porque según ésta (la interventoría) no cumple sus órdenes. Así mismo quisiera saber si es válido que la interventoría obligue a los profesionales del contratista a usar el lenguaje que ellos quieran, especialmente el lenguaje que llaman inclusivo. Así mismo, quiero saber, por favor, si la interventoría puede vulnerar la autonomía técnica y personal de los profesionales del contratista, cuyas hojas de vida fueron avaladas por la entidad pública contratante, excediendo inclusive los requisitos mínimos de los términos de </w:t>
      </w:r>
      <w:r w:rsidRPr="00AB7126">
        <w:rPr>
          <w:rFonts w:ascii="Arial" w:eastAsia="Times New Roman" w:hAnsi="Arial" w:cs="Arial"/>
          <w:color w:val="000000" w:themeColor="text1"/>
          <w:sz w:val="21"/>
          <w:szCs w:val="21"/>
          <w:lang w:eastAsia="es-ES_tradnl"/>
        </w:rPr>
        <w:lastRenderedPageBreak/>
        <w:t>referencia. Esto al obligarlos (sic) que usen sus palabras y métodos pedagógicos o por no estar de acuerdo con los conceptos o/y opiniones de los profesionales del contratista., que en ningún momento ha vulnerado las obligaciones legales estipuladas en el contrato de OP, ni en el laboral y han justificado y argumentado con criterio técnico y científico su actuar.».</w:t>
      </w:r>
    </w:p>
    <w:p w14:paraId="3E1468D6" w14:textId="77777777" w:rsidR="00AB7126" w:rsidRPr="00AB7126" w:rsidRDefault="00AB7126" w:rsidP="00AB7126">
      <w:pPr>
        <w:spacing w:after="0" w:line="240" w:lineRule="auto"/>
        <w:ind w:left="709" w:right="709"/>
        <w:jc w:val="both"/>
        <w:rPr>
          <w:rFonts w:ascii="Arial" w:eastAsia="Times New Roman" w:hAnsi="Arial" w:cs="Arial"/>
          <w:color w:val="000000" w:themeColor="text1"/>
          <w:sz w:val="21"/>
          <w:szCs w:val="21"/>
          <w:lang w:eastAsia="es-ES_tradnl"/>
        </w:rPr>
      </w:pPr>
    </w:p>
    <w:p w14:paraId="3006AB7E" w14:textId="77777777" w:rsidR="00AB7126" w:rsidRPr="00AB7126" w:rsidRDefault="00AB7126" w:rsidP="00AB7126">
      <w:pPr>
        <w:numPr>
          <w:ilvl w:val="0"/>
          <w:numId w:val="4"/>
        </w:numPr>
        <w:tabs>
          <w:tab w:val="left" w:pos="0"/>
          <w:tab w:val="left" w:pos="284"/>
        </w:tabs>
        <w:spacing w:after="0" w:line="240" w:lineRule="auto"/>
        <w:ind w:left="0" w:firstLine="0"/>
        <w:contextualSpacing/>
        <w:jc w:val="both"/>
        <w:rPr>
          <w:rFonts w:ascii="Arial" w:eastAsia="Calibri" w:hAnsi="Arial" w:cs="Arial"/>
          <w:b/>
          <w:color w:val="000000" w:themeColor="text1"/>
        </w:rPr>
      </w:pPr>
      <w:r w:rsidRPr="00AB7126">
        <w:rPr>
          <w:rFonts w:ascii="Arial" w:eastAsia="Calibri" w:hAnsi="Arial" w:cs="Arial"/>
          <w:b/>
          <w:color w:val="000000" w:themeColor="text1"/>
        </w:rPr>
        <w:t>Consideraciones</w:t>
      </w:r>
    </w:p>
    <w:p w14:paraId="0AEDBAC6" w14:textId="77777777" w:rsidR="00AB7126" w:rsidRPr="00AB7126" w:rsidRDefault="00AB7126" w:rsidP="00AB7126">
      <w:pPr>
        <w:tabs>
          <w:tab w:val="left" w:pos="0"/>
          <w:tab w:val="left" w:pos="284"/>
        </w:tabs>
        <w:spacing w:after="0" w:line="240" w:lineRule="auto"/>
        <w:jc w:val="both"/>
        <w:rPr>
          <w:rFonts w:ascii="Arial" w:eastAsia="Calibri" w:hAnsi="Arial" w:cs="Arial"/>
          <w:b/>
          <w:color w:val="000000" w:themeColor="text1"/>
          <w:szCs w:val="24"/>
          <w:lang w:eastAsia="es-ES_tradnl"/>
        </w:rPr>
      </w:pPr>
    </w:p>
    <w:p w14:paraId="5D22E1AB" w14:textId="47BFE3FF" w:rsidR="00AB7126" w:rsidRPr="00AB7126" w:rsidRDefault="00AB7126" w:rsidP="00AB7126">
      <w:pPr>
        <w:spacing w:after="120" w:line="276" w:lineRule="auto"/>
        <w:jc w:val="both"/>
        <w:rPr>
          <w:rFonts w:ascii="Arial" w:eastAsia="Calibri" w:hAnsi="Arial" w:cs="Arial"/>
          <w:color w:val="000000" w:themeColor="text1"/>
          <w:szCs w:val="24"/>
          <w:lang w:eastAsia="es-ES_tradnl"/>
        </w:rPr>
      </w:pPr>
      <w:r w:rsidRPr="00AB7126">
        <w:rPr>
          <w:rFonts w:ascii="Arial" w:eastAsia="Calibri" w:hAnsi="Arial" w:cs="Arial"/>
          <w:color w:val="000000" w:themeColor="text1"/>
          <w:szCs w:val="24"/>
          <w:lang w:eastAsia="es-ES_tradnl"/>
        </w:rPr>
        <w:t xml:space="preserve">En ejercicio de las competencias establecidas en </w:t>
      </w:r>
      <w:r w:rsidR="00ED1513">
        <w:rPr>
          <w:rFonts w:ascii="Arial" w:eastAsia="Calibri" w:hAnsi="Arial" w:cs="Arial"/>
          <w:color w:val="000000" w:themeColor="text1"/>
          <w:szCs w:val="24"/>
          <w:lang w:eastAsia="es-ES_tradnl"/>
        </w:rPr>
        <w:t xml:space="preserve">el numeral 5 del </w:t>
      </w:r>
      <w:proofErr w:type="gramStart"/>
      <w:r w:rsidR="00ED1513">
        <w:rPr>
          <w:rFonts w:ascii="Arial" w:eastAsia="Calibri" w:hAnsi="Arial" w:cs="Arial"/>
          <w:color w:val="000000" w:themeColor="text1"/>
          <w:szCs w:val="24"/>
          <w:lang w:eastAsia="es-ES_tradnl"/>
        </w:rPr>
        <w:t xml:space="preserve">artículo </w:t>
      </w:r>
      <w:r w:rsidRPr="00AB7126">
        <w:rPr>
          <w:rFonts w:ascii="Arial" w:eastAsia="Calibri" w:hAnsi="Arial" w:cs="Arial"/>
          <w:color w:val="000000" w:themeColor="text1"/>
          <w:szCs w:val="24"/>
          <w:lang w:eastAsia="es-ES_tradnl"/>
        </w:rPr>
        <w:t xml:space="preserve"> 3</w:t>
      </w:r>
      <w:proofErr w:type="gramEnd"/>
      <w:r w:rsidRPr="00AB7126">
        <w:rPr>
          <w:rFonts w:ascii="Arial" w:eastAsia="Calibri" w:hAnsi="Arial" w:cs="Arial"/>
          <w:color w:val="000000" w:themeColor="text1"/>
          <w:szCs w:val="24"/>
          <w:lang w:eastAsia="es-ES_tradnl"/>
        </w:rPr>
        <w:t xml:space="preserve">y </w:t>
      </w:r>
      <w:r w:rsidR="00ED1513">
        <w:rPr>
          <w:rFonts w:ascii="Arial" w:eastAsia="Calibri" w:hAnsi="Arial" w:cs="Arial"/>
          <w:color w:val="000000" w:themeColor="text1"/>
          <w:szCs w:val="24"/>
          <w:lang w:eastAsia="es-ES_tradnl"/>
        </w:rPr>
        <w:t xml:space="preserve">numeral 8 del artículo </w:t>
      </w:r>
      <w:r w:rsidRPr="00AB7126">
        <w:rPr>
          <w:rFonts w:ascii="Arial" w:eastAsia="Calibri" w:hAnsi="Arial" w:cs="Arial"/>
          <w:color w:val="000000" w:themeColor="text1"/>
          <w:szCs w:val="24"/>
          <w:lang w:eastAsia="es-ES_tradnl"/>
        </w:rPr>
        <w:t>11del Decreto 4170 de 2011, la Agencia Nacional de Contratación Pública – Colombia Compra Eficiente resuelve las consultas sobre los asuntos de su competencia, esto es, sobre las temáticas de la contratación estatal y compras públicas relacionadas en los artículos citados. Es necesario tener en cuenta que esta entidad solo tiene atribuciones para responder solicitudes sobre la aplicación de normas de carácter general en materia de compras y contratación pública. En ese sentido, resolver casos particulares desborda las atribuciones asignadas por el legislador extraordinario, que no concibió a la Agencia como una autoridad para solucionar problemas jurídicos particulares de todos los partícipes de la contratación estatal.</w:t>
      </w:r>
    </w:p>
    <w:p w14:paraId="1E384F9D" w14:textId="279A83E2" w:rsidR="00AB7126" w:rsidRPr="00AB7126" w:rsidRDefault="00AB7126" w:rsidP="00AB7126">
      <w:pPr>
        <w:spacing w:after="120" w:line="276" w:lineRule="auto"/>
        <w:jc w:val="both"/>
        <w:rPr>
          <w:rFonts w:ascii="Arial" w:eastAsia="Times New Roman" w:hAnsi="Arial" w:cs="Arial"/>
          <w:color w:val="000000" w:themeColor="text1"/>
          <w:szCs w:val="24"/>
          <w:lang w:eastAsia="es-ES_tradnl"/>
        </w:rPr>
      </w:pPr>
      <w:r w:rsidRPr="00AB7126">
        <w:rPr>
          <w:rFonts w:ascii="Arial" w:eastAsia="Calibri" w:hAnsi="Arial" w:cs="Arial"/>
          <w:color w:val="000000" w:themeColor="text1"/>
          <w:szCs w:val="24"/>
          <w:lang w:eastAsia="es-ES_tradnl"/>
        </w:rPr>
        <w:t xml:space="preserve">La competencia de esta entidad se fija con límites claros, con el objeto de evitar que se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De esta manera, la Subdirección resolverá la consulta conforme a las normas generales en materia de contratación estatal, para tal efecto resolverá los siguientes temas: i) </w:t>
      </w:r>
      <w:r w:rsidRPr="00AB7126">
        <w:rPr>
          <w:rFonts w:ascii="Arial" w:eastAsia="Times New Roman" w:hAnsi="Arial" w:cs="Arial"/>
          <w:color w:val="000000" w:themeColor="text1"/>
          <w:szCs w:val="24"/>
          <w:lang w:eastAsia="es-ES_tradnl"/>
        </w:rPr>
        <w:t xml:space="preserve">la obligación de controlar y vigilar la correcta ejecución de los contratos estatales; y </w:t>
      </w:r>
      <w:proofErr w:type="spellStart"/>
      <w:r w:rsidRPr="00AB7126">
        <w:rPr>
          <w:rFonts w:ascii="Arial" w:eastAsia="Times New Roman" w:hAnsi="Arial" w:cs="Arial"/>
          <w:color w:val="000000" w:themeColor="text1"/>
          <w:szCs w:val="24"/>
          <w:lang w:eastAsia="es-ES_tradnl"/>
        </w:rPr>
        <w:t>ii</w:t>
      </w:r>
      <w:proofErr w:type="spellEnd"/>
      <w:r w:rsidRPr="00AB7126">
        <w:rPr>
          <w:rFonts w:ascii="Arial" w:eastAsia="Times New Roman" w:hAnsi="Arial" w:cs="Arial"/>
          <w:color w:val="000000" w:themeColor="text1"/>
          <w:szCs w:val="24"/>
          <w:lang w:eastAsia="es-ES_tradnl"/>
        </w:rPr>
        <w:t>) la interventoría en los contratos estatales.</w:t>
      </w:r>
    </w:p>
    <w:p w14:paraId="7153027D" w14:textId="77777777" w:rsidR="00AB7126" w:rsidRPr="00AB7126" w:rsidRDefault="00AB7126" w:rsidP="00AB7126">
      <w:pPr>
        <w:spacing w:after="0" w:line="276" w:lineRule="auto"/>
        <w:ind w:firstLine="708"/>
        <w:jc w:val="both"/>
        <w:rPr>
          <w:rFonts w:ascii="Arial" w:eastAsia="Calibri" w:hAnsi="Arial" w:cs="Arial"/>
          <w:szCs w:val="24"/>
          <w:lang w:eastAsia="es-ES_tradnl"/>
        </w:rPr>
      </w:pPr>
      <w:r w:rsidRPr="00AB7126">
        <w:rPr>
          <w:rFonts w:ascii="Arial" w:eastAsia="Times New Roman" w:hAnsi="Arial" w:cs="Arial"/>
          <w:color w:val="000000" w:themeColor="text1"/>
          <w:szCs w:val="24"/>
          <w:lang w:val="es-ES_tradnl" w:eastAsia="es-ES_tradnl"/>
        </w:rPr>
        <w:t xml:space="preserve">La Agencia Nacional de Contratación Pública ‒ Colombia Compra Eficiente se ha pronunciado sobre la obligación de controlar y vigilar la ejecución de los contratos estatales, en los conceptos del 30 de agosto y el 20 de diciembre de 2019 ‒radicados Nos. 2201913000006394 y 2201913000009467‒. De igual forma, en los conceptos C‒064 del 28 de febrero de 2020, C‒150 del 18 de marzo de 2020, C‒075 del 26 de marzo de 2020, C‒180 del 13 de abril de 2020, C‒344 del 26 de mayo de 2020, C‒765 del 7 de enero de 2021, C-432 del 13 de julio de 2022 y C-620 del 27 de septiembre de 2022. </w:t>
      </w:r>
      <w:r w:rsidRPr="00AB7126">
        <w:rPr>
          <w:rFonts w:ascii="Arial" w:eastAsia="Calibri" w:hAnsi="Arial" w:cs="Arial"/>
          <w:szCs w:val="24"/>
          <w:lang w:eastAsia="es-ES_tradnl"/>
        </w:rPr>
        <w:t xml:space="preserve">La tesis y argumentos expuestos en dichos conceptos se reiteran y se complementan a continuación: </w:t>
      </w:r>
    </w:p>
    <w:p w14:paraId="1893680E" w14:textId="77777777" w:rsidR="00AB7126" w:rsidRPr="00AB7126" w:rsidRDefault="00AB7126" w:rsidP="00AB7126">
      <w:pPr>
        <w:shd w:val="clear" w:color="auto" w:fill="FFFFFF"/>
        <w:spacing w:after="120" w:line="276" w:lineRule="auto"/>
        <w:ind w:firstLine="708"/>
        <w:jc w:val="both"/>
        <w:textAlignment w:val="baseline"/>
        <w:rPr>
          <w:rFonts w:ascii="Arial" w:eastAsia="Calibri" w:hAnsi="Arial" w:cs="Arial"/>
          <w:szCs w:val="24"/>
          <w:lang w:val="es-ES" w:eastAsia="es-ES_tradnl"/>
        </w:rPr>
      </w:pPr>
    </w:p>
    <w:p w14:paraId="6A0B9143" w14:textId="77777777" w:rsidR="00AB7126" w:rsidRPr="00AB7126" w:rsidRDefault="00AB7126" w:rsidP="00AB7126">
      <w:pPr>
        <w:widowControl w:val="0"/>
        <w:autoSpaceDE w:val="0"/>
        <w:autoSpaceDN w:val="0"/>
        <w:spacing w:after="0" w:line="240" w:lineRule="auto"/>
        <w:jc w:val="both"/>
        <w:rPr>
          <w:rFonts w:ascii="Arial" w:hAnsi="Arial" w:cs="Arial"/>
          <w:b/>
          <w:color w:val="000000" w:themeColor="text1"/>
          <w:lang w:val="es-MX"/>
        </w:rPr>
      </w:pPr>
      <w:r w:rsidRPr="00AB7126">
        <w:rPr>
          <w:rFonts w:ascii="Arial" w:hAnsi="Arial" w:cs="Arial"/>
          <w:b/>
          <w:color w:val="000000" w:themeColor="text1"/>
          <w:lang w:val="es-MX"/>
        </w:rPr>
        <w:t xml:space="preserve">2.1. La obligación de controlar y vigilar la correcta ejecución de los contratos estatales </w:t>
      </w:r>
    </w:p>
    <w:p w14:paraId="58D0AFAC" w14:textId="77777777" w:rsidR="00AB7126" w:rsidRPr="00AB7126" w:rsidRDefault="00AB7126" w:rsidP="00AB7126">
      <w:pPr>
        <w:spacing w:before="120" w:after="0" w:line="276" w:lineRule="auto"/>
        <w:jc w:val="both"/>
        <w:rPr>
          <w:rFonts w:ascii="Arial" w:hAnsi="Arial" w:cs="Arial"/>
          <w:bCs/>
          <w:color w:val="000000" w:themeColor="text1"/>
          <w:lang w:val="es-MX"/>
        </w:rPr>
      </w:pPr>
      <w:r w:rsidRPr="00AB7126">
        <w:rPr>
          <w:rFonts w:ascii="Arial" w:hAnsi="Arial" w:cs="Arial"/>
          <w:bCs/>
          <w:color w:val="000000" w:themeColor="text1"/>
          <w:lang w:val="es-MX"/>
        </w:rPr>
        <w:t xml:space="preserve">El Estado acude a la contratación de bienes, obras y servicios para cumplir los fines que le impone el ordenamiento jurídico, la continuidad y eficiente prestación de los servicios públicos y la efectividad de los derechos e intereses de los administrados y de quienes colaboran en la </w:t>
      </w:r>
      <w:r w:rsidRPr="00AB7126">
        <w:rPr>
          <w:rFonts w:ascii="Arial" w:hAnsi="Arial" w:cs="Arial"/>
          <w:bCs/>
          <w:color w:val="000000" w:themeColor="text1"/>
          <w:lang w:val="es-MX"/>
        </w:rPr>
        <w:lastRenderedPageBreak/>
        <w:t>consecución de dichos fines, entre otros</w:t>
      </w:r>
      <w:r w:rsidRPr="00AB7126">
        <w:rPr>
          <w:rFonts w:ascii="Arial" w:hAnsi="Arial" w:cs="Arial"/>
          <w:color w:val="000000" w:themeColor="text1"/>
          <w:vertAlign w:val="superscript"/>
          <w:lang w:val="es-MX"/>
        </w:rPr>
        <w:footnoteReference w:id="2"/>
      </w:r>
      <w:r w:rsidRPr="00AB7126">
        <w:rPr>
          <w:rFonts w:ascii="Arial" w:hAnsi="Arial" w:cs="Arial"/>
          <w:bCs/>
          <w:color w:val="000000" w:themeColor="text1"/>
          <w:lang w:val="es-MX"/>
        </w:rPr>
        <w:t xml:space="preserve">. Para la garantía de los fines de interés general involucrados en la contratación de las entidades estatales, el Estatuto General de Contratación de la Administración Pública ―en adelante EGCAP― establece que, en la etapa de ejecución del contrato, las entidades estatales y los servidores públicos que participan en ella tienen la obligación de controlar y vigilar la correcta ejecución del objeto contratado, para efectos de que las finalidades perseguidas con la celebración de los negocios jurídicos se logren de manera satisfactoria. </w:t>
      </w:r>
    </w:p>
    <w:p w14:paraId="58F04EBF" w14:textId="6DC22B33" w:rsidR="00AB7126" w:rsidRPr="00AB7126" w:rsidRDefault="00AB7126" w:rsidP="00AB7126">
      <w:pPr>
        <w:spacing w:before="120" w:after="0" w:line="276" w:lineRule="auto"/>
        <w:ind w:firstLine="708"/>
        <w:jc w:val="both"/>
        <w:rPr>
          <w:rFonts w:ascii="Arial" w:hAnsi="Arial" w:cs="Arial"/>
          <w:bCs/>
          <w:color w:val="000000" w:themeColor="text1"/>
          <w:lang w:val="es-MX"/>
        </w:rPr>
      </w:pPr>
      <w:r w:rsidRPr="00AB7126">
        <w:rPr>
          <w:rFonts w:ascii="Arial" w:hAnsi="Arial" w:cs="Arial"/>
          <w:bCs/>
          <w:color w:val="000000" w:themeColor="text1"/>
          <w:lang w:val="es-MX"/>
        </w:rPr>
        <w:t xml:space="preserve">Por esto, el estatuto contractual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w:t>
      </w:r>
      <w:r w:rsidR="00A206C7" w:rsidRPr="00AB7126">
        <w:rPr>
          <w:rFonts w:ascii="Arial" w:hAnsi="Arial" w:cs="Arial"/>
          <w:bCs/>
          <w:color w:val="000000" w:themeColor="text1"/>
          <w:lang w:val="es-MX"/>
        </w:rPr>
        <w:t>de este</w:t>
      </w:r>
      <w:r w:rsidRPr="00AB7126">
        <w:rPr>
          <w:rFonts w:ascii="Arial" w:hAnsi="Arial" w:cs="Arial"/>
          <w:bCs/>
          <w:color w:val="000000" w:themeColor="text1"/>
          <w:lang w:val="es-MX"/>
        </w:rPr>
        <w:t>,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1609D97E" w14:textId="77777777" w:rsidR="00AB7126" w:rsidRPr="00AB7126" w:rsidRDefault="00AB7126" w:rsidP="00AB7126">
      <w:pPr>
        <w:spacing w:before="120" w:after="0" w:line="276" w:lineRule="auto"/>
        <w:ind w:firstLine="708"/>
        <w:jc w:val="both"/>
        <w:rPr>
          <w:rFonts w:ascii="Arial" w:hAnsi="Arial" w:cs="Arial"/>
          <w:bCs/>
          <w:color w:val="000000" w:themeColor="text1"/>
          <w:lang w:val="es-MX"/>
        </w:rPr>
      </w:pPr>
      <w:r w:rsidRPr="00AB7126">
        <w:rPr>
          <w:rFonts w:ascii="Arial" w:hAnsi="Arial" w:cs="Arial"/>
          <w:bCs/>
          <w:color w:val="000000" w:themeColor="text1"/>
          <w:lang w:val="es-MX"/>
        </w:rPr>
        <w:t>Las Leyes 1150 de 2007 y 1474 de 2011 complementan el régimen jurídico de la obligación de vigilar la correcta ejecución de los contratos estatales. Allí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AB7126">
        <w:rPr>
          <w:rFonts w:ascii="Arial" w:hAnsi="Arial" w:cs="Arial"/>
          <w:color w:val="000000" w:themeColor="text1"/>
          <w:vertAlign w:val="superscript"/>
          <w:lang w:val="es-MX"/>
        </w:rPr>
        <w:footnoteReference w:id="3"/>
      </w:r>
      <w:r w:rsidRPr="00AB7126">
        <w:rPr>
          <w:rFonts w:ascii="Arial" w:hAnsi="Arial" w:cs="Arial"/>
          <w:bCs/>
          <w:color w:val="000000" w:themeColor="text1"/>
          <w:lang w:val="es-MX"/>
        </w:rPr>
        <w:t>. También se establecen los límites de la responsabilidad del representante legal ante la delegación de sus funciones en materia contractual</w:t>
      </w:r>
      <w:r w:rsidRPr="00AB7126">
        <w:rPr>
          <w:rFonts w:ascii="Arial" w:hAnsi="Arial" w:cs="Arial"/>
          <w:color w:val="000000" w:themeColor="text1"/>
          <w:vertAlign w:val="superscript"/>
          <w:lang w:val="es-MX"/>
        </w:rPr>
        <w:footnoteReference w:id="4"/>
      </w:r>
      <w:r w:rsidRPr="00AB7126">
        <w:rPr>
          <w:rFonts w:ascii="Arial" w:hAnsi="Arial" w:cs="Arial"/>
          <w:bCs/>
          <w:color w:val="000000" w:themeColor="text1"/>
          <w:lang w:val="es-MX"/>
        </w:rPr>
        <w:t xml:space="preserve"> y se regula la supervisión y la interventoría de los contratos estatales</w:t>
      </w:r>
      <w:r w:rsidRPr="00AB7126">
        <w:rPr>
          <w:rFonts w:ascii="Arial" w:hAnsi="Arial" w:cs="Arial"/>
          <w:color w:val="000000" w:themeColor="text1"/>
          <w:vertAlign w:val="superscript"/>
          <w:lang w:val="es-MX"/>
        </w:rPr>
        <w:footnoteReference w:id="5"/>
      </w:r>
      <w:r w:rsidRPr="00AB7126">
        <w:rPr>
          <w:rFonts w:ascii="Arial" w:hAnsi="Arial" w:cs="Arial"/>
          <w:bCs/>
          <w:color w:val="000000" w:themeColor="text1"/>
          <w:lang w:val="es-MX"/>
        </w:rPr>
        <w:t xml:space="preserve">. </w:t>
      </w:r>
    </w:p>
    <w:p w14:paraId="12E98407" w14:textId="77777777" w:rsidR="00AB7126" w:rsidRPr="00AB7126" w:rsidRDefault="00AB7126" w:rsidP="00AB7126">
      <w:pPr>
        <w:spacing w:before="120" w:after="0" w:line="276" w:lineRule="auto"/>
        <w:ind w:firstLine="708"/>
        <w:jc w:val="both"/>
        <w:rPr>
          <w:rFonts w:ascii="Arial" w:hAnsi="Arial" w:cs="Arial"/>
          <w:bCs/>
          <w:color w:val="000000" w:themeColor="text1"/>
          <w:lang w:val="es-MX"/>
        </w:rPr>
      </w:pPr>
      <w:r w:rsidRPr="00AB7126">
        <w:rPr>
          <w:rFonts w:ascii="Arial" w:hAnsi="Arial" w:cs="Arial"/>
          <w:bCs/>
          <w:color w:val="000000" w:themeColor="text1"/>
          <w:lang w:val="es-MX"/>
        </w:rPr>
        <w:t>La jurisprudencia contencioso-administrativa, por su parte, ha considerado que la obligación de vigilar la correcta ejecución del objeto contractual es una función de la entidad contratante, en los siguientes términos:</w:t>
      </w:r>
    </w:p>
    <w:p w14:paraId="237ABE70" w14:textId="77777777" w:rsidR="00AB7126" w:rsidRPr="00AB7126" w:rsidRDefault="00AB7126" w:rsidP="00AB7126">
      <w:pPr>
        <w:spacing w:after="0" w:line="276" w:lineRule="auto"/>
        <w:jc w:val="both"/>
        <w:rPr>
          <w:rFonts w:ascii="Arial" w:hAnsi="Arial" w:cs="Arial"/>
          <w:bCs/>
          <w:color w:val="000000" w:themeColor="text1"/>
          <w:sz w:val="24"/>
          <w:lang w:val="es-MX"/>
        </w:rPr>
      </w:pPr>
      <w:r w:rsidRPr="00AB7126">
        <w:rPr>
          <w:rFonts w:ascii="Arial" w:hAnsi="Arial" w:cs="Arial"/>
          <w:bCs/>
          <w:color w:val="000000" w:themeColor="text1"/>
          <w:sz w:val="24"/>
          <w:lang w:val="es-MX"/>
        </w:rPr>
        <w:t xml:space="preserve"> </w:t>
      </w:r>
    </w:p>
    <w:p w14:paraId="36E88383" w14:textId="26BED506" w:rsidR="00AB7126" w:rsidRPr="00AB7126" w:rsidRDefault="00E154C4" w:rsidP="00AB7126">
      <w:pPr>
        <w:spacing w:after="0" w:line="240" w:lineRule="auto"/>
        <w:ind w:left="709" w:right="709"/>
        <w:jc w:val="both"/>
        <w:rPr>
          <w:rFonts w:ascii="Arial" w:hAnsi="Arial" w:cs="Arial"/>
          <w:bCs/>
          <w:color w:val="000000" w:themeColor="text1"/>
          <w:sz w:val="21"/>
          <w:szCs w:val="21"/>
        </w:rPr>
      </w:pPr>
      <w:r>
        <w:rPr>
          <w:rFonts w:ascii="Arial" w:hAnsi="Arial" w:cs="Arial"/>
          <w:bCs/>
          <w:color w:val="000000" w:themeColor="text1"/>
          <w:sz w:val="21"/>
          <w:szCs w:val="21"/>
          <w:lang w:val="es-MX"/>
        </w:rPr>
        <w:t>«</w:t>
      </w:r>
      <w:r w:rsidR="00AB7126" w:rsidRPr="00AB7126">
        <w:rPr>
          <w:rFonts w:ascii="Arial" w:hAnsi="Arial" w:cs="Arial"/>
          <w:bCs/>
          <w:color w:val="000000" w:themeColor="text1"/>
          <w:sz w:val="21"/>
          <w:szCs w:val="21"/>
          <w:lang w:val="es-MX"/>
        </w:rPr>
        <w:t xml:space="preserve">La función de vigilancia y control del contrato estatal supone el cuidado y la supervisión, de forma tal que en ejercicio de esa función, quien administra la adecuada y oportuna ejecución del contrato no sólo debe velar por que las partes den </w:t>
      </w:r>
      <w:r w:rsidR="00AB7126" w:rsidRPr="00AB7126">
        <w:rPr>
          <w:rFonts w:ascii="Arial" w:hAnsi="Arial" w:cs="Arial"/>
          <w:bCs/>
          <w:color w:val="000000" w:themeColor="text1"/>
          <w:sz w:val="21"/>
          <w:szCs w:val="21"/>
          <w:lang w:val="es-MX"/>
        </w:rPr>
        <w:lastRenderedPageBreak/>
        <w:t>cumplimiento a las obligaciones contractuales, sino que el contrato se ejecute en el tiempo y la forma convenidos, para de esta forma garantizar la satisfacción de las necesidades que la administración buscaba alcanzar con la celebración del respectivo contrato”</w:t>
      </w:r>
      <w:r w:rsidR="00AB7126" w:rsidRPr="00AB7126">
        <w:rPr>
          <w:rFonts w:ascii="Arial" w:hAnsi="Arial" w:cs="Arial"/>
          <w:color w:val="000000" w:themeColor="text1"/>
          <w:sz w:val="21"/>
          <w:szCs w:val="21"/>
          <w:vertAlign w:val="superscript"/>
          <w:lang w:val="es-MX"/>
        </w:rPr>
        <w:footnoteReference w:id="6"/>
      </w:r>
      <w:r w:rsidR="00AB7126" w:rsidRPr="00AB7126">
        <w:rPr>
          <w:rFonts w:ascii="Arial" w:hAnsi="Arial" w:cs="Arial"/>
          <w:bCs/>
          <w:color w:val="000000" w:themeColor="text1"/>
          <w:sz w:val="21"/>
          <w:szCs w:val="21"/>
          <w:lang w:val="es-MX"/>
        </w:rPr>
        <w:t>.</w:t>
      </w:r>
      <w:r>
        <w:rPr>
          <w:rFonts w:ascii="Arial" w:hAnsi="Arial" w:cs="Arial"/>
          <w:bCs/>
          <w:color w:val="000000" w:themeColor="text1"/>
          <w:sz w:val="21"/>
          <w:szCs w:val="21"/>
          <w:lang w:val="es-MX"/>
        </w:rPr>
        <w:t>»</w:t>
      </w:r>
    </w:p>
    <w:p w14:paraId="110A149B" w14:textId="77777777" w:rsidR="00AB7126" w:rsidRPr="00AB7126" w:rsidRDefault="00AB7126" w:rsidP="00AB7126">
      <w:pPr>
        <w:spacing w:after="0" w:line="276" w:lineRule="auto"/>
        <w:jc w:val="both"/>
        <w:rPr>
          <w:rFonts w:ascii="Arial" w:hAnsi="Arial" w:cs="Arial"/>
          <w:bCs/>
          <w:color w:val="000000" w:themeColor="text1"/>
          <w:sz w:val="24"/>
          <w:lang w:val="es-ES"/>
        </w:rPr>
      </w:pPr>
    </w:p>
    <w:p w14:paraId="4AC533E2" w14:textId="19482754" w:rsidR="00AB7126" w:rsidRPr="00AB7126" w:rsidRDefault="00AB7126" w:rsidP="00AB7126">
      <w:pPr>
        <w:spacing w:after="0" w:line="276" w:lineRule="auto"/>
        <w:ind w:firstLine="567"/>
        <w:jc w:val="both"/>
        <w:rPr>
          <w:rFonts w:ascii="Arial" w:hAnsi="Arial" w:cs="Arial"/>
          <w:bCs/>
          <w:color w:val="000000" w:themeColor="text1"/>
          <w:lang w:val="es-MX"/>
        </w:rPr>
      </w:pPr>
      <w:r w:rsidRPr="00AB7126">
        <w:rPr>
          <w:rFonts w:ascii="Arial" w:hAnsi="Arial" w:cs="Arial"/>
          <w:bCs/>
          <w:color w:val="000000" w:themeColor="text1"/>
          <w:lang w:val="es-MX"/>
        </w:rPr>
        <w:t>En este punto, se reitera lo expuesto en el concepto emitido por esta Agencia con el radicado 4201913000008240, del 20 de diciembre de 2019, esto es, que el seguimiento de la ejecución del contrato para su dirección, control y vigilancia del correcto cumplimiento del objeto es un deber legal que permite a las entidades estatales</w:t>
      </w:r>
      <w:r w:rsidR="00221995">
        <w:rPr>
          <w:rFonts w:ascii="Arial" w:hAnsi="Arial" w:cs="Arial"/>
          <w:bCs/>
          <w:color w:val="000000" w:themeColor="text1"/>
          <w:lang w:val="es-MX"/>
        </w:rPr>
        <w:t xml:space="preserve"> «</w:t>
      </w:r>
      <w:r w:rsidRPr="00AB7126">
        <w:rPr>
          <w:rFonts w:ascii="Arial" w:hAnsi="Arial" w:cs="Arial"/>
          <w:bCs/>
          <w:color w:val="000000" w:themeColor="text1"/>
          <w:lang w:val="es-MX"/>
        </w:rPr>
        <w:t>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p>
    <w:p w14:paraId="0A643A13" w14:textId="77777777" w:rsidR="00AB7126" w:rsidRPr="00AB7126" w:rsidRDefault="00AB7126" w:rsidP="00AB7126">
      <w:pPr>
        <w:spacing w:after="0" w:line="240" w:lineRule="auto"/>
        <w:jc w:val="both"/>
        <w:rPr>
          <w:rFonts w:ascii="Arial" w:hAnsi="Arial" w:cs="Arial"/>
          <w:b/>
          <w:color w:val="000000" w:themeColor="text1"/>
          <w:lang w:val="es-MX"/>
        </w:rPr>
      </w:pPr>
    </w:p>
    <w:p w14:paraId="42149DA1" w14:textId="00197D76" w:rsidR="00AB7126" w:rsidRPr="00AB7126" w:rsidRDefault="00AB7126" w:rsidP="00AB7126">
      <w:pPr>
        <w:widowControl w:val="0"/>
        <w:autoSpaceDE w:val="0"/>
        <w:autoSpaceDN w:val="0"/>
        <w:spacing w:after="0" w:line="276" w:lineRule="auto"/>
        <w:jc w:val="both"/>
        <w:rPr>
          <w:rFonts w:ascii="Arial" w:hAnsi="Arial" w:cs="Arial"/>
          <w:b/>
          <w:color w:val="000000" w:themeColor="text1"/>
          <w:lang w:val="es-MX"/>
        </w:rPr>
      </w:pPr>
      <w:r w:rsidRPr="00AB7126">
        <w:rPr>
          <w:rFonts w:ascii="Arial" w:hAnsi="Arial" w:cs="Arial"/>
          <w:b/>
          <w:color w:val="000000" w:themeColor="text1"/>
          <w:lang w:val="es-MX"/>
        </w:rPr>
        <w:t xml:space="preserve">2.2. La interventoría en los contratos estatales. </w:t>
      </w:r>
    </w:p>
    <w:p w14:paraId="2BF00234" w14:textId="77777777" w:rsidR="00AB7126" w:rsidRPr="00AB7126" w:rsidRDefault="00AB7126" w:rsidP="00AB7126">
      <w:pPr>
        <w:spacing w:after="0" w:line="276" w:lineRule="auto"/>
        <w:ind w:left="567"/>
        <w:jc w:val="both"/>
        <w:rPr>
          <w:rFonts w:ascii="Arial" w:hAnsi="Arial" w:cs="Arial"/>
          <w:color w:val="000000" w:themeColor="text1"/>
          <w:lang w:val="es-MX"/>
        </w:rPr>
      </w:pPr>
    </w:p>
    <w:p w14:paraId="31916121" w14:textId="77777777" w:rsidR="00AB7126" w:rsidRPr="00AB7126" w:rsidRDefault="00AB7126" w:rsidP="00AB7126">
      <w:pPr>
        <w:spacing w:after="0" w:line="276" w:lineRule="auto"/>
        <w:jc w:val="both"/>
        <w:rPr>
          <w:rFonts w:ascii="Arial" w:hAnsi="Arial" w:cs="Arial"/>
          <w:color w:val="000000" w:themeColor="text1"/>
          <w:lang w:val="es-MX"/>
        </w:rPr>
      </w:pPr>
      <w:r w:rsidRPr="00AB7126">
        <w:rPr>
          <w:rFonts w:ascii="Arial" w:hAnsi="Arial" w:cs="Arial"/>
          <w:color w:val="000000" w:themeColor="text1"/>
          <w:lang w:val="es-MX"/>
        </w:rPr>
        <w:t xml:space="preserve">La Ley 1474 de 2011 enmarcó el seguimiento, control y vigilancia de la ejecución del contrato estatal dentro del principio de moralidad administrativa. El artículo 83 </w:t>
      </w:r>
      <w:r w:rsidRPr="00AB7126">
        <w:rPr>
          <w:rFonts w:ascii="Arial" w:hAnsi="Arial" w:cs="Arial"/>
          <w:i/>
          <w:iCs/>
          <w:color w:val="000000" w:themeColor="text1"/>
          <w:lang w:val="es-MX"/>
        </w:rPr>
        <w:t xml:space="preserve">ibidem </w:t>
      </w:r>
      <w:r w:rsidRPr="00AB7126">
        <w:rPr>
          <w:rFonts w:ascii="Arial" w:hAnsi="Arial" w:cs="Arial"/>
          <w:color w:val="000000" w:themeColor="text1"/>
          <w:lang w:val="es-MX"/>
        </w:rPr>
        <w:t>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w:t>
      </w:r>
      <w:r w:rsidRPr="00AB7126">
        <w:rPr>
          <w:rFonts w:ascii="Arial" w:hAnsi="Arial" w:cs="Arial"/>
          <w:color w:val="000000" w:themeColor="text1"/>
          <w:vertAlign w:val="superscript"/>
          <w:lang w:val="es-MX"/>
        </w:rPr>
        <w:footnoteReference w:id="7"/>
      </w:r>
      <w:r w:rsidRPr="00AB7126">
        <w:rPr>
          <w:rFonts w:ascii="Arial" w:hAnsi="Arial" w:cs="Arial"/>
          <w:color w:val="000000" w:themeColor="text1"/>
          <w:lang w:val="es-MX"/>
        </w:rPr>
        <w:t xml:space="preserve">. El legislador además definió las nociones de </w:t>
      </w:r>
      <w:r w:rsidRPr="00AB7126">
        <w:rPr>
          <w:rFonts w:ascii="Arial" w:hAnsi="Arial" w:cs="Arial"/>
          <w:i/>
          <w:iCs/>
          <w:color w:val="000000" w:themeColor="text1"/>
          <w:lang w:val="es-MX"/>
        </w:rPr>
        <w:t>supervisión</w:t>
      </w:r>
      <w:r w:rsidRPr="00AB7126">
        <w:rPr>
          <w:rFonts w:ascii="Arial" w:hAnsi="Arial" w:cs="Arial"/>
          <w:color w:val="000000" w:themeColor="text1"/>
          <w:lang w:val="es-MX"/>
        </w:rPr>
        <w:t xml:space="preserve"> e </w:t>
      </w:r>
      <w:r w:rsidRPr="00AB7126">
        <w:rPr>
          <w:rFonts w:ascii="Arial" w:hAnsi="Arial" w:cs="Arial"/>
          <w:i/>
          <w:iCs/>
          <w:color w:val="000000" w:themeColor="text1"/>
          <w:lang w:val="es-MX"/>
        </w:rPr>
        <w:lastRenderedPageBreak/>
        <w:t>interventoría</w:t>
      </w:r>
      <w:r w:rsidRPr="00AB7126">
        <w:rPr>
          <w:rFonts w:ascii="Arial" w:hAnsi="Arial" w:cs="Arial"/>
          <w:color w:val="000000" w:themeColor="text1"/>
          <w:lang w:val="es-MX"/>
        </w:rPr>
        <w:t xml:space="preserve">, como mecanismos que pueden usar las entidades estatales para vigilar el contrato, en estos términos: </w:t>
      </w:r>
    </w:p>
    <w:p w14:paraId="3147F978" w14:textId="77777777" w:rsidR="00AB7126" w:rsidRPr="00AB7126" w:rsidRDefault="00AB7126" w:rsidP="00AB7126">
      <w:pPr>
        <w:spacing w:after="0" w:line="276" w:lineRule="auto"/>
        <w:jc w:val="both"/>
        <w:rPr>
          <w:rFonts w:ascii="Arial" w:hAnsi="Arial" w:cs="Arial"/>
          <w:color w:val="000000" w:themeColor="text1"/>
          <w:sz w:val="24"/>
          <w:lang w:val="es-MX"/>
        </w:rPr>
      </w:pPr>
    </w:p>
    <w:p w14:paraId="313A3933" w14:textId="77777777" w:rsidR="00AB7126" w:rsidRPr="00AB7126" w:rsidRDefault="00AB7126" w:rsidP="00AB7126">
      <w:pPr>
        <w:spacing w:after="0" w:line="240" w:lineRule="auto"/>
        <w:ind w:left="709" w:right="709"/>
        <w:jc w:val="both"/>
        <w:rPr>
          <w:rFonts w:ascii="Arial" w:hAnsi="Arial" w:cs="Arial"/>
          <w:color w:val="000000" w:themeColor="text1"/>
          <w:sz w:val="21"/>
          <w:szCs w:val="21"/>
          <w:lang w:val="es-MX"/>
        </w:rPr>
      </w:pPr>
      <w:r w:rsidRPr="00AB7126">
        <w:rPr>
          <w:rFonts w:ascii="Arial" w:hAnsi="Arial" w:cs="Arial"/>
          <w:color w:val="000000" w:themeColor="text1"/>
          <w:sz w:val="21"/>
          <w:szCs w:val="21"/>
          <w:lang w:val="es-MX"/>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21B133BE" w14:textId="77777777" w:rsidR="00AB7126" w:rsidRPr="00AB7126" w:rsidRDefault="00AB7126" w:rsidP="00AB7126">
      <w:pPr>
        <w:spacing w:after="0" w:line="240" w:lineRule="auto"/>
        <w:ind w:left="709" w:right="709"/>
        <w:jc w:val="both"/>
        <w:rPr>
          <w:rFonts w:ascii="Arial" w:hAnsi="Arial" w:cs="Arial"/>
          <w:color w:val="000000" w:themeColor="text1"/>
          <w:sz w:val="21"/>
          <w:szCs w:val="21"/>
          <w:lang w:val="es-MX"/>
        </w:rPr>
      </w:pPr>
    </w:p>
    <w:p w14:paraId="261ACE2D" w14:textId="77777777" w:rsidR="00AB7126" w:rsidRPr="00AB7126" w:rsidRDefault="00AB7126" w:rsidP="00AB7126">
      <w:pPr>
        <w:spacing w:after="0" w:line="240" w:lineRule="auto"/>
        <w:ind w:left="709" w:right="709"/>
        <w:jc w:val="both"/>
        <w:rPr>
          <w:rFonts w:ascii="Arial" w:hAnsi="Arial" w:cs="Arial"/>
          <w:color w:val="000000" w:themeColor="text1"/>
          <w:sz w:val="21"/>
          <w:szCs w:val="21"/>
          <w:lang w:val="es-MX"/>
        </w:rPr>
      </w:pPr>
      <w:r w:rsidRPr="00AB7126">
        <w:rPr>
          <w:rFonts w:ascii="Arial" w:hAnsi="Arial" w:cs="Arial"/>
          <w:color w:val="000000" w:themeColor="text1"/>
          <w:sz w:val="21"/>
          <w:szCs w:val="21"/>
          <w:lang w:val="es-MX"/>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6D645921" w14:textId="77777777" w:rsidR="00AB7126" w:rsidRPr="00AB7126" w:rsidRDefault="00AB7126" w:rsidP="00AB7126">
      <w:pPr>
        <w:spacing w:after="0" w:line="240" w:lineRule="auto"/>
        <w:ind w:left="709" w:right="709"/>
        <w:jc w:val="both"/>
        <w:rPr>
          <w:rFonts w:ascii="Arial" w:hAnsi="Arial" w:cs="Arial"/>
          <w:color w:val="000000" w:themeColor="text1"/>
          <w:sz w:val="21"/>
          <w:szCs w:val="21"/>
          <w:lang w:val="es-MX"/>
        </w:rPr>
      </w:pPr>
    </w:p>
    <w:p w14:paraId="3DBC3D73" w14:textId="77777777" w:rsidR="00AB7126" w:rsidRPr="00AB7126" w:rsidRDefault="00AB7126" w:rsidP="00AB7126">
      <w:pPr>
        <w:spacing w:after="0" w:line="276" w:lineRule="auto"/>
        <w:ind w:firstLine="708"/>
        <w:jc w:val="both"/>
        <w:rPr>
          <w:rFonts w:ascii="Arial" w:hAnsi="Arial" w:cs="Arial"/>
          <w:color w:val="000000" w:themeColor="text1"/>
          <w:lang w:val="es-MX"/>
        </w:rPr>
      </w:pPr>
      <w:r w:rsidRPr="00AB7126">
        <w:rPr>
          <w:rFonts w:ascii="Arial" w:hAnsi="Arial" w:cs="Arial"/>
          <w:color w:val="000000" w:themeColor="text1"/>
          <w:lang w:val="es-MX"/>
        </w:rPr>
        <w:t xml:space="preserve">En relación con las definiciones de </w:t>
      </w:r>
      <w:r w:rsidRPr="00AB7126">
        <w:rPr>
          <w:rFonts w:ascii="Arial" w:hAnsi="Arial" w:cs="Arial"/>
          <w:i/>
          <w:iCs/>
          <w:color w:val="000000" w:themeColor="text1"/>
          <w:lang w:val="es-MX"/>
        </w:rPr>
        <w:t xml:space="preserve">supervisión </w:t>
      </w:r>
      <w:r w:rsidRPr="00AB7126">
        <w:rPr>
          <w:rFonts w:ascii="Arial" w:hAnsi="Arial" w:cs="Arial"/>
          <w:color w:val="000000" w:themeColor="text1"/>
          <w:lang w:val="es-MX"/>
        </w:rPr>
        <w:t xml:space="preserve">e </w:t>
      </w:r>
      <w:r w:rsidRPr="00AB7126">
        <w:rPr>
          <w:rFonts w:ascii="Arial" w:hAnsi="Arial" w:cs="Arial"/>
          <w:i/>
          <w:iCs/>
          <w:color w:val="000000" w:themeColor="text1"/>
          <w:lang w:val="es-MX"/>
        </w:rPr>
        <w:t>interventoría</w:t>
      </w:r>
      <w:r w:rsidRPr="00AB7126">
        <w:rPr>
          <w:rFonts w:ascii="Arial" w:hAnsi="Arial" w:cs="Arial"/>
          <w:color w:val="000000" w:themeColor="text1"/>
          <w:lang w:val="es-MX"/>
        </w:rPr>
        <w:t>, doctrinariamente se ha establecido la diferencia entre una y otra, de la siguiente manera:</w:t>
      </w:r>
    </w:p>
    <w:p w14:paraId="798E455B" w14:textId="77777777" w:rsidR="00AB7126" w:rsidRPr="00AB7126" w:rsidRDefault="00AB7126" w:rsidP="00AB7126">
      <w:pPr>
        <w:spacing w:after="0" w:line="240" w:lineRule="auto"/>
        <w:ind w:left="709" w:right="709"/>
        <w:jc w:val="both"/>
        <w:rPr>
          <w:rFonts w:ascii="Arial" w:hAnsi="Arial" w:cs="Arial"/>
          <w:color w:val="000000" w:themeColor="text1"/>
          <w:sz w:val="21"/>
          <w:szCs w:val="21"/>
          <w:lang w:val="es-MX"/>
        </w:rPr>
      </w:pPr>
    </w:p>
    <w:p w14:paraId="6207B96E" w14:textId="77777777" w:rsidR="00AB7126" w:rsidRPr="00AB7126" w:rsidRDefault="00AB7126" w:rsidP="00AB7126">
      <w:pPr>
        <w:spacing w:after="0" w:line="240" w:lineRule="auto"/>
        <w:ind w:left="709" w:right="709"/>
        <w:jc w:val="both"/>
        <w:rPr>
          <w:rFonts w:ascii="Arial" w:hAnsi="Arial" w:cs="Arial"/>
          <w:color w:val="000000" w:themeColor="text1"/>
          <w:sz w:val="21"/>
          <w:szCs w:val="21"/>
          <w:lang w:val="es-MX"/>
        </w:rPr>
      </w:pPr>
      <w:r w:rsidRPr="00AB7126">
        <w:rPr>
          <w:rFonts w:ascii="Arial" w:hAnsi="Arial" w:cs="Arial"/>
          <w:color w:val="000000" w:themeColor="text1"/>
          <w:sz w:val="21"/>
          <w:szCs w:val="21"/>
          <w:lang w:val="es-MX"/>
        </w:rPr>
        <w:t xml:space="preserve">La supervisión […] es ejercida por la propia entidad contratante cuando no requiere conocimientos técnicos especializados. Por contraste, a la interventoría se le concibe alrededor de la necesidad de tales conocimientos. Esa diferenciación entonces nos permite decir que entre una y otra figuras hay una comunidad de propósito con una diferencia de grado: en la interventoría se acude a un consultor especializado con un grado de conocimiento técnico superior a aquel del que disponga la entidad, a propósito de que se constituya en «sus ojos» en frente de la ejecución del contrato. Es por ello </w:t>
      </w:r>
      <w:proofErr w:type="gramStart"/>
      <w:r w:rsidRPr="00AB7126">
        <w:rPr>
          <w:rFonts w:ascii="Arial" w:hAnsi="Arial" w:cs="Arial"/>
          <w:color w:val="000000" w:themeColor="text1"/>
          <w:sz w:val="21"/>
          <w:szCs w:val="21"/>
          <w:lang w:val="es-MX"/>
        </w:rPr>
        <w:t>que</w:t>
      </w:r>
      <w:proofErr w:type="gramEnd"/>
      <w:r w:rsidRPr="00AB7126">
        <w:rPr>
          <w:rFonts w:ascii="Arial" w:hAnsi="Arial" w:cs="Arial"/>
          <w:color w:val="000000" w:themeColor="text1"/>
          <w:sz w:val="21"/>
          <w:szCs w:val="21"/>
          <w:lang w:val="es-MX"/>
        </w:rPr>
        <w:t xml:space="preserve"> a la interventoría se le hace consistir de acuerdo con la definición legal, «en el seguimiento técnico» del cumplimiento del contrato, cuando el mismo «suponga conocimiento especializado en la materia, o cuando la complejidad o la extensión del mismo lo justifiquen». En su propósito de hacer evidente esta diferenciación, el proyecto de ley que condujo al Estatuto Anticorrupción buscaba enmarcar a la interventoría en la función técnica exclusivamente, intención que se vio frustrada cuando a la definición propuesta, y hoy contenida en el citado artículo 83, vino a agregarse una frase final que aclara que la misma podrá extenderse a «otros aspectos del contrato» en adición a aquellos de naturaleza técnica</w:t>
      </w:r>
      <w:r w:rsidRPr="00AB7126">
        <w:rPr>
          <w:rFonts w:ascii="Arial" w:hAnsi="Arial" w:cs="Arial"/>
          <w:color w:val="000000" w:themeColor="text1"/>
          <w:sz w:val="21"/>
          <w:szCs w:val="21"/>
          <w:vertAlign w:val="superscript"/>
          <w:lang w:val="es-MX"/>
        </w:rPr>
        <w:footnoteReference w:id="8"/>
      </w:r>
      <w:r w:rsidRPr="00AB7126">
        <w:rPr>
          <w:rFonts w:ascii="Arial" w:hAnsi="Arial" w:cs="Arial"/>
          <w:color w:val="000000" w:themeColor="text1"/>
          <w:sz w:val="21"/>
          <w:szCs w:val="21"/>
          <w:lang w:val="es-MX"/>
        </w:rPr>
        <w:t xml:space="preserve">. </w:t>
      </w:r>
    </w:p>
    <w:p w14:paraId="5D619716" w14:textId="77777777" w:rsidR="00AB7126" w:rsidRPr="00AB7126" w:rsidRDefault="00AB7126" w:rsidP="00AB7126">
      <w:pPr>
        <w:spacing w:before="120" w:after="0" w:line="276" w:lineRule="auto"/>
        <w:ind w:firstLine="709"/>
        <w:jc w:val="both"/>
        <w:rPr>
          <w:rFonts w:ascii="Arial" w:hAnsi="Arial" w:cs="Arial"/>
          <w:color w:val="000000" w:themeColor="text1"/>
          <w:lang w:val="es-MX"/>
        </w:rPr>
      </w:pPr>
      <w:r w:rsidRPr="00AB7126">
        <w:rPr>
          <w:rFonts w:ascii="Arial" w:hAnsi="Arial" w:cs="Arial"/>
          <w:color w:val="000000" w:themeColor="text1"/>
          <w:lang w:val="es-MX"/>
        </w:rPr>
        <w:t xml:space="preserve">Quien ejerza la vigilancia de la ejecución del contrato, ya sea mediante la supervisión o mediante la interventoría, puede hacer uso de las facultades previstas en el artículo 84 de la Ley </w:t>
      </w:r>
      <w:r w:rsidRPr="00AB7126">
        <w:rPr>
          <w:rFonts w:ascii="Arial" w:hAnsi="Arial" w:cs="Arial"/>
          <w:color w:val="000000" w:themeColor="text1"/>
          <w:lang w:val="es-MX"/>
        </w:rPr>
        <w:lastRenderedPageBreak/>
        <w:t>1474 de 2011 para hacer el seguimiento al cumplimiento obligacional del contrato y estará sometido a los deberes y responsabilidades que implica el ejercicio de dicha actividad</w:t>
      </w:r>
      <w:r w:rsidRPr="00AB7126">
        <w:rPr>
          <w:rFonts w:ascii="Arial" w:hAnsi="Arial" w:cs="Arial"/>
          <w:color w:val="000000" w:themeColor="text1"/>
          <w:vertAlign w:val="superscript"/>
          <w:lang w:val="es-MX"/>
        </w:rPr>
        <w:footnoteReference w:id="9"/>
      </w:r>
      <w:r w:rsidRPr="00AB7126">
        <w:rPr>
          <w:rFonts w:ascii="Arial" w:hAnsi="Arial" w:cs="Arial"/>
          <w:color w:val="000000" w:themeColor="text1"/>
          <w:lang w:val="es-MX"/>
        </w:rPr>
        <w:t xml:space="preserve">. </w:t>
      </w:r>
    </w:p>
    <w:p w14:paraId="5FF2B6E6" w14:textId="539CD906" w:rsidR="00AB7126" w:rsidRPr="00AB7126" w:rsidRDefault="00AB7126" w:rsidP="00073C6F">
      <w:pPr>
        <w:spacing w:before="120" w:after="0" w:line="276" w:lineRule="auto"/>
        <w:ind w:firstLine="709"/>
        <w:jc w:val="both"/>
        <w:rPr>
          <w:rFonts w:ascii="Arial" w:hAnsi="Arial" w:cs="Arial"/>
          <w:color w:val="000000" w:themeColor="text1"/>
          <w:lang w:val="es-MX"/>
        </w:rPr>
      </w:pPr>
      <w:r w:rsidRPr="00AB7126">
        <w:rPr>
          <w:rFonts w:ascii="Arial" w:hAnsi="Arial" w:cs="Arial"/>
          <w:color w:val="000000" w:themeColor="text1"/>
          <w:lang w:val="es-MX"/>
        </w:rPr>
        <w:t>Sin perjuicio de lo anterior, según lo expresado por esta entidad</w:t>
      </w:r>
      <w:r w:rsidRPr="00AB7126">
        <w:rPr>
          <w:rFonts w:ascii="Arial" w:hAnsi="Arial" w:cs="Arial"/>
          <w:color w:val="000000" w:themeColor="text1"/>
          <w:vertAlign w:val="superscript"/>
          <w:lang w:val="es-MX"/>
        </w:rPr>
        <w:footnoteReference w:id="10"/>
      </w:r>
      <w:r w:rsidRPr="00AB7126">
        <w:rPr>
          <w:rFonts w:ascii="Arial" w:hAnsi="Arial" w:cs="Arial"/>
          <w:color w:val="000000" w:themeColor="text1"/>
          <w:lang w:val="es-MX"/>
        </w:rPr>
        <w:t>, de las disposiciones contenidas en la Ley 1474 de 2011 se infieren las siguientes características</w:t>
      </w:r>
      <w:r w:rsidR="002234F1">
        <w:rPr>
          <w:rFonts w:ascii="Arial" w:hAnsi="Arial" w:cs="Arial"/>
          <w:color w:val="000000" w:themeColor="text1"/>
          <w:lang w:val="es-MX"/>
        </w:rPr>
        <w:t xml:space="preserve"> de la intervent</w:t>
      </w:r>
      <w:r w:rsidR="00073C6F">
        <w:rPr>
          <w:rFonts w:ascii="Arial" w:hAnsi="Arial" w:cs="Arial"/>
          <w:color w:val="000000" w:themeColor="text1"/>
          <w:lang w:val="es-MX"/>
        </w:rPr>
        <w:t xml:space="preserve">oría: </w:t>
      </w:r>
      <w:r w:rsidRPr="00B256E0">
        <w:rPr>
          <w:rFonts w:ascii="Arial" w:hAnsi="Arial" w:cs="Arial"/>
          <w:color w:val="000000" w:themeColor="text1"/>
          <w:lang w:val="es-MX"/>
        </w:rPr>
        <w:t xml:space="preserve">i) será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justifiquen» ―art. 83, Ley 1474 de 2011―. </w:t>
      </w:r>
      <w:proofErr w:type="spellStart"/>
      <w:r w:rsidRPr="00B256E0">
        <w:rPr>
          <w:rFonts w:ascii="Arial" w:hAnsi="Arial" w:cs="Arial"/>
          <w:color w:val="000000" w:themeColor="text1"/>
          <w:lang w:val="es-MX"/>
        </w:rPr>
        <w:t>ii</w:t>
      </w:r>
      <w:proofErr w:type="spellEnd"/>
      <w:r w:rsidRPr="00B256E0">
        <w:rPr>
          <w:rFonts w:ascii="Arial" w:hAnsi="Arial" w:cs="Arial"/>
          <w:color w:val="000000" w:themeColor="text1"/>
          <w:lang w:val="es-MX"/>
        </w:rPr>
        <w:t xml:space="preserve">) Este mecanismo de vigilancia exige, en su ejecución, la utilización de conocimientos especializados. </w:t>
      </w:r>
      <w:proofErr w:type="spellStart"/>
      <w:r w:rsidRPr="00B256E0">
        <w:rPr>
          <w:rFonts w:ascii="Arial" w:hAnsi="Arial" w:cs="Arial"/>
          <w:color w:val="000000" w:themeColor="text1"/>
          <w:lang w:val="es-MX"/>
        </w:rPr>
        <w:t>iii</w:t>
      </w:r>
      <w:proofErr w:type="spellEnd"/>
      <w:r w:rsidRPr="00B256E0">
        <w:rPr>
          <w:rFonts w:ascii="Arial" w:hAnsi="Arial" w:cs="Arial"/>
          <w:color w:val="000000" w:themeColor="text1"/>
          <w:lang w:val="es-MX"/>
        </w:rPr>
        <w:t>) Por lo anterior, la entidad contrata un experto a través de un concurso de méritos, al tratarse la interventoría de una especie del contrato de consultoría ―art. 32, numeral 2, inciso 2, Ley 80 de 1993</w:t>
      </w:r>
      <w:r w:rsidRPr="00B256E0">
        <w:rPr>
          <w:rFonts w:ascii="Arial" w:hAnsi="Arial" w:cs="Arial"/>
          <w:color w:val="000000" w:themeColor="text1"/>
          <w:vertAlign w:val="superscript"/>
          <w:lang w:val="es-MX"/>
        </w:rPr>
        <w:footnoteReference w:id="11"/>
      </w:r>
      <w:r w:rsidRPr="00B256E0">
        <w:rPr>
          <w:rFonts w:ascii="Arial" w:hAnsi="Arial" w:cs="Arial"/>
          <w:color w:val="000000" w:themeColor="text1"/>
          <w:lang w:val="es-MX"/>
        </w:rPr>
        <w:t xml:space="preserve">―, de manera que la interventoría es realizada por una «persona natural o jurídica contratada para tal fin por la Entidad Estatal» ―art. 83, Ley 1474―. </w:t>
      </w:r>
      <w:proofErr w:type="spellStart"/>
      <w:r w:rsidRPr="00B256E0">
        <w:rPr>
          <w:rFonts w:ascii="Arial" w:hAnsi="Arial" w:cs="Arial"/>
          <w:color w:val="000000" w:themeColor="text1"/>
          <w:lang w:val="es-MX"/>
        </w:rPr>
        <w:t>iv</w:t>
      </w:r>
      <w:proofErr w:type="spellEnd"/>
      <w:r w:rsidRPr="00B256E0">
        <w:rPr>
          <w:rFonts w:ascii="Arial" w:hAnsi="Arial" w:cs="Arial"/>
          <w:color w:val="000000" w:themeColor="text1"/>
          <w:lang w:val="es-MX"/>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dentro de sus obligaciones se debe estipular que «las actividades técnicas a cargo del interventor y las demás quedarán a cargo de la Entidad a través del supervisor» ―art. 83, inciso 3―. vi) El contrato de interventoría será supervisado directamente por la entidad ―art. 83, inciso 4―.</w:t>
      </w:r>
    </w:p>
    <w:p w14:paraId="52F91393" w14:textId="332ECFF5" w:rsidR="00AB7126" w:rsidRPr="00AB7126" w:rsidRDefault="00AB7126" w:rsidP="00AB7126">
      <w:pPr>
        <w:spacing w:before="120" w:after="0" w:line="276" w:lineRule="auto"/>
        <w:ind w:firstLine="709"/>
        <w:jc w:val="both"/>
        <w:rPr>
          <w:rFonts w:ascii="Arial" w:hAnsi="Arial" w:cs="Arial"/>
          <w:color w:val="000000" w:themeColor="text1"/>
          <w:highlight w:val="yellow"/>
          <w:lang w:val="es-MX"/>
        </w:rPr>
      </w:pPr>
      <w:r w:rsidRPr="00AB7126">
        <w:rPr>
          <w:rFonts w:ascii="Arial" w:hAnsi="Arial" w:cs="Arial"/>
          <w:color w:val="000000" w:themeColor="text1"/>
          <w:lang w:val="es-MX"/>
        </w:rPr>
        <w:t xml:space="preserve">De acuerdo con lo anterior, el interventor es un contratista externo a la </w:t>
      </w:r>
      <w:r w:rsidR="00B54492">
        <w:rPr>
          <w:rFonts w:ascii="Arial" w:hAnsi="Arial" w:cs="Arial"/>
          <w:color w:val="000000" w:themeColor="text1"/>
          <w:lang w:val="es-MX"/>
        </w:rPr>
        <w:t>Entidad Estatal</w:t>
      </w:r>
      <w:r w:rsidRPr="00AB7126">
        <w:rPr>
          <w:rFonts w:ascii="Arial" w:hAnsi="Arial" w:cs="Arial"/>
          <w:color w:val="000000" w:themeColor="text1"/>
          <w:lang w:val="es-MX"/>
        </w:rPr>
        <w:t xml:space="preserve"> y al contratista vigilado, de manera que es seleccionado por la </w:t>
      </w:r>
      <w:r w:rsidR="00B54492">
        <w:rPr>
          <w:rFonts w:ascii="Arial" w:hAnsi="Arial" w:cs="Arial"/>
          <w:color w:val="000000" w:themeColor="text1"/>
          <w:lang w:val="es-MX"/>
        </w:rPr>
        <w:t>Entidad Estatal</w:t>
      </w:r>
      <w:r w:rsidRPr="00AB7126">
        <w:rPr>
          <w:rFonts w:ascii="Arial" w:hAnsi="Arial" w:cs="Arial"/>
          <w:color w:val="000000" w:themeColor="text1"/>
          <w:lang w:val="es-MX"/>
        </w:rPr>
        <w:t xml:space="preserve"> mediante los procedimientos de selección establecidos en el EGCAP; en principio, mediante un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cuantía o una contratación directa, en caso de presentarse alguna de las causales establecidas en el artículo 2 de la Ley 1150 de 2007, que dé lugar a acudir a otra modalidad de selección. </w:t>
      </w:r>
      <w:r w:rsidRPr="00B256E0">
        <w:rPr>
          <w:rFonts w:ascii="Arial" w:hAnsi="Arial" w:cs="Arial"/>
          <w:color w:val="000000" w:themeColor="text1"/>
          <w:lang w:val="es-MX"/>
        </w:rPr>
        <w:t>En todo caso, se reitera que un contrato</w:t>
      </w:r>
      <w:bookmarkStart w:id="1" w:name="_Hlk121936729"/>
      <w:r w:rsidRPr="00B256E0">
        <w:rPr>
          <w:rFonts w:ascii="Arial" w:hAnsi="Arial" w:cs="Arial"/>
          <w:color w:val="000000" w:themeColor="text1"/>
          <w:lang w:val="es-MX"/>
        </w:rPr>
        <w:t xml:space="preserve">, </w:t>
      </w:r>
      <w:bookmarkStart w:id="2" w:name="_Hlk121936880"/>
      <w:r w:rsidRPr="00B256E0">
        <w:rPr>
          <w:rFonts w:ascii="Arial" w:hAnsi="Arial" w:cs="Arial"/>
          <w:color w:val="000000" w:themeColor="text1"/>
          <w:lang w:val="es-MX"/>
        </w:rPr>
        <w:t xml:space="preserve">para que se considere de interventoría debe tener como objeto y finalidad </w:t>
      </w:r>
      <w:r w:rsidRPr="00B256E0">
        <w:rPr>
          <w:rFonts w:ascii="Arial" w:hAnsi="Arial" w:cs="Arial"/>
          <w:color w:val="000000" w:themeColor="text1"/>
          <w:lang w:val="es-MX"/>
        </w:rPr>
        <w:lastRenderedPageBreak/>
        <w:t>vigilar la adecuada ejecución de uno u otros contratos estatales, en los términos establecidos en el artículo 83 de la Ley 1474 de 2011</w:t>
      </w:r>
      <w:r w:rsidRPr="00E5330E">
        <w:rPr>
          <w:rFonts w:ascii="Arial" w:hAnsi="Arial" w:cs="Arial"/>
          <w:color w:val="000000" w:themeColor="text1"/>
          <w:lang w:val="es-MX"/>
        </w:rPr>
        <w:t>.</w:t>
      </w:r>
      <w:r w:rsidRPr="00AB7126">
        <w:rPr>
          <w:rFonts w:ascii="Arial" w:hAnsi="Arial" w:cs="Arial"/>
          <w:color w:val="000000" w:themeColor="text1"/>
          <w:lang w:val="es-MX"/>
        </w:rPr>
        <w:t xml:space="preserve"> </w:t>
      </w:r>
    </w:p>
    <w:bookmarkEnd w:id="1"/>
    <w:bookmarkEnd w:id="2"/>
    <w:p w14:paraId="08B72CFF" w14:textId="4F722305" w:rsidR="00495799" w:rsidRDefault="00AB7126" w:rsidP="00AB7126">
      <w:pPr>
        <w:spacing w:before="120" w:after="0" w:line="276" w:lineRule="auto"/>
        <w:ind w:firstLine="709"/>
        <w:jc w:val="both"/>
        <w:rPr>
          <w:rFonts w:ascii="Arial" w:eastAsia="Calibri" w:hAnsi="Arial" w:cs="Arial"/>
          <w:szCs w:val="24"/>
          <w:lang w:eastAsia="es-ES_tradnl"/>
        </w:rPr>
      </w:pPr>
      <w:r w:rsidRPr="00AB7126">
        <w:rPr>
          <w:rFonts w:ascii="Arial" w:eastAsia="Calibri" w:hAnsi="Arial" w:cs="Arial"/>
          <w:szCs w:val="24"/>
          <w:lang w:eastAsia="es-ES_tradnl"/>
        </w:rPr>
        <w:t xml:space="preserve">Por otro lado, </w:t>
      </w:r>
      <w:r w:rsidR="00472BCA">
        <w:rPr>
          <w:rFonts w:ascii="Arial" w:eastAsia="Calibri" w:hAnsi="Arial" w:cs="Arial"/>
          <w:szCs w:val="24"/>
          <w:lang w:eastAsia="es-ES_tradnl"/>
        </w:rPr>
        <w:t>como bien se expuso</w:t>
      </w:r>
      <w:r w:rsidR="00495799">
        <w:rPr>
          <w:rFonts w:ascii="Arial" w:eastAsia="Calibri" w:hAnsi="Arial" w:cs="Arial"/>
          <w:szCs w:val="24"/>
          <w:lang w:eastAsia="es-ES_tradnl"/>
        </w:rPr>
        <w:t xml:space="preserve">, </w:t>
      </w:r>
      <w:r w:rsidRPr="00AB7126">
        <w:rPr>
          <w:rFonts w:ascii="Arial" w:eastAsia="Calibri" w:hAnsi="Arial" w:cs="Arial"/>
          <w:szCs w:val="24"/>
          <w:lang w:eastAsia="es-ES_tradnl"/>
        </w:rPr>
        <w:t>la interventoría puede hacer uso de las facultades previstas en el artículo 84 de la Ley 1474 de 2011 para efectuar el seguimiento al cumplimiento obligacional del contrato y estará sometido a los deberes y responsabilidades que implica el ejercicio de dicha actividad</w:t>
      </w:r>
      <w:r w:rsidR="0027199F">
        <w:rPr>
          <w:rFonts w:ascii="Arial" w:eastAsia="Calibri" w:hAnsi="Arial" w:cs="Arial"/>
          <w:szCs w:val="24"/>
          <w:lang w:eastAsia="es-ES_tradnl"/>
        </w:rPr>
        <w:t xml:space="preserve">, como lo es el </w:t>
      </w:r>
      <w:r w:rsidR="00495A75" w:rsidRPr="00495A75">
        <w:rPr>
          <w:rFonts w:ascii="Arial" w:eastAsia="Calibri" w:hAnsi="Arial" w:cs="Arial"/>
          <w:szCs w:val="24"/>
          <w:lang w:eastAsia="es-ES_tradnl"/>
        </w:rPr>
        <w:t>solicitar informes, aclaraciones y explicaciones sobre el desarrollo de la ejecución contractual</w:t>
      </w:r>
      <w:r w:rsidR="0027199F">
        <w:rPr>
          <w:rFonts w:ascii="Arial" w:eastAsia="Calibri" w:hAnsi="Arial" w:cs="Arial"/>
          <w:szCs w:val="24"/>
          <w:lang w:eastAsia="es-ES_tradnl"/>
        </w:rPr>
        <w:t xml:space="preserve"> al contratista </w:t>
      </w:r>
      <w:r w:rsidR="008C696F">
        <w:rPr>
          <w:rFonts w:ascii="Arial" w:eastAsia="Calibri" w:hAnsi="Arial" w:cs="Arial"/>
          <w:szCs w:val="24"/>
          <w:lang w:eastAsia="es-ES_tradnl"/>
        </w:rPr>
        <w:t>sobre cual realiza vigilancia.</w:t>
      </w:r>
    </w:p>
    <w:p w14:paraId="71E3ECCC" w14:textId="5C6AE5E1" w:rsidR="00E05424" w:rsidRDefault="002D0E4A" w:rsidP="00E05424">
      <w:pPr>
        <w:spacing w:before="120" w:after="0" w:line="276" w:lineRule="auto"/>
        <w:ind w:firstLine="709"/>
        <w:jc w:val="both"/>
        <w:rPr>
          <w:rFonts w:ascii="Arial" w:eastAsia="Calibri" w:hAnsi="Arial" w:cs="Arial"/>
          <w:szCs w:val="24"/>
          <w:lang w:eastAsia="es-ES_tradnl"/>
        </w:rPr>
      </w:pPr>
      <w:r>
        <w:rPr>
          <w:rFonts w:ascii="Arial" w:eastAsia="Calibri" w:hAnsi="Arial" w:cs="Arial"/>
          <w:szCs w:val="24"/>
          <w:lang w:eastAsia="es-ES_tradnl"/>
        </w:rPr>
        <w:t>Ahora bien</w:t>
      </w:r>
      <w:r w:rsidR="00E05424">
        <w:rPr>
          <w:rFonts w:ascii="Arial" w:eastAsia="Calibri" w:hAnsi="Arial" w:cs="Arial"/>
          <w:szCs w:val="24"/>
          <w:lang w:eastAsia="es-ES_tradnl"/>
        </w:rPr>
        <w:t xml:space="preserve">, </w:t>
      </w:r>
      <w:r>
        <w:rPr>
          <w:rFonts w:ascii="Arial" w:eastAsia="Calibri" w:hAnsi="Arial" w:cs="Arial"/>
          <w:szCs w:val="24"/>
          <w:lang w:eastAsia="es-ES_tradnl"/>
        </w:rPr>
        <w:t xml:space="preserve">el interventor también </w:t>
      </w:r>
      <w:r w:rsidRPr="00495A75">
        <w:rPr>
          <w:rFonts w:ascii="Arial" w:eastAsia="Calibri" w:hAnsi="Arial" w:cs="Arial"/>
          <w:szCs w:val="24"/>
          <w:lang w:eastAsia="es-ES_tradnl"/>
        </w:rPr>
        <w:t>será</w:t>
      </w:r>
      <w:r w:rsidR="00E05424" w:rsidRPr="00495A75">
        <w:rPr>
          <w:rFonts w:ascii="Arial" w:eastAsia="Calibri" w:hAnsi="Arial" w:cs="Arial"/>
          <w:szCs w:val="24"/>
          <w:lang w:eastAsia="es-ES_tradnl"/>
        </w:rPr>
        <w:t xml:space="preserve"> responsables por mantener informada a la entidad contratante de los hechos o circunstancias que puedan constituir actos de corrupción tipificados como conductas punibles, o que puedan poner o pongan en riesgo el cumplimiento del contrato, o cuando tal incumplimiento se presente</w:t>
      </w:r>
      <w:r>
        <w:rPr>
          <w:rFonts w:ascii="Arial" w:eastAsia="Calibri" w:hAnsi="Arial" w:cs="Arial"/>
          <w:szCs w:val="24"/>
          <w:lang w:eastAsia="es-ES_tradnl"/>
        </w:rPr>
        <w:t>, por lo tanto, dicha obligación exige la estrecha comunicación entre contratista interventor y entidad contratante</w:t>
      </w:r>
      <w:r w:rsidR="00534BB8">
        <w:rPr>
          <w:rFonts w:ascii="Arial" w:eastAsia="Calibri" w:hAnsi="Arial" w:cs="Arial"/>
          <w:szCs w:val="24"/>
          <w:lang w:eastAsia="es-ES_tradnl"/>
        </w:rPr>
        <w:t>, para la toma de decisiones oportunas para logar la consecución de los fines de la contratación estatal</w:t>
      </w:r>
      <w:r>
        <w:rPr>
          <w:rFonts w:ascii="Arial" w:eastAsia="Calibri" w:hAnsi="Arial" w:cs="Arial"/>
          <w:szCs w:val="24"/>
          <w:lang w:eastAsia="es-ES_tradnl"/>
        </w:rPr>
        <w:t>.</w:t>
      </w:r>
    </w:p>
    <w:p w14:paraId="0FE9F159" w14:textId="631FC164" w:rsidR="005D6ED7" w:rsidRPr="00AB7126" w:rsidRDefault="005D6ED7" w:rsidP="00AB7126">
      <w:pPr>
        <w:spacing w:before="120" w:after="0" w:line="276" w:lineRule="auto"/>
        <w:ind w:firstLine="709"/>
        <w:jc w:val="both"/>
        <w:rPr>
          <w:rFonts w:ascii="Arial" w:eastAsia="Calibri" w:hAnsi="Arial" w:cs="Arial"/>
          <w:szCs w:val="24"/>
          <w:lang w:eastAsia="es-ES_tradnl"/>
        </w:rPr>
      </w:pPr>
      <w:r w:rsidRPr="005D6ED7">
        <w:rPr>
          <w:rFonts w:ascii="Arial" w:eastAsia="Calibri" w:hAnsi="Arial" w:cs="Arial"/>
          <w:szCs w:val="24"/>
          <w:lang w:eastAsia="es-ES_tradnl"/>
        </w:rPr>
        <w:t xml:space="preserve">Finalmente, </w:t>
      </w:r>
      <w:r w:rsidR="00695882">
        <w:rPr>
          <w:rFonts w:ascii="Arial" w:eastAsia="Calibri" w:hAnsi="Arial" w:cs="Arial"/>
          <w:szCs w:val="24"/>
          <w:lang w:eastAsia="es-ES_tradnl"/>
        </w:rPr>
        <w:t xml:space="preserve">teniendo en cuenta </w:t>
      </w:r>
      <w:r w:rsidR="001B2F0C">
        <w:rPr>
          <w:rFonts w:ascii="Arial" w:eastAsia="Calibri" w:hAnsi="Arial" w:cs="Arial"/>
          <w:szCs w:val="24"/>
          <w:lang w:eastAsia="es-ES_tradnl"/>
        </w:rPr>
        <w:t xml:space="preserve">que </w:t>
      </w:r>
      <w:r w:rsidR="00695882">
        <w:rPr>
          <w:rFonts w:ascii="Arial" w:eastAsia="Calibri" w:hAnsi="Arial" w:cs="Arial"/>
          <w:szCs w:val="24"/>
          <w:lang w:eastAsia="es-ES_tradnl"/>
        </w:rPr>
        <w:t xml:space="preserve">su consulta trata sobre conflictos </w:t>
      </w:r>
      <w:r w:rsidR="00C5098B">
        <w:rPr>
          <w:rFonts w:ascii="Arial" w:eastAsia="Calibri" w:hAnsi="Arial" w:cs="Arial"/>
          <w:szCs w:val="24"/>
          <w:lang w:eastAsia="es-ES_tradnl"/>
        </w:rPr>
        <w:t xml:space="preserve">de distintas indoles entre la interventoría y el contratista </w:t>
      </w:r>
      <w:r w:rsidR="00301E14">
        <w:rPr>
          <w:rFonts w:ascii="Arial" w:eastAsia="Calibri" w:hAnsi="Arial" w:cs="Arial"/>
          <w:szCs w:val="24"/>
          <w:lang w:eastAsia="es-ES_tradnl"/>
        </w:rPr>
        <w:t>vigilado</w:t>
      </w:r>
      <w:r w:rsidR="000538F2">
        <w:rPr>
          <w:rFonts w:ascii="Arial" w:eastAsia="Calibri" w:hAnsi="Arial" w:cs="Arial"/>
          <w:szCs w:val="24"/>
          <w:lang w:eastAsia="es-ES_tradnl"/>
        </w:rPr>
        <w:t>, la Entidad Estatal contratante como supervisora de la ejecución de ambos contratos</w:t>
      </w:r>
      <w:r w:rsidR="00A003D5">
        <w:rPr>
          <w:rFonts w:ascii="Arial" w:eastAsia="Calibri" w:hAnsi="Arial" w:cs="Arial"/>
          <w:szCs w:val="24"/>
          <w:lang w:eastAsia="es-ES_tradnl"/>
        </w:rPr>
        <w:t xml:space="preserve">, </w:t>
      </w:r>
      <w:r w:rsidR="00814158" w:rsidRPr="005D6ED7">
        <w:rPr>
          <w:rFonts w:ascii="Arial" w:eastAsia="Calibri" w:hAnsi="Arial" w:cs="Arial"/>
          <w:szCs w:val="24"/>
          <w:lang w:eastAsia="es-ES_tradnl"/>
        </w:rPr>
        <w:t>en desarrollo de los principios de planeación, responsabilidad y economía</w:t>
      </w:r>
      <w:r w:rsidR="00B874DD">
        <w:rPr>
          <w:rFonts w:ascii="Arial" w:eastAsia="Calibri" w:hAnsi="Arial" w:cs="Arial"/>
          <w:szCs w:val="24"/>
          <w:lang w:eastAsia="es-ES_tradnl"/>
        </w:rPr>
        <w:t xml:space="preserve"> de la contratación estatal</w:t>
      </w:r>
      <w:r w:rsidR="00814158" w:rsidRPr="005D6ED7">
        <w:rPr>
          <w:rFonts w:ascii="Arial" w:eastAsia="Calibri" w:hAnsi="Arial" w:cs="Arial"/>
          <w:szCs w:val="24"/>
          <w:lang w:eastAsia="es-ES_tradnl"/>
        </w:rPr>
        <w:t xml:space="preserve">, </w:t>
      </w:r>
      <w:r w:rsidR="00A003D5">
        <w:rPr>
          <w:rFonts w:ascii="Arial" w:eastAsia="Calibri" w:hAnsi="Arial" w:cs="Arial"/>
          <w:szCs w:val="24"/>
          <w:lang w:eastAsia="es-ES_tradnl"/>
        </w:rPr>
        <w:t xml:space="preserve">deberá </w:t>
      </w:r>
      <w:r w:rsidR="006E4BA6">
        <w:rPr>
          <w:rFonts w:ascii="Arial" w:eastAsia="Calibri" w:hAnsi="Arial" w:cs="Arial"/>
          <w:szCs w:val="24"/>
          <w:lang w:eastAsia="es-ES_tradnl"/>
        </w:rPr>
        <w:t xml:space="preserve">conocer, </w:t>
      </w:r>
      <w:r w:rsidR="00814158" w:rsidRPr="005D6ED7">
        <w:rPr>
          <w:rFonts w:ascii="Arial" w:eastAsia="Calibri" w:hAnsi="Arial" w:cs="Arial"/>
          <w:szCs w:val="24"/>
          <w:lang w:eastAsia="es-ES_tradnl"/>
        </w:rPr>
        <w:t xml:space="preserve">dirigir </w:t>
      </w:r>
      <w:r w:rsidR="006E4BA6">
        <w:rPr>
          <w:rFonts w:ascii="Arial" w:eastAsia="Calibri" w:hAnsi="Arial" w:cs="Arial"/>
          <w:szCs w:val="24"/>
          <w:lang w:eastAsia="es-ES_tradnl"/>
        </w:rPr>
        <w:t>y</w:t>
      </w:r>
      <w:r w:rsidR="00814158" w:rsidRPr="005D6ED7">
        <w:rPr>
          <w:rFonts w:ascii="Arial" w:eastAsia="Calibri" w:hAnsi="Arial" w:cs="Arial"/>
          <w:szCs w:val="24"/>
          <w:lang w:eastAsia="es-ES_tradnl"/>
        </w:rPr>
        <w:t xml:space="preserve"> resolver l</w:t>
      </w:r>
      <w:r w:rsidR="006E4BA6">
        <w:rPr>
          <w:rFonts w:ascii="Arial" w:eastAsia="Calibri" w:hAnsi="Arial" w:cs="Arial"/>
          <w:szCs w:val="24"/>
          <w:lang w:eastAsia="es-ES_tradnl"/>
        </w:rPr>
        <w:t>o</w:t>
      </w:r>
      <w:r w:rsidR="00814158" w:rsidRPr="005D6ED7">
        <w:rPr>
          <w:rFonts w:ascii="Arial" w:eastAsia="Calibri" w:hAnsi="Arial" w:cs="Arial"/>
          <w:szCs w:val="24"/>
          <w:lang w:eastAsia="es-ES_tradnl"/>
        </w:rPr>
        <w:t xml:space="preserve">s eventuales </w:t>
      </w:r>
      <w:r w:rsidR="006E4BA6">
        <w:rPr>
          <w:rFonts w:ascii="Arial" w:eastAsia="Calibri" w:hAnsi="Arial" w:cs="Arial"/>
          <w:szCs w:val="24"/>
          <w:lang w:eastAsia="es-ES_tradnl"/>
        </w:rPr>
        <w:t>conflictos</w:t>
      </w:r>
      <w:r w:rsidR="00CD513B">
        <w:rPr>
          <w:rFonts w:ascii="Arial" w:eastAsia="Calibri" w:hAnsi="Arial" w:cs="Arial"/>
          <w:szCs w:val="24"/>
          <w:lang w:eastAsia="es-ES_tradnl"/>
        </w:rPr>
        <w:t xml:space="preserve"> que </w:t>
      </w:r>
      <w:r w:rsidR="00814158" w:rsidRPr="005D6ED7">
        <w:rPr>
          <w:rFonts w:ascii="Arial" w:eastAsia="Calibri" w:hAnsi="Arial" w:cs="Arial"/>
          <w:szCs w:val="24"/>
          <w:lang w:eastAsia="es-ES_tradnl"/>
        </w:rPr>
        <w:t>se presenten durante la ejecución del contrato</w:t>
      </w:r>
      <w:r w:rsidR="00CD513B">
        <w:rPr>
          <w:rFonts w:ascii="Arial" w:eastAsia="Calibri" w:hAnsi="Arial" w:cs="Arial"/>
          <w:szCs w:val="24"/>
          <w:lang w:eastAsia="es-ES_tradnl"/>
        </w:rPr>
        <w:t xml:space="preserve"> </w:t>
      </w:r>
      <w:r w:rsidR="00B874DD">
        <w:rPr>
          <w:rFonts w:ascii="Arial" w:eastAsia="Calibri" w:hAnsi="Arial" w:cs="Arial"/>
          <w:szCs w:val="24"/>
          <w:lang w:eastAsia="es-ES_tradnl"/>
        </w:rPr>
        <w:t xml:space="preserve">entre ambos contratistas </w:t>
      </w:r>
      <w:r w:rsidR="00CD513B">
        <w:rPr>
          <w:rFonts w:ascii="Arial" w:eastAsia="Calibri" w:hAnsi="Arial" w:cs="Arial"/>
          <w:szCs w:val="24"/>
          <w:lang w:eastAsia="es-ES_tradnl"/>
        </w:rPr>
        <w:t>y que tengan relación con</w:t>
      </w:r>
      <w:r w:rsidR="00EA6B1F">
        <w:rPr>
          <w:rFonts w:ascii="Arial" w:eastAsia="Calibri" w:hAnsi="Arial" w:cs="Arial"/>
          <w:szCs w:val="24"/>
          <w:lang w:eastAsia="es-ES_tradnl"/>
        </w:rPr>
        <w:t xml:space="preserve"> el cumplimiento de las obligaciones contractuales. Sin perjuicio de lo anterior, </w:t>
      </w:r>
      <w:r w:rsidRPr="005D6ED7">
        <w:rPr>
          <w:rFonts w:ascii="Arial" w:eastAsia="Calibri" w:hAnsi="Arial" w:cs="Arial"/>
          <w:szCs w:val="24"/>
          <w:lang w:eastAsia="es-ES_tradnl"/>
        </w:rPr>
        <w:t xml:space="preserve">se recomienda </w:t>
      </w:r>
      <w:r w:rsidR="00EA6B1F">
        <w:rPr>
          <w:rFonts w:ascii="Arial" w:eastAsia="Calibri" w:hAnsi="Arial" w:cs="Arial"/>
          <w:szCs w:val="24"/>
          <w:lang w:eastAsia="es-ES_tradnl"/>
        </w:rPr>
        <w:t xml:space="preserve">también </w:t>
      </w:r>
      <w:r w:rsidRPr="005D6ED7">
        <w:rPr>
          <w:rFonts w:ascii="Arial" w:eastAsia="Calibri" w:hAnsi="Arial" w:cs="Arial"/>
          <w:szCs w:val="24"/>
          <w:lang w:eastAsia="es-ES_tradnl"/>
        </w:rPr>
        <w:t>acudir y ejecutar los mecanismos alternativos de solución conflictos –MASC–, o a las instancias y figuras previstas en el Código Nacional de Policía y Convivencia –Ley 1801 de 2016</w:t>
      </w:r>
      <w:r w:rsidR="00B874DD">
        <w:rPr>
          <w:rFonts w:ascii="Arial" w:eastAsia="Calibri" w:hAnsi="Arial" w:cs="Arial"/>
          <w:szCs w:val="24"/>
          <w:lang w:eastAsia="es-ES_tradnl"/>
        </w:rPr>
        <w:t xml:space="preserve">, </w:t>
      </w:r>
      <w:r w:rsidR="003D4DD9">
        <w:rPr>
          <w:rFonts w:ascii="Arial" w:eastAsia="Calibri" w:hAnsi="Arial" w:cs="Arial"/>
          <w:szCs w:val="24"/>
          <w:lang w:eastAsia="es-ES_tradnl"/>
        </w:rPr>
        <w:t>para resolver los conflictos de convivencia</w:t>
      </w:r>
      <w:r w:rsidR="00B874DD">
        <w:rPr>
          <w:rFonts w:ascii="Arial" w:eastAsia="Calibri" w:hAnsi="Arial" w:cs="Arial"/>
          <w:szCs w:val="24"/>
          <w:lang w:eastAsia="es-ES_tradnl"/>
        </w:rPr>
        <w:t xml:space="preserve"> enunciados.</w:t>
      </w:r>
      <w:r w:rsidR="003D4DD9">
        <w:rPr>
          <w:rFonts w:ascii="Arial" w:eastAsia="Calibri" w:hAnsi="Arial" w:cs="Arial"/>
          <w:szCs w:val="24"/>
          <w:lang w:eastAsia="es-ES_tradnl"/>
        </w:rPr>
        <w:t xml:space="preserve"> </w:t>
      </w:r>
    </w:p>
    <w:p w14:paraId="1A6917D6" w14:textId="77777777" w:rsidR="00AB7126" w:rsidRPr="00AB7126" w:rsidRDefault="00AB7126" w:rsidP="00AB7126">
      <w:pPr>
        <w:spacing w:after="0" w:line="240" w:lineRule="auto"/>
        <w:ind w:left="709" w:right="709"/>
        <w:jc w:val="both"/>
        <w:rPr>
          <w:rFonts w:ascii="Arial" w:eastAsia="Calibri" w:hAnsi="Arial" w:cs="Arial"/>
          <w:bCs/>
          <w:sz w:val="21"/>
          <w:szCs w:val="21"/>
          <w:lang w:eastAsia="es-ES_tradnl"/>
        </w:rPr>
      </w:pPr>
    </w:p>
    <w:p w14:paraId="34047E46" w14:textId="77777777" w:rsidR="00AB7126" w:rsidRPr="00AB7126" w:rsidRDefault="00AB7126" w:rsidP="00AB7126">
      <w:pPr>
        <w:spacing w:after="0" w:line="276" w:lineRule="auto"/>
        <w:ind w:firstLine="709"/>
        <w:jc w:val="both"/>
        <w:rPr>
          <w:rFonts w:ascii="Arial" w:eastAsia="Calibri" w:hAnsi="Arial" w:cs="Arial"/>
          <w:szCs w:val="24"/>
          <w:lang w:eastAsia="es-ES_tradnl"/>
        </w:rPr>
      </w:pPr>
    </w:p>
    <w:p w14:paraId="2B6D042B" w14:textId="77777777" w:rsidR="00AB7126" w:rsidRPr="00AB7126" w:rsidRDefault="00AB7126" w:rsidP="00AB7126">
      <w:pPr>
        <w:numPr>
          <w:ilvl w:val="0"/>
          <w:numId w:val="4"/>
        </w:numPr>
        <w:spacing w:after="0" w:line="240" w:lineRule="auto"/>
        <w:ind w:left="426"/>
        <w:contextualSpacing/>
        <w:jc w:val="both"/>
        <w:rPr>
          <w:rFonts w:ascii="Arial" w:eastAsia="Calibri" w:hAnsi="Arial" w:cs="Arial"/>
          <w:b/>
          <w:color w:val="000000" w:themeColor="text1"/>
          <w:lang w:val="es-MX"/>
        </w:rPr>
      </w:pPr>
      <w:r w:rsidRPr="00AB7126">
        <w:rPr>
          <w:rFonts w:ascii="Arial" w:eastAsia="Calibri" w:hAnsi="Arial" w:cs="Arial"/>
          <w:b/>
          <w:color w:val="000000" w:themeColor="text1"/>
          <w:lang w:val="es-MX"/>
        </w:rPr>
        <w:t>Respuestas</w:t>
      </w:r>
    </w:p>
    <w:p w14:paraId="1045BD11" w14:textId="77777777" w:rsidR="00AB7126" w:rsidRPr="00AB7126" w:rsidRDefault="00AB7126" w:rsidP="00AB7126">
      <w:pPr>
        <w:spacing w:after="0" w:line="240" w:lineRule="auto"/>
        <w:jc w:val="both"/>
        <w:rPr>
          <w:rFonts w:ascii="Arial" w:eastAsia="Calibri" w:hAnsi="Arial" w:cs="Arial"/>
          <w:b/>
          <w:color w:val="000000" w:themeColor="text1"/>
          <w:szCs w:val="24"/>
          <w:lang w:eastAsia="es-ES_tradnl"/>
        </w:rPr>
      </w:pPr>
    </w:p>
    <w:p w14:paraId="5E72E7AD" w14:textId="77777777" w:rsidR="00AB7126" w:rsidRPr="00AB7126" w:rsidRDefault="00AB7126" w:rsidP="00AB7126">
      <w:pPr>
        <w:spacing w:after="0" w:line="240" w:lineRule="auto"/>
        <w:ind w:left="709" w:right="709"/>
        <w:jc w:val="both"/>
        <w:rPr>
          <w:rFonts w:ascii="Arial" w:eastAsia="Times New Roman" w:hAnsi="Arial" w:cs="Arial"/>
          <w:color w:val="000000" w:themeColor="text1"/>
          <w:sz w:val="21"/>
          <w:szCs w:val="21"/>
          <w:lang w:eastAsia="es-ES_tradnl"/>
        </w:rPr>
      </w:pPr>
      <w:r w:rsidRPr="00AB7126">
        <w:rPr>
          <w:rFonts w:ascii="Arial" w:eastAsia="Times New Roman" w:hAnsi="Arial" w:cs="Arial"/>
          <w:color w:val="000000" w:themeColor="text1"/>
          <w:sz w:val="21"/>
          <w:szCs w:val="21"/>
          <w:lang w:eastAsia="es-ES_tradnl"/>
        </w:rPr>
        <w:t>«[…] dentro de un contrato de obra pública, la interventoría está facultada legalmente para solicitar el cambio de profesionales del contratista, porque según ésta (la interventoría) no cumple sus órdenes. Así mismo quisiera saber si es válido que la interventoría obligue a los profesionales del contratista a usar el lenguaje que ellos quieran, especialmente el lenguaje que llaman inclusivo. Así mismo, quiero saber, por favor, si la interventoría puede vulnerar la autonomía técnica y personal de los profesionales del contratista, cuyas hojas de vida fueron avaladas por la entidad pública contratante, excediendo inclusive los requisitos mínimos de los términos de referencia. Esto al obligarlos (sic) que usen sus palabras y métodos pedagógicos o por no estar de acuerdo con los conceptos o/y opiniones de los profesionales del contratista., que en ningún momento ha vulnerado las obligaciones legales estipuladas en el contrato de OP, ni en el laboral y han justificado y argumentado con criterio técnico y científico su actuar.».</w:t>
      </w:r>
    </w:p>
    <w:p w14:paraId="792EC205" w14:textId="77777777" w:rsidR="00AB7126" w:rsidRPr="00AB7126" w:rsidRDefault="00AB7126" w:rsidP="00AB7126">
      <w:pPr>
        <w:spacing w:after="120" w:line="276" w:lineRule="auto"/>
        <w:jc w:val="both"/>
        <w:rPr>
          <w:rFonts w:ascii="Arial" w:eastAsia="Calibri" w:hAnsi="Arial" w:cs="Arial"/>
          <w:b/>
          <w:color w:val="000000" w:themeColor="text1"/>
          <w:szCs w:val="24"/>
          <w:lang w:eastAsia="es-ES_tradnl"/>
        </w:rPr>
      </w:pPr>
    </w:p>
    <w:p w14:paraId="3D8A3E80" w14:textId="29CB6E38" w:rsidR="00BD4C35" w:rsidRDefault="003B44DE" w:rsidP="00AB7126">
      <w:pPr>
        <w:spacing w:after="120" w:line="276" w:lineRule="auto"/>
        <w:jc w:val="both"/>
        <w:rPr>
          <w:rFonts w:ascii="Arial" w:eastAsia="Times New Roman" w:hAnsi="Arial" w:cs="Arial"/>
          <w:bCs/>
          <w:szCs w:val="24"/>
          <w:lang w:val="es-ES" w:eastAsia="es-ES_tradnl"/>
        </w:rPr>
      </w:pPr>
      <w:r>
        <w:rPr>
          <w:rFonts w:ascii="Arial" w:eastAsia="Calibri" w:hAnsi="Arial" w:cs="Arial"/>
          <w:color w:val="000000" w:themeColor="text1"/>
          <w:szCs w:val="24"/>
          <w:lang w:eastAsia="es-ES_tradnl"/>
        </w:rPr>
        <w:lastRenderedPageBreak/>
        <w:t>Teniendo en cuenta que esta Agencia</w:t>
      </w:r>
      <w:r w:rsidR="00BD4C35" w:rsidRPr="00AB7126">
        <w:rPr>
          <w:rFonts w:ascii="Arial" w:eastAsia="Calibri" w:hAnsi="Arial" w:cs="Arial"/>
          <w:color w:val="000000" w:themeColor="text1"/>
          <w:szCs w:val="24"/>
          <w:lang w:eastAsia="es-ES_tradnl"/>
        </w:rPr>
        <w:t xml:space="preserve"> solo tiene atribuciones para responder solicitudes sobre la aplicación de normas de carácter general en materia de compras y contratación pública</w:t>
      </w:r>
      <w:r>
        <w:rPr>
          <w:rFonts w:ascii="Arial" w:eastAsia="Calibri" w:hAnsi="Arial" w:cs="Arial"/>
          <w:color w:val="000000" w:themeColor="text1"/>
          <w:szCs w:val="24"/>
          <w:lang w:eastAsia="es-ES_tradnl"/>
        </w:rPr>
        <w:t xml:space="preserve">, para </w:t>
      </w:r>
      <w:r w:rsidR="00BD4C35" w:rsidRPr="00AB7126">
        <w:rPr>
          <w:rFonts w:ascii="Arial" w:eastAsia="Calibri" w:hAnsi="Arial" w:cs="Arial"/>
          <w:color w:val="000000" w:themeColor="text1"/>
          <w:szCs w:val="24"/>
          <w:lang w:eastAsia="es-ES_tradnl"/>
        </w:rPr>
        <w:t xml:space="preserve">resolver </w:t>
      </w:r>
      <w:r>
        <w:rPr>
          <w:rFonts w:ascii="Arial" w:eastAsia="Calibri" w:hAnsi="Arial" w:cs="Arial"/>
          <w:color w:val="000000" w:themeColor="text1"/>
          <w:szCs w:val="24"/>
          <w:lang w:eastAsia="es-ES_tradnl"/>
        </w:rPr>
        <w:t xml:space="preserve">su pregunta se </w:t>
      </w:r>
      <w:r w:rsidR="0056073D">
        <w:rPr>
          <w:rFonts w:ascii="Arial" w:eastAsia="Calibri" w:hAnsi="Arial" w:cs="Arial"/>
          <w:color w:val="000000" w:themeColor="text1"/>
          <w:szCs w:val="24"/>
          <w:lang w:eastAsia="es-ES_tradnl"/>
        </w:rPr>
        <w:t xml:space="preserve">abstendrá de </w:t>
      </w:r>
      <w:r w:rsidR="00BD4C35" w:rsidRPr="00AB7126">
        <w:rPr>
          <w:rFonts w:ascii="Arial" w:eastAsia="Calibri" w:hAnsi="Arial" w:cs="Arial"/>
          <w:color w:val="000000" w:themeColor="text1"/>
          <w:szCs w:val="24"/>
          <w:lang w:eastAsia="es-ES_tradnl"/>
        </w:rPr>
        <w:t>solucionar problemas jurídicos particulares</w:t>
      </w:r>
      <w:r w:rsidR="0056073D">
        <w:rPr>
          <w:rFonts w:ascii="Arial" w:eastAsia="Calibri" w:hAnsi="Arial" w:cs="Arial"/>
          <w:color w:val="000000" w:themeColor="text1"/>
          <w:szCs w:val="24"/>
          <w:lang w:eastAsia="es-ES_tradnl"/>
        </w:rPr>
        <w:t xml:space="preserve"> y en su lugar </w:t>
      </w:r>
      <w:r w:rsidR="00627263">
        <w:rPr>
          <w:rFonts w:ascii="Arial" w:eastAsia="Calibri" w:hAnsi="Arial" w:cs="Arial"/>
          <w:color w:val="000000" w:themeColor="text1"/>
          <w:szCs w:val="24"/>
          <w:lang w:eastAsia="es-ES_tradnl"/>
        </w:rPr>
        <w:t>dará concepto sobre la interpretación de normas generales de la contratación pública.</w:t>
      </w:r>
    </w:p>
    <w:p w14:paraId="11D6226B" w14:textId="7B486E4C" w:rsidR="00AB7126" w:rsidRPr="00AB7126" w:rsidRDefault="00AB7126" w:rsidP="00B256E0">
      <w:pPr>
        <w:spacing w:after="120" w:line="276" w:lineRule="auto"/>
        <w:ind w:firstLine="708"/>
        <w:jc w:val="both"/>
        <w:rPr>
          <w:rFonts w:ascii="Arial" w:eastAsia="Calibri" w:hAnsi="Arial" w:cs="Arial"/>
          <w:szCs w:val="24"/>
          <w:lang w:eastAsia="es-ES_tradnl"/>
        </w:rPr>
      </w:pPr>
      <w:r w:rsidRPr="00AB7126">
        <w:rPr>
          <w:rFonts w:ascii="Arial" w:eastAsia="Times New Roman" w:hAnsi="Arial" w:cs="Arial"/>
          <w:bCs/>
          <w:szCs w:val="24"/>
          <w:lang w:val="es-ES" w:eastAsia="es-ES_tradnl"/>
        </w:rPr>
        <w:t xml:space="preserve">Conforme a las consideraciones expuestas es posible afirmar, de manera general, que según se desprende de lo establecido en los artículos 83 y 84 de la Ley 1474 de 2011, corresponde al interventor velar por la debida ejecución y el cumplimiento del contrato, lo que </w:t>
      </w:r>
      <w:r w:rsidR="00AA67A2">
        <w:rPr>
          <w:rFonts w:ascii="Arial" w:eastAsia="Times New Roman" w:hAnsi="Arial" w:cs="Arial"/>
          <w:bCs/>
          <w:szCs w:val="24"/>
          <w:lang w:val="es-ES" w:eastAsia="es-ES_tradnl"/>
        </w:rPr>
        <w:t xml:space="preserve">podría suponer en cumplimiento de sus obligaciones </w:t>
      </w:r>
      <w:proofErr w:type="gramStart"/>
      <w:r w:rsidR="00AA67A2">
        <w:rPr>
          <w:rFonts w:ascii="Arial" w:eastAsia="Times New Roman" w:hAnsi="Arial" w:cs="Arial"/>
          <w:bCs/>
          <w:szCs w:val="24"/>
          <w:lang w:val="es-ES" w:eastAsia="es-ES_tradnl"/>
        </w:rPr>
        <w:t xml:space="preserve">contractuales,  </w:t>
      </w:r>
      <w:r w:rsidRPr="00AB7126">
        <w:rPr>
          <w:rFonts w:ascii="Arial" w:eastAsia="Calibri" w:hAnsi="Arial" w:cs="Arial"/>
          <w:szCs w:val="24"/>
          <w:lang w:eastAsia="es-ES_tradnl"/>
        </w:rPr>
        <w:t>la</w:t>
      </w:r>
      <w:proofErr w:type="gramEnd"/>
      <w:r w:rsidRPr="00AB7126">
        <w:rPr>
          <w:rFonts w:ascii="Arial" w:eastAsia="Calibri" w:hAnsi="Arial" w:cs="Arial"/>
          <w:szCs w:val="24"/>
          <w:lang w:eastAsia="es-ES_tradnl"/>
        </w:rPr>
        <w:t xml:space="preserve"> aproba</w:t>
      </w:r>
      <w:r w:rsidR="00AA67A2">
        <w:rPr>
          <w:rFonts w:ascii="Arial" w:eastAsia="Calibri" w:hAnsi="Arial" w:cs="Arial"/>
          <w:szCs w:val="24"/>
          <w:lang w:eastAsia="es-ES_tradnl"/>
        </w:rPr>
        <w:t>ción</w:t>
      </w:r>
      <w:r w:rsidRPr="00AB7126">
        <w:rPr>
          <w:rFonts w:ascii="Arial" w:eastAsia="Calibri" w:hAnsi="Arial" w:cs="Arial"/>
          <w:szCs w:val="24"/>
          <w:lang w:eastAsia="es-ES_tradnl"/>
        </w:rPr>
        <w:t xml:space="preserve"> o rechaz</w:t>
      </w:r>
      <w:r w:rsidR="005548B6">
        <w:rPr>
          <w:rFonts w:ascii="Arial" w:eastAsia="Calibri" w:hAnsi="Arial" w:cs="Arial"/>
          <w:szCs w:val="24"/>
          <w:lang w:eastAsia="es-ES_tradnl"/>
        </w:rPr>
        <w:t>o de</w:t>
      </w:r>
      <w:r w:rsidRPr="00AB7126">
        <w:rPr>
          <w:rFonts w:ascii="Arial" w:eastAsia="Calibri" w:hAnsi="Arial" w:cs="Arial"/>
          <w:szCs w:val="24"/>
          <w:lang w:eastAsia="es-ES_tradnl"/>
        </w:rPr>
        <w:t xml:space="preserve"> las entregas realizadas por el contratista</w:t>
      </w:r>
      <w:r w:rsidR="005548B6">
        <w:rPr>
          <w:rFonts w:ascii="Arial" w:eastAsia="Calibri" w:hAnsi="Arial" w:cs="Arial"/>
          <w:szCs w:val="24"/>
          <w:lang w:eastAsia="es-ES_tradnl"/>
        </w:rPr>
        <w:t>,</w:t>
      </w:r>
      <w:r w:rsidRPr="00AB7126">
        <w:rPr>
          <w:rFonts w:ascii="Arial" w:eastAsia="Calibri" w:hAnsi="Arial" w:cs="Arial"/>
          <w:szCs w:val="24"/>
          <w:lang w:eastAsia="es-ES_tradnl"/>
        </w:rPr>
        <w:t xml:space="preserve"> según se ajusten o no a las </w:t>
      </w:r>
      <w:r w:rsidRPr="00AB7126">
        <w:rPr>
          <w:rFonts w:ascii="Arial" w:eastAsia="Calibri" w:hAnsi="Arial" w:cs="Arial"/>
          <w:szCs w:val="24"/>
          <w:u w:val="single"/>
          <w:lang w:eastAsia="es-ES_tradnl"/>
        </w:rPr>
        <w:t>condiciones pactadas</w:t>
      </w:r>
      <w:r w:rsidRPr="00AB7126">
        <w:rPr>
          <w:rFonts w:ascii="Arial" w:eastAsia="Calibri" w:hAnsi="Arial" w:cs="Arial"/>
          <w:szCs w:val="24"/>
          <w:lang w:eastAsia="es-ES_tradnl"/>
        </w:rPr>
        <w:t xml:space="preserve">. En consideración a esto, y en la medida en que el ejercicio de la supervisión </w:t>
      </w:r>
      <w:r w:rsidR="002B10A4">
        <w:rPr>
          <w:rFonts w:ascii="Arial" w:eastAsia="Calibri" w:hAnsi="Arial" w:cs="Arial"/>
          <w:szCs w:val="24"/>
          <w:lang w:eastAsia="es-ES_tradnl"/>
        </w:rPr>
        <w:t xml:space="preserve">por parte de </w:t>
      </w:r>
      <w:r w:rsidR="002B10A4" w:rsidRPr="00AB7126">
        <w:rPr>
          <w:rFonts w:ascii="Arial" w:eastAsia="Calibri" w:hAnsi="Arial" w:cs="Arial"/>
          <w:szCs w:val="24"/>
          <w:lang w:eastAsia="es-ES_tradnl"/>
        </w:rPr>
        <w:t xml:space="preserve">las entidades estatales </w:t>
      </w:r>
      <w:r w:rsidRPr="00AB7126">
        <w:rPr>
          <w:rFonts w:ascii="Arial" w:eastAsia="Calibri" w:hAnsi="Arial" w:cs="Arial"/>
          <w:szCs w:val="24"/>
          <w:lang w:eastAsia="es-ES_tradnl"/>
        </w:rPr>
        <w:t>debe realizarse de manera tal que se garantice la debida ejecución del contrato, resulta factible que en ejercicio de la autonomía que les asiste, establezcan actividades del contrato o entregas que requieren de la aprobación del interventor. En ese sentido, podría optarse por estipulaciones dentro del pliego de condiciones o en la minuta del contrato tendientes a señalar actividades específicas cuyo desarrollo esté sujeto a mecanismos concretos de vigilancia por parte del interventor, como, por ejemplo, el levantamiento de actas, el suministro de informes, la celebración de reuniones o comités periódicos y, en general, las actuaciones que sean pertinentes para garantizar la vigilancia de la a  ejecución del respectivo contrato estatal y el cumplimiento de sus objetivos</w:t>
      </w:r>
      <w:r w:rsidR="003B3FD8">
        <w:rPr>
          <w:rFonts w:ascii="Arial" w:eastAsia="Calibri" w:hAnsi="Arial" w:cs="Arial"/>
          <w:szCs w:val="24"/>
          <w:lang w:eastAsia="es-ES_tradnl"/>
        </w:rPr>
        <w:t>, si así se pactan</w:t>
      </w:r>
      <w:r w:rsidRPr="00AB7126">
        <w:rPr>
          <w:rFonts w:ascii="Arial" w:eastAsia="Calibri" w:hAnsi="Arial" w:cs="Arial"/>
          <w:szCs w:val="24"/>
          <w:lang w:eastAsia="es-ES_tradnl"/>
        </w:rPr>
        <w:t xml:space="preserve">.  </w:t>
      </w:r>
    </w:p>
    <w:p w14:paraId="5EF32C39" w14:textId="77777777" w:rsidR="00AB7126" w:rsidRPr="00AB7126" w:rsidRDefault="00AB7126" w:rsidP="00AB7126">
      <w:pPr>
        <w:spacing w:after="0" w:line="240" w:lineRule="auto"/>
        <w:ind w:left="708" w:right="709"/>
        <w:jc w:val="both"/>
        <w:rPr>
          <w:rFonts w:ascii="Arial" w:eastAsia="Times New Roman" w:hAnsi="Arial" w:cs="Arial"/>
          <w:color w:val="000000" w:themeColor="text1"/>
          <w:sz w:val="21"/>
          <w:szCs w:val="21"/>
          <w:lang w:eastAsia="es-ES_tradnl"/>
        </w:rPr>
      </w:pPr>
    </w:p>
    <w:p w14:paraId="31F4803E" w14:textId="63D9AB90" w:rsidR="00AB7126" w:rsidRPr="00AB7126" w:rsidRDefault="009662BE" w:rsidP="00AB7126">
      <w:pPr>
        <w:spacing w:after="0" w:line="276" w:lineRule="auto"/>
        <w:ind w:firstLine="708"/>
        <w:jc w:val="both"/>
        <w:rPr>
          <w:rFonts w:ascii="Arial" w:hAnsi="Arial" w:cs="Arial"/>
          <w:color w:val="000000" w:themeColor="text1"/>
          <w:lang w:val="es-MX"/>
        </w:rPr>
      </w:pPr>
      <w:r>
        <w:rPr>
          <w:rFonts w:ascii="Arial" w:hAnsi="Arial" w:cs="Arial"/>
          <w:color w:val="000000" w:themeColor="text1"/>
          <w:lang w:val="es-MX"/>
        </w:rPr>
        <w:t>De igual forma</w:t>
      </w:r>
      <w:r w:rsidR="00AB7126" w:rsidRPr="00AB7126">
        <w:rPr>
          <w:rFonts w:ascii="Arial" w:hAnsi="Arial" w:cs="Arial"/>
          <w:color w:val="000000" w:themeColor="text1"/>
          <w:lang w:val="es-MX"/>
        </w:rPr>
        <w:t xml:space="preserve">, en atención a lo dispuesto en el artículo 84 de la Ley 1474 de 2011, la interventoría puede hacer uso de las facultades previstas en dicha norma para hacer el seguimiento al cumplimiento obligacional del contrato y estará sometido a los </w:t>
      </w:r>
      <w:r w:rsidR="00AB7126" w:rsidRPr="00AB7126">
        <w:rPr>
          <w:rFonts w:ascii="Arial" w:hAnsi="Arial" w:cs="Arial"/>
          <w:color w:val="000000" w:themeColor="text1"/>
          <w:u w:val="single"/>
          <w:lang w:val="es-MX"/>
        </w:rPr>
        <w:t>deberes y responsabilidades</w:t>
      </w:r>
      <w:r w:rsidR="00AB7126" w:rsidRPr="00AB7126">
        <w:rPr>
          <w:rFonts w:ascii="Arial" w:hAnsi="Arial" w:cs="Arial"/>
          <w:color w:val="000000" w:themeColor="text1"/>
          <w:lang w:val="es-MX"/>
        </w:rPr>
        <w:t xml:space="preserve"> que implica el ejercicio de dicha actividad</w:t>
      </w:r>
      <w:r w:rsidR="00AB7126" w:rsidRPr="00AB7126">
        <w:rPr>
          <w:rFonts w:ascii="Arial" w:hAnsi="Arial" w:cs="Arial"/>
          <w:color w:val="000000" w:themeColor="text1"/>
          <w:vertAlign w:val="superscript"/>
          <w:lang w:val="es-MX"/>
        </w:rPr>
        <w:footnoteReference w:id="12"/>
      </w:r>
      <w:r w:rsidR="00AB7126" w:rsidRPr="00AB7126">
        <w:rPr>
          <w:rFonts w:ascii="Arial" w:hAnsi="Arial" w:cs="Arial"/>
          <w:color w:val="000000" w:themeColor="text1"/>
          <w:lang w:val="es-MX"/>
        </w:rPr>
        <w:t xml:space="preserve">. De hecho, la norma </w:t>
      </w:r>
      <w:r w:rsidR="001B1665">
        <w:rPr>
          <w:rFonts w:ascii="Arial" w:hAnsi="Arial" w:cs="Arial"/>
          <w:color w:val="000000" w:themeColor="text1"/>
          <w:lang w:val="es-MX"/>
        </w:rPr>
        <w:t xml:space="preserve">atribuye facultades al </w:t>
      </w:r>
      <w:r w:rsidR="00F6039F">
        <w:rPr>
          <w:rFonts w:ascii="Arial" w:hAnsi="Arial" w:cs="Arial"/>
          <w:color w:val="000000" w:themeColor="text1"/>
          <w:lang w:val="es-MX"/>
        </w:rPr>
        <w:t xml:space="preserve">interventor </w:t>
      </w:r>
      <w:r w:rsidR="00F6039F" w:rsidRPr="00AB7126">
        <w:rPr>
          <w:rFonts w:ascii="Arial" w:hAnsi="Arial" w:cs="Arial"/>
          <w:color w:val="000000" w:themeColor="text1"/>
          <w:lang w:val="es-MX"/>
        </w:rPr>
        <w:t>de</w:t>
      </w:r>
      <w:r w:rsidR="00AB7126" w:rsidRPr="00AB7126">
        <w:rPr>
          <w:sz w:val="24"/>
          <w:lang w:val="es-MX"/>
        </w:rPr>
        <w:t xml:space="preserve"> s</w:t>
      </w:r>
      <w:r w:rsidR="00AB7126" w:rsidRPr="00AB7126">
        <w:rPr>
          <w:rFonts w:ascii="Arial" w:hAnsi="Arial" w:cs="Arial"/>
          <w:color w:val="000000" w:themeColor="text1"/>
          <w:lang w:val="es-MX"/>
        </w:rPr>
        <w:t>olicitar informes, aclaraciones y explicaciones sobre el desarrollo de la ejecución contractual, mantener informada a la entidad contratante de los hechos o circunstancias que puedan constituir actos de corrupción tipificados como conductas punibles, o que puedan poner o pongan en riesgo el cumplimiento del contrato, o cuando tal incumplimiento se presente</w:t>
      </w:r>
    </w:p>
    <w:p w14:paraId="0BE895D4" w14:textId="2FE98814" w:rsidR="00AB7126" w:rsidRPr="00AB7126" w:rsidRDefault="000B47A3" w:rsidP="00AB7126">
      <w:pPr>
        <w:spacing w:before="120" w:after="0" w:line="276" w:lineRule="auto"/>
        <w:ind w:firstLine="709"/>
        <w:jc w:val="both"/>
        <w:rPr>
          <w:rFonts w:ascii="Arial" w:hAnsi="Arial" w:cs="Arial"/>
          <w:color w:val="000000" w:themeColor="text1"/>
          <w:lang w:val="es-MX"/>
        </w:rPr>
      </w:pPr>
      <w:r>
        <w:rPr>
          <w:rFonts w:ascii="Arial" w:hAnsi="Arial" w:cs="Arial"/>
          <w:color w:val="000000" w:themeColor="text1"/>
          <w:lang w:val="es-MX"/>
        </w:rPr>
        <w:t>Ahora bien, teniendo en cuenta que su</w:t>
      </w:r>
      <w:r w:rsidR="007F41BB">
        <w:rPr>
          <w:rFonts w:ascii="Arial" w:eastAsia="Calibri" w:hAnsi="Arial" w:cs="Arial"/>
          <w:szCs w:val="24"/>
          <w:lang w:eastAsia="es-ES_tradnl"/>
        </w:rPr>
        <w:t xml:space="preserve"> consulta trata sobre conflictos de distintas indoles entre la interventoría y el contratista vigilado, la Entidad Estatal contratante como supervisora de la ejecución de ambos contratos, </w:t>
      </w:r>
      <w:r w:rsidR="007F41BB" w:rsidRPr="005D6ED7">
        <w:rPr>
          <w:rFonts w:ascii="Arial" w:eastAsia="Calibri" w:hAnsi="Arial" w:cs="Arial"/>
          <w:szCs w:val="24"/>
          <w:lang w:eastAsia="es-ES_tradnl"/>
        </w:rPr>
        <w:t xml:space="preserve">en desarrollo de los principios de planeación, responsabilidad y </w:t>
      </w:r>
      <w:r w:rsidR="007F41BB" w:rsidRPr="005D6ED7">
        <w:rPr>
          <w:rFonts w:ascii="Arial" w:eastAsia="Calibri" w:hAnsi="Arial" w:cs="Arial"/>
          <w:szCs w:val="24"/>
          <w:lang w:eastAsia="es-ES_tradnl"/>
        </w:rPr>
        <w:lastRenderedPageBreak/>
        <w:t>economía</w:t>
      </w:r>
      <w:r w:rsidR="007F41BB">
        <w:rPr>
          <w:rFonts w:ascii="Arial" w:eastAsia="Calibri" w:hAnsi="Arial" w:cs="Arial"/>
          <w:szCs w:val="24"/>
          <w:lang w:eastAsia="es-ES_tradnl"/>
        </w:rPr>
        <w:t xml:space="preserve"> de la contratación estatal</w:t>
      </w:r>
      <w:r w:rsidR="007F41BB" w:rsidRPr="005D6ED7">
        <w:rPr>
          <w:rFonts w:ascii="Arial" w:eastAsia="Calibri" w:hAnsi="Arial" w:cs="Arial"/>
          <w:szCs w:val="24"/>
          <w:lang w:eastAsia="es-ES_tradnl"/>
        </w:rPr>
        <w:t xml:space="preserve">, </w:t>
      </w:r>
      <w:r w:rsidR="007F41BB">
        <w:rPr>
          <w:rFonts w:ascii="Arial" w:eastAsia="Calibri" w:hAnsi="Arial" w:cs="Arial"/>
          <w:szCs w:val="24"/>
          <w:lang w:eastAsia="es-ES_tradnl"/>
        </w:rPr>
        <w:t xml:space="preserve">deberá conocer, </w:t>
      </w:r>
      <w:r w:rsidR="007F41BB" w:rsidRPr="005D6ED7">
        <w:rPr>
          <w:rFonts w:ascii="Arial" w:eastAsia="Calibri" w:hAnsi="Arial" w:cs="Arial"/>
          <w:szCs w:val="24"/>
          <w:lang w:eastAsia="es-ES_tradnl"/>
        </w:rPr>
        <w:t xml:space="preserve">dirigir </w:t>
      </w:r>
      <w:r w:rsidR="007F41BB">
        <w:rPr>
          <w:rFonts w:ascii="Arial" w:eastAsia="Calibri" w:hAnsi="Arial" w:cs="Arial"/>
          <w:szCs w:val="24"/>
          <w:lang w:eastAsia="es-ES_tradnl"/>
        </w:rPr>
        <w:t>y</w:t>
      </w:r>
      <w:r w:rsidR="007F41BB" w:rsidRPr="005D6ED7">
        <w:rPr>
          <w:rFonts w:ascii="Arial" w:eastAsia="Calibri" w:hAnsi="Arial" w:cs="Arial"/>
          <w:szCs w:val="24"/>
          <w:lang w:eastAsia="es-ES_tradnl"/>
        </w:rPr>
        <w:t xml:space="preserve"> resolver l</w:t>
      </w:r>
      <w:r w:rsidR="007F41BB">
        <w:rPr>
          <w:rFonts w:ascii="Arial" w:eastAsia="Calibri" w:hAnsi="Arial" w:cs="Arial"/>
          <w:szCs w:val="24"/>
          <w:lang w:eastAsia="es-ES_tradnl"/>
        </w:rPr>
        <w:t>o</w:t>
      </w:r>
      <w:r w:rsidR="007F41BB" w:rsidRPr="005D6ED7">
        <w:rPr>
          <w:rFonts w:ascii="Arial" w:eastAsia="Calibri" w:hAnsi="Arial" w:cs="Arial"/>
          <w:szCs w:val="24"/>
          <w:lang w:eastAsia="es-ES_tradnl"/>
        </w:rPr>
        <w:t xml:space="preserve">s eventuales </w:t>
      </w:r>
      <w:r w:rsidR="007F41BB">
        <w:rPr>
          <w:rFonts w:ascii="Arial" w:eastAsia="Calibri" w:hAnsi="Arial" w:cs="Arial"/>
          <w:szCs w:val="24"/>
          <w:lang w:eastAsia="es-ES_tradnl"/>
        </w:rPr>
        <w:t xml:space="preserve">conflictos que </w:t>
      </w:r>
      <w:r w:rsidR="007F41BB" w:rsidRPr="005D6ED7">
        <w:rPr>
          <w:rFonts w:ascii="Arial" w:eastAsia="Calibri" w:hAnsi="Arial" w:cs="Arial"/>
          <w:szCs w:val="24"/>
          <w:lang w:eastAsia="es-ES_tradnl"/>
        </w:rPr>
        <w:t>se presenten durante la ejecución del contrato</w:t>
      </w:r>
      <w:r w:rsidR="007F41BB">
        <w:rPr>
          <w:rFonts w:ascii="Arial" w:eastAsia="Calibri" w:hAnsi="Arial" w:cs="Arial"/>
          <w:szCs w:val="24"/>
          <w:lang w:eastAsia="es-ES_tradnl"/>
        </w:rPr>
        <w:t xml:space="preserve"> entre ambos contratistas y que tengan relación con el cumplimiento de las obligaciones contractuales. Sin perjuicio de lo anterior, </w:t>
      </w:r>
      <w:r w:rsidR="007F41BB" w:rsidRPr="005D6ED7">
        <w:rPr>
          <w:rFonts w:ascii="Arial" w:eastAsia="Calibri" w:hAnsi="Arial" w:cs="Arial"/>
          <w:szCs w:val="24"/>
          <w:lang w:eastAsia="es-ES_tradnl"/>
        </w:rPr>
        <w:t xml:space="preserve">se recomienda </w:t>
      </w:r>
      <w:r w:rsidR="007F41BB">
        <w:rPr>
          <w:rFonts w:ascii="Arial" w:eastAsia="Calibri" w:hAnsi="Arial" w:cs="Arial"/>
          <w:szCs w:val="24"/>
          <w:lang w:eastAsia="es-ES_tradnl"/>
        </w:rPr>
        <w:t xml:space="preserve">también </w:t>
      </w:r>
      <w:r w:rsidR="007F41BB" w:rsidRPr="005D6ED7">
        <w:rPr>
          <w:rFonts w:ascii="Arial" w:eastAsia="Calibri" w:hAnsi="Arial" w:cs="Arial"/>
          <w:szCs w:val="24"/>
          <w:lang w:eastAsia="es-ES_tradnl"/>
        </w:rPr>
        <w:t>acudir y ejecutar los mecanismos alternativos de solución conflictos –MASC–, o a las instancias y figuras previstas en el Código Nacional de Policía y Convivencia –Ley 1801 de 2016</w:t>
      </w:r>
      <w:r w:rsidR="007F41BB">
        <w:rPr>
          <w:rFonts w:ascii="Arial" w:eastAsia="Calibri" w:hAnsi="Arial" w:cs="Arial"/>
          <w:szCs w:val="24"/>
          <w:lang w:eastAsia="es-ES_tradnl"/>
        </w:rPr>
        <w:t xml:space="preserve">, para resolver </w:t>
      </w:r>
      <w:r>
        <w:rPr>
          <w:rFonts w:ascii="Arial" w:eastAsia="Calibri" w:hAnsi="Arial" w:cs="Arial"/>
          <w:szCs w:val="24"/>
          <w:lang w:eastAsia="es-ES_tradnl"/>
        </w:rPr>
        <w:t xml:space="preserve">aquellos </w:t>
      </w:r>
      <w:r w:rsidR="007F41BB">
        <w:rPr>
          <w:rFonts w:ascii="Arial" w:eastAsia="Calibri" w:hAnsi="Arial" w:cs="Arial"/>
          <w:szCs w:val="24"/>
          <w:lang w:eastAsia="es-ES_tradnl"/>
        </w:rPr>
        <w:t xml:space="preserve">conflictos </w:t>
      </w:r>
      <w:proofErr w:type="gramStart"/>
      <w:r w:rsidR="00A12376">
        <w:rPr>
          <w:rFonts w:ascii="Arial" w:eastAsia="Calibri" w:hAnsi="Arial" w:cs="Arial"/>
          <w:szCs w:val="24"/>
          <w:lang w:eastAsia="es-ES_tradnl"/>
        </w:rPr>
        <w:t>cuyo índole</w:t>
      </w:r>
      <w:proofErr w:type="gramEnd"/>
      <w:r w:rsidR="00A12376">
        <w:rPr>
          <w:rFonts w:ascii="Arial" w:eastAsia="Calibri" w:hAnsi="Arial" w:cs="Arial"/>
          <w:szCs w:val="24"/>
          <w:lang w:eastAsia="es-ES_tradnl"/>
        </w:rPr>
        <w:t xml:space="preserve"> es de</w:t>
      </w:r>
      <w:r w:rsidR="00547375">
        <w:rPr>
          <w:rFonts w:ascii="Arial" w:eastAsia="Calibri" w:hAnsi="Arial" w:cs="Arial"/>
          <w:szCs w:val="24"/>
          <w:lang w:eastAsia="es-ES_tradnl"/>
        </w:rPr>
        <w:t xml:space="preserve"> </w:t>
      </w:r>
      <w:r w:rsidR="007F41BB">
        <w:rPr>
          <w:rFonts w:ascii="Arial" w:eastAsia="Calibri" w:hAnsi="Arial" w:cs="Arial"/>
          <w:szCs w:val="24"/>
          <w:lang w:eastAsia="es-ES_tradnl"/>
        </w:rPr>
        <w:t xml:space="preserve">convivencia </w:t>
      </w:r>
    </w:p>
    <w:p w14:paraId="74C8AE8B" w14:textId="77777777" w:rsidR="00AB7126" w:rsidRPr="00AB7126" w:rsidRDefault="00AB7126" w:rsidP="00AB7126">
      <w:pPr>
        <w:spacing w:after="0" w:line="276" w:lineRule="auto"/>
        <w:jc w:val="both"/>
        <w:rPr>
          <w:rFonts w:ascii="Arial" w:eastAsia="Times New Roman" w:hAnsi="Arial" w:cs="Arial"/>
          <w:color w:val="000000" w:themeColor="text1"/>
          <w:lang w:eastAsia="es-ES_tradnl"/>
        </w:rPr>
      </w:pPr>
    </w:p>
    <w:p w14:paraId="26F35228" w14:textId="77777777" w:rsidR="00AB7126" w:rsidRPr="00AB7126" w:rsidRDefault="00AB7126" w:rsidP="00AB7126">
      <w:pPr>
        <w:spacing w:after="0" w:line="276" w:lineRule="auto"/>
        <w:ind w:firstLine="708"/>
        <w:jc w:val="both"/>
        <w:rPr>
          <w:rFonts w:ascii="Arial" w:eastAsia="Times New Roman" w:hAnsi="Arial" w:cs="Arial"/>
          <w:color w:val="000000" w:themeColor="text1"/>
          <w:lang w:eastAsia="es-ES_tradnl"/>
        </w:rPr>
      </w:pPr>
    </w:p>
    <w:p w14:paraId="5FA393E8" w14:textId="77777777" w:rsidR="00AB7126" w:rsidRPr="00AB7126" w:rsidRDefault="00AB7126" w:rsidP="00AB7126">
      <w:pPr>
        <w:spacing w:after="0" w:line="276" w:lineRule="auto"/>
        <w:jc w:val="both"/>
        <w:rPr>
          <w:rFonts w:ascii="Arial" w:eastAsia="Times New Roman" w:hAnsi="Arial" w:cs="Arial"/>
          <w:color w:val="000000" w:themeColor="text1"/>
          <w:szCs w:val="24"/>
          <w:lang w:eastAsia="es-ES_tradnl"/>
        </w:rPr>
      </w:pPr>
      <w:r w:rsidRPr="00AB7126">
        <w:rPr>
          <w:rFonts w:ascii="Arial" w:eastAsia="Times New Roman" w:hAnsi="Arial" w:cs="Arial"/>
          <w:color w:val="000000" w:themeColor="text1"/>
          <w:szCs w:val="24"/>
          <w:lang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16E2125" w14:textId="77777777" w:rsidR="00AB7126" w:rsidRPr="00AB7126" w:rsidRDefault="00AB7126" w:rsidP="00AB7126">
      <w:pPr>
        <w:spacing w:after="0" w:line="276" w:lineRule="auto"/>
        <w:jc w:val="both"/>
        <w:rPr>
          <w:rFonts w:ascii="Arial" w:eastAsia="Times New Roman" w:hAnsi="Arial" w:cs="Arial"/>
          <w:color w:val="000000" w:themeColor="text1"/>
          <w:lang w:eastAsia="es-CO"/>
        </w:rPr>
      </w:pPr>
    </w:p>
    <w:p w14:paraId="18FA5792" w14:textId="77777777" w:rsidR="00AB7126" w:rsidRPr="00AB7126" w:rsidRDefault="00AB7126" w:rsidP="00AB7126">
      <w:pPr>
        <w:spacing w:after="0" w:line="276" w:lineRule="auto"/>
        <w:jc w:val="both"/>
        <w:rPr>
          <w:rFonts w:ascii="Arial" w:eastAsia="Times New Roman" w:hAnsi="Arial" w:cs="Arial"/>
          <w:color w:val="000000" w:themeColor="text1"/>
          <w:lang w:eastAsia="es-CO"/>
        </w:rPr>
      </w:pPr>
      <w:r w:rsidRPr="00AB7126">
        <w:rPr>
          <w:rFonts w:ascii="Arial" w:eastAsia="Times New Roman" w:hAnsi="Arial" w:cs="Arial"/>
          <w:color w:val="000000" w:themeColor="text1"/>
          <w:lang w:eastAsia="es-CO"/>
        </w:rPr>
        <w:t>Atentamente,</w:t>
      </w:r>
      <w:r w:rsidRPr="00AB7126">
        <w:rPr>
          <w:rFonts w:ascii="Times New Roman" w:eastAsia="Times New Roman" w:hAnsi="Times New Roman" w:cs="Times New Roman"/>
          <w:sz w:val="24"/>
          <w:szCs w:val="24"/>
          <w:lang w:eastAsia="es-CO"/>
        </w:rPr>
        <w:t xml:space="preserve"> </w:t>
      </w:r>
    </w:p>
    <w:p w14:paraId="56FE2852" w14:textId="0AE2AAA9" w:rsidR="00AB7126" w:rsidRPr="00AB7126" w:rsidRDefault="00396144" w:rsidP="00AB7126">
      <w:pPr>
        <w:spacing w:after="0" w:line="240" w:lineRule="auto"/>
        <w:jc w:val="center"/>
        <w:rPr>
          <w:rFonts w:ascii="Arial" w:eastAsia="Times New Roman" w:hAnsi="Arial" w:cs="Arial"/>
          <w:szCs w:val="24"/>
          <w:lang w:eastAsia="es-CO"/>
        </w:rPr>
      </w:pPr>
      <w:r w:rsidRPr="00396144">
        <w:rPr>
          <w:rFonts w:ascii="Calibri" w:eastAsia="Calibri" w:hAnsi="Calibri" w:cs="Times New Roman"/>
          <w:noProof/>
          <w:lang w:val="es-ES"/>
        </w:rPr>
        <w:drawing>
          <wp:inline distT="0" distB="0" distL="0" distR="0" wp14:anchorId="0D0B18B2" wp14:editId="7DBF12D1">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3"/>
                    <a:stretch>
                      <a:fillRect/>
                    </a:stretch>
                  </pic:blipFill>
                  <pic:spPr>
                    <a:xfrm>
                      <a:off x="0" y="0"/>
                      <a:ext cx="2785707" cy="1068836"/>
                    </a:xfrm>
                    <a:prstGeom prst="rect">
                      <a:avLst/>
                    </a:prstGeom>
                  </pic:spPr>
                </pic:pic>
              </a:graphicData>
            </a:graphic>
          </wp:inline>
        </w:drawing>
      </w:r>
    </w:p>
    <w:p w14:paraId="6F5DB90A" w14:textId="77777777" w:rsidR="00AB7126" w:rsidRPr="00AB7126" w:rsidRDefault="00AB7126" w:rsidP="00AB7126">
      <w:pPr>
        <w:spacing w:after="0" w:line="240" w:lineRule="auto"/>
        <w:jc w:val="center"/>
        <w:rPr>
          <w:rFonts w:ascii="Arial" w:eastAsia="Times New Roman" w:hAnsi="Arial" w:cs="Arial"/>
          <w:sz w:val="18"/>
          <w:szCs w:val="20"/>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AB7126" w:rsidRPr="00AB7126" w14:paraId="293B14F4" w14:textId="77777777" w:rsidTr="00805F2D">
        <w:trPr>
          <w:trHeight w:val="315"/>
        </w:trPr>
        <w:tc>
          <w:tcPr>
            <w:tcW w:w="812" w:type="dxa"/>
            <w:vAlign w:val="center"/>
            <w:hideMark/>
          </w:tcPr>
          <w:p w14:paraId="79909A02" w14:textId="77777777" w:rsidR="00AB7126" w:rsidRPr="00AB7126" w:rsidRDefault="00AB7126" w:rsidP="00AB7126">
            <w:pPr>
              <w:spacing w:line="276" w:lineRule="auto"/>
              <w:jc w:val="both"/>
              <w:rPr>
                <w:rFonts w:eastAsia="Calibri"/>
                <w:sz w:val="16"/>
                <w:szCs w:val="16"/>
                <w:lang w:val="es-ES_tradnl" w:eastAsia="es-ES"/>
              </w:rPr>
            </w:pPr>
            <w:r w:rsidRPr="00AB7126">
              <w:rPr>
                <w:rFonts w:eastAsia="Calibri"/>
                <w:sz w:val="16"/>
                <w:szCs w:val="16"/>
                <w:lang w:val="es-ES_tradnl" w:eastAsia="es-ES"/>
              </w:rPr>
              <w:t>Elaboró:</w:t>
            </w:r>
          </w:p>
        </w:tc>
        <w:tc>
          <w:tcPr>
            <w:tcW w:w="4413" w:type="dxa"/>
            <w:tcBorders>
              <w:top w:val="nil"/>
              <w:left w:val="nil"/>
              <w:bottom w:val="dotted" w:sz="4" w:space="0" w:color="7F7F7F"/>
              <w:right w:val="nil"/>
            </w:tcBorders>
            <w:vAlign w:val="center"/>
            <w:hideMark/>
          </w:tcPr>
          <w:p w14:paraId="3B7135CA" w14:textId="77777777" w:rsidR="00AB7126" w:rsidRPr="00AB7126" w:rsidRDefault="00AB7126" w:rsidP="00AB7126">
            <w:pPr>
              <w:spacing w:line="276" w:lineRule="auto"/>
              <w:jc w:val="both"/>
              <w:rPr>
                <w:rFonts w:eastAsia="Calibri"/>
                <w:sz w:val="16"/>
                <w:szCs w:val="16"/>
                <w:lang w:val="es-ES_tradnl" w:eastAsia="es-ES"/>
              </w:rPr>
            </w:pPr>
            <w:r w:rsidRPr="00AB7126">
              <w:rPr>
                <w:rFonts w:eastAsia="Calibri"/>
                <w:sz w:val="16"/>
                <w:szCs w:val="16"/>
                <w:lang w:val="es-ES_tradnl" w:eastAsia="es-ES"/>
              </w:rPr>
              <w:t>Gabriel Alejandro Murcia Taboada</w:t>
            </w:r>
          </w:p>
          <w:p w14:paraId="012951FD" w14:textId="77777777" w:rsidR="00AB7126" w:rsidRPr="00AB7126" w:rsidRDefault="00AB7126" w:rsidP="00AB7126">
            <w:pPr>
              <w:spacing w:line="276" w:lineRule="auto"/>
              <w:jc w:val="both"/>
              <w:rPr>
                <w:rFonts w:eastAsia="Calibri"/>
                <w:sz w:val="16"/>
                <w:szCs w:val="16"/>
                <w:lang w:val="es-ES_tradnl" w:eastAsia="es-ES"/>
              </w:rPr>
            </w:pPr>
            <w:r w:rsidRPr="00AB7126">
              <w:rPr>
                <w:rFonts w:eastAsia="Calibri"/>
                <w:sz w:val="16"/>
                <w:szCs w:val="16"/>
                <w:lang w:val="es-ES_tradnl" w:eastAsia="es-ES"/>
              </w:rPr>
              <w:t>Contratista de la Subdirección de Gestión Contractual</w:t>
            </w:r>
          </w:p>
        </w:tc>
      </w:tr>
      <w:tr w:rsidR="00AB7126" w:rsidRPr="00AB7126" w14:paraId="16634BD6" w14:textId="77777777" w:rsidTr="00805F2D">
        <w:trPr>
          <w:trHeight w:val="330"/>
        </w:trPr>
        <w:tc>
          <w:tcPr>
            <w:tcW w:w="812" w:type="dxa"/>
            <w:vAlign w:val="center"/>
            <w:hideMark/>
          </w:tcPr>
          <w:p w14:paraId="5A9F9767" w14:textId="77777777" w:rsidR="00AB7126" w:rsidRPr="00AB7126" w:rsidRDefault="00AB7126" w:rsidP="00AB7126">
            <w:pPr>
              <w:spacing w:line="276" w:lineRule="auto"/>
              <w:jc w:val="both"/>
              <w:rPr>
                <w:rFonts w:eastAsia="Calibri"/>
                <w:sz w:val="16"/>
                <w:szCs w:val="16"/>
                <w:lang w:val="es-ES_tradnl" w:eastAsia="es-ES"/>
              </w:rPr>
            </w:pPr>
            <w:r w:rsidRPr="00AB7126">
              <w:rPr>
                <w:rFonts w:eastAsia="Calibri"/>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378029B1" w14:textId="77777777" w:rsidR="00AB7126" w:rsidRPr="00AB7126" w:rsidRDefault="00AB7126" w:rsidP="00AB7126">
            <w:pPr>
              <w:spacing w:line="276" w:lineRule="auto"/>
              <w:jc w:val="both"/>
              <w:rPr>
                <w:rFonts w:eastAsia="Calibri"/>
                <w:sz w:val="16"/>
                <w:szCs w:val="16"/>
                <w:lang w:val="es-ES_tradnl" w:eastAsia="es-ES"/>
              </w:rPr>
            </w:pPr>
            <w:proofErr w:type="spellStart"/>
            <w:r w:rsidRPr="00AB7126">
              <w:rPr>
                <w:rFonts w:eastAsia="Calibri"/>
                <w:sz w:val="16"/>
                <w:szCs w:val="16"/>
                <w:lang w:val="es-ES_tradnl" w:eastAsia="es-ES"/>
              </w:rPr>
              <w:t>Any</w:t>
            </w:r>
            <w:proofErr w:type="spellEnd"/>
            <w:r w:rsidRPr="00AB7126">
              <w:rPr>
                <w:rFonts w:eastAsia="Calibri"/>
                <w:sz w:val="16"/>
                <w:szCs w:val="16"/>
                <w:lang w:val="es-ES_tradnl" w:eastAsia="es-ES"/>
              </w:rPr>
              <w:t xml:space="preserve"> Alejandra Tovar Castillo </w:t>
            </w:r>
          </w:p>
          <w:p w14:paraId="4ACC303C" w14:textId="77777777" w:rsidR="00AB7126" w:rsidRPr="00AB7126" w:rsidRDefault="00AB7126" w:rsidP="00AB7126">
            <w:pPr>
              <w:spacing w:line="276" w:lineRule="auto"/>
              <w:jc w:val="both"/>
              <w:rPr>
                <w:rFonts w:eastAsia="Calibri"/>
                <w:sz w:val="16"/>
                <w:szCs w:val="16"/>
                <w:lang w:val="es-ES_tradnl" w:eastAsia="es-ES"/>
              </w:rPr>
            </w:pPr>
            <w:r w:rsidRPr="00AB7126">
              <w:rPr>
                <w:rFonts w:eastAsia="Calibri"/>
                <w:sz w:val="16"/>
                <w:szCs w:val="16"/>
                <w:lang w:val="es-ES_tradnl" w:eastAsia="es-ES"/>
              </w:rPr>
              <w:t xml:space="preserve">Contratista de la Subdirección de Gestión Contractual  </w:t>
            </w:r>
          </w:p>
        </w:tc>
      </w:tr>
      <w:tr w:rsidR="00AB7126" w:rsidRPr="00AB7126" w14:paraId="5A465C61" w14:textId="77777777" w:rsidTr="00805F2D">
        <w:trPr>
          <w:trHeight w:val="300"/>
        </w:trPr>
        <w:tc>
          <w:tcPr>
            <w:tcW w:w="812" w:type="dxa"/>
            <w:vAlign w:val="center"/>
            <w:hideMark/>
          </w:tcPr>
          <w:p w14:paraId="7A6102A4" w14:textId="77777777" w:rsidR="00AB7126" w:rsidRPr="00AB7126" w:rsidRDefault="00AB7126" w:rsidP="00AB7126">
            <w:pPr>
              <w:spacing w:line="276" w:lineRule="auto"/>
              <w:jc w:val="both"/>
              <w:rPr>
                <w:rFonts w:eastAsia="Calibri"/>
                <w:sz w:val="16"/>
                <w:szCs w:val="16"/>
                <w:lang w:val="es-ES_tradnl" w:eastAsia="es-ES"/>
              </w:rPr>
            </w:pPr>
            <w:r w:rsidRPr="00AB7126">
              <w:rPr>
                <w:rFonts w:eastAsia="Calibri"/>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76AF4CBA" w14:textId="77777777" w:rsidR="00AB7126" w:rsidRPr="00AB7126" w:rsidRDefault="00AB7126" w:rsidP="00AB7126">
            <w:pPr>
              <w:spacing w:line="276" w:lineRule="auto"/>
              <w:jc w:val="both"/>
              <w:rPr>
                <w:rFonts w:eastAsia="Calibri"/>
                <w:sz w:val="16"/>
                <w:szCs w:val="16"/>
                <w:lang w:val="es-ES_tradnl" w:eastAsia="es-ES"/>
              </w:rPr>
            </w:pPr>
            <w:r w:rsidRPr="00AB7126">
              <w:rPr>
                <w:rFonts w:eastAsia="Calibri"/>
                <w:sz w:val="16"/>
                <w:szCs w:val="16"/>
                <w:lang w:val="es-ES_tradnl" w:eastAsia="es-ES"/>
              </w:rPr>
              <w:t xml:space="preserve">Nohelia del Carmen </w:t>
            </w:r>
            <w:proofErr w:type="spellStart"/>
            <w:r w:rsidRPr="00AB7126">
              <w:rPr>
                <w:rFonts w:eastAsia="Calibri"/>
                <w:sz w:val="16"/>
                <w:szCs w:val="16"/>
                <w:lang w:val="es-ES_tradnl" w:eastAsia="es-ES"/>
              </w:rPr>
              <w:t>Zawady</w:t>
            </w:r>
            <w:proofErr w:type="spellEnd"/>
            <w:r w:rsidRPr="00AB7126">
              <w:rPr>
                <w:rFonts w:eastAsia="Calibri"/>
                <w:sz w:val="16"/>
                <w:szCs w:val="16"/>
                <w:lang w:val="es-ES_tradnl" w:eastAsia="es-ES"/>
              </w:rPr>
              <w:t xml:space="preserve"> Palacio</w:t>
            </w:r>
          </w:p>
          <w:p w14:paraId="3E1F8537" w14:textId="77777777" w:rsidR="00AB7126" w:rsidRPr="00AB7126" w:rsidRDefault="00AB7126" w:rsidP="00AB7126">
            <w:pPr>
              <w:spacing w:line="276" w:lineRule="auto"/>
              <w:jc w:val="both"/>
              <w:rPr>
                <w:rFonts w:eastAsia="Calibri"/>
                <w:sz w:val="16"/>
                <w:szCs w:val="16"/>
                <w:lang w:val="es-ES_tradnl" w:eastAsia="es-ES"/>
              </w:rPr>
            </w:pPr>
            <w:r w:rsidRPr="00AB7126">
              <w:rPr>
                <w:rFonts w:eastAsia="Calibri"/>
                <w:sz w:val="16"/>
                <w:szCs w:val="16"/>
                <w:lang w:val="es-ES_tradnl" w:eastAsia="es-ES"/>
              </w:rPr>
              <w:t>Subdirectora de Gestión Contractual</w:t>
            </w:r>
            <w:r w:rsidRPr="00AB7126" w:rsidDel="00EA1F19">
              <w:rPr>
                <w:rFonts w:eastAsia="Calibri"/>
                <w:sz w:val="16"/>
                <w:szCs w:val="16"/>
                <w:lang w:val="es-ES_tradnl" w:eastAsia="es-ES"/>
              </w:rPr>
              <w:t xml:space="preserve"> </w:t>
            </w:r>
          </w:p>
        </w:tc>
      </w:tr>
      <w:bookmarkEnd w:id="0"/>
    </w:tbl>
    <w:p w14:paraId="0F293BF4" w14:textId="0F6FB6C1" w:rsidR="00127233" w:rsidRPr="006219F8" w:rsidRDefault="00127233">
      <w:pPr>
        <w:rPr>
          <w:lang w:val="es-MX"/>
        </w:rPr>
      </w:pPr>
    </w:p>
    <w:sectPr w:rsidR="00127233" w:rsidRPr="006219F8" w:rsidSect="0039439C">
      <w:headerReference w:type="default" r:id="rId14"/>
      <w:footerReference w:type="default" r:id="rId15"/>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1636D5" w14:textId="77777777" w:rsidR="00D51151" w:rsidRDefault="00D51151" w:rsidP="004A1847">
      <w:pPr>
        <w:spacing w:after="0" w:line="240" w:lineRule="auto"/>
      </w:pPr>
      <w:r>
        <w:separator/>
      </w:r>
    </w:p>
  </w:endnote>
  <w:endnote w:type="continuationSeparator" w:id="0">
    <w:p w14:paraId="2036006B" w14:textId="77777777" w:rsidR="00D51151" w:rsidRDefault="00D51151" w:rsidP="004A1847">
      <w:pPr>
        <w:spacing w:after="0" w:line="240" w:lineRule="auto"/>
      </w:pPr>
      <w:r>
        <w:continuationSeparator/>
      </w:r>
    </w:p>
  </w:endnote>
  <w:endnote w:type="continuationNotice" w:id="1">
    <w:p w14:paraId="616DED47" w14:textId="77777777" w:rsidR="00D51151" w:rsidRDefault="00D511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EFBFF" w14:textId="77777777" w:rsidR="00D51151" w:rsidRDefault="00D51151" w:rsidP="004A1847">
      <w:pPr>
        <w:spacing w:after="0" w:line="240" w:lineRule="auto"/>
      </w:pPr>
      <w:r>
        <w:separator/>
      </w:r>
    </w:p>
  </w:footnote>
  <w:footnote w:type="continuationSeparator" w:id="0">
    <w:p w14:paraId="4787EA8F" w14:textId="77777777" w:rsidR="00D51151" w:rsidRDefault="00D51151" w:rsidP="004A1847">
      <w:pPr>
        <w:spacing w:after="0" w:line="240" w:lineRule="auto"/>
      </w:pPr>
      <w:r>
        <w:continuationSeparator/>
      </w:r>
    </w:p>
  </w:footnote>
  <w:footnote w:type="continuationNotice" w:id="1">
    <w:p w14:paraId="228AF41D" w14:textId="77777777" w:rsidR="00D51151" w:rsidRDefault="00D51151">
      <w:pPr>
        <w:spacing w:after="0" w:line="240" w:lineRule="auto"/>
      </w:pPr>
    </w:p>
  </w:footnote>
  <w:footnote w:id="2">
    <w:p w14:paraId="0EF0B90B" w14:textId="77777777" w:rsidR="00AB7126" w:rsidRPr="00AB7126" w:rsidRDefault="00AB7126" w:rsidP="00AB7126">
      <w:pPr>
        <w:pStyle w:val="Textonotapie"/>
        <w:ind w:firstLine="708"/>
        <w:jc w:val="both"/>
        <w:rPr>
          <w:rFonts w:ascii="Arial" w:hAnsi="Arial" w:cs="Arial"/>
          <w:iCs/>
          <w:color w:val="000000" w:themeColor="text1"/>
          <w:sz w:val="16"/>
          <w:szCs w:val="16"/>
        </w:rPr>
      </w:pPr>
      <w:r w:rsidRPr="00AB7126">
        <w:rPr>
          <w:rStyle w:val="Refdenotaalpie"/>
          <w:rFonts w:ascii="Arial" w:hAnsi="Arial" w:cs="Arial"/>
          <w:color w:val="000000" w:themeColor="text1"/>
          <w:sz w:val="16"/>
          <w:szCs w:val="16"/>
        </w:rPr>
        <w:footnoteRef/>
      </w:r>
      <w:r w:rsidRPr="00AB7126">
        <w:rPr>
          <w:rFonts w:ascii="Arial" w:hAnsi="Arial" w:cs="Arial"/>
          <w:color w:val="000000" w:themeColor="text1"/>
          <w:sz w:val="16"/>
          <w:szCs w:val="16"/>
        </w:rPr>
        <w:t xml:space="preserve"> </w:t>
      </w:r>
      <w:r w:rsidRPr="00AB7126">
        <w:rPr>
          <w:rFonts w:ascii="Arial" w:hAnsi="Arial" w:cs="Arial"/>
          <w:iCs/>
          <w:color w:val="000000" w:themeColor="text1"/>
          <w:sz w:val="16"/>
          <w:szCs w:val="16"/>
        </w:rPr>
        <w:t>Artículo 3 de la Ley 80 de 1993.</w:t>
      </w:r>
    </w:p>
    <w:p w14:paraId="43F794B1" w14:textId="77777777" w:rsidR="00AB7126" w:rsidRPr="00AB7126" w:rsidRDefault="00AB7126" w:rsidP="00AB7126">
      <w:pPr>
        <w:pStyle w:val="Textonotapie"/>
        <w:jc w:val="both"/>
        <w:rPr>
          <w:rFonts w:ascii="Arial" w:hAnsi="Arial" w:cs="Arial"/>
          <w:iCs/>
          <w:color w:val="000000" w:themeColor="text1"/>
          <w:sz w:val="16"/>
          <w:szCs w:val="16"/>
        </w:rPr>
      </w:pPr>
    </w:p>
  </w:footnote>
  <w:footnote w:id="3">
    <w:p w14:paraId="0C101EE6" w14:textId="77777777" w:rsidR="00AB7126" w:rsidRPr="00AB7126" w:rsidRDefault="00AB7126" w:rsidP="00AB7126">
      <w:pPr>
        <w:pStyle w:val="Textonotapie"/>
        <w:ind w:firstLine="708"/>
        <w:jc w:val="both"/>
        <w:rPr>
          <w:rFonts w:ascii="Arial" w:hAnsi="Arial" w:cs="Arial"/>
          <w:iCs/>
          <w:color w:val="000000" w:themeColor="text1"/>
          <w:sz w:val="16"/>
          <w:szCs w:val="16"/>
        </w:rPr>
      </w:pPr>
      <w:r w:rsidRPr="00AB7126">
        <w:rPr>
          <w:rStyle w:val="Refdenotaalpie"/>
          <w:rFonts w:ascii="Arial" w:hAnsi="Arial" w:cs="Arial"/>
          <w:color w:val="000000" w:themeColor="text1"/>
          <w:sz w:val="16"/>
          <w:szCs w:val="16"/>
        </w:rPr>
        <w:footnoteRef/>
      </w:r>
      <w:r w:rsidRPr="00AB7126">
        <w:rPr>
          <w:rFonts w:ascii="Arial" w:hAnsi="Arial" w:cs="Arial"/>
          <w:color w:val="000000" w:themeColor="text1"/>
          <w:sz w:val="16"/>
          <w:szCs w:val="16"/>
        </w:rPr>
        <w:t xml:space="preserve"> </w:t>
      </w:r>
      <w:r w:rsidRPr="00AB7126">
        <w:rPr>
          <w:rFonts w:ascii="Arial" w:hAnsi="Arial" w:cs="Arial"/>
          <w:iCs/>
          <w:color w:val="000000" w:themeColor="text1"/>
          <w:sz w:val="16"/>
          <w:szCs w:val="16"/>
        </w:rPr>
        <w:t>Artículo 17 de la Ley 1150 de 2007.</w:t>
      </w:r>
    </w:p>
    <w:p w14:paraId="617E13CD" w14:textId="77777777" w:rsidR="00AB7126" w:rsidRPr="00AB7126" w:rsidRDefault="00AB7126" w:rsidP="00AB7126">
      <w:pPr>
        <w:pStyle w:val="Textonotapie"/>
        <w:ind w:firstLine="708"/>
        <w:jc w:val="both"/>
        <w:rPr>
          <w:rFonts w:ascii="Arial" w:hAnsi="Arial" w:cs="Arial"/>
          <w:color w:val="000000" w:themeColor="text1"/>
          <w:sz w:val="16"/>
          <w:szCs w:val="16"/>
          <w:lang w:val="es-ES"/>
        </w:rPr>
      </w:pPr>
    </w:p>
  </w:footnote>
  <w:footnote w:id="4">
    <w:p w14:paraId="3CCA8CCB" w14:textId="77777777" w:rsidR="00AB7126" w:rsidRPr="00AB7126" w:rsidRDefault="00AB7126" w:rsidP="00AB7126">
      <w:pPr>
        <w:pStyle w:val="Textonotapie"/>
        <w:ind w:firstLine="708"/>
        <w:jc w:val="both"/>
        <w:rPr>
          <w:rFonts w:ascii="Arial" w:hAnsi="Arial" w:cs="Arial"/>
          <w:iCs/>
          <w:color w:val="000000" w:themeColor="text1"/>
          <w:sz w:val="16"/>
          <w:szCs w:val="16"/>
        </w:rPr>
      </w:pPr>
      <w:r w:rsidRPr="00AB7126">
        <w:rPr>
          <w:rStyle w:val="Refdenotaalpie"/>
          <w:rFonts w:ascii="Arial" w:hAnsi="Arial" w:cs="Arial"/>
          <w:color w:val="000000" w:themeColor="text1"/>
          <w:sz w:val="16"/>
          <w:szCs w:val="16"/>
        </w:rPr>
        <w:footnoteRef/>
      </w:r>
      <w:r w:rsidRPr="00AB7126">
        <w:rPr>
          <w:rFonts w:ascii="Arial" w:hAnsi="Arial" w:cs="Arial"/>
          <w:color w:val="000000" w:themeColor="text1"/>
          <w:sz w:val="16"/>
          <w:szCs w:val="16"/>
        </w:rPr>
        <w:t xml:space="preserve"> </w:t>
      </w:r>
      <w:r w:rsidRPr="00AB7126">
        <w:rPr>
          <w:rFonts w:ascii="Arial" w:hAnsi="Arial" w:cs="Arial"/>
          <w:iCs/>
          <w:color w:val="000000" w:themeColor="text1"/>
          <w:sz w:val="16"/>
          <w:szCs w:val="16"/>
        </w:rPr>
        <w:t>Artículo 21 de la Ley 1150 de 2007.</w:t>
      </w:r>
    </w:p>
    <w:p w14:paraId="4188221C" w14:textId="77777777" w:rsidR="00AB7126" w:rsidRPr="00AB7126" w:rsidRDefault="00AB7126" w:rsidP="00AB7126">
      <w:pPr>
        <w:pStyle w:val="Textonotapie"/>
        <w:jc w:val="both"/>
        <w:rPr>
          <w:rFonts w:ascii="Arial" w:hAnsi="Arial" w:cs="Arial"/>
          <w:color w:val="000000" w:themeColor="text1"/>
          <w:sz w:val="16"/>
          <w:szCs w:val="16"/>
        </w:rPr>
      </w:pPr>
    </w:p>
  </w:footnote>
  <w:footnote w:id="5">
    <w:p w14:paraId="1E916843" w14:textId="77777777" w:rsidR="00AB7126" w:rsidRPr="00AB7126" w:rsidRDefault="00AB7126" w:rsidP="00AB7126">
      <w:pPr>
        <w:pStyle w:val="Textonotapie"/>
        <w:ind w:firstLine="708"/>
        <w:jc w:val="both"/>
        <w:rPr>
          <w:rFonts w:ascii="Arial" w:hAnsi="Arial" w:cs="Arial"/>
          <w:iCs/>
          <w:color w:val="000000" w:themeColor="text1"/>
          <w:sz w:val="16"/>
          <w:szCs w:val="16"/>
        </w:rPr>
      </w:pPr>
      <w:r w:rsidRPr="00AB7126">
        <w:rPr>
          <w:rStyle w:val="Refdenotaalpie"/>
          <w:rFonts w:ascii="Arial" w:hAnsi="Arial" w:cs="Arial"/>
          <w:color w:val="000000" w:themeColor="text1"/>
          <w:sz w:val="16"/>
          <w:szCs w:val="16"/>
        </w:rPr>
        <w:footnoteRef/>
      </w:r>
      <w:r w:rsidRPr="00AB7126">
        <w:rPr>
          <w:rFonts w:ascii="Arial" w:hAnsi="Arial" w:cs="Arial"/>
          <w:color w:val="000000" w:themeColor="text1"/>
          <w:sz w:val="16"/>
          <w:szCs w:val="16"/>
        </w:rPr>
        <w:t xml:space="preserve"> </w:t>
      </w:r>
      <w:r w:rsidRPr="00AB7126">
        <w:rPr>
          <w:rFonts w:ascii="Arial" w:hAnsi="Arial" w:cs="Arial"/>
          <w:iCs/>
          <w:color w:val="000000" w:themeColor="text1"/>
          <w:sz w:val="16"/>
          <w:szCs w:val="16"/>
        </w:rPr>
        <w:t>Artículos 83 a 86 de la Ley 1474 de 2011.</w:t>
      </w:r>
    </w:p>
    <w:p w14:paraId="4B598EE2" w14:textId="77777777" w:rsidR="00AB7126" w:rsidRPr="00AB7126" w:rsidRDefault="00AB7126" w:rsidP="00AB7126">
      <w:pPr>
        <w:pStyle w:val="Textonotapie"/>
        <w:jc w:val="both"/>
        <w:rPr>
          <w:rFonts w:ascii="Arial" w:hAnsi="Arial" w:cs="Arial"/>
          <w:color w:val="000000" w:themeColor="text1"/>
          <w:sz w:val="16"/>
          <w:szCs w:val="16"/>
        </w:rPr>
      </w:pPr>
    </w:p>
  </w:footnote>
  <w:footnote w:id="6">
    <w:p w14:paraId="45CB44F3" w14:textId="77777777" w:rsidR="00AB7126" w:rsidRPr="00AB7126" w:rsidRDefault="00AB7126" w:rsidP="00AB7126">
      <w:pPr>
        <w:pStyle w:val="Textonotapie"/>
        <w:ind w:firstLine="708"/>
        <w:jc w:val="both"/>
        <w:rPr>
          <w:rFonts w:ascii="Arial" w:hAnsi="Arial" w:cs="Arial"/>
          <w:iCs/>
          <w:color w:val="000000" w:themeColor="text1"/>
          <w:sz w:val="16"/>
          <w:szCs w:val="16"/>
        </w:rPr>
      </w:pPr>
      <w:r w:rsidRPr="00AB7126">
        <w:rPr>
          <w:rStyle w:val="Refdenotaalpie"/>
          <w:rFonts w:ascii="Arial" w:hAnsi="Arial" w:cs="Arial"/>
          <w:color w:val="000000" w:themeColor="text1"/>
          <w:sz w:val="16"/>
          <w:szCs w:val="16"/>
        </w:rPr>
        <w:footnoteRef/>
      </w:r>
      <w:r w:rsidRPr="00AB7126">
        <w:rPr>
          <w:rFonts w:ascii="Arial" w:hAnsi="Arial" w:cs="Arial"/>
          <w:color w:val="000000" w:themeColor="text1"/>
          <w:sz w:val="16"/>
          <w:szCs w:val="16"/>
        </w:rPr>
        <w:t xml:space="preserve"> </w:t>
      </w:r>
      <w:r w:rsidRPr="00AB7126">
        <w:rPr>
          <w:rFonts w:ascii="Arial" w:hAnsi="Arial" w:cs="Arial"/>
          <w:iCs/>
          <w:color w:val="000000" w:themeColor="text1"/>
          <w:sz w:val="16"/>
          <w:szCs w:val="16"/>
        </w:rPr>
        <w:t>Consejo de Estado. Sección 3ª. Sentencia del 27 de noviembre de 2017. M.P. Jaime Orlando Santofimio. Exp. 51.802.</w:t>
      </w:r>
    </w:p>
    <w:p w14:paraId="2220F7BE" w14:textId="77777777" w:rsidR="00AB7126" w:rsidRPr="00AB7126" w:rsidRDefault="00AB7126" w:rsidP="00AB7126">
      <w:pPr>
        <w:pStyle w:val="Textonotapie"/>
        <w:jc w:val="both"/>
        <w:rPr>
          <w:rFonts w:ascii="Arial" w:hAnsi="Arial" w:cs="Arial"/>
          <w:color w:val="000000" w:themeColor="text1"/>
          <w:sz w:val="16"/>
          <w:szCs w:val="16"/>
          <w:lang w:val="es-CO"/>
        </w:rPr>
      </w:pPr>
    </w:p>
  </w:footnote>
  <w:footnote w:id="7">
    <w:p w14:paraId="65CD0937" w14:textId="77777777" w:rsidR="00AB7126" w:rsidRPr="00AB7126" w:rsidRDefault="00AB7126" w:rsidP="00AB7126">
      <w:pPr>
        <w:pStyle w:val="Textonotapie"/>
        <w:ind w:firstLine="708"/>
        <w:jc w:val="both"/>
        <w:rPr>
          <w:rFonts w:ascii="Arial" w:hAnsi="Arial" w:cs="Arial"/>
          <w:sz w:val="16"/>
          <w:szCs w:val="16"/>
        </w:rPr>
      </w:pPr>
      <w:r w:rsidRPr="00AB7126">
        <w:rPr>
          <w:rStyle w:val="Refdenotaalpie"/>
          <w:rFonts w:ascii="Arial" w:hAnsi="Arial" w:cs="Arial"/>
          <w:sz w:val="16"/>
          <w:szCs w:val="16"/>
        </w:rPr>
        <w:footnoteRef/>
      </w:r>
      <w:r w:rsidRPr="00AB7126">
        <w:rPr>
          <w:rFonts w:ascii="Arial" w:hAnsi="Arial" w:cs="Arial"/>
          <w:sz w:val="16"/>
          <w:szCs w:val="16"/>
        </w:rPr>
        <w:t xml:space="preserve"> «Artículo 83. Supervisión e interventoría contractual.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05E770FB" w14:textId="77777777" w:rsidR="00AB7126" w:rsidRPr="00AB7126" w:rsidRDefault="00AB7126" w:rsidP="00AB7126">
      <w:pPr>
        <w:pStyle w:val="Textonotapie"/>
        <w:ind w:firstLine="708"/>
        <w:jc w:val="both"/>
        <w:rPr>
          <w:rFonts w:ascii="Arial" w:hAnsi="Arial" w:cs="Arial"/>
          <w:sz w:val="16"/>
          <w:szCs w:val="16"/>
        </w:rPr>
      </w:pPr>
      <w:r w:rsidRPr="00AB7126">
        <w:rPr>
          <w:rFonts w:ascii="Arial" w:hAnsi="Arial" w:cs="Arial"/>
          <w:sz w:val="16"/>
          <w:szCs w:val="16"/>
        </w:rPr>
        <w:t xml:space="preserve">»La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w:t>
      </w:r>
    </w:p>
    <w:p w14:paraId="1AE5F32D" w14:textId="77777777" w:rsidR="00AB7126" w:rsidRPr="00AB7126" w:rsidRDefault="00AB7126" w:rsidP="00AB7126">
      <w:pPr>
        <w:pStyle w:val="Textonotapie"/>
        <w:ind w:firstLine="708"/>
        <w:jc w:val="both"/>
        <w:rPr>
          <w:rFonts w:ascii="Arial" w:hAnsi="Arial" w:cs="Arial"/>
          <w:sz w:val="16"/>
          <w:szCs w:val="16"/>
        </w:rPr>
      </w:pPr>
      <w:r w:rsidRPr="00AB7126">
        <w:rPr>
          <w:rFonts w:ascii="Arial" w:hAnsi="Arial" w:cs="Arial"/>
          <w:sz w:val="16"/>
          <w:szCs w:val="16"/>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 </w:t>
      </w:r>
    </w:p>
    <w:p w14:paraId="02AEBC59" w14:textId="77777777" w:rsidR="00AB7126" w:rsidRPr="00AB7126" w:rsidRDefault="00AB7126" w:rsidP="00AB7126">
      <w:pPr>
        <w:pStyle w:val="Textonotapie"/>
        <w:ind w:firstLine="708"/>
        <w:jc w:val="both"/>
        <w:rPr>
          <w:rFonts w:ascii="Arial" w:hAnsi="Arial" w:cs="Arial"/>
          <w:sz w:val="16"/>
          <w:szCs w:val="16"/>
        </w:rPr>
      </w:pPr>
      <w:r w:rsidRPr="00AB7126">
        <w:rPr>
          <w:rFonts w:ascii="Arial" w:hAnsi="Arial" w:cs="Arial"/>
          <w:sz w:val="16"/>
          <w:szCs w:val="16"/>
        </w:rPr>
        <w:t xml:space="preserve">»Por regla general, no serán concurrentes en relación con un mismo contrato, las funciones de supervisión e interventoría. Sin embargo, la entidad puede dividir la vigilancia del contrato principal, caso en el cual en el contrato respectivo de interventoría, se deberán indicar las actividades técnicas a cargo del interventor y las demás quedarán a cargo de la Entidad a través del supervisor. </w:t>
      </w:r>
    </w:p>
    <w:p w14:paraId="047C6240" w14:textId="77777777" w:rsidR="00AB7126" w:rsidRPr="00AB7126" w:rsidRDefault="00AB7126" w:rsidP="00AB7126">
      <w:pPr>
        <w:pStyle w:val="Textonotapie"/>
        <w:ind w:firstLine="708"/>
        <w:jc w:val="both"/>
        <w:rPr>
          <w:rFonts w:ascii="Arial" w:hAnsi="Arial" w:cs="Arial"/>
          <w:sz w:val="16"/>
          <w:szCs w:val="16"/>
        </w:rPr>
      </w:pPr>
      <w:r w:rsidRPr="00AB7126">
        <w:rPr>
          <w:rFonts w:ascii="Arial" w:hAnsi="Arial" w:cs="Arial"/>
          <w:sz w:val="16"/>
          <w:szCs w:val="16"/>
        </w:rPr>
        <w:t xml:space="preserve">»El contrato de Interventoría será supervisado directamente por la entidad estatal. </w:t>
      </w:r>
    </w:p>
    <w:p w14:paraId="32D1E268" w14:textId="77777777" w:rsidR="00AB7126" w:rsidRPr="00AB7126" w:rsidRDefault="00AB7126" w:rsidP="00AB7126">
      <w:pPr>
        <w:pStyle w:val="Textonotapie"/>
        <w:ind w:firstLine="708"/>
        <w:jc w:val="both"/>
        <w:rPr>
          <w:rFonts w:ascii="Arial" w:hAnsi="Arial" w:cs="Arial"/>
          <w:sz w:val="16"/>
          <w:szCs w:val="16"/>
        </w:rPr>
      </w:pPr>
      <w:r w:rsidRPr="00AB7126">
        <w:rPr>
          <w:rFonts w:ascii="Arial" w:hAnsi="Arial" w:cs="Arial"/>
          <w:sz w:val="16"/>
          <w:szCs w:val="16"/>
        </w:rPr>
        <w:t xml:space="preserve">»Parágrafo 1°. En adición a la obligación de contar con interventoría, teniendo en cuenta la capacidad de la entidad para asumir o no la respectiva supervisión en los contratos de obra a que se refiere el artículo 32 de la Ley 80 de 1993, los estudios previos de los contratos cuyo valor supere la menor cuantía de la entidad, con independencia de la modalidad de selección, se pronunciarán sobre la necesidad de contar con interventoría. </w:t>
      </w:r>
    </w:p>
    <w:p w14:paraId="38E7803F" w14:textId="77777777" w:rsidR="00AB7126" w:rsidRPr="00AB7126" w:rsidRDefault="00AB7126" w:rsidP="00AB7126">
      <w:pPr>
        <w:pStyle w:val="Textonotapie"/>
        <w:ind w:firstLine="708"/>
        <w:jc w:val="both"/>
        <w:rPr>
          <w:rFonts w:ascii="Arial" w:hAnsi="Arial" w:cs="Arial"/>
          <w:sz w:val="16"/>
          <w:szCs w:val="16"/>
        </w:rPr>
      </w:pPr>
      <w:r w:rsidRPr="00AB7126">
        <w:rPr>
          <w:rFonts w:ascii="Arial" w:hAnsi="Arial" w:cs="Arial"/>
          <w:sz w:val="16"/>
          <w:szCs w:val="16"/>
        </w:rPr>
        <w:t xml:space="preserve">»Parágrafo 2°. El Gobierno Nacional reglamentará la materia».  </w:t>
      </w:r>
    </w:p>
  </w:footnote>
  <w:footnote w:id="8">
    <w:p w14:paraId="242FBEA0" w14:textId="77777777" w:rsidR="00AB7126" w:rsidRPr="00AB7126" w:rsidRDefault="00AB7126" w:rsidP="00AB7126">
      <w:pPr>
        <w:pStyle w:val="Textonotapie"/>
        <w:ind w:firstLine="708"/>
        <w:jc w:val="both"/>
        <w:rPr>
          <w:rFonts w:ascii="Arial" w:hAnsi="Arial" w:cs="Arial"/>
          <w:color w:val="000000" w:themeColor="text1"/>
          <w:sz w:val="16"/>
          <w:szCs w:val="16"/>
          <w:lang w:val="es-ES"/>
        </w:rPr>
      </w:pPr>
      <w:r w:rsidRPr="00AB7126">
        <w:rPr>
          <w:rStyle w:val="Refdenotaalpie"/>
          <w:rFonts w:ascii="Arial" w:hAnsi="Arial" w:cs="Arial"/>
          <w:color w:val="000000" w:themeColor="text1"/>
          <w:sz w:val="16"/>
          <w:szCs w:val="16"/>
        </w:rPr>
        <w:footnoteRef/>
      </w:r>
      <w:r w:rsidRPr="00AB7126">
        <w:rPr>
          <w:rFonts w:ascii="Arial" w:hAnsi="Arial" w:cs="Arial"/>
          <w:color w:val="000000" w:themeColor="text1"/>
          <w:sz w:val="16"/>
          <w:szCs w:val="16"/>
        </w:rPr>
        <w:t xml:space="preserve"> </w:t>
      </w:r>
      <w:r w:rsidRPr="00AB7126">
        <w:rPr>
          <w:rFonts w:ascii="Arial" w:hAnsi="Arial" w:cs="Arial"/>
          <w:iCs/>
          <w:color w:val="000000" w:themeColor="text1"/>
          <w:sz w:val="16"/>
          <w:szCs w:val="16"/>
        </w:rPr>
        <w:t>BELTRÁN SUÁREZ, Gonzalo. Estudios de derecho contractual público. 1ª Ed. Legis, 2014. Bogotá. p. 256.</w:t>
      </w:r>
    </w:p>
    <w:p w14:paraId="56B0D817" w14:textId="77777777" w:rsidR="00AB7126" w:rsidRPr="00AB7126" w:rsidRDefault="00AB7126" w:rsidP="00AB7126">
      <w:pPr>
        <w:pStyle w:val="Textonotapie"/>
        <w:jc w:val="both"/>
        <w:rPr>
          <w:rFonts w:ascii="Arial" w:hAnsi="Arial" w:cs="Arial"/>
          <w:color w:val="000000" w:themeColor="text1"/>
          <w:sz w:val="16"/>
          <w:szCs w:val="16"/>
        </w:rPr>
      </w:pPr>
    </w:p>
  </w:footnote>
  <w:footnote w:id="9">
    <w:p w14:paraId="595ECDA2" w14:textId="77777777" w:rsidR="00AB7126" w:rsidRPr="00AB7126" w:rsidRDefault="00AB7126" w:rsidP="00AB7126">
      <w:pPr>
        <w:pStyle w:val="Textonotapie"/>
        <w:ind w:firstLine="708"/>
        <w:jc w:val="both"/>
        <w:rPr>
          <w:rFonts w:ascii="Arial" w:hAnsi="Arial" w:cs="Arial"/>
          <w:sz w:val="16"/>
          <w:szCs w:val="16"/>
        </w:rPr>
      </w:pPr>
      <w:r w:rsidRPr="00AB7126">
        <w:rPr>
          <w:rStyle w:val="Refdenotaalpie"/>
          <w:rFonts w:ascii="Arial" w:hAnsi="Arial" w:cs="Arial"/>
          <w:sz w:val="16"/>
          <w:szCs w:val="16"/>
        </w:rPr>
        <w:footnoteRef/>
      </w:r>
      <w:r w:rsidRPr="00AB7126">
        <w:rPr>
          <w:rFonts w:ascii="Arial" w:hAnsi="Arial" w:cs="Arial"/>
          <w:sz w:val="16"/>
          <w:szCs w:val="16"/>
        </w:rPr>
        <w:t xml:space="preserve"> «Artículo 84. Facultades y deberes de los supervisores y los interventores. La supervisión e interventoría contractual implica el seguimiento al ejercicio del cumplimiento obligacional por la entidad contratante sobre las obligaciones a cargo del contratista. </w:t>
      </w:r>
    </w:p>
    <w:p w14:paraId="2503B38B" w14:textId="77777777" w:rsidR="00AB7126" w:rsidRPr="00AB7126" w:rsidRDefault="00AB7126" w:rsidP="00AB7126">
      <w:pPr>
        <w:pStyle w:val="Textonotapie"/>
        <w:ind w:firstLine="708"/>
        <w:jc w:val="both"/>
        <w:rPr>
          <w:rFonts w:ascii="Arial" w:hAnsi="Arial" w:cs="Arial"/>
          <w:sz w:val="16"/>
          <w:szCs w:val="16"/>
        </w:rPr>
      </w:pPr>
      <w:r w:rsidRPr="00AB7126">
        <w:rPr>
          <w:rFonts w:ascii="Arial" w:hAnsi="Arial" w:cs="Arial"/>
          <w:sz w:val="16"/>
          <w:szCs w:val="16"/>
        </w:rPr>
        <w:t xml:space="preserve">»Los interventores y supervisores están facultados para solicitar informes, aclaraciones y explicaciones sobre el desarrollo de la ejecución contractual, y serán responsables por mantener informada a la entidad contratante de los hechos o circunstancias que puedan constituir actos de corrupción tipificados como conductas punibles, o que puedan poner o pongan en riesgo el cumplimiento del contrato, o cuando tal incumplimiento se presente […]». </w:t>
      </w:r>
    </w:p>
    <w:p w14:paraId="1A0BA05C" w14:textId="77777777" w:rsidR="00AB7126" w:rsidRPr="00AB7126" w:rsidRDefault="00AB7126" w:rsidP="00AB7126">
      <w:pPr>
        <w:pStyle w:val="Textonotapie"/>
        <w:ind w:firstLine="708"/>
        <w:jc w:val="both"/>
        <w:rPr>
          <w:rFonts w:ascii="Arial" w:hAnsi="Arial" w:cs="Arial"/>
          <w:sz w:val="16"/>
          <w:szCs w:val="16"/>
        </w:rPr>
      </w:pPr>
      <w:r w:rsidRPr="00AB7126">
        <w:rPr>
          <w:rFonts w:ascii="Arial" w:hAnsi="Arial" w:cs="Arial"/>
          <w:sz w:val="16"/>
          <w:szCs w:val="16"/>
        </w:rPr>
        <w:t xml:space="preserve">  </w:t>
      </w:r>
    </w:p>
  </w:footnote>
  <w:footnote w:id="10">
    <w:p w14:paraId="4B139A20" w14:textId="77777777" w:rsidR="00AB7126" w:rsidRPr="00AB7126" w:rsidRDefault="00AB7126" w:rsidP="00AB7126">
      <w:pPr>
        <w:pStyle w:val="Textonotapie"/>
        <w:ind w:firstLine="708"/>
        <w:jc w:val="both"/>
        <w:rPr>
          <w:rFonts w:ascii="Arial" w:hAnsi="Arial" w:cs="Arial"/>
          <w:color w:val="000000" w:themeColor="text1"/>
          <w:sz w:val="16"/>
          <w:szCs w:val="16"/>
        </w:rPr>
      </w:pPr>
      <w:r w:rsidRPr="00AB7126">
        <w:rPr>
          <w:rStyle w:val="Refdenotaalpie"/>
          <w:rFonts w:ascii="Arial" w:hAnsi="Arial" w:cs="Arial"/>
          <w:color w:val="000000" w:themeColor="text1"/>
          <w:sz w:val="16"/>
          <w:szCs w:val="16"/>
        </w:rPr>
        <w:footnoteRef/>
      </w:r>
      <w:r w:rsidRPr="00AB7126">
        <w:rPr>
          <w:rFonts w:ascii="Arial" w:hAnsi="Arial" w:cs="Arial"/>
          <w:color w:val="000000" w:themeColor="text1"/>
          <w:sz w:val="16"/>
          <w:szCs w:val="16"/>
        </w:rPr>
        <w:t xml:space="preserve"> Radicado # 4201913000008240 del 20 de diciembre de 2019.</w:t>
      </w:r>
    </w:p>
    <w:p w14:paraId="4A0C9A03" w14:textId="77777777" w:rsidR="00AB7126" w:rsidRPr="00AB7126" w:rsidRDefault="00AB7126" w:rsidP="00AB7126">
      <w:pPr>
        <w:pStyle w:val="Textonotapie"/>
        <w:ind w:firstLine="708"/>
        <w:jc w:val="both"/>
        <w:rPr>
          <w:rFonts w:ascii="Arial" w:hAnsi="Arial" w:cs="Arial"/>
          <w:color w:val="000000" w:themeColor="text1"/>
          <w:sz w:val="16"/>
          <w:szCs w:val="16"/>
          <w:lang w:val="es-ES"/>
        </w:rPr>
      </w:pPr>
    </w:p>
  </w:footnote>
  <w:footnote w:id="11">
    <w:p w14:paraId="79F8CFD1" w14:textId="77777777" w:rsidR="00AB7126" w:rsidRPr="00AB7126" w:rsidRDefault="00AB7126" w:rsidP="00AB7126">
      <w:pPr>
        <w:pStyle w:val="Textonotapie"/>
        <w:ind w:firstLine="708"/>
        <w:jc w:val="both"/>
        <w:rPr>
          <w:rFonts w:ascii="Arial" w:hAnsi="Arial" w:cs="Arial"/>
          <w:color w:val="000000" w:themeColor="text1"/>
          <w:sz w:val="16"/>
          <w:szCs w:val="16"/>
          <w:lang w:val="es-CO"/>
        </w:rPr>
      </w:pPr>
      <w:r w:rsidRPr="00AB7126">
        <w:rPr>
          <w:rStyle w:val="Refdenotaalpie"/>
          <w:rFonts w:ascii="Arial" w:hAnsi="Arial" w:cs="Arial"/>
          <w:color w:val="000000" w:themeColor="text1"/>
          <w:sz w:val="16"/>
          <w:szCs w:val="16"/>
        </w:rPr>
        <w:footnoteRef/>
      </w:r>
      <w:r w:rsidRPr="00AB7126">
        <w:rPr>
          <w:rFonts w:ascii="Arial" w:hAnsi="Arial" w:cs="Arial"/>
          <w:color w:val="000000" w:themeColor="text1"/>
          <w:sz w:val="16"/>
          <w:szCs w:val="16"/>
        </w:rPr>
        <w:t xml:space="preserve"> «Son también contratos de consultoría los que tienen por objeto la interventoría[…]»</w:t>
      </w:r>
    </w:p>
  </w:footnote>
  <w:footnote w:id="12">
    <w:p w14:paraId="3040A6DE" w14:textId="77777777" w:rsidR="00AB7126" w:rsidRPr="00AB7126" w:rsidRDefault="00AB7126" w:rsidP="00AB7126">
      <w:pPr>
        <w:pStyle w:val="Textonotapie"/>
        <w:ind w:firstLine="708"/>
        <w:jc w:val="both"/>
        <w:rPr>
          <w:rFonts w:ascii="Arial" w:hAnsi="Arial" w:cs="Arial"/>
          <w:sz w:val="16"/>
          <w:szCs w:val="16"/>
        </w:rPr>
      </w:pPr>
      <w:r w:rsidRPr="00AB7126">
        <w:rPr>
          <w:rStyle w:val="Refdenotaalpie"/>
          <w:rFonts w:ascii="Arial" w:hAnsi="Arial" w:cs="Arial"/>
          <w:sz w:val="16"/>
          <w:szCs w:val="16"/>
        </w:rPr>
        <w:footnoteRef/>
      </w:r>
      <w:r w:rsidRPr="00AB7126">
        <w:rPr>
          <w:rFonts w:ascii="Arial" w:hAnsi="Arial" w:cs="Arial"/>
          <w:sz w:val="16"/>
          <w:szCs w:val="16"/>
        </w:rPr>
        <w:t xml:space="preserve"> «Artículo 84. Facultades y deberes de los supervisores y los interventores. La supervisión e interventoría contractual implica el seguimiento al ejercicio del cumplimiento obligacional por la entidad contratante sobre las obligaciones a cargo del contratista. </w:t>
      </w:r>
    </w:p>
    <w:p w14:paraId="3B4E684B" w14:textId="77777777" w:rsidR="00AB7126" w:rsidRPr="00AB7126" w:rsidRDefault="00AB7126" w:rsidP="00AB7126">
      <w:pPr>
        <w:pStyle w:val="Textonotapie"/>
        <w:ind w:firstLine="708"/>
        <w:jc w:val="both"/>
        <w:rPr>
          <w:rFonts w:ascii="Arial" w:hAnsi="Arial" w:cs="Arial"/>
          <w:sz w:val="16"/>
          <w:szCs w:val="16"/>
        </w:rPr>
      </w:pPr>
      <w:r w:rsidRPr="00AB7126">
        <w:rPr>
          <w:rFonts w:ascii="Arial" w:hAnsi="Arial" w:cs="Arial"/>
          <w:sz w:val="16"/>
          <w:szCs w:val="16"/>
        </w:rPr>
        <w:t xml:space="preserve">»Los interventores y supervisores están facultados para solicitar informes, aclaraciones y explicaciones sobre el desarrollo de la ejecución contractual, y serán responsables por mantener informada a la entidad contratante de los hechos o circunstancias que puedan constituir actos de corrupción tipificados como conductas punibles, o que puedan poner o pongan en riesgo el cumplimiento del contrato, o cuando tal incumplimiento se presente […]». </w:t>
      </w:r>
    </w:p>
    <w:p w14:paraId="4A03D053" w14:textId="77777777" w:rsidR="00AB7126" w:rsidRPr="00AB7126" w:rsidRDefault="00AB7126" w:rsidP="00AB7126">
      <w:pPr>
        <w:pStyle w:val="Textonotapie"/>
        <w:ind w:firstLine="708"/>
        <w:jc w:val="both"/>
        <w:rPr>
          <w:rFonts w:ascii="Arial" w:hAnsi="Arial" w:cs="Arial"/>
          <w:sz w:val="16"/>
          <w:szCs w:val="16"/>
        </w:rPr>
      </w:pPr>
      <w:r w:rsidRPr="00AB7126">
        <w:rPr>
          <w:rFonts w:ascii="Arial" w:hAnsi="Arial"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500395951">
    <w:abstractNumId w:val="3"/>
  </w:num>
  <w:num w:numId="2" w16cid:durableId="1408454564">
    <w:abstractNumId w:val="1"/>
  </w:num>
  <w:num w:numId="3" w16cid:durableId="1897622572">
    <w:abstractNumId w:val="2"/>
  </w:num>
  <w:num w:numId="4" w16cid:durableId="7463482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538F2"/>
    <w:rsid w:val="00073C6F"/>
    <w:rsid w:val="00083334"/>
    <w:rsid w:val="000956CF"/>
    <w:rsid w:val="000A683E"/>
    <w:rsid w:val="000A7104"/>
    <w:rsid w:val="000B47A3"/>
    <w:rsid w:val="0011595A"/>
    <w:rsid w:val="001220C5"/>
    <w:rsid w:val="001267F7"/>
    <w:rsid w:val="00127233"/>
    <w:rsid w:val="00130999"/>
    <w:rsid w:val="00164D81"/>
    <w:rsid w:val="001A1011"/>
    <w:rsid w:val="001A48D0"/>
    <w:rsid w:val="001B1665"/>
    <w:rsid w:val="001B2F0C"/>
    <w:rsid w:val="00221995"/>
    <w:rsid w:val="002234F1"/>
    <w:rsid w:val="00234700"/>
    <w:rsid w:val="002653C1"/>
    <w:rsid w:val="0026611D"/>
    <w:rsid w:val="0027199F"/>
    <w:rsid w:val="002951A0"/>
    <w:rsid w:val="002A64FD"/>
    <w:rsid w:val="002B10A4"/>
    <w:rsid w:val="002D0E4A"/>
    <w:rsid w:val="002F0839"/>
    <w:rsid w:val="00301469"/>
    <w:rsid w:val="00301E14"/>
    <w:rsid w:val="00306EE1"/>
    <w:rsid w:val="00310B9B"/>
    <w:rsid w:val="0036461C"/>
    <w:rsid w:val="00367884"/>
    <w:rsid w:val="0039439C"/>
    <w:rsid w:val="00396144"/>
    <w:rsid w:val="003B3FD8"/>
    <w:rsid w:val="003B44DE"/>
    <w:rsid w:val="003B69E7"/>
    <w:rsid w:val="003C013B"/>
    <w:rsid w:val="003D0F4D"/>
    <w:rsid w:val="003D4DD9"/>
    <w:rsid w:val="003F58A1"/>
    <w:rsid w:val="00410DD6"/>
    <w:rsid w:val="004134C9"/>
    <w:rsid w:val="00420BCA"/>
    <w:rsid w:val="0042674C"/>
    <w:rsid w:val="0043138C"/>
    <w:rsid w:val="00462A59"/>
    <w:rsid w:val="00472BCA"/>
    <w:rsid w:val="00495799"/>
    <w:rsid w:val="00495A75"/>
    <w:rsid w:val="004A1847"/>
    <w:rsid w:val="004B6B0E"/>
    <w:rsid w:val="004D25B3"/>
    <w:rsid w:val="00511405"/>
    <w:rsid w:val="00526E9D"/>
    <w:rsid w:val="00534BB8"/>
    <w:rsid w:val="00547375"/>
    <w:rsid w:val="00547856"/>
    <w:rsid w:val="00547A74"/>
    <w:rsid w:val="005548B6"/>
    <w:rsid w:val="005566E8"/>
    <w:rsid w:val="0056073D"/>
    <w:rsid w:val="005746AB"/>
    <w:rsid w:val="0059357F"/>
    <w:rsid w:val="005A1130"/>
    <w:rsid w:val="005D65C8"/>
    <w:rsid w:val="005D6ED7"/>
    <w:rsid w:val="006219F8"/>
    <w:rsid w:val="00627263"/>
    <w:rsid w:val="00681FDB"/>
    <w:rsid w:val="00695882"/>
    <w:rsid w:val="006A7DAD"/>
    <w:rsid w:val="006D70BA"/>
    <w:rsid w:val="006E4BA6"/>
    <w:rsid w:val="007566FE"/>
    <w:rsid w:val="0076726F"/>
    <w:rsid w:val="0077144B"/>
    <w:rsid w:val="00793403"/>
    <w:rsid w:val="007C0CDF"/>
    <w:rsid w:val="007D0AA6"/>
    <w:rsid w:val="007E2A2F"/>
    <w:rsid w:val="007F2B7C"/>
    <w:rsid w:val="007F41BB"/>
    <w:rsid w:val="00811651"/>
    <w:rsid w:val="00814158"/>
    <w:rsid w:val="00820F5B"/>
    <w:rsid w:val="00833452"/>
    <w:rsid w:val="008614E5"/>
    <w:rsid w:val="008678EB"/>
    <w:rsid w:val="00875894"/>
    <w:rsid w:val="00881C10"/>
    <w:rsid w:val="00890411"/>
    <w:rsid w:val="008C696F"/>
    <w:rsid w:val="008D5C70"/>
    <w:rsid w:val="008E1E87"/>
    <w:rsid w:val="009025AF"/>
    <w:rsid w:val="00904F23"/>
    <w:rsid w:val="00906B3C"/>
    <w:rsid w:val="0094114C"/>
    <w:rsid w:val="0095342C"/>
    <w:rsid w:val="009662BE"/>
    <w:rsid w:val="009F33F2"/>
    <w:rsid w:val="009F6C77"/>
    <w:rsid w:val="00A003D5"/>
    <w:rsid w:val="00A07532"/>
    <w:rsid w:val="00A1085C"/>
    <w:rsid w:val="00A12376"/>
    <w:rsid w:val="00A206C7"/>
    <w:rsid w:val="00A309E2"/>
    <w:rsid w:val="00A8066E"/>
    <w:rsid w:val="00AA4B8A"/>
    <w:rsid w:val="00AA67A2"/>
    <w:rsid w:val="00AA6BF7"/>
    <w:rsid w:val="00AB7126"/>
    <w:rsid w:val="00B01ED6"/>
    <w:rsid w:val="00B06D09"/>
    <w:rsid w:val="00B157F4"/>
    <w:rsid w:val="00B256E0"/>
    <w:rsid w:val="00B54492"/>
    <w:rsid w:val="00B771A9"/>
    <w:rsid w:val="00B809BB"/>
    <w:rsid w:val="00B8248A"/>
    <w:rsid w:val="00B874DD"/>
    <w:rsid w:val="00BB7726"/>
    <w:rsid w:val="00BD4C35"/>
    <w:rsid w:val="00BE2C01"/>
    <w:rsid w:val="00C2329E"/>
    <w:rsid w:val="00C30461"/>
    <w:rsid w:val="00C5098B"/>
    <w:rsid w:val="00C754BE"/>
    <w:rsid w:val="00C87572"/>
    <w:rsid w:val="00C91A8B"/>
    <w:rsid w:val="00C9405D"/>
    <w:rsid w:val="00CC1B26"/>
    <w:rsid w:val="00CD284F"/>
    <w:rsid w:val="00CD513B"/>
    <w:rsid w:val="00CF23AA"/>
    <w:rsid w:val="00D01921"/>
    <w:rsid w:val="00D51151"/>
    <w:rsid w:val="00D752B7"/>
    <w:rsid w:val="00DA1854"/>
    <w:rsid w:val="00DB0887"/>
    <w:rsid w:val="00DF1E43"/>
    <w:rsid w:val="00E05424"/>
    <w:rsid w:val="00E154C4"/>
    <w:rsid w:val="00E20894"/>
    <w:rsid w:val="00E26B7C"/>
    <w:rsid w:val="00E5330E"/>
    <w:rsid w:val="00E703DE"/>
    <w:rsid w:val="00EA3003"/>
    <w:rsid w:val="00EA6B1F"/>
    <w:rsid w:val="00EB3C91"/>
    <w:rsid w:val="00EB66DA"/>
    <w:rsid w:val="00ED1513"/>
    <w:rsid w:val="00F6039F"/>
    <w:rsid w:val="00F605F2"/>
    <w:rsid w:val="00F73B81"/>
    <w:rsid w:val="00F76AFC"/>
    <w:rsid w:val="00F8319B"/>
    <w:rsid w:val="00FA5516"/>
    <w:rsid w:val="00FD6F73"/>
    <w:rsid w:val="1CC63BF5"/>
    <w:rsid w:val="2F9951DC"/>
    <w:rsid w:val="3EA2D60F"/>
    <w:rsid w:val="6B8BD3AC"/>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9F8"/>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character" w:styleId="Hipervnculo">
    <w:name w:val="Hyperlink"/>
    <w:basedOn w:val="Fuentedeprrafopredeter"/>
    <w:uiPriority w:val="99"/>
    <w:unhideWhenUsed/>
    <w:rsid w:val="00AB7126"/>
    <w:rPr>
      <w:color w:val="0563C1" w:themeColor="hyperlink"/>
      <w:u w:val="single"/>
    </w:rPr>
  </w:style>
  <w:style w:type="paragraph" w:customStyle="1" w:styleId="Appelnotedebasde">
    <w:name w:val="Appel note de bas de..."/>
    <w:basedOn w:val="Normal"/>
    <w:link w:val="Refdenotaalpie"/>
    <w:uiPriority w:val="99"/>
    <w:rsid w:val="00AB7126"/>
    <w:pPr>
      <w:spacing w:line="240" w:lineRule="exact"/>
    </w:pPr>
    <w:rPr>
      <w:vertAlign w:val="superscript"/>
    </w:rPr>
  </w:style>
  <w:style w:type="character" w:styleId="Mencinsinresolver">
    <w:name w:val="Unresolved Mention"/>
    <w:basedOn w:val="Fuentedeprrafopredeter"/>
    <w:uiPriority w:val="99"/>
    <w:semiHidden/>
    <w:unhideWhenUsed/>
    <w:rsid w:val="00F73B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audiadelgadoaguacia@gmai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0280C3-82D0-4C8E-A005-D2F2F9F894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infopath/2007/PartnerControls"/>
    <ds:schemaRef ds:uri="http://purl.org/dc/terms/"/>
    <ds:schemaRef ds:uri="9d85dbaf-23eb-4e57-a637-93dcacc8b1a1"/>
    <ds:schemaRef ds:uri="http://purl.org/dc/elements/1.1/"/>
    <ds:schemaRef ds:uri="a6cb9e4b-f1d1-4245-83ec-6cad768d538a"/>
    <ds:schemaRef ds:uri="http://schemas.openxmlformats.org/package/2006/metadata/core-properties"/>
    <ds:schemaRef ds:uri="http://www.w3.org/XML/1998/namespace"/>
    <ds:schemaRef ds:uri="http://schemas.microsoft.com/office/2006/metadata/properties"/>
    <ds:schemaRef ds:uri="http://schemas.microsoft.com/office/2006/documentManagement/types"/>
    <ds:schemaRef ds:uri="http://purl.org/dc/dcmitype/"/>
  </ds:schemaRefs>
</ds:datastoreItem>
</file>

<file path=customXml/itemProps3.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3352</Words>
  <Characters>18437</Characters>
  <Application>Microsoft Office Word</Application>
  <DocSecurity>0</DocSecurity>
  <Lines>153</Lines>
  <Paragraphs>43</Paragraphs>
  <ScaleCrop>false</ScaleCrop>
  <Company/>
  <LinksUpToDate>false</LinksUpToDate>
  <CharactersWithSpaces>21746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Maria Velez Arteaga</cp:lastModifiedBy>
  <cp:revision>2</cp:revision>
  <dcterms:created xsi:type="dcterms:W3CDTF">2023-03-13T20:56:00Z</dcterms:created>
  <dcterms:modified xsi:type="dcterms:W3CDTF">2023-03-13T20:56:00Z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