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BBF4B" w14:textId="77777777" w:rsidR="00701569" w:rsidRPr="00701569" w:rsidRDefault="00701569" w:rsidP="00701569">
      <w:pPr>
        <w:spacing w:after="0" w:line="240" w:lineRule="auto"/>
        <w:jc w:val="both"/>
        <w:rPr>
          <w:rFonts w:ascii="Century Gothic" w:eastAsia="Geomanist Light" w:hAnsi="Century Gothic" w:cs="Arial"/>
          <w:b/>
          <w:bCs/>
          <w:color w:val="000000" w:themeColor="text1"/>
          <w:sz w:val="20"/>
          <w:szCs w:val="20"/>
          <w:lang w:val="es-MX"/>
        </w:rPr>
      </w:pPr>
      <w:bookmarkStart w:id="0" w:name="_Hlk94281581"/>
      <w:bookmarkStart w:id="1" w:name="_Hlk102489058"/>
      <w:bookmarkStart w:id="2" w:name="_Hlk34951122"/>
    </w:p>
    <w:p w14:paraId="2FC6785D" w14:textId="77777777" w:rsidR="00701569" w:rsidRPr="00701569" w:rsidRDefault="00701569" w:rsidP="00701569">
      <w:pPr>
        <w:spacing w:after="0"/>
        <w:jc w:val="both"/>
        <w:rPr>
          <w:rFonts w:ascii="Century Gothic" w:eastAsia="Geomanist Light" w:hAnsi="Century Gothic" w:cs="Arial"/>
          <w:b/>
          <w:bCs/>
          <w:color w:val="000000" w:themeColor="text1"/>
          <w:lang w:val="es-MX"/>
        </w:rPr>
      </w:pPr>
      <w:r w:rsidRPr="00701569">
        <w:rPr>
          <w:rFonts w:ascii="Century Gothic" w:eastAsia="Geomanist Light" w:hAnsi="Century Gothic" w:cs="Arial"/>
          <w:b/>
          <w:bCs/>
          <w:color w:val="000000" w:themeColor="text1"/>
          <w:lang w:val="es-MX"/>
        </w:rPr>
        <w:t xml:space="preserve">CONTRATOS O CONVENIOS INTERADMINISTRATIVOS – Definición – Criterio orgánico </w:t>
      </w:r>
    </w:p>
    <w:p w14:paraId="6C0452A3" w14:textId="77777777" w:rsidR="00701569" w:rsidRPr="00701569" w:rsidRDefault="00701569" w:rsidP="00701569">
      <w:pPr>
        <w:spacing w:after="0" w:line="240" w:lineRule="auto"/>
        <w:jc w:val="both"/>
        <w:rPr>
          <w:rFonts w:ascii="Century Gothic" w:eastAsia="Geomanist Light" w:hAnsi="Century Gothic" w:cs="Arial"/>
          <w:b/>
          <w:bCs/>
          <w:color w:val="000000" w:themeColor="text1"/>
          <w:sz w:val="20"/>
          <w:szCs w:val="20"/>
          <w:lang w:val="es-MX"/>
        </w:rPr>
      </w:pPr>
    </w:p>
    <w:p w14:paraId="7CE322A9" w14:textId="77777777" w:rsidR="00701569" w:rsidRPr="00701569" w:rsidRDefault="00701569" w:rsidP="00701569">
      <w:pPr>
        <w:spacing w:after="0" w:line="240" w:lineRule="auto"/>
        <w:jc w:val="both"/>
        <w:rPr>
          <w:rFonts w:ascii="Century Gothic" w:eastAsia="Geomanist Light" w:hAnsi="Century Gothic" w:cs="Arial"/>
          <w:color w:val="000000" w:themeColor="text1"/>
          <w:sz w:val="20"/>
          <w:szCs w:val="20"/>
        </w:rPr>
      </w:pPr>
      <w:r w:rsidRPr="00701569">
        <w:rPr>
          <w:rFonts w:ascii="Century Gothic" w:eastAsia="Geomanist Light" w:hAnsi="Century Gothic" w:cs="Arial"/>
          <w:color w:val="000000" w:themeColor="text1"/>
          <w:sz w:val="20"/>
          <w:szCs w:val="20"/>
        </w:rPr>
        <w:t>La tipología del contrato o convenio interadministrativo fue creada en la Ley 80 de 1993, y el Decreto 1082 de 2015 la califica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 estatales.</w:t>
      </w:r>
    </w:p>
    <w:p w14:paraId="30B59984" w14:textId="77777777" w:rsidR="00701569" w:rsidRPr="00701569" w:rsidRDefault="00701569" w:rsidP="00701569">
      <w:pPr>
        <w:spacing w:after="0" w:line="240" w:lineRule="auto"/>
        <w:jc w:val="both"/>
        <w:rPr>
          <w:rFonts w:ascii="Century Gothic" w:eastAsia="Geomanist Light" w:hAnsi="Century Gothic" w:cs="Arial"/>
          <w:color w:val="000000" w:themeColor="text1"/>
          <w:sz w:val="20"/>
          <w:szCs w:val="20"/>
        </w:rPr>
      </w:pPr>
    </w:p>
    <w:p w14:paraId="41CF3AFD" w14:textId="77777777" w:rsidR="00701569" w:rsidRPr="00701569" w:rsidRDefault="00701569" w:rsidP="00701569">
      <w:pPr>
        <w:spacing w:after="0" w:line="240" w:lineRule="auto"/>
        <w:jc w:val="both"/>
        <w:rPr>
          <w:rFonts w:ascii="Century Gothic" w:eastAsia="Geomanist Light" w:hAnsi="Century Gothic" w:cs="Arial"/>
          <w:color w:val="000000" w:themeColor="text1"/>
          <w:sz w:val="20"/>
          <w:szCs w:val="20"/>
        </w:rPr>
      </w:pPr>
      <w:r w:rsidRPr="00701569">
        <w:rPr>
          <w:rFonts w:ascii="Century Gothic" w:eastAsia="Geomanist Light" w:hAnsi="Century Gothic" w:cs="Arial"/>
          <w:color w:val="000000" w:themeColor="text1"/>
          <w:sz w:val="20"/>
          <w:szCs w:val="20"/>
        </w:rPr>
        <w:t>Un contrato o convenio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 Nótese que, en este caso, lo que cambia es la modalidad de selección y no la naturaleza de contrato interadministrativo.</w:t>
      </w:r>
    </w:p>
    <w:p w14:paraId="4616D42D" w14:textId="77777777" w:rsidR="00701569" w:rsidRPr="00701569" w:rsidRDefault="00701569" w:rsidP="00701569">
      <w:pPr>
        <w:spacing w:after="0" w:line="240" w:lineRule="auto"/>
        <w:jc w:val="both"/>
        <w:rPr>
          <w:rFonts w:ascii="Century Gothic" w:eastAsia="Geomanist Light" w:hAnsi="Century Gothic" w:cs="Arial"/>
          <w:color w:val="000000" w:themeColor="text1"/>
          <w:sz w:val="20"/>
          <w:szCs w:val="20"/>
        </w:rPr>
      </w:pPr>
    </w:p>
    <w:p w14:paraId="74D69B23" w14:textId="77777777" w:rsidR="00701569" w:rsidRPr="00701569" w:rsidRDefault="00701569" w:rsidP="00701569">
      <w:pPr>
        <w:spacing w:after="0"/>
        <w:jc w:val="both"/>
        <w:rPr>
          <w:rFonts w:ascii="Century Gothic" w:eastAsia="Geomanist Light" w:hAnsi="Century Gothic" w:cs="Arial"/>
          <w:b/>
          <w:bCs/>
          <w:color w:val="000000" w:themeColor="text1"/>
          <w:lang w:val="es-MX"/>
        </w:rPr>
      </w:pPr>
      <w:r w:rsidRPr="00701569">
        <w:rPr>
          <w:rFonts w:ascii="Century Gothic" w:eastAsia="Geomanist Light" w:hAnsi="Century Gothic" w:cs="Arial"/>
          <w:b/>
          <w:bCs/>
          <w:color w:val="000000" w:themeColor="text1"/>
          <w:lang w:val="es-MX"/>
        </w:rPr>
        <w:t xml:space="preserve">CONTRATOS Y CONVENIOS INTERADMINISTRATIVOS – Diferencias – Similitudes </w:t>
      </w:r>
    </w:p>
    <w:p w14:paraId="680A70EB" w14:textId="77777777" w:rsidR="00701569" w:rsidRPr="00701569" w:rsidRDefault="00701569" w:rsidP="00701569">
      <w:pPr>
        <w:spacing w:after="0" w:line="240" w:lineRule="auto"/>
        <w:jc w:val="both"/>
        <w:rPr>
          <w:rFonts w:ascii="Century Gothic" w:eastAsia="Geomanist Light" w:hAnsi="Century Gothic" w:cs="Arial"/>
          <w:b/>
          <w:bCs/>
          <w:color w:val="000000" w:themeColor="text1"/>
          <w:sz w:val="20"/>
          <w:szCs w:val="20"/>
        </w:rPr>
      </w:pPr>
    </w:p>
    <w:p w14:paraId="739AD417" w14:textId="77777777" w:rsidR="00701569" w:rsidRPr="00701569" w:rsidRDefault="00701569" w:rsidP="00701569">
      <w:pPr>
        <w:spacing w:after="0" w:line="240" w:lineRule="auto"/>
        <w:jc w:val="both"/>
        <w:rPr>
          <w:rFonts w:ascii="Century Gothic" w:hAnsi="Century Gothic" w:cs="Arial"/>
          <w:sz w:val="20"/>
          <w:szCs w:val="20"/>
        </w:rPr>
      </w:pPr>
      <w:r w:rsidRPr="00701569">
        <w:rPr>
          <w:rFonts w:ascii="Century Gothic" w:eastAsia="Calibri" w:hAnsi="Century Gothic" w:cs="Arial"/>
          <w:bCs/>
          <w:color w:val="000000" w:themeColor="text1"/>
          <w:sz w:val="20"/>
          <w:szCs w:val="20"/>
          <w:lang w:bidi="es-ES"/>
        </w:rPr>
        <w:t xml:space="preserve">[…] mientras que el </w:t>
      </w:r>
      <w:r w:rsidRPr="00701569">
        <w:rPr>
          <w:rFonts w:ascii="Century Gothic" w:eastAsia="Calibri" w:hAnsi="Century Gothic" w:cs="Arial"/>
          <w:bCs/>
          <w:i/>
          <w:iCs/>
          <w:color w:val="000000" w:themeColor="text1"/>
          <w:sz w:val="20"/>
          <w:szCs w:val="20"/>
          <w:lang w:bidi="es-ES"/>
        </w:rPr>
        <w:t>contrato interadministrativo</w:t>
      </w:r>
      <w:r w:rsidRPr="00701569">
        <w:rPr>
          <w:rFonts w:ascii="Century Gothic" w:eastAsia="Calibri" w:hAnsi="Century Gothic" w:cs="Arial"/>
          <w:bCs/>
          <w:color w:val="000000" w:themeColor="text1"/>
          <w:sz w:val="20"/>
          <w:szCs w:val="20"/>
          <w:lang w:bidi="es-ES"/>
        </w:rPr>
        <w:t xml:space="preserve"> se caracteriza por su naturaleza onerosa, patrimonial y se conforma por intereses básicamente contrapuestos, los </w:t>
      </w:r>
      <w:r w:rsidRPr="00701569">
        <w:rPr>
          <w:rFonts w:ascii="Century Gothic" w:eastAsia="Calibri" w:hAnsi="Century Gothic" w:cs="Arial"/>
          <w:bCs/>
          <w:i/>
          <w:iCs/>
          <w:color w:val="000000" w:themeColor="text1"/>
          <w:sz w:val="20"/>
          <w:szCs w:val="20"/>
          <w:lang w:bidi="es-ES"/>
        </w:rPr>
        <w:t>convenios interadministrativos</w:t>
      </w:r>
      <w:r w:rsidRPr="00701569">
        <w:rPr>
          <w:rFonts w:ascii="Century Gothic" w:eastAsia="Calibri" w:hAnsi="Century Gothic" w:cs="Arial"/>
          <w:bCs/>
          <w:color w:val="000000" w:themeColor="text1"/>
          <w:sz w:val="20"/>
          <w:szCs w:val="20"/>
          <w:lang w:bidi="es-ES"/>
        </w:rPr>
        <w:t>, por su parte, tienen una finalidad asociativa perseguida por las partes suscriptoras cuyos intereses se encaminan en la misma dirección y persiguen los mismos objetivos, de conformidad con el ejercicio de las funciones y competencias que les son propias y propendiendo por la cooperación interinstitucional</w:t>
      </w:r>
      <w:r w:rsidRPr="00701569">
        <w:rPr>
          <w:rFonts w:ascii="Century Gothic" w:hAnsi="Century Gothic"/>
          <w:sz w:val="20"/>
          <w:szCs w:val="20"/>
        </w:rPr>
        <w:t xml:space="preserve"> </w:t>
      </w:r>
      <w:r w:rsidRPr="00701569">
        <w:rPr>
          <w:rFonts w:ascii="Century Gothic" w:eastAsia="Calibri" w:hAnsi="Century Gothic" w:cs="Arial"/>
          <w:color w:val="000000" w:themeColor="text1"/>
          <w:sz w:val="20"/>
          <w:szCs w:val="20"/>
          <w:lang w:eastAsia="en-GB"/>
        </w:rPr>
        <w:t xml:space="preserve">[…] la distinción también se plantea en el ámbito del derecho privado con la referencia a los contratos de contraprestación y de colaboración; sin embargo, también se rigen por unos principios comunes, pues se forman por el consentimiento y de ambos se derivan el nacimiento de obligaciones para las partes. Por ello, “[…] Es evidente que el hecho de que las partes tengan intereses concordantes no implica en modo alguno que estas relaciones no quepan en el campo de la contratación […]”. </w:t>
      </w:r>
      <w:r w:rsidRPr="00701569">
        <w:rPr>
          <w:rFonts w:ascii="Century Gothic" w:hAnsi="Century Gothic" w:cs="Arial"/>
          <w:sz w:val="20"/>
          <w:szCs w:val="20"/>
        </w:rPr>
        <w:t xml:space="preserve">Teniendo en cuenta lo anterior, no existe una definición legal que diferencie los conceptos de contrato y convenio. En tal sentido, teniendo en cuenta sus características comunes, las referencias realizadas por el legislador a estos términos deben asimilarse, salvo que de su contenido logre inferirse que se quiere otorgar un contenido en particular. </w:t>
      </w:r>
    </w:p>
    <w:p w14:paraId="15C765B4" w14:textId="77777777" w:rsidR="00701569" w:rsidRPr="00701569" w:rsidRDefault="00701569" w:rsidP="00701569">
      <w:pPr>
        <w:spacing w:after="0" w:line="240" w:lineRule="auto"/>
        <w:jc w:val="both"/>
        <w:rPr>
          <w:rFonts w:ascii="Century Gothic" w:eastAsia="Calibri" w:hAnsi="Century Gothic" w:cs="Arial"/>
          <w:b/>
          <w:bCs/>
          <w:color w:val="000000" w:themeColor="text1"/>
          <w:lang w:val="es-MX"/>
        </w:rPr>
      </w:pPr>
    </w:p>
    <w:p w14:paraId="1D955ADF" w14:textId="77777777" w:rsidR="00701569" w:rsidRPr="00701569" w:rsidRDefault="00701569" w:rsidP="00701569">
      <w:pPr>
        <w:spacing w:after="0" w:line="240" w:lineRule="auto"/>
        <w:jc w:val="both"/>
        <w:rPr>
          <w:rFonts w:ascii="Century Gothic" w:eastAsia="Calibri" w:hAnsi="Century Gothic" w:cs="Arial"/>
          <w:b/>
          <w:bCs/>
          <w:color w:val="000000" w:themeColor="text1"/>
          <w:lang w:val="es-MX"/>
        </w:rPr>
      </w:pPr>
      <w:r w:rsidRPr="00701569">
        <w:rPr>
          <w:rFonts w:ascii="Century Gothic" w:eastAsia="Calibri" w:hAnsi="Century Gothic" w:cs="Arial"/>
          <w:b/>
          <w:bCs/>
          <w:color w:val="000000" w:themeColor="text1"/>
          <w:lang w:val="es-MX"/>
        </w:rPr>
        <w:t>INHABILIDADES – Definición – Finalidad – Limitación capacidad contractual</w:t>
      </w:r>
      <w:r w:rsidRPr="00701569">
        <w:rPr>
          <w:rFonts w:ascii="Century Gothic" w:eastAsia="Calibri" w:hAnsi="Century Gothic" w:cs="Arial"/>
          <w:b/>
          <w:bCs/>
          <w:color w:val="000000" w:themeColor="text1"/>
          <w:lang w:val="es-ES"/>
        </w:rPr>
        <w:t xml:space="preserve"> </w:t>
      </w:r>
    </w:p>
    <w:p w14:paraId="05CBE47F" w14:textId="77777777" w:rsidR="00701569" w:rsidRPr="00701569" w:rsidRDefault="00701569" w:rsidP="00701569">
      <w:pPr>
        <w:spacing w:after="0" w:line="240" w:lineRule="auto"/>
        <w:jc w:val="both"/>
        <w:rPr>
          <w:rFonts w:ascii="Century Gothic" w:eastAsia="Calibri" w:hAnsi="Century Gothic" w:cs="Arial"/>
          <w:b/>
          <w:bCs/>
          <w:color w:val="000000" w:themeColor="text1"/>
          <w:sz w:val="20"/>
          <w:szCs w:val="20"/>
          <w:lang w:val="es-MX"/>
        </w:rPr>
      </w:pPr>
    </w:p>
    <w:p w14:paraId="7A099A8C"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lang w:val="es-MX"/>
        </w:rPr>
      </w:pPr>
      <w:r w:rsidRPr="00701569">
        <w:rPr>
          <w:rFonts w:ascii="Century Gothic" w:eastAsia="Calibri" w:hAnsi="Century Gothic" w:cs="Arial"/>
          <w:bCs/>
          <w:color w:val="000000" w:themeColor="text1"/>
          <w:sz w:val="20"/>
          <w:szCs w:val="20"/>
          <w:lang w:val="es-MX"/>
        </w:rPr>
        <w:t xml:space="preserve">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14:paraId="5D7AF8D3"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lang w:val="es-MX"/>
        </w:rPr>
      </w:pPr>
    </w:p>
    <w:p w14:paraId="51A89C2E"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lang w:val="es-MX"/>
        </w:rPr>
      </w:pPr>
      <w:r w:rsidRPr="00701569">
        <w:rPr>
          <w:rFonts w:ascii="Century Gothic" w:eastAsia="Calibri" w:hAnsi="Century Gothic" w:cs="Arial"/>
          <w:bCs/>
          <w:color w:val="000000" w:themeColor="text1"/>
          <w:sz w:val="20"/>
          <w:szCs w:val="20"/>
          <w:lang w:val="es-MX"/>
        </w:rPr>
        <w:lastRenderedPageBreak/>
        <w:t xml:space="preserve">El régimen de inhabilidades para contratar con el Estado es un conjunto de restricciones establecidas por el constituyente o por el legislador que afectan directamente la capacidad de las personas para establecer unas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 </w:t>
      </w:r>
    </w:p>
    <w:p w14:paraId="4C7C6F45"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lang w:val="es-ES"/>
        </w:rPr>
      </w:pPr>
    </w:p>
    <w:p w14:paraId="5CC58CBF" w14:textId="77777777" w:rsidR="00701569" w:rsidRPr="00701569" w:rsidRDefault="00701569" w:rsidP="00701569">
      <w:pPr>
        <w:spacing w:after="0" w:line="240" w:lineRule="auto"/>
        <w:jc w:val="both"/>
        <w:rPr>
          <w:rFonts w:ascii="Century Gothic" w:eastAsia="Calibri" w:hAnsi="Century Gothic" w:cs="Arial"/>
          <w:b/>
          <w:bCs/>
          <w:color w:val="000000" w:themeColor="text1"/>
          <w:lang w:val="es-ES"/>
        </w:rPr>
      </w:pPr>
      <w:r w:rsidRPr="00701569">
        <w:rPr>
          <w:rFonts w:ascii="Century Gothic" w:eastAsia="Calibri" w:hAnsi="Century Gothic" w:cs="Arial"/>
          <w:b/>
          <w:bCs/>
          <w:color w:val="000000" w:themeColor="text1"/>
          <w:lang w:val="es-ES"/>
        </w:rPr>
        <w:t xml:space="preserve">CONTRATACIÓN ESTATAL – Capacidad – Validez contratos – Régimen de contratación – Inscripción – Limitación de la capacidad </w:t>
      </w:r>
    </w:p>
    <w:p w14:paraId="21B55DB2" w14:textId="77777777" w:rsidR="00701569" w:rsidRPr="00701569" w:rsidRDefault="00701569" w:rsidP="00701569">
      <w:pPr>
        <w:spacing w:after="0" w:line="240" w:lineRule="auto"/>
        <w:jc w:val="both"/>
        <w:rPr>
          <w:rFonts w:ascii="Century Gothic" w:eastAsia="Calibri" w:hAnsi="Century Gothic" w:cs="Arial"/>
          <w:b/>
          <w:bCs/>
          <w:color w:val="000000" w:themeColor="text1"/>
          <w:sz w:val="20"/>
          <w:szCs w:val="20"/>
          <w:lang w:val="es-ES"/>
        </w:rPr>
      </w:pPr>
    </w:p>
    <w:p w14:paraId="45D83521"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lang w:val="es-ES_tradnl"/>
        </w:rPr>
      </w:pPr>
      <w:r w:rsidRPr="00701569">
        <w:rPr>
          <w:rFonts w:ascii="Century Gothic" w:eastAsia="Calibri" w:hAnsi="Century Gothic" w:cs="Arial"/>
          <w:bCs/>
          <w:color w:val="000000" w:themeColor="text1"/>
          <w:sz w:val="20"/>
          <w:szCs w:val="20"/>
          <w:lang w:val="es-ES_tradnl"/>
        </w:rPr>
        <w:t xml:space="preserve">En la contratación estatal, la </w:t>
      </w:r>
      <w:r w:rsidRPr="00701569">
        <w:rPr>
          <w:rFonts w:ascii="Century Gothic" w:eastAsia="Calibri" w:hAnsi="Century Gothic" w:cs="Arial"/>
          <w:bCs/>
          <w:i/>
          <w:iCs/>
          <w:color w:val="000000" w:themeColor="text1"/>
          <w:sz w:val="20"/>
          <w:szCs w:val="20"/>
          <w:lang w:val="es-ES_tradnl"/>
        </w:rPr>
        <w:t>capacidad</w:t>
      </w:r>
      <w:r w:rsidRPr="00701569">
        <w:rPr>
          <w:rFonts w:ascii="Century Gothic" w:eastAsia="Calibri" w:hAnsi="Century Gothic" w:cs="Arial"/>
          <w:bCs/>
          <w:color w:val="000000" w:themeColor="text1"/>
          <w:sz w:val="20"/>
          <w:szCs w:val="20"/>
          <w:lang w:val="es-ES_tradnl"/>
        </w:rPr>
        <w:t xml:space="preserve"> también es un requisito de validez de los contratos, tanto en el régimen de las entidades sujetas al Estatuto General de Contratación de la Administración Pública como en el de las entidades exceptuadas de aquel.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 se destaca el régimen de inhabilidades e incompatibilidades como un conjunto de normas que imponen restricciones para los sujetos que, eventualmente, pretendan participar en los procedimientos de selección o celebrar contratos con las entidades estatales.</w:t>
      </w:r>
    </w:p>
    <w:p w14:paraId="127B0710"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lang w:val="es-ES_tradnl"/>
        </w:rPr>
      </w:pPr>
    </w:p>
    <w:p w14:paraId="14CA9CA6"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lang w:val="es-ES_tradnl"/>
        </w:rPr>
      </w:pPr>
      <w:r w:rsidRPr="00701569">
        <w:rPr>
          <w:rFonts w:ascii="Century Gothic" w:eastAsia="Calibri" w:hAnsi="Century Gothic" w:cs="Arial"/>
          <w:bCs/>
          <w:color w:val="000000" w:themeColor="text1"/>
          <w:sz w:val="20"/>
          <w:szCs w:val="20"/>
          <w:lang w:val="es-ES_tradnl"/>
        </w:rPr>
        <w:t>Las inhabilidades son prohibiciones para concurrir a los procedimientos de selección y para contratar con el Estado, que se derivan: i) de la existencia de comportamientos reprochables o de sanciones anteriormente impuestas, ii) de vínculos personales relativos al parentesco o al estado civil o iii) de una actividad u oficio que se desempeñó en el pasado. De otro lado,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p>
    <w:p w14:paraId="3BE849BF"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lang w:val="es-ES"/>
        </w:rPr>
      </w:pPr>
    </w:p>
    <w:p w14:paraId="5961FC20" w14:textId="77777777" w:rsidR="00701569" w:rsidRPr="00701569" w:rsidRDefault="00701569" w:rsidP="00701569">
      <w:pPr>
        <w:spacing w:after="0" w:line="240" w:lineRule="auto"/>
        <w:jc w:val="both"/>
        <w:rPr>
          <w:rFonts w:ascii="Century Gothic" w:eastAsia="Calibri" w:hAnsi="Century Gothic" w:cs="Arial"/>
          <w:b/>
          <w:bCs/>
          <w:color w:val="000000" w:themeColor="text1"/>
          <w:sz w:val="20"/>
          <w:szCs w:val="20"/>
          <w:lang w:val="es-ES"/>
        </w:rPr>
      </w:pPr>
      <w:r w:rsidRPr="00701569">
        <w:rPr>
          <w:rFonts w:ascii="Century Gothic" w:eastAsia="Calibri" w:hAnsi="Century Gothic" w:cs="Arial"/>
          <w:b/>
          <w:bCs/>
          <w:color w:val="000000" w:themeColor="text1"/>
          <w:lang w:val="es-ES"/>
        </w:rPr>
        <w:t>INHABILIDADES – Taxatividad – Principio de legalidad – Interpretación restrictiva</w:t>
      </w:r>
    </w:p>
    <w:p w14:paraId="1F124C5E" w14:textId="77777777" w:rsidR="00701569" w:rsidRPr="00701569" w:rsidRDefault="00701569" w:rsidP="00701569">
      <w:pPr>
        <w:spacing w:after="0" w:line="240" w:lineRule="auto"/>
        <w:jc w:val="both"/>
        <w:rPr>
          <w:rFonts w:ascii="Century Gothic" w:eastAsia="Calibri" w:hAnsi="Century Gothic" w:cs="Arial"/>
          <w:color w:val="000000" w:themeColor="text1"/>
          <w:sz w:val="20"/>
          <w:szCs w:val="20"/>
          <w:lang w:val="es-ES"/>
        </w:rPr>
      </w:pPr>
    </w:p>
    <w:p w14:paraId="1C08657A" w14:textId="77777777" w:rsidR="00701569" w:rsidRPr="00701569" w:rsidRDefault="00701569" w:rsidP="00701569">
      <w:pPr>
        <w:spacing w:after="0" w:line="240" w:lineRule="auto"/>
        <w:jc w:val="both"/>
        <w:rPr>
          <w:rFonts w:ascii="Century Gothic" w:eastAsia="Calibri" w:hAnsi="Century Gothic" w:cs="Arial"/>
          <w:color w:val="000000" w:themeColor="text1"/>
          <w:sz w:val="20"/>
          <w:szCs w:val="20"/>
          <w:lang w:val="es-ES_tradnl"/>
        </w:rPr>
      </w:pPr>
      <w:r w:rsidRPr="00701569">
        <w:rPr>
          <w:rFonts w:ascii="Century Gothic" w:eastAsia="Calibri" w:hAnsi="Century Gothic" w:cs="Arial"/>
          <w:color w:val="000000" w:themeColor="text1"/>
          <w:sz w:val="20"/>
          <w:szCs w:val="20"/>
          <w:lang w:val="es-ES_tradnl"/>
        </w:rPr>
        <w:t xml:space="preserve">Ahora bien, las inhabilidades e incompatibilidades al ser restricciones o límites especiales a la capacidad para presentar ofertas y celebrar contratos estatales, solo pueden tipificarse en la ley –o sea, deben satisfacer el principio de legalidad– y su interpretación debe ser </w:t>
      </w:r>
      <w:r w:rsidRPr="00701569">
        <w:rPr>
          <w:rFonts w:ascii="Century Gothic" w:eastAsia="Calibri" w:hAnsi="Century Gothic" w:cs="Arial"/>
          <w:i/>
          <w:iCs/>
          <w:color w:val="000000" w:themeColor="text1"/>
          <w:sz w:val="20"/>
          <w:szCs w:val="20"/>
          <w:lang w:val="es-ES_tradnl"/>
        </w:rPr>
        <w:t>restrictiva</w:t>
      </w:r>
      <w:r w:rsidRPr="00701569">
        <w:rPr>
          <w:rFonts w:ascii="Century Gothic" w:eastAsia="Calibri" w:hAnsi="Century Gothic" w:cs="Arial"/>
          <w:color w:val="000000" w:themeColor="text1"/>
          <w:sz w:val="20"/>
          <w:szCs w:val="20"/>
          <w:lang w:val="es-ES_tradnl"/>
        </w:rPr>
        <w:t xml:space="preserve">, 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0929BD0F" w14:textId="77777777" w:rsidR="00701569" w:rsidRPr="00701569" w:rsidRDefault="00701569" w:rsidP="00701569">
      <w:pPr>
        <w:spacing w:after="0" w:line="240" w:lineRule="auto"/>
        <w:jc w:val="both"/>
        <w:rPr>
          <w:rFonts w:ascii="Century Gothic" w:eastAsia="Calibri" w:hAnsi="Century Gothic" w:cs="Arial"/>
          <w:b/>
          <w:bCs/>
          <w:color w:val="000000" w:themeColor="text1"/>
          <w:sz w:val="20"/>
          <w:szCs w:val="20"/>
          <w:lang w:val="es-ES"/>
        </w:rPr>
      </w:pPr>
    </w:p>
    <w:p w14:paraId="2146A3B8" w14:textId="77777777" w:rsidR="00701569" w:rsidRPr="00701569" w:rsidRDefault="00701569" w:rsidP="00701569">
      <w:pPr>
        <w:spacing w:after="0" w:line="240" w:lineRule="auto"/>
        <w:jc w:val="both"/>
        <w:rPr>
          <w:rFonts w:ascii="Century Gothic" w:eastAsia="Calibri" w:hAnsi="Century Gothic" w:cs="Arial"/>
          <w:b/>
          <w:bCs/>
          <w:color w:val="000000" w:themeColor="text1"/>
        </w:rPr>
      </w:pPr>
      <w:r w:rsidRPr="00701569">
        <w:rPr>
          <w:rFonts w:ascii="Century Gothic" w:eastAsia="Calibri" w:hAnsi="Century Gothic" w:cs="Arial"/>
          <w:b/>
          <w:bCs/>
          <w:color w:val="000000" w:themeColor="text1"/>
          <w:lang w:val="es-ES"/>
        </w:rPr>
        <w:t xml:space="preserve">LEY 2097 DE 2021 </w:t>
      </w:r>
      <w:r w:rsidRPr="00701569">
        <w:rPr>
          <w:rFonts w:ascii="Century Gothic" w:eastAsia="Calibri" w:hAnsi="Century Gothic" w:cs="Arial"/>
          <w:b/>
          <w:bCs/>
          <w:color w:val="000000" w:themeColor="text1"/>
        </w:rPr>
        <w:t>– REDAM</w:t>
      </w:r>
      <w:r w:rsidRPr="00701569">
        <w:rPr>
          <w:rFonts w:ascii="Century Gothic" w:eastAsia="Calibri" w:hAnsi="Century Gothic" w:cs="Arial"/>
          <w:b/>
          <w:bCs/>
          <w:color w:val="000000" w:themeColor="text1"/>
          <w:lang w:val="es-ES"/>
        </w:rPr>
        <w:t xml:space="preserve"> </w:t>
      </w:r>
      <w:r w:rsidRPr="00701569">
        <w:rPr>
          <w:rFonts w:ascii="Century Gothic" w:eastAsia="Calibri" w:hAnsi="Century Gothic" w:cs="Arial"/>
          <w:b/>
          <w:bCs/>
          <w:color w:val="000000" w:themeColor="text1"/>
        </w:rPr>
        <w:t xml:space="preserve">– Objeto </w:t>
      </w:r>
    </w:p>
    <w:p w14:paraId="2E039752" w14:textId="77777777" w:rsidR="00701569" w:rsidRPr="00701569" w:rsidRDefault="00701569" w:rsidP="00701569">
      <w:pPr>
        <w:spacing w:after="0" w:line="240" w:lineRule="auto"/>
        <w:jc w:val="both"/>
        <w:rPr>
          <w:rFonts w:ascii="Century Gothic" w:eastAsia="Calibri" w:hAnsi="Century Gothic" w:cs="Arial"/>
          <w:b/>
          <w:bCs/>
          <w:color w:val="000000" w:themeColor="text1"/>
          <w:sz w:val="20"/>
          <w:szCs w:val="20"/>
        </w:rPr>
      </w:pPr>
    </w:p>
    <w:p w14:paraId="5AD0F795"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rPr>
      </w:pPr>
      <w:r w:rsidRPr="00701569">
        <w:rPr>
          <w:rFonts w:ascii="Century Gothic" w:eastAsia="Calibri" w:hAnsi="Century Gothic" w:cs="Arial"/>
          <w:bCs/>
          <w:color w:val="000000" w:themeColor="text1"/>
          <w:sz w:val="20"/>
          <w:szCs w:val="20"/>
        </w:rPr>
        <w:t>El 2 de julio de 2021, el gobierno nacional sancionó la Ley Estatutaria 2097 de 2021, cuyo objeto –de acuerdo con el artículo 1– consiste en “[…] establecer medidas para garantizar el cumplimiento de las obligaciones alimentarias y crear el Registro de Deudores Alimentarios Morosos (Redam), como mecanismo de control al incumplimiento de las obligaciones alimentarias”. Conforme a la exposición de motivos del proyecto ley, existe una vulneración de derechos al interior de la institución familiar, cuyo despliegue en materia de política pública ha sido limitado y resulta insuficiente para atender la problemática asociada al incumplimiento de la obligación legal prevista en el Título XXI del Libro Primero del Código Civil, especialmente, en el caso de los menores de edad, con las repercusiones que esta tiene tanto para ellos como para quien tiene la responsabilidad del cuidado y manutención. Por ello, tomado como referencia legislaciones foráneas como Estados Unidos, Perú, Uruguay, así como normatividades análogas en provincias y estados como Buenos Aires y Córdoba, en la Argentina, y la Ciudad de México, en México, los ponentes de la iniciativa concluyeron que “Estas experiencias de implementación del Registro de Deudores Alimentarios Morosos se pueden considerar el punto de partida para obtener una herramienta importante en la lucha contra el incumplimiento del pago de alimentos. Así, la finalidad que se persigue con este tipo de normas sancionatorias es que ante el incumplimiento alimentario se coaccione a los deudores para que cumplan con su obligación”.</w:t>
      </w:r>
    </w:p>
    <w:p w14:paraId="1DB70452" w14:textId="77777777" w:rsidR="00701569" w:rsidRPr="00701569" w:rsidRDefault="00701569" w:rsidP="00701569">
      <w:pPr>
        <w:spacing w:after="0" w:line="240" w:lineRule="auto"/>
        <w:jc w:val="both"/>
        <w:rPr>
          <w:rFonts w:ascii="Century Gothic" w:eastAsia="Calibri" w:hAnsi="Century Gothic" w:cs="Arial"/>
          <w:b/>
          <w:bCs/>
          <w:color w:val="000000" w:themeColor="text1"/>
          <w:sz w:val="20"/>
          <w:szCs w:val="20"/>
          <w:lang w:val="es-ES"/>
        </w:rPr>
      </w:pPr>
    </w:p>
    <w:p w14:paraId="112D7491" w14:textId="77777777" w:rsidR="00701569" w:rsidRPr="00701569" w:rsidRDefault="00701569" w:rsidP="00701569">
      <w:pPr>
        <w:spacing w:after="0" w:line="240" w:lineRule="auto"/>
        <w:jc w:val="both"/>
        <w:rPr>
          <w:rFonts w:ascii="Century Gothic" w:eastAsia="Calibri" w:hAnsi="Century Gothic" w:cs="Arial"/>
          <w:b/>
          <w:bCs/>
          <w:color w:val="000000" w:themeColor="text1"/>
        </w:rPr>
      </w:pPr>
      <w:r w:rsidRPr="00701569">
        <w:rPr>
          <w:rFonts w:ascii="Century Gothic" w:eastAsia="Calibri" w:hAnsi="Century Gothic" w:cs="Arial"/>
          <w:b/>
          <w:bCs/>
          <w:color w:val="000000" w:themeColor="text1"/>
          <w:lang w:val="es-ES"/>
        </w:rPr>
        <w:t xml:space="preserve">OBLIGACIÓN ALIMENTARIA </w:t>
      </w:r>
      <w:r w:rsidRPr="00701569">
        <w:rPr>
          <w:rFonts w:ascii="Century Gothic" w:eastAsia="Calibri" w:hAnsi="Century Gothic" w:cs="Arial"/>
          <w:b/>
          <w:bCs/>
          <w:color w:val="000000" w:themeColor="text1"/>
        </w:rPr>
        <w:t xml:space="preserve">– Definición </w:t>
      </w:r>
    </w:p>
    <w:p w14:paraId="17DD89B0"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lang w:val="es-ES"/>
        </w:rPr>
      </w:pPr>
    </w:p>
    <w:p w14:paraId="28F7E275"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rPr>
      </w:pPr>
      <w:r w:rsidRPr="00701569">
        <w:rPr>
          <w:rFonts w:ascii="Century Gothic" w:eastAsia="Calibri" w:hAnsi="Century Gothic" w:cs="Arial"/>
          <w:bCs/>
          <w:color w:val="000000" w:themeColor="text1"/>
          <w:sz w:val="20"/>
          <w:szCs w:val="20"/>
        </w:rPr>
        <w:t xml:space="preserve">Etimológicamente, la palabra “alimentos” deriva de la expresión latina </w:t>
      </w:r>
      <w:r w:rsidRPr="00701569">
        <w:rPr>
          <w:rFonts w:ascii="Century Gothic" w:eastAsia="Calibri" w:hAnsi="Century Gothic" w:cs="Arial"/>
          <w:bCs/>
          <w:i/>
          <w:iCs/>
          <w:color w:val="000000" w:themeColor="text1"/>
          <w:sz w:val="20"/>
          <w:szCs w:val="20"/>
        </w:rPr>
        <w:t>alimentum</w:t>
      </w:r>
      <w:r w:rsidRPr="00701569">
        <w:rPr>
          <w:rFonts w:ascii="Century Gothic" w:eastAsia="Calibri" w:hAnsi="Century Gothic" w:cs="Arial"/>
          <w:bCs/>
          <w:color w:val="000000" w:themeColor="text1"/>
          <w:sz w:val="20"/>
          <w:szCs w:val="20"/>
        </w:rPr>
        <w:t xml:space="preserve">, la cual se compone del verbo </w:t>
      </w:r>
      <w:r w:rsidRPr="00701569">
        <w:rPr>
          <w:rFonts w:ascii="Century Gothic" w:eastAsia="Calibri" w:hAnsi="Century Gothic" w:cs="Arial"/>
          <w:bCs/>
          <w:i/>
          <w:iCs/>
          <w:color w:val="000000" w:themeColor="text1"/>
          <w:sz w:val="20"/>
          <w:szCs w:val="20"/>
        </w:rPr>
        <w:t>alere</w:t>
      </w:r>
      <w:r w:rsidRPr="00701569">
        <w:rPr>
          <w:rFonts w:ascii="Century Gothic" w:eastAsia="Calibri" w:hAnsi="Century Gothic" w:cs="Arial"/>
          <w:bCs/>
          <w:color w:val="000000" w:themeColor="text1"/>
          <w:sz w:val="20"/>
          <w:szCs w:val="20"/>
        </w:rPr>
        <w:t xml:space="preserve"> –que significa criar, nutrir o hacer crecer– y el sufijo </w:t>
      </w:r>
      <w:r w:rsidRPr="00701569">
        <w:rPr>
          <w:rFonts w:ascii="Century Gothic" w:eastAsia="Calibri" w:hAnsi="Century Gothic" w:cs="Arial"/>
          <w:bCs/>
          <w:i/>
          <w:iCs/>
          <w:color w:val="000000" w:themeColor="text1"/>
          <w:sz w:val="20"/>
          <w:szCs w:val="20"/>
        </w:rPr>
        <w:t>mento</w:t>
      </w:r>
      <w:r w:rsidRPr="00701569">
        <w:rPr>
          <w:rFonts w:ascii="Century Gothic" w:eastAsia="Calibri" w:hAnsi="Century Gothic" w:cs="Arial"/>
          <w:bCs/>
          <w:color w:val="000000" w:themeColor="text1"/>
          <w:sz w:val="20"/>
          <w:szCs w:val="20"/>
        </w:rPr>
        <w:t xml:space="preserve"> –que indica medio, instrumento o modo–. Aunque en el uso coloquial, con fundamento en el Diccionario de la RAE, los alimentos se refieren al “Conjunto de sustancias que los seres vivos comen o beben para subsistir”, en el ámbito jurídico hace referencia a una de las fuentes de las obligaciones previstas en el artículo 1494 del Código Civil. Dicha obligación va más allá del simple deber moral, por lo que la ley positiva la dota de coercibilidad como una obligación civil, la cual se fundamenta en la solidaridad de la familia, es decir, en las estrechas relaciones que deben unir a los miembros de un mismo grupo familiar, lo que impone a estos la obligación estricta de suministrar su subsistencia a aquellos que no alcanzan a asegurarla por su trabajo personal. Por ello, la doctrina define la obligación alimentaria como “[…] la prestación que pesa sobre determinadas personas económicamente posibilitadas, para que en algunos de sus parientes pobres u otras personas que la ley señala puedan subvenir a las necesidades de su existencia”, la cual depende de tres (3) presupuestos básicos: i) el estado de necesidad del alimentario, ii) la capacidad económica del alimentante y iii) la existencia de un vínculo jurídico entre ambos.</w:t>
      </w:r>
    </w:p>
    <w:p w14:paraId="48B75ADA"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rPr>
      </w:pPr>
    </w:p>
    <w:p w14:paraId="3D252773" w14:textId="77777777" w:rsidR="00701569" w:rsidRPr="00701569" w:rsidRDefault="00701569" w:rsidP="00701569">
      <w:pPr>
        <w:spacing w:after="0" w:line="240" w:lineRule="auto"/>
        <w:jc w:val="both"/>
        <w:rPr>
          <w:rFonts w:ascii="Century Gothic" w:eastAsia="Calibri" w:hAnsi="Century Gothic" w:cs="Arial"/>
          <w:b/>
          <w:bCs/>
          <w:color w:val="000000" w:themeColor="text1"/>
        </w:rPr>
      </w:pPr>
      <w:r w:rsidRPr="00701569">
        <w:rPr>
          <w:rFonts w:ascii="Century Gothic" w:eastAsia="Calibri" w:hAnsi="Century Gothic" w:cs="Arial"/>
          <w:b/>
          <w:bCs/>
          <w:color w:val="000000" w:themeColor="text1"/>
          <w:lang w:val="es-ES"/>
        </w:rPr>
        <w:t xml:space="preserve">INHABILIDAD </w:t>
      </w:r>
      <w:r w:rsidRPr="00701569">
        <w:rPr>
          <w:rFonts w:ascii="Century Gothic" w:eastAsia="Calibri" w:hAnsi="Century Gothic" w:cs="Arial"/>
          <w:b/>
          <w:bCs/>
          <w:color w:val="000000" w:themeColor="text1"/>
        </w:rPr>
        <w:t xml:space="preserve">– REDAM – Ámbito de aplicación – Constitucionalidad </w:t>
      </w:r>
    </w:p>
    <w:p w14:paraId="556740D7"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lang w:val="es-ES"/>
        </w:rPr>
      </w:pPr>
    </w:p>
    <w:p w14:paraId="752F5EAE"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rPr>
      </w:pPr>
      <w:r w:rsidRPr="00701569">
        <w:rPr>
          <w:rFonts w:ascii="Century Gothic" w:eastAsia="Calibri" w:hAnsi="Century Gothic" w:cs="Arial"/>
          <w:bCs/>
          <w:color w:val="000000" w:themeColor="text1"/>
          <w:sz w:val="20"/>
          <w:szCs w:val="20"/>
        </w:rPr>
        <w:t xml:space="preserve">[…] una de las consecuencias más importantes de la inclusión en el REDAM es la aparición de una inhabilidad para celebrar contratos con el Estado. Al respecto, conforme al artículo 6.1 </w:t>
      </w:r>
      <w:r w:rsidRPr="00701569">
        <w:rPr>
          <w:rFonts w:ascii="Century Gothic" w:eastAsia="Calibri" w:hAnsi="Century Gothic" w:cs="Arial"/>
          <w:bCs/>
          <w:i/>
          <w:iCs/>
          <w:color w:val="000000" w:themeColor="text1"/>
          <w:sz w:val="20"/>
          <w:szCs w:val="20"/>
        </w:rPr>
        <w:t>ibidem</w:t>
      </w:r>
      <w:r w:rsidRPr="00701569">
        <w:rPr>
          <w:rFonts w:ascii="Century Gothic" w:eastAsia="Calibri" w:hAnsi="Century Gothic" w:cs="Arial"/>
          <w:bCs/>
          <w:color w:val="000000" w:themeColor="text1"/>
          <w:sz w:val="20"/>
          <w:szCs w:val="20"/>
        </w:rPr>
        <w:t xml:space="preserve">, “El deudor alimentario moroso solo podrá contratar con el Estado una vez se </w:t>
      </w:r>
      <w:r w:rsidRPr="00701569">
        <w:rPr>
          <w:rFonts w:ascii="Century Gothic" w:eastAsia="Calibri" w:hAnsi="Century Gothic" w:cs="Arial"/>
          <w:bCs/>
          <w:color w:val="000000" w:themeColor="text1"/>
          <w:sz w:val="20"/>
          <w:szCs w:val="20"/>
        </w:rPr>
        <w:lastRenderedPageBreak/>
        <w:t xml:space="preserve">ponga a paz y salvo con sus obligaciones alimentarias. Esta inhabilidad también se predica del deudor alimentario moroso que actúe como representante legal de la persona jurídica que aspira a contratar con el Estado”. </w:t>
      </w:r>
    </w:p>
    <w:p w14:paraId="35502C9A"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rPr>
      </w:pPr>
    </w:p>
    <w:p w14:paraId="5FCBDF4B"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rPr>
      </w:pPr>
      <w:r w:rsidRPr="00701569">
        <w:rPr>
          <w:rFonts w:ascii="Century Gothic" w:eastAsia="Calibri" w:hAnsi="Century Gothic" w:cs="Arial"/>
          <w:bCs/>
          <w:color w:val="000000" w:themeColor="text1"/>
          <w:sz w:val="20"/>
          <w:szCs w:val="20"/>
        </w:rPr>
        <w:t xml:space="preserve">De acuerdo con el análisis de la Sentencia C-032 de 2021, para la Corte Constitucional dicha norma es exequible, pues “[…] si se reconoce la validez constitucional de medidas altamente invasivas de la autonomía individual, como son las que se derivan del uso de la tipificación penal, resultaría un contrasentido cuestionar instrumentos de menor intensidad, como es la imposición de este requisito para […] contratar con el Estado. Adicionalmente, no puede perderse de vista el hecho de que uno de los motivos que fundamentan la imposición de inhabilidades es la conservación de la transparencia y la moralidad administrativa. El incumplimiento de las obligaciones alimentaria afecta valores constitucionales esenciales y, en modo alguno puede desconocerse a la hora de analizar las calidades de los futuros […] contratistas del Estado”. Lo anterior, agregando la medida cumple con una finalidad importante e imperiosa, la cual consistente en proteger los derechos fundamentales de personas que se ven afectados en su mínimo vital por el hecho del incumplimiento de las obligaciones alimentarias, quienes usualmente son sujetos de especial protección constitucional. La Corte Constitucional considera que la medida es necesaria, porque opera un incentivo para el pago cumplido de esas obligaciones, supeditando la suscripción del contrato respectivo al pago de esa obligación. </w:t>
      </w:r>
    </w:p>
    <w:p w14:paraId="2B4227CC"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rPr>
      </w:pPr>
    </w:p>
    <w:p w14:paraId="23FD9800"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rPr>
      </w:pPr>
      <w:r w:rsidRPr="00701569">
        <w:rPr>
          <w:rFonts w:ascii="Century Gothic" w:eastAsia="Calibri" w:hAnsi="Century Gothic" w:cs="Arial"/>
          <w:bCs/>
          <w:color w:val="000000" w:themeColor="text1"/>
          <w:sz w:val="20"/>
          <w:szCs w:val="20"/>
        </w:rPr>
        <w:t xml:space="preserve">Adicionalmente, la Corte Constitucional también estima que ante la contingencia de que el representante sea registrado en el REDAM la persona jurídica puede proceder con su pronta remoción –y con ello permitir el normal desarrollo del objeto social frente a los contratos con el Estado– o exigir a aquel que se ponga de inmediato al día en el pago de sus obligaciones, a fin de que sea excluido de dicho registro. Por ello, agrega que “[…] esta extensión también implica la obligación del juez y/o funcionario que ordena la inscripción que comunique de esta, en los términos del inciso primero del artículo 3º del PLE, no únicamente a la persona natural sino también a la persona jurídica cuando aquella es su representante legal. Esto con el fin de que puedan ejercer las posibilidades de remoción o de exigencia del pago de la obligación, anteriormente mencionadas. De esta manera, en caso de que no ejerza esas opciones, la persona jurídica terminará siendo cobijada por los efectos del reporte, no por el simple hecho de un tercero sino ante su propia inacción y negligencia en acudir a los remedios legales para evitar tales consecuencias jurídicas”. </w:t>
      </w:r>
    </w:p>
    <w:p w14:paraId="52BCF823"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rPr>
      </w:pPr>
    </w:p>
    <w:p w14:paraId="36884323" w14:textId="77777777" w:rsidR="00701569" w:rsidRPr="00701569" w:rsidRDefault="00701569" w:rsidP="00701569">
      <w:pPr>
        <w:spacing w:after="0" w:line="240" w:lineRule="auto"/>
        <w:jc w:val="both"/>
        <w:rPr>
          <w:rFonts w:ascii="Century Gothic" w:eastAsia="Calibri" w:hAnsi="Century Gothic" w:cs="Arial"/>
          <w:b/>
          <w:bCs/>
          <w:color w:val="000000" w:themeColor="text1"/>
        </w:rPr>
      </w:pPr>
      <w:r w:rsidRPr="00701569">
        <w:rPr>
          <w:rFonts w:ascii="Century Gothic" w:eastAsia="Calibri" w:hAnsi="Century Gothic" w:cs="Arial"/>
          <w:b/>
          <w:bCs/>
          <w:color w:val="000000" w:themeColor="text1"/>
        </w:rPr>
        <w:t xml:space="preserve">REDAM – Vigencia – Condicionamiento – Tesis de la Reglamentación  </w:t>
      </w:r>
    </w:p>
    <w:p w14:paraId="24846930"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lang w:val="es-ES"/>
        </w:rPr>
      </w:pPr>
    </w:p>
    <w:p w14:paraId="06C41741"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rPr>
      </w:pPr>
      <w:r w:rsidRPr="00701569">
        <w:rPr>
          <w:rFonts w:ascii="Century Gothic" w:eastAsia="Calibri" w:hAnsi="Century Gothic" w:cs="Arial"/>
          <w:bCs/>
          <w:color w:val="000000" w:themeColor="text1"/>
          <w:sz w:val="20"/>
          <w:szCs w:val="20"/>
        </w:rPr>
        <w:t xml:space="preserve">De acuerdo con la </w:t>
      </w:r>
      <w:r w:rsidRPr="00701569">
        <w:rPr>
          <w:rFonts w:ascii="Century Gothic" w:eastAsia="Calibri" w:hAnsi="Century Gothic" w:cs="Arial"/>
          <w:bCs/>
          <w:i/>
          <w:iCs/>
          <w:color w:val="000000" w:themeColor="text1"/>
          <w:sz w:val="20"/>
          <w:szCs w:val="20"/>
        </w:rPr>
        <w:t>tesis de la reglamentación</w:t>
      </w:r>
      <w:r w:rsidRPr="00701569">
        <w:rPr>
          <w:rFonts w:ascii="Century Gothic" w:eastAsia="Calibri" w:hAnsi="Century Gothic" w:cs="Arial"/>
          <w:bCs/>
          <w:color w:val="000000" w:themeColor="text1"/>
          <w:sz w:val="20"/>
          <w:szCs w:val="20"/>
        </w:rPr>
        <w:t>, pese a que son funciones del REDAM llevar un registro de los deudores alimentarios morosos y expedir gratuitamente los certificados a través de página web, la obligación de consultarlo para validar la ausencia de la restricción comentada no surgió automáticamente con la expedición de la Ley 2097 del 2 de julio de 2021, pues las medidas adoptadas quedaron condicionadas por la designación de la autoridad responsable de operar el registro, su reglamentación correspondiente, así como la puesta en funcionamiento de la aplicación.</w:t>
      </w:r>
    </w:p>
    <w:p w14:paraId="2BBCD0A9"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lang w:val="es-ES_tradnl"/>
        </w:rPr>
      </w:pPr>
    </w:p>
    <w:p w14:paraId="059DB824"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rPr>
      </w:pPr>
      <w:r w:rsidRPr="00701569">
        <w:rPr>
          <w:rFonts w:ascii="Century Gothic" w:eastAsia="Calibri" w:hAnsi="Century Gothic" w:cs="Arial"/>
          <w:bCs/>
          <w:color w:val="000000" w:themeColor="text1"/>
          <w:sz w:val="20"/>
          <w:szCs w:val="20"/>
          <w:lang w:val="es-ES_tradnl"/>
        </w:rPr>
        <w:lastRenderedPageBreak/>
        <w:t>Para estos efectos, el gobierno nacional expidió el Decreto 1310 del 26 de julio de 2022, “</w:t>
      </w:r>
      <w:r w:rsidRPr="00701569">
        <w:rPr>
          <w:rFonts w:ascii="Century Gothic" w:eastAsia="Calibri" w:hAnsi="Century Gothic" w:cs="Arial"/>
          <w:bCs/>
          <w:color w:val="000000" w:themeColor="text1"/>
          <w:sz w:val="20"/>
          <w:szCs w:val="20"/>
        </w:rPr>
        <w:t xml:space="preserve">por el cual se adiciona el Título 23 a la Parte 2 del Libro 2 del Decreto Único Reglamentario del Sector de las Tecnologías de la Información y las Comunicaciones, Decreto número 1078 de 2015, para reglamentar la Ley 2097 de 2021 que creó el Registro de Deudores Alimentarios Morosos (REDAM)”. El artículo 1 adicionó el artículo 2.2.23.5 al Decreto 1078 de 2015, indicando en el inciso primero que “[…] se designa como Operador de la Información del Registro de Deudores Alimentarios Morosos (REDAM) al Ministerio de Tecnologías de la Información y las Comunicaciones, o quien haga sus veces”. Sin embargo, el reglamento también condicionó la vigencia del registro, pues –conforme al parágrafo del artículo 2.2.23.4 </w:t>
      </w:r>
      <w:r w:rsidRPr="00701569">
        <w:rPr>
          <w:rFonts w:ascii="Century Gothic" w:eastAsia="Calibri" w:hAnsi="Century Gothic" w:cs="Arial"/>
          <w:bCs/>
          <w:i/>
          <w:iCs/>
          <w:color w:val="000000" w:themeColor="text1"/>
          <w:sz w:val="20"/>
          <w:szCs w:val="20"/>
        </w:rPr>
        <w:t>ibidem</w:t>
      </w:r>
      <w:r w:rsidRPr="00701569">
        <w:rPr>
          <w:rFonts w:ascii="Century Gothic" w:eastAsia="Calibri" w:hAnsi="Century Gothic" w:cs="Arial"/>
          <w:bCs/>
          <w:color w:val="000000" w:themeColor="text1"/>
          <w:sz w:val="20"/>
          <w:szCs w:val="20"/>
        </w:rPr>
        <w:t xml:space="preserve">– “La información suministrada por el REDAM será utilizada en forma exclusiva por quienes estén vinculadas a la aplicación de las consecuencias de la inscripción en el REDAM de que trata el artículo 6° de la Ley 2097 de 2021, a partir de la entrada en producción de la solución tecnológica”. Esto también congruente con el artículo 2.2.23.8 </w:t>
      </w:r>
      <w:r w:rsidRPr="00701569">
        <w:rPr>
          <w:rFonts w:ascii="Century Gothic" w:eastAsia="Calibri" w:hAnsi="Century Gothic" w:cs="Arial"/>
          <w:bCs/>
          <w:i/>
          <w:iCs/>
          <w:color w:val="000000" w:themeColor="text1"/>
          <w:sz w:val="20"/>
          <w:szCs w:val="20"/>
        </w:rPr>
        <w:t>ibidem</w:t>
      </w:r>
      <w:r w:rsidRPr="00701569">
        <w:rPr>
          <w:rFonts w:ascii="Century Gothic" w:eastAsia="Calibri" w:hAnsi="Century Gothic" w:cs="Arial"/>
          <w:bCs/>
          <w:color w:val="000000" w:themeColor="text1"/>
          <w:sz w:val="20"/>
          <w:szCs w:val="20"/>
        </w:rPr>
        <w:t xml:space="preserve">, en la medida que “El acceso al Registro de Deudores Alimentarios Morosos (REDAM) se realizará a través del Modelo de Servicios Ciudadanos Digitales de la Política de Gobierno Digital expedida por el Ministerio de Tecnologías de la Información y las Comunicaciones, sin perjuicio del acceso a la información directamente ante las Fuentes de la Información señaladas en el presente decreto, una vez entre en producción la solución tecnológica”. </w:t>
      </w:r>
    </w:p>
    <w:p w14:paraId="0EAE0144"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rPr>
      </w:pPr>
    </w:p>
    <w:p w14:paraId="44734C6B" w14:textId="77777777" w:rsidR="00701569" w:rsidRPr="00701569" w:rsidRDefault="00701569" w:rsidP="00701569">
      <w:pPr>
        <w:spacing w:after="0" w:line="240" w:lineRule="auto"/>
        <w:jc w:val="both"/>
        <w:rPr>
          <w:rFonts w:ascii="Century Gothic" w:eastAsia="Calibri" w:hAnsi="Century Gothic" w:cs="Arial"/>
          <w:bCs/>
          <w:color w:val="000000" w:themeColor="text1"/>
          <w:sz w:val="20"/>
          <w:szCs w:val="20"/>
        </w:rPr>
      </w:pPr>
      <w:r w:rsidRPr="00701569">
        <w:rPr>
          <w:rFonts w:ascii="Century Gothic" w:eastAsia="Calibri" w:hAnsi="Century Gothic" w:cs="Arial"/>
          <w:bCs/>
          <w:color w:val="000000" w:themeColor="text1"/>
          <w:sz w:val="20"/>
          <w:szCs w:val="20"/>
        </w:rPr>
        <w:t xml:space="preserve">De lo anterior se deduce que la obligación de consultar el registro para validar la ausencia de la restricción del artículo 6.1 de la Ley 2097 de 2021 no surgió automáticamente con la expedición de la norma, pues la efectividad de las medidas estaba condicionada por la designación del operador, la reglamentación del registro y por implementación de la plataforma tecnológica correspondiente. Sobre este último punto, la página web </w:t>
      </w:r>
      <w:hyperlink r:id="rId10" w:history="1">
        <w:r w:rsidRPr="00701569">
          <w:rPr>
            <w:rStyle w:val="Hipervnculo"/>
            <w:rFonts w:ascii="Century Gothic" w:eastAsia="Calibri" w:hAnsi="Century Gothic" w:cs="Arial"/>
            <w:bCs/>
            <w:sz w:val="20"/>
            <w:szCs w:val="20"/>
          </w:rPr>
          <w:t>https://redam.gov.co/information-page</w:t>
        </w:r>
      </w:hyperlink>
      <w:r w:rsidRPr="00701569">
        <w:rPr>
          <w:rFonts w:ascii="Century Gothic" w:eastAsia="Calibri" w:hAnsi="Century Gothic" w:cs="Arial"/>
          <w:bCs/>
          <w:color w:val="000000" w:themeColor="text1"/>
          <w:sz w:val="20"/>
          <w:szCs w:val="20"/>
        </w:rPr>
        <w:t xml:space="preserve"> brinda información sobre la forma de consultar y descargar el registro correspondiente. Cualquier inquietud adicional sobre el funcionamiento operativo del REDAM podrá plantarse ante el Ministerio de Tecnologías de la Información y las Comunicaciones, pues –conforme al numeral 7 del artículo 2.2.23.14 del Decreto 1078 de 2015, adicionado por el artículo 1 del Decreto </w:t>
      </w:r>
      <w:r w:rsidRPr="00701569">
        <w:rPr>
          <w:rFonts w:ascii="Century Gothic" w:eastAsia="Calibri" w:hAnsi="Century Gothic" w:cs="Arial"/>
          <w:bCs/>
          <w:color w:val="000000" w:themeColor="text1"/>
          <w:sz w:val="20"/>
          <w:szCs w:val="20"/>
          <w:lang w:val="es-ES_tradnl"/>
        </w:rPr>
        <w:t>1310 de 2022</w:t>
      </w:r>
      <w:r w:rsidRPr="00701569">
        <w:rPr>
          <w:rFonts w:ascii="Century Gothic" w:eastAsia="Calibri" w:hAnsi="Century Gothic" w:cs="Arial"/>
          <w:bCs/>
          <w:color w:val="000000" w:themeColor="text1"/>
          <w:sz w:val="20"/>
          <w:szCs w:val="20"/>
        </w:rPr>
        <w:t>– debe “Tramitar oportunamente las peticiones, consultas, quejas o reclamos que formulen los actores e intervinientes en el proceso de reporte de información en el Registro de Deudores Alimentarios Morosos (REDAM) y que sean de su competencia”.</w:t>
      </w:r>
    </w:p>
    <w:p w14:paraId="5BF9B418" w14:textId="77777777" w:rsidR="00701569" w:rsidRDefault="00701569" w:rsidP="00657E97">
      <w:pPr>
        <w:spacing w:after="0"/>
        <w:rPr>
          <w:rFonts w:ascii="Century Gothic" w:eastAsia="Geomanist Light" w:hAnsi="Century Gothic" w:cs="Arial"/>
          <w:color w:val="000000" w:themeColor="text1"/>
          <w:lang w:val="es-MX"/>
        </w:rPr>
      </w:pPr>
    </w:p>
    <w:p w14:paraId="3D75C392" w14:textId="77777777" w:rsidR="00701569" w:rsidRDefault="00701569" w:rsidP="00657E97">
      <w:pPr>
        <w:spacing w:after="0"/>
        <w:rPr>
          <w:rFonts w:ascii="Century Gothic" w:eastAsia="Geomanist Light" w:hAnsi="Century Gothic" w:cs="Arial"/>
          <w:color w:val="000000" w:themeColor="text1"/>
          <w:lang w:val="es-MX"/>
        </w:rPr>
      </w:pPr>
    </w:p>
    <w:p w14:paraId="712FDB9E" w14:textId="77777777" w:rsidR="00701569" w:rsidRDefault="00701569" w:rsidP="00657E97">
      <w:pPr>
        <w:spacing w:after="0"/>
        <w:rPr>
          <w:rFonts w:ascii="Century Gothic" w:eastAsia="Geomanist Light" w:hAnsi="Century Gothic" w:cs="Arial"/>
          <w:color w:val="000000" w:themeColor="text1"/>
          <w:lang w:val="es-MX"/>
        </w:rPr>
      </w:pPr>
    </w:p>
    <w:p w14:paraId="7F4A4A00" w14:textId="77777777" w:rsidR="00701569" w:rsidRDefault="00701569" w:rsidP="00657E97">
      <w:pPr>
        <w:spacing w:after="0"/>
        <w:rPr>
          <w:rFonts w:ascii="Century Gothic" w:eastAsia="Geomanist Light" w:hAnsi="Century Gothic" w:cs="Arial"/>
          <w:color w:val="000000" w:themeColor="text1"/>
          <w:lang w:val="es-MX"/>
        </w:rPr>
      </w:pPr>
    </w:p>
    <w:p w14:paraId="5EDD3E87" w14:textId="77777777" w:rsidR="00701569" w:rsidRDefault="00701569" w:rsidP="00657E97">
      <w:pPr>
        <w:spacing w:after="0"/>
        <w:rPr>
          <w:rFonts w:ascii="Century Gothic" w:eastAsia="Geomanist Light" w:hAnsi="Century Gothic" w:cs="Arial"/>
          <w:color w:val="000000" w:themeColor="text1"/>
          <w:lang w:val="es-MX"/>
        </w:rPr>
      </w:pPr>
    </w:p>
    <w:p w14:paraId="752AB050" w14:textId="77777777" w:rsidR="00701569" w:rsidRDefault="00701569" w:rsidP="00657E97">
      <w:pPr>
        <w:spacing w:after="0"/>
        <w:rPr>
          <w:rFonts w:ascii="Century Gothic" w:eastAsia="Geomanist Light" w:hAnsi="Century Gothic" w:cs="Arial"/>
          <w:color w:val="000000" w:themeColor="text1"/>
          <w:lang w:val="es-MX"/>
        </w:rPr>
      </w:pPr>
    </w:p>
    <w:p w14:paraId="78391D62" w14:textId="77777777" w:rsidR="00701569" w:rsidRDefault="00701569" w:rsidP="00657E97">
      <w:pPr>
        <w:spacing w:after="0"/>
        <w:rPr>
          <w:rFonts w:ascii="Century Gothic" w:eastAsia="Geomanist Light" w:hAnsi="Century Gothic" w:cs="Arial"/>
          <w:color w:val="000000" w:themeColor="text1"/>
          <w:lang w:val="es-MX"/>
        </w:rPr>
      </w:pPr>
    </w:p>
    <w:p w14:paraId="43D6AFAE" w14:textId="77777777" w:rsidR="00701569" w:rsidRDefault="00701569" w:rsidP="00657E97">
      <w:pPr>
        <w:spacing w:after="0"/>
        <w:rPr>
          <w:rFonts w:ascii="Century Gothic" w:eastAsia="Geomanist Light" w:hAnsi="Century Gothic" w:cs="Arial"/>
          <w:color w:val="000000" w:themeColor="text1"/>
          <w:lang w:val="es-MX"/>
        </w:rPr>
      </w:pPr>
    </w:p>
    <w:p w14:paraId="118836E4" w14:textId="77777777" w:rsidR="00701569" w:rsidRDefault="00701569" w:rsidP="00657E97">
      <w:pPr>
        <w:spacing w:after="0"/>
        <w:rPr>
          <w:rFonts w:ascii="Century Gothic" w:eastAsia="Geomanist Light" w:hAnsi="Century Gothic" w:cs="Arial"/>
          <w:color w:val="000000" w:themeColor="text1"/>
          <w:lang w:val="es-MX"/>
        </w:rPr>
      </w:pPr>
    </w:p>
    <w:p w14:paraId="0FE616DD" w14:textId="77777777" w:rsidR="00701569" w:rsidRDefault="00701569" w:rsidP="00657E97">
      <w:pPr>
        <w:spacing w:after="0"/>
        <w:rPr>
          <w:rFonts w:ascii="Century Gothic" w:eastAsia="Geomanist Light" w:hAnsi="Century Gothic" w:cs="Arial"/>
          <w:color w:val="000000" w:themeColor="text1"/>
          <w:lang w:val="es-MX"/>
        </w:rPr>
      </w:pPr>
    </w:p>
    <w:p w14:paraId="0A58AD6C" w14:textId="77777777" w:rsidR="00701569" w:rsidRDefault="00701569" w:rsidP="00657E97">
      <w:pPr>
        <w:spacing w:after="0"/>
        <w:rPr>
          <w:rFonts w:ascii="Century Gothic" w:eastAsia="Geomanist Light" w:hAnsi="Century Gothic" w:cs="Arial"/>
          <w:color w:val="000000" w:themeColor="text1"/>
          <w:lang w:val="es-MX"/>
        </w:rPr>
      </w:pPr>
    </w:p>
    <w:p w14:paraId="43E04E4D" w14:textId="157ED31D" w:rsidR="00657E97" w:rsidRPr="00262F9B" w:rsidRDefault="00657E97" w:rsidP="00657E97">
      <w:pPr>
        <w:spacing w:after="0"/>
        <w:rPr>
          <w:rFonts w:ascii="Century Gothic" w:eastAsia="Times New Roman" w:hAnsi="Century Gothic" w:cs="Arial"/>
          <w:bCs/>
          <w:lang w:val="es-MX" w:eastAsia="es-ES"/>
        </w:rPr>
      </w:pPr>
      <w:r w:rsidRPr="00262F9B">
        <w:rPr>
          <w:rFonts w:ascii="Century Gothic" w:eastAsia="Geomanist Light" w:hAnsi="Century Gothic" w:cs="Arial"/>
          <w:color w:val="000000" w:themeColor="text1"/>
          <w:lang w:val="es-MX"/>
        </w:rPr>
        <w:lastRenderedPageBreak/>
        <w:t>Bogotá D.C., </w:t>
      </w:r>
      <w:r w:rsidR="00EC2BD7" w:rsidRPr="00EC2BD7">
        <w:rPr>
          <w:rFonts w:ascii="Century Gothic" w:eastAsia="Geomanist Light" w:hAnsi="Century Gothic" w:cs="Arial"/>
          <w:color w:val="000000" w:themeColor="text1"/>
          <w:lang w:val="es-MX"/>
        </w:rPr>
        <w:t>04 de Julio de 2023</w:t>
      </w:r>
      <w:r w:rsidRPr="00262F9B">
        <w:rPr>
          <w:rFonts w:ascii="Century Gothic" w:eastAsia="Geomanist Light" w:hAnsi="Century Gothic" w:cs="Arial"/>
          <w:color w:val="201F1E"/>
          <w:lang w:val="es-MX"/>
        </w:rPr>
        <w:t xml:space="preserve"> </w:t>
      </w:r>
      <w:r w:rsidRPr="00262F9B">
        <w:rPr>
          <w:rFonts w:ascii="Century Gothic" w:eastAsia="Geomanist Light" w:hAnsi="Century Gothic" w:cs="Arial"/>
          <w:color w:val="201F1E"/>
          <w:lang w:val="es-MX"/>
        </w:rPr>
        <w:cr/>
      </w:r>
    </w:p>
    <w:p w14:paraId="0F28AEF3" w14:textId="4AE57D19" w:rsidR="00657E97" w:rsidRDefault="004E6C22" w:rsidP="004E6C22">
      <w:pPr>
        <w:spacing w:after="0"/>
        <w:contextualSpacing/>
        <w:jc w:val="right"/>
        <w:rPr>
          <w:rFonts w:ascii="Century Gothic" w:eastAsia="Calibri" w:hAnsi="Century Gothic" w:cs="Arial"/>
          <w:lang w:val="es-ES_tradnl" w:eastAsia="es-ES_tradnl"/>
        </w:rPr>
      </w:pPr>
      <w:r>
        <w:rPr>
          <w:rFonts w:ascii="Century Gothic" w:eastAsia="Calibri" w:hAnsi="Century Gothic" w:cs="Arial"/>
          <w:noProof/>
          <w:lang w:val="es-ES_tradnl" w:eastAsia="es-ES_tradnl"/>
        </w:rPr>
        <w:drawing>
          <wp:inline distT="0" distB="0" distL="0" distR="0" wp14:anchorId="7177748F" wp14:editId="4727549A">
            <wp:extent cx="2971800" cy="657225"/>
            <wp:effectExtent l="0" t="0" r="0" b="9525"/>
            <wp:docPr id="13159747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71800" cy="657225"/>
                    </a:xfrm>
                    <a:prstGeom prst="rect">
                      <a:avLst/>
                    </a:prstGeom>
                    <a:noFill/>
                    <a:ln>
                      <a:noFill/>
                    </a:ln>
                  </pic:spPr>
                </pic:pic>
              </a:graphicData>
            </a:graphic>
          </wp:inline>
        </w:drawing>
      </w:r>
    </w:p>
    <w:p w14:paraId="4D2E71FF" w14:textId="77777777" w:rsidR="004E6C22" w:rsidRPr="00262F9B" w:rsidRDefault="004E6C22" w:rsidP="00657E97">
      <w:pPr>
        <w:spacing w:after="0"/>
        <w:contextualSpacing/>
        <w:jc w:val="both"/>
        <w:rPr>
          <w:rFonts w:ascii="Century Gothic" w:eastAsia="Calibri" w:hAnsi="Century Gothic" w:cs="Arial"/>
          <w:lang w:val="es-ES_tradnl" w:eastAsia="es-ES_tradnl"/>
        </w:rPr>
      </w:pPr>
    </w:p>
    <w:p w14:paraId="26CC64FD" w14:textId="77777777" w:rsidR="00657E97" w:rsidRPr="00262F9B" w:rsidRDefault="00657E97" w:rsidP="00657E97">
      <w:pPr>
        <w:contextualSpacing/>
        <w:jc w:val="both"/>
        <w:rPr>
          <w:rFonts w:ascii="Century Gothic" w:eastAsia="Calibri" w:hAnsi="Century Gothic" w:cs="Arial"/>
          <w:lang w:eastAsia="es-ES_tradnl"/>
        </w:rPr>
      </w:pPr>
      <w:r w:rsidRPr="00262F9B">
        <w:rPr>
          <w:rFonts w:ascii="Century Gothic" w:eastAsia="Calibri" w:hAnsi="Century Gothic" w:cs="Arial"/>
          <w:lang w:eastAsia="es-ES_tradnl"/>
        </w:rPr>
        <w:t>Señora</w:t>
      </w:r>
    </w:p>
    <w:p w14:paraId="0A4B070B" w14:textId="77777777" w:rsidR="00657E97" w:rsidRPr="00262F9B" w:rsidRDefault="00657E97" w:rsidP="00657E97">
      <w:pPr>
        <w:contextualSpacing/>
        <w:jc w:val="both"/>
        <w:rPr>
          <w:rFonts w:ascii="Century Gothic" w:eastAsia="Calibri" w:hAnsi="Century Gothic" w:cs="Arial"/>
          <w:b/>
          <w:lang w:eastAsia="es-ES_tradnl"/>
        </w:rPr>
      </w:pPr>
      <w:r w:rsidRPr="00262F9B">
        <w:rPr>
          <w:rFonts w:ascii="Century Gothic" w:eastAsia="Calibri" w:hAnsi="Century Gothic" w:cs="Arial"/>
          <w:b/>
          <w:lang w:eastAsia="es-ES_tradnl"/>
        </w:rPr>
        <w:t>Jenny Patricia Rubiano Ávila</w:t>
      </w:r>
    </w:p>
    <w:p w14:paraId="7B59EF42" w14:textId="77777777" w:rsidR="00657E97" w:rsidRPr="00262F9B" w:rsidRDefault="00657E97" w:rsidP="00657E97">
      <w:pPr>
        <w:contextualSpacing/>
        <w:jc w:val="both"/>
        <w:rPr>
          <w:rFonts w:ascii="Century Gothic" w:eastAsia="Calibri" w:hAnsi="Century Gothic" w:cs="Arial"/>
          <w:bCs/>
          <w:lang w:eastAsia="es-ES_tradnl"/>
        </w:rPr>
      </w:pPr>
      <w:r w:rsidRPr="00262F9B">
        <w:rPr>
          <w:rFonts w:ascii="Century Gothic" w:eastAsia="Geomanist Light" w:hAnsi="Century Gothic" w:cs="Arial"/>
          <w:color w:val="000000" w:themeColor="text1"/>
          <w:lang w:val="es-MX"/>
        </w:rPr>
        <w:t>Bogotá D.C.</w:t>
      </w:r>
    </w:p>
    <w:p w14:paraId="443CB502" w14:textId="77777777" w:rsidR="00657E97" w:rsidRPr="00262F9B" w:rsidRDefault="00657E97" w:rsidP="00657E97">
      <w:pPr>
        <w:contextualSpacing/>
        <w:jc w:val="both"/>
        <w:rPr>
          <w:rFonts w:ascii="Century Gothic" w:eastAsia="Calibri" w:hAnsi="Century Gothic" w:cs="Arial"/>
          <w:lang w:val="es-ES_tradnl" w:eastAsia="es-ES_tradnl"/>
        </w:rPr>
      </w:pPr>
    </w:p>
    <w:p w14:paraId="67F8D548" w14:textId="77777777" w:rsidR="00657E97" w:rsidRPr="00262F9B" w:rsidRDefault="00657E97" w:rsidP="00657E97">
      <w:pPr>
        <w:contextualSpacing/>
        <w:rPr>
          <w:rFonts w:ascii="Century Gothic" w:eastAsia="Calibri" w:hAnsi="Century Gothic" w:cs="Arial"/>
          <w:b/>
          <w:bCs/>
          <w:lang w:val="es-ES_tradnl" w:eastAsia="es-ES_tradnl"/>
        </w:rPr>
      </w:pPr>
    </w:p>
    <w:p w14:paraId="501B16E7" w14:textId="77777777" w:rsidR="00657E97" w:rsidRPr="00262F9B" w:rsidRDefault="00657E97" w:rsidP="00657E97">
      <w:pPr>
        <w:ind w:left="2124" w:firstLine="570"/>
        <w:contextualSpacing/>
        <w:rPr>
          <w:rFonts w:ascii="Century Gothic" w:eastAsia="Calibri" w:hAnsi="Century Gothic" w:cs="Arial"/>
          <w:b/>
          <w:bCs/>
          <w:lang w:val="es-ES_tradnl" w:eastAsia="es-ES_tradnl"/>
        </w:rPr>
      </w:pPr>
      <w:r w:rsidRPr="00262F9B">
        <w:rPr>
          <w:rFonts w:ascii="Century Gothic" w:eastAsia="Calibri" w:hAnsi="Century Gothic" w:cs="Arial"/>
          <w:b/>
          <w:bCs/>
          <w:lang w:val="es-ES_tradnl" w:eastAsia="es-ES_tradnl"/>
        </w:rPr>
        <w:t>Concepto C – 315 de 2023</w:t>
      </w:r>
    </w:p>
    <w:p w14:paraId="3A4A7D66" w14:textId="77777777" w:rsidR="00657E97" w:rsidRPr="00262F9B" w:rsidRDefault="00657E97" w:rsidP="00657E97">
      <w:pPr>
        <w:contextualSpacing/>
        <w:jc w:val="both"/>
        <w:rPr>
          <w:rFonts w:ascii="Century Gothic" w:eastAsia="Calibri" w:hAnsi="Century Gothic" w:cs="Arial"/>
          <w:lang w:val="es-ES_tradnl"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657E97" w:rsidRPr="00262F9B" w14:paraId="27601A11" w14:textId="77777777" w:rsidTr="0088269B">
        <w:tc>
          <w:tcPr>
            <w:tcW w:w="2689" w:type="dxa"/>
          </w:tcPr>
          <w:p w14:paraId="56B997F5" w14:textId="77777777" w:rsidR="00657E97" w:rsidRPr="00262F9B" w:rsidRDefault="00657E97" w:rsidP="0088269B">
            <w:pPr>
              <w:contextualSpacing/>
              <w:jc w:val="both"/>
              <w:rPr>
                <w:rFonts w:ascii="Century Gothic" w:eastAsia="Calibri" w:hAnsi="Century Gothic" w:cs="Arial"/>
                <w:lang w:val="es-ES_tradnl" w:eastAsia="es-ES_tradnl"/>
              </w:rPr>
            </w:pPr>
            <w:r w:rsidRPr="00262F9B">
              <w:rPr>
                <w:rFonts w:ascii="Century Gothic" w:eastAsia="Calibri" w:hAnsi="Century Gothic" w:cs="Arial"/>
                <w:b/>
                <w:lang w:val="es-ES_tradnl" w:eastAsia="es-ES_tradnl"/>
              </w:rPr>
              <w:t>Temas:</w:t>
            </w:r>
            <w:r w:rsidRPr="00262F9B">
              <w:rPr>
                <w:rFonts w:ascii="Century Gothic" w:eastAsia="Calibri" w:hAnsi="Century Gothic" w:cs="Arial"/>
                <w:lang w:val="es-ES_tradnl" w:eastAsia="es-ES_tradnl"/>
              </w:rPr>
              <w:t xml:space="preserve">                                      </w:t>
            </w:r>
          </w:p>
        </w:tc>
        <w:tc>
          <w:tcPr>
            <w:tcW w:w="6237" w:type="dxa"/>
          </w:tcPr>
          <w:p w14:paraId="29076D0B" w14:textId="77777777" w:rsidR="00657E97" w:rsidRPr="00262F9B" w:rsidRDefault="00657E97" w:rsidP="0088269B">
            <w:pPr>
              <w:spacing w:after="120"/>
              <w:contextualSpacing/>
              <w:jc w:val="both"/>
              <w:rPr>
                <w:rFonts w:ascii="Century Gothic" w:eastAsia="Calibri" w:hAnsi="Century Gothic" w:cs="Arial"/>
                <w:bCs/>
                <w:lang w:val="es-MX" w:eastAsia="es-ES_tradnl"/>
              </w:rPr>
            </w:pPr>
            <w:r w:rsidRPr="00262F9B">
              <w:rPr>
                <w:rFonts w:ascii="Century Gothic" w:eastAsia="Calibri" w:hAnsi="Century Gothic" w:cs="Arial"/>
                <w:bCs/>
                <w:lang w:val="es-ES_tradnl" w:eastAsia="es-ES_tradnl"/>
              </w:rPr>
              <w:t xml:space="preserve">CONTRATOS O CONVENIOS INTERADMINISTRATIVOS – Definición – Criterio orgánico / CONTRATOS Y CONVENIOS INTERADMINISTRATIVOS – Diferencias – Similitudes / </w:t>
            </w:r>
            <w:r w:rsidRPr="00262F9B">
              <w:rPr>
                <w:rFonts w:ascii="Century Gothic" w:eastAsia="Calibri" w:hAnsi="Century Gothic" w:cs="Arial"/>
                <w:bCs/>
                <w:lang w:val="es-MX" w:eastAsia="es-ES_tradnl"/>
              </w:rPr>
              <w:t>INHABILIDADES – Definición – Finalidad – Limitación capacidad contractual / CONTRATACIÓN ESTATAL – Capacidad – Validez contratos – Régimen de contratación – Inscripción – Limitación de la capacidad / INHABILIDADES – Taxatividad – Principio de legalidad – Interpretación restrictiva / LEY 2097 DE 2021 – REDAM – Objeto / OBLIGACIÓN ALIMENTARIA – Definición / INHABILIDAD – REDAM – Ámbito de aplicación – Constitucionalidad / REDAM – Vigencia – Condicionamiento – Tesis de la Reglamentación</w:t>
            </w:r>
          </w:p>
          <w:p w14:paraId="1CEF0D13" w14:textId="77777777" w:rsidR="00657E97" w:rsidRPr="00262F9B" w:rsidRDefault="00657E97" w:rsidP="0088269B">
            <w:pPr>
              <w:spacing w:after="120"/>
              <w:contextualSpacing/>
              <w:jc w:val="both"/>
              <w:rPr>
                <w:rFonts w:ascii="Century Gothic" w:eastAsia="Calibri" w:hAnsi="Century Gothic" w:cs="Arial"/>
                <w:bCs/>
                <w:sz w:val="12"/>
                <w:szCs w:val="12"/>
                <w:lang w:val="es-MX" w:eastAsia="es-ES_tradnl"/>
              </w:rPr>
            </w:pPr>
          </w:p>
          <w:p w14:paraId="19D54FB9" w14:textId="77777777" w:rsidR="00657E97" w:rsidRPr="00262F9B" w:rsidRDefault="00657E97" w:rsidP="0088269B">
            <w:pPr>
              <w:spacing w:after="120"/>
              <w:contextualSpacing/>
              <w:jc w:val="both"/>
              <w:rPr>
                <w:rFonts w:ascii="Century Gothic" w:eastAsia="Calibri" w:hAnsi="Century Gothic" w:cs="Arial"/>
                <w:bCs/>
                <w:sz w:val="12"/>
                <w:szCs w:val="12"/>
                <w:lang w:val="es-ES_tradnl" w:eastAsia="es-ES_tradnl"/>
              </w:rPr>
            </w:pPr>
          </w:p>
        </w:tc>
      </w:tr>
      <w:tr w:rsidR="00657E97" w:rsidRPr="00262F9B" w14:paraId="0DB012D0" w14:textId="77777777" w:rsidTr="0088269B">
        <w:trPr>
          <w:trHeight w:val="227"/>
        </w:trPr>
        <w:tc>
          <w:tcPr>
            <w:tcW w:w="2689" w:type="dxa"/>
          </w:tcPr>
          <w:p w14:paraId="2CD4B7F2" w14:textId="77777777" w:rsidR="00657E97" w:rsidRPr="00262F9B" w:rsidRDefault="00657E97" w:rsidP="0088269B">
            <w:pPr>
              <w:contextualSpacing/>
              <w:jc w:val="both"/>
              <w:rPr>
                <w:rFonts w:ascii="Century Gothic" w:eastAsia="Calibri" w:hAnsi="Century Gothic" w:cs="Arial"/>
                <w:b/>
                <w:lang w:val="es-ES_tradnl" w:eastAsia="es-ES_tradnl"/>
              </w:rPr>
            </w:pPr>
            <w:r w:rsidRPr="00262F9B">
              <w:rPr>
                <w:rFonts w:ascii="Century Gothic" w:eastAsia="Calibri" w:hAnsi="Century Gothic" w:cs="Arial"/>
                <w:b/>
                <w:lang w:val="es-ES_tradnl" w:eastAsia="es-ES_tradnl"/>
              </w:rPr>
              <w:t>Radicación:</w:t>
            </w:r>
            <w:r w:rsidRPr="00262F9B">
              <w:rPr>
                <w:rFonts w:ascii="Century Gothic" w:eastAsia="Calibri" w:hAnsi="Century Gothic" w:cs="Arial"/>
                <w:lang w:val="es-ES_tradnl" w:eastAsia="es-ES_tradnl"/>
              </w:rPr>
              <w:t xml:space="preserve">                             </w:t>
            </w:r>
          </w:p>
        </w:tc>
        <w:tc>
          <w:tcPr>
            <w:tcW w:w="6237" w:type="dxa"/>
          </w:tcPr>
          <w:p w14:paraId="77A19A79" w14:textId="77777777" w:rsidR="00657E97" w:rsidRPr="00262F9B" w:rsidRDefault="00657E97" w:rsidP="0088269B">
            <w:pPr>
              <w:contextualSpacing/>
              <w:jc w:val="both"/>
              <w:rPr>
                <w:rFonts w:ascii="Century Gothic" w:eastAsia="Calibri" w:hAnsi="Century Gothic" w:cs="Arial"/>
                <w:lang w:val="es-ES_tradnl" w:eastAsia="es-ES_tradnl"/>
              </w:rPr>
            </w:pPr>
            <w:r w:rsidRPr="00262F9B">
              <w:rPr>
                <w:rFonts w:ascii="Century Gothic" w:eastAsia="Calibri" w:hAnsi="Century Gothic" w:cs="Arial"/>
                <w:lang w:val="es-ES_tradnl" w:eastAsia="es-ES_tradnl"/>
              </w:rPr>
              <w:t>Respuesta a consulta P20230615012366</w:t>
            </w:r>
          </w:p>
        </w:tc>
      </w:tr>
    </w:tbl>
    <w:p w14:paraId="36CE7CF8" w14:textId="77777777" w:rsidR="00657E97" w:rsidRPr="00262F9B" w:rsidRDefault="00657E97" w:rsidP="00657E97">
      <w:pPr>
        <w:contextualSpacing/>
        <w:jc w:val="both"/>
        <w:rPr>
          <w:rFonts w:ascii="Century Gothic" w:eastAsia="Calibri" w:hAnsi="Century Gothic" w:cs="Arial"/>
          <w:lang w:val="es-ES_tradnl" w:eastAsia="es-ES_tradnl"/>
        </w:rPr>
      </w:pPr>
    </w:p>
    <w:p w14:paraId="2A9D13E8" w14:textId="77777777" w:rsidR="00657E97" w:rsidRPr="00262F9B" w:rsidRDefault="00657E97" w:rsidP="00657E97">
      <w:pPr>
        <w:contextualSpacing/>
        <w:jc w:val="both"/>
        <w:rPr>
          <w:rFonts w:ascii="Century Gothic" w:eastAsia="Calibri" w:hAnsi="Century Gothic" w:cs="Arial"/>
          <w:lang w:val="es-ES_tradnl" w:eastAsia="es-ES_tradnl"/>
        </w:rPr>
      </w:pPr>
    </w:p>
    <w:p w14:paraId="67116EA4" w14:textId="77777777" w:rsidR="00657E97" w:rsidRPr="00262F9B" w:rsidRDefault="00657E97" w:rsidP="00657E97">
      <w:pPr>
        <w:contextualSpacing/>
        <w:jc w:val="both"/>
        <w:rPr>
          <w:rFonts w:ascii="Century Gothic" w:eastAsia="Calibri" w:hAnsi="Century Gothic" w:cs="Arial"/>
          <w:lang w:val="es-ES" w:eastAsia="es-ES"/>
        </w:rPr>
      </w:pPr>
      <w:r w:rsidRPr="00262F9B">
        <w:rPr>
          <w:rFonts w:ascii="Century Gothic" w:eastAsia="Calibri" w:hAnsi="Century Gothic" w:cs="Arial"/>
          <w:lang w:val="es-ES" w:eastAsia="es-ES"/>
        </w:rPr>
        <w:t xml:space="preserve">Respetada señora </w:t>
      </w:r>
      <w:r w:rsidRPr="00262F9B">
        <w:rPr>
          <w:rFonts w:ascii="Century Gothic" w:eastAsia="Times New Roman" w:hAnsi="Century Gothic" w:cs="Arial"/>
          <w:lang w:eastAsia="es-ES"/>
        </w:rPr>
        <w:t>Rubiano</w:t>
      </w:r>
      <w:r w:rsidRPr="00262F9B">
        <w:rPr>
          <w:rFonts w:ascii="Century Gothic" w:eastAsia="Calibri" w:hAnsi="Century Gothic" w:cs="Arial"/>
          <w:lang w:val="es-ES" w:eastAsia="es-ES"/>
        </w:rPr>
        <w:t>:</w:t>
      </w:r>
    </w:p>
    <w:p w14:paraId="22CE6EBC" w14:textId="77777777" w:rsidR="00657E97" w:rsidRPr="00262F9B" w:rsidRDefault="00657E97" w:rsidP="00657E97">
      <w:pPr>
        <w:spacing w:line="276" w:lineRule="auto"/>
        <w:contextualSpacing/>
        <w:jc w:val="both"/>
        <w:rPr>
          <w:rFonts w:ascii="Century Gothic" w:eastAsia="Calibri" w:hAnsi="Century Gothic" w:cs="Arial"/>
          <w:szCs w:val="24"/>
          <w:lang w:val="es-ES_tradnl" w:eastAsia="es-ES_tradnl"/>
        </w:rPr>
      </w:pPr>
    </w:p>
    <w:bookmarkEnd w:id="0"/>
    <w:bookmarkEnd w:id="1"/>
    <w:p w14:paraId="647ADE03" w14:textId="77777777" w:rsidR="00657E97" w:rsidRPr="00262F9B" w:rsidRDefault="00657E97" w:rsidP="00657E97">
      <w:pPr>
        <w:spacing w:after="0" w:line="276" w:lineRule="auto"/>
        <w:jc w:val="both"/>
        <w:rPr>
          <w:rFonts w:ascii="Century Gothic" w:eastAsia="Calibri" w:hAnsi="Century Gothic" w:cs="Arial"/>
          <w:color w:val="000000" w:themeColor="text1"/>
          <w:lang w:val="es-ES_tradnl"/>
        </w:rPr>
      </w:pPr>
      <w:r w:rsidRPr="00262F9B">
        <w:rPr>
          <w:rFonts w:ascii="Century Gothic" w:eastAsia="Calibri" w:hAnsi="Century Gothic" w:cs="Arial"/>
          <w:color w:val="000000" w:themeColor="text1"/>
          <w:lang w:val="es-ES_tradnl"/>
        </w:rPr>
        <w:t>En ejercicio de la competencia otorgada por el numeral 8 del artículo 11 y el numeral 5 del artículo 3 del Decreto Ley 4170 de 2011</w:t>
      </w:r>
      <w:bookmarkStart w:id="3" w:name="_Hlk99120496"/>
      <w:r w:rsidRPr="00262F9B">
        <w:rPr>
          <w:rFonts w:ascii="Century Gothic" w:eastAsia="Arial MT" w:hAnsi="Century Gothic" w:cs="Arial MT"/>
          <w:lang w:val="es-ES"/>
        </w:rPr>
        <w:t xml:space="preserve">, </w:t>
      </w:r>
      <w:bookmarkEnd w:id="3"/>
      <w:r w:rsidRPr="00262F9B">
        <w:rPr>
          <w:rFonts w:ascii="Century Gothic" w:eastAsia="Calibri" w:hAnsi="Century Gothic" w:cs="Arial"/>
          <w:color w:val="000000" w:themeColor="text1"/>
          <w:lang w:val="es-ES_tradnl"/>
        </w:rPr>
        <w:t>la Agencia Nacional de Contratación Pública – Colombia Compra Eficiente responde la consulta radicada el 15 de junio de 2023.</w:t>
      </w:r>
    </w:p>
    <w:p w14:paraId="58A41060" w14:textId="77777777" w:rsidR="00657E97" w:rsidRPr="00262F9B" w:rsidRDefault="00657E97" w:rsidP="00657E97">
      <w:pPr>
        <w:spacing w:after="0" w:line="276" w:lineRule="auto"/>
        <w:jc w:val="both"/>
        <w:rPr>
          <w:rFonts w:ascii="Century Gothic" w:eastAsia="Calibri" w:hAnsi="Century Gothic" w:cs="Arial"/>
          <w:b/>
          <w:color w:val="000000" w:themeColor="text1"/>
          <w:lang w:val="es-ES_tradnl"/>
        </w:rPr>
      </w:pPr>
    </w:p>
    <w:p w14:paraId="2915134F" w14:textId="77777777" w:rsidR="00657E97" w:rsidRPr="00262F9B" w:rsidRDefault="00657E97" w:rsidP="00657E97">
      <w:pPr>
        <w:pStyle w:val="Prrafodelista"/>
        <w:numPr>
          <w:ilvl w:val="0"/>
          <w:numId w:val="6"/>
        </w:numPr>
        <w:tabs>
          <w:tab w:val="left" w:pos="0"/>
          <w:tab w:val="left" w:pos="142"/>
          <w:tab w:val="left" w:pos="284"/>
        </w:tabs>
        <w:spacing w:after="0" w:line="276" w:lineRule="auto"/>
        <w:ind w:left="0" w:firstLine="0"/>
        <w:jc w:val="both"/>
        <w:rPr>
          <w:rFonts w:ascii="Century Gothic" w:eastAsia="Calibri" w:hAnsi="Century Gothic" w:cs="Arial"/>
          <w:b/>
          <w:color w:val="000000" w:themeColor="text1"/>
          <w:lang w:val="es-ES_tradnl"/>
        </w:rPr>
      </w:pPr>
      <w:r w:rsidRPr="00262F9B">
        <w:rPr>
          <w:rFonts w:ascii="Century Gothic" w:eastAsia="Calibri" w:hAnsi="Century Gothic" w:cs="Arial"/>
          <w:b/>
          <w:color w:val="000000" w:themeColor="text1"/>
          <w:lang w:val="es-ES_tradnl"/>
        </w:rPr>
        <w:t xml:space="preserve">Problema planteado </w:t>
      </w:r>
    </w:p>
    <w:p w14:paraId="28928EC6" w14:textId="77777777" w:rsidR="00657E97" w:rsidRPr="00262F9B" w:rsidRDefault="00657E97" w:rsidP="00657E97">
      <w:pPr>
        <w:tabs>
          <w:tab w:val="left" w:pos="426"/>
        </w:tabs>
        <w:spacing w:after="0" w:line="276" w:lineRule="auto"/>
        <w:jc w:val="both"/>
        <w:rPr>
          <w:rFonts w:ascii="Century Gothic" w:eastAsia="Calibri" w:hAnsi="Century Gothic" w:cs="Arial"/>
          <w:b/>
          <w:color w:val="000000" w:themeColor="text1"/>
          <w:lang w:val="es-ES_tradnl"/>
        </w:rPr>
      </w:pPr>
    </w:p>
    <w:p w14:paraId="197C09F0" w14:textId="77777777" w:rsidR="00657E97" w:rsidRPr="00262F9B" w:rsidRDefault="00657E97" w:rsidP="00657E97">
      <w:pPr>
        <w:spacing w:after="0" w:line="276" w:lineRule="auto"/>
        <w:jc w:val="both"/>
        <w:rPr>
          <w:rFonts w:ascii="Century Gothic" w:hAnsi="Century Gothic" w:cs="Arial"/>
          <w:color w:val="000000" w:themeColor="text1"/>
          <w:lang w:val="es-ES_tradnl"/>
        </w:rPr>
      </w:pPr>
      <w:r w:rsidRPr="00262F9B">
        <w:rPr>
          <w:rFonts w:ascii="Century Gothic" w:hAnsi="Century Gothic" w:cs="Arial"/>
          <w:color w:val="000000" w:themeColor="text1"/>
          <w:lang w:val="es-ES_tradnl"/>
        </w:rPr>
        <w:lastRenderedPageBreak/>
        <w:t>Usted realiza la siguiente pregunta: “Tratándose de convenios de cooperación, se debe exigir la inscripción de deudores alimentarios morosos (ley 2097 de 2021)? […]”.</w:t>
      </w:r>
    </w:p>
    <w:p w14:paraId="46960505" w14:textId="77777777" w:rsidR="00657E97" w:rsidRPr="00262F9B" w:rsidRDefault="00657E97" w:rsidP="00657E97">
      <w:pPr>
        <w:spacing w:after="0" w:line="276" w:lineRule="auto"/>
        <w:ind w:right="709"/>
        <w:jc w:val="both"/>
        <w:rPr>
          <w:rFonts w:ascii="Century Gothic" w:hAnsi="Century Gothic" w:cs="Arial"/>
          <w:color w:val="000000" w:themeColor="text1"/>
        </w:rPr>
      </w:pPr>
    </w:p>
    <w:p w14:paraId="044B5993" w14:textId="77777777" w:rsidR="00657E97" w:rsidRPr="00262F9B" w:rsidRDefault="00657E97" w:rsidP="00657E97">
      <w:pPr>
        <w:pStyle w:val="Prrafodelista"/>
        <w:numPr>
          <w:ilvl w:val="0"/>
          <w:numId w:val="6"/>
        </w:numPr>
        <w:tabs>
          <w:tab w:val="left" w:pos="0"/>
          <w:tab w:val="left" w:pos="284"/>
        </w:tabs>
        <w:spacing w:after="0" w:line="240" w:lineRule="auto"/>
        <w:ind w:left="0" w:firstLine="0"/>
        <w:jc w:val="both"/>
        <w:rPr>
          <w:rFonts w:ascii="Century Gothic" w:eastAsia="Calibri" w:hAnsi="Century Gothic" w:cs="Arial"/>
          <w:b/>
          <w:color w:val="000000" w:themeColor="text1"/>
          <w:lang w:val="es-ES_tradnl"/>
        </w:rPr>
      </w:pPr>
      <w:r w:rsidRPr="00262F9B">
        <w:rPr>
          <w:rFonts w:ascii="Century Gothic" w:eastAsia="Calibri" w:hAnsi="Century Gothic" w:cs="Arial"/>
          <w:b/>
          <w:color w:val="000000" w:themeColor="text1"/>
          <w:lang w:val="es-ES_tradnl"/>
        </w:rPr>
        <w:t>Consideraciones</w:t>
      </w:r>
    </w:p>
    <w:p w14:paraId="59B81E30" w14:textId="77777777" w:rsidR="00657E97" w:rsidRPr="00262F9B" w:rsidRDefault="00657E97" w:rsidP="00657E97">
      <w:pPr>
        <w:spacing w:after="0" w:line="276" w:lineRule="auto"/>
        <w:jc w:val="both"/>
        <w:rPr>
          <w:rFonts w:ascii="Century Gothic" w:eastAsia="Calibri" w:hAnsi="Century Gothic" w:cs="Arial"/>
          <w:color w:val="000000" w:themeColor="text1"/>
          <w:lang w:val="es-ES"/>
        </w:rPr>
      </w:pPr>
    </w:p>
    <w:p w14:paraId="076B03B6" w14:textId="77777777" w:rsidR="00657E97" w:rsidRPr="00262F9B" w:rsidRDefault="00657E97" w:rsidP="00657E97">
      <w:pPr>
        <w:spacing w:after="120" w:line="276" w:lineRule="auto"/>
        <w:jc w:val="both"/>
        <w:rPr>
          <w:rFonts w:ascii="Century Gothic" w:hAnsi="Century Gothic" w:cs="Arial"/>
          <w:lang w:val="es-ES"/>
        </w:rPr>
      </w:pPr>
      <w:r w:rsidRPr="00262F9B">
        <w:rPr>
          <w:rFonts w:ascii="Century Gothic" w:hAnsi="Century Gothic" w:cs="Arial"/>
          <w:bCs/>
        </w:rPr>
        <w:t xml:space="preserve">En ejercicio de las competencias establecidas en los artículos 3.5 y 11.8 del Decreto 4170 de 2011, la Agencia Nacional de Contratación Pública – Colombia Compra Eficiente resuelve consultas sobre </w:t>
      </w:r>
      <w:r w:rsidRPr="00262F9B">
        <w:rPr>
          <w:rFonts w:ascii="Century Gothic" w:hAnsi="Century Gothic" w:cs="Arial"/>
          <w:lang w:val="es-ES"/>
        </w:rPr>
        <w:t>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262F9B">
        <w:rPr>
          <w:rFonts w:ascii="Century Gothic" w:hAnsi="Century Gothic" w:cs="Arial"/>
          <w:bCs/>
        </w:rPr>
        <w:t xml:space="preserve"> de todos los partícipes de la contratación estatal.</w:t>
      </w:r>
    </w:p>
    <w:p w14:paraId="2F7A22A7" w14:textId="77777777" w:rsidR="00657E97" w:rsidRPr="00262F9B" w:rsidRDefault="00657E97" w:rsidP="00657E97">
      <w:pPr>
        <w:spacing w:after="120" w:line="276" w:lineRule="auto"/>
        <w:ind w:firstLine="708"/>
        <w:jc w:val="both"/>
        <w:rPr>
          <w:rFonts w:ascii="Century Gothic" w:hAnsi="Century Gothic" w:cs="Arial"/>
          <w:lang w:val="es-ES"/>
        </w:rPr>
      </w:pPr>
      <w:r w:rsidRPr="00262F9B">
        <w:rPr>
          <w:rFonts w:ascii="Century Gothic" w:hAnsi="Century Gothic"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262F9B">
        <w:rPr>
          <w:rFonts w:ascii="Century Gothic" w:hAnsi="Century Gothic" w:cs="Arial"/>
          <w:vertAlign w:val="superscript"/>
          <w:lang w:val="es-ES"/>
        </w:rPr>
        <w:footnoteReference w:id="2"/>
      </w:r>
      <w:r w:rsidRPr="00262F9B">
        <w:rPr>
          <w:rFonts w:ascii="Century Gothic" w:hAnsi="Century Gothic" w:cs="Arial"/>
          <w:lang w:val="es-ES"/>
        </w:rPr>
        <w:t>. Esta competencia de interpretación de normas generales, por definición, no puede extenderse a la resolución de controversias ni brindar asesorías sobre casos puntuales. Por lo anterior, previo concepto de sus órganos asesores, la solución de estos temas corresponde a la entidad de adoptar la decisión correspondiente y, en caso de conflicto, a las autoridades judiciales, fiscales y disciplinarias. De esta manera, le corresponderá a cada entidad definir la viabilidad técnica, jurídica y financiera de celebrar determinado negocio en específico.</w:t>
      </w:r>
    </w:p>
    <w:p w14:paraId="7B9029B8" w14:textId="77777777" w:rsidR="00657E97" w:rsidRPr="00262F9B" w:rsidRDefault="00657E97" w:rsidP="00657E97">
      <w:pPr>
        <w:spacing w:line="276" w:lineRule="auto"/>
        <w:ind w:firstLine="708"/>
        <w:jc w:val="both"/>
        <w:rPr>
          <w:rFonts w:ascii="Century Gothic" w:hAnsi="Century Gothic" w:cs="Arial"/>
          <w:color w:val="000000" w:themeColor="text1"/>
          <w:lang w:val="es-ES"/>
        </w:rPr>
      </w:pPr>
      <w:r w:rsidRPr="00262F9B">
        <w:rPr>
          <w:rFonts w:ascii="Century Gothic" w:eastAsia="Calibri" w:hAnsi="Century Gothic" w:cs="Arial"/>
        </w:rPr>
        <w:t xml:space="preserve">Sin perjuicio de lo anterior, </w:t>
      </w:r>
      <w:r w:rsidRPr="00262F9B">
        <w:rPr>
          <w:rFonts w:ascii="Century Gothic" w:eastAsia="Calibri" w:hAnsi="Century Gothic" w:cs="Arial"/>
          <w:lang w:val="es-ES"/>
        </w:rPr>
        <w:t>la Agencia –dentro de los límites de sus atribuciones– resolverá la consulta conforme a las normas generales del sistema de compras públicas. Con este objetivo</w:t>
      </w:r>
      <w:r w:rsidRPr="00262F9B">
        <w:rPr>
          <w:rFonts w:ascii="Century Gothic" w:eastAsia="Calibri" w:hAnsi="Century Gothic" w:cs="Arial"/>
          <w:color w:val="000000" w:themeColor="text1"/>
        </w:rPr>
        <w:t xml:space="preserve"> </w:t>
      </w:r>
      <w:r w:rsidRPr="00262F9B">
        <w:rPr>
          <w:rFonts w:ascii="Century Gothic" w:eastAsia="Calibri" w:hAnsi="Century Gothic" w:cs="Arial"/>
          <w:color w:val="000000" w:themeColor="text1"/>
          <w:lang w:val="es-ES"/>
        </w:rPr>
        <w:t>se abordarán los siguientes temas</w:t>
      </w:r>
      <w:r w:rsidRPr="00262F9B">
        <w:rPr>
          <w:rFonts w:ascii="Century Gothic" w:hAnsi="Century Gothic" w:cs="Arial"/>
          <w:color w:val="000000" w:themeColor="text1"/>
          <w:lang w:val="es-ES"/>
        </w:rPr>
        <w:t xml:space="preserve">: i) contexto normativo de los contratos o convenios interadministrativos, ii) régimen de inhabilidades e incompatibilidades para contratar con el Estado, iii) límites de la capacidad contractual en relación con la reserva de ley y la interpretación restrictiva de estas disposiciones y iv) </w:t>
      </w:r>
      <w:bookmarkStart w:id="4" w:name="_Hlk73971018"/>
      <w:bookmarkStart w:id="5" w:name="_Hlk132011841"/>
      <w:r w:rsidRPr="00262F9B">
        <w:rPr>
          <w:rFonts w:ascii="Century Gothic" w:hAnsi="Century Gothic" w:cs="Arial"/>
          <w:color w:val="000000" w:themeColor="text1"/>
          <w:lang w:val="es-ES"/>
        </w:rPr>
        <w:t xml:space="preserve">alcance </w:t>
      </w:r>
      <w:bookmarkEnd w:id="4"/>
      <w:r w:rsidRPr="00262F9B">
        <w:rPr>
          <w:rFonts w:ascii="Century Gothic" w:hAnsi="Century Gothic" w:cs="Arial"/>
          <w:color w:val="000000" w:themeColor="text1"/>
          <w:lang w:val="es-ES"/>
        </w:rPr>
        <w:t>de la restricción prevista en el artículo 6.1 de la Ley 2097 de 2021, reglamentada por el Decreto 1310 de 2022</w:t>
      </w:r>
      <w:bookmarkEnd w:id="5"/>
      <w:r w:rsidRPr="00262F9B">
        <w:rPr>
          <w:rFonts w:ascii="Century Gothic" w:hAnsi="Century Gothic" w:cs="Arial"/>
          <w:color w:val="000000" w:themeColor="text1"/>
          <w:lang w:val="es-MX"/>
        </w:rPr>
        <w:t>.</w:t>
      </w:r>
      <w:r w:rsidRPr="00262F9B">
        <w:rPr>
          <w:rFonts w:ascii="Century Gothic" w:hAnsi="Century Gothic" w:cs="Arial"/>
          <w:color w:val="000000" w:themeColor="text1"/>
          <w:lang w:val="es-ES"/>
        </w:rPr>
        <w:t xml:space="preserve"> </w:t>
      </w:r>
    </w:p>
    <w:p w14:paraId="649D7BDE" w14:textId="77777777" w:rsidR="00657E97" w:rsidRPr="00262F9B" w:rsidRDefault="00657E97" w:rsidP="00657E97">
      <w:pPr>
        <w:spacing w:before="120" w:after="0" w:line="276" w:lineRule="auto"/>
        <w:ind w:firstLine="709"/>
        <w:jc w:val="both"/>
        <w:rPr>
          <w:rFonts w:ascii="Century Gothic" w:eastAsia="Calibri" w:hAnsi="Century Gothic" w:cs="Arial"/>
          <w:color w:val="000000" w:themeColor="text1"/>
          <w:lang w:val="es-ES"/>
        </w:rPr>
      </w:pPr>
      <w:r w:rsidRPr="00262F9B">
        <w:rPr>
          <w:rFonts w:ascii="Century Gothic" w:eastAsia="Calibri" w:hAnsi="Century Gothic" w:cs="Arial"/>
          <w:color w:val="000000" w:themeColor="text1"/>
          <w:lang w:val="es-ES"/>
        </w:rPr>
        <w:t xml:space="preserve">La Agencia Nacional de Contratación Pública – Colombia Compra Eficiente, en los Conceptos </w:t>
      </w:r>
      <w:r w:rsidRPr="00262F9B">
        <w:rPr>
          <w:rFonts w:ascii="Century Gothic" w:eastAsia="Calibri" w:hAnsi="Century Gothic" w:cs="Arial"/>
          <w:color w:val="000000" w:themeColor="text1"/>
          <w:lang w:eastAsia="en-GB"/>
        </w:rPr>
        <w:t xml:space="preserve">C-168 del 14 de abril de 2021, </w:t>
      </w:r>
      <w:r w:rsidRPr="00262F9B">
        <w:rPr>
          <w:rFonts w:ascii="Century Gothic" w:eastAsia="Calibri" w:hAnsi="Century Gothic" w:cs="Arial"/>
          <w:color w:val="000000" w:themeColor="text1"/>
          <w:lang w:val="es-ES"/>
        </w:rPr>
        <w:t xml:space="preserve">C-585 de 15 de octubre de 2021, C-639 del 14 de marzo de 2021, </w:t>
      </w:r>
      <w:r w:rsidRPr="00262F9B">
        <w:rPr>
          <w:rFonts w:ascii="Century Gothic" w:eastAsia="Calibri" w:hAnsi="Century Gothic" w:cs="Arial"/>
          <w:color w:val="000000" w:themeColor="text1"/>
          <w:lang w:eastAsia="en-GB"/>
        </w:rPr>
        <w:t xml:space="preserve">C-664 del 1° de septiembre de 2022, </w:t>
      </w:r>
      <w:r w:rsidRPr="00262F9B">
        <w:rPr>
          <w:rFonts w:ascii="Century Gothic" w:eastAsia="Calibri" w:hAnsi="Century Gothic" w:cs="Arial"/>
          <w:color w:val="000000" w:themeColor="text1"/>
          <w:lang w:val="es-ES"/>
        </w:rPr>
        <w:t xml:space="preserve">C-771 del 29 de diciembre de 2022, C-056 del 26 de abril de 2023 y C-094 del 4 de mayo de 2023, analizó el régimen de los contratos o convenios interadministrativos. Asimismo, en los Conceptos </w:t>
      </w:r>
      <w:r w:rsidRPr="00262F9B">
        <w:rPr>
          <w:rFonts w:ascii="Century Gothic" w:eastAsia="Calibri" w:hAnsi="Century Gothic" w:cs="Arial"/>
          <w:color w:val="000000" w:themeColor="text1"/>
          <w:lang w:val="es-MX"/>
        </w:rPr>
        <w:t xml:space="preserve">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w:t>
      </w:r>
      <w:r w:rsidRPr="00262F9B">
        <w:rPr>
          <w:rFonts w:ascii="Century Gothic" w:eastAsia="Calibri" w:hAnsi="Century Gothic" w:cs="Arial"/>
          <w:color w:val="000000" w:themeColor="text1"/>
          <w:lang w:val="es-ES_tradnl"/>
        </w:rPr>
        <w:t xml:space="preserve">C-032 del 19 de febrero de 2020, C-090 del 24 de febrero de 2020, C-125 del 3 de marzo de 2020, C-157 del 17 de marzo de 2020, C-273 del 21 de mayo de 2020, C-386 del 24 de julio de 2020, C-580 del 21 de septiembre de 2020, C-639 del 27 de octubre del 2020, C-650 del 10 de noviembre de 2020, C-684 del 24 de noviembre de 2020 C-004 del 12 de febrero de 2021, C-815 del 18 de febrero de 2021, C-210 del 12 de mayo de 2021, C-275 del 11 de junio de 2021, C-321 del 2 de julio de 2021, C-410 del 7 de julio del 2021, C-491 del 14 de septiembre de 2021, </w:t>
      </w:r>
      <w:r w:rsidRPr="00262F9B">
        <w:rPr>
          <w:rFonts w:ascii="Century Gothic" w:eastAsia="Calibri" w:hAnsi="Century Gothic" w:cs="Arial"/>
          <w:color w:val="000000" w:themeColor="text1"/>
          <w:lang w:val="es-ES"/>
        </w:rPr>
        <w:t>C-028 del 28 de febrero de 2022, C-318 del 18 de mayo de 2022 y C-252 del 30 de mayo de 2022, analizó los contornos generales del régimen de inhabilidades e incompatibilidades en la contratación estatal, haciendo énfasis en el Registro de Deudores Alimentarios Morosos –REDAM– en los Conceptos C-126 del 24 de abril de 2023 y C-208 del 20 de junio de 2023</w:t>
      </w:r>
      <w:r w:rsidRPr="00262F9B">
        <w:rPr>
          <w:rStyle w:val="Refdenotaalpie"/>
          <w:rFonts w:ascii="Century Gothic" w:eastAsia="Calibri" w:hAnsi="Century Gothic" w:cs="Arial"/>
        </w:rPr>
        <w:footnoteReference w:id="3"/>
      </w:r>
      <w:r w:rsidRPr="00262F9B">
        <w:rPr>
          <w:rFonts w:ascii="Century Gothic" w:eastAsia="Calibri" w:hAnsi="Century Gothic" w:cs="Arial"/>
          <w:color w:val="000000" w:themeColor="text1"/>
          <w:lang w:val="es-ES"/>
        </w:rPr>
        <w:t xml:space="preserve">. </w:t>
      </w:r>
      <w:r w:rsidRPr="00262F9B">
        <w:rPr>
          <w:rFonts w:ascii="Century Gothic" w:eastAsia="Calibri" w:hAnsi="Century Gothic" w:cs="Arial"/>
          <w:color w:val="000000" w:themeColor="text1"/>
          <w:lang w:val="es-ES_tradnl"/>
        </w:rPr>
        <w:t xml:space="preserve">La tesis propuesta en estos conceptos se reitera a continuación y se complementa en lo pertinente de acuerdo con las preguntas realizadas. </w:t>
      </w:r>
    </w:p>
    <w:p w14:paraId="08A5CF97" w14:textId="77777777" w:rsidR="00657E97" w:rsidRPr="00262F9B" w:rsidRDefault="00657E97" w:rsidP="00657E97">
      <w:pPr>
        <w:pStyle w:val="Sinespaciado"/>
        <w:widowControl w:val="0"/>
        <w:autoSpaceDE w:val="0"/>
        <w:autoSpaceDN w:val="0"/>
        <w:spacing w:line="276" w:lineRule="auto"/>
        <w:jc w:val="both"/>
        <w:rPr>
          <w:rFonts w:ascii="Century Gothic" w:hAnsi="Century Gothic" w:cs="Arial"/>
          <w:b/>
          <w:sz w:val="22"/>
        </w:rPr>
      </w:pPr>
    </w:p>
    <w:p w14:paraId="5C198276" w14:textId="77777777" w:rsidR="00657E97" w:rsidRPr="00262F9B" w:rsidRDefault="00657E97" w:rsidP="00657E97">
      <w:pPr>
        <w:spacing w:after="0" w:line="276" w:lineRule="auto"/>
        <w:contextualSpacing/>
        <w:jc w:val="both"/>
        <w:rPr>
          <w:rFonts w:ascii="Century Gothic" w:eastAsia="Arial" w:hAnsi="Century Gothic" w:cs="Arial"/>
          <w:b/>
          <w:bCs/>
          <w:lang w:val="es-ES_tradnl" w:eastAsia="es-ES_tradnl"/>
        </w:rPr>
      </w:pPr>
      <w:bookmarkStart w:id="6" w:name="_Hlk73970609"/>
      <w:r w:rsidRPr="00262F9B">
        <w:rPr>
          <w:rFonts w:ascii="Century Gothic" w:eastAsia="Arial" w:hAnsi="Century Gothic" w:cs="Arial"/>
          <w:b/>
          <w:bCs/>
          <w:lang w:val="es-ES_tradnl" w:eastAsia="es-ES_tradnl"/>
        </w:rPr>
        <w:t xml:space="preserve">2.1. Marco normativo de los contratos o convenios interadministrativos </w:t>
      </w:r>
    </w:p>
    <w:p w14:paraId="59AEC1F5" w14:textId="77777777" w:rsidR="00657E97" w:rsidRPr="00262F9B" w:rsidRDefault="00657E97" w:rsidP="00657E97">
      <w:pPr>
        <w:spacing w:after="0" w:line="276" w:lineRule="auto"/>
        <w:contextualSpacing/>
        <w:jc w:val="both"/>
        <w:rPr>
          <w:rFonts w:ascii="Century Gothic" w:eastAsia="Arial" w:hAnsi="Century Gothic" w:cs="Arial"/>
          <w:b/>
          <w:bCs/>
          <w:lang w:val="es-ES_tradnl" w:eastAsia="es-ES_tradnl"/>
        </w:rPr>
      </w:pPr>
    </w:p>
    <w:p w14:paraId="2053ACB9" w14:textId="77777777" w:rsidR="00657E97" w:rsidRPr="00262F9B" w:rsidRDefault="00657E97" w:rsidP="00657E97">
      <w:pPr>
        <w:pStyle w:val="Textoindependiente"/>
        <w:spacing w:after="0"/>
        <w:jc w:val="both"/>
        <w:rPr>
          <w:rFonts w:ascii="Century Gothic" w:hAnsi="Century Gothic" w:cs="Arial"/>
        </w:rPr>
      </w:pPr>
      <w:bookmarkStart w:id="7" w:name="_Hlk78820161"/>
      <w:r w:rsidRPr="00262F9B">
        <w:rPr>
          <w:rFonts w:ascii="Century Gothic" w:hAnsi="Century Gothic" w:cs="Arial"/>
        </w:rPr>
        <w:t>La tipología del contrato o convenio interadministrativo fue creada en la Ley 80 de 1993, y el Decreto 1082 de 2015 la califica como aquella contratación entre entidades estatales</w:t>
      </w:r>
      <w:r w:rsidRPr="00262F9B">
        <w:rPr>
          <w:rStyle w:val="Refdenotaalpie"/>
          <w:rFonts w:ascii="Century Gothic" w:hAnsi="Century Gothic" w:cs="Arial"/>
        </w:rPr>
        <w:footnoteReference w:id="4"/>
      </w:r>
      <w:r w:rsidRPr="00262F9B">
        <w:rPr>
          <w:rFonts w:ascii="Century Gothic" w:hAnsi="Century Gothic" w:cs="Arial"/>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262F9B">
        <w:rPr>
          <w:rFonts w:ascii="Century Gothic" w:hAnsi="Century Gothic" w:cs="Arial"/>
          <w:spacing w:val="-6"/>
        </w:rPr>
        <w:t xml:space="preserve"> </w:t>
      </w:r>
      <w:r w:rsidRPr="00262F9B">
        <w:rPr>
          <w:rFonts w:ascii="Century Gothic" w:hAnsi="Century Gothic" w:cs="Arial"/>
        </w:rPr>
        <w:t>estatales.</w:t>
      </w:r>
    </w:p>
    <w:p w14:paraId="4515EB15" w14:textId="77777777" w:rsidR="00657E97" w:rsidRPr="00262F9B" w:rsidRDefault="00657E97" w:rsidP="00657E97">
      <w:pPr>
        <w:pStyle w:val="Textoindependiente"/>
        <w:spacing w:before="117" w:after="0"/>
        <w:ind w:firstLine="707"/>
        <w:jc w:val="both"/>
        <w:rPr>
          <w:rFonts w:ascii="Century Gothic" w:hAnsi="Century Gothic" w:cs="Arial"/>
        </w:rPr>
      </w:pPr>
      <w:bookmarkStart w:id="9" w:name="_Hlk78820654"/>
      <w:bookmarkEnd w:id="7"/>
      <w:r w:rsidRPr="00262F9B">
        <w:rPr>
          <w:rFonts w:ascii="Century Gothic" w:hAnsi="Century Gothic" w:cs="Arial"/>
        </w:rPr>
        <w:t>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convenios con una entidad estatal de régimen especial y no por ello dejará de ser un contrato o convenio interadministrativo.</w:t>
      </w:r>
    </w:p>
    <w:bookmarkEnd w:id="9"/>
    <w:p w14:paraId="74E84F1B" w14:textId="77777777" w:rsidR="00657E97" w:rsidRPr="00262F9B" w:rsidRDefault="00657E97" w:rsidP="00657E97">
      <w:pPr>
        <w:pStyle w:val="Textoindependiente"/>
        <w:spacing w:before="121" w:after="0"/>
        <w:ind w:firstLine="707"/>
        <w:jc w:val="both"/>
        <w:rPr>
          <w:rFonts w:ascii="Century Gothic" w:hAnsi="Century Gothic" w:cs="Arial"/>
        </w:rPr>
      </w:pPr>
      <w:r w:rsidRPr="00262F9B">
        <w:rPr>
          <w:rFonts w:ascii="Century Gothic" w:hAnsi="Century Gothic" w:cs="Arial"/>
        </w:rPr>
        <w:t>Un contrato o convenio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262F9B">
        <w:rPr>
          <w:rStyle w:val="Refdenotaalpie"/>
          <w:rFonts w:ascii="Century Gothic" w:hAnsi="Century Gothic" w:cs="Arial"/>
        </w:rPr>
        <w:footnoteReference w:id="5"/>
      </w:r>
      <w:r w:rsidRPr="00262F9B">
        <w:rPr>
          <w:rFonts w:ascii="Century Gothic" w:hAnsi="Century Gothic" w:cs="Arial"/>
        </w:rPr>
        <w:t>. Nótese que, en este caso, lo que cambia es la modalidad de selección y no la naturaleza de contrato</w:t>
      </w:r>
      <w:r w:rsidRPr="00262F9B">
        <w:rPr>
          <w:rFonts w:ascii="Century Gothic" w:hAnsi="Century Gothic" w:cs="Arial"/>
          <w:spacing w:val="-18"/>
        </w:rPr>
        <w:t xml:space="preserve"> </w:t>
      </w:r>
      <w:r w:rsidRPr="00262F9B">
        <w:rPr>
          <w:rFonts w:ascii="Century Gothic" w:hAnsi="Century Gothic" w:cs="Arial"/>
        </w:rPr>
        <w:t>interadministrativo.</w:t>
      </w:r>
    </w:p>
    <w:p w14:paraId="0F2FADC8" w14:textId="77777777" w:rsidR="00657E97" w:rsidRPr="00262F9B" w:rsidRDefault="00657E97" w:rsidP="00657E97">
      <w:pPr>
        <w:pStyle w:val="Textoindependiente"/>
        <w:spacing w:before="114" w:after="0"/>
        <w:ind w:firstLine="707"/>
        <w:jc w:val="both"/>
        <w:rPr>
          <w:rFonts w:ascii="Century Gothic" w:hAnsi="Century Gothic" w:cs="Arial"/>
        </w:rPr>
      </w:pPr>
      <w:r w:rsidRPr="00262F9B">
        <w:rPr>
          <w:rFonts w:ascii="Century Gothic" w:hAnsi="Century Gothic" w:cs="Arial"/>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Adicionalmente, el Consejo de Estado ha indicado, frente al convenio interadministrativo y sus características,</w:t>
      </w:r>
      <w:r w:rsidRPr="00262F9B">
        <w:rPr>
          <w:rFonts w:ascii="Century Gothic" w:hAnsi="Century Gothic" w:cs="Arial"/>
          <w:spacing w:val="-13"/>
        </w:rPr>
        <w:t xml:space="preserve"> </w:t>
      </w:r>
      <w:r w:rsidRPr="00262F9B">
        <w:rPr>
          <w:rFonts w:ascii="Century Gothic" w:hAnsi="Century Gothic" w:cs="Arial"/>
        </w:rPr>
        <w:t>que:</w:t>
      </w:r>
    </w:p>
    <w:p w14:paraId="332A8595" w14:textId="77777777" w:rsidR="00657E97" w:rsidRPr="00262F9B" w:rsidRDefault="00657E97" w:rsidP="00657E97">
      <w:pPr>
        <w:pStyle w:val="Textoindependiente"/>
        <w:spacing w:after="0"/>
        <w:ind w:firstLine="707"/>
        <w:jc w:val="both"/>
        <w:rPr>
          <w:rFonts w:ascii="Century Gothic" w:hAnsi="Century Gothic" w:cs="Arial"/>
        </w:rPr>
      </w:pPr>
    </w:p>
    <w:p w14:paraId="01537A40" w14:textId="77777777" w:rsidR="00657E97" w:rsidRPr="00262F9B" w:rsidRDefault="00657E97" w:rsidP="00657E97">
      <w:pPr>
        <w:spacing w:after="0" w:line="240" w:lineRule="auto"/>
        <w:ind w:left="709" w:right="709"/>
        <w:jc w:val="both"/>
        <w:rPr>
          <w:rFonts w:ascii="Century Gothic" w:hAnsi="Century Gothic" w:cs="Arial"/>
          <w:sz w:val="21"/>
        </w:rPr>
      </w:pPr>
      <w:r w:rsidRPr="00262F9B">
        <w:rPr>
          <w:rFonts w:ascii="Century Gothic" w:hAnsi="Century Gothic" w:cs="Arial"/>
          <w:sz w:val="21"/>
        </w:rPr>
        <w:t>[…] se puede señalar que los convenios o contratos interadministrativos tienen como características principales las siguientes: (i) constituyen verdaderos contratos en los términos del Código de Comercio cuando su objeto lo constituyen obligaciones patrimoniales; (ii) tienen como fuente la autonomía contractual; (iii) son contratos nominados puesto que están mencionados en la ley; (iv)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(vii) persiguen  una finalidad común a través de la realización de intereses compartidos entre las entidades vinculadas; (viii) la acción mediante la cual se deben ventilar las diferencias que sobre el particular surjan es la de controversias contractuales</w:t>
      </w:r>
      <w:r w:rsidRPr="00262F9B">
        <w:rPr>
          <w:rStyle w:val="Refdenotaalpie"/>
          <w:rFonts w:ascii="Century Gothic" w:hAnsi="Century Gothic" w:cs="Arial"/>
          <w:sz w:val="21"/>
        </w:rPr>
        <w:footnoteReference w:id="6"/>
      </w:r>
      <w:r w:rsidRPr="00262F9B">
        <w:rPr>
          <w:rFonts w:ascii="Century Gothic" w:hAnsi="Century Gothic" w:cs="Arial"/>
          <w:sz w:val="21"/>
        </w:rPr>
        <w:t>.</w:t>
      </w:r>
    </w:p>
    <w:p w14:paraId="7A85A9E9" w14:textId="77777777" w:rsidR="00657E97" w:rsidRPr="00262F9B" w:rsidRDefault="00657E97" w:rsidP="00657E97">
      <w:pPr>
        <w:spacing w:after="0"/>
        <w:ind w:left="709" w:right="709"/>
        <w:jc w:val="both"/>
        <w:rPr>
          <w:rFonts w:ascii="Century Gothic" w:hAnsi="Century Gothic" w:cs="Arial"/>
        </w:rPr>
      </w:pPr>
    </w:p>
    <w:p w14:paraId="74D4467B" w14:textId="77777777" w:rsidR="00657E97" w:rsidRPr="00262F9B" w:rsidRDefault="00657E97" w:rsidP="00657E97">
      <w:pPr>
        <w:pStyle w:val="Textoindependiente"/>
        <w:spacing w:after="0"/>
        <w:ind w:firstLine="707"/>
        <w:jc w:val="both"/>
        <w:rPr>
          <w:rFonts w:ascii="Century Gothic" w:hAnsi="Century Gothic" w:cs="Arial"/>
        </w:rPr>
      </w:pPr>
      <w:r w:rsidRPr="00262F9B">
        <w:rPr>
          <w:rFonts w:ascii="Century Gothic" w:hAnsi="Century Gothic" w:cs="Arial"/>
        </w:rPr>
        <w:t>En ese sentido, los convenios interadministrativos se caracterizan por los sujetos que intervienen y por la modalidad de selección que la ley permite aplicar para su celebración, pues comporta un grado de excepcionalidad frente a las demás tipologías contractuales, donde los sujetos no están restringidos a una cualificación particular y aplican otras modalidades de selección. El Estatuto General de Contratación de la Administración Pública establece la contratación directa como la modalidad de selección aplicable, por regla general, a la celebración de los contratos interadministrativos.</w:t>
      </w:r>
    </w:p>
    <w:p w14:paraId="0EA0C536" w14:textId="77777777" w:rsidR="00657E97" w:rsidRPr="00262F9B" w:rsidRDefault="00657E97" w:rsidP="00657E97">
      <w:pPr>
        <w:pStyle w:val="Textoindependiente"/>
        <w:spacing w:before="119" w:after="0"/>
        <w:ind w:firstLine="707"/>
        <w:jc w:val="both"/>
        <w:rPr>
          <w:rFonts w:ascii="Century Gothic" w:hAnsi="Century Gothic" w:cs="Arial"/>
        </w:rPr>
      </w:pPr>
      <w:r w:rsidRPr="00262F9B">
        <w:rPr>
          <w:rFonts w:ascii="Century Gothic" w:hAnsi="Century Gothic" w:cs="Arial"/>
        </w:rPr>
        <w:t>Así las cosas, la ley no limitó la celebración de contratos 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celebran un negocio jurídico. No obstante, es posible que se celebren contratos interadministrativos en el marco de un proceso donde sea posible la participación de los interesados en ofertar, es decir, a través de las otras modalidades de selección previstas en la Ley 1150 de 2007 diferentes a la de contratación directa. Como se indicó, la existencia de un contrato interadministrativo no está determinada por la modalidad de selección sino, entre otras cosas, de la calidad de las partes que lo suscriben, es decir, debe tratarse de entidades</w:t>
      </w:r>
      <w:r w:rsidRPr="00262F9B">
        <w:rPr>
          <w:rFonts w:ascii="Century Gothic" w:hAnsi="Century Gothic" w:cs="Arial"/>
          <w:spacing w:val="-3"/>
        </w:rPr>
        <w:t xml:space="preserve"> </w:t>
      </w:r>
      <w:r w:rsidRPr="00262F9B">
        <w:rPr>
          <w:rFonts w:ascii="Century Gothic" w:hAnsi="Century Gothic" w:cs="Arial"/>
        </w:rPr>
        <w:t>estatales.</w:t>
      </w:r>
    </w:p>
    <w:p w14:paraId="48BA6B14" w14:textId="77777777" w:rsidR="00657E97" w:rsidRPr="00262F9B" w:rsidRDefault="00657E97" w:rsidP="00657E97">
      <w:pPr>
        <w:pStyle w:val="Textoindependiente"/>
        <w:spacing w:before="120" w:after="0"/>
        <w:ind w:firstLine="709"/>
        <w:jc w:val="both"/>
        <w:rPr>
          <w:rFonts w:ascii="Century Gothic" w:hAnsi="Century Gothic" w:cs="Arial"/>
        </w:rPr>
      </w:pPr>
      <w:r w:rsidRPr="00262F9B">
        <w:rPr>
          <w:rFonts w:ascii="Century Gothic" w:hAnsi="Century Gothic" w:cs="Arial"/>
        </w:rPr>
        <w:t>Además, es necesario tener en cuenta que para que un contrato o convenio interadministrativo exista, debe cumplir con los siguientes elementos: acuerdo sobre el objeto y la contraprestación, y que se eleve a escrito. Por otra parte, si bien actualmente el EGCAP hace referencia de manera expresa a los contratos interadministrativos y no a los convenios,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Por este motivo,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w:t>
      </w:r>
      <w:r w:rsidRPr="00262F9B">
        <w:rPr>
          <w:rFonts w:ascii="Century Gothic" w:hAnsi="Century Gothic" w:cs="Arial"/>
          <w:spacing w:val="-4"/>
        </w:rPr>
        <w:t xml:space="preserve"> </w:t>
      </w:r>
      <w:r w:rsidRPr="00262F9B">
        <w:rPr>
          <w:rFonts w:ascii="Century Gothic" w:hAnsi="Century Gothic" w:cs="Arial"/>
        </w:rPr>
        <w:t>estatales.</w:t>
      </w:r>
    </w:p>
    <w:p w14:paraId="32AABC87" w14:textId="77777777" w:rsidR="00657E97" w:rsidRPr="00262F9B" w:rsidRDefault="00657E97" w:rsidP="00657E97">
      <w:pPr>
        <w:pStyle w:val="Textoindependiente"/>
        <w:spacing w:before="120"/>
        <w:ind w:firstLine="709"/>
        <w:jc w:val="both"/>
        <w:rPr>
          <w:rFonts w:ascii="Century Gothic" w:hAnsi="Century Gothic" w:cs="Arial"/>
        </w:rPr>
      </w:pPr>
      <w:r w:rsidRPr="00262F9B">
        <w:rPr>
          <w:rFonts w:ascii="Century Gothic" w:hAnsi="Century Gothic" w:cs="Arial"/>
        </w:rPr>
        <w:t>Es conveniente destacar que el Decreto 1082 de 2015 dispone que los convenios o contratos interadministrativos, así denominados en su artículo 2.2.1.2.1.4.4, se contratan directamente, por lo que representan figuras similares en la medida en que concurran entidades estatales en el acuerdo de voluntades. De este modo, es posible concluir que en la contratación estatal no existen mayores diferencias entre convenio y contrato y, dando aplicación al derecho privado y a la definición contenida en el Código Civil, puede afirmarse que se trata de figuras equivalentes.</w:t>
      </w:r>
    </w:p>
    <w:p w14:paraId="5B0F4DD9" w14:textId="77777777" w:rsidR="00657E97" w:rsidRPr="00262F9B" w:rsidRDefault="00657E97" w:rsidP="00657E97">
      <w:pPr>
        <w:pStyle w:val="Textoindependiente"/>
        <w:spacing w:after="0"/>
        <w:ind w:firstLine="708"/>
        <w:jc w:val="both"/>
        <w:rPr>
          <w:rFonts w:ascii="Century Gothic" w:hAnsi="Century Gothic" w:cs="Arial"/>
        </w:rPr>
      </w:pPr>
      <w:r w:rsidRPr="00262F9B">
        <w:rPr>
          <w:rFonts w:ascii="Century Gothic" w:hAnsi="Century Gothic" w:cs="Arial"/>
        </w:rPr>
        <w:t>Por tanto, aunque el artículo 95 de la Ley 489 de 1998 dispone que “Las entidades públicas podrán asociarse con el fin de cooperar en el cumplimiento de funciones administrativas o de prestar conjuntamente servicios que se hallen a su cargo, mediante la celebración de convenios interadministrativos […]”, esto no significa que dichos acuerdos estén exceptuados del Estatuto General de Contratación de la Administración Pública por no tener carácter contractual. Por ello, la jurisprudencia considera que “Estos convenios cuentan con las características propias de los contratos, cuando su objeto lo constituyen obligaciones patrimoniales, y las entidades estatales que los conforman están sujetas tanto a la normativa contractual pública, como a las normas del derecho civil</w:t>
      </w:r>
      <w:r w:rsidRPr="00262F9B">
        <w:rPr>
          <w:rFonts w:ascii="Century Gothic" w:hAnsi="Century Gothic" w:cs="Arial"/>
          <w:spacing w:val="-4"/>
        </w:rPr>
        <w:t xml:space="preserve"> </w:t>
      </w:r>
      <w:r w:rsidRPr="00262F9B">
        <w:rPr>
          <w:rFonts w:ascii="Century Gothic" w:hAnsi="Century Gothic" w:cs="Arial"/>
        </w:rPr>
        <w:t>[…]”</w:t>
      </w:r>
      <w:r w:rsidRPr="00262F9B">
        <w:rPr>
          <w:rStyle w:val="Refdenotaalpie"/>
          <w:rFonts w:ascii="Century Gothic" w:hAnsi="Century Gothic" w:cs="Arial"/>
        </w:rPr>
        <w:footnoteReference w:id="7"/>
      </w:r>
      <w:r w:rsidRPr="00262F9B">
        <w:rPr>
          <w:rFonts w:ascii="Century Gothic" w:hAnsi="Century Gothic" w:cs="Arial"/>
        </w:rPr>
        <w:t>.</w:t>
      </w:r>
    </w:p>
    <w:p w14:paraId="752A709F" w14:textId="0F0DC4C2" w:rsidR="00657E97" w:rsidRPr="00262F9B" w:rsidRDefault="00657E97" w:rsidP="00657E97">
      <w:pPr>
        <w:snapToGrid w:val="0"/>
        <w:spacing w:before="120" w:after="0" w:line="276" w:lineRule="auto"/>
        <w:ind w:firstLine="709"/>
        <w:jc w:val="both"/>
        <w:rPr>
          <w:rFonts w:ascii="Century Gothic" w:eastAsia="Calibri" w:hAnsi="Century Gothic" w:cs="Arial"/>
          <w:bCs/>
          <w:color w:val="000000" w:themeColor="text1"/>
          <w:lang w:bidi="es-ES"/>
        </w:rPr>
      </w:pPr>
      <w:r w:rsidRPr="00262F9B">
        <w:rPr>
          <w:rFonts w:ascii="Century Gothic" w:eastAsia="Calibri" w:hAnsi="Century Gothic" w:cs="Arial"/>
          <w:bCs/>
          <w:color w:val="000000" w:themeColor="text1"/>
          <w:lang w:bidi="es-ES"/>
        </w:rPr>
        <w:t xml:space="preserve">Si bien tanto los contratos como </w:t>
      </w:r>
      <w:r w:rsidR="00A51F42" w:rsidRPr="00262F9B">
        <w:rPr>
          <w:rFonts w:ascii="Century Gothic" w:eastAsia="Calibri" w:hAnsi="Century Gothic" w:cs="Arial"/>
          <w:bCs/>
          <w:color w:val="000000" w:themeColor="text1"/>
          <w:lang w:bidi="es-ES"/>
        </w:rPr>
        <w:t>los</w:t>
      </w:r>
      <w:r w:rsidRPr="00262F9B">
        <w:rPr>
          <w:rFonts w:ascii="Century Gothic" w:eastAsia="Calibri" w:hAnsi="Century Gothic" w:cs="Arial"/>
          <w:bCs/>
          <w:color w:val="000000" w:themeColor="text1"/>
          <w:lang w:bidi="es-ES"/>
        </w:rPr>
        <w:t xml:space="preserve"> convenios comparten características comunes explicadas en los párrafos precedentes, difieren en cuanto a ciertos aspectos esenciales</w:t>
      </w:r>
      <w:r w:rsidRPr="00262F9B">
        <w:rPr>
          <w:rFonts w:ascii="Century Gothic" w:eastAsia="Calibri" w:hAnsi="Century Gothic" w:cs="Arial"/>
          <w:color w:val="000000" w:themeColor="text1"/>
          <w:lang w:bidi="es-ES"/>
        </w:rPr>
        <w:t xml:space="preserve">. </w:t>
      </w:r>
      <w:r w:rsidRPr="00262F9B">
        <w:rPr>
          <w:rFonts w:ascii="Century Gothic" w:eastAsia="Calibri" w:hAnsi="Century Gothic" w:cs="Arial"/>
          <w:bCs/>
          <w:color w:val="000000" w:themeColor="text1"/>
          <w:lang w:bidi="es-ES"/>
        </w:rPr>
        <w:t xml:space="preserve">Así, mientras que el </w:t>
      </w:r>
      <w:r w:rsidRPr="00262F9B">
        <w:rPr>
          <w:rFonts w:ascii="Century Gothic" w:eastAsia="Calibri" w:hAnsi="Century Gothic" w:cs="Arial"/>
          <w:bCs/>
          <w:i/>
          <w:iCs/>
          <w:color w:val="000000" w:themeColor="text1"/>
          <w:lang w:bidi="es-ES"/>
        </w:rPr>
        <w:t>contrato interadministrativo</w:t>
      </w:r>
      <w:r w:rsidRPr="00262F9B">
        <w:rPr>
          <w:rFonts w:ascii="Century Gothic" w:eastAsia="Calibri" w:hAnsi="Century Gothic" w:cs="Arial"/>
          <w:bCs/>
          <w:color w:val="000000" w:themeColor="text1"/>
          <w:lang w:bidi="es-ES"/>
        </w:rPr>
        <w:t xml:space="preserve"> se caracteriza por su naturaleza onerosa, patrimonial y se conforma por intereses básicamente contrapuestos, los </w:t>
      </w:r>
      <w:r w:rsidRPr="00262F9B">
        <w:rPr>
          <w:rFonts w:ascii="Century Gothic" w:eastAsia="Calibri" w:hAnsi="Century Gothic" w:cs="Arial"/>
          <w:bCs/>
          <w:i/>
          <w:iCs/>
          <w:color w:val="000000" w:themeColor="text1"/>
          <w:lang w:bidi="es-ES"/>
        </w:rPr>
        <w:t>convenios interadministrativos</w:t>
      </w:r>
      <w:r w:rsidRPr="00262F9B">
        <w:rPr>
          <w:rFonts w:ascii="Century Gothic" w:eastAsia="Calibri" w:hAnsi="Century Gothic" w:cs="Arial"/>
          <w:bCs/>
          <w:color w:val="000000" w:themeColor="text1"/>
          <w:lang w:bidi="es-ES"/>
        </w:rPr>
        <w:t>, por su parte, tienen una finalidad asociativa perseguida por las partes suscriptoras cuyos intereses se encaminan en la misma dirección y persiguen los mismos objetivos, de conformidad con el ejercicio de las funciones y competencias que les son propias y propendiendo por la cooperación interinstitucional. De aquí que la Sala de Consulta y Servicio Civil del Consejo de Estado haya señalado la necesidad de diferenciar el régimen jurídico aplicable a ciertas situaciones específicas del convenio interadministrativo que se separan del régimen jurídico común:</w:t>
      </w:r>
    </w:p>
    <w:p w14:paraId="782F6816" w14:textId="77777777" w:rsidR="00657E97" w:rsidRPr="00262F9B" w:rsidRDefault="00657E97" w:rsidP="00657E97">
      <w:pPr>
        <w:spacing w:beforeLines="120" w:before="288" w:afterLines="120" w:after="288" w:line="276" w:lineRule="auto"/>
        <w:ind w:firstLine="708"/>
        <w:contextualSpacing/>
        <w:rPr>
          <w:rFonts w:ascii="Century Gothic" w:eastAsia="Calibri" w:hAnsi="Century Gothic" w:cs="Arial"/>
          <w:bCs/>
          <w:color w:val="000000" w:themeColor="text1"/>
          <w:lang w:bidi="es-ES"/>
        </w:rPr>
      </w:pPr>
    </w:p>
    <w:p w14:paraId="4DB91C96" w14:textId="77777777" w:rsidR="00657E97" w:rsidRPr="00262F9B" w:rsidRDefault="00657E97" w:rsidP="00657E97">
      <w:pPr>
        <w:spacing w:beforeLines="120" w:before="288" w:afterLines="120" w:after="288" w:line="240" w:lineRule="auto"/>
        <w:ind w:left="709" w:right="709"/>
        <w:contextualSpacing/>
        <w:jc w:val="both"/>
        <w:rPr>
          <w:rFonts w:ascii="Century Gothic" w:eastAsia="Calibri" w:hAnsi="Century Gothic" w:cs="Arial"/>
          <w:bCs/>
          <w:color w:val="000000" w:themeColor="text1"/>
          <w:sz w:val="21"/>
          <w:lang w:bidi="es-ES"/>
        </w:rPr>
      </w:pPr>
      <w:r w:rsidRPr="00262F9B">
        <w:rPr>
          <w:rFonts w:ascii="Century Gothic" w:eastAsia="Calibri" w:hAnsi="Century Gothic" w:cs="Arial"/>
          <w:bCs/>
          <w:color w:val="000000" w:themeColor="text1"/>
          <w:sz w:val="21"/>
          <w:lang w:bidi="es-ES"/>
        </w:rPr>
        <w:t xml:space="preserve">“[E]s preciso señalar que los convenios interadministrativos se someten a los principios constitucionales y legales de la actividad contractual del Estado (transparencia, planeación, buena fe, entre otros) y, obviamente, a los principios de la función administrativa previstos en el artículo 209 CP (moralidad, economía, celeridad, entre otros), en virtud del carácter vinculante de los mismos, dentro del contexto de un ánimo de cooperación que se refleja en el plano de igualdad o equivalencia en que se celebran y ejecutan, lo que significa ausencia de prerrogativas en favor de una parte a costa de la otra. </w:t>
      </w:r>
    </w:p>
    <w:p w14:paraId="518A856D" w14:textId="77777777" w:rsidR="00657E97" w:rsidRPr="00262F9B" w:rsidRDefault="00657E97" w:rsidP="00657E97">
      <w:pPr>
        <w:spacing w:beforeLines="120" w:before="288" w:afterLines="120" w:after="288" w:line="240" w:lineRule="auto"/>
        <w:ind w:left="709" w:right="709"/>
        <w:contextualSpacing/>
        <w:jc w:val="both"/>
        <w:rPr>
          <w:rFonts w:ascii="Century Gothic" w:eastAsia="Calibri" w:hAnsi="Century Gothic" w:cs="Arial"/>
          <w:bCs/>
          <w:color w:val="000000" w:themeColor="text1"/>
          <w:sz w:val="12"/>
          <w:szCs w:val="12"/>
          <w:lang w:bidi="es-ES"/>
        </w:rPr>
      </w:pPr>
    </w:p>
    <w:p w14:paraId="4A2D85C2" w14:textId="77777777" w:rsidR="00657E97" w:rsidRPr="00262F9B" w:rsidRDefault="00657E97" w:rsidP="00657E97">
      <w:pPr>
        <w:spacing w:beforeLines="120" w:before="288" w:afterLines="120" w:after="288" w:line="240" w:lineRule="auto"/>
        <w:ind w:left="709" w:right="709"/>
        <w:contextualSpacing/>
        <w:jc w:val="both"/>
        <w:rPr>
          <w:rFonts w:ascii="Century Gothic" w:eastAsia="Calibri" w:hAnsi="Century Gothic" w:cs="Arial"/>
          <w:bCs/>
          <w:color w:val="000000" w:themeColor="text1"/>
          <w:sz w:val="21"/>
          <w:lang w:bidi="es-ES"/>
        </w:rPr>
      </w:pPr>
      <w:r w:rsidRPr="00262F9B">
        <w:rPr>
          <w:rFonts w:ascii="Century Gothic" w:eastAsia="Calibri" w:hAnsi="Century Gothic" w:cs="Arial"/>
          <w:bCs/>
          <w:color w:val="000000" w:themeColor="text1"/>
          <w:sz w:val="21"/>
          <w:lang w:bidi="es-ES"/>
        </w:rPr>
        <w:t>Ahora, dada la naturaleza jurídica explicada de los convenios interadministrativos</w:t>
      </w:r>
      <w:r w:rsidRPr="00262F9B">
        <w:rPr>
          <w:rFonts w:ascii="Century Gothic" w:eastAsia="Calibri" w:hAnsi="Century Gothic" w:cs="Arial"/>
          <w:bCs/>
          <w:i/>
          <w:iCs/>
          <w:color w:val="000000" w:themeColor="text1"/>
          <w:sz w:val="21"/>
          <w:lang w:bidi="es-ES"/>
        </w:rPr>
        <w:t xml:space="preserve">, las reglas del Estatuto General de Contratación de la Administración Pública contenidas en la actualidad en las Leyes 80 de 1993, 1150 de 2007 y 1474 de 2011, no resultan de aplicación automática a tales convenios, toda vez que ese Estatuto lo que esencialmente regula son relaciones contractuales de contenido patrimonial y oneroso. En tal </w:t>
      </w:r>
      <w:r w:rsidRPr="00262F9B">
        <w:rPr>
          <w:rFonts w:ascii="Century Gothic" w:eastAsia="Calibri" w:hAnsi="Century Gothic" w:cs="Arial"/>
          <w:bCs/>
          <w:i/>
          <w:iCs/>
          <w:color w:val="000000" w:themeColor="text1"/>
          <w:sz w:val="21"/>
          <w:lang w:bidi="es-ES"/>
        </w:rPr>
        <w:lastRenderedPageBreak/>
        <w:t>sentido, en cada caso concreto deberá analizarse, de conformidad con la naturaleza jurídica, objeto y finalidad que se pretende cumplir o desarrollar con el respectivo convenio, si la disposición correspondiente del Estatuto Contractual es aplicable o no”</w:t>
      </w:r>
      <w:r w:rsidRPr="00262F9B">
        <w:rPr>
          <w:rFonts w:ascii="Century Gothic" w:eastAsia="Calibri" w:hAnsi="Century Gothic" w:cs="Arial"/>
          <w:bCs/>
          <w:color w:val="000000" w:themeColor="text1"/>
          <w:sz w:val="21"/>
          <w:lang w:bidi="es-ES"/>
        </w:rPr>
        <w:t>.</w:t>
      </w:r>
      <w:r w:rsidRPr="00262F9B">
        <w:rPr>
          <w:rFonts w:ascii="Century Gothic" w:eastAsia="Calibri" w:hAnsi="Century Gothic" w:cs="Arial"/>
          <w:bCs/>
          <w:color w:val="000000" w:themeColor="text1"/>
          <w:sz w:val="21"/>
          <w:szCs w:val="21"/>
          <w:vertAlign w:val="superscript"/>
          <w:lang w:bidi="es-ES"/>
        </w:rPr>
        <w:footnoteReference w:id="8"/>
      </w:r>
      <w:r w:rsidRPr="00262F9B">
        <w:rPr>
          <w:rFonts w:ascii="Century Gothic" w:eastAsia="Calibri" w:hAnsi="Century Gothic" w:cs="Arial"/>
          <w:bCs/>
          <w:color w:val="000000" w:themeColor="text1"/>
          <w:sz w:val="21"/>
          <w:lang w:bidi="es-ES"/>
        </w:rPr>
        <w:t xml:space="preserve"> (Cursiva fuera del texto original) </w:t>
      </w:r>
    </w:p>
    <w:p w14:paraId="4F71312D" w14:textId="77777777" w:rsidR="00657E97" w:rsidRPr="00262F9B" w:rsidRDefault="00657E97" w:rsidP="00657E97">
      <w:pPr>
        <w:tabs>
          <w:tab w:val="left" w:pos="426"/>
        </w:tabs>
        <w:spacing w:after="0" w:line="276" w:lineRule="auto"/>
        <w:jc w:val="both"/>
        <w:rPr>
          <w:rFonts w:ascii="Century Gothic" w:eastAsia="Calibri" w:hAnsi="Century Gothic" w:cs="Arial"/>
          <w:color w:val="000000" w:themeColor="text1"/>
          <w:lang w:eastAsia="en-GB"/>
        </w:rPr>
      </w:pPr>
    </w:p>
    <w:p w14:paraId="4478730C" w14:textId="77777777" w:rsidR="00657E97" w:rsidRPr="00262F9B" w:rsidRDefault="00657E97" w:rsidP="00657E97">
      <w:pPr>
        <w:tabs>
          <w:tab w:val="left" w:pos="426"/>
        </w:tabs>
        <w:spacing w:after="120" w:line="276" w:lineRule="auto"/>
        <w:jc w:val="both"/>
        <w:rPr>
          <w:rFonts w:ascii="Century Gothic" w:eastAsia="Calibri" w:hAnsi="Century Gothic" w:cs="Arial"/>
          <w:color w:val="000000" w:themeColor="text1"/>
          <w:lang w:eastAsia="en-GB"/>
        </w:rPr>
      </w:pPr>
      <w:r w:rsidRPr="00262F9B">
        <w:rPr>
          <w:rFonts w:ascii="Century Gothic" w:eastAsia="Calibri" w:hAnsi="Century Gothic" w:cs="Arial"/>
          <w:color w:val="000000" w:themeColor="text1"/>
          <w:lang w:eastAsia="en-GB"/>
        </w:rPr>
        <w:tab/>
      </w:r>
      <w:r w:rsidRPr="00262F9B">
        <w:rPr>
          <w:rFonts w:ascii="Century Gothic" w:eastAsia="Calibri" w:hAnsi="Century Gothic" w:cs="Arial"/>
          <w:color w:val="000000" w:themeColor="text1"/>
          <w:lang w:eastAsia="en-GB"/>
        </w:rPr>
        <w:tab/>
        <w:t>De hecho, la distinción también se plantea en el ámbito del derecho privado con la referencia a los contratos de contraprestación y de colaboración</w:t>
      </w:r>
      <w:r w:rsidRPr="00262F9B">
        <w:rPr>
          <w:rStyle w:val="Refdenotaalpie"/>
          <w:rFonts w:ascii="Century Gothic" w:eastAsia="Calibri" w:hAnsi="Century Gothic" w:cs="Arial"/>
          <w:color w:val="000000" w:themeColor="text1"/>
          <w:lang w:eastAsia="en-GB"/>
        </w:rPr>
        <w:footnoteReference w:id="9"/>
      </w:r>
      <w:r w:rsidRPr="00262F9B">
        <w:rPr>
          <w:rFonts w:ascii="Century Gothic" w:eastAsia="Calibri" w:hAnsi="Century Gothic" w:cs="Arial"/>
          <w:color w:val="000000" w:themeColor="text1"/>
          <w:lang w:eastAsia="en-GB"/>
        </w:rPr>
        <w:t>; sin embargo, también se rigen por unos principios comunes, pues se forman por el consentimiento y de ambos se derivan el nacimiento de obligaciones para las partes. Por ello, “[…] Es evidente que el hecho de que las partes tengan intereses concordantes no implica en modo alguno que estas relaciones no quepan en el campo de la contratación […]”</w:t>
      </w:r>
      <w:r w:rsidRPr="00262F9B">
        <w:rPr>
          <w:rStyle w:val="Refdenotaalpie"/>
          <w:rFonts w:ascii="Century Gothic" w:eastAsia="Calibri" w:hAnsi="Century Gothic" w:cs="Arial"/>
          <w:color w:val="000000" w:themeColor="text1"/>
          <w:lang w:eastAsia="en-GB"/>
        </w:rPr>
        <w:footnoteReference w:id="10"/>
      </w:r>
      <w:r w:rsidRPr="00262F9B">
        <w:rPr>
          <w:rFonts w:ascii="Century Gothic" w:eastAsia="Calibri" w:hAnsi="Century Gothic" w:cs="Arial"/>
          <w:color w:val="000000" w:themeColor="text1"/>
          <w:lang w:eastAsia="en-GB"/>
        </w:rPr>
        <w:t xml:space="preserve">. </w:t>
      </w:r>
    </w:p>
    <w:p w14:paraId="5BE27C2F" w14:textId="77777777" w:rsidR="00657E97" w:rsidRPr="00262F9B" w:rsidRDefault="00657E97" w:rsidP="00657E97">
      <w:pPr>
        <w:pStyle w:val="Textoindependiente"/>
        <w:ind w:firstLine="709"/>
        <w:jc w:val="both"/>
        <w:rPr>
          <w:rFonts w:ascii="Century Gothic" w:hAnsi="Century Gothic" w:cs="Arial"/>
        </w:rPr>
      </w:pPr>
      <w:r w:rsidRPr="00262F9B">
        <w:rPr>
          <w:rFonts w:ascii="Century Gothic" w:hAnsi="Century Gothic" w:cs="Arial"/>
        </w:rPr>
        <w:t xml:space="preserve">Teniendo en cuenta lo anterior, no existe una definición legal que diferencie los conceptos de contrato y convenio. En tal sentido, teniendo en cuenta sus características comunes, las referencias realizadas por el legislador a estos términos deben asimilarse, salvo que de su contenido logre inferirse que se quiere otorgar un contenido en particular. Por lo demás, se reitera la conclusión en el sentido de que </w:t>
      </w:r>
      <w:r w:rsidRPr="00262F9B">
        <w:rPr>
          <w:rFonts w:ascii="Century Gothic" w:hAnsi="Century Gothic" w:cs="Arial"/>
        </w:rPr>
        <w:lastRenderedPageBreak/>
        <w:t xml:space="preserve">lo que define los contratos o convenios interadministrativos es la naturaleza de las partes, de manera que están determinados por un criterio orgánico, en el sentido de que lo serán aquellos celebrados entre entidades estatales. </w:t>
      </w:r>
    </w:p>
    <w:p w14:paraId="1AC2F556" w14:textId="77777777" w:rsidR="00657E97" w:rsidRPr="00262F9B" w:rsidRDefault="00657E97" w:rsidP="00657E97">
      <w:pPr>
        <w:pStyle w:val="Textoindependiente"/>
        <w:ind w:firstLine="709"/>
        <w:jc w:val="both"/>
        <w:rPr>
          <w:rFonts w:ascii="Century Gothic" w:hAnsi="Century Gothic" w:cs="Arial"/>
        </w:rPr>
      </w:pPr>
      <w:r w:rsidRPr="00262F9B">
        <w:rPr>
          <w:rFonts w:ascii="Century Gothic" w:hAnsi="Century Gothic" w:cs="Arial"/>
        </w:rPr>
        <w:t xml:space="preserve">Desde esta perspectiva, </w:t>
      </w:r>
      <w:bookmarkStart w:id="11" w:name="_Hlk138242918"/>
      <w:r w:rsidRPr="00262F9B">
        <w:rPr>
          <w:rFonts w:ascii="Century Gothic" w:hAnsi="Century Gothic" w:cs="Arial"/>
        </w:rPr>
        <w:t>los convenios de cooperación –por ejemplo, los previstos en el artículo 95 de la Ley 489 de 1998– también hacen parte de la actividad contractual del Estado. Como explica la doctrina, “[…] el convenio de la administración constituye formalmente una modalidad de la actividad contractual del Estado, entendida como la que se realiza mediando un acuerdo de voluntades […]”</w:t>
      </w:r>
      <w:r w:rsidRPr="00262F9B">
        <w:rPr>
          <w:rStyle w:val="Refdenotaalpie"/>
          <w:rFonts w:ascii="Century Gothic" w:hAnsi="Century Gothic" w:cs="Arial"/>
        </w:rPr>
        <w:footnoteReference w:id="11"/>
      </w:r>
      <w:r w:rsidRPr="00262F9B">
        <w:rPr>
          <w:rFonts w:ascii="Century Gothic" w:hAnsi="Century Gothic" w:cs="Arial"/>
        </w:rPr>
        <w:t xml:space="preserve">. Luego, considerando que el artículo 32 de la Ley 80 de 1993 define los contratos estatales como “[…] todos los actos jurídicos generadores de obligaciones que celebren las entidades a que se refiere el presente estatuto previstos en el derecho privado o en disposiciones especiales, o derivados del ejercicio de la autonomía de la voluntad […]”, aplican las restricciones previstas en el artículo 8 del Estatuto General de Contratación de la Administración Pública, en la medida que “Son inhábiles para participar en licitaciones o concursos y para celebrar contratos con las entidades estatales […] Las personas que se hallen inhabilitadas para contratar por la Constitución y las leyes”. </w:t>
      </w:r>
    </w:p>
    <w:p w14:paraId="444AAB0D" w14:textId="77777777" w:rsidR="00657E97" w:rsidRPr="00262F9B" w:rsidRDefault="00657E97" w:rsidP="00657E97">
      <w:pPr>
        <w:pStyle w:val="Textoindependiente"/>
        <w:spacing w:after="0"/>
        <w:ind w:firstLine="709"/>
        <w:jc w:val="both"/>
        <w:rPr>
          <w:rFonts w:ascii="Century Gothic" w:hAnsi="Century Gothic" w:cs="Arial"/>
        </w:rPr>
      </w:pPr>
      <w:r w:rsidRPr="00262F9B">
        <w:rPr>
          <w:rFonts w:ascii="Century Gothic" w:hAnsi="Century Gothic" w:cs="Arial"/>
        </w:rPr>
        <w:t xml:space="preserve">Aunque los convenios de cooperación sean celebrados por entidades exceptuadas, es necesario tener en cuenta que –según el inciso primero del artículo 13 de la Ley 1150 de 2007, modificado por el artículo 53 de la Ley 2195 de 2022– dispone que “[…]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Incluso se extienden </w:t>
      </w:r>
      <w:r w:rsidRPr="00262F9B">
        <w:rPr>
          <w:rFonts w:ascii="Century Gothic" w:eastAsia="Calibri" w:hAnsi="Century Gothic" w:cs="Arial"/>
          <w:bCs/>
          <w:color w:val="000000" w:themeColor="text1"/>
        </w:rPr>
        <w:t>al régimen de las ESAL de acuerdo con el artículo 6 del Decreto 092 de 2017</w:t>
      </w:r>
      <w:r w:rsidRPr="00262F9B">
        <w:rPr>
          <w:rStyle w:val="Refdenotaalpie"/>
          <w:rFonts w:ascii="Century Gothic" w:eastAsia="Calibri" w:hAnsi="Century Gothic" w:cs="Arial"/>
          <w:bCs/>
          <w:color w:val="000000" w:themeColor="text1"/>
        </w:rPr>
        <w:footnoteReference w:id="12"/>
      </w:r>
      <w:r w:rsidRPr="00262F9B">
        <w:rPr>
          <w:rFonts w:ascii="Century Gothic" w:hAnsi="Century Gothic" w:cs="Arial"/>
        </w:rPr>
        <w:t>. Por tanto, con las excepciones previstas en el ordenamiento jurídico para su aplicación, las inhabilidades e incompatibilidades son transversales al sistema de compras y contratación pública</w:t>
      </w:r>
      <w:r w:rsidRPr="00262F9B">
        <w:rPr>
          <w:rStyle w:val="Refdenotaalpie"/>
          <w:rFonts w:ascii="Century Gothic" w:hAnsi="Century Gothic" w:cs="Arial"/>
        </w:rPr>
        <w:footnoteReference w:id="13"/>
      </w:r>
      <w:r w:rsidRPr="00262F9B">
        <w:rPr>
          <w:rFonts w:ascii="Century Gothic" w:hAnsi="Century Gothic" w:cs="Arial"/>
        </w:rPr>
        <w:t xml:space="preserve">. </w:t>
      </w:r>
    </w:p>
    <w:bookmarkEnd w:id="11"/>
    <w:p w14:paraId="7F90DE25" w14:textId="77777777" w:rsidR="00657E97" w:rsidRPr="00262F9B" w:rsidRDefault="00657E97" w:rsidP="00657E97">
      <w:pPr>
        <w:pStyle w:val="Textoindependiente"/>
        <w:spacing w:after="0"/>
        <w:ind w:firstLine="709"/>
        <w:jc w:val="both"/>
        <w:rPr>
          <w:rFonts w:ascii="Century Gothic" w:hAnsi="Century Gothic" w:cs="Arial"/>
        </w:rPr>
      </w:pPr>
    </w:p>
    <w:p w14:paraId="73A73C21" w14:textId="77777777" w:rsidR="00657E97" w:rsidRPr="00262F9B" w:rsidRDefault="00657E97" w:rsidP="00657E97">
      <w:pPr>
        <w:pStyle w:val="Sinespaciado"/>
        <w:widowControl w:val="0"/>
        <w:autoSpaceDE w:val="0"/>
        <w:autoSpaceDN w:val="0"/>
        <w:spacing w:line="276" w:lineRule="auto"/>
        <w:jc w:val="both"/>
        <w:rPr>
          <w:rFonts w:ascii="Century Gothic" w:hAnsi="Century Gothic" w:cs="Arial"/>
          <w:b/>
          <w:sz w:val="22"/>
        </w:rPr>
      </w:pPr>
      <w:r w:rsidRPr="00262F9B">
        <w:rPr>
          <w:rFonts w:ascii="Century Gothic" w:hAnsi="Century Gothic" w:cs="Arial"/>
          <w:b/>
          <w:sz w:val="22"/>
        </w:rPr>
        <w:t xml:space="preserve">2.2. Régimen de inhabilidades e incompatibilidades para contratar con el Estado </w:t>
      </w:r>
      <w:bookmarkEnd w:id="6"/>
    </w:p>
    <w:p w14:paraId="71BAC694" w14:textId="77777777" w:rsidR="00657E97" w:rsidRPr="00262F9B" w:rsidRDefault="00657E97" w:rsidP="00657E97">
      <w:pPr>
        <w:pStyle w:val="Sinespaciado"/>
        <w:spacing w:line="276" w:lineRule="auto"/>
        <w:jc w:val="both"/>
        <w:rPr>
          <w:rFonts w:ascii="Century Gothic" w:hAnsi="Century Gothic" w:cs="Arial"/>
          <w:sz w:val="22"/>
        </w:rPr>
      </w:pPr>
    </w:p>
    <w:p w14:paraId="25612111" w14:textId="77777777" w:rsidR="00657E97" w:rsidRPr="00262F9B" w:rsidRDefault="00657E97" w:rsidP="00657E97">
      <w:pPr>
        <w:pStyle w:val="Sinespaciado"/>
        <w:spacing w:after="120" w:line="276" w:lineRule="auto"/>
        <w:jc w:val="both"/>
        <w:rPr>
          <w:rFonts w:ascii="Century Gothic" w:hAnsi="Century Gothic" w:cs="Arial"/>
          <w:sz w:val="22"/>
        </w:rPr>
      </w:pPr>
      <w:r w:rsidRPr="00262F9B">
        <w:rPr>
          <w:rFonts w:ascii="Century Gothic" w:hAnsi="Century Gothic" w:cs="Arial"/>
          <w:sz w:val="22"/>
        </w:rPr>
        <w:t xml:space="preserve">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14:paraId="1A3E420D" w14:textId="77777777" w:rsidR="00657E97" w:rsidRPr="00262F9B" w:rsidRDefault="00657E97" w:rsidP="00657E97">
      <w:pPr>
        <w:ind w:firstLine="709"/>
        <w:jc w:val="both"/>
        <w:rPr>
          <w:rFonts w:ascii="Century Gothic" w:hAnsi="Century Gothic" w:cs="Arial"/>
        </w:rPr>
      </w:pPr>
      <w:r w:rsidRPr="00262F9B">
        <w:rPr>
          <w:rFonts w:ascii="Century Gothic" w:hAnsi="Century Gothic" w:cs="Arial"/>
        </w:rPr>
        <w:t>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262F9B">
        <w:rPr>
          <w:rStyle w:val="Refdenotaalpie"/>
          <w:rFonts w:ascii="Century Gothic" w:hAnsi="Century Gothic" w:cs="Arial"/>
        </w:rPr>
        <w:footnoteReference w:id="14"/>
      </w:r>
      <w:r w:rsidRPr="00262F9B">
        <w:rPr>
          <w:rFonts w:ascii="Century Gothic" w:hAnsi="Century Gothic" w:cs="Arial"/>
        </w:rPr>
        <w:t>.</w:t>
      </w:r>
    </w:p>
    <w:p w14:paraId="61789B07" w14:textId="77777777" w:rsidR="00657E97" w:rsidRPr="00262F9B" w:rsidRDefault="00657E97" w:rsidP="00657E97">
      <w:pPr>
        <w:pStyle w:val="Sinespaciado"/>
        <w:spacing w:before="120" w:line="276" w:lineRule="auto"/>
        <w:ind w:firstLine="709"/>
        <w:jc w:val="both"/>
        <w:rPr>
          <w:rFonts w:ascii="Century Gothic" w:hAnsi="Century Gothic" w:cs="Arial"/>
          <w:sz w:val="22"/>
        </w:rPr>
      </w:pPr>
      <w:r w:rsidRPr="00262F9B">
        <w:rPr>
          <w:rFonts w:ascii="Century Gothic" w:hAnsi="Century Gothic" w:cs="Arial"/>
          <w:sz w:val="22"/>
        </w:rPr>
        <w:t xml:space="preserve">La consagración limitaciones que afectan la capacidad jurídica para contratar desarrolla los principios de la función administrativa consagrados en el artículo 209 de la Constitución Política, con especial énfasis el de moralidad. Así lo entiende el Consejo de Estado: </w:t>
      </w:r>
    </w:p>
    <w:p w14:paraId="6AE03F1F" w14:textId="77777777" w:rsidR="00657E97" w:rsidRPr="00262F9B" w:rsidRDefault="00657E97" w:rsidP="00657E97">
      <w:pPr>
        <w:pStyle w:val="Sinespaciado"/>
        <w:spacing w:line="276" w:lineRule="auto"/>
        <w:jc w:val="both"/>
        <w:rPr>
          <w:rFonts w:ascii="Century Gothic" w:hAnsi="Century Gothic" w:cs="Arial"/>
          <w:sz w:val="22"/>
        </w:rPr>
      </w:pPr>
    </w:p>
    <w:p w14:paraId="37E27176" w14:textId="77777777" w:rsidR="00657E97" w:rsidRPr="00262F9B" w:rsidRDefault="00657E97" w:rsidP="00657E97">
      <w:pPr>
        <w:pStyle w:val="NormalWeb"/>
        <w:shd w:val="clear" w:color="auto" w:fill="FFFFFF"/>
        <w:spacing w:before="0" w:beforeAutospacing="0" w:after="120" w:afterAutospacing="0"/>
        <w:ind w:left="709" w:right="709"/>
        <w:jc w:val="both"/>
        <w:rPr>
          <w:rFonts w:ascii="Century Gothic" w:eastAsiaTheme="minorHAnsi" w:hAnsi="Century Gothic" w:cs="Arial"/>
          <w:sz w:val="21"/>
          <w:szCs w:val="21"/>
          <w:lang w:val="es-ES" w:eastAsia="en-US"/>
        </w:rPr>
      </w:pPr>
      <w:r w:rsidRPr="00262F9B">
        <w:rPr>
          <w:rFonts w:ascii="Century Gothic" w:eastAsiaTheme="minorHAnsi" w:hAnsi="Century Gothic" w:cs="Arial"/>
          <w:sz w:val="21"/>
          <w:szCs w:val="21"/>
          <w:lang w:val="es-ES" w:eastAsia="en-U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0527969C" w14:textId="77777777" w:rsidR="00657E97" w:rsidRPr="00262F9B" w:rsidRDefault="00657E97" w:rsidP="00657E97">
      <w:pPr>
        <w:pStyle w:val="NormalWeb"/>
        <w:shd w:val="clear" w:color="auto" w:fill="FFFFFF"/>
        <w:spacing w:before="0" w:beforeAutospacing="0" w:after="0" w:afterAutospacing="0"/>
        <w:ind w:left="709" w:right="709"/>
        <w:jc w:val="both"/>
        <w:rPr>
          <w:rFonts w:ascii="Century Gothic" w:eastAsiaTheme="minorHAnsi" w:hAnsi="Century Gothic" w:cs="Arial"/>
          <w:sz w:val="21"/>
          <w:szCs w:val="21"/>
          <w:lang w:val="es-ES" w:eastAsia="en-US"/>
        </w:rPr>
      </w:pPr>
      <w:r w:rsidRPr="00262F9B">
        <w:rPr>
          <w:rFonts w:ascii="Century Gothic" w:eastAsiaTheme="minorHAnsi" w:hAnsi="Century Gothic" w:cs="Arial"/>
          <w:sz w:val="21"/>
          <w:szCs w:val="21"/>
          <w:lang w:val="es-ES" w:eastAsia="en-US"/>
        </w:rPr>
        <w:t xml:space="preserve">Adicionalmente, toda vez que la Jurisprudencia Constitucional se ha referido a la protección del Interés General como causa que legitima la </w:t>
      </w:r>
      <w:r w:rsidRPr="00262F9B">
        <w:rPr>
          <w:rFonts w:ascii="Century Gothic" w:eastAsiaTheme="minorHAnsi" w:hAnsi="Century Gothic" w:cs="Arial"/>
          <w:sz w:val="21"/>
          <w:szCs w:val="21"/>
          <w:lang w:val="es-ES" w:eastAsia="en-US"/>
        </w:rPr>
        <w:lastRenderedPageBreak/>
        <w:t>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262F9B">
        <w:rPr>
          <w:rStyle w:val="Refdenotaalpie"/>
          <w:rFonts w:ascii="Century Gothic" w:eastAsiaTheme="minorHAnsi" w:hAnsi="Century Gothic" w:cs="Arial"/>
          <w:sz w:val="21"/>
          <w:szCs w:val="21"/>
          <w:lang w:val="es-ES" w:eastAsia="en-US"/>
        </w:rPr>
        <w:footnoteReference w:id="15"/>
      </w:r>
      <w:r w:rsidRPr="00262F9B">
        <w:rPr>
          <w:rFonts w:ascii="Century Gothic" w:eastAsiaTheme="minorHAnsi" w:hAnsi="Century Gothic" w:cs="Arial"/>
          <w:sz w:val="21"/>
          <w:szCs w:val="21"/>
          <w:lang w:val="es-ES" w:eastAsia="en-US"/>
        </w:rPr>
        <w:t>.</w:t>
      </w:r>
    </w:p>
    <w:p w14:paraId="5AC990DF" w14:textId="77777777" w:rsidR="00657E97" w:rsidRPr="00262F9B" w:rsidRDefault="00657E97" w:rsidP="00657E97">
      <w:pPr>
        <w:pStyle w:val="NormalWeb"/>
        <w:shd w:val="clear" w:color="auto" w:fill="FFFFFF"/>
        <w:spacing w:before="0" w:beforeAutospacing="0" w:after="0" w:afterAutospacing="0" w:line="276" w:lineRule="auto"/>
        <w:ind w:left="709" w:right="709"/>
        <w:jc w:val="both"/>
        <w:rPr>
          <w:rFonts w:ascii="Century Gothic" w:eastAsiaTheme="minorHAnsi" w:hAnsi="Century Gothic" w:cs="Arial"/>
          <w:sz w:val="22"/>
          <w:szCs w:val="22"/>
          <w:lang w:val="es-ES" w:eastAsia="en-US"/>
        </w:rPr>
      </w:pPr>
    </w:p>
    <w:p w14:paraId="01C7AFAE" w14:textId="77777777" w:rsidR="00657E97" w:rsidRPr="00262F9B" w:rsidRDefault="00657E97" w:rsidP="00657E97">
      <w:pPr>
        <w:pStyle w:val="Sinespaciado"/>
        <w:spacing w:line="276" w:lineRule="auto"/>
        <w:ind w:firstLine="709"/>
        <w:jc w:val="both"/>
        <w:rPr>
          <w:rFonts w:ascii="Century Gothic" w:hAnsi="Century Gothic" w:cs="Arial"/>
          <w:sz w:val="22"/>
        </w:rPr>
      </w:pPr>
      <w:r w:rsidRPr="00262F9B">
        <w:rPr>
          <w:rFonts w:ascii="Century Gothic" w:hAnsi="Century Gothic" w:cs="Arial"/>
          <w:sz w:val="22"/>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estar justificadas en la salvaguarda del interés general y que su lectura e interpretación es taxativa y restrictiva: </w:t>
      </w:r>
    </w:p>
    <w:p w14:paraId="64AB5291" w14:textId="77777777" w:rsidR="00657E97" w:rsidRPr="00262F9B" w:rsidRDefault="00657E97" w:rsidP="00657E97">
      <w:pPr>
        <w:pStyle w:val="Sinespaciado"/>
        <w:spacing w:line="276" w:lineRule="auto"/>
        <w:ind w:firstLine="709"/>
        <w:jc w:val="both"/>
        <w:rPr>
          <w:rFonts w:ascii="Century Gothic" w:hAnsi="Century Gothic" w:cs="Arial"/>
          <w:sz w:val="22"/>
        </w:rPr>
      </w:pPr>
    </w:p>
    <w:p w14:paraId="1B8B72E6" w14:textId="77777777" w:rsidR="00657E97" w:rsidRPr="00262F9B" w:rsidRDefault="00657E97" w:rsidP="00657E97">
      <w:pPr>
        <w:spacing w:line="240" w:lineRule="auto"/>
        <w:ind w:left="709" w:right="709"/>
        <w:jc w:val="both"/>
        <w:rPr>
          <w:rFonts w:ascii="Century Gothic" w:hAnsi="Century Gothic" w:cs="Arial"/>
          <w:sz w:val="21"/>
          <w:szCs w:val="21"/>
        </w:rPr>
      </w:pPr>
      <w:r w:rsidRPr="00262F9B">
        <w:rPr>
          <w:rFonts w:ascii="Century Gothic" w:hAnsi="Century Gothic" w:cs="Arial"/>
          <w:sz w:val="21"/>
          <w:szCs w:val="21"/>
        </w:rPr>
        <w:t xml:space="preserve">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w:t>
      </w:r>
      <w:proofErr w:type="gramStart"/>
      <w:r w:rsidRPr="00262F9B">
        <w:rPr>
          <w:rFonts w:ascii="Century Gothic" w:hAnsi="Century Gothic" w:cs="Arial"/>
          <w:sz w:val="21"/>
          <w:szCs w:val="21"/>
        </w:rPr>
        <w:t>incompatibilidades,</w:t>
      </w:r>
      <w:proofErr w:type="gramEnd"/>
      <w:r w:rsidRPr="00262F9B">
        <w:rPr>
          <w:rFonts w:ascii="Century Gothic" w:hAnsi="Century Gothic" w:cs="Arial"/>
          <w:sz w:val="21"/>
          <w:szCs w:val="21"/>
        </w:rPr>
        <w:t xml:space="preserve"> se erige en causal de nulidad del contrato celebrado en esas condiciones (ley 80 de 1993, art. 44).</w:t>
      </w:r>
    </w:p>
    <w:p w14:paraId="4FC3B373" w14:textId="77777777" w:rsidR="00657E97" w:rsidRPr="00262F9B" w:rsidRDefault="00657E97" w:rsidP="00657E97">
      <w:pPr>
        <w:spacing w:after="0" w:line="240" w:lineRule="auto"/>
        <w:ind w:left="709" w:right="709"/>
        <w:jc w:val="both"/>
        <w:rPr>
          <w:rFonts w:ascii="Century Gothic" w:hAnsi="Century Gothic" w:cs="Arial"/>
          <w:sz w:val="21"/>
          <w:szCs w:val="21"/>
        </w:rPr>
      </w:pPr>
      <w:r w:rsidRPr="00262F9B">
        <w:rPr>
          <w:rFonts w:ascii="Century Gothic" w:hAnsi="Century Gothic" w:cs="Arial"/>
          <w:sz w:val="21"/>
          <w:szCs w:val="21"/>
        </w:rPr>
        <w:t xml:space="preserve">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w:t>
      </w:r>
      <w:r w:rsidRPr="00262F9B">
        <w:rPr>
          <w:rFonts w:ascii="Century Gothic" w:hAnsi="Century Gothic" w:cs="Arial"/>
          <w:sz w:val="21"/>
          <w:szCs w:val="21"/>
        </w:rPr>
        <w:lastRenderedPageBreak/>
        <w:t>legítimo para restringir, en ese caso, el derecho a la igualdad y el reconocimiento de la personalidad jurídica de las personas que resultan rechazadas del ámbito contractual del Estado</w:t>
      </w:r>
      <w:r w:rsidRPr="00262F9B">
        <w:rPr>
          <w:rStyle w:val="Refdenotaalpie"/>
          <w:rFonts w:ascii="Century Gothic" w:hAnsi="Century Gothic" w:cs="Arial"/>
          <w:sz w:val="21"/>
          <w:szCs w:val="21"/>
        </w:rPr>
        <w:footnoteReference w:id="16"/>
      </w:r>
      <w:r w:rsidRPr="00262F9B">
        <w:rPr>
          <w:rFonts w:ascii="Century Gothic" w:hAnsi="Century Gothic" w:cs="Arial"/>
          <w:sz w:val="21"/>
          <w:szCs w:val="21"/>
        </w:rPr>
        <w:t>.</w:t>
      </w:r>
    </w:p>
    <w:p w14:paraId="21C83113" w14:textId="77777777" w:rsidR="00657E97" w:rsidRPr="00262F9B" w:rsidRDefault="00657E97" w:rsidP="00657E97">
      <w:pPr>
        <w:spacing w:after="0" w:line="276" w:lineRule="auto"/>
        <w:ind w:right="709"/>
        <w:jc w:val="both"/>
        <w:rPr>
          <w:rFonts w:ascii="Century Gothic" w:hAnsi="Century Gothic" w:cs="Arial"/>
        </w:rPr>
      </w:pPr>
    </w:p>
    <w:p w14:paraId="180F67C4" w14:textId="77777777" w:rsidR="00657E97" w:rsidRPr="00262F9B" w:rsidRDefault="00657E97" w:rsidP="00657E97">
      <w:pPr>
        <w:spacing w:after="0"/>
        <w:ind w:firstLine="709"/>
        <w:jc w:val="both"/>
        <w:rPr>
          <w:rFonts w:ascii="Century Gothic" w:hAnsi="Century Gothic" w:cs="Arial"/>
        </w:rPr>
      </w:pPr>
      <w:r w:rsidRPr="00262F9B">
        <w:rPr>
          <w:rFonts w:ascii="Century Gothic" w:hAnsi="Century Gothic" w:cs="Arial"/>
        </w:rPr>
        <w:t>Además, la Corte Constitucional explica que el legislador tiene la competencia para determinar qué hechos o situaciones generan inhabilidad para contratar, pues este régimen es un aspecto propio del Estatuto General de Contratación de la Administración Pública, cuya expedición compete al Congreso de la República a la luz del artículo 150 de la Constitución Política, y que en esta materia rige el principio de legalidad:</w:t>
      </w:r>
    </w:p>
    <w:p w14:paraId="220C9715" w14:textId="77777777" w:rsidR="00657E97" w:rsidRPr="00262F9B" w:rsidRDefault="00657E97" w:rsidP="00657E97">
      <w:pPr>
        <w:pStyle w:val="Sinespaciado"/>
        <w:tabs>
          <w:tab w:val="left" w:pos="1532"/>
        </w:tabs>
        <w:spacing w:line="276" w:lineRule="auto"/>
        <w:jc w:val="both"/>
        <w:rPr>
          <w:rFonts w:ascii="Century Gothic" w:hAnsi="Century Gothic" w:cs="Arial"/>
          <w:sz w:val="22"/>
        </w:rPr>
      </w:pPr>
    </w:p>
    <w:p w14:paraId="580CC20A" w14:textId="77777777" w:rsidR="00657E97" w:rsidRPr="00262F9B" w:rsidRDefault="00657E97" w:rsidP="00657E97">
      <w:pPr>
        <w:spacing w:after="0" w:line="240" w:lineRule="auto"/>
        <w:ind w:left="709" w:right="709"/>
        <w:jc w:val="both"/>
        <w:rPr>
          <w:rFonts w:ascii="Century Gothic" w:hAnsi="Century Gothic" w:cs="Arial"/>
          <w:sz w:val="21"/>
          <w:szCs w:val="21"/>
        </w:rPr>
      </w:pPr>
      <w:r w:rsidRPr="00262F9B">
        <w:rPr>
          <w:rFonts w:ascii="Century Gothic" w:hAnsi="Century Gothic" w:cs="Arial"/>
          <w:sz w:val="21"/>
          <w:szCs w:val="21"/>
        </w:rPr>
        <w:t>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w:t>
      </w:r>
      <w:r w:rsidRPr="00262F9B">
        <w:rPr>
          <w:rFonts w:ascii="Century Gothic" w:hAnsi="Century Gothic" w:cs="Arial"/>
          <w:i/>
          <w:iCs/>
          <w:sz w:val="21"/>
          <w:szCs w:val="21"/>
        </w:rPr>
        <w:t>pro libertate</w:t>
      </w:r>
      <w:r w:rsidRPr="00262F9B">
        <w:rPr>
          <w:rFonts w:ascii="Century Gothic" w:hAnsi="Century Gothic" w:cs="Arial"/>
          <w:sz w:val="21"/>
          <w:szCs w:val="21"/>
        </w:rPr>
        <w:t xml:space="preserve">, sino el de legalidad, el que ordena que la función pública debe someterse estrictamente a lo que disponga la Constitución y la ley (CP art. 6). </w:t>
      </w:r>
    </w:p>
    <w:p w14:paraId="7C7CE96C" w14:textId="77777777" w:rsidR="00657E97" w:rsidRPr="00262F9B" w:rsidRDefault="00657E97" w:rsidP="00657E97">
      <w:pPr>
        <w:spacing w:after="120" w:line="240" w:lineRule="auto"/>
        <w:ind w:left="709" w:right="709"/>
        <w:jc w:val="both"/>
        <w:rPr>
          <w:rFonts w:ascii="Century Gothic" w:hAnsi="Century Gothic" w:cs="Arial"/>
          <w:sz w:val="21"/>
          <w:szCs w:val="21"/>
        </w:rPr>
      </w:pPr>
      <w:r w:rsidRPr="00262F9B">
        <w:rPr>
          <w:rFonts w:ascii="Century Gothic" w:hAnsi="Century Gothic" w:cs="Arial"/>
          <w:sz w:val="21"/>
          <w:szCs w:val="21"/>
        </w:rPr>
        <w:t xml:space="preserve">[…] </w:t>
      </w:r>
    </w:p>
    <w:p w14:paraId="5F13D4BC" w14:textId="77777777" w:rsidR="00657E97" w:rsidRPr="00262F9B" w:rsidRDefault="00657E97" w:rsidP="00657E97">
      <w:pPr>
        <w:spacing w:after="0" w:line="240" w:lineRule="auto"/>
        <w:ind w:left="709" w:right="709"/>
        <w:jc w:val="both"/>
        <w:rPr>
          <w:rFonts w:ascii="Century Gothic" w:hAnsi="Century Gothic" w:cs="Arial"/>
          <w:sz w:val="21"/>
          <w:szCs w:val="21"/>
        </w:rPr>
      </w:pPr>
      <w:r w:rsidRPr="00262F9B">
        <w:rPr>
          <w:rFonts w:ascii="Century Gothic" w:hAnsi="Century Gothic" w:cs="Arial"/>
          <w:sz w:val="21"/>
          <w:szCs w:val="21"/>
        </w:rPr>
        <w:t xml:space="preserve">Se comprende con facilidad que el régimen de inhabilidades e </w:t>
      </w:r>
      <w:proofErr w:type="gramStart"/>
      <w:r w:rsidRPr="00262F9B">
        <w:rPr>
          <w:rFonts w:ascii="Century Gothic" w:hAnsi="Century Gothic" w:cs="Arial"/>
          <w:sz w:val="21"/>
          <w:szCs w:val="21"/>
        </w:rPr>
        <w:t>incompatibilidades,</w:t>
      </w:r>
      <w:proofErr w:type="gramEnd"/>
      <w:r w:rsidRPr="00262F9B">
        <w:rPr>
          <w:rFonts w:ascii="Century Gothic" w:hAnsi="Century Gothic" w:cs="Arial"/>
          <w:sz w:val="21"/>
          <w:szCs w:val="21"/>
        </w:rPr>
        <w:t xml:space="preserve"> corresponde a una materia de normal y obligada inclusión en un estatuto contractual. El legislador, a quien se ha confiado expedir el indicado estatuto, tiene, pues, competencia para establecerlo (CP art. 150)</w:t>
      </w:r>
      <w:r w:rsidRPr="00262F9B">
        <w:rPr>
          <w:rStyle w:val="Refdenotaalpie"/>
          <w:rFonts w:ascii="Century Gothic" w:hAnsi="Century Gothic" w:cs="Arial"/>
          <w:sz w:val="21"/>
          <w:szCs w:val="21"/>
        </w:rPr>
        <w:footnoteReference w:id="17"/>
      </w:r>
      <w:r w:rsidRPr="00262F9B">
        <w:rPr>
          <w:rFonts w:ascii="Century Gothic" w:hAnsi="Century Gothic" w:cs="Arial"/>
          <w:sz w:val="21"/>
          <w:szCs w:val="21"/>
        </w:rPr>
        <w:t>.</w:t>
      </w:r>
    </w:p>
    <w:p w14:paraId="16D51DEB" w14:textId="77777777" w:rsidR="00657E97" w:rsidRPr="00262F9B" w:rsidRDefault="00657E97" w:rsidP="00657E97">
      <w:pPr>
        <w:spacing w:after="0" w:line="276" w:lineRule="auto"/>
        <w:ind w:left="709" w:right="709"/>
        <w:jc w:val="both"/>
        <w:rPr>
          <w:rFonts w:ascii="Century Gothic" w:hAnsi="Century Gothic" w:cs="Arial"/>
        </w:rPr>
      </w:pPr>
    </w:p>
    <w:p w14:paraId="08E99040" w14:textId="77777777" w:rsidR="00657E97" w:rsidRPr="00262F9B" w:rsidRDefault="00657E97" w:rsidP="00657E97">
      <w:pPr>
        <w:spacing w:after="0"/>
        <w:ind w:firstLine="709"/>
        <w:jc w:val="both"/>
        <w:rPr>
          <w:rFonts w:ascii="Century Gothic" w:hAnsi="Century Gothic" w:cs="Arial"/>
        </w:rPr>
      </w:pPr>
      <w:r w:rsidRPr="00262F9B">
        <w:rPr>
          <w:rFonts w:ascii="Century Gothic" w:hAnsi="Century Gothic" w:cs="Arial"/>
        </w:rPr>
        <w:t>Conviene también distinguir las fuentes de las inhabilidades, las cuales han sido clasificadas en dos (2) grupos: i) inhabilidades-sanción y ii)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262F9B">
        <w:rPr>
          <w:rStyle w:val="Refdenotaalpie"/>
          <w:rFonts w:ascii="Century Gothic" w:hAnsi="Century Gothic" w:cs="Arial"/>
        </w:rPr>
        <w:footnoteReference w:id="18"/>
      </w:r>
      <w:r w:rsidRPr="00262F9B">
        <w:rPr>
          <w:rFonts w:ascii="Century Gothic" w:hAnsi="Century Gothic" w:cs="Arial"/>
        </w:rPr>
        <w:t>.</w:t>
      </w:r>
    </w:p>
    <w:p w14:paraId="034F8C7E" w14:textId="77777777" w:rsidR="00657E97" w:rsidRPr="00262F9B" w:rsidRDefault="00657E97" w:rsidP="00657E97">
      <w:pPr>
        <w:spacing w:before="120" w:after="0"/>
        <w:ind w:firstLine="708"/>
        <w:jc w:val="both"/>
        <w:rPr>
          <w:rFonts w:ascii="Century Gothic" w:hAnsi="Century Gothic" w:cs="Arial"/>
        </w:rPr>
      </w:pPr>
      <w:r w:rsidRPr="00262F9B">
        <w:rPr>
          <w:rFonts w:ascii="Century Gothic" w:hAnsi="Century Gothic" w:cs="Arial"/>
        </w:rPr>
        <w:lastRenderedPageBreak/>
        <w:t>A manera de ejemplo, en materia contractual, los literales c), d) y j) del numeral 1 del artículo 8 de la Ley 80 de 1993</w:t>
      </w:r>
      <w:r w:rsidRPr="00262F9B">
        <w:rPr>
          <w:rStyle w:val="Refdenotaalpie"/>
          <w:rFonts w:ascii="Century Gothic" w:hAnsi="Century Gothic" w:cs="Arial"/>
        </w:rPr>
        <w:footnoteReference w:id="19"/>
      </w:r>
      <w:r w:rsidRPr="00262F9B">
        <w:rPr>
          <w:rFonts w:ascii="Century Gothic" w:hAnsi="Century Gothic" w:cs="Arial"/>
        </w:rPr>
        <w:t xml:space="preserve"> establecen inhabilidades-sanción, </w:t>
      </w:r>
      <w:r w:rsidRPr="00262F9B">
        <w:rPr>
          <w:rFonts w:ascii="Century Gothic" w:hAnsi="Century Gothic" w:cs="Arial"/>
        </w:rPr>
        <w:lastRenderedPageBreak/>
        <w:t xml:space="preserve">porque la prohibición para contratar con el Estado en esos eventos es una consecuencia de una declaratoria de responsabilidad que surge luego de un proceso sancionatorio –administrativo, disciplinario o penal–; mientras que las inhabilidades de los literales f), g) y h) del literal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bookmarkStart w:id="12" w:name="_Hlk40976328"/>
      <w:r w:rsidRPr="00262F9B">
        <w:rPr>
          <w:rFonts w:ascii="Century Gothic" w:hAnsi="Century Gothic" w:cs="Arial"/>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bookmarkEnd w:id="12"/>
    </w:p>
    <w:p w14:paraId="1DCD7BD1" w14:textId="77777777" w:rsidR="00657E97" w:rsidRPr="00262F9B" w:rsidRDefault="00657E97" w:rsidP="00657E97">
      <w:pPr>
        <w:spacing w:after="0"/>
        <w:ind w:firstLine="709"/>
        <w:jc w:val="both"/>
        <w:rPr>
          <w:rFonts w:ascii="Century Gothic" w:hAnsi="Century Gothic" w:cs="Arial"/>
        </w:rPr>
      </w:pPr>
    </w:p>
    <w:p w14:paraId="6F13C3B0" w14:textId="77777777" w:rsidR="00657E97" w:rsidRPr="00262F9B" w:rsidRDefault="00657E97" w:rsidP="00657E97">
      <w:pPr>
        <w:tabs>
          <w:tab w:val="left" w:pos="426"/>
        </w:tabs>
        <w:spacing w:after="0"/>
        <w:jc w:val="both"/>
        <w:rPr>
          <w:rFonts w:ascii="Century Gothic" w:eastAsia="Calibri" w:hAnsi="Century Gothic" w:cs="Arial"/>
          <w:b/>
          <w:lang w:val="es-ES_tradnl"/>
        </w:rPr>
      </w:pPr>
      <w:r w:rsidRPr="00262F9B">
        <w:rPr>
          <w:rFonts w:ascii="Century Gothic" w:eastAsia="Calibri" w:hAnsi="Century Gothic" w:cs="Arial"/>
          <w:b/>
          <w:lang w:val="es-ES_tradnl"/>
        </w:rPr>
        <w:t>2.3. Régimen de inhabilidades e incompatibilidades en la contratación estatal: un límite a la capacidad contractual. La interpretación restrictiva como criterio hermenéutico de los enunciados normativos gravosos y la reserva de ley</w:t>
      </w:r>
    </w:p>
    <w:p w14:paraId="644721B5" w14:textId="77777777" w:rsidR="00657E97" w:rsidRPr="00262F9B" w:rsidRDefault="00657E97" w:rsidP="00657E97">
      <w:pPr>
        <w:spacing w:after="0"/>
        <w:ind w:right="709"/>
        <w:jc w:val="both"/>
        <w:rPr>
          <w:rFonts w:ascii="Century Gothic" w:eastAsia="Calibri" w:hAnsi="Century Gothic" w:cs="Arial"/>
          <w:lang w:val="es-ES_tradnl"/>
        </w:rPr>
      </w:pPr>
    </w:p>
    <w:p w14:paraId="17E516D1" w14:textId="77777777" w:rsidR="00657E97" w:rsidRPr="00262F9B" w:rsidRDefault="00657E97" w:rsidP="00657E97">
      <w:pPr>
        <w:spacing w:after="120"/>
        <w:jc w:val="both"/>
        <w:rPr>
          <w:rFonts w:ascii="Century Gothic" w:eastAsia="Calibri" w:hAnsi="Century Gothic" w:cs="Arial"/>
          <w:lang w:val="es-ES_tradnl"/>
        </w:rPr>
      </w:pPr>
      <w:r w:rsidRPr="00262F9B">
        <w:rPr>
          <w:rFonts w:ascii="Century Gothic" w:eastAsia="Calibri" w:hAnsi="Century Gothic" w:cs="Arial"/>
          <w:lang w:val="es-ES_tradnl"/>
        </w:rPr>
        <w:t xml:space="preserve">En la contratación estatal, la </w:t>
      </w:r>
      <w:r w:rsidRPr="00262F9B">
        <w:rPr>
          <w:rFonts w:ascii="Century Gothic" w:eastAsia="Calibri" w:hAnsi="Century Gothic" w:cs="Arial"/>
          <w:i/>
          <w:iCs/>
          <w:lang w:val="es-ES_tradnl"/>
        </w:rPr>
        <w:t>capacidad</w:t>
      </w:r>
      <w:r w:rsidRPr="00262F9B">
        <w:rPr>
          <w:rFonts w:ascii="Century Gothic" w:eastAsia="Calibri" w:hAnsi="Century Gothic" w:cs="Arial"/>
          <w:lang w:val="es-ES_tradnl"/>
        </w:rPr>
        <w:t xml:space="preserve"> también es un requisito de validez de los contratos, tanto en el régimen de las entidades sujetas al Estatuto General de Contratación de la Administración Pública</w:t>
      </w:r>
      <w:r w:rsidRPr="00262F9B">
        <w:rPr>
          <w:rStyle w:val="Refdenotaalpie"/>
          <w:rFonts w:ascii="Century Gothic" w:eastAsia="Calibri" w:hAnsi="Century Gothic" w:cs="Arial"/>
          <w:lang w:val="es-ES_tradnl"/>
        </w:rPr>
        <w:footnoteReference w:id="20"/>
      </w:r>
      <w:r w:rsidRPr="00262F9B">
        <w:rPr>
          <w:rFonts w:ascii="Century Gothic" w:eastAsia="Calibri" w:hAnsi="Century Gothic" w:cs="Arial"/>
          <w:lang w:val="es-ES_tradnl"/>
        </w:rPr>
        <w:t xml:space="preserve"> como en el de las entidades exceptuadas de aquel</w:t>
      </w:r>
      <w:r w:rsidRPr="00262F9B">
        <w:rPr>
          <w:rStyle w:val="Refdenotaalpie"/>
          <w:rFonts w:ascii="Century Gothic" w:eastAsia="Calibri" w:hAnsi="Century Gothic" w:cs="Arial"/>
          <w:lang w:val="es-ES_tradnl"/>
        </w:rPr>
        <w:footnoteReference w:id="21"/>
      </w:r>
      <w:r w:rsidRPr="00262F9B">
        <w:rPr>
          <w:rFonts w:ascii="Century Gothic" w:eastAsia="Calibri" w:hAnsi="Century Gothic" w:cs="Arial"/>
          <w:lang w:val="es-ES_tradnl"/>
        </w:rPr>
        <w:t xml:space="preserve">. Si bien la regulación de la capacidad se integra por varias </w:t>
      </w:r>
      <w:r w:rsidRPr="00262F9B">
        <w:rPr>
          <w:rFonts w:ascii="Century Gothic" w:eastAsia="Calibri" w:hAnsi="Century Gothic" w:cs="Arial"/>
          <w:lang w:val="es-ES_tradnl"/>
        </w:rPr>
        <w:lastRenderedPageBreak/>
        <w:t>disposiciones y exigencias especiales –como el requisito de inscribirse, por regla general, en el Registro Único de Proponentes (RUP), establecido en el artículo 6 de la Ley 1150 de 2007, modificado por el artículo 221 del Decreto 19 de 2012</w:t>
      </w:r>
      <w:r w:rsidRPr="00262F9B">
        <w:rPr>
          <w:rStyle w:val="Refdenotaalpie"/>
          <w:rFonts w:ascii="Century Gothic" w:eastAsia="Calibri" w:hAnsi="Century Gothic" w:cs="Arial"/>
          <w:lang w:val="es-ES_tradnl"/>
        </w:rPr>
        <w:footnoteReference w:id="22"/>
      </w:r>
      <w:r w:rsidRPr="00262F9B">
        <w:rPr>
          <w:rFonts w:ascii="Century Gothic" w:eastAsia="Calibri" w:hAnsi="Century Gothic" w:cs="Arial"/>
          <w:lang w:val="es-ES_tradnl"/>
        </w:rPr>
        <w:t>–, se destaca el régimen de inhabilidades e incompatibilidades como un conjunto de normas que imponen restricciones para los sujetos que, eventualmente, pretendan participar en los procedimientos de selección o celebrar contratos con las entidades estatales</w:t>
      </w:r>
      <w:r w:rsidRPr="00262F9B">
        <w:rPr>
          <w:rStyle w:val="Refdenotaalpie"/>
          <w:rFonts w:ascii="Century Gothic" w:eastAsia="Calibri" w:hAnsi="Century Gothic" w:cs="Arial"/>
          <w:lang w:val="es-ES_tradnl"/>
        </w:rPr>
        <w:footnoteReference w:id="23"/>
      </w:r>
      <w:r w:rsidRPr="00262F9B">
        <w:rPr>
          <w:rFonts w:ascii="Century Gothic" w:eastAsia="Calibri" w:hAnsi="Century Gothic" w:cs="Arial"/>
          <w:lang w:val="es-ES_tradnl"/>
        </w:rPr>
        <w:t>.</w:t>
      </w:r>
    </w:p>
    <w:p w14:paraId="4AA8FF48" w14:textId="77777777" w:rsidR="00657E97" w:rsidRPr="00262F9B" w:rsidRDefault="00657E97" w:rsidP="00657E97">
      <w:pPr>
        <w:spacing w:after="120"/>
        <w:ind w:firstLine="709"/>
        <w:jc w:val="both"/>
        <w:rPr>
          <w:rFonts w:ascii="Century Gothic" w:eastAsia="Calibri" w:hAnsi="Century Gothic" w:cs="Arial"/>
          <w:lang w:val="es-ES_tradnl"/>
        </w:rPr>
      </w:pPr>
      <w:r w:rsidRPr="00262F9B">
        <w:rPr>
          <w:rFonts w:ascii="Century Gothic" w:eastAsia="Calibri" w:hAnsi="Century Gothic" w:cs="Arial"/>
          <w:lang w:val="es-ES_tradnl"/>
        </w:rPr>
        <w:t>Las inhabilidades son prohibiciones para concurrir a los procedimientos de selección y para contratar con el Estado, que se derivan: i) de la existencia de comportamientos reprochables o de sanciones anteriormente impuestas</w:t>
      </w:r>
      <w:r w:rsidRPr="00262F9B">
        <w:rPr>
          <w:rStyle w:val="Refdenotaalpie"/>
          <w:rFonts w:ascii="Century Gothic" w:eastAsia="Calibri" w:hAnsi="Century Gothic" w:cs="Arial"/>
          <w:lang w:val="es-ES_tradnl"/>
        </w:rPr>
        <w:footnoteReference w:id="24"/>
      </w:r>
      <w:r w:rsidRPr="00262F9B">
        <w:rPr>
          <w:rFonts w:ascii="Century Gothic" w:eastAsia="Calibri" w:hAnsi="Century Gothic" w:cs="Arial"/>
          <w:lang w:val="es-ES_tradnl"/>
        </w:rPr>
        <w:t xml:space="preserve">, ii) de </w:t>
      </w:r>
      <w:r w:rsidRPr="00262F9B">
        <w:rPr>
          <w:rFonts w:ascii="Century Gothic" w:eastAsia="Calibri" w:hAnsi="Century Gothic" w:cs="Arial"/>
          <w:lang w:val="es-ES_tradnl"/>
        </w:rPr>
        <w:lastRenderedPageBreak/>
        <w:t>vínculos personales relativos al parentesco o al estado civil</w:t>
      </w:r>
      <w:r w:rsidRPr="00262F9B">
        <w:rPr>
          <w:rStyle w:val="Refdenotaalpie"/>
          <w:rFonts w:ascii="Century Gothic" w:eastAsia="Calibri" w:hAnsi="Century Gothic" w:cs="Arial"/>
          <w:lang w:val="es-ES_tradnl"/>
        </w:rPr>
        <w:footnoteReference w:id="25"/>
      </w:r>
      <w:r w:rsidRPr="00262F9B">
        <w:rPr>
          <w:rFonts w:ascii="Century Gothic" w:eastAsia="Calibri" w:hAnsi="Century Gothic" w:cs="Arial"/>
          <w:lang w:val="es-ES_tradnl"/>
        </w:rPr>
        <w:t xml:space="preserve"> o iii) de una actividad u oficio que se desempeñó en el pasado</w:t>
      </w:r>
      <w:r w:rsidRPr="00262F9B">
        <w:rPr>
          <w:rStyle w:val="Refdenotaalpie"/>
          <w:rFonts w:ascii="Century Gothic" w:eastAsia="Calibri" w:hAnsi="Century Gothic" w:cs="Arial"/>
          <w:lang w:val="es-ES_tradnl"/>
        </w:rPr>
        <w:footnoteReference w:id="26"/>
      </w:r>
      <w:r w:rsidRPr="00262F9B">
        <w:rPr>
          <w:rFonts w:ascii="Century Gothic" w:eastAsia="Calibri" w:hAnsi="Century Gothic" w:cs="Arial"/>
          <w:lang w:val="es-ES_tradnl"/>
        </w:rPr>
        <w:t>.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262F9B">
        <w:rPr>
          <w:rStyle w:val="Refdenotaalpie"/>
          <w:rFonts w:ascii="Century Gothic" w:eastAsia="Calibri" w:hAnsi="Century Gothic" w:cs="Arial"/>
          <w:lang w:val="es-ES_tradnl"/>
        </w:rPr>
        <w:footnoteReference w:id="27"/>
      </w:r>
      <w:r w:rsidRPr="00262F9B">
        <w:rPr>
          <w:rFonts w:ascii="Century Gothic" w:eastAsia="Calibri" w:hAnsi="Century Gothic" w:cs="Arial"/>
          <w:lang w:val="es-ES_tradnl"/>
        </w:rPr>
        <w:t xml:space="preserve">. En todo caso, a pesar de la existencia de distintos criterios </w:t>
      </w:r>
      <w:r w:rsidRPr="00262F9B">
        <w:rPr>
          <w:rFonts w:ascii="Century Gothic" w:eastAsia="Calibri" w:hAnsi="Century Gothic" w:cs="Arial"/>
          <w:lang w:val="es-ES_tradnl"/>
        </w:rPr>
        <w:lastRenderedPageBreak/>
        <w:t>para diferenciar las inhabilidades de las incompatibilidades, de la presencia de ellas se derivan las mismas consecuencias jurídicas, esto es, la limitación de la capacidad contractual, como se desarrolló en el numeral 2.1. de este concepto. De manera que la presencia de ellas impide que se puedan celebrar contratos con el Estado o participar en procedimientos de selección de las entidades estatales, por lo que de cualquiera de ellas se derivan los mismos efectos jurídicos</w:t>
      </w:r>
      <w:r w:rsidRPr="00262F9B">
        <w:rPr>
          <w:rStyle w:val="Refdenotaalpie"/>
          <w:rFonts w:ascii="Century Gothic" w:eastAsia="Calibri" w:hAnsi="Century Gothic" w:cs="Arial"/>
          <w:lang w:val="es-ES_tradnl"/>
        </w:rPr>
        <w:footnoteReference w:id="28"/>
      </w:r>
      <w:r w:rsidRPr="00262F9B">
        <w:rPr>
          <w:rFonts w:ascii="Century Gothic" w:eastAsia="Calibri" w:hAnsi="Century Gothic" w:cs="Arial"/>
          <w:lang w:val="es-ES_tradnl"/>
        </w:rPr>
        <w:t>.</w:t>
      </w:r>
    </w:p>
    <w:p w14:paraId="50563F34" w14:textId="77777777" w:rsidR="00657E97" w:rsidRPr="00262F9B" w:rsidRDefault="00657E97" w:rsidP="00657E97">
      <w:pPr>
        <w:spacing w:before="120" w:after="120"/>
        <w:ind w:firstLine="709"/>
        <w:jc w:val="both"/>
        <w:rPr>
          <w:rFonts w:ascii="Century Gothic" w:eastAsia="Calibri" w:hAnsi="Century Gothic" w:cs="Arial"/>
          <w:lang w:val="es-ES_tradnl"/>
        </w:rPr>
      </w:pPr>
      <w:r w:rsidRPr="00262F9B">
        <w:rPr>
          <w:rFonts w:ascii="Century Gothic" w:eastAsia="Calibri" w:hAnsi="Century Gothic" w:cs="Arial"/>
          <w:lang w:val="es-ES_tradnl"/>
        </w:rPr>
        <w:t>De otro lado, el régimen de inhabilidades e incompatibilidades en la contratación pública responde a la tendencia, vigente desde hace varias décadas en nuestro país, pero que se ha reforzado en los últimos años, de asegurar que la actividad de provisión de los bienes, obras y servicios por parte de las entidades estatales se efectúe cumpliendo con los principios de la función administrativa y de la gestión fiscal, especialmente con probidad y transparencia. Por ello, como destaca la doctrina, las inhabilidades e incompatibilidades son herramientas en la lucha contra la corrupción, adoptando paulatinamente una naturaleza sancionatoria o “neopunitiva”</w:t>
      </w:r>
      <w:r w:rsidRPr="00262F9B">
        <w:rPr>
          <w:rStyle w:val="Refdenotaalpie"/>
          <w:rFonts w:ascii="Century Gothic" w:eastAsia="Calibri" w:hAnsi="Century Gothic" w:cs="Arial"/>
          <w:lang w:val="es-ES_tradnl"/>
        </w:rPr>
        <w:footnoteReference w:id="29"/>
      </w:r>
      <w:r w:rsidRPr="00262F9B">
        <w:rPr>
          <w:rFonts w:ascii="Century Gothic" w:eastAsia="Calibri" w:hAnsi="Century Gothic" w:cs="Arial"/>
          <w:lang w:val="es-ES_tradnl"/>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17C383C3" w14:textId="77777777" w:rsidR="00657E97" w:rsidRPr="00262F9B" w:rsidRDefault="00657E97" w:rsidP="00657E97">
      <w:pPr>
        <w:spacing w:before="120" w:after="120"/>
        <w:ind w:firstLine="709"/>
        <w:jc w:val="both"/>
        <w:rPr>
          <w:rFonts w:ascii="Century Gothic" w:eastAsia="Calibri" w:hAnsi="Century Gothic" w:cs="Arial"/>
          <w:lang w:val="es-ES_tradnl"/>
        </w:rPr>
      </w:pPr>
      <w:r w:rsidRPr="00262F9B">
        <w:rPr>
          <w:rFonts w:ascii="Century Gothic" w:eastAsia="Calibri" w:hAnsi="Century Gothic"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262F9B">
        <w:rPr>
          <w:rFonts w:ascii="Century Gothic" w:eastAsia="Calibri" w:hAnsi="Century Gothic" w:cs="Arial"/>
          <w:i/>
          <w:iCs/>
          <w:lang w:val="es-ES_tradnl"/>
        </w:rPr>
        <w:t>restrictiva</w:t>
      </w:r>
      <w:r w:rsidRPr="00262F9B">
        <w:rPr>
          <w:rStyle w:val="Refdenotaalpie"/>
          <w:rFonts w:ascii="Century Gothic" w:eastAsia="Calibri" w:hAnsi="Century Gothic" w:cs="Arial"/>
          <w:i/>
          <w:iCs/>
          <w:lang w:val="es-ES_tradnl"/>
        </w:rPr>
        <w:footnoteReference w:id="30"/>
      </w:r>
      <w:r w:rsidRPr="00262F9B">
        <w:rPr>
          <w:rFonts w:ascii="Century Gothic" w:eastAsia="Calibri" w:hAnsi="Century Gothic" w:cs="Arial"/>
          <w:i/>
          <w:iCs/>
          <w:lang w:val="es-ES_tradnl"/>
        </w:rPr>
        <w:t xml:space="preserve">, </w:t>
      </w:r>
      <w:r w:rsidRPr="00262F9B">
        <w:rPr>
          <w:rFonts w:ascii="Century Gothic" w:eastAsia="Calibri" w:hAnsi="Century Gothic" w:cs="Arial"/>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w:t>
      </w:r>
      <w:r w:rsidRPr="00262F9B">
        <w:rPr>
          <w:rFonts w:ascii="Century Gothic" w:eastAsia="Calibri" w:hAnsi="Century Gothic" w:cs="Arial"/>
          <w:lang w:val="es-ES_tradnl"/>
        </w:rPr>
        <w:lastRenderedPageBreak/>
        <w:t xml:space="preserve">de la jurisprudencia, tanto de la Corte Constitucional como de la Sección Tercera del Consejo de Estado. </w:t>
      </w:r>
    </w:p>
    <w:p w14:paraId="42A28976" w14:textId="77777777" w:rsidR="00657E97" w:rsidRPr="00262F9B" w:rsidRDefault="00657E97" w:rsidP="00657E97">
      <w:pPr>
        <w:spacing w:after="0"/>
        <w:ind w:firstLine="709"/>
        <w:jc w:val="both"/>
        <w:rPr>
          <w:rFonts w:ascii="Century Gothic" w:eastAsia="Calibri" w:hAnsi="Century Gothic" w:cs="Arial"/>
          <w:lang w:val="es-ES_tradnl"/>
        </w:rPr>
      </w:pPr>
      <w:r w:rsidRPr="00262F9B">
        <w:rPr>
          <w:rFonts w:ascii="Century Gothic" w:eastAsia="Calibri" w:hAnsi="Century Gothic" w:cs="Arial"/>
          <w:lang w:val="es-ES_tradnl"/>
        </w:rPr>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262F9B">
        <w:rPr>
          <w:rStyle w:val="Refdenotaalpie"/>
          <w:rFonts w:ascii="Century Gothic" w:eastAsia="Calibri" w:hAnsi="Century Gothic" w:cs="Arial"/>
          <w:lang w:val="es-ES_tradnl"/>
        </w:rPr>
        <w:footnoteReference w:id="31"/>
      </w:r>
      <w:r w:rsidRPr="00262F9B">
        <w:rPr>
          <w:rFonts w:ascii="Century Gothic" w:eastAsia="Calibri" w:hAnsi="Century Gothic" w:cs="Arial"/>
          <w:lang w:val="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262F9B">
        <w:rPr>
          <w:rStyle w:val="Refdenotaalpie"/>
          <w:rFonts w:ascii="Century Gothic" w:eastAsia="Calibri" w:hAnsi="Century Gothic" w:cs="Arial"/>
          <w:lang w:val="es-ES_tradnl"/>
        </w:rPr>
        <w:footnoteReference w:id="32"/>
      </w:r>
      <w:r w:rsidRPr="00262F9B">
        <w:rPr>
          <w:rFonts w:ascii="Century Gothic" w:eastAsia="Calibri" w:hAnsi="Century Gothic" w:cs="Arial"/>
          <w:lang w:val="es-ES_tradnl"/>
        </w:rPr>
        <w:t>. En tal sentido, la Sección Tercera ha señalado que:</w:t>
      </w:r>
    </w:p>
    <w:p w14:paraId="7080417E" w14:textId="77777777" w:rsidR="00657E97" w:rsidRPr="00262F9B" w:rsidRDefault="00657E97" w:rsidP="00657E97">
      <w:pPr>
        <w:spacing w:after="0" w:line="276" w:lineRule="auto"/>
        <w:ind w:firstLine="709"/>
        <w:jc w:val="both"/>
        <w:rPr>
          <w:rFonts w:ascii="Century Gothic" w:eastAsia="Calibri" w:hAnsi="Century Gothic" w:cs="Arial"/>
          <w:lang w:val="es-ES_tradnl"/>
        </w:rPr>
      </w:pPr>
    </w:p>
    <w:p w14:paraId="035D5F83" w14:textId="77777777" w:rsidR="00657E97" w:rsidRPr="00262F9B" w:rsidRDefault="00657E97" w:rsidP="00657E97">
      <w:pPr>
        <w:spacing w:after="0" w:line="240" w:lineRule="auto"/>
        <w:ind w:left="709" w:right="709"/>
        <w:jc w:val="both"/>
        <w:rPr>
          <w:rFonts w:ascii="Century Gothic" w:eastAsia="Calibri" w:hAnsi="Century Gothic" w:cs="Arial"/>
          <w:lang w:val="es-ES_tradnl"/>
        </w:rPr>
      </w:pPr>
      <w:r w:rsidRPr="00262F9B">
        <w:rPr>
          <w:rFonts w:ascii="Century Gothic" w:hAnsi="Century Gothic" w:cs="Arial"/>
          <w:sz w:val="21"/>
          <w:szCs w:val="21"/>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262F9B">
        <w:rPr>
          <w:rStyle w:val="Refdenotaalpie"/>
          <w:rFonts w:ascii="Century Gothic" w:hAnsi="Century Gothic" w:cs="Arial"/>
          <w:sz w:val="21"/>
          <w:szCs w:val="21"/>
          <w:lang w:val="es-ES_tradnl"/>
        </w:rPr>
        <w:footnoteReference w:id="33"/>
      </w:r>
      <w:r w:rsidRPr="00262F9B">
        <w:rPr>
          <w:rFonts w:ascii="Century Gothic" w:hAnsi="Century Gothic" w:cs="Arial"/>
          <w:sz w:val="21"/>
          <w:szCs w:val="21"/>
          <w:lang w:val="es-ES_tradnl"/>
        </w:rPr>
        <w:t>.</w:t>
      </w:r>
    </w:p>
    <w:p w14:paraId="3025C4E3" w14:textId="77777777" w:rsidR="00657E97" w:rsidRPr="00262F9B" w:rsidRDefault="00657E97" w:rsidP="00657E97">
      <w:pPr>
        <w:spacing w:after="0" w:line="276" w:lineRule="auto"/>
        <w:ind w:firstLine="709"/>
        <w:jc w:val="both"/>
        <w:rPr>
          <w:rFonts w:ascii="Century Gothic" w:eastAsia="Calibri" w:hAnsi="Century Gothic" w:cs="Arial"/>
          <w:lang w:val="es-ES_tradnl"/>
        </w:rPr>
      </w:pPr>
    </w:p>
    <w:p w14:paraId="33FEF6F5" w14:textId="77777777" w:rsidR="00657E97" w:rsidRPr="00262F9B" w:rsidRDefault="00657E97" w:rsidP="00657E97">
      <w:pPr>
        <w:ind w:firstLine="709"/>
        <w:jc w:val="both"/>
        <w:rPr>
          <w:rFonts w:ascii="Century Gothic" w:eastAsia="Calibri" w:hAnsi="Century Gothic" w:cs="Arial"/>
          <w:lang w:val="es-ES_tradnl"/>
        </w:rPr>
      </w:pPr>
      <w:r w:rsidRPr="00262F9B">
        <w:rPr>
          <w:rFonts w:ascii="Century Gothic" w:eastAsia="Calibri" w:hAnsi="Century Gothic" w:cs="Arial"/>
          <w:lang w:val="es-ES_tradnl"/>
        </w:rPr>
        <w:t>También ha dicho que:</w:t>
      </w:r>
    </w:p>
    <w:p w14:paraId="5754DB36" w14:textId="77777777" w:rsidR="00657E97" w:rsidRPr="00262F9B" w:rsidRDefault="00657E97" w:rsidP="00657E97">
      <w:pPr>
        <w:spacing w:after="0" w:line="240" w:lineRule="auto"/>
        <w:ind w:left="709" w:right="616"/>
        <w:jc w:val="both"/>
        <w:rPr>
          <w:rFonts w:ascii="Century Gothic" w:hAnsi="Century Gothic" w:cs="Arial"/>
          <w:sz w:val="21"/>
          <w:szCs w:val="21"/>
          <w:lang w:val="es-ES_tradnl"/>
        </w:rPr>
      </w:pPr>
      <w:r w:rsidRPr="00262F9B">
        <w:rPr>
          <w:rFonts w:ascii="Century Gothic" w:hAnsi="Century Gothic" w:cs="Arial"/>
          <w:sz w:val="21"/>
          <w:szCs w:val="21"/>
          <w:lang w:val="es-ES_tradnl"/>
        </w:rPr>
        <w:t xml:space="preserve">[…] la aplicación de estos preceptos exige una interpretación restrictiva, dado que según el principio hermenéutico </w:t>
      </w:r>
      <w:r w:rsidRPr="00262F9B">
        <w:rPr>
          <w:rFonts w:ascii="Century Gothic" w:hAnsi="Century Gothic" w:cs="Arial"/>
          <w:i/>
          <w:iCs/>
          <w:sz w:val="21"/>
          <w:szCs w:val="21"/>
          <w:lang w:val="es-ES_tradnl"/>
        </w:rPr>
        <w:t>pro libertate</w:t>
      </w:r>
      <w:r w:rsidRPr="00262F9B">
        <w:rPr>
          <w:rFonts w:ascii="Century Gothic" w:hAnsi="Century Gothic" w:cs="Arial"/>
          <w:sz w:val="21"/>
          <w:szCs w:val="21"/>
          <w:lang w:val="es-ES_tradnl"/>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262F9B">
        <w:rPr>
          <w:rStyle w:val="Refdenotaalpie"/>
          <w:rFonts w:ascii="Century Gothic" w:hAnsi="Century Gothic" w:cs="Arial"/>
          <w:sz w:val="21"/>
          <w:szCs w:val="21"/>
          <w:lang w:val="es-ES_tradnl"/>
        </w:rPr>
        <w:footnoteReference w:id="34"/>
      </w:r>
      <w:r w:rsidRPr="00262F9B">
        <w:rPr>
          <w:rFonts w:ascii="Century Gothic" w:hAnsi="Century Gothic" w:cs="Arial"/>
          <w:sz w:val="21"/>
          <w:szCs w:val="21"/>
          <w:lang w:val="es-ES_tradnl"/>
        </w:rPr>
        <w:t>.</w:t>
      </w:r>
    </w:p>
    <w:p w14:paraId="6D6A8806" w14:textId="77777777" w:rsidR="00657E97" w:rsidRPr="00262F9B" w:rsidRDefault="00657E97" w:rsidP="00657E97">
      <w:pPr>
        <w:spacing w:after="0"/>
        <w:ind w:firstLine="708"/>
        <w:jc w:val="both"/>
        <w:rPr>
          <w:rFonts w:ascii="Century Gothic" w:eastAsia="Arial" w:hAnsi="Century Gothic" w:cs="Arial"/>
          <w:color w:val="000000"/>
          <w:lang w:val="es-ES_tradnl"/>
        </w:rPr>
      </w:pPr>
    </w:p>
    <w:p w14:paraId="2AF12D1E" w14:textId="77777777" w:rsidR="00657E97" w:rsidRPr="00262F9B" w:rsidRDefault="00657E97" w:rsidP="00657E97">
      <w:pPr>
        <w:spacing w:after="120"/>
        <w:ind w:firstLine="708"/>
        <w:jc w:val="both"/>
        <w:rPr>
          <w:rFonts w:ascii="Century Gothic" w:hAnsi="Century Gothic" w:cs="Arial"/>
          <w:color w:val="000000" w:themeColor="text1"/>
        </w:rPr>
      </w:pPr>
      <w:r w:rsidRPr="00262F9B">
        <w:rPr>
          <w:rFonts w:ascii="Century Gothic" w:eastAsia="Arial" w:hAnsi="Century Gothic" w:cs="Arial"/>
          <w:color w:val="000000"/>
          <w:lang w:val="es-ES_tradnl"/>
        </w:rPr>
        <w:t xml:space="preserve">Como se aprecia, el principio </w:t>
      </w:r>
      <w:r w:rsidRPr="00262F9B">
        <w:rPr>
          <w:rFonts w:ascii="Century Gothic" w:eastAsia="Arial" w:hAnsi="Century Gothic" w:cs="Arial"/>
          <w:i/>
          <w:iCs/>
          <w:color w:val="000000"/>
          <w:lang w:val="es-ES_tradnl"/>
        </w:rPr>
        <w:t>pro libertate</w:t>
      </w:r>
      <w:r w:rsidRPr="00262F9B">
        <w:rPr>
          <w:rFonts w:ascii="Century Gothic" w:eastAsia="Arial" w:hAnsi="Century Gothic"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262F9B">
        <w:rPr>
          <w:rFonts w:ascii="Century Gothic" w:hAnsi="Century Gothic" w:cs="Arial"/>
          <w:color w:val="000000" w:themeColor="text1"/>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sidRPr="00262F9B">
        <w:rPr>
          <w:rStyle w:val="Refdenotaalpie"/>
          <w:rFonts w:ascii="Century Gothic" w:hAnsi="Century Gothic" w:cs="Arial"/>
          <w:color w:val="000000" w:themeColor="text1"/>
        </w:rPr>
        <w:footnoteReference w:id="35"/>
      </w:r>
    </w:p>
    <w:p w14:paraId="015C90C6" w14:textId="77777777" w:rsidR="00657E97" w:rsidRPr="00262F9B" w:rsidRDefault="00657E97" w:rsidP="00657E97">
      <w:pPr>
        <w:spacing w:after="0"/>
        <w:ind w:firstLine="709"/>
        <w:jc w:val="both"/>
        <w:rPr>
          <w:rFonts w:ascii="Century Gothic" w:hAnsi="Century Gothic" w:cs="Arial"/>
          <w:color w:val="000000"/>
          <w:shd w:val="clear" w:color="auto" w:fill="FFFFFF"/>
        </w:rPr>
      </w:pPr>
      <w:r w:rsidRPr="00262F9B">
        <w:rPr>
          <w:rFonts w:ascii="Century Gothic" w:hAnsi="Century Gothic" w:cs="Arial"/>
          <w:shd w:val="clear" w:color="auto" w:fill="FFFFFF"/>
        </w:rPr>
        <w:t>En este sentido, retomando una idea esbozada con anterioridad, la doctrina y la jurisprudencia son pacíficas en considerar que la creación de inhabilidades e incompatibilidades es un asunto con reserva de ley, en tanto, “[…] su previsión y desarrollo es materia exclusiva del legislador (reserva de ley), quien en virtud del principio democrático debe definir y tipificar expresamente sus causas, vigencia, naturaleza y efectos”</w:t>
      </w:r>
      <w:r w:rsidRPr="00262F9B">
        <w:rPr>
          <w:rStyle w:val="Refdenotaalpie"/>
          <w:rFonts w:ascii="Century Gothic" w:hAnsi="Century Gothic" w:cs="Arial"/>
          <w:shd w:val="clear" w:color="auto" w:fill="FFFFFF"/>
        </w:rPr>
        <w:footnoteReference w:id="36"/>
      </w:r>
      <w:r w:rsidRPr="00262F9B">
        <w:rPr>
          <w:rFonts w:ascii="Century Gothic" w:hAnsi="Century Gothic" w:cs="Arial"/>
          <w:shd w:val="clear" w:color="auto" w:fill="FFFFFF"/>
        </w:rPr>
        <w:t xml:space="preserve"> En similar sentido, la Sala de Consulta y Servicio Civil del Consejo de Estado expresó </w:t>
      </w:r>
      <w:r w:rsidRPr="00262F9B">
        <w:rPr>
          <w:rFonts w:ascii="Century Gothic" w:hAnsi="Century Gothic" w:cs="Arial"/>
          <w:color w:val="000000"/>
          <w:shd w:val="clear" w:color="auto" w:fill="FFFFFF"/>
        </w:rPr>
        <w:t>que “[…] las causales de inhabilidad e incompatibilidad deben estar expresa y taxativamente establecidas en la Constitución o en la ley y son de aplicación e interpretación restrictivas […]”</w:t>
      </w:r>
      <w:r w:rsidRPr="00262F9B">
        <w:rPr>
          <w:rStyle w:val="Refdenotaalpie"/>
          <w:rFonts w:ascii="Century Gothic" w:hAnsi="Century Gothic" w:cs="Arial"/>
          <w:color w:val="000000"/>
          <w:shd w:val="clear" w:color="auto" w:fill="FFFFFF"/>
        </w:rPr>
        <w:footnoteReference w:id="37"/>
      </w:r>
      <w:r w:rsidRPr="00262F9B">
        <w:rPr>
          <w:rFonts w:ascii="Century Gothic" w:hAnsi="Century Gothic" w:cs="Arial"/>
          <w:color w:val="000000"/>
          <w:shd w:val="clear" w:color="auto" w:fill="FFFFFF"/>
        </w:rPr>
        <w:t xml:space="preserve">. En este sentido, como se observa, existe consenso, incluso como lo ha expresado esta Agencia en ocasiones anteriores, que la creación de inhabilidades o incompatibilidades está reservada al constituyente o al legislador. </w:t>
      </w:r>
    </w:p>
    <w:p w14:paraId="572AAA3C" w14:textId="77777777" w:rsidR="00657E97" w:rsidRPr="00262F9B" w:rsidRDefault="00657E97" w:rsidP="00657E97">
      <w:pPr>
        <w:spacing w:after="0"/>
        <w:jc w:val="both"/>
        <w:rPr>
          <w:rFonts w:ascii="Century Gothic" w:eastAsia="Calibri" w:hAnsi="Century Gothic" w:cs="Arial"/>
          <w:lang w:val="es-ES_tradnl"/>
        </w:rPr>
      </w:pPr>
    </w:p>
    <w:p w14:paraId="1AD1A361" w14:textId="77777777" w:rsidR="00657E97" w:rsidRPr="00262F9B" w:rsidRDefault="00657E97" w:rsidP="00657E97">
      <w:pPr>
        <w:spacing w:after="0" w:line="276" w:lineRule="auto"/>
        <w:jc w:val="both"/>
        <w:rPr>
          <w:rFonts w:ascii="Century Gothic" w:eastAsia="Calibri" w:hAnsi="Century Gothic" w:cs="Arial"/>
          <w:color w:val="000000" w:themeColor="text1"/>
          <w:lang w:val="es-ES"/>
        </w:rPr>
      </w:pPr>
      <w:r w:rsidRPr="00262F9B">
        <w:rPr>
          <w:rFonts w:ascii="Century Gothic" w:eastAsia="Calibri" w:hAnsi="Century Gothic" w:cs="Arial"/>
          <w:b/>
          <w:bCs/>
          <w:lang w:val="es-ES_tradnl"/>
        </w:rPr>
        <w:t xml:space="preserve">2.4. Registro de Deudores Alimentarios Morosos. </w:t>
      </w:r>
      <w:r w:rsidRPr="00262F9B">
        <w:rPr>
          <w:rFonts w:ascii="Century Gothic" w:eastAsia="Calibri" w:hAnsi="Century Gothic" w:cs="Arial"/>
          <w:b/>
          <w:bCs/>
          <w:lang w:val="es-ES"/>
        </w:rPr>
        <w:t>Alcance de la restricción prevista en el artículo 6.1 de la Ley 2097 de 2021, reglamentada por el Decreto 1310 de 2022</w:t>
      </w:r>
    </w:p>
    <w:p w14:paraId="77758E89" w14:textId="77777777" w:rsidR="00657E97" w:rsidRPr="00262F9B" w:rsidRDefault="00657E97" w:rsidP="00657E97">
      <w:pPr>
        <w:tabs>
          <w:tab w:val="left" w:pos="0"/>
        </w:tabs>
        <w:spacing w:after="0" w:line="276" w:lineRule="auto"/>
        <w:jc w:val="both"/>
        <w:rPr>
          <w:rFonts w:ascii="Century Gothic" w:eastAsia="Calibri" w:hAnsi="Century Gothic" w:cs="Arial"/>
          <w:b/>
          <w:color w:val="000000" w:themeColor="text1"/>
        </w:rPr>
      </w:pPr>
    </w:p>
    <w:p w14:paraId="73EA16DA" w14:textId="77777777" w:rsidR="00657E97" w:rsidRPr="00262F9B" w:rsidRDefault="00657E97" w:rsidP="00657E97">
      <w:pPr>
        <w:tabs>
          <w:tab w:val="left" w:pos="0"/>
        </w:tabs>
        <w:spacing w:after="120" w:line="276" w:lineRule="auto"/>
        <w:jc w:val="both"/>
        <w:rPr>
          <w:rFonts w:ascii="Century Gothic" w:eastAsia="Calibri" w:hAnsi="Century Gothic" w:cs="Arial"/>
          <w:bCs/>
          <w:color w:val="000000" w:themeColor="text1"/>
        </w:rPr>
      </w:pPr>
      <w:r w:rsidRPr="00262F9B">
        <w:rPr>
          <w:rFonts w:ascii="Century Gothic" w:eastAsia="Calibri" w:hAnsi="Century Gothic" w:cs="Arial"/>
          <w:bCs/>
          <w:color w:val="000000" w:themeColor="text1"/>
        </w:rPr>
        <w:t xml:space="preserve">El 2 de julio de 2021, el Gobierno Nacional sancionó la Ley Estatutaria 2097 de 2021, cuyo objeto –de acuerdo con el artículo 1– consiste en “[…] establecer medidas para garantizar el cumplimiento de las obligaciones alimentarias y crear el Registro de Deudores Alimentarios Morosos (Redam), como mecanismo de control al </w:t>
      </w:r>
      <w:r w:rsidRPr="00262F9B">
        <w:rPr>
          <w:rFonts w:ascii="Century Gothic" w:eastAsia="Calibri" w:hAnsi="Century Gothic" w:cs="Arial"/>
          <w:bCs/>
          <w:color w:val="000000" w:themeColor="text1"/>
        </w:rPr>
        <w:lastRenderedPageBreak/>
        <w:t>incumplimiento de las obligaciones alimentarias”. Conforme a la exposición de motivos del proyecto ley, existe una vulneración de derechos al interior de la institución familiar, cuyo despliegue en materia de política pública ha sido limitado y resulta insuficiente para atender la problemática asociada al incumplimiento de la obligación legal prevista en el Título XXI del Libro Primero del Código Civil, especialmente, en el caso de los menores de edad, con las repercusiones que esta tiene tanto para ellos como para quien tiene la responsabilidad del cuidado y manutención. Por ello, tomado como referencia legislaciones foráneas como Estados Unidos, Perú, Uruguay, así como normatividades análogas en provincias y estados como Buenos Aires y Córdoba, en la Argentina, y la Ciudad de México, en México, los ponentes de la iniciativa concluyeron que “Estas experiencias de implementación del Registro de Deudores Alimentarios Morosos se pueden considerar el punto de partida para obtener una herramienta importante en la lucha contra el incumplimiento del pago de alimentos. Así, la finalidad que se persigue con este tipo de normas sancionatorias es que ante el incumplimiento alimentario se coaccione a los deudores para que cumplan con su obligación”</w:t>
      </w:r>
      <w:r w:rsidRPr="00262F9B">
        <w:rPr>
          <w:rStyle w:val="Refdenotaalpie"/>
          <w:rFonts w:ascii="Century Gothic" w:eastAsia="Calibri" w:hAnsi="Century Gothic" w:cs="Arial"/>
          <w:bCs/>
          <w:color w:val="000000" w:themeColor="text1"/>
        </w:rPr>
        <w:footnoteReference w:id="38"/>
      </w:r>
      <w:r w:rsidRPr="00262F9B">
        <w:rPr>
          <w:rFonts w:ascii="Century Gothic" w:eastAsia="Calibri" w:hAnsi="Century Gothic" w:cs="Arial"/>
          <w:bCs/>
          <w:color w:val="000000" w:themeColor="text1"/>
        </w:rPr>
        <w:t>.</w:t>
      </w:r>
    </w:p>
    <w:p w14:paraId="767B9769" w14:textId="77777777" w:rsidR="00657E97" w:rsidRPr="00262F9B" w:rsidRDefault="00657E97" w:rsidP="00657E97">
      <w:pPr>
        <w:tabs>
          <w:tab w:val="left" w:pos="0"/>
        </w:tabs>
        <w:spacing w:after="0" w:line="276" w:lineRule="auto"/>
        <w:jc w:val="both"/>
        <w:rPr>
          <w:rFonts w:ascii="Century Gothic" w:eastAsia="Calibri" w:hAnsi="Century Gothic" w:cs="Arial"/>
          <w:bCs/>
          <w:color w:val="000000" w:themeColor="text1"/>
        </w:rPr>
      </w:pPr>
      <w:r w:rsidRPr="00262F9B">
        <w:rPr>
          <w:rFonts w:ascii="Century Gothic" w:eastAsia="Calibri" w:hAnsi="Century Gothic" w:cs="Arial"/>
          <w:bCs/>
          <w:color w:val="000000" w:themeColor="text1"/>
        </w:rPr>
        <w:tab/>
      </w:r>
      <w:bookmarkStart w:id="13" w:name="_Hlk132035301"/>
      <w:r w:rsidRPr="00262F9B">
        <w:rPr>
          <w:rFonts w:ascii="Century Gothic" w:eastAsia="Calibri" w:hAnsi="Century Gothic" w:cs="Arial"/>
          <w:bCs/>
          <w:color w:val="000000" w:themeColor="text1"/>
        </w:rPr>
        <w:t xml:space="preserve">Etimológicamente, la palabra “alimentos” deriva de la expresión latina </w:t>
      </w:r>
      <w:r w:rsidRPr="00262F9B">
        <w:rPr>
          <w:rFonts w:ascii="Century Gothic" w:eastAsia="Calibri" w:hAnsi="Century Gothic" w:cs="Arial"/>
          <w:bCs/>
          <w:i/>
          <w:iCs/>
          <w:color w:val="000000" w:themeColor="text1"/>
        </w:rPr>
        <w:t>alimentum</w:t>
      </w:r>
      <w:r w:rsidRPr="00262F9B">
        <w:rPr>
          <w:rFonts w:ascii="Century Gothic" w:eastAsia="Calibri" w:hAnsi="Century Gothic" w:cs="Arial"/>
          <w:bCs/>
          <w:color w:val="000000" w:themeColor="text1"/>
        </w:rPr>
        <w:t xml:space="preserve">, la cual se compone del verbo </w:t>
      </w:r>
      <w:r w:rsidRPr="00262F9B">
        <w:rPr>
          <w:rFonts w:ascii="Century Gothic" w:eastAsia="Calibri" w:hAnsi="Century Gothic" w:cs="Arial"/>
          <w:bCs/>
          <w:i/>
          <w:iCs/>
          <w:color w:val="000000" w:themeColor="text1"/>
        </w:rPr>
        <w:t>alere</w:t>
      </w:r>
      <w:r w:rsidRPr="00262F9B">
        <w:rPr>
          <w:rFonts w:ascii="Century Gothic" w:eastAsia="Calibri" w:hAnsi="Century Gothic" w:cs="Arial"/>
          <w:bCs/>
          <w:color w:val="000000" w:themeColor="text1"/>
        </w:rPr>
        <w:t xml:space="preserve"> –que significa criar, nutrir o hacer crecer– y el sufijo </w:t>
      </w:r>
      <w:r w:rsidRPr="00262F9B">
        <w:rPr>
          <w:rFonts w:ascii="Century Gothic" w:eastAsia="Calibri" w:hAnsi="Century Gothic" w:cs="Arial"/>
          <w:bCs/>
          <w:i/>
          <w:iCs/>
          <w:color w:val="000000" w:themeColor="text1"/>
        </w:rPr>
        <w:t>mento</w:t>
      </w:r>
      <w:r w:rsidRPr="00262F9B">
        <w:rPr>
          <w:rFonts w:ascii="Century Gothic" w:eastAsia="Calibri" w:hAnsi="Century Gothic" w:cs="Arial"/>
          <w:bCs/>
          <w:color w:val="000000" w:themeColor="text1"/>
        </w:rPr>
        <w:t xml:space="preserve"> –que indica medio, instrumento o modo–</w:t>
      </w:r>
      <w:r w:rsidRPr="00262F9B">
        <w:rPr>
          <w:rStyle w:val="Refdenotaalpie"/>
          <w:rFonts w:ascii="Century Gothic" w:eastAsia="Calibri" w:hAnsi="Century Gothic" w:cs="Arial"/>
          <w:bCs/>
          <w:color w:val="000000" w:themeColor="text1"/>
        </w:rPr>
        <w:footnoteReference w:id="39"/>
      </w:r>
      <w:r w:rsidRPr="00262F9B">
        <w:rPr>
          <w:rFonts w:ascii="Century Gothic" w:eastAsia="Calibri" w:hAnsi="Century Gothic" w:cs="Arial"/>
          <w:bCs/>
          <w:color w:val="000000" w:themeColor="text1"/>
        </w:rPr>
        <w:t>. Aunque en el uso coloquial, con fundamento en el Diccionario de la RAE, los alimentos se refieren al “Conjunto de sustancias que los seres vivos comen o beben para subsistir”, en el ámbito jurídico hace referencia a una de las fuentes de las obligaciones previstas en el artículo 1494 del Código Civil</w:t>
      </w:r>
      <w:r w:rsidRPr="00262F9B">
        <w:rPr>
          <w:rStyle w:val="Refdenotaalpie"/>
          <w:rFonts w:ascii="Century Gothic" w:eastAsia="Calibri" w:hAnsi="Century Gothic" w:cs="Arial"/>
          <w:bCs/>
          <w:color w:val="000000" w:themeColor="text1"/>
        </w:rPr>
        <w:footnoteReference w:id="40"/>
      </w:r>
      <w:r w:rsidRPr="00262F9B">
        <w:rPr>
          <w:rFonts w:ascii="Century Gothic" w:eastAsia="Calibri" w:hAnsi="Century Gothic" w:cs="Arial"/>
          <w:bCs/>
          <w:color w:val="000000" w:themeColor="text1"/>
        </w:rPr>
        <w:t>. Dicha obligación va más allá del simple deber moral, por lo que la ley positiva la dota de coercibilidad como una obligación civil, la cual se fundamenta en la solidaridad de la familia, es decir, en las estrechas relaciones que deben unir a los miembros de un mismo grupo familiar, lo que impone a estos la obligación estricta de suministrar su subsistencia a aquellos que no alcanzan a asegurarla por su trabajo personal</w:t>
      </w:r>
      <w:r w:rsidRPr="00262F9B">
        <w:rPr>
          <w:rStyle w:val="Refdenotaalpie"/>
          <w:rFonts w:ascii="Century Gothic" w:eastAsia="Calibri" w:hAnsi="Century Gothic" w:cs="Arial"/>
          <w:bCs/>
          <w:color w:val="000000" w:themeColor="text1"/>
        </w:rPr>
        <w:footnoteReference w:id="41"/>
      </w:r>
      <w:r w:rsidRPr="00262F9B">
        <w:rPr>
          <w:rFonts w:ascii="Century Gothic" w:eastAsia="Calibri" w:hAnsi="Century Gothic" w:cs="Arial"/>
          <w:bCs/>
          <w:color w:val="000000" w:themeColor="text1"/>
        </w:rPr>
        <w:t xml:space="preserve">. Por ello, la doctrina define la </w:t>
      </w:r>
      <w:r w:rsidRPr="00262F9B">
        <w:rPr>
          <w:rFonts w:ascii="Century Gothic" w:eastAsia="Calibri" w:hAnsi="Century Gothic" w:cs="Arial"/>
          <w:bCs/>
          <w:color w:val="000000" w:themeColor="text1"/>
        </w:rPr>
        <w:lastRenderedPageBreak/>
        <w:t>obligación alimentaria como “[…] la prestación que pesa sobre determinadas personas económicamente posibilitadas, para que en algunos de sus parientes pobres u otras personas que la ley señala puedan subvenir a las necesidades de su existencia”</w:t>
      </w:r>
      <w:r w:rsidRPr="00262F9B">
        <w:rPr>
          <w:rStyle w:val="Refdenotaalpie"/>
          <w:rFonts w:ascii="Century Gothic" w:eastAsia="Calibri" w:hAnsi="Century Gothic" w:cs="Arial"/>
          <w:bCs/>
          <w:color w:val="000000" w:themeColor="text1"/>
        </w:rPr>
        <w:footnoteReference w:id="42"/>
      </w:r>
      <w:r w:rsidRPr="00262F9B">
        <w:rPr>
          <w:rFonts w:ascii="Century Gothic" w:eastAsia="Calibri" w:hAnsi="Century Gothic" w:cs="Arial"/>
          <w:bCs/>
          <w:color w:val="000000" w:themeColor="text1"/>
        </w:rPr>
        <w:t>, la cual depende de tres (3) presupuestos básicos: i) el estado de necesidad del alimentario, ii) la capacidad económica del alimentante y iii) la existencia de un vínculo jurídico entre ambos.</w:t>
      </w:r>
      <w:bookmarkEnd w:id="13"/>
      <w:r w:rsidRPr="00262F9B">
        <w:rPr>
          <w:rFonts w:ascii="Century Gothic" w:eastAsia="Calibri" w:hAnsi="Century Gothic" w:cs="Arial"/>
          <w:bCs/>
          <w:color w:val="000000" w:themeColor="text1"/>
        </w:rPr>
        <w:t xml:space="preserve"> Respecto a este último punto, de acuerdo con el artículo 411 del Código Civil, es necesario tener en cuenta que se beben alimentos:</w:t>
      </w:r>
    </w:p>
    <w:p w14:paraId="7E6C9ED6" w14:textId="77777777" w:rsidR="00657E97" w:rsidRPr="00262F9B" w:rsidRDefault="00657E97" w:rsidP="00657E97">
      <w:pPr>
        <w:tabs>
          <w:tab w:val="left" w:pos="0"/>
        </w:tabs>
        <w:spacing w:after="0" w:line="276" w:lineRule="auto"/>
        <w:jc w:val="both"/>
        <w:rPr>
          <w:rFonts w:ascii="Century Gothic" w:eastAsia="Calibri" w:hAnsi="Century Gothic" w:cs="Arial"/>
          <w:bCs/>
          <w:color w:val="000000" w:themeColor="text1"/>
          <w:lang w:val="es-MX"/>
        </w:rPr>
      </w:pPr>
    </w:p>
    <w:p w14:paraId="28167626" w14:textId="77777777" w:rsidR="00657E97" w:rsidRPr="00262F9B" w:rsidRDefault="00657E97" w:rsidP="00657E97">
      <w:pPr>
        <w:tabs>
          <w:tab w:val="left" w:pos="0"/>
        </w:tabs>
        <w:spacing w:after="120" w:line="240" w:lineRule="auto"/>
        <w:ind w:left="709" w:right="709"/>
        <w:jc w:val="both"/>
        <w:rPr>
          <w:rFonts w:ascii="Century Gothic" w:eastAsia="Calibri" w:hAnsi="Century Gothic" w:cs="Arial"/>
          <w:bCs/>
          <w:color w:val="000000" w:themeColor="text1"/>
          <w:sz w:val="21"/>
          <w:szCs w:val="21"/>
          <w:lang w:val="es-MX"/>
        </w:rPr>
      </w:pPr>
      <w:r w:rsidRPr="00262F9B">
        <w:rPr>
          <w:rFonts w:ascii="Century Gothic" w:eastAsia="Calibri" w:hAnsi="Century Gothic" w:cs="Arial"/>
          <w:bCs/>
          <w:color w:val="000000" w:themeColor="text1"/>
          <w:sz w:val="21"/>
          <w:szCs w:val="21"/>
          <w:lang w:val="es-ES"/>
        </w:rPr>
        <w:t>1. Al cónyuge. </w:t>
      </w:r>
    </w:p>
    <w:p w14:paraId="00BF53C5" w14:textId="77777777" w:rsidR="00657E97" w:rsidRPr="00262F9B" w:rsidRDefault="00657E97" w:rsidP="00657E97">
      <w:pPr>
        <w:tabs>
          <w:tab w:val="left" w:pos="0"/>
        </w:tabs>
        <w:spacing w:after="120" w:line="240" w:lineRule="auto"/>
        <w:ind w:left="709" w:right="709"/>
        <w:jc w:val="both"/>
        <w:rPr>
          <w:rFonts w:ascii="Century Gothic" w:eastAsia="Calibri" w:hAnsi="Century Gothic" w:cs="Arial"/>
          <w:bCs/>
          <w:color w:val="000000" w:themeColor="text1"/>
          <w:sz w:val="21"/>
          <w:szCs w:val="21"/>
          <w:lang w:val="es-MX"/>
        </w:rPr>
      </w:pPr>
      <w:r w:rsidRPr="00262F9B">
        <w:rPr>
          <w:rFonts w:ascii="Century Gothic" w:eastAsia="Calibri" w:hAnsi="Century Gothic" w:cs="Arial"/>
          <w:bCs/>
          <w:color w:val="000000" w:themeColor="text1"/>
          <w:sz w:val="21"/>
          <w:szCs w:val="21"/>
          <w:lang w:val="es-ES"/>
        </w:rPr>
        <w:t>2. A los descendientes</w:t>
      </w:r>
    </w:p>
    <w:p w14:paraId="46FD5660" w14:textId="77777777" w:rsidR="00657E97" w:rsidRPr="00262F9B" w:rsidRDefault="00657E97" w:rsidP="00657E97">
      <w:pPr>
        <w:tabs>
          <w:tab w:val="left" w:pos="0"/>
        </w:tabs>
        <w:spacing w:after="120" w:line="240" w:lineRule="auto"/>
        <w:ind w:left="709" w:right="709"/>
        <w:jc w:val="both"/>
        <w:rPr>
          <w:rFonts w:ascii="Century Gothic" w:eastAsia="Calibri" w:hAnsi="Century Gothic" w:cs="Arial"/>
          <w:bCs/>
          <w:color w:val="000000" w:themeColor="text1"/>
          <w:sz w:val="21"/>
          <w:szCs w:val="21"/>
          <w:lang w:val="es-MX"/>
        </w:rPr>
      </w:pPr>
      <w:r w:rsidRPr="00262F9B">
        <w:rPr>
          <w:rFonts w:ascii="Century Gothic" w:eastAsia="Calibri" w:hAnsi="Century Gothic" w:cs="Arial"/>
          <w:bCs/>
          <w:color w:val="000000" w:themeColor="text1"/>
          <w:sz w:val="21"/>
          <w:szCs w:val="21"/>
          <w:lang w:val="es-ES"/>
        </w:rPr>
        <w:t>3. A los ascendientes</w:t>
      </w:r>
    </w:p>
    <w:p w14:paraId="7FE78859" w14:textId="77777777" w:rsidR="00657E97" w:rsidRPr="00262F9B" w:rsidRDefault="00657E97" w:rsidP="00657E97">
      <w:pPr>
        <w:tabs>
          <w:tab w:val="left" w:pos="0"/>
        </w:tabs>
        <w:spacing w:after="120" w:line="240" w:lineRule="auto"/>
        <w:ind w:left="709" w:right="709"/>
        <w:jc w:val="both"/>
        <w:rPr>
          <w:rFonts w:ascii="Century Gothic" w:eastAsia="Calibri" w:hAnsi="Century Gothic" w:cs="Arial"/>
          <w:bCs/>
          <w:color w:val="000000" w:themeColor="text1"/>
          <w:sz w:val="21"/>
          <w:szCs w:val="21"/>
          <w:lang w:val="es-MX"/>
        </w:rPr>
      </w:pPr>
      <w:r w:rsidRPr="00262F9B">
        <w:rPr>
          <w:rFonts w:ascii="Century Gothic" w:eastAsia="Calibri" w:hAnsi="Century Gothic" w:cs="Arial"/>
          <w:bCs/>
          <w:color w:val="000000" w:themeColor="text1"/>
          <w:sz w:val="21"/>
          <w:szCs w:val="21"/>
          <w:lang w:val="es-ES"/>
        </w:rPr>
        <w:t>4. A cargo del cónyuge culpable, al cónyuge divorciado o separado de cuerpos sin su culpa. </w:t>
      </w:r>
    </w:p>
    <w:p w14:paraId="7066C414" w14:textId="77777777" w:rsidR="00657E97" w:rsidRPr="00262F9B" w:rsidRDefault="00657E97" w:rsidP="00657E97">
      <w:pPr>
        <w:tabs>
          <w:tab w:val="left" w:pos="0"/>
        </w:tabs>
        <w:spacing w:after="120" w:line="240" w:lineRule="auto"/>
        <w:ind w:left="709" w:right="709"/>
        <w:jc w:val="both"/>
        <w:rPr>
          <w:rFonts w:ascii="Century Gothic" w:eastAsia="Calibri" w:hAnsi="Century Gothic" w:cs="Arial"/>
          <w:bCs/>
          <w:color w:val="000000" w:themeColor="text1"/>
          <w:sz w:val="21"/>
          <w:szCs w:val="21"/>
          <w:lang w:val="es-MX"/>
        </w:rPr>
      </w:pPr>
      <w:r w:rsidRPr="00262F9B">
        <w:rPr>
          <w:rFonts w:ascii="Century Gothic" w:eastAsia="Calibri" w:hAnsi="Century Gothic" w:cs="Arial"/>
          <w:bCs/>
          <w:color w:val="000000" w:themeColor="text1"/>
          <w:sz w:val="21"/>
          <w:szCs w:val="21"/>
          <w:lang w:val="es-ES"/>
        </w:rPr>
        <w:t>5. A los hijos naturales, su posteridad y a los nietos naturales.</w:t>
      </w:r>
    </w:p>
    <w:p w14:paraId="317D15F3" w14:textId="77777777" w:rsidR="00657E97" w:rsidRPr="00262F9B" w:rsidRDefault="00657E97" w:rsidP="00657E97">
      <w:pPr>
        <w:tabs>
          <w:tab w:val="left" w:pos="0"/>
        </w:tabs>
        <w:spacing w:after="120" w:line="240" w:lineRule="auto"/>
        <w:ind w:left="709" w:right="709"/>
        <w:jc w:val="both"/>
        <w:rPr>
          <w:rFonts w:ascii="Century Gothic" w:eastAsia="Calibri" w:hAnsi="Century Gothic" w:cs="Arial"/>
          <w:bCs/>
          <w:color w:val="000000" w:themeColor="text1"/>
          <w:sz w:val="21"/>
          <w:szCs w:val="21"/>
          <w:lang w:val="es-MX"/>
        </w:rPr>
      </w:pPr>
      <w:r w:rsidRPr="00262F9B">
        <w:rPr>
          <w:rFonts w:ascii="Century Gothic" w:eastAsia="Calibri" w:hAnsi="Century Gothic" w:cs="Arial"/>
          <w:bCs/>
          <w:color w:val="000000" w:themeColor="text1"/>
          <w:sz w:val="21"/>
          <w:szCs w:val="21"/>
          <w:lang w:val="es-ES"/>
        </w:rPr>
        <w:t>6. A los ascendientes naturales.</w:t>
      </w:r>
    </w:p>
    <w:p w14:paraId="26BFC74C" w14:textId="77777777" w:rsidR="00657E97" w:rsidRPr="00262F9B" w:rsidRDefault="00657E97" w:rsidP="00657E97">
      <w:pPr>
        <w:tabs>
          <w:tab w:val="left" w:pos="0"/>
        </w:tabs>
        <w:spacing w:after="120" w:line="240" w:lineRule="auto"/>
        <w:ind w:left="709" w:right="709"/>
        <w:jc w:val="both"/>
        <w:rPr>
          <w:rFonts w:ascii="Century Gothic" w:eastAsia="Calibri" w:hAnsi="Century Gothic" w:cs="Arial"/>
          <w:bCs/>
          <w:color w:val="000000" w:themeColor="text1"/>
          <w:sz w:val="21"/>
          <w:szCs w:val="21"/>
          <w:lang w:val="es-MX"/>
        </w:rPr>
      </w:pPr>
      <w:r w:rsidRPr="00262F9B">
        <w:rPr>
          <w:rFonts w:ascii="Century Gothic" w:eastAsia="Calibri" w:hAnsi="Century Gothic" w:cs="Arial"/>
          <w:bCs/>
          <w:color w:val="000000" w:themeColor="text1"/>
          <w:sz w:val="21"/>
          <w:szCs w:val="21"/>
          <w:lang w:val="es-MX"/>
        </w:rPr>
        <w:t>7. A los hijos adoptivos.</w:t>
      </w:r>
    </w:p>
    <w:p w14:paraId="264D750B" w14:textId="77777777" w:rsidR="00657E97" w:rsidRPr="00262F9B" w:rsidRDefault="00657E97" w:rsidP="00657E97">
      <w:pPr>
        <w:tabs>
          <w:tab w:val="left" w:pos="0"/>
        </w:tabs>
        <w:spacing w:after="120" w:line="240" w:lineRule="auto"/>
        <w:ind w:left="709" w:right="709"/>
        <w:jc w:val="both"/>
        <w:rPr>
          <w:rFonts w:ascii="Century Gothic" w:eastAsia="Calibri" w:hAnsi="Century Gothic" w:cs="Arial"/>
          <w:bCs/>
          <w:color w:val="000000" w:themeColor="text1"/>
          <w:sz w:val="21"/>
          <w:szCs w:val="21"/>
          <w:lang w:val="es-MX"/>
        </w:rPr>
      </w:pPr>
      <w:r w:rsidRPr="00262F9B">
        <w:rPr>
          <w:rFonts w:ascii="Century Gothic" w:eastAsia="Calibri" w:hAnsi="Century Gothic" w:cs="Arial"/>
          <w:bCs/>
          <w:color w:val="000000" w:themeColor="text1"/>
          <w:sz w:val="21"/>
          <w:szCs w:val="21"/>
          <w:lang w:val="es-ES"/>
        </w:rPr>
        <w:t>8. A los padres adoptantes.</w:t>
      </w:r>
    </w:p>
    <w:p w14:paraId="048FF6F3" w14:textId="77777777" w:rsidR="00657E97" w:rsidRPr="00262F9B" w:rsidRDefault="00657E97" w:rsidP="00657E97">
      <w:pPr>
        <w:tabs>
          <w:tab w:val="left" w:pos="0"/>
        </w:tabs>
        <w:spacing w:after="120" w:line="240" w:lineRule="auto"/>
        <w:ind w:left="709" w:right="709"/>
        <w:jc w:val="both"/>
        <w:rPr>
          <w:rFonts w:ascii="Century Gothic" w:eastAsia="Calibri" w:hAnsi="Century Gothic" w:cs="Arial"/>
          <w:bCs/>
          <w:color w:val="000000" w:themeColor="text1"/>
          <w:sz w:val="21"/>
          <w:szCs w:val="21"/>
          <w:lang w:val="es-MX"/>
        </w:rPr>
      </w:pPr>
      <w:r w:rsidRPr="00262F9B">
        <w:rPr>
          <w:rFonts w:ascii="Century Gothic" w:eastAsia="Calibri" w:hAnsi="Century Gothic" w:cs="Arial"/>
          <w:bCs/>
          <w:color w:val="000000" w:themeColor="text1"/>
          <w:sz w:val="21"/>
          <w:szCs w:val="21"/>
          <w:lang w:val="es-ES"/>
        </w:rPr>
        <w:t>9. A los hermanos legítimos. </w:t>
      </w:r>
    </w:p>
    <w:p w14:paraId="2201747D" w14:textId="77777777" w:rsidR="00657E97" w:rsidRPr="00262F9B" w:rsidRDefault="00657E97" w:rsidP="00657E97">
      <w:pPr>
        <w:tabs>
          <w:tab w:val="left" w:pos="0"/>
        </w:tabs>
        <w:spacing w:after="120" w:line="240" w:lineRule="auto"/>
        <w:ind w:left="709" w:right="709"/>
        <w:jc w:val="both"/>
        <w:rPr>
          <w:rFonts w:ascii="Century Gothic" w:eastAsia="Calibri" w:hAnsi="Century Gothic" w:cs="Arial"/>
          <w:bCs/>
          <w:color w:val="000000" w:themeColor="text1"/>
          <w:sz w:val="21"/>
          <w:szCs w:val="21"/>
          <w:lang w:val="es-MX"/>
        </w:rPr>
      </w:pPr>
      <w:r w:rsidRPr="00262F9B">
        <w:rPr>
          <w:rFonts w:ascii="Century Gothic" w:eastAsia="Calibri" w:hAnsi="Century Gothic" w:cs="Arial"/>
          <w:bCs/>
          <w:color w:val="000000" w:themeColor="text1"/>
          <w:sz w:val="21"/>
          <w:szCs w:val="21"/>
          <w:lang w:val="es-ES"/>
        </w:rPr>
        <w:t>10. Al que hizo una donación cuantiosa si no hubiere sido rescindida o revocada.</w:t>
      </w:r>
    </w:p>
    <w:p w14:paraId="2CDE9955" w14:textId="77777777" w:rsidR="00657E97" w:rsidRPr="00262F9B" w:rsidRDefault="00657E97" w:rsidP="00657E97">
      <w:pPr>
        <w:tabs>
          <w:tab w:val="left" w:pos="0"/>
        </w:tabs>
        <w:spacing w:after="120" w:line="240" w:lineRule="auto"/>
        <w:ind w:left="709" w:right="709"/>
        <w:jc w:val="both"/>
        <w:rPr>
          <w:rFonts w:ascii="Century Gothic" w:eastAsia="Calibri" w:hAnsi="Century Gothic" w:cs="Arial"/>
          <w:bCs/>
          <w:color w:val="000000" w:themeColor="text1"/>
          <w:sz w:val="21"/>
          <w:szCs w:val="21"/>
          <w:lang w:val="es-MX"/>
        </w:rPr>
      </w:pPr>
      <w:r w:rsidRPr="00262F9B">
        <w:rPr>
          <w:rFonts w:ascii="Century Gothic" w:eastAsia="Calibri" w:hAnsi="Century Gothic" w:cs="Arial"/>
          <w:bCs/>
          <w:color w:val="000000" w:themeColor="text1"/>
          <w:sz w:val="21"/>
          <w:szCs w:val="21"/>
          <w:lang w:val="es-ES"/>
        </w:rPr>
        <w:t>La acción del donante se dirigirá contra el donatario.</w:t>
      </w:r>
    </w:p>
    <w:p w14:paraId="72AD1503" w14:textId="77777777" w:rsidR="00657E97" w:rsidRPr="00262F9B" w:rsidRDefault="00657E97" w:rsidP="00657E97">
      <w:pPr>
        <w:tabs>
          <w:tab w:val="left" w:pos="0"/>
        </w:tabs>
        <w:spacing w:after="0" w:line="240" w:lineRule="auto"/>
        <w:ind w:left="709" w:right="709"/>
        <w:jc w:val="both"/>
        <w:rPr>
          <w:rFonts w:ascii="Century Gothic" w:eastAsia="Calibri" w:hAnsi="Century Gothic" w:cs="Arial"/>
          <w:bCs/>
          <w:color w:val="000000" w:themeColor="text1"/>
          <w:sz w:val="21"/>
          <w:szCs w:val="21"/>
          <w:lang w:val="es-MX"/>
        </w:rPr>
      </w:pPr>
      <w:r w:rsidRPr="00262F9B">
        <w:rPr>
          <w:rFonts w:ascii="Century Gothic" w:eastAsia="Calibri" w:hAnsi="Century Gothic" w:cs="Arial"/>
          <w:bCs/>
          <w:color w:val="000000" w:themeColor="text1"/>
          <w:sz w:val="21"/>
          <w:szCs w:val="21"/>
          <w:lang w:val="es-ES"/>
        </w:rPr>
        <w:t>No se deben alimentos a las personas aquí designadas en los casos en que una ley se los niegue.</w:t>
      </w:r>
    </w:p>
    <w:p w14:paraId="750C0AB3" w14:textId="77777777" w:rsidR="00657E97" w:rsidRPr="00262F9B" w:rsidRDefault="00657E97" w:rsidP="00657E97">
      <w:pPr>
        <w:tabs>
          <w:tab w:val="left" w:pos="0"/>
        </w:tabs>
        <w:spacing w:after="0" w:line="276" w:lineRule="auto"/>
        <w:jc w:val="both"/>
        <w:rPr>
          <w:rFonts w:ascii="Century Gothic" w:eastAsia="Calibri" w:hAnsi="Century Gothic" w:cs="Arial"/>
          <w:bCs/>
          <w:color w:val="000000" w:themeColor="text1"/>
          <w:lang w:val="es-MX"/>
        </w:rPr>
      </w:pPr>
    </w:p>
    <w:p w14:paraId="6A03638B" w14:textId="77777777" w:rsidR="00657E97" w:rsidRPr="00262F9B" w:rsidRDefault="00657E97" w:rsidP="00657E97">
      <w:pPr>
        <w:tabs>
          <w:tab w:val="left" w:pos="0"/>
        </w:tabs>
        <w:spacing w:after="0" w:line="276" w:lineRule="auto"/>
        <w:jc w:val="both"/>
        <w:rPr>
          <w:rFonts w:ascii="Century Gothic" w:eastAsia="Calibri" w:hAnsi="Century Gothic" w:cs="Arial"/>
          <w:bCs/>
          <w:color w:val="000000" w:themeColor="text1"/>
        </w:rPr>
      </w:pPr>
      <w:r w:rsidRPr="00262F9B">
        <w:rPr>
          <w:rFonts w:ascii="Century Gothic" w:eastAsia="Calibri" w:hAnsi="Century Gothic" w:cs="Arial"/>
          <w:bCs/>
          <w:color w:val="000000" w:themeColor="text1"/>
        </w:rPr>
        <w:tab/>
        <w:t xml:space="preserve">En este contexto, el REDAM es una medida adicional que el legislador establece para el cumplimiento de las obligaciones alimentarias. Dicho registro se suma a la posibilidad de iniciar un proceso declarativo para fijar o aumentar la cuota de alimentos, así como ejecutar la providencia judicial que los decrete, competencia que corresponde a los jueces de familia por el proceso verbal sumario –artículos 21 y 390 del Código General del Proceso, respectivamente–. Lo anterior, sin perjuicio de las medidas especiales previstas en la Ley 1098 de 2006 para la atención de los niños y adolescentes, así como la aplicación de las </w:t>
      </w:r>
      <w:r w:rsidRPr="00262F9B">
        <w:rPr>
          <w:rFonts w:ascii="Century Gothic" w:eastAsia="Calibri" w:hAnsi="Century Gothic" w:cs="Arial"/>
          <w:bCs/>
          <w:color w:val="000000" w:themeColor="text1"/>
        </w:rPr>
        <w:lastRenderedPageBreak/>
        <w:t>sanciones previstas en el artículo 233 de la Ley 599 de 2000, “por la cual se expide el Código Penal”, el cual tipifica el delito de inasistencia alimentaria</w:t>
      </w:r>
      <w:r w:rsidRPr="00262F9B">
        <w:rPr>
          <w:rStyle w:val="Refdenotaalpie"/>
          <w:rFonts w:ascii="Century Gothic" w:eastAsia="Calibri" w:hAnsi="Century Gothic" w:cs="Arial"/>
          <w:bCs/>
          <w:color w:val="000000" w:themeColor="text1"/>
        </w:rPr>
        <w:footnoteReference w:id="43"/>
      </w:r>
      <w:r w:rsidRPr="00262F9B">
        <w:rPr>
          <w:rFonts w:ascii="Century Gothic" w:eastAsia="Calibri" w:hAnsi="Century Gothic" w:cs="Arial"/>
          <w:bCs/>
          <w:color w:val="000000" w:themeColor="text1"/>
        </w:rPr>
        <w:t xml:space="preserve">. Por ello, en el control previo realizado a través de la Sentencia C-032 de 2021, con ponencia de la Magistrada Gloria Stella Ortiz Delgado, la Corte Constitucional estima que: </w:t>
      </w:r>
    </w:p>
    <w:p w14:paraId="1F0EC8B4" w14:textId="77777777" w:rsidR="00657E97" w:rsidRPr="00262F9B" w:rsidRDefault="00657E97" w:rsidP="00657E97">
      <w:pPr>
        <w:tabs>
          <w:tab w:val="left" w:pos="0"/>
        </w:tabs>
        <w:spacing w:after="0" w:line="276" w:lineRule="auto"/>
        <w:jc w:val="both"/>
        <w:rPr>
          <w:rFonts w:ascii="Century Gothic" w:eastAsia="Calibri" w:hAnsi="Century Gothic" w:cs="Arial"/>
          <w:bCs/>
          <w:color w:val="000000" w:themeColor="text1"/>
        </w:rPr>
      </w:pPr>
    </w:p>
    <w:p w14:paraId="153668E0" w14:textId="77777777" w:rsidR="00657E97" w:rsidRPr="00262F9B" w:rsidRDefault="00657E97" w:rsidP="00657E97">
      <w:pPr>
        <w:tabs>
          <w:tab w:val="left" w:pos="851"/>
        </w:tabs>
        <w:spacing w:after="120" w:line="240" w:lineRule="auto"/>
        <w:ind w:left="709" w:right="709"/>
        <w:jc w:val="both"/>
        <w:rPr>
          <w:rFonts w:ascii="Century Gothic" w:eastAsia="Calibri" w:hAnsi="Century Gothic" w:cs="Arial"/>
          <w:bCs/>
          <w:color w:val="000000" w:themeColor="text1"/>
          <w:sz w:val="21"/>
          <w:szCs w:val="21"/>
        </w:rPr>
      </w:pPr>
      <w:r w:rsidRPr="00262F9B">
        <w:rPr>
          <w:rFonts w:ascii="Century Gothic" w:eastAsia="Calibri" w:hAnsi="Century Gothic" w:cs="Arial"/>
          <w:bCs/>
          <w:color w:val="000000" w:themeColor="text1"/>
          <w:sz w:val="21"/>
          <w:szCs w:val="21"/>
        </w:rPr>
        <w:t>[…] el debido cumplimiento de las obligaciones alimentarias cumple con fines constitucionales no solo importantes sino imperiosos, al estar vinculados con la satisfacción del derecho al mínimo vital de sus acreedores. Estos son por lo general sujetos de especial protección constitucional, por lo que el incumplimiento mencionado afecta aspectos esenciales para el Estado constitucional, lo que valida las acciones dirigidas a promover el pago oportuno. De otro lado, también se ha demostrado que el incumplimiento en las obligaciones alimentarias es una problemática que afecta con mucha mayor intensidad a las mujeres, puesto que salvo casos excepcionales, los deudores morosos son hombres. Ello necesariamente impone cargas desproporcionadas a las mujeres que son madres o cuidadoras, pues les obliga a asumir de forma exclusiva los costos de manutención propia y de los acreedores alimentarios.</w:t>
      </w:r>
    </w:p>
    <w:p w14:paraId="636217CA" w14:textId="77777777" w:rsidR="00657E97" w:rsidRPr="00262F9B" w:rsidRDefault="00657E97" w:rsidP="00657E97">
      <w:pPr>
        <w:tabs>
          <w:tab w:val="left" w:pos="851"/>
        </w:tabs>
        <w:spacing w:after="0" w:line="240" w:lineRule="auto"/>
        <w:ind w:left="709" w:right="709"/>
        <w:jc w:val="both"/>
        <w:rPr>
          <w:rFonts w:ascii="Century Gothic" w:eastAsia="Calibri" w:hAnsi="Century Gothic" w:cs="Arial"/>
          <w:bCs/>
          <w:color w:val="000000" w:themeColor="text1"/>
        </w:rPr>
      </w:pPr>
      <w:r w:rsidRPr="00262F9B">
        <w:rPr>
          <w:rFonts w:ascii="Century Gothic" w:eastAsia="Calibri" w:hAnsi="Century Gothic" w:cs="Arial"/>
          <w:bCs/>
          <w:color w:val="000000" w:themeColor="text1"/>
          <w:sz w:val="21"/>
          <w:szCs w:val="21"/>
        </w:rPr>
        <w:t xml:space="preserve">Ante esas circunstancias, resulta plenamente justificado desde la perspectiva constitucional la instauración del REDAM y la fijación de la finalidad descrita en el artículo analizado. Ello no solo porque apunta a la satisfacción de bienes constitucionales de primer orden, sino también porque opera como un factor favorable para la reducción de la violencia económica contra las mujeres derivada del incumplimiento en el pago de las obligaciones alimentarias. </w:t>
      </w:r>
    </w:p>
    <w:p w14:paraId="453785FC" w14:textId="77777777" w:rsidR="00657E97" w:rsidRPr="00262F9B" w:rsidRDefault="00657E97" w:rsidP="00657E97">
      <w:pPr>
        <w:tabs>
          <w:tab w:val="left" w:pos="851"/>
        </w:tabs>
        <w:spacing w:after="0" w:line="276" w:lineRule="auto"/>
        <w:ind w:left="709" w:right="709"/>
        <w:jc w:val="both"/>
        <w:rPr>
          <w:rFonts w:ascii="Century Gothic" w:eastAsia="Calibri" w:hAnsi="Century Gothic" w:cs="Arial"/>
          <w:bCs/>
          <w:color w:val="000000" w:themeColor="text1"/>
        </w:rPr>
      </w:pPr>
    </w:p>
    <w:p w14:paraId="7E1BFA12" w14:textId="77777777" w:rsidR="00657E97" w:rsidRPr="00262F9B" w:rsidRDefault="00657E97" w:rsidP="00657E97">
      <w:pPr>
        <w:tabs>
          <w:tab w:val="left" w:pos="0"/>
        </w:tabs>
        <w:spacing w:after="0" w:line="276" w:lineRule="auto"/>
        <w:jc w:val="both"/>
        <w:rPr>
          <w:rFonts w:ascii="Century Gothic" w:eastAsia="Calibri" w:hAnsi="Century Gothic" w:cs="Arial"/>
          <w:bCs/>
          <w:color w:val="000000" w:themeColor="text1"/>
        </w:rPr>
      </w:pPr>
      <w:r w:rsidRPr="00262F9B">
        <w:rPr>
          <w:rFonts w:ascii="Century Gothic" w:eastAsia="Calibri" w:hAnsi="Century Gothic" w:cs="Arial"/>
          <w:bCs/>
          <w:color w:val="000000" w:themeColor="text1"/>
        </w:rPr>
        <w:tab/>
        <w:t xml:space="preserve">En esta perspectiva, el artículo 2 de la Ley 2097 de 2021 dispone que –sin importar que se trate de alimentos congruos o necesarios, definitivos o provisionales– las medidas previstas rigen para “[…] todas las personas que se encuentren en mora a partir de tres (3) cuotas alimentarias, sucesivas o no, establecidas en sentencias ejecutoriadas, acuerdos de conciliación, o cualquier título ejecutivo que contenga obligaciones de carácter alimentario”. </w:t>
      </w:r>
      <w:r w:rsidRPr="00262F9B">
        <w:rPr>
          <w:rFonts w:ascii="Century Gothic" w:eastAsia="Calibri" w:hAnsi="Century Gothic" w:cs="Arial"/>
          <w:bCs/>
          <w:color w:val="000000" w:themeColor="text1"/>
        </w:rPr>
        <w:lastRenderedPageBreak/>
        <w:t>Adicionalmente, agrega que “Esta norma aplica para los deudores alimentarios morosos de las personas titulares de derechos de alimentos estipulados en el artículo 411 del Código Civil colombiano, que incurran en las condiciones consagradas en el presente artículo”. Asimismo, el artículo 3 regula el procedimiento de inscripción en los siguientes términos:</w:t>
      </w:r>
    </w:p>
    <w:p w14:paraId="12558977" w14:textId="77777777" w:rsidR="00657E97" w:rsidRPr="00262F9B" w:rsidRDefault="00657E97" w:rsidP="00657E97">
      <w:pPr>
        <w:tabs>
          <w:tab w:val="left" w:pos="0"/>
        </w:tabs>
        <w:spacing w:after="0" w:line="276" w:lineRule="auto"/>
        <w:jc w:val="both"/>
        <w:rPr>
          <w:rFonts w:ascii="Century Gothic" w:eastAsia="Calibri" w:hAnsi="Century Gothic" w:cs="Arial"/>
          <w:bCs/>
          <w:color w:val="000000" w:themeColor="text1"/>
        </w:rPr>
      </w:pPr>
    </w:p>
    <w:p w14:paraId="768756B2" w14:textId="77777777" w:rsidR="00657E97" w:rsidRPr="00262F9B" w:rsidRDefault="00657E97" w:rsidP="00657E97">
      <w:pPr>
        <w:tabs>
          <w:tab w:val="left" w:pos="993"/>
        </w:tabs>
        <w:spacing w:after="120" w:line="240" w:lineRule="auto"/>
        <w:ind w:left="709" w:right="709"/>
        <w:jc w:val="both"/>
        <w:rPr>
          <w:rFonts w:ascii="Century Gothic" w:eastAsia="Calibri" w:hAnsi="Century Gothic" w:cs="Arial"/>
          <w:bCs/>
          <w:color w:val="000000" w:themeColor="text1"/>
          <w:sz w:val="21"/>
          <w:szCs w:val="21"/>
        </w:rPr>
      </w:pPr>
      <w:r w:rsidRPr="00262F9B">
        <w:rPr>
          <w:rFonts w:ascii="Century Gothic" w:eastAsia="Calibri" w:hAnsi="Century Gothic" w:cs="Arial"/>
          <w:bCs/>
          <w:color w:val="000000" w:themeColor="text1"/>
          <w:sz w:val="21"/>
          <w:szCs w:val="21"/>
        </w:rPr>
        <w:t>El acreedor de alimentos deberá solicitar el registro ante el juez y/o funcionario que conoce o conoció del proceso y/o de alimentos quien, previo a ordenar la inscripción en el Registro de Deudores Alimentarios Morosos, deberá correr traslado de la solicitud al deudor alimentario que se reputa en mora por cinco (5) días hábiles, al término de los cuales resolverá sobre la procedencia o no de la misma, con fundamento en la existencia o no de una justa causa. La decisión del juez y/o funcionario podrá ser objeto del recurso de reposición quien dispondrá de cinco (5) días hábiles para resolverlo.</w:t>
      </w:r>
    </w:p>
    <w:p w14:paraId="4115DAE8" w14:textId="77777777" w:rsidR="00657E97" w:rsidRPr="00262F9B" w:rsidRDefault="00657E97" w:rsidP="00657E97">
      <w:pPr>
        <w:tabs>
          <w:tab w:val="left" w:pos="993"/>
        </w:tabs>
        <w:spacing w:after="120" w:line="240" w:lineRule="auto"/>
        <w:ind w:left="709" w:right="709"/>
        <w:jc w:val="both"/>
        <w:rPr>
          <w:rFonts w:ascii="Century Gothic" w:eastAsia="Calibri" w:hAnsi="Century Gothic" w:cs="Arial"/>
          <w:bCs/>
          <w:color w:val="000000" w:themeColor="text1"/>
          <w:sz w:val="21"/>
          <w:szCs w:val="21"/>
        </w:rPr>
      </w:pPr>
      <w:r w:rsidRPr="00262F9B">
        <w:rPr>
          <w:rFonts w:ascii="Century Gothic" w:eastAsia="Calibri" w:hAnsi="Century Gothic" w:cs="Arial"/>
          <w:bCs/>
          <w:color w:val="000000" w:themeColor="text1"/>
          <w:sz w:val="21"/>
          <w:szCs w:val="21"/>
        </w:rPr>
        <w:t>Parágrafo 1º. Una vez en firme la decisión que ordena la inscripción en el Registro de Deudores Alimentarios Morosos, el juez o la autoridad oficiará en un plazo no mayor a cinco (5) días hábiles a la entidad encargada de su operación con el propósito de hacer efectiva la misma.</w:t>
      </w:r>
    </w:p>
    <w:p w14:paraId="7E7BD403" w14:textId="77777777" w:rsidR="00657E97" w:rsidRPr="00262F9B" w:rsidRDefault="00657E97" w:rsidP="00657E97">
      <w:pPr>
        <w:tabs>
          <w:tab w:val="left" w:pos="993"/>
        </w:tabs>
        <w:spacing w:after="120" w:line="240" w:lineRule="auto"/>
        <w:ind w:left="709" w:right="709"/>
        <w:jc w:val="both"/>
        <w:rPr>
          <w:rFonts w:ascii="Century Gothic" w:eastAsia="Calibri" w:hAnsi="Century Gothic" w:cs="Arial"/>
          <w:bCs/>
          <w:color w:val="000000" w:themeColor="text1"/>
          <w:sz w:val="21"/>
          <w:szCs w:val="21"/>
        </w:rPr>
      </w:pPr>
      <w:r w:rsidRPr="00262F9B">
        <w:rPr>
          <w:rFonts w:ascii="Century Gothic" w:eastAsia="Calibri" w:hAnsi="Century Gothic" w:cs="Arial"/>
          <w:bCs/>
          <w:color w:val="000000" w:themeColor="text1"/>
          <w:sz w:val="21"/>
          <w:szCs w:val="21"/>
        </w:rPr>
        <w:t xml:space="preserve">Parágrafo 2º. Solo podrá proponerse como excepción a la solicitud de registro en el Registro de Deudores Alimentarios Morosos el pago de las obligaciones alimentarias que se encuentran en mora, siempre y cuando sea la primera inscripción, en el evento de recurrencia en el incumplimiento de las cuotas alimentarias y el pago de </w:t>
      </w:r>
      <w:proofErr w:type="gramStart"/>
      <w:r w:rsidRPr="00262F9B">
        <w:rPr>
          <w:rFonts w:ascii="Century Gothic" w:eastAsia="Calibri" w:hAnsi="Century Gothic" w:cs="Arial"/>
          <w:bCs/>
          <w:color w:val="000000" w:themeColor="text1"/>
          <w:sz w:val="21"/>
          <w:szCs w:val="21"/>
        </w:rPr>
        <w:t>las mismas</w:t>
      </w:r>
      <w:proofErr w:type="gramEnd"/>
      <w:r w:rsidRPr="00262F9B">
        <w:rPr>
          <w:rFonts w:ascii="Century Gothic" w:eastAsia="Calibri" w:hAnsi="Century Gothic" w:cs="Arial"/>
          <w:bCs/>
          <w:color w:val="000000" w:themeColor="text1"/>
          <w:sz w:val="21"/>
          <w:szCs w:val="21"/>
        </w:rPr>
        <w:t xml:space="preserve"> antes del registro, este se llevará a cabo por tres meses en la segunda oportunidad y por 6 meses en las ocasiones siguientes. </w:t>
      </w:r>
    </w:p>
    <w:p w14:paraId="6F818035" w14:textId="77777777" w:rsidR="00657E97" w:rsidRPr="00262F9B" w:rsidRDefault="00657E97" w:rsidP="00657E97">
      <w:pPr>
        <w:tabs>
          <w:tab w:val="left" w:pos="993"/>
        </w:tabs>
        <w:spacing w:after="120" w:line="240" w:lineRule="auto"/>
        <w:ind w:left="709" w:right="709"/>
        <w:jc w:val="both"/>
        <w:rPr>
          <w:rFonts w:ascii="Century Gothic" w:eastAsia="Calibri" w:hAnsi="Century Gothic" w:cs="Arial"/>
          <w:bCs/>
          <w:color w:val="000000" w:themeColor="text1"/>
          <w:sz w:val="21"/>
          <w:szCs w:val="21"/>
        </w:rPr>
      </w:pPr>
      <w:r w:rsidRPr="00262F9B">
        <w:rPr>
          <w:rFonts w:ascii="Century Gothic" w:eastAsia="Calibri" w:hAnsi="Century Gothic" w:cs="Arial"/>
          <w:bCs/>
          <w:color w:val="000000" w:themeColor="text1"/>
          <w:sz w:val="21"/>
          <w:szCs w:val="21"/>
        </w:rPr>
        <w:t>Parágrafo 3º. Cuando se acredite la cancelación total de las cuotas alimentarias en mora, el juez oficiará en un plazo no mayor a cinco (5) días hábiles a la entidad encargada de su operación con el propósito de cancelar la inscripción en el Registro de Deudores Alimentarios Morosos. En el mismo oficio el juez ordenará el retiro inmediato de la información negativa del deudor de alimentos del Registro.</w:t>
      </w:r>
    </w:p>
    <w:p w14:paraId="56205AAD" w14:textId="77777777" w:rsidR="00657E97" w:rsidRPr="00262F9B" w:rsidRDefault="00657E97" w:rsidP="00657E97">
      <w:pPr>
        <w:tabs>
          <w:tab w:val="left" w:pos="993"/>
        </w:tabs>
        <w:spacing w:after="0" w:line="240" w:lineRule="auto"/>
        <w:ind w:left="709" w:right="709"/>
        <w:jc w:val="both"/>
        <w:rPr>
          <w:rFonts w:ascii="Century Gothic" w:eastAsia="Calibri" w:hAnsi="Century Gothic" w:cs="Arial"/>
          <w:bCs/>
          <w:color w:val="000000" w:themeColor="text1"/>
          <w:sz w:val="21"/>
          <w:szCs w:val="21"/>
        </w:rPr>
      </w:pPr>
      <w:r w:rsidRPr="00262F9B">
        <w:rPr>
          <w:rFonts w:ascii="Century Gothic" w:eastAsia="Calibri" w:hAnsi="Century Gothic" w:cs="Arial"/>
          <w:bCs/>
          <w:color w:val="000000" w:themeColor="text1"/>
          <w:sz w:val="21"/>
          <w:szCs w:val="21"/>
        </w:rPr>
        <w:t xml:space="preserve">Parágrafo 4º. Cuando la obligación alimentaria conste en título ejecutivo diferente a sentencia judicial, el acreedor alimentario podrá acudir, a prevención, a una Comisaría de Familia o al Instituto Colombiano de Bienestar Familiar para poner en conocimiento el incumplimiento en las obligaciones alimentarias que dan lugar a la inscripción en el Registro de Deudores Alimentarios Morosos. La Comisaría de Familia o el Instituto Colombiano de Bienestar Familiar, estará obligada a dar inicio al trámite contemplado en el presente artículo, garantizando en todo caso, el </w:t>
      </w:r>
      <w:r w:rsidRPr="00262F9B">
        <w:rPr>
          <w:rFonts w:ascii="Century Gothic" w:eastAsia="Calibri" w:hAnsi="Century Gothic" w:cs="Arial"/>
          <w:bCs/>
          <w:color w:val="000000" w:themeColor="text1"/>
          <w:sz w:val="21"/>
          <w:szCs w:val="21"/>
        </w:rPr>
        <w:lastRenderedPageBreak/>
        <w:t>derecho de contradicción y de defensa del presunto deudor alimentario moroso.</w:t>
      </w:r>
    </w:p>
    <w:p w14:paraId="32438E91" w14:textId="77777777" w:rsidR="00657E97" w:rsidRPr="00262F9B" w:rsidRDefault="00657E97" w:rsidP="00657E97">
      <w:pPr>
        <w:tabs>
          <w:tab w:val="left" w:pos="0"/>
        </w:tabs>
        <w:spacing w:after="0" w:line="276" w:lineRule="auto"/>
        <w:jc w:val="both"/>
        <w:rPr>
          <w:rFonts w:ascii="Century Gothic" w:eastAsia="Calibri" w:hAnsi="Century Gothic" w:cs="Arial"/>
          <w:bCs/>
          <w:color w:val="000000" w:themeColor="text1"/>
        </w:rPr>
      </w:pPr>
    </w:p>
    <w:p w14:paraId="64C123D8" w14:textId="77777777" w:rsidR="00657E97" w:rsidRPr="00262F9B" w:rsidRDefault="00657E97" w:rsidP="00657E97">
      <w:pPr>
        <w:tabs>
          <w:tab w:val="left" w:pos="0"/>
        </w:tabs>
        <w:spacing w:after="120" w:line="276" w:lineRule="auto"/>
        <w:jc w:val="both"/>
        <w:rPr>
          <w:rFonts w:ascii="Century Gothic" w:eastAsia="Calibri" w:hAnsi="Century Gothic" w:cs="Arial"/>
          <w:bCs/>
          <w:color w:val="000000" w:themeColor="text1"/>
        </w:rPr>
      </w:pPr>
      <w:r w:rsidRPr="00262F9B">
        <w:rPr>
          <w:rFonts w:ascii="Century Gothic" w:eastAsia="Calibri" w:hAnsi="Century Gothic" w:cs="Arial"/>
          <w:bCs/>
          <w:color w:val="000000" w:themeColor="text1"/>
        </w:rPr>
        <w:tab/>
        <w:t xml:space="preserve">Para efectos del tema sometido a consulta, una de las consecuencias más importantes de la inclusión en el REDAM es la aparición de una inhabilidad para celebrar contratos con el Estado. Al respecto, conforme al artículo 6.1 </w:t>
      </w:r>
      <w:r w:rsidRPr="00262F9B">
        <w:rPr>
          <w:rFonts w:ascii="Century Gothic" w:eastAsia="Calibri" w:hAnsi="Century Gothic" w:cs="Arial"/>
          <w:bCs/>
          <w:i/>
          <w:iCs/>
          <w:color w:val="000000" w:themeColor="text1"/>
        </w:rPr>
        <w:t>ibidem</w:t>
      </w:r>
      <w:r w:rsidRPr="00262F9B">
        <w:rPr>
          <w:rFonts w:ascii="Century Gothic" w:eastAsia="Calibri" w:hAnsi="Century Gothic" w:cs="Arial"/>
          <w:bCs/>
          <w:color w:val="000000" w:themeColor="text1"/>
        </w:rPr>
        <w:t xml:space="preserve">, “El deudor alimentario moroso solo podrá contratar con el Estado una vez se ponga a paz y salvo con sus obligaciones alimentarias. Esta inhabilidad también se predica del deudor alimentario moroso que actúe como representante legal de la persona jurídica que aspira a contratar con el Estado”. </w:t>
      </w:r>
    </w:p>
    <w:p w14:paraId="60890722" w14:textId="77777777" w:rsidR="00657E97" w:rsidRPr="00262F9B" w:rsidRDefault="00657E97" w:rsidP="00657E97">
      <w:pPr>
        <w:tabs>
          <w:tab w:val="left" w:pos="0"/>
        </w:tabs>
        <w:spacing w:after="120" w:line="276" w:lineRule="auto"/>
        <w:jc w:val="both"/>
        <w:rPr>
          <w:rFonts w:ascii="Century Gothic" w:eastAsia="Calibri" w:hAnsi="Century Gothic" w:cs="Arial"/>
          <w:bCs/>
          <w:color w:val="000000" w:themeColor="text1"/>
        </w:rPr>
      </w:pPr>
      <w:r w:rsidRPr="00262F9B">
        <w:rPr>
          <w:rFonts w:ascii="Century Gothic" w:eastAsia="Calibri" w:hAnsi="Century Gothic" w:cs="Arial"/>
          <w:bCs/>
          <w:color w:val="000000" w:themeColor="text1"/>
        </w:rPr>
        <w:tab/>
        <w:t xml:space="preserve">De acuerdo con el análisis de la precitada Sentencia C-032 de 2021, para la Corte Constitucional dicha norma es exequible, pues “[…] si se reconoce la validez constitucional de medidas altamente invasivas de la autonomía individual, como son las que se derivan del uso de la tipificación penal, resultaría un contrasentido cuestionar instrumentos de menor intensidad, como es la imposición de este requisito para […] contratar con el Estado. Adicionalmente, no puede perderse de vista el hecho de que uno de los motivos que fundamentan la imposición de inhabilidades es la conservación de la transparencia y la moralidad administrativa. El incumplimiento de las obligaciones alimentaria afecta valores constitucionales esenciales y, en modo alguno puede desconocerse a la hora de analizar las calidades de los futuros […] contratistas del Estado”. Lo anterior, agregando que la medida cumple con una finalidad importante e imperiosa, la cual consistente en proteger los derechos fundamentales de personas que se ven afectados en su mínimo vital por el hecho del incumplimiento de las obligaciones alimentarias, quienes usualmente son sujetos de especial protección constitucional. La Corte Constitucional considera que la medida es necesaria, porque opera un incentivo para el pago cumplido de esas obligaciones, supeditando la suscripción del contrato respectivo al pago de esa obligación. </w:t>
      </w:r>
    </w:p>
    <w:p w14:paraId="03E39240" w14:textId="77777777" w:rsidR="00657E97" w:rsidRPr="00262F9B" w:rsidRDefault="00657E97" w:rsidP="00657E97">
      <w:pPr>
        <w:tabs>
          <w:tab w:val="left" w:pos="0"/>
        </w:tabs>
        <w:spacing w:after="120" w:line="276" w:lineRule="auto"/>
        <w:jc w:val="both"/>
        <w:rPr>
          <w:rFonts w:ascii="Century Gothic" w:eastAsia="Calibri" w:hAnsi="Century Gothic" w:cs="Arial"/>
          <w:bCs/>
          <w:color w:val="000000" w:themeColor="text1"/>
        </w:rPr>
      </w:pPr>
      <w:r w:rsidRPr="00262F9B">
        <w:rPr>
          <w:rFonts w:ascii="Century Gothic" w:eastAsia="Calibri" w:hAnsi="Century Gothic" w:cs="Arial"/>
          <w:bCs/>
          <w:color w:val="000000" w:themeColor="text1"/>
        </w:rPr>
        <w:tab/>
        <w:t xml:space="preserve">Adicionalmente, la Corte Constitucional también estima que ante la contingencia de que el representante legal sea registrado en el REDAM la persona jurídica puede proceder con su pronta remoción –y con ello permitir el normal desarrollo del objeto social frente a los contratos con el Estado– o exigir a aquel que se ponga de inmediato al día en el pago de sus obligaciones, a fin de que sea excluido de dicho registro. Por ello, agrega que “[…] esta extensión también implica la obligación del juez y/o funcionario que ordena la inscripción que comunique de esta, en los términos del inciso primero del artículo 3º del PLE, no únicamente a la </w:t>
      </w:r>
      <w:r w:rsidRPr="00262F9B">
        <w:rPr>
          <w:rFonts w:ascii="Century Gothic" w:eastAsia="Calibri" w:hAnsi="Century Gothic" w:cs="Arial"/>
          <w:bCs/>
          <w:color w:val="000000" w:themeColor="text1"/>
        </w:rPr>
        <w:lastRenderedPageBreak/>
        <w:t xml:space="preserve">persona natural sino también a la persona jurídica cuando aquella es su representante legal. Esto con el fin de que puedan ejercer las posibilidades de remoción o de exigencia del pago de la obligación, anteriormente mencionadas. De esta manera, en caso de que no ejerza esas opciones, la persona jurídica terminará siendo cobijada por los efectos del reporte, no por el simple hecho de un tercero sino ante su propia inacción y negligencia en acudir a los remedios legales para evitar tales consecuencias jurídicas”.  </w:t>
      </w:r>
    </w:p>
    <w:p w14:paraId="4C6E4E22" w14:textId="77777777" w:rsidR="00657E97" w:rsidRPr="00262F9B" w:rsidRDefault="00657E97" w:rsidP="00657E97">
      <w:pPr>
        <w:tabs>
          <w:tab w:val="left" w:pos="0"/>
        </w:tabs>
        <w:spacing w:after="120" w:line="276" w:lineRule="auto"/>
        <w:jc w:val="both"/>
        <w:rPr>
          <w:rFonts w:ascii="Century Gothic" w:eastAsia="Calibri" w:hAnsi="Century Gothic" w:cs="Arial"/>
          <w:bCs/>
          <w:color w:val="000000" w:themeColor="text1"/>
        </w:rPr>
      </w:pPr>
      <w:r w:rsidRPr="00262F9B">
        <w:rPr>
          <w:rFonts w:ascii="Century Gothic" w:eastAsia="Calibri" w:hAnsi="Century Gothic" w:cs="Arial"/>
          <w:bCs/>
          <w:color w:val="000000" w:themeColor="text1"/>
        </w:rPr>
        <w:tab/>
        <w:t xml:space="preserve">No obstante, pese a que son funciones del REDAM llevar un registro de los deudores alimentarios morosos y expedir gratuitamente los certificados a través de página web, es necesario preguntarse si la obligación de consultarlo para validar la ausencia de la restricción comentada surgió automáticamente con la expedición de la Ley 2097 del 2 de julio de 2021 o, por el contrario, si las medidas adoptadas quedaron condicionadas por la designación de la autoridad responsable de operar el registro, su reglamentación correspondiente, así como la puesta en funcionamiento de la aplicación. La respuesta a esta inquietud depende de tomar partido por la </w:t>
      </w:r>
      <w:r w:rsidRPr="00262F9B">
        <w:rPr>
          <w:rFonts w:ascii="Century Gothic" w:eastAsia="Calibri" w:hAnsi="Century Gothic" w:cs="Arial"/>
          <w:bCs/>
          <w:i/>
          <w:iCs/>
          <w:color w:val="000000" w:themeColor="text1"/>
        </w:rPr>
        <w:t>tesis de la aplicación directa</w:t>
      </w:r>
      <w:r w:rsidRPr="00262F9B">
        <w:rPr>
          <w:rFonts w:ascii="Century Gothic" w:eastAsia="Calibri" w:hAnsi="Century Gothic" w:cs="Arial"/>
          <w:bCs/>
          <w:color w:val="000000" w:themeColor="text1"/>
        </w:rPr>
        <w:t xml:space="preserve"> o por la </w:t>
      </w:r>
      <w:r w:rsidRPr="00262F9B">
        <w:rPr>
          <w:rFonts w:ascii="Century Gothic" w:eastAsia="Calibri" w:hAnsi="Century Gothic" w:cs="Arial"/>
          <w:bCs/>
          <w:i/>
          <w:iCs/>
          <w:color w:val="000000" w:themeColor="text1"/>
        </w:rPr>
        <w:t>tesis de la reglamentación</w:t>
      </w:r>
      <w:r w:rsidRPr="00262F9B">
        <w:rPr>
          <w:rFonts w:ascii="Century Gothic" w:eastAsia="Calibri" w:hAnsi="Century Gothic" w:cs="Arial"/>
          <w:bCs/>
          <w:color w:val="000000" w:themeColor="text1"/>
        </w:rPr>
        <w:t xml:space="preserve">. </w:t>
      </w:r>
    </w:p>
    <w:p w14:paraId="3EB840A0" w14:textId="77777777" w:rsidR="00657E97" w:rsidRPr="00262F9B" w:rsidRDefault="00657E97" w:rsidP="00657E97">
      <w:pPr>
        <w:tabs>
          <w:tab w:val="left" w:pos="709"/>
        </w:tabs>
        <w:spacing w:after="120" w:line="276" w:lineRule="auto"/>
        <w:jc w:val="both"/>
        <w:rPr>
          <w:rFonts w:ascii="Century Gothic" w:eastAsia="Calibri" w:hAnsi="Century Gothic" w:cs="Arial"/>
          <w:bCs/>
          <w:color w:val="000000" w:themeColor="text1"/>
          <w:lang w:val="es-ES_tradnl"/>
        </w:rPr>
      </w:pPr>
      <w:r w:rsidRPr="00262F9B">
        <w:rPr>
          <w:rFonts w:ascii="Century Gothic" w:eastAsia="Calibri" w:hAnsi="Century Gothic" w:cs="Arial"/>
          <w:bCs/>
          <w:color w:val="000000" w:themeColor="text1"/>
          <w:lang w:val="es-ES_tradnl"/>
        </w:rPr>
        <w:tab/>
        <w:t xml:space="preserve">Por un lado, quien opte por la </w:t>
      </w:r>
      <w:r w:rsidRPr="00262F9B">
        <w:rPr>
          <w:rFonts w:ascii="Century Gothic" w:eastAsia="Calibri" w:hAnsi="Century Gothic" w:cs="Arial"/>
          <w:bCs/>
          <w:i/>
          <w:iCs/>
          <w:color w:val="000000" w:themeColor="text1"/>
          <w:lang w:val="es-ES_tradnl"/>
        </w:rPr>
        <w:t>tesis de la aplicación directa</w:t>
      </w:r>
      <w:r w:rsidRPr="00262F9B">
        <w:rPr>
          <w:rFonts w:ascii="Century Gothic" w:eastAsia="Calibri" w:hAnsi="Century Gothic" w:cs="Arial"/>
          <w:bCs/>
          <w:color w:val="000000" w:themeColor="text1"/>
          <w:lang w:val="es-ES_tradnl"/>
        </w:rPr>
        <w:t xml:space="preserve"> debe sostener que la intervención del reglamento es accesoria, no necesaria: el Congreso de la República ejerce su competencia para la expedición de las leyes sin que normas de inferior jerarquía condicionen su vigencia o aplicación. En este contexto, cualquier espacio abierto de decisión –siempre que no esté sometido a reserva– habilita el ejercicio de potestades discrecionales por parte de las entidades públicas, salvo que el reglamento eventualmente los limite. De esta manera, a menor precisión de la ley, mayor es el campo de acción del reglamento: en este el funcionario competente tiene libertad para expedir o no las normas correspondientes. Por ello, la jurisprudencia explica que la competencia reglamentaria prevista en el artículo 189.11 superior también corresponde a un poder discrecional</w:t>
      </w:r>
      <w:r w:rsidRPr="00262F9B">
        <w:rPr>
          <w:rStyle w:val="Refdenotaalpie"/>
          <w:rFonts w:ascii="Century Gothic" w:eastAsia="Calibri" w:hAnsi="Century Gothic" w:cs="Arial"/>
          <w:bCs/>
          <w:color w:val="000000" w:themeColor="text1"/>
          <w:lang w:val="es-ES_tradnl"/>
        </w:rPr>
        <w:footnoteReference w:id="44"/>
      </w:r>
      <w:r w:rsidRPr="00262F9B">
        <w:rPr>
          <w:rFonts w:ascii="Century Gothic" w:eastAsia="Calibri" w:hAnsi="Century Gothic" w:cs="Arial"/>
          <w:bCs/>
          <w:color w:val="000000" w:themeColor="text1"/>
          <w:lang w:val="es-ES_tradnl"/>
        </w:rPr>
        <w:t>. En este contexto, si la expedición de reglamentos no es obligatoria, la ausencia de estos no excusa la inaplicación de la ley, pues contiene unos elementos mínimos que vinculan directamente a los destinatarios.</w:t>
      </w:r>
    </w:p>
    <w:p w14:paraId="3D93FE89" w14:textId="741D723D" w:rsidR="00657E97" w:rsidRPr="00262F9B" w:rsidRDefault="00657E97" w:rsidP="00657E97">
      <w:pPr>
        <w:tabs>
          <w:tab w:val="left" w:pos="709"/>
        </w:tabs>
        <w:spacing w:after="120" w:line="276" w:lineRule="auto"/>
        <w:jc w:val="both"/>
        <w:rPr>
          <w:rFonts w:ascii="Century Gothic" w:eastAsia="Calibri" w:hAnsi="Century Gothic" w:cs="Arial"/>
          <w:bCs/>
          <w:color w:val="000000" w:themeColor="text1"/>
          <w:lang w:val="es-ES_tradnl"/>
        </w:rPr>
      </w:pPr>
      <w:r w:rsidRPr="00262F9B">
        <w:rPr>
          <w:rFonts w:ascii="Century Gothic" w:eastAsia="Calibri" w:hAnsi="Century Gothic" w:cs="Arial"/>
          <w:bCs/>
          <w:color w:val="000000" w:themeColor="text1"/>
          <w:lang w:val="es-ES_tradnl"/>
        </w:rPr>
        <w:tab/>
        <w:t xml:space="preserve">Ahora bien, la relación entre estas dos (2) fuentes del derecho es totalmente diferente en la </w:t>
      </w:r>
      <w:r w:rsidRPr="00262F9B">
        <w:rPr>
          <w:rFonts w:ascii="Century Gothic" w:eastAsia="Calibri" w:hAnsi="Century Gothic" w:cs="Arial"/>
          <w:bCs/>
          <w:i/>
          <w:iCs/>
          <w:color w:val="000000" w:themeColor="text1"/>
          <w:lang w:val="es-ES_tradnl"/>
        </w:rPr>
        <w:t>tesis de la reglamentación</w:t>
      </w:r>
      <w:r w:rsidRPr="00262F9B">
        <w:rPr>
          <w:rFonts w:ascii="Century Gothic" w:eastAsia="Calibri" w:hAnsi="Century Gothic" w:cs="Arial"/>
          <w:bCs/>
          <w:color w:val="000000" w:themeColor="text1"/>
          <w:lang w:val="es-ES_tradnl"/>
        </w:rPr>
        <w:t xml:space="preserve">. Para estos efectos, si bien el Congreso </w:t>
      </w:r>
      <w:r w:rsidRPr="00262F9B">
        <w:rPr>
          <w:rFonts w:ascii="Century Gothic" w:eastAsia="Calibri" w:hAnsi="Century Gothic" w:cs="Arial"/>
          <w:bCs/>
          <w:color w:val="000000" w:themeColor="text1"/>
          <w:lang w:val="es-ES_tradnl"/>
        </w:rPr>
        <w:lastRenderedPageBreak/>
        <w:t xml:space="preserve">de la República conserva la cláusula general de competencia normativa para la expedición de las leyes, sujeta su aplicación a una norma de menor jerarquía que regule aspectos de detalle, por lo que exige la expedición del decreto reglamentario correspondiente. Este </w:t>
      </w:r>
      <w:r w:rsidR="00907194" w:rsidRPr="00262F9B">
        <w:rPr>
          <w:rFonts w:ascii="Century Gothic" w:eastAsia="Calibri" w:hAnsi="Century Gothic" w:cs="Arial"/>
          <w:bCs/>
          <w:color w:val="000000" w:themeColor="text1"/>
          <w:lang w:val="es-ES_tradnl"/>
        </w:rPr>
        <w:t>es</w:t>
      </w:r>
      <w:r w:rsidRPr="00262F9B">
        <w:rPr>
          <w:rFonts w:ascii="Century Gothic" w:eastAsia="Calibri" w:hAnsi="Century Gothic" w:cs="Arial"/>
          <w:bCs/>
          <w:color w:val="000000" w:themeColor="text1"/>
          <w:lang w:val="es-ES_tradnl"/>
        </w:rPr>
        <w:t xml:space="preserve"> el caso de la </w:t>
      </w:r>
      <w:r w:rsidRPr="00262F9B">
        <w:rPr>
          <w:rFonts w:ascii="Century Gothic" w:eastAsia="Calibri" w:hAnsi="Century Gothic" w:cs="Arial"/>
          <w:bCs/>
          <w:color w:val="000000" w:themeColor="text1"/>
        </w:rPr>
        <w:t>Ley 2097 de 2021</w:t>
      </w:r>
      <w:r w:rsidRPr="00262F9B">
        <w:rPr>
          <w:rFonts w:ascii="Century Gothic" w:eastAsia="Calibri" w:hAnsi="Century Gothic" w:cs="Arial"/>
          <w:bCs/>
          <w:color w:val="000000" w:themeColor="text1"/>
          <w:lang w:val="es-ES_tradnl"/>
        </w:rPr>
        <w:t xml:space="preserve">, </w:t>
      </w:r>
      <w:r w:rsidRPr="00262F9B">
        <w:rPr>
          <w:rFonts w:ascii="Century Gothic" w:eastAsia="Calibri" w:hAnsi="Century Gothic" w:cs="Arial"/>
          <w:bCs/>
          <w:color w:val="000000" w:themeColor="text1"/>
        </w:rPr>
        <w:t xml:space="preserve">pues –conforme al artículo 7 </w:t>
      </w:r>
      <w:r w:rsidRPr="00262F9B">
        <w:rPr>
          <w:rFonts w:ascii="Century Gothic" w:eastAsia="Calibri" w:hAnsi="Century Gothic" w:cs="Arial"/>
          <w:bCs/>
          <w:i/>
          <w:iCs/>
          <w:color w:val="000000" w:themeColor="text1"/>
        </w:rPr>
        <w:t>ibidem</w:t>
      </w:r>
      <w:r w:rsidRPr="00262F9B">
        <w:rPr>
          <w:rFonts w:ascii="Century Gothic" w:eastAsia="Calibri" w:hAnsi="Century Gothic" w:cs="Arial"/>
          <w:bCs/>
          <w:color w:val="000000" w:themeColor="text1"/>
        </w:rPr>
        <w:t>– “El Gobierno nacional, designará a una entidad del orden nacional para que implemente, administre y mantenga actualizado el Registro Nacional de Deudores de Cuotas Alimentarias”. Por lo demás, de acuerdo con el parágrafo de la norma precitada, “La implementación del Registro Nacional de Deudores de Cuotas Alimentarias deberá llevarse a cabo en el término de seis (6) meses contados a partir de la fecha de promulgación de la presente ley”.</w:t>
      </w:r>
    </w:p>
    <w:p w14:paraId="7198A163" w14:textId="77777777" w:rsidR="00657E97" w:rsidRPr="00262F9B" w:rsidRDefault="00657E97" w:rsidP="00657E97">
      <w:pPr>
        <w:tabs>
          <w:tab w:val="left" w:pos="709"/>
        </w:tabs>
        <w:spacing w:after="120" w:line="276" w:lineRule="auto"/>
        <w:jc w:val="both"/>
        <w:rPr>
          <w:rFonts w:ascii="Century Gothic" w:eastAsia="Calibri" w:hAnsi="Century Gothic" w:cs="Arial"/>
          <w:bCs/>
          <w:color w:val="000000" w:themeColor="text1"/>
          <w:lang w:val="es-ES_tradnl"/>
        </w:rPr>
      </w:pPr>
      <w:r w:rsidRPr="00262F9B">
        <w:rPr>
          <w:rFonts w:ascii="Century Gothic" w:eastAsia="Calibri" w:hAnsi="Century Gothic" w:cs="Arial"/>
          <w:bCs/>
          <w:color w:val="000000" w:themeColor="text1"/>
          <w:lang w:val="es-ES_tradnl"/>
        </w:rPr>
        <w:tab/>
        <w:t>En efecto, el artículo 7 de la Ley 2097 de 2020 contiene un mandato de reglamentación que debe acatar el Gobierno Nacional</w:t>
      </w:r>
      <w:r w:rsidRPr="00262F9B">
        <w:rPr>
          <w:rStyle w:val="Refdenotaalpie"/>
          <w:rFonts w:ascii="Century Gothic" w:eastAsia="Calibri" w:hAnsi="Century Gothic" w:cs="Arial"/>
          <w:bCs/>
          <w:color w:val="000000" w:themeColor="text1"/>
          <w:lang w:val="es-ES_tradnl"/>
        </w:rPr>
        <w:footnoteReference w:id="45"/>
      </w:r>
      <w:r w:rsidRPr="00262F9B">
        <w:rPr>
          <w:rFonts w:ascii="Century Gothic" w:eastAsia="Calibri" w:hAnsi="Century Gothic" w:cs="Arial"/>
          <w:bCs/>
          <w:color w:val="000000" w:themeColor="text1"/>
          <w:lang w:val="es-ES_tradnl"/>
        </w:rPr>
        <w:t xml:space="preserve">. Sin el decreto la ley es inaplicable, porque delega en una fuente de inferior jerarquía la definición de los aspectos relevantes para efectividad de los mandatos contenidos en la misma. En estos casos, la omisión reglamentaria genera una </w:t>
      </w:r>
      <w:r w:rsidRPr="00262F9B">
        <w:rPr>
          <w:rFonts w:ascii="Century Gothic" w:eastAsia="Calibri" w:hAnsi="Century Gothic" w:cs="Arial"/>
          <w:bCs/>
          <w:i/>
          <w:iCs/>
          <w:color w:val="000000" w:themeColor="text1"/>
          <w:lang w:val="es-ES_tradnl"/>
        </w:rPr>
        <w:t>laguna técnica</w:t>
      </w:r>
      <w:r w:rsidRPr="00262F9B">
        <w:rPr>
          <w:rFonts w:ascii="Century Gothic" w:eastAsia="Calibri" w:hAnsi="Century Gothic" w:cs="Arial"/>
          <w:bCs/>
          <w:color w:val="000000" w:themeColor="text1"/>
          <w:lang w:val="es-ES_tradnl"/>
        </w:rPr>
        <w:t>, la cual se produce “[…] cuando falta en [el ordenamiento] una norma cuya existencia es condición necesaria para la eficacia (y/o para la efectividad) de otra norma. Sucede por tanto que una norma no puede producir efectos jurídicos (y/o no puede ser obedecida o aplicada) en ausencia de otras normas que […] la concreten” (Corchetes fuera de texto)</w:t>
      </w:r>
      <w:r w:rsidRPr="00262F9B">
        <w:rPr>
          <w:rStyle w:val="Refdenotaalpie"/>
          <w:rFonts w:ascii="Century Gothic" w:eastAsia="Calibri" w:hAnsi="Century Gothic" w:cs="Arial"/>
          <w:bCs/>
          <w:color w:val="000000" w:themeColor="text1"/>
          <w:lang w:val="es-ES_tradnl"/>
        </w:rPr>
        <w:footnoteReference w:id="46"/>
      </w:r>
      <w:r w:rsidRPr="00262F9B">
        <w:rPr>
          <w:rFonts w:ascii="Century Gothic" w:eastAsia="Calibri" w:hAnsi="Century Gothic" w:cs="Arial"/>
          <w:bCs/>
          <w:color w:val="000000" w:themeColor="text1"/>
          <w:lang w:val="es-ES_tradnl"/>
        </w:rPr>
        <w:t>.</w:t>
      </w:r>
    </w:p>
    <w:p w14:paraId="07744815" w14:textId="77777777" w:rsidR="00657E97" w:rsidRPr="00262F9B" w:rsidRDefault="00657E97" w:rsidP="00657E97">
      <w:pPr>
        <w:tabs>
          <w:tab w:val="left" w:pos="709"/>
        </w:tabs>
        <w:spacing w:after="120" w:line="276" w:lineRule="auto"/>
        <w:jc w:val="both"/>
        <w:rPr>
          <w:rFonts w:ascii="Century Gothic" w:eastAsia="Calibri" w:hAnsi="Century Gothic" w:cs="Arial"/>
          <w:bCs/>
          <w:color w:val="000000" w:themeColor="text1"/>
          <w:lang w:val="es-ES_tradnl"/>
        </w:rPr>
      </w:pPr>
      <w:r w:rsidRPr="00262F9B">
        <w:rPr>
          <w:rFonts w:ascii="Century Gothic" w:eastAsia="Calibri" w:hAnsi="Century Gothic" w:cs="Arial"/>
          <w:bCs/>
          <w:color w:val="000000" w:themeColor="text1"/>
          <w:lang w:val="es-ES_tradnl"/>
        </w:rPr>
        <w:tab/>
        <w:t xml:space="preserve">Este tipo de lagunas no son ajenas a la contratación estatal, ya que el procedimiento para la cesión unilateral del contrato del artículo 9 de la Ley 2014 de 2019 también estaba condicionado por su reglamentación previa en los </w:t>
      </w:r>
      <w:r w:rsidRPr="00262F9B">
        <w:rPr>
          <w:rFonts w:ascii="Century Gothic" w:eastAsia="Calibri" w:hAnsi="Century Gothic" w:cs="Arial"/>
          <w:bCs/>
          <w:color w:val="000000" w:themeColor="text1"/>
          <w:lang w:val="es-ES_tradnl"/>
        </w:rPr>
        <w:lastRenderedPageBreak/>
        <w:t xml:space="preserve">términos del parágrafo 2 </w:t>
      </w:r>
      <w:r w:rsidRPr="00262F9B">
        <w:rPr>
          <w:rFonts w:ascii="Century Gothic" w:eastAsia="Calibri" w:hAnsi="Century Gothic" w:cs="Arial"/>
          <w:bCs/>
          <w:i/>
          <w:iCs/>
          <w:color w:val="000000" w:themeColor="text1"/>
          <w:lang w:val="es-ES_tradnl"/>
        </w:rPr>
        <w:t>ibidem</w:t>
      </w:r>
      <w:r w:rsidRPr="00262F9B">
        <w:rPr>
          <w:rFonts w:ascii="Century Gothic" w:eastAsia="Calibri" w:hAnsi="Century Gothic" w:cs="Arial"/>
          <w:bCs/>
          <w:color w:val="000000" w:themeColor="text1"/>
          <w:lang w:val="es-ES_tradnl"/>
        </w:rPr>
        <w:t xml:space="preserve"> antes de su declaratoria de inconstitucionalidad</w:t>
      </w:r>
      <w:r w:rsidRPr="00262F9B">
        <w:rPr>
          <w:rStyle w:val="Refdenotaalpie"/>
          <w:rFonts w:ascii="Century Gothic" w:eastAsia="Calibri" w:hAnsi="Century Gothic" w:cs="Arial"/>
          <w:bCs/>
          <w:color w:val="000000" w:themeColor="text1"/>
          <w:lang w:val="es-ES_tradnl"/>
        </w:rPr>
        <w:footnoteReference w:id="47"/>
      </w:r>
      <w:r w:rsidRPr="00262F9B">
        <w:rPr>
          <w:rFonts w:ascii="Century Gothic" w:eastAsia="Calibri" w:hAnsi="Century Gothic" w:cs="Arial"/>
          <w:bCs/>
          <w:color w:val="000000" w:themeColor="text1"/>
          <w:lang w:val="es-ES_tradnl"/>
        </w:rPr>
        <w:t>. Para llegar a esta conclusión, es necesario tener en cuenta que las normas jurídicas, por regla general, producen efectos a partir de su promulgación o publicación. De allí se derivan principios tales como la irretroactividad de la ley y su efecto general inmediato</w:t>
      </w:r>
      <w:r w:rsidRPr="00262F9B">
        <w:rPr>
          <w:rStyle w:val="Refdenotaalpie"/>
          <w:rFonts w:ascii="Century Gothic" w:eastAsia="Calibri" w:hAnsi="Century Gothic" w:cs="Arial"/>
          <w:bCs/>
          <w:color w:val="000000" w:themeColor="text1"/>
          <w:lang w:val="es-ES_tradnl"/>
        </w:rPr>
        <w:footnoteReference w:id="48"/>
      </w:r>
      <w:r w:rsidRPr="00262F9B">
        <w:rPr>
          <w:rFonts w:ascii="Century Gothic" w:eastAsia="Calibri" w:hAnsi="Century Gothic" w:cs="Arial"/>
          <w:bCs/>
          <w:color w:val="000000" w:themeColor="text1"/>
          <w:lang w:val="es-ES_tradnl"/>
        </w:rPr>
        <w:t xml:space="preserve">. </w:t>
      </w:r>
      <w:r w:rsidRPr="00262F9B">
        <w:rPr>
          <w:rFonts w:ascii="Century Gothic" w:eastAsia="Calibri" w:hAnsi="Century Gothic" w:cs="Arial"/>
          <w:color w:val="000000" w:themeColor="text1"/>
          <w:lang w:val="es-ES_tradnl"/>
        </w:rPr>
        <w:t xml:space="preserve">Sin embargo, las leyes pueden modular sus efectos en el tiempo y establecer para el inicio de su entrada en vigor un plazo o una condición. Ejemplo de una norma que establece un plazo es la Ley 1952 de 2019, por medio de la cual se expide el Código Disciplinario Único, cuyo artículo 265 disponía «la presente ley entrará a regir cuatro meses después de su sanción y publicación». El artículo 140 de la Ley 1955 de 2019 prorrogó este plazo hasta el 1 de julio de 2021. </w:t>
      </w:r>
    </w:p>
    <w:p w14:paraId="12FDFD83" w14:textId="77777777" w:rsidR="00657E97" w:rsidRPr="00262F9B" w:rsidRDefault="00657E97" w:rsidP="00657E97">
      <w:pPr>
        <w:spacing w:after="0" w:line="276" w:lineRule="auto"/>
        <w:ind w:firstLine="709"/>
        <w:jc w:val="both"/>
        <w:rPr>
          <w:rFonts w:ascii="Century Gothic" w:eastAsia="Calibri" w:hAnsi="Century Gothic" w:cs="Arial"/>
          <w:color w:val="000000" w:themeColor="text1"/>
          <w:lang w:val="es-ES_tradnl"/>
        </w:rPr>
      </w:pPr>
      <w:r w:rsidRPr="00262F9B">
        <w:rPr>
          <w:rFonts w:ascii="Century Gothic" w:eastAsia="Calibri" w:hAnsi="Century Gothic" w:cs="Arial"/>
          <w:color w:val="000000" w:themeColor="text1"/>
          <w:lang w:val="es-ES_tradnl"/>
        </w:rPr>
        <w:t xml:space="preserve">Pero las leyes pueden establecer no un plazo sino una condición para modular sus efectos en el tiempo. La condición más usual es someter la vigencia a la expedición de un reglamento. En este sentido, el parágrafo transitorio del artículo 2 de la Ley 1150 de 2007 estableció «Hasta tanto el Gobierno Nacional no expidiere el reglamento respectivo, no se podrá hacer uso de la selección abreviada como modalidad de selección». La ley creó una modalidad de selección, la selección abreviada; pero esas normas no podían aplicarse hasta que no se cumpliera la condición: la expedición del reglamento. Al respecto, el Consejo de Estado considera que: </w:t>
      </w:r>
    </w:p>
    <w:p w14:paraId="34F340B0" w14:textId="77777777" w:rsidR="00657E97" w:rsidRPr="00262F9B" w:rsidRDefault="00657E97" w:rsidP="00657E97">
      <w:pPr>
        <w:shd w:val="clear" w:color="auto" w:fill="FFFFFF"/>
        <w:spacing w:after="0" w:line="276" w:lineRule="auto"/>
        <w:ind w:left="709" w:right="760"/>
        <w:jc w:val="both"/>
        <w:rPr>
          <w:rFonts w:ascii="Century Gothic" w:eastAsia="Calibri" w:hAnsi="Century Gothic" w:cs="Arial"/>
          <w:color w:val="000000" w:themeColor="text1"/>
          <w:lang w:val="es-ES_tradnl"/>
        </w:rPr>
      </w:pPr>
    </w:p>
    <w:p w14:paraId="73057F52" w14:textId="77777777" w:rsidR="00657E97" w:rsidRPr="00262F9B" w:rsidRDefault="00657E97" w:rsidP="00657E97">
      <w:pPr>
        <w:shd w:val="clear" w:color="auto" w:fill="FFFFFF"/>
        <w:spacing w:after="0" w:line="240" w:lineRule="auto"/>
        <w:ind w:left="709" w:right="709"/>
        <w:jc w:val="both"/>
        <w:rPr>
          <w:rFonts w:ascii="Century Gothic" w:eastAsia="Calibri" w:hAnsi="Century Gothic" w:cs="Arial"/>
          <w:color w:val="000000" w:themeColor="text1"/>
          <w:sz w:val="21"/>
          <w:szCs w:val="21"/>
          <w:lang w:val="es-ES_tradnl"/>
        </w:rPr>
      </w:pPr>
      <w:r w:rsidRPr="00262F9B">
        <w:rPr>
          <w:rFonts w:ascii="Century Gothic" w:eastAsia="Calibri" w:hAnsi="Century Gothic" w:cs="Arial"/>
          <w:color w:val="000000" w:themeColor="text1"/>
          <w:sz w:val="21"/>
          <w:szCs w:val="21"/>
          <w:lang w:val="es-ES_tradnl"/>
        </w:rPr>
        <w:t>[…] el Presidente de la República no requiere autorización por parte del Legislador para el ejercicio de su facultad reglamentaria, de manera que si éste establece en la ley que el mismo reglamentará la materia, dicha indicación debe entenderse simplemente como el reconocimiento de que para su efectivo cumplimiento es necesaria la expedición de una reglamentación, bajo el concepto de colaboración armónica que sustenta la estructura y el funcionamiento del Estado (inciso 2 del artículo 113 C.P)</w:t>
      </w:r>
      <w:r w:rsidRPr="00262F9B">
        <w:rPr>
          <w:rStyle w:val="Refdenotaalpie"/>
          <w:rFonts w:ascii="Century Gothic" w:eastAsia="Calibri" w:hAnsi="Century Gothic" w:cs="Arial"/>
          <w:color w:val="000000" w:themeColor="text1"/>
          <w:sz w:val="21"/>
          <w:szCs w:val="21"/>
          <w:lang w:val="es-ES_tradnl"/>
        </w:rPr>
        <w:footnoteReference w:id="49"/>
      </w:r>
      <w:r w:rsidRPr="00262F9B">
        <w:rPr>
          <w:rFonts w:ascii="Century Gothic" w:eastAsia="Calibri" w:hAnsi="Century Gothic" w:cs="Arial"/>
          <w:color w:val="000000" w:themeColor="text1"/>
          <w:sz w:val="21"/>
          <w:szCs w:val="21"/>
          <w:lang w:val="es-ES_tradnl"/>
        </w:rPr>
        <w:t>.</w:t>
      </w:r>
    </w:p>
    <w:p w14:paraId="34F24F65" w14:textId="77777777" w:rsidR="00657E97" w:rsidRPr="00262F9B" w:rsidRDefault="00657E97" w:rsidP="00657E97">
      <w:pPr>
        <w:shd w:val="clear" w:color="auto" w:fill="FFFFFF"/>
        <w:spacing w:after="0" w:line="276" w:lineRule="auto"/>
        <w:ind w:left="709" w:right="760"/>
        <w:jc w:val="both"/>
        <w:rPr>
          <w:rFonts w:ascii="Century Gothic" w:eastAsia="Calibri" w:hAnsi="Century Gothic" w:cs="Arial"/>
          <w:color w:val="000000" w:themeColor="text1"/>
          <w:lang w:val="es-ES_tradnl"/>
        </w:rPr>
      </w:pPr>
    </w:p>
    <w:p w14:paraId="4EDCB107" w14:textId="77777777" w:rsidR="00657E97" w:rsidRPr="00262F9B" w:rsidRDefault="00657E97" w:rsidP="00657E97">
      <w:pPr>
        <w:shd w:val="clear" w:color="auto" w:fill="FFFFFF"/>
        <w:spacing w:after="120" w:line="276" w:lineRule="auto"/>
        <w:ind w:right="51" w:firstLine="709"/>
        <w:jc w:val="both"/>
        <w:rPr>
          <w:rFonts w:ascii="Century Gothic" w:eastAsia="Calibri" w:hAnsi="Century Gothic" w:cs="Arial"/>
          <w:color w:val="000000" w:themeColor="text1"/>
          <w:lang w:val="es-ES_tradnl"/>
        </w:rPr>
      </w:pPr>
      <w:r w:rsidRPr="00262F9B">
        <w:rPr>
          <w:rFonts w:ascii="Century Gothic" w:eastAsia="Calibri" w:hAnsi="Century Gothic" w:cs="Arial"/>
          <w:color w:val="000000" w:themeColor="text1"/>
          <w:lang w:val="es-ES_tradnl"/>
        </w:rPr>
        <w:lastRenderedPageBreak/>
        <w:t xml:space="preserve">La referencia hecha en una ley a que el gobierno nacional reglamentará la materia indica que el reglamento es indispensable para el cumplimiento de </w:t>
      </w:r>
      <w:proofErr w:type="gramStart"/>
      <w:r w:rsidRPr="00262F9B">
        <w:rPr>
          <w:rFonts w:ascii="Century Gothic" w:eastAsia="Calibri" w:hAnsi="Century Gothic" w:cs="Arial"/>
          <w:color w:val="000000" w:themeColor="text1"/>
          <w:lang w:val="es-ES_tradnl"/>
        </w:rPr>
        <w:t>la misma</w:t>
      </w:r>
      <w:proofErr w:type="gramEnd"/>
      <w:r w:rsidRPr="00262F9B">
        <w:rPr>
          <w:rFonts w:ascii="Century Gothic" w:eastAsia="Calibri" w:hAnsi="Century Gothic" w:cs="Arial"/>
          <w:color w:val="000000" w:themeColor="text1"/>
          <w:lang w:val="es-ES_tradnl"/>
        </w:rPr>
        <w:t xml:space="preserve">. Naturalmente, este reconocimiento no siempre implica que la ley está sometida a condición para entrar en vigor; pero cuando ello se analiza con otros elementos que obran en este sentido, como los antecedentes legislativos, es posible utilizar la referencia al reglamento como una prueba de que la ley moduló sus efectos en el tiempo y se encuentra sometida a condición. En efecto, si bien en la propuesta inicial y en el curso del primer debate en el Senado y en la Cámara de Representantes la operación del REDAM correspondía al </w:t>
      </w:r>
      <w:r w:rsidRPr="00262F9B">
        <w:rPr>
          <w:rFonts w:ascii="Century Gothic" w:eastAsia="Calibri" w:hAnsi="Century Gothic" w:cs="Arial"/>
          <w:color w:val="000000" w:themeColor="text1"/>
        </w:rPr>
        <w:t>del Ministerio de Justicia y del Derecho, a partir del segundo debate en el Senado se definió que el Gobierno nacional designara a una entidad del orden nacional para que implemente, administre y mantenga actualizado el Registro Nacional de Deudores de Cuotas Alimentarias</w:t>
      </w:r>
      <w:r w:rsidRPr="00262F9B">
        <w:rPr>
          <w:rStyle w:val="Refdenotaalpie"/>
          <w:rFonts w:ascii="Century Gothic" w:eastAsia="Calibri" w:hAnsi="Century Gothic" w:cs="Arial"/>
          <w:color w:val="000000" w:themeColor="text1"/>
        </w:rPr>
        <w:footnoteReference w:id="50"/>
      </w:r>
      <w:r w:rsidRPr="00262F9B">
        <w:rPr>
          <w:rFonts w:ascii="Century Gothic" w:eastAsia="Calibri" w:hAnsi="Century Gothic" w:cs="Arial"/>
          <w:color w:val="000000" w:themeColor="text1"/>
        </w:rPr>
        <w:t>. Aunque la tendencia se invirtió nuevamente en el segundo debate de la Cámara de Representantes y en la plenarias correspondientes, el texto conciliado ratificó la designación previa del gobierno nacional e incorporó la reglamentación previa del registro</w:t>
      </w:r>
      <w:r w:rsidRPr="00262F9B">
        <w:rPr>
          <w:rStyle w:val="Refdenotaalpie"/>
          <w:rFonts w:ascii="Century Gothic" w:eastAsia="Calibri" w:hAnsi="Century Gothic" w:cs="Arial"/>
          <w:color w:val="000000" w:themeColor="text1"/>
        </w:rPr>
        <w:footnoteReference w:id="51"/>
      </w:r>
      <w:r w:rsidRPr="00262F9B">
        <w:rPr>
          <w:rFonts w:ascii="Century Gothic" w:eastAsia="Calibri" w:hAnsi="Century Gothic" w:cs="Arial"/>
          <w:color w:val="000000" w:themeColor="text1"/>
        </w:rPr>
        <w:t xml:space="preserve">.  </w:t>
      </w:r>
    </w:p>
    <w:p w14:paraId="0380437F" w14:textId="77777777" w:rsidR="00657E97" w:rsidRPr="00262F9B" w:rsidRDefault="00657E97" w:rsidP="00657E97">
      <w:pPr>
        <w:shd w:val="clear" w:color="auto" w:fill="FFFFFF"/>
        <w:spacing w:after="120" w:line="276" w:lineRule="auto"/>
        <w:ind w:right="51" w:firstLine="709"/>
        <w:jc w:val="both"/>
        <w:rPr>
          <w:rFonts w:ascii="Century Gothic" w:eastAsia="Calibri" w:hAnsi="Century Gothic" w:cs="Arial"/>
          <w:bCs/>
          <w:color w:val="000000" w:themeColor="text1"/>
          <w:lang w:val="es-ES_tradnl"/>
        </w:rPr>
      </w:pPr>
      <w:r w:rsidRPr="00262F9B">
        <w:rPr>
          <w:rFonts w:ascii="Century Gothic" w:eastAsia="Calibri" w:hAnsi="Century Gothic" w:cs="Arial"/>
          <w:bCs/>
          <w:color w:val="000000" w:themeColor="text1"/>
          <w:lang w:val="es-ES_tradnl"/>
        </w:rPr>
        <w:t>Por tanto, si bien en principio el ejercicio de la potestad reglamentaria es discrecional, esta puede ser excepcionalmente obligatoria para efectividad de la ley. Por ejemplo, para la doctrina esto último sucede cuando “[…] la necesidad del reglamento es inminente, y así nace desde la norma que confiere la potestad reglamentaria […]”</w:t>
      </w:r>
      <w:r w:rsidRPr="00262F9B">
        <w:rPr>
          <w:rStyle w:val="Refdenotaalpie"/>
          <w:rFonts w:ascii="Century Gothic" w:eastAsia="Calibri" w:hAnsi="Century Gothic" w:cs="Arial"/>
          <w:bCs/>
          <w:color w:val="000000" w:themeColor="text1"/>
          <w:lang w:val="es-ES_tradnl"/>
        </w:rPr>
        <w:footnoteReference w:id="52"/>
      </w:r>
      <w:r w:rsidRPr="00262F9B">
        <w:rPr>
          <w:rFonts w:ascii="Century Gothic" w:eastAsia="Calibri" w:hAnsi="Century Gothic" w:cs="Arial"/>
          <w:bCs/>
          <w:color w:val="000000" w:themeColor="text1"/>
          <w:lang w:val="es-ES_tradnl"/>
        </w:rPr>
        <w:t>. En este tipo de situaciones, “[…] las autoridades no tienen -ni tuvieron- la posibilidad de escoger entre expedir el acto o dejar de hacerlo. Es decir, se trata de una potestad reglada, desde el punto de vista de la necesidad de la actuación”</w:t>
      </w:r>
      <w:r w:rsidRPr="00262F9B">
        <w:rPr>
          <w:rStyle w:val="Refdenotaalpie"/>
          <w:rFonts w:ascii="Century Gothic" w:eastAsia="Calibri" w:hAnsi="Century Gothic" w:cs="Arial"/>
          <w:bCs/>
          <w:color w:val="000000" w:themeColor="text1"/>
          <w:lang w:val="es-ES_tradnl"/>
        </w:rPr>
        <w:footnoteReference w:id="53"/>
      </w:r>
      <w:r w:rsidRPr="00262F9B">
        <w:rPr>
          <w:rFonts w:ascii="Century Gothic" w:eastAsia="Calibri" w:hAnsi="Century Gothic" w:cs="Arial"/>
          <w:bCs/>
          <w:color w:val="000000" w:themeColor="text1"/>
          <w:lang w:val="es-ES_tradnl"/>
        </w:rPr>
        <w:t>. Así las cosas, es posible afirmar que la Ley 2097 de 2021 reconoce la necesidad de un reglamento para el efectivo cumplimiento de las medidas adoptadas respecto a la inclusión en el REDAM.</w:t>
      </w:r>
    </w:p>
    <w:p w14:paraId="6AAA0C77" w14:textId="77777777" w:rsidR="00657E97" w:rsidRPr="00262F9B" w:rsidRDefault="00657E97" w:rsidP="00657E97">
      <w:pPr>
        <w:tabs>
          <w:tab w:val="left" w:pos="709"/>
        </w:tabs>
        <w:spacing w:after="120" w:line="276" w:lineRule="auto"/>
        <w:jc w:val="both"/>
        <w:rPr>
          <w:rFonts w:ascii="Century Gothic" w:eastAsia="Calibri" w:hAnsi="Century Gothic" w:cs="Arial"/>
          <w:bCs/>
          <w:color w:val="000000" w:themeColor="text1"/>
        </w:rPr>
      </w:pPr>
      <w:r w:rsidRPr="00262F9B">
        <w:rPr>
          <w:rFonts w:ascii="Century Gothic" w:eastAsia="Calibri" w:hAnsi="Century Gothic" w:cs="Arial"/>
          <w:bCs/>
          <w:color w:val="000000" w:themeColor="text1"/>
          <w:lang w:val="es-ES_tradnl"/>
        </w:rPr>
        <w:tab/>
        <w:t>Para estos efectos, el gobierno nacional expidió el Decreto 1310 del 26 de julio de 2022, “</w:t>
      </w:r>
      <w:r w:rsidRPr="00262F9B">
        <w:rPr>
          <w:rFonts w:ascii="Century Gothic" w:eastAsia="Calibri" w:hAnsi="Century Gothic" w:cs="Arial"/>
          <w:bCs/>
          <w:color w:val="000000" w:themeColor="text1"/>
        </w:rPr>
        <w:t xml:space="preserve">por el cual se adiciona el Título 23 a la Parte 2 del Libro 2 del Decreto Único Reglamentario del Sector de las Tecnologías de la Información y las </w:t>
      </w:r>
      <w:r w:rsidRPr="00262F9B">
        <w:rPr>
          <w:rFonts w:ascii="Century Gothic" w:eastAsia="Calibri" w:hAnsi="Century Gothic" w:cs="Arial"/>
          <w:bCs/>
          <w:color w:val="000000" w:themeColor="text1"/>
        </w:rPr>
        <w:lastRenderedPageBreak/>
        <w:t xml:space="preserve">Comunicaciones, Decreto número 1078 de 2015, para reglamentar la Ley 2097 de 2021 que creó el Registro de Deudores Alimentarios Morosos (REDAM)”. El artículo 1 adicionó el artículo 2.2.23.5 al Decreto 1078 de 2015, indicando en el inciso primero que “[…] se designa como Operador de la Información del Registro de Deudores Alimentarios Morosos (REDAM) al Ministerio de Tecnologías de la Información y las Comunicaciones, o quien haga sus veces”. Sin embargo, el reglamento también condicionó la vigencia del registro, pues –conforme al parágrafo del artículo 2.2.23.4 </w:t>
      </w:r>
      <w:r w:rsidRPr="00262F9B">
        <w:rPr>
          <w:rFonts w:ascii="Century Gothic" w:eastAsia="Calibri" w:hAnsi="Century Gothic" w:cs="Arial"/>
          <w:bCs/>
          <w:i/>
          <w:iCs/>
          <w:color w:val="000000" w:themeColor="text1"/>
        </w:rPr>
        <w:t>ibidem</w:t>
      </w:r>
      <w:r w:rsidRPr="00262F9B">
        <w:rPr>
          <w:rFonts w:ascii="Century Gothic" w:eastAsia="Calibri" w:hAnsi="Century Gothic" w:cs="Arial"/>
          <w:bCs/>
          <w:color w:val="000000" w:themeColor="text1"/>
        </w:rPr>
        <w:t xml:space="preserve">– “La información suministrada por el REDAM será utilizada en forma exclusiva por quienes estén vinculadas a la aplicación de las consecuencias de la inscripción en el REDAM de que trata el artículo 6° de la Ley 2097 de 2021, a partir de la entrada en producción de la solución tecnológica”. Esto también congruente con el artículo 2.2.23.8 </w:t>
      </w:r>
      <w:r w:rsidRPr="00262F9B">
        <w:rPr>
          <w:rFonts w:ascii="Century Gothic" w:eastAsia="Calibri" w:hAnsi="Century Gothic" w:cs="Arial"/>
          <w:bCs/>
          <w:i/>
          <w:iCs/>
          <w:color w:val="000000" w:themeColor="text1"/>
        </w:rPr>
        <w:t>ibidem</w:t>
      </w:r>
      <w:r w:rsidRPr="00262F9B">
        <w:rPr>
          <w:rFonts w:ascii="Century Gothic" w:eastAsia="Calibri" w:hAnsi="Century Gothic" w:cs="Arial"/>
          <w:bCs/>
          <w:color w:val="000000" w:themeColor="text1"/>
        </w:rPr>
        <w:t xml:space="preserve">, en la medida que “El acceso al Registro de Deudores Alimentarios Morosos (REDAM) se realizará a través del Modelo de Servicios Ciudadanos Digitales de la Política de Gobierno Digital expedida por el Ministerio de Tecnologías de la Información y las Comunicaciones, sin perjuicio del acceso a la información directamente ante las Fuentes de la Información señaladas en el presente decreto, una vez entre en producción la solución tecnológica”. </w:t>
      </w:r>
    </w:p>
    <w:p w14:paraId="18AD2D50" w14:textId="77777777" w:rsidR="00657E97" w:rsidRPr="00262F9B" w:rsidRDefault="00657E97" w:rsidP="00657E97">
      <w:pPr>
        <w:tabs>
          <w:tab w:val="left" w:pos="709"/>
        </w:tabs>
        <w:spacing w:after="0" w:line="276" w:lineRule="auto"/>
        <w:jc w:val="both"/>
        <w:rPr>
          <w:rFonts w:ascii="Century Gothic" w:eastAsia="Calibri" w:hAnsi="Century Gothic" w:cs="Arial"/>
          <w:bCs/>
          <w:color w:val="000000" w:themeColor="text1"/>
        </w:rPr>
      </w:pPr>
      <w:r w:rsidRPr="00262F9B">
        <w:rPr>
          <w:rFonts w:ascii="Century Gothic" w:eastAsia="Calibri" w:hAnsi="Century Gothic" w:cs="Arial"/>
          <w:bCs/>
          <w:color w:val="000000" w:themeColor="text1"/>
        </w:rPr>
        <w:tab/>
        <w:t xml:space="preserve">De lo anterior se deduce que la obligación de consultar el registro para validar la ausencia de la restricción del artículo 6.1 de la Ley 2097 de 2021 no surgió automáticamente con la expedición de la norma, pues la efectividad de las medidas estaba condicionada por la designación del operador, la reglamentación del registro y por implementación de la plataforma tecnológica. Sobre este último punto, la página web </w:t>
      </w:r>
      <w:hyperlink r:id="rId12" w:history="1">
        <w:r w:rsidRPr="00262F9B">
          <w:rPr>
            <w:rStyle w:val="Hipervnculo"/>
            <w:rFonts w:ascii="Century Gothic" w:eastAsia="Calibri" w:hAnsi="Century Gothic" w:cs="Arial"/>
            <w:bCs/>
          </w:rPr>
          <w:t>https://redam.gov.co/information-page</w:t>
        </w:r>
      </w:hyperlink>
      <w:r w:rsidRPr="00262F9B">
        <w:rPr>
          <w:rFonts w:ascii="Century Gothic" w:eastAsia="Calibri" w:hAnsi="Century Gothic" w:cs="Arial"/>
          <w:bCs/>
          <w:color w:val="000000" w:themeColor="text1"/>
        </w:rPr>
        <w:t xml:space="preserve"> brinda información sobre la forma de consultar y descargar el registro correspondiente. Cualquier inquietud adicional sobre el funcionamiento operativo del REDAM podrá plantarse ante el Ministerio de Tecnologías de la Información y las Comunicaciones, pues –conforme al numeral 7 del artículo 2.2.23.14 del Decreto 1078 de 2015, adicionado por el artículo 1 del Decreto </w:t>
      </w:r>
      <w:r w:rsidRPr="00262F9B">
        <w:rPr>
          <w:rFonts w:ascii="Century Gothic" w:eastAsia="Calibri" w:hAnsi="Century Gothic" w:cs="Arial"/>
          <w:bCs/>
          <w:color w:val="000000" w:themeColor="text1"/>
          <w:lang w:val="es-ES_tradnl"/>
        </w:rPr>
        <w:t>1310 de 2022</w:t>
      </w:r>
      <w:r w:rsidRPr="00262F9B">
        <w:rPr>
          <w:rFonts w:ascii="Century Gothic" w:eastAsia="Calibri" w:hAnsi="Century Gothic" w:cs="Arial"/>
          <w:bCs/>
          <w:color w:val="000000" w:themeColor="text1"/>
        </w:rPr>
        <w:t>– debe “Tramitar oportunamente las peticiones, consultas, quejas o reclamos que formulen los actores e intervinientes en el proceso de reporte de información en el Registro de Deudores Alimentarios Morosos (REDAM) y que sean de su competencia”.</w:t>
      </w:r>
    </w:p>
    <w:p w14:paraId="46B0281C" w14:textId="77777777" w:rsidR="00657E97" w:rsidRPr="00262F9B" w:rsidRDefault="00657E97" w:rsidP="00657E97">
      <w:pPr>
        <w:tabs>
          <w:tab w:val="left" w:pos="709"/>
        </w:tabs>
        <w:spacing w:after="0" w:line="276" w:lineRule="auto"/>
        <w:jc w:val="both"/>
        <w:rPr>
          <w:rFonts w:ascii="Century Gothic" w:eastAsia="Calibri" w:hAnsi="Century Gothic" w:cs="Arial"/>
          <w:bCs/>
          <w:color w:val="000000" w:themeColor="text1"/>
        </w:rPr>
      </w:pPr>
    </w:p>
    <w:p w14:paraId="6EFF900A" w14:textId="77777777" w:rsidR="00657E97" w:rsidRPr="00262F9B" w:rsidRDefault="00657E97" w:rsidP="00657E97">
      <w:pPr>
        <w:tabs>
          <w:tab w:val="left" w:pos="0"/>
        </w:tabs>
        <w:spacing w:after="0"/>
        <w:jc w:val="both"/>
        <w:rPr>
          <w:rFonts w:ascii="Century Gothic" w:eastAsia="Calibri" w:hAnsi="Century Gothic" w:cs="Arial"/>
          <w:b/>
          <w:color w:val="000000" w:themeColor="text1"/>
          <w:lang w:val="es-ES_tradnl"/>
        </w:rPr>
      </w:pPr>
      <w:r w:rsidRPr="00262F9B">
        <w:rPr>
          <w:rFonts w:ascii="Century Gothic" w:eastAsia="Calibri" w:hAnsi="Century Gothic" w:cs="Arial"/>
          <w:b/>
          <w:color w:val="000000" w:themeColor="text1"/>
          <w:lang w:val="es-ES_tradnl"/>
        </w:rPr>
        <w:t>3. Respuestas</w:t>
      </w:r>
    </w:p>
    <w:p w14:paraId="5D45AF9D" w14:textId="77777777" w:rsidR="00657E97" w:rsidRPr="00262F9B" w:rsidRDefault="00657E97" w:rsidP="00657E97">
      <w:pPr>
        <w:spacing w:after="0" w:line="276" w:lineRule="auto"/>
        <w:jc w:val="both"/>
        <w:rPr>
          <w:rFonts w:ascii="Century Gothic" w:hAnsi="Century Gothic" w:cs="Arial"/>
          <w:color w:val="000000" w:themeColor="text1"/>
          <w:lang w:val="es-ES_tradnl"/>
        </w:rPr>
      </w:pPr>
    </w:p>
    <w:p w14:paraId="556F0E19" w14:textId="77777777" w:rsidR="00657E97" w:rsidRPr="00262F9B" w:rsidRDefault="00657E97" w:rsidP="00657E97">
      <w:pPr>
        <w:spacing w:after="0" w:line="240" w:lineRule="auto"/>
        <w:ind w:left="709" w:right="709"/>
        <w:jc w:val="both"/>
        <w:rPr>
          <w:rFonts w:ascii="Century Gothic" w:hAnsi="Century Gothic" w:cs="Arial"/>
          <w:color w:val="000000" w:themeColor="text1"/>
          <w:sz w:val="21"/>
          <w:szCs w:val="21"/>
        </w:rPr>
      </w:pPr>
      <w:r w:rsidRPr="00262F9B">
        <w:rPr>
          <w:rFonts w:ascii="Century Gothic" w:hAnsi="Century Gothic" w:cs="Arial"/>
          <w:color w:val="000000" w:themeColor="text1"/>
          <w:sz w:val="21"/>
          <w:szCs w:val="21"/>
          <w:lang w:val="es-ES_tradnl"/>
        </w:rPr>
        <w:t>“Tratándose de convenios de cooperación, se debe exigir la inscripción de deudores alimentarios morosos (ley 2097 de 2021)? […]”</w:t>
      </w:r>
      <w:r w:rsidRPr="00262F9B">
        <w:rPr>
          <w:rFonts w:ascii="Century Gothic" w:hAnsi="Century Gothic" w:cs="Arial"/>
          <w:color w:val="000000" w:themeColor="text1"/>
          <w:sz w:val="21"/>
          <w:szCs w:val="21"/>
        </w:rPr>
        <w:t>.</w:t>
      </w:r>
    </w:p>
    <w:p w14:paraId="207CBCC9" w14:textId="77777777" w:rsidR="00657E97" w:rsidRPr="00262F9B" w:rsidRDefault="00657E97" w:rsidP="00657E97">
      <w:pPr>
        <w:spacing w:after="0" w:line="276" w:lineRule="auto"/>
        <w:jc w:val="both"/>
        <w:rPr>
          <w:rFonts w:ascii="Century Gothic" w:hAnsi="Century Gothic" w:cs="Arial"/>
          <w:color w:val="000000" w:themeColor="text1"/>
          <w:sz w:val="21"/>
          <w:szCs w:val="21"/>
        </w:rPr>
      </w:pPr>
      <w:r w:rsidRPr="00262F9B">
        <w:rPr>
          <w:rFonts w:ascii="Century Gothic" w:hAnsi="Century Gothic" w:cs="Arial"/>
          <w:color w:val="000000" w:themeColor="text1"/>
          <w:sz w:val="21"/>
          <w:szCs w:val="21"/>
        </w:rPr>
        <w:t xml:space="preserve"> </w:t>
      </w:r>
    </w:p>
    <w:p w14:paraId="6C632D7B" w14:textId="5648CED8" w:rsidR="00657E97" w:rsidRPr="00262F9B" w:rsidRDefault="00657E97" w:rsidP="00657E97">
      <w:pPr>
        <w:pStyle w:val="Textoindependiente"/>
        <w:jc w:val="both"/>
        <w:rPr>
          <w:rFonts w:ascii="Century Gothic" w:hAnsi="Century Gothic" w:cs="Arial"/>
        </w:rPr>
      </w:pPr>
      <w:r w:rsidRPr="00262F9B">
        <w:rPr>
          <w:rFonts w:ascii="Century Gothic" w:eastAsia="Calibri" w:hAnsi="Century Gothic" w:cs="Arial"/>
          <w:color w:val="000000" w:themeColor="text1"/>
          <w:lang w:val="es-ES"/>
        </w:rPr>
        <w:lastRenderedPageBreak/>
        <w:t xml:space="preserve">De acuerdo con la interpretación general de las normas del sistema de compras públicas, </w:t>
      </w:r>
      <w:r w:rsidRPr="00262F9B">
        <w:rPr>
          <w:rFonts w:ascii="Century Gothic" w:hAnsi="Century Gothic" w:cs="Arial"/>
        </w:rPr>
        <w:t>los convenios de cooperación –por ejemplo, los previstos en el artículo 95 de la Ley 489 de 1998– también hacen parte de la actividad contractual del Estado. Como explica la doctrina, “[…] el convenio de la administración constituye formalmente una modalidad de la actividad contractual del Estado, entendida como la que se realiza median</w:t>
      </w:r>
      <w:r w:rsidR="002F03DA" w:rsidRPr="00262F9B">
        <w:rPr>
          <w:rFonts w:ascii="Century Gothic" w:hAnsi="Century Gothic" w:cs="Arial"/>
        </w:rPr>
        <w:t>te</w:t>
      </w:r>
      <w:r w:rsidRPr="00262F9B">
        <w:rPr>
          <w:rFonts w:ascii="Century Gothic" w:hAnsi="Century Gothic" w:cs="Arial"/>
        </w:rPr>
        <w:t xml:space="preserve"> un acuerdo de voluntades […]”. Luego, considerando que el artículo 32 de la Ley 80 de 1993 define los contratos estatales como “[…] todos los actos jurídicos generadores de obligaciones que celebren las entidades a que se refiere el presente estatuto previstos en el derecho privado o en disposiciones especiales, o derivados del ejercicio de la autonomía de la voluntad […]”, aplican las restricciones previstas en el artículo 8 del Estatuto General de Contratación de la Administración Pública, en la medida que “Son inhábiles para participar en licitaciones o concursos y para celebrar contratos con las entidades estatales […] Las personas que se hallen inhabilitadas para contratar por la Constitución y las leyes”. </w:t>
      </w:r>
    </w:p>
    <w:p w14:paraId="33D4A5F2" w14:textId="77777777" w:rsidR="00657E97" w:rsidRPr="00262F9B" w:rsidRDefault="00657E97" w:rsidP="00657E97">
      <w:pPr>
        <w:tabs>
          <w:tab w:val="left" w:pos="0"/>
        </w:tabs>
        <w:spacing w:after="120" w:line="276" w:lineRule="auto"/>
        <w:jc w:val="both"/>
        <w:rPr>
          <w:rFonts w:ascii="Century Gothic" w:eastAsia="Calibri" w:hAnsi="Century Gothic" w:cs="Arial"/>
          <w:bCs/>
          <w:color w:val="000000" w:themeColor="text1"/>
        </w:rPr>
      </w:pPr>
      <w:r w:rsidRPr="00262F9B">
        <w:rPr>
          <w:rFonts w:ascii="Century Gothic" w:hAnsi="Century Gothic" w:cs="Arial"/>
        </w:rPr>
        <w:tab/>
        <w:t xml:space="preserve">Aunque los convenios de cooperación sean celebrados por entidades exceptuadas, es necesario tener en cuenta que –según el inciso primero del artículo 13 de la Ley 1150 de 2007, modificado por el artículo 53 de la Ley 2195 de 2022– dispone que “[…]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Incluso se extienden </w:t>
      </w:r>
      <w:r w:rsidRPr="00262F9B">
        <w:rPr>
          <w:rFonts w:ascii="Century Gothic" w:eastAsia="Calibri" w:hAnsi="Century Gothic" w:cs="Arial"/>
          <w:bCs/>
          <w:color w:val="000000" w:themeColor="text1"/>
        </w:rPr>
        <w:t>al régimen de las ESAL de acuerdo con el artículo 6 del Decreto 092 de 2017</w:t>
      </w:r>
      <w:r w:rsidRPr="00262F9B">
        <w:rPr>
          <w:rFonts w:ascii="Century Gothic" w:hAnsi="Century Gothic" w:cs="Arial"/>
        </w:rPr>
        <w:t>. Por tanto, con las excepciones previstas en el ordenamiento jurídico para su aplicación, las inhabilidades e incompatibilidades son transversales al sistema de compras y contratación pública</w:t>
      </w:r>
      <w:r w:rsidRPr="00262F9B">
        <w:rPr>
          <w:rFonts w:ascii="Century Gothic" w:eastAsia="Calibri" w:hAnsi="Century Gothic" w:cs="Arial"/>
          <w:bCs/>
          <w:color w:val="000000" w:themeColor="text1"/>
        </w:rPr>
        <w:t>.</w:t>
      </w:r>
    </w:p>
    <w:p w14:paraId="7FEEFBDE" w14:textId="77777777" w:rsidR="00657E97" w:rsidRPr="00262F9B" w:rsidRDefault="00657E97" w:rsidP="00657E97">
      <w:pPr>
        <w:tabs>
          <w:tab w:val="left" w:pos="0"/>
        </w:tabs>
        <w:spacing w:after="120" w:line="276" w:lineRule="auto"/>
        <w:jc w:val="both"/>
        <w:rPr>
          <w:rFonts w:ascii="Century Gothic" w:eastAsia="Calibri" w:hAnsi="Century Gothic" w:cs="Arial"/>
          <w:bCs/>
          <w:color w:val="000000" w:themeColor="text1"/>
        </w:rPr>
      </w:pPr>
      <w:r w:rsidRPr="00262F9B">
        <w:rPr>
          <w:rFonts w:ascii="Century Gothic" w:eastAsia="Calibri" w:hAnsi="Century Gothic" w:cs="Arial"/>
          <w:bCs/>
          <w:color w:val="000000" w:themeColor="text1"/>
        </w:rPr>
        <w:tab/>
        <w:t xml:space="preserve">Así, una de las consecuencias más importantes de la inclusión en el REDAM es la aparición de una inhabilidad para celebrar contratos con el Estado. Al respecto, conforme al artículo 6.1 de la Ley 2097 de 2021, “El deudor alimentario moroso solo podrá contratar con el Estado una vez se ponga a paz y salvo con sus obligaciones alimentarias. Esta inhabilidad también se predica del deudor alimentario moroso que actúe como representante legal de la persona jurídica que aspira a contratar con el Estado”. </w:t>
      </w:r>
    </w:p>
    <w:p w14:paraId="0E417461" w14:textId="77777777" w:rsidR="00657E97" w:rsidRPr="00262F9B" w:rsidRDefault="00657E97" w:rsidP="00657E97">
      <w:pPr>
        <w:tabs>
          <w:tab w:val="left" w:pos="0"/>
        </w:tabs>
        <w:spacing w:after="120" w:line="276" w:lineRule="auto"/>
        <w:jc w:val="both"/>
        <w:rPr>
          <w:rFonts w:ascii="Century Gothic" w:eastAsia="Calibri" w:hAnsi="Century Gothic" w:cs="Arial"/>
          <w:bCs/>
          <w:color w:val="000000" w:themeColor="text1"/>
        </w:rPr>
      </w:pPr>
      <w:r w:rsidRPr="00262F9B">
        <w:rPr>
          <w:rFonts w:ascii="Century Gothic" w:eastAsia="Calibri" w:hAnsi="Century Gothic" w:cs="Arial"/>
          <w:bCs/>
          <w:color w:val="000000" w:themeColor="text1"/>
        </w:rPr>
        <w:tab/>
        <w:t xml:space="preserve">De acuerdo con el análisis de la precitada Sentencia C-032 de 2021, para la Corte Constitucional dicha norma es exequible, pues “[…] si se reconoce la validez </w:t>
      </w:r>
      <w:r w:rsidRPr="00262F9B">
        <w:rPr>
          <w:rFonts w:ascii="Century Gothic" w:eastAsia="Calibri" w:hAnsi="Century Gothic" w:cs="Arial"/>
          <w:bCs/>
          <w:color w:val="000000" w:themeColor="text1"/>
        </w:rPr>
        <w:lastRenderedPageBreak/>
        <w:t xml:space="preserve">constitucional de medidas altamente invasivas de la autonomía individual, como son las que se derivan del uso de la tipificación penal, resultaría un contrasentido cuestionar instrumentos de menor intensidad, como es la imposición de este requisito para […] contratar con el Estado. Adicionalmente, no puede perderse de vista el hecho de que uno de los motivos que fundamentan la imposición de inhabilidades es la conservación de la transparencia y la moralidad administrativa. El incumplimiento de las obligaciones alimentaria afecta valores constitucionales esenciales y, en modo alguno puede desconocerse a la hora de analizar las calidades de los futuros […] contratistas del Estado”. Lo anterior, agregando que la medida cumple con una finalidad importante e imperiosa, la cual consistente en proteger los derechos fundamentales de personas que se ven afectados en su mínimo vital por el hecho del incumplimiento de las obligaciones alimentarias, quienes usualmente son sujetos de especial protección constitucional. La Corte Constitucional considera que la medida es necesaria, porque opera un incentivo para el pago cumplido de esas obligaciones, supeditando la suscripción del contrato respectivo al pago de esa obligación. </w:t>
      </w:r>
    </w:p>
    <w:p w14:paraId="001A631E" w14:textId="77777777" w:rsidR="00657E97" w:rsidRPr="00262F9B" w:rsidRDefault="00657E97" w:rsidP="00657E97">
      <w:pPr>
        <w:tabs>
          <w:tab w:val="left" w:pos="0"/>
        </w:tabs>
        <w:spacing w:after="120" w:line="276" w:lineRule="auto"/>
        <w:jc w:val="both"/>
        <w:rPr>
          <w:rFonts w:ascii="Century Gothic" w:eastAsia="Calibri" w:hAnsi="Century Gothic" w:cs="Arial"/>
          <w:bCs/>
          <w:color w:val="000000" w:themeColor="text1"/>
        </w:rPr>
      </w:pPr>
      <w:r w:rsidRPr="00262F9B">
        <w:rPr>
          <w:rFonts w:ascii="Century Gothic" w:eastAsia="Calibri" w:hAnsi="Century Gothic" w:cs="Arial"/>
          <w:bCs/>
          <w:color w:val="000000" w:themeColor="text1"/>
        </w:rPr>
        <w:tab/>
        <w:t xml:space="preserve">Adicionalmente, la Corte Constitucional también estima que ante la contingencia de que el representante legal sea registrado en el REDAM la persona jurídica puede proceder con su pronta remoción –y con ello permitir el normal desarrollo del objeto social frente a los contratos con el Estado– o exigir a aquel que se ponga de inmediato al día en el pago de sus obligaciones, a fin de que sea excluido de dicho registro. Por ello, agrega que “[…] esta extensión también implica la obligación del juez y/o funcionario que ordena la inscripción que comunique de esta, en los términos del inciso primero del artículo 3º del PLE, no únicamente a la persona natural sino también a la persona jurídica cuando aquella es su representante legal. Esto con el fin de que puedan ejercer las posibilidades de remoción o de exigencia del pago de la obligación, anteriormente mencionadas. De esta manera, en caso de que no ejerza esas opciones, la persona jurídica terminará siendo cobijada por los efectos del reporte, no por el simple hecho de un tercero sino ante su propia inacción y negligencia en acudir a los remedios legales para evitar tales consecuencias jurídicas”.  </w:t>
      </w:r>
    </w:p>
    <w:p w14:paraId="0F591A04" w14:textId="77777777" w:rsidR="00657E97" w:rsidRPr="00262F9B" w:rsidRDefault="00657E97" w:rsidP="00657E97">
      <w:pPr>
        <w:tabs>
          <w:tab w:val="left" w:pos="0"/>
        </w:tabs>
        <w:spacing w:after="120" w:line="276" w:lineRule="auto"/>
        <w:jc w:val="both"/>
        <w:rPr>
          <w:rFonts w:ascii="Century Gothic" w:eastAsia="Calibri" w:hAnsi="Century Gothic" w:cs="Arial"/>
          <w:bCs/>
          <w:color w:val="000000" w:themeColor="text1"/>
        </w:rPr>
      </w:pPr>
      <w:r w:rsidRPr="00262F9B">
        <w:rPr>
          <w:rFonts w:ascii="Century Gothic" w:eastAsia="Calibri" w:hAnsi="Century Gothic" w:cs="Arial"/>
          <w:bCs/>
          <w:color w:val="000000" w:themeColor="text1"/>
        </w:rPr>
        <w:tab/>
        <w:t xml:space="preserve">En todo caso, la obligación de consultar el registro para validar la ausencia de la restricción del artículo 6.1 de la Ley 2097 de 2021 no surgió automáticamente con la expedición de la norma, pues la efectividad de las medidas estaba condicionada por la designación del operador, la reglamentación del registro y por implementación de la plataforma tecnológica. Sobre este último punto, la </w:t>
      </w:r>
      <w:r w:rsidRPr="00262F9B">
        <w:rPr>
          <w:rFonts w:ascii="Century Gothic" w:eastAsia="Calibri" w:hAnsi="Century Gothic" w:cs="Arial"/>
          <w:bCs/>
          <w:color w:val="000000" w:themeColor="text1"/>
        </w:rPr>
        <w:lastRenderedPageBreak/>
        <w:t xml:space="preserve">página web </w:t>
      </w:r>
      <w:hyperlink r:id="rId13" w:history="1">
        <w:r w:rsidRPr="00262F9B">
          <w:rPr>
            <w:rStyle w:val="Hipervnculo"/>
            <w:rFonts w:ascii="Century Gothic" w:eastAsia="Calibri" w:hAnsi="Century Gothic" w:cs="Arial"/>
            <w:bCs/>
          </w:rPr>
          <w:t>https://redam.gov.co/information-page</w:t>
        </w:r>
      </w:hyperlink>
      <w:r w:rsidRPr="00262F9B">
        <w:rPr>
          <w:rFonts w:ascii="Century Gothic" w:eastAsia="Calibri" w:hAnsi="Century Gothic" w:cs="Arial"/>
          <w:bCs/>
          <w:color w:val="000000" w:themeColor="text1"/>
        </w:rPr>
        <w:t xml:space="preserve"> brinda información sobre la forma de consultar y descargar el registro correspondiente. Cualquier inquietud adicional sobre el funcionamiento operativo del REDAM podrá plantarse ante el Ministerio de Tecnologías de la Información y las Comunicaciones, pues –conforme al numeral 7 del artículo 2.2.23.14 del Decreto 1078 de 2015, adicionado por el artículo 1 del Decreto 1310 de 2022– debe “Tramitar oportunamente las peticiones, consultas, quejas o reclamos que formulen los actores e intervinientes en el proceso de reporte de información en el Registro de Deudores Alimentarios Morosos (REDAM) y que sean de su competencia”.</w:t>
      </w:r>
    </w:p>
    <w:p w14:paraId="6847D40F" w14:textId="77777777" w:rsidR="00657E97" w:rsidRPr="00262F9B" w:rsidRDefault="00657E97" w:rsidP="00657E97">
      <w:pPr>
        <w:spacing w:after="120" w:line="276" w:lineRule="auto"/>
        <w:ind w:firstLine="708"/>
        <w:jc w:val="both"/>
        <w:rPr>
          <w:rFonts w:ascii="Century Gothic" w:hAnsi="Century Gothic" w:cs="Arial"/>
          <w:lang w:val="es-ES"/>
        </w:rPr>
      </w:pPr>
      <w:r w:rsidRPr="00262F9B">
        <w:rPr>
          <w:rFonts w:ascii="Century Gothic" w:hAnsi="Century Gothic" w:cs="Arial"/>
          <w:lang w:val="es-ES"/>
        </w:rPr>
        <w:t>Dado que la competencia de interpretación de normas generales de Colombia Compra Eficiente, por definición, no puede extenderse a la resolución de controversias ni brindar asesorías sobre casos puntuales, la solución de estos temas – previo concepto de sus órganos asesores– corresponde a la entidad de adoptar la decisión correspondiente y, en caso de conflicto, a las autoridades judiciales, fiscales y disciplinarias. De esta manera, le corresponderá a cada entidad definir la viabilidad técnica, jurídica y financiera de celebrar determinado negocio en específico.</w:t>
      </w:r>
    </w:p>
    <w:p w14:paraId="269F2C08" w14:textId="77777777" w:rsidR="00657E97" w:rsidRPr="00262F9B" w:rsidRDefault="00657E97" w:rsidP="00657E97">
      <w:pPr>
        <w:spacing w:after="0" w:line="276" w:lineRule="auto"/>
        <w:ind w:firstLine="708"/>
        <w:jc w:val="both"/>
        <w:rPr>
          <w:rFonts w:ascii="Century Gothic" w:hAnsi="Century Gothic" w:cs="Arial"/>
          <w:lang w:val="es-ES"/>
        </w:rPr>
      </w:pPr>
    </w:p>
    <w:p w14:paraId="43690021" w14:textId="77777777" w:rsidR="00657E97" w:rsidRPr="00262F9B" w:rsidRDefault="00657E97" w:rsidP="00657E97">
      <w:pPr>
        <w:widowControl w:val="0"/>
        <w:autoSpaceDE w:val="0"/>
        <w:autoSpaceDN w:val="0"/>
        <w:spacing w:after="0" w:line="276" w:lineRule="auto"/>
        <w:jc w:val="both"/>
        <w:rPr>
          <w:rFonts w:ascii="Century Gothic" w:hAnsi="Century Gothic" w:cs="Arial"/>
          <w:color w:val="000000" w:themeColor="text1"/>
          <w:lang w:val="es-ES_tradnl" w:bidi="es-ES"/>
        </w:rPr>
      </w:pPr>
      <w:r w:rsidRPr="00262F9B">
        <w:rPr>
          <w:rFonts w:ascii="Century Gothic" w:hAnsi="Century Gothic" w:cs="Arial"/>
          <w:color w:val="000000" w:themeColor="text1"/>
          <w:lang w:val="es-ES_tradnl"/>
        </w:rPr>
        <w:t>Este concepto tiene el alcance previsto en el artículo 28 del Código de Procedimiento Administrativo y de lo Contencioso Administrativo.</w:t>
      </w:r>
    </w:p>
    <w:p w14:paraId="2E36C7EF" w14:textId="77777777" w:rsidR="00657E97" w:rsidRPr="00262F9B" w:rsidRDefault="00657E97" w:rsidP="00657E97">
      <w:pPr>
        <w:widowControl w:val="0"/>
        <w:autoSpaceDE w:val="0"/>
        <w:autoSpaceDN w:val="0"/>
        <w:spacing w:after="0" w:line="276" w:lineRule="auto"/>
        <w:jc w:val="both"/>
        <w:rPr>
          <w:rFonts w:ascii="Century Gothic" w:hAnsi="Century Gothic" w:cs="Arial"/>
          <w:color w:val="000000" w:themeColor="text1"/>
          <w:lang w:val="es-ES_tradnl" w:bidi="es-ES"/>
        </w:rPr>
      </w:pPr>
    </w:p>
    <w:p w14:paraId="06A0DC6B" w14:textId="77777777" w:rsidR="00657E97" w:rsidRPr="00262F9B" w:rsidRDefault="00657E97" w:rsidP="00657E97">
      <w:pPr>
        <w:tabs>
          <w:tab w:val="left" w:pos="426"/>
        </w:tabs>
        <w:spacing w:line="276" w:lineRule="auto"/>
        <w:jc w:val="both"/>
        <w:rPr>
          <w:rFonts w:ascii="Century Gothic" w:eastAsia="Times New Roman" w:hAnsi="Century Gothic" w:cs="Arial"/>
          <w:color w:val="000000" w:themeColor="text1"/>
        </w:rPr>
      </w:pPr>
      <w:r w:rsidRPr="00262F9B">
        <w:rPr>
          <w:rFonts w:ascii="Century Gothic" w:eastAsia="Times New Roman" w:hAnsi="Century Gothic" w:cs="Arial"/>
          <w:color w:val="000000" w:themeColor="text1"/>
        </w:rPr>
        <w:t>Atentamente,</w:t>
      </w:r>
    </w:p>
    <w:p w14:paraId="64349803" w14:textId="4864D8A7" w:rsidR="00657E97" w:rsidRPr="00262F9B" w:rsidRDefault="00244190" w:rsidP="00657E97">
      <w:pPr>
        <w:jc w:val="center"/>
        <w:rPr>
          <w:rFonts w:ascii="Century Gothic" w:eastAsia="Times New Roman" w:hAnsi="Century Gothic" w:cs="Arial"/>
          <w:lang w:eastAsia="es-CO"/>
        </w:rPr>
      </w:pPr>
      <w:r>
        <w:rPr>
          <w:noProof/>
        </w:rPr>
        <w:drawing>
          <wp:inline distT="0" distB="0" distL="0" distR="0" wp14:anchorId="5FD86B3D" wp14:editId="0C96E492">
            <wp:extent cx="3152775" cy="1209675"/>
            <wp:effectExtent l="0" t="0" r="9525" b="9525"/>
            <wp:docPr id="136766671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666717" name="Imagen 1" descr="Texto&#10;&#10;Descripción generada automáticamente"/>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52775" cy="1209675"/>
                    </a:xfrm>
                    <a:prstGeom prst="rect">
                      <a:avLst/>
                    </a:prstGeom>
                    <a:noFill/>
                    <a:ln>
                      <a:noFill/>
                    </a:ln>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657E97" w:rsidRPr="00262F9B" w14:paraId="09B627EC" w14:textId="77777777" w:rsidTr="0088269B">
        <w:trPr>
          <w:trHeight w:val="409"/>
        </w:trPr>
        <w:tc>
          <w:tcPr>
            <w:tcW w:w="817" w:type="dxa"/>
            <w:tcBorders>
              <w:top w:val="nil"/>
              <w:left w:val="nil"/>
              <w:bottom w:val="nil"/>
              <w:right w:val="nil"/>
            </w:tcBorders>
            <w:vAlign w:val="center"/>
            <w:hideMark/>
          </w:tcPr>
          <w:p w14:paraId="50B88C32" w14:textId="77777777" w:rsidR="00657E97" w:rsidRPr="00262F9B" w:rsidRDefault="00657E97" w:rsidP="0088269B">
            <w:pPr>
              <w:spacing w:after="0" w:line="240" w:lineRule="auto"/>
              <w:jc w:val="both"/>
              <w:rPr>
                <w:rFonts w:ascii="Century Gothic" w:hAnsi="Century Gothic" w:cs="Arial"/>
                <w:sz w:val="16"/>
                <w:szCs w:val="16"/>
              </w:rPr>
            </w:pPr>
            <w:r w:rsidRPr="00262F9B">
              <w:rPr>
                <w:rFonts w:ascii="Century Gothic" w:hAnsi="Century Gothic"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52E74396" w14:textId="77777777" w:rsidR="00657E97" w:rsidRPr="00262F9B" w:rsidRDefault="00657E97" w:rsidP="0088269B">
            <w:pPr>
              <w:spacing w:after="0" w:line="240" w:lineRule="auto"/>
              <w:jc w:val="both"/>
              <w:rPr>
                <w:rFonts w:ascii="Century Gothic" w:hAnsi="Century Gothic" w:cs="Arial"/>
                <w:sz w:val="16"/>
                <w:szCs w:val="16"/>
              </w:rPr>
            </w:pPr>
            <w:r w:rsidRPr="00262F9B">
              <w:rPr>
                <w:rFonts w:ascii="Century Gothic" w:hAnsi="Century Gothic" w:cs="Arial"/>
                <w:sz w:val="16"/>
                <w:szCs w:val="16"/>
              </w:rPr>
              <w:t>Juan David Montoya Penagos</w:t>
            </w:r>
          </w:p>
          <w:p w14:paraId="0D18C124" w14:textId="77777777" w:rsidR="00657E97" w:rsidRPr="00262F9B" w:rsidRDefault="00657E97" w:rsidP="0088269B">
            <w:pPr>
              <w:spacing w:after="0" w:line="240" w:lineRule="auto"/>
              <w:jc w:val="both"/>
              <w:rPr>
                <w:rFonts w:ascii="Century Gothic" w:hAnsi="Century Gothic" w:cs="Arial"/>
                <w:sz w:val="16"/>
                <w:szCs w:val="16"/>
              </w:rPr>
            </w:pPr>
            <w:r w:rsidRPr="00262F9B">
              <w:rPr>
                <w:rFonts w:ascii="Century Gothic" w:hAnsi="Century Gothic" w:cs="Arial"/>
                <w:sz w:val="16"/>
                <w:szCs w:val="16"/>
              </w:rPr>
              <w:t>Contratista de la Subdirección de Gestión Contractual</w:t>
            </w:r>
          </w:p>
        </w:tc>
      </w:tr>
      <w:tr w:rsidR="00657E97" w:rsidRPr="00262F9B" w14:paraId="70090C78" w14:textId="77777777" w:rsidTr="0088269B">
        <w:trPr>
          <w:trHeight w:val="409"/>
        </w:trPr>
        <w:tc>
          <w:tcPr>
            <w:tcW w:w="817" w:type="dxa"/>
            <w:tcBorders>
              <w:top w:val="nil"/>
              <w:left w:val="nil"/>
              <w:right w:val="nil"/>
            </w:tcBorders>
            <w:vAlign w:val="center"/>
          </w:tcPr>
          <w:p w14:paraId="2C2631CC" w14:textId="77777777" w:rsidR="00657E97" w:rsidRPr="00262F9B" w:rsidRDefault="00657E97" w:rsidP="0088269B">
            <w:pPr>
              <w:jc w:val="both"/>
              <w:rPr>
                <w:rFonts w:ascii="Century Gothic" w:hAnsi="Century Gothic" w:cs="Arial"/>
                <w:sz w:val="16"/>
                <w:szCs w:val="16"/>
              </w:rPr>
            </w:pPr>
            <w:r w:rsidRPr="00262F9B">
              <w:rPr>
                <w:rFonts w:ascii="Century Gothic" w:hAnsi="Century Gothic"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tcPr>
          <w:p w14:paraId="50512744" w14:textId="77777777" w:rsidR="00657E97" w:rsidRPr="00262F9B" w:rsidRDefault="00657E97" w:rsidP="0088269B">
            <w:pPr>
              <w:spacing w:after="0" w:line="240" w:lineRule="auto"/>
              <w:jc w:val="both"/>
              <w:rPr>
                <w:rFonts w:ascii="Century Gothic" w:hAnsi="Century Gothic" w:cs="Arial"/>
                <w:sz w:val="16"/>
                <w:szCs w:val="16"/>
              </w:rPr>
            </w:pPr>
            <w:r w:rsidRPr="00262F9B">
              <w:rPr>
                <w:rFonts w:ascii="Century Gothic" w:hAnsi="Century Gothic" w:cs="Arial"/>
                <w:sz w:val="16"/>
                <w:szCs w:val="16"/>
              </w:rPr>
              <w:t>Diana Carolina Armenta Celis</w:t>
            </w:r>
          </w:p>
          <w:p w14:paraId="545C3278" w14:textId="77777777" w:rsidR="00657E97" w:rsidRPr="00262F9B" w:rsidRDefault="00657E97" w:rsidP="0088269B">
            <w:pPr>
              <w:spacing w:after="0" w:line="240" w:lineRule="auto"/>
              <w:jc w:val="both"/>
              <w:rPr>
                <w:rFonts w:ascii="Century Gothic" w:hAnsi="Century Gothic" w:cs="Arial"/>
                <w:sz w:val="16"/>
                <w:szCs w:val="16"/>
              </w:rPr>
            </w:pPr>
            <w:r w:rsidRPr="00262F9B">
              <w:rPr>
                <w:rFonts w:ascii="Century Gothic" w:hAnsi="Century Gothic" w:cs="Arial"/>
                <w:sz w:val="16"/>
                <w:szCs w:val="16"/>
              </w:rPr>
              <w:t>Contratista de la Subdirección de Gestión Contractual</w:t>
            </w:r>
          </w:p>
        </w:tc>
      </w:tr>
      <w:tr w:rsidR="00657E97" w:rsidRPr="00262F9B" w14:paraId="4524E386" w14:textId="77777777" w:rsidTr="0088269B">
        <w:trPr>
          <w:trHeight w:val="389"/>
        </w:trPr>
        <w:tc>
          <w:tcPr>
            <w:tcW w:w="817" w:type="dxa"/>
            <w:tcBorders>
              <w:top w:val="nil"/>
              <w:left w:val="nil"/>
              <w:bottom w:val="nil"/>
              <w:right w:val="nil"/>
            </w:tcBorders>
            <w:vAlign w:val="center"/>
            <w:hideMark/>
          </w:tcPr>
          <w:p w14:paraId="2630407F" w14:textId="77777777" w:rsidR="00657E97" w:rsidRPr="00262F9B" w:rsidRDefault="00657E97" w:rsidP="0088269B">
            <w:pPr>
              <w:spacing w:after="0" w:line="240" w:lineRule="auto"/>
              <w:jc w:val="both"/>
              <w:rPr>
                <w:rFonts w:ascii="Century Gothic" w:hAnsi="Century Gothic" w:cs="Arial"/>
                <w:sz w:val="16"/>
                <w:szCs w:val="16"/>
              </w:rPr>
            </w:pPr>
            <w:r w:rsidRPr="00262F9B">
              <w:rPr>
                <w:rFonts w:ascii="Century Gothic" w:hAnsi="Century Gothic"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4270701" w14:textId="77777777" w:rsidR="00657E97" w:rsidRPr="00262F9B" w:rsidRDefault="00657E97" w:rsidP="0088269B">
            <w:pPr>
              <w:spacing w:after="0" w:line="240" w:lineRule="auto"/>
              <w:jc w:val="both"/>
              <w:rPr>
                <w:rFonts w:ascii="Century Gothic" w:hAnsi="Century Gothic" w:cs="Arial"/>
                <w:sz w:val="16"/>
                <w:szCs w:val="16"/>
              </w:rPr>
            </w:pPr>
            <w:r w:rsidRPr="00262F9B">
              <w:rPr>
                <w:rFonts w:ascii="Century Gothic" w:hAnsi="Century Gothic" w:cs="Arial"/>
                <w:sz w:val="16"/>
                <w:szCs w:val="16"/>
              </w:rPr>
              <w:t>Nohelia del Carmen Zawady Palacio</w:t>
            </w:r>
          </w:p>
          <w:p w14:paraId="0844740E" w14:textId="77777777" w:rsidR="00657E97" w:rsidRPr="00262F9B" w:rsidRDefault="00657E97" w:rsidP="0088269B">
            <w:pPr>
              <w:spacing w:after="0" w:line="240" w:lineRule="auto"/>
              <w:jc w:val="both"/>
              <w:rPr>
                <w:rFonts w:ascii="Century Gothic" w:hAnsi="Century Gothic" w:cs="Arial"/>
                <w:sz w:val="16"/>
                <w:szCs w:val="16"/>
              </w:rPr>
            </w:pPr>
            <w:r w:rsidRPr="00262F9B">
              <w:rPr>
                <w:rFonts w:ascii="Century Gothic" w:hAnsi="Century Gothic" w:cs="Arial"/>
                <w:sz w:val="16"/>
                <w:szCs w:val="16"/>
              </w:rPr>
              <w:t>Subdirectora de Gestión Contractual ANCP - CCE</w:t>
            </w:r>
          </w:p>
        </w:tc>
      </w:tr>
      <w:bookmarkEnd w:id="2"/>
    </w:tbl>
    <w:p w14:paraId="33396C7D" w14:textId="77777777" w:rsidR="00657E97" w:rsidRPr="00262F9B" w:rsidRDefault="00657E97" w:rsidP="00657E97">
      <w:pPr>
        <w:tabs>
          <w:tab w:val="left" w:pos="0"/>
        </w:tabs>
        <w:spacing w:line="276" w:lineRule="auto"/>
        <w:contextualSpacing/>
        <w:jc w:val="both"/>
        <w:rPr>
          <w:rFonts w:ascii="Century Gothic" w:hAnsi="Century Gothic"/>
          <w:lang w:val="es-MX"/>
        </w:rPr>
      </w:pPr>
    </w:p>
    <w:p w14:paraId="54A7EB21" w14:textId="77777777" w:rsidR="00657E97" w:rsidRPr="00262F9B" w:rsidRDefault="00657E97" w:rsidP="00657E97">
      <w:pPr>
        <w:rPr>
          <w:rFonts w:ascii="Century Gothic" w:hAnsi="Century Gothic"/>
        </w:rPr>
      </w:pPr>
      <w:r w:rsidRPr="00262F9B">
        <w:rPr>
          <w:rFonts w:ascii="Century Gothic" w:hAnsi="Century Gothic"/>
        </w:rPr>
        <w:t xml:space="preserve"> </w:t>
      </w:r>
    </w:p>
    <w:p w14:paraId="0FD4057A" w14:textId="77777777" w:rsidR="00C330EB" w:rsidRPr="00262F9B" w:rsidRDefault="00C330EB" w:rsidP="00297985">
      <w:pPr>
        <w:rPr>
          <w:rFonts w:ascii="Century Gothic" w:hAnsi="Century Gothic"/>
        </w:rPr>
      </w:pPr>
    </w:p>
    <w:sectPr w:rsidR="00C330EB" w:rsidRPr="00262F9B" w:rsidSect="00923EEF">
      <w:headerReference w:type="default" r:id="rId15"/>
      <w:footerReference w:type="default" r:id="rId16"/>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DF99B4" w14:textId="77777777" w:rsidR="002C527A" w:rsidRDefault="002C527A" w:rsidP="004A1847">
      <w:pPr>
        <w:spacing w:after="0" w:line="240" w:lineRule="auto"/>
      </w:pPr>
      <w:r>
        <w:separator/>
      </w:r>
    </w:p>
  </w:endnote>
  <w:endnote w:type="continuationSeparator" w:id="0">
    <w:p w14:paraId="0CA435DB" w14:textId="77777777" w:rsidR="002C527A" w:rsidRDefault="002C527A" w:rsidP="004A1847">
      <w:pPr>
        <w:spacing w:after="0" w:line="240" w:lineRule="auto"/>
      </w:pPr>
      <w:r>
        <w:continuationSeparator/>
      </w:r>
    </w:p>
  </w:endnote>
  <w:endnote w:type="continuationNotice" w:id="1">
    <w:p w14:paraId="70F0C717" w14:textId="77777777" w:rsidR="002C527A" w:rsidRDefault="002C52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3BA5BB2D" w:rsidR="004A1847" w:rsidRDefault="009419F9">
    <w:pPr>
      <w:pStyle w:val="Piedepgina"/>
    </w:pPr>
    <w:r>
      <w:rPr>
        <w:noProof/>
      </w:rPr>
      <w:drawing>
        <wp:inline distT="0" distB="0" distL="0" distR="0" wp14:anchorId="600A8696" wp14:editId="357635FE">
          <wp:extent cx="5612130" cy="650240"/>
          <wp:effectExtent l="0" t="0" r="7620" b="0"/>
          <wp:docPr id="1013471023" name="Imagen 101347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58243"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534DA7F"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71D456F" w14:textId="62368336"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VERSIÓN: 0</w:t>
          </w:r>
          <w:r w:rsidR="00B72CD3">
            <w:rPr>
              <w:rFonts w:ascii="Century Gothic" w:hAnsi="Century Gothic"/>
              <w:sz w:val="16"/>
              <w:szCs w:val="16"/>
            </w:rPr>
            <w:t>1</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0C74553" w14:textId="3F78C758"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sidR="00B72CD3">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sidR="00CB6357">
            <w:rPr>
              <w:rFonts w:ascii="Century Gothic" w:eastAsia="Geo" w:hAnsi="Century Gothic" w:cs="Geo"/>
              <w:b/>
              <w:color w:val="000000"/>
              <w:sz w:val="16"/>
              <w:szCs w:val="16"/>
              <w:lang w:eastAsia="es-CO"/>
            </w:rPr>
            <w:t>13</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51611F" w14:textId="5E0DB946" w:rsidR="00FC2B5D" w:rsidRPr="003F3941" w:rsidRDefault="003F3941" w:rsidP="00FC2B5D">
          <w:pPr>
            <w:pStyle w:val="Piedepgina"/>
            <w:rPr>
              <w:rFonts w:ascii="Century Gothic" w:hAnsi="Century Gothic"/>
              <w:sz w:val="16"/>
              <w:szCs w:val="16"/>
            </w:rPr>
          </w:pPr>
          <w:r w:rsidRPr="003F3941">
            <w:rPr>
              <w:rFonts w:ascii="Century Gothic" w:hAnsi="Century Gothic"/>
              <w:sz w:val="16"/>
              <w:szCs w:val="16"/>
            </w:rPr>
            <w:t xml:space="preserve">FECHA: </w:t>
          </w:r>
          <w:r w:rsidR="00961B09">
            <w:rPr>
              <w:rFonts w:ascii="Century Gothic" w:hAnsi="Century Gothic"/>
              <w:sz w:val="16"/>
              <w:szCs w:val="16"/>
            </w:rPr>
            <w:t>15</w:t>
          </w:r>
          <w:r w:rsidRPr="003F3941">
            <w:rPr>
              <w:rFonts w:ascii="Century Gothic" w:hAnsi="Century Gothic"/>
              <w:sz w:val="16"/>
              <w:szCs w:val="16"/>
            </w:rPr>
            <w:t xml:space="preserve"> DE </w:t>
          </w:r>
          <w:r w:rsidR="00961B09">
            <w:rPr>
              <w:rFonts w:ascii="Century Gothic" w:hAnsi="Century Gothic"/>
              <w:sz w:val="16"/>
              <w:szCs w:val="16"/>
            </w:rPr>
            <w:t>JUNIO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6039C9C7" w:rsidR="00FC2B5D" w:rsidRPr="003F3941" w:rsidRDefault="003F3941"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PAGE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1</w:t>
          </w:r>
          <w:r w:rsidR="00FC2B5D"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NUMPAGES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2</w:t>
          </w:r>
          <w:r w:rsidR="00FC2B5D" w:rsidRPr="003F3941">
            <w:rPr>
              <w:rFonts w:ascii="Century Gothic" w:hAnsi="Century Gothic"/>
              <w:b/>
              <w:bCs/>
              <w:sz w:val="16"/>
              <w:szCs w:val="16"/>
            </w:rPr>
            <w:fldChar w:fldCharType="end"/>
          </w:r>
        </w:p>
      </w:tc>
    </w:tr>
  </w:tbl>
  <w:p w14:paraId="744661F5" w14:textId="3FCEADD6" w:rsidR="006219F8" w:rsidRDefault="006219F8"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5A3DEC" w14:textId="77777777" w:rsidR="002C527A" w:rsidRDefault="002C527A" w:rsidP="004A1847">
      <w:pPr>
        <w:spacing w:after="0" w:line="240" w:lineRule="auto"/>
      </w:pPr>
      <w:r>
        <w:separator/>
      </w:r>
    </w:p>
  </w:footnote>
  <w:footnote w:type="continuationSeparator" w:id="0">
    <w:p w14:paraId="5E3AD2FF" w14:textId="77777777" w:rsidR="002C527A" w:rsidRDefault="002C527A" w:rsidP="004A1847">
      <w:pPr>
        <w:spacing w:after="0" w:line="240" w:lineRule="auto"/>
      </w:pPr>
      <w:r>
        <w:continuationSeparator/>
      </w:r>
    </w:p>
  </w:footnote>
  <w:footnote w:type="continuationNotice" w:id="1">
    <w:p w14:paraId="27EBB001" w14:textId="77777777" w:rsidR="002C527A" w:rsidRDefault="002C527A">
      <w:pPr>
        <w:spacing w:after="0" w:line="240" w:lineRule="auto"/>
      </w:pPr>
    </w:p>
  </w:footnote>
  <w:footnote w:id="2">
    <w:p w14:paraId="0298EB70" w14:textId="77777777" w:rsidR="00657E97" w:rsidRPr="00262F9B" w:rsidRDefault="00657E97" w:rsidP="00657E97">
      <w:pPr>
        <w:pStyle w:val="Textonotapie"/>
        <w:ind w:firstLine="708"/>
        <w:jc w:val="both"/>
        <w:rPr>
          <w:rFonts w:ascii="Century Gothic" w:hAnsi="Century Gothic" w:cs="Arial"/>
          <w:sz w:val="16"/>
          <w:szCs w:val="16"/>
          <w:lang w:val="es-ES"/>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La Agencia Nacional de Contratación Pública </w:t>
      </w:r>
      <w:r w:rsidRPr="00262F9B">
        <w:rPr>
          <w:rFonts w:ascii="Arial" w:hAnsi="Arial" w:cs="Arial"/>
          <w:sz w:val="16"/>
          <w:szCs w:val="16"/>
        </w:rPr>
        <w:t>‒</w:t>
      </w:r>
      <w:r w:rsidRPr="00262F9B">
        <w:rPr>
          <w:rFonts w:ascii="Century Gothic" w:hAnsi="Century Gothic" w:cs="Arial"/>
          <w:sz w:val="16"/>
          <w:szCs w:val="16"/>
        </w:rPr>
        <w:t xml:space="preserve"> Colombia Compra Eficiente fue creada por el Decreto Ley 4170 de 2011. Su objetivo es servir como ente rector de la pol</w:t>
      </w:r>
      <w:r w:rsidRPr="00262F9B">
        <w:rPr>
          <w:rFonts w:ascii="Century Gothic" w:hAnsi="Century Gothic" w:cs="Century Gothic"/>
          <w:sz w:val="16"/>
          <w:szCs w:val="16"/>
        </w:rPr>
        <w:t>í</w:t>
      </w:r>
      <w:r w:rsidRPr="00262F9B">
        <w:rPr>
          <w:rFonts w:ascii="Century Gothic" w:hAnsi="Century Gothic" w:cs="Arial"/>
          <w:sz w:val="16"/>
          <w:szCs w:val="16"/>
        </w:rPr>
        <w:t>tica de compras y contrataci</w:t>
      </w:r>
      <w:r w:rsidRPr="00262F9B">
        <w:rPr>
          <w:rFonts w:ascii="Century Gothic" w:hAnsi="Century Gothic" w:cs="Century Gothic"/>
          <w:sz w:val="16"/>
          <w:szCs w:val="16"/>
        </w:rPr>
        <w:t>ó</w:t>
      </w:r>
      <w:r w:rsidRPr="00262F9B">
        <w:rPr>
          <w:rFonts w:ascii="Century Gothic" w:hAnsi="Century Gothic" w:cs="Arial"/>
          <w:sz w:val="16"/>
          <w:szCs w:val="16"/>
        </w:rPr>
        <w:t xml:space="preserve">n del Estado. Para tales fines, como </w:t>
      </w:r>
      <w:r w:rsidRPr="00262F9B">
        <w:rPr>
          <w:rFonts w:ascii="Century Gothic" w:hAnsi="Century Gothic" w:cs="Century Gothic"/>
          <w:sz w:val="16"/>
          <w:szCs w:val="16"/>
        </w:rPr>
        <w:t>ó</w:t>
      </w:r>
      <w:r w:rsidRPr="00262F9B">
        <w:rPr>
          <w:rFonts w:ascii="Century Gothic" w:hAnsi="Century Gothic" w:cs="Arial"/>
          <w:sz w:val="16"/>
          <w:szCs w:val="16"/>
        </w:rPr>
        <w:t>rgano t</w:t>
      </w:r>
      <w:r w:rsidRPr="00262F9B">
        <w:rPr>
          <w:rFonts w:ascii="Century Gothic" w:hAnsi="Century Gothic" w:cs="Century Gothic"/>
          <w:sz w:val="16"/>
          <w:szCs w:val="16"/>
        </w:rPr>
        <w:t>é</w:t>
      </w:r>
      <w:r w:rsidRPr="00262F9B">
        <w:rPr>
          <w:rFonts w:ascii="Century Gothic" w:hAnsi="Century Gothic" w:cs="Arial"/>
          <w:sz w:val="16"/>
          <w:szCs w:val="16"/>
        </w:rPr>
        <w:t xml:space="preserve">cnico especializado, le corresponde formular políticas públicas y normas y unificar los procesos de contratación estatal, con el fin de lograr una mayor eficiencia, transparencia y optimización de los recursos del Estado. El artículo 3 </w:t>
      </w:r>
      <w:r w:rsidRPr="00262F9B">
        <w:rPr>
          <w:rFonts w:ascii="Century Gothic" w:hAnsi="Century Gothic" w:cs="Arial"/>
          <w:i/>
          <w:iCs/>
          <w:sz w:val="16"/>
          <w:szCs w:val="16"/>
        </w:rPr>
        <w:t xml:space="preserve">ibidem </w:t>
      </w:r>
      <w:r w:rsidRPr="00262F9B">
        <w:rPr>
          <w:rFonts w:ascii="Century Gothic" w:hAnsi="Century Gothic" w:cs="Arial"/>
          <w:sz w:val="16"/>
          <w:szCs w:val="16"/>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3F8CD099" w14:textId="77777777" w:rsidR="00657E97" w:rsidRPr="00262F9B" w:rsidRDefault="00657E97" w:rsidP="00657E97">
      <w:pPr>
        <w:pStyle w:val="Textonotapie"/>
        <w:ind w:firstLine="709"/>
        <w:jc w:val="both"/>
        <w:rPr>
          <w:rFonts w:ascii="Century Gothic" w:hAnsi="Century Gothic" w:cs="Arial"/>
          <w:sz w:val="16"/>
          <w:szCs w:val="16"/>
          <w:shd w:val="clear" w:color="auto" w:fill="E6E6E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Los conceptos referenciados, así como otros expedidos por la Subdirección se encuentran disponibles para consulta pública en el portal de relatoría de la Agencia, al cual se puede acceder a través del siguiente enlace: </w:t>
      </w:r>
      <w:hyperlink r:id="rId1" w:history="1">
        <w:r w:rsidRPr="00262F9B">
          <w:rPr>
            <w:rStyle w:val="Hipervnculo"/>
            <w:rFonts w:ascii="Century Gothic" w:hAnsi="Century Gothic" w:cs="Arial"/>
            <w:sz w:val="16"/>
            <w:szCs w:val="16"/>
          </w:rPr>
          <w:t>https://relatoria.colombiacompra.gov.co/busqueda/conceptos</w:t>
        </w:r>
      </w:hyperlink>
      <w:r w:rsidRPr="00262F9B">
        <w:rPr>
          <w:rStyle w:val="Hipervnculo"/>
          <w:rFonts w:ascii="Century Gothic" w:hAnsi="Century Gothic" w:cs="Arial"/>
          <w:sz w:val="16"/>
          <w:szCs w:val="16"/>
        </w:rPr>
        <w:t xml:space="preserve">. </w:t>
      </w:r>
      <w:r w:rsidRPr="00262F9B">
        <w:rPr>
          <w:rFonts w:ascii="Century Gothic" w:hAnsi="Century Gothic" w:cs="Arial"/>
          <w:sz w:val="16"/>
          <w:szCs w:val="16"/>
          <w:shd w:val="clear" w:color="auto" w:fill="E6E6E6"/>
        </w:rPr>
        <w:t xml:space="preserve"> </w:t>
      </w:r>
    </w:p>
  </w:footnote>
  <w:footnote w:id="4">
    <w:p w14:paraId="182B5E2B" w14:textId="77777777" w:rsidR="00657E97" w:rsidRPr="00262F9B" w:rsidRDefault="00657E97" w:rsidP="00657E97">
      <w:pPr>
        <w:spacing w:after="0"/>
        <w:ind w:firstLine="709"/>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Decreto 1082 de 2015: “Artículo </w:t>
      </w:r>
      <w:bookmarkStart w:id="8" w:name="_Hlk132977831"/>
      <w:r w:rsidRPr="00262F9B">
        <w:rPr>
          <w:rFonts w:ascii="Century Gothic" w:hAnsi="Century Gothic" w:cs="Arial"/>
          <w:sz w:val="16"/>
          <w:szCs w:val="16"/>
        </w:rPr>
        <w:t>2.2.1.2.1.4.4</w:t>
      </w:r>
      <w:bookmarkEnd w:id="8"/>
      <w:r w:rsidRPr="00262F9B">
        <w:rPr>
          <w:rFonts w:ascii="Century Gothic" w:hAnsi="Century Gothic" w:cs="Arial"/>
          <w:sz w:val="16"/>
          <w:szCs w:val="16"/>
        </w:rPr>
        <w:t>. Convenios o contratos interadministrativos. La modalidad de selección para la contratación entre Entidades Estatales es la contratación directa; y en consecuencia, le es aplicable lo establecido en el artículo 2.2.1.2.1.4.1 del presente decreto.</w:t>
      </w:r>
    </w:p>
    <w:p w14:paraId="52C86745" w14:textId="77777777" w:rsidR="00657E97" w:rsidRPr="00262F9B" w:rsidRDefault="00657E97" w:rsidP="00657E97">
      <w:pPr>
        <w:spacing w:after="0"/>
        <w:ind w:firstLine="709"/>
        <w:jc w:val="both"/>
        <w:rPr>
          <w:rFonts w:ascii="Century Gothic" w:hAnsi="Century Gothic" w:cs="Arial"/>
          <w:sz w:val="16"/>
          <w:szCs w:val="16"/>
        </w:rPr>
      </w:pPr>
      <w:r w:rsidRPr="00262F9B">
        <w:rPr>
          <w:rFonts w:ascii="Century Gothic" w:hAnsi="Century Gothic"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262F9B">
        <w:rPr>
          <w:rFonts w:ascii="Century Gothic" w:hAnsi="Century Gothic" w:cs="Arial"/>
          <w:spacing w:val="-1"/>
          <w:sz w:val="16"/>
          <w:szCs w:val="16"/>
        </w:rPr>
        <w:t xml:space="preserve"> </w:t>
      </w:r>
      <w:r w:rsidRPr="00262F9B">
        <w:rPr>
          <w:rFonts w:ascii="Century Gothic" w:hAnsi="Century Gothic" w:cs="Arial"/>
          <w:sz w:val="16"/>
          <w:szCs w:val="16"/>
        </w:rPr>
        <w:t>Estatales”.</w:t>
      </w:r>
    </w:p>
  </w:footnote>
  <w:footnote w:id="5">
    <w:p w14:paraId="6D2E9F20" w14:textId="77777777" w:rsidR="00657E97" w:rsidRPr="00262F9B" w:rsidRDefault="00657E97" w:rsidP="00657E97">
      <w:pPr>
        <w:spacing w:after="0"/>
        <w:ind w:firstLine="709"/>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262F9B">
        <w:rPr>
          <w:rFonts w:ascii="Century Gothic" w:hAnsi="Century Gothic" w:cs="Arial"/>
          <w:spacing w:val="-6"/>
          <w:sz w:val="16"/>
          <w:szCs w:val="16"/>
        </w:rPr>
        <w:t xml:space="preserve"> </w:t>
      </w:r>
      <w:r w:rsidRPr="00262F9B">
        <w:rPr>
          <w:rFonts w:ascii="Century Gothic" w:hAnsi="Century Gothic" w:cs="Arial"/>
          <w:sz w:val="16"/>
          <w:szCs w:val="16"/>
        </w:rPr>
        <w:t>artículo”.</w:t>
      </w:r>
    </w:p>
    <w:p w14:paraId="309B7F65" w14:textId="77777777" w:rsidR="00657E97" w:rsidRPr="00262F9B" w:rsidRDefault="00657E97" w:rsidP="00657E97">
      <w:pPr>
        <w:spacing w:after="0"/>
        <w:ind w:firstLine="709"/>
        <w:jc w:val="both"/>
        <w:rPr>
          <w:rFonts w:ascii="Century Gothic" w:hAnsi="Century Gothic" w:cs="Arial"/>
          <w:sz w:val="16"/>
          <w:szCs w:val="16"/>
        </w:rPr>
      </w:pPr>
    </w:p>
  </w:footnote>
  <w:footnote w:id="6">
    <w:p w14:paraId="58730767" w14:textId="77777777" w:rsidR="00657E97" w:rsidRPr="00262F9B" w:rsidRDefault="00657E97" w:rsidP="00657E97">
      <w:pPr>
        <w:spacing w:after="0"/>
        <w:ind w:firstLine="709"/>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position w:val="7"/>
          <w:sz w:val="16"/>
          <w:szCs w:val="16"/>
        </w:rPr>
        <w:t xml:space="preserve"> </w:t>
      </w:r>
      <w:r w:rsidRPr="00262F9B">
        <w:rPr>
          <w:rFonts w:ascii="Century Gothic" w:hAnsi="Century Gothic" w:cs="Arial"/>
          <w:sz w:val="16"/>
          <w:szCs w:val="16"/>
        </w:rPr>
        <w:t>Consejo de Estado. Sección Tercera. Sentencia del 23 de junio de 2010. Radicación No. 66001-23-31-000-1998-00261-01(17.860). Consejero Ponente: Mauricio Fajardo Gómez.</w:t>
      </w:r>
    </w:p>
  </w:footnote>
  <w:footnote w:id="7">
    <w:p w14:paraId="4FEFDFB8" w14:textId="77777777" w:rsidR="00657E97" w:rsidRPr="00262F9B" w:rsidRDefault="00657E97" w:rsidP="00657E97">
      <w:pPr>
        <w:spacing w:after="0"/>
        <w:ind w:firstLine="709"/>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Consejo de Estado. Sección Tercera. Subsección C. Sentencia del 11 de diciembre de 2019. Exp. 46.986. C.P. Jaime Enrique Rodríguez Navas.</w:t>
      </w:r>
    </w:p>
  </w:footnote>
  <w:footnote w:id="8">
    <w:p w14:paraId="406685DD" w14:textId="77777777" w:rsidR="00657E97" w:rsidRPr="00262F9B" w:rsidRDefault="00657E97" w:rsidP="00657E97">
      <w:pPr>
        <w:pStyle w:val="Textonotapie"/>
        <w:ind w:firstLine="708"/>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CONSEJO DE ESTADO. Sala de Consulta y Servicio Civil. Concepto 26 de julio de 2016. Exp. 2.257. C.P. Álvaro Namén Vargas. </w:t>
      </w:r>
      <w:r w:rsidRPr="00262F9B">
        <w:rPr>
          <w:rFonts w:ascii="Century Gothic" w:hAnsi="Century Gothic" w:cs="Arial"/>
          <w:sz w:val="16"/>
          <w:szCs w:val="16"/>
          <w:lang w:val="es-CO"/>
        </w:rPr>
        <w:t>Esta diferencia entre contrato y convenio está mucho más apuntalada en el derecho español de acuerdo con el artículo 47.1 de la Ley 40 de 2015, la cual regula el régimen jurídico del sector público. Por ello, la doctrina extrajera también estima que: “De la figura del “contrato” se diferencia la del “convenio”. Mientras el núcleo característico del “contrato” es el contenido económico de las obligaciones que asumen las partes que lo celebran, el “convenio” tiene por objeto el desarrollo de una actividad de una actividad de colaboración interadministrativa. El convenio tiene una función esencialmente organizatoria, o de promoción y fomento de actividades públicas y privadas; de forma indirecta el convenio puede tener efectos económicos, pero el fundamento de la celebración del convenio es la colaboración entre dos personas” (Cfr. BLANQUER CRIADO, David. Los contratos del sector público. Valencia: Tirant lo Blanch, 2013. p. 39).</w:t>
      </w:r>
    </w:p>
  </w:footnote>
  <w:footnote w:id="9">
    <w:p w14:paraId="382A37F7" w14:textId="77777777" w:rsidR="00657E97" w:rsidRPr="00262F9B" w:rsidRDefault="00657E97" w:rsidP="00657E97">
      <w:pPr>
        <w:pStyle w:val="Textonotapie"/>
        <w:ind w:firstLine="709"/>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Por ejemplo, </w:t>
      </w:r>
      <w:bookmarkStart w:id="10" w:name="_Hlk131016907"/>
      <w:r w:rsidRPr="00262F9B">
        <w:rPr>
          <w:rFonts w:ascii="Century Gothic" w:hAnsi="Century Gothic" w:cs="Arial"/>
          <w:sz w:val="16"/>
          <w:szCs w:val="16"/>
        </w:rPr>
        <w:t xml:space="preserve">Peña Nossa </w:t>
      </w:r>
      <w:bookmarkEnd w:id="10"/>
      <w:r w:rsidRPr="00262F9B">
        <w:rPr>
          <w:rFonts w:ascii="Century Gothic" w:hAnsi="Century Gothic" w:cs="Arial"/>
          <w:sz w:val="16"/>
          <w:szCs w:val="16"/>
        </w:rPr>
        <w:t>estima que “La noción tradicional de contrato restringe su aplicación a los actos jurídicos de contraprestación, esto es, aquellos en los que solo existen dos partes, dos manifestaciones de voluntad, con intereses distintos y opuestos, en donde las obligaciones de las partes son interdependientes, esto es, en donde el objeto de la obligación de una de las partes es causa de la obligación de la otra. Como ejemplo de este tipo de actos tenemos la compraventa y el arrendamiento.</w:t>
      </w:r>
    </w:p>
    <w:p w14:paraId="46B1DFEA" w14:textId="77777777" w:rsidR="00657E97" w:rsidRPr="00262F9B" w:rsidRDefault="00657E97" w:rsidP="00657E97">
      <w:pPr>
        <w:pStyle w:val="Textonotapie"/>
        <w:ind w:firstLine="708"/>
        <w:jc w:val="both"/>
        <w:rPr>
          <w:rFonts w:ascii="Century Gothic" w:hAnsi="Century Gothic" w:cs="Arial"/>
          <w:sz w:val="16"/>
          <w:szCs w:val="16"/>
        </w:rPr>
      </w:pPr>
      <w:r w:rsidRPr="00262F9B">
        <w:rPr>
          <w:rFonts w:ascii="Century Gothic" w:hAnsi="Century Gothic" w:cs="Arial"/>
          <w:sz w:val="16"/>
          <w:szCs w:val="16"/>
        </w:rPr>
        <w:t xml:space="preserve">Una concepción moderna señala que el contrato no solo recoge relaciones jurídicas de contraprestación, debido a la existencia de actos o negocios jurídicos complejos o de colaboración en los que pueden intervenir más de dos partes, que persiguen intereses comunes y por tanto colaboran en su realización. Aquí, a diferencia de lo que sucede en los actos de contraprestación, las obligaciones de las partes son autónomas e independientes, por lo que el incumplimiento de una de ellas no afecta las obligaciones de las demás, y también difiere porque la nulidad que se pronuncie con relación a una de las partes no involucra a las demás ni afecta la validez del negocio jurídico, salvo que la nulidad sea esencial para la consecución del objeto (C. de Co., art. 903). Como ejemplo de este tipo de actos tenemos el contrato de sociedad, las uniones temporales, el contrato de </w:t>
      </w:r>
      <w:r w:rsidRPr="00262F9B">
        <w:rPr>
          <w:rFonts w:ascii="Century Gothic" w:hAnsi="Century Gothic" w:cs="Arial"/>
          <w:i/>
          <w:sz w:val="16"/>
          <w:szCs w:val="16"/>
        </w:rPr>
        <w:t>joint venture,</w:t>
      </w:r>
      <w:r w:rsidRPr="00262F9B">
        <w:rPr>
          <w:rFonts w:ascii="Century Gothic" w:hAnsi="Century Gothic" w:cs="Arial"/>
          <w:sz w:val="16"/>
          <w:szCs w:val="16"/>
        </w:rPr>
        <w:t xml:space="preserve"> etc.” (Cfr. </w:t>
      </w:r>
      <w:r w:rsidRPr="00262F9B">
        <w:rPr>
          <w:rFonts w:ascii="Century Gothic" w:hAnsi="Century Gothic" w:cs="Arial"/>
          <w:sz w:val="16"/>
          <w:szCs w:val="16"/>
          <w:lang w:val="es-CO"/>
        </w:rPr>
        <w:t>PEÑA NOSSA, Lisandro. De los contratos mercantiles nacionales e internacionales. Quinta edición. Bogotá: ECOE Ediciones, 2014. Libro electrónico en formato EPUB. En el mismo sentido, ARRUBLA PAUCAR, Jaime Alberto. Contratos mercantiles: teoría general del negocio mercantil. Tomo I. Decimotercera edición. Bogotá: Legis, 2012. pp. 89-91).</w:t>
      </w:r>
      <w:r w:rsidRPr="00262F9B">
        <w:rPr>
          <w:rFonts w:ascii="Century Gothic" w:hAnsi="Century Gothic" w:cs="Arial"/>
          <w:sz w:val="16"/>
          <w:szCs w:val="16"/>
        </w:rPr>
        <w:t xml:space="preserve">  </w:t>
      </w:r>
    </w:p>
  </w:footnote>
  <w:footnote w:id="10">
    <w:p w14:paraId="30E7DE0A" w14:textId="77777777" w:rsidR="00657E97" w:rsidRPr="00262F9B" w:rsidRDefault="00657E97" w:rsidP="00657E97">
      <w:pPr>
        <w:pStyle w:val="Textonotapie"/>
        <w:ind w:firstLine="708"/>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PLANIOL, Marcel &amp; RIPERT, Jeorge. Tratado práctico de derecho civil francés. Tomo VI. La Habana: Cultural SA, 1940. p. 24. </w:t>
      </w:r>
    </w:p>
  </w:footnote>
  <w:footnote w:id="11">
    <w:p w14:paraId="4A3DEACB" w14:textId="77777777" w:rsidR="00657E97" w:rsidRPr="00262F9B" w:rsidRDefault="00657E97" w:rsidP="00657E97">
      <w:pPr>
        <w:pStyle w:val="Textonotapie"/>
        <w:ind w:firstLine="708"/>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CHÁVEZ MARÍN, Augusto Ramón. Los convenios de la administración pública: entre la gestión pública y la actividad contractual. Cuarta edición. Bogotá: Temis, 2020. p. 64.</w:t>
      </w:r>
    </w:p>
  </w:footnote>
  <w:footnote w:id="12">
    <w:p w14:paraId="44653A53" w14:textId="77777777" w:rsidR="00657E97" w:rsidRPr="00262F9B" w:rsidRDefault="00657E97" w:rsidP="00657E97">
      <w:pPr>
        <w:pStyle w:val="Textonotapie"/>
        <w:ind w:firstLine="709"/>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Decreto 092 de 2017, “</w:t>
      </w:r>
      <w:r w:rsidRPr="00262F9B">
        <w:rPr>
          <w:rFonts w:ascii="Century Gothic" w:hAnsi="Century Gothic" w:cs="Arial"/>
          <w:sz w:val="16"/>
          <w:szCs w:val="16"/>
          <w:lang w:val="es-CO"/>
        </w:rPr>
        <w:t>Artículo 6.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footnote>
  <w:footnote w:id="13">
    <w:p w14:paraId="7A7B4E0D" w14:textId="77777777" w:rsidR="00657E97" w:rsidRPr="00262F9B" w:rsidRDefault="00657E97" w:rsidP="00657E97">
      <w:pPr>
        <w:pStyle w:val="Textonotapie"/>
        <w:ind w:firstLine="708"/>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Sobre las excepciones al régimen de inhabilidades e incompatibilidades, el artículo 10 de la Ley 80 de 1993 dispone que “No quedan cobijadas por las inhabilidades e incompatibilidades de que tratan los artículos anteriores, las personas que contraten por obligación legal o lo hagan para usar los bienes o servicios que las entidades a que se refiere el presente estatuto ofrezcan al público en condiciones comunes a quienes los soliciten, ni las personas jurídicas sin ánimo de lucro cuyos representantes legales hagan parte de las juntas o consejos directivos en virtud de su cargo o por mandato legal o estatutario, ni quienes celebren contratos en desarrollo de lo previsto en el artículo 60 de la Constitución Política.</w:t>
      </w:r>
    </w:p>
  </w:footnote>
  <w:footnote w:id="14">
    <w:p w14:paraId="676E48FF" w14:textId="77777777" w:rsidR="00657E97" w:rsidRPr="00262F9B" w:rsidRDefault="00657E97" w:rsidP="00657E97">
      <w:pPr>
        <w:pStyle w:val="Textonotapie"/>
        <w:ind w:firstLine="709"/>
        <w:jc w:val="both"/>
        <w:rPr>
          <w:rFonts w:ascii="Century Gothic" w:hAnsi="Century Gothic" w:cs="Arial"/>
          <w:sz w:val="16"/>
          <w:szCs w:val="16"/>
          <w:lang w:val="es-ES_tradnl"/>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sz w:val="16"/>
          <w:szCs w:val="16"/>
          <w:lang w:val="pt-BR"/>
        </w:rPr>
        <w:t>CORTE CONSTITUCIONAL. Sentencia C-1016 de 2012. M.P. Jorge Iván Palacio.</w:t>
      </w:r>
    </w:p>
  </w:footnote>
  <w:footnote w:id="15">
    <w:p w14:paraId="0CF35DA5" w14:textId="77777777" w:rsidR="00657E97" w:rsidRPr="00262F9B" w:rsidRDefault="00657E97" w:rsidP="00657E97">
      <w:pPr>
        <w:pStyle w:val="Textonotapie"/>
        <w:ind w:firstLine="709"/>
        <w:jc w:val="both"/>
        <w:rPr>
          <w:rFonts w:ascii="Century Gothic" w:hAnsi="Century Gothic" w:cs="Arial"/>
          <w:sz w:val="16"/>
          <w:szCs w:val="16"/>
          <w:lang w:val="pt-BR"/>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CONSEJO DE ESTADO. Sección Tercera. Subsección A. Sentencia del 13 de noviembre de 2013. </w:t>
      </w:r>
      <w:r w:rsidRPr="00262F9B">
        <w:rPr>
          <w:rFonts w:ascii="Century Gothic" w:hAnsi="Century Gothic" w:cs="Arial"/>
          <w:sz w:val="16"/>
          <w:szCs w:val="16"/>
          <w:lang w:val="pt-BR"/>
        </w:rPr>
        <w:t xml:space="preserve">Rad. 25.646. C.P. Mauricio Fajardo Gómez.  </w:t>
      </w:r>
    </w:p>
    <w:p w14:paraId="6F5C31D8" w14:textId="77777777" w:rsidR="00657E97" w:rsidRPr="00262F9B" w:rsidRDefault="00657E97" w:rsidP="00657E97">
      <w:pPr>
        <w:pStyle w:val="Textonotapie"/>
        <w:ind w:firstLine="709"/>
        <w:jc w:val="both"/>
        <w:rPr>
          <w:rFonts w:ascii="Century Gothic" w:hAnsi="Century Gothic" w:cs="Arial"/>
          <w:sz w:val="16"/>
          <w:szCs w:val="16"/>
          <w:lang w:val="es-ES_tradnl"/>
        </w:rPr>
      </w:pPr>
    </w:p>
  </w:footnote>
  <w:footnote w:id="16">
    <w:p w14:paraId="3EF1206F" w14:textId="77777777" w:rsidR="00657E97" w:rsidRPr="00262F9B" w:rsidRDefault="00657E97" w:rsidP="00657E97">
      <w:pPr>
        <w:pStyle w:val="Textonotapie"/>
        <w:ind w:firstLine="709"/>
        <w:jc w:val="both"/>
        <w:rPr>
          <w:rFonts w:ascii="Century Gothic" w:hAnsi="Century Gothic" w:cs="Arial"/>
          <w:sz w:val="16"/>
          <w:szCs w:val="16"/>
          <w:lang w:val="es-ES_tradnl"/>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sz w:val="16"/>
          <w:szCs w:val="16"/>
          <w:lang w:val="pt-BR"/>
        </w:rPr>
        <w:t>CORTE CONSTITUCIONAL. Sentencia C-415 de 1994. M.P. Eduardo Cifuentes Muñoz.</w:t>
      </w:r>
    </w:p>
  </w:footnote>
  <w:footnote w:id="17">
    <w:p w14:paraId="43760AA1" w14:textId="77777777" w:rsidR="00657E97" w:rsidRPr="00262F9B" w:rsidRDefault="00657E97" w:rsidP="00657E97">
      <w:pPr>
        <w:pStyle w:val="Textonotapie"/>
        <w:ind w:firstLine="709"/>
        <w:jc w:val="both"/>
        <w:rPr>
          <w:rFonts w:ascii="Century Gothic" w:hAnsi="Century Gothic" w:cs="Arial"/>
          <w:sz w:val="16"/>
          <w:szCs w:val="16"/>
          <w:lang w:val="pt-BR"/>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sz w:val="16"/>
          <w:szCs w:val="16"/>
          <w:lang w:val="pt-BR"/>
        </w:rPr>
        <w:t>Ibídem.</w:t>
      </w:r>
    </w:p>
  </w:footnote>
  <w:footnote w:id="18">
    <w:p w14:paraId="2282A732" w14:textId="77777777" w:rsidR="00657E97" w:rsidRPr="00262F9B" w:rsidRDefault="00657E97" w:rsidP="00657E97">
      <w:pPr>
        <w:pStyle w:val="Textonotapie"/>
        <w:ind w:firstLine="709"/>
        <w:jc w:val="both"/>
        <w:rPr>
          <w:rFonts w:ascii="Century Gothic" w:hAnsi="Century Gothic" w:cs="Arial"/>
          <w:sz w:val="16"/>
          <w:szCs w:val="16"/>
          <w:lang w:val="en-US"/>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sz w:val="16"/>
          <w:szCs w:val="16"/>
          <w:lang w:val="pt-BR"/>
        </w:rPr>
        <w:t xml:space="preserve">CORTE CONSTITUCIONAL. </w:t>
      </w:r>
      <w:r w:rsidRPr="00262F9B">
        <w:rPr>
          <w:rFonts w:ascii="Century Gothic" w:hAnsi="Century Gothic" w:cs="Arial"/>
          <w:sz w:val="16"/>
          <w:szCs w:val="16"/>
        </w:rPr>
        <w:t xml:space="preserve">Sentencia C-780 de 2001. </w:t>
      </w:r>
      <w:r w:rsidRPr="00262F9B">
        <w:rPr>
          <w:rFonts w:ascii="Century Gothic" w:hAnsi="Century Gothic" w:cs="Arial"/>
          <w:sz w:val="16"/>
          <w:szCs w:val="16"/>
          <w:lang w:val="en-US"/>
        </w:rPr>
        <w:t xml:space="preserve">M.P. Jaime Córdoba Triviño. </w:t>
      </w:r>
    </w:p>
  </w:footnote>
  <w:footnote w:id="19">
    <w:p w14:paraId="0954E170" w14:textId="77777777" w:rsidR="00657E97" w:rsidRPr="00262F9B" w:rsidRDefault="00657E97" w:rsidP="00657E97">
      <w:pPr>
        <w:pStyle w:val="NormalWeb"/>
        <w:spacing w:before="0" w:beforeAutospacing="0" w:after="0" w:afterAutospacing="0"/>
        <w:ind w:firstLine="709"/>
        <w:jc w:val="both"/>
        <w:rPr>
          <w:rFonts w:ascii="Century Gothic" w:eastAsiaTheme="minorHAnsi" w:hAnsi="Century Gothic" w:cs="Arial"/>
          <w:sz w:val="16"/>
          <w:szCs w:val="16"/>
          <w:lang w:val="es-ES" w:eastAsia="en-US"/>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eastAsiaTheme="minorHAnsi" w:hAnsi="Century Gothic" w:cs="Arial"/>
          <w:sz w:val="16"/>
          <w:szCs w:val="16"/>
          <w:lang w:val="es-ES" w:eastAsia="en-US"/>
        </w:rPr>
        <w:t>Ley 80 de 1993: “Artículo 8: 1o. Son inhábiles para participar en licitaciones o concursos y para celebrar contratos con las entidades estatales: </w:t>
      </w:r>
    </w:p>
    <w:p w14:paraId="185948FA" w14:textId="77777777" w:rsidR="00657E97" w:rsidRPr="00262F9B" w:rsidRDefault="00657E97" w:rsidP="00657E97">
      <w:pPr>
        <w:pStyle w:val="NormalWeb"/>
        <w:spacing w:before="0" w:beforeAutospacing="0" w:after="0" w:afterAutospacing="0"/>
        <w:ind w:firstLine="708"/>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a) Las personas que se hallen inhabilitadas para contratar por la Constitución y las leyes. </w:t>
      </w:r>
    </w:p>
    <w:p w14:paraId="345156A5" w14:textId="77777777" w:rsidR="00657E97" w:rsidRPr="00262F9B" w:rsidRDefault="00657E97" w:rsidP="00657E97">
      <w:pPr>
        <w:pStyle w:val="NormalWeb"/>
        <w:spacing w:before="0" w:beforeAutospacing="0" w:after="0" w:afterAutospacing="0"/>
        <w:ind w:firstLine="708"/>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b) Quienes participaron en las licitaciones o concursos o celebraron los contratos de que trata el literal anterior estando inhabilitados. </w:t>
      </w:r>
    </w:p>
    <w:p w14:paraId="2F75B7C8" w14:textId="77777777" w:rsidR="00657E97" w:rsidRPr="00262F9B" w:rsidRDefault="00657E97" w:rsidP="00657E97">
      <w:pPr>
        <w:pStyle w:val="NormalWeb"/>
        <w:spacing w:before="0" w:beforeAutospacing="0" w:after="0" w:afterAutospacing="0"/>
        <w:ind w:firstLine="709"/>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c) Quienes dieron lugar a la declaratoria de caducidad. </w:t>
      </w:r>
    </w:p>
    <w:p w14:paraId="52184434" w14:textId="77777777" w:rsidR="00657E97" w:rsidRPr="00262F9B" w:rsidRDefault="00657E97" w:rsidP="00657E97">
      <w:pPr>
        <w:pStyle w:val="NormalWeb"/>
        <w:spacing w:before="0" w:beforeAutospacing="0" w:after="0" w:afterAutospacing="0"/>
        <w:ind w:firstLine="709"/>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d) Quienes en sentencia judicial hayan sido condenados a la pena accesoria de interdicción de derechos y funciones públicas y quienes hayan sido sancionados disciplinariamente con destitución. </w:t>
      </w:r>
    </w:p>
    <w:p w14:paraId="07FD62D9" w14:textId="77777777" w:rsidR="00657E97" w:rsidRPr="00262F9B" w:rsidRDefault="00657E97" w:rsidP="00657E97">
      <w:pPr>
        <w:pStyle w:val="NormalWeb"/>
        <w:spacing w:before="0" w:beforeAutospacing="0" w:after="0" w:afterAutospacing="0"/>
        <w:ind w:firstLine="708"/>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e) Quienes sin justa causa se abstengan de suscribir el contrato estatal adjudicado. </w:t>
      </w:r>
    </w:p>
    <w:p w14:paraId="1EC5DE26" w14:textId="77777777" w:rsidR="00657E97" w:rsidRPr="00262F9B" w:rsidRDefault="00657E97" w:rsidP="00657E97">
      <w:pPr>
        <w:pStyle w:val="NormalWeb"/>
        <w:spacing w:before="0" w:beforeAutospacing="0" w:after="0" w:afterAutospacing="0"/>
        <w:ind w:firstLine="708"/>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f) Los servidores públicos. </w:t>
      </w:r>
    </w:p>
    <w:p w14:paraId="27E81DF0" w14:textId="77777777" w:rsidR="00657E97" w:rsidRPr="00262F9B" w:rsidRDefault="00657E97" w:rsidP="00657E97">
      <w:pPr>
        <w:pStyle w:val="NormalWeb"/>
        <w:spacing w:before="0" w:beforeAutospacing="0" w:after="0" w:afterAutospacing="0"/>
        <w:ind w:firstLine="708"/>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g) Quienes sean cónyuges o compañeros permanentes y quienes se encuentren dentro del segundo grado de consanguinidad o segundo de afinidad con cualquier otra persona que formalmente haya presentado propuesta para una misma licitación o concurso. </w:t>
      </w:r>
    </w:p>
    <w:p w14:paraId="0ED15AA1" w14:textId="77777777" w:rsidR="00657E97" w:rsidRPr="00262F9B" w:rsidRDefault="00657E97" w:rsidP="00657E97">
      <w:pPr>
        <w:pStyle w:val="NormalWeb"/>
        <w:spacing w:before="0" w:beforeAutospacing="0" w:after="0" w:afterAutospacing="0"/>
        <w:ind w:firstLine="709"/>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 </w:t>
      </w:r>
    </w:p>
    <w:p w14:paraId="108E8F2F" w14:textId="77777777" w:rsidR="00657E97" w:rsidRPr="00262F9B" w:rsidRDefault="00657E97" w:rsidP="00657E97">
      <w:pPr>
        <w:pStyle w:val="NormalWeb"/>
        <w:spacing w:before="0" w:beforeAutospacing="0" w:after="0" w:afterAutospacing="0"/>
        <w:ind w:firstLine="708"/>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i) Los socios de sociedades de personas a las cuales se haya declarado la caducidad, así como las sociedades de personas de las que aquellos formen parte con posterioridad a dicha declaratoria. </w:t>
      </w:r>
    </w:p>
    <w:p w14:paraId="4817B67F" w14:textId="77777777" w:rsidR="00657E97" w:rsidRPr="00262F9B" w:rsidRDefault="00657E97" w:rsidP="00657E97">
      <w:pPr>
        <w:pStyle w:val="NormalWeb"/>
        <w:spacing w:before="0" w:beforeAutospacing="0" w:after="0" w:afterAutospacing="0"/>
        <w:ind w:firstLine="709"/>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  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p>
    <w:p w14:paraId="50C0F75C" w14:textId="77777777" w:rsidR="00657E97" w:rsidRPr="00262F9B" w:rsidRDefault="00657E97" w:rsidP="00657E97">
      <w:pPr>
        <w:pStyle w:val="NormalWeb"/>
        <w:spacing w:before="0" w:beforeAutospacing="0" w:after="0" w:afterAutospacing="0"/>
        <w:ind w:firstLine="708"/>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14:paraId="15DE5A5E" w14:textId="77777777" w:rsidR="00657E97" w:rsidRPr="00262F9B" w:rsidRDefault="00657E97" w:rsidP="00657E97">
      <w:pPr>
        <w:pStyle w:val="NormalWeb"/>
        <w:spacing w:before="0" w:beforeAutospacing="0" w:after="0" w:afterAutospacing="0"/>
        <w:ind w:firstLine="708"/>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Esta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262F9B">
        <w:rPr>
          <w:rFonts w:ascii="Century Gothic" w:eastAsiaTheme="minorHAnsi" w:hAnsi="Century Gothic" w:cs="Arial"/>
          <w:sz w:val="16"/>
          <w:szCs w:val="16"/>
          <w:lang w:val="es-ES" w:eastAsia="en-US"/>
        </w:rPr>
        <w:softHyphen/>
        <w:t>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w:t>
      </w:r>
      <w:r w:rsidRPr="00262F9B">
        <w:rPr>
          <w:rFonts w:ascii="Century Gothic" w:eastAsiaTheme="minorHAnsi" w:hAnsi="Century Gothic" w:cs="Arial"/>
          <w:sz w:val="16"/>
          <w:szCs w:val="16"/>
          <w:lang w:val="es-ES" w:eastAsia="en-US"/>
        </w:rPr>
        <w:softHyphen/>
        <w:t>cepción de las sociedades anónimas abiertas. También se considerarán inhabilitadas para contratar, las personas jurídicas sobre las cuales se haya ordenado la suspensión de la perso</w:t>
      </w:r>
      <w:r w:rsidRPr="00262F9B">
        <w:rPr>
          <w:rFonts w:ascii="Century Gothic" w:eastAsiaTheme="minorHAnsi" w:hAnsi="Century Gothic" w:cs="Arial"/>
          <w:sz w:val="16"/>
          <w:szCs w:val="16"/>
          <w:lang w:val="es-ES" w:eastAsia="en-US"/>
        </w:rPr>
        <w:softHyphen/>
        <w:t>nería jurídica en los términos de ley, o cuyos representantes legales, ad</w:t>
      </w:r>
      <w:r w:rsidRPr="00262F9B">
        <w:rPr>
          <w:rFonts w:ascii="Century Gothic" w:eastAsiaTheme="minorHAnsi" w:hAnsi="Century Gothic" w:cs="Arial"/>
          <w:sz w:val="16"/>
          <w:szCs w:val="16"/>
          <w:lang w:val="es-ES" w:eastAsia="en-U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La inhabilidad prevista en este literal se extenderá de forma perma</w:t>
      </w:r>
      <w:r w:rsidRPr="00262F9B">
        <w:rPr>
          <w:rFonts w:ascii="Century Gothic" w:eastAsiaTheme="minorHAnsi" w:hAnsi="Century Gothic" w:cs="Arial"/>
          <w:sz w:val="16"/>
          <w:szCs w:val="16"/>
          <w:lang w:val="es-ES" w:eastAsia="en-U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14:paraId="0E3D88BD" w14:textId="77777777" w:rsidR="00657E97" w:rsidRPr="00262F9B" w:rsidRDefault="00657E97" w:rsidP="00657E97">
      <w:pPr>
        <w:pStyle w:val="NormalWeb"/>
        <w:spacing w:before="0" w:beforeAutospacing="0" w:after="0" w:afterAutospacing="0"/>
        <w:ind w:firstLine="709"/>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w:t>
      </w:r>
    </w:p>
    <w:p w14:paraId="69B3842A" w14:textId="77777777" w:rsidR="00657E97" w:rsidRPr="00262F9B" w:rsidRDefault="00657E97" w:rsidP="00657E97">
      <w:pPr>
        <w:pStyle w:val="NormalWeb"/>
        <w:spacing w:before="0" w:beforeAutospacing="0" w:after="0" w:afterAutospacing="0"/>
        <w:ind w:firstLine="709"/>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2o. Tampoco podrán participar en licitaciones o concursos ni celebrar contratos estatales con la entidad respectiva: </w:t>
      </w:r>
    </w:p>
    <w:p w14:paraId="26E2205E" w14:textId="77777777" w:rsidR="00657E97" w:rsidRPr="00262F9B" w:rsidRDefault="00657E97" w:rsidP="00657E97">
      <w:pPr>
        <w:pStyle w:val="NormalWeb"/>
        <w:spacing w:before="0" w:beforeAutospacing="0" w:after="0" w:afterAutospacing="0"/>
        <w:ind w:firstLine="708"/>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14:paraId="4C007935" w14:textId="77777777" w:rsidR="00657E97" w:rsidRPr="00262F9B" w:rsidRDefault="00657E97" w:rsidP="00657E97">
      <w:pPr>
        <w:pStyle w:val="NormalWeb"/>
        <w:spacing w:before="0" w:beforeAutospacing="0" w:after="0" w:afterAutospacing="0"/>
        <w:ind w:firstLine="708"/>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4936D5E6" w14:textId="77777777" w:rsidR="00657E97" w:rsidRPr="00262F9B" w:rsidRDefault="00657E97" w:rsidP="00657E97">
      <w:pPr>
        <w:pStyle w:val="NormalWeb"/>
        <w:spacing w:before="0" w:beforeAutospacing="0" w:after="0" w:afterAutospacing="0"/>
        <w:ind w:firstLine="708"/>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c) El cónyuge, compañero o compañera permanente del servidor público en los niveles directivo, asesor, ejecutivo, o de un miembro de la junta o consejo directivo, o de quien ejerza funciones de control interno o de control fiscal. </w:t>
      </w:r>
    </w:p>
    <w:p w14:paraId="57B8A4C1" w14:textId="77777777" w:rsidR="00657E97" w:rsidRPr="00262F9B" w:rsidRDefault="00657E97" w:rsidP="00657E97">
      <w:pPr>
        <w:pStyle w:val="NormalWeb"/>
        <w:spacing w:before="0" w:beforeAutospacing="0" w:after="0" w:afterAutospacing="0"/>
        <w:ind w:firstLine="708"/>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619575E6" w14:textId="77777777" w:rsidR="00657E97" w:rsidRPr="00262F9B" w:rsidRDefault="00657E97" w:rsidP="00657E97">
      <w:pPr>
        <w:pStyle w:val="NormalWeb"/>
        <w:spacing w:before="0" w:beforeAutospacing="0" w:after="0" w:afterAutospacing="0"/>
        <w:ind w:firstLine="708"/>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e) Los miembros de las juntas o consejos directivos. Esta incompatibilidad sólo se predica respecto de la entidad a la cual prestan sus servicios y de las del sector administrativo al que la misma esté adscrita o vinculada. </w:t>
      </w:r>
    </w:p>
    <w:p w14:paraId="3DD8E713" w14:textId="77777777" w:rsidR="00657E97" w:rsidRPr="00262F9B" w:rsidRDefault="00657E97" w:rsidP="00657E97">
      <w:pPr>
        <w:pStyle w:val="NormalWeb"/>
        <w:spacing w:before="0" w:beforeAutospacing="0" w:after="0" w:afterAutospacing="0"/>
        <w:ind w:firstLine="708"/>
        <w:jc w:val="both"/>
        <w:rPr>
          <w:rFonts w:ascii="Century Gothic" w:eastAsiaTheme="minorHAnsi" w:hAnsi="Century Gothic" w:cs="Arial"/>
          <w:sz w:val="16"/>
          <w:szCs w:val="16"/>
          <w:lang w:val="es-ES" w:eastAsia="en-US"/>
        </w:rPr>
      </w:pPr>
      <w:r w:rsidRPr="00262F9B">
        <w:rPr>
          <w:rFonts w:ascii="Century Gothic" w:eastAsiaTheme="minorHAnsi" w:hAnsi="Century Gothic" w:cs="Arial"/>
          <w:sz w:val="16"/>
          <w:szCs w:val="16"/>
          <w:lang w:val="es-ES" w:eastAsia="en-US"/>
        </w:rPr>
        <w:t xml:space="preserve">f)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encuentren dentro del primer grado de consanguinidad, primero de afinidad, o primero civil del ex empleado público”. (…). </w:t>
      </w:r>
    </w:p>
  </w:footnote>
  <w:footnote w:id="20">
    <w:p w14:paraId="45259AAB" w14:textId="77777777" w:rsidR="00657E97" w:rsidRPr="00262F9B" w:rsidRDefault="00657E97" w:rsidP="00657E97">
      <w:pPr>
        <w:pStyle w:val="Textonotapie"/>
        <w:ind w:firstLine="709"/>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4EAB78FF" w14:textId="77777777" w:rsidR="00657E97" w:rsidRPr="00262F9B" w:rsidRDefault="00657E97" w:rsidP="00657E97">
      <w:pPr>
        <w:pStyle w:val="Textonotapie"/>
        <w:ind w:firstLine="709"/>
        <w:jc w:val="both"/>
        <w:rPr>
          <w:rFonts w:ascii="Century Gothic" w:hAnsi="Century Gothic" w:cs="Arial"/>
          <w:sz w:val="16"/>
          <w:szCs w:val="16"/>
        </w:rPr>
      </w:pPr>
      <w:r w:rsidRPr="00262F9B">
        <w:rPr>
          <w:rFonts w:ascii="Century Gothic" w:hAnsi="Century Gothic" w:cs="Arial"/>
          <w:sz w:val="16"/>
          <w:szCs w:val="16"/>
        </w:rPr>
        <w:t>Las personas jurídicas nacionales y extranjeras deberán acreditar que su duración no será inferior a la del plazo del contrato y un año más”.</w:t>
      </w:r>
    </w:p>
  </w:footnote>
  <w:footnote w:id="21">
    <w:p w14:paraId="234DB78A" w14:textId="77777777" w:rsidR="00657E97" w:rsidRPr="00262F9B" w:rsidRDefault="00657E97" w:rsidP="00657E97">
      <w:pPr>
        <w:pStyle w:val="Textonotapie"/>
        <w:ind w:firstLine="709"/>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Código Civil: “Artículo 1502. Requisitos para obligarse. Para que una persona se obligue a otra por un acto o declaración de voluntad, es necesario:</w:t>
      </w:r>
    </w:p>
    <w:p w14:paraId="7786E7FF" w14:textId="77777777" w:rsidR="00657E97" w:rsidRPr="00262F9B" w:rsidRDefault="00657E97" w:rsidP="00657E97">
      <w:pPr>
        <w:pStyle w:val="Textonotapie"/>
        <w:ind w:firstLine="709"/>
        <w:jc w:val="both"/>
        <w:rPr>
          <w:rFonts w:ascii="Century Gothic" w:hAnsi="Century Gothic" w:cs="Arial"/>
          <w:sz w:val="16"/>
          <w:szCs w:val="16"/>
        </w:rPr>
      </w:pPr>
      <w:r w:rsidRPr="00262F9B">
        <w:rPr>
          <w:rFonts w:ascii="Century Gothic" w:hAnsi="Century Gothic" w:cs="Arial"/>
          <w:sz w:val="16"/>
          <w:szCs w:val="16"/>
        </w:rPr>
        <w:t>1o.) que sea legalmente capaz.</w:t>
      </w:r>
    </w:p>
    <w:p w14:paraId="0D7F0AB1" w14:textId="77777777" w:rsidR="00657E97" w:rsidRPr="00262F9B" w:rsidRDefault="00657E97" w:rsidP="00657E97">
      <w:pPr>
        <w:pStyle w:val="Textonotapie"/>
        <w:ind w:firstLine="709"/>
        <w:jc w:val="both"/>
        <w:rPr>
          <w:rFonts w:ascii="Century Gothic" w:hAnsi="Century Gothic" w:cs="Arial"/>
          <w:sz w:val="16"/>
          <w:szCs w:val="16"/>
        </w:rPr>
      </w:pPr>
      <w:r w:rsidRPr="00262F9B">
        <w:rPr>
          <w:rFonts w:ascii="Century Gothic" w:hAnsi="Century Gothic" w:cs="Arial"/>
          <w:sz w:val="16"/>
          <w:szCs w:val="16"/>
        </w:rPr>
        <w:t>[…]</w:t>
      </w:r>
    </w:p>
    <w:p w14:paraId="5DC9CEE3" w14:textId="77777777" w:rsidR="00657E97" w:rsidRPr="00262F9B" w:rsidRDefault="00657E97" w:rsidP="00657E97">
      <w:pPr>
        <w:pStyle w:val="Textonotapie"/>
        <w:ind w:firstLine="709"/>
        <w:jc w:val="both"/>
        <w:rPr>
          <w:rFonts w:ascii="Century Gothic" w:hAnsi="Century Gothic" w:cs="Arial"/>
          <w:sz w:val="16"/>
          <w:szCs w:val="16"/>
        </w:rPr>
      </w:pPr>
      <w:r w:rsidRPr="00262F9B">
        <w:rPr>
          <w:rFonts w:ascii="Century Gothic" w:hAnsi="Century Gothic" w:cs="Arial"/>
          <w:sz w:val="16"/>
          <w:szCs w:val="16"/>
        </w:rPr>
        <w:t>La capacidad legal de una persona consiste en poderse obligar por sí misma, sin el ministerio o la autorización de otra”.</w:t>
      </w:r>
    </w:p>
  </w:footnote>
  <w:footnote w:id="22">
    <w:p w14:paraId="2212C936" w14:textId="77777777" w:rsidR="00657E97" w:rsidRPr="00262F9B" w:rsidRDefault="00657E97" w:rsidP="00657E97">
      <w:pPr>
        <w:pStyle w:val="Textonotapie"/>
        <w:ind w:firstLine="709"/>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Decreto Ley 19 de 2012: “Artículo 221. El artículo 6 de la Ley 1150 de 2007, quedará así:</w:t>
      </w:r>
    </w:p>
    <w:p w14:paraId="45BDE1ED" w14:textId="77777777" w:rsidR="00657E97" w:rsidRPr="00262F9B" w:rsidRDefault="00657E97" w:rsidP="00657E97">
      <w:pPr>
        <w:pStyle w:val="Textonotapie"/>
        <w:ind w:firstLine="709"/>
        <w:jc w:val="both"/>
        <w:rPr>
          <w:rFonts w:ascii="Century Gothic" w:hAnsi="Century Gothic" w:cs="Arial"/>
          <w:sz w:val="16"/>
          <w:szCs w:val="16"/>
          <w:lang w:val="es-ES"/>
        </w:rPr>
      </w:pPr>
      <w:r w:rsidRPr="00262F9B">
        <w:rPr>
          <w:rFonts w:ascii="Century Gothic" w:hAnsi="Century Gothic" w:cs="Arial"/>
          <w:sz w:val="16"/>
          <w:szCs w:val="16"/>
        </w:rPr>
        <w:t>Artículo 6. De la verificación de las condiciones de los proponentes. T</w:t>
      </w:r>
      <w:r w:rsidRPr="00262F9B">
        <w:rPr>
          <w:rFonts w:ascii="Century Gothic" w:hAnsi="Century Gothic" w:cs="Arial"/>
          <w:sz w:val="16"/>
          <w:szCs w:val="16"/>
          <w:lang w:val="es-ES"/>
        </w:rPr>
        <w: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0911B9D" w14:textId="77777777" w:rsidR="00657E97" w:rsidRPr="00262F9B" w:rsidRDefault="00657E97" w:rsidP="00657E97">
      <w:pPr>
        <w:pStyle w:val="Textonotapie"/>
        <w:ind w:firstLine="709"/>
        <w:jc w:val="both"/>
        <w:rPr>
          <w:rFonts w:ascii="Century Gothic" w:hAnsi="Century Gothic" w:cs="Arial"/>
          <w:sz w:val="16"/>
          <w:szCs w:val="16"/>
          <w:lang w:val="es-ES"/>
        </w:rPr>
      </w:pPr>
      <w:r w:rsidRPr="00262F9B">
        <w:rPr>
          <w:rFonts w:ascii="Century Gothic" w:hAnsi="Century Gothic" w:cs="Arial"/>
          <w:sz w:val="16"/>
          <w:szCs w:val="16"/>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footnote>
  <w:footnote w:id="23">
    <w:p w14:paraId="79DD19B1" w14:textId="77777777" w:rsidR="00657E97" w:rsidRPr="00262F9B" w:rsidRDefault="00657E97" w:rsidP="00657E97">
      <w:pPr>
        <w:pStyle w:val="Textonotapie"/>
        <w:ind w:firstLine="709"/>
        <w:jc w:val="both"/>
        <w:rPr>
          <w:rFonts w:ascii="Century Gothic" w:hAnsi="Century Gothic" w:cs="Arial"/>
          <w:sz w:val="16"/>
          <w:szCs w:val="16"/>
          <w:lang w:val="es-ES"/>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262F9B">
        <w:rPr>
          <w:rFonts w:ascii="Century Gothic" w:hAnsi="Century Gothic" w:cs="Arial"/>
          <w:i/>
          <w:iCs/>
          <w:sz w:val="16"/>
          <w:szCs w:val="16"/>
          <w:lang w:val="es-ES"/>
        </w:rPr>
        <w:t>el régimen de inhabilidades e incompatibilidades</w:t>
      </w:r>
      <w:r w:rsidRPr="00262F9B">
        <w:rPr>
          <w:rFonts w:ascii="Century Gothic" w:hAnsi="Century Gothic" w:cs="Arial"/>
          <w:sz w:val="16"/>
          <w:szCs w:val="16"/>
          <w:lang w:val="es-ES"/>
        </w:rPr>
        <w:t xml:space="preserve"> (1) y la obligación de ciertos proponentes de inscribirse en el </w:t>
      </w:r>
      <w:r w:rsidRPr="00262F9B">
        <w:rPr>
          <w:rFonts w:ascii="Century Gothic" w:hAnsi="Century Gothic" w:cs="Arial"/>
          <w:i/>
          <w:iCs/>
          <w:sz w:val="16"/>
          <w:szCs w:val="16"/>
          <w:lang w:val="es-ES"/>
        </w:rPr>
        <w:t>registro único</w:t>
      </w:r>
      <w:r w:rsidRPr="00262F9B">
        <w:rPr>
          <w:rFonts w:ascii="Century Gothic" w:hAnsi="Century Gothic" w:cs="Arial"/>
          <w:sz w:val="16"/>
          <w:szCs w:val="16"/>
          <w:lang w:val="es-ES"/>
        </w:rPr>
        <w:t xml:space="preserve"> (2)” (BENAVIDES, José Luis. El contrato estatal. Entre el Derecho público y el Derecho privado. 2ª ed. Bogotá: Universidad Externado de Colombia, 2004. p. 278). </w:t>
      </w:r>
    </w:p>
  </w:footnote>
  <w:footnote w:id="24">
    <w:p w14:paraId="322F9C54" w14:textId="77777777" w:rsidR="00657E97" w:rsidRPr="00262F9B" w:rsidRDefault="00657E97" w:rsidP="00657E97">
      <w:pPr>
        <w:spacing w:after="0" w:line="240" w:lineRule="auto"/>
        <w:ind w:firstLine="709"/>
        <w:jc w:val="both"/>
        <w:rPr>
          <w:rFonts w:ascii="Century Gothic" w:hAnsi="Century Gothic" w:cs="Arial"/>
          <w:sz w:val="16"/>
          <w:szCs w:val="16"/>
          <w:lang w:val="es-ES"/>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sz w:val="16"/>
          <w:szCs w:val="16"/>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footnote>
  <w:footnote w:id="25">
    <w:p w14:paraId="678D1443" w14:textId="77777777" w:rsidR="00657E97" w:rsidRPr="00262F9B" w:rsidRDefault="00657E97" w:rsidP="00657E97">
      <w:pPr>
        <w:pStyle w:val="Textonotapie"/>
        <w:ind w:firstLine="709"/>
        <w:jc w:val="both"/>
        <w:rPr>
          <w:rFonts w:ascii="Century Gothic" w:hAnsi="Century Gothic" w:cs="Arial"/>
          <w:sz w:val="16"/>
          <w:szCs w:val="16"/>
          <w:lang w:val="es-ES"/>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sz w:val="16"/>
          <w:szCs w:val="16"/>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footnote>
  <w:footnote w:id="26">
    <w:p w14:paraId="2A4F2EB3" w14:textId="77777777" w:rsidR="00657E97" w:rsidRPr="00262F9B" w:rsidRDefault="00657E97" w:rsidP="00657E97">
      <w:pPr>
        <w:pStyle w:val="Textonotapie"/>
        <w:ind w:firstLine="709"/>
        <w:jc w:val="both"/>
        <w:rPr>
          <w:rFonts w:ascii="Century Gothic" w:hAnsi="Century Gothic" w:cs="Arial"/>
          <w:sz w:val="16"/>
          <w:szCs w:val="16"/>
          <w:lang w:val="es-ES"/>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sz w:val="16"/>
          <w:szCs w:val="16"/>
          <w:lang w:val="es-ES"/>
        </w:rPr>
        <w:t>Verbigracia, entre otras, las que se indican a continuación: “Las personas naturales o jurídicas que hayan financiado campañas políticas a la Presidencia de la República, a las gobernaciones, a las alcaldías o al Congreso de la República, con aportes superiores al dos por ciento (2.0%)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 (art. 8, num. 1º, lit. k), Ley 80/93, modificado por el art. 33, Ley 1778/16); “Quienes fueron miembros de la junta o consejo directivo o servidores públicos de la entidad contratante” (art. 8, num. 2º, lit. a), Ley 80/93);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w:t>
      </w:r>
    </w:p>
  </w:footnote>
  <w:footnote w:id="27">
    <w:p w14:paraId="3ABF5322" w14:textId="77777777" w:rsidR="00657E97" w:rsidRPr="00262F9B" w:rsidRDefault="00657E97" w:rsidP="00657E97">
      <w:pPr>
        <w:spacing w:after="0" w:line="240" w:lineRule="auto"/>
        <w:ind w:firstLine="709"/>
        <w:jc w:val="both"/>
        <w:rPr>
          <w:rFonts w:ascii="Century Gothic" w:hAnsi="Century Gothic" w:cs="Arial"/>
          <w:sz w:val="16"/>
          <w:szCs w:val="16"/>
          <w:lang w:val="es-ES"/>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sz w:val="16"/>
          <w:szCs w:val="16"/>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footnote>
  <w:footnote w:id="28">
    <w:p w14:paraId="58E50B7A" w14:textId="77777777" w:rsidR="00657E97" w:rsidRPr="00262F9B" w:rsidRDefault="00657E97" w:rsidP="00657E97">
      <w:pPr>
        <w:pStyle w:val="Textonotapie"/>
        <w:ind w:firstLine="709"/>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En esta línea Dávila Vinueza Expresa: “El legislador para calificar estas prohibiciones emplea dos vocablos: Inhabilidades o incompatibilidades, los cuales en un examen desprevenido podrían sugerir ideas diferentes y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que ante la semejanza de las figuras, conviene emplear un único vocablo, con lo cual serían innecesarias los intentos y las elucubraciones y explicaciones, algunas novedosas que podrían ensayarse”. (DÁVILA VINUEZA, Luis Guillermo. Régimen jurídico de la contratación estatal. 3ª ed. Bogotá: Legis, 2016. p. 148).</w:t>
      </w:r>
    </w:p>
  </w:footnote>
  <w:footnote w:id="29">
    <w:p w14:paraId="65F63623" w14:textId="77777777" w:rsidR="00657E97" w:rsidRPr="00262F9B" w:rsidRDefault="00657E97" w:rsidP="00657E97">
      <w:pPr>
        <w:pStyle w:val="Textonotapie"/>
        <w:ind w:firstLine="709"/>
        <w:jc w:val="both"/>
        <w:rPr>
          <w:rFonts w:ascii="Century Gothic" w:hAnsi="Century Gothic" w:cs="Arial"/>
          <w:sz w:val="16"/>
          <w:szCs w:val="16"/>
          <w:lang w:val="es-ES"/>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30">
    <w:p w14:paraId="3187CF5B" w14:textId="77777777" w:rsidR="00657E97" w:rsidRPr="00262F9B" w:rsidRDefault="00657E97" w:rsidP="00657E97">
      <w:pPr>
        <w:pStyle w:val="Textonotapie"/>
        <w:ind w:firstLine="709"/>
        <w:jc w:val="both"/>
        <w:rPr>
          <w:rFonts w:ascii="Century Gothic" w:hAnsi="Century Gothic" w:cs="Arial"/>
          <w:sz w:val="16"/>
          <w:szCs w:val="16"/>
          <w:lang w:val="es-ES_tradnl"/>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sz w:val="16"/>
          <w:szCs w:val="16"/>
          <w:lang w:val="es-ES"/>
        </w:rPr>
        <w:t>Ibídem. p. 69.</w:t>
      </w:r>
    </w:p>
  </w:footnote>
  <w:footnote w:id="31">
    <w:p w14:paraId="422AAC73" w14:textId="77777777" w:rsidR="00657E97" w:rsidRPr="00262F9B" w:rsidRDefault="00657E97" w:rsidP="00657E97">
      <w:pPr>
        <w:pStyle w:val="Textonotapie"/>
        <w:ind w:firstLine="709"/>
        <w:jc w:val="both"/>
        <w:rPr>
          <w:rFonts w:ascii="Century Gothic" w:hAnsi="Century Gothic" w:cs="Arial"/>
          <w:sz w:val="16"/>
          <w:szCs w:val="16"/>
          <w:lang w:val="es-ES"/>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sz w:val="16"/>
          <w:szCs w:val="16"/>
          <w:lang w:val="es-ES"/>
        </w:rPr>
        <w:t xml:space="preserve">CORTE CONSTITUCIONAL. Sentencia T-1039 de 2006. M.P. Humberto Sierra Porto. La Corte Constitucional ha mantenido este criterio en las sentencias: C-903 de 2008. M.P. Jaime Araujo Rentería; C-101 de 2018. M.P. Gloria Stella Ortiz Delgado; entre otras. </w:t>
      </w:r>
    </w:p>
  </w:footnote>
  <w:footnote w:id="32">
    <w:p w14:paraId="7A26A22C" w14:textId="77777777" w:rsidR="00657E97" w:rsidRPr="00262F9B" w:rsidRDefault="00657E97" w:rsidP="00657E97">
      <w:pPr>
        <w:pStyle w:val="Textonotapie"/>
        <w:ind w:firstLine="709"/>
        <w:jc w:val="both"/>
        <w:rPr>
          <w:rFonts w:ascii="Century Gothic" w:hAnsi="Century Gothic" w:cs="Arial"/>
          <w:sz w:val="16"/>
          <w:szCs w:val="16"/>
          <w:lang w:val="es-ES"/>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sz w:val="16"/>
          <w:szCs w:val="16"/>
          <w:lang w:val="es-ES"/>
        </w:rPr>
        <w:t>CONSEJO DE ESTADO. Sala de Consulta y Servicio Civil. Concepto del 30 de abril de 2015. Exp. 2251. C.P. Álvaro Namén Vargas.</w:t>
      </w:r>
    </w:p>
  </w:footnote>
  <w:footnote w:id="33">
    <w:p w14:paraId="37286F7D" w14:textId="77777777" w:rsidR="00657E97" w:rsidRPr="00262F9B" w:rsidRDefault="00657E97" w:rsidP="00657E97">
      <w:pPr>
        <w:pStyle w:val="Textonotapie"/>
        <w:ind w:firstLine="709"/>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CONSEJO DE ESTADO. Sección Tercera. Subsección A. Sentencia del 24 de junio de 2015. Exp. 40.635. C.P. Hernán Andrade Rincón (E).</w:t>
      </w:r>
    </w:p>
  </w:footnote>
  <w:footnote w:id="34">
    <w:p w14:paraId="2549F1D8" w14:textId="77777777" w:rsidR="00657E97" w:rsidRPr="00262F9B" w:rsidRDefault="00657E97" w:rsidP="00657E97">
      <w:pPr>
        <w:pStyle w:val="Textonotapie"/>
        <w:ind w:firstLine="709"/>
        <w:jc w:val="both"/>
        <w:rPr>
          <w:rFonts w:ascii="Century Gothic" w:hAnsi="Century Gothic" w:cs="Arial"/>
          <w:sz w:val="16"/>
          <w:szCs w:val="16"/>
          <w:lang w:val="es-ES_tradnl"/>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CONSEJO DE ESTADO. Sección Tercera. Subsección C. Sentencia del 22 de mayo de 2013. Rad. 24.057. C.P. Olga Mélida Valle De De La Hoz. </w:t>
      </w:r>
    </w:p>
  </w:footnote>
  <w:footnote w:id="35">
    <w:p w14:paraId="20CFA05F" w14:textId="77777777" w:rsidR="00657E97" w:rsidRPr="00262F9B" w:rsidRDefault="00657E97" w:rsidP="00657E97">
      <w:pPr>
        <w:pStyle w:val="Textonotapie"/>
        <w:ind w:firstLine="709"/>
        <w:jc w:val="both"/>
        <w:rPr>
          <w:rFonts w:ascii="Century Gothic" w:hAnsi="Century Gothic" w:cs="Arial"/>
          <w:sz w:val="16"/>
          <w:szCs w:val="16"/>
          <w:lang w:val="pt-BR"/>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sz w:val="16"/>
          <w:szCs w:val="16"/>
          <w:lang w:val="pt-BR"/>
        </w:rPr>
        <w:t>Corte Constitucional. Sentencia C-415 de 1994. M.P. Eduardo Cifuentes Muñoz.</w:t>
      </w:r>
    </w:p>
  </w:footnote>
  <w:footnote w:id="36">
    <w:p w14:paraId="58481921" w14:textId="77777777" w:rsidR="00657E97" w:rsidRPr="00262F9B" w:rsidRDefault="00657E97" w:rsidP="00657E97">
      <w:pPr>
        <w:pStyle w:val="Textonotapie"/>
        <w:ind w:firstLine="709"/>
        <w:jc w:val="both"/>
        <w:rPr>
          <w:rFonts w:ascii="Century Gothic" w:hAnsi="Century Gothic" w:cs="Arial"/>
          <w:color w:val="000000" w:themeColor="text1"/>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color w:val="000000" w:themeColor="text1"/>
          <w:sz w:val="16"/>
          <w:szCs w:val="16"/>
          <w:lang w:val="pt-BR"/>
        </w:rPr>
        <w:t xml:space="preserve">CONSEJO DE ESTADO. Sala de lo contencioso administrativo. Sentencia del 12 de diciembre de 2014. Exp. 26496. C.P. Ramiro Pazos Guerrero. </w:t>
      </w:r>
      <w:r w:rsidRPr="00262F9B">
        <w:rPr>
          <w:rFonts w:ascii="Century Gothic" w:hAnsi="Century Gothic" w:cs="Arial"/>
          <w:color w:val="000000" w:themeColor="text1"/>
          <w:sz w:val="16"/>
          <w:szCs w:val="16"/>
        </w:rPr>
        <w:t>En similar sentido, la doctrina expresa que: “[…] las causales de inhabilidad e incompatibilidad resultan ser las que la ley de manera expresa señala, no siendo factible para las entidades estatales, crearlas en los pliegos de condiciones que elaboran” (DAVILA VINUEZA, Luis Guillermo Régimen jurídico de la contratación estatal: aproximación crítica a Ley 80 de 1993. 3ª ed. Bogotá: Legis, 2016. p. 149.</w:t>
      </w:r>
    </w:p>
  </w:footnote>
  <w:footnote w:id="37">
    <w:p w14:paraId="60F8DECD" w14:textId="77777777" w:rsidR="00657E97" w:rsidRPr="00262F9B" w:rsidRDefault="00657E97" w:rsidP="00657E97">
      <w:pPr>
        <w:pStyle w:val="Textonotapie"/>
        <w:ind w:firstLine="709"/>
        <w:jc w:val="both"/>
        <w:rPr>
          <w:rFonts w:ascii="Century Gothic" w:hAnsi="Century Gothic" w:cs="Arial"/>
          <w:sz w:val="16"/>
          <w:szCs w:val="16"/>
          <w:lang w:val="es-ES_tradnl"/>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color w:val="000000" w:themeColor="text1"/>
          <w:sz w:val="16"/>
          <w:szCs w:val="16"/>
        </w:rPr>
        <w:t>CONSEJO DE ESTADO. Sala de Consulta y Servicio Civil. Concepto del 29 de abril de 1998. Rad. 1097. C.P. Augusto Trejos Jaramillo.</w:t>
      </w:r>
    </w:p>
  </w:footnote>
  <w:footnote w:id="38">
    <w:p w14:paraId="46885A2E" w14:textId="77777777" w:rsidR="00657E97" w:rsidRPr="00262F9B" w:rsidRDefault="00657E97" w:rsidP="00657E97">
      <w:pPr>
        <w:pStyle w:val="Textonotapie"/>
        <w:ind w:firstLine="708"/>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CONGRESO DE LA REPÚBLICA. Gaceta XXVII, No. 672, del 13 de septiembre de 2018. pp. 9-10.</w:t>
      </w:r>
    </w:p>
  </w:footnote>
  <w:footnote w:id="39">
    <w:p w14:paraId="77F86C47" w14:textId="77777777" w:rsidR="00657E97" w:rsidRPr="00262F9B" w:rsidRDefault="00657E97" w:rsidP="00657E97">
      <w:pPr>
        <w:pStyle w:val="Textonotapie"/>
        <w:ind w:firstLine="708"/>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Cfr. </w:t>
      </w:r>
      <w:hyperlink r:id="rId2" w:anchor=":~:text=La%20palabra%20alimento%20(producto%20o,%2C%20adulto%2C%20alto%20y%20proletario" w:history="1">
        <w:r w:rsidRPr="00262F9B">
          <w:rPr>
            <w:rStyle w:val="Hipervnculo"/>
            <w:rFonts w:ascii="Century Gothic" w:hAnsi="Century Gothic" w:cs="Arial"/>
            <w:sz w:val="16"/>
            <w:szCs w:val="16"/>
          </w:rPr>
          <w:t>https://etimologias.dechile.net/?alimento#:~:text=La%20palabra%20alimento%20(producto%20o,%2C%20adulto%2C%20alto%20y%20proletario</w:t>
        </w:r>
      </w:hyperlink>
      <w:r w:rsidRPr="00262F9B">
        <w:rPr>
          <w:rFonts w:ascii="Century Gothic" w:hAnsi="Century Gothic" w:cs="Arial"/>
          <w:sz w:val="16"/>
          <w:szCs w:val="16"/>
        </w:rPr>
        <w:t>, consultado el 10 de abril de 2023.</w:t>
      </w:r>
    </w:p>
  </w:footnote>
  <w:footnote w:id="40">
    <w:p w14:paraId="105ECA45" w14:textId="77777777" w:rsidR="00657E97" w:rsidRPr="00262F9B" w:rsidRDefault="00657E97" w:rsidP="00657E97">
      <w:pPr>
        <w:pStyle w:val="Textonotapie"/>
        <w:ind w:firstLine="708"/>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Código Civil, “</w:t>
      </w:r>
      <w:r w:rsidRPr="00262F9B">
        <w:rPr>
          <w:rFonts w:ascii="Century Gothic" w:hAnsi="Century Gothic" w:cs="Arial"/>
          <w:sz w:val="16"/>
          <w:szCs w:val="16"/>
          <w:lang w:val="es-CO"/>
        </w:rPr>
        <w:t>Artículo 1494. Las obligaciones nacen, ya del concurso real de las voluntades de dos o más personas, como en los contratos o convenciones; ya de un hecho voluntario de la persona que se obliga, como en la aceptación de una herencia o legado y en todos los cuasicontratos; ya a consecuencia de un hecho que ha inferido injuria o daño a otra persona, como en los delitos; ya por disposición de la ley, como entre los padres y los hijos de familia”.</w:t>
      </w:r>
    </w:p>
  </w:footnote>
  <w:footnote w:id="41">
    <w:p w14:paraId="1F8270E4" w14:textId="77777777" w:rsidR="00657E97" w:rsidRPr="00262F9B" w:rsidRDefault="00657E97" w:rsidP="00657E97">
      <w:pPr>
        <w:pStyle w:val="Textonotapie"/>
        <w:ind w:firstLine="708"/>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Cfr. CLARO SOLAR, Luis. Explicaciones de derecho civil chileno y comparado. Volumen II. Tomo III. Santiago de Chile: Editorial Jurídica de Chile, 2013. pp. 375-376.</w:t>
      </w:r>
    </w:p>
  </w:footnote>
  <w:footnote w:id="42">
    <w:p w14:paraId="6A319AAA" w14:textId="77777777" w:rsidR="00657E97" w:rsidRPr="00262F9B" w:rsidRDefault="00657E97" w:rsidP="00657E97">
      <w:pPr>
        <w:pStyle w:val="Textonotapie"/>
        <w:ind w:firstLine="708"/>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FUEYO LANERI, Fernando. Derecho civil. Tomo VI. Volumen III. Valparaíso: Imprenta litográfica Universo, 1959. p. 554.   </w:t>
      </w:r>
    </w:p>
  </w:footnote>
  <w:footnote w:id="43">
    <w:p w14:paraId="0C0762AC" w14:textId="77777777" w:rsidR="00657E97" w:rsidRPr="00262F9B" w:rsidRDefault="00657E97" w:rsidP="00657E97">
      <w:pPr>
        <w:pStyle w:val="Textonotapie"/>
        <w:ind w:firstLine="708"/>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Código Penal. “Artículo 233. </w:t>
      </w:r>
      <w:r w:rsidRPr="00262F9B">
        <w:rPr>
          <w:rFonts w:ascii="Century Gothic" w:hAnsi="Century Gothic" w:cs="Arial"/>
          <w:sz w:val="16"/>
          <w:szCs w:val="16"/>
          <w:lang w:val="es-ES"/>
        </w:rPr>
        <w:t>El que se sustraiga sin justa causa a la prestación de alimentos legalmente debidos a sus ascendientes, descendientes, adoptante, adoptivo, cónyuge o compañero o compañera permanente, incurrirá en prisión de dieciséis (16) a cincuenta y cuatro (54) meses y multa de trece punto treinta y tres (13.33) a treinta (30) salarios mínimos legales mensuales vigentes. </w:t>
      </w:r>
    </w:p>
    <w:p w14:paraId="12611E14" w14:textId="77777777" w:rsidR="00657E97" w:rsidRPr="00262F9B" w:rsidRDefault="00657E97" w:rsidP="00657E97">
      <w:pPr>
        <w:pStyle w:val="Textonotapie"/>
        <w:ind w:firstLine="708"/>
        <w:jc w:val="both"/>
        <w:rPr>
          <w:rFonts w:ascii="Century Gothic" w:hAnsi="Century Gothic" w:cs="Arial"/>
          <w:sz w:val="16"/>
          <w:szCs w:val="16"/>
        </w:rPr>
      </w:pPr>
      <w:r w:rsidRPr="00262F9B">
        <w:rPr>
          <w:rFonts w:ascii="Century Gothic" w:hAnsi="Century Gothic" w:cs="Arial"/>
          <w:sz w:val="16"/>
          <w:szCs w:val="16"/>
          <w:lang w:val="es-ES"/>
        </w:rPr>
        <w:t>La pena será de prisión de treinta y dos (32) a setenta y dos (72) meses y multa de veinte (20) a treinta y siete punto cinco (37.5) salarios mínimos legales mensuales vigentes cuando la inasistencia alimentaria se cometa contra un menor.</w:t>
      </w:r>
      <w:r w:rsidRPr="00262F9B">
        <w:rPr>
          <w:rFonts w:ascii="Century Gothic" w:hAnsi="Century Gothic" w:cs="Arial"/>
          <w:sz w:val="16"/>
          <w:szCs w:val="16"/>
        </w:rPr>
        <w:t> </w:t>
      </w:r>
    </w:p>
    <w:p w14:paraId="32CBA495" w14:textId="77777777" w:rsidR="00657E97" w:rsidRPr="00262F9B" w:rsidRDefault="00657E97" w:rsidP="00657E97">
      <w:pPr>
        <w:pStyle w:val="Textonotapie"/>
        <w:ind w:firstLine="708"/>
        <w:jc w:val="both"/>
        <w:rPr>
          <w:rFonts w:ascii="Century Gothic" w:hAnsi="Century Gothic" w:cs="Arial"/>
          <w:sz w:val="16"/>
          <w:szCs w:val="16"/>
        </w:rPr>
      </w:pPr>
      <w:r w:rsidRPr="00262F9B">
        <w:rPr>
          <w:rFonts w:ascii="Century Gothic" w:hAnsi="Century Gothic" w:cs="Arial"/>
          <w:sz w:val="16"/>
          <w:szCs w:val="16"/>
          <w:lang w:val="es-ES"/>
        </w:rPr>
        <w:t>Parágrafo 1°. Para efectos del presente artículo, se tendrá por compañero y compañera permanente al hombre y la mujer que forman parte de la Unión Marital de Hecho durante un lapso no inferior a dos años en los términos de la Ley 54 de 1990”.</w:t>
      </w:r>
    </w:p>
  </w:footnote>
  <w:footnote w:id="44">
    <w:p w14:paraId="4975AE43" w14:textId="77777777" w:rsidR="00657E97" w:rsidRPr="00262F9B" w:rsidRDefault="00657E97" w:rsidP="00657E97">
      <w:pPr>
        <w:pStyle w:val="Textonotapie"/>
        <w:ind w:firstLine="709"/>
        <w:jc w:val="both"/>
        <w:rPr>
          <w:rFonts w:ascii="Century Gothic" w:hAnsi="Century Gothic" w:cs="Arial"/>
          <w:sz w:val="16"/>
          <w:szCs w:val="16"/>
          <w:lang w:val="es-ES"/>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El artículo 189.11 de la Constitución Política de 1991 dispone que corresponde al Presidente de la República “Ejercer la potestad reglamentaria, mediante la expedición de los decretos, resoluciones y órdenes necesarios para la cumplida ejecución de las leyes”.  </w:t>
      </w:r>
    </w:p>
  </w:footnote>
  <w:footnote w:id="45">
    <w:p w14:paraId="42AB1AC7" w14:textId="77777777" w:rsidR="00657E97" w:rsidRPr="00262F9B" w:rsidRDefault="00657E97" w:rsidP="00657E97">
      <w:pPr>
        <w:pStyle w:val="Textonotapie"/>
        <w:ind w:firstLine="708"/>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No en vano, la Corte Constitucional explica que estos casos la potestad reglamentaria “[…] puede ejercerse por [el Gobierno Nacional] en cualquier tiempo, sin que sea posible que por ley se introduzca en esta materia limitación temporal alguna. Ello no quiere decir, sin embargo, que el legislador no pueda, para lograr la efectividad de una ley, disponer que el Gobierno deba reglamentarla dentro de un tiempo determinado. Tal mandato del legislador no impide que el Presidente expida la reglamentación antes del término previsto, ni lo inhabilita para el ejercicio de la potestad reglamentaria vencido ese plazo. Tampoco implica que expedida una reglamentación dentro del plazo fijado por el legislador el Presidente pierda competencia para expedir nuevos reglamentos o para modificar, adicionar o derogar sus propios reglamentos. </w:t>
      </w:r>
      <w:r w:rsidRPr="00262F9B">
        <w:rPr>
          <w:rFonts w:ascii="Century Gothic" w:hAnsi="Century Gothic" w:cs="Arial"/>
          <w:i/>
          <w:iCs/>
          <w:sz w:val="16"/>
          <w:szCs w:val="16"/>
        </w:rPr>
        <w:t>La única consecuencia normativa del término establecido por el legislador es la de imponerle al Presidente de la República el deber de reglamentar la ley dentro de dicho plazo</w:t>
      </w:r>
      <w:r w:rsidRPr="00262F9B">
        <w:rPr>
          <w:rFonts w:ascii="Century Gothic" w:hAnsi="Century Gothic" w:cs="Arial"/>
          <w:sz w:val="16"/>
          <w:szCs w:val="16"/>
        </w:rPr>
        <w:t xml:space="preserve">” (CORTE CONSTITUCIONAL. Sentencia C-805 de 2001. M.P. Rodrigo Escobar Gil. Corchetes y énfasis fuera de texto).  </w:t>
      </w:r>
    </w:p>
  </w:footnote>
  <w:footnote w:id="46">
    <w:p w14:paraId="392F2759" w14:textId="77777777" w:rsidR="00657E97" w:rsidRPr="00262F9B" w:rsidRDefault="00657E97" w:rsidP="00657E97">
      <w:pPr>
        <w:pStyle w:val="Textonotapie"/>
        <w:ind w:firstLine="709"/>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GUASTINI, Riccardo. Interpretar y argumentar. Madrid: Centro de Estudios Políticos y Constitucionales, 2014. p. 145. El autor también propone los siguientes ejemplos de </w:t>
      </w:r>
      <w:r w:rsidRPr="00262F9B">
        <w:rPr>
          <w:rFonts w:ascii="Century Gothic" w:hAnsi="Century Gothic" w:cs="Arial"/>
          <w:i/>
          <w:iCs/>
          <w:sz w:val="16"/>
          <w:szCs w:val="16"/>
        </w:rPr>
        <w:t>lagunas técnicas</w:t>
      </w:r>
      <w:r w:rsidRPr="00262F9B">
        <w:rPr>
          <w:rFonts w:ascii="Century Gothic" w:hAnsi="Century Gothic" w:cs="Arial"/>
          <w:sz w:val="16"/>
          <w:szCs w:val="16"/>
        </w:rPr>
        <w:t>: “[…] una norma prescribe la periódica convocatoria de un órgano; pero ninguna norma determina qué sujeto es el competente para convocarlo; una norma instituye cierto órgano electivo, pero ninguna norma establece qué sistema electoral debe adoptarse; una norma recomienda perseguir cierto fin, pero ninguna norma establece qué medios deben utilizarse; etc.”. (</w:t>
      </w:r>
      <w:r w:rsidRPr="00262F9B">
        <w:rPr>
          <w:rFonts w:ascii="Century Gothic" w:hAnsi="Century Gothic" w:cs="Arial"/>
          <w:i/>
          <w:iCs/>
          <w:sz w:val="16"/>
          <w:szCs w:val="16"/>
        </w:rPr>
        <w:t>Ibidem</w:t>
      </w:r>
      <w:r w:rsidRPr="00262F9B">
        <w:rPr>
          <w:rFonts w:ascii="Century Gothic" w:hAnsi="Century Gothic" w:cs="Arial"/>
          <w:sz w:val="16"/>
          <w:szCs w:val="16"/>
        </w:rPr>
        <w:t xml:space="preserve">).  </w:t>
      </w:r>
    </w:p>
  </w:footnote>
  <w:footnote w:id="47">
    <w:p w14:paraId="6105601D" w14:textId="77777777" w:rsidR="00657E97" w:rsidRPr="00262F9B" w:rsidRDefault="00657E97" w:rsidP="00657E97">
      <w:pPr>
        <w:spacing w:after="0" w:line="240" w:lineRule="auto"/>
        <w:ind w:firstLine="709"/>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El parágrafo 2 de la norma citada disponía que «El Gobierno nacional reglamentará el procedimiento de la cesión del contrato de que trata este artículo, en término no mayor a seis (6) meses». No obstante, conforme al comunicado de prensa del 25 de febrero de 2021, la norma fue declarada inexequible por la Corte Constitucional. Para estos efectos, «[…] la Corte consideró inexequible la atribución de facultades reglamentarias para el propósito de señalar cómo y a quién se va a ceder el contrato, pues tales asuntos deben ser definidos directamente por la ley […]». Por lo demás, «[…] Aclaró que la potestad reglamentaria opera solamente después de esta determinación legislativa» (Cfr. </w:t>
      </w:r>
      <w:hyperlink r:id="rId3" w:history="1">
        <w:r w:rsidRPr="00262F9B">
          <w:rPr>
            <w:rStyle w:val="Hipervnculo"/>
            <w:rFonts w:ascii="Century Gothic" w:hAnsi="Century Gothic" w:cs="Arial"/>
            <w:sz w:val="16"/>
            <w:szCs w:val="16"/>
          </w:rPr>
          <w:t>https://www.beltranpardo.com/wp-content/uploads/2021/02/CorteConstitucional_Inexequibilidadpar%C3%A1grafo2Art6L2014.pdf</w:t>
        </w:r>
      </w:hyperlink>
      <w:r w:rsidRPr="00262F9B">
        <w:rPr>
          <w:rFonts w:ascii="Century Gothic" w:hAnsi="Century Gothic" w:cs="Arial"/>
          <w:sz w:val="16"/>
          <w:szCs w:val="16"/>
        </w:rPr>
        <w:t xml:space="preserve">).  </w:t>
      </w:r>
    </w:p>
  </w:footnote>
  <w:footnote w:id="48">
    <w:p w14:paraId="2645301F" w14:textId="77777777" w:rsidR="00657E97" w:rsidRPr="00262F9B" w:rsidRDefault="00657E97" w:rsidP="00657E97">
      <w:pPr>
        <w:pStyle w:val="Textonotapie"/>
        <w:ind w:firstLine="709"/>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Cfr. CORTE CONSTITUCIONAL. Sentencia C-619 del 14 de junio de 2001. M.P. Marco Gerardo Monroy Cabra. </w:t>
      </w:r>
    </w:p>
  </w:footnote>
  <w:footnote w:id="49">
    <w:p w14:paraId="4753EB34" w14:textId="77777777" w:rsidR="00657E97" w:rsidRPr="00262F9B" w:rsidRDefault="00657E97" w:rsidP="00657E97">
      <w:pPr>
        <w:pStyle w:val="Textonotapie"/>
        <w:ind w:firstLine="709"/>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CONSEJO DE ESTADO. Sección Tercera. Auto de 1 de abril de 2009. Exp. 36476. M.P. Ruth Stella Correa Palacio.  </w:t>
      </w:r>
    </w:p>
  </w:footnote>
  <w:footnote w:id="50">
    <w:p w14:paraId="797310D7" w14:textId="77777777" w:rsidR="00657E97" w:rsidRPr="00262F9B" w:rsidRDefault="00657E97" w:rsidP="00657E97">
      <w:pPr>
        <w:pStyle w:val="Textonotapie"/>
        <w:ind w:firstLine="708"/>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CONGRESO DE LA REPÚBLICA. Gaceta XXVIII, No. 506, del 10 de junio de 2019. p. 21.</w:t>
      </w:r>
    </w:p>
  </w:footnote>
  <w:footnote w:id="51">
    <w:p w14:paraId="4E59F7F9" w14:textId="77777777" w:rsidR="00657E97" w:rsidRPr="00262F9B" w:rsidRDefault="00657E97" w:rsidP="00657E97">
      <w:pPr>
        <w:pStyle w:val="Textonotapie"/>
        <w:ind w:firstLine="708"/>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CONGRESO DE LA REPÚBLICA. Gaceta XXVIII, No. 563, del 18 de junio de 2019. p. 4.</w:t>
      </w:r>
    </w:p>
  </w:footnote>
  <w:footnote w:id="52">
    <w:p w14:paraId="6C8AECA3" w14:textId="77777777" w:rsidR="00657E97" w:rsidRPr="00262F9B" w:rsidRDefault="00657E97" w:rsidP="00657E97">
      <w:pPr>
        <w:pStyle w:val="Textonotapie"/>
        <w:ind w:firstLine="709"/>
        <w:jc w:val="both"/>
        <w:rPr>
          <w:rFonts w:ascii="Century Gothic" w:hAnsi="Century Gothic" w:cs="Arial"/>
          <w:sz w:val="16"/>
          <w:szCs w:val="16"/>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MARÍN CORTÉS, Fabián Gonzalo. El reglamento, como fuente del derecho administrativo. En: las fuentes del derecho administrativo. Texto inédito. p. 203. Por lo demás, la doctrina también considera que “[…] el ejercicio de la potestad reglamentaria para la ejecución de las leyes no es enteramente discrecional o facultativo, sino que puede ser necesario y debido siempre que la actividad y aplicabilidad de la ley dependan del complemento reglamentario y cuando, con mayor razón, es la propia ley quien expresamente encarga dicho desarrollo normativo” (GÓMEZ PUENTE, Marcos. El silencio y la inactividad administrativa. En: Silencio administrativo: estudio general y procedimiento sectoriales. Valencia: Tirant lo Blanch, 2012. p. 52).   </w:t>
      </w:r>
    </w:p>
  </w:footnote>
  <w:footnote w:id="53">
    <w:p w14:paraId="28A5199C" w14:textId="77777777" w:rsidR="00657E97" w:rsidRPr="00262F9B" w:rsidRDefault="00657E97" w:rsidP="00657E97">
      <w:pPr>
        <w:pStyle w:val="Textonotapie"/>
        <w:ind w:firstLine="709"/>
        <w:rPr>
          <w:rFonts w:ascii="Century Gothic" w:hAnsi="Century Gothic" w:cs="Arial"/>
          <w:sz w:val="16"/>
          <w:szCs w:val="16"/>
          <w:lang w:val="es-ES"/>
        </w:rPr>
      </w:pPr>
      <w:r w:rsidRPr="00262F9B">
        <w:rPr>
          <w:rStyle w:val="Refdenotaalpie"/>
          <w:rFonts w:ascii="Century Gothic" w:hAnsi="Century Gothic" w:cs="Arial"/>
          <w:sz w:val="16"/>
          <w:szCs w:val="16"/>
        </w:rPr>
        <w:footnoteRef/>
      </w:r>
      <w:r w:rsidRPr="00262F9B">
        <w:rPr>
          <w:rFonts w:ascii="Century Gothic" w:hAnsi="Century Gothic" w:cs="Arial"/>
          <w:sz w:val="16"/>
          <w:szCs w:val="16"/>
        </w:rPr>
        <w:t xml:space="preserve"> </w:t>
      </w:r>
      <w:r w:rsidRPr="00262F9B">
        <w:rPr>
          <w:rFonts w:ascii="Century Gothic" w:hAnsi="Century Gothic" w:cs="Arial"/>
          <w:i/>
          <w:iCs/>
          <w:sz w:val="16"/>
          <w:szCs w:val="16"/>
        </w:rPr>
        <w:t>Ibidem</w:t>
      </w:r>
      <w:r w:rsidRPr="00262F9B">
        <w:rPr>
          <w:rFonts w:ascii="Century Gothic" w:hAnsi="Century Gothic"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12154" w14:textId="43B6B0B6" w:rsidR="00756841" w:rsidRDefault="00961B09">
    <w:pPr>
      <w:pStyle w:val="Encabezado"/>
    </w:pPr>
    <w:r>
      <w:rPr>
        <w:noProof/>
      </w:rPr>
      <w:drawing>
        <wp:anchor distT="0" distB="0" distL="114300" distR="114300" simplePos="0" relativeHeight="251658240" behindDoc="1" locked="0" layoutInCell="1" allowOverlap="1" wp14:anchorId="748FC4A6" wp14:editId="75ADBD22">
          <wp:simplePos x="0" y="0"/>
          <wp:positionH relativeFrom="margin">
            <wp:align>right</wp:align>
          </wp:positionH>
          <wp:positionV relativeFrom="margin">
            <wp:posOffset>-1135380</wp:posOffset>
          </wp:positionV>
          <wp:extent cx="1757045" cy="628650"/>
          <wp:effectExtent l="0" t="0" r="0" b="0"/>
          <wp:wrapNone/>
          <wp:docPr id="864305913" name="Imagen 864305913"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002962BC" w:rsidRPr="00852E0B">
      <w:rPr>
        <w:rFonts w:ascii="Geomanist Bold" w:hAnsi="Geomanist Bold"/>
        <w:b/>
        <w:bCs/>
        <w:noProof/>
        <w:color w:val="46589C"/>
        <w:sz w:val="24"/>
        <w:szCs w:val="24"/>
      </w:rPr>
      <w:drawing>
        <wp:anchor distT="0" distB="0" distL="114300" distR="114300" simplePos="0" relativeHeight="251658244" behindDoc="0" locked="0" layoutInCell="1" allowOverlap="1" wp14:anchorId="7E9042C1" wp14:editId="4CC480E9">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2"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rPr>
      <w:drawing>
        <wp:anchor distT="0" distB="0" distL="114300" distR="114300" simplePos="0" relativeHeight="251658241"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910553655"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35F4D03" w14:textId="67DABC48" w:rsidR="00756841" w:rsidRDefault="00756841">
    <w:pPr>
      <w:pStyle w:val="Encabezado"/>
    </w:pPr>
  </w:p>
  <w:p w14:paraId="1BE2B9AE" w14:textId="4B94DB3B" w:rsidR="00756841" w:rsidRDefault="00756841">
    <w:pPr>
      <w:pStyle w:val="Encabezado"/>
    </w:pPr>
  </w:p>
  <w:p w14:paraId="7FE1230C" w14:textId="77777777" w:rsidR="004A305D" w:rsidRPr="004A305D" w:rsidRDefault="004A305D"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7B0A8834" w14:textId="37E5E717" w:rsidR="004A305D" w:rsidRPr="004A305D" w:rsidRDefault="004A305D" w:rsidP="004A305D">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sidR="00CB6357">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sidR="00CB6357">
      <w:rPr>
        <w:rFonts w:ascii="Century Gothic" w:eastAsia="Geo" w:hAnsi="Century Gothic" w:cs="Geo"/>
        <w:bCs/>
        <w:color w:val="000000"/>
        <w:sz w:val="16"/>
        <w:szCs w:val="16"/>
        <w:lang w:eastAsia="es-CO"/>
      </w:rPr>
      <w:t>13</w:t>
    </w:r>
  </w:p>
  <w:p w14:paraId="5E18350A" w14:textId="3833E343" w:rsidR="004A305D" w:rsidRPr="004A305D" w:rsidRDefault="004A305D" w:rsidP="004A305D">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sidR="00CB6357">
      <w:rPr>
        <w:rFonts w:ascii="Century Gothic" w:eastAsia="Geo" w:hAnsi="Century Gothic" w:cs="Geo"/>
        <w:sz w:val="16"/>
        <w:szCs w:val="16"/>
        <w:lang w:eastAsia="es-CO"/>
      </w:rPr>
      <w:t>1</w:t>
    </w:r>
    <w:r w:rsidRPr="004A305D">
      <w:rPr>
        <w:rFonts w:ascii="Century Gothic" w:eastAsia="Geo" w:hAnsi="Century Gothic" w:cs="Geo"/>
        <w:sz w:val="16"/>
        <w:szCs w:val="16"/>
        <w:lang w:eastAsia="es-CO"/>
      </w:rPr>
      <w:t xml:space="preserve"> DEL </w:t>
    </w:r>
    <w:r w:rsidR="00CB6357">
      <w:rPr>
        <w:rFonts w:ascii="Century Gothic" w:eastAsia="Geo" w:hAnsi="Century Gothic" w:cs="Geo"/>
        <w:sz w:val="16"/>
        <w:szCs w:val="16"/>
        <w:lang w:eastAsia="es-CO"/>
      </w:rPr>
      <w:t xml:space="preserve">15 </w:t>
    </w:r>
    <w:r w:rsidRPr="004A305D">
      <w:rPr>
        <w:rFonts w:ascii="Century Gothic" w:eastAsia="Geo" w:hAnsi="Century Gothic" w:cs="Geo"/>
        <w:sz w:val="16"/>
        <w:szCs w:val="16"/>
        <w:lang w:eastAsia="es-CO"/>
      </w:rPr>
      <w:t xml:space="preserve">DE </w:t>
    </w:r>
    <w:r w:rsidR="00961B09">
      <w:rPr>
        <w:rFonts w:ascii="Century Gothic" w:eastAsia="Geo" w:hAnsi="Century Gothic" w:cs="Geo"/>
        <w:sz w:val="16"/>
        <w:szCs w:val="16"/>
        <w:lang w:eastAsia="es-CO"/>
      </w:rPr>
      <w:t>JUNIO</w:t>
    </w:r>
    <w:r w:rsidRPr="004A305D">
      <w:rPr>
        <w:rFonts w:ascii="Century Gothic" w:eastAsia="Geo" w:hAnsi="Century Gothic" w:cs="Geo"/>
        <w:sz w:val="16"/>
        <w:szCs w:val="16"/>
        <w:lang w:eastAsia="es-CO"/>
      </w:rPr>
      <w:t xml:space="preserve"> DE 202</w:t>
    </w:r>
    <w:r w:rsidR="00961B09">
      <w:rPr>
        <w:rFonts w:ascii="Century Gothic" w:eastAsia="Geo" w:hAnsi="Century Gothic" w:cs="Geo"/>
        <w:sz w:val="16"/>
        <w:szCs w:val="16"/>
        <w:lang w:eastAsia="es-CO"/>
      </w:rPr>
      <w:t>3</w:t>
    </w:r>
  </w:p>
  <w:p w14:paraId="1FD1C243" w14:textId="6D74A3CF" w:rsidR="008A446D" w:rsidRDefault="008A446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948779781">
    <w:abstractNumId w:val="3"/>
  </w:num>
  <w:num w:numId="2" w16cid:durableId="19822139">
    <w:abstractNumId w:val="1"/>
  </w:num>
  <w:num w:numId="3" w16cid:durableId="876742304">
    <w:abstractNumId w:val="2"/>
  </w:num>
  <w:num w:numId="4" w16cid:durableId="2451864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14751002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A683E"/>
    <w:rsid w:val="000B19B9"/>
    <w:rsid w:val="000D0334"/>
    <w:rsid w:val="000F6486"/>
    <w:rsid w:val="00127233"/>
    <w:rsid w:val="001E4177"/>
    <w:rsid w:val="00244190"/>
    <w:rsid w:val="00262F9B"/>
    <w:rsid w:val="002951A0"/>
    <w:rsid w:val="002962BC"/>
    <w:rsid w:val="00296E4B"/>
    <w:rsid w:val="00297985"/>
    <w:rsid w:val="002A49AC"/>
    <w:rsid w:val="002A64FD"/>
    <w:rsid w:val="002B03DD"/>
    <w:rsid w:val="002C527A"/>
    <w:rsid w:val="002C7A84"/>
    <w:rsid w:val="002F03DA"/>
    <w:rsid w:val="003A779E"/>
    <w:rsid w:val="003D0F4D"/>
    <w:rsid w:val="003E0499"/>
    <w:rsid w:val="003F3941"/>
    <w:rsid w:val="004A1847"/>
    <w:rsid w:val="004A305D"/>
    <w:rsid w:val="004E6C22"/>
    <w:rsid w:val="004F21C4"/>
    <w:rsid w:val="004F685F"/>
    <w:rsid w:val="005566E8"/>
    <w:rsid w:val="00574867"/>
    <w:rsid w:val="005C5CDC"/>
    <w:rsid w:val="005D476C"/>
    <w:rsid w:val="006219F8"/>
    <w:rsid w:val="00657E97"/>
    <w:rsid w:val="00665D70"/>
    <w:rsid w:val="00701569"/>
    <w:rsid w:val="00706C16"/>
    <w:rsid w:val="00756841"/>
    <w:rsid w:val="007649AB"/>
    <w:rsid w:val="007833AC"/>
    <w:rsid w:val="007C3DC2"/>
    <w:rsid w:val="007E5497"/>
    <w:rsid w:val="00806F5F"/>
    <w:rsid w:val="00820278"/>
    <w:rsid w:val="008843B6"/>
    <w:rsid w:val="00891928"/>
    <w:rsid w:val="008A446D"/>
    <w:rsid w:val="008F0EA7"/>
    <w:rsid w:val="00907194"/>
    <w:rsid w:val="009144A9"/>
    <w:rsid w:val="00923EEF"/>
    <w:rsid w:val="00926CDB"/>
    <w:rsid w:val="009419F9"/>
    <w:rsid w:val="00961B09"/>
    <w:rsid w:val="00965334"/>
    <w:rsid w:val="0097093E"/>
    <w:rsid w:val="009A3D8C"/>
    <w:rsid w:val="009C71FA"/>
    <w:rsid w:val="009C72E7"/>
    <w:rsid w:val="00A17F13"/>
    <w:rsid w:val="00A20739"/>
    <w:rsid w:val="00A33C78"/>
    <w:rsid w:val="00A51F42"/>
    <w:rsid w:val="00AB0ADB"/>
    <w:rsid w:val="00AE5061"/>
    <w:rsid w:val="00AF6B70"/>
    <w:rsid w:val="00B72CD3"/>
    <w:rsid w:val="00B72FFF"/>
    <w:rsid w:val="00BD7F72"/>
    <w:rsid w:val="00C330EB"/>
    <w:rsid w:val="00C754BE"/>
    <w:rsid w:val="00CB6357"/>
    <w:rsid w:val="00CC1B26"/>
    <w:rsid w:val="00D423A2"/>
    <w:rsid w:val="00D63AC2"/>
    <w:rsid w:val="00D677AE"/>
    <w:rsid w:val="00D7383B"/>
    <w:rsid w:val="00E16408"/>
    <w:rsid w:val="00E20894"/>
    <w:rsid w:val="00E245AB"/>
    <w:rsid w:val="00E50AFE"/>
    <w:rsid w:val="00E771DC"/>
    <w:rsid w:val="00E8772A"/>
    <w:rsid w:val="00E90F6B"/>
    <w:rsid w:val="00E92C27"/>
    <w:rsid w:val="00EA0E3D"/>
    <w:rsid w:val="00EC2BD7"/>
    <w:rsid w:val="00EE1AA8"/>
    <w:rsid w:val="00F31EDC"/>
    <w:rsid w:val="00F5664F"/>
    <w:rsid w:val="00F76AFC"/>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styleId="Hipervnculo">
    <w:name w:val="Hyperlink"/>
    <w:basedOn w:val="Fuentedeprrafopredeter"/>
    <w:uiPriority w:val="99"/>
    <w:unhideWhenUsed/>
    <w:rsid w:val="00657E97"/>
    <w:rPr>
      <w:color w:val="0563C1" w:themeColor="hyperlink"/>
      <w:u w:val="single"/>
    </w:rPr>
  </w:style>
  <w:style w:type="paragraph" w:customStyle="1" w:styleId="Appelnotedebasde">
    <w:name w:val="Appel note de bas de..."/>
    <w:basedOn w:val="Normal"/>
    <w:link w:val="Refdenotaalpie"/>
    <w:uiPriority w:val="99"/>
    <w:rsid w:val="00657E97"/>
    <w:pPr>
      <w:spacing w:line="240" w:lineRule="exact"/>
    </w:pPr>
    <w:rPr>
      <w:vertAlign w:val="superscript"/>
    </w:rPr>
  </w:style>
  <w:style w:type="paragraph" w:styleId="Sinespaciado">
    <w:name w:val="No Spacing"/>
    <w:aliases w:val="No Indent"/>
    <w:uiPriority w:val="3"/>
    <w:qFormat/>
    <w:rsid w:val="00657E97"/>
    <w:pPr>
      <w:spacing w:after="0" w:line="240" w:lineRule="auto"/>
    </w:pPr>
    <w:rPr>
      <w:sz w:val="24"/>
      <w:lang w:val="es-MX"/>
    </w:rPr>
  </w:style>
  <w:style w:type="paragraph" w:styleId="NormalWeb">
    <w:name w:val="Normal (Web)"/>
    <w:basedOn w:val="Normal"/>
    <w:link w:val="NormalWebCar"/>
    <w:uiPriority w:val="99"/>
    <w:unhideWhenUsed/>
    <w:rsid w:val="00657E97"/>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rsid w:val="00657E97"/>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657E97"/>
    <w:rPr>
      <w:rFonts w:ascii="Geomanist Light" w:hAnsi="Geomanist Light"/>
      <w:lang w:val="es-ES"/>
    </w:rPr>
  </w:style>
  <w:style w:type="paragraph" w:styleId="Textoindependiente">
    <w:name w:val="Body Text"/>
    <w:basedOn w:val="Normal"/>
    <w:link w:val="TextoindependienteCar"/>
    <w:uiPriority w:val="99"/>
    <w:unhideWhenUsed/>
    <w:rsid w:val="00657E97"/>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657E97"/>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3502360">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dam.gov.co/information-pag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dam.gov.co/information-pag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redam.gov.co/information-pag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3" Type="http://schemas.openxmlformats.org/officeDocument/2006/relationships/hyperlink" Target="https://www.beltranpardo.com/wp-content/uploads/2021/02/CorteConstitucional_Inexequibilidadpar%C3%A1grafo2Art6L2014.pdf" TargetMode="External"/><Relationship Id="rId2" Type="http://schemas.openxmlformats.org/officeDocument/2006/relationships/hyperlink" Target="https://etimologias.dechile.net/?alimento" TargetMode="External"/><Relationship Id="rId1" Type="http://schemas.openxmlformats.org/officeDocument/2006/relationships/hyperlink" Target="https://relatoria.colombiacompra.gov.co/busqueda/conceptos%20"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7" ma:contentTypeDescription="Crear nuevo documento." ma:contentTypeScope="" ma:versionID="a34407833354fcfc312bad70d6c3459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b353d508bfaf3d48e66d044e463fff7"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EF23290-CCB9-41DA-A30C-01FF4B4BC7BC}"/>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cabc2350-70b2-4dba-bb42-96a3175f4d5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33</Pages>
  <Words>12432</Words>
  <Characters>68381</Characters>
  <Application>Microsoft Office Word</Application>
  <DocSecurity>0</DocSecurity>
  <Lines>569</Lines>
  <Paragraphs>161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 - CCE</cp:lastModifiedBy>
  <cp:revision>6</cp:revision>
  <cp:lastPrinted>2023-01-10T21:18:00Z</cp:lastPrinted>
  <dcterms:created xsi:type="dcterms:W3CDTF">2023-07-04T15:20:00Z</dcterms:created>
  <dcterms:modified xsi:type="dcterms:W3CDTF">2023-07-24T20:20:00Z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