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A98773" w14:textId="53EC663B" w:rsidR="00377547" w:rsidRDefault="00431B21" w:rsidP="00377547">
      <w:pPr>
        <w:spacing w:after="0" w:line="276" w:lineRule="auto"/>
        <w:jc w:val="both"/>
        <w:rPr>
          <w:rFonts w:ascii="Arial" w:eastAsia="Calibri" w:hAnsi="Arial" w:cs="Arial"/>
          <w:b/>
          <w:bCs/>
          <w:color w:val="000000" w:themeColor="text1"/>
          <w:lang w:eastAsia="en-GB"/>
        </w:rPr>
      </w:pPr>
      <w:r w:rsidRPr="000329FA">
        <w:rPr>
          <w:rFonts w:ascii="Arial" w:eastAsia="Calibri" w:hAnsi="Arial" w:cs="Arial"/>
          <w:b/>
          <w:bCs/>
          <w:color w:val="000000" w:themeColor="text1"/>
          <w:lang w:val="es-ES_tradnl" w:eastAsia="en-GB"/>
        </w:rPr>
        <w:t>CONCEPTO DE EXPERIENCIA EN LA CONTRATACIÓN PÚBLICA</w:t>
      </w:r>
    </w:p>
    <w:p w14:paraId="0ABE1AC7" w14:textId="77777777" w:rsidR="00377547" w:rsidRDefault="00377547" w:rsidP="00377547">
      <w:pPr>
        <w:spacing w:after="0" w:line="276" w:lineRule="auto"/>
        <w:jc w:val="both"/>
        <w:rPr>
          <w:rFonts w:ascii="Arial" w:eastAsia="Calibri" w:hAnsi="Arial" w:cs="Arial"/>
          <w:lang w:val="es-MX"/>
        </w:rPr>
      </w:pPr>
    </w:p>
    <w:p w14:paraId="729DA786" w14:textId="77777777" w:rsidR="00431B21" w:rsidRDefault="00377547" w:rsidP="00377547">
      <w:pPr>
        <w:rPr>
          <w:rFonts w:ascii="Arial" w:eastAsia="Calibri" w:hAnsi="Arial" w:cs="Arial"/>
        </w:rPr>
      </w:pPr>
      <w:r>
        <w:rPr>
          <w:rFonts w:ascii="Arial" w:eastAsia="Calibri" w:hAnsi="Arial" w:cs="Arial"/>
        </w:rPr>
        <w:t>El artículo 5 de la</w:t>
      </w:r>
      <w:r w:rsidRPr="00797AF9">
        <w:rPr>
          <w:rFonts w:ascii="Arial" w:eastAsia="Calibri" w:hAnsi="Arial" w:cs="Arial"/>
        </w:rPr>
        <w:t xml:space="preserve"> Ley 1150 de 2007</w:t>
      </w:r>
      <w:r>
        <w:rPr>
          <w:rFonts w:ascii="Arial" w:eastAsia="Calibri" w:hAnsi="Arial" w:cs="Arial"/>
        </w:rPr>
        <w:t xml:space="preserve"> </w:t>
      </w:r>
      <w:r w:rsidRPr="00797AF9">
        <w:rPr>
          <w:rFonts w:ascii="Arial" w:eastAsia="Calibri" w:hAnsi="Arial" w:cs="Arial"/>
        </w:rPr>
        <w:t>establece los requisitos habilitantes para participar en un procedimiento contractual, dentro de los cuales se destaca la experiencia. El propósito es que las entidades fijen unos requisitos mínimos que debe tener y acreditar el proponente, para que la entidad pueda verificar su aptitud para participar en el procedimiento de contratación y, si se le adjudica, ejecutar el contrato estatal</w:t>
      </w:r>
      <w:r>
        <w:rPr>
          <w:rFonts w:ascii="Arial" w:eastAsia="Calibri" w:hAnsi="Arial" w:cs="Arial"/>
        </w:rPr>
        <w:t>.</w:t>
      </w:r>
    </w:p>
    <w:p w14:paraId="55E2C507" w14:textId="77777777" w:rsidR="00431B21" w:rsidRPr="002525A7" w:rsidRDefault="00431B21" w:rsidP="00377547">
      <w:pPr>
        <w:rPr>
          <w:rFonts w:ascii="Arial" w:eastAsia="Calibri" w:hAnsi="Arial" w:cs="Arial"/>
          <w:b/>
        </w:rPr>
      </w:pPr>
    </w:p>
    <w:p w14:paraId="2C46EE00" w14:textId="5A3E1089" w:rsidR="00431B21" w:rsidRPr="002525A7" w:rsidRDefault="002525A7" w:rsidP="00377547">
      <w:pPr>
        <w:rPr>
          <w:rFonts w:ascii="Arial" w:eastAsia="Calibri" w:hAnsi="Arial" w:cs="Arial"/>
          <w:b/>
        </w:rPr>
      </w:pPr>
      <w:r w:rsidRPr="002525A7">
        <w:rPr>
          <w:rFonts w:ascii="Arial" w:hAnsi="Arial" w:cs="Arial"/>
          <w:b/>
        </w:rPr>
        <w:t xml:space="preserve">RUP </w:t>
      </w:r>
      <w:r w:rsidRPr="002525A7">
        <w:rPr>
          <w:rFonts w:ascii="Arial" w:eastAsia="Calibri" w:hAnsi="Arial" w:cs="Arial"/>
          <w:b/>
          <w:lang w:val="es-MX" w:eastAsia="es-ES_tradnl"/>
        </w:rPr>
        <w:t>– CONSERVACIÓN – SOCIEDADES – MENOR A 3 AÑOS DE CONSTITUCIÓN</w:t>
      </w:r>
    </w:p>
    <w:p w14:paraId="7CB06E23" w14:textId="7128A1C5" w:rsidR="00431B21" w:rsidRDefault="002525A7" w:rsidP="002525A7">
      <w:pPr>
        <w:jc w:val="both"/>
        <w:rPr>
          <w:rFonts w:ascii="Arial" w:hAnsi="Arial" w:cs="Arial"/>
        </w:rPr>
      </w:pPr>
      <w:r>
        <w:rPr>
          <w:rFonts w:ascii="Arial" w:hAnsi="Arial" w:cs="Arial"/>
        </w:rPr>
        <w:t xml:space="preserve">El RUP </w:t>
      </w:r>
      <w:r w:rsidR="00431B21" w:rsidRPr="00797AF9">
        <w:rPr>
          <w:rFonts w:ascii="Arial" w:hAnsi="Arial" w:cs="Arial"/>
        </w:rPr>
        <w:t>fue creado por el artículo 6 de la Ley 1150 de 2007 y constituye el medio idóneo para verificar las condiciones de los proponentes en procesos de contratación pública. Este registro, conforme a lo señalado por la Corte Constitucional</w:t>
      </w:r>
      <w:r w:rsidR="00431B21" w:rsidRPr="00797AF9">
        <w:rPr>
          <w:rFonts w:ascii="Arial" w:hAnsi="Arial" w:cs="Arial"/>
          <w:vertAlign w:val="superscript"/>
        </w:rPr>
        <w:footnoteReference w:id="1"/>
      </w:r>
      <w:r w:rsidR="00431B21" w:rsidRPr="00797AF9">
        <w:rPr>
          <w:rFonts w:ascii="Arial" w:hAnsi="Arial" w:cs="Arial"/>
        </w:rPr>
        <w:t xml:space="preserve">, es administrado por las Cámaras de Comercio y la actividad relacionada en el mismo está </w:t>
      </w:r>
      <w:r w:rsidR="00431B21">
        <w:rPr>
          <w:rFonts w:ascii="Arial" w:hAnsi="Arial" w:cs="Arial"/>
        </w:rPr>
        <w:t>“</w:t>
      </w:r>
      <w:r w:rsidR="00431B21" w:rsidRPr="00797AF9">
        <w:rPr>
          <w:rFonts w:ascii="Arial" w:hAnsi="Arial" w:cs="Arial"/>
        </w:rPr>
        <w:t>sometid[a] a los principios de la función administrativa y de contratación estatal</w:t>
      </w:r>
      <w:r w:rsidR="00431B21">
        <w:rPr>
          <w:rFonts w:ascii="Arial" w:hAnsi="Arial" w:cs="Arial"/>
        </w:rPr>
        <w:t>”</w:t>
      </w:r>
      <w:r w:rsidR="00431B21" w:rsidRPr="00797AF9">
        <w:rPr>
          <w:rFonts w:ascii="Arial" w:hAnsi="Arial" w:cs="Arial"/>
        </w:rPr>
        <w:t xml:space="preserve">. El artículo 6 de la Ley 1150 de 2007 señala que el RUP </w:t>
      </w:r>
      <w:r w:rsidR="00431B21">
        <w:rPr>
          <w:rFonts w:ascii="Arial" w:hAnsi="Arial" w:cs="Arial"/>
        </w:rPr>
        <w:t>“</w:t>
      </w:r>
      <w:r w:rsidR="00431B21" w:rsidRPr="00797AF9">
        <w:rPr>
          <w:rFonts w:ascii="Arial" w:hAnsi="Arial" w:cs="Arial"/>
        </w:rPr>
        <w:t>es plena prueba de las circunstancias que en ella se hagan constar y que hayan sido verificadas por las Cámaras de Comercio</w:t>
      </w:r>
      <w:r w:rsidR="00431B21">
        <w:rPr>
          <w:rFonts w:ascii="Arial" w:hAnsi="Arial" w:cs="Arial"/>
        </w:rPr>
        <w:t>”</w:t>
      </w:r>
      <w:r w:rsidR="00431B21" w:rsidRPr="00797AF9">
        <w:rPr>
          <w:rFonts w:ascii="Arial" w:hAnsi="Arial" w:cs="Arial"/>
        </w:rPr>
        <w:t>, es decir, estableció una regla probatoria en lo que se refiere a las condiciones de las proponentes contenidas en el registro, y asignó la competencia a las cámaras para verificarlas</w:t>
      </w:r>
    </w:p>
    <w:p w14:paraId="116DCC83" w14:textId="6AE2D58E" w:rsidR="00A71002" w:rsidRPr="00921F76" w:rsidRDefault="002525A7" w:rsidP="002525A7">
      <w:pPr>
        <w:spacing w:before="120" w:after="120" w:line="276" w:lineRule="auto"/>
        <w:jc w:val="both"/>
        <w:rPr>
          <w:rFonts w:ascii="Arial" w:hAnsi="Arial" w:cs="Arial"/>
        </w:rPr>
      </w:pPr>
      <w:r>
        <w:rPr>
          <w:rFonts w:ascii="Arial" w:hAnsi="Arial" w:cs="Arial"/>
        </w:rPr>
        <w:t>(…)</w:t>
      </w:r>
      <w:r w:rsidR="00A71002">
        <w:rPr>
          <w:rFonts w:ascii="Arial" w:hAnsi="Arial" w:cs="Arial"/>
        </w:rPr>
        <w:t>L</w:t>
      </w:r>
      <w:r w:rsidR="00A71002" w:rsidRPr="00921F76">
        <w:rPr>
          <w:rFonts w:ascii="Arial" w:hAnsi="Arial" w:cs="Arial"/>
        </w:rPr>
        <w:t xml:space="preserve">a experiencia de los socios, accionistas o constituyentes, para las sociedades que al momento de inscribirse en el RUP tenían menos de 3 años de constituidas, puede seguir siendo acreditada por la persona jurídica después de transcurridos los 3 años del acto de constitución. Esta posición había sido reiterada por esta Subdirección en pronunciamientos posteriores a la acogida en el concepto del 3 de abril de 2018 antes citado y previos a la postura definida en el concepto del 19 de noviembre de 2019. </w:t>
      </w:r>
    </w:p>
    <w:p w14:paraId="3C4B7FC1" w14:textId="77777777" w:rsidR="00A71002" w:rsidRPr="00921F76" w:rsidRDefault="00A71002" w:rsidP="002525A7">
      <w:pPr>
        <w:spacing w:before="120" w:after="120" w:line="276" w:lineRule="auto"/>
        <w:jc w:val="both"/>
        <w:rPr>
          <w:rFonts w:ascii="Arial" w:hAnsi="Arial" w:cs="Arial"/>
        </w:rPr>
      </w:pPr>
      <w:r w:rsidRPr="00921F76">
        <w:rPr>
          <w:rFonts w:ascii="Arial" w:hAnsi="Arial" w:cs="Arial"/>
        </w:rPr>
        <w:t>Se reitera que la finalidad del numeral 2.5 del artículo 2.2.1.1.1.5.2 del Decreto 1082 de 2015 es incentivar la libre competencia y la pluralidad de oferentes en la contratación estatal. Adicionalmente, el Decreto 1082 de 2015 establece que la persona inscrita en el RUP debe presentar la información para renovar su registro a más tardar el quinto día hábil del mes de abril de cada año, de lo contrario cesan sus efectos</w:t>
      </w:r>
      <w:r w:rsidRPr="00921F76">
        <w:rPr>
          <w:rStyle w:val="Refdenotaalpie"/>
          <w:rFonts w:ascii="Arial" w:hAnsi="Arial" w:cs="Arial"/>
        </w:rPr>
        <w:footnoteReference w:id="2"/>
      </w:r>
      <w:r w:rsidRPr="00921F76">
        <w:rPr>
          <w:rFonts w:ascii="Arial" w:hAnsi="Arial" w:cs="Arial"/>
        </w:rPr>
        <w:t xml:space="preserve">. En la actualidad, las cámaras de comercio solo pueden eliminar la experiencia registrada en el RUP a solicitud del proponente, por tanto, les </w:t>
      </w:r>
      <w:r w:rsidRPr="00921F76">
        <w:rPr>
          <w:rFonts w:ascii="Arial" w:hAnsi="Arial" w:cs="Arial"/>
        </w:rPr>
        <w:lastRenderedPageBreak/>
        <w:t xml:space="preserve">corresponde a las personas jurídicas mantener su RUP actualizado y a las entidades estatales verificar el RUP para efectos de evaluar la experiencia. </w:t>
      </w:r>
    </w:p>
    <w:p w14:paraId="3770D180" w14:textId="77777777" w:rsidR="00A71002" w:rsidRDefault="00A71002" w:rsidP="002525A7">
      <w:pPr>
        <w:spacing w:before="120" w:after="120" w:line="276" w:lineRule="auto"/>
        <w:jc w:val="both"/>
        <w:rPr>
          <w:rFonts w:ascii="Arial" w:hAnsi="Arial" w:cs="Arial"/>
        </w:rPr>
      </w:pPr>
      <w:r w:rsidRPr="00921F76">
        <w:rPr>
          <w:rFonts w:ascii="Arial" w:hAnsi="Arial" w:cs="Arial"/>
        </w:rPr>
        <w:t xml:space="preserve">En otras palabras, si la persona jurídica con menos de tres años de constituida registra la experiencia de sus socios en el RUP, y éste es renovado, puede continuar utilizando la experiencia inscrita mientras no cesen los efectos del RUP. Por el contrario, si no se renueva y la persona jurídica supera los tres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  </w:t>
      </w:r>
    </w:p>
    <w:p w14:paraId="775EF870" w14:textId="77777777" w:rsidR="00A71002" w:rsidRPr="00A71002" w:rsidRDefault="00A71002" w:rsidP="002525A7">
      <w:pPr>
        <w:jc w:val="both"/>
        <w:rPr>
          <w:rFonts w:ascii="Arial" w:eastAsia="Geomanist Light" w:hAnsi="Arial" w:cs="Arial"/>
          <w:color w:val="000000" w:themeColor="text1"/>
        </w:rPr>
      </w:pPr>
    </w:p>
    <w:p w14:paraId="2643859D" w14:textId="77777777" w:rsidR="00377547" w:rsidRDefault="00377547" w:rsidP="002525A7">
      <w:pPr>
        <w:jc w:val="both"/>
        <w:rPr>
          <w:rFonts w:ascii="Arial" w:eastAsia="Geomanist Light" w:hAnsi="Arial" w:cs="Arial"/>
          <w:color w:val="000000" w:themeColor="text1"/>
          <w:lang w:val="es-MX"/>
        </w:rPr>
      </w:pPr>
    </w:p>
    <w:p w14:paraId="4DE0E7B6" w14:textId="77777777" w:rsidR="002525A7" w:rsidRDefault="002525A7" w:rsidP="002525A7">
      <w:pPr>
        <w:jc w:val="both"/>
        <w:rPr>
          <w:rFonts w:ascii="Arial" w:eastAsia="Geomanist Light" w:hAnsi="Arial" w:cs="Arial"/>
          <w:color w:val="000000" w:themeColor="text1"/>
          <w:lang w:val="es-MX"/>
        </w:rPr>
      </w:pPr>
    </w:p>
    <w:p w14:paraId="7839D6C2" w14:textId="77777777" w:rsidR="002525A7" w:rsidRDefault="002525A7" w:rsidP="002525A7">
      <w:pPr>
        <w:jc w:val="both"/>
        <w:rPr>
          <w:rFonts w:ascii="Arial" w:eastAsia="Geomanist Light" w:hAnsi="Arial" w:cs="Arial"/>
          <w:color w:val="000000" w:themeColor="text1"/>
          <w:lang w:val="es-MX"/>
        </w:rPr>
      </w:pPr>
    </w:p>
    <w:p w14:paraId="775219AF" w14:textId="77777777" w:rsidR="002525A7" w:rsidRDefault="002525A7" w:rsidP="002525A7">
      <w:pPr>
        <w:jc w:val="both"/>
        <w:rPr>
          <w:rFonts w:ascii="Arial" w:eastAsia="Geomanist Light" w:hAnsi="Arial" w:cs="Arial"/>
          <w:color w:val="000000" w:themeColor="text1"/>
          <w:lang w:val="es-MX"/>
        </w:rPr>
      </w:pPr>
    </w:p>
    <w:p w14:paraId="3BF0AF74" w14:textId="77777777" w:rsidR="002525A7" w:rsidRDefault="002525A7" w:rsidP="002525A7">
      <w:pPr>
        <w:jc w:val="both"/>
        <w:rPr>
          <w:rFonts w:ascii="Arial" w:eastAsia="Geomanist Light" w:hAnsi="Arial" w:cs="Arial"/>
          <w:color w:val="000000" w:themeColor="text1"/>
          <w:lang w:val="es-MX"/>
        </w:rPr>
      </w:pPr>
    </w:p>
    <w:p w14:paraId="448C5FD0" w14:textId="77777777" w:rsidR="002525A7" w:rsidRDefault="002525A7" w:rsidP="002525A7">
      <w:pPr>
        <w:jc w:val="both"/>
        <w:rPr>
          <w:rFonts w:ascii="Arial" w:eastAsia="Geomanist Light" w:hAnsi="Arial" w:cs="Arial"/>
          <w:color w:val="000000" w:themeColor="text1"/>
          <w:lang w:val="es-MX"/>
        </w:rPr>
      </w:pPr>
    </w:p>
    <w:p w14:paraId="57099669" w14:textId="77777777" w:rsidR="002525A7" w:rsidRDefault="002525A7" w:rsidP="002525A7">
      <w:pPr>
        <w:jc w:val="both"/>
        <w:rPr>
          <w:rFonts w:ascii="Arial" w:eastAsia="Geomanist Light" w:hAnsi="Arial" w:cs="Arial"/>
          <w:color w:val="000000" w:themeColor="text1"/>
          <w:lang w:val="es-MX"/>
        </w:rPr>
      </w:pPr>
    </w:p>
    <w:p w14:paraId="074518BB" w14:textId="77777777" w:rsidR="002525A7" w:rsidRDefault="002525A7" w:rsidP="002525A7">
      <w:pPr>
        <w:jc w:val="both"/>
        <w:rPr>
          <w:rFonts w:ascii="Arial" w:eastAsia="Geomanist Light" w:hAnsi="Arial" w:cs="Arial"/>
          <w:color w:val="000000" w:themeColor="text1"/>
          <w:lang w:val="es-MX"/>
        </w:rPr>
      </w:pPr>
    </w:p>
    <w:p w14:paraId="24D6F500" w14:textId="77777777" w:rsidR="002525A7" w:rsidRDefault="002525A7" w:rsidP="002525A7">
      <w:pPr>
        <w:jc w:val="both"/>
        <w:rPr>
          <w:rFonts w:ascii="Arial" w:eastAsia="Geomanist Light" w:hAnsi="Arial" w:cs="Arial"/>
          <w:color w:val="000000" w:themeColor="text1"/>
          <w:lang w:val="es-MX"/>
        </w:rPr>
      </w:pPr>
    </w:p>
    <w:p w14:paraId="3CD89F47" w14:textId="77777777" w:rsidR="002525A7" w:rsidRDefault="002525A7" w:rsidP="002525A7">
      <w:pPr>
        <w:jc w:val="both"/>
        <w:rPr>
          <w:rFonts w:ascii="Arial" w:eastAsia="Geomanist Light" w:hAnsi="Arial" w:cs="Arial"/>
          <w:color w:val="000000" w:themeColor="text1"/>
          <w:lang w:val="es-MX"/>
        </w:rPr>
      </w:pPr>
    </w:p>
    <w:p w14:paraId="4309C027" w14:textId="77777777" w:rsidR="002525A7" w:rsidRDefault="002525A7" w:rsidP="002525A7">
      <w:pPr>
        <w:jc w:val="both"/>
        <w:rPr>
          <w:rFonts w:ascii="Arial" w:eastAsia="Geomanist Light" w:hAnsi="Arial" w:cs="Arial"/>
          <w:color w:val="000000" w:themeColor="text1"/>
          <w:lang w:val="es-MX"/>
        </w:rPr>
      </w:pPr>
    </w:p>
    <w:p w14:paraId="4E8B92CD" w14:textId="77777777" w:rsidR="002525A7" w:rsidRDefault="002525A7" w:rsidP="002525A7">
      <w:pPr>
        <w:jc w:val="both"/>
        <w:rPr>
          <w:rFonts w:ascii="Arial" w:eastAsia="Geomanist Light" w:hAnsi="Arial" w:cs="Arial"/>
          <w:color w:val="000000" w:themeColor="text1"/>
          <w:lang w:val="es-MX"/>
        </w:rPr>
      </w:pPr>
    </w:p>
    <w:p w14:paraId="16405781" w14:textId="77777777" w:rsidR="002525A7" w:rsidRDefault="002525A7" w:rsidP="002525A7">
      <w:pPr>
        <w:jc w:val="both"/>
        <w:rPr>
          <w:rFonts w:ascii="Arial" w:eastAsia="Geomanist Light" w:hAnsi="Arial" w:cs="Arial"/>
          <w:color w:val="000000" w:themeColor="text1"/>
          <w:lang w:val="es-MX"/>
        </w:rPr>
      </w:pPr>
    </w:p>
    <w:p w14:paraId="1A699E3C" w14:textId="77777777" w:rsidR="002525A7" w:rsidRDefault="002525A7" w:rsidP="002525A7">
      <w:pPr>
        <w:jc w:val="both"/>
        <w:rPr>
          <w:rFonts w:ascii="Arial" w:eastAsia="Geomanist Light" w:hAnsi="Arial" w:cs="Arial"/>
          <w:color w:val="000000" w:themeColor="text1"/>
          <w:lang w:val="es-MX"/>
        </w:rPr>
      </w:pPr>
    </w:p>
    <w:p w14:paraId="44C2F3BA" w14:textId="77777777" w:rsidR="002525A7" w:rsidRDefault="002525A7" w:rsidP="002525A7">
      <w:pPr>
        <w:jc w:val="both"/>
        <w:rPr>
          <w:rFonts w:ascii="Arial" w:eastAsia="Geomanist Light" w:hAnsi="Arial" w:cs="Arial"/>
          <w:color w:val="000000" w:themeColor="text1"/>
          <w:lang w:val="es-MX"/>
        </w:rPr>
      </w:pPr>
    </w:p>
    <w:p w14:paraId="3E28930C" w14:textId="77777777" w:rsidR="002525A7" w:rsidRDefault="002525A7" w:rsidP="002525A7">
      <w:pPr>
        <w:jc w:val="both"/>
        <w:rPr>
          <w:rFonts w:ascii="Arial" w:eastAsia="Geomanist Light" w:hAnsi="Arial" w:cs="Arial"/>
          <w:color w:val="000000" w:themeColor="text1"/>
          <w:lang w:val="es-MX"/>
        </w:rPr>
      </w:pPr>
    </w:p>
    <w:p w14:paraId="0A001FA1" w14:textId="77777777" w:rsidR="002525A7" w:rsidRDefault="002525A7" w:rsidP="002525A7">
      <w:pPr>
        <w:jc w:val="both"/>
        <w:rPr>
          <w:rFonts w:ascii="Arial" w:eastAsia="Geomanist Light" w:hAnsi="Arial" w:cs="Arial"/>
          <w:color w:val="000000" w:themeColor="text1"/>
          <w:lang w:val="es-MX"/>
        </w:rPr>
      </w:pPr>
    </w:p>
    <w:p w14:paraId="7EC08BD7" w14:textId="77777777" w:rsidR="002525A7" w:rsidRDefault="002525A7" w:rsidP="002525A7">
      <w:pPr>
        <w:jc w:val="both"/>
        <w:rPr>
          <w:rFonts w:ascii="Arial" w:eastAsia="Geomanist Light" w:hAnsi="Arial" w:cs="Arial"/>
          <w:color w:val="000000" w:themeColor="text1"/>
          <w:lang w:val="es-MX"/>
        </w:rPr>
      </w:pPr>
    </w:p>
    <w:p w14:paraId="134E701B" w14:textId="77777777" w:rsidR="002525A7" w:rsidRDefault="002525A7" w:rsidP="002525A7">
      <w:pPr>
        <w:jc w:val="both"/>
        <w:rPr>
          <w:rFonts w:ascii="Arial" w:eastAsia="Geomanist Light" w:hAnsi="Arial" w:cs="Arial"/>
          <w:color w:val="000000" w:themeColor="text1"/>
          <w:lang w:val="es-MX"/>
        </w:rPr>
      </w:pPr>
    </w:p>
    <w:p w14:paraId="5D168218" w14:textId="3BC1C279" w:rsidR="001E4CE0" w:rsidRDefault="001E4CE0" w:rsidP="002525A7">
      <w:pPr>
        <w:jc w:val="both"/>
        <w:rPr>
          <w:rFonts w:ascii="Arial" w:eastAsia="Geomanist Light" w:hAnsi="Arial" w:cs="Arial"/>
          <w:color w:val="201F1E"/>
          <w:lang w:val="es-MX"/>
        </w:rPr>
      </w:pPr>
      <w:r w:rsidRPr="00E725FE">
        <w:rPr>
          <w:rFonts w:ascii="Arial" w:eastAsia="Geomanist Light" w:hAnsi="Arial" w:cs="Arial"/>
          <w:color w:val="000000" w:themeColor="text1"/>
          <w:lang w:val="es-MX"/>
        </w:rPr>
        <w:lastRenderedPageBreak/>
        <w:t>Bogotá D.C., </w:t>
      </w:r>
      <w:r w:rsidR="008D214A">
        <w:rPr>
          <w:rFonts w:ascii="Arial" w:eastAsia="Geomanist Light" w:hAnsi="Arial" w:cs="Arial"/>
          <w:color w:val="201F1E"/>
          <w:lang w:val="es-MX"/>
        </w:rPr>
        <w:t>13 de junio de 2023</w:t>
      </w:r>
    </w:p>
    <w:p w14:paraId="07587AD3" w14:textId="77777777" w:rsidR="008D214A" w:rsidRDefault="008D214A" w:rsidP="002525A7">
      <w:pPr>
        <w:jc w:val="both"/>
        <w:rPr>
          <w:rFonts w:ascii="Arial" w:eastAsia="Geomanist Light" w:hAnsi="Arial" w:cs="Arial"/>
          <w:color w:val="201F1E"/>
          <w:lang w:val="es-MX"/>
        </w:rPr>
      </w:pPr>
    </w:p>
    <w:p w14:paraId="2968C89A" w14:textId="4C4F6391" w:rsidR="008D214A" w:rsidRPr="00E725FE" w:rsidRDefault="008D214A" w:rsidP="002525A7">
      <w:pPr>
        <w:jc w:val="right"/>
        <w:rPr>
          <w:rFonts w:ascii="Arial" w:eastAsia="Geomanist Light" w:hAnsi="Arial" w:cs="Arial"/>
          <w:color w:val="201F1E"/>
          <w:lang w:val="es-MX"/>
        </w:rPr>
      </w:pPr>
      <w:r w:rsidRPr="008D214A">
        <w:rPr>
          <w:rFonts w:ascii="Arial" w:eastAsia="Geomanist Light" w:hAnsi="Arial" w:cs="Arial"/>
          <w:noProof/>
          <w:color w:val="201F1E"/>
          <w:lang w:val="es-MX"/>
        </w:rPr>
        <w:drawing>
          <wp:inline distT="0" distB="0" distL="0" distR="0" wp14:anchorId="5F615F4D" wp14:editId="0E3502D4">
            <wp:extent cx="2884492" cy="714375"/>
            <wp:effectExtent l="0" t="0" r="0" b="0"/>
            <wp:docPr id="20005649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87154" cy="715034"/>
                    </a:xfrm>
                    <a:prstGeom prst="rect">
                      <a:avLst/>
                    </a:prstGeom>
                    <a:noFill/>
                    <a:ln>
                      <a:noFill/>
                    </a:ln>
                  </pic:spPr>
                </pic:pic>
              </a:graphicData>
            </a:graphic>
          </wp:inline>
        </w:drawing>
      </w:r>
    </w:p>
    <w:p w14:paraId="4389BA1F" w14:textId="77777777" w:rsidR="001E4CE0" w:rsidRPr="00755B2F" w:rsidRDefault="001E4CE0" w:rsidP="002525A7">
      <w:pPr>
        <w:spacing w:after="0" w:line="276" w:lineRule="auto"/>
        <w:jc w:val="both"/>
        <w:textAlignment w:val="baseline"/>
        <w:rPr>
          <w:rFonts w:ascii="Arial" w:eastAsia="Times New Roman" w:hAnsi="Arial" w:cs="Arial"/>
          <w:lang w:val="es-MX" w:eastAsia="es-CO"/>
        </w:rPr>
      </w:pPr>
    </w:p>
    <w:p w14:paraId="15B60437" w14:textId="77777777" w:rsidR="001E4CE0" w:rsidRPr="00EB6889" w:rsidRDefault="001E4CE0" w:rsidP="002525A7">
      <w:pPr>
        <w:spacing w:after="0" w:line="276" w:lineRule="auto"/>
        <w:jc w:val="both"/>
        <w:textAlignment w:val="baseline"/>
        <w:rPr>
          <w:rFonts w:ascii="Arial" w:eastAsia="Calibri" w:hAnsi="Arial" w:cs="Arial"/>
        </w:rPr>
      </w:pPr>
      <w:r w:rsidRPr="00EB6889">
        <w:rPr>
          <w:rFonts w:ascii="Arial" w:eastAsia="Calibri" w:hAnsi="Arial" w:cs="Arial"/>
        </w:rPr>
        <w:t xml:space="preserve">Señor </w:t>
      </w:r>
    </w:p>
    <w:p w14:paraId="02CC7A5E" w14:textId="77777777" w:rsidR="001E4CE0" w:rsidRPr="00EB6889" w:rsidRDefault="001E4CE0" w:rsidP="002525A7">
      <w:pPr>
        <w:autoSpaceDE w:val="0"/>
        <w:autoSpaceDN w:val="0"/>
        <w:adjustRightInd w:val="0"/>
        <w:spacing w:after="0" w:line="276" w:lineRule="auto"/>
        <w:jc w:val="both"/>
        <w:rPr>
          <w:rFonts w:ascii="Arial" w:eastAsia="Calibri" w:hAnsi="Arial" w:cs="Arial"/>
          <w:b/>
          <w:bCs/>
        </w:rPr>
      </w:pPr>
      <w:r w:rsidRPr="00EB6889">
        <w:rPr>
          <w:rFonts w:ascii="Arial" w:eastAsia="Calibri" w:hAnsi="Arial" w:cs="Arial"/>
          <w:b/>
          <w:bCs/>
        </w:rPr>
        <w:t>Sebastián Gómez Munar</w:t>
      </w:r>
    </w:p>
    <w:p w14:paraId="797F0717" w14:textId="77777777" w:rsidR="001E4CE0" w:rsidRPr="00656151" w:rsidRDefault="001E4CE0" w:rsidP="002525A7">
      <w:pPr>
        <w:spacing w:after="0" w:line="276" w:lineRule="auto"/>
        <w:jc w:val="both"/>
        <w:textAlignment w:val="baseline"/>
        <w:rPr>
          <w:rFonts w:ascii="Arial" w:hAnsi="Arial" w:cs="Arial"/>
        </w:rPr>
      </w:pPr>
      <w:r w:rsidRPr="00656151">
        <w:rPr>
          <w:rFonts w:ascii="Arial" w:hAnsi="Arial" w:cs="Arial"/>
        </w:rPr>
        <w:t>Bogotá D.C.</w:t>
      </w:r>
    </w:p>
    <w:p w14:paraId="193FFE3D" w14:textId="77777777" w:rsidR="001E4CE0" w:rsidRDefault="001E4CE0" w:rsidP="002525A7">
      <w:pPr>
        <w:spacing w:after="0" w:line="276" w:lineRule="auto"/>
        <w:jc w:val="both"/>
        <w:textAlignment w:val="baseline"/>
        <w:rPr>
          <w:rFonts w:ascii="Arial" w:eastAsia="Times New Roman" w:hAnsi="Arial" w:cs="Arial"/>
          <w:lang w:eastAsia="es-CO"/>
        </w:rPr>
      </w:pPr>
    </w:p>
    <w:p w14:paraId="47091E89" w14:textId="70DBE994" w:rsidR="001E4CE0" w:rsidRPr="00656151" w:rsidRDefault="001E4CE0" w:rsidP="001E4CE0">
      <w:pPr>
        <w:spacing w:after="0" w:line="276" w:lineRule="auto"/>
        <w:jc w:val="center"/>
        <w:textAlignment w:val="baseline"/>
        <w:rPr>
          <w:rFonts w:ascii="Arial" w:eastAsia="Times New Roman" w:hAnsi="Arial" w:cs="Arial"/>
          <w:b/>
          <w:bCs/>
          <w:lang w:eastAsia="es-CO"/>
        </w:rPr>
      </w:pPr>
      <w:r w:rsidRPr="00656151">
        <w:rPr>
          <w:rFonts w:ascii="Arial" w:eastAsia="Times New Roman" w:hAnsi="Arial" w:cs="Arial"/>
          <w:b/>
          <w:bCs/>
          <w:lang w:eastAsia="es-CO"/>
        </w:rPr>
        <w:t>Concepto C-1</w:t>
      </w:r>
      <w:r>
        <w:rPr>
          <w:rFonts w:ascii="Arial" w:eastAsia="Times New Roman" w:hAnsi="Arial" w:cs="Arial"/>
          <w:b/>
          <w:bCs/>
          <w:lang w:eastAsia="es-CO"/>
        </w:rPr>
        <w:t>46</w:t>
      </w:r>
      <w:r w:rsidRPr="00656151">
        <w:rPr>
          <w:rFonts w:ascii="Arial" w:eastAsia="Times New Roman" w:hAnsi="Arial" w:cs="Arial"/>
          <w:b/>
          <w:bCs/>
          <w:lang w:eastAsia="es-CO"/>
        </w:rPr>
        <w:t xml:space="preserve"> de 2023</w:t>
      </w:r>
    </w:p>
    <w:p w14:paraId="43E54656" w14:textId="77777777" w:rsidR="001E4CE0" w:rsidRDefault="001E4CE0" w:rsidP="001E4CE0">
      <w:pPr>
        <w:spacing w:after="0" w:line="276" w:lineRule="auto"/>
        <w:textAlignment w:val="baseline"/>
        <w:rPr>
          <w:rFonts w:ascii="Arial" w:eastAsia="Times New Roman" w:hAnsi="Arial" w:cs="Arial"/>
          <w:lang w:eastAsia="es-CO"/>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1E4CE0" w:rsidRPr="0006291B" w14:paraId="3F253BC9" w14:textId="77777777" w:rsidTr="00BC540F">
        <w:tc>
          <w:tcPr>
            <w:tcW w:w="2689" w:type="dxa"/>
          </w:tcPr>
          <w:p w14:paraId="4DC81F8B" w14:textId="77777777" w:rsidR="001E4CE0" w:rsidRPr="00C046D8" w:rsidRDefault="001E4CE0" w:rsidP="00BC540F">
            <w:pPr>
              <w:contextualSpacing/>
              <w:jc w:val="both"/>
              <w:rPr>
                <w:rFonts w:ascii="Arial" w:eastAsia="Calibri" w:hAnsi="Arial" w:cs="Arial"/>
                <w:lang w:val="es-ES_tradnl" w:eastAsia="es-ES_tradnl"/>
              </w:rPr>
            </w:pPr>
            <w:r w:rsidRPr="00C046D8">
              <w:rPr>
                <w:rFonts w:ascii="Arial" w:eastAsia="Calibri" w:hAnsi="Arial" w:cs="Arial"/>
                <w:b/>
                <w:lang w:val="es-ES_tradnl" w:eastAsia="es-ES_tradnl"/>
              </w:rPr>
              <w:t>Temas:</w:t>
            </w:r>
            <w:r w:rsidRPr="00C046D8">
              <w:rPr>
                <w:rFonts w:ascii="Arial" w:eastAsia="Calibri" w:hAnsi="Arial" w:cs="Arial"/>
                <w:lang w:val="es-ES_tradnl" w:eastAsia="es-ES_tradnl"/>
              </w:rPr>
              <w:t xml:space="preserve">                                      </w:t>
            </w:r>
          </w:p>
        </w:tc>
        <w:tc>
          <w:tcPr>
            <w:tcW w:w="6237" w:type="dxa"/>
          </w:tcPr>
          <w:p w14:paraId="116EEA38" w14:textId="7E0A0E6C" w:rsidR="001E4CE0" w:rsidRDefault="001E4CE0" w:rsidP="00BC540F">
            <w:pPr>
              <w:spacing w:after="120" w:line="276" w:lineRule="auto"/>
              <w:contextualSpacing/>
              <w:jc w:val="both"/>
              <w:rPr>
                <w:rFonts w:ascii="Arial" w:eastAsia="Calibri" w:hAnsi="Arial" w:cs="Arial"/>
                <w:bCs/>
                <w:lang w:val="es-MX" w:eastAsia="es-ES_tradnl"/>
              </w:rPr>
            </w:pPr>
            <w:r w:rsidRPr="000F5EC3">
              <w:rPr>
                <w:rFonts w:ascii="Arial" w:eastAsia="Calibri" w:hAnsi="Arial" w:cs="Arial"/>
                <w:bCs/>
                <w:lang w:val="es-MX" w:eastAsia="es-ES_tradnl"/>
              </w:rPr>
              <w:t>EXPERIENCIA – Noción ‒ Colombia Compra Eficiente</w:t>
            </w:r>
            <w:r>
              <w:rPr>
                <w:rFonts w:ascii="Arial" w:eastAsia="Calibri" w:hAnsi="Arial" w:cs="Arial"/>
                <w:bCs/>
                <w:lang w:val="es-MX" w:eastAsia="es-ES_tradnl"/>
              </w:rPr>
              <w:t xml:space="preserve"> / </w:t>
            </w:r>
            <w:r w:rsidRPr="000F5EC3">
              <w:rPr>
                <w:rFonts w:ascii="Arial" w:eastAsia="Calibri" w:hAnsi="Arial" w:cs="Arial"/>
                <w:bCs/>
                <w:lang w:val="es-MX" w:eastAsia="es-ES_tradnl"/>
              </w:rPr>
              <w:t>SOCIEDADES NUEVAS ‒ Experiencia ‒ Inferior a tres años ‒ Requisitos habilitantes ‒ Desarrollo de la empresa</w:t>
            </w:r>
            <w:r>
              <w:rPr>
                <w:rFonts w:ascii="Arial" w:eastAsia="Calibri" w:hAnsi="Arial" w:cs="Arial"/>
                <w:bCs/>
                <w:lang w:val="es-MX" w:eastAsia="es-ES_tradnl"/>
              </w:rPr>
              <w:t xml:space="preserve"> / </w:t>
            </w:r>
            <w:r w:rsidRPr="000F5EC3">
              <w:rPr>
                <w:rFonts w:ascii="Arial" w:eastAsia="Calibri" w:hAnsi="Arial" w:cs="Arial"/>
                <w:bCs/>
                <w:lang w:val="es-MX" w:eastAsia="es-ES_tradnl"/>
              </w:rPr>
              <w:t>EXPERIENCIA ‒ Conservación ‒ Renovación RUP ‒ Cesación efectos RUP</w:t>
            </w:r>
            <w:r>
              <w:rPr>
                <w:rFonts w:ascii="Arial" w:eastAsia="Calibri" w:hAnsi="Arial" w:cs="Arial"/>
                <w:bCs/>
                <w:lang w:val="es-MX" w:eastAsia="es-ES_tradnl"/>
              </w:rPr>
              <w:t xml:space="preserve"> / </w:t>
            </w:r>
            <w:r w:rsidRPr="000F5EC3">
              <w:rPr>
                <w:rFonts w:ascii="Arial" w:eastAsia="Calibri" w:hAnsi="Arial" w:cs="Arial"/>
                <w:bCs/>
                <w:lang w:val="es-MX" w:eastAsia="es-ES_tradnl"/>
              </w:rPr>
              <w:t xml:space="preserve">EXPERIENCIA – Conservación – Sociedades – Menor a 3 años de constitución </w:t>
            </w:r>
            <w:r>
              <w:rPr>
                <w:rFonts w:ascii="Arial" w:eastAsia="Calibri" w:hAnsi="Arial" w:cs="Arial"/>
                <w:bCs/>
                <w:lang w:val="es-MX" w:eastAsia="es-ES_tradnl"/>
              </w:rPr>
              <w:t xml:space="preserve">/ </w:t>
            </w:r>
            <w:r w:rsidRPr="000F5EC3">
              <w:rPr>
                <w:rFonts w:ascii="Arial" w:eastAsia="Calibri" w:hAnsi="Arial" w:cs="Arial"/>
                <w:bCs/>
                <w:lang w:val="es-MX" w:eastAsia="es-ES_tradnl"/>
              </w:rPr>
              <w:t xml:space="preserve">EXPERIENCIA – Conservación – Sociedades – Menor a 3 años de constitución </w:t>
            </w:r>
            <w:r>
              <w:rPr>
                <w:rFonts w:ascii="Arial" w:eastAsia="Calibri" w:hAnsi="Arial" w:cs="Arial"/>
                <w:bCs/>
                <w:lang w:val="es-MX" w:eastAsia="es-ES_tradnl"/>
              </w:rPr>
              <w:t xml:space="preserve">– Posibilidad de ponderar experiencia de los socios – Porcentaje de participación </w:t>
            </w:r>
          </w:p>
          <w:p w14:paraId="671C2E33" w14:textId="77777777" w:rsidR="001E4CE0" w:rsidRPr="0006291B" w:rsidRDefault="001E4CE0" w:rsidP="00BC540F">
            <w:pPr>
              <w:spacing w:after="120"/>
              <w:contextualSpacing/>
              <w:jc w:val="both"/>
              <w:rPr>
                <w:rFonts w:ascii="Arial" w:eastAsia="Calibri" w:hAnsi="Arial" w:cs="Arial"/>
                <w:bCs/>
                <w:sz w:val="12"/>
                <w:szCs w:val="12"/>
                <w:lang w:val="es-ES_tradnl" w:eastAsia="es-ES_tradnl"/>
              </w:rPr>
            </w:pPr>
          </w:p>
        </w:tc>
      </w:tr>
      <w:tr w:rsidR="001E4CE0" w:rsidRPr="00C046D8" w14:paraId="7ACDB582" w14:textId="77777777" w:rsidTr="00BC540F">
        <w:trPr>
          <w:trHeight w:val="227"/>
        </w:trPr>
        <w:tc>
          <w:tcPr>
            <w:tcW w:w="2689" w:type="dxa"/>
          </w:tcPr>
          <w:p w14:paraId="12735F05" w14:textId="77777777" w:rsidR="001E4CE0" w:rsidRPr="00C046D8" w:rsidRDefault="001E4CE0" w:rsidP="00BC540F">
            <w:pPr>
              <w:contextualSpacing/>
              <w:jc w:val="both"/>
              <w:rPr>
                <w:rFonts w:ascii="Arial" w:eastAsia="Calibri" w:hAnsi="Arial" w:cs="Arial"/>
                <w:b/>
                <w:lang w:val="es-ES_tradnl" w:eastAsia="es-ES_tradnl"/>
              </w:rPr>
            </w:pPr>
            <w:r w:rsidRPr="00C046D8">
              <w:rPr>
                <w:rFonts w:ascii="Arial" w:eastAsia="Calibri" w:hAnsi="Arial" w:cs="Arial"/>
                <w:b/>
                <w:lang w:val="es-ES_tradnl" w:eastAsia="es-ES_tradnl"/>
              </w:rPr>
              <w:t>Radicación:</w:t>
            </w:r>
            <w:r w:rsidRPr="00C046D8">
              <w:rPr>
                <w:rFonts w:ascii="Arial" w:eastAsia="Calibri" w:hAnsi="Arial" w:cs="Arial"/>
                <w:lang w:val="es-ES_tradnl" w:eastAsia="es-ES_tradnl"/>
              </w:rPr>
              <w:t xml:space="preserve">                             </w:t>
            </w:r>
          </w:p>
        </w:tc>
        <w:tc>
          <w:tcPr>
            <w:tcW w:w="6237" w:type="dxa"/>
          </w:tcPr>
          <w:p w14:paraId="6F1103DA" w14:textId="77777777" w:rsidR="001E4CE0" w:rsidRPr="00C046D8" w:rsidRDefault="001E4CE0" w:rsidP="00BC540F">
            <w:pPr>
              <w:contextualSpacing/>
              <w:jc w:val="both"/>
              <w:rPr>
                <w:rFonts w:ascii="Arial" w:eastAsia="Calibri" w:hAnsi="Arial" w:cs="Arial"/>
                <w:lang w:val="es-ES_tradnl" w:eastAsia="es-ES_tradnl"/>
              </w:rPr>
            </w:pPr>
            <w:r w:rsidRPr="0006291B">
              <w:rPr>
                <w:rFonts w:ascii="Arial" w:eastAsia="Calibri" w:hAnsi="Arial" w:cs="Arial"/>
                <w:lang w:val="es-ES_tradnl" w:eastAsia="es-ES_tradnl"/>
              </w:rPr>
              <w:t xml:space="preserve">Respuesta a consulta </w:t>
            </w:r>
            <w:r w:rsidRPr="00755B2F">
              <w:rPr>
                <w:rFonts w:ascii="Arial" w:eastAsia="Times New Roman" w:hAnsi="Arial" w:cs="Arial"/>
                <w:lang w:eastAsia="es-CO"/>
              </w:rPr>
              <w:t>P20230428003795</w:t>
            </w:r>
          </w:p>
        </w:tc>
      </w:tr>
    </w:tbl>
    <w:p w14:paraId="40B92B0C" w14:textId="77777777" w:rsidR="001E4CE0" w:rsidRDefault="001E4CE0" w:rsidP="001E4CE0">
      <w:pPr>
        <w:spacing w:after="0" w:line="276" w:lineRule="auto"/>
        <w:textAlignment w:val="baseline"/>
        <w:rPr>
          <w:rFonts w:ascii="Arial" w:eastAsia="Times New Roman" w:hAnsi="Arial" w:cs="Arial"/>
          <w:lang w:eastAsia="es-CO"/>
        </w:rPr>
      </w:pPr>
    </w:p>
    <w:p w14:paraId="1AB537B7" w14:textId="77777777" w:rsidR="001E4CE0" w:rsidRPr="00755B2F" w:rsidRDefault="001E4CE0" w:rsidP="001E4CE0">
      <w:pPr>
        <w:spacing w:after="0" w:line="276" w:lineRule="auto"/>
        <w:textAlignment w:val="baseline"/>
        <w:rPr>
          <w:rFonts w:ascii="Arial" w:eastAsia="Times New Roman" w:hAnsi="Arial" w:cs="Arial"/>
          <w:lang w:val="es-MX" w:eastAsia="es-CO"/>
        </w:rPr>
      </w:pPr>
      <w:r w:rsidRPr="00755B2F">
        <w:rPr>
          <w:rFonts w:ascii="Arial" w:eastAsia="Times New Roman" w:hAnsi="Arial" w:cs="Arial"/>
          <w:lang w:eastAsia="es-CO"/>
        </w:rPr>
        <w:t xml:space="preserve">                         </w:t>
      </w:r>
    </w:p>
    <w:p w14:paraId="35271E7B" w14:textId="77777777" w:rsidR="001E4CE0" w:rsidRPr="00755B2F" w:rsidRDefault="001E4CE0" w:rsidP="001E4CE0">
      <w:pPr>
        <w:spacing w:after="0" w:line="276" w:lineRule="auto"/>
        <w:textAlignment w:val="baseline"/>
        <w:rPr>
          <w:rFonts w:ascii="Arial" w:eastAsia="Times New Roman" w:hAnsi="Arial" w:cs="Arial"/>
          <w:lang w:val="es-MX" w:eastAsia="es-CO"/>
        </w:rPr>
      </w:pPr>
    </w:p>
    <w:p w14:paraId="38C91499" w14:textId="77777777" w:rsidR="001E4CE0" w:rsidRDefault="001E4CE0" w:rsidP="001E4CE0">
      <w:pPr>
        <w:spacing w:after="0" w:line="276" w:lineRule="auto"/>
        <w:textAlignment w:val="baseline"/>
        <w:rPr>
          <w:rFonts w:ascii="Arial" w:eastAsia="Times New Roman" w:hAnsi="Arial" w:cs="Arial"/>
          <w:lang w:val="es-MX" w:eastAsia="es-CO"/>
        </w:rPr>
      </w:pPr>
      <w:r w:rsidRPr="00FD4FB1">
        <w:rPr>
          <w:rFonts w:ascii="Arial" w:eastAsia="Times New Roman" w:hAnsi="Arial" w:cs="Arial"/>
          <w:lang w:val="es-MX" w:eastAsia="es-CO"/>
        </w:rPr>
        <w:t xml:space="preserve">Respetado </w:t>
      </w:r>
      <w:r w:rsidRPr="00FD4FB1">
        <w:rPr>
          <w:rFonts w:ascii="Arial" w:eastAsia="Times New Roman" w:hAnsi="Arial" w:cs="Arial"/>
          <w:lang w:eastAsia="es-CO"/>
        </w:rPr>
        <w:t>señor G</w:t>
      </w:r>
      <w:r>
        <w:rPr>
          <w:rFonts w:ascii="Arial" w:eastAsia="Times New Roman" w:hAnsi="Arial" w:cs="Arial"/>
          <w:lang w:eastAsia="es-CO"/>
        </w:rPr>
        <w:t>ó</w:t>
      </w:r>
      <w:r w:rsidRPr="00FD4FB1">
        <w:rPr>
          <w:rFonts w:ascii="Arial" w:eastAsia="Times New Roman" w:hAnsi="Arial" w:cs="Arial"/>
          <w:lang w:eastAsia="es-CO"/>
        </w:rPr>
        <w:t>mez Munar</w:t>
      </w:r>
      <w:r w:rsidRPr="00FD4FB1">
        <w:rPr>
          <w:rFonts w:ascii="Arial" w:eastAsia="Times New Roman" w:hAnsi="Arial" w:cs="Arial"/>
          <w:lang w:val="es-MX" w:eastAsia="es-CO"/>
        </w:rPr>
        <w:t>:</w:t>
      </w:r>
    </w:p>
    <w:p w14:paraId="1528091A" w14:textId="77777777" w:rsidR="001E4CE0" w:rsidRDefault="001E4CE0" w:rsidP="001E4CE0">
      <w:pPr>
        <w:spacing w:after="0" w:line="276" w:lineRule="auto"/>
        <w:textAlignment w:val="baseline"/>
        <w:rPr>
          <w:rFonts w:ascii="Arial" w:eastAsia="Times New Roman" w:hAnsi="Arial" w:cs="Arial"/>
          <w:lang w:val="es-MX" w:eastAsia="es-CO"/>
        </w:rPr>
      </w:pPr>
    </w:p>
    <w:p w14:paraId="3BF1E3EA" w14:textId="77777777" w:rsidR="001E4CE0" w:rsidRPr="0067709B" w:rsidRDefault="001E4CE0" w:rsidP="001E4CE0">
      <w:pPr>
        <w:spacing w:after="0" w:line="276" w:lineRule="auto"/>
        <w:jc w:val="both"/>
        <w:rPr>
          <w:rFonts w:ascii="Arial" w:eastAsia="Calibri" w:hAnsi="Arial" w:cs="Arial"/>
          <w:color w:val="000000" w:themeColor="text1"/>
        </w:rPr>
      </w:pPr>
      <w:r w:rsidRPr="0067709B">
        <w:rPr>
          <w:rFonts w:ascii="Arial" w:eastAsia="Calibri" w:hAnsi="Arial" w:cs="Arial"/>
          <w:color w:val="000000" w:themeColor="text1"/>
        </w:rPr>
        <w:t>En ejercicio de la competencia otorgada por el numeral 8</w:t>
      </w:r>
      <w:r>
        <w:rPr>
          <w:rFonts w:ascii="Arial" w:eastAsia="Calibri" w:hAnsi="Arial" w:cs="Arial"/>
          <w:color w:val="000000" w:themeColor="text1"/>
        </w:rPr>
        <w:t>°</w:t>
      </w:r>
      <w:r w:rsidRPr="0067709B">
        <w:rPr>
          <w:rFonts w:ascii="Arial" w:eastAsia="Calibri" w:hAnsi="Arial" w:cs="Arial"/>
          <w:color w:val="000000" w:themeColor="text1"/>
        </w:rPr>
        <w:t xml:space="preserve"> del artículo 11 y el numeral 5</w:t>
      </w:r>
      <w:r>
        <w:rPr>
          <w:rFonts w:ascii="Arial" w:eastAsia="Calibri" w:hAnsi="Arial" w:cs="Arial"/>
          <w:color w:val="000000" w:themeColor="text1"/>
        </w:rPr>
        <w:t>°</w:t>
      </w:r>
      <w:r w:rsidRPr="0067709B">
        <w:rPr>
          <w:rFonts w:ascii="Arial" w:eastAsia="Calibri" w:hAnsi="Arial" w:cs="Arial"/>
          <w:color w:val="000000" w:themeColor="text1"/>
        </w:rPr>
        <w:t xml:space="preserve"> del artículo 3 del Decreto Ley 4170 de 2011, la Agencia Nacional de Contratación Pública – Colombia Compra Eficiente responde su consulta del 28 de </w:t>
      </w:r>
      <w:r>
        <w:rPr>
          <w:rFonts w:ascii="Arial" w:eastAsia="Calibri" w:hAnsi="Arial" w:cs="Arial"/>
          <w:color w:val="000000" w:themeColor="text1"/>
        </w:rPr>
        <w:t xml:space="preserve">abril </w:t>
      </w:r>
      <w:r w:rsidRPr="0067709B">
        <w:rPr>
          <w:rFonts w:ascii="Arial" w:eastAsia="Calibri" w:hAnsi="Arial" w:cs="Arial"/>
          <w:color w:val="000000" w:themeColor="text1"/>
        </w:rPr>
        <w:t>de 202</w:t>
      </w:r>
      <w:r>
        <w:rPr>
          <w:rFonts w:ascii="Arial" w:eastAsia="Calibri" w:hAnsi="Arial" w:cs="Arial"/>
          <w:color w:val="000000" w:themeColor="text1"/>
        </w:rPr>
        <w:t>3</w:t>
      </w:r>
      <w:r w:rsidRPr="0067709B">
        <w:rPr>
          <w:rFonts w:ascii="Arial" w:eastAsia="Calibri" w:hAnsi="Arial" w:cs="Arial"/>
          <w:color w:val="000000" w:themeColor="text1"/>
        </w:rPr>
        <w:t>.</w:t>
      </w:r>
    </w:p>
    <w:p w14:paraId="49C16E0F" w14:textId="77777777" w:rsidR="001E4CE0" w:rsidRDefault="001E4CE0" w:rsidP="001E4CE0">
      <w:pPr>
        <w:spacing w:after="0" w:line="276" w:lineRule="auto"/>
        <w:textAlignment w:val="baseline"/>
        <w:rPr>
          <w:rFonts w:ascii="Arial" w:eastAsia="Times New Roman" w:hAnsi="Arial" w:cs="Arial"/>
          <w:lang w:val="es-MX" w:eastAsia="es-CO"/>
        </w:rPr>
      </w:pPr>
    </w:p>
    <w:p w14:paraId="1CA81E6D" w14:textId="77777777" w:rsidR="001E4CE0" w:rsidRPr="00656151" w:rsidRDefault="001E4CE0" w:rsidP="001E4CE0">
      <w:pPr>
        <w:pStyle w:val="Prrafodelista"/>
        <w:numPr>
          <w:ilvl w:val="0"/>
          <w:numId w:val="6"/>
        </w:numPr>
        <w:spacing w:after="0" w:line="276" w:lineRule="auto"/>
        <w:ind w:left="426" w:hanging="426"/>
        <w:textAlignment w:val="baseline"/>
        <w:rPr>
          <w:rFonts w:ascii="Arial" w:eastAsia="Times New Roman" w:hAnsi="Arial" w:cs="Arial"/>
          <w:b/>
          <w:bCs/>
          <w:lang w:val="es-MX" w:eastAsia="es-CO"/>
        </w:rPr>
      </w:pPr>
      <w:r w:rsidRPr="00656151">
        <w:rPr>
          <w:rFonts w:ascii="Arial" w:eastAsia="Times New Roman" w:hAnsi="Arial" w:cs="Arial"/>
          <w:b/>
          <w:bCs/>
          <w:lang w:val="es-MX" w:eastAsia="es-CO"/>
        </w:rPr>
        <w:t>Problema planteado</w:t>
      </w:r>
    </w:p>
    <w:p w14:paraId="78A4016D" w14:textId="77777777" w:rsidR="001E4CE0" w:rsidRDefault="001E4CE0" w:rsidP="001E4CE0">
      <w:pPr>
        <w:spacing w:after="0" w:line="240" w:lineRule="auto"/>
        <w:jc w:val="both"/>
        <w:textAlignment w:val="baseline"/>
        <w:rPr>
          <w:rFonts w:ascii="Arial" w:eastAsia="Calibri" w:hAnsi="Arial" w:cs="Arial"/>
        </w:rPr>
      </w:pPr>
    </w:p>
    <w:p w14:paraId="46D7BDE4" w14:textId="77777777" w:rsidR="001E4CE0" w:rsidRDefault="001E4CE0" w:rsidP="001E4CE0">
      <w:pPr>
        <w:spacing w:after="0" w:line="276" w:lineRule="auto"/>
        <w:jc w:val="both"/>
        <w:textAlignment w:val="baseline"/>
        <w:rPr>
          <w:rFonts w:ascii="Arial" w:eastAsia="Calibri" w:hAnsi="Arial" w:cs="Arial"/>
        </w:rPr>
      </w:pPr>
      <w:r>
        <w:rPr>
          <w:rFonts w:ascii="Arial" w:eastAsia="Calibri" w:hAnsi="Arial" w:cs="Arial"/>
        </w:rPr>
        <w:t xml:space="preserve">Usted realiza la siguiente consulta sobre la prerrogativa prevista en el numeral 2.5 del artículo </w:t>
      </w:r>
      <w:r w:rsidRPr="00071199">
        <w:rPr>
          <w:rFonts w:ascii="Arial" w:eastAsia="Calibri" w:hAnsi="Arial" w:cs="Arial"/>
          <w:lang w:val="es-ES"/>
        </w:rPr>
        <w:t>2.2.1.1.1.5.2</w:t>
      </w:r>
      <w:r>
        <w:rPr>
          <w:rFonts w:ascii="Arial" w:eastAsia="Calibri" w:hAnsi="Arial" w:cs="Arial"/>
          <w:lang w:val="es-ES"/>
        </w:rPr>
        <w:t xml:space="preserve"> del Decreto 1082 de 2015. Al respecto pregunta:</w:t>
      </w:r>
    </w:p>
    <w:p w14:paraId="5D9CA114" w14:textId="77777777" w:rsidR="001E4CE0" w:rsidRDefault="001E4CE0" w:rsidP="001E4CE0">
      <w:pPr>
        <w:pStyle w:val="Default"/>
        <w:ind w:left="709" w:right="709"/>
        <w:jc w:val="both"/>
        <w:rPr>
          <w:rFonts w:eastAsia="Calibri"/>
          <w:sz w:val="21"/>
          <w:szCs w:val="21"/>
        </w:rPr>
      </w:pPr>
    </w:p>
    <w:p w14:paraId="5CDC6085" w14:textId="77777777" w:rsidR="001E4CE0" w:rsidRPr="00755B2F" w:rsidRDefault="001E4CE0" w:rsidP="001E4CE0">
      <w:pPr>
        <w:pStyle w:val="Default"/>
        <w:ind w:left="709" w:right="709"/>
        <w:jc w:val="both"/>
        <w:rPr>
          <w:i/>
          <w:iCs/>
          <w:color w:val="323232"/>
          <w:sz w:val="21"/>
          <w:szCs w:val="21"/>
        </w:rPr>
      </w:pPr>
      <w:r w:rsidRPr="00755B2F">
        <w:rPr>
          <w:rFonts w:eastAsia="Calibri"/>
          <w:sz w:val="21"/>
          <w:szCs w:val="21"/>
        </w:rPr>
        <w:lastRenderedPageBreak/>
        <w:t>“En</w:t>
      </w:r>
      <w:r w:rsidRPr="00755B2F">
        <w:rPr>
          <w:color w:val="323232"/>
          <w:sz w:val="21"/>
          <w:szCs w:val="21"/>
        </w:rPr>
        <w:t xml:space="preserve"> ese orden de ideas, se tiene que conforme al sub numeral 2.5 del Decreto 1082 de 2015, señala: </w:t>
      </w:r>
      <w:r w:rsidRPr="00755B2F">
        <w:rPr>
          <w:i/>
          <w:iCs/>
          <w:color w:val="323232"/>
          <w:sz w:val="21"/>
          <w:szCs w:val="21"/>
        </w:rPr>
        <w:t>(…) Si la constitución del interesado es menor a tres (3) años, puede acreditar la experiencia de sus accionistas, socios o constituyentes. (…)</w:t>
      </w:r>
    </w:p>
    <w:p w14:paraId="0D6FA982" w14:textId="77777777" w:rsidR="001E4CE0" w:rsidRPr="00755B2F" w:rsidRDefault="001E4CE0" w:rsidP="001E4CE0">
      <w:pPr>
        <w:pStyle w:val="Default"/>
        <w:ind w:left="709" w:right="709"/>
        <w:jc w:val="both"/>
        <w:rPr>
          <w:sz w:val="21"/>
          <w:szCs w:val="21"/>
        </w:rPr>
      </w:pPr>
      <w:r w:rsidRPr="00755B2F">
        <w:rPr>
          <w:i/>
          <w:iCs/>
          <w:color w:val="323232"/>
          <w:sz w:val="21"/>
          <w:szCs w:val="21"/>
        </w:rPr>
        <w:t xml:space="preserve"> </w:t>
      </w:r>
    </w:p>
    <w:p w14:paraId="0FC695E1" w14:textId="77777777" w:rsidR="001E4CE0" w:rsidRPr="00755B2F" w:rsidRDefault="001E4CE0" w:rsidP="001E4CE0">
      <w:pPr>
        <w:pStyle w:val="Default"/>
        <w:ind w:left="709" w:right="709"/>
        <w:jc w:val="both"/>
        <w:rPr>
          <w:color w:val="323232"/>
          <w:sz w:val="21"/>
          <w:szCs w:val="21"/>
        </w:rPr>
      </w:pPr>
      <w:r w:rsidRPr="00755B2F">
        <w:rPr>
          <w:color w:val="323232"/>
          <w:sz w:val="21"/>
          <w:szCs w:val="21"/>
        </w:rPr>
        <w:t xml:space="preserve">Bajo esta condición, si una entidad al establecer las reglas de acreditación de la experiencia señala alguna condición adicional a la fijada en la norma precitada, por ejemplo, que esta se aplicará de conformidad con el porcentaje de participación de los socios, los proponentes deberán acogerse a la regla especial del pliego?, o debe entenderse que la condición establecida en el Decreto 1082 es limitante y no permite fijar requisitos suplementarios. </w:t>
      </w:r>
    </w:p>
    <w:p w14:paraId="50708E50" w14:textId="77777777" w:rsidR="001E4CE0" w:rsidRPr="00755B2F" w:rsidRDefault="001E4CE0" w:rsidP="001E4CE0">
      <w:pPr>
        <w:pStyle w:val="Default"/>
        <w:ind w:left="709" w:right="709"/>
        <w:jc w:val="both"/>
        <w:rPr>
          <w:color w:val="323232"/>
          <w:sz w:val="21"/>
          <w:szCs w:val="21"/>
        </w:rPr>
      </w:pPr>
    </w:p>
    <w:p w14:paraId="09106809" w14:textId="77777777" w:rsidR="001E4CE0" w:rsidRDefault="001E4CE0" w:rsidP="001E4CE0">
      <w:pPr>
        <w:spacing w:after="0" w:line="240" w:lineRule="auto"/>
        <w:ind w:left="709" w:right="709"/>
        <w:jc w:val="both"/>
        <w:rPr>
          <w:rFonts w:ascii="Arial" w:hAnsi="Arial" w:cs="Arial"/>
          <w:color w:val="323232"/>
          <w:sz w:val="21"/>
          <w:szCs w:val="21"/>
        </w:rPr>
      </w:pPr>
      <w:r w:rsidRPr="00755B2F">
        <w:rPr>
          <w:rFonts w:ascii="Arial" w:hAnsi="Arial" w:cs="Arial"/>
          <w:color w:val="323232"/>
          <w:sz w:val="21"/>
          <w:szCs w:val="21"/>
        </w:rPr>
        <w:t>En este sentido si la condición establecida por la ley es limitante la entidad debe establecer dentro de sus criterios de evaluación lo netamente señalado en la norma o a lo establecido dentro de los criterios de evaluación señalados en el pliego de condiciones….?</w:t>
      </w:r>
      <w:r>
        <w:rPr>
          <w:rFonts w:ascii="Arial" w:hAnsi="Arial" w:cs="Arial"/>
          <w:color w:val="323232"/>
          <w:sz w:val="21"/>
          <w:szCs w:val="21"/>
        </w:rPr>
        <w:t xml:space="preserve"> </w:t>
      </w:r>
    </w:p>
    <w:p w14:paraId="5573D3FF" w14:textId="77777777" w:rsidR="001E4CE0" w:rsidRDefault="001E4CE0" w:rsidP="001E4CE0">
      <w:pPr>
        <w:spacing w:after="0" w:line="240" w:lineRule="auto"/>
        <w:ind w:left="709" w:right="709"/>
        <w:jc w:val="both"/>
        <w:rPr>
          <w:rFonts w:ascii="Arial" w:hAnsi="Arial" w:cs="Arial"/>
          <w:color w:val="323232"/>
          <w:sz w:val="21"/>
          <w:szCs w:val="21"/>
        </w:rPr>
      </w:pPr>
    </w:p>
    <w:p w14:paraId="5798B65A" w14:textId="77777777" w:rsidR="001E4CE0" w:rsidRDefault="001E4CE0" w:rsidP="001E4CE0">
      <w:pPr>
        <w:spacing w:after="0" w:line="240" w:lineRule="auto"/>
        <w:ind w:left="709" w:right="709"/>
        <w:jc w:val="both"/>
        <w:rPr>
          <w:rFonts w:ascii="Arial" w:hAnsi="Arial" w:cs="Arial"/>
          <w:color w:val="323232"/>
          <w:sz w:val="21"/>
          <w:szCs w:val="21"/>
        </w:rPr>
      </w:pPr>
      <w:r w:rsidRPr="00755B2F">
        <w:rPr>
          <w:rFonts w:ascii="Arial" w:hAnsi="Arial" w:cs="Arial"/>
          <w:sz w:val="21"/>
          <w:szCs w:val="21"/>
        </w:rPr>
        <w:t>De este modo solicitamos un pronunciamiento de Colombia Compra Eficiente, frente a que si bien se estructura un pliego de condiciones con todas las normas que rigen el proceso de selección, una entidad también puede establecer reglas exclusivas de la administración fijando los parámetros para comparar las propuestas presentadas por los oferentes y que permite regular los derechos y obligaciones que emanan de la suscripción del contrato, por lo cual que validez y aplicabilidad tendría esas reglas impuestas por la entidad?</w:t>
      </w:r>
      <w:r>
        <w:rPr>
          <w:rFonts w:ascii="Arial" w:hAnsi="Arial" w:cs="Arial"/>
          <w:sz w:val="21"/>
          <w:szCs w:val="21"/>
        </w:rPr>
        <w:t xml:space="preserve">” </w:t>
      </w:r>
      <w:r>
        <w:rPr>
          <w:rFonts w:ascii="Arial" w:hAnsi="Arial" w:cs="Arial"/>
          <w:color w:val="323232"/>
          <w:sz w:val="21"/>
          <w:szCs w:val="21"/>
        </w:rPr>
        <w:t>(sic)</w:t>
      </w:r>
    </w:p>
    <w:p w14:paraId="189876EF" w14:textId="77777777" w:rsidR="001E4CE0" w:rsidRDefault="001E4CE0" w:rsidP="001E4CE0">
      <w:pPr>
        <w:spacing w:after="0" w:line="240" w:lineRule="auto"/>
        <w:ind w:left="709" w:right="709"/>
        <w:jc w:val="both"/>
        <w:rPr>
          <w:rFonts w:ascii="Arial" w:hAnsi="Arial" w:cs="Arial"/>
          <w:color w:val="323232"/>
          <w:sz w:val="21"/>
          <w:szCs w:val="21"/>
        </w:rPr>
      </w:pPr>
    </w:p>
    <w:p w14:paraId="2C17794E" w14:textId="77777777" w:rsidR="001E4CE0" w:rsidRPr="00656151" w:rsidRDefault="001E4CE0" w:rsidP="001E4CE0">
      <w:pPr>
        <w:pStyle w:val="Prrafodelista"/>
        <w:numPr>
          <w:ilvl w:val="0"/>
          <w:numId w:val="6"/>
        </w:numPr>
        <w:spacing w:after="0" w:line="240" w:lineRule="auto"/>
        <w:ind w:left="426" w:right="709"/>
        <w:jc w:val="both"/>
        <w:rPr>
          <w:rFonts w:ascii="Arial" w:hAnsi="Arial" w:cs="Arial"/>
          <w:b/>
          <w:bCs/>
          <w:color w:val="323232"/>
        </w:rPr>
      </w:pPr>
      <w:r w:rsidRPr="00656151">
        <w:rPr>
          <w:rFonts w:ascii="Arial" w:hAnsi="Arial" w:cs="Arial"/>
          <w:b/>
          <w:bCs/>
          <w:color w:val="323232"/>
        </w:rPr>
        <w:t>Consideraciones</w:t>
      </w:r>
    </w:p>
    <w:p w14:paraId="1B956DF2" w14:textId="77777777" w:rsidR="001E4CE0" w:rsidRPr="00BD11A2" w:rsidRDefault="001E4CE0" w:rsidP="001E4CE0">
      <w:pPr>
        <w:spacing w:after="0" w:line="240" w:lineRule="auto"/>
        <w:ind w:left="709" w:right="709"/>
        <w:jc w:val="both"/>
        <w:rPr>
          <w:rFonts w:ascii="Arial" w:hAnsi="Arial" w:cs="Arial"/>
          <w:color w:val="323232"/>
          <w:sz w:val="21"/>
          <w:szCs w:val="21"/>
        </w:rPr>
      </w:pPr>
    </w:p>
    <w:p w14:paraId="4EA790C4" w14:textId="77777777" w:rsidR="001E4CE0" w:rsidRPr="00755B2F" w:rsidRDefault="001E4CE0" w:rsidP="001E4CE0">
      <w:pPr>
        <w:spacing w:after="120" w:line="276" w:lineRule="auto"/>
        <w:ind w:right="49"/>
        <w:jc w:val="both"/>
        <w:rPr>
          <w:rFonts w:ascii="Arial" w:eastAsia="Calibri" w:hAnsi="Arial" w:cs="Arial"/>
          <w:lang w:val="es-ES_tradnl" w:eastAsia="es-ES_tradnl"/>
        </w:rPr>
      </w:pPr>
      <w:r w:rsidRPr="00755B2F">
        <w:rPr>
          <w:rFonts w:ascii="Arial" w:eastAsia="Calibri" w:hAnsi="Arial" w:cs="Arial"/>
          <w:lang w:val="es-ES_tradnl" w:eastAsia="es-ES_tradnl"/>
        </w:rPr>
        <w:t>Teniendo en cuenta las competencias establecidas en los artículos 3</w:t>
      </w:r>
      <w:r>
        <w:rPr>
          <w:rFonts w:ascii="Arial" w:eastAsia="Calibri" w:hAnsi="Arial" w:cs="Arial"/>
          <w:lang w:val="es-ES_tradnl" w:eastAsia="es-ES_tradnl"/>
        </w:rPr>
        <w:t xml:space="preserve">, numeral </w:t>
      </w:r>
      <w:r w:rsidRPr="00755B2F">
        <w:rPr>
          <w:rFonts w:ascii="Arial" w:eastAsia="Calibri" w:hAnsi="Arial" w:cs="Arial"/>
          <w:lang w:val="es-ES_tradnl" w:eastAsia="es-ES_tradnl"/>
        </w:rPr>
        <w:t>5</w:t>
      </w:r>
      <w:r>
        <w:rPr>
          <w:rFonts w:ascii="Arial" w:eastAsia="Calibri" w:hAnsi="Arial" w:cs="Arial"/>
          <w:lang w:val="es-ES_tradnl" w:eastAsia="es-ES_tradnl"/>
        </w:rPr>
        <w:t>°</w:t>
      </w:r>
      <w:r w:rsidRPr="00755B2F">
        <w:rPr>
          <w:rFonts w:ascii="Arial" w:eastAsia="Calibri" w:hAnsi="Arial" w:cs="Arial"/>
          <w:lang w:val="es-ES_tradnl" w:eastAsia="es-ES_tradnl"/>
        </w:rPr>
        <w:t xml:space="preserve"> y 11</w:t>
      </w:r>
      <w:r>
        <w:rPr>
          <w:rFonts w:ascii="Arial" w:eastAsia="Calibri" w:hAnsi="Arial" w:cs="Arial"/>
          <w:lang w:val="es-ES_tradnl" w:eastAsia="es-ES_tradnl"/>
        </w:rPr>
        <w:t xml:space="preserve">, numeral </w:t>
      </w:r>
      <w:r w:rsidRPr="00755B2F">
        <w:rPr>
          <w:rFonts w:ascii="Arial" w:eastAsia="Calibri" w:hAnsi="Arial" w:cs="Arial"/>
          <w:lang w:val="es-ES_tradnl" w:eastAsia="es-ES_tradnl"/>
        </w:rPr>
        <w:t>8</w:t>
      </w:r>
      <w:r>
        <w:rPr>
          <w:rFonts w:ascii="Arial" w:eastAsia="Calibri" w:hAnsi="Arial" w:cs="Arial"/>
          <w:lang w:val="es-ES_tradnl" w:eastAsia="es-ES_tradnl"/>
        </w:rPr>
        <w:t>°</w:t>
      </w:r>
      <w:r w:rsidRPr="00755B2F">
        <w:rPr>
          <w:rFonts w:ascii="Arial" w:eastAsia="Calibri" w:hAnsi="Arial" w:cs="Arial"/>
          <w:lang w:val="es-ES_tradnl" w:eastAsia="es-ES_tradnl"/>
        </w:rPr>
        <w:t xml:space="preserve"> del Decreto 4170 de 2011, esta Agencia resuelve las consultas sobre los asuntos de su competencia, esto es, sobre las temáticas de la contratación estatal y compras públicas relacionadas en los artículos citados. Es necesario señalar que esta entidad solo tiene atribuciones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 la contratación estatal.</w:t>
      </w:r>
    </w:p>
    <w:p w14:paraId="0D697D5B" w14:textId="77777777" w:rsidR="001E4CE0" w:rsidRDefault="001E4CE0" w:rsidP="001E4CE0">
      <w:pPr>
        <w:tabs>
          <w:tab w:val="left" w:pos="426"/>
        </w:tabs>
        <w:spacing w:after="120" w:line="276" w:lineRule="auto"/>
        <w:ind w:right="49" w:firstLine="567"/>
        <w:jc w:val="both"/>
        <w:rPr>
          <w:rFonts w:ascii="Arial" w:eastAsia="Calibri" w:hAnsi="Arial" w:cs="Arial"/>
          <w:color w:val="000000" w:themeColor="text1"/>
          <w:lang w:val="es-ES" w:eastAsia="es-MX"/>
        </w:rPr>
      </w:pPr>
      <w:r w:rsidRPr="00755B2F">
        <w:rPr>
          <w:rFonts w:ascii="Arial" w:eastAsia="Calibri" w:hAnsi="Arial" w:cs="Arial"/>
          <w:lang w:val="es-ES_tradnl" w:eastAsia="es-ES_tradnl"/>
        </w:rPr>
        <w:t xml:space="preserve">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 Por lo anterior, previo concepto de sus órganos asesores, la solución de estos temas corresponde a la entidad </w:t>
      </w:r>
      <w:r w:rsidRPr="00755B2F">
        <w:rPr>
          <w:rFonts w:ascii="Arial" w:eastAsia="Calibri" w:hAnsi="Arial" w:cs="Arial"/>
          <w:bCs/>
          <w:lang w:eastAsia="es-MX"/>
        </w:rPr>
        <w:t xml:space="preserve">que adelanta el </w:t>
      </w:r>
      <w:r w:rsidRPr="00755B2F">
        <w:rPr>
          <w:rFonts w:ascii="Arial" w:eastAsia="Calibri" w:hAnsi="Arial" w:cs="Arial"/>
          <w:bCs/>
          <w:lang w:eastAsia="es-MX"/>
        </w:rPr>
        <w:lastRenderedPageBreak/>
        <w:t>procedimiento de selección y, en caso de conflicto, a las autoridades judiciales, fiscales y disciplinarias.</w:t>
      </w:r>
      <w:r>
        <w:rPr>
          <w:rFonts w:ascii="Arial" w:eastAsia="Calibri" w:hAnsi="Arial" w:cs="Arial"/>
          <w:bCs/>
          <w:lang w:eastAsia="es-MX"/>
        </w:rPr>
        <w:t xml:space="preserve"> En consideración a lo anterior</w:t>
      </w:r>
      <w:r w:rsidRPr="00755B2F">
        <w:rPr>
          <w:rFonts w:ascii="Arial" w:eastAsia="Calibri" w:hAnsi="Arial" w:cs="Arial"/>
          <w:color w:val="000000" w:themeColor="text1"/>
          <w:lang w:val="es-ES" w:eastAsia="es-MX"/>
        </w:rPr>
        <w:t>, la Subdirección, dentro de los límites de sus atribuciones, resolverá la consulta conforme a las normas generales en materia de contratación estatal.</w:t>
      </w:r>
    </w:p>
    <w:p w14:paraId="22FAD0D8" w14:textId="77777777" w:rsidR="001E4CE0" w:rsidRDefault="001E4CE0" w:rsidP="001E4CE0">
      <w:pPr>
        <w:tabs>
          <w:tab w:val="left" w:pos="426"/>
        </w:tabs>
        <w:spacing w:after="120" w:line="276" w:lineRule="auto"/>
        <w:ind w:right="49" w:firstLine="567"/>
        <w:jc w:val="both"/>
        <w:rPr>
          <w:rFonts w:ascii="Arial" w:eastAsia="Calibri" w:hAnsi="Arial" w:cs="Arial"/>
          <w:color w:val="000000" w:themeColor="text1"/>
          <w:lang w:val="es-ES" w:eastAsia="es-MX"/>
        </w:rPr>
      </w:pPr>
      <w:r>
        <w:rPr>
          <w:rFonts w:ascii="Arial" w:eastAsia="Calibri" w:hAnsi="Arial" w:cs="Arial"/>
          <w:color w:val="000000" w:themeColor="text1"/>
          <w:lang w:val="es-ES" w:eastAsia="es-MX"/>
        </w:rPr>
        <w:t>Para responder su consulta se realizarán algunas consideraciones sobre los siguientes temas: i) a</w:t>
      </w:r>
      <w:r w:rsidRPr="00E725FE">
        <w:rPr>
          <w:rFonts w:ascii="Arial" w:eastAsia="Calibri" w:hAnsi="Arial" w:cs="Arial"/>
          <w:color w:val="000000" w:themeColor="text1"/>
          <w:lang w:val="es-ES" w:eastAsia="es-MX"/>
        </w:rPr>
        <w:t>proximación general al concepto de experiencia en la contratación pública</w:t>
      </w:r>
      <w:r>
        <w:rPr>
          <w:rFonts w:ascii="Arial" w:eastAsia="Calibri" w:hAnsi="Arial" w:cs="Arial"/>
          <w:color w:val="000000" w:themeColor="text1"/>
          <w:lang w:val="es-ES" w:eastAsia="es-MX"/>
        </w:rPr>
        <w:t>; y ii) a</w:t>
      </w:r>
      <w:r w:rsidRPr="00E725FE">
        <w:rPr>
          <w:rFonts w:ascii="Arial" w:eastAsia="Calibri" w:hAnsi="Arial" w:cs="Arial"/>
          <w:color w:val="000000" w:themeColor="text1"/>
          <w:lang w:val="es-ES" w:eastAsia="es-MX"/>
        </w:rPr>
        <w:t>creditación de experiencia de socios por parte de sociedades con menos de tres años de constitución</w:t>
      </w:r>
      <w:r>
        <w:rPr>
          <w:rFonts w:ascii="Arial" w:eastAsia="Calibri" w:hAnsi="Arial" w:cs="Arial"/>
          <w:color w:val="000000" w:themeColor="text1"/>
          <w:lang w:val="es-ES" w:eastAsia="es-MX"/>
        </w:rPr>
        <w:t xml:space="preserve"> y la</w:t>
      </w:r>
      <w:r w:rsidRPr="00E725FE">
        <w:rPr>
          <w:rFonts w:ascii="Arial" w:eastAsia="Calibri" w:hAnsi="Arial" w:cs="Arial"/>
          <w:color w:val="000000" w:themeColor="text1"/>
          <w:lang w:val="es-ES" w:eastAsia="es-MX"/>
        </w:rPr>
        <w:t xml:space="preserve"> </w:t>
      </w:r>
      <w:r>
        <w:rPr>
          <w:rFonts w:ascii="Arial" w:eastAsia="Calibri" w:hAnsi="Arial" w:cs="Arial"/>
          <w:color w:val="000000" w:themeColor="text1"/>
          <w:lang w:val="es-ES" w:eastAsia="es-MX"/>
        </w:rPr>
        <w:t>p</w:t>
      </w:r>
      <w:r w:rsidRPr="00E725FE">
        <w:rPr>
          <w:rFonts w:ascii="Arial" w:eastAsia="Calibri" w:hAnsi="Arial" w:cs="Arial"/>
          <w:color w:val="000000" w:themeColor="text1"/>
          <w:lang w:val="es-ES" w:eastAsia="es-MX"/>
        </w:rPr>
        <w:t>osibilidad de pondera</w:t>
      </w:r>
      <w:r>
        <w:rPr>
          <w:rFonts w:ascii="Arial" w:eastAsia="Calibri" w:hAnsi="Arial" w:cs="Arial"/>
          <w:color w:val="000000" w:themeColor="text1"/>
          <w:lang w:val="es-ES" w:eastAsia="es-MX"/>
        </w:rPr>
        <w:t>r</w:t>
      </w:r>
      <w:r w:rsidRPr="00E725FE">
        <w:rPr>
          <w:rFonts w:ascii="Arial" w:eastAsia="Calibri" w:hAnsi="Arial" w:cs="Arial"/>
          <w:color w:val="000000" w:themeColor="text1"/>
          <w:lang w:val="es-ES" w:eastAsia="es-MX"/>
        </w:rPr>
        <w:t xml:space="preserve"> la experiencia transferida por los socios en función de su porcentaje participación.</w:t>
      </w:r>
    </w:p>
    <w:p w14:paraId="0B2ABE92" w14:textId="77777777" w:rsidR="001E4CE0" w:rsidRDefault="001E4CE0" w:rsidP="001E4CE0">
      <w:pPr>
        <w:tabs>
          <w:tab w:val="left" w:pos="426"/>
        </w:tabs>
        <w:spacing w:after="0" w:line="276" w:lineRule="auto"/>
        <w:ind w:right="49" w:firstLine="567"/>
        <w:jc w:val="both"/>
        <w:rPr>
          <w:rFonts w:ascii="Arial" w:eastAsia="Calibri" w:hAnsi="Arial" w:cs="Arial"/>
          <w:color w:val="000000" w:themeColor="text1"/>
          <w:lang w:val="es-ES_tradnl"/>
        </w:rPr>
      </w:pPr>
      <w:r w:rsidRPr="00504597">
        <w:rPr>
          <w:rFonts w:ascii="Arial" w:eastAsia="Calibri" w:hAnsi="Arial" w:cs="Arial"/>
          <w:color w:val="000000" w:themeColor="text1"/>
          <w:lang w:val="es-ES"/>
        </w:rPr>
        <w:t xml:space="preserve">La Agencia Nacional de Contratación Pública </w:t>
      </w:r>
      <w:r>
        <w:rPr>
          <w:rFonts w:ascii="Arial" w:eastAsia="Calibri" w:hAnsi="Arial" w:cs="Arial"/>
          <w:color w:val="000000" w:themeColor="text1"/>
          <w:lang w:val="es-ES"/>
        </w:rPr>
        <w:t>–</w:t>
      </w:r>
      <w:r w:rsidRPr="00504597">
        <w:rPr>
          <w:rFonts w:ascii="Arial" w:eastAsia="Calibri" w:hAnsi="Arial" w:cs="Arial"/>
          <w:color w:val="000000" w:themeColor="text1"/>
          <w:lang w:val="es-ES"/>
        </w:rPr>
        <w:t xml:space="preserve"> Colombia Compra Eficiente,</w:t>
      </w:r>
      <w:r>
        <w:rPr>
          <w:rFonts w:ascii="Arial" w:eastAsia="Calibri" w:hAnsi="Arial" w:cs="Arial"/>
          <w:color w:val="000000" w:themeColor="text1"/>
          <w:lang w:val="es-ES"/>
        </w:rPr>
        <w:t xml:space="preserve"> en los Conceptos </w:t>
      </w:r>
      <w:r w:rsidRPr="000329FA">
        <w:rPr>
          <w:rFonts w:ascii="Arial" w:eastAsia="Calibri" w:hAnsi="Arial" w:cs="Arial"/>
          <w:color w:val="000000" w:themeColor="text1"/>
          <w:lang w:val="es-ES"/>
        </w:rPr>
        <w:t>4201913000006797 del 19 de noviembre de 2019</w:t>
      </w:r>
      <w:r>
        <w:rPr>
          <w:rFonts w:ascii="Arial" w:eastAsia="Calibri" w:hAnsi="Arial" w:cs="Arial"/>
          <w:color w:val="000000" w:themeColor="text1"/>
          <w:lang w:val="es-ES"/>
        </w:rPr>
        <w:t xml:space="preserve">, </w:t>
      </w:r>
      <w:r w:rsidRPr="009A0E64">
        <w:rPr>
          <w:rFonts w:ascii="Arial" w:eastAsia="Calibri" w:hAnsi="Arial" w:cs="Arial"/>
          <w:color w:val="000000" w:themeColor="text1"/>
          <w:lang w:val="es-MX"/>
        </w:rPr>
        <w:t xml:space="preserve">C-025 del 16 de marzo de 2020, C-051 del 2 de marzo de 2020, </w:t>
      </w:r>
      <w:r>
        <w:rPr>
          <w:rFonts w:ascii="Arial" w:eastAsia="Calibri" w:hAnsi="Arial" w:cs="Arial"/>
          <w:color w:val="000000" w:themeColor="text1"/>
          <w:lang w:val="es-MX"/>
        </w:rPr>
        <w:t xml:space="preserve">C-113 del 25 de marzo de 2020, </w:t>
      </w:r>
      <w:r w:rsidRPr="009A0E64">
        <w:rPr>
          <w:rFonts w:ascii="Arial" w:eastAsia="Calibri" w:hAnsi="Arial" w:cs="Arial"/>
          <w:color w:val="000000" w:themeColor="text1"/>
          <w:lang w:val="es-MX"/>
        </w:rPr>
        <w:t xml:space="preserve">C-165 del 1 de abril de 2020, C-233 del 16 de abril de 2020, </w:t>
      </w:r>
      <w:r>
        <w:rPr>
          <w:rFonts w:ascii="Arial" w:eastAsia="Calibri" w:hAnsi="Arial" w:cs="Arial"/>
          <w:color w:val="000000" w:themeColor="text1"/>
          <w:lang w:val="es-MX"/>
        </w:rPr>
        <w:t xml:space="preserve">C-350 del 1° de junio de 2020, </w:t>
      </w:r>
      <w:r w:rsidRPr="009A0E64">
        <w:rPr>
          <w:rFonts w:ascii="Arial" w:eastAsia="Calibri" w:hAnsi="Arial" w:cs="Arial"/>
          <w:color w:val="000000" w:themeColor="text1"/>
          <w:lang w:val="es-MX"/>
        </w:rPr>
        <w:t xml:space="preserve">C-407 de 12 de junio de 2020, C-398 de 30 de junio de 2020, C-470 del 14 de julio de 2020 C-584 de 31 de agosto 2020, C-619 de 21 de septiembre 2020, </w:t>
      </w:r>
      <w:r>
        <w:rPr>
          <w:rFonts w:ascii="Arial" w:eastAsia="Calibri" w:hAnsi="Arial" w:cs="Arial"/>
          <w:color w:val="000000" w:themeColor="text1"/>
          <w:lang w:val="es-MX"/>
        </w:rPr>
        <w:t xml:space="preserve">C-662 del 9 de noviembre de 2020, </w:t>
      </w:r>
      <w:r w:rsidRPr="009A0E64">
        <w:rPr>
          <w:rFonts w:ascii="Arial" w:eastAsia="Calibri" w:hAnsi="Arial" w:cs="Arial"/>
          <w:color w:val="000000" w:themeColor="text1"/>
          <w:lang w:val="es-MX"/>
        </w:rPr>
        <w:t>C-710 del 9 de diciembre de 2020, C-717 del 10 de diciembre de 2020</w:t>
      </w:r>
      <w:r>
        <w:rPr>
          <w:rFonts w:ascii="Arial" w:eastAsia="Calibri" w:hAnsi="Arial" w:cs="Arial"/>
          <w:color w:val="000000" w:themeColor="text1"/>
          <w:lang w:val="es-MX"/>
        </w:rPr>
        <w:t>,</w:t>
      </w:r>
      <w:r w:rsidRPr="009A0E64">
        <w:rPr>
          <w:rFonts w:ascii="Arial" w:eastAsia="Calibri" w:hAnsi="Arial" w:cs="Arial"/>
          <w:color w:val="000000" w:themeColor="text1"/>
          <w:lang w:val="es-MX"/>
        </w:rPr>
        <w:t xml:space="preserve"> C-729 del del 11 de diciembre de 2020</w:t>
      </w:r>
      <w:r>
        <w:rPr>
          <w:rFonts w:ascii="Arial" w:eastAsia="Calibri" w:hAnsi="Arial" w:cs="Arial"/>
          <w:color w:val="000000" w:themeColor="text1"/>
          <w:lang w:val="es-MX"/>
        </w:rPr>
        <w:t xml:space="preserve">, C-008 del 15 de febrero de 2021, </w:t>
      </w:r>
      <w:r w:rsidRPr="00E501FA">
        <w:rPr>
          <w:rFonts w:ascii="Arial" w:eastAsia="Calibri" w:hAnsi="Arial" w:cs="Arial"/>
          <w:color w:val="000000" w:themeColor="text1"/>
          <w:lang w:val="es-MX"/>
        </w:rPr>
        <w:t>C-103</w:t>
      </w:r>
      <w:r>
        <w:rPr>
          <w:rFonts w:ascii="Arial" w:eastAsia="Calibri" w:hAnsi="Arial" w:cs="Arial"/>
          <w:color w:val="000000" w:themeColor="text1"/>
          <w:lang w:val="es-MX"/>
        </w:rPr>
        <w:t xml:space="preserve"> del 24 de marzo de 2021, </w:t>
      </w:r>
      <w:r w:rsidRPr="00E501FA">
        <w:rPr>
          <w:rFonts w:ascii="Arial" w:eastAsia="Calibri" w:hAnsi="Arial" w:cs="Arial"/>
          <w:color w:val="000000" w:themeColor="text1"/>
          <w:lang w:val="es-MX"/>
        </w:rPr>
        <w:t>C-230</w:t>
      </w:r>
      <w:r>
        <w:rPr>
          <w:rFonts w:ascii="Arial" w:eastAsia="Calibri" w:hAnsi="Arial" w:cs="Arial"/>
          <w:color w:val="000000" w:themeColor="text1"/>
          <w:lang w:val="es-MX"/>
        </w:rPr>
        <w:t xml:space="preserve"> del 25 de mayo de 2021, </w:t>
      </w:r>
      <w:r w:rsidRPr="00E501FA">
        <w:rPr>
          <w:rFonts w:ascii="Arial" w:eastAsia="Calibri" w:hAnsi="Arial" w:cs="Arial"/>
          <w:color w:val="000000" w:themeColor="text1"/>
          <w:lang w:val="es-MX"/>
        </w:rPr>
        <w:t>C-316</w:t>
      </w:r>
      <w:r>
        <w:rPr>
          <w:rFonts w:ascii="Arial" w:eastAsia="Calibri" w:hAnsi="Arial" w:cs="Arial"/>
          <w:color w:val="000000" w:themeColor="text1"/>
          <w:lang w:val="es-MX"/>
        </w:rPr>
        <w:t xml:space="preserve"> del 29 de junio de 2021, </w:t>
      </w:r>
      <w:r w:rsidRPr="00E501FA">
        <w:rPr>
          <w:rFonts w:ascii="Arial" w:eastAsia="Calibri" w:hAnsi="Arial" w:cs="Arial"/>
          <w:color w:val="000000" w:themeColor="text1"/>
          <w:lang w:val="es-MX"/>
        </w:rPr>
        <w:t>C-318</w:t>
      </w:r>
      <w:r>
        <w:rPr>
          <w:rFonts w:ascii="Arial" w:eastAsia="Calibri" w:hAnsi="Arial" w:cs="Arial"/>
          <w:color w:val="000000" w:themeColor="text1"/>
          <w:lang w:val="es-MX"/>
        </w:rPr>
        <w:t xml:space="preserve"> del 29 de junio de 2021, </w:t>
      </w:r>
      <w:r w:rsidRPr="00E501FA">
        <w:rPr>
          <w:rFonts w:ascii="Arial" w:eastAsia="Calibri" w:hAnsi="Arial" w:cs="Arial"/>
          <w:color w:val="000000" w:themeColor="text1"/>
          <w:lang w:val="es-MX"/>
        </w:rPr>
        <w:t>C-474</w:t>
      </w:r>
      <w:r>
        <w:rPr>
          <w:rFonts w:ascii="Arial" w:eastAsia="Calibri" w:hAnsi="Arial" w:cs="Arial"/>
          <w:color w:val="000000" w:themeColor="text1"/>
          <w:lang w:val="es-MX"/>
        </w:rPr>
        <w:t xml:space="preserve"> del 6 de septiembre de 2021, </w:t>
      </w:r>
      <w:r w:rsidRPr="00E501FA">
        <w:rPr>
          <w:rFonts w:ascii="Arial" w:eastAsia="Calibri" w:hAnsi="Arial" w:cs="Arial"/>
          <w:color w:val="000000" w:themeColor="text1"/>
          <w:lang w:val="es-MX"/>
        </w:rPr>
        <w:t>C-589</w:t>
      </w:r>
      <w:r>
        <w:rPr>
          <w:rFonts w:ascii="Arial" w:eastAsia="Calibri" w:hAnsi="Arial" w:cs="Arial"/>
          <w:color w:val="000000" w:themeColor="text1"/>
          <w:lang w:val="es-MX"/>
        </w:rPr>
        <w:t xml:space="preserve"> del 19 de octubre de 2021, </w:t>
      </w:r>
      <w:r w:rsidRPr="00E501FA">
        <w:rPr>
          <w:rFonts w:ascii="Arial" w:eastAsia="Calibri" w:hAnsi="Arial" w:cs="Arial"/>
          <w:color w:val="000000" w:themeColor="text1"/>
          <w:lang w:val="es-MX"/>
        </w:rPr>
        <w:t>C-608</w:t>
      </w:r>
      <w:r>
        <w:rPr>
          <w:rFonts w:ascii="Arial" w:eastAsia="Calibri" w:hAnsi="Arial" w:cs="Arial"/>
          <w:color w:val="000000" w:themeColor="text1"/>
          <w:lang w:val="es-MX"/>
        </w:rPr>
        <w:t xml:space="preserve"> del 29 de octubre de 2021, </w:t>
      </w:r>
      <w:r w:rsidRPr="00E501FA">
        <w:rPr>
          <w:rFonts w:ascii="Arial" w:eastAsia="Calibri" w:hAnsi="Arial" w:cs="Arial"/>
          <w:color w:val="000000" w:themeColor="text1"/>
          <w:lang w:val="es-MX"/>
        </w:rPr>
        <w:t>C-696</w:t>
      </w:r>
      <w:r>
        <w:rPr>
          <w:rFonts w:ascii="Arial" w:eastAsia="Calibri" w:hAnsi="Arial" w:cs="Arial"/>
          <w:color w:val="000000" w:themeColor="text1"/>
          <w:lang w:val="es-MX"/>
        </w:rPr>
        <w:t xml:space="preserve"> del 31 de diciembre de 2021, </w:t>
      </w:r>
      <w:r w:rsidRPr="00E501FA">
        <w:rPr>
          <w:rFonts w:ascii="Arial" w:eastAsia="Calibri" w:hAnsi="Arial" w:cs="Arial"/>
          <w:color w:val="000000" w:themeColor="text1"/>
          <w:lang w:val="es-MX"/>
        </w:rPr>
        <w:t>C-725</w:t>
      </w:r>
      <w:r>
        <w:rPr>
          <w:rFonts w:ascii="Arial" w:eastAsia="Calibri" w:hAnsi="Arial" w:cs="Arial"/>
          <w:color w:val="000000" w:themeColor="text1"/>
          <w:lang w:val="es-MX"/>
        </w:rPr>
        <w:t xml:space="preserve"> del 25 de enero de 2022, </w:t>
      </w:r>
      <w:r w:rsidRPr="00894296">
        <w:rPr>
          <w:rFonts w:ascii="Arial" w:eastAsia="Calibri" w:hAnsi="Arial" w:cs="Arial"/>
          <w:color w:val="000000" w:themeColor="text1"/>
          <w:lang w:val="es-MX"/>
        </w:rPr>
        <w:t>C-034</w:t>
      </w:r>
      <w:r>
        <w:rPr>
          <w:rFonts w:ascii="Arial" w:eastAsia="Calibri" w:hAnsi="Arial" w:cs="Arial"/>
          <w:color w:val="000000" w:themeColor="text1"/>
          <w:lang w:val="es-MX"/>
        </w:rPr>
        <w:t xml:space="preserve"> del 2 de marzo de 2022, </w:t>
      </w:r>
      <w:r w:rsidRPr="00894296">
        <w:rPr>
          <w:rFonts w:ascii="Arial" w:eastAsia="Calibri" w:hAnsi="Arial" w:cs="Arial"/>
          <w:color w:val="000000" w:themeColor="text1"/>
          <w:lang w:val="es-MX"/>
        </w:rPr>
        <w:t>C-144</w:t>
      </w:r>
      <w:r>
        <w:rPr>
          <w:rFonts w:ascii="Arial" w:eastAsia="Calibri" w:hAnsi="Arial" w:cs="Arial"/>
          <w:color w:val="000000" w:themeColor="text1"/>
          <w:lang w:val="es-MX"/>
        </w:rPr>
        <w:t xml:space="preserve"> del 1° de abril de 2022, </w:t>
      </w:r>
      <w:r w:rsidRPr="00894296">
        <w:rPr>
          <w:rFonts w:ascii="Arial" w:eastAsia="Calibri" w:hAnsi="Arial" w:cs="Arial"/>
          <w:color w:val="000000" w:themeColor="text1"/>
          <w:lang w:val="es-MX"/>
        </w:rPr>
        <w:t>C-239</w:t>
      </w:r>
      <w:r>
        <w:rPr>
          <w:rFonts w:ascii="Arial" w:eastAsia="Calibri" w:hAnsi="Arial" w:cs="Arial"/>
          <w:color w:val="000000" w:themeColor="text1"/>
          <w:lang w:val="es-MX"/>
        </w:rPr>
        <w:t xml:space="preserve"> del 26 de julio de 2022, </w:t>
      </w:r>
      <w:r w:rsidRPr="00894296">
        <w:rPr>
          <w:rFonts w:ascii="Arial" w:eastAsia="Calibri" w:hAnsi="Arial" w:cs="Arial"/>
          <w:color w:val="000000" w:themeColor="text1"/>
          <w:lang w:val="es-MX"/>
        </w:rPr>
        <w:t>C-324</w:t>
      </w:r>
      <w:r>
        <w:rPr>
          <w:rFonts w:ascii="Arial" w:eastAsia="Calibri" w:hAnsi="Arial" w:cs="Arial"/>
          <w:color w:val="000000" w:themeColor="text1"/>
          <w:lang w:val="es-MX"/>
        </w:rPr>
        <w:t xml:space="preserve"> del 19 de mayo de 2022, </w:t>
      </w:r>
      <w:r w:rsidRPr="00894296">
        <w:rPr>
          <w:rFonts w:ascii="Arial" w:eastAsia="Calibri" w:hAnsi="Arial" w:cs="Arial"/>
          <w:color w:val="000000" w:themeColor="text1"/>
          <w:lang w:val="es-MX"/>
        </w:rPr>
        <w:t>C-447</w:t>
      </w:r>
      <w:r>
        <w:rPr>
          <w:rFonts w:ascii="Arial" w:eastAsia="Calibri" w:hAnsi="Arial" w:cs="Arial"/>
          <w:color w:val="000000" w:themeColor="text1"/>
          <w:lang w:val="es-MX"/>
        </w:rPr>
        <w:t xml:space="preserve"> del 19 de julio de 2022, </w:t>
      </w:r>
      <w:r w:rsidRPr="00894296">
        <w:rPr>
          <w:rFonts w:ascii="Arial" w:eastAsia="Calibri" w:hAnsi="Arial" w:cs="Arial"/>
          <w:color w:val="000000" w:themeColor="text1"/>
          <w:lang w:val="es-MX"/>
        </w:rPr>
        <w:t>C-456</w:t>
      </w:r>
      <w:r>
        <w:rPr>
          <w:rFonts w:ascii="Arial" w:eastAsia="Calibri" w:hAnsi="Arial" w:cs="Arial"/>
          <w:color w:val="000000" w:themeColor="text1"/>
          <w:lang w:val="es-MX"/>
        </w:rPr>
        <w:t xml:space="preserve"> del 15 de julio de 2022, </w:t>
      </w:r>
      <w:r w:rsidRPr="00894296">
        <w:rPr>
          <w:rFonts w:ascii="Arial" w:eastAsia="Calibri" w:hAnsi="Arial" w:cs="Arial"/>
          <w:color w:val="000000" w:themeColor="text1"/>
          <w:lang w:val="es-MX"/>
        </w:rPr>
        <w:t>C-592</w:t>
      </w:r>
      <w:r>
        <w:rPr>
          <w:rFonts w:ascii="Arial" w:eastAsia="Calibri" w:hAnsi="Arial" w:cs="Arial"/>
          <w:color w:val="000000" w:themeColor="text1"/>
          <w:lang w:val="es-MX"/>
        </w:rPr>
        <w:t xml:space="preserve"> del 20 de septiembre de 2022, </w:t>
      </w:r>
      <w:r w:rsidRPr="00894296">
        <w:rPr>
          <w:rFonts w:ascii="Arial" w:eastAsia="Calibri" w:hAnsi="Arial" w:cs="Arial"/>
          <w:color w:val="000000" w:themeColor="text1"/>
          <w:lang w:val="es-MX"/>
        </w:rPr>
        <w:t>C-623</w:t>
      </w:r>
      <w:r>
        <w:rPr>
          <w:rFonts w:ascii="Arial" w:eastAsia="Calibri" w:hAnsi="Arial" w:cs="Arial"/>
          <w:color w:val="000000" w:themeColor="text1"/>
          <w:lang w:val="es-MX"/>
        </w:rPr>
        <w:t xml:space="preserve"> del 29 de septiembre de 2022, </w:t>
      </w:r>
      <w:r w:rsidRPr="00894296">
        <w:rPr>
          <w:rFonts w:ascii="Arial" w:eastAsia="Calibri" w:hAnsi="Arial" w:cs="Arial"/>
          <w:color w:val="000000" w:themeColor="text1"/>
          <w:lang w:val="es-MX"/>
        </w:rPr>
        <w:t>C-837</w:t>
      </w:r>
      <w:r>
        <w:rPr>
          <w:rFonts w:ascii="Arial" w:eastAsia="Calibri" w:hAnsi="Arial" w:cs="Arial"/>
          <w:color w:val="000000" w:themeColor="text1"/>
          <w:lang w:val="es-MX"/>
        </w:rPr>
        <w:t xml:space="preserve"> del 6 de diciembre de 2022, </w:t>
      </w:r>
      <w:r w:rsidRPr="00894296">
        <w:rPr>
          <w:rFonts w:ascii="Arial" w:eastAsia="Calibri" w:hAnsi="Arial" w:cs="Arial"/>
          <w:color w:val="000000" w:themeColor="text1"/>
          <w:lang w:val="es-MX"/>
        </w:rPr>
        <w:t>C-841</w:t>
      </w:r>
      <w:r>
        <w:rPr>
          <w:rFonts w:ascii="Arial" w:eastAsia="Calibri" w:hAnsi="Arial" w:cs="Arial"/>
          <w:color w:val="000000" w:themeColor="text1"/>
          <w:lang w:val="es-MX"/>
        </w:rPr>
        <w:t xml:space="preserve"> del 6 de diciembre de 2022, </w:t>
      </w:r>
      <w:r w:rsidRPr="00894296">
        <w:rPr>
          <w:rFonts w:ascii="Arial" w:eastAsia="Calibri" w:hAnsi="Arial" w:cs="Arial"/>
          <w:color w:val="000000" w:themeColor="text1"/>
          <w:lang w:val="es-MX"/>
        </w:rPr>
        <w:t>C-929</w:t>
      </w:r>
      <w:r>
        <w:rPr>
          <w:rFonts w:ascii="Arial" w:eastAsia="Calibri" w:hAnsi="Arial" w:cs="Arial"/>
          <w:color w:val="000000" w:themeColor="text1"/>
          <w:lang w:val="es-MX"/>
        </w:rPr>
        <w:t xml:space="preserve"> del 30 de diciembre de 2022</w:t>
      </w:r>
      <w:r>
        <w:rPr>
          <w:rFonts w:ascii="Arial" w:eastAsia="Calibri" w:hAnsi="Arial" w:cs="Arial"/>
          <w:color w:val="000000" w:themeColor="text1"/>
          <w:lang w:val="es-ES"/>
        </w:rPr>
        <w:t xml:space="preserve">, C-128 del 18 de mayo de 2023, entre otros, analizó la </w:t>
      </w:r>
      <w:r>
        <w:rPr>
          <w:rFonts w:ascii="Arial" w:hAnsi="Arial" w:cs="Arial"/>
          <w:color w:val="000000" w:themeColor="text1"/>
          <w:lang w:val="es-ES_tradnl"/>
        </w:rPr>
        <w:t>a</w:t>
      </w:r>
      <w:r w:rsidRPr="009A0E64">
        <w:rPr>
          <w:rFonts w:ascii="Arial" w:hAnsi="Arial" w:cs="Arial"/>
          <w:color w:val="000000" w:themeColor="text1"/>
          <w:lang w:val="es-ES_tradnl"/>
        </w:rPr>
        <w:t>creditación de experiencia de socios por parte de sociedades con menos de tres años de constitución</w:t>
      </w:r>
      <w:r>
        <w:rPr>
          <w:rFonts w:ascii="Arial" w:eastAsia="Calibri" w:hAnsi="Arial" w:cs="Arial"/>
          <w:color w:val="000000" w:themeColor="text1"/>
          <w:lang w:val="es-ES"/>
        </w:rPr>
        <w:t>.</w:t>
      </w:r>
      <w:r w:rsidRPr="006D3CA3">
        <w:rPr>
          <w:rFonts w:ascii="Arial" w:eastAsia="Calibri" w:hAnsi="Arial" w:cs="Arial"/>
          <w:color w:val="000000" w:themeColor="text1"/>
          <w:lang w:val="es-ES_tradnl"/>
        </w:rPr>
        <w:t xml:space="preserve"> </w:t>
      </w:r>
      <w:r w:rsidRPr="00504597">
        <w:rPr>
          <w:rFonts w:ascii="Arial" w:eastAsia="Calibri" w:hAnsi="Arial" w:cs="Arial"/>
          <w:color w:val="000000" w:themeColor="text1"/>
          <w:lang w:val="es-ES_tradnl"/>
        </w:rPr>
        <w:t>La tesis propuesta en estos conceptos se reitera a continuación y se complementa en lo pertinente.</w:t>
      </w:r>
    </w:p>
    <w:p w14:paraId="01DDA130" w14:textId="77777777" w:rsidR="001E4CE0" w:rsidRDefault="001E4CE0" w:rsidP="001E4CE0">
      <w:pPr>
        <w:tabs>
          <w:tab w:val="left" w:pos="426"/>
        </w:tabs>
        <w:spacing w:after="0" w:line="276" w:lineRule="auto"/>
        <w:ind w:right="49" w:firstLine="567"/>
        <w:jc w:val="both"/>
        <w:rPr>
          <w:rFonts w:ascii="Arial" w:eastAsia="Calibri" w:hAnsi="Arial" w:cs="Arial"/>
          <w:color w:val="000000" w:themeColor="text1"/>
          <w:lang w:val="es-ES" w:eastAsia="es-MX"/>
        </w:rPr>
      </w:pPr>
    </w:p>
    <w:p w14:paraId="2E7D601E" w14:textId="77777777" w:rsidR="001E4CE0" w:rsidRDefault="001E4CE0" w:rsidP="001E4CE0">
      <w:pPr>
        <w:spacing w:after="0" w:line="276" w:lineRule="auto"/>
        <w:jc w:val="both"/>
        <w:rPr>
          <w:rFonts w:ascii="Arial" w:eastAsia="Calibri" w:hAnsi="Arial" w:cs="Arial"/>
          <w:b/>
          <w:bCs/>
          <w:color w:val="000000" w:themeColor="text1"/>
          <w:lang w:eastAsia="en-GB"/>
        </w:rPr>
      </w:pPr>
      <w:r w:rsidRPr="000A0AE0">
        <w:rPr>
          <w:rFonts w:ascii="Arial" w:eastAsia="Calibri" w:hAnsi="Arial" w:cs="Arial"/>
          <w:b/>
          <w:bCs/>
          <w:color w:val="000000" w:themeColor="text1"/>
          <w:lang w:eastAsia="en-GB"/>
        </w:rPr>
        <w:t xml:space="preserve">2.1. </w:t>
      </w:r>
      <w:bookmarkStart w:id="0" w:name="_Hlk131062005"/>
      <w:r w:rsidRPr="000329FA">
        <w:rPr>
          <w:rFonts w:ascii="Arial" w:eastAsia="Calibri" w:hAnsi="Arial" w:cs="Arial"/>
          <w:b/>
          <w:bCs/>
          <w:color w:val="000000" w:themeColor="text1"/>
          <w:lang w:val="es-ES_tradnl" w:eastAsia="en-GB"/>
        </w:rPr>
        <w:t>Aproximación general al concepto de experiencia en la contratación pública</w:t>
      </w:r>
    </w:p>
    <w:bookmarkEnd w:id="0"/>
    <w:p w14:paraId="1ADD22CA" w14:textId="77777777" w:rsidR="001E4CE0" w:rsidRDefault="001E4CE0" w:rsidP="001E4CE0">
      <w:pPr>
        <w:spacing w:after="0" w:line="276" w:lineRule="auto"/>
        <w:jc w:val="both"/>
        <w:rPr>
          <w:rFonts w:ascii="Arial" w:eastAsia="Calibri" w:hAnsi="Arial" w:cs="Arial"/>
          <w:lang w:val="es-MX"/>
        </w:rPr>
      </w:pPr>
    </w:p>
    <w:p w14:paraId="308C593B" w14:textId="77777777" w:rsidR="001E4CE0" w:rsidRDefault="001E4CE0" w:rsidP="001E4CE0">
      <w:pPr>
        <w:spacing w:line="276" w:lineRule="auto"/>
        <w:jc w:val="both"/>
        <w:rPr>
          <w:rFonts w:ascii="Arial" w:eastAsia="Calibri" w:hAnsi="Arial" w:cs="Arial"/>
        </w:rPr>
      </w:pPr>
      <w:r>
        <w:rPr>
          <w:rFonts w:ascii="Arial" w:eastAsia="Calibri" w:hAnsi="Arial" w:cs="Arial"/>
        </w:rPr>
        <w:t>El artículo 5 de la</w:t>
      </w:r>
      <w:r w:rsidRPr="00797AF9">
        <w:rPr>
          <w:rFonts w:ascii="Arial" w:eastAsia="Calibri" w:hAnsi="Arial" w:cs="Arial"/>
        </w:rPr>
        <w:t xml:space="preserve"> Ley 1150 de 2007</w:t>
      </w:r>
      <w:r>
        <w:rPr>
          <w:rFonts w:ascii="Arial" w:eastAsia="Calibri" w:hAnsi="Arial" w:cs="Arial"/>
        </w:rPr>
        <w:t xml:space="preserve"> </w:t>
      </w:r>
      <w:r w:rsidRPr="00797AF9">
        <w:rPr>
          <w:rFonts w:ascii="Arial" w:eastAsia="Calibri" w:hAnsi="Arial" w:cs="Arial"/>
        </w:rPr>
        <w:t>establece los requisitos habilitantes para participar en un procedimiento contractual, dentro de los cuales se destaca la experiencia. El propósito es que las entidades fijen unos requisitos mínimos que debe tener y acreditar el proponente, para que la entidad pueda verificar su aptitud para participar en el procedimiento de contratación y, si se le adjudica, ejecutar el contrato estatal</w:t>
      </w:r>
      <w:r w:rsidRPr="00797AF9">
        <w:rPr>
          <w:rStyle w:val="Refdenotaalpie"/>
          <w:rFonts w:ascii="Arial" w:eastAsia="Calibri" w:hAnsi="Arial" w:cs="Arial"/>
        </w:rPr>
        <w:footnoteReference w:id="3"/>
      </w:r>
      <w:r w:rsidRPr="00797AF9">
        <w:rPr>
          <w:rFonts w:ascii="Arial" w:eastAsia="Calibri" w:hAnsi="Arial" w:cs="Arial"/>
        </w:rPr>
        <w:t xml:space="preserve">. </w:t>
      </w:r>
      <w:r>
        <w:rPr>
          <w:rFonts w:ascii="Arial" w:eastAsia="Calibri" w:hAnsi="Arial" w:cs="Arial"/>
        </w:rPr>
        <w:t xml:space="preserve">Con los matices requeridos para la aplicación de los </w:t>
      </w:r>
      <w:r>
        <w:rPr>
          <w:rFonts w:ascii="Arial" w:eastAsia="Calibri" w:hAnsi="Arial" w:cs="Arial"/>
        </w:rPr>
        <w:lastRenderedPageBreak/>
        <w:t>documentos tipo</w:t>
      </w:r>
      <w:r w:rsidRPr="00797AF9">
        <w:rPr>
          <w:rFonts w:ascii="Arial" w:eastAsia="Calibri" w:hAnsi="Arial" w:cs="Arial"/>
        </w:rPr>
        <w:t>, la entidad, como responsable de la estructuración de su procedimiento de contratación, es autónoma para requerir la experiencia necesaria para el objeto contractual que se pretende satisfacer con el procedimiento, para lo cual, de acuerdo con el artículo 2.2.1.1.1.6.2. del Decreto 1082 de 2015, debe tener en cuenta el estudio del sector y sus componentes como la identificación de riesgos, el mercado y precio del bien, obra o servicio a contratar</w:t>
      </w:r>
      <w:r w:rsidRPr="00797AF9">
        <w:rPr>
          <w:rStyle w:val="Refdenotaalpie"/>
          <w:rFonts w:ascii="Arial" w:eastAsia="Calibri" w:hAnsi="Arial" w:cs="Arial"/>
        </w:rPr>
        <w:footnoteReference w:id="4"/>
      </w:r>
      <w:r w:rsidRPr="00797AF9">
        <w:rPr>
          <w:rFonts w:ascii="Arial" w:eastAsia="Calibri" w:hAnsi="Arial" w:cs="Arial"/>
        </w:rPr>
        <w:t>.</w:t>
      </w:r>
    </w:p>
    <w:p w14:paraId="1347E89B" w14:textId="77777777" w:rsidR="001E4CE0" w:rsidRPr="00797AF9" w:rsidRDefault="001E4CE0" w:rsidP="001E4CE0">
      <w:pPr>
        <w:spacing w:before="120" w:after="120" w:line="276" w:lineRule="auto"/>
        <w:ind w:firstLine="708"/>
        <w:jc w:val="both"/>
        <w:rPr>
          <w:rFonts w:ascii="Arial" w:eastAsia="Calibri" w:hAnsi="Arial" w:cs="Arial"/>
        </w:rPr>
      </w:pPr>
      <w:r w:rsidRPr="00797AF9">
        <w:rPr>
          <w:rFonts w:ascii="Arial" w:eastAsia="Calibri" w:hAnsi="Arial" w:cs="Arial"/>
        </w:rPr>
        <w:t>La experiencia que se deriva de los contratos que el proponente ha celebrado y ejecutado con diferentes contratantes, sin importar la naturaleza de estos, se verifica con el Registro Único de Proponentes –RUP–</w:t>
      </w:r>
      <w:r w:rsidRPr="00797AF9">
        <w:rPr>
          <w:rStyle w:val="Refdenotaalpie"/>
          <w:rFonts w:ascii="Arial" w:eastAsia="Calibri" w:hAnsi="Arial" w:cs="Arial"/>
        </w:rPr>
        <w:footnoteReference w:id="5"/>
      </w:r>
      <w:r w:rsidRPr="00797AF9">
        <w:rPr>
          <w:rFonts w:ascii="Arial" w:eastAsia="Calibri" w:hAnsi="Arial" w:cs="Arial"/>
        </w:rPr>
        <w:t>, cuando este certificado sea exigible de acuerdo con la ley, en el cual constan los requisitos habilitantes que se evalúan exclusivamente con este documento, que es plena prueba, sin que la entidad o el proponente puedan solicitar o aportar otra documentación</w:t>
      </w:r>
      <w:r w:rsidRPr="00797AF9">
        <w:rPr>
          <w:rStyle w:val="Refdenotaalpie"/>
          <w:rFonts w:ascii="Arial" w:eastAsia="Calibri" w:hAnsi="Arial" w:cs="Arial"/>
        </w:rPr>
        <w:footnoteReference w:id="6"/>
      </w:r>
      <w:r w:rsidRPr="00797AF9">
        <w:rPr>
          <w:rFonts w:ascii="Arial" w:eastAsia="Calibri" w:hAnsi="Arial" w:cs="Arial"/>
        </w:rPr>
        <w:t>.</w:t>
      </w:r>
    </w:p>
    <w:p w14:paraId="48B33050" w14:textId="77777777" w:rsidR="001E4CE0" w:rsidRDefault="001E4CE0" w:rsidP="001E4CE0">
      <w:pPr>
        <w:spacing w:line="276" w:lineRule="auto"/>
        <w:ind w:firstLine="708"/>
        <w:jc w:val="both"/>
        <w:rPr>
          <w:rFonts w:ascii="Arial" w:eastAsia="Calibri" w:hAnsi="Arial" w:cs="Arial"/>
        </w:rPr>
      </w:pPr>
      <w:r w:rsidRPr="00797AF9">
        <w:rPr>
          <w:rFonts w:ascii="Arial" w:eastAsia="Calibri" w:hAnsi="Arial" w:cs="Arial"/>
        </w:rPr>
        <w:lastRenderedPageBreak/>
        <w:t>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w:t>
      </w:r>
      <w:r w:rsidRPr="00797AF9">
        <w:rPr>
          <w:rStyle w:val="Refdenotaalpie"/>
          <w:rFonts w:ascii="Arial" w:eastAsia="Calibri" w:hAnsi="Arial" w:cs="Arial"/>
        </w:rPr>
        <w:footnoteReference w:id="7"/>
      </w:r>
      <w:r w:rsidRPr="00797AF9">
        <w:rPr>
          <w:rFonts w:ascii="Arial" w:eastAsia="Calibri" w:hAnsi="Arial" w:cs="Arial"/>
        </w:rPr>
        <w:t xml:space="preserv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w:t>
      </w:r>
    </w:p>
    <w:p w14:paraId="1D515B22" w14:textId="77777777" w:rsidR="001E4CE0" w:rsidRPr="00797AF9" w:rsidRDefault="001E4CE0" w:rsidP="001E4CE0">
      <w:pPr>
        <w:spacing w:line="276" w:lineRule="auto"/>
        <w:ind w:firstLine="708"/>
        <w:jc w:val="both"/>
        <w:rPr>
          <w:rFonts w:ascii="Arial" w:eastAsia="Calibri" w:hAnsi="Arial" w:cs="Arial"/>
        </w:rPr>
      </w:pPr>
      <w:r>
        <w:rPr>
          <w:rFonts w:ascii="Arial" w:eastAsia="Calibri" w:hAnsi="Arial" w:cs="Arial"/>
        </w:rPr>
        <w:t>Por lo demás, l</w:t>
      </w:r>
      <w:r w:rsidRPr="00797AF9">
        <w:rPr>
          <w:rFonts w:ascii="Arial" w:eastAsia="Calibri" w:hAnsi="Arial" w:cs="Arial"/>
        </w:rPr>
        <w:t>a Agencia Nacional de Contratación Pública – Colombia Compra Eficiente puso a disposición de los interesados del Sistema de Compra Pública el Manual para determinar y verificar requisitos habilitantes en los procesos de contratación, donde se establecen las definiciones de cada requisito habilitante y se dan lineamientos sobre lo que las entidades pueden hacer para establecerlos. En relación con la experiencia, el Manual se centra en su carácter personal, lo cual significa que la experiencia se obtiene en razón a la participación, con anterioridad, en actividades que le permitieron conocer cómo ejecutar determinado objeto contractual, que la entidad ahora pretende desarrollar</w:t>
      </w:r>
      <w:r w:rsidRPr="00797AF9">
        <w:rPr>
          <w:rStyle w:val="Refdenotaalpie"/>
          <w:rFonts w:ascii="Arial" w:eastAsia="Calibri" w:hAnsi="Arial" w:cs="Arial"/>
        </w:rPr>
        <w:footnoteReference w:id="8"/>
      </w:r>
      <w:r w:rsidRPr="00797AF9">
        <w:rPr>
          <w:rFonts w:ascii="Arial" w:eastAsia="Calibri" w:hAnsi="Arial" w:cs="Arial"/>
        </w:rPr>
        <w:t>.</w:t>
      </w:r>
    </w:p>
    <w:p w14:paraId="5521FAAC" w14:textId="77777777" w:rsidR="001E4CE0" w:rsidRPr="00797AF9" w:rsidRDefault="001E4CE0" w:rsidP="001E4CE0">
      <w:pPr>
        <w:spacing w:before="120" w:after="120" w:line="276" w:lineRule="auto"/>
        <w:ind w:firstLine="708"/>
        <w:jc w:val="both"/>
        <w:rPr>
          <w:rFonts w:ascii="Arial" w:eastAsia="Calibri" w:hAnsi="Arial" w:cs="Arial"/>
        </w:rPr>
      </w:pPr>
      <w:r w:rsidRPr="00797AF9">
        <w:rPr>
          <w:rFonts w:ascii="Arial" w:eastAsia="Calibri" w:hAnsi="Arial" w:cs="Arial"/>
        </w:rPr>
        <w:lastRenderedPageBreak/>
        <w:t>Lo anterior es determinante</w:t>
      </w:r>
      <w:r>
        <w:rPr>
          <w:rFonts w:ascii="Arial" w:eastAsia="Calibri" w:hAnsi="Arial" w:cs="Arial"/>
        </w:rPr>
        <w:t>,</w:t>
      </w:r>
      <w:r w:rsidRPr="00797AF9">
        <w:rPr>
          <w:rFonts w:ascii="Arial" w:eastAsia="Calibri" w:hAnsi="Arial" w:cs="Arial"/>
        </w:rPr>
        <w:t xml:space="preserve"> porque no es posible tener experiencia si en la práctica no se han ejecutado actividades similares previas; y precisamente de la experiencia se deriva el conocimiento del proponente, y para la contratación pública es importante, pues ello garantiza que no habrá improvisación ni mayores costos por errores o dificultades originadas en realizar una actividad por primera vez. Adicionalmente, el Manual explica que la experiencia puede obtenerse directamente o por participar asociado con otra persona, como es el caso de los proponentes plurales, en cuyo evento la experiencia no deja de ser personal, sino que es proporcional a la participación como miembro de un consorcio o unión temporal, donde por tratarse de esquemas asociativos la experiencia es compartida. Por otra parte, la Agencia recomienda que la experiencia que se solicite sea proporcional y no igual al objeto que se va a contratar, ya que esto puede limitar la participación de los proveedores por no haber ejecutado un objeto igual pero sí similar, lo que ayuda a que exista pluralidad de oferentes. Finalmente, pueden extraer</w:t>
      </w:r>
      <w:r>
        <w:rPr>
          <w:rFonts w:ascii="Arial" w:eastAsia="Calibri" w:hAnsi="Arial" w:cs="Arial"/>
        </w:rPr>
        <w:t>se</w:t>
      </w:r>
      <w:r w:rsidRPr="00797AF9">
        <w:rPr>
          <w:rFonts w:ascii="Arial" w:eastAsia="Calibri" w:hAnsi="Arial" w:cs="Arial"/>
        </w:rPr>
        <w:t xml:space="preserve"> cuatro </w:t>
      </w:r>
      <w:r>
        <w:rPr>
          <w:rFonts w:ascii="Arial" w:eastAsia="Calibri" w:hAnsi="Arial" w:cs="Arial"/>
        </w:rPr>
        <w:t xml:space="preserve">(4) </w:t>
      </w:r>
      <w:r w:rsidRPr="00797AF9">
        <w:rPr>
          <w:rFonts w:ascii="Arial" w:eastAsia="Calibri" w:hAnsi="Arial" w:cs="Arial"/>
        </w:rPr>
        <w:t xml:space="preserve">conclusiones relevantes para evaluar las figuras y reformas estatutarias de las sociedades comerciales, respecto de la experiencia: </w:t>
      </w:r>
    </w:p>
    <w:p w14:paraId="139A71BA" w14:textId="77777777" w:rsidR="001E4CE0" w:rsidRPr="00797AF9" w:rsidRDefault="001E4CE0" w:rsidP="001E4CE0">
      <w:pPr>
        <w:spacing w:before="120" w:after="120" w:line="276" w:lineRule="auto"/>
        <w:ind w:firstLine="708"/>
        <w:jc w:val="both"/>
        <w:rPr>
          <w:rFonts w:ascii="Arial" w:eastAsia="Calibri" w:hAnsi="Arial" w:cs="Arial"/>
        </w:rPr>
      </w:pPr>
      <w:bookmarkStart w:id="1" w:name="_Hlk132125885"/>
      <w:r w:rsidRPr="00797AF9">
        <w:rPr>
          <w:rFonts w:ascii="Arial" w:eastAsia="Calibri" w:hAnsi="Arial" w:cs="Arial"/>
        </w:rPr>
        <w:t xml:space="preserve">i) La experiencia es </w:t>
      </w:r>
      <w:r w:rsidRPr="00797AF9">
        <w:rPr>
          <w:rFonts w:ascii="Arial" w:eastAsia="Calibri" w:hAnsi="Arial" w:cs="Arial"/>
          <w:i/>
          <w:iCs/>
        </w:rPr>
        <w:t>personal</w:t>
      </w:r>
      <w:r w:rsidRPr="00797AF9">
        <w:rPr>
          <w:rFonts w:ascii="Arial" w:eastAsia="Calibri" w:hAnsi="Arial" w:cs="Arial"/>
        </w:rPr>
        <w:t>, esto es, se adquiere participando, directa o indirectamente, sin que sea posible no hacerlo y tener experiencia.</w:t>
      </w:r>
    </w:p>
    <w:p w14:paraId="2709ACDC" w14:textId="77777777" w:rsidR="001E4CE0" w:rsidRPr="00D249B0" w:rsidRDefault="001E4CE0" w:rsidP="001E4CE0">
      <w:pPr>
        <w:spacing w:before="120" w:after="120" w:line="276" w:lineRule="auto"/>
        <w:ind w:firstLine="708"/>
        <w:jc w:val="both"/>
        <w:rPr>
          <w:rFonts w:ascii="Arial" w:eastAsia="Calibri" w:hAnsi="Arial" w:cs="Arial"/>
          <w:lang w:val="es-MX"/>
        </w:rPr>
      </w:pPr>
      <w:r w:rsidRPr="00797AF9">
        <w:rPr>
          <w:rFonts w:ascii="Arial" w:eastAsia="Calibri" w:hAnsi="Arial" w:cs="Arial"/>
        </w:rPr>
        <w:t xml:space="preserve">ii) </w:t>
      </w:r>
      <w:r w:rsidRPr="00D249B0">
        <w:rPr>
          <w:rFonts w:ascii="Arial" w:eastAsia="Calibri" w:hAnsi="Arial" w:cs="Arial"/>
          <w:lang w:val="es-MX"/>
        </w:rPr>
        <w:t xml:space="preserve">La experiencia se puede </w:t>
      </w:r>
      <w:r w:rsidRPr="00D249B0">
        <w:rPr>
          <w:rFonts w:ascii="Arial" w:eastAsia="Calibri" w:hAnsi="Arial" w:cs="Arial"/>
          <w:i/>
          <w:iCs/>
          <w:lang w:val="es-MX"/>
        </w:rPr>
        <w:t>compartir</w:t>
      </w:r>
      <w:r w:rsidRPr="00D249B0">
        <w:rPr>
          <w:rFonts w:ascii="Arial" w:eastAsia="Calibri" w:hAnsi="Arial" w:cs="Arial"/>
          <w:lang w:val="es-MX"/>
        </w:rPr>
        <w:t>, sin que implique que la que le hayan compartido a una persona se entienda suya, ya que dentro del procedimiento contractual se reflejará que esa persona tiene la experiencia de otra, como es el caso de la que le aportan los socios a las sociedades con menos de 3 años de constitución, lo cual constará en el RUP; o de las figuras asociativas  ̶ consorcios y uniones temporales ̶  que se verificará en el documento privado de constitución.</w:t>
      </w:r>
    </w:p>
    <w:p w14:paraId="393947EB" w14:textId="77777777" w:rsidR="001E4CE0" w:rsidRPr="00797AF9" w:rsidRDefault="001E4CE0" w:rsidP="001E4CE0">
      <w:pPr>
        <w:spacing w:before="120" w:after="120" w:line="276" w:lineRule="auto"/>
        <w:ind w:firstLine="708"/>
        <w:jc w:val="both"/>
        <w:rPr>
          <w:rFonts w:ascii="Arial" w:eastAsia="Calibri" w:hAnsi="Arial" w:cs="Arial"/>
        </w:rPr>
      </w:pPr>
      <w:r w:rsidRPr="00797AF9">
        <w:rPr>
          <w:rFonts w:ascii="Arial" w:eastAsia="Calibri" w:hAnsi="Arial" w:cs="Arial"/>
        </w:rPr>
        <w:t xml:space="preserve">iii) La experiencia se puede </w:t>
      </w:r>
      <w:r w:rsidRPr="00797AF9">
        <w:rPr>
          <w:rFonts w:ascii="Arial" w:eastAsia="Calibri" w:hAnsi="Arial" w:cs="Arial"/>
          <w:i/>
          <w:iCs/>
        </w:rPr>
        <w:t>transferir</w:t>
      </w:r>
      <w:r w:rsidRPr="00797AF9">
        <w:rPr>
          <w:rFonts w:ascii="Arial" w:eastAsia="Calibri" w:hAnsi="Arial" w:cs="Arial"/>
        </w:rPr>
        <w:t>, y esto es diferente a compartir, lo que implica que la experiencia de una persona se traslada a otra, y esta última acredita la experiencia como propia, como sucede con algunas figuras y reformas estatutarias</w:t>
      </w:r>
      <w:r>
        <w:rPr>
          <w:rFonts w:ascii="Arial" w:eastAsia="Calibri" w:hAnsi="Arial" w:cs="Arial"/>
        </w:rPr>
        <w:t xml:space="preserve"> </w:t>
      </w:r>
      <w:r w:rsidRPr="001E0852">
        <w:rPr>
          <w:rFonts w:ascii="Arial" w:eastAsia="Calibri" w:hAnsi="Arial" w:cs="Arial"/>
        </w:rPr>
        <w:t xml:space="preserve">como </w:t>
      </w:r>
      <w:r>
        <w:rPr>
          <w:rFonts w:ascii="Arial" w:eastAsia="Calibri" w:hAnsi="Arial" w:cs="Arial"/>
        </w:rPr>
        <w:t xml:space="preserve">la </w:t>
      </w:r>
      <w:r w:rsidRPr="001E0852">
        <w:rPr>
          <w:rFonts w:ascii="Arial" w:eastAsia="Calibri" w:hAnsi="Arial" w:cs="Arial"/>
        </w:rPr>
        <w:t xml:space="preserve">transformación, fusión </w:t>
      </w:r>
      <w:r>
        <w:rPr>
          <w:rFonts w:ascii="Arial" w:eastAsia="Calibri" w:hAnsi="Arial" w:cs="Arial"/>
        </w:rPr>
        <w:t>o</w:t>
      </w:r>
      <w:r w:rsidRPr="001E0852">
        <w:rPr>
          <w:rFonts w:ascii="Arial" w:eastAsia="Calibri" w:hAnsi="Arial" w:cs="Arial"/>
        </w:rPr>
        <w:t xml:space="preserve"> escisión</w:t>
      </w:r>
      <w:r w:rsidRPr="00797AF9">
        <w:rPr>
          <w:rFonts w:ascii="Arial" w:eastAsia="Calibri" w:hAnsi="Arial" w:cs="Arial"/>
        </w:rPr>
        <w:t>.</w:t>
      </w:r>
    </w:p>
    <w:p w14:paraId="6588CD99" w14:textId="77777777" w:rsidR="001E4CE0" w:rsidRDefault="001E4CE0" w:rsidP="001E4CE0">
      <w:pPr>
        <w:spacing w:line="276" w:lineRule="auto"/>
        <w:ind w:firstLine="708"/>
        <w:jc w:val="both"/>
        <w:rPr>
          <w:rFonts w:ascii="Arial" w:eastAsia="Calibri" w:hAnsi="Arial" w:cs="Arial"/>
        </w:rPr>
      </w:pPr>
      <w:r w:rsidRPr="00797AF9">
        <w:rPr>
          <w:rFonts w:ascii="Arial" w:eastAsia="Calibri" w:hAnsi="Arial" w:cs="Arial"/>
        </w:rPr>
        <w:t xml:space="preserve">iv) </w:t>
      </w:r>
      <w:r w:rsidRPr="00624ECD">
        <w:rPr>
          <w:rFonts w:ascii="Arial" w:eastAsia="Calibri" w:hAnsi="Arial" w:cs="Arial"/>
        </w:rPr>
        <w:t>Solo es posible transferir o compartir la experiencia de una persona natural o jurídica a otra, en los casos señalados en los numerales anteriores, por lo cual no es posible que se acredite la experiencia adquirida por un tercero  ̶ que es otra persona diferente a la principal ̶  sin que se relacione con lo establecido, ya que la experiencia es personal, esto es, de quien la adquirió.</w:t>
      </w:r>
      <w:r>
        <w:rPr>
          <w:rFonts w:ascii="Arial" w:eastAsia="Calibri" w:hAnsi="Arial" w:cs="Arial"/>
        </w:rPr>
        <w:t xml:space="preserve"> Asimismo, c</w:t>
      </w:r>
      <w:r w:rsidRPr="00797AF9">
        <w:rPr>
          <w:rFonts w:ascii="Arial" w:eastAsia="Calibri" w:hAnsi="Arial" w:cs="Arial"/>
        </w:rPr>
        <w:t xml:space="preserve">uando la persona que adquirió la experiencia </w:t>
      </w:r>
      <w:r w:rsidRPr="00797AF9">
        <w:rPr>
          <w:rFonts w:ascii="Arial" w:eastAsia="Calibri" w:hAnsi="Arial" w:cs="Arial"/>
          <w:i/>
          <w:iCs/>
        </w:rPr>
        <w:t>desaparece</w:t>
      </w:r>
      <w:r w:rsidRPr="00797AF9">
        <w:rPr>
          <w:rFonts w:ascii="Arial" w:eastAsia="Calibri" w:hAnsi="Arial" w:cs="Arial"/>
        </w:rPr>
        <w:t xml:space="preserve"> o se liquida no es posible que comparta o transfiera su experiencia, porque al ser personal sigue la suerte de quien la adquirió.</w:t>
      </w:r>
    </w:p>
    <w:bookmarkEnd w:id="1"/>
    <w:p w14:paraId="4C444E82" w14:textId="77777777" w:rsidR="001E4CE0" w:rsidRPr="00153613" w:rsidRDefault="001E4CE0" w:rsidP="001E4CE0">
      <w:pPr>
        <w:spacing w:before="120" w:line="276" w:lineRule="auto"/>
        <w:ind w:firstLine="709"/>
        <w:jc w:val="both"/>
        <w:rPr>
          <w:rFonts w:ascii="Arial" w:eastAsia="Calibri" w:hAnsi="Arial" w:cs="Arial"/>
          <w:color w:val="000000" w:themeColor="text1"/>
        </w:rPr>
      </w:pPr>
      <w:r w:rsidRPr="008A2673">
        <w:rPr>
          <w:rFonts w:ascii="Arial" w:eastAsia="Calibri" w:hAnsi="Arial" w:cs="Arial"/>
          <w:color w:val="000000" w:themeColor="text1"/>
        </w:rPr>
        <w:lastRenderedPageBreak/>
        <w:t>No obstante, las entidades</w:t>
      </w:r>
      <w:r>
        <w:rPr>
          <w:rFonts w:ascii="Arial" w:eastAsia="Calibri" w:hAnsi="Arial" w:cs="Arial"/>
          <w:color w:val="000000" w:themeColor="text1"/>
        </w:rPr>
        <w:t xml:space="preserve"> estatales</w:t>
      </w:r>
      <w:r w:rsidRPr="008A2673">
        <w:rPr>
          <w:rFonts w:ascii="Arial" w:eastAsia="Calibri" w:hAnsi="Arial" w:cs="Arial"/>
          <w:color w:val="000000" w:themeColor="text1"/>
        </w:rPr>
        <w:t xml:space="preserve"> son autónomas en la estructuración de sus procedimientos contractuales, por lo cual en sus pliegos de condiciones pueden establecer una regla de acreditación de la experiencia que permita que el proponente incluya la de otras personas o terceros para cumplir el requisito habilitante.</w:t>
      </w:r>
      <w:r>
        <w:rPr>
          <w:rFonts w:ascii="Arial" w:eastAsia="Calibri" w:hAnsi="Arial" w:cs="Arial"/>
          <w:color w:val="000000" w:themeColor="text1"/>
        </w:rPr>
        <w:t xml:space="preserve"> Lo anterior, salvo que se trate de objetos contractuales regidos por documentos tipo, evento en el cual las reglas relativas a la experiencia exigida y a la forma de acreditación están allí previstas.</w:t>
      </w:r>
    </w:p>
    <w:p w14:paraId="7384A897" w14:textId="77777777" w:rsidR="001E4CE0" w:rsidRPr="00797AF9" w:rsidRDefault="001E4CE0" w:rsidP="001E4CE0">
      <w:pPr>
        <w:spacing w:before="120" w:after="120" w:line="276" w:lineRule="auto"/>
        <w:ind w:firstLine="709"/>
        <w:jc w:val="both"/>
        <w:rPr>
          <w:rFonts w:ascii="Arial" w:hAnsi="Arial" w:cs="Arial"/>
        </w:rPr>
      </w:pPr>
      <w:r w:rsidRPr="00797AF9">
        <w:rPr>
          <w:rFonts w:ascii="Arial" w:hAnsi="Arial" w:cs="Arial"/>
        </w:rPr>
        <w:t>Ahora, el RUP fue creado por el artículo 6 de la Ley 1150 de 2007 y constituye el medio idóneo para verificar las condiciones de los proponentes en procesos de contratación pública. Este registro, conforme a lo señalado por la Corte Constitucional</w:t>
      </w:r>
      <w:r w:rsidRPr="00797AF9">
        <w:rPr>
          <w:rFonts w:ascii="Arial" w:hAnsi="Arial" w:cs="Arial"/>
          <w:vertAlign w:val="superscript"/>
        </w:rPr>
        <w:footnoteReference w:id="9"/>
      </w:r>
      <w:r w:rsidRPr="00797AF9">
        <w:rPr>
          <w:rFonts w:ascii="Arial" w:hAnsi="Arial" w:cs="Arial"/>
        </w:rPr>
        <w:t xml:space="preserve">, es administrado por las Cámaras de Comercio y la actividad relacionada en el mismo está </w:t>
      </w:r>
      <w:r>
        <w:rPr>
          <w:rFonts w:ascii="Arial" w:hAnsi="Arial" w:cs="Arial"/>
        </w:rPr>
        <w:t>“</w:t>
      </w:r>
      <w:r w:rsidRPr="00797AF9">
        <w:rPr>
          <w:rFonts w:ascii="Arial" w:hAnsi="Arial" w:cs="Arial"/>
        </w:rPr>
        <w:t>sometid[a] a los principios de la función administrativa y de contratación estatal</w:t>
      </w:r>
      <w:r>
        <w:rPr>
          <w:rFonts w:ascii="Arial" w:hAnsi="Arial" w:cs="Arial"/>
        </w:rPr>
        <w:t>”</w:t>
      </w:r>
      <w:r w:rsidRPr="00797AF9">
        <w:rPr>
          <w:rFonts w:ascii="Arial" w:hAnsi="Arial" w:cs="Arial"/>
        </w:rPr>
        <w:t xml:space="preserve">. El artículo 6 de la Ley 1150 de 2007 señala que el RUP </w:t>
      </w:r>
      <w:r>
        <w:rPr>
          <w:rFonts w:ascii="Arial" w:hAnsi="Arial" w:cs="Arial"/>
        </w:rPr>
        <w:t>“</w:t>
      </w:r>
      <w:r w:rsidRPr="00797AF9">
        <w:rPr>
          <w:rFonts w:ascii="Arial" w:hAnsi="Arial" w:cs="Arial"/>
        </w:rPr>
        <w:t>es plena prueba de las circunstancias que en ella se hagan constar y que hayan sido verificadas por las Cámaras de Comercio</w:t>
      </w:r>
      <w:r>
        <w:rPr>
          <w:rFonts w:ascii="Arial" w:hAnsi="Arial" w:cs="Arial"/>
        </w:rPr>
        <w:t>”</w:t>
      </w:r>
      <w:r w:rsidRPr="00797AF9">
        <w:rPr>
          <w:rFonts w:ascii="Arial" w:hAnsi="Arial" w:cs="Arial"/>
        </w:rPr>
        <w:t xml:space="preserve">, es decir, estableció una regla probatoria en lo que se refiere a las condiciones de las proponentes contenidas en el registro, y asignó la competencia a las cámaras para verificarlas. </w:t>
      </w:r>
    </w:p>
    <w:p w14:paraId="4344A11E" w14:textId="77777777" w:rsidR="001E4CE0" w:rsidRPr="00797AF9" w:rsidRDefault="001E4CE0" w:rsidP="001E4CE0">
      <w:pPr>
        <w:spacing w:before="120" w:after="120" w:line="276" w:lineRule="auto"/>
        <w:ind w:firstLine="705"/>
        <w:jc w:val="both"/>
        <w:rPr>
          <w:rFonts w:ascii="Arial" w:hAnsi="Arial" w:cs="Arial"/>
        </w:rPr>
      </w:pPr>
      <w:r w:rsidRPr="00797AF9">
        <w:rPr>
          <w:rFonts w:ascii="Arial" w:hAnsi="Arial" w:cs="Arial"/>
        </w:rPr>
        <w:t xml:space="preserve">La norma impuso la obligación a todos los proponentes de inscribirse en el registro único de proponentes, salvo en los casos de contratación directa, contratos para la prestación de servicios de salud, contratos de mínima cuantía, enajenación de bienes del Estado, y los contratos que tengan por objeto la adquisición de productos de origen o destinación agropecuaria que se ofrezcan en bolsas de productos legalmente constituidas. De igual forma, están exceptuados los actos y contratos que tengan por objeto directo las actividades comerciales e industriales propias de las empresas industriales y comerciales del Estado y las sociedades de economía mixta y los contratos de concesión de cualquier índole. </w:t>
      </w:r>
    </w:p>
    <w:p w14:paraId="3AE5C3E8" w14:textId="77777777" w:rsidR="001E4CE0" w:rsidRPr="00797AF9" w:rsidRDefault="001E4CE0" w:rsidP="001E4CE0">
      <w:pPr>
        <w:spacing w:before="120" w:after="120" w:line="276" w:lineRule="auto"/>
        <w:jc w:val="both"/>
        <w:rPr>
          <w:rFonts w:ascii="Arial" w:hAnsi="Arial" w:cs="Arial"/>
        </w:rPr>
      </w:pPr>
      <w:r w:rsidRPr="00797AF9">
        <w:rPr>
          <w:rFonts w:ascii="Arial" w:hAnsi="Arial" w:cs="Arial"/>
        </w:rPr>
        <w:tab/>
        <w:t xml:space="preserve">Asimismo, correlativo a este deber de los proponentes, la norma impuso a las cámaras de comercio la obligación de verificar los requisitos habilitantes de quienes se registren. El inciso 2 del numeral 6.1. le otorga carácter de plena prueba a la información contenida en el registro que haya sido verificada por las cámaras de comercio y, además, dispuso que la verificación de las condiciones de que trata el numeral 1 el artículo 5 de la Ley 1150 de 2007 se demostrará </w:t>
      </w:r>
      <w:r>
        <w:rPr>
          <w:rFonts w:ascii="Arial" w:hAnsi="Arial" w:cs="Arial"/>
        </w:rPr>
        <w:t>“</w:t>
      </w:r>
      <w:r w:rsidRPr="00797AF9">
        <w:rPr>
          <w:rFonts w:ascii="Arial" w:hAnsi="Arial" w:cs="Arial"/>
        </w:rPr>
        <w:t>exclusivamente con el respectivo certificado del RUP en donde deberán constar dichas condiciones</w:t>
      </w:r>
      <w:r>
        <w:rPr>
          <w:rFonts w:ascii="Arial" w:hAnsi="Arial" w:cs="Arial"/>
        </w:rPr>
        <w:t>”</w:t>
      </w:r>
      <w:r w:rsidRPr="00797AF9">
        <w:rPr>
          <w:rFonts w:ascii="Arial" w:hAnsi="Arial" w:cs="Arial"/>
        </w:rPr>
        <w:t xml:space="preserve">. </w:t>
      </w:r>
    </w:p>
    <w:p w14:paraId="1B99641D" w14:textId="77777777" w:rsidR="001E4CE0" w:rsidRDefault="001E4CE0" w:rsidP="001E4CE0">
      <w:pPr>
        <w:spacing w:before="120" w:after="0" w:line="276" w:lineRule="auto"/>
        <w:ind w:firstLine="708"/>
        <w:jc w:val="both"/>
        <w:rPr>
          <w:rFonts w:ascii="Arial" w:hAnsi="Arial" w:cs="Arial"/>
        </w:rPr>
      </w:pPr>
      <w:r w:rsidRPr="00797AF9">
        <w:rPr>
          <w:rFonts w:ascii="Arial" w:hAnsi="Arial" w:cs="Arial"/>
        </w:rPr>
        <w:t xml:space="preserve">En consecuencia, la norma dispone que a las entidades les está prohibido exigir otros documentos para efectuar la inscripción en el registro, salvo lo dispuesto en el inciso 3 del numeral 6.1.del artículo 6 de la Ley 1150 de 2007, en el que se prevé que la entidad podrá verificar requisitos adicionales a los contenidos en el registro cuando se requiera en virtud de la naturaleza del objeto a contratar. La norma señala que solo en este último evento la entidad podrá hacer la verificación en forma directa, es decir, cuando por el objeto del contrato se requieran verificar </w:t>
      </w:r>
      <w:r w:rsidRPr="00797AF9">
        <w:rPr>
          <w:rFonts w:ascii="Arial" w:hAnsi="Arial" w:cs="Arial"/>
        </w:rPr>
        <w:lastRenderedPageBreak/>
        <w:t xml:space="preserve">requisitos adicionales a los contenidos en el registro. De lo anterior se concluye que la regla general es que la experiencia se acredite a través del RUP y, en consecuencia, la evaluación de la experiencia, como requisito habilitante, no puede ser evaluada nuevamente por la entidad pública a partir de otros criterios distintos a los contenidos en el registro único de proponentes. </w:t>
      </w:r>
    </w:p>
    <w:p w14:paraId="66A2754A" w14:textId="77777777" w:rsidR="001E4CE0" w:rsidRDefault="001E4CE0" w:rsidP="001E4CE0">
      <w:pPr>
        <w:spacing w:after="0" w:line="240" w:lineRule="auto"/>
        <w:ind w:firstLine="708"/>
        <w:jc w:val="both"/>
        <w:rPr>
          <w:rFonts w:ascii="Arial" w:hAnsi="Arial" w:cs="Arial"/>
        </w:rPr>
      </w:pPr>
    </w:p>
    <w:p w14:paraId="017A800A" w14:textId="77777777" w:rsidR="001E4CE0" w:rsidRPr="00656151" w:rsidRDefault="001E4CE0" w:rsidP="001E4CE0">
      <w:pPr>
        <w:pStyle w:val="Prrafodelista"/>
        <w:numPr>
          <w:ilvl w:val="1"/>
          <w:numId w:val="6"/>
        </w:numPr>
        <w:tabs>
          <w:tab w:val="left" w:pos="426"/>
        </w:tabs>
        <w:spacing w:after="0" w:line="276" w:lineRule="auto"/>
        <w:ind w:left="0" w:right="49" w:hanging="11"/>
        <w:jc w:val="both"/>
        <w:rPr>
          <w:rFonts w:ascii="Arial" w:eastAsia="Calibri" w:hAnsi="Arial" w:cs="Arial"/>
          <w:color w:val="000000" w:themeColor="text1"/>
          <w:lang w:eastAsia="es-MX"/>
        </w:rPr>
      </w:pPr>
      <w:bookmarkStart w:id="2" w:name="_Hlk136958112"/>
      <w:r w:rsidRPr="0033583C">
        <w:rPr>
          <w:rFonts w:ascii="Arial" w:hAnsi="Arial" w:cs="Arial"/>
          <w:b/>
          <w:bCs/>
        </w:rPr>
        <w:t>Acreditación de experiencia de socios por parte de sociedades con menos de tres años de constitución</w:t>
      </w:r>
      <w:r>
        <w:rPr>
          <w:rFonts w:ascii="Arial" w:hAnsi="Arial" w:cs="Arial"/>
          <w:b/>
          <w:bCs/>
        </w:rPr>
        <w:t>. Posibilidad de pondera la experiencia transferida por los socios en función de su porcentaje participación.</w:t>
      </w:r>
    </w:p>
    <w:bookmarkEnd w:id="2"/>
    <w:p w14:paraId="538E9F2D" w14:textId="77777777" w:rsidR="001E4CE0" w:rsidRPr="00656151" w:rsidRDefault="001E4CE0" w:rsidP="001E4CE0">
      <w:pPr>
        <w:pStyle w:val="Prrafodelista"/>
        <w:tabs>
          <w:tab w:val="left" w:pos="426"/>
        </w:tabs>
        <w:spacing w:after="0" w:line="276" w:lineRule="auto"/>
        <w:ind w:left="0" w:right="49"/>
        <w:jc w:val="both"/>
        <w:rPr>
          <w:rFonts w:ascii="Arial" w:eastAsia="Calibri" w:hAnsi="Arial" w:cs="Arial"/>
          <w:color w:val="000000" w:themeColor="text1"/>
          <w:lang w:eastAsia="es-MX"/>
        </w:rPr>
      </w:pPr>
    </w:p>
    <w:p w14:paraId="217D6D3F" w14:textId="77777777" w:rsidR="001E4CE0" w:rsidRPr="00921F76" w:rsidRDefault="001E4CE0" w:rsidP="001E4CE0">
      <w:pPr>
        <w:spacing w:after="120" w:line="276" w:lineRule="auto"/>
        <w:jc w:val="both"/>
        <w:rPr>
          <w:rFonts w:ascii="Arial" w:hAnsi="Arial" w:cs="Arial"/>
        </w:rPr>
      </w:pPr>
      <w:r w:rsidRPr="00AC2EB0">
        <w:rPr>
          <w:rFonts w:ascii="Arial" w:hAnsi="Arial" w:cs="Arial"/>
        </w:rPr>
        <w:t>La Ley 1150 de 2007, en el artículo 5, establece que la capacidad jurídica y las condiciones de experiencia, capacidad financiera y de organización de los proponentes serán objeto de verificación por parte de las entidades como requisitos habilitantes para participar en los procesos de selección y no otorgarán puntaje</w:t>
      </w:r>
      <w:r>
        <w:rPr>
          <w:rFonts w:ascii="Arial" w:hAnsi="Arial" w:cs="Arial"/>
        </w:rPr>
        <w:t xml:space="preserve">. Esto </w:t>
      </w:r>
      <w:r w:rsidRPr="00AC2EB0">
        <w:rPr>
          <w:rFonts w:ascii="Arial" w:hAnsi="Arial" w:cs="Arial"/>
        </w:rPr>
        <w:t xml:space="preserve">con excepción de la selección de consultores mediante un concurso de méritos, donde es posible otorgar </w:t>
      </w:r>
      <w:r w:rsidRPr="00921F76">
        <w:rPr>
          <w:rFonts w:ascii="Arial" w:hAnsi="Arial" w:cs="Arial"/>
        </w:rPr>
        <w:t xml:space="preserve">puntaje al criterio de experiencia. </w:t>
      </w:r>
    </w:p>
    <w:p w14:paraId="63D4DE67" w14:textId="77777777" w:rsidR="001E4CE0" w:rsidRPr="00921F76" w:rsidRDefault="001E4CE0" w:rsidP="001E4CE0">
      <w:pPr>
        <w:spacing w:before="120" w:after="120" w:line="276" w:lineRule="auto"/>
        <w:ind w:firstLine="708"/>
        <w:jc w:val="both"/>
        <w:rPr>
          <w:rFonts w:ascii="Arial" w:hAnsi="Arial" w:cs="Arial"/>
        </w:rPr>
      </w:pPr>
      <w:r w:rsidRPr="00921F76">
        <w:rPr>
          <w:rFonts w:ascii="Arial" w:hAnsi="Arial" w:cs="Arial"/>
        </w:rPr>
        <w:t xml:space="preserve">Por su parte, el artículo 6 de la Ley 1150 de 2007 señala que todas las personas naturales o jurídicas, nacionales o extranjeras, domiciliadas o con sucursal en Colombia, que aspiren celebrar contratos con las entidades deberán estar inscritas en el Registro Único de Proponentes. En dicho registro constará la información relacionada con la experiencia, capacidad jurídica, financiera y de organización del proponente y su clasificación. Frente al requisito habilitante de experiencia, en el </w:t>
      </w:r>
      <w:r>
        <w:rPr>
          <w:rFonts w:ascii="Arial" w:hAnsi="Arial" w:cs="Arial"/>
        </w:rPr>
        <w:t>“</w:t>
      </w:r>
      <w:r w:rsidRPr="00921F76">
        <w:rPr>
          <w:rFonts w:ascii="Arial" w:hAnsi="Arial" w:cs="Arial"/>
        </w:rPr>
        <w:t>Manual para determinar y verificar requisitos habilitantes en los procesos de contratación</w:t>
      </w:r>
      <w:r>
        <w:rPr>
          <w:rFonts w:ascii="Arial" w:hAnsi="Arial" w:cs="Arial"/>
        </w:rPr>
        <w:t>”</w:t>
      </w:r>
      <w:r w:rsidRPr="00921F76">
        <w:rPr>
          <w:rFonts w:ascii="Arial" w:hAnsi="Arial" w:cs="Arial"/>
        </w:rPr>
        <w:t xml:space="preserve"> se define la experiencia como </w:t>
      </w:r>
      <w:r>
        <w:rPr>
          <w:rFonts w:ascii="Arial" w:hAnsi="Arial" w:cs="Arial"/>
        </w:rPr>
        <w:t>“</w:t>
      </w:r>
      <w:r w:rsidRPr="00921F76">
        <w:rPr>
          <w:rFonts w:ascii="Arial" w:hAnsi="Arial" w:cs="Arial"/>
        </w:rPr>
        <w:t>el conocimiento del proponente derivado de su participación previa en actividades iguales o similares a las previstas en el objeto del contrato</w:t>
      </w:r>
      <w:r>
        <w:rPr>
          <w:rFonts w:ascii="Arial" w:hAnsi="Arial" w:cs="Arial"/>
        </w:rPr>
        <w:t>”</w:t>
      </w:r>
      <w:r w:rsidRPr="00921F76">
        <w:rPr>
          <w:rFonts w:ascii="Arial" w:hAnsi="Arial" w:cs="Arial"/>
        </w:rPr>
        <w:t>.</w:t>
      </w:r>
    </w:p>
    <w:p w14:paraId="7865116C" w14:textId="77777777" w:rsidR="001E4CE0" w:rsidRPr="00AC2EB0" w:rsidRDefault="001E4CE0" w:rsidP="001E4CE0">
      <w:pPr>
        <w:spacing w:before="120" w:after="120" w:line="276" w:lineRule="auto"/>
        <w:ind w:firstLine="708"/>
        <w:jc w:val="both"/>
        <w:rPr>
          <w:rFonts w:ascii="Arial" w:hAnsi="Arial" w:cs="Arial"/>
        </w:rPr>
      </w:pPr>
      <w:r w:rsidRPr="00921F76">
        <w:rPr>
          <w:rFonts w:ascii="Arial" w:hAnsi="Arial" w:cs="Arial"/>
        </w:rPr>
        <w:t>El Decreto 1082 de 2015, en el artículo 2.2.1.1.1.5.2, numeral 2.1, establece que si una persona natural se inscribe en el RUP aportará los certificados de experiencia en provisión de bienes, obras y servicios, los cuales deben ser expedidos por terceros que hayan recibido tales bienes, obras y servicios, y deben corresponder</w:t>
      </w:r>
      <w:r w:rsidRPr="00AC2EB0">
        <w:rPr>
          <w:rFonts w:ascii="Arial" w:hAnsi="Arial" w:cs="Arial"/>
        </w:rPr>
        <w:t xml:space="preserve"> a contratos ejecutados o copias de los contratos cuando el interesado no puede obtener tal certificado</w:t>
      </w:r>
      <w:r w:rsidRPr="00AC2EB0">
        <w:rPr>
          <w:rStyle w:val="Refdenotaalpie"/>
          <w:rFonts w:ascii="Arial" w:hAnsi="Arial" w:cs="Arial"/>
        </w:rPr>
        <w:footnoteReference w:id="10"/>
      </w:r>
      <w:r w:rsidRPr="00AC2EB0">
        <w:rPr>
          <w:rFonts w:ascii="Arial" w:hAnsi="Arial" w:cs="Arial"/>
        </w:rPr>
        <w:t xml:space="preserve">.  </w:t>
      </w:r>
    </w:p>
    <w:p w14:paraId="585A4DAD" w14:textId="77777777" w:rsidR="001E4CE0" w:rsidRPr="00AC2EB0" w:rsidRDefault="001E4CE0" w:rsidP="001E4CE0">
      <w:pPr>
        <w:spacing w:before="120" w:after="120" w:line="276" w:lineRule="auto"/>
        <w:ind w:firstLine="708"/>
        <w:jc w:val="both"/>
        <w:rPr>
          <w:rFonts w:ascii="Arial" w:hAnsi="Arial" w:cs="Arial"/>
        </w:rPr>
      </w:pPr>
      <w:r w:rsidRPr="00AC2EB0">
        <w:rPr>
          <w:rFonts w:ascii="Arial" w:hAnsi="Arial" w:cs="Arial"/>
        </w:rPr>
        <w:t>El numeral 2.5</w:t>
      </w:r>
      <w:r w:rsidRPr="00AC2EB0">
        <w:rPr>
          <w:rStyle w:val="Refdenotaalpie"/>
          <w:rFonts w:ascii="Arial" w:hAnsi="Arial" w:cs="Arial"/>
        </w:rPr>
        <w:footnoteReference w:id="11"/>
      </w:r>
      <w:r w:rsidRPr="00AC2EB0">
        <w:rPr>
          <w:rFonts w:ascii="Arial" w:hAnsi="Arial" w:cs="Arial"/>
        </w:rPr>
        <w:t xml:space="preserve"> del mismo artículo señala que la persona jurídica se registrará aportando los certificados de la experiencia en la provisión de los bienes, obras y servicios que ofrecerá a </w:t>
      </w:r>
      <w:r w:rsidRPr="00AC2EB0">
        <w:rPr>
          <w:rFonts w:ascii="Arial" w:hAnsi="Arial" w:cs="Arial"/>
        </w:rPr>
        <w:lastRenderedPageBreak/>
        <w:t xml:space="preserve">las entidades estatales, los cuales deben ser expedidos por terceros que hayan recibido tales bienes, obras o servicios y deben corresponder a contratos ejecutados o copias de los contratos cuando el interesado no puede obtener tal certificado. </w:t>
      </w:r>
    </w:p>
    <w:p w14:paraId="1B62BFFD" w14:textId="77777777" w:rsidR="001E4CE0" w:rsidRPr="00921F76" w:rsidRDefault="001E4CE0" w:rsidP="001E4CE0">
      <w:pPr>
        <w:spacing w:before="120" w:after="120" w:line="276" w:lineRule="auto"/>
        <w:ind w:firstLine="708"/>
        <w:jc w:val="both"/>
        <w:rPr>
          <w:rFonts w:ascii="Arial" w:hAnsi="Arial" w:cs="Arial"/>
        </w:rPr>
      </w:pPr>
      <w:r w:rsidRPr="00921F76">
        <w:rPr>
          <w:rFonts w:ascii="Arial" w:hAnsi="Arial" w:cs="Arial"/>
        </w:rPr>
        <w:t>El interesado debe indicar en cada certificado, o en cada copia de los contratos, los bienes, obras y servicios a los cuales corresponde la experiencia que pretende acreditar, identificándolos con el Clasificador de Bienes y Servicios, en el tercer nivel. Si la constitución del interesado es menor a 3 años, puede acreditar la experiencia de sus accionistas, socios o constituyentes.</w:t>
      </w:r>
    </w:p>
    <w:p w14:paraId="366C1418" w14:textId="77777777" w:rsidR="001E4CE0" w:rsidRPr="00921F76" w:rsidRDefault="001E4CE0" w:rsidP="001E4CE0">
      <w:pPr>
        <w:spacing w:before="120" w:after="120" w:line="276" w:lineRule="auto"/>
        <w:ind w:firstLine="708"/>
        <w:jc w:val="both"/>
        <w:rPr>
          <w:rFonts w:ascii="Arial" w:hAnsi="Arial" w:cs="Arial"/>
        </w:rPr>
      </w:pPr>
      <w:bookmarkStart w:id="3" w:name="_Hlk132126019"/>
      <w:r w:rsidRPr="00921F76">
        <w:rPr>
          <w:rFonts w:ascii="Arial" w:hAnsi="Arial" w:cs="Arial"/>
        </w:rPr>
        <w:t xml:space="preserve">La parte final del numeral 2.5 del artículo citado incluye una medida diferenciada para las personas jurídicas cuya constitución sea menor a 3 años al momento del registro. Esta prerrogativa, que puede ser entendida como de fomento a la participación de pequeños oferentes en la contratación estatal, permite que las sociedades relativamente nuevas </w:t>
      </w:r>
      <w:r w:rsidRPr="00921F76">
        <w:rPr>
          <w:rFonts w:ascii="Arial" w:eastAsia="Calibri" w:hAnsi="Arial" w:cs="Arial"/>
        </w:rPr>
        <w:t>─</w:t>
      </w:r>
      <w:r w:rsidRPr="00921F76">
        <w:rPr>
          <w:rFonts w:ascii="Arial" w:hAnsi="Arial" w:cs="Arial"/>
        </w:rPr>
        <w:t>con menos de 3 años de constitución</w:t>
      </w:r>
      <w:r w:rsidRPr="00921F76">
        <w:rPr>
          <w:rFonts w:ascii="Arial" w:eastAsia="Calibri" w:hAnsi="Arial" w:cs="Arial"/>
        </w:rPr>
        <w:t>─</w:t>
      </w:r>
      <w:r w:rsidRPr="00921F76">
        <w:rPr>
          <w:rFonts w:ascii="Arial" w:hAnsi="Arial" w:cs="Arial"/>
        </w:rPr>
        <w:t xml:space="preserve"> puedan acreditar como experiencia en el RUP la de sus accionistas, socios o constituyentes. A pesar de que la experiencia es inherente a la persona que la ha obtenido, razón por la cual es intransferible en virtud de su carácter personalísimo, por disposición legal o reglamentaria, en casos excepcionales, como el descrito por el artículo mencionado, se aplica de otra forma. </w:t>
      </w:r>
    </w:p>
    <w:p w14:paraId="6B4BA59F" w14:textId="77777777" w:rsidR="001E4CE0" w:rsidRPr="00921F76" w:rsidRDefault="001E4CE0" w:rsidP="001E4CE0">
      <w:pPr>
        <w:spacing w:before="120" w:after="120" w:line="276" w:lineRule="auto"/>
        <w:ind w:firstLine="708"/>
        <w:jc w:val="both"/>
        <w:rPr>
          <w:rFonts w:ascii="Arial" w:hAnsi="Arial" w:cs="Arial"/>
        </w:rPr>
      </w:pPr>
      <w:r w:rsidRPr="00921F76">
        <w:rPr>
          <w:rFonts w:ascii="Arial" w:hAnsi="Arial" w:cs="Arial"/>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procesos de contratación, y de esta forma promover el desarrollo de la empresa y la pluralidad de oferentes en la contratación pública.</w:t>
      </w:r>
    </w:p>
    <w:bookmarkEnd w:id="3"/>
    <w:p w14:paraId="501DBAD9" w14:textId="77777777" w:rsidR="001E4CE0" w:rsidRPr="00921F76" w:rsidRDefault="001E4CE0" w:rsidP="001E4CE0">
      <w:pPr>
        <w:spacing w:before="120" w:after="120" w:line="276" w:lineRule="auto"/>
        <w:ind w:firstLine="708"/>
        <w:jc w:val="both"/>
        <w:rPr>
          <w:rFonts w:ascii="Arial" w:hAnsi="Arial" w:cs="Arial"/>
        </w:rPr>
      </w:pPr>
      <w:r w:rsidRPr="00921F76">
        <w:rPr>
          <w:rFonts w:ascii="Arial" w:hAnsi="Arial" w:cs="Arial"/>
        </w:rPr>
        <w:t xml:space="preserve">Este aspecto ofrece meridiana claridad en cuanto a su aplicación, pero el interrogante que ha generado la norma es ¿qué pasa después de que la sociedad a la que le ha sido permitido certificar la experiencia de sus socios, accionistas o constituyentes cumple 3 años de su constitución? ¿puede seguir siendo beneficiaria de la prerrogativa del numeral 2.5 del artículo 2.2.1.1.1.5.2 del Decreto 1082 de 2015? </w:t>
      </w:r>
    </w:p>
    <w:p w14:paraId="1F95FADD" w14:textId="77777777" w:rsidR="001E4CE0" w:rsidRPr="00921F76" w:rsidRDefault="001E4CE0" w:rsidP="001E4CE0">
      <w:pPr>
        <w:spacing w:before="120" w:after="120" w:line="276" w:lineRule="auto"/>
        <w:ind w:firstLine="708"/>
        <w:jc w:val="both"/>
        <w:rPr>
          <w:rFonts w:ascii="Arial" w:hAnsi="Arial" w:cs="Arial"/>
        </w:rPr>
      </w:pPr>
      <w:r w:rsidRPr="00921F76">
        <w:rPr>
          <w:rFonts w:ascii="Arial" w:hAnsi="Arial" w:cs="Arial"/>
        </w:rPr>
        <w:t xml:space="preserve">Estos interrogantes han sido planteados a la Subdirección de Gestión Contractual, y se ha dado respuestas en uno y otro sentido. Así, en el concepto del 7 de febrero de 2018 se sostuvo </w:t>
      </w:r>
      <w:r w:rsidRPr="00921F76">
        <w:rPr>
          <w:rFonts w:ascii="Arial" w:hAnsi="Arial" w:cs="Arial"/>
        </w:rPr>
        <w:lastRenderedPageBreak/>
        <w:t xml:space="preserve">que las personas jurídicas que hubieran sido beneficiarias de la norma podían seguir acreditando la experiencia de sus socios o accionistas, inclusive después de transcurridos 3 años desde la constitución de la sociedad, siempre que se renovara el RUP.  </w:t>
      </w:r>
    </w:p>
    <w:p w14:paraId="57C5B691" w14:textId="77777777" w:rsidR="001E4CE0" w:rsidRPr="00921F76" w:rsidRDefault="001E4CE0" w:rsidP="001E4CE0">
      <w:pPr>
        <w:spacing w:before="120" w:after="120" w:line="276" w:lineRule="auto"/>
        <w:ind w:firstLine="708"/>
        <w:jc w:val="both"/>
        <w:rPr>
          <w:rFonts w:ascii="Arial" w:hAnsi="Arial" w:cs="Arial"/>
        </w:rPr>
      </w:pPr>
      <w:r w:rsidRPr="00921F76">
        <w:rPr>
          <w:rFonts w:ascii="Arial" w:hAnsi="Arial" w:cs="Arial"/>
        </w:rPr>
        <w:t xml:space="preserve">Teniendo en cuenta lo anterior, aunque la persona jurídica tenga más de tres años de constituida y haya registrado inicialmente la experiencia de sus socios en el RUP </w:t>
      </w:r>
      <w:r w:rsidRPr="00921F76">
        <w:rPr>
          <w:rFonts w:ascii="Arial" w:eastAsia="Calibri" w:hAnsi="Arial" w:cs="Arial"/>
        </w:rPr>
        <w:t>―</w:t>
      </w:r>
      <w:r w:rsidRPr="00921F76">
        <w:rPr>
          <w:rFonts w:ascii="Arial" w:hAnsi="Arial" w:cs="Arial"/>
        </w:rPr>
        <w:t>pues su constitución era inferior a tres años</w:t>
      </w:r>
      <w:r w:rsidRPr="00921F76">
        <w:rPr>
          <w:rFonts w:ascii="Arial" w:eastAsia="Calibri" w:hAnsi="Arial" w:cs="Arial"/>
        </w:rPr>
        <w:t>―</w:t>
      </w:r>
      <w:r w:rsidRPr="00921F76">
        <w:rPr>
          <w:rFonts w:ascii="Arial" w:hAnsi="Arial" w:cs="Arial"/>
        </w:rPr>
        <w:t xml:space="preserve"> y este es renovado, puede continuar utilizando la experiencia inscrita mientras no cesen los efectos del RUP. Por el contrario, si el RUP no es renovado y la persona jurídica supera los tres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 </w:t>
      </w:r>
    </w:p>
    <w:p w14:paraId="56F9C10D" w14:textId="77777777" w:rsidR="001E4CE0" w:rsidRPr="00921F76" w:rsidRDefault="001E4CE0" w:rsidP="001E4CE0">
      <w:pPr>
        <w:spacing w:before="120" w:after="120" w:line="276" w:lineRule="auto"/>
        <w:ind w:firstLine="708"/>
        <w:jc w:val="both"/>
        <w:rPr>
          <w:rFonts w:ascii="Arial" w:hAnsi="Arial" w:cs="Arial"/>
        </w:rPr>
      </w:pPr>
      <w:r w:rsidRPr="00921F76">
        <w:rPr>
          <w:rFonts w:ascii="Arial" w:hAnsi="Arial" w:cs="Arial"/>
        </w:rPr>
        <w:t xml:space="preserve">Posición contraria se adoptó en un concepto identificado con radicado No. 4201814000001418 del 3 de abril de 2018, donde frente a la misma pregunta esta Subdirección respondió que después de cumplidos los 3 años contados desde la constitución de la sociedad, las entidades estatales no deberían tener como válida la experiencia acreditada por los socios, accionistas o constituyentes. Como fundamento de esta posición, la Subdirección consideró lo siguiente: </w:t>
      </w:r>
    </w:p>
    <w:p w14:paraId="466FEA89" w14:textId="77777777" w:rsidR="001E4CE0" w:rsidRPr="00AC2EB0" w:rsidRDefault="001E4CE0" w:rsidP="001E4CE0">
      <w:pPr>
        <w:spacing w:before="120" w:after="120" w:line="276" w:lineRule="auto"/>
        <w:ind w:firstLine="708"/>
        <w:jc w:val="both"/>
        <w:rPr>
          <w:rFonts w:ascii="Arial" w:hAnsi="Arial" w:cs="Arial"/>
        </w:rPr>
      </w:pPr>
      <w:r w:rsidRPr="00921F76">
        <w:rPr>
          <w:rFonts w:ascii="Arial" w:hAnsi="Arial" w:cs="Arial"/>
        </w:rPr>
        <w:t>i) La posición de Colombia Compra Eficiente respecto a la validez de la experiencia de los accionistas, socios o constituyentes, acreditada en el RUP por una sociedad nueva, cuando está ya superó los 3 años de constituida, ha variado</w:t>
      </w:r>
      <w:r w:rsidRPr="00AC2EB0">
        <w:rPr>
          <w:rFonts w:ascii="Arial" w:hAnsi="Arial" w:cs="Arial"/>
        </w:rPr>
        <w:t xml:space="preserve">. </w:t>
      </w:r>
    </w:p>
    <w:p w14:paraId="4E85694D" w14:textId="77777777" w:rsidR="001E4CE0" w:rsidRPr="00AC2EB0" w:rsidRDefault="001E4CE0" w:rsidP="001E4CE0">
      <w:pPr>
        <w:spacing w:before="120" w:after="120" w:line="276" w:lineRule="auto"/>
        <w:ind w:firstLine="708"/>
        <w:jc w:val="both"/>
        <w:rPr>
          <w:rFonts w:ascii="Arial" w:hAnsi="Arial" w:cs="Arial"/>
        </w:rPr>
      </w:pPr>
      <w:r w:rsidRPr="00AC2EB0">
        <w:rPr>
          <w:rFonts w:ascii="Arial" w:hAnsi="Arial" w:cs="Arial"/>
        </w:rPr>
        <w:t xml:space="preserve">ii) El Decreto 1082 de 2015 establece que para la inscripción en el RUP de una persona jurídica, si su constitución es menor a 3 años, puede acreditar la experiencia de sus accionistas, socios o constituyentes. </w:t>
      </w:r>
    </w:p>
    <w:p w14:paraId="6F259F83" w14:textId="77777777" w:rsidR="001E4CE0" w:rsidRPr="00AC2EB0" w:rsidRDefault="001E4CE0" w:rsidP="001E4CE0">
      <w:pPr>
        <w:spacing w:before="120" w:after="120" w:line="276" w:lineRule="auto"/>
        <w:ind w:firstLine="708"/>
        <w:jc w:val="both"/>
        <w:rPr>
          <w:rFonts w:ascii="Arial" w:hAnsi="Arial" w:cs="Arial"/>
        </w:rPr>
      </w:pPr>
      <w:r w:rsidRPr="00AC2EB0">
        <w:rPr>
          <w:rFonts w:ascii="Arial" w:hAnsi="Arial" w:cs="Arial"/>
        </w:rPr>
        <w:t xml:space="preserve">iii) La finalidad de esta norma es permitir que las sociedades que no cuentan con la experiencia suficiente para contratar con el Estado puedan apoyarse en la experiencia de sus accionistas, socios o constituyentes con el fin de incentivar la libre competencia en la contratación estatal. </w:t>
      </w:r>
    </w:p>
    <w:p w14:paraId="11655E0D" w14:textId="77777777" w:rsidR="001E4CE0" w:rsidRPr="00AC2EB0" w:rsidRDefault="001E4CE0" w:rsidP="001E4CE0">
      <w:pPr>
        <w:spacing w:before="120" w:after="120" w:line="276" w:lineRule="auto"/>
        <w:ind w:firstLine="708"/>
        <w:jc w:val="both"/>
        <w:rPr>
          <w:rFonts w:ascii="Arial" w:hAnsi="Arial" w:cs="Arial"/>
        </w:rPr>
      </w:pPr>
      <w:r w:rsidRPr="00AC2EB0">
        <w:rPr>
          <w:rFonts w:ascii="Arial" w:hAnsi="Arial" w:cs="Arial"/>
        </w:rPr>
        <w:t xml:space="preserve">iv) En consecuencia, la persona jurídica cuya constitución es menor a 3 años puede registrar la experiencia de sus socios en el RUP, la cual no podrá ser tenida en cuenta por la entidad estatal como experiencia de la sociedad una vez cumplidos los 3 años de constituida la persona jurídica a los que hace referencia la norma, pues no se cumple con el presupuesto normativo para acceder al beneficio que contempla el Decreto 1082. </w:t>
      </w:r>
    </w:p>
    <w:p w14:paraId="78D5DD21" w14:textId="77777777" w:rsidR="001E4CE0" w:rsidRPr="00AC2EB0" w:rsidRDefault="001E4CE0" w:rsidP="001E4CE0">
      <w:pPr>
        <w:spacing w:before="120" w:after="120" w:line="276" w:lineRule="auto"/>
        <w:ind w:firstLine="708"/>
        <w:jc w:val="both"/>
        <w:rPr>
          <w:rFonts w:ascii="Arial" w:hAnsi="Arial" w:cs="Arial"/>
        </w:rPr>
      </w:pPr>
      <w:r w:rsidRPr="00AC2EB0">
        <w:rPr>
          <w:rFonts w:ascii="Arial" w:hAnsi="Arial" w:cs="Arial"/>
        </w:rPr>
        <w:t xml:space="preserve">v) Las Cámaras de Comercio hacen la verificación documental de la información presentada por los interesados al momento de inscribir, renovar o actualizar su información en el RUP. De esa forma, a diferencia de la renovación, la actualización del RUP puede llevarse a cabo en cualquier momento </w:t>
      </w:r>
      <w:r w:rsidRPr="00AC2EB0">
        <w:rPr>
          <w:rFonts w:ascii="Arial" w:eastAsia="Calibri" w:hAnsi="Arial" w:cs="Arial"/>
        </w:rPr>
        <w:t>―</w:t>
      </w:r>
      <w:r w:rsidRPr="00AC2EB0">
        <w:rPr>
          <w:rFonts w:ascii="Arial" w:hAnsi="Arial" w:cs="Arial"/>
        </w:rPr>
        <w:t>únicamente para la capacidad jurídica y experiencia</w:t>
      </w:r>
      <w:r w:rsidRPr="00AC2EB0">
        <w:rPr>
          <w:rFonts w:ascii="Arial" w:eastAsia="Calibri" w:hAnsi="Arial" w:cs="Arial"/>
        </w:rPr>
        <w:t>―</w:t>
      </w:r>
      <w:r w:rsidRPr="00AC2EB0">
        <w:rPr>
          <w:rFonts w:ascii="Arial" w:hAnsi="Arial" w:cs="Arial"/>
        </w:rPr>
        <w:t xml:space="preserve"> y debe ser verificada junto con sus soportes por la Cámara de Comercio correspondiente. </w:t>
      </w:r>
    </w:p>
    <w:p w14:paraId="3F9134F9" w14:textId="77777777" w:rsidR="001E4CE0" w:rsidRPr="00921F76" w:rsidRDefault="001E4CE0" w:rsidP="001E4CE0">
      <w:pPr>
        <w:spacing w:before="120" w:after="120" w:line="276" w:lineRule="auto"/>
        <w:ind w:firstLine="708"/>
        <w:jc w:val="both"/>
        <w:rPr>
          <w:rFonts w:ascii="Arial" w:hAnsi="Arial" w:cs="Arial"/>
        </w:rPr>
      </w:pPr>
      <w:r w:rsidRPr="00AC2EB0">
        <w:rPr>
          <w:rFonts w:ascii="Arial" w:hAnsi="Arial" w:cs="Arial"/>
        </w:rPr>
        <w:lastRenderedPageBreak/>
        <w:t xml:space="preserve">Ante esta disparidad de criterios, la Subdirección de Gestión Contractual estimó necesario recoger estos pronunciamientos y unificar la posición en el concepto con radicado No. 4201913000006797 del 19 de noviembre de 2019, en torno a la posibilidad de que las sociedades nuevas puedan seguir acreditando la experiencia de sus socios, accionistas o </w:t>
      </w:r>
      <w:r w:rsidRPr="00921F76">
        <w:rPr>
          <w:rFonts w:ascii="Arial" w:hAnsi="Arial" w:cs="Arial"/>
        </w:rPr>
        <w:t xml:space="preserve">constituyentes, incluso después de cumplidos 3 años de constitución de la persona jurídica. </w:t>
      </w:r>
    </w:p>
    <w:p w14:paraId="40AA0335" w14:textId="77777777" w:rsidR="001E4CE0" w:rsidRPr="00921F76" w:rsidRDefault="001E4CE0" w:rsidP="001E4CE0">
      <w:pPr>
        <w:spacing w:before="120" w:after="120" w:line="276" w:lineRule="auto"/>
        <w:ind w:firstLine="708"/>
        <w:jc w:val="both"/>
        <w:rPr>
          <w:rFonts w:ascii="Arial" w:hAnsi="Arial" w:cs="Arial"/>
        </w:rPr>
      </w:pPr>
      <w:r w:rsidRPr="00921F76">
        <w:rPr>
          <w:rFonts w:ascii="Arial" w:hAnsi="Arial" w:cs="Arial"/>
        </w:rPr>
        <w:t>El criterio que se adoptó fue que la experiencia de los socios, accionistas o constituyentes, para las sociedades que al momento de inscribirse en el RUP tenían menos de 3 años de constituidas, puede seguir siendo acreditada por la persona jurídica después de transcurridos los 3 años del acto de constitución. Esta posición había sido reiterada por esta Subdirección en pronunciamientos posteriores a la acogida en el concepto del 3 de abril de 2018 antes citado y previos a la postura definida en el concepto del 19 de noviembre de 2019</w:t>
      </w:r>
      <w:r w:rsidRPr="00921F76">
        <w:rPr>
          <w:rStyle w:val="Refdenotaalpie"/>
          <w:rFonts w:ascii="Arial" w:hAnsi="Arial" w:cs="Arial"/>
        </w:rPr>
        <w:footnoteReference w:id="12"/>
      </w:r>
      <w:r w:rsidRPr="00921F76">
        <w:rPr>
          <w:rFonts w:ascii="Arial" w:hAnsi="Arial" w:cs="Arial"/>
        </w:rPr>
        <w:t xml:space="preserve">. </w:t>
      </w:r>
    </w:p>
    <w:p w14:paraId="5549DE6C" w14:textId="77777777" w:rsidR="001E4CE0" w:rsidRPr="00921F76" w:rsidRDefault="001E4CE0" w:rsidP="001E4CE0">
      <w:pPr>
        <w:spacing w:before="120" w:after="120" w:line="276" w:lineRule="auto"/>
        <w:ind w:firstLine="708"/>
        <w:jc w:val="both"/>
        <w:rPr>
          <w:rFonts w:ascii="Arial" w:hAnsi="Arial" w:cs="Arial"/>
        </w:rPr>
      </w:pPr>
      <w:r w:rsidRPr="00921F76">
        <w:rPr>
          <w:rFonts w:ascii="Arial" w:hAnsi="Arial" w:cs="Arial"/>
        </w:rPr>
        <w:t>Se reitera que la finalidad del numeral 2.5 del artículo 2.2.1.1.1.5.2 del Decreto 1082 de 2015 es incentivar la libre competencia y la pluralidad de oferentes en la contratación estatal. Adicionalmente, el Decreto 1082 de 2015 establece que la persona inscrita en el RUP debe presentar la información para renovar su registro a más tardar el quinto día hábil del mes de abril de cada año, de lo contrario cesan sus efectos</w:t>
      </w:r>
      <w:r w:rsidRPr="00921F76">
        <w:rPr>
          <w:rStyle w:val="Refdenotaalpie"/>
          <w:rFonts w:ascii="Arial" w:hAnsi="Arial" w:cs="Arial"/>
        </w:rPr>
        <w:footnoteReference w:id="13"/>
      </w:r>
      <w:r w:rsidRPr="00921F76">
        <w:rPr>
          <w:rFonts w:ascii="Arial" w:hAnsi="Arial" w:cs="Arial"/>
        </w:rPr>
        <w:t xml:space="preserve">. En la actualidad, las cámaras de comercio solo pueden eliminar la experiencia registrada en el RUP a solicitud del proponente, por tanto, les corresponde a las personas jurídicas mantener su RUP actualizado y a las entidades estatales verificar el RUP para efectos de evaluar la experiencia. </w:t>
      </w:r>
    </w:p>
    <w:p w14:paraId="0DE6AABB" w14:textId="77777777" w:rsidR="001E4CE0" w:rsidRDefault="001E4CE0" w:rsidP="001E4CE0">
      <w:pPr>
        <w:spacing w:before="120" w:after="120" w:line="276" w:lineRule="auto"/>
        <w:ind w:firstLine="708"/>
        <w:jc w:val="both"/>
        <w:rPr>
          <w:rFonts w:ascii="Arial" w:hAnsi="Arial" w:cs="Arial"/>
        </w:rPr>
      </w:pPr>
      <w:r w:rsidRPr="00921F76">
        <w:rPr>
          <w:rFonts w:ascii="Arial" w:hAnsi="Arial" w:cs="Arial"/>
        </w:rPr>
        <w:t xml:space="preserve">En otras palabras, si la persona jurídica con menos de tres años de constituida registra la experiencia de sus socios en el RUP, y éste es renovado, puede continuar utilizando la experiencia inscrita mientras no cesen los efectos del RUP. Por el contrario, si no se renueva y la persona jurídica supera los tres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  </w:t>
      </w:r>
    </w:p>
    <w:p w14:paraId="65308513" w14:textId="77777777" w:rsidR="001E4CE0" w:rsidRPr="00921F76" w:rsidRDefault="001E4CE0" w:rsidP="001E4CE0">
      <w:pPr>
        <w:spacing w:after="0" w:line="276" w:lineRule="auto"/>
        <w:ind w:firstLine="708"/>
        <w:jc w:val="both"/>
        <w:rPr>
          <w:rFonts w:ascii="Arial" w:hAnsi="Arial" w:cs="Arial"/>
        </w:rPr>
      </w:pPr>
      <w:r w:rsidRPr="00921F76">
        <w:rPr>
          <w:rFonts w:ascii="Arial" w:hAnsi="Arial" w:cs="Arial"/>
        </w:rPr>
        <w:t xml:space="preserve">Lo anterior, tiene fundamento en la Circular Única de la Superintendencia de Industria y Comercio, en el numeral 4.2, sobre el procedimiento para llevar el registro único de proponentes, que establece:  </w:t>
      </w:r>
    </w:p>
    <w:p w14:paraId="116E0C23" w14:textId="77777777" w:rsidR="001E4CE0" w:rsidRPr="00921F76" w:rsidRDefault="001E4CE0" w:rsidP="001E4CE0">
      <w:pPr>
        <w:spacing w:after="0" w:line="276" w:lineRule="auto"/>
        <w:ind w:firstLine="708"/>
        <w:jc w:val="both"/>
        <w:rPr>
          <w:rFonts w:ascii="Arial" w:hAnsi="Arial" w:cs="Arial"/>
        </w:rPr>
      </w:pPr>
    </w:p>
    <w:p w14:paraId="45D45336" w14:textId="77777777" w:rsidR="001E4CE0" w:rsidRPr="00AC2EB0" w:rsidRDefault="001E4CE0" w:rsidP="001E4CE0">
      <w:pPr>
        <w:spacing w:after="0" w:line="240" w:lineRule="auto"/>
        <w:ind w:left="709" w:right="709"/>
        <w:jc w:val="both"/>
        <w:rPr>
          <w:rFonts w:ascii="Arial" w:hAnsi="Arial" w:cs="Arial"/>
          <w:sz w:val="21"/>
          <w:szCs w:val="21"/>
        </w:rPr>
      </w:pPr>
      <w:r>
        <w:rPr>
          <w:rFonts w:ascii="Arial" w:hAnsi="Arial" w:cs="Arial"/>
          <w:sz w:val="21"/>
          <w:szCs w:val="21"/>
        </w:rPr>
        <w:t>“</w:t>
      </w:r>
      <w:r w:rsidRPr="00921F76">
        <w:rPr>
          <w:rFonts w:ascii="Arial" w:hAnsi="Arial" w:cs="Arial"/>
          <w:sz w:val="21"/>
          <w:szCs w:val="21"/>
        </w:rPr>
        <w:t>4.2.5. Vigencia de los documentos. Para efectos de renovación y actualización se considera que los documentos no pierden su vigencia salvo disposición legal en contrario. Por lo anterior, las Cámaras de Comercio no podrán abstenerse de realizar la inscripción argumentando el vencimiento de los documentos de soporte</w:t>
      </w:r>
      <w:r>
        <w:rPr>
          <w:rFonts w:ascii="Arial" w:hAnsi="Arial" w:cs="Arial"/>
          <w:sz w:val="21"/>
          <w:szCs w:val="21"/>
        </w:rPr>
        <w:t>”</w:t>
      </w:r>
      <w:r w:rsidRPr="00921F76">
        <w:rPr>
          <w:rFonts w:ascii="Arial" w:hAnsi="Arial" w:cs="Arial"/>
          <w:sz w:val="21"/>
          <w:szCs w:val="21"/>
        </w:rPr>
        <w:t>.</w:t>
      </w:r>
      <w:r w:rsidRPr="00AC2EB0">
        <w:rPr>
          <w:rFonts w:ascii="Arial" w:hAnsi="Arial" w:cs="Arial"/>
          <w:sz w:val="21"/>
          <w:szCs w:val="21"/>
        </w:rPr>
        <w:t xml:space="preserve"> </w:t>
      </w:r>
    </w:p>
    <w:p w14:paraId="7D8916CE" w14:textId="77777777" w:rsidR="001E4CE0" w:rsidRPr="0000326C" w:rsidRDefault="001E4CE0" w:rsidP="001E4CE0">
      <w:pPr>
        <w:spacing w:after="0" w:line="276" w:lineRule="auto"/>
        <w:ind w:left="709" w:right="709"/>
        <w:jc w:val="both"/>
        <w:rPr>
          <w:rFonts w:ascii="Arial" w:hAnsi="Arial" w:cs="Arial"/>
        </w:rPr>
      </w:pPr>
    </w:p>
    <w:p w14:paraId="0F3CD506" w14:textId="77777777" w:rsidR="001E4CE0" w:rsidRPr="00AC2EB0" w:rsidRDefault="001E4CE0" w:rsidP="001E4CE0">
      <w:pPr>
        <w:spacing w:line="276" w:lineRule="auto"/>
        <w:ind w:firstLine="708"/>
        <w:jc w:val="both"/>
        <w:rPr>
          <w:rFonts w:ascii="Arial" w:hAnsi="Arial" w:cs="Arial"/>
        </w:rPr>
      </w:pPr>
      <w:r w:rsidRPr="00AC2EB0">
        <w:rPr>
          <w:rFonts w:ascii="Arial" w:hAnsi="Arial" w:cs="Arial"/>
        </w:rPr>
        <w:t xml:space="preserve">Así las cosas, con el fin de incentivar la participación continúa y constante de los proponentes, las entidades estatales, en sus procesos de contratación, aceptarán como válida la experiencia de los socios, accionistas o constituyentes incluso después de cumplidos los tres años de constitución de la sociedad, pues esta interpretación permite incentivar la creación de empresa y generar una mayor participación de las empresas recién constituidas.   </w:t>
      </w:r>
    </w:p>
    <w:p w14:paraId="2BC50825" w14:textId="77777777" w:rsidR="001E4CE0" w:rsidRPr="00921F76" w:rsidRDefault="001E4CE0" w:rsidP="001E4CE0">
      <w:pPr>
        <w:spacing w:before="120" w:after="120" w:line="276" w:lineRule="auto"/>
        <w:ind w:firstLine="708"/>
        <w:jc w:val="both"/>
        <w:rPr>
          <w:rFonts w:ascii="Arial" w:hAnsi="Arial" w:cs="Arial"/>
        </w:rPr>
      </w:pPr>
      <w:r w:rsidRPr="00AC2EB0">
        <w:rPr>
          <w:rFonts w:ascii="Arial" w:hAnsi="Arial" w:cs="Arial"/>
        </w:rPr>
        <w:t>En este sentido, si bien la norma no dispone qué sucede con la experiencia aportada por los socios, accionistas o constituyentes, después de los 3 años de constituida la persona jurídica, para esta Subdirección sigue siendo válida, por lo que la entidad la debe tener en cuenta</w:t>
      </w:r>
      <w:r>
        <w:rPr>
          <w:rFonts w:ascii="Arial" w:hAnsi="Arial" w:cs="Arial"/>
        </w:rPr>
        <w:t>.</w:t>
      </w:r>
      <w:r w:rsidRPr="00AC2EB0">
        <w:rPr>
          <w:rFonts w:ascii="Arial" w:hAnsi="Arial" w:cs="Arial"/>
        </w:rPr>
        <w:t xml:space="preserve"> </w:t>
      </w:r>
      <w:r>
        <w:rPr>
          <w:rFonts w:ascii="Arial" w:hAnsi="Arial" w:cs="Arial"/>
        </w:rPr>
        <w:t>D</w:t>
      </w:r>
      <w:r w:rsidRPr="00AC2EB0">
        <w:rPr>
          <w:rFonts w:ascii="Arial" w:hAnsi="Arial" w:cs="Arial"/>
        </w:rPr>
        <w:t xml:space="preserve">e esta forma se garantiza la pluralidad de oferentes en los procesos de </w:t>
      </w:r>
      <w:r w:rsidRPr="00921F76">
        <w:rPr>
          <w:rFonts w:ascii="Arial" w:hAnsi="Arial" w:cs="Arial"/>
        </w:rPr>
        <w:t xml:space="preserve">contratación. </w:t>
      </w:r>
    </w:p>
    <w:p w14:paraId="40D6396D" w14:textId="77777777" w:rsidR="001E4CE0" w:rsidRPr="00921F76" w:rsidRDefault="001E4CE0" w:rsidP="001E4CE0">
      <w:pPr>
        <w:spacing w:before="120" w:after="120" w:line="276" w:lineRule="auto"/>
        <w:ind w:firstLine="708"/>
        <w:jc w:val="both"/>
        <w:rPr>
          <w:rFonts w:ascii="Arial" w:hAnsi="Arial" w:cs="Arial"/>
        </w:rPr>
      </w:pPr>
      <w:r w:rsidRPr="00921F76">
        <w:rPr>
          <w:rFonts w:ascii="Arial" w:hAnsi="Arial" w:cs="Arial"/>
        </w:rPr>
        <w:t xml:space="preserve">En línea con lo anterior, el numeral 2.5. del artículo 2.2.1.1.1.5.2 del Decreto 1082 de 2015 consagra, como se dijo, una prerrogativa para las sociedades nuevas, que busca fomentar la competencia de las mismas en el campo de la contratación estatal, sin establecer limitantes en relación con las entidades o procesos de contratación en los que las personas jurídicas con menos de 3 años de constitución pueden acreditar la experiencia transferida por sus socios en virtud de la referida prerrogativa. </w:t>
      </w:r>
    </w:p>
    <w:p w14:paraId="7565D719" w14:textId="77777777" w:rsidR="001E4CE0" w:rsidRDefault="001E4CE0" w:rsidP="001E4CE0">
      <w:pPr>
        <w:spacing w:before="120" w:line="276" w:lineRule="auto"/>
        <w:ind w:firstLine="709"/>
        <w:jc w:val="both"/>
        <w:rPr>
          <w:rFonts w:ascii="Arial" w:hAnsi="Arial" w:cs="Arial"/>
        </w:rPr>
      </w:pPr>
      <w:r w:rsidRPr="00921F76">
        <w:rPr>
          <w:rFonts w:ascii="Arial" w:hAnsi="Arial" w:cs="Arial"/>
        </w:rPr>
        <w:t>Por tanto, en atención al principio general de interpretación según el cual donde el legislador no distingue no le es dado hacerlo al interprete, el hecho de que una sociedad con menos de 3 años de constitución haya hecho uso de la referida prerrogativa en determinado proceso de contratación o entidad, no excluye la posibilidad de que dicha sociedad siga haciendo uso del beneficio en otros procesos de contratación adelantados por otras entidades, incluso una vez vencidos los 3 años de constitución, siempre que no hayan cesado los efectos del RUP por el incumplimiento del deber de renovación.</w:t>
      </w:r>
    </w:p>
    <w:p w14:paraId="5EF9C561" w14:textId="77777777" w:rsidR="001E4CE0" w:rsidRDefault="001E4CE0" w:rsidP="001E4CE0">
      <w:pPr>
        <w:spacing w:before="120" w:after="120" w:line="276" w:lineRule="auto"/>
        <w:ind w:firstLine="709"/>
        <w:jc w:val="both"/>
        <w:rPr>
          <w:rFonts w:ascii="Arial" w:eastAsia="Calibri" w:hAnsi="Arial" w:cs="Arial"/>
          <w:lang w:val="es-ES"/>
        </w:rPr>
      </w:pPr>
      <w:r>
        <w:rPr>
          <w:rFonts w:ascii="Arial" w:eastAsia="Calibri" w:hAnsi="Arial" w:cs="Arial"/>
          <w:lang w:val="es-ES"/>
        </w:rPr>
        <w:t xml:space="preserve">En cuanto al objeto especifico de la consulta es necesario poner de presente que la regla contenida en el numeral 2.5 del artículo </w:t>
      </w:r>
      <w:r w:rsidRPr="00071199">
        <w:rPr>
          <w:rFonts w:ascii="Arial" w:eastAsia="Calibri" w:hAnsi="Arial" w:cs="Arial"/>
          <w:lang w:val="es-ES"/>
        </w:rPr>
        <w:t>2.2.1.1.1.5.2 del Decreto 1082 de 2015</w:t>
      </w:r>
      <w:r>
        <w:rPr>
          <w:rFonts w:ascii="Arial" w:eastAsia="Calibri" w:hAnsi="Arial" w:cs="Arial"/>
          <w:lang w:val="es-ES"/>
        </w:rPr>
        <w:t xml:space="preserve"> es una norma reglamentaria de alcance general que determina como acreditar la experiencia adquirida por un proponente en el marco de los trámites de inscripción, renovación o actualización del RUP. En ese sentido, dicha disposición resulta particularmente relevante para las cámaras de comercio y proponentes, a quienes corresponde aplicar dicha disposición reglamentaría de acuerdo con lo indicado en su texto, en el que no se prevé una regla que permita relativizar la inscripción de la experiencia de los socios en el RUP en función de su porcentaje participación, de acuerdo con lo insinuado en la consulta.  </w:t>
      </w:r>
    </w:p>
    <w:p w14:paraId="2F15F846" w14:textId="77777777" w:rsidR="001E4CE0" w:rsidRDefault="001E4CE0" w:rsidP="001E4CE0">
      <w:pPr>
        <w:spacing w:before="120" w:after="120" w:line="276" w:lineRule="auto"/>
        <w:ind w:firstLine="709"/>
        <w:jc w:val="both"/>
        <w:rPr>
          <w:rFonts w:ascii="Arial" w:eastAsia="Calibri" w:hAnsi="Arial" w:cs="Arial"/>
          <w:lang w:val="es-ES"/>
        </w:rPr>
      </w:pPr>
      <w:r>
        <w:rPr>
          <w:rFonts w:ascii="Arial" w:eastAsia="Calibri" w:hAnsi="Arial" w:cs="Arial"/>
          <w:lang w:val="es-ES"/>
        </w:rPr>
        <w:lastRenderedPageBreak/>
        <w:t xml:space="preserve">Lo anterior implica que, una vez en firme la inscripción, actualización o renovación en el marco del cual una sociedad con menos de tres años de constitución presenta certificados de experiencia adquirida por sus socios o constituyentes, de acuerdo con el numeral 2.5 del artículo </w:t>
      </w:r>
      <w:r w:rsidRPr="00071199">
        <w:rPr>
          <w:rFonts w:ascii="Arial" w:eastAsia="Calibri" w:hAnsi="Arial" w:cs="Arial"/>
          <w:lang w:val="es-ES"/>
        </w:rPr>
        <w:t>2.2.1.1.1.5.2 del Decreto 1082 de 2015</w:t>
      </w:r>
      <w:r>
        <w:rPr>
          <w:rFonts w:ascii="Arial" w:eastAsia="Calibri" w:hAnsi="Arial" w:cs="Arial"/>
          <w:lang w:val="es-ES"/>
        </w:rPr>
        <w:t xml:space="preserve">, dicha experiencia queda consolidada en el RUP de la persona jurídica quien por el efecto de la prerrogativa podrá acreditar esa experiencia como propia, mientras no cesen los efectos del RUP por su no renovación. De esta manera la experiencia inscrita de acuerdo con la referida prerrogativa podrá ser acreditada en procesos de selección mediante el respectivo RUP, con efectos de plena prueba de las circunstancias de las que en el constan. </w:t>
      </w:r>
    </w:p>
    <w:p w14:paraId="78E26DB1" w14:textId="77777777" w:rsidR="001E4CE0" w:rsidRDefault="001E4CE0" w:rsidP="001E4CE0">
      <w:pPr>
        <w:spacing w:after="0" w:line="240" w:lineRule="auto"/>
        <w:ind w:firstLine="709"/>
        <w:jc w:val="both"/>
        <w:rPr>
          <w:rFonts w:ascii="Arial" w:eastAsia="Calibri" w:hAnsi="Arial" w:cs="Arial"/>
          <w:lang w:val="es-ES"/>
        </w:rPr>
      </w:pPr>
    </w:p>
    <w:p w14:paraId="21971E75" w14:textId="77777777" w:rsidR="001E4CE0" w:rsidRDefault="001E4CE0" w:rsidP="001E4CE0">
      <w:pPr>
        <w:pStyle w:val="Prrafodelista"/>
        <w:numPr>
          <w:ilvl w:val="0"/>
          <w:numId w:val="6"/>
        </w:numPr>
        <w:spacing w:after="0" w:line="276" w:lineRule="auto"/>
        <w:ind w:left="426"/>
        <w:jc w:val="both"/>
        <w:rPr>
          <w:rFonts w:ascii="Arial" w:eastAsia="Calibri" w:hAnsi="Arial" w:cs="Arial"/>
          <w:b/>
          <w:bCs/>
        </w:rPr>
      </w:pPr>
      <w:r w:rsidRPr="00656151">
        <w:rPr>
          <w:rFonts w:ascii="Arial" w:eastAsia="Calibri" w:hAnsi="Arial" w:cs="Arial"/>
          <w:b/>
          <w:bCs/>
        </w:rPr>
        <w:t>Respuesta</w:t>
      </w:r>
    </w:p>
    <w:p w14:paraId="3D782B6C" w14:textId="77777777" w:rsidR="001E4CE0" w:rsidRPr="00656151" w:rsidRDefault="001E4CE0" w:rsidP="001E4CE0">
      <w:pPr>
        <w:spacing w:after="0" w:line="276" w:lineRule="auto"/>
        <w:ind w:left="360"/>
        <w:jc w:val="both"/>
        <w:rPr>
          <w:rFonts w:ascii="Arial" w:eastAsia="Calibri" w:hAnsi="Arial" w:cs="Arial"/>
          <w:b/>
          <w:bCs/>
        </w:rPr>
      </w:pPr>
    </w:p>
    <w:p w14:paraId="46269B8F" w14:textId="77777777" w:rsidR="001E4CE0" w:rsidRPr="00755B2F" w:rsidRDefault="001E4CE0" w:rsidP="001E4CE0">
      <w:pPr>
        <w:pStyle w:val="Default"/>
        <w:ind w:left="720" w:right="709"/>
        <w:jc w:val="both"/>
        <w:rPr>
          <w:i/>
          <w:iCs/>
          <w:color w:val="323232"/>
          <w:sz w:val="21"/>
          <w:szCs w:val="21"/>
        </w:rPr>
      </w:pPr>
      <w:r w:rsidRPr="00755B2F">
        <w:rPr>
          <w:rFonts w:eastAsia="Calibri"/>
          <w:sz w:val="21"/>
          <w:szCs w:val="21"/>
        </w:rPr>
        <w:t>“En</w:t>
      </w:r>
      <w:r w:rsidRPr="00755B2F">
        <w:rPr>
          <w:color w:val="323232"/>
          <w:sz w:val="21"/>
          <w:szCs w:val="21"/>
        </w:rPr>
        <w:t xml:space="preserve"> ese orden de ideas, se tiene que conforme al sub numeral 2.5 del Decreto 1082 de 2015, señala: </w:t>
      </w:r>
      <w:r w:rsidRPr="00755B2F">
        <w:rPr>
          <w:i/>
          <w:iCs/>
          <w:color w:val="323232"/>
          <w:sz w:val="21"/>
          <w:szCs w:val="21"/>
        </w:rPr>
        <w:t>(…) Si la constitución del interesado es menor a tres (3) años, puede acreditar la experiencia de sus accionistas, socios o constituyentes. (…)</w:t>
      </w:r>
    </w:p>
    <w:p w14:paraId="522AA82C" w14:textId="77777777" w:rsidR="001E4CE0" w:rsidRPr="00755B2F" w:rsidRDefault="001E4CE0" w:rsidP="001E4CE0">
      <w:pPr>
        <w:pStyle w:val="Default"/>
        <w:ind w:left="720" w:right="709"/>
        <w:jc w:val="both"/>
        <w:rPr>
          <w:sz w:val="21"/>
          <w:szCs w:val="21"/>
        </w:rPr>
      </w:pPr>
      <w:r w:rsidRPr="00755B2F">
        <w:rPr>
          <w:i/>
          <w:iCs/>
          <w:color w:val="323232"/>
          <w:sz w:val="21"/>
          <w:szCs w:val="21"/>
        </w:rPr>
        <w:t xml:space="preserve"> </w:t>
      </w:r>
    </w:p>
    <w:p w14:paraId="4982770D" w14:textId="77777777" w:rsidR="001E4CE0" w:rsidRPr="00755B2F" w:rsidRDefault="001E4CE0" w:rsidP="001E4CE0">
      <w:pPr>
        <w:pStyle w:val="Default"/>
        <w:ind w:left="720" w:right="709"/>
        <w:jc w:val="both"/>
        <w:rPr>
          <w:color w:val="323232"/>
          <w:sz w:val="21"/>
          <w:szCs w:val="21"/>
        </w:rPr>
      </w:pPr>
      <w:r w:rsidRPr="00755B2F">
        <w:rPr>
          <w:color w:val="323232"/>
          <w:sz w:val="21"/>
          <w:szCs w:val="21"/>
        </w:rPr>
        <w:t xml:space="preserve">Bajo esta condición, si una entidad al establecer las reglas de acreditación de la experiencia señala alguna condición adicional a la fijada en la norma precitada, por ejemplo, que esta se aplicará de conformidad con el porcentaje de participación de los socios, los proponentes deberán acogerse a la regla especial del pliego?, o debe entenderse que la condición establecida en el Decreto 1082 es limitante y no permite fijar requisitos suplementarios. </w:t>
      </w:r>
    </w:p>
    <w:p w14:paraId="2D1E0A1C" w14:textId="77777777" w:rsidR="001E4CE0" w:rsidRPr="00755B2F" w:rsidRDefault="001E4CE0" w:rsidP="001E4CE0">
      <w:pPr>
        <w:pStyle w:val="Default"/>
        <w:ind w:left="720" w:right="709"/>
        <w:jc w:val="both"/>
        <w:rPr>
          <w:color w:val="323232"/>
          <w:sz w:val="21"/>
          <w:szCs w:val="21"/>
        </w:rPr>
      </w:pPr>
    </w:p>
    <w:p w14:paraId="7476AC96" w14:textId="77777777" w:rsidR="001E4CE0" w:rsidRPr="00D97DD5" w:rsidRDefault="001E4CE0" w:rsidP="001E4CE0">
      <w:pPr>
        <w:pStyle w:val="Prrafodelista"/>
        <w:spacing w:after="0" w:line="240" w:lineRule="auto"/>
        <w:ind w:right="709"/>
        <w:jc w:val="both"/>
        <w:rPr>
          <w:rFonts w:ascii="Arial" w:hAnsi="Arial" w:cs="Arial"/>
          <w:color w:val="323232"/>
          <w:sz w:val="21"/>
          <w:szCs w:val="21"/>
        </w:rPr>
      </w:pPr>
      <w:r w:rsidRPr="00D97DD5">
        <w:rPr>
          <w:rFonts w:ascii="Arial" w:hAnsi="Arial" w:cs="Arial"/>
          <w:color w:val="323232"/>
          <w:sz w:val="21"/>
          <w:szCs w:val="21"/>
        </w:rPr>
        <w:t xml:space="preserve">En este sentido si la condición establecida por la ley es limitante la entidad debe establecer dentro de sus criterios de evaluación lo netamente señalado en la norma o a lo establecido dentro de los criterios de evaluación señalados en el pliego de condiciones….? </w:t>
      </w:r>
    </w:p>
    <w:p w14:paraId="07C7DD39" w14:textId="77777777" w:rsidR="001E4CE0" w:rsidRPr="00D97DD5" w:rsidRDefault="001E4CE0" w:rsidP="001E4CE0">
      <w:pPr>
        <w:pStyle w:val="Prrafodelista"/>
        <w:spacing w:after="0" w:line="240" w:lineRule="auto"/>
        <w:ind w:right="709"/>
        <w:jc w:val="both"/>
        <w:rPr>
          <w:rFonts w:ascii="Arial" w:hAnsi="Arial" w:cs="Arial"/>
          <w:color w:val="323232"/>
          <w:sz w:val="21"/>
          <w:szCs w:val="21"/>
        </w:rPr>
      </w:pPr>
    </w:p>
    <w:p w14:paraId="197E8862" w14:textId="77777777" w:rsidR="001E4CE0" w:rsidRDefault="001E4CE0" w:rsidP="001E4CE0">
      <w:pPr>
        <w:pStyle w:val="Prrafodelista"/>
        <w:spacing w:after="0" w:line="240" w:lineRule="auto"/>
        <w:ind w:right="709"/>
        <w:jc w:val="both"/>
        <w:rPr>
          <w:rFonts w:ascii="Arial" w:hAnsi="Arial" w:cs="Arial"/>
          <w:color w:val="323232"/>
          <w:sz w:val="21"/>
          <w:szCs w:val="21"/>
        </w:rPr>
      </w:pPr>
      <w:r w:rsidRPr="00D97DD5">
        <w:rPr>
          <w:rFonts w:ascii="Arial" w:hAnsi="Arial" w:cs="Arial"/>
          <w:sz w:val="21"/>
          <w:szCs w:val="21"/>
        </w:rPr>
        <w:t xml:space="preserve">De este modo solicitamos un pronunciamiento de Colombia Compra Eficiente, frente a que si bien se estructura un pliego de condiciones con todas las normas que rigen el proceso de selección, una entidad también puede establecer reglas exclusivas de la administración fijando los parámetros para comparar las propuestas presentadas por los oferentes y que permite regular los derechos y obligaciones que emanan de la suscripción del contrato, por lo cual que validez y aplicabilidad tendría esas reglas impuestas por la entidad?” </w:t>
      </w:r>
      <w:r w:rsidRPr="00D97DD5">
        <w:rPr>
          <w:rFonts w:ascii="Arial" w:hAnsi="Arial" w:cs="Arial"/>
          <w:color w:val="323232"/>
          <w:sz w:val="21"/>
          <w:szCs w:val="21"/>
        </w:rPr>
        <w:t>(sic)</w:t>
      </w:r>
    </w:p>
    <w:p w14:paraId="2642E5AE" w14:textId="77777777" w:rsidR="001E4CE0" w:rsidRPr="00D97DD5" w:rsidRDefault="001E4CE0" w:rsidP="001E4CE0">
      <w:pPr>
        <w:pStyle w:val="Prrafodelista"/>
        <w:spacing w:after="0" w:line="240" w:lineRule="auto"/>
        <w:ind w:right="709"/>
        <w:jc w:val="both"/>
        <w:rPr>
          <w:rFonts w:ascii="Arial" w:hAnsi="Arial" w:cs="Arial"/>
          <w:color w:val="323232"/>
          <w:sz w:val="21"/>
          <w:szCs w:val="21"/>
        </w:rPr>
      </w:pPr>
    </w:p>
    <w:p w14:paraId="6F720206" w14:textId="77777777" w:rsidR="001E4CE0" w:rsidRPr="004073EB" w:rsidRDefault="001E4CE0" w:rsidP="001E4CE0">
      <w:pPr>
        <w:widowControl w:val="0"/>
        <w:tabs>
          <w:tab w:val="left" w:pos="822"/>
        </w:tabs>
        <w:autoSpaceDE w:val="0"/>
        <w:autoSpaceDN w:val="0"/>
        <w:spacing w:after="120" w:line="276" w:lineRule="auto"/>
        <w:ind w:right="119"/>
        <w:jc w:val="both"/>
        <w:rPr>
          <w:rFonts w:ascii="Arial" w:eastAsia="Arial MT" w:hAnsi="Arial" w:cs="Arial"/>
          <w:color w:val="000000" w:themeColor="text1"/>
          <w:lang w:val="es-ES"/>
        </w:rPr>
      </w:pPr>
      <w:r>
        <w:rPr>
          <w:rFonts w:ascii="Arial" w:eastAsia="Arial MT" w:hAnsi="Arial" w:cs="Arial"/>
          <w:color w:val="000000" w:themeColor="text1"/>
          <w:lang w:val="es-ES"/>
        </w:rPr>
        <w:t>De acuerdo con la interpretación general de las normas que conforman el sistema de compras públicas, conforme a</w:t>
      </w:r>
      <w:r w:rsidRPr="004073EB">
        <w:rPr>
          <w:rFonts w:ascii="Arial" w:eastAsia="Arial MT" w:hAnsi="Arial" w:cs="Arial"/>
          <w:color w:val="000000" w:themeColor="text1"/>
          <w:lang w:val="es-ES"/>
        </w:rPr>
        <w:t xml:space="preserve"> la posición adoptada por la Agencia Nacional de Contratación Pública – Colombia Compra Eficiente a partir del </w:t>
      </w:r>
      <w:r>
        <w:rPr>
          <w:rFonts w:ascii="Arial" w:eastAsia="Arial MT" w:hAnsi="Arial" w:cs="Arial"/>
          <w:color w:val="000000" w:themeColor="text1"/>
          <w:lang w:val="es-ES"/>
        </w:rPr>
        <w:t>c</w:t>
      </w:r>
      <w:r w:rsidRPr="004073EB">
        <w:rPr>
          <w:rFonts w:ascii="Arial" w:eastAsia="Arial MT" w:hAnsi="Arial" w:cs="Arial"/>
          <w:color w:val="000000" w:themeColor="text1"/>
          <w:lang w:val="es-ES"/>
        </w:rPr>
        <w:t xml:space="preserve">oncepto 4201913000006797 del 19 de noviembre de 2019, es posible que las sociedades de reciente creación que, en aplicación del beneficio establecido en el numeral 2.5 del artículo 2.2.1.1.1.5.2 del Decreto 1082 de 2015, hayan inscrito la experiencia de sus socios o accionistas en el RUP, puedan seguir acreditando dicha experiencia en los procedimientos de selección, aun después de cumplidos los 3 años de </w:t>
      </w:r>
      <w:r w:rsidRPr="004073EB">
        <w:rPr>
          <w:rFonts w:ascii="Arial" w:eastAsia="Arial MT" w:hAnsi="Arial" w:cs="Arial"/>
          <w:color w:val="000000" w:themeColor="text1"/>
          <w:lang w:val="es-ES"/>
        </w:rPr>
        <w:lastRenderedPageBreak/>
        <w:t>constitución, siempre que no hayan cesado los efectos del RUP por el incumplimiento del deber de renovación.</w:t>
      </w:r>
    </w:p>
    <w:p w14:paraId="03C49AC4" w14:textId="77777777" w:rsidR="001E4CE0" w:rsidRDefault="001E4CE0" w:rsidP="001E4CE0">
      <w:pPr>
        <w:widowControl w:val="0"/>
        <w:tabs>
          <w:tab w:val="left" w:pos="822"/>
        </w:tabs>
        <w:autoSpaceDE w:val="0"/>
        <w:autoSpaceDN w:val="0"/>
        <w:spacing w:after="120" w:line="276" w:lineRule="auto"/>
        <w:ind w:right="119"/>
        <w:jc w:val="both"/>
        <w:rPr>
          <w:rFonts w:ascii="Arial" w:eastAsia="Arial MT" w:hAnsi="Arial" w:cs="Arial"/>
          <w:color w:val="000000" w:themeColor="text1"/>
          <w:lang w:val="es-ES"/>
        </w:rPr>
      </w:pPr>
      <w:r>
        <w:rPr>
          <w:rFonts w:ascii="Arial" w:eastAsia="Arial MT" w:hAnsi="Arial" w:cs="Arial"/>
          <w:color w:val="000000" w:themeColor="text1"/>
          <w:lang w:val="es-ES"/>
        </w:rPr>
        <w:tab/>
      </w:r>
      <w:r w:rsidRPr="004073EB">
        <w:rPr>
          <w:rFonts w:ascii="Arial" w:eastAsia="Arial MT" w:hAnsi="Arial" w:cs="Arial"/>
          <w:color w:val="000000" w:themeColor="text1"/>
          <w:lang w:val="es-ES"/>
        </w:rPr>
        <w:t>No obstante, en el evento que el RUP no es renovado por los responsables y, en consecuencia, cesan los efectos de este, la experiencia de los socios no puede registrarse nuevamente y las Cámaras de Comercios tienen el deber de hacer nuevamente la verificación documental de la información presentada al momento de inscribirse en el registro.</w:t>
      </w:r>
    </w:p>
    <w:p w14:paraId="28720AF9" w14:textId="77777777" w:rsidR="001E4CE0" w:rsidRDefault="001E4CE0" w:rsidP="001E4CE0">
      <w:pPr>
        <w:spacing w:before="120" w:after="120" w:line="276" w:lineRule="auto"/>
        <w:ind w:firstLine="709"/>
        <w:jc w:val="both"/>
        <w:rPr>
          <w:rFonts w:ascii="Arial" w:eastAsia="Calibri" w:hAnsi="Arial" w:cs="Arial"/>
          <w:lang w:val="es-ES"/>
        </w:rPr>
      </w:pPr>
      <w:r>
        <w:rPr>
          <w:rFonts w:ascii="Arial" w:eastAsia="Calibri" w:hAnsi="Arial" w:cs="Arial"/>
          <w:lang w:val="es-ES"/>
        </w:rPr>
        <w:t xml:space="preserve">De cualquier modo, la regla contenida en el numeral 2.5 del artículo </w:t>
      </w:r>
      <w:r w:rsidRPr="00071199">
        <w:rPr>
          <w:rFonts w:ascii="Arial" w:eastAsia="Calibri" w:hAnsi="Arial" w:cs="Arial"/>
          <w:lang w:val="es-ES"/>
        </w:rPr>
        <w:t>2.2.1.1.1.5.2 del Decreto 1082 de 2015</w:t>
      </w:r>
      <w:r>
        <w:rPr>
          <w:rFonts w:ascii="Arial" w:eastAsia="Calibri" w:hAnsi="Arial" w:cs="Arial"/>
          <w:lang w:val="es-ES"/>
        </w:rPr>
        <w:t xml:space="preserve"> es una norma reglamentaria de alcance general que que certificados de experiencia son susceptibles en el marco de los trámites de inscripción, renovación o actualización del RUP. Esto significa que el alcance de esta disposición no puede ser desconocido por las cámaras de comercio y proponentes, a quienes corresponde aplicar dicha disposición en su sentido literal, el cual no contempla una regla en atención a la cual se deba ponderar la inscripción de la experiencia aportada por los socios en función de su porcentaje participación, de acuerdo con lo señalado en la consulta.  </w:t>
      </w:r>
    </w:p>
    <w:p w14:paraId="3A1BCE05" w14:textId="77777777" w:rsidR="001E4CE0" w:rsidRDefault="001E4CE0" w:rsidP="001E4CE0">
      <w:pPr>
        <w:spacing w:before="120" w:after="120" w:line="276" w:lineRule="auto"/>
        <w:ind w:firstLine="709"/>
        <w:jc w:val="both"/>
        <w:rPr>
          <w:rFonts w:ascii="Arial" w:eastAsia="Calibri" w:hAnsi="Arial" w:cs="Arial"/>
          <w:lang w:val="es-ES"/>
        </w:rPr>
      </w:pPr>
      <w:r>
        <w:rPr>
          <w:rFonts w:ascii="Arial" w:eastAsia="Calibri" w:hAnsi="Arial" w:cs="Arial"/>
          <w:lang w:val="es-ES"/>
        </w:rPr>
        <w:t xml:space="preserve">En firme la inscripción, actualización o renovación en el marco del cual una sociedad con menos de tres años de constitución presenta certificados de experiencia adquirida por sus socios o constituyentes, de acuerdo con el numeral 2.5 del artículo </w:t>
      </w:r>
      <w:r w:rsidRPr="00071199">
        <w:rPr>
          <w:rFonts w:ascii="Arial" w:eastAsia="Calibri" w:hAnsi="Arial" w:cs="Arial"/>
          <w:lang w:val="es-ES"/>
        </w:rPr>
        <w:t>2.2.1.1.1.5.2 del Decreto 1082 de 2015</w:t>
      </w:r>
      <w:r>
        <w:rPr>
          <w:rFonts w:ascii="Arial" w:eastAsia="Calibri" w:hAnsi="Arial" w:cs="Arial"/>
          <w:lang w:val="es-ES"/>
        </w:rPr>
        <w:t xml:space="preserve">, tal experiencia queda consolidada en el RUP de la persona jurídica quien por el efecto de la prerrogativa podrá acreditar esa experiencia como propia, mientras no cesen los efectos del RUP por incumplimiento del deber de renovación. De esta manera la experiencia inscrita de acuerdo con la referida prerrogativa podrá ser acreditada en procesos de selección mediante el respectivo RUP, con efectos de plena prueba de las circunstancias de las que en el constan. </w:t>
      </w:r>
    </w:p>
    <w:p w14:paraId="57BB6E4E" w14:textId="77777777" w:rsidR="001E4CE0" w:rsidRDefault="001E4CE0" w:rsidP="001E4CE0">
      <w:pPr>
        <w:spacing w:before="120" w:after="0" w:line="276" w:lineRule="auto"/>
        <w:ind w:firstLine="709"/>
        <w:jc w:val="both"/>
        <w:rPr>
          <w:rFonts w:ascii="Arial" w:eastAsia="Calibri" w:hAnsi="Arial" w:cs="Arial"/>
          <w:lang w:val="es-ES"/>
        </w:rPr>
      </w:pPr>
      <w:r>
        <w:rPr>
          <w:rFonts w:ascii="Arial" w:eastAsia="Calibri" w:hAnsi="Arial" w:cs="Arial"/>
          <w:lang w:val="es-ES"/>
        </w:rPr>
        <w:t xml:space="preserve">De acuerdo con lo anterior, si bien las Entidades Estatales, en el marco de la selección objetiva y lo permitido por las reglas para definir la oferta más favorable, </w:t>
      </w:r>
      <w:r w:rsidRPr="00030FD5">
        <w:rPr>
          <w:rFonts w:ascii="Arial" w:eastAsia="Calibri" w:hAnsi="Arial" w:cs="Arial"/>
          <w:lang w:val="es-ES"/>
        </w:rPr>
        <w:t>tienen</w:t>
      </w:r>
      <w:r>
        <w:rPr>
          <w:rFonts w:ascii="Arial" w:eastAsia="Calibri" w:hAnsi="Arial" w:cs="Arial"/>
          <w:lang w:val="es-ES"/>
        </w:rPr>
        <w:t xml:space="preserve"> cierta</w:t>
      </w:r>
      <w:r w:rsidRPr="00030FD5">
        <w:rPr>
          <w:rFonts w:ascii="Arial" w:eastAsia="Calibri" w:hAnsi="Arial" w:cs="Arial"/>
          <w:lang w:val="es-ES"/>
        </w:rPr>
        <w:t xml:space="preserve"> discrecionalidad para incluir en los pliegos de condiciones los criterios de evaluación que estimen </w:t>
      </w:r>
      <w:r>
        <w:rPr>
          <w:rFonts w:ascii="Arial" w:eastAsia="Calibri" w:hAnsi="Arial" w:cs="Arial"/>
          <w:lang w:val="es-ES"/>
        </w:rPr>
        <w:t>justificados</w:t>
      </w:r>
      <w:r w:rsidRPr="00030FD5">
        <w:rPr>
          <w:rFonts w:ascii="Arial" w:eastAsia="Calibri" w:hAnsi="Arial" w:cs="Arial"/>
          <w:lang w:val="es-ES"/>
        </w:rPr>
        <w:t>,</w:t>
      </w:r>
      <w:r>
        <w:rPr>
          <w:rFonts w:ascii="Arial" w:eastAsia="Calibri" w:hAnsi="Arial" w:cs="Arial"/>
          <w:lang w:val="es-ES"/>
        </w:rPr>
        <w:t xml:space="preserve"> el alcance de dicha potestad no puede desconocer los efectos de plena prueba de la circunstancias en el contenidas, que el artículo 6 de la Ley 1150 de 2007 le atribuye al RUP.  </w:t>
      </w:r>
    </w:p>
    <w:p w14:paraId="4C839408" w14:textId="77777777" w:rsidR="001E4CE0" w:rsidRDefault="001E4CE0" w:rsidP="001E4CE0">
      <w:pPr>
        <w:spacing w:after="0" w:line="276" w:lineRule="auto"/>
        <w:jc w:val="both"/>
        <w:rPr>
          <w:rFonts w:ascii="Arial" w:eastAsia="Calibri" w:hAnsi="Arial" w:cs="Arial"/>
          <w:lang w:val="es-ES"/>
        </w:rPr>
      </w:pPr>
    </w:p>
    <w:p w14:paraId="6ED2CDBF" w14:textId="77777777" w:rsidR="001E4CE0" w:rsidRPr="00071199" w:rsidRDefault="001E4CE0" w:rsidP="001E4CE0">
      <w:pPr>
        <w:spacing w:after="0" w:line="276" w:lineRule="auto"/>
        <w:jc w:val="both"/>
        <w:rPr>
          <w:rFonts w:ascii="Arial" w:eastAsia="Calibri" w:hAnsi="Arial" w:cs="Arial"/>
          <w:highlight w:val="yellow"/>
          <w:lang w:val="es-ES"/>
        </w:rPr>
      </w:pPr>
      <w:r w:rsidRPr="003F51F6">
        <w:rPr>
          <w:rFonts w:ascii="Arial" w:eastAsia="Calibri" w:hAnsi="Arial" w:cs="Arial"/>
          <w:lang w:val="es-ES"/>
        </w:rPr>
        <w:t>Este concepto tiene el alcance previsto en el artículo 28 del Código de Procedimiento Administrativo y de lo Contencioso Administrativo.</w:t>
      </w:r>
    </w:p>
    <w:p w14:paraId="282C063C" w14:textId="77777777" w:rsidR="001E4CE0" w:rsidRPr="00755B2F" w:rsidRDefault="001E4CE0" w:rsidP="001E4CE0">
      <w:pPr>
        <w:pStyle w:val="paragraph"/>
        <w:spacing w:before="0" w:beforeAutospacing="0" w:after="0" w:afterAutospacing="0"/>
        <w:jc w:val="both"/>
        <w:textAlignment w:val="baseline"/>
        <w:rPr>
          <w:rFonts w:ascii="Arial" w:hAnsi="Arial" w:cs="Arial"/>
          <w:sz w:val="18"/>
          <w:szCs w:val="18"/>
        </w:rPr>
      </w:pPr>
    </w:p>
    <w:p w14:paraId="3BF7EA5D" w14:textId="77777777" w:rsidR="001E4CE0" w:rsidRPr="00755B2F" w:rsidRDefault="001E4CE0" w:rsidP="001E4CE0">
      <w:pPr>
        <w:spacing w:after="0" w:line="276" w:lineRule="auto"/>
        <w:jc w:val="both"/>
        <w:rPr>
          <w:rFonts w:ascii="Arial" w:eastAsia="Calibri" w:hAnsi="Arial" w:cs="Arial"/>
          <w:lang w:val="es-MX"/>
        </w:rPr>
      </w:pPr>
      <w:r w:rsidRPr="00755B2F">
        <w:rPr>
          <w:rFonts w:ascii="Arial" w:eastAsia="Calibri" w:hAnsi="Arial" w:cs="Arial"/>
          <w:lang w:val="es-MX"/>
        </w:rPr>
        <w:t>Cordialmente,</w:t>
      </w:r>
    </w:p>
    <w:p w14:paraId="30E6BEF6" w14:textId="77777777" w:rsidR="001E4CE0" w:rsidRPr="00755B2F" w:rsidRDefault="001E4CE0" w:rsidP="001E4CE0">
      <w:pPr>
        <w:spacing w:after="0" w:line="276" w:lineRule="auto"/>
        <w:jc w:val="both"/>
        <w:rPr>
          <w:rFonts w:ascii="Arial" w:eastAsia="Calibri" w:hAnsi="Arial" w:cs="Arial"/>
          <w:b/>
          <w:bCs/>
          <w:lang w:val="es-MX"/>
        </w:rPr>
      </w:pPr>
    </w:p>
    <w:p w14:paraId="1F38C0A8" w14:textId="77777777" w:rsidR="001E4CE0" w:rsidRPr="00755B2F" w:rsidRDefault="001E4CE0" w:rsidP="001E4CE0">
      <w:pPr>
        <w:spacing w:after="0" w:line="276" w:lineRule="auto"/>
        <w:jc w:val="both"/>
        <w:rPr>
          <w:rFonts w:ascii="Arial" w:eastAsia="Calibri" w:hAnsi="Arial" w:cs="Arial"/>
          <w:b/>
          <w:bCs/>
          <w:lang w:val="es-MX"/>
        </w:rPr>
      </w:pPr>
    </w:p>
    <w:p w14:paraId="5F43A5FA" w14:textId="29ECB2A8" w:rsidR="001E4CE0" w:rsidRPr="00755B2F" w:rsidRDefault="00420632" w:rsidP="001E4CE0">
      <w:pPr>
        <w:pStyle w:val="NormalWeb"/>
        <w:spacing w:before="0" w:beforeAutospacing="0" w:after="0" w:afterAutospacing="0" w:line="276" w:lineRule="auto"/>
        <w:jc w:val="center"/>
        <w:rPr>
          <w:rFonts w:ascii="Arial" w:hAnsi="Arial" w:cs="Arial"/>
          <w:color w:val="000000"/>
          <w:sz w:val="22"/>
          <w:szCs w:val="22"/>
          <w:shd w:val="clear" w:color="auto" w:fill="FFFFFF"/>
        </w:rPr>
      </w:pPr>
      <w:r>
        <w:rPr>
          <w:noProof/>
        </w:rPr>
        <w:lastRenderedPageBreak/>
        <w:drawing>
          <wp:inline distT="0" distB="0" distL="0" distR="0" wp14:anchorId="788EA900" wp14:editId="13F65A44">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2"/>
                    <a:stretch>
                      <a:fillRect/>
                    </a:stretch>
                  </pic:blipFill>
                  <pic:spPr>
                    <a:xfrm>
                      <a:off x="0" y="0"/>
                      <a:ext cx="2785707" cy="1068836"/>
                    </a:xfrm>
                    <a:prstGeom prst="rect">
                      <a:avLst/>
                    </a:prstGeom>
                  </pic:spPr>
                </pic:pic>
              </a:graphicData>
            </a:graphic>
          </wp:inline>
        </w:drawing>
      </w:r>
    </w:p>
    <w:p w14:paraId="41434375" w14:textId="77777777" w:rsidR="001E4CE0" w:rsidRPr="00656151" w:rsidRDefault="001E4CE0" w:rsidP="001E4CE0">
      <w:pPr>
        <w:pStyle w:val="NormalWeb"/>
        <w:spacing w:before="0" w:beforeAutospacing="0" w:after="0" w:afterAutospacing="0" w:line="276" w:lineRule="auto"/>
        <w:jc w:val="center"/>
        <w:rPr>
          <w:rFonts w:ascii="Arial" w:hAnsi="Arial" w:cs="Arial"/>
          <w:lang w:val="es-ES_tradnl"/>
        </w:rPr>
      </w:pPr>
      <w:r w:rsidRPr="00755B2F">
        <w:rPr>
          <w:rFonts w:ascii="Arial" w:hAnsi="Arial" w:cs="Arial"/>
          <w:color w:val="000000"/>
          <w:sz w:val="22"/>
          <w:szCs w:val="22"/>
          <w:shd w:val="clear" w:color="auto" w:fill="FFFFFF"/>
        </w:rPr>
        <w:br/>
      </w:r>
    </w:p>
    <w:tbl>
      <w:tblPr>
        <w:tblW w:w="5225" w:type="dxa"/>
        <w:tblBorders>
          <w:top w:val="nil"/>
          <w:left w:val="nil"/>
          <w:bottom w:val="nil"/>
          <w:right w:val="nil"/>
          <w:insideH w:val="nil"/>
          <w:insideV w:val="nil"/>
        </w:tblBorders>
        <w:tblLayout w:type="fixed"/>
        <w:tblLook w:val="0400" w:firstRow="0" w:lastRow="0" w:firstColumn="0" w:lastColumn="0" w:noHBand="0" w:noVBand="1"/>
      </w:tblPr>
      <w:tblGrid>
        <w:gridCol w:w="812"/>
        <w:gridCol w:w="4413"/>
      </w:tblGrid>
      <w:tr w:rsidR="001E4CE0" w:rsidRPr="003F51F6" w14:paraId="785C1986" w14:textId="77777777" w:rsidTr="00BC540F">
        <w:trPr>
          <w:trHeight w:val="315"/>
        </w:trPr>
        <w:tc>
          <w:tcPr>
            <w:tcW w:w="812" w:type="dxa"/>
            <w:vAlign w:val="center"/>
          </w:tcPr>
          <w:p w14:paraId="4C7FBEF6" w14:textId="77777777" w:rsidR="001E4CE0" w:rsidRPr="00656151" w:rsidRDefault="001E4CE0" w:rsidP="00BC540F">
            <w:pPr>
              <w:spacing w:after="0" w:line="276" w:lineRule="auto"/>
              <w:rPr>
                <w:rFonts w:ascii="Arial" w:hAnsi="Arial" w:cs="Arial"/>
                <w:bCs/>
                <w:sz w:val="16"/>
                <w:szCs w:val="16"/>
                <w:lang w:eastAsia="es-CO"/>
              </w:rPr>
            </w:pPr>
            <w:r w:rsidRPr="00656151">
              <w:rPr>
                <w:rFonts w:ascii="Arial" w:hAnsi="Arial" w:cs="Arial"/>
                <w:bCs/>
                <w:sz w:val="16"/>
                <w:szCs w:val="16"/>
                <w:lang w:eastAsia="es-CO"/>
              </w:rPr>
              <w:t>Elaboró:</w:t>
            </w:r>
          </w:p>
        </w:tc>
        <w:tc>
          <w:tcPr>
            <w:tcW w:w="4413" w:type="dxa"/>
            <w:tcBorders>
              <w:top w:val="nil"/>
              <w:left w:val="nil"/>
              <w:bottom w:val="dotted" w:sz="4" w:space="0" w:color="7F7F7F"/>
              <w:right w:val="nil"/>
            </w:tcBorders>
            <w:vAlign w:val="center"/>
          </w:tcPr>
          <w:p w14:paraId="5BCDCCF1" w14:textId="77777777" w:rsidR="001E4CE0" w:rsidRPr="00656151" w:rsidRDefault="001E4CE0" w:rsidP="00BC540F">
            <w:pPr>
              <w:spacing w:after="0" w:line="276" w:lineRule="auto"/>
              <w:rPr>
                <w:rFonts w:ascii="Arial" w:hAnsi="Arial" w:cs="Arial"/>
                <w:bCs/>
                <w:sz w:val="16"/>
                <w:szCs w:val="16"/>
                <w:lang w:eastAsia="es-CO"/>
              </w:rPr>
            </w:pPr>
            <w:r w:rsidRPr="00656151">
              <w:rPr>
                <w:rFonts w:ascii="Arial" w:hAnsi="Arial" w:cs="Arial"/>
                <w:bCs/>
                <w:sz w:val="16"/>
                <w:szCs w:val="16"/>
                <w:lang w:eastAsia="es-CO"/>
              </w:rPr>
              <w:t xml:space="preserve">María Valeska Medellín Mora </w:t>
            </w:r>
          </w:p>
          <w:p w14:paraId="013C10C5" w14:textId="77777777" w:rsidR="001E4CE0" w:rsidRPr="00656151" w:rsidRDefault="001E4CE0" w:rsidP="00BC540F">
            <w:pPr>
              <w:spacing w:after="0" w:line="276" w:lineRule="auto"/>
              <w:rPr>
                <w:rFonts w:ascii="Arial" w:hAnsi="Arial" w:cs="Arial"/>
                <w:bCs/>
                <w:sz w:val="16"/>
                <w:szCs w:val="16"/>
                <w:lang w:eastAsia="es-CO"/>
              </w:rPr>
            </w:pPr>
            <w:r w:rsidRPr="00656151">
              <w:rPr>
                <w:rFonts w:ascii="Arial" w:hAnsi="Arial" w:cs="Arial"/>
                <w:bCs/>
                <w:sz w:val="16"/>
                <w:szCs w:val="16"/>
                <w:lang w:eastAsia="es-CO"/>
              </w:rPr>
              <w:t>Gestor T1- 15 Subdirección de Gestión Contractual</w:t>
            </w:r>
          </w:p>
        </w:tc>
      </w:tr>
      <w:tr w:rsidR="001E4CE0" w:rsidRPr="003F51F6" w14:paraId="228FF465" w14:textId="77777777" w:rsidTr="00BC540F">
        <w:trPr>
          <w:trHeight w:val="330"/>
        </w:trPr>
        <w:tc>
          <w:tcPr>
            <w:tcW w:w="812" w:type="dxa"/>
            <w:vAlign w:val="center"/>
          </w:tcPr>
          <w:p w14:paraId="004C2039" w14:textId="77777777" w:rsidR="001E4CE0" w:rsidRPr="00656151" w:rsidRDefault="001E4CE0" w:rsidP="00BC540F">
            <w:pPr>
              <w:spacing w:after="0" w:line="276" w:lineRule="auto"/>
              <w:rPr>
                <w:rFonts w:ascii="Arial" w:hAnsi="Arial" w:cs="Arial"/>
                <w:bCs/>
                <w:sz w:val="16"/>
                <w:szCs w:val="16"/>
                <w:lang w:eastAsia="es-CO"/>
              </w:rPr>
            </w:pPr>
            <w:r w:rsidRPr="00656151">
              <w:rPr>
                <w:rFonts w:ascii="Arial" w:hAnsi="Arial" w:cs="Arial"/>
                <w:bCs/>
                <w:sz w:val="16"/>
                <w:szCs w:val="16"/>
                <w:lang w:eastAsia="es-CO"/>
              </w:rPr>
              <w:t>Revisó:</w:t>
            </w:r>
          </w:p>
        </w:tc>
        <w:tc>
          <w:tcPr>
            <w:tcW w:w="4413" w:type="dxa"/>
            <w:tcBorders>
              <w:top w:val="dotted" w:sz="4" w:space="0" w:color="7F7F7F"/>
              <w:left w:val="nil"/>
              <w:bottom w:val="dotted" w:sz="4" w:space="0" w:color="7F7F7F"/>
              <w:right w:val="nil"/>
            </w:tcBorders>
            <w:vAlign w:val="center"/>
          </w:tcPr>
          <w:p w14:paraId="037CD100" w14:textId="77777777" w:rsidR="001E4CE0" w:rsidRPr="00656151" w:rsidRDefault="001E4CE0" w:rsidP="00BC540F">
            <w:pPr>
              <w:spacing w:after="0" w:line="276" w:lineRule="auto"/>
              <w:rPr>
                <w:rFonts w:ascii="Arial" w:hAnsi="Arial" w:cs="Arial"/>
                <w:bCs/>
                <w:sz w:val="16"/>
                <w:szCs w:val="16"/>
                <w:lang w:eastAsia="es-CO"/>
              </w:rPr>
            </w:pPr>
            <w:r w:rsidRPr="00656151">
              <w:rPr>
                <w:rFonts w:ascii="Arial" w:hAnsi="Arial" w:cs="Arial"/>
                <w:bCs/>
                <w:sz w:val="16"/>
                <w:szCs w:val="16"/>
                <w:lang w:eastAsia="es-CO"/>
              </w:rPr>
              <w:t xml:space="preserve">Alejandro Sarmiento Cantillo </w:t>
            </w:r>
          </w:p>
          <w:p w14:paraId="666A9982" w14:textId="77777777" w:rsidR="001E4CE0" w:rsidRPr="00656151" w:rsidRDefault="001E4CE0" w:rsidP="00BC540F">
            <w:pPr>
              <w:spacing w:after="0" w:line="276" w:lineRule="auto"/>
              <w:rPr>
                <w:rFonts w:ascii="Arial" w:hAnsi="Arial" w:cs="Arial"/>
                <w:bCs/>
                <w:sz w:val="16"/>
                <w:szCs w:val="16"/>
                <w:lang w:eastAsia="es-CO"/>
              </w:rPr>
            </w:pPr>
            <w:r w:rsidRPr="00656151">
              <w:rPr>
                <w:rFonts w:ascii="Arial" w:hAnsi="Arial" w:cs="Arial"/>
                <w:bCs/>
                <w:sz w:val="16"/>
                <w:szCs w:val="16"/>
                <w:lang w:eastAsia="es-CO"/>
              </w:rPr>
              <w:t>Gestor T1-15 Subdirección de Gestión Contractual</w:t>
            </w:r>
          </w:p>
        </w:tc>
      </w:tr>
      <w:tr w:rsidR="001E4CE0" w:rsidRPr="003F51F6" w14:paraId="7C869134" w14:textId="77777777" w:rsidTr="00BC540F">
        <w:trPr>
          <w:trHeight w:val="300"/>
        </w:trPr>
        <w:tc>
          <w:tcPr>
            <w:tcW w:w="812" w:type="dxa"/>
            <w:vAlign w:val="center"/>
          </w:tcPr>
          <w:p w14:paraId="079F8410" w14:textId="77777777" w:rsidR="001E4CE0" w:rsidRPr="00656151" w:rsidRDefault="001E4CE0" w:rsidP="00BC540F">
            <w:pPr>
              <w:spacing w:after="0" w:line="276" w:lineRule="auto"/>
              <w:rPr>
                <w:rFonts w:ascii="Arial" w:hAnsi="Arial" w:cs="Arial"/>
                <w:bCs/>
                <w:sz w:val="16"/>
                <w:szCs w:val="16"/>
                <w:lang w:eastAsia="es-CO"/>
              </w:rPr>
            </w:pPr>
            <w:r w:rsidRPr="00656151">
              <w:rPr>
                <w:rFonts w:ascii="Arial" w:hAnsi="Arial" w:cs="Arial"/>
                <w:bCs/>
                <w:sz w:val="16"/>
                <w:szCs w:val="16"/>
                <w:lang w:eastAsia="es-CO"/>
              </w:rPr>
              <w:t>Aprobó:</w:t>
            </w:r>
          </w:p>
        </w:tc>
        <w:tc>
          <w:tcPr>
            <w:tcW w:w="4413" w:type="dxa"/>
            <w:tcBorders>
              <w:top w:val="dotted" w:sz="4" w:space="0" w:color="7F7F7F"/>
              <w:left w:val="nil"/>
              <w:bottom w:val="dotted" w:sz="4" w:space="0" w:color="7F7F7F"/>
              <w:right w:val="nil"/>
            </w:tcBorders>
            <w:vAlign w:val="center"/>
          </w:tcPr>
          <w:p w14:paraId="0D9A043A" w14:textId="77777777" w:rsidR="001E4CE0" w:rsidRPr="00656151" w:rsidRDefault="001E4CE0" w:rsidP="00BC540F">
            <w:pPr>
              <w:spacing w:after="0" w:line="276" w:lineRule="auto"/>
              <w:rPr>
                <w:rFonts w:ascii="Arial" w:hAnsi="Arial" w:cs="Arial"/>
                <w:bCs/>
                <w:sz w:val="16"/>
                <w:szCs w:val="16"/>
                <w:lang w:eastAsia="es-CO"/>
              </w:rPr>
            </w:pPr>
            <w:r w:rsidRPr="00656151">
              <w:rPr>
                <w:rFonts w:ascii="Arial" w:hAnsi="Arial" w:cs="Arial"/>
                <w:bCs/>
                <w:sz w:val="16"/>
                <w:szCs w:val="16"/>
                <w:lang w:eastAsia="es-CO"/>
              </w:rPr>
              <w:t xml:space="preserve">Nohelia del Carmen Zawady Palacio </w:t>
            </w:r>
          </w:p>
          <w:p w14:paraId="68A0D133" w14:textId="77777777" w:rsidR="001E4CE0" w:rsidRPr="00656151" w:rsidRDefault="001E4CE0" w:rsidP="00BC540F">
            <w:pPr>
              <w:spacing w:after="0" w:line="276" w:lineRule="auto"/>
              <w:rPr>
                <w:rFonts w:ascii="Arial" w:hAnsi="Arial" w:cs="Arial"/>
                <w:bCs/>
                <w:sz w:val="16"/>
                <w:szCs w:val="16"/>
                <w:lang w:eastAsia="es-CO"/>
              </w:rPr>
            </w:pPr>
            <w:r w:rsidRPr="00656151">
              <w:rPr>
                <w:rFonts w:ascii="Arial" w:hAnsi="Arial" w:cs="Arial"/>
                <w:bCs/>
                <w:sz w:val="16"/>
                <w:szCs w:val="16"/>
                <w:lang w:eastAsia="es-CO"/>
              </w:rPr>
              <w:t>Subdirectora de Gestión Contractual ANCP – CCE</w:t>
            </w:r>
          </w:p>
        </w:tc>
      </w:tr>
    </w:tbl>
    <w:p w14:paraId="517D6583" w14:textId="77777777" w:rsidR="001E4CE0" w:rsidRPr="00F048E6" w:rsidRDefault="001E4CE0" w:rsidP="001E4CE0">
      <w:pPr>
        <w:spacing w:line="276" w:lineRule="auto"/>
      </w:pPr>
    </w:p>
    <w:p w14:paraId="0F293BF4" w14:textId="0F6FB6C1" w:rsidR="00127233" w:rsidRPr="001E4CE0" w:rsidRDefault="00127233" w:rsidP="001E4CE0"/>
    <w:sectPr w:rsidR="00127233" w:rsidRPr="001E4CE0" w:rsidSect="0039439C">
      <w:headerReference w:type="default" r:id="rId13"/>
      <w:footerReference w:type="default" r:id="rId14"/>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0EC22B" w14:textId="77777777" w:rsidR="00EE5205" w:rsidRDefault="00EE5205" w:rsidP="004A1847">
      <w:pPr>
        <w:spacing w:after="0" w:line="240" w:lineRule="auto"/>
      </w:pPr>
      <w:r>
        <w:separator/>
      </w:r>
    </w:p>
  </w:endnote>
  <w:endnote w:type="continuationSeparator" w:id="0">
    <w:p w14:paraId="286B7FA4" w14:textId="77777777" w:rsidR="00EE5205" w:rsidRDefault="00EE520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Narrow">
    <w:panose1 w:val="020B0606020202030204"/>
    <w:charset w:val="00"/>
    <w:family w:val="swiss"/>
    <w:pitch w:val="variable"/>
    <w:sig w:usb0="00000287" w:usb1="00000800" w:usb2="00000000" w:usb3="00000000" w:csb0="0000009F" w:csb1="00000000"/>
  </w:font>
  <w:font w:name="Arial MT">
    <w:altName w:val="Arial"/>
    <w:charset w:val="01"/>
    <w:family w:val="swiss"/>
    <w:pitch w:val="variable"/>
  </w:font>
  <w:font w:name="Arial Nova">
    <w:charset w:val="00"/>
    <w:family w:val="swiss"/>
    <w:pitch w:val="variable"/>
    <w:sig w:usb0="0000028F" w:usb1="00000002" w:usb2="00000000" w:usb3="00000000" w:csb0="0000019F" w:csb1="00000000"/>
  </w:font>
  <w:font w:name="Geo">
    <w:altName w:val="Calibri"/>
    <w:charset w:val="00"/>
    <w:family w:val="auto"/>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460CCDF7" w:rsidR="004A1847" w:rsidRDefault="004A1847" w:rsidP="008614E5">
    <w:pPr>
      <w:pStyle w:val="Piedepgina"/>
    </w:pPr>
    <w:r>
      <w:rPr>
        <w:noProof/>
      </w:rPr>
      <w:drawing>
        <wp:inline distT="0" distB="0" distL="0" distR="0" wp14:anchorId="1F77499E" wp14:editId="160C643E">
          <wp:extent cx="5742143" cy="892175"/>
          <wp:effectExtent l="0" t="0" r="0" b="3175"/>
          <wp:docPr id="3" name="Imagen 3"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0534DA7F"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403BB57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22188FC9"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0</w:t>
          </w:r>
          <w:r w:rsidR="00C9405D">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372D563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227155A8" w:rsidR="006219F8" w:rsidRPr="004B6B0E" w:rsidRDefault="00906B3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w:t>
          </w:r>
          <w:r w:rsidR="004B6B0E">
            <w:rPr>
              <w:rFonts w:ascii="Geomanist Light" w:eastAsia="Geo" w:hAnsi="Geomanist Light" w:cs="Geo"/>
              <w:b/>
              <w:color w:val="000000"/>
              <w:sz w:val="18"/>
              <w:szCs w:val="18"/>
              <w:lang w:eastAsia="es-CO"/>
            </w:rPr>
            <w:t>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04459FA8" w:rsidR="00A07532" w:rsidRPr="00080DA3" w:rsidRDefault="00906B3C" w:rsidP="00A07532">
          <w:pPr>
            <w:pStyle w:val="Piedepgina"/>
            <w:jc w:val="center"/>
            <w:rPr>
              <w:rFonts w:ascii="Geomanist Light" w:hAnsi="Geomanist Light"/>
              <w:sz w:val="18"/>
              <w:szCs w:val="18"/>
            </w:rPr>
          </w:pPr>
          <w:r>
            <w:rPr>
              <w:rFonts w:ascii="Geomanist Light" w:hAnsi="Geomanist Light"/>
              <w:sz w:val="18"/>
              <w:szCs w:val="18"/>
            </w:rPr>
            <w:t>2</w:t>
          </w:r>
          <w:r w:rsidR="00C9405D">
            <w:rPr>
              <w:rFonts w:ascii="Geomanist Light" w:hAnsi="Geomanist Light"/>
              <w:sz w:val="18"/>
              <w:szCs w:val="18"/>
            </w:rPr>
            <w:t>8</w:t>
          </w:r>
          <w:r w:rsidR="006219F8" w:rsidRPr="00080DA3">
            <w:rPr>
              <w:rFonts w:ascii="Geomanist Light" w:hAnsi="Geomanist Light"/>
              <w:sz w:val="18"/>
              <w:szCs w:val="18"/>
            </w:rPr>
            <w:t xml:space="preserve"> de </w:t>
          </w:r>
          <w:r w:rsidR="00C9405D">
            <w:rPr>
              <w:rFonts w:ascii="Geomanist Light" w:hAnsi="Geomanist Light"/>
              <w:sz w:val="18"/>
              <w:szCs w:val="18"/>
            </w:rPr>
            <w:t>septiembre</w:t>
          </w:r>
          <w:r w:rsidR="006219F8" w:rsidRPr="00080DA3">
            <w:rPr>
              <w:rFonts w:ascii="Geomanist Light" w:hAnsi="Geomanist Light"/>
              <w:sz w:val="18"/>
              <w:szCs w:val="18"/>
            </w:rPr>
            <w:t xml:space="preserve"> de 202</w:t>
          </w:r>
          <w:r w:rsidR="000A683E">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74CFB824"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744661F5" w14:textId="77777777" w:rsidR="006219F8" w:rsidRDefault="006219F8"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C2C6AC" w14:textId="77777777" w:rsidR="00EE5205" w:rsidRDefault="00EE5205" w:rsidP="004A1847">
      <w:pPr>
        <w:spacing w:after="0" w:line="240" w:lineRule="auto"/>
      </w:pPr>
      <w:r>
        <w:separator/>
      </w:r>
    </w:p>
  </w:footnote>
  <w:footnote w:type="continuationSeparator" w:id="0">
    <w:p w14:paraId="6F07D4C6" w14:textId="77777777" w:rsidR="00EE5205" w:rsidRDefault="00EE5205" w:rsidP="004A1847">
      <w:pPr>
        <w:spacing w:after="0" w:line="240" w:lineRule="auto"/>
      </w:pPr>
      <w:r>
        <w:continuationSeparator/>
      </w:r>
    </w:p>
  </w:footnote>
  <w:footnote w:id="1">
    <w:p w14:paraId="5FE92B4E" w14:textId="77777777" w:rsidR="00431B21" w:rsidRPr="002228EE" w:rsidRDefault="00431B21" w:rsidP="00431B21">
      <w:pPr>
        <w:pStyle w:val="Textonotapie"/>
        <w:ind w:firstLine="708"/>
        <w:jc w:val="both"/>
        <w:rPr>
          <w:rFonts w:ascii="Arial" w:hAnsi="Arial" w:cs="Arial"/>
          <w:color w:val="000000" w:themeColor="text1"/>
          <w:sz w:val="18"/>
          <w:szCs w:val="18"/>
          <w:lang w:val="es-CO"/>
        </w:rPr>
      </w:pPr>
      <w:r w:rsidRPr="002228EE">
        <w:rPr>
          <w:rStyle w:val="Refdenotaalpie"/>
          <w:rFonts w:ascii="Arial" w:hAnsi="Arial" w:cs="Arial"/>
          <w:color w:val="000000" w:themeColor="text1"/>
          <w:sz w:val="18"/>
          <w:szCs w:val="18"/>
        </w:rPr>
        <w:footnoteRef/>
      </w:r>
      <w:r w:rsidRPr="002228EE">
        <w:rPr>
          <w:rFonts w:ascii="Arial" w:hAnsi="Arial" w:cs="Arial"/>
          <w:color w:val="000000" w:themeColor="text1"/>
          <w:sz w:val="18"/>
          <w:szCs w:val="18"/>
        </w:rPr>
        <w:t xml:space="preserve"> Corte Constitucional. </w:t>
      </w:r>
      <w:r w:rsidRPr="002228EE">
        <w:rPr>
          <w:rFonts w:ascii="Arial" w:hAnsi="Arial" w:cs="Arial"/>
          <w:color w:val="000000" w:themeColor="text1"/>
          <w:sz w:val="18"/>
          <w:szCs w:val="18"/>
          <w:lang w:val="es-CO"/>
        </w:rPr>
        <w:t xml:space="preserve">Sentencia C </w:t>
      </w:r>
      <w:r w:rsidRPr="002228EE">
        <w:rPr>
          <w:rFonts w:ascii="Arial" w:eastAsia="Calibri" w:hAnsi="Arial" w:cs="Arial"/>
          <w:color w:val="000000" w:themeColor="text1"/>
          <w:sz w:val="18"/>
          <w:szCs w:val="18"/>
        </w:rPr>
        <w:t xml:space="preserve">- </w:t>
      </w:r>
      <w:r w:rsidRPr="002228EE">
        <w:rPr>
          <w:rFonts w:ascii="Arial" w:hAnsi="Arial" w:cs="Arial"/>
          <w:color w:val="000000" w:themeColor="text1"/>
          <w:sz w:val="18"/>
          <w:szCs w:val="18"/>
          <w:lang w:val="es-CO"/>
        </w:rPr>
        <w:t xml:space="preserve">259 del 11 de marzo 2008. M.P. Jaime Córdoba Triviño. </w:t>
      </w:r>
    </w:p>
  </w:footnote>
  <w:footnote w:id="2">
    <w:p w14:paraId="0A2E58E7" w14:textId="77777777" w:rsidR="00A71002" w:rsidRPr="002228EE" w:rsidRDefault="00A71002" w:rsidP="00A71002">
      <w:pPr>
        <w:pStyle w:val="Textocomentario"/>
        <w:ind w:firstLine="708"/>
        <w:jc w:val="both"/>
        <w:rPr>
          <w:rFonts w:ascii="Arial" w:hAnsi="Arial" w:cs="Arial"/>
          <w:sz w:val="18"/>
          <w:szCs w:val="18"/>
        </w:rPr>
      </w:pPr>
      <w:r w:rsidRPr="002228EE">
        <w:rPr>
          <w:rStyle w:val="Refdenotaalpie"/>
          <w:rFonts w:ascii="Arial" w:hAnsi="Arial" w:cs="Arial"/>
          <w:sz w:val="18"/>
          <w:szCs w:val="18"/>
        </w:rPr>
        <w:footnoteRef/>
      </w:r>
      <w:r w:rsidRPr="002228EE">
        <w:rPr>
          <w:rFonts w:ascii="Arial" w:hAnsi="Arial" w:cs="Arial"/>
          <w:sz w:val="18"/>
          <w:szCs w:val="18"/>
        </w:rPr>
        <w:t xml:space="preserve"> En el marco del Estado de emergencia económica, social y ecológica declarado por el Gobierno Nacional a través del Decreto 417 de 2020, a causa de la pandemia mundial desatada por el virus del Covid 19, se expidió el Decreto 434 de 2020 el cual dispone lo siguiente: “Artículo 2°. Renovación del Registro Único de Proponentes. Las personas naturales y jurídicas, nacionales o extranjeras, con domicilio en Colombia, interesadas en participar en Procesos de Contratación convocados por las entidades estatales, deben estar inscritas en el RUP, salvo las excepciones previstas de forma taxativa en la ley. Las personas inscritas en el RUP deben presentar la información para renovar su registro a más tardar el quinto día hábil del mes de julio de 2020”.</w:t>
      </w:r>
    </w:p>
  </w:footnote>
  <w:footnote w:id="3">
    <w:p w14:paraId="4B940BAC" w14:textId="77777777" w:rsidR="001E4CE0" w:rsidRPr="002228EE" w:rsidRDefault="001E4CE0" w:rsidP="001E4CE0">
      <w:pPr>
        <w:pStyle w:val="Textonotapie"/>
        <w:ind w:firstLine="708"/>
        <w:jc w:val="both"/>
        <w:rPr>
          <w:rFonts w:ascii="Arial" w:hAnsi="Arial" w:cs="Arial"/>
          <w:sz w:val="18"/>
          <w:szCs w:val="18"/>
        </w:rPr>
      </w:pPr>
      <w:r w:rsidRPr="002228EE">
        <w:rPr>
          <w:rStyle w:val="Refdenotaalpie"/>
          <w:rFonts w:ascii="Arial" w:hAnsi="Arial" w:cs="Arial"/>
          <w:sz w:val="18"/>
          <w:szCs w:val="18"/>
        </w:rPr>
        <w:footnoteRef/>
      </w:r>
      <w:r w:rsidRPr="002228EE">
        <w:rPr>
          <w:rFonts w:ascii="Arial" w:hAnsi="Arial" w:cs="Arial"/>
          <w:sz w:val="18"/>
          <w:szCs w:val="18"/>
        </w:rPr>
        <w:t xml:space="preserve"> Ley 1150 de 2007: “Artículo 5.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0990AEFD" w14:textId="77777777" w:rsidR="001E4CE0" w:rsidRDefault="001E4CE0" w:rsidP="001E4CE0">
      <w:pPr>
        <w:pStyle w:val="Textonotapie"/>
        <w:ind w:firstLine="708"/>
        <w:jc w:val="both"/>
        <w:rPr>
          <w:rFonts w:ascii="Arial" w:hAnsi="Arial" w:cs="Arial"/>
          <w:sz w:val="18"/>
          <w:szCs w:val="18"/>
        </w:rPr>
      </w:pPr>
      <w:r w:rsidRPr="002228EE">
        <w:rPr>
          <w:rFonts w:ascii="Arial" w:hAnsi="Arial" w:cs="Arial"/>
          <w:sz w:val="18"/>
          <w:szCs w:val="18"/>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0E95C9CC" w14:textId="77777777" w:rsidR="001E4CE0" w:rsidRPr="002228EE" w:rsidRDefault="001E4CE0" w:rsidP="001E4CE0">
      <w:pPr>
        <w:pStyle w:val="Textonotapie"/>
        <w:ind w:firstLine="708"/>
        <w:jc w:val="both"/>
        <w:rPr>
          <w:rFonts w:ascii="Arial" w:hAnsi="Arial" w:cs="Arial"/>
          <w:sz w:val="18"/>
          <w:szCs w:val="18"/>
        </w:rPr>
      </w:pPr>
    </w:p>
  </w:footnote>
  <w:footnote w:id="4">
    <w:p w14:paraId="236B5F31" w14:textId="77777777" w:rsidR="001E4CE0" w:rsidRDefault="001E4CE0" w:rsidP="001E4CE0">
      <w:pPr>
        <w:pStyle w:val="Textonotapie"/>
        <w:ind w:firstLine="708"/>
        <w:jc w:val="both"/>
        <w:rPr>
          <w:rFonts w:ascii="Arial" w:hAnsi="Arial" w:cs="Arial"/>
          <w:sz w:val="18"/>
          <w:szCs w:val="18"/>
        </w:rPr>
      </w:pPr>
      <w:r w:rsidRPr="002228EE">
        <w:rPr>
          <w:rStyle w:val="Refdenotaalpie"/>
          <w:rFonts w:ascii="Arial" w:hAnsi="Arial" w:cs="Arial"/>
          <w:sz w:val="18"/>
          <w:szCs w:val="18"/>
        </w:rPr>
        <w:footnoteRef/>
      </w:r>
      <w:r w:rsidRPr="002228EE">
        <w:rPr>
          <w:rFonts w:ascii="Arial" w:hAnsi="Arial" w:cs="Arial"/>
          <w:sz w:val="18"/>
          <w:szCs w:val="18"/>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692FAA99" w14:textId="77777777" w:rsidR="001E4CE0" w:rsidRPr="002228EE" w:rsidRDefault="001E4CE0" w:rsidP="001E4CE0">
      <w:pPr>
        <w:pStyle w:val="Textonotapie"/>
        <w:ind w:firstLine="708"/>
        <w:jc w:val="both"/>
        <w:rPr>
          <w:rFonts w:ascii="Arial" w:hAnsi="Arial" w:cs="Arial"/>
          <w:sz w:val="18"/>
          <w:szCs w:val="18"/>
        </w:rPr>
      </w:pPr>
    </w:p>
  </w:footnote>
  <w:footnote w:id="5">
    <w:p w14:paraId="64B09A94" w14:textId="77777777" w:rsidR="001E4CE0" w:rsidRPr="002228EE" w:rsidRDefault="001E4CE0" w:rsidP="001E4CE0">
      <w:pPr>
        <w:pStyle w:val="Textonotapie"/>
        <w:ind w:firstLine="708"/>
        <w:jc w:val="both"/>
        <w:rPr>
          <w:rFonts w:ascii="Arial" w:hAnsi="Arial" w:cs="Arial"/>
          <w:sz w:val="18"/>
          <w:szCs w:val="18"/>
        </w:rPr>
      </w:pPr>
      <w:r w:rsidRPr="002228EE">
        <w:rPr>
          <w:rStyle w:val="Refdenotaalpie"/>
          <w:rFonts w:ascii="Arial" w:hAnsi="Arial" w:cs="Arial"/>
          <w:sz w:val="18"/>
          <w:szCs w:val="18"/>
        </w:rPr>
        <w:footnoteRef/>
      </w:r>
      <w:r w:rsidRPr="002228EE">
        <w:rPr>
          <w:rFonts w:ascii="Arial" w:hAnsi="Arial" w:cs="Arial"/>
          <w:sz w:val="18"/>
          <w:szCs w:val="18"/>
        </w:rPr>
        <w:t xml:space="preserve"> Decreto 1082 de 2015: “Artículo 2.2.1.1.1.5.3. Requisitos habilitantes contenidos en el RUP. Las cámaras de comercio, con base en la información a la que hace referencia el artículo anterior, deben verificar y certificar los siguientes requisitos habilitantes:</w:t>
      </w:r>
    </w:p>
    <w:p w14:paraId="6627084A" w14:textId="77777777" w:rsidR="001E4CE0" w:rsidRPr="002228EE" w:rsidRDefault="001E4CE0" w:rsidP="001E4CE0">
      <w:pPr>
        <w:pStyle w:val="Textonotapie"/>
        <w:ind w:firstLine="708"/>
        <w:jc w:val="both"/>
        <w:rPr>
          <w:rFonts w:ascii="Arial" w:hAnsi="Arial" w:cs="Arial"/>
          <w:sz w:val="18"/>
          <w:szCs w:val="18"/>
        </w:rPr>
      </w:pPr>
      <w:r w:rsidRPr="002228EE">
        <w:rPr>
          <w:rFonts w:ascii="Arial" w:hAnsi="Arial" w:cs="Arial"/>
          <w:sz w:val="18"/>
          <w:szCs w:val="18"/>
        </w:rPr>
        <w:t>1. Experiencia – Los contratos celebrados por el interesado para cada uno de los bienes, obras y servicios que ofrecerá a las Entidades Estatales, identificados con el Clasificador de Bienes y Servicios en el tercer nivel y su valor expresado en SMMLV.</w:t>
      </w:r>
    </w:p>
    <w:p w14:paraId="0275E7A3" w14:textId="77777777" w:rsidR="001E4CE0" w:rsidRDefault="001E4CE0" w:rsidP="001E4CE0">
      <w:pPr>
        <w:pStyle w:val="Textonotapie"/>
        <w:ind w:firstLine="708"/>
        <w:jc w:val="both"/>
        <w:rPr>
          <w:rFonts w:ascii="Arial" w:hAnsi="Arial" w:cs="Arial"/>
          <w:sz w:val="18"/>
          <w:szCs w:val="18"/>
        </w:rPr>
      </w:pPr>
      <w:r w:rsidRPr="002228EE">
        <w:rPr>
          <w:rFonts w:ascii="Arial" w:hAnsi="Arial" w:cs="Arial"/>
          <w:sz w:val="18"/>
          <w:szCs w:val="18"/>
        </w:rPr>
        <w:t>[...]”.</w:t>
      </w:r>
    </w:p>
    <w:p w14:paraId="00440926" w14:textId="77777777" w:rsidR="001E4CE0" w:rsidRPr="002228EE" w:rsidRDefault="001E4CE0" w:rsidP="001E4CE0">
      <w:pPr>
        <w:pStyle w:val="Textonotapie"/>
        <w:ind w:firstLine="708"/>
        <w:jc w:val="both"/>
        <w:rPr>
          <w:rFonts w:ascii="Arial" w:hAnsi="Arial" w:cs="Arial"/>
          <w:sz w:val="18"/>
          <w:szCs w:val="18"/>
        </w:rPr>
      </w:pPr>
    </w:p>
  </w:footnote>
  <w:footnote w:id="6">
    <w:p w14:paraId="4D1F9B5F" w14:textId="77777777" w:rsidR="001E4CE0" w:rsidRPr="002228EE" w:rsidRDefault="001E4CE0" w:rsidP="001E4CE0">
      <w:pPr>
        <w:pStyle w:val="Textonotapie"/>
        <w:ind w:firstLine="708"/>
        <w:jc w:val="both"/>
        <w:rPr>
          <w:rFonts w:ascii="Arial" w:hAnsi="Arial" w:cs="Arial"/>
          <w:sz w:val="18"/>
          <w:szCs w:val="18"/>
        </w:rPr>
      </w:pPr>
      <w:r w:rsidRPr="002228EE">
        <w:rPr>
          <w:rStyle w:val="Refdenotaalpie"/>
          <w:rFonts w:ascii="Arial" w:hAnsi="Arial" w:cs="Arial"/>
          <w:sz w:val="18"/>
          <w:szCs w:val="18"/>
        </w:rPr>
        <w:footnoteRef/>
      </w:r>
      <w:r w:rsidRPr="002228EE">
        <w:rPr>
          <w:rFonts w:ascii="Arial" w:hAnsi="Arial" w:cs="Arial"/>
          <w:sz w:val="18"/>
          <w:szCs w:val="18"/>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0986E90" w14:textId="77777777" w:rsidR="001E4CE0" w:rsidRPr="002228EE" w:rsidRDefault="001E4CE0" w:rsidP="001E4CE0">
      <w:pPr>
        <w:pStyle w:val="Textonotapie"/>
        <w:ind w:firstLine="708"/>
        <w:jc w:val="both"/>
        <w:rPr>
          <w:rFonts w:ascii="Arial" w:hAnsi="Arial" w:cs="Arial"/>
          <w:sz w:val="18"/>
          <w:szCs w:val="18"/>
        </w:rPr>
      </w:pPr>
      <w:r w:rsidRPr="002228EE">
        <w:rPr>
          <w:rFonts w:ascii="Arial" w:hAnsi="Arial" w:cs="Arial"/>
          <w:sz w:val="18"/>
          <w:szCs w:val="18"/>
        </w:rPr>
        <w:t>[...]</w:t>
      </w:r>
    </w:p>
    <w:p w14:paraId="02D658D7" w14:textId="77777777" w:rsidR="001E4CE0" w:rsidRPr="002228EE" w:rsidRDefault="001E4CE0" w:rsidP="001E4CE0">
      <w:pPr>
        <w:pStyle w:val="Textonotapie"/>
        <w:ind w:firstLine="708"/>
        <w:jc w:val="both"/>
        <w:rPr>
          <w:rFonts w:ascii="Arial" w:hAnsi="Arial" w:cs="Arial"/>
          <w:sz w:val="18"/>
          <w:szCs w:val="18"/>
        </w:rPr>
      </w:pPr>
      <w:r w:rsidRPr="002228EE">
        <w:rPr>
          <w:rFonts w:ascii="Arial" w:hAnsi="Arial" w:cs="Arial"/>
          <w:sz w:val="18"/>
          <w:szCs w:val="18"/>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741AF15D" w14:textId="77777777" w:rsidR="001E4CE0" w:rsidRPr="002228EE" w:rsidRDefault="001E4CE0" w:rsidP="001E4CE0">
      <w:pPr>
        <w:pStyle w:val="Textonotapie"/>
        <w:ind w:firstLine="708"/>
        <w:jc w:val="both"/>
        <w:rPr>
          <w:rFonts w:ascii="Arial" w:hAnsi="Arial" w:cs="Arial"/>
          <w:sz w:val="18"/>
          <w:szCs w:val="18"/>
        </w:rPr>
      </w:pPr>
      <w:r w:rsidRPr="002228EE">
        <w:rPr>
          <w:rFonts w:ascii="Arial" w:hAnsi="Arial" w:cs="Arial"/>
          <w:sz w:val="18"/>
          <w:szCs w:val="18"/>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7">
    <w:p w14:paraId="48AA8502" w14:textId="77777777" w:rsidR="001E4CE0" w:rsidRPr="002228EE" w:rsidRDefault="001E4CE0" w:rsidP="001E4CE0">
      <w:pPr>
        <w:pStyle w:val="Textonotapie"/>
        <w:ind w:firstLine="708"/>
        <w:jc w:val="both"/>
        <w:rPr>
          <w:rFonts w:ascii="Arial" w:hAnsi="Arial" w:cs="Arial"/>
          <w:sz w:val="18"/>
          <w:szCs w:val="18"/>
        </w:rPr>
      </w:pPr>
      <w:r w:rsidRPr="002228EE">
        <w:rPr>
          <w:rStyle w:val="Refdenotaalpie"/>
          <w:rFonts w:ascii="Arial" w:hAnsi="Arial" w:cs="Arial"/>
          <w:sz w:val="18"/>
          <w:szCs w:val="18"/>
        </w:rPr>
        <w:footnoteRef/>
      </w:r>
      <w:r w:rsidRPr="002228EE">
        <w:rPr>
          <w:rFonts w:ascii="Arial" w:hAnsi="Arial" w:cs="Arial"/>
          <w:sz w:val="18"/>
          <w:szCs w:val="18"/>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50BD70D2" w14:textId="77777777" w:rsidR="001E4CE0" w:rsidRPr="002228EE" w:rsidRDefault="001E4CE0" w:rsidP="001E4CE0">
      <w:pPr>
        <w:pStyle w:val="Textonotapie"/>
        <w:ind w:firstLine="708"/>
        <w:jc w:val="both"/>
        <w:rPr>
          <w:rFonts w:ascii="Arial" w:hAnsi="Arial" w:cs="Arial"/>
          <w:sz w:val="18"/>
          <w:szCs w:val="18"/>
        </w:rPr>
      </w:pPr>
      <w:r w:rsidRPr="002228EE">
        <w:rPr>
          <w:rFonts w:ascii="Arial" w:hAnsi="Arial" w:cs="Arial"/>
          <w:sz w:val="18"/>
          <w:szCs w:val="18"/>
        </w:rPr>
        <w:t>1.    Si es una persona natural:</w:t>
      </w:r>
    </w:p>
    <w:p w14:paraId="0E9E12FE" w14:textId="77777777" w:rsidR="001E4CE0" w:rsidRPr="002228EE" w:rsidRDefault="001E4CE0" w:rsidP="001E4CE0">
      <w:pPr>
        <w:pStyle w:val="Textonotapie"/>
        <w:ind w:firstLine="708"/>
        <w:jc w:val="both"/>
        <w:rPr>
          <w:rFonts w:ascii="Arial" w:hAnsi="Arial" w:cs="Arial"/>
          <w:sz w:val="18"/>
          <w:szCs w:val="18"/>
        </w:rPr>
      </w:pPr>
      <w:r w:rsidRPr="002228EE">
        <w:rPr>
          <w:rFonts w:ascii="Arial" w:hAnsi="Arial" w:cs="Arial"/>
          <w:sz w:val="18"/>
          <w:szCs w:val="18"/>
        </w:rPr>
        <w:t>1.1. Bienes, obras y servicios que ofrecerá a las Entidades Estatales, identificados con el Clasificador de Bienes y Servicios en el tercer nivel.</w:t>
      </w:r>
    </w:p>
    <w:p w14:paraId="614B408F" w14:textId="77777777" w:rsidR="001E4CE0" w:rsidRDefault="001E4CE0" w:rsidP="001E4CE0">
      <w:pPr>
        <w:pStyle w:val="Textonotapie"/>
        <w:ind w:firstLine="708"/>
        <w:jc w:val="both"/>
        <w:rPr>
          <w:rFonts w:ascii="Arial" w:hAnsi="Arial" w:cs="Arial"/>
          <w:sz w:val="18"/>
          <w:szCs w:val="18"/>
        </w:rPr>
      </w:pPr>
      <w:r w:rsidRPr="002228EE">
        <w:rPr>
          <w:rFonts w:ascii="Arial" w:hAnsi="Arial" w:cs="Arial"/>
          <w:sz w:val="18"/>
          <w:szCs w:val="18"/>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1EF8A72F" w14:textId="77777777" w:rsidR="001E4CE0" w:rsidRPr="002228EE" w:rsidRDefault="001E4CE0" w:rsidP="001E4CE0">
      <w:pPr>
        <w:pStyle w:val="Textonotapie"/>
        <w:ind w:firstLine="708"/>
        <w:jc w:val="both"/>
        <w:rPr>
          <w:rFonts w:ascii="Arial" w:hAnsi="Arial" w:cs="Arial"/>
          <w:sz w:val="18"/>
          <w:szCs w:val="18"/>
        </w:rPr>
      </w:pPr>
    </w:p>
  </w:footnote>
  <w:footnote w:id="8">
    <w:p w14:paraId="44328BDE" w14:textId="77777777" w:rsidR="001E4CE0" w:rsidRPr="002228EE" w:rsidRDefault="001E4CE0" w:rsidP="001E4CE0">
      <w:pPr>
        <w:pStyle w:val="Textonotapie"/>
        <w:ind w:firstLine="708"/>
        <w:jc w:val="both"/>
        <w:rPr>
          <w:rFonts w:ascii="Arial" w:hAnsi="Arial" w:cs="Arial"/>
          <w:sz w:val="18"/>
          <w:szCs w:val="18"/>
        </w:rPr>
      </w:pPr>
      <w:r w:rsidRPr="002228EE">
        <w:rPr>
          <w:rStyle w:val="Refdenotaalpie"/>
          <w:rFonts w:ascii="Arial" w:hAnsi="Arial" w:cs="Arial"/>
          <w:sz w:val="18"/>
          <w:szCs w:val="18"/>
        </w:rPr>
        <w:footnoteRef/>
      </w:r>
      <w:r w:rsidRPr="002228EE">
        <w:rPr>
          <w:rFonts w:ascii="Arial" w:hAnsi="Arial" w:cs="Arial"/>
          <w:sz w:val="18"/>
          <w:szCs w:val="18"/>
        </w:rPr>
        <w:t xml:space="preserve"> Colombia Compra Eficiente, Manual para determinar y verificar requisitos habilitantes en los procesos de contratación: “La experiencia es el conocimiento del proponente derivado de su participación previa en actividades iguales o similares a las previstas en el objeto del contrato.</w:t>
      </w:r>
    </w:p>
    <w:p w14:paraId="622C9CA9" w14:textId="77777777" w:rsidR="001E4CE0" w:rsidRPr="002228EE" w:rsidRDefault="001E4CE0" w:rsidP="001E4CE0">
      <w:pPr>
        <w:pStyle w:val="Textonotapie"/>
        <w:ind w:firstLine="708"/>
        <w:jc w:val="both"/>
        <w:rPr>
          <w:rFonts w:ascii="Arial" w:hAnsi="Arial" w:cs="Arial"/>
          <w:sz w:val="18"/>
          <w:szCs w:val="18"/>
        </w:rPr>
      </w:pPr>
      <w:r w:rsidRPr="002228EE">
        <w:rPr>
          <w:rFonts w:ascii="Arial" w:hAnsi="Arial" w:cs="Arial"/>
          <w:sz w:val="18"/>
          <w:szCs w:val="18"/>
        </w:rPr>
        <w:t>Los proponentes deben registrar en el RUP los contratos que hayan celebrado para prestar los bienes y servicios que pretenden ofrecer a las Entidades Estatales, identificando los bienes, obras y servicios con el Clasificador de Bienes y Servicios en el tercer nivel y expresar el valor del contrato respectivo en SMMLV. El registro debe contener la experiencia adquirida de forma directa o a través de la participación en proponentes plurales. Esta experiencia se obtiene con contratantes públicos, privados, nacionales o extranjeros. No hay límite frente al número de contratos o a la fecha en la cual estos fueron celebrados.</w:t>
      </w:r>
    </w:p>
    <w:p w14:paraId="6482F781" w14:textId="77777777" w:rsidR="001E4CE0" w:rsidRPr="002228EE" w:rsidRDefault="001E4CE0" w:rsidP="001E4CE0">
      <w:pPr>
        <w:pStyle w:val="Textonotapie"/>
        <w:ind w:firstLine="708"/>
        <w:jc w:val="both"/>
        <w:rPr>
          <w:rFonts w:ascii="Arial" w:hAnsi="Arial" w:cs="Arial"/>
          <w:sz w:val="18"/>
          <w:szCs w:val="18"/>
        </w:rPr>
      </w:pPr>
      <w:r w:rsidRPr="002228EE">
        <w:rPr>
          <w:rFonts w:ascii="Arial" w:hAnsi="Arial" w:cs="Arial"/>
          <w:sz w:val="18"/>
          <w:szCs w:val="18"/>
        </w:rPr>
        <w:t>[...]</w:t>
      </w:r>
    </w:p>
    <w:p w14:paraId="0F5DF039" w14:textId="77777777" w:rsidR="001E4CE0" w:rsidRPr="002228EE" w:rsidRDefault="001E4CE0" w:rsidP="001E4CE0">
      <w:pPr>
        <w:pStyle w:val="Textonotapie"/>
        <w:ind w:firstLine="708"/>
        <w:jc w:val="both"/>
        <w:rPr>
          <w:rFonts w:ascii="Arial" w:hAnsi="Arial" w:cs="Arial"/>
          <w:sz w:val="18"/>
          <w:szCs w:val="18"/>
        </w:rPr>
      </w:pPr>
      <w:r w:rsidRPr="002228EE">
        <w:rPr>
          <w:rFonts w:ascii="Arial" w:hAnsi="Arial" w:cs="Arial"/>
          <w:sz w:val="18"/>
          <w:szCs w:val="18"/>
        </w:rPr>
        <w:t xml:space="preserve">La experiencia requerida en un Proceso de Contratación debe ser adecuada y proporcional a la naturaleza del contrato y su valor. La experiencia es adecuada cuando es afín al tipo de actividades previstas en el objeto del contrato a celebrar. Por ejemplo, si el Proceso de Contratación es para un servicio de aseo general, el proponente debe tener experiencia en el servicio de aseo, sin que sea relevante el lugar en el cual ha prestado el servicio o quién ha sido el contratante. </w:t>
      </w:r>
    </w:p>
    <w:p w14:paraId="21D584D0" w14:textId="77777777" w:rsidR="001E4CE0" w:rsidRPr="002228EE" w:rsidRDefault="001E4CE0" w:rsidP="001E4CE0">
      <w:pPr>
        <w:pStyle w:val="Textonotapie"/>
        <w:ind w:firstLine="708"/>
        <w:jc w:val="both"/>
        <w:rPr>
          <w:rFonts w:ascii="Arial" w:hAnsi="Arial" w:cs="Arial"/>
          <w:sz w:val="18"/>
          <w:szCs w:val="18"/>
        </w:rPr>
      </w:pPr>
      <w:r w:rsidRPr="002228EE">
        <w:rPr>
          <w:rFonts w:ascii="Arial" w:hAnsi="Arial" w:cs="Arial"/>
          <w:sz w:val="18"/>
          <w:szCs w:val="18"/>
        </w:rPr>
        <w:t>La experiencia es proporcional cuando tiene relación con el alcance, la cuantía y complejidad del contrato a celebrar. Por ejemplo, en un Proceso de Contratación de obra pública con un presupuesto oficial de 100 SMMLV, la experiencia exigida es proporcional si la Entidad Estatal exige que los proponentes hayan participado en Procesos de Contratación de 50 SMMLV del mismo tipo de obra.</w:t>
      </w:r>
    </w:p>
    <w:p w14:paraId="1754EBB1" w14:textId="77777777" w:rsidR="001E4CE0" w:rsidRPr="002228EE" w:rsidRDefault="001E4CE0" w:rsidP="001E4CE0">
      <w:pPr>
        <w:pStyle w:val="Textonotapie"/>
        <w:ind w:firstLine="708"/>
        <w:jc w:val="both"/>
        <w:rPr>
          <w:rFonts w:ascii="Arial" w:hAnsi="Arial" w:cs="Arial"/>
          <w:sz w:val="18"/>
          <w:szCs w:val="18"/>
        </w:rPr>
      </w:pPr>
      <w:r w:rsidRPr="002228EE">
        <w:rPr>
          <w:rFonts w:ascii="Arial" w:hAnsi="Arial" w:cs="Arial"/>
          <w:sz w:val="18"/>
          <w:szCs w:val="18"/>
        </w:rPr>
        <w:t>[...]”.</w:t>
      </w:r>
    </w:p>
  </w:footnote>
  <w:footnote w:id="9">
    <w:p w14:paraId="2FE2ADC2" w14:textId="77777777" w:rsidR="001E4CE0" w:rsidRPr="002228EE" w:rsidRDefault="001E4CE0" w:rsidP="001E4CE0">
      <w:pPr>
        <w:pStyle w:val="Textonotapie"/>
        <w:ind w:firstLine="708"/>
        <w:jc w:val="both"/>
        <w:rPr>
          <w:rFonts w:ascii="Arial" w:hAnsi="Arial" w:cs="Arial"/>
          <w:color w:val="000000" w:themeColor="text1"/>
          <w:sz w:val="18"/>
          <w:szCs w:val="18"/>
          <w:lang w:val="es-CO"/>
        </w:rPr>
      </w:pPr>
      <w:r w:rsidRPr="002228EE">
        <w:rPr>
          <w:rStyle w:val="Refdenotaalpie"/>
          <w:rFonts w:ascii="Arial" w:hAnsi="Arial" w:cs="Arial"/>
          <w:color w:val="000000" w:themeColor="text1"/>
          <w:sz w:val="18"/>
          <w:szCs w:val="18"/>
        </w:rPr>
        <w:footnoteRef/>
      </w:r>
      <w:r w:rsidRPr="002228EE">
        <w:rPr>
          <w:rFonts w:ascii="Arial" w:hAnsi="Arial" w:cs="Arial"/>
          <w:color w:val="000000" w:themeColor="text1"/>
          <w:sz w:val="18"/>
          <w:szCs w:val="18"/>
        </w:rPr>
        <w:t xml:space="preserve"> Corte Constitucional. </w:t>
      </w:r>
      <w:r w:rsidRPr="002228EE">
        <w:rPr>
          <w:rFonts w:ascii="Arial" w:hAnsi="Arial" w:cs="Arial"/>
          <w:color w:val="000000" w:themeColor="text1"/>
          <w:sz w:val="18"/>
          <w:szCs w:val="18"/>
          <w:lang w:val="es-CO"/>
        </w:rPr>
        <w:t xml:space="preserve">Sentencia C </w:t>
      </w:r>
      <w:r w:rsidRPr="002228EE">
        <w:rPr>
          <w:rFonts w:ascii="Arial" w:eastAsia="Calibri" w:hAnsi="Arial" w:cs="Arial"/>
          <w:color w:val="000000" w:themeColor="text1"/>
          <w:sz w:val="18"/>
          <w:szCs w:val="18"/>
        </w:rPr>
        <w:t xml:space="preserve">- </w:t>
      </w:r>
      <w:r w:rsidRPr="002228EE">
        <w:rPr>
          <w:rFonts w:ascii="Arial" w:hAnsi="Arial" w:cs="Arial"/>
          <w:color w:val="000000" w:themeColor="text1"/>
          <w:sz w:val="18"/>
          <w:szCs w:val="18"/>
          <w:lang w:val="es-CO"/>
        </w:rPr>
        <w:t xml:space="preserve">259 del 11 de marzo 2008. M.P. Jaime Córdoba Triviño. </w:t>
      </w:r>
    </w:p>
  </w:footnote>
  <w:footnote w:id="10">
    <w:p w14:paraId="2630B7C1" w14:textId="77777777" w:rsidR="001E4CE0" w:rsidRPr="002228EE" w:rsidRDefault="001E4CE0" w:rsidP="001E4CE0">
      <w:pPr>
        <w:pStyle w:val="Textonotapie"/>
        <w:ind w:firstLine="708"/>
        <w:jc w:val="both"/>
        <w:rPr>
          <w:rFonts w:ascii="Arial" w:hAnsi="Arial" w:cs="Arial"/>
          <w:sz w:val="18"/>
          <w:szCs w:val="18"/>
        </w:rPr>
      </w:pPr>
      <w:r w:rsidRPr="002228EE">
        <w:rPr>
          <w:rStyle w:val="Refdenotaalpie"/>
          <w:rFonts w:ascii="Arial" w:hAnsi="Arial" w:cs="Arial"/>
          <w:sz w:val="18"/>
          <w:szCs w:val="18"/>
        </w:rPr>
        <w:footnoteRef/>
      </w:r>
      <w:r w:rsidRPr="002228EE">
        <w:rPr>
          <w:rFonts w:ascii="Arial" w:hAnsi="Arial" w:cs="Arial"/>
          <w:sz w:val="18"/>
          <w:szCs w:val="18"/>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36063D82" w14:textId="77777777" w:rsidR="001E4CE0" w:rsidRPr="002228EE" w:rsidRDefault="001E4CE0" w:rsidP="001E4CE0">
      <w:pPr>
        <w:pStyle w:val="Textonotapie"/>
        <w:ind w:firstLine="708"/>
        <w:jc w:val="both"/>
        <w:rPr>
          <w:rFonts w:ascii="Arial" w:hAnsi="Arial" w:cs="Arial"/>
          <w:sz w:val="18"/>
          <w:szCs w:val="18"/>
        </w:rPr>
      </w:pPr>
      <w:r w:rsidRPr="002228EE">
        <w:rPr>
          <w:rFonts w:ascii="Arial" w:hAnsi="Arial" w:cs="Arial"/>
          <w:sz w:val="18"/>
          <w:szCs w:val="18"/>
        </w:rPr>
        <w:t>[…]</w:t>
      </w:r>
    </w:p>
    <w:p w14:paraId="28726843" w14:textId="77777777" w:rsidR="001E4CE0" w:rsidRPr="002228EE" w:rsidRDefault="001E4CE0" w:rsidP="001E4CE0">
      <w:pPr>
        <w:pStyle w:val="Textonotapie"/>
        <w:ind w:firstLine="708"/>
        <w:jc w:val="both"/>
        <w:rPr>
          <w:rFonts w:ascii="Arial" w:hAnsi="Arial" w:cs="Arial"/>
          <w:sz w:val="18"/>
          <w:szCs w:val="18"/>
        </w:rPr>
      </w:pPr>
      <w:r w:rsidRPr="002228EE">
        <w:rPr>
          <w:rFonts w:ascii="Arial" w:hAnsi="Arial" w:cs="Arial"/>
          <w:sz w:val="18"/>
          <w:szCs w:val="18"/>
          <w:shd w:val="clear" w:color="auto" w:fill="FFFFFF"/>
        </w:rPr>
        <w:t>2.1.   Bienes, obras y servicios que ofrecerá a las Entidades Estatales, identificados con el Clasificador de Bienes y Servicios en el tercer nivel</w:t>
      </w:r>
      <w:r w:rsidRPr="002228EE">
        <w:rPr>
          <w:rFonts w:ascii="Arial" w:hAnsi="Arial" w:cs="Arial"/>
          <w:sz w:val="18"/>
          <w:szCs w:val="18"/>
        </w:rPr>
        <w:t>”</w:t>
      </w:r>
      <w:r w:rsidRPr="002228EE">
        <w:rPr>
          <w:rFonts w:ascii="Arial" w:hAnsi="Arial" w:cs="Arial"/>
          <w:sz w:val="18"/>
          <w:szCs w:val="18"/>
          <w:shd w:val="clear" w:color="auto" w:fill="FFFFFF"/>
        </w:rPr>
        <w:t>.</w:t>
      </w:r>
    </w:p>
  </w:footnote>
  <w:footnote w:id="11">
    <w:p w14:paraId="4816A97B" w14:textId="77777777" w:rsidR="001E4CE0" w:rsidRPr="002228EE" w:rsidRDefault="001E4CE0" w:rsidP="001E4CE0">
      <w:pPr>
        <w:pStyle w:val="Textonotapie"/>
        <w:ind w:firstLine="708"/>
        <w:jc w:val="both"/>
        <w:rPr>
          <w:rFonts w:ascii="Arial" w:hAnsi="Arial" w:cs="Arial"/>
          <w:sz w:val="18"/>
          <w:szCs w:val="18"/>
        </w:rPr>
      </w:pPr>
      <w:r w:rsidRPr="002228EE">
        <w:rPr>
          <w:rStyle w:val="Refdenotaalpie"/>
          <w:rFonts w:ascii="Arial" w:hAnsi="Arial" w:cs="Arial"/>
          <w:sz w:val="18"/>
          <w:szCs w:val="18"/>
        </w:rPr>
        <w:footnoteRef/>
      </w:r>
      <w:r w:rsidRPr="002228EE">
        <w:rPr>
          <w:rFonts w:ascii="Arial" w:hAnsi="Arial" w:cs="Arial"/>
          <w:sz w:val="18"/>
          <w:szCs w:val="18"/>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2870B70A" w14:textId="77777777" w:rsidR="001E4CE0" w:rsidRPr="002228EE" w:rsidRDefault="001E4CE0" w:rsidP="001E4CE0">
      <w:pPr>
        <w:pStyle w:val="Textonotapie"/>
        <w:ind w:firstLine="708"/>
        <w:jc w:val="both"/>
        <w:rPr>
          <w:rFonts w:ascii="Arial" w:hAnsi="Arial" w:cs="Arial"/>
          <w:sz w:val="18"/>
          <w:szCs w:val="18"/>
        </w:rPr>
      </w:pPr>
      <w:r w:rsidRPr="002228EE">
        <w:rPr>
          <w:rFonts w:ascii="Arial" w:hAnsi="Arial" w:cs="Arial"/>
          <w:sz w:val="18"/>
          <w:szCs w:val="18"/>
        </w:rPr>
        <w:t>[…]</w:t>
      </w:r>
    </w:p>
    <w:p w14:paraId="072ACEEE" w14:textId="77777777" w:rsidR="001E4CE0" w:rsidRPr="002228EE" w:rsidRDefault="001E4CE0" w:rsidP="001E4CE0">
      <w:pPr>
        <w:pStyle w:val="Textonotapie"/>
        <w:ind w:firstLine="708"/>
        <w:jc w:val="both"/>
        <w:rPr>
          <w:rFonts w:ascii="Arial" w:hAnsi="Arial" w:cs="Arial"/>
          <w:sz w:val="18"/>
          <w:szCs w:val="18"/>
          <w:lang w:val="es-CO"/>
        </w:rPr>
      </w:pPr>
      <w:r w:rsidRPr="002228EE">
        <w:rPr>
          <w:rFonts w:ascii="Arial" w:hAnsi="Arial" w:cs="Arial"/>
          <w:sz w:val="18"/>
          <w:szCs w:val="18"/>
          <w:shd w:val="clear" w:color="auto" w:fill="FFFFFF"/>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Si la constitución del interesado es menor a 3 años, puede acreditar la experiencia de sus accionistas, socios o constituyentes</w:t>
      </w:r>
      <w:r w:rsidRPr="002228EE">
        <w:rPr>
          <w:rFonts w:ascii="Arial" w:hAnsi="Arial" w:cs="Arial"/>
          <w:sz w:val="18"/>
          <w:szCs w:val="18"/>
        </w:rPr>
        <w:t>”.</w:t>
      </w:r>
    </w:p>
  </w:footnote>
  <w:footnote w:id="12">
    <w:p w14:paraId="10514134" w14:textId="77777777" w:rsidR="001E4CE0" w:rsidRDefault="001E4CE0" w:rsidP="001E4CE0">
      <w:pPr>
        <w:pStyle w:val="Textonotapie"/>
        <w:ind w:firstLine="708"/>
        <w:jc w:val="both"/>
        <w:rPr>
          <w:rFonts w:ascii="Arial" w:hAnsi="Arial" w:cs="Arial"/>
          <w:sz w:val="18"/>
          <w:szCs w:val="18"/>
        </w:rPr>
      </w:pPr>
      <w:r w:rsidRPr="002228EE">
        <w:rPr>
          <w:rStyle w:val="Refdenotaalpie"/>
          <w:rFonts w:ascii="Arial" w:hAnsi="Arial" w:cs="Arial"/>
          <w:sz w:val="18"/>
          <w:szCs w:val="18"/>
        </w:rPr>
        <w:footnoteRef/>
      </w:r>
      <w:r w:rsidRPr="002228EE">
        <w:rPr>
          <w:rFonts w:ascii="Arial" w:hAnsi="Arial" w:cs="Arial"/>
          <w:sz w:val="18"/>
          <w:szCs w:val="18"/>
        </w:rPr>
        <w:t xml:space="preserve"> Al respecto, consultar, entre otros: los conceptos identificados con radicado No. 4201912000007512 del 3 de noviembre de 2019, 4201913000007182 del 18 de octubre de 2019 y 4201913000006797 del 3 de octubre de 2019. </w:t>
      </w:r>
    </w:p>
    <w:p w14:paraId="183F18F9" w14:textId="77777777" w:rsidR="001E4CE0" w:rsidRPr="002228EE" w:rsidRDefault="001E4CE0" w:rsidP="001E4CE0">
      <w:pPr>
        <w:pStyle w:val="Textonotapie"/>
        <w:ind w:firstLine="708"/>
        <w:jc w:val="both"/>
        <w:rPr>
          <w:rFonts w:ascii="Arial" w:hAnsi="Arial" w:cs="Arial"/>
          <w:sz w:val="18"/>
          <w:szCs w:val="18"/>
          <w:lang w:val="es-CO"/>
        </w:rPr>
      </w:pPr>
    </w:p>
  </w:footnote>
  <w:footnote w:id="13">
    <w:p w14:paraId="47ADBAF5" w14:textId="77777777" w:rsidR="001E4CE0" w:rsidRPr="002228EE" w:rsidRDefault="001E4CE0" w:rsidP="001E4CE0">
      <w:pPr>
        <w:pStyle w:val="Textocomentario"/>
        <w:ind w:firstLine="708"/>
        <w:jc w:val="both"/>
        <w:rPr>
          <w:rFonts w:ascii="Arial" w:hAnsi="Arial" w:cs="Arial"/>
          <w:sz w:val="18"/>
          <w:szCs w:val="18"/>
        </w:rPr>
      </w:pPr>
      <w:r w:rsidRPr="002228EE">
        <w:rPr>
          <w:rStyle w:val="Refdenotaalpie"/>
          <w:rFonts w:ascii="Arial" w:hAnsi="Arial" w:cs="Arial"/>
          <w:sz w:val="18"/>
          <w:szCs w:val="18"/>
        </w:rPr>
        <w:footnoteRef/>
      </w:r>
      <w:r w:rsidRPr="002228EE">
        <w:rPr>
          <w:rFonts w:ascii="Arial" w:hAnsi="Arial" w:cs="Arial"/>
          <w:sz w:val="18"/>
          <w:szCs w:val="18"/>
        </w:rPr>
        <w:t xml:space="preserve"> En el marco del Estado de emergencia económica, social y ecológica declarado por el Gobierno Nacional a través del Decreto 417 de 2020, a causa de la pandemia mundial desatada por el virus del Covid 19, se expidió el Decreto 434 de 2020 el cual dispone lo siguiente: “Artículo 2°. Renovación del Registro Único de Proponentes. Las personas naturales y jurídicas, nacionales o extranjeras, con domicilio en Colombia, interesadas en participar en Procesos de Contratación convocados por las entidades estatales, deben estar inscritas en el RUP, salvo las excepciones previstas de forma taxativa en la ley. Las personas inscritas en el RUP deben presentar la información para renovar su registro a más tardar el quinto día hábil del mes de julio de 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1F6A5" w14:textId="0DD925F5" w:rsidR="00906B3C" w:rsidRPr="007566FE" w:rsidRDefault="00906B3C" w:rsidP="008614E5">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eastAsia="es-CO"/>
      </w:rPr>
      <w:drawing>
        <wp:anchor distT="0" distB="0" distL="0" distR="0" simplePos="0" relativeHeight="251657728" behindDoc="1" locked="0" layoutInCell="1" hidden="0" allowOverlap="1" wp14:anchorId="30C7B261" wp14:editId="79A0A4A2">
          <wp:simplePos x="0" y="0"/>
          <wp:positionH relativeFrom="margin">
            <wp:align>right</wp:align>
          </wp:positionH>
          <wp:positionV relativeFrom="paragraph">
            <wp:posOffset>-80564</wp:posOffset>
          </wp:positionV>
          <wp:extent cx="1657350" cy="676275"/>
          <wp:effectExtent l="0" t="0" r="0" b="9525"/>
          <wp:wrapNone/>
          <wp:docPr id="1"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00B01ED6" w:rsidRPr="007566FE">
      <w:rPr>
        <w:rFonts w:ascii="Geomanist Light" w:hAnsi="Geomanist Light"/>
        <w:color w:val="002060"/>
        <w:sz w:val="16"/>
        <w:szCs w:val="16"/>
      </w:rPr>
      <w:t>FORMATO PQRSD</w:t>
    </w:r>
  </w:p>
  <w:p w14:paraId="077278A1" w14:textId="2CAB5B77" w:rsidR="007566FE" w:rsidRPr="007566FE" w:rsidRDefault="007566FE" w:rsidP="00793403">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4FC5262" w14:textId="51A6AFCE" w:rsidR="00793403" w:rsidRDefault="00793403" w:rsidP="008614E5">
    <w:pPr>
      <w:spacing w:after="0"/>
      <w:rPr>
        <w:rFonts w:ascii="Geomanist Light" w:eastAsia="Geo" w:hAnsi="Geomanist Light" w:cs="Geo"/>
        <w:sz w:val="16"/>
        <w:szCs w:val="16"/>
        <w:lang w:eastAsia="es-CO"/>
      </w:rPr>
    </w:pPr>
    <w:r w:rsidRPr="00367110">
      <w:rPr>
        <w:rFonts w:eastAsia="Arial Nova" w:cs="Arial Nova"/>
        <w:noProof/>
        <w:color w:val="000000"/>
        <w:lang w:eastAsia="es-CO"/>
      </w:rPr>
      <w:drawing>
        <wp:anchor distT="0" distB="0" distL="114300" distR="114300" simplePos="0" relativeHeight="251668992" behindDoc="1" locked="0" layoutInCell="1" allowOverlap="1" wp14:anchorId="0E3A0652" wp14:editId="21BFF5E2">
          <wp:simplePos x="0" y="0"/>
          <wp:positionH relativeFrom="margin">
            <wp:align>left</wp:align>
          </wp:positionH>
          <wp:positionV relativeFrom="paragraph">
            <wp:posOffset>141605</wp:posOffset>
          </wp:positionV>
          <wp:extent cx="3238500" cy="76200"/>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007566FE" w:rsidRPr="007566FE">
      <w:rPr>
        <w:rFonts w:ascii="Geomanist Light" w:eastAsia="Geo" w:hAnsi="Geomanist Light" w:cs="Geo"/>
        <w:b/>
        <w:color w:val="000000"/>
        <w:sz w:val="16"/>
        <w:szCs w:val="16"/>
        <w:lang w:eastAsia="es-CO"/>
      </w:rPr>
      <w:t>Versión</w:t>
    </w:r>
    <w:r w:rsidR="007566FE" w:rsidRPr="007566FE">
      <w:rPr>
        <w:rFonts w:ascii="Geomanist Light" w:eastAsia="Arial Nova" w:hAnsi="Geomanist Light" w:cs="Arial Nova"/>
        <w:b/>
        <w:color w:val="000000"/>
        <w:sz w:val="16"/>
        <w:szCs w:val="16"/>
        <w:lang w:eastAsia="es-CO"/>
      </w:rPr>
      <w:t xml:space="preserve">: </w:t>
    </w:r>
    <w:r w:rsidR="007566FE" w:rsidRPr="007566FE">
      <w:rPr>
        <w:rFonts w:ascii="Geomanist Light" w:eastAsia="Geo" w:hAnsi="Geomanist Light" w:cs="Geo"/>
        <w:sz w:val="16"/>
        <w:szCs w:val="16"/>
        <w:lang w:eastAsia="es-CO"/>
      </w:rPr>
      <w:t>0</w:t>
    </w:r>
    <w:r w:rsidR="00C9405D">
      <w:rPr>
        <w:rFonts w:ascii="Geomanist Light" w:eastAsia="Geo" w:hAnsi="Geomanist Light" w:cs="Geo"/>
        <w:sz w:val="16"/>
        <w:szCs w:val="16"/>
        <w:lang w:eastAsia="es-CO"/>
      </w:rPr>
      <w:t>2</w:t>
    </w:r>
    <w:r w:rsidR="007566FE" w:rsidRPr="007566FE">
      <w:rPr>
        <w:rFonts w:ascii="Geomanist Light" w:eastAsia="Geo" w:hAnsi="Geomanist Light" w:cs="Geo"/>
        <w:sz w:val="16"/>
        <w:szCs w:val="16"/>
        <w:lang w:eastAsia="es-CO"/>
      </w:rPr>
      <w:t xml:space="preserve"> DEL </w:t>
    </w:r>
    <w:r w:rsidR="00C9405D">
      <w:rPr>
        <w:rFonts w:ascii="Geomanist Light" w:eastAsia="Geo" w:hAnsi="Geomanist Light" w:cs="Geo"/>
        <w:sz w:val="16"/>
        <w:szCs w:val="16"/>
        <w:lang w:eastAsia="es-CO"/>
      </w:rPr>
      <w:t>28</w:t>
    </w:r>
    <w:r w:rsidR="007566FE" w:rsidRPr="007566FE">
      <w:rPr>
        <w:rFonts w:ascii="Geomanist Light" w:eastAsia="Geo" w:hAnsi="Geomanist Light" w:cs="Geo"/>
        <w:sz w:val="16"/>
        <w:szCs w:val="16"/>
        <w:lang w:eastAsia="es-CO"/>
      </w:rPr>
      <w:t xml:space="preserve"> DE </w:t>
    </w:r>
    <w:r w:rsidR="00C9405D">
      <w:rPr>
        <w:rFonts w:ascii="Geomanist Light" w:eastAsia="Geo" w:hAnsi="Geomanist Light" w:cs="Geo"/>
        <w:sz w:val="16"/>
        <w:szCs w:val="16"/>
        <w:lang w:eastAsia="es-CO"/>
      </w:rPr>
      <w:t>SEPTIEMBRE</w:t>
    </w:r>
    <w:r w:rsidR="007566FE" w:rsidRPr="007566FE">
      <w:rPr>
        <w:rFonts w:ascii="Geomanist Light" w:eastAsia="Geo" w:hAnsi="Geomanist Light" w:cs="Geo"/>
        <w:sz w:val="16"/>
        <w:szCs w:val="16"/>
        <w:lang w:eastAsia="es-CO"/>
      </w:rPr>
      <w:t xml:space="preserve"> DE 2022</w:t>
    </w:r>
  </w:p>
  <w:p w14:paraId="60144E94" w14:textId="49B57718" w:rsidR="00793403" w:rsidRPr="007566FE" w:rsidRDefault="00793403" w:rsidP="008614E5">
    <w:pPr>
      <w:spacing w:after="0"/>
      <w:rPr>
        <w:rFonts w:ascii="Geomanist Light" w:hAnsi="Geomanist Light"/>
        <w:color w:val="002060"/>
        <w:sz w:val="16"/>
        <w:szCs w:val="16"/>
      </w:rPr>
    </w:pPr>
  </w:p>
  <w:p w14:paraId="1D9AD711" w14:textId="5827BD16" w:rsidR="004A1847" w:rsidRPr="00906B3C" w:rsidRDefault="004A1847"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E411A"/>
    <w:multiLevelType w:val="multilevel"/>
    <w:tmpl w:val="A754E2EC"/>
    <w:lvl w:ilvl="0">
      <w:start w:val="14"/>
      <w:numFmt w:val="decimal"/>
      <w:lvlText w:val="%1"/>
      <w:lvlJc w:val="left"/>
      <w:pPr>
        <w:ind w:left="810" w:hanging="550"/>
      </w:pPr>
    </w:lvl>
    <w:lvl w:ilvl="1">
      <w:start w:val="5"/>
      <w:numFmt w:val="decimal"/>
      <w:lvlText w:val="%1.%2."/>
      <w:lvlJc w:val="left"/>
      <w:pPr>
        <w:ind w:left="810" w:hanging="550"/>
      </w:pPr>
      <w:rPr>
        <w:rFonts w:ascii="Arial" w:eastAsia="Arial" w:hAnsi="Arial" w:cs="Arial"/>
        <w:color w:val="000000"/>
        <w:sz w:val="22"/>
        <w:szCs w:val="22"/>
      </w:rPr>
    </w:lvl>
    <w:lvl w:ilvl="2">
      <w:start w:val="1"/>
      <w:numFmt w:val="bullet"/>
      <w:lvlText w:val="•"/>
      <w:lvlJc w:val="left"/>
      <w:pPr>
        <w:ind w:left="2484" w:hanging="550"/>
      </w:pPr>
    </w:lvl>
    <w:lvl w:ilvl="3">
      <w:start w:val="1"/>
      <w:numFmt w:val="bullet"/>
      <w:lvlText w:val="•"/>
      <w:lvlJc w:val="left"/>
      <w:pPr>
        <w:ind w:left="3316" w:hanging="550"/>
      </w:pPr>
    </w:lvl>
    <w:lvl w:ilvl="4">
      <w:start w:val="1"/>
      <w:numFmt w:val="bullet"/>
      <w:lvlText w:val="•"/>
      <w:lvlJc w:val="left"/>
      <w:pPr>
        <w:ind w:left="4148" w:hanging="550"/>
      </w:pPr>
    </w:lvl>
    <w:lvl w:ilvl="5">
      <w:start w:val="1"/>
      <w:numFmt w:val="bullet"/>
      <w:lvlText w:val="•"/>
      <w:lvlJc w:val="left"/>
      <w:pPr>
        <w:ind w:left="4980" w:hanging="550"/>
      </w:pPr>
    </w:lvl>
    <w:lvl w:ilvl="6">
      <w:start w:val="1"/>
      <w:numFmt w:val="bullet"/>
      <w:lvlText w:val="•"/>
      <w:lvlJc w:val="left"/>
      <w:pPr>
        <w:ind w:left="5812" w:hanging="550"/>
      </w:pPr>
    </w:lvl>
    <w:lvl w:ilvl="7">
      <w:start w:val="1"/>
      <w:numFmt w:val="bullet"/>
      <w:lvlText w:val="•"/>
      <w:lvlJc w:val="left"/>
      <w:pPr>
        <w:ind w:left="6644" w:hanging="550"/>
      </w:pPr>
    </w:lvl>
    <w:lvl w:ilvl="8">
      <w:start w:val="1"/>
      <w:numFmt w:val="bullet"/>
      <w:lvlText w:val="•"/>
      <w:lvlJc w:val="left"/>
      <w:pPr>
        <w:ind w:left="7476" w:hanging="550"/>
      </w:pPr>
    </w:lvl>
  </w:abstractNum>
  <w:abstractNum w:abstractNumId="1" w15:restartNumberingAfterBreak="0">
    <w:nsid w:val="01C06310"/>
    <w:multiLevelType w:val="multilevel"/>
    <w:tmpl w:val="37481E2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6983231C"/>
    <w:multiLevelType w:val="multilevel"/>
    <w:tmpl w:val="7B38B1F6"/>
    <w:lvl w:ilvl="0">
      <w:start w:val="1"/>
      <w:numFmt w:val="decimal"/>
      <w:lvlText w:val="%1."/>
      <w:lvlJc w:val="left"/>
      <w:pPr>
        <w:ind w:left="720" w:hanging="360"/>
      </w:pPr>
      <w:rPr>
        <w:rFonts w:hint="default"/>
        <w:b/>
        <w:bCs/>
      </w:rPr>
    </w:lvl>
    <w:lvl w:ilvl="1">
      <w:start w:val="2"/>
      <w:numFmt w:val="decimal"/>
      <w:isLgl/>
      <w:lvlText w:val="%1.%2."/>
      <w:lvlJc w:val="left"/>
      <w:pPr>
        <w:ind w:left="1287" w:hanging="720"/>
      </w:pPr>
      <w:rPr>
        <w:rFonts w:hint="default"/>
        <w:b/>
        <w:bCs/>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3816" w:hanging="1800"/>
      </w:pPr>
      <w:rPr>
        <w:rFonts w:hint="default"/>
      </w:rPr>
    </w:lvl>
  </w:abstractNum>
  <w:num w:numId="1" w16cid:durableId="500395951">
    <w:abstractNumId w:val="4"/>
  </w:num>
  <w:num w:numId="2" w16cid:durableId="1408454564">
    <w:abstractNumId w:val="2"/>
  </w:num>
  <w:num w:numId="3" w16cid:durableId="1897622572">
    <w:abstractNumId w:val="3"/>
  </w:num>
  <w:num w:numId="4" w16cid:durableId="787093055">
    <w:abstractNumId w:val="0"/>
  </w:num>
  <w:num w:numId="5" w16cid:durableId="1607691286">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4438989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783"/>
    <w:rsid w:val="000265AB"/>
    <w:rsid w:val="00032280"/>
    <w:rsid w:val="00040E26"/>
    <w:rsid w:val="00080D58"/>
    <w:rsid w:val="00080F5B"/>
    <w:rsid w:val="00083334"/>
    <w:rsid w:val="000956CF"/>
    <w:rsid w:val="00097C30"/>
    <w:rsid w:val="000A683E"/>
    <w:rsid w:val="000B3005"/>
    <w:rsid w:val="000B4FC7"/>
    <w:rsid w:val="000B5392"/>
    <w:rsid w:val="000C1F38"/>
    <w:rsid w:val="000C6BCF"/>
    <w:rsid w:val="000E381E"/>
    <w:rsid w:val="001009BD"/>
    <w:rsid w:val="00110AE2"/>
    <w:rsid w:val="0011595A"/>
    <w:rsid w:val="001220C5"/>
    <w:rsid w:val="001267F7"/>
    <w:rsid w:val="00127233"/>
    <w:rsid w:val="00130999"/>
    <w:rsid w:val="00132B1E"/>
    <w:rsid w:val="001456AA"/>
    <w:rsid w:val="00156E63"/>
    <w:rsid w:val="00161F71"/>
    <w:rsid w:val="00164D81"/>
    <w:rsid w:val="001814EF"/>
    <w:rsid w:val="00182F14"/>
    <w:rsid w:val="00183CB9"/>
    <w:rsid w:val="001A1011"/>
    <w:rsid w:val="001A3EF8"/>
    <w:rsid w:val="001A48D0"/>
    <w:rsid w:val="001B5517"/>
    <w:rsid w:val="001B6FB1"/>
    <w:rsid w:val="001C64A7"/>
    <w:rsid w:val="001C6FFD"/>
    <w:rsid w:val="001E4CE0"/>
    <w:rsid w:val="00234D6C"/>
    <w:rsid w:val="002356E5"/>
    <w:rsid w:val="0023785C"/>
    <w:rsid w:val="00251EFB"/>
    <w:rsid w:val="002525A7"/>
    <w:rsid w:val="002653C1"/>
    <w:rsid w:val="002951A0"/>
    <w:rsid w:val="002A2524"/>
    <w:rsid w:val="002A64FD"/>
    <w:rsid w:val="002B0BB6"/>
    <w:rsid w:val="002E2FD3"/>
    <w:rsid w:val="00310B9B"/>
    <w:rsid w:val="003158A6"/>
    <w:rsid w:val="00341C48"/>
    <w:rsid w:val="003616A8"/>
    <w:rsid w:val="0036461C"/>
    <w:rsid w:val="00367884"/>
    <w:rsid w:val="00373D69"/>
    <w:rsid w:val="00376755"/>
    <w:rsid w:val="00377547"/>
    <w:rsid w:val="0039439C"/>
    <w:rsid w:val="003A73BE"/>
    <w:rsid w:val="003B69E7"/>
    <w:rsid w:val="003C013B"/>
    <w:rsid w:val="003C30DE"/>
    <w:rsid w:val="003C3178"/>
    <w:rsid w:val="003D0F4D"/>
    <w:rsid w:val="003D13A2"/>
    <w:rsid w:val="003E65DA"/>
    <w:rsid w:val="003F58A1"/>
    <w:rsid w:val="00410DD6"/>
    <w:rsid w:val="00411FAF"/>
    <w:rsid w:val="004134C9"/>
    <w:rsid w:val="00414E85"/>
    <w:rsid w:val="004172C7"/>
    <w:rsid w:val="00420632"/>
    <w:rsid w:val="00431B21"/>
    <w:rsid w:val="0045338D"/>
    <w:rsid w:val="00462A59"/>
    <w:rsid w:val="00484B0C"/>
    <w:rsid w:val="004A1847"/>
    <w:rsid w:val="004A32F0"/>
    <w:rsid w:val="004B5EAB"/>
    <w:rsid w:val="004B6B0E"/>
    <w:rsid w:val="004D2067"/>
    <w:rsid w:val="004D25B3"/>
    <w:rsid w:val="00503A91"/>
    <w:rsid w:val="00511405"/>
    <w:rsid w:val="0052361E"/>
    <w:rsid w:val="00526E9D"/>
    <w:rsid w:val="00530757"/>
    <w:rsid w:val="00546DC5"/>
    <w:rsid w:val="00547A74"/>
    <w:rsid w:val="00556445"/>
    <w:rsid w:val="005566E8"/>
    <w:rsid w:val="005746AB"/>
    <w:rsid w:val="00582F8C"/>
    <w:rsid w:val="005A5593"/>
    <w:rsid w:val="005C4534"/>
    <w:rsid w:val="005D65C8"/>
    <w:rsid w:val="005E7FEC"/>
    <w:rsid w:val="006219F8"/>
    <w:rsid w:val="0063053F"/>
    <w:rsid w:val="006345E5"/>
    <w:rsid w:val="00636BFB"/>
    <w:rsid w:val="00642EF9"/>
    <w:rsid w:val="00672092"/>
    <w:rsid w:val="006815F4"/>
    <w:rsid w:val="00681FDB"/>
    <w:rsid w:val="006911B2"/>
    <w:rsid w:val="00692DB0"/>
    <w:rsid w:val="0069613D"/>
    <w:rsid w:val="006A7DAD"/>
    <w:rsid w:val="006D70BA"/>
    <w:rsid w:val="006F03D0"/>
    <w:rsid w:val="00711A81"/>
    <w:rsid w:val="0072174B"/>
    <w:rsid w:val="00735706"/>
    <w:rsid w:val="007364EA"/>
    <w:rsid w:val="00745197"/>
    <w:rsid w:val="00755B2F"/>
    <w:rsid w:val="007566FE"/>
    <w:rsid w:val="00767D48"/>
    <w:rsid w:val="0077144B"/>
    <w:rsid w:val="00793403"/>
    <w:rsid w:val="007978C5"/>
    <w:rsid w:val="007B4E36"/>
    <w:rsid w:val="007F0B92"/>
    <w:rsid w:val="007F2B7C"/>
    <w:rsid w:val="00820F5B"/>
    <w:rsid w:val="00821640"/>
    <w:rsid w:val="00833452"/>
    <w:rsid w:val="008436EF"/>
    <w:rsid w:val="00855CA1"/>
    <w:rsid w:val="008614E5"/>
    <w:rsid w:val="008678EB"/>
    <w:rsid w:val="00881236"/>
    <w:rsid w:val="00881C10"/>
    <w:rsid w:val="008839A3"/>
    <w:rsid w:val="008B09AE"/>
    <w:rsid w:val="008D214A"/>
    <w:rsid w:val="008D5C70"/>
    <w:rsid w:val="008E0272"/>
    <w:rsid w:val="008F28A3"/>
    <w:rsid w:val="009025AF"/>
    <w:rsid w:val="00904F23"/>
    <w:rsid w:val="00906B3C"/>
    <w:rsid w:val="00911E71"/>
    <w:rsid w:val="009128BE"/>
    <w:rsid w:val="00924093"/>
    <w:rsid w:val="009539D0"/>
    <w:rsid w:val="00960FBB"/>
    <w:rsid w:val="00996DAC"/>
    <w:rsid w:val="009E0830"/>
    <w:rsid w:val="009F33F2"/>
    <w:rsid w:val="00A02CC0"/>
    <w:rsid w:val="00A06675"/>
    <w:rsid w:val="00A07532"/>
    <w:rsid w:val="00A1085C"/>
    <w:rsid w:val="00A309E2"/>
    <w:rsid w:val="00A42E93"/>
    <w:rsid w:val="00A656A5"/>
    <w:rsid w:val="00A71002"/>
    <w:rsid w:val="00A8066E"/>
    <w:rsid w:val="00AA4B8A"/>
    <w:rsid w:val="00AA6BF7"/>
    <w:rsid w:val="00AB78D7"/>
    <w:rsid w:val="00AD7195"/>
    <w:rsid w:val="00AF0FF3"/>
    <w:rsid w:val="00B01ED6"/>
    <w:rsid w:val="00B06D09"/>
    <w:rsid w:val="00B43949"/>
    <w:rsid w:val="00B771A9"/>
    <w:rsid w:val="00B809BB"/>
    <w:rsid w:val="00B8248A"/>
    <w:rsid w:val="00B82EE9"/>
    <w:rsid w:val="00BB2812"/>
    <w:rsid w:val="00BB76F1"/>
    <w:rsid w:val="00BC06C4"/>
    <w:rsid w:val="00BC7B16"/>
    <w:rsid w:val="00BD11A2"/>
    <w:rsid w:val="00BD7AAE"/>
    <w:rsid w:val="00BE5B01"/>
    <w:rsid w:val="00BF163A"/>
    <w:rsid w:val="00C30461"/>
    <w:rsid w:val="00C52F46"/>
    <w:rsid w:val="00C754BE"/>
    <w:rsid w:val="00C80C38"/>
    <w:rsid w:val="00C87BE0"/>
    <w:rsid w:val="00C9405D"/>
    <w:rsid w:val="00CC1B26"/>
    <w:rsid w:val="00CC2C94"/>
    <w:rsid w:val="00CC7052"/>
    <w:rsid w:val="00CD1EAE"/>
    <w:rsid w:val="00CD284F"/>
    <w:rsid w:val="00CD7E60"/>
    <w:rsid w:val="00CE1D75"/>
    <w:rsid w:val="00CF23AA"/>
    <w:rsid w:val="00D01921"/>
    <w:rsid w:val="00D02236"/>
    <w:rsid w:val="00D13FF3"/>
    <w:rsid w:val="00D16FF5"/>
    <w:rsid w:val="00D20FA5"/>
    <w:rsid w:val="00D45D70"/>
    <w:rsid w:val="00D56498"/>
    <w:rsid w:val="00D66108"/>
    <w:rsid w:val="00D752B7"/>
    <w:rsid w:val="00D94850"/>
    <w:rsid w:val="00DA1854"/>
    <w:rsid w:val="00DA59B3"/>
    <w:rsid w:val="00DD1848"/>
    <w:rsid w:val="00DD6456"/>
    <w:rsid w:val="00DD666C"/>
    <w:rsid w:val="00E20894"/>
    <w:rsid w:val="00E26B7C"/>
    <w:rsid w:val="00E2796D"/>
    <w:rsid w:val="00E625CD"/>
    <w:rsid w:val="00E65389"/>
    <w:rsid w:val="00E7364D"/>
    <w:rsid w:val="00EB3C91"/>
    <w:rsid w:val="00EB4D61"/>
    <w:rsid w:val="00EB66DA"/>
    <w:rsid w:val="00EC569B"/>
    <w:rsid w:val="00ED33C3"/>
    <w:rsid w:val="00ED7907"/>
    <w:rsid w:val="00EE0012"/>
    <w:rsid w:val="00EE5205"/>
    <w:rsid w:val="00EE6ED5"/>
    <w:rsid w:val="00EF34DE"/>
    <w:rsid w:val="00F03E02"/>
    <w:rsid w:val="00F07585"/>
    <w:rsid w:val="00F268E3"/>
    <w:rsid w:val="00F270EB"/>
    <w:rsid w:val="00F56CEA"/>
    <w:rsid w:val="00F605F2"/>
    <w:rsid w:val="00F6471D"/>
    <w:rsid w:val="00F76AFC"/>
    <w:rsid w:val="00F83AA7"/>
    <w:rsid w:val="00F906C4"/>
    <w:rsid w:val="00FA24ED"/>
    <w:rsid w:val="00FA26FE"/>
    <w:rsid w:val="00FA5516"/>
    <w:rsid w:val="00FA7AB0"/>
    <w:rsid w:val="00FB242C"/>
    <w:rsid w:val="00FD2F1A"/>
    <w:rsid w:val="00FD4FB1"/>
    <w:rsid w:val="00FD6F73"/>
    <w:rsid w:val="00FF4F7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1D75"/>
  </w:style>
  <w:style w:type="paragraph" w:styleId="Ttulo1">
    <w:name w:val="heading 1"/>
    <w:basedOn w:val="Normal"/>
    <w:link w:val="Ttulo1Car"/>
    <w:uiPriority w:val="9"/>
    <w:qFormat/>
    <w:rsid w:val="00904F23"/>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904F23"/>
    <w:rPr>
      <w:rFonts w:ascii="Arial" w:eastAsia="Arial" w:hAnsi="Arial" w:cs="Arial"/>
      <w:b/>
      <w:bCs/>
      <w:lang w:val="es-ES"/>
    </w:rPr>
  </w:style>
  <w:style w:type="character" w:styleId="Refdecomentario">
    <w:name w:val="annotation reference"/>
    <w:basedOn w:val="Fuentedeprrafopredeter"/>
    <w:uiPriority w:val="99"/>
    <w:semiHidden/>
    <w:unhideWhenUsed/>
    <w:rsid w:val="00511405"/>
    <w:rPr>
      <w:sz w:val="16"/>
      <w:szCs w:val="16"/>
    </w:rPr>
  </w:style>
  <w:style w:type="paragraph" w:styleId="Textocomentario">
    <w:name w:val="annotation text"/>
    <w:basedOn w:val="Normal"/>
    <w:link w:val="TextocomentarioCar"/>
    <w:uiPriority w:val="99"/>
    <w:unhideWhenUsed/>
    <w:rsid w:val="00511405"/>
    <w:pPr>
      <w:spacing w:line="240" w:lineRule="auto"/>
    </w:pPr>
    <w:rPr>
      <w:sz w:val="20"/>
      <w:szCs w:val="20"/>
    </w:rPr>
  </w:style>
  <w:style w:type="character" w:customStyle="1" w:styleId="TextocomentarioCar">
    <w:name w:val="Texto comentario Car"/>
    <w:basedOn w:val="Fuentedeprrafopredeter"/>
    <w:link w:val="Textocomentario"/>
    <w:uiPriority w:val="99"/>
    <w:rsid w:val="00511405"/>
    <w:rPr>
      <w:sz w:val="20"/>
      <w:szCs w:val="20"/>
    </w:rPr>
  </w:style>
  <w:style w:type="paragraph" w:styleId="Revisin">
    <w:name w:val="Revision"/>
    <w:hidden/>
    <w:uiPriority w:val="99"/>
    <w:semiHidden/>
    <w:rsid w:val="00511405"/>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511405"/>
    <w:rPr>
      <w:b/>
      <w:bCs/>
    </w:rPr>
  </w:style>
  <w:style w:type="character" w:customStyle="1" w:styleId="AsuntodelcomentarioCar">
    <w:name w:val="Asunto del comentario Car"/>
    <w:basedOn w:val="TextocomentarioCar"/>
    <w:link w:val="Asuntodelcomentario"/>
    <w:uiPriority w:val="99"/>
    <w:semiHidden/>
    <w:rsid w:val="00511405"/>
    <w:rPr>
      <w:b/>
      <w:bCs/>
      <w:sz w:val="20"/>
      <w:szCs w:val="20"/>
    </w:rPr>
  </w:style>
  <w:style w:type="paragraph" w:styleId="NormalWeb">
    <w:name w:val="Normal (Web)"/>
    <w:basedOn w:val="Normal"/>
    <w:link w:val="NormalWebCar"/>
    <w:uiPriority w:val="99"/>
    <w:unhideWhenUsed/>
    <w:rsid w:val="004172C7"/>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rsid w:val="004172C7"/>
    <w:rPr>
      <w:rFonts w:ascii="Times New Roman" w:eastAsia="Times New Roman" w:hAnsi="Times New Roman" w:cs="Times New Roman"/>
      <w:sz w:val="24"/>
      <w:szCs w:val="24"/>
      <w:lang w:eastAsia="es-CO"/>
    </w:rPr>
  </w:style>
  <w:style w:type="character" w:styleId="Hipervnculo">
    <w:name w:val="Hyperlink"/>
    <w:basedOn w:val="Fuentedeprrafopredeter"/>
    <w:uiPriority w:val="99"/>
    <w:unhideWhenUsed/>
    <w:rsid w:val="00B82EE9"/>
    <w:rPr>
      <w:color w:val="0563C1" w:themeColor="hyperlink"/>
      <w:u w:val="single"/>
    </w:rPr>
  </w:style>
  <w:style w:type="character" w:styleId="Mencinsinresolver">
    <w:name w:val="Unresolved Mention"/>
    <w:basedOn w:val="Fuentedeprrafopredeter"/>
    <w:uiPriority w:val="99"/>
    <w:semiHidden/>
    <w:unhideWhenUsed/>
    <w:rsid w:val="00B82EE9"/>
    <w:rPr>
      <w:color w:val="605E5C"/>
      <w:shd w:val="clear" w:color="auto" w:fill="E1DFDD"/>
    </w:rPr>
  </w:style>
  <w:style w:type="character" w:styleId="Textoennegrita">
    <w:name w:val="Strong"/>
    <w:basedOn w:val="Fuentedeprrafopredeter"/>
    <w:uiPriority w:val="22"/>
    <w:qFormat/>
    <w:rsid w:val="00156E63"/>
    <w:rPr>
      <w:b/>
      <w:bCs/>
    </w:rPr>
  </w:style>
  <w:style w:type="paragraph" w:customStyle="1" w:styleId="Appelnotedebasde">
    <w:name w:val="Appel note de bas de..."/>
    <w:basedOn w:val="Normal"/>
    <w:link w:val="Refdenotaalpie"/>
    <w:uiPriority w:val="99"/>
    <w:rsid w:val="00156E63"/>
    <w:pPr>
      <w:spacing w:line="240" w:lineRule="exact"/>
    </w:pPr>
    <w:rPr>
      <w:vertAlign w:val="superscript"/>
    </w:rPr>
  </w:style>
  <w:style w:type="paragraph" w:customStyle="1" w:styleId="paragraph">
    <w:name w:val="paragraph"/>
    <w:basedOn w:val="Normal"/>
    <w:rsid w:val="00FF4F72"/>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FF4F72"/>
  </w:style>
  <w:style w:type="character" w:customStyle="1" w:styleId="superscript">
    <w:name w:val="superscript"/>
    <w:basedOn w:val="Fuentedeprrafopredeter"/>
    <w:rsid w:val="00FF4F72"/>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C3178"/>
    <w:rPr>
      <w:rFonts w:ascii="Geomanist Light" w:hAnsi="Geomanist Light"/>
      <w:lang w:val="es-ES"/>
    </w:rPr>
  </w:style>
  <w:style w:type="paragraph" w:styleId="Textoindependiente">
    <w:name w:val="Body Text"/>
    <w:basedOn w:val="Normal"/>
    <w:link w:val="TextoindependienteCar"/>
    <w:uiPriority w:val="99"/>
    <w:semiHidden/>
    <w:unhideWhenUsed/>
    <w:rsid w:val="00C80C38"/>
    <w:pPr>
      <w:spacing w:after="120" w:line="240" w:lineRule="auto"/>
    </w:pPr>
    <w:rPr>
      <w:sz w:val="24"/>
      <w:lang w:val="es-MX"/>
    </w:rPr>
  </w:style>
  <w:style w:type="character" w:customStyle="1" w:styleId="TextoindependienteCar">
    <w:name w:val="Texto independiente Car"/>
    <w:basedOn w:val="Fuentedeprrafopredeter"/>
    <w:link w:val="Textoindependiente"/>
    <w:uiPriority w:val="99"/>
    <w:semiHidden/>
    <w:rsid w:val="00C80C38"/>
    <w:rPr>
      <w:sz w:val="24"/>
      <w:lang w:val="es-MX"/>
    </w:rPr>
  </w:style>
  <w:style w:type="paragraph" w:customStyle="1" w:styleId="InviasNormal">
    <w:name w:val="Invias Normal"/>
    <w:basedOn w:val="Normal"/>
    <w:link w:val="InviasNormalCar"/>
    <w:qFormat/>
    <w:rsid w:val="002E2FD3"/>
    <w:pPr>
      <w:tabs>
        <w:tab w:val="left" w:pos="-142"/>
      </w:tabs>
      <w:autoSpaceDE w:val="0"/>
      <w:autoSpaceDN w:val="0"/>
      <w:adjustRightInd w:val="0"/>
      <w:spacing w:before="120" w:after="240" w:line="240" w:lineRule="auto"/>
    </w:pPr>
    <w:rPr>
      <w:rFonts w:ascii="Arial Narrow" w:eastAsia="Times New Roman" w:hAnsi="Arial Narrow" w:cs="Times New Roman"/>
      <w:sz w:val="24"/>
      <w:szCs w:val="24"/>
      <w:lang w:val="x-none" w:eastAsia="es-ES"/>
    </w:rPr>
  </w:style>
  <w:style w:type="character" w:customStyle="1" w:styleId="InviasNormalCar">
    <w:name w:val="Invias Normal Car"/>
    <w:link w:val="InviasNormal"/>
    <w:locked/>
    <w:rsid w:val="002E2FD3"/>
    <w:rPr>
      <w:rFonts w:ascii="Arial Narrow" w:eastAsia="Times New Roman" w:hAnsi="Arial Narrow" w:cs="Times New Roman"/>
      <w:sz w:val="24"/>
      <w:szCs w:val="24"/>
      <w:lang w:val="x-none"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6835826">
      <w:bodyDiv w:val="1"/>
      <w:marLeft w:val="0"/>
      <w:marRight w:val="0"/>
      <w:marTop w:val="0"/>
      <w:marBottom w:val="0"/>
      <w:divBdr>
        <w:top w:val="none" w:sz="0" w:space="0" w:color="auto"/>
        <w:left w:val="none" w:sz="0" w:space="0" w:color="auto"/>
        <w:bottom w:val="none" w:sz="0" w:space="0" w:color="auto"/>
        <w:right w:val="none" w:sz="0" w:space="0" w:color="auto"/>
      </w:divBdr>
    </w:div>
    <w:div w:id="851408552">
      <w:bodyDiv w:val="1"/>
      <w:marLeft w:val="0"/>
      <w:marRight w:val="0"/>
      <w:marTop w:val="0"/>
      <w:marBottom w:val="0"/>
      <w:divBdr>
        <w:top w:val="none" w:sz="0" w:space="0" w:color="auto"/>
        <w:left w:val="none" w:sz="0" w:space="0" w:color="auto"/>
        <w:bottom w:val="none" w:sz="0" w:space="0" w:color="auto"/>
        <w:right w:val="none" w:sz="0" w:space="0" w:color="auto"/>
      </w:divBdr>
      <w:divsChild>
        <w:div w:id="627399762">
          <w:marLeft w:val="0"/>
          <w:marRight w:val="0"/>
          <w:marTop w:val="0"/>
          <w:marBottom w:val="0"/>
          <w:divBdr>
            <w:top w:val="none" w:sz="0" w:space="0" w:color="auto"/>
            <w:left w:val="none" w:sz="0" w:space="0" w:color="auto"/>
            <w:bottom w:val="none" w:sz="0" w:space="0" w:color="auto"/>
            <w:right w:val="none" w:sz="0" w:space="0" w:color="auto"/>
          </w:divBdr>
        </w:div>
        <w:div w:id="1209993370">
          <w:marLeft w:val="0"/>
          <w:marRight w:val="0"/>
          <w:marTop w:val="0"/>
          <w:marBottom w:val="0"/>
          <w:divBdr>
            <w:top w:val="none" w:sz="0" w:space="0" w:color="auto"/>
            <w:left w:val="none" w:sz="0" w:space="0" w:color="auto"/>
            <w:bottom w:val="none" w:sz="0" w:space="0" w:color="auto"/>
            <w:right w:val="none" w:sz="0" w:space="0" w:color="auto"/>
          </w:divBdr>
        </w:div>
        <w:div w:id="357901190">
          <w:marLeft w:val="0"/>
          <w:marRight w:val="0"/>
          <w:marTop w:val="0"/>
          <w:marBottom w:val="0"/>
          <w:divBdr>
            <w:top w:val="none" w:sz="0" w:space="0" w:color="auto"/>
            <w:left w:val="none" w:sz="0" w:space="0" w:color="auto"/>
            <w:bottom w:val="none" w:sz="0" w:space="0" w:color="auto"/>
            <w:right w:val="none" w:sz="0" w:space="0" w:color="auto"/>
          </w:divBdr>
        </w:div>
        <w:div w:id="1784959185">
          <w:marLeft w:val="0"/>
          <w:marRight w:val="0"/>
          <w:marTop w:val="0"/>
          <w:marBottom w:val="0"/>
          <w:divBdr>
            <w:top w:val="none" w:sz="0" w:space="0" w:color="auto"/>
            <w:left w:val="none" w:sz="0" w:space="0" w:color="auto"/>
            <w:bottom w:val="none" w:sz="0" w:space="0" w:color="auto"/>
            <w:right w:val="none" w:sz="0" w:space="0" w:color="auto"/>
          </w:divBdr>
        </w:div>
        <w:div w:id="1926843582">
          <w:marLeft w:val="0"/>
          <w:marRight w:val="0"/>
          <w:marTop w:val="0"/>
          <w:marBottom w:val="0"/>
          <w:divBdr>
            <w:top w:val="none" w:sz="0" w:space="0" w:color="auto"/>
            <w:left w:val="none" w:sz="0" w:space="0" w:color="auto"/>
            <w:bottom w:val="none" w:sz="0" w:space="0" w:color="auto"/>
            <w:right w:val="none" w:sz="0" w:space="0" w:color="auto"/>
          </w:divBdr>
        </w:div>
        <w:div w:id="636450584">
          <w:marLeft w:val="0"/>
          <w:marRight w:val="0"/>
          <w:marTop w:val="0"/>
          <w:marBottom w:val="0"/>
          <w:divBdr>
            <w:top w:val="none" w:sz="0" w:space="0" w:color="auto"/>
            <w:left w:val="none" w:sz="0" w:space="0" w:color="auto"/>
            <w:bottom w:val="none" w:sz="0" w:space="0" w:color="auto"/>
            <w:right w:val="none" w:sz="0" w:space="0" w:color="auto"/>
          </w:divBdr>
        </w:div>
        <w:div w:id="2094551357">
          <w:marLeft w:val="0"/>
          <w:marRight w:val="0"/>
          <w:marTop w:val="0"/>
          <w:marBottom w:val="0"/>
          <w:divBdr>
            <w:top w:val="none" w:sz="0" w:space="0" w:color="auto"/>
            <w:left w:val="none" w:sz="0" w:space="0" w:color="auto"/>
            <w:bottom w:val="none" w:sz="0" w:space="0" w:color="auto"/>
            <w:right w:val="none" w:sz="0" w:space="0" w:color="auto"/>
          </w:divBdr>
        </w:div>
        <w:div w:id="1028332105">
          <w:marLeft w:val="0"/>
          <w:marRight w:val="0"/>
          <w:marTop w:val="0"/>
          <w:marBottom w:val="0"/>
          <w:divBdr>
            <w:top w:val="none" w:sz="0" w:space="0" w:color="auto"/>
            <w:left w:val="none" w:sz="0" w:space="0" w:color="auto"/>
            <w:bottom w:val="none" w:sz="0" w:space="0" w:color="auto"/>
            <w:right w:val="none" w:sz="0" w:space="0" w:color="auto"/>
          </w:divBdr>
        </w:div>
        <w:div w:id="1920750936">
          <w:marLeft w:val="0"/>
          <w:marRight w:val="0"/>
          <w:marTop w:val="0"/>
          <w:marBottom w:val="0"/>
          <w:divBdr>
            <w:top w:val="none" w:sz="0" w:space="0" w:color="auto"/>
            <w:left w:val="none" w:sz="0" w:space="0" w:color="auto"/>
            <w:bottom w:val="none" w:sz="0" w:space="0" w:color="auto"/>
            <w:right w:val="none" w:sz="0" w:space="0" w:color="auto"/>
          </w:divBdr>
        </w:div>
        <w:div w:id="784884806">
          <w:marLeft w:val="0"/>
          <w:marRight w:val="0"/>
          <w:marTop w:val="0"/>
          <w:marBottom w:val="0"/>
          <w:divBdr>
            <w:top w:val="none" w:sz="0" w:space="0" w:color="auto"/>
            <w:left w:val="none" w:sz="0" w:space="0" w:color="auto"/>
            <w:bottom w:val="none" w:sz="0" w:space="0" w:color="auto"/>
            <w:right w:val="none" w:sz="0" w:space="0" w:color="auto"/>
          </w:divBdr>
        </w:div>
        <w:div w:id="83721823">
          <w:marLeft w:val="0"/>
          <w:marRight w:val="0"/>
          <w:marTop w:val="0"/>
          <w:marBottom w:val="0"/>
          <w:divBdr>
            <w:top w:val="none" w:sz="0" w:space="0" w:color="auto"/>
            <w:left w:val="none" w:sz="0" w:space="0" w:color="auto"/>
            <w:bottom w:val="none" w:sz="0" w:space="0" w:color="auto"/>
            <w:right w:val="none" w:sz="0" w:space="0" w:color="auto"/>
          </w:divBdr>
        </w:div>
        <w:div w:id="962419705">
          <w:marLeft w:val="0"/>
          <w:marRight w:val="0"/>
          <w:marTop w:val="0"/>
          <w:marBottom w:val="0"/>
          <w:divBdr>
            <w:top w:val="none" w:sz="0" w:space="0" w:color="auto"/>
            <w:left w:val="none" w:sz="0" w:space="0" w:color="auto"/>
            <w:bottom w:val="none" w:sz="0" w:space="0" w:color="auto"/>
            <w:right w:val="none" w:sz="0" w:space="0" w:color="auto"/>
          </w:divBdr>
        </w:div>
        <w:div w:id="190076769">
          <w:marLeft w:val="0"/>
          <w:marRight w:val="0"/>
          <w:marTop w:val="0"/>
          <w:marBottom w:val="0"/>
          <w:divBdr>
            <w:top w:val="none" w:sz="0" w:space="0" w:color="auto"/>
            <w:left w:val="none" w:sz="0" w:space="0" w:color="auto"/>
            <w:bottom w:val="none" w:sz="0" w:space="0" w:color="auto"/>
            <w:right w:val="none" w:sz="0" w:space="0" w:color="auto"/>
          </w:divBdr>
        </w:div>
        <w:div w:id="969046629">
          <w:marLeft w:val="0"/>
          <w:marRight w:val="0"/>
          <w:marTop w:val="0"/>
          <w:marBottom w:val="0"/>
          <w:divBdr>
            <w:top w:val="none" w:sz="0" w:space="0" w:color="auto"/>
            <w:left w:val="none" w:sz="0" w:space="0" w:color="auto"/>
            <w:bottom w:val="none" w:sz="0" w:space="0" w:color="auto"/>
            <w:right w:val="none" w:sz="0" w:space="0" w:color="auto"/>
          </w:divBdr>
        </w:div>
        <w:div w:id="536552332">
          <w:marLeft w:val="0"/>
          <w:marRight w:val="0"/>
          <w:marTop w:val="0"/>
          <w:marBottom w:val="0"/>
          <w:divBdr>
            <w:top w:val="none" w:sz="0" w:space="0" w:color="auto"/>
            <w:left w:val="none" w:sz="0" w:space="0" w:color="auto"/>
            <w:bottom w:val="none" w:sz="0" w:space="0" w:color="auto"/>
            <w:right w:val="none" w:sz="0" w:space="0" w:color="auto"/>
          </w:divBdr>
        </w:div>
        <w:div w:id="944265911">
          <w:marLeft w:val="0"/>
          <w:marRight w:val="0"/>
          <w:marTop w:val="0"/>
          <w:marBottom w:val="0"/>
          <w:divBdr>
            <w:top w:val="none" w:sz="0" w:space="0" w:color="auto"/>
            <w:left w:val="none" w:sz="0" w:space="0" w:color="auto"/>
            <w:bottom w:val="none" w:sz="0" w:space="0" w:color="auto"/>
            <w:right w:val="none" w:sz="0" w:space="0" w:color="auto"/>
          </w:divBdr>
        </w:div>
        <w:div w:id="1217160444">
          <w:marLeft w:val="0"/>
          <w:marRight w:val="0"/>
          <w:marTop w:val="0"/>
          <w:marBottom w:val="0"/>
          <w:divBdr>
            <w:top w:val="none" w:sz="0" w:space="0" w:color="auto"/>
            <w:left w:val="none" w:sz="0" w:space="0" w:color="auto"/>
            <w:bottom w:val="none" w:sz="0" w:space="0" w:color="auto"/>
            <w:right w:val="none" w:sz="0" w:space="0" w:color="auto"/>
          </w:divBdr>
        </w:div>
      </w:divsChild>
    </w:div>
    <w:div w:id="988945638">
      <w:bodyDiv w:val="1"/>
      <w:marLeft w:val="0"/>
      <w:marRight w:val="0"/>
      <w:marTop w:val="0"/>
      <w:marBottom w:val="0"/>
      <w:divBdr>
        <w:top w:val="none" w:sz="0" w:space="0" w:color="auto"/>
        <w:left w:val="none" w:sz="0" w:space="0" w:color="auto"/>
        <w:bottom w:val="none" w:sz="0" w:space="0" w:color="auto"/>
        <w:right w:val="none" w:sz="0" w:space="0" w:color="auto"/>
      </w:divBdr>
      <w:divsChild>
        <w:div w:id="136647903">
          <w:marLeft w:val="0"/>
          <w:marRight w:val="0"/>
          <w:marTop w:val="0"/>
          <w:marBottom w:val="0"/>
          <w:divBdr>
            <w:top w:val="none" w:sz="0" w:space="0" w:color="auto"/>
            <w:left w:val="none" w:sz="0" w:space="0" w:color="auto"/>
            <w:bottom w:val="none" w:sz="0" w:space="0" w:color="auto"/>
            <w:right w:val="none" w:sz="0" w:space="0" w:color="auto"/>
          </w:divBdr>
        </w:div>
        <w:div w:id="950939711">
          <w:marLeft w:val="0"/>
          <w:marRight w:val="0"/>
          <w:marTop w:val="0"/>
          <w:marBottom w:val="0"/>
          <w:divBdr>
            <w:top w:val="none" w:sz="0" w:space="0" w:color="auto"/>
            <w:left w:val="none" w:sz="0" w:space="0" w:color="auto"/>
            <w:bottom w:val="none" w:sz="0" w:space="0" w:color="auto"/>
            <w:right w:val="none" w:sz="0" w:space="0" w:color="auto"/>
          </w:divBdr>
        </w:div>
        <w:div w:id="110823565">
          <w:marLeft w:val="0"/>
          <w:marRight w:val="0"/>
          <w:marTop w:val="0"/>
          <w:marBottom w:val="0"/>
          <w:divBdr>
            <w:top w:val="none" w:sz="0" w:space="0" w:color="auto"/>
            <w:left w:val="none" w:sz="0" w:space="0" w:color="auto"/>
            <w:bottom w:val="none" w:sz="0" w:space="0" w:color="auto"/>
            <w:right w:val="none" w:sz="0" w:space="0" w:color="auto"/>
          </w:divBdr>
        </w:div>
        <w:div w:id="165248995">
          <w:marLeft w:val="0"/>
          <w:marRight w:val="0"/>
          <w:marTop w:val="0"/>
          <w:marBottom w:val="0"/>
          <w:divBdr>
            <w:top w:val="none" w:sz="0" w:space="0" w:color="auto"/>
            <w:left w:val="none" w:sz="0" w:space="0" w:color="auto"/>
            <w:bottom w:val="none" w:sz="0" w:space="0" w:color="auto"/>
            <w:right w:val="none" w:sz="0" w:space="0" w:color="auto"/>
          </w:divBdr>
        </w:div>
        <w:div w:id="1200360031">
          <w:marLeft w:val="0"/>
          <w:marRight w:val="0"/>
          <w:marTop w:val="0"/>
          <w:marBottom w:val="0"/>
          <w:divBdr>
            <w:top w:val="none" w:sz="0" w:space="0" w:color="auto"/>
            <w:left w:val="none" w:sz="0" w:space="0" w:color="auto"/>
            <w:bottom w:val="none" w:sz="0" w:space="0" w:color="auto"/>
            <w:right w:val="none" w:sz="0" w:space="0" w:color="auto"/>
          </w:divBdr>
        </w:div>
        <w:div w:id="1905021750">
          <w:marLeft w:val="0"/>
          <w:marRight w:val="0"/>
          <w:marTop w:val="0"/>
          <w:marBottom w:val="0"/>
          <w:divBdr>
            <w:top w:val="none" w:sz="0" w:space="0" w:color="auto"/>
            <w:left w:val="none" w:sz="0" w:space="0" w:color="auto"/>
            <w:bottom w:val="none" w:sz="0" w:space="0" w:color="auto"/>
            <w:right w:val="none" w:sz="0" w:space="0" w:color="auto"/>
          </w:divBdr>
        </w:div>
        <w:div w:id="1380276587">
          <w:marLeft w:val="0"/>
          <w:marRight w:val="0"/>
          <w:marTop w:val="0"/>
          <w:marBottom w:val="0"/>
          <w:divBdr>
            <w:top w:val="none" w:sz="0" w:space="0" w:color="auto"/>
            <w:left w:val="none" w:sz="0" w:space="0" w:color="auto"/>
            <w:bottom w:val="none" w:sz="0" w:space="0" w:color="auto"/>
            <w:right w:val="none" w:sz="0" w:space="0" w:color="auto"/>
          </w:divBdr>
        </w:div>
        <w:div w:id="254290724">
          <w:marLeft w:val="0"/>
          <w:marRight w:val="0"/>
          <w:marTop w:val="0"/>
          <w:marBottom w:val="0"/>
          <w:divBdr>
            <w:top w:val="none" w:sz="0" w:space="0" w:color="auto"/>
            <w:left w:val="none" w:sz="0" w:space="0" w:color="auto"/>
            <w:bottom w:val="none" w:sz="0" w:space="0" w:color="auto"/>
            <w:right w:val="none" w:sz="0" w:space="0" w:color="auto"/>
          </w:divBdr>
        </w:div>
        <w:div w:id="440303050">
          <w:marLeft w:val="0"/>
          <w:marRight w:val="0"/>
          <w:marTop w:val="0"/>
          <w:marBottom w:val="0"/>
          <w:divBdr>
            <w:top w:val="none" w:sz="0" w:space="0" w:color="auto"/>
            <w:left w:val="none" w:sz="0" w:space="0" w:color="auto"/>
            <w:bottom w:val="none" w:sz="0" w:space="0" w:color="auto"/>
            <w:right w:val="none" w:sz="0" w:space="0" w:color="auto"/>
          </w:divBdr>
        </w:div>
        <w:div w:id="1787770018">
          <w:marLeft w:val="0"/>
          <w:marRight w:val="0"/>
          <w:marTop w:val="0"/>
          <w:marBottom w:val="0"/>
          <w:divBdr>
            <w:top w:val="none" w:sz="0" w:space="0" w:color="auto"/>
            <w:left w:val="none" w:sz="0" w:space="0" w:color="auto"/>
            <w:bottom w:val="none" w:sz="0" w:space="0" w:color="auto"/>
            <w:right w:val="none" w:sz="0" w:space="0" w:color="auto"/>
          </w:divBdr>
        </w:div>
        <w:div w:id="1043871559">
          <w:marLeft w:val="0"/>
          <w:marRight w:val="0"/>
          <w:marTop w:val="0"/>
          <w:marBottom w:val="0"/>
          <w:divBdr>
            <w:top w:val="none" w:sz="0" w:space="0" w:color="auto"/>
            <w:left w:val="none" w:sz="0" w:space="0" w:color="auto"/>
            <w:bottom w:val="none" w:sz="0" w:space="0" w:color="auto"/>
            <w:right w:val="none" w:sz="0" w:space="0" w:color="auto"/>
          </w:divBdr>
        </w:div>
        <w:div w:id="987368528">
          <w:marLeft w:val="0"/>
          <w:marRight w:val="0"/>
          <w:marTop w:val="0"/>
          <w:marBottom w:val="0"/>
          <w:divBdr>
            <w:top w:val="none" w:sz="0" w:space="0" w:color="auto"/>
            <w:left w:val="none" w:sz="0" w:space="0" w:color="auto"/>
            <w:bottom w:val="none" w:sz="0" w:space="0" w:color="auto"/>
            <w:right w:val="none" w:sz="0" w:space="0" w:color="auto"/>
          </w:divBdr>
        </w:div>
        <w:div w:id="1522358227">
          <w:marLeft w:val="0"/>
          <w:marRight w:val="0"/>
          <w:marTop w:val="0"/>
          <w:marBottom w:val="0"/>
          <w:divBdr>
            <w:top w:val="none" w:sz="0" w:space="0" w:color="auto"/>
            <w:left w:val="none" w:sz="0" w:space="0" w:color="auto"/>
            <w:bottom w:val="none" w:sz="0" w:space="0" w:color="auto"/>
            <w:right w:val="none" w:sz="0" w:space="0" w:color="auto"/>
          </w:divBdr>
        </w:div>
        <w:div w:id="1600485557">
          <w:marLeft w:val="0"/>
          <w:marRight w:val="0"/>
          <w:marTop w:val="0"/>
          <w:marBottom w:val="0"/>
          <w:divBdr>
            <w:top w:val="none" w:sz="0" w:space="0" w:color="auto"/>
            <w:left w:val="none" w:sz="0" w:space="0" w:color="auto"/>
            <w:bottom w:val="none" w:sz="0" w:space="0" w:color="auto"/>
            <w:right w:val="none" w:sz="0" w:space="0" w:color="auto"/>
          </w:divBdr>
        </w:div>
        <w:div w:id="1981692094">
          <w:marLeft w:val="0"/>
          <w:marRight w:val="0"/>
          <w:marTop w:val="0"/>
          <w:marBottom w:val="0"/>
          <w:divBdr>
            <w:top w:val="none" w:sz="0" w:space="0" w:color="auto"/>
            <w:left w:val="none" w:sz="0" w:space="0" w:color="auto"/>
            <w:bottom w:val="none" w:sz="0" w:space="0" w:color="auto"/>
            <w:right w:val="none" w:sz="0" w:space="0" w:color="auto"/>
          </w:divBdr>
        </w:div>
        <w:div w:id="2022735778">
          <w:marLeft w:val="0"/>
          <w:marRight w:val="0"/>
          <w:marTop w:val="0"/>
          <w:marBottom w:val="0"/>
          <w:divBdr>
            <w:top w:val="none" w:sz="0" w:space="0" w:color="auto"/>
            <w:left w:val="none" w:sz="0" w:space="0" w:color="auto"/>
            <w:bottom w:val="none" w:sz="0" w:space="0" w:color="auto"/>
            <w:right w:val="none" w:sz="0" w:space="0" w:color="auto"/>
          </w:divBdr>
        </w:div>
        <w:div w:id="130052472">
          <w:marLeft w:val="0"/>
          <w:marRight w:val="0"/>
          <w:marTop w:val="0"/>
          <w:marBottom w:val="0"/>
          <w:divBdr>
            <w:top w:val="none" w:sz="0" w:space="0" w:color="auto"/>
            <w:left w:val="none" w:sz="0" w:space="0" w:color="auto"/>
            <w:bottom w:val="none" w:sz="0" w:space="0" w:color="auto"/>
            <w:right w:val="none" w:sz="0" w:space="0" w:color="auto"/>
          </w:divBdr>
        </w:div>
      </w:divsChild>
    </w:div>
    <w:div w:id="1037852816">
      <w:bodyDiv w:val="1"/>
      <w:marLeft w:val="0"/>
      <w:marRight w:val="0"/>
      <w:marTop w:val="0"/>
      <w:marBottom w:val="0"/>
      <w:divBdr>
        <w:top w:val="none" w:sz="0" w:space="0" w:color="auto"/>
        <w:left w:val="none" w:sz="0" w:space="0" w:color="auto"/>
        <w:bottom w:val="none" w:sz="0" w:space="0" w:color="auto"/>
        <w:right w:val="none" w:sz="0" w:space="0" w:color="auto"/>
      </w:divBdr>
      <w:divsChild>
        <w:div w:id="1495612407">
          <w:marLeft w:val="0"/>
          <w:marRight w:val="0"/>
          <w:marTop w:val="0"/>
          <w:marBottom w:val="0"/>
          <w:divBdr>
            <w:top w:val="none" w:sz="0" w:space="0" w:color="auto"/>
            <w:left w:val="none" w:sz="0" w:space="0" w:color="auto"/>
            <w:bottom w:val="none" w:sz="0" w:space="0" w:color="auto"/>
            <w:right w:val="none" w:sz="0" w:space="0" w:color="auto"/>
          </w:divBdr>
        </w:div>
        <w:div w:id="477574450">
          <w:marLeft w:val="0"/>
          <w:marRight w:val="0"/>
          <w:marTop w:val="0"/>
          <w:marBottom w:val="0"/>
          <w:divBdr>
            <w:top w:val="none" w:sz="0" w:space="0" w:color="auto"/>
            <w:left w:val="none" w:sz="0" w:space="0" w:color="auto"/>
            <w:bottom w:val="none" w:sz="0" w:space="0" w:color="auto"/>
            <w:right w:val="none" w:sz="0" w:space="0" w:color="auto"/>
          </w:divBdr>
        </w:div>
        <w:div w:id="1739092182">
          <w:marLeft w:val="0"/>
          <w:marRight w:val="0"/>
          <w:marTop w:val="0"/>
          <w:marBottom w:val="0"/>
          <w:divBdr>
            <w:top w:val="none" w:sz="0" w:space="0" w:color="auto"/>
            <w:left w:val="none" w:sz="0" w:space="0" w:color="auto"/>
            <w:bottom w:val="none" w:sz="0" w:space="0" w:color="auto"/>
            <w:right w:val="none" w:sz="0" w:space="0" w:color="auto"/>
          </w:divBdr>
        </w:div>
        <w:div w:id="1755977980">
          <w:marLeft w:val="0"/>
          <w:marRight w:val="0"/>
          <w:marTop w:val="0"/>
          <w:marBottom w:val="0"/>
          <w:divBdr>
            <w:top w:val="none" w:sz="0" w:space="0" w:color="auto"/>
            <w:left w:val="none" w:sz="0" w:space="0" w:color="auto"/>
            <w:bottom w:val="none" w:sz="0" w:space="0" w:color="auto"/>
            <w:right w:val="none" w:sz="0" w:space="0" w:color="auto"/>
          </w:divBdr>
        </w:div>
        <w:div w:id="366754610">
          <w:marLeft w:val="0"/>
          <w:marRight w:val="0"/>
          <w:marTop w:val="0"/>
          <w:marBottom w:val="0"/>
          <w:divBdr>
            <w:top w:val="none" w:sz="0" w:space="0" w:color="auto"/>
            <w:left w:val="none" w:sz="0" w:space="0" w:color="auto"/>
            <w:bottom w:val="none" w:sz="0" w:space="0" w:color="auto"/>
            <w:right w:val="none" w:sz="0" w:space="0" w:color="auto"/>
          </w:divBdr>
        </w:div>
        <w:div w:id="2044592268">
          <w:marLeft w:val="0"/>
          <w:marRight w:val="0"/>
          <w:marTop w:val="0"/>
          <w:marBottom w:val="0"/>
          <w:divBdr>
            <w:top w:val="none" w:sz="0" w:space="0" w:color="auto"/>
            <w:left w:val="none" w:sz="0" w:space="0" w:color="auto"/>
            <w:bottom w:val="none" w:sz="0" w:space="0" w:color="auto"/>
            <w:right w:val="none" w:sz="0" w:space="0" w:color="auto"/>
          </w:divBdr>
        </w:div>
        <w:div w:id="1933204246">
          <w:marLeft w:val="0"/>
          <w:marRight w:val="0"/>
          <w:marTop w:val="0"/>
          <w:marBottom w:val="0"/>
          <w:divBdr>
            <w:top w:val="none" w:sz="0" w:space="0" w:color="auto"/>
            <w:left w:val="none" w:sz="0" w:space="0" w:color="auto"/>
            <w:bottom w:val="none" w:sz="0" w:space="0" w:color="auto"/>
            <w:right w:val="none" w:sz="0" w:space="0" w:color="auto"/>
          </w:divBdr>
        </w:div>
        <w:div w:id="1972326086">
          <w:marLeft w:val="0"/>
          <w:marRight w:val="0"/>
          <w:marTop w:val="0"/>
          <w:marBottom w:val="0"/>
          <w:divBdr>
            <w:top w:val="none" w:sz="0" w:space="0" w:color="auto"/>
            <w:left w:val="none" w:sz="0" w:space="0" w:color="auto"/>
            <w:bottom w:val="none" w:sz="0" w:space="0" w:color="auto"/>
            <w:right w:val="none" w:sz="0" w:space="0" w:color="auto"/>
          </w:divBdr>
        </w:div>
        <w:div w:id="835069044">
          <w:marLeft w:val="0"/>
          <w:marRight w:val="0"/>
          <w:marTop w:val="0"/>
          <w:marBottom w:val="0"/>
          <w:divBdr>
            <w:top w:val="none" w:sz="0" w:space="0" w:color="auto"/>
            <w:left w:val="none" w:sz="0" w:space="0" w:color="auto"/>
            <w:bottom w:val="none" w:sz="0" w:space="0" w:color="auto"/>
            <w:right w:val="none" w:sz="0" w:space="0" w:color="auto"/>
          </w:divBdr>
        </w:div>
        <w:div w:id="223220574">
          <w:marLeft w:val="0"/>
          <w:marRight w:val="0"/>
          <w:marTop w:val="0"/>
          <w:marBottom w:val="0"/>
          <w:divBdr>
            <w:top w:val="none" w:sz="0" w:space="0" w:color="auto"/>
            <w:left w:val="none" w:sz="0" w:space="0" w:color="auto"/>
            <w:bottom w:val="none" w:sz="0" w:space="0" w:color="auto"/>
            <w:right w:val="none" w:sz="0" w:space="0" w:color="auto"/>
          </w:divBdr>
        </w:div>
        <w:div w:id="119148031">
          <w:marLeft w:val="0"/>
          <w:marRight w:val="0"/>
          <w:marTop w:val="0"/>
          <w:marBottom w:val="0"/>
          <w:divBdr>
            <w:top w:val="none" w:sz="0" w:space="0" w:color="auto"/>
            <w:left w:val="none" w:sz="0" w:space="0" w:color="auto"/>
            <w:bottom w:val="none" w:sz="0" w:space="0" w:color="auto"/>
            <w:right w:val="none" w:sz="0" w:space="0" w:color="auto"/>
          </w:divBdr>
        </w:div>
        <w:div w:id="1800294716">
          <w:marLeft w:val="0"/>
          <w:marRight w:val="0"/>
          <w:marTop w:val="0"/>
          <w:marBottom w:val="0"/>
          <w:divBdr>
            <w:top w:val="none" w:sz="0" w:space="0" w:color="auto"/>
            <w:left w:val="none" w:sz="0" w:space="0" w:color="auto"/>
            <w:bottom w:val="none" w:sz="0" w:space="0" w:color="auto"/>
            <w:right w:val="none" w:sz="0" w:space="0" w:color="auto"/>
          </w:divBdr>
        </w:div>
        <w:div w:id="266351390">
          <w:marLeft w:val="0"/>
          <w:marRight w:val="0"/>
          <w:marTop w:val="0"/>
          <w:marBottom w:val="0"/>
          <w:divBdr>
            <w:top w:val="none" w:sz="0" w:space="0" w:color="auto"/>
            <w:left w:val="none" w:sz="0" w:space="0" w:color="auto"/>
            <w:bottom w:val="none" w:sz="0" w:space="0" w:color="auto"/>
            <w:right w:val="none" w:sz="0" w:space="0" w:color="auto"/>
          </w:divBdr>
        </w:div>
        <w:div w:id="293412344">
          <w:marLeft w:val="0"/>
          <w:marRight w:val="0"/>
          <w:marTop w:val="0"/>
          <w:marBottom w:val="0"/>
          <w:divBdr>
            <w:top w:val="none" w:sz="0" w:space="0" w:color="auto"/>
            <w:left w:val="none" w:sz="0" w:space="0" w:color="auto"/>
            <w:bottom w:val="none" w:sz="0" w:space="0" w:color="auto"/>
            <w:right w:val="none" w:sz="0" w:space="0" w:color="auto"/>
          </w:divBdr>
        </w:div>
        <w:div w:id="1413746034">
          <w:marLeft w:val="0"/>
          <w:marRight w:val="0"/>
          <w:marTop w:val="0"/>
          <w:marBottom w:val="0"/>
          <w:divBdr>
            <w:top w:val="none" w:sz="0" w:space="0" w:color="auto"/>
            <w:left w:val="none" w:sz="0" w:space="0" w:color="auto"/>
            <w:bottom w:val="none" w:sz="0" w:space="0" w:color="auto"/>
            <w:right w:val="none" w:sz="0" w:space="0" w:color="auto"/>
          </w:divBdr>
        </w:div>
        <w:div w:id="1256282622">
          <w:marLeft w:val="0"/>
          <w:marRight w:val="0"/>
          <w:marTop w:val="0"/>
          <w:marBottom w:val="0"/>
          <w:divBdr>
            <w:top w:val="none" w:sz="0" w:space="0" w:color="auto"/>
            <w:left w:val="none" w:sz="0" w:space="0" w:color="auto"/>
            <w:bottom w:val="none" w:sz="0" w:space="0" w:color="auto"/>
            <w:right w:val="none" w:sz="0" w:space="0" w:color="auto"/>
          </w:divBdr>
        </w:div>
        <w:div w:id="154995755">
          <w:marLeft w:val="0"/>
          <w:marRight w:val="0"/>
          <w:marTop w:val="0"/>
          <w:marBottom w:val="0"/>
          <w:divBdr>
            <w:top w:val="none" w:sz="0" w:space="0" w:color="auto"/>
            <w:left w:val="none" w:sz="0" w:space="0" w:color="auto"/>
            <w:bottom w:val="none" w:sz="0" w:space="0" w:color="auto"/>
            <w:right w:val="none" w:sz="0" w:space="0" w:color="auto"/>
          </w:divBdr>
        </w:div>
        <w:div w:id="1777604301">
          <w:marLeft w:val="0"/>
          <w:marRight w:val="0"/>
          <w:marTop w:val="0"/>
          <w:marBottom w:val="0"/>
          <w:divBdr>
            <w:top w:val="none" w:sz="0" w:space="0" w:color="auto"/>
            <w:left w:val="none" w:sz="0" w:space="0" w:color="auto"/>
            <w:bottom w:val="none" w:sz="0" w:space="0" w:color="auto"/>
            <w:right w:val="none" w:sz="0" w:space="0" w:color="auto"/>
          </w:divBdr>
        </w:div>
        <w:div w:id="1098793450">
          <w:marLeft w:val="0"/>
          <w:marRight w:val="0"/>
          <w:marTop w:val="0"/>
          <w:marBottom w:val="0"/>
          <w:divBdr>
            <w:top w:val="none" w:sz="0" w:space="0" w:color="auto"/>
            <w:left w:val="none" w:sz="0" w:space="0" w:color="auto"/>
            <w:bottom w:val="none" w:sz="0" w:space="0" w:color="auto"/>
            <w:right w:val="none" w:sz="0" w:space="0" w:color="auto"/>
          </w:divBdr>
        </w:div>
        <w:div w:id="1414888493">
          <w:marLeft w:val="0"/>
          <w:marRight w:val="0"/>
          <w:marTop w:val="0"/>
          <w:marBottom w:val="0"/>
          <w:divBdr>
            <w:top w:val="none" w:sz="0" w:space="0" w:color="auto"/>
            <w:left w:val="none" w:sz="0" w:space="0" w:color="auto"/>
            <w:bottom w:val="none" w:sz="0" w:space="0" w:color="auto"/>
            <w:right w:val="none" w:sz="0" w:space="0" w:color="auto"/>
          </w:divBdr>
        </w:div>
        <w:div w:id="2144886268">
          <w:marLeft w:val="0"/>
          <w:marRight w:val="0"/>
          <w:marTop w:val="0"/>
          <w:marBottom w:val="0"/>
          <w:divBdr>
            <w:top w:val="none" w:sz="0" w:space="0" w:color="auto"/>
            <w:left w:val="none" w:sz="0" w:space="0" w:color="auto"/>
            <w:bottom w:val="none" w:sz="0" w:space="0" w:color="auto"/>
            <w:right w:val="none" w:sz="0" w:space="0" w:color="auto"/>
          </w:divBdr>
        </w:div>
        <w:div w:id="779842416">
          <w:marLeft w:val="0"/>
          <w:marRight w:val="0"/>
          <w:marTop w:val="0"/>
          <w:marBottom w:val="0"/>
          <w:divBdr>
            <w:top w:val="none" w:sz="0" w:space="0" w:color="auto"/>
            <w:left w:val="none" w:sz="0" w:space="0" w:color="auto"/>
            <w:bottom w:val="none" w:sz="0" w:space="0" w:color="auto"/>
            <w:right w:val="none" w:sz="0" w:space="0" w:color="auto"/>
          </w:divBdr>
        </w:div>
        <w:div w:id="1092094131">
          <w:marLeft w:val="0"/>
          <w:marRight w:val="0"/>
          <w:marTop w:val="0"/>
          <w:marBottom w:val="0"/>
          <w:divBdr>
            <w:top w:val="none" w:sz="0" w:space="0" w:color="auto"/>
            <w:left w:val="none" w:sz="0" w:space="0" w:color="auto"/>
            <w:bottom w:val="none" w:sz="0" w:space="0" w:color="auto"/>
            <w:right w:val="none" w:sz="0" w:space="0" w:color="auto"/>
          </w:divBdr>
        </w:div>
        <w:div w:id="1106660784">
          <w:marLeft w:val="0"/>
          <w:marRight w:val="0"/>
          <w:marTop w:val="0"/>
          <w:marBottom w:val="0"/>
          <w:divBdr>
            <w:top w:val="none" w:sz="0" w:space="0" w:color="auto"/>
            <w:left w:val="none" w:sz="0" w:space="0" w:color="auto"/>
            <w:bottom w:val="none" w:sz="0" w:space="0" w:color="auto"/>
            <w:right w:val="none" w:sz="0" w:space="0" w:color="auto"/>
          </w:divBdr>
        </w:div>
        <w:div w:id="12193988">
          <w:marLeft w:val="0"/>
          <w:marRight w:val="0"/>
          <w:marTop w:val="0"/>
          <w:marBottom w:val="0"/>
          <w:divBdr>
            <w:top w:val="none" w:sz="0" w:space="0" w:color="auto"/>
            <w:left w:val="none" w:sz="0" w:space="0" w:color="auto"/>
            <w:bottom w:val="none" w:sz="0" w:space="0" w:color="auto"/>
            <w:right w:val="none" w:sz="0" w:space="0" w:color="auto"/>
          </w:divBdr>
        </w:div>
        <w:div w:id="776557306">
          <w:marLeft w:val="0"/>
          <w:marRight w:val="0"/>
          <w:marTop w:val="0"/>
          <w:marBottom w:val="0"/>
          <w:divBdr>
            <w:top w:val="none" w:sz="0" w:space="0" w:color="auto"/>
            <w:left w:val="none" w:sz="0" w:space="0" w:color="auto"/>
            <w:bottom w:val="none" w:sz="0" w:space="0" w:color="auto"/>
            <w:right w:val="none" w:sz="0" w:space="0" w:color="auto"/>
          </w:divBdr>
        </w:div>
        <w:div w:id="1461608269">
          <w:marLeft w:val="0"/>
          <w:marRight w:val="0"/>
          <w:marTop w:val="0"/>
          <w:marBottom w:val="0"/>
          <w:divBdr>
            <w:top w:val="none" w:sz="0" w:space="0" w:color="auto"/>
            <w:left w:val="none" w:sz="0" w:space="0" w:color="auto"/>
            <w:bottom w:val="none" w:sz="0" w:space="0" w:color="auto"/>
            <w:right w:val="none" w:sz="0" w:space="0" w:color="auto"/>
          </w:divBdr>
        </w:div>
        <w:div w:id="627125479">
          <w:marLeft w:val="0"/>
          <w:marRight w:val="0"/>
          <w:marTop w:val="0"/>
          <w:marBottom w:val="0"/>
          <w:divBdr>
            <w:top w:val="none" w:sz="0" w:space="0" w:color="auto"/>
            <w:left w:val="none" w:sz="0" w:space="0" w:color="auto"/>
            <w:bottom w:val="none" w:sz="0" w:space="0" w:color="auto"/>
            <w:right w:val="none" w:sz="0" w:space="0" w:color="auto"/>
          </w:divBdr>
        </w:div>
        <w:div w:id="1081222010">
          <w:marLeft w:val="0"/>
          <w:marRight w:val="0"/>
          <w:marTop w:val="0"/>
          <w:marBottom w:val="0"/>
          <w:divBdr>
            <w:top w:val="none" w:sz="0" w:space="0" w:color="auto"/>
            <w:left w:val="none" w:sz="0" w:space="0" w:color="auto"/>
            <w:bottom w:val="none" w:sz="0" w:space="0" w:color="auto"/>
            <w:right w:val="none" w:sz="0" w:space="0" w:color="auto"/>
          </w:divBdr>
        </w:div>
        <w:div w:id="20014793">
          <w:marLeft w:val="0"/>
          <w:marRight w:val="0"/>
          <w:marTop w:val="0"/>
          <w:marBottom w:val="0"/>
          <w:divBdr>
            <w:top w:val="none" w:sz="0" w:space="0" w:color="auto"/>
            <w:left w:val="none" w:sz="0" w:space="0" w:color="auto"/>
            <w:bottom w:val="none" w:sz="0" w:space="0" w:color="auto"/>
            <w:right w:val="none" w:sz="0" w:space="0" w:color="auto"/>
          </w:divBdr>
        </w:div>
        <w:div w:id="1271401558">
          <w:marLeft w:val="0"/>
          <w:marRight w:val="0"/>
          <w:marTop w:val="0"/>
          <w:marBottom w:val="0"/>
          <w:divBdr>
            <w:top w:val="none" w:sz="0" w:space="0" w:color="auto"/>
            <w:left w:val="none" w:sz="0" w:space="0" w:color="auto"/>
            <w:bottom w:val="none" w:sz="0" w:space="0" w:color="auto"/>
            <w:right w:val="none" w:sz="0" w:space="0" w:color="auto"/>
          </w:divBdr>
        </w:div>
        <w:div w:id="1430736642">
          <w:marLeft w:val="0"/>
          <w:marRight w:val="0"/>
          <w:marTop w:val="0"/>
          <w:marBottom w:val="0"/>
          <w:divBdr>
            <w:top w:val="none" w:sz="0" w:space="0" w:color="auto"/>
            <w:left w:val="none" w:sz="0" w:space="0" w:color="auto"/>
            <w:bottom w:val="none" w:sz="0" w:space="0" w:color="auto"/>
            <w:right w:val="none" w:sz="0" w:space="0" w:color="auto"/>
          </w:divBdr>
        </w:div>
        <w:div w:id="638345982">
          <w:marLeft w:val="0"/>
          <w:marRight w:val="0"/>
          <w:marTop w:val="0"/>
          <w:marBottom w:val="0"/>
          <w:divBdr>
            <w:top w:val="none" w:sz="0" w:space="0" w:color="auto"/>
            <w:left w:val="none" w:sz="0" w:space="0" w:color="auto"/>
            <w:bottom w:val="none" w:sz="0" w:space="0" w:color="auto"/>
            <w:right w:val="none" w:sz="0" w:space="0" w:color="auto"/>
          </w:divBdr>
        </w:div>
        <w:div w:id="1446608669">
          <w:marLeft w:val="0"/>
          <w:marRight w:val="0"/>
          <w:marTop w:val="0"/>
          <w:marBottom w:val="0"/>
          <w:divBdr>
            <w:top w:val="none" w:sz="0" w:space="0" w:color="auto"/>
            <w:left w:val="none" w:sz="0" w:space="0" w:color="auto"/>
            <w:bottom w:val="none" w:sz="0" w:space="0" w:color="auto"/>
            <w:right w:val="none" w:sz="0" w:space="0" w:color="auto"/>
          </w:divBdr>
        </w:div>
        <w:div w:id="926771738">
          <w:marLeft w:val="0"/>
          <w:marRight w:val="0"/>
          <w:marTop w:val="0"/>
          <w:marBottom w:val="0"/>
          <w:divBdr>
            <w:top w:val="none" w:sz="0" w:space="0" w:color="auto"/>
            <w:left w:val="none" w:sz="0" w:space="0" w:color="auto"/>
            <w:bottom w:val="none" w:sz="0" w:space="0" w:color="auto"/>
            <w:right w:val="none" w:sz="0" w:space="0" w:color="auto"/>
          </w:divBdr>
        </w:div>
        <w:div w:id="517040992">
          <w:marLeft w:val="0"/>
          <w:marRight w:val="0"/>
          <w:marTop w:val="0"/>
          <w:marBottom w:val="0"/>
          <w:divBdr>
            <w:top w:val="none" w:sz="0" w:space="0" w:color="auto"/>
            <w:left w:val="none" w:sz="0" w:space="0" w:color="auto"/>
            <w:bottom w:val="none" w:sz="0" w:space="0" w:color="auto"/>
            <w:right w:val="none" w:sz="0" w:space="0" w:color="auto"/>
          </w:divBdr>
        </w:div>
        <w:div w:id="1992755708">
          <w:marLeft w:val="0"/>
          <w:marRight w:val="0"/>
          <w:marTop w:val="0"/>
          <w:marBottom w:val="0"/>
          <w:divBdr>
            <w:top w:val="none" w:sz="0" w:space="0" w:color="auto"/>
            <w:left w:val="none" w:sz="0" w:space="0" w:color="auto"/>
            <w:bottom w:val="none" w:sz="0" w:space="0" w:color="auto"/>
            <w:right w:val="none" w:sz="0" w:space="0" w:color="auto"/>
          </w:divBdr>
        </w:div>
        <w:div w:id="296421663">
          <w:marLeft w:val="0"/>
          <w:marRight w:val="0"/>
          <w:marTop w:val="0"/>
          <w:marBottom w:val="0"/>
          <w:divBdr>
            <w:top w:val="none" w:sz="0" w:space="0" w:color="auto"/>
            <w:left w:val="none" w:sz="0" w:space="0" w:color="auto"/>
            <w:bottom w:val="none" w:sz="0" w:space="0" w:color="auto"/>
            <w:right w:val="none" w:sz="0" w:space="0" w:color="auto"/>
          </w:divBdr>
        </w:div>
        <w:div w:id="1881938290">
          <w:marLeft w:val="0"/>
          <w:marRight w:val="0"/>
          <w:marTop w:val="0"/>
          <w:marBottom w:val="0"/>
          <w:divBdr>
            <w:top w:val="none" w:sz="0" w:space="0" w:color="auto"/>
            <w:left w:val="none" w:sz="0" w:space="0" w:color="auto"/>
            <w:bottom w:val="none" w:sz="0" w:space="0" w:color="auto"/>
            <w:right w:val="none" w:sz="0" w:space="0" w:color="auto"/>
          </w:divBdr>
        </w:div>
        <w:div w:id="1166432156">
          <w:marLeft w:val="0"/>
          <w:marRight w:val="0"/>
          <w:marTop w:val="0"/>
          <w:marBottom w:val="0"/>
          <w:divBdr>
            <w:top w:val="none" w:sz="0" w:space="0" w:color="auto"/>
            <w:left w:val="none" w:sz="0" w:space="0" w:color="auto"/>
            <w:bottom w:val="none" w:sz="0" w:space="0" w:color="auto"/>
            <w:right w:val="none" w:sz="0" w:space="0" w:color="auto"/>
          </w:divBdr>
        </w:div>
        <w:div w:id="505822314">
          <w:marLeft w:val="0"/>
          <w:marRight w:val="0"/>
          <w:marTop w:val="0"/>
          <w:marBottom w:val="0"/>
          <w:divBdr>
            <w:top w:val="none" w:sz="0" w:space="0" w:color="auto"/>
            <w:left w:val="none" w:sz="0" w:space="0" w:color="auto"/>
            <w:bottom w:val="none" w:sz="0" w:space="0" w:color="auto"/>
            <w:right w:val="none" w:sz="0" w:space="0" w:color="auto"/>
          </w:divBdr>
        </w:div>
        <w:div w:id="1437215939">
          <w:marLeft w:val="0"/>
          <w:marRight w:val="0"/>
          <w:marTop w:val="0"/>
          <w:marBottom w:val="0"/>
          <w:divBdr>
            <w:top w:val="none" w:sz="0" w:space="0" w:color="auto"/>
            <w:left w:val="none" w:sz="0" w:space="0" w:color="auto"/>
            <w:bottom w:val="none" w:sz="0" w:space="0" w:color="auto"/>
            <w:right w:val="none" w:sz="0" w:space="0" w:color="auto"/>
          </w:divBdr>
        </w:div>
        <w:div w:id="1521122935">
          <w:marLeft w:val="0"/>
          <w:marRight w:val="0"/>
          <w:marTop w:val="0"/>
          <w:marBottom w:val="0"/>
          <w:divBdr>
            <w:top w:val="none" w:sz="0" w:space="0" w:color="auto"/>
            <w:left w:val="none" w:sz="0" w:space="0" w:color="auto"/>
            <w:bottom w:val="none" w:sz="0" w:space="0" w:color="auto"/>
            <w:right w:val="none" w:sz="0" w:space="0" w:color="auto"/>
          </w:divBdr>
        </w:div>
        <w:div w:id="1273438112">
          <w:marLeft w:val="0"/>
          <w:marRight w:val="0"/>
          <w:marTop w:val="0"/>
          <w:marBottom w:val="0"/>
          <w:divBdr>
            <w:top w:val="none" w:sz="0" w:space="0" w:color="auto"/>
            <w:left w:val="none" w:sz="0" w:space="0" w:color="auto"/>
            <w:bottom w:val="none" w:sz="0" w:space="0" w:color="auto"/>
            <w:right w:val="none" w:sz="0" w:space="0" w:color="auto"/>
          </w:divBdr>
        </w:div>
        <w:div w:id="1443843671">
          <w:marLeft w:val="0"/>
          <w:marRight w:val="0"/>
          <w:marTop w:val="0"/>
          <w:marBottom w:val="0"/>
          <w:divBdr>
            <w:top w:val="none" w:sz="0" w:space="0" w:color="auto"/>
            <w:left w:val="none" w:sz="0" w:space="0" w:color="auto"/>
            <w:bottom w:val="none" w:sz="0" w:space="0" w:color="auto"/>
            <w:right w:val="none" w:sz="0" w:space="0" w:color="auto"/>
          </w:divBdr>
        </w:div>
        <w:div w:id="106659098">
          <w:marLeft w:val="0"/>
          <w:marRight w:val="0"/>
          <w:marTop w:val="0"/>
          <w:marBottom w:val="0"/>
          <w:divBdr>
            <w:top w:val="none" w:sz="0" w:space="0" w:color="auto"/>
            <w:left w:val="none" w:sz="0" w:space="0" w:color="auto"/>
            <w:bottom w:val="none" w:sz="0" w:space="0" w:color="auto"/>
            <w:right w:val="none" w:sz="0" w:space="0" w:color="auto"/>
          </w:divBdr>
        </w:div>
        <w:div w:id="180629717">
          <w:marLeft w:val="0"/>
          <w:marRight w:val="0"/>
          <w:marTop w:val="0"/>
          <w:marBottom w:val="0"/>
          <w:divBdr>
            <w:top w:val="none" w:sz="0" w:space="0" w:color="auto"/>
            <w:left w:val="none" w:sz="0" w:space="0" w:color="auto"/>
            <w:bottom w:val="none" w:sz="0" w:space="0" w:color="auto"/>
            <w:right w:val="none" w:sz="0" w:space="0" w:color="auto"/>
          </w:divBdr>
        </w:div>
        <w:div w:id="1671904203">
          <w:marLeft w:val="0"/>
          <w:marRight w:val="0"/>
          <w:marTop w:val="0"/>
          <w:marBottom w:val="0"/>
          <w:divBdr>
            <w:top w:val="none" w:sz="0" w:space="0" w:color="auto"/>
            <w:left w:val="none" w:sz="0" w:space="0" w:color="auto"/>
            <w:bottom w:val="none" w:sz="0" w:space="0" w:color="auto"/>
            <w:right w:val="none" w:sz="0" w:space="0" w:color="auto"/>
          </w:divBdr>
        </w:div>
        <w:div w:id="1666936294">
          <w:marLeft w:val="0"/>
          <w:marRight w:val="0"/>
          <w:marTop w:val="0"/>
          <w:marBottom w:val="0"/>
          <w:divBdr>
            <w:top w:val="none" w:sz="0" w:space="0" w:color="auto"/>
            <w:left w:val="none" w:sz="0" w:space="0" w:color="auto"/>
            <w:bottom w:val="none" w:sz="0" w:space="0" w:color="auto"/>
            <w:right w:val="none" w:sz="0" w:space="0" w:color="auto"/>
          </w:divBdr>
        </w:div>
        <w:div w:id="1282881289">
          <w:marLeft w:val="0"/>
          <w:marRight w:val="0"/>
          <w:marTop w:val="0"/>
          <w:marBottom w:val="0"/>
          <w:divBdr>
            <w:top w:val="none" w:sz="0" w:space="0" w:color="auto"/>
            <w:left w:val="none" w:sz="0" w:space="0" w:color="auto"/>
            <w:bottom w:val="none" w:sz="0" w:space="0" w:color="auto"/>
            <w:right w:val="none" w:sz="0" w:space="0" w:color="auto"/>
          </w:divBdr>
        </w:div>
        <w:div w:id="1701779002">
          <w:marLeft w:val="0"/>
          <w:marRight w:val="0"/>
          <w:marTop w:val="0"/>
          <w:marBottom w:val="0"/>
          <w:divBdr>
            <w:top w:val="none" w:sz="0" w:space="0" w:color="auto"/>
            <w:left w:val="none" w:sz="0" w:space="0" w:color="auto"/>
            <w:bottom w:val="none" w:sz="0" w:space="0" w:color="auto"/>
            <w:right w:val="none" w:sz="0" w:space="0" w:color="auto"/>
          </w:divBdr>
        </w:div>
        <w:div w:id="1204322264">
          <w:marLeft w:val="0"/>
          <w:marRight w:val="0"/>
          <w:marTop w:val="0"/>
          <w:marBottom w:val="0"/>
          <w:divBdr>
            <w:top w:val="none" w:sz="0" w:space="0" w:color="auto"/>
            <w:left w:val="none" w:sz="0" w:space="0" w:color="auto"/>
            <w:bottom w:val="none" w:sz="0" w:space="0" w:color="auto"/>
            <w:right w:val="none" w:sz="0" w:space="0" w:color="auto"/>
          </w:divBdr>
        </w:div>
        <w:div w:id="715395479">
          <w:marLeft w:val="0"/>
          <w:marRight w:val="0"/>
          <w:marTop w:val="0"/>
          <w:marBottom w:val="0"/>
          <w:divBdr>
            <w:top w:val="none" w:sz="0" w:space="0" w:color="auto"/>
            <w:left w:val="none" w:sz="0" w:space="0" w:color="auto"/>
            <w:bottom w:val="none" w:sz="0" w:space="0" w:color="auto"/>
            <w:right w:val="none" w:sz="0" w:space="0" w:color="auto"/>
          </w:divBdr>
        </w:div>
        <w:div w:id="1619988708">
          <w:marLeft w:val="0"/>
          <w:marRight w:val="0"/>
          <w:marTop w:val="0"/>
          <w:marBottom w:val="0"/>
          <w:divBdr>
            <w:top w:val="none" w:sz="0" w:space="0" w:color="auto"/>
            <w:left w:val="none" w:sz="0" w:space="0" w:color="auto"/>
            <w:bottom w:val="none" w:sz="0" w:space="0" w:color="auto"/>
            <w:right w:val="none" w:sz="0" w:space="0" w:color="auto"/>
          </w:divBdr>
        </w:div>
        <w:div w:id="299578287">
          <w:marLeft w:val="0"/>
          <w:marRight w:val="0"/>
          <w:marTop w:val="0"/>
          <w:marBottom w:val="0"/>
          <w:divBdr>
            <w:top w:val="none" w:sz="0" w:space="0" w:color="auto"/>
            <w:left w:val="none" w:sz="0" w:space="0" w:color="auto"/>
            <w:bottom w:val="none" w:sz="0" w:space="0" w:color="auto"/>
            <w:right w:val="none" w:sz="0" w:space="0" w:color="auto"/>
          </w:divBdr>
        </w:div>
        <w:div w:id="1273317888">
          <w:marLeft w:val="0"/>
          <w:marRight w:val="0"/>
          <w:marTop w:val="0"/>
          <w:marBottom w:val="0"/>
          <w:divBdr>
            <w:top w:val="none" w:sz="0" w:space="0" w:color="auto"/>
            <w:left w:val="none" w:sz="0" w:space="0" w:color="auto"/>
            <w:bottom w:val="none" w:sz="0" w:space="0" w:color="auto"/>
            <w:right w:val="none" w:sz="0" w:space="0" w:color="auto"/>
          </w:divBdr>
        </w:div>
        <w:div w:id="2057507636">
          <w:marLeft w:val="0"/>
          <w:marRight w:val="0"/>
          <w:marTop w:val="0"/>
          <w:marBottom w:val="0"/>
          <w:divBdr>
            <w:top w:val="none" w:sz="0" w:space="0" w:color="auto"/>
            <w:left w:val="none" w:sz="0" w:space="0" w:color="auto"/>
            <w:bottom w:val="none" w:sz="0" w:space="0" w:color="auto"/>
            <w:right w:val="none" w:sz="0" w:space="0" w:color="auto"/>
          </w:divBdr>
        </w:div>
        <w:div w:id="1027833046">
          <w:marLeft w:val="0"/>
          <w:marRight w:val="0"/>
          <w:marTop w:val="0"/>
          <w:marBottom w:val="0"/>
          <w:divBdr>
            <w:top w:val="none" w:sz="0" w:space="0" w:color="auto"/>
            <w:left w:val="none" w:sz="0" w:space="0" w:color="auto"/>
            <w:bottom w:val="none" w:sz="0" w:space="0" w:color="auto"/>
            <w:right w:val="none" w:sz="0" w:space="0" w:color="auto"/>
          </w:divBdr>
        </w:div>
        <w:div w:id="1061177749">
          <w:marLeft w:val="0"/>
          <w:marRight w:val="0"/>
          <w:marTop w:val="0"/>
          <w:marBottom w:val="0"/>
          <w:divBdr>
            <w:top w:val="none" w:sz="0" w:space="0" w:color="auto"/>
            <w:left w:val="none" w:sz="0" w:space="0" w:color="auto"/>
            <w:bottom w:val="none" w:sz="0" w:space="0" w:color="auto"/>
            <w:right w:val="none" w:sz="0" w:space="0" w:color="auto"/>
          </w:divBdr>
        </w:div>
        <w:div w:id="85275514">
          <w:marLeft w:val="0"/>
          <w:marRight w:val="0"/>
          <w:marTop w:val="0"/>
          <w:marBottom w:val="0"/>
          <w:divBdr>
            <w:top w:val="none" w:sz="0" w:space="0" w:color="auto"/>
            <w:left w:val="none" w:sz="0" w:space="0" w:color="auto"/>
            <w:bottom w:val="none" w:sz="0" w:space="0" w:color="auto"/>
            <w:right w:val="none" w:sz="0" w:space="0" w:color="auto"/>
          </w:divBdr>
        </w:div>
        <w:div w:id="1839616972">
          <w:marLeft w:val="0"/>
          <w:marRight w:val="0"/>
          <w:marTop w:val="0"/>
          <w:marBottom w:val="0"/>
          <w:divBdr>
            <w:top w:val="none" w:sz="0" w:space="0" w:color="auto"/>
            <w:left w:val="none" w:sz="0" w:space="0" w:color="auto"/>
            <w:bottom w:val="none" w:sz="0" w:space="0" w:color="auto"/>
            <w:right w:val="none" w:sz="0" w:space="0" w:color="auto"/>
          </w:divBdr>
        </w:div>
        <w:div w:id="1266158074">
          <w:marLeft w:val="0"/>
          <w:marRight w:val="0"/>
          <w:marTop w:val="0"/>
          <w:marBottom w:val="0"/>
          <w:divBdr>
            <w:top w:val="none" w:sz="0" w:space="0" w:color="auto"/>
            <w:left w:val="none" w:sz="0" w:space="0" w:color="auto"/>
            <w:bottom w:val="none" w:sz="0" w:space="0" w:color="auto"/>
            <w:right w:val="none" w:sz="0" w:space="0" w:color="auto"/>
          </w:divBdr>
        </w:div>
      </w:divsChild>
    </w:div>
    <w:div w:id="1487739642">
      <w:bodyDiv w:val="1"/>
      <w:marLeft w:val="0"/>
      <w:marRight w:val="0"/>
      <w:marTop w:val="0"/>
      <w:marBottom w:val="0"/>
      <w:divBdr>
        <w:top w:val="none" w:sz="0" w:space="0" w:color="auto"/>
        <w:left w:val="none" w:sz="0" w:space="0" w:color="auto"/>
        <w:bottom w:val="none" w:sz="0" w:space="0" w:color="auto"/>
        <w:right w:val="none" w:sz="0" w:space="0" w:color="auto"/>
      </w:divBdr>
    </w:div>
    <w:div w:id="1937596018">
      <w:bodyDiv w:val="1"/>
      <w:marLeft w:val="0"/>
      <w:marRight w:val="0"/>
      <w:marTop w:val="0"/>
      <w:marBottom w:val="0"/>
      <w:divBdr>
        <w:top w:val="none" w:sz="0" w:space="0" w:color="auto"/>
        <w:left w:val="none" w:sz="0" w:space="0" w:color="auto"/>
        <w:bottom w:val="none" w:sz="0" w:space="0" w:color="auto"/>
        <w:right w:val="none" w:sz="0" w:space="0" w:color="auto"/>
      </w:divBdr>
      <w:divsChild>
        <w:div w:id="95247654">
          <w:marLeft w:val="0"/>
          <w:marRight w:val="0"/>
          <w:marTop w:val="0"/>
          <w:marBottom w:val="0"/>
          <w:divBdr>
            <w:top w:val="none" w:sz="0" w:space="0" w:color="auto"/>
            <w:left w:val="none" w:sz="0" w:space="0" w:color="auto"/>
            <w:bottom w:val="none" w:sz="0" w:space="0" w:color="auto"/>
            <w:right w:val="none" w:sz="0" w:space="0" w:color="auto"/>
          </w:divBdr>
        </w:div>
        <w:div w:id="736131830">
          <w:marLeft w:val="0"/>
          <w:marRight w:val="0"/>
          <w:marTop w:val="0"/>
          <w:marBottom w:val="0"/>
          <w:divBdr>
            <w:top w:val="none" w:sz="0" w:space="0" w:color="auto"/>
            <w:left w:val="none" w:sz="0" w:space="0" w:color="auto"/>
            <w:bottom w:val="none" w:sz="0" w:space="0" w:color="auto"/>
            <w:right w:val="none" w:sz="0" w:space="0" w:color="auto"/>
          </w:divBdr>
        </w:div>
        <w:div w:id="13537990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078d6b7f-86fb-47aa-a5fb-45a141d09143"/>
    <ds:schemaRef ds:uri="3e82ca5b-96cf-4758-bde1-7c773396b7ec"/>
  </ds:schemaRefs>
</ds:datastoreItem>
</file>

<file path=customXml/itemProps2.xml><?xml version="1.0" encoding="utf-8"?>
<ds:datastoreItem xmlns:ds="http://schemas.openxmlformats.org/officeDocument/2006/customXml" ds:itemID="{04B70E0F-7566-4BD3-BAD6-1E5426A3393B}"/>
</file>

<file path=customXml/itemProps3.xml><?xml version="1.0" encoding="utf-8"?>
<ds:datastoreItem xmlns:ds="http://schemas.openxmlformats.org/officeDocument/2006/customXml" ds:itemID="{B5E10408-6D00-45E5-BB1C-D6466F72693E}">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17</Pages>
  <Words>5833</Words>
  <Characters>32083</Characters>
  <Application>Microsoft Office Word</Application>
  <DocSecurity>0</DocSecurity>
  <Lines>267</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Maria Valeska Medellín Mora</cp:lastModifiedBy>
  <cp:revision>161</cp:revision>
  <dcterms:created xsi:type="dcterms:W3CDTF">2022-09-30T19:43:00Z</dcterms:created>
  <dcterms:modified xsi:type="dcterms:W3CDTF">2023-06-16T21:27:00Z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