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37CA77" w14:textId="77777777" w:rsidR="005D0331" w:rsidRPr="003568D9" w:rsidRDefault="005D0331" w:rsidP="005D0331">
      <w:pPr>
        <w:spacing w:line="276" w:lineRule="auto"/>
        <w:jc w:val="both"/>
        <w:rPr>
          <w:rFonts w:ascii="Arial" w:eastAsia="Calibri" w:hAnsi="Arial" w:cs="Arial"/>
          <w:b/>
          <w:bCs/>
          <w:sz w:val="21"/>
          <w:szCs w:val="21"/>
          <w:lang w:val="es-ES"/>
        </w:rPr>
      </w:pPr>
      <w:bookmarkStart w:id="0" w:name="_Hlk96417464"/>
      <w:bookmarkStart w:id="1" w:name="_Hlk120036210"/>
      <w:bookmarkStart w:id="2" w:name="_Hlk98867631"/>
      <w:bookmarkStart w:id="3" w:name="_Hlk99546921"/>
      <w:bookmarkStart w:id="4" w:name="_Hlk34951122"/>
      <w:r w:rsidRPr="003568D9">
        <w:rPr>
          <w:rFonts w:ascii="Arial" w:eastAsia="Calibri" w:hAnsi="Arial" w:cs="Arial"/>
          <w:b/>
          <w:bCs/>
          <w:sz w:val="21"/>
          <w:szCs w:val="21"/>
          <w:lang w:val="es-ES"/>
        </w:rPr>
        <w:t>DOCUMENTOS DEL PROCESO – Noción – Deber de publicación – Proceso de contratación</w:t>
      </w:r>
    </w:p>
    <w:p w14:paraId="495F2C58" w14:textId="77777777" w:rsidR="005D0331" w:rsidRPr="003568D9" w:rsidRDefault="005D0331" w:rsidP="005D0331">
      <w:pPr>
        <w:spacing w:line="276" w:lineRule="auto"/>
        <w:jc w:val="both"/>
        <w:rPr>
          <w:rFonts w:ascii="Arial" w:eastAsia="Calibri" w:hAnsi="Arial" w:cs="Arial"/>
          <w:b/>
          <w:bCs/>
          <w:sz w:val="21"/>
          <w:szCs w:val="21"/>
          <w:lang w:val="es-ES"/>
        </w:rPr>
      </w:pPr>
    </w:p>
    <w:p w14:paraId="63350236" w14:textId="77777777" w:rsidR="005D0331" w:rsidRPr="003568D9" w:rsidRDefault="005D0331" w:rsidP="005D0331">
      <w:pPr>
        <w:widowControl w:val="0"/>
        <w:autoSpaceDE w:val="0"/>
        <w:autoSpaceDN w:val="0"/>
        <w:spacing w:after="120" w:line="276" w:lineRule="auto"/>
        <w:jc w:val="both"/>
        <w:rPr>
          <w:rFonts w:ascii="Arial" w:eastAsia="Arial" w:hAnsi="Arial" w:cs="Arial"/>
          <w:sz w:val="21"/>
          <w:szCs w:val="21"/>
          <w:lang w:val="es-ES"/>
        </w:rPr>
      </w:pPr>
      <w:r w:rsidRPr="003568D9">
        <w:rPr>
          <w:rFonts w:ascii="Arial" w:eastAsia="Arial" w:hAnsi="Arial" w:cs="Arial"/>
          <w:sz w:val="21"/>
          <w:szCs w:val="21"/>
          <w:lang w:val="es-ES"/>
        </w:rPr>
        <w:t xml:space="preserve">(…) En ese sentido, la interpretación sistemática de los preceptos del Decreto 1082 de 2015, de acuerdo con el principio de publicidad, inicialmente, indica que las entidades estatales tienen la obligación de publicar todos los documentos que expidan con ocasión del </w:t>
      </w:r>
      <w:r w:rsidRPr="003568D9">
        <w:rPr>
          <w:rFonts w:ascii="Arial" w:eastAsia="Arial" w:hAnsi="Arial" w:cs="Arial"/>
          <w:i/>
          <w:iCs/>
          <w:sz w:val="21"/>
          <w:szCs w:val="21"/>
          <w:lang w:val="es-ES"/>
        </w:rPr>
        <w:t>Proceso de Contratación</w:t>
      </w:r>
      <w:r w:rsidRPr="003568D9">
        <w:rPr>
          <w:rFonts w:ascii="Arial" w:eastAsia="Arial" w:hAnsi="Arial" w:cs="Arial"/>
          <w:sz w:val="21"/>
          <w:szCs w:val="21"/>
          <w:lang w:val="es-ES"/>
        </w:rPr>
        <w:t>, esto es, desde la fase de planeación hasta “el vencimiento de las garantías de calidad, estabilidad y mantenimiento, o las condiciones de disposición final o recuperación ambiental de las obras o bienes o el vencimiento del plazo, lo que ocurra más tarde”, lo que significa que todos los documentos expedidos por la entidad durante las etapas precontractual, de ejecución y postcontractual deberán ser publicados en SECOP dentro de los tres (3) días siguientes a su expedición, para  cumplir el deber de publicidad regulado por el artículo 2.2.1.1.1.7.1. del Decreto 1082 de 2015.</w:t>
      </w:r>
    </w:p>
    <w:p w14:paraId="03A2AE15" w14:textId="77777777" w:rsidR="005D0331" w:rsidRPr="003568D9" w:rsidRDefault="005D0331" w:rsidP="005D0331">
      <w:pPr>
        <w:widowControl w:val="0"/>
        <w:autoSpaceDE w:val="0"/>
        <w:autoSpaceDN w:val="0"/>
        <w:spacing w:after="120" w:line="276" w:lineRule="auto"/>
        <w:jc w:val="both"/>
        <w:rPr>
          <w:rFonts w:ascii="Arial" w:eastAsia="Arial" w:hAnsi="Arial" w:cs="Arial"/>
          <w:sz w:val="21"/>
          <w:szCs w:val="21"/>
          <w:lang w:val="es-ES"/>
        </w:rPr>
      </w:pPr>
      <w:r w:rsidRPr="003568D9">
        <w:rPr>
          <w:rFonts w:ascii="Arial" w:eastAsia="Arial" w:hAnsi="Arial" w:cs="Arial"/>
          <w:sz w:val="21"/>
          <w:szCs w:val="21"/>
          <w:lang w:val="es-ES"/>
        </w:rPr>
        <w:t xml:space="preserve">(…)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w:t>
      </w:r>
      <w:r w:rsidRPr="003568D9">
        <w:rPr>
          <w:rFonts w:ascii="Arial" w:eastAsia="Arial" w:hAnsi="Arial" w:cs="Arial"/>
          <w:i/>
          <w:iCs/>
          <w:sz w:val="21"/>
          <w:szCs w:val="21"/>
          <w:lang w:val="es-ES"/>
        </w:rPr>
        <w:t>Ibídem</w:t>
      </w:r>
      <w:r w:rsidRPr="003568D9">
        <w:rPr>
          <w:rFonts w:ascii="Arial" w:eastAsia="Arial" w:hAnsi="Arial" w:cs="Arial"/>
          <w:sz w:val="21"/>
          <w:szCs w:val="21"/>
          <w:lang w:val="es-ES"/>
        </w:rPr>
        <w:t xml:space="preserve"> recoge en la noción de </w:t>
      </w:r>
      <w:r w:rsidRPr="003568D9">
        <w:rPr>
          <w:rFonts w:ascii="Arial" w:eastAsia="Arial" w:hAnsi="Arial" w:cs="Arial"/>
          <w:i/>
          <w:iCs/>
          <w:sz w:val="21"/>
          <w:szCs w:val="21"/>
          <w:lang w:val="es-ES"/>
        </w:rPr>
        <w:t>Documentos del Proceso</w:t>
      </w:r>
      <w:r w:rsidRPr="003568D9">
        <w:rPr>
          <w:rFonts w:ascii="Arial" w:eastAsia="Arial" w:hAnsi="Arial" w:cs="Arial"/>
          <w:sz w:val="21"/>
          <w:szCs w:val="21"/>
          <w:lang w:val="es-ES"/>
        </w:rPr>
        <w:t xml:space="preserve"> “cualquier otro documento expedido por la Entidad Estatal durante el </w:t>
      </w:r>
      <w:r w:rsidRPr="003568D9">
        <w:rPr>
          <w:rFonts w:ascii="Arial" w:eastAsia="Arial" w:hAnsi="Arial" w:cs="Arial"/>
          <w:i/>
          <w:iCs/>
          <w:sz w:val="21"/>
          <w:szCs w:val="21"/>
          <w:lang w:val="es-ES"/>
        </w:rPr>
        <w:t>Proceso de Contratación”</w:t>
      </w:r>
      <w:r w:rsidRPr="003568D9">
        <w:rPr>
          <w:rFonts w:ascii="Arial" w:eastAsia="Arial" w:hAnsi="Arial" w:cs="Arial"/>
          <w:sz w:val="21"/>
          <w:szCs w:val="21"/>
          <w:lang w:val="es-ES"/>
        </w:rPr>
        <w:t xml:space="preserve">. Este mismo artículo define la expresión </w:t>
      </w:r>
      <w:r w:rsidRPr="003568D9">
        <w:rPr>
          <w:rFonts w:ascii="Arial" w:eastAsia="Arial" w:hAnsi="Arial" w:cs="Arial"/>
          <w:i/>
          <w:iCs/>
          <w:sz w:val="21"/>
          <w:szCs w:val="21"/>
          <w:lang w:val="es-ES"/>
        </w:rPr>
        <w:t>Proceso de Contratación</w:t>
      </w:r>
      <w:r w:rsidRPr="003568D9">
        <w:rPr>
          <w:rFonts w:ascii="Arial" w:eastAsia="Arial" w:hAnsi="Arial" w:cs="Arial"/>
          <w:sz w:val="21"/>
          <w:szCs w:val="21"/>
          <w:lang w:val="es-ES"/>
        </w:rPr>
        <w:t xml:space="preserve">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w:t>
      </w:r>
    </w:p>
    <w:p w14:paraId="12FD14A7" w14:textId="77777777" w:rsidR="005D0331" w:rsidRPr="003568D9" w:rsidRDefault="005D0331" w:rsidP="005D0331">
      <w:pPr>
        <w:widowControl w:val="0"/>
        <w:autoSpaceDE w:val="0"/>
        <w:autoSpaceDN w:val="0"/>
        <w:spacing w:after="120" w:line="276" w:lineRule="auto"/>
        <w:jc w:val="both"/>
        <w:rPr>
          <w:rFonts w:ascii="Arial" w:eastAsia="Arial" w:hAnsi="Arial" w:cs="Arial"/>
          <w:sz w:val="21"/>
          <w:szCs w:val="21"/>
          <w:lang w:val="es-ES"/>
        </w:rPr>
      </w:pPr>
      <w:r w:rsidRPr="003568D9">
        <w:rPr>
          <w:rFonts w:ascii="Arial" w:eastAsia="Calibri" w:hAnsi="Arial" w:cs="Arial"/>
          <w:sz w:val="21"/>
          <w:szCs w:val="21"/>
          <w:lang w:val="es-ES"/>
        </w:rPr>
        <w:t xml:space="preserve">Respecto al plan Anual de Adquisiciones no forma parte de la noción de </w:t>
      </w:r>
      <w:r w:rsidRPr="003568D9">
        <w:rPr>
          <w:rFonts w:ascii="Arial" w:eastAsia="Calibri" w:hAnsi="Arial" w:cs="Arial"/>
          <w:i/>
          <w:iCs/>
          <w:sz w:val="21"/>
          <w:szCs w:val="21"/>
          <w:lang w:val="es-ES"/>
        </w:rPr>
        <w:t xml:space="preserve">Documentos del Proceso, </w:t>
      </w:r>
      <w:r w:rsidRPr="003568D9">
        <w:rPr>
          <w:rFonts w:ascii="Arial" w:eastAsia="Calibri" w:hAnsi="Arial" w:cs="Arial"/>
          <w:sz w:val="21"/>
          <w:szCs w:val="21"/>
          <w:lang w:val="es-ES"/>
        </w:rPr>
        <w:t xml:space="preserve">ni hace parte del </w:t>
      </w:r>
      <w:r w:rsidRPr="003568D9">
        <w:rPr>
          <w:rFonts w:ascii="Arial" w:eastAsia="Calibri" w:hAnsi="Arial" w:cs="Arial"/>
          <w:i/>
          <w:iCs/>
          <w:sz w:val="21"/>
          <w:szCs w:val="21"/>
          <w:lang w:val="es-ES"/>
        </w:rPr>
        <w:t>Proce</w:t>
      </w:r>
      <w:r w:rsidRPr="003568D9">
        <w:rPr>
          <w:rFonts w:ascii="Arial" w:eastAsia="Calibri" w:hAnsi="Arial" w:cs="Arial"/>
          <w:sz w:val="21"/>
          <w:szCs w:val="21"/>
          <w:lang w:val="es-ES"/>
        </w:rPr>
        <w:t xml:space="preserve">so </w:t>
      </w:r>
      <w:r w:rsidRPr="003568D9">
        <w:rPr>
          <w:rFonts w:ascii="Arial" w:eastAsia="Calibri" w:hAnsi="Arial" w:cs="Arial"/>
          <w:i/>
          <w:iCs/>
          <w:sz w:val="21"/>
          <w:szCs w:val="21"/>
          <w:lang w:val="es-ES"/>
        </w:rPr>
        <w:t>de Contratación,</w:t>
      </w:r>
      <w:r w:rsidRPr="003568D9">
        <w:rPr>
          <w:rFonts w:ascii="Arial" w:eastAsia="Calibri" w:hAnsi="Arial" w:cs="Arial"/>
          <w:sz w:val="21"/>
          <w:szCs w:val="21"/>
          <w:lang w:val="es-ES"/>
        </w:rPr>
        <w:t xml:space="preserve"> conforme al artículo 2.2.1.1.1.3.1 del Decreto 1082 de 2015, por lo que el deber de publicarlo encuentra apoyo en normas distintas del artículo 2.2.1.1.1.7.1 </w:t>
      </w:r>
      <w:r w:rsidRPr="003568D9">
        <w:rPr>
          <w:rFonts w:ascii="Arial" w:eastAsia="Calibri" w:hAnsi="Arial" w:cs="Arial"/>
          <w:i/>
          <w:iCs/>
          <w:sz w:val="21"/>
          <w:szCs w:val="21"/>
          <w:lang w:val="es-ES"/>
        </w:rPr>
        <w:t xml:space="preserve">Ibídem. </w:t>
      </w:r>
      <w:r w:rsidRPr="003568D9">
        <w:rPr>
          <w:rFonts w:ascii="Arial" w:eastAsia="Calibri" w:hAnsi="Arial" w:cs="Arial"/>
          <w:sz w:val="21"/>
          <w:szCs w:val="21"/>
          <w:lang w:val="es-ES"/>
        </w:rPr>
        <w:t>Es el artículo 74 de la Ley 1474 de 2011 el que dispone que a más tardar el 31 de enero de cada año las entidades deben publicar, en su página web, el Plan de Acción para el año siguiente; y el artículo 2.2.1.1.1.4.3 del Decreto 1082 de 2015 también exige publicarlo en la página web de la entidad y además en el SECOP; así como también lo indica el citado artículo 2.1.1.2.1.10 del Decreto 1081 de 2015.</w:t>
      </w:r>
    </w:p>
    <w:p w14:paraId="120E06EA" w14:textId="77777777" w:rsidR="005D0331" w:rsidRPr="003568D9" w:rsidRDefault="005D0331" w:rsidP="005D0331">
      <w:pPr>
        <w:tabs>
          <w:tab w:val="left" w:pos="5511"/>
        </w:tabs>
        <w:rPr>
          <w:rStyle w:val="normaltextrun"/>
          <w:rFonts w:ascii="Arial" w:hAnsi="Arial" w:cs="Arial"/>
          <w:b/>
          <w:bCs/>
          <w:color w:val="000000" w:themeColor="text1"/>
          <w:shd w:val="clear" w:color="auto" w:fill="FFFFFF"/>
          <w:lang w:val="es-ES"/>
        </w:rPr>
      </w:pPr>
    </w:p>
    <w:p w14:paraId="3F2BF3FC" w14:textId="77777777" w:rsidR="005D0331" w:rsidRPr="003568D9" w:rsidRDefault="005D0331" w:rsidP="005D0331">
      <w:pPr>
        <w:tabs>
          <w:tab w:val="left" w:pos="5511"/>
        </w:tabs>
        <w:rPr>
          <w:rStyle w:val="normaltextrun"/>
          <w:rFonts w:ascii="Arial" w:hAnsi="Arial" w:cs="Arial"/>
          <w:b/>
          <w:bCs/>
          <w:color w:val="000000" w:themeColor="text1"/>
          <w:shd w:val="clear" w:color="auto" w:fill="FFFFFF"/>
          <w:lang w:val="es-ES"/>
        </w:rPr>
      </w:pPr>
      <w:r w:rsidRPr="003568D9">
        <w:rPr>
          <w:rStyle w:val="normaltextrun"/>
          <w:rFonts w:ascii="Arial" w:hAnsi="Arial" w:cs="Arial"/>
          <w:b/>
          <w:bCs/>
          <w:color w:val="000000" w:themeColor="text1"/>
          <w:shd w:val="clear" w:color="auto" w:fill="FFFFFF"/>
          <w:lang w:val="es-ES"/>
        </w:rPr>
        <w:t>SECOP II </w:t>
      </w:r>
      <w:r w:rsidRPr="003568D9">
        <w:rPr>
          <w:rStyle w:val="normaltextrun"/>
          <w:rFonts w:ascii="Arial" w:hAnsi="Arial" w:cs="Arial"/>
          <w:b/>
          <w:bCs/>
          <w:color w:val="000000" w:themeColor="text1"/>
          <w:shd w:val="clear" w:color="auto" w:fill="FFFFFF"/>
        </w:rPr>
        <w:t>–</w:t>
      </w:r>
      <w:r w:rsidRPr="003568D9">
        <w:rPr>
          <w:rStyle w:val="normaltextrun"/>
          <w:rFonts w:ascii="Arial" w:hAnsi="Arial" w:cs="Arial"/>
          <w:b/>
          <w:bCs/>
          <w:color w:val="000000" w:themeColor="text1"/>
          <w:shd w:val="clear" w:color="auto" w:fill="FFFFFF"/>
          <w:lang w:val="es-ES"/>
        </w:rPr>
        <w:t xml:space="preserve"> Cargue </w:t>
      </w:r>
      <w:r w:rsidRPr="003568D9">
        <w:rPr>
          <w:rFonts w:ascii="Arial" w:eastAsia="Arial" w:hAnsi="Arial" w:cs="Arial"/>
          <w:b/>
          <w:bCs/>
        </w:rPr>
        <w:t>–</w:t>
      </w:r>
      <w:r w:rsidRPr="003568D9">
        <w:rPr>
          <w:rStyle w:val="normaltextrun"/>
          <w:rFonts w:ascii="Arial" w:hAnsi="Arial" w:cs="Arial"/>
          <w:b/>
          <w:bCs/>
          <w:color w:val="000000" w:themeColor="text1"/>
          <w:shd w:val="clear" w:color="auto" w:fill="FFFFFF"/>
          <w:lang w:val="es-ES"/>
        </w:rPr>
        <w:t xml:space="preserve"> Documentos adicionales </w:t>
      </w:r>
    </w:p>
    <w:p w14:paraId="143BCE23" w14:textId="77777777" w:rsidR="005D0331" w:rsidRPr="003568D9" w:rsidRDefault="005D0331" w:rsidP="005D0331">
      <w:pPr>
        <w:jc w:val="both"/>
        <w:rPr>
          <w:rStyle w:val="normaltextrun"/>
          <w:rFonts w:ascii="Arial" w:eastAsia="Times New Roman" w:hAnsi="Arial" w:cs="Arial"/>
          <w:color w:val="000000" w:themeColor="text1"/>
          <w:sz w:val="20"/>
          <w:szCs w:val="20"/>
          <w:lang w:eastAsia="es-CO"/>
        </w:rPr>
      </w:pPr>
      <w:r w:rsidRPr="003568D9">
        <w:rPr>
          <w:rStyle w:val="normaltextrun"/>
          <w:rFonts w:ascii="Arial" w:eastAsia="Times New Roman" w:hAnsi="Arial" w:cs="Arial"/>
          <w:color w:val="000000" w:themeColor="text1"/>
          <w:sz w:val="20"/>
          <w:szCs w:val="20"/>
          <w:lang w:eastAsia="es-CO"/>
        </w:rPr>
        <w:t xml:space="preserve">La plataforma SECOP II es totalmente transaccional, por lo que el trámite se realiza en línea y la publicidad de las actuaciones es concomitante, según transcurran cada una de las etapas del procedimiento, lo que descarta, en principio, la necesidad cargar documentación alguna. […] No obstante, eventualmente puede ocurrir que al SECOP II se deban cargar documentos suscritos o no por las partes. Esto ocurre, por ejemplo, con los estudios previos, el informe de evaluación, la </w:t>
      </w:r>
      <w:r w:rsidRPr="003568D9">
        <w:rPr>
          <w:rStyle w:val="normaltextrun"/>
          <w:rFonts w:ascii="Arial" w:eastAsia="Times New Roman" w:hAnsi="Arial" w:cs="Arial"/>
          <w:color w:val="000000" w:themeColor="text1"/>
          <w:sz w:val="20"/>
          <w:szCs w:val="20"/>
          <w:lang w:eastAsia="es-CO"/>
        </w:rPr>
        <w:lastRenderedPageBreak/>
        <w:t xml:space="preserve">resolución de adjudicación o con el clausulado del contrato, entre otras actuaciones en las que los usuarios quedan habilitados para cargar documentos en la plataforma. </w:t>
      </w:r>
    </w:p>
    <w:p w14:paraId="555FC20C" w14:textId="77777777" w:rsidR="005D0331" w:rsidRPr="003568D9" w:rsidRDefault="005D0331" w:rsidP="005D0331">
      <w:pPr>
        <w:jc w:val="both"/>
        <w:rPr>
          <w:rStyle w:val="eop"/>
          <w:rFonts w:ascii="Arial" w:hAnsi="Arial" w:cs="Arial"/>
          <w:color w:val="000000" w:themeColor="text1"/>
          <w:shd w:val="clear" w:color="auto" w:fill="FFFFFF"/>
        </w:rPr>
      </w:pPr>
      <w:r w:rsidRPr="003568D9">
        <w:rPr>
          <w:rStyle w:val="normaltextrun"/>
          <w:rFonts w:ascii="Arial" w:hAnsi="Arial" w:cs="Arial"/>
          <w:b/>
          <w:bCs/>
          <w:color w:val="000000" w:themeColor="text1"/>
          <w:shd w:val="clear" w:color="auto" w:fill="FFFFFF"/>
          <w:lang w:val="es-ES"/>
        </w:rPr>
        <w:t>SECOP II </w:t>
      </w:r>
      <w:r w:rsidRPr="003568D9">
        <w:rPr>
          <w:rStyle w:val="normaltextrun"/>
          <w:rFonts w:ascii="Arial" w:hAnsi="Arial" w:cs="Arial"/>
          <w:b/>
          <w:bCs/>
          <w:color w:val="000000" w:themeColor="text1"/>
          <w:shd w:val="clear" w:color="auto" w:fill="FFFFFF"/>
        </w:rPr>
        <w:t>–</w:t>
      </w:r>
      <w:r w:rsidRPr="003568D9">
        <w:rPr>
          <w:rStyle w:val="normaltextrun"/>
          <w:rFonts w:ascii="Arial" w:hAnsi="Arial" w:cs="Arial"/>
          <w:b/>
          <w:bCs/>
          <w:color w:val="000000" w:themeColor="text1"/>
          <w:shd w:val="clear" w:color="auto" w:fill="FFFFFF"/>
          <w:lang w:val="es-ES"/>
        </w:rPr>
        <w:t xml:space="preserve"> Cargue </w:t>
      </w:r>
      <w:r w:rsidRPr="003568D9">
        <w:rPr>
          <w:rFonts w:ascii="Arial" w:eastAsia="Arial" w:hAnsi="Arial" w:cs="Arial"/>
          <w:b/>
          <w:bCs/>
        </w:rPr>
        <w:t>–</w:t>
      </w:r>
      <w:r w:rsidRPr="003568D9">
        <w:rPr>
          <w:rStyle w:val="normaltextrun"/>
          <w:rFonts w:ascii="Arial" w:hAnsi="Arial" w:cs="Arial"/>
          <w:b/>
          <w:bCs/>
          <w:color w:val="000000" w:themeColor="text1"/>
          <w:shd w:val="clear" w:color="auto" w:fill="FFFFFF"/>
          <w:lang w:val="es-ES"/>
        </w:rPr>
        <w:t xml:space="preserve"> Documentos adicionales </w:t>
      </w:r>
      <w:r w:rsidRPr="003568D9">
        <w:rPr>
          <w:rStyle w:val="normaltextrun"/>
          <w:rFonts w:ascii="Arial" w:hAnsi="Arial" w:cs="Arial"/>
          <w:b/>
          <w:bCs/>
          <w:color w:val="000000" w:themeColor="text1"/>
          <w:shd w:val="clear" w:color="auto" w:fill="FFFFFF"/>
        </w:rPr>
        <w:t>–</w:t>
      </w:r>
      <w:r w:rsidRPr="003568D9">
        <w:rPr>
          <w:rStyle w:val="normaltextrun"/>
          <w:rFonts w:ascii="Arial" w:hAnsi="Arial" w:cs="Arial"/>
          <w:b/>
          <w:bCs/>
          <w:color w:val="000000" w:themeColor="text1"/>
          <w:shd w:val="clear" w:color="auto" w:fill="FFFFFF"/>
          <w:lang w:val="es-ES"/>
        </w:rPr>
        <w:t> Contrato electrónico</w:t>
      </w:r>
      <w:r w:rsidRPr="003568D9">
        <w:rPr>
          <w:rStyle w:val="eop"/>
          <w:rFonts w:ascii="Arial" w:hAnsi="Arial" w:cs="Arial"/>
          <w:color w:val="000000" w:themeColor="text1"/>
          <w:shd w:val="clear" w:color="auto" w:fill="FFFFFF"/>
        </w:rPr>
        <w:t> </w:t>
      </w:r>
    </w:p>
    <w:p w14:paraId="55A41C14" w14:textId="77777777" w:rsidR="005D0331" w:rsidRPr="003568D9" w:rsidRDefault="005D0331" w:rsidP="005D0331">
      <w:pPr>
        <w:jc w:val="both"/>
        <w:rPr>
          <w:rStyle w:val="normaltextrun"/>
          <w:rFonts w:ascii="Arial" w:eastAsia="Times New Roman" w:hAnsi="Arial" w:cs="Arial"/>
          <w:color w:val="000000" w:themeColor="text1"/>
          <w:sz w:val="20"/>
          <w:szCs w:val="20"/>
          <w:lang w:eastAsia="es-CO"/>
        </w:rPr>
      </w:pPr>
      <w:r w:rsidRPr="003568D9">
        <w:rPr>
          <w:rStyle w:val="normaltextrun"/>
          <w:rFonts w:ascii="Arial" w:eastAsia="Times New Roman" w:hAnsi="Arial" w:cs="Arial"/>
          <w:color w:val="000000" w:themeColor="text1"/>
          <w:sz w:val="20"/>
          <w:szCs w:val="20"/>
          <w:lang w:eastAsia="es-CO"/>
        </w:rPr>
        <w:t xml:space="preserve">La Guía para hacer la gestión contractual en el SECOP II de Colombia Compra Eficiente señala el contenido de cada sección del contrato electrónico y cómo debe ser diligenciado; no obstante, puede ocurrir que sea necesario cargar documentos que por su contenido no se reflejan en el formulario generado automáticamente por la plataforma una vez adjudicado el proceso. Lo anterior es el caso de, entre otras, el clausulado del contrato. </w:t>
      </w:r>
    </w:p>
    <w:p w14:paraId="13D5FD51" w14:textId="77777777" w:rsidR="005D0331" w:rsidRPr="003568D9" w:rsidRDefault="005D0331" w:rsidP="005D0331">
      <w:pPr>
        <w:jc w:val="both"/>
        <w:rPr>
          <w:rStyle w:val="normaltextrun"/>
          <w:rFonts w:ascii="Arial" w:eastAsia="Times New Roman" w:hAnsi="Arial" w:cs="Arial"/>
          <w:color w:val="000000" w:themeColor="text1"/>
          <w:sz w:val="20"/>
          <w:szCs w:val="20"/>
          <w:lang w:eastAsia="es-CO"/>
        </w:rPr>
      </w:pPr>
    </w:p>
    <w:p w14:paraId="1363BBEF" w14:textId="77777777" w:rsidR="005D0331" w:rsidRPr="003568D9" w:rsidRDefault="005D0331" w:rsidP="005D0331">
      <w:pPr>
        <w:jc w:val="both"/>
        <w:rPr>
          <w:rStyle w:val="normaltextrun"/>
          <w:rFonts w:ascii="Arial" w:eastAsia="Times New Roman" w:hAnsi="Arial" w:cs="Arial"/>
          <w:color w:val="000000" w:themeColor="text1"/>
          <w:sz w:val="20"/>
          <w:szCs w:val="20"/>
          <w:lang w:eastAsia="es-CO"/>
        </w:rPr>
      </w:pPr>
      <w:r w:rsidRPr="003568D9">
        <w:rPr>
          <w:rStyle w:val="normaltextrun"/>
          <w:rFonts w:ascii="Arial" w:eastAsia="Times New Roman" w:hAnsi="Arial" w:cs="Arial"/>
          <w:color w:val="000000" w:themeColor="text1"/>
          <w:sz w:val="20"/>
          <w:szCs w:val="20"/>
          <w:lang w:eastAsia="es-CO"/>
        </w:rPr>
        <w:t>Como consecuencia de lo anterior, la entidad, en los casos en que los campos generados en el contrato electrónico en edición no sean suficientes para publicar la totalidad de las cláusulas contractuales o información contractual relevante, debe cargar dicha información a través de la sección «v) documentos del contrato».</w:t>
      </w:r>
    </w:p>
    <w:p w14:paraId="742D7971" w14:textId="77777777" w:rsidR="005D0331" w:rsidRPr="003568D9" w:rsidRDefault="005D0331" w:rsidP="005D0331">
      <w:pPr>
        <w:jc w:val="both"/>
        <w:rPr>
          <w:rStyle w:val="normaltextrun"/>
          <w:rFonts w:ascii="Arial" w:eastAsia="Times New Roman" w:hAnsi="Arial" w:cs="Arial"/>
          <w:color w:val="000000" w:themeColor="text1"/>
          <w:sz w:val="20"/>
          <w:szCs w:val="20"/>
          <w:lang w:val="es-ES" w:eastAsia="es-CO"/>
        </w:rPr>
      </w:pPr>
    </w:p>
    <w:p w14:paraId="0F98D80B" w14:textId="77777777" w:rsidR="005D0331" w:rsidRPr="003568D9" w:rsidRDefault="005D0331" w:rsidP="005D0331">
      <w:pPr>
        <w:jc w:val="both"/>
        <w:rPr>
          <w:rStyle w:val="normaltextrun"/>
          <w:rFonts w:ascii="Arial" w:hAnsi="Arial" w:cs="Arial"/>
          <w:b/>
          <w:bCs/>
          <w:color w:val="000000" w:themeColor="text1"/>
          <w:shd w:val="clear" w:color="auto" w:fill="FFFFFF"/>
          <w:lang w:val="es-ES"/>
        </w:rPr>
      </w:pPr>
      <w:r w:rsidRPr="003568D9">
        <w:rPr>
          <w:rStyle w:val="normaltextrun"/>
          <w:rFonts w:ascii="Arial" w:hAnsi="Arial" w:cs="Arial"/>
          <w:b/>
          <w:bCs/>
          <w:color w:val="000000" w:themeColor="text1"/>
          <w:shd w:val="clear" w:color="auto" w:fill="FFFFFF"/>
          <w:lang w:val="es-ES"/>
        </w:rPr>
        <w:t>SECOP II </w:t>
      </w:r>
      <w:r w:rsidRPr="003568D9">
        <w:rPr>
          <w:rStyle w:val="normaltextrun"/>
          <w:rFonts w:ascii="Arial" w:hAnsi="Arial" w:cs="Arial"/>
          <w:b/>
          <w:bCs/>
          <w:color w:val="000000" w:themeColor="text1"/>
          <w:shd w:val="clear" w:color="auto" w:fill="FFFFFF"/>
        </w:rPr>
        <w:t>–</w:t>
      </w:r>
      <w:r w:rsidRPr="003568D9">
        <w:rPr>
          <w:rStyle w:val="normaltextrun"/>
          <w:rFonts w:ascii="Arial" w:hAnsi="Arial" w:cs="Arial"/>
          <w:b/>
          <w:bCs/>
          <w:color w:val="000000" w:themeColor="text1"/>
          <w:shd w:val="clear" w:color="auto" w:fill="FFFFFF"/>
          <w:lang w:val="es-ES"/>
        </w:rPr>
        <w:t> Contrato electrónico ‒ Composición</w:t>
      </w:r>
    </w:p>
    <w:p w14:paraId="75A4D85D" w14:textId="77777777" w:rsidR="005D0331" w:rsidRPr="003568D9" w:rsidRDefault="005D0331" w:rsidP="005D0331">
      <w:pPr>
        <w:jc w:val="both"/>
        <w:rPr>
          <w:rStyle w:val="normaltextrun"/>
          <w:rFonts w:ascii="Arial" w:eastAsia="Times New Roman" w:hAnsi="Arial" w:cs="Arial"/>
          <w:color w:val="000000" w:themeColor="text1"/>
          <w:sz w:val="20"/>
          <w:szCs w:val="20"/>
          <w:lang w:eastAsia="es-CO"/>
        </w:rPr>
      </w:pPr>
      <w:r w:rsidRPr="003568D9">
        <w:rPr>
          <w:rStyle w:val="normaltextrun"/>
          <w:rFonts w:ascii="Arial" w:eastAsia="Times New Roman" w:hAnsi="Arial" w:cs="Arial"/>
          <w:color w:val="000000" w:themeColor="text1"/>
          <w:sz w:val="20"/>
          <w:szCs w:val="20"/>
          <w:lang w:eastAsia="es-CO"/>
        </w:rPr>
        <w:t xml:space="preserve">De esta forma, los contratos en SECOP II están compuestos por: i) los mensajes de datos que la entidad envía al proveedor como «contrato», es decir, el formulario ‒correspondiente a las nueve secciones mencionadas‒, y los anexos ‒documentos que se cargan en la sección «v) documentos del contrato»‒ y, ii) por el mensaje de datos de aceptación por parte del proveedor, información que, sumada al sello de tiempo que provee la plataforma, configura el contrato electrónico, el cual tiene plena validez y fuerza obligatoria.  </w:t>
      </w:r>
    </w:p>
    <w:p w14:paraId="500D54BB" w14:textId="77777777" w:rsidR="005D0331" w:rsidRPr="003568D9" w:rsidRDefault="005D0331" w:rsidP="005D0331">
      <w:pPr>
        <w:jc w:val="both"/>
        <w:rPr>
          <w:rStyle w:val="normaltextrun"/>
          <w:rFonts w:ascii="Arial" w:eastAsia="Times New Roman" w:hAnsi="Arial" w:cs="Arial"/>
          <w:color w:val="000000" w:themeColor="text1"/>
          <w:sz w:val="20"/>
          <w:szCs w:val="20"/>
          <w:lang w:eastAsia="es-CO"/>
        </w:rPr>
      </w:pPr>
    </w:p>
    <w:p w14:paraId="2A7867F8" w14:textId="77777777" w:rsidR="005D0331" w:rsidRPr="003568D9" w:rsidRDefault="005D0331" w:rsidP="005D0331">
      <w:pPr>
        <w:spacing w:after="0" w:line="240" w:lineRule="auto"/>
        <w:jc w:val="both"/>
        <w:rPr>
          <w:rFonts w:ascii="Arial" w:hAnsi="Arial" w:cs="Arial"/>
          <w:b/>
          <w:szCs w:val="24"/>
          <w:lang w:val="es-ES_tradnl" w:eastAsia="es-ES_tradnl" w:bidi="es-ES"/>
        </w:rPr>
      </w:pPr>
      <w:r w:rsidRPr="003568D9">
        <w:rPr>
          <w:rFonts w:ascii="Arial" w:hAnsi="Arial" w:cs="Arial"/>
          <w:b/>
          <w:szCs w:val="24"/>
          <w:lang w:val="es-ES_tradnl" w:eastAsia="es-ES_tradnl" w:bidi="es-ES"/>
        </w:rPr>
        <w:t>MODIFICACION DE LOS CONTRATOS ESTATALES – Procedencia – Límites</w:t>
      </w:r>
    </w:p>
    <w:p w14:paraId="68396D5B" w14:textId="77777777" w:rsidR="005D0331" w:rsidRPr="003568D9" w:rsidRDefault="005D0331" w:rsidP="005D0331">
      <w:pPr>
        <w:spacing w:after="0" w:line="240" w:lineRule="auto"/>
        <w:jc w:val="both"/>
        <w:rPr>
          <w:rFonts w:ascii="Arial" w:hAnsi="Arial" w:cs="Arial"/>
          <w:b/>
          <w:szCs w:val="24"/>
          <w:lang w:val="es-MX" w:eastAsia="es-ES_tradnl"/>
        </w:rPr>
      </w:pPr>
    </w:p>
    <w:p w14:paraId="7E253B35" w14:textId="77777777" w:rsidR="005D0331" w:rsidRPr="003568D9" w:rsidRDefault="005D0331" w:rsidP="005D0331">
      <w:pPr>
        <w:spacing w:after="0" w:line="240" w:lineRule="auto"/>
        <w:jc w:val="both"/>
        <w:rPr>
          <w:rFonts w:ascii="Arial" w:hAnsi="Arial" w:cs="Arial"/>
          <w:bCs/>
          <w:sz w:val="20"/>
          <w:szCs w:val="20"/>
          <w:lang w:val="es-ES_tradnl" w:eastAsia="es-ES_tradnl" w:bidi="es-ES"/>
        </w:rPr>
      </w:pPr>
      <w:r w:rsidRPr="003568D9">
        <w:rPr>
          <w:rFonts w:ascii="Arial" w:hAnsi="Arial" w:cs="Arial"/>
          <w:bCs/>
          <w:sz w:val="20"/>
          <w:szCs w:val="20"/>
          <w:lang w:val="es-ES_tradnl" w:eastAsia="es-ES_tradnl" w:bidi="es-ES"/>
        </w:rPr>
        <w:t xml:space="preserve">Conforme a la regulación legal y a la interpretación que de la misma han hecho el Consejo de Estado y la Corte Constitucional, la cual se comparte por esta Agencia, es viable jurídicamente modificar los contratos estatales, pero esta medida tienen carácter excepcional y solo procede cuando con ella se pretenda garantizar el interés público, cuando la entidad haya verificado y así pueda constatarse por cualquier que la causa de la modificación es real y cierta y cuando se deriva de previsiones legales, esto es, cuando la modificación encuentra sustento no solo en circunstancias fácticas propias de la ejecución del contrato, sino, además, cuando tales situaciones ponen de presente la necesidad de dar cumplimiento a previsiones establecidas por el legislador. Así las cosas, para establecer si un contrato determinado puede ser susceptible de modificación, se hace necesario que la Administración analice, en cada caso, la concurrencia de los aspectos antes referidos.  </w:t>
      </w:r>
    </w:p>
    <w:p w14:paraId="755D69D2" w14:textId="77777777" w:rsidR="005D0331" w:rsidRPr="003568D9" w:rsidRDefault="005D0331" w:rsidP="005D0331">
      <w:pPr>
        <w:jc w:val="both"/>
        <w:rPr>
          <w:rStyle w:val="normaltextrun"/>
          <w:rFonts w:ascii="Arial" w:eastAsia="Times New Roman" w:hAnsi="Arial" w:cs="Arial"/>
          <w:color w:val="000000" w:themeColor="text1"/>
          <w:sz w:val="20"/>
          <w:szCs w:val="20"/>
          <w:lang w:eastAsia="es-CO"/>
        </w:rPr>
      </w:pPr>
    </w:p>
    <w:p w14:paraId="1BB18A03" w14:textId="77777777" w:rsidR="005D0331" w:rsidRPr="003568D9" w:rsidRDefault="005D0331" w:rsidP="005D0331">
      <w:pPr>
        <w:jc w:val="both"/>
        <w:rPr>
          <w:rStyle w:val="normaltextrun"/>
          <w:rFonts w:ascii="Arial" w:eastAsia="Times New Roman" w:hAnsi="Arial" w:cs="Arial"/>
          <w:color w:val="000000" w:themeColor="text1"/>
          <w:sz w:val="20"/>
          <w:szCs w:val="20"/>
          <w:lang w:eastAsia="es-CO"/>
        </w:rPr>
      </w:pPr>
    </w:p>
    <w:p w14:paraId="05085E26" w14:textId="77777777" w:rsidR="005D0331" w:rsidRPr="003568D9" w:rsidRDefault="005D0331" w:rsidP="005D0331">
      <w:pPr>
        <w:spacing w:after="0" w:line="240" w:lineRule="auto"/>
        <w:rPr>
          <w:rFonts w:ascii="Arial" w:eastAsia="Geomanist Light" w:hAnsi="Arial" w:cs="Arial"/>
          <w:sz w:val="20"/>
          <w:szCs w:val="20"/>
          <w:lang w:val="es-MX"/>
        </w:rPr>
      </w:pPr>
    </w:p>
    <w:p w14:paraId="2D108F1A" w14:textId="77777777" w:rsidR="005D0331" w:rsidRPr="003568D9" w:rsidRDefault="005D0331" w:rsidP="005D0331">
      <w:pPr>
        <w:rPr>
          <w:rFonts w:ascii="Arial" w:eastAsia="Geomanist Light" w:hAnsi="Arial" w:cs="Arial"/>
          <w:lang w:val="es-MX"/>
        </w:rPr>
      </w:pPr>
    </w:p>
    <w:p w14:paraId="6F4EB43B" w14:textId="77777777" w:rsidR="005D0331" w:rsidRPr="003568D9" w:rsidRDefault="005D0331" w:rsidP="005D0331">
      <w:pPr>
        <w:spacing w:after="0"/>
        <w:rPr>
          <w:rFonts w:ascii="Arial" w:eastAsia="Geomanist Light" w:hAnsi="Arial" w:cs="Arial"/>
          <w:lang w:val="es-MX"/>
        </w:rPr>
      </w:pPr>
    </w:p>
    <w:p w14:paraId="396528D4" w14:textId="77777777" w:rsidR="005D0331" w:rsidRPr="003568D9" w:rsidRDefault="005D0331" w:rsidP="005D0331">
      <w:pPr>
        <w:spacing w:after="0"/>
        <w:rPr>
          <w:rFonts w:ascii="Arial" w:eastAsia="Geomanist Light" w:hAnsi="Arial" w:cs="Arial"/>
          <w:lang w:val="es-MX"/>
        </w:rPr>
      </w:pPr>
    </w:p>
    <w:p w14:paraId="78DC2E58" w14:textId="77777777" w:rsidR="005D0331" w:rsidRPr="003568D9" w:rsidRDefault="005D0331" w:rsidP="005D0331">
      <w:pPr>
        <w:spacing w:after="0"/>
        <w:rPr>
          <w:rFonts w:ascii="Arial" w:eastAsia="Geomanist Light" w:hAnsi="Arial" w:cs="Arial"/>
          <w:lang w:val="es-MX"/>
        </w:rPr>
      </w:pPr>
    </w:p>
    <w:p w14:paraId="31EAE44D" w14:textId="1A260798" w:rsidR="005D0331" w:rsidRDefault="005D0331" w:rsidP="005D0331">
      <w:pPr>
        <w:spacing w:after="0"/>
        <w:rPr>
          <w:rFonts w:ascii="Arial" w:eastAsia="Geomanist Light" w:hAnsi="Arial" w:cs="Arial"/>
          <w:lang w:val="es-MX"/>
        </w:rPr>
      </w:pPr>
      <w:r w:rsidRPr="003568D9">
        <w:rPr>
          <w:rFonts w:ascii="Arial" w:eastAsia="Geomanist Light" w:hAnsi="Arial" w:cs="Arial"/>
          <w:lang w:val="es-MX"/>
        </w:rPr>
        <w:t>Bogotá D.C., </w:t>
      </w:r>
      <w:r w:rsidR="004D1F52">
        <w:rPr>
          <w:rFonts w:ascii="Arial" w:eastAsia="Geomanist Light" w:hAnsi="Arial" w:cs="Arial"/>
          <w:lang w:val="es-MX"/>
        </w:rPr>
        <w:t xml:space="preserve">7 de Septiembre de 2023 </w:t>
      </w:r>
    </w:p>
    <w:p w14:paraId="721B4C9A" w14:textId="77777777" w:rsidR="00B80E85" w:rsidRDefault="00B80E85" w:rsidP="005D0331">
      <w:pPr>
        <w:spacing w:after="0"/>
        <w:rPr>
          <w:rFonts w:ascii="Arial" w:eastAsia="Geomanist Light" w:hAnsi="Arial" w:cs="Arial"/>
          <w:lang w:val="es-MX"/>
        </w:rPr>
      </w:pPr>
    </w:p>
    <w:p w14:paraId="45A1E8B0" w14:textId="050BADC6" w:rsidR="00B80E85" w:rsidRPr="003568D9" w:rsidRDefault="00B80E85" w:rsidP="00B80E85">
      <w:pPr>
        <w:spacing w:after="0"/>
        <w:jc w:val="right"/>
        <w:rPr>
          <w:rFonts w:ascii="Arial" w:eastAsia="Geomanist Light" w:hAnsi="Arial" w:cs="Arial"/>
          <w:lang w:val="es-MX"/>
        </w:rPr>
      </w:pPr>
      <w:r w:rsidRPr="00B80E85">
        <w:rPr>
          <w:rFonts w:ascii="Arial" w:eastAsia="Geomanist Light" w:hAnsi="Arial" w:cs="Arial"/>
          <w:noProof/>
          <w:lang w:val="es-MX"/>
        </w:rPr>
        <w:drawing>
          <wp:inline distT="0" distB="0" distL="0" distR="0" wp14:anchorId="7BCC62FE" wp14:editId="3F047487">
            <wp:extent cx="3220085" cy="597877"/>
            <wp:effectExtent l="0" t="0" r="0" b="0"/>
            <wp:docPr id="44337155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39469" cy="601476"/>
                    </a:xfrm>
                    <a:prstGeom prst="rect">
                      <a:avLst/>
                    </a:prstGeom>
                    <a:noFill/>
                    <a:ln>
                      <a:noFill/>
                    </a:ln>
                  </pic:spPr>
                </pic:pic>
              </a:graphicData>
            </a:graphic>
          </wp:inline>
        </w:drawing>
      </w:r>
    </w:p>
    <w:p w14:paraId="1B451B0B" w14:textId="77777777" w:rsidR="005D0331" w:rsidRPr="003568D9" w:rsidRDefault="005D0331" w:rsidP="005D0331">
      <w:pPr>
        <w:spacing w:after="0" w:line="240" w:lineRule="auto"/>
        <w:contextualSpacing/>
        <w:jc w:val="both"/>
        <w:rPr>
          <w:rFonts w:ascii="Arial" w:eastAsia="Calibri" w:hAnsi="Arial" w:cs="Arial"/>
        </w:rPr>
      </w:pPr>
    </w:p>
    <w:p w14:paraId="452B29E5" w14:textId="77777777" w:rsidR="005D0331" w:rsidRPr="003568D9" w:rsidRDefault="005D0331" w:rsidP="005D0331">
      <w:pPr>
        <w:spacing w:after="0" w:line="276" w:lineRule="auto"/>
        <w:contextualSpacing/>
        <w:jc w:val="both"/>
        <w:rPr>
          <w:rFonts w:ascii="Arial" w:eastAsia="Calibri" w:hAnsi="Arial" w:cs="Arial"/>
        </w:rPr>
      </w:pPr>
      <w:r w:rsidRPr="003568D9">
        <w:rPr>
          <w:rFonts w:ascii="Arial" w:eastAsia="Calibri" w:hAnsi="Arial" w:cs="Arial"/>
        </w:rPr>
        <w:t>Señor</w:t>
      </w:r>
    </w:p>
    <w:p w14:paraId="23F3192C" w14:textId="77777777" w:rsidR="005D0331" w:rsidRPr="003568D9" w:rsidRDefault="005D0331" w:rsidP="005D0331">
      <w:pPr>
        <w:autoSpaceDE w:val="0"/>
        <w:autoSpaceDN w:val="0"/>
        <w:adjustRightInd w:val="0"/>
        <w:spacing w:after="0" w:line="240" w:lineRule="auto"/>
        <w:rPr>
          <w:rFonts w:ascii="Arial-BoldMT" w:hAnsi="Arial-BoldMT" w:cs="Arial-BoldMT"/>
          <w:b/>
          <w:bCs/>
          <w:sz w:val="24"/>
          <w:szCs w:val="24"/>
          <w14:ligatures w14:val="standardContextual"/>
        </w:rPr>
      </w:pPr>
      <w:r w:rsidRPr="003568D9">
        <w:rPr>
          <w:rFonts w:ascii="Arial-BoldMT" w:hAnsi="Arial-BoldMT" w:cs="Arial-BoldMT"/>
          <w:b/>
          <w:bCs/>
          <w:sz w:val="24"/>
          <w:szCs w:val="24"/>
          <w14:ligatures w14:val="standardContextual"/>
        </w:rPr>
        <w:t>EDWIN CAMILO CASTILLO MOLINA</w:t>
      </w:r>
    </w:p>
    <w:p w14:paraId="401984CD" w14:textId="77777777" w:rsidR="005D0331" w:rsidRPr="003568D9" w:rsidRDefault="005D2060" w:rsidP="005D0331">
      <w:pPr>
        <w:spacing w:after="0" w:line="276" w:lineRule="auto"/>
        <w:contextualSpacing/>
        <w:jc w:val="both"/>
        <w:rPr>
          <w:rFonts w:ascii="ArialMT" w:hAnsi="ArialMT" w:cs="ArialMT"/>
          <w:sz w:val="24"/>
          <w:szCs w:val="24"/>
          <w14:ligatures w14:val="standardContextual"/>
        </w:rPr>
      </w:pPr>
      <w:hyperlink r:id="rId7" w:history="1">
        <w:r w:rsidR="005D0331" w:rsidRPr="003568D9">
          <w:rPr>
            <w:rStyle w:val="Hipervnculo"/>
            <w:rFonts w:ascii="ArialMT" w:hAnsi="ArialMT" w:cs="ArialMT"/>
            <w:sz w:val="24"/>
            <w:szCs w:val="24"/>
            <w14:ligatures w14:val="standardContextual"/>
          </w:rPr>
          <w:t>edcastillo@mindeporte.gov.co</w:t>
        </w:r>
      </w:hyperlink>
    </w:p>
    <w:p w14:paraId="2E0881D1" w14:textId="77777777" w:rsidR="005D0331" w:rsidRPr="003568D9" w:rsidRDefault="005D0331" w:rsidP="005D0331">
      <w:pPr>
        <w:spacing w:after="0" w:line="276" w:lineRule="auto"/>
        <w:contextualSpacing/>
        <w:jc w:val="both"/>
        <w:rPr>
          <w:rFonts w:ascii="Arial" w:eastAsia="Calibri" w:hAnsi="Arial" w:cs="Arial"/>
        </w:rPr>
      </w:pPr>
      <w:r w:rsidRPr="003568D9">
        <w:rPr>
          <w:rFonts w:ascii="ArialMT" w:hAnsi="ArialMT" w:cs="ArialMT"/>
          <w:sz w:val="24"/>
          <w:szCs w:val="24"/>
          <w14:ligatures w14:val="standardContextual"/>
        </w:rPr>
        <w:t xml:space="preserve">Ciudad </w:t>
      </w:r>
    </w:p>
    <w:p w14:paraId="1769047F" w14:textId="77777777" w:rsidR="005D0331" w:rsidRPr="003568D9" w:rsidRDefault="005D0331" w:rsidP="005D0331">
      <w:pPr>
        <w:spacing w:after="0" w:line="276" w:lineRule="auto"/>
        <w:contextualSpacing/>
        <w:jc w:val="both"/>
        <w:rPr>
          <w:rFonts w:ascii="Arial" w:eastAsia="Calibri" w:hAnsi="Arial" w:cs="Arial"/>
        </w:rPr>
      </w:pPr>
    </w:p>
    <w:p w14:paraId="32DE403F" w14:textId="77777777" w:rsidR="005D0331" w:rsidRPr="003568D9" w:rsidRDefault="005D0331" w:rsidP="005D0331">
      <w:pPr>
        <w:spacing w:after="0" w:line="240" w:lineRule="auto"/>
        <w:contextualSpacing/>
        <w:jc w:val="both"/>
        <w:rPr>
          <w:rFonts w:ascii="Arial" w:eastAsia="Calibri" w:hAnsi="Arial" w:cs="Arial"/>
        </w:rPr>
      </w:pPr>
      <w:r w:rsidRPr="003568D9">
        <w:rPr>
          <w:rFonts w:ascii="Arial" w:eastAsia="Calibri" w:hAnsi="Arial" w:cs="Arial"/>
        </w:rPr>
        <w:t xml:space="preserve">                                            </w:t>
      </w:r>
      <w:r w:rsidRPr="003568D9">
        <w:rPr>
          <w:rFonts w:ascii="Arial" w:eastAsia="Calibri" w:hAnsi="Arial" w:cs="Arial"/>
          <w:b/>
        </w:rPr>
        <w:t>Concepto C–365 de 2023</w:t>
      </w:r>
    </w:p>
    <w:p w14:paraId="13538F00" w14:textId="77777777" w:rsidR="005D0331" w:rsidRPr="003568D9" w:rsidRDefault="005D0331" w:rsidP="005D0331">
      <w:pPr>
        <w:spacing w:after="0" w:line="240" w:lineRule="auto"/>
        <w:contextualSpacing/>
        <w:jc w:val="both"/>
        <w:rPr>
          <w:rFonts w:ascii="Arial" w:eastAsia="Calibri" w:hAnsi="Arial" w:cs="Arial"/>
          <w:b/>
        </w:rPr>
      </w:pPr>
    </w:p>
    <w:p w14:paraId="07A1ABE0" w14:textId="77777777" w:rsidR="005D0331" w:rsidRPr="003568D9" w:rsidRDefault="005D0331" w:rsidP="005D0331">
      <w:pPr>
        <w:spacing w:after="0" w:line="240" w:lineRule="auto"/>
        <w:contextualSpacing/>
        <w:jc w:val="both"/>
        <w:rPr>
          <w:rFonts w:ascii="Arial" w:eastAsia="Calibri" w:hAnsi="Arial" w:cs="Arial"/>
          <w:b/>
        </w:rPr>
      </w:pPr>
    </w:p>
    <w:tbl>
      <w:tblPr>
        <w:tblStyle w:val="Tablaconcuadrcula11"/>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5D0331" w:rsidRPr="003568D9" w14:paraId="21F37D37" w14:textId="77777777" w:rsidTr="008277D4">
        <w:trPr>
          <w:trHeight w:val="485"/>
        </w:trPr>
        <w:tc>
          <w:tcPr>
            <w:tcW w:w="2689" w:type="dxa"/>
            <w:hideMark/>
          </w:tcPr>
          <w:p w14:paraId="604B5EAE" w14:textId="77777777" w:rsidR="005D0331" w:rsidRPr="003568D9" w:rsidRDefault="005D0331" w:rsidP="008277D4">
            <w:pPr>
              <w:rPr>
                <w:rFonts w:ascii="Arial" w:eastAsia="Calibri" w:hAnsi="Arial" w:cs="Arial"/>
                <w:noProof/>
                <w:lang w:val="es-ES_tradnl"/>
              </w:rPr>
            </w:pPr>
            <w:r w:rsidRPr="003568D9">
              <w:rPr>
                <w:rFonts w:ascii="Arial" w:eastAsia="Calibri" w:hAnsi="Arial" w:cs="Arial"/>
                <w:b/>
                <w:noProof/>
                <w:lang w:val="es-ES_tradnl"/>
              </w:rPr>
              <w:t>Temas:</w:t>
            </w:r>
            <w:r w:rsidRPr="003568D9">
              <w:rPr>
                <w:rFonts w:ascii="Arial" w:eastAsia="Calibri" w:hAnsi="Arial" w:cs="Arial"/>
                <w:noProof/>
                <w:lang w:val="es-ES_tradnl"/>
              </w:rPr>
              <w:t xml:space="preserve">        </w:t>
            </w:r>
          </w:p>
        </w:tc>
        <w:tc>
          <w:tcPr>
            <w:tcW w:w="6237" w:type="dxa"/>
            <w:hideMark/>
          </w:tcPr>
          <w:p w14:paraId="467C1CCA" w14:textId="77777777" w:rsidR="005D0331" w:rsidRPr="003568D9" w:rsidRDefault="005D0331" w:rsidP="008277D4">
            <w:pPr>
              <w:jc w:val="both"/>
              <w:rPr>
                <w:rFonts w:ascii="Arial" w:eastAsia="Calibri" w:hAnsi="Arial" w:cs="Arial"/>
                <w:lang w:val="es-ES"/>
              </w:rPr>
            </w:pPr>
            <w:r w:rsidRPr="003568D9">
              <w:rPr>
                <w:rStyle w:val="normaltextrun"/>
                <w:rFonts w:ascii="Arial" w:hAnsi="Arial" w:cs="Arial"/>
                <w:bCs/>
                <w:color w:val="000000" w:themeColor="text1"/>
                <w:shd w:val="clear" w:color="auto" w:fill="FFFFFF"/>
                <w:lang w:val="es-ES"/>
              </w:rPr>
              <w:t>SECOP II </w:t>
            </w:r>
            <w:r w:rsidRPr="003568D9">
              <w:rPr>
                <w:rStyle w:val="normaltextrun"/>
                <w:rFonts w:ascii="Arial" w:hAnsi="Arial" w:cs="Arial"/>
                <w:bCs/>
                <w:color w:val="000000" w:themeColor="text1"/>
                <w:shd w:val="clear" w:color="auto" w:fill="FFFFFF"/>
              </w:rPr>
              <w:t>–</w:t>
            </w:r>
            <w:r w:rsidRPr="003568D9">
              <w:rPr>
                <w:rStyle w:val="normaltextrun"/>
                <w:rFonts w:ascii="Arial" w:hAnsi="Arial" w:cs="Arial"/>
                <w:bCs/>
                <w:color w:val="000000" w:themeColor="text1"/>
                <w:shd w:val="clear" w:color="auto" w:fill="FFFFFF"/>
                <w:lang w:val="es-ES"/>
              </w:rPr>
              <w:t xml:space="preserve"> Cargue de documentos adicionales </w:t>
            </w:r>
            <w:r w:rsidRPr="003568D9">
              <w:rPr>
                <w:rStyle w:val="normaltextrun"/>
                <w:rFonts w:ascii="Arial" w:hAnsi="Arial" w:cs="Arial"/>
                <w:bCs/>
                <w:color w:val="000000" w:themeColor="text1"/>
                <w:shd w:val="clear" w:color="auto" w:fill="FFFFFF"/>
              </w:rPr>
              <w:t>–</w:t>
            </w:r>
            <w:r w:rsidRPr="003568D9">
              <w:rPr>
                <w:rStyle w:val="normaltextrun"/>
                <w:rFonts w:ascii="Arial" w:hAnsi="Arial" w:cs="Arial"/>
                <w:bCs/>
                <w:color w:val="000000" w:themeColor="text1"/>
                <w:shd w:val="clear" w:color="auto" w:fill="FFFFFF"/>
                <w:lang w:val="es-ES"/>
              </w:rPr>
              <w:t> Contrato electrónico</w:t>
            </w:r>
            <w:r w:rsidRPr="003568D9">
              <w:rPr>
                <w:rStyle w:val="eop"/>
                <w:rFonts w:ascii="Arial" w:hAnsi="Arial" w:cs="Arial"/>
                <w:color w:val="000000" w:themeColor="text1"/>
                <w:shd w:val="clear" w:color="auto" w:fill="FFFFFF"/>
              </w:rPr>
              <w:t xml:space="preserve"> / </w:t>
            </w:r>
            <w:r w:rsidRPr="003568D9">
              <w:rPr>
                <w:rStyle w:val="normaltextrun"/>
                <w:rFonts w:ascii="Arial" w:hAnsi="Arial" w:cs="Arial"/>
                <w:bCs/>
                <w:color w:val="000000" w:themeColor="text1"/>
                <w:shd w:val="clear" w:color="auto" w:fill="FFFFFF"/>
                <w:lang w:val="es-ES"/>
              </w:rPr>
              <w:t>SECOP II </w:t>
            </w:r>
            <w:r w:rsidRPr="003568D9">
              <w:rPr>
                <w:rStyle w:val="normaltextrun"/>
                <w:rFonts w:ascii="Arial" w:hAnsi="Arial" w:cs="Arial"/>
                <w:bCs/>
                <w:color w:val="000000" w:themeColor="text1"/>
                <w:shd w:val="clear" w:color="auto" w:fill="FFFFFF"/>
              </w:rPr>
              <w:t>–</w:t>
            </w:r>
            <w:r w:rsidRPr="003568D9">
              <w:rPr>
                <w:rStyle w:val="normaltextrun"/>
                <w:rFonts w:ascii="Arial" w:hAnsi="Arial" w:cs="Arial"/>
                <w:bCs/>
                <w:color w:val="000000" w:themeColor="text1"/>
                <w:shd w:val="clear" w:color="auto" w:fill="FFFFFF"/>
                <w:lang w:val="es-ES"/>
              </w:rPr>
              <w:t xml:space="preserve"> CONTRATO ELECTRÓNICO ‒ Composición / </w:t>
            </w:r>
            <w:r w:rsidRPr="003568D9">
              <w:rPr>
                <w:rStyle w:val="normaltextrun"/>
                <w:rFonts w:ascii="Arial" w:hAnsi="Arial" w:cs="Arial"/>
                <w:bCs/>
                <w:color w:val="000000" w:themeColor="text1"/>
                <w:shd w:val="clear" w:color="auto" w:fill="FFFFFF"/>
              </w:rPr>
              <w:t>SECOP – Prohibición de duplicar información</w:t>
            </w:r>
            <w:r w:rsidRPr="003568D9">
              <w:rPr>
                <w:rStyle w:val="eop"/>
                <w:rFonts w:ascii="Arial" w:hAnsi="Arial" w:cs="Arial"/>
                <w:color w:val="000000" w:themeColor="text1"/>
                <w:shd w:val="clear" w:color="auto" w:fill="FFFFFF"/>
              </w:rPr>
              <w:t> </w:t>
            </w:r>
            <w:r w:rsidRPr="003568D9">
              <w:rPr>
                <w:rStyle w:val="normaltextrun"/>
                <w:rFonts w:ascii="Arial" w:eastAsia="Times New Roman" w:hAnsi="Arial" w:cs="Arial"/>
                <w:color w:val="000000" w:themeColor="text1"/>
                <w:sz w:val="20"/>
                <w:szCs w:val="20"/>
                <w:lang w:eastAsia="es-CO"/>
              </w:rPr>
              <w:t>/</w:t>
            </w:r>
            <w:r w:rsidRPr="003568D9">
              <w:rPr>
                <w:rFonts w:ascii="Arial" w:eastAsia="Calibri" w:hAnsi="Arial" w:cs="Arial"/>
                <w:lang w:val="es-ES"/>
              </w:rPr>
              <w:t xml:space="preserve"> DOCUMENTOS DEL PROCESO – Noción – Deber de publicación/ Modificación a los contratos </w:t>
            </w:r>
          </w:p>
          <w:p w14:paraId="22695A96" w14:textId="77777777" w:rsidR="005D0331" w:rsidRPr="003568D9" w:rsidRDefault="005D0331" w:rsidP="008277D4">
            <w:pPr>
              <w:jc w:val="both"/>
              <w:rPr>
                <w:rFonts w:ascii="Arial" w:eastAsia="Calibri" w:hAnsi="Arial" w:cs="Arial"/>
                <w:b/>
                <w:bCs/>
                <w:lang w:val="es-MX"/>
              </w:rPr>
            </w:pPr>
          </w:p>
          <w:p w14:paraId="3EC4E0DE" w14:textId="77777777" w:rsidR="005D0331" w:rsidRPr="003568D9" w:rsidRDefault="005D0331" w:rsidP="008277D4">
            <w:pPr>
              <w:ind w:right="703"/>
              <w:jc w:val="both"/>
              <w:rPr>
                <w:rFonts w:ascii="Arial" w:eastAsia="Calibri" w:hAnsi="Arial" w:cs="Arial"/>
                <w:bCs/>
                <w:lang w:val="es-MX"/>
              </w:rPr>
            </w:pPr>
          </w:p>
        </w:tc>
      </w:tr>
      <w:tr w:rsidR="005D0331" w:rsidRPr="003568D9" w14:paraId="1FB60899" w14:textId="77777777" w:rsidTr="008277D4">
        <w:tc>
          <w:tcPr>
            <w:tcW w:w="2689" w:type="dxa"/>
          </w:tcPr>
          <w:p w14:paraId="15177549" w14:textId="77777777" w:rsidR="005D0331" w:rsidRPr="003568D9" w:rsidRDefault="005D0331" w:rsidP="008277D4">
            <w:pPr>
              <w:rPr>
                <w:rFonts w:ascii="Arial" w:eastAsia="Calibri" w:hAnsi="Arial" w:cs="Arial"/>
                <w:b/>
                <w:noProof/>
                <w:lang w:val="es-ES_tradnl"/>
              </w:rPr>
            </w:pPr>
            <w:r w:rsidRPr="003568D9">
              <w:rPr>
                <w:rFonts w:ascii="Arial" w:eastAsia="Calibri" w:hAnsi="Arial" w:cs="Arial"/>
                <w:b/>
                <w:noProof/>
                <w:lang w:val="es-ES_tradnl"/>
              </w:rPr>
              <w:t xml:space="preserve"> Radicación:</w:t>
            </w:r>
            <w:r w:rsidRPr="003568D9">
              <w:rPr>
                <w:rFonts w:ascii="Arial" w:eastAsia="Calibri" w:hAnsi="Arial" w:cs="Arial"/>
                <w:noProof/>
                <w:lang w:val="es-ES_tradnl"/>
              </w:rPr>
              <w:t xml:space="preserve">                              </w:t>
            </w:r>
          </w:p>
        </w:tc>
        <w:tc>
          <w:tcPr>
            <w:tcW w:w="6237" w:type="dxa"/>
          </w:tcPr>
          <w:p w14:paraId="3FFB1DE1" w14:textId="77777777" w:rsidR="005D0331" w:rsidRPr="003568D9" w:rsidRDefault="005D0331" w:rsidP="008277D4">
            <w:pPr>
              <w:jc w:val="both"/>
              <w:rPr>
                <w:rFonts w:ascii="Arial" w:eastAsia="Calibri" w:hAnsi="Arial" w:cs="Arial"/>
                <w:noProof/>
                <w:lang w:val="es-ES_tradnl"/>
              </w:rPr>
            </w:pPr>
            <w:r w:rsidRPr="003568D9">
              <w:rPr>
                <w:rFonts w:ascii="Arial" w:eastAsia="Calibri" w:hAnsi="Arial" w:cs="Arial"/>
                <w:noProof/>
                <w:lang w:val="es-ES_tradnl"/>
              </w:rPr>
              <w:t>Respuesta a consulta P20230726013640</w:t>
            </w:r>
            <w:r w:rsidRPr="003568D9">
              <w:rPr>
                <w:rFonts w:ascii="Arial" w:eastAsia="Calibri" w:hAnsi="Arial" w:cs="Arial"/>
                <w:noProof/>
                <w:lang w:val="es-ES_tradnl"/>
              </w:rPr>
              <w:tab/>
            </w:r>
            <w:r w:rsidRPr="003568D9">
              <w:rPr>
                <w:rFonts w:ascii="Arial" w:eastAsia="Calibri" w:hAnsi="Arial" w:cs="Arial"/>
                <w:noProof/>
                <w:lang w:val="es-ES_tradnl"/>
              </w:rPr>
              <w:tab/>
            </w:r>
            <w:r w:rsidRPr="003568D9">
              <w:rPr>
                <w:rFonts w:ascii="Arial" w:eastAsia="Calibri" w:hAnsi="Arial" w:cs="Arial"/>
                <w:noProof/>
                <w:lang w:val="es-ES_tradnl"/>
              </w:rPr>
              <w:tab/>
            </w:r>
            <w:r w:rsidRPr="003568D9">
              <w:rPr>
                <w:rFonts w:ascii="Arial" w:eastAsia="Calibri" w:hAnsi="Arial" w:cs="Arial"/>
                <w:noProof/>
                <w:lang w:val="es-ES_tradnl"/>
              </w:rPr>
              <w:tab/>
            </w:r>
            <w:r w:rsidRPr="003568D9">
              <w:rPr>
                <w:rFonts w:ascii="Arial" w:eastAsia="Calibri" w:hAnsi="Arial" w:cs="Arial"/>
                <w:noProof/>
                <w:lang w:val="es-ES_tradnl"/>
              </w:rPr>
              <w:tab/>
            </w:r>
          </w:p>
        </w:tc>
      </w:tr>
    </w:tbl>
    <w:p w14:paraId="2574907A" w14:textId="77777777" w:rsidR="005D0331" w:rsidRPr="003568D9" w:rsidRDefault="005D0331" w:rsidP="005D0331">
      <w:pPr>
        <w:spacing w:after="0" w:line="240" w:lineRule="auto"/>
        <w:contextualSpacing/>
        <w:jc w:val="both"/>
        <w:rPr>
          <w:rFonts w:ascii="Arial" w:eastAsia="Calibri" w:hAnsi="Arial" w:cs="Arial"/>
        </w:rPr>
      </w:pPr>
    </w:p>
    <w:p w14:paraId="03D76952" w14:textId="77777777" w:rsidR="005D0331" w:rsidRPr="003568D9" w:rsidRDefault="005D0331" w:rsidP="005D0331">
      <w:pPr>
        <w:spacing w:after="0" w:line="240" w:lineRule="auto"/>
        <w:contextualSpacing/>
        <w:jc w:val="both"/>
        <w:rPr>
          <w:rFonts w:ascii="Arial" w:eastAsia="Calibri" w:hAnsi="Arial" w:cs="Arial"/>
        </w:rPr>
      </w:pPr>
    </w:p>
    <w:p w14:paraId="79F02FD3" w14:textId="77777777" w:rsidR="005D0331" w:rsidRPr="003568D9" w:rsidRDefault="005D0331" w:rsidP="005D0331">
      <w:pPr>
        <w:spacing w:after="0" w:line="276" w:lineRule="auto"/>
        <w:contextualSpacing/>
        <w:jc w:val="both"/>
        <w:rPr>
          <w:rFonts w:ascii="Arial" w:eastAsia="Calibri" w:hAnsi="Arial" w:cs="Arial"/>
        </w:rPr>
      </w:pPr>
      <w:r w:rsidRPr="003568D9">
        <w:rPr>
          <w:rFonts w:ascii="Arial" w:eastAsia="Calibri" w:hAnsi="Arial" w:cs="Arial"/>
        </w:rPr>
        <w:t>Estimado señor Castillo:</w:t>
      </w:r>
    </w:p>
    <w:p w14:paraId="0E67A4F8" w14:textId="77777777" w:rsidR="005D0331" w:rsidRPr="003568D9" w:rsidRDefault="005D0331" w:rsidP="005D0331">
      <w:pPr>
        <w:spacing w:after="0" w:line="276" w:lineRule="auto"/>
        <w:ind w:firstLine="709"/>
        <w:contextualSpacing/>
        <w:jc w:val="both"/>
        <w:rPr>
          <w:rFonts w:ascii="Arial" w:eastAsia="Calibri" w:hAnsi="Arial" w:cs="Arial"/>
        </w:rPr>
      </w:pPr>
    </w:p>
    <w:p w14:paraId="3930868D" w14:textId="77777777" w:rsidR="005D0331" w:rsidRPr="003568D9" w:rsidRDefault="005D0331" w:rsidP="005D0331">
      <w:pPr>
        <w:spacing w:after="0" w:line="276" w:lineRule="auto"/>
        <w:contextualSpacing/>
        <w:jc w:val="both"/>
        <w:rPr>
          <w:rFonts w:ascii="Arial" w:eastAsia="Calibri" w:hAnsi="Arial" w:cs="Arial"/>
        </w:rPr>
      </w:pPr>
      <w:r w:rsidRPr="003568D9">
        <w:rPr>
          <w:rFonts w:ascii="Arial" w:eastAsia="Calibri" w:hAnsi="Arial" w:cs="Arial"/>
        </w:rPr>
        <w:t xml:space="preserve">En ejercicio de la competencia otorgada por el numeral 8 del artículo 11 y el numeral 5 del artículo 3 del Decreto Ley 4170 de 2011, la Agencia Nacional de Contratación Pública – Colombia Compra Eficiente responde su consulta recibida el 26 de julio de 2023. </w:t>
      </w:r>
    </w:p>
    <w:p w14:paraId="15A69B81" w14:textId="77777777" w:rsidR="005D0331" w:rsidRPr="003568D9" w:rsidRDefault="005D0331" w:rsidP="005D0331">
      <w:pPr>
        <w:spacing w:after="0" w:line="276" w:lineRule="auto"/>
        <w:contextualSpacing/>
        <w:jc w:val="both"/>
        <w:rPr>
          <w:rFonts w:ascii="Arial" w:eastAsia="Calibri" w:hAnsi="Arial" w:cs="Arial"/>
        </w:rPr>
      </w:pPr>
    </w:p>
    <w:p w14:paraId="33A853E5" w14:textId="77777777" w:rsidR="005D0331" w:rsidRPr="003568D9" w:rsidRDefault="005D0331" w:rsidP="005D0331">
      <w:pPr>
        <w:tabs>
          <w:tab w:val="left" w:pos="284"/>
        </w:tabs>
        <w:spacing w:after="0" w:line="276" w:lineRule="auto"/>
        <w:contextualSpacing/>
        <w:jc w:val="both"/>
        <w:rPr>
          <w:rFonts w:ascii="Arial" w:eastAsia="Calibri" w:hAnsi="Arial" w:cs="Arial"/>
          <w:b/>
        </w:rPr>
      </w:pPr>
      <w:r w:rsidRPr="003568D9">
        <w:rPr>
          <w:rFonts w:ascii="Arial" w:eastAsia="Calibri" w:hAnsi="Arial" w:cs="Arial"/>
          <w:b/>
        </w:rPr>
        <w:t xml:space="preserve">1. Problema planteado </w:t>
      </w:r>
    </w:p>
    <w:p w14:paraId="5BA73C3A" w14:textId="77777777" w:rsidR="005D0331" w:rsidRPr="003568D9" w:rsidRDefault="005D0331" w:rsidP="005D0331">
      <w:pPr>
        <w:tabs>
          <w:tab w:val="left" w:pos="284"/>
        </w:tabs>
        <w:spacing w:after="0" w:line="276" w:lineRule="auto"/>
        <w:ind w:firstLine="709"/>
        <w:contextualSpacing/>
        <w:jc w:val="both"/>
        <w:rPr>
          <w:rFonts w:ascii="Arial" w:eastAsia="Calibri" w:hAnsi="Arial" w:cs="Arial"/>
          <w:b/>
        </w:rPr>
      </w:pPr>
    </w:p>
    <w:p w14:paraId="39BE5436" w14:textId="77777777" w:rsidR="005D0331" w:rsidRPr="003568D9" w:rsidRDefault="005D0331" w:rsidP="005D0331">
      <w:pPr>
        <w:spacing w:after="0" w:line="276" w:lineRule="auto"/>
        <w:contextualSpacing/>
        <w:jc w:val="both"/>
        <w:rPr>
          <w:rFonts w:ascii="Arial" w:eastAsia="Calibri" w:hAnsi="Arial" w:cs="Arial"/>
        </w:rPr>
      </w:pPr>
      <w:bookmarkStart w:id="5" w:name="_Hlk58917991"/>
      <w:bookmarkStart w:id="6" w:name="_Hlk56103000"/>
      <w:r w:rsidRPr="003568D9">
        <w:rPr>
          <w:rFonts w:ascii="Arial" w:eastAsia="Calibri" w:hAnsi="Arial" w:cs="Arial"/>
        </w:rPr>
        <w:t xml:space="preserve">Usted realiza la siguiente consulta: </w:t>
      </w:r>
      <w:bookmarkStart w:id="7" w:name="_Hlk116284008"/>
      <w:bookmarkStart w:id="8" w:name="_Hlk133573383"/>
    </w:p>
    <w:p w14:paraId="55B17EF9" w14:textId="77777777" w:rsidR="005D0331" w:rsidRPr="003568D9" w:rsidRDefault="005D0331" w:rsidP="005D0331">
      <w:pPr>
        <w:spacing w:after="0" w:line="276" w:lineRule="auto"/>
        <w:contextualSpacing/>
        <w:jc w:val="both"/>
        <w:rPr>
          <w:rFonts w:ascii="Arial" w:eastAsia="Calibri" w:hAnsi="Arial" w:cs="Arial"/>
        </w:rPr>
      </w:pPr>
    </w:p>
    <w:p w14:paraId="1560EAC1" w14:textId="77777777" w:rsidR="005D0331" w:rsidRPr="003568D9" w:rsidRDefault="005D0331" w:rsidP="005D0331">
      <w:pPr>
        <w:spacing w:before="120" w:after="0" w:line="240" w:lineRule="auto"/>
        <w:ind w:left="709" w:right="709"/>
        <w:contextualSpacing/>
        <w:jc w:val="both"/>
        <w:rPr>
          <w:rFonts w:ascii="Arial" w:eastAsia="Calibri" w:hAnsi="Arial" w:cs="Arial"/>
          <w:sz w:val="21"/>
          <w:szCs w:val="21"/>
        </w:rPr>
      </w:pPr>
      <w:r w:rsidRPr="003568D9">
        <w:rPr>
          <w:rFonts w:ascii="Arial" w:eastAsia="Calibri" w:hAnsi="Arial" w:cs="Arial"/>
          <w:sz w:val="21"/>
          <w:szCs w:val="21"/>
        </w:rPr>
        <w:t>“De acuerdo con el manejo de la plataforma SECOP II y la obligatoriedad de esta, se presenta la situación donde la información como OBJETO y/o VALOR difiere de lo establecido en el contrato electrónico a lo informado en el documento complementario. ¿Cuál tiene valides? o cual es el proceso para realizar? (SIC)</w:t>
      </w:r>
    </w:p>
    <w:p w14:paraId="421AAEDA" w14:textId="77777777" w:rsidR="005D0331" w:rsidRPr="003568D9" w:rsidRDefault="005D0331" w:rsidP="005D0331">
      <w:pPr>
        <w:spacing w:before="120" w:after="0" w:line="240" w:lineRule="auto"/>
        <w:ind w:left="709" w:right="709"/>
        <w:contextualSpacing/>
        <w:jc w:val="both"/>
        <w:rPr>
          <w:rFonts w:ascii="Arial" w:eastAsia="Calibri" w:hAnsi="Arial" w:cs="Arial"/>
          <w:sz w:val="21"/>
          <w:szCs w:val="21"/>
        </w:rPr>
      </w:pPr>
    </w:p>
    <w:bookmarkEnd w:id="5"/>
    <w:bookmarkEnd w:id="6"/>
    <w:bookmarkEnd w:id="7"/>
    <w:bookmarkEnd w:id="8"/>
    <w:p w14:paraId="14B2B8A4" w14:textId="77777777" w:rsidR="005D0331" w:rsidRPr="003568D9" w:rsidRDefault="005D0331" w:rsidP="005D0331">
      <w:pPr>
        <w:tabs>
          <w:tab w:val="left" w:pos="284"/>
        </w:tabs>
        <w:spacing w:after="0" w:line="276" w:lineRule="auto"/>
        <w:contextualSpacing/>
        <w:jc w:val="both"/>
        <w:rPr>
          <w:rFonts w:ascii="Arial" w:eastAsia="Calibri" w:hAnsi="Arial" w:cs="Arial"/>
          <w:b/>
        </w:rPr>
      </w:pPr>
      <w:r w:rsidRPr="003568D9">
        <w:rPr>
          <w:rFonts w:ascii="Arial" w:eastAsia="Calibri" w:hAnsi="Arial" w:cs="Arial"/>
          <w:b/>
        </w:rPr>
        <w:lastRenderedPageBreak/>
        <w:t>2. Consideraciones</w:t>
      </w:r>
    </w:p>
    <w:p w14:paraId="27621E15" w14:textId="77777777" w:rsidR="005D0331" w:rsidRPr="003568D9" w:rsidRDefault="005D0331" w:rsidP="005D0331">
      <w:pPr>
        <w:tabs>
          <w:tab w:val="left" w:pos="284"/>
        </w:tabs>
        <w:spacing w:after="0" w:line="276" w:lineRule="auto"/>
        <w:contextualSpacing/>
        <w:jc w:val="both"/>
        <w:rPr>
          <w:rFonts w:ascii="Arial" w:eastAsia="Calibri" w:hAnsi="Arial" w:cs="Arial"/>
          <w:b/>
        </w:rPr>
      </w:pPr>
    </w:p>
    <w:p w14:paraId="7A28CF70" w14:textId="77777777" w:rsidR="005D0331" w:rsidRPr="003568D9" w:rsidRDefault="005D0331" w:rsidP="005D0331">
      <w:pPr>
        <w:spacing w:after="120" w:line="276" w:lineRule="auto"/>
        <w:jc w:val="both"/>
        <w:rPr>
          <w:rFonts w:ascii="Arial" w:eastAsia="Calibri" w:hAnsi="Arial" w:cs="Arial"/>
          <w:lang w:val="es-ES"/>
        </w:rPr>
      </w:pPr>
      <w:r w:rsidRPr="003568D9">
        <w:rPr>
          <w:rFonts w:ascii="Arial" w:eastAsia="Calibri" w:hAnsi="Arial" w:cs="Arial"/>
          <w:bCs/>
          <w:lang w:val="es-MX"/>
        </w:rPr>
        <w:t>En ejercicio de las competencias establecidas en los artículos 3, numeral 5° y 11, numeral 8° del Decreto 4170 de 2011, la Agencia Nacional de Contratación Pública – Colombia Compra Eficiente resuelve consultas sobre los asuntos de su competencia, esto es, sobre las temáticas de la contratación estatal relacionados en los artículos citados.</w:t>
      </w:r>
      <w:r w:rsidRPr="003568D9">
        <w:rPr>
          <w:rFonts w:ascii="Arial" w:eastAsia="Calibri" w:hAnsi="Arial" w:cs="Arial"/>
          <w:lang w:val="es-ES"/>
        </w:rPr>
        <w:t xml:space="preserve"> </w:t>
      </w:r>
      <w:bookmarkStart w:id="9" w:name="_Hlk61701014"/>
      <w:bookmarkStart w:id="10" w:name="_Hlk62136649"/>
      <w:r w:rsidRPr="003568D9">
        <w:rPr>
          <w:rFonts w:ascii="Arial" w:eastAsia="Calibri" w:hAnsi="Arial" w:cs="Arial"/>
          <w:lang w:val="es-ES"/>
        </w:rPr>
        <w:t xml:space="preserve">Es necesario tener en cuenta que </w:t>
      </w:r>
      <w:bookmarkStart w:id="11" w:name="_Hlk61026958"/>
      <w:r w:rsidRPr="003568D9">
        <w:rPr>
          <w:rFonts w:ascii="Arial" w:eastAsia="Calibri" w:hAnsi="Arial" w:cs="Arial"/>
          <w:lang w:val="es-ES"/>
        </w:rPr>
        <w:t>esta entidad solo tiene competencia para 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w:t>
      </w:r>
      <w:r w:rsidRPr="003568D9">
        <w:rPr>
          <w:rFonts w:ascii="Arial" w:eastAsia="Calibri" w:hAnsi="Arial" w:cs="Arial"/>
          <w:bCs/>
          <w:lang w:val="es-MX"/>
        </w:rPr>
        <w:t xml:space="preserve"> de todos los partícipes de la contratación estatal.</w:t>
      </w:r>
    </w:p>
    <w:p w14:paraId="0AAAE44A" w14:textId="77777777" w:rsidR="005D0331" w:rsidRPr="003568D9" w:rsidRDefault="005D0331" w:rsidP="005D0331">
      <w:pPr>
        <w:spacing w:after="120" w:line="276" w:lineRule="auto"/>
        <w:ind w:firstLine="708"/>
        <w:jc w:val="both"/>
        <w:rPr>
          <w:rFonts w:ascii="Arial" w:eastAsia="Calibri" w:hAnsi="Arial" w:cs="Arial"/>
          <w:lang w:val="es-ES"/>
        </w:rPr>
      </w:pPr>
      <w:r w:rsidRPr="003568D9">
        <w:rPr>
          <w:rFonts w:ascii="Arial" w:eastAsia="Calibri" w:hAnsi="Arial" w:cs="Arial"/>
          <w:lang w:val="es-ES"/>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3568D9">
        <w:rPr>
          <w:rFonts w:ascii="Arial" w:eastAsia="Calibri" w:hAnsi="Arial" w:cs="Arial"/>
          <w:vertAlign w:val="superscript"/>
          <w:lang w:val="es-ES"/>
        </w:rPr>
        <w:footnoteReference w:id="1"/>
      </w:r>
      <w:r w:rsidRPr="003568D9">
        <w:rPr>
          <w:rFonts w:ascii="Arial" w:eastAsia="Calibri" w:hAnsi="Arial" w:cs="Arial"/>
          <w:lang w:val="es-ES"/>
        </w:rPr>
        <w:t>. Esta competencia de interpretación de normas generales, por definición, no puede extenderse a la resolución de controversias, ni a brindar asesorías sobre casos puntuales.</w:t>
      </w:r>
      <w:bookmarkEnd w:id="9"/>
      <w:bookmarkEnd w:id="11"/>
    </w:p>
    <w:bookmarkEnd w:id="10"/>
    <w:p w14:paraId="5904B43D" w14:textId="77777777" w:rsidR="005D0331" w:rsidRPr="003568D9" w:rsidRDefault="005D0331" w:rsidP="005D0331">
      <w:pPr>
        <w:spacing w:before="120" w:after="120" w:line="276" w:lineRule="auto"/>
        <w:ind w:firstLine="709"/>
        <w:jc w:val="both"/>
        <w:rPr>
          <w:rFonts w:ascii="Arial" w:eastAsia="Calibri" w:hAnsi="Arial" w:cs="Arial"/>
          <w:lang w:val="es-ES"/>
        </w:rPr>
      </w:pPr>
      <w:r w:rsidRPr="003568D9">
        <w:rPr>
          <w:rFonts w:ascii="Arial" w:eastAsia="Calibri" w:hAnsi="Arial" w:cs="Arial"/>
          <w:lang w:val="es-ES"/>
        </w:rPr>
        <w:t xml:space="preserve">Sin perjuicio de lo anterior, la Subdirección de Gestión Contractual dentro de los límites de sus atribuciones, resolverá la consulta conforme a las normas generales en materia de contratación estatal. Con este objetivo, se analizarán los siguientes temas: i) documentos del proceso, ii) El SECOP II, su despliegue y utilización como plataforma electrónica transaccional, iii) Contrato electrónico, iv ) Modificaciones al contrato </w:t>
      </w:r>
    </w:p>
    <w:p w14:paraId="24835B55" w14:textId="77777777" w:rsidR="005D0331" w:rsidRPr="003568D9" w:rsidRDefault="005D0331" w:rsidP="005D0331">
      <w:pPr>
        <w:spacing w:before="120" w:after="120" w:line="276" w:lineRule="auto"/>
        <w:ind w:firstLine="709"/>
        <w:jc w:val="both"/>
        <w:rPr>
          <w:rFonts w:ascii="Arial" w:eastAsia="Calibri" w:hAnsi="Arial" w:cs="Arial"/>
          <w:lang w:val="es-ES_tradnl" w:eastAsia="es-MX"/>
        </w:rPr>
      </w:pPr>
    </w:p>
    <w:p w14:paraId="5E53972E" w14:textId="77777777" w:rsidR="005D0331" w:rsidRPr="003568D9" w:rsidRDefault="005D0331" w:rsidP="005D0331">
      <w:pPr>
        <w:spacing w:before="120" w:after="0" w:line="276" w:lineRule="auto"/>
        <w:ind w:firstLine="709"/>
        <w:jc w:val="both"/>
        <w:rPr>
          <w:rFonts w:ascii="Arial" w:eastAsia="Cambria" w:hAnsi="Arial" w:cs="Arial"/>
          <w:b/>
          <w:lang w:val="es-ES"/>
        </w:rPr>
      </w:pPr>
      <w:r w:rsidRPr="003568D9">
        <w:rPr>
          <w:rFonts w:ascii="Arial" w:hAnsi="Arial" w:cs="Arial"/>
          <w:lang w:eastAsia="es-ES_tradnl"/>
        </w:rPr>
        <w:t xml:space="preserve">La Agencia Nacional de Contratación Pública -Colombia Compra Eficiente- se ha </w:t>
      </w:r>
      <w:r w:rsidRPr="003568D9">
        <w:rPr>
          <w:rFonts w:ascii="Arial" w:eastAsia="Calibri" w:hAnsi="Arial" w:cs="Arial"/>
          <w:bCs/>
          <w:lang w:val="es-ES_tradnl"/>
        </w:rPr>
        <w:t xml:space="preserve">pronunciado sobre </w:t>
      </w:r>
      <w:r w:rsidRPr="003568D9">
        <w:rPr>
          <w:rFonts w:ascii="Arial" w:hAnsi="Arial" w:cs="Arial"/>
        </w:rPr>
        <w:t xml:space="preserve">el principio de publicidad y acceso a la información pública en la contratación. La postura de la Agencia al respecto, en lo relacionado con las entidades </w:t>
      </w:r>
      <w:r w:rsidRPr="003568D9">
        <w:rPr>
          <w:rFonts w:ascii="Arial" w:eastAsia="Calibri" w:hAnsi="Arial" w:cs="Arial"/>
          <w:lang w:val="es-ES"/>
        </w:rPr>
        <w:t>regidas por el Estatuto General de Contratación de la Administración Pública</w:t>
      </w:r>
      <w:r w:rsidRPr="003568D9">
        <w:rPr>
          <w:rFonts w:ascii="Arial" w:hAnsi="Arial" w:cs="Arial"/>
        </w:rPr>
        <w:t xml:space="preserve"> fue unificada en el concepto CU-367 del 23 de julio de 2020, reiterado en los conceptos , C−433 de 24 |de julio de 2020, C−468 del 24 de julio de 2020, C−474 de 24 de julio de 2020, C−488 del </w:t>
      </w:r>
      <w:r w:rsidRPr="003568D9">
        <w:rPr>
          <w:rFonts w:ascii="Arial" w:hAnsi="Arial" w:cs="Arial"/>
        </w:rPr>
        <w:lastRenderedPageBreak/>
        <w:t>28 de julio de 2020, C−544 del 21 de agosto de 2020, C−575 del 27 de agosto  de 2020, C−643 del 26 de octubre de 2020, C−661 del 17 de noviembre de 2020, C-094 del 13 de abril de 2021, C−068 del 22 de abril de 2021, C-185 del 29 de abril de 2021, entre otros.</w:t>
      </w:r>
      <w:r w:rsidRPr="003568D9">
        <w:rPr>
          <w:rFonts w:ascii="Arial" w:hAnsi="Arial" w:cs="Arial"/>
          <w:lang w:val="es-ES"/>
        </w:rPr>
        <w:t xml:space="preserve"> </w:t>
      </w:r>
      <w:r w:rsidRPr="003568D9">
        <w:rPr>
          <w:rFonts w:ascii="Arial" w:hAnsi="Arial" w:cs="Arial"/>
          <w:bCs/>
          <w:szCs w:val="24"/>
          <w:lang w:val="es-ES_tradnl" w:eastAsia="es-ES_tradnl"/>
        </w:rPr>
        <w:t>Asimismo, en los conceptos C-457 del 3 de septiembre del 2021, C-663 del 13 de octubre de 2022 y C -137 del 26 de mayo de 2023, se pronunció sobre la modificación a los contratos estatales</w:t>
      </w:r>
      <w:r w:rsidRPr="003568D9">
        <w:rPr>
          <w:rFonts w:ascii="Arial" w:hAnsi="Arial" w:cs="Arial"/>
          <w:lang w:val="es-ES"/>
        </w:rPr>
        <w:t xml:space="preserve"> Algunas de las consideraciones de estos conceptos se reiteran y se complementan en lo pertinente, teniendo en cuenta lo consultado.</w:t>
      </w:r>
      <w:r w:rsidRPr="003568D9">
        <w:rPr>
          <w:rFonts w:ascii="Arial" w:hAnsi="Arial" w:cs="Arial"/>
        </w:rPr>
        <w:t> </w:t>
      </w:r>
    </w:p>
    <w:p w14:paraId="47DBAE9B" w14:textId="77777777" w:rsidR="005D0331" w:rsidRPr="003568D9" w:rsidRDefault="005D0331" w:rsidP="005D0331">
      <w:pPr>
        <w:tabs>
          <w:tab w:val="left" w:pos="3372"/>
        </w:tabs>
        <w:spacing w:after="0" w:line="276" w:lineRule="auto"/>
        <w:jc w:val="both"/>
        <w:rPr>
          <w:rFonts w:ascii="Arial" w:eastAsia="Calibri" w:hAnsi="Arial" w:cs="Arial"/>
          <w:lang w:val="es-ES"/>
        </w:rPr>
      </w:pPr>
      <w:r>
        <w:rPr>
          <w:rFonts w:ascii="Arial" w:eastAsia="Calibri" w:hAnsi="Arial" w:cs="Arial"/>
          <w:lang w:val="es-ES"/>
        </w:rPr>
        <w:tab/>
      </w:r>
    </w:p>
    <w:p w14:paraId="51C6438E" w14:textId="77777777" w:rsidR="005D0331" w:rsidRPr="00C53357" w:rsidRDefault="005D0331" w:rsidP="005D0331">
      <w:pPr>
        <w:spacing w:line="276" w:lineRule="auto"/>
        <w:jc w:val="both"/>
        <w:rPr>
          <w:rFonts w:ascii="Arial" w:eastAsia="Calibri" w:hAnsi="Arial" w:cs="Arial"/>
          <w:b/>
          <w:bCs/>
          <w:lang w:val="es-ES"/>
        </w:rPr>
      </w:pPr>
      <w:r w:rsidRPr="00C53357">
        <w:rPr>
          <w:rFonts w:ascii="Arial" w:eastAsia="Calibri" w:hAnsi="Arial" w:cs="Arial"/>
          <w:b/>
          <w:bCs/>
          <w:lang w:val="es-ES"/>
        </w:rPr>
        <w:t>2.1. DOCUMENTOS DEL PROCESO – Noción – Deber de publicación – Proceso de contratación</w:t>
      </w:r>
    </w:p>
    <w:p w14:paraId="3E1A70DC" w14:textId="77777777" w:rsidR="005D0331" w:rsidRPr="003568D9" w:rsidRDefault="005D0331" w:rsidP="005D0331">
      <w:pPr>
        <w:spacing w:after="120" w:line="276" w:lineRule="auto"/>
        <w:jc w:val="both"/>
        <w:rPr>
          <w:rFonts w:ascii="Arial" w:eastAsia="Calibri" w:hAnsi="Arial" w:cs="Arial"/>
          <w:lang w:val="es-ES"/>
        </w:rPr>
      </w:pPr>
      <w:r w:rsidRPr="003568D9">
        <w:rPr>
          <w:rFonts w:ascii="Arial" w:eastAsia="Calibri" w:hAnsi="Arial" w:cs="Arial"/>
          <w:lang w:val="es-ES"/>
        </w:rPr>
        <w:t>El procedimiento de contratación de las entidades es reglado, es decir, no es discrecional y se deben consultar las normas que lo rigen para determinar la forma que la ley prevé para adelantarlo. Por consiguiente, las principales normas son: la Ley 80 de 1993, la Ley 1150 de 2007 ̶ Estatuto General de Contratación de la Administración Pública ̶ y el Decreto 1082 de 2015, que es reglamentario y concreta cada modalidad de selección, señalando las reglas o pasos a seguir para celebrar el contrato estatal</w:t>
      </w:r>
      <w:r w:rsidRPr="003568D9">
        <w:rPr>
          <w:rFonts w:ascii="Arial" w:eastAsia="Calibri" w:hAnsi="Arial" w:cs="Arial"/>
          <w:vertAlign w:val="superscript"/>
          <w:lang w:val="es-ES"/>
        </w:rPr>
        <w:footnoteReference w:id="2"/>
      </w:r>
      <w:r w:rsidRPr="003568D9">
        <w:rPr>
          <w:rFonts w:ascii="Arial" w:eastAsia="Calibri" w:hAnsi="Arial" w:cs="Arial"/>
          <w:lang w:val="es-ES"/>
        </w:rPr>
        <w:t>. Por consiguiente, para que los documentos de la actividad contractual se conozcan la entidad debe publicarlos, sin importar la modalidad de selección.</w:t>
      </w:r>
    </w:p>
    <w:p w14:paraId="17686C56" w14:textId="77777777" w:rsidR="005D0331" w:rsidRPr="003568D9" w:rsidRDefault="005D0331" w:rsidP="005D0331">
      <w:pPr>
        <w:widowControl w:val="0"/>
        <w:autoSpaceDE w:val="0"/>
        <w:autoSpaceDN w:val="0"/>
        <w:spacing w:line="276" w:lineRule="auto"/>
        <w:ind w:right="49" w:firstLine="708"/>
        <w:jc w:val="both"/>
        <w:rPr>
          <w:rFonts w:ascii="Arial" w:eastAsia="Arial" w:hAnsi="Arial" w:cs="Arial"/>
          <w:lang w:val="es-ES"/>
        </w:rPr>
      </w:pPr>
      <w:r w:rsidRPr="003568D9">
        <w:rPr>
          <w:rFonts w:ascii="Arial" w:eastAsia="Arial" w:hAnsi="Arial" w:cs="Arial"/>
          <w:lang w:val="es-ES"/>
        </w:rPr>
        <w:t>El artículo 3 de la Ley 1150 de 2007 señala que los actos relacionados con los procedimientos de contratación de las entidades estatales pueden ser electrónicos, al igual que su publicidad, por lo que el Gobierno nacional debe definir los medios para desarrollar dicha publicidad, y tiene la obligación de desarrollar el SECOP</w:t>
      </w:r>
      <w:r w:rsidRPr="003568D9">
        <w:rPr>
          <w:rFonts w:ascii="Arial" w:eastAsia="Arial" w:hAnsi="Arial" w:cs="Arial"/>
          <w:vertAlign w:val="superscript"/>
          <w:lang w:val="es-ES"/>
        </w:rPr>
        <w:footnoteReference w:id="3"/>
      </w:r>
      <w:r w:rsidRPr="003568D9">
        <w:rPr>
          <w:rFonts w:ascii="Arial" w:eastAsia="Arial" w:hAnsi="Arial" w:cs="Arial"/>
          <w:lang w:val="es-ES"/>
        </w:rPr>
        <w:t xml:space="preserve">. Este sistema debe contar </w:t>
      </w:r>
      <w:r w:rsidRPr="003568D9">
        <w:rPr>
          <w:rFonts w:ascii="Arial" w:eastAsia="Arial" w:hAnsi="Arial" w:cs="Arial"/>
          <w:lang w:val="es-ES"/>
        </w:rPr>
        <w:lastRenderedPageBreak/>
        <w:t>con la información oficial de los procedimientos contractuales de las entidades, de lo cual será la única fuente, que al ser de interés público ameritan su conocimiento por parte de la ciudadanía, más aún cuando involucran la inversión de recursos públicos y el correlativo derecho de la ciudadanía de conocer cómo se invierten y controlar que el objetivo sea la satisfacción de sus necesidades.</w:t>
      </w:r>
    </w:p>
    <w:p w14:paraId="1C10CC80" w14:textId="77777777" w:rsidR="005D0331" w:rsidRPr="003568D9" w:rsidRDefault="005D0331" w:rsidP="005D0331">
      <w:pPr>
        <w:widowControl w:val="0"/>
        <w:autoSpaceDE w:val="0"/>
        <w:autoSpaceDN w:val="0"/>
        <w:spacing w:before="120" w:line="276" w:lineRule="auto"/>
        <w:ind w:right="306" w:firstLine="709"/>
        <w:jc w:val="both"/>
        <w:rPr>
          <w:rFonts w:ascii="Arial" w:eastAsia="Arial" w:hAnsi="Arial" w:cs="Arial"/>
          <w:lang w:val="es-ES"/>
        </w:rPr>
      </w:pPr>
      <w:r w:rsidRPr="003568D9">
        <w:rPr>
          <w:rFonts w:ascii="Arial" w:eastAsia="Arial" w:hAnsi="Arial" w:cs="Arial"/>
          <w:lang w:val="es-ES"/>
        </w:rPr>
        <w:t>La norma citada genera un cambio en la contratación pública, ámbito en el que las actuaciones de las entidades se realizaban por escrito y en papel, y ahora se crea un mecanismo eficiente que reduce costos, para que se cumpla el principio de publicidad, como un deber de las autoridades públicas en el ejercicio de las funciones administrativas que la ley les otorga.</w:t>
      </w:r>
    </w:p>
    <w:p w14:paraId="4B821940" w14:textId="77777777" w:rsidR="005D0331" w:rsidRPr="003568D9" w:rsidRDefault="005D0331" w:rsidP="005D0331">
      <w:pPr>
        <w:widowControl w:val="0"/>
        <w:autoSpaceDE w:val="0"/>
        <w:autoSpaceDN w:val="0"/>
        <w:spacing w:before="120" w:line="276" w:lineRule="auto"/>
        <w:ind w:right="306" w:firstLine="709"/>
        <w:jc w:val="both"/>
        <w:rPr>
          <w:rFonts w:ascii="Arial" w:eastAsia="Arial" w:hAnsi="Arial" w:cs="Arial"/>
          <w:lang w:val="es-ES"/>
        </w:rPr>
      </w:pPr>
      <w:r w:rsidRPr="003568D9">
        <w:rPr>
          <w:rFonts w:ascii="Arial" w:eastAsia="Arial" w:hAnsi="Arial" w:cs="Arial"/>
          <w:lang w:val="es-ES"/>
        </w:rPr>
        <w:t>La Corte Constitucional, en la sentencia C-711 del 12 de septiembre de 2011, con ponencia del Magistrado Mauricio González Cuervo, hizo énfasis en la transición de la actividad contractual impresa que se publicaba en el Diario Único de Contratación, a una contratación pública electrónica desarrollada mediante el SECOP:</w:t>
      </w:r>
    </w:p>
    <w:p w14:paraId="590F826B" w14:textId="77777777" w:rsidR="005D0331" w:rsidRPr="003568D9" w:rsidRDefault="005D0331" w:rsidP="005D0331">
      <w:pPr>
        <w:widowControl w:val="0"/>
        <w:autoSpaceDE w:val="0"/>
        <w:autoSpaceDN w:val="0"/>
        <w:ind w:left="709" w:right="709"/>
        <w:jc w:val="both"/>
        <w:rPr>
          <w:rFonts w:ascii="Arial" w:eastAsia="Arial" w:hAnsi="Arial" w:cs="Arial"/>
          <w:sz w:val="21"/>
          <w:lang w:val="es-ES"/>
        </w:rPr>
      </w:pPr>
      <w:r w:rsidRPr="003568D9">
        <w:rPr>
          <w:rFonts w:ascii="Arial" w:eastAsia="Arial" w:hAnsi="Arial" w:cs="Arial"/>
          <w:sz w:val="21"/>
          <w:lang w:val="es-ES"/>
        </w:rPr>
        <w:t>“En cuanto a que la supresión de la publicación en el Diario Único de Contratación fuese necesaria, y en consecuencia ajena al ámbito de las facultades extraordinarias conferidas, se concluye que, si bien la publicación de los contratos estatales puede tenerse como requisito esencial para la ejecución y control público de los contratos oficiales, no así su inclusión en una forma específica de divulgación, como el DUC. Por el contrario, al disponerse que sea publicado en un medio electrónico, al cargo y cuidado de la Agencia Nacional de Contratación Pública —Colombia Compra Eficiente—, se asegura la regularidad de este tipo de trámite, en manos de una entidad responsable de realizarlo; y, simultáneamente, se cumple la finalidad de la publicación, que no otra distinta de brindarle al público la posibilidad de acceso fácil, oportuno, idóneo y eficaz a los términos de la contratación</w:t>
      </w:r>
      <w:r w:rsidRPr="003568D9">
        <w:rPr>
          <w:rFonts w:ascii="Arial" w:eastAsia="Arial" w:hAnsi="Arial" w:cs="Arial"/>
          <w:spacing w:val="-6"/>
          <w:sz w:val="21"/>
          <w:lang w:val="es-ES"/>
        </w:rPr>
        <w:t xml:space="preserve"> </w:t>
      </w:r>
      <w:r w:rsidRPr="003568D9">
        <w:rPr>
          <w:rFonts w:ascii="Arial" w:eastAsia="Arial" w:hAnsi="Arial" w:cs="Arial"/>
          <w:sz w:val="21"/>
          <w:lang w:val="es-ES"/>
        </w:rPr>
        <w:t>estatal.</w:t>
      </w:r>
    </w:p>
    <w:p w14:paraId="430B185D" w14:textId="77777777" w:rsidR="005D0331" w:rsidRPr="003568D9" w:rsidRDefault="005D0331" w:rsidP="005D0331">
      <w:pPr>
        <w:widowControl w:val="0"/>
        <w:autoSpaceDE w:val="0"/>
        <w:autoSpaceDN w:val="0"/>
        <w:spacing w:before="1"/>
        <w:ind w:left="709" w:right="709"/>
        <w:jc w:val="both"/>
        <w:rPr>
          <w:rFonts w:ascii="Arial" w:eastAsia="Arial" w:hAnsi="Arial" w:cs="Arial"/>
          <w:sz w:val="21"/>
          <w:lang w:val="es-ES"/>
        </w:rPr>
      </w:pPr>
      <w:r w:rsidRPr="003568D9">
        <w:rPr>
          <w:rFonts w:ascii="Arial" w:eastAsia="Arial" w:hAnsi="Arial" w:cs="Arial"/>
          <w:sz w:val="21"/>
          <w:lang w:val="es-ES"/>
        </w:rPr>
        <w:t xml:space="preserve">Para la Corte, la publicación de los contratos estatales en el SECOP cumple cabalmente con las exigencias constitucionales de publicidad administrativa. En efecto, permite la presentación de la totalidad del contenido aludido, en un medio </w:t>
      </w:r>
      <w:r w:rsidRPr="003568D9">
        <w:rPr>
          <w:rFonts w:ascii="Arial" w:eastAsia="Arial" w:hAnsi="Arial" w:cs="Arial"/>
          <w:sz w:val="21"/>
          <w:lang w:val="es-ES"/>
        </w:rPr>
        <w:lastRenderedPageBreak/>
        <w:t xml:space="preserve">al que puede tener acceso al público en general, facilitando a los ciudadanos el conocimiento de las actuaciones de la administración y de los particulares en los procesos de contratación estatal y facilitando su participación en las decisiones que les afectan. </w:t>
      </w:r>
      <w:r w:rsidRPr="003568D9">
        <w:rPr>
          <w:rFonts w:ascii="Arial" w:eastAsia="Arial" w:hAnsi="Arial" w:cs="Arial"/>
          <w:spacing w:val="-3"/>
          <w:sz w:val="21"/>
          <w:lang w:val="es-ES"/>
        </w:rPr>
        <w:t xml:space="preserve">Y, </w:t>
      </w:r>
      <w:r w:rsidRPr="003568D9">
        <w:rPr>
          <w:rFonts w:ascii="Arial" w:eastAsia="Arial" w:hAnsi="Arial" w:cs="Arial"/>
          <w:sz w:val="21"/>
          <w:lang w:val="es-ES"/>
        </w:rPr>
        <w:t>de conteras, suple algunas de las limitaciones de las que adolecía el Diario Único de Contratación, en términos de cobertura geográfica, de cantidad de ejemplares y de posibilidad de acceso por parte de la</w:t>
      </w:r>
      <w:r w:rsidRPr="003568D9">
        <w:rPr>
          <w:rFonts w:ascii="Arial" w:eastAsia="Arial" w:hAnsi="Arial" w:cs="Arial"/>
          <w:spacing w:val="-4"/>
          <w:sz w:val="21"/>
          <w:lang w:val="es-ES"/>
        </w:rPr>
        <w:t xml:space="preserve"> </w:t>
      </w:r>
      <w:r w:rsidRPr="003568D9">
        <w:rPr>
          <w:rFonts w:ascii="Arial" w:eastAsia="Arial" w:hAnsi="Arial" w:cs="Arial"/>
          <w:sz w:val="21"/>
          <w:lang w:val="es-ES"/>
        </w:rPr>
        <w:t>ciudadanía”.</w:t>
      </w:r>
    </w:p>
    <w:p w14:paraId="1BB28B4B" w14:textId="77777777" w:rsidR="005D0331" w:rsidRPr="003568D9" w:rsidRDefault="005D0331" w:rsidP="005D0331">
      <w:pPr>
        <w:widowControl w:val="0"/>
        <w:autoSpaceDE w:val="0"/>
        <w:autoSpaceDN w:val="0"/>
        <w:spacing w:after="120" w:line="276" w:lineRule="auto"/>
        <w:ind w:firstLine="709"/>
        <w:jc w:val="both"/>
        <w:rPr>
          <w:rFonts w:ascii="Arial" w:eastAsia="Arial" w:hAnsi="Arial" w:cs="Arial"/>
          <w:lang w:val="es-ES"/>
        </w:rPr>
      </w:pPr>
      <w:r w:rsidRPr="003568D9">
        <w:rPr>
          <w:rFonts w:ascii="Arial" w:eastAsia="Arial" w:hAnsi="Arial" w:cs="Arial"/>
          <w:lang w:val="es-ES"/>
        </w:rPr>
        <w:t xml:space="preserve">Ahora bien, las entidades estatales, conforme al artículo 2.2.1.1.1.7.1. del Decreto 1082 de 2015, tienen la obligación de publicar en el SECOP “[…] los Documentos del Proceso y los actos administrativos del Proceso de Contratación, dentro de los tres (3) días siguientes a su expedición […]”. </w:t>
      </w:r>
    </w:p>
    <w:p w14:paraId="2B96781E" w14:textId="77777777" w:rsidR="005D0331" w:rsidRPr="003568D9" w:rsidRDefault="005D0331" w:rsidP="005D0331">
      <w:pPr>
        <w:widowControl w:val="0"/>
        <w:autoSpaceDE w:val="0"/>
        <w:autoSpaceDN w:val="0"/>
        <w:spacing w:after="120" w:line="276" w:lineRule="auto"/>
        <w:ind w:firstLine="709"/>
        <w:jc w:val="both"/>
        <w:rPr>
          <w:rFonts w:ascii="Arial" w:eastAsia="Arial" w:hAnsi="Arial" w:cs="Arial"/>
          <w:lang w:val="es-ES"/>
        </w:rPr>
      </w:pPr>
      <w:r w:rsidRPr="003568D9">
        <w:rPr>
          <w:rFonts w:ascii="Arial" w:eastAsia="Arial" w:hAnsi="Arial" w:cs="Arial"/>
          <w:lang w:val="es-ES"/>
        </w:rPr>
        <w:t xml:space="preserve">La expresión </w:t>
      </w:r>
      <w:r w:rsidRPr="003568D9">
        <w:rPr>
          <w:rFonts w:ascii="Arial" w:eastAsia="Arial" w:hAnsi="Arial" w:cs="Arial"/>
          <w:i/>
          <w:iCs/>
          <w:lang w:val="es-ES"/>
        </w:rPr>
        <w:t>Documentos del Proceso</w:t>
      </w:r>
      <w:r w:rsidRPr="003568D9">
        <w:rPr>
          <w:rFonts w:ascii="Arial" w:eastAsia="Arial" w:hAnsi="Arial" w:cs="Arial"/>
          <w:lang w:val="es-ES"/>
        </w:rPr>
        <w:t xml:space="preserve"> está definida en el artículo 2.2.1.1.1.3.1. del Decreto 1082 de 2015, donde se establece que: “son: (a) los estudios y documentos previos; (b) el aviso de convocatoria; (c) los pliegos de condiciones o la invitación; (d) las adendas; (e) la oferta; (f) el informe de evaluación; (g) el contrato;</w:t>
      </w:r>
      <w:r w:rsidRPr="003568D9">
        <w:rPr>
          <w:rFonts w:ascii="Arial" w:eastAsia="Arial" w:hAnsi="Arial" w:cs="Arial"/>
          <w:i/>
          <w:iCs/>
          <w:lang w:val="es-ES"/>
        </w:rPr>
        <w:t xml:space="preserve"> y cualquier otro documento expedido por la Entidad Estatal durante el Proceso de Contratación</w:t>
      </w:r>
      <w:r w:rsidRPr="003568D9">
        <w:rPr>
          <w:rFonts w:ascii="Arial" w:eastAsia="Arial" w:hAnsi="Arial" w:cs="Arial"/>
          <w:lang w:val="es-ES"/>
        </w:rPr>
        <w:t xml:space="preserve">” (Énfasis fuera de texto). </w:t>
      </w:r>
    </w:p>
    <w:p w14:paraId="468ACF65" w14:textId="77777777" w:rsidR="005D0331" w:rsidRPr="003568D9" w:rsidRDefault="005D0331" w:rsidP="005D0331">
      <w:pPr>
        <w:widowControl w:val="0"/>
        <w:autoSpaceDE w:val="0"/>
        <w:autoSpaceDN w:val="0"/>
        <w:spacing w:after="120" w:line="276" w:lineRule="auto"/>
        <w:ind w:firstLine="709"/>
        <w:jc w:val="both"/>
        <w:rPr>
          <w:rFonts w:ascii="Arial" w:eastAsia="Arial" w:hAnsi="Arial" w:cs="Arial"/>
          <w:lang w:val="es-ES"/>
        </w:rPr>
      </w:pPr>
      <w:r w:rsidRPr="003568D9">
        <w:rPr>
          <w:rFonts w:ascii="Arial" w:eastAsia="Arial" w:hAnsi="Arial" w:cs="Arial"/>
          <w:lang w:val="es-ES"/>
        </w:rPr>
        <w:t xml:space="preserve">No obstante,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w:t>
      </w:r>
      <w:r w:rsidRPr="003568D9">
        <w:rPr>
          <w:rFonts w:ascii="Arial" w:eastAsia="Arial" w:hAnsi="Arial" w:cs="Arial"/>
          <w:i/>
          <w:iCs/>
          <w:lang w:val="es-ES"/>
        </w:rPr>
        <w:t>Ibídem</w:t>
      </w:r>
      <w:r w:rsidRPr="003568D9">
        <w:rPr>
          <w:rFonts w:ascii="Arial" w:eastAsia="Arial" w:hAnsi="Arial" w:cs="Arial"/>
          <w:lang w:val="es-ES"/>
        </w:rPr>
        <w:t xml:space="preserve"> recoge en la noción de </w:t>
      </w:r>
      <w:r w:rsidRPr="003568D9">
        <w:rPr>
          <w:rFonts w:ascii="Arial" w:eastAsia="Arial" w:hAnsi="Arial" w:cs="Arial"/>
          <w:i/>
          <w:iCs/>
          <w:lang w:val="es-ES"/>
        </w:rPr>
        <w:t>Documentos del Proceso</w:t>
      </w:r>
      <w:r w:rsidRPr="003568D9">
        <w:rPr>
          <w:rFonts w:ascii="Arial" w:eastAsia="Arial" w:hAnsi="Arial" w:cs="Arial"/>
          <w:lang w:val="es-ES"/>
        </w:rPr>
        <w:t xml:space="preserve"> “cualquier otro documento expedido por la Entidad Estatal durante el </w:t>
      </w:r>
      <w:r w:rsidRPr="003568D9">
        <w:rPr>
          <w:rFonts w:ascii="Arial" w:eastAsia="Arial" w:hAnsi="Arial" w:cs="Arial"/>
          <w:i/>
          <w:iCs/>
          <w:lang w:val="es-ES"/>
        </w:rPr>
        <w:t>Proceso de Contratación”</w:t>
      </w:r>
      <w:r w:rsidRPr="003568D9">
        <w:rPr>
          <w:rFonts w:ascii="Arial" w:eastAsia="Arial" w:hAnsi="Arial" w:cs="Arial"/>
          <w:lang w:val="es-ES"/>
        </w:rPr>
        <w:t xml:space="preserve">. Este mismo artículo define la expresión </w:t>
      </w:r>
      <w:r w:rsidRPr="003568D9">
        <w:rPr>
          <w:rFonts w:ascii="Arial" w:eastAsia="Arial" w:hAnsi="Arial" w:cs="Arial"/>
          <w:i/>
          <w:iCs/>
          <w:lang w:val="es-ES"/>
        </w:rPr>
        <w:t>Proceso de Contratación</w:t>
      </w:r>
      <w:r w:rsidRPr="003568D9">
        <w:rPr>
          <w:rFonts w:ascii="Arial" w:eastAsia="Arial" w:hAnsi="Arial" w:cs="Arial"/>
          <w:lang w:val="es-ES"/>
        </w:rPr>
        <w:t xml:space="preserve">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w:t>
      </w:r>
    </w:p>
    <w:p w14:paraId="56432DE2" w14:textId="77777777" w:rsidR="005D0331" w:rsidRPr="003568D9" w:rsidRDefault="005D0331" w:rsidP="005D0331">
      <w:pPr>
        <w:widowControl w:val="0"/>
        <w:autoSpaceDE w:val="0"/>
        <w:autoSpaceDN w:val="0"/>
        <w:spacing w:after="120" w:line="276" w:lineRule="auto"/>
        <w:ind w:firstLine="709"/>
        <w:jc w:val="both"/>
        <w:rPr>
          <w:rFonts w:ascii="Arial" w:eastAsia="Arial" w:hAnsi="Arial" w:cs="Arial"/>
          <w:lang w:val="es-ES"/>
        </w:rPr>
      </w:pPr>
      <w:r w:rsidRPr="003568D9">
        <w:rPr>
          <w:rFonts w:ascii="Arial" w:eastAsia="Arial" w:hAnsi="Arial" w:cs="Arial"/>
          <w:lang w:val="es-ES"/>
        </w:rPr>
        <w:t xml:space="preserve">Nótese que la norma hace referencia a los documentos “expedidos por la entidad estatal” durante el proceso de contratación, excluyendo de la noción de </w:t>
      </w:r>
      <w:r w:rsidRPr="003568D9">
        <w:rPr>
          <w:rFonts w:ascii="Arial" w:eastAsia="Arial" w:hAnsi="Arial" w:cs="Arial"/>
          <w:i/>
          <w:iCs/>
          <w:lang w:val="es-ES"/>
        </w:rPr>
        <w:t>Documentos del Proceso</w:t>
      </w:r>
      <w:r w:rsidRPr="003568D9">
        <w:rPr>
          <w:rFonts w:ascii="Arial" w:eastAsia="Arial" w:hAnsi="Arial" w:cs="Arial"/>
          <w:lang w:val="es-ES"/>
        </w:rPr>
        <w:t xml:space="preserve"> los expedidos por un sujeto distinto a la entidad, salvo la oferta, la cual se incluye expresamente en el artículo 2.2.1.1.1.3.1. </w:t>
      </w:r>
    </w:p>
    <w:p w14:paraId="6A4408EC" w14:textId="77777777" w:rsidR="005D0331" w:rsidRPr="003568D9" w:rsidRDefault="005D0331" w:rsidP="005D0331">
      <w:pPr>
        <w:widowControl w:val="0"/>
        <w:autoSpaceDE w:val="0"/>
        <w:autoSpaceDN w:val="0"/>
        <w:spacing w:after="120" w:line="276" w:lineRule="auto"/>
        <w:ind w:firstLine="708"/>
        <w:jc w:val="both"/>
        <w:rPr>
          <w:rFonts w:ascii="Arial" w:eastAsia="Arial" w:hAnsi="Arial" w:cs="Arial"/>
          <w:lang w:val="es-ES"/>
        </w:rPr>
      </w:pPr>
      <w:r w:rsidRPr="003568D9">
        <w:rPr>
          <w:rFonts w:ascii="Arial" w:eastAsia="Arial" w:hAnsi="Arial" w:cs="Arial"/>
          <w:lang w:val="es-ES"/>
        </w:rPr>
        <w:t xml:space="preserve">En ese sentido, la interpretación sistemática de los preceptos del Decreto 1082 de 2015, de acuerdo con el principio de publicidad, inicialmente, indica que las entidades estatales tienen la obligación de publicar todos los documentos que expidan con ocasión del </w:t>
      </w:r>
      <w:r w:rsidRPr="003568D9">
        <w:rPr>
          <w:rFonts w:ascii="Arial" w:eastAsia="Arial" w:hAnsi="Arial" w:cs="Arial"/>
          <w:i/>
          <w:iCs/>
          <w:lang w:val="es-ES"/>
        </w:rPr>
        <w:t>Proceso de Contratación</w:t>
      </w:r>
      <w:r w:rsidRPr="003568D9">
        <w:rPr>
          <w:rFonts w:ascii="Arial" w:eastAsia="Arial" w:hAnsi="Arial" w:cs="Arial"/>
          <w:lang w:val="es-ES"/>
        </w:rPr>
        <w:t xml:space="preserve">, esto es, desde la fase de planeación hasta “el vencimiento de las garantías de calidad, estabilidad y mantenimiento, o las condiciones de disposición final o recuperación ambiental de las obras o bienes o el vencimiento del plazo, lo que ocurra más tarde”, lo que significa que todos los documentos expedidos por la entidad durante las etapas precontractual, de ejecución y postcontractual deberán ser publicados en SECOP </w:t>
      </w:r>
      <w:r w:rsidRPr="003568D9">
        <w:rPr>
          <w:rFonts w:ascii="Arial" w:eastAsia="Arial" w:hAnsi="Arial" w:cs="Arial"/>
          <w:lang w:val="es-ES"/>
        </w:rPr>
        <w:lastRenderedPageBreak/>
        <w:t>dentro de los tres (3) días siguientes a su expedición, para  cumplir el deber de publicidad regulado por el artículo 2.2.1.1.1.7.1. del Decreto 1082 de 2015.</w:t>
      </w:r>
    </w:p>
    <w:p w14:paraId="4F172D0F" w14:textId="77777777" w:rsidR="005D0331" w:rsidRPr="003568D9" w:rsidRDefault="005D0331" w:rsidP="005D0331">
      <w:pPr>
        <w:widowControl w:val="0"/>
        <w:autoSpaceDE w:val="0"/>
        <w:autoSpaceDN w:val="0"/>
        <w:spacing w:after="120" w:line="276" w:lineRule="auto"/>
        <w:ind w:firstLine="708"/>
        <w:jc w:val="both"/>
        <w:rPr>
          <w:rFonts w:ascii="Arial" w:eastAsia="Arial" w:hAnsi="Arial" w:cs="Arial"/>
          <w:lang w:val="es-ES"/>
        </w:rPr>
      </w:pPr>
      <w:bookmarkStart w:id="12" w:name="_Hlk79767574"/>
      <w:r w:rsidRPr="003568D9">
        <w:rPr>
          <w:rFonts w:ascii="Arial" w:eastAsia="Arial" w:hAnsi="Arial" w:cs="Arial"/>
          <w:lang w:val="es-ES"/>
        </w:rPr>
        <w:t xml:space="preserve">En todo caso, de conformidad con la segunda parte del inciso primero del artículo 2.2.1.1.1.7.1 </w:t>
      </w:r>
      <w:r w:rsidRPr="003568D9">
        <w:rPr>
          <w:rFonts w:ascii="Arial" w:eastAsia="Arial" w:hAnsi="Arial" w:cs="Arial"/>
          <w:i/>
          <w:iCs/>
          <w:lang w:val="es-ES"/>
        </w:rPr>
        <w:t>Ibídem</w:t>
      </w:r>
      <w:r w:rsidRPr="003568D9">
        <w:rPr>
          <w:rFonts w:ascii="Arial" w:eastAsia="Arial" w:hAnsi="Arial" w:cs="Arial"/>
          <w:lang w:val="es-ES"/>
        </w:rPr>
        <w:t xml:space="preserve">, el deber de publicar las actuaciones realizadas en el marco del proceso de contratación, en lo referente a las ofertas presentadas, solo se predica de la propuesta del adjudicatario, así que no es necesario publicar las demás. Sin embargo, eso no quiere decir que las ofertas tengan algún tipo de reserva, toda vez que la audiencia de adjudicación es publica y, además, se permite al interesado consultar el expediente del </w:t>
      </w:r>
      <w:r w:rsidRPr="003568D9">
        <w:rPr>
          <w:rFonts w:ascii="Arial" w:eastAsia="Arial" w:hAnsi="Arial" w:cs="Arial"/>
          <w:i/>
          <w:iCs/>
          <w:lang w:val="es-ES"/>
        </w:rPr>
        <w:t>Proceso de Contratación</w:t>
      </w:r>
      <w:r w:rsidRPr="003568D9">
        <w:rPr>
          <w:rFonts w:ascii="Arial" w:eastAsia="Arial" w:hAnsi="Arial" w:cs="Arial"/>
          <w:lang w:val="es-ES"/>
        </w:rPr>
        <w:t>. En ese sentido, si bien la entidad no está obligada a publicar las ofertas de los demás participantes, lo cierto es que, sobre las mismas, no se presenta reserva legal.</w:t>
      </w:r>
      <w:r w:rsidRPr="003568D9">
        <w:rPr>
          <w:rFonts w:ascii="Arial" w:eastAsia="Arial" w:hAnsi="Arial" w:cs="Arial"/>
          <w:i/>
          <w:iCs/>
          <w:lang w:val="es-ES"/>
        </w:rPr>
        <w:t xml:space="preserve"> </w:t>
      </w:r>
      <w:r w:rsidRPr="003568D9">
        <w:rPr>
          <w:rFonts w:ascii="Arial" w:eastAsia="Arial" w:hAnsi="Arial" w:cs="Arial"/>
          <w:lang w:val="es-ES"/>
        </w:rPr>
        <w:t>Del deber de publicidad, de conformidad con la tercera parte del inciso primero de la referida norma, también se encuentran exentos los documentos de las operaciones que se realicen en bolsa de productos.</w:t>
      </w:r>
    </w:p>
    <w:bookmarkEnd w:id="12"/>
    <w:p w14:paraId="472884CC" w14:textId="77777777" w:rsidR="005D0331" w:rsidRPr="003568D9" w:rsidRDefault="005D0331" w:rsidP="005D0331">
      <w:pPr>
        <w:widowControl w:val="0"/>
        <w:autoSpaceDE w:val="0"/>
        <w:autoSpaceDN w:val="0"/>
        <w:spacing w:after="120" w:line="276" w:lineRule="auto"/>
        <w:ind w:firstLine="708"/>
        <w:jc w:val="both"/>
        <w:rPr>
          <w:rFonts w:ascii="Arial" w:eastAsia="Arial" w:hAnsi="Arial" w:cs="Arial"/>
          <w:lang w:val="es-ES"/>
        </w:rPr>
      </w:pPr>
      <w:r w:rsidRPr="003568D9">
        <w:rPr>
          <w:rFonts w:ascii="Arial" w:eastAsia="Arial" w:hAnsi="Arial" w:cs="Arial"/>
          <w:lang w:val="es-ES"/>
        </w:rPr>
        <w:t xml:space="preserve">El inciso segundo del artículo 2.2.1.1.1.7.1 </w:t>
      </w:r>
      <w:r w:rsidRPr="003568D9">
        <w:rPr>
          <w:rFonts w:ascii="Arial" w:eastAsia="Arial" w:hAnsi="Arial" w:cs="Arial"/>
          <w:i/>
          <w:iCs/>
          <w:lang w:val="es-ES"/>
        </w:rPr>
        <w:t xml:space="preserve">ejusdem, </w:t>
      </w:r>
      <w:r w:rsidRPr="003568D9">
        <w:rPr>
          <w:rFonts w:ascii="Arial" w:eastAsia="Arial" w:hAnsi="Arial" w:cs="Arial"/>
          <w:lang w:val="es-ES"/>
        </w:rPr>
        <w:t xml:space="preserve">hace explícito el deber de las entidades estatales de publicar el aviso de convocatoria con el objeto de que los interesados formulen observaciones al proyecto de pliego de condiciones o soliciten aclaraciones en los términos del artículo </w:t>
      </w:r>
      <w:r w:rsidRPr="003568D9">
        <w:rPr>
          <w:rFonts w:ascii="Arial" w:eastAsia="Calibri" w:hAnsi="Arial" w:cs="Arial"/>
          <w:lang w:val="es-ES"/>
        </w:rPr>
        <w:t xml:space="preserve">2.2.1.1.2.1.4, deber que hace extensivo a la invitación </w:t>
      </w:r>
      <w:r w:rsidRPr="003568D9">
        <w:rPr>
          <w:rFonts w:ascii="Arial" w:eastAsia="Arial" w:hAnsi="Arial" w:cs="Arial"/>
          <w:lang w:val="es-ES"/>
        </w:rPr>
        <w:t xml:space="preserve">a participar en procesos de mínima cuantía. No obstante, de conformidad con el inciso final del artículo 2.2.1.1.2.1.2 del Decreto 1082 de 2015, la expedición y publicación en el SECOP del aviso de convocatoria no es necesaria en las modalidades de selección de contratación directa y mínima cuantía. </w:t>
      </w:r>
    </w:p>
    <w:p w14:paraId="787B529C" w14:textId="77777777" w:rsidR="005D0331" w:rsidRPr="003568D9" w:rsidRDefault="005D0331" w:rsidP="005D0331">
      <w:pPr>
        <w:widowControl w:val="0"/>
        <w:autoSpaceDE w:val="0"/>
        <w:autoSpaceDN w:val="0"/>
        <w:spacing w:after="120" w:line="276" w:lineRule="auto"/>
        <w:ind w:firstLine="708"/>
        <w:jc w:val="both"/>
        <w:rPr>
          <w:rFonts w:ascii="Arial" w:eastAsia="Arial" w:hAnsi="Arial" w:cs="Arial"/>
          <w:lang w:val="es-ES"/>
        </w:rPr>
      </w:pPr>
      <w:r w:rsidRPr="003568D9">
        <w:rPr>
          <w:rFonts w:ascii="Arial" w:eastAsia="Arial" w:hAnsi="Arial" w:cs="Arial"/>
          <w:lang w:val="es-ES"/>
        </w:rPr>
        <w:t xml:space="preserve">De lo anterior se puede concluir que, en virtud de lo dispuesto en el artículo 3 de la Ley 1150 de 2007, desarrollado por el artículo 2.2.1.1.1.7.1. del Decreto 1082 de 2015, las entidades están obligadas a publicar en el SECOP todos los documentos relacionados con el </w:t>
      </w:r>
      <w:r w:rsidRPr="003568D9">
        <w:rPr>
          <w:rFonts w:ascii="Arial" w:eastAsia="Arial" w:hAnsi="Arial" w:cs="Arial"/>
          <w:i/>
          <w:iCs/>
          <w:lang w:val="es-ES"/>
        </w:rPr>
        <w:t>Proceso de Contratación</w:t>
      </w:r>
      <w:r w:rsidRPr="003568D9">
        <w:rPr>
          <w:rFonts w:ascii="Arial" w:eastAsia="Arial" w:hAnsi="Arial" w:cs="Arial"/>
          <w:lang w:val="es-ES"/>
        </w:rPr>
        <w:t xml:space="preserve"> expedidos durante las etapas precontractual, de ejecución y postcontractual, dentro de los tres (3) días hábiles siguientes a su producción</w:t>
      </w:r>
      <w:r w:rsidRPr="003568D9">
        <w:rPr>
          <w:rFonts w:ascii="Arial" w:eastAsia="Arial" w:hAnsi="Arial" w:cs="Arial"/>
          <w:vertAlign w:val="superscript"/>
          <w:lang w:val="es-ES"/>
        </w:rPr>
        <w:footnoteReference w:id="4"/>
      </w:r>
      <w:r w:rsidRPr="003568D9">
        <w:rPr>
          <w:rFonts w:ascii="Arial" w:eastAsia="Arial" w:hAnsi="Arial" w:cs="Arial"/>
          <w:lang w:val="es-ES"/>
        </w:rPr>
        <w:t xml:space="preserve">, deber que aplica a todas las modalidades de selección y entidades regidas por el Estatuto General de Contratación de la Administración Pública, y del que solo se encuentran excluidas las </w:t>
      </w:r>
      <w:r w:rsidRPr="003568D9">
        <w:rPr>
          <w:rFonts w:ascii="Arial" w:eastAsia="Arial" w:hAnsi="Arial" w:cs="Arial"/>
          <w:lang w:val="es-ES"/>
        </w:rPr>
        <w:lastRenderedPageBreak/>
        <w:t>ofertas ganadoras y los documentos expedidos en el marco de operaciones de bolsa de productos.</w:t>
      </w:r>
    </w:p>
    <w:p w14:paraId="2E1D15F8" w14:textId="77777777" w:rsidR="005D0331" w:rsidRPr="003568D9" w:rsidRDefault="005D0331" w:rsidP="005D0331">
      <w:pPr>
        <w:spacing w:before="120" w:after="120" w:line="276" w:lineRule="auto"/>
        <w:ind w:firstLine="709"/>
        <w:jc w:val="both"/>
        <w:rPr>
          <w:rFonts w:ascii="Arial" w:eastAsia="Calibri" w:hAnsi="Arial" w:cs="Arial"/>
          <w:lang w:val="es-ES"/>
        </w:rPr>
      </w:pPr>
      <w:r w:rsidRPr="003568D9">
        <w:rPr>
          <w:rFonts w:ascii="Arial" w:eastAsia="Calibri" w:hAnsi="Arial" w:cs="Arial"/>
          <w:lang w:val="es-ES"/>
        </w:rPr>
        <w:t xml:space="preserve">No obstante, conforme se estableció </w:t>
      </w:r>
      <w:r w:rsidRPr="003568D9">
        <w:rPr>
          <w:rFonts w:ascii="Arial" w:eastAsia="Calibri" w:hAnsi="Arial" w:cs="Arial"/>
          <w:i/>
          <w:iCs/>
          <w:lang w:val="es-ES"/>
        </w:rPr>
        <w:t>supra</w:t>
      </w:r>
      <w:r w:rsidRPr="003568D9">
        <w:rPr>
          <w:rFonts w:ascii="Arial" w:eastAsia="Calibri" w:hAnsi="Arial" w:cs="Arial"/>
          <w:lang w:val="es-ES"/>
        </w:rPr>
        <w:t>, el deber de publicar los documentos relacionados con la contratación no se encuentra regulado solamente por las normas del Estatuto General de Contratación  de la Administración Pública, ya que la Ley 1712 de 2014, normativa de la transparencia y del derecho de acceso a la información pública, señala en el literal g) del artículo 11, que todo sujeto obligado debe publicar sus procedimientos, lineamientos, políticas en materia de adquisiciones y compras, así como todos los datos de adjudicación y ejecución de sus contratos. Esta obligación, está reglamentada en el Decreto 1081 de 2015. Este señala, en el artículo 2.1.1.2.1.7, que las entidades deberán publicar en el SECOP la información de su gestión contractual</w:t>
      </w:r>
      <w:r w:rsidRPr="003568D9">
        <w:rPr>
          <w:rFonts w:ascii="Arial" w:eastAsia="Calibri" w:hAnsi="Arial" w:cs="Arial"/>
          <w:vertAlign w:val="superscript"/>
          <w:lang w:val="es-ES"/>
        </w:rPr>
        <w:footnoteReference w:id="5"/>
      </w:r>
      <w:r w:rsidRPr="003568D9">
        <w:rPr>
          <w:rFonts w:ascii="Arial" w:eastAsia="Calibri" w:hAnsi="Arial" w:cs="Arial"/>
          <w:lang w:val="es-ES"/>
        </w:rPr>
        <w:t>. Por su parte, el artículo 2.1.1.2.1.9 expresa que las entidades deberán publicar los procedimientos, lineamientos y políticas en materia de adquisición, que no son otros que los previstos en el manual de contratación, el cual debe publicarse en el sitio web del sujeto obligado</w:t>
      </w:r>
      <w:r w:rsidRPr="003568D9">
        <w:rPr>
          <w:rFonts w:ascii="Arial" w:eastAsia="Calibri" w:hAnsi="Arial" w:cs="Arial"/>
          <w:vertAlign w:val="superscript"/>
          <w:lang w:val="es-ES"/>
        </w:rPr>
        <w:footnoteReference w:id="6"/>
      </w:r>
      <w:r w:rsidRPr="003568D9">
        <w:rPr>
          <w:rFonts w:ascii="Arial" w:eastAsia="Calibri" w:hAnsi="Arial" w:cs="Arial"/>
          <w:lang w:val="es-ES"/>
        </w:rPr>
        <w:t>. El artículo 2.1.1.2.1.10 establece la obligación que tienen las entidades de publicar en el SECOP el Plan Anual de Adquisiciones</w:t>
      </w:r>
      <w:r w:rsidRPr="003568D9">
        <w:rPr>
          <w:rFonts w:ascii="Arial" w:eastAsia="Calibri" w:hAnsi="Arial" w:cs="Arial"/>
          <w:vertAlign w:val="superscript"/>
          <w:lang w:val="es-ES"/>
        </w:rPr>
        <w:footnoteReference w:id="7"/>
      </w:r>
      <w:r w:rsidRPr="003568D9">
        <w:rPr>
          <w:rFonts w:ascii="Arial" w:eastAsia="Calibri" w:hAnsi="Arial" w:cs="Arial"/>
          <w:lang w:val="es-ES"/>
        </w:rPr>
        <w:t xml:space="preserve">. </w:t>
      </w:r>
    </w:p>
    <w:p w14:paraId="2CE0A921" w14:textId="77777777" w:rsidR="005D0331" w:rsidRPr="003568D9" w:rsidRDefault="005D0331" w:rsidP="005D0331">
      <w:pPr>
        <w:spacing w:before="120" w:after="120" w:line="276" w:lineRule="auto"/>
        <w:ind w:firstLine="709"/>
        <w:jc w:val="both"/>
        <w:rPr>
          <w:rFonts w:ascii="Arial" w:eastAsia="Calibri" w:hAnsi="Arial" w:cs="Arial"/>
          <w:lang w:val="es-ES"/>
        </w:rPr>
      </w:pPr>
      <w:r w:rsidRPr="003568D9">
        <w:rPr>
          <w:rFonts w:ascii="Arial" w:eastAsia="Calibri" w:hAnsi="Arial" w:cs="Arial"/>
          <w:lang w:val="es-ES"/>
        </w:rPr>
        <w:t xml:space="preserve">De otro lado, el artículo 2.1.1.2.1.8, establece los efectos de la obligación contenida en el literal g) del artículo 11 de la Ley 1712 de 2014, en relación con los documentos producidos durante la ejecución del contrato, señalando que se deben publicar las </w:t>
      </w:r>
      <w:r w:rsidRPr="003568D9">
        <w:rPr>
          <w:rFonts w:ascii="Arial" w:eastAsia="Calibri" w:hAnsi="Arial" w:cs="Arial"/>
          <w:lang w:val="es-ES"/>
        </w:rPr>
        <w:lastRenderedPageBreak/>
        <w:t>aprobaciones, autorizaciones, requerimientos o informes del supervisor o interventor, que prueben la ejecución del contrato</w:t>
      </w:r>
      <w:r w:rsidRPr="003568D9">
        <w:rPr>
          <w:rFonts w:ascii="Arial" w:eastAsia="Calibri" w:hAnsi="Arial" w:cs="Arial"/>
          <w:vertAlign w:val="superscript"/>
          <w:lang w:val="es-ES"/>
        </w:rPr>
        <w:footnoteReference w:id="8"/>
      </w:r>
      <w:r w:rsidRPr="003568D9">
        <w:rPr>
          <w:rFonts w:ascii="Arial" w:eastAsia="Calibri" w:hAnsi="Arial" w:cs="Arial"/>
          <w:lang w:val="es-ES"/>
        </w:rPr>
        <w:t>.</w:t>
      </w:r>
    </w:p>
    <w:p w14:paraId="41C52F41" w14:textId="77777777" w:rsidR="005D0331" w:rsidRPr="003568D9" w:rsidRDefault="005D0331" w:rsidP="005D0331">
      <w:pPr>
        <w:spacing w:before="120" w:after="120" w:line="276" w:lineRule="auto"/>
        <w:ind w:firstLine="709"/>
        <w:jc w:val="both"/>
        <w:rPr>
          <w:rFonts w:ascii="Arial" w:eastAsia="Calibri" w:hAnsi="Arial" w:cs="Arial"/>
          <w:lang w:val="es-ES"/>
        </w:rPr>
      </w:pPr>
      <w:r w:rsidRPr="003568D9">
        <w:rPr>
          <w:rFonts w:ascii="Arial" w:eastAsia="Calibri" w:hAnsi="Arial" w:cs="Arial"/>
          <w:lang w:val="es-ES"/>
        </w:rPr>
        <w:t xml:space="preserve">En ese orden, el deber de publicar la actividad contractual de las entidades estatales no solo está regulado en el artículo 3 de la Ley 1150 de 2007, y en el </w:t>
      </w:r>
      <w:r w:rsidRPr="003568D9">
        <w:rPr>
          <w:rFonts w:ascii="Arial" w:eastAsia="Arial" w:hAnsi="Arial" w:cs="Arial"/>
          <w:lang w:val="es-ES"/>
        </w:rPr>
        <w:t xml:space="preserve">artículo 2.2.1.1.1.7.1. del Decreto 1082 de 2015, sino también en la Ley 1712 de 2014, y en el Decreto 1081 de 2015, normas que no solo refuerzan y complementan al régimen de contratación estatal en cuanto a la publicidad, sino que lo amplía, para incluir la publicación de los “procedimientos” y la información relativa a la “gestión contractual”, sin el condicionamiento de tratarse exclusivamente de los </w:t>
      </w:r>
      <w:r w:rsidRPr="003568D9">
        <w:rPr>
          <w:rFonts w:ascii="Arial" w:eastAsia="Arial" w:hAnsi="Arial" w:cs="Arial"/>
          <w:i/>
          <w:iCs/>
          <w:lang w:val="es-ES"/>
        </w:rPr>
        <w:t xml:space="preserve">Documentos del Proceso </w:t>
      </w:r>
      <w:r w:rsidRPr="003568D9">
        <w:rPr>
          <w:rFonts w:ascii="Arial" w:eastAsia="Arial" w:hAnsi="Arial" w:cs="Arial"/>
          <w:lang w:val="es-ES"/>
        </w:rPr>
        <w:t>expedidos por la “entidad estatal”.</w:t>
      </w:r>
    </w:p>
    <w:p w14:paraId="44B2A967" w14:textId="77777777" w:rsidR="005D0331" w:rsidRPr="003568D9" w:rsidRDefault="005D0331" w:rsidP="005D0331">
      <w:pPr>
        <w:spacing w:before="120" w:after="120" w:line="276" w:lineRule="auto"/>
        <w:ind w:firstLine="709"/>
        <w:jc w:val="both"/>
        <w:rPr>
          <w:rFonts w:ascii="Arial" w:eastAsia="Calibri" w:hAnsi="Arial" w:cs="Arial"/>
          <w:lang w:val="es-ES"/>
        </w:rPr>
      </w:pPr>
      <w:r w:rsidRPr="003568D9">
        <w:rPr>
          <w:rFonts w:ascii="Arial" w:eastAsia="Calibri" w:hAnsi="Arial" w:cs="Arial"/>
          <w:lang w:val="es-ES"/>
        </w:rPr>
        <w:t xml:space="preserve">Las publicaciones que corresponde efectuar a las entidades estatales, como sujetos obligados por la normativa de la transparencia y acceso a la información pública, en particular en lo referente a la información contractual, antes que una derogación o subrogación del contenido del deber de publicidad regulado por el EGCAP, suponen una ampliación de su alcance, que lo hace trascender de la simple publicación de la información “producida por la entidad estatal” asociada a la noción de </w:t>
      </w:r>
      <w:r w:rsidRPr="003568D9">
        <w:rPr>
          <w:rFonts w:ascii="Arial" w:eastAsia="Calibri" w:hAnsi="Arial" w:cs="Arial"/>
          <w:i/>
          <w:iCs/>
          <w:lang w:val="es-ES"/>
        </w:rPr>
        <w:t>Documentos del Proceso.</w:t>
      </w:r>
      <w:r w:rsidRPr="003568D9">
        <w:rPr>
          <w:rFonts w:ascii="Arial" w:eastAsia="Calibri" w:hAnsi="Arial" w:cs="Arial"/>
          <w:lang w:val="es-ES"/>
        </w:rPr>
        <w:t xml:space="preserve"> Esto</w:t>
      </w:r>
      <w:r w:rsidRPr="003568D9">
        <w:rPr>
          <w:rFonts w:ascii="Arial" w:eastAsia="Calibri" w:hAnsi="Arial" w:cs="Arial"/>
          <w:i/>
          <w:iCs/>
          <w:lang w:val="es-ES"/>
        </w:rPr>
        <w:t xml:space="preserve"> </w:t>
      </w:r>
      <w:r w:rsidRPr="003568D9">
        <w:rPr>
          <w:rFonts w:ascii="Arial" w:eastAsia="Calibri" w:hAnsi="Arial" w:cs="Arial"/>
          <w:lang w:val="es-ES"/>
        </w:rPr>
        <w:t xml:space="preserve">en la medida en que, al establecerse la obligación de publicar los “procedimientos” y la “información de la gestión contractual” en el SECOP, se incorporó una visión omnicomprensiva de la actividad contractual que debe publicarse, comoquiera que la noción de procedimiento debe asimilarse a la de </w:t>
      </w:r>
      <w:r w:rsidRPr="003568D9">
        <w:rPr>
          <w:rFonts w:ascii="Arial" w:eastAsia="Calibri" w:hAnsi="Arial" w:cs="Arial"/>
          <w:i/>
          <w:iCs/>
          <w:lang w:val="es-ES"/>
        </w:rPr>
        <w:t>Proceso de Contratación,</w:t>
      </w:r>
      <w:r w:rsidRPr="003568D9">
        <w:rPr>
          <w:rFonts w:ascii="Arial" w:eastAsia="Calibri" w:hAnsi="Arial" w:cs="Arial"/>
          <w:lang w:val="es-ES"/>
        </w:rPr>
        <w:t xml:space="preserve"> lo que implica que la publicación que corresponde a las entidades estatales, como sujetos obligados en el marco de la Ley 1712 de 2014, se extienda a todo el desarrollo del procedimiento, desde la etapa de planeación hasta el vencimiento de las garantías, incluyendo cada actuación que se produzca en ese lapso.  </w:t>
      </w:r>
    </w:p>
    <w:p w14:paraId="1519B7A0" w14:textId="77777777" w:rsidR="005D0331" w:rsidRPr="003568D9" w:rsidRDefault="005D0331" w:rsidP="005D0331">
      <w:pPr>
        <w:spacing w:before="120" w:after="120" w:line="276" w:lineRule="auto"/>
        <w:ind w:firstLine="709"/>
        <w:jc w:val="both"/>
        <w:rPr>
          <w:rFonts w:ascii="Arial" w:eastAsia="Calibri" w:hAnsi="Arial" w:cs="Arial"/>
          <w:lang w:val="es-ES"/>
        </w:rPr>
      </w:pPr>
      <w:r w:rsidRPr="003568D9">
        <w:rPr>
          <w:rFonts w:ascii="Arial" w:eastAsia="Calibri" w:hAnsi="Arial" w:cs="Arial"/>
          <w:lang w:val="es-ES"/>
        </w:rPr>
        <w:t xml:space="preserve">Esto quiere decir que las Entidades Estatales, además de los documentos y actos administrativos </w:t>
      </w:r>
      <w:r w:rsidRPr="003568D9">
        <w:rPr>
          <w:rFonts w:ascii="Arial" w:eastAsia="Calibri" w:hAnsi="Arial" w:cs="Arial"/>
          <w:lang w:val="es-ES"/>
        </w:rPr>
        <w:softHyphen/>
      </w:r>
      <w:r w:rsidRPr="003568D9">
        <w:rPr>
          <w:rFonts w:ascii="Arial" w:eastAsia="Calibri" w:hAnsi="Arial" w:cs="Arial"/>
          <w:lang w:val="es-ES"/>
        </w:rPr>
        <w:softHyphen/>
        <w:t>–de trámite o definitivos– que expiden durante los procedimientos de contratación</w:t>
      </w:r>
      <w:r w:rsidRPr="003568D9">
        <w:rPr>
          <w:rFonts w:ascii="Arial" w:eastAsia="Calibri" w:hAnsi="Arial" w:cs="Arial"/>
          <w:i/>
          <w:iCs/>
          <w:lang w:val="es-ES"/>
        </w:rPr>
        <w:t>,</w:t>
      </w:r>
      <w:r w:rsidRPr="003568D9">
        <w:rPr>
          <w:rFonts w:ascii="Arial" w:eastAsia="Calibri" w:hAnsi="Arial" w:cs="Arial"/>
          <w:lang w:val="es-ES"/>
        </w:rPr>
        <w:t xml:space="preserve"> deben publicar los documentos que los impulsan y materializan, incluso los que no produce la entidad, pero que hacen parte del procedimiento, como las observaciones formuladas por la ciudadanía al proyecto de pliego de condiciones, o por los proponentes al informe de evaluación, aclaraciones a las ofertas realizadas por los oferentes, y cualquier otra actuación que a pesar de no tener origen en la entidad estatal, ni caber en estricto sentido en lo que se entiende con la expresión</w:t>
      </w:r>
      <w:r w:rsidRPr="003568D9">
        <w:rPr>
          <w:rFonts w:ascii="Arial" w:eastAsia="Calibri" w:hAnsi="Arial" w:cs="Arial"/>
          <w:i/>
          <w:iCs/>
          <w:lang w:val="es-ES"/>
        </w:rPr>
        <w:t xml:space="preserve"> Documento del Proceso, </w:t>
      </w:r>
      <w:r w:rsidRPr="003568D9">
        <w:rPr>
          <w:rFonts w:ascii="Arial" w:eastAsia="Calibri" w:hAnsi="Arial" w:cs="Arial"/>
          <w:lang w:val="es-ES"/>
        </w:rPr>
        <w:t xml:space="preserve">hace parte de su desarrollo, y que por disposición de la Ley de transparencia y acceso a la información pública, debe publicar la entidad de manera proactiva.   </w:t>
      </w:r>
    </w:p>
    <w:p w14:paraId="16A63B7C" w14:textId="77777777" w:rsidR="005D0331" w:rsidRPr="003568D9" w:rsidRDefault="005D0331" w:rsidP="005D0331">
      <w:pPr>
        <w:spacing w:before="120" w:after="120" w:line="276" w:lineRule="auto"/>
        <w:ind w:firstLine="709"/>
        <w:jc w:val="both"/>
        <w:rPr>
          <w:rFonts w:ascii="Arial" w:eastAsia="Calibri" w:hAnsi="Arial" w:cs="Arial"/>
          <w:lang w:val="es-ES"/>
        </w:rPr>
      </w:pPr>
      <w:r w:rsidRPr="003568D9">
        <w:rPr>
          <w:rFonts w:ascii="Arial" w:eastAsia="Calibri" w:hAnsi="Arial" w:cs="Arial"/>
          <w:lang w:val="es-ES"/>
        </w:rPr>
        <w:lastRenderedPageBreak/>
        <w:t xml:space="preserve"> Es importante resaltar que al no existir efectos derogatorios o subrogatorios entre las disposiciones del EGCAP y la normativa de la transparencia y el acceso a la información pública, las disposiciones de ambos regímenes deben ser interpretadas de manera complementaria. Esto significa que a pesar de que los documentos objeto de publicación según el Decreto 1082 de 2015, se encuentren recogidos dentro de los que deben ser publicados conforme a la Ley 1712 de 2014 y el Decreto 1081 de 2015, deberán respetarse los aspectos expresamente regulados en cada norma, como, por ejemplo, el término de publicación y la excepción de publicación de los documentos de las operaciones que se celebren en bolsa de productos, conforme al </w:t>
      </w:r>
      <w:r w:rsidRPr="003568D9">
        <w:rPr>
          <w:rFonts w:ascii="Arial" w:eastAsia="Arial" w:hAnsi="Arial" w:cs="Arial"/>
          <w:lang w:val="es-ES"/>
        </w:rPr>
        <w:t>artículo 2.2.1.1.1.7.1. del Decreto 1082 de 2015.</w:t>
      </w:r>
    </w:p>
    <w:p w14:paraId="0244CD08" w14:textId="77777777" w:rsidR="005D0331" w:rsidRPr="003568D9" w:rsidRDefault="005D0331" w:rsidP="005D0331">
      <w:pPr>
        <w:spacing w:before="120" w:after="120" w:line="276" w:lineRule="auto"/>
        <w:ind w:firstLine="709"/>
        <w:jc w:val="both"/>
        <w:rPr>
          <w:rFonts w:ascii="Arial" w:eastAsia="Calibri" w:hAnsi="Arial" w:cs="Arial"/>
          <w:lang w:val="es-ES"/>
        </w:rPr>
      </w:pPr>
      <w:r w:rsidRPr="003568D9">
        <w:rPr>
          <w:rFonts w:ascii="Arial" w:eastAsia="Calibri" w:hAnsi="Arial" w:cs="Arial"/>
          <w:lang w:val="es-ES"/>
        </w:rPr>
        <w:t xml:space="preserve">Esta interpretación de las disposiciones analizadas permite incorporar al EGCAP importantes principios desarrollados por la normativa de la transparencia y acceso a la información pública, como los de </w:t>
      </w:r>
      <w:r w:rsidRPr="003568D9">
        <w:rPr>
          <w:rFonts w:ascii="Arial" w:eastAsia="Calibri" w:hAnsi="Arial" w:cs="Arial"/>
          <w:i/>
          <w:iCs/>
          <w:lang w:val="es-ES"/>
        </w:rPr>
        <w:t>máxima publicidad para un titular universal</w:t>
      </w:r>
      <w:r w:rsidRPr="003568D9">
        <w:rPr>
          <w:rFonts w:ascii="Arial" w:eastAsia="Calibri" w:hAnsi="Arial" w:cs="Arial"/>
          <w:i/>
          <w:iCs/>
          <w:vertAlign w:val="superscript"/>
          <w:lang w:val="es-ES"/>
        </w:rPr>
        <w:footnoteReference w:id="9"/>
      </w:r>
      <w:r w:rsidRPr="003568D9">
        <w:rPr>
          <w:rFonts w:ascii="Arial" w:eastAsia="Calibri" w:hAnsi="Arial" w:cs="Arial"/>
          <w:i/>
          <w:iCs/>
          <w:lang w:val="es-ES"/>
        </w:rPr>
        <w:t>, transparencia, facilitación y divulgación proactiva de la información</w:t>
      </w:r>
      <w:r w:rsidRPr="003568D9">
        <w:rPr>
          <w:rFonts w:ascii="Arial" w:eastAsia="Calibri" w:hAnsi="Arial" w:cs="Arial"/>
          <w:vertAlign w:val="superscript"/>
          <w:lang w:val="es-ES"/>
        </w:rPr>
        <w:footnoteReference w:id="10"/>
      </w:r>
      <w:r w:rsidRPr="003568D9">
        <w:rPr>
          <w:rFonts w:ascii="Arial" w:eastAsia="Calibri" w:hAnsi="Arial" w:cs="Arial"/>
          <w:lang w:val="es-ES"/>
        </w:rPr>
        <w:t xml:space="preserve">,  porque al ampliarse la actividad contractual sobre la que recae el deber de publicación, se divulga un mayor volumen de información, que de por sí es pública, mediante un mecanismo  como el SECOP, que está concebido para ello por lo que facilita el acceso a la misma desde cualquier dispositivo con acceso a internet, garantizando mayor transparencia, al obligarse a las entidades estatales a publicar sus actuaciones de manera proactiva y rutinaria, lo que permite que la ciudadanía conozca con detalle y actualidad el desarrollo de la gestión </w:t>
      </w:r>
      <w:r w:rsidRPr="003568D9">
        <w:rPr>
          <w:rFonts w:ascii="Arial" w:eastAsia="Calibri" w:hAnsi="Arial" w:cs="Arial"/>
          <w:lang w:val="es-ES"/>
        </w:rPr>
        <w:lastRenderedPageBreak/>
        <w:t xml:space="preserve">contractual de la Administración, fomentándose en la contratación pública estándares altos de transparencia.   </w:t>
      </w:r>
    </w:p>
    <w:p w14:paraId="247A5C3D" w14:textId="77777777" w:rsidR="005D0331" w:rsidRPr="003568D9" w:rsidRDefault="005D0331" w:rsidP="005D0331">
      <w:pPr>
        <w:spacing w:before="120" w:after="120" w:line="276" w:lineRule="auto"/>
        <w:ind w:firstLine="709"/>
        <w:jc w:val="both"/>
        <w:rPr>
          <w:rFonts w:ascii="Arial" w:eastAsia="Calibri" w:hAnsi="Arial" w:cs="Arial"/>
          <w:lang w:val="es-ES"/>
        </w:rPr>
      </w:pPr>
      <w:r w:rsidRPr="003568D9">
        <w:rPr>
          <w:rFonts w:ascii="Arial" w:eastAsia="Calibri" w:hAnsi="Arial" w:cs="Arial"/>
          <w:bCs/>
          <w:lang w:val="es-ES"/>
        </w:rPr>
        <w:t>En cuanto al Plan Anual de Adquisiciones, se aclara que si bien es una herramienta de planeación para los procesos de contratación, cuya naturaleza corresponde a la de un acto administrativo, de conformidad con lo expuesto por esta Subdirección en el concepto C–237 del 24 de abril de 2020 –</w:t>
      </w:r>
      <w:r w:rsidRPr="003568D9">
        <w:rPr>
          <w:rFonts w:ascii="Arial" w:eastAsia="Calibri" w:hAnsi="Arial" w:cs="Arial"/>
          <w:lang w:val="es-ES"/>
        </w:rPr>
        <w:t xml:space="preserve">radicado interno No. </w:t>
      </w:r>
      <w:r w:rsidRPr="003568D9">
        <w:rPr>
          <w:rFonts w:ascii="Arial" w:eastAsia="Calibri" w:hAnsi="Arial" w:cs="Arial"/>
          <w:bCs/>
          <w:lang w:val="es-ES"/>
        </w:rPr>
        <w:t xml:space="preserve">2202013000003074–, </w:t>
      </w:r>
      <w:r w:rsidRPr="003568D9">
        <w:rPr>
          <w:rFonts w:ascii="Arial" w:eastAsia="Calibri" w:hAnsi="Arial" w:cs="Arial"/>
          <w:lang w:val="es-ES"/>
        </w:rPr>
        <w:t>este es un acto jurídico independiente de los objetos contractuales a los que se refiere, el cual contiene decisiones relevantes para quienes aspiren a contratar con el Estado y tiene por finalidad informar a los potenciales proveedores de una estimación de las obras, bienes y servicios requeridos por cada entidad.</w:t>
      </w:r>
    </w:p>
    <w:p w14:paraId="053149B6" w14:textId="77777777" w:rsidR="005D0331" w:rsidRPr="003568D9" w:rsidRDefault="005D0331" w:rsidP="005D0331">
      <w:pPr>
        <w:spacing w:after="120" w:line="276" w:lineRule="auto"/>
        <w:ind w:firstLine="709"/>
        <w:jc w:val="both"/>
        <w:rPr>
          <w:rFonts w:ascii="Calibri" w:eastAsia="Calibri" w:hAnsi="Calibri"/>
        </w:rPr>
      </w:pPr>
      <w:r w:rsidRPr="003568D9">
        <w:rPr>
          <w:rFonts w:ascii="Arial" w:eastAsia="Calibri" w:hAnsi="Arial" w:cs="Arial"/>
          <w:lang w:val="es-ES"/>
        </w:rPr>
        <w:t xml:space="preserve">En ese sentido, el Plan Anual de Adquisiciones no forma parte de la noción de </w:t>
      </w:r>
      <w:r w:rsidRPr="003568D9">
        <w:rPr>
          <w:rFonts w:ascii="Arial" w:eastAsia="Calibri" w:hAnsi="Arial" w:cs="Arial"/>
          <w:i/>
          <w:iCs/>
          <w:lang w:val="es-ES"/>
        </w:rPr>
        <w:t xml:space="preserve">Documentos del Proceso, </w:t>
      </w:r>
      <w:r w:rsidRPr="003568D9">
        <w:rPr>
          <w:rFonts w:ascii="Arial" w:eastAsia="Calibri" w:hAnsi="Arial" w:cs="Arial"/>
          <w:lang w:val="es-ES"/>
        </w:rPr>
        <w:t xml:space="preserve">ni hace parte del </w:t>
      </w:r>
      <w:r w:rsidRPr="003568D9">
        <w:rPr>
          <w:rFonts w:ascii="Arial" w:eastAsia="Calibri" w:hAnsi="Arial" w:cs="Arial"/>
          <w:i/>
          <w:iCs/>
          <w:lang w:val="es-ES"/>
        </w:rPr>
        <w:t>Proce</w:t>
      </w:r>
      <w:r w:rsidRPr="003568D9">
        <w:rPr>
          <w:rFonts w:ascii="Arial" w:eastAsia="Calibri" w:hAnsi="Arial" w:cs="Arial"/>
          <w:lang w:val="es-ES"/>
        </w:rPr>
        <w:t xml:space="preserve">so </w:t>
      </w:r>
      <w:r w:rsidRPr="003568D9">
        <w:rPr>
          <w:rFonts w:ascii="Arial" w:eastAsia="Calibri" w:hAnsi="Arial" w:cs="Arial"/>
          <w:i/>
          <w:iCs/>
          <w:lang w:val="es-ES"/>
        </w:rPr>
        <w:t>de Contratación,</w:t>
      </w:r>
      <w:r w:rsidRPr="003568D9">
        <w:rPr>
          <w:rFonts w:ascii="Arial" w:eastAsia="Calibri" w:hAnsi="Arial" w:cs="Arial"/>
          <w:lang w:val="es-ES"/>
        </w:rPr>
        <w:t xml:space="preserve"> conforme al artículo 2.2.1.1.1.3.1 del Decreto 1082 de 2015, por lo que el deber de publicarlo encuentra apoyo en normas distintas del artículo 2.2.1.1.1.7.1 </w:t>
      </w:r>
      <w:r w:rsidRPr="003568D9">
        <w:rPr>
          <w:rFonts w:ascii="Arial" w:eastAsia="Calibri" w:hAnsi="Arial" w:cs="Arial"/>
          <w:i/>
          <w:iCs/>
          <w:lang w:val="es-ES"/>
        </w:rPr>
        <w:t xml:space="preserve">Ibídem. </w:t>
      </w:r>
      <w:r w:rsidRPr="003568D9">
        <w:rPr>
          <w:rFonts w:ascii="Arial" w:eastAsia="Calibri" w:hAnsi="Arial" w:cs="Arial"/>
          <w:lang w:val="es-ES"/>
        </w:rPr>
        <w:t>Es el artículo 74 de la Ley 1474 de 2011</w:t>
      </w:r>
      <w:r w:rsidRPr="003568D9">
        <w:rPr>
          <w:rFonts w:ascii="Arial" w:eastAsia="Calibri" w:hAnsi="Arial" w:cs="Arial"/>
          <w:vertAlign w:val="superscript"/>
          <w:lang w:val="es-ES"/>
        </w:rPr>
        <w:footnoteReference w:id="11"/>
      </w:r>
      <w:r w:rsidRPr="003568D9">
        <w:rPr>
          <w:rFonts w:ascii="Arial" w:eastAsia="Calibri" w:hAnsi="Arial" w:cs="Arial"/>
          <w:lang w:val="es-ES"/>
        </w:rPr>
        <w:t xml:space="preserve"> el que dispone que a más tardar el 31 de enero de cada año las entidades deben publicar, en su página web, el Plan de Acción para el año siguiente; y el artículo 2.2.1.1.1.4.3</w:t>
      </w:r>
      <w:r w:rsidRPr="003568D9">
        <w:rPr>
          <w:rFonts w:ascii="Arial" w:eastAsia="Calibri" w:hAnsi="Arial" w:cs="Arial"/>
          <w:vertAlign w:val="superscript"/>
          <w:lang w:val="es-ES"/>
        </w:rPr>
        <w:footnoteReference w:id="12"/>
      </w:r>
      <w:r w:rsidRPr="003568D9">
        <w:rPr>
          <w:rFonts w:ascii="Arial" w:eastAsia="Calibri" w:hAnsi="Arial" w:cs="Arial"/>
          <w:lang w:val="es-ES"/>
        </w:rPr>
        <w:t xml:space="preserve"> del Decreto 1082 de 2015 también exige publicarlo en la página web de la entidad y además en el SECOP; así como también lo indica el citado artículo 2.1.1.2.1.10 del Decreto 1081 de 2015.</w:t>
      </w:r>
    </w:p>
    <w:p w14:paraId="4EE5826A" w14:textId="77777777" w:rsidR="005D0331" w:rsidRPr="003568D9" w:rsidRDefault="005D0331" w:rsidP="005D0331">
      <w:pPr>
        <w:spacing w:after="120" w:line="276" w:lineRule="auto"/>
        <w:ind w:firstLine="709"/>
        <w:jc w:val="both"/>
        <w:rPr>
          <w:rFonts w:ascii="Calibri" w:eastAsia="Calibri" w:hAnsi="Calibri"/>
        </w:rPr>
      </w:pPr>
      <w:r w:rsidRPr="003568D9">
        <w:rPr>
          <w:rFonts w:ascii="Arial" w:eastAsia="Calibri" w:hAnsi="Arial" w:cs="Arial"/>
          <w:lang w:val="es-ES"/>
        </w:rPr>
        <w:t xml:space="preserve">En conclusión, con base en los fundamentos normativos y argumentos expuestos, además del Plan Anual de Adquisiciones, las entidades estatales regidas por el EGCAP deberán publicar en SECOP, entre otros, los siguientes documentos expedidos con ocasión del </w:t>
      </w:r>
      <w:r w:rsidRPr="003568D9">
        <w:rPr>
          <w:rFonts w:ascii="Arial" w:eastAsia="Calibri" w:hAnsi="Arial" w:cs="Arial"/>
          <w:i/>
          <w:iCs/>
          <w:lang w:val="es-ES"/>
        </w:rPr>
        <w:t>proceso de contratación</w:t>
      </w:r>
      <w:r w:rsidRPr="003568D9">
        <w:rPr>
          <w:rFonts w:ascii="Arial" w:eastAsia="Calibri" w:hAnsi="Arial" w:cs="Arial"/>
          <w:lang w:val="es-ES"/>
        </w:rPr>
        <w:t>: i) el estudio de oportunidad y conveniencia; ii)</w:t>
      </w:r>
      <w:r w:rsidRPr="003568D9">
        <w:rPr>
          <w:rFonts w:ascii="Arial" w:eastAsia="Calibri" w:hAnsi="Arial" w:cs="Arial"/>
          <w:b/>
          <w:bCs/>
          <w:lang w:val="es-ES"/>
        </w:rPr>
        <w:t xml:space="preserve"> </w:t>
      </w:r>
      <w:r w:rsidRPr="003568D9">
        <w:rPr>
          <w:rFonts w:ascii="Arial" w:eastAsia="Calibri" w:hAnsi="Arial" w:cs="Arial"/>
          <w:lang w:val="es-ES"/>
        </w:rPr>
        <w:t xml:space="preserve">los estudios y documentos previos –técnicos o no–; iii) el  aviso de convocatoria; iv) el proyecto de pliego de condiciones y las observaciones que le formulen; v) el pliego de condiciones o la invitación, así como las observaciones que se les realicen; vi) las actas de la audiencia de asignación de riesgos; vii) el acta de cierre del plazo para presentar ofertas; viii) las </w:t>
      </w:r>
      <w:r w:rsidRPr="003568D9">
        <w:rPr>
          <w:rFonts w:ascii="Arial" w:eastAsia="Calibri" w:hAnsi="Arial" w:cs="Arial"/>
          <w:lang w:val="es-ES"/>
        </w:rPr>
        <w:lastRenderedPageBreak/>
        <w:t xml:space="preserve">adendas; ix) en  procesos cuya publicación deba realizarse en SECOP I, la oferta del adjudicatario y las aclaraciones que se le realicen; x) el informe de precalificación y las observaciones que se formulen; xi) el informe de evaluación y las observaciones que se formulen; xii) las respuestas a las observaciones; xiii) el contrato y los otrosíes o modificaciones; xiv) el acta de inicio; xv) las garantías; xvi) el acta de liquidación; xvii) los actos administrativos expedidos con ocasión del procedimiento de selección o la ejecución del contrato, como las resoluciones de apertura, de adjudicación, las que se impongan multas, la cláusula penal o declaren la caducidad del contrato; xviii) los documentos de los procesos por incumplimiento contractual que se lleven a cabo conforme al artículo 86 de la Ley 1474 de 2011, como la citación, las pruebas que se practiquen, la resolución que resuelve la actuación y demás documentos que se produzcan; ix) las reclamaciones que presenten las partes y las respuestas que se expidan a las mismas; xx) las actas de entrega o recibo, xxi) los informes de supervisión y/o interventoría; xxii) en cuanto a la ejecución, de conformidad con el artículo 2.1.1.2.1.8 de Decreto 1081 de 2015, deberán publicarse las aprobaciones, autorizaciones, requerimientos o informes del supervisor o del interventor, que prueben la ejecución del contrato; xxiii) la liquidación unilateral; y xxiv) en general cualquier otro documento producido o expedido con ocasión del </w:t>
      </w:r>
      <w:r w:rsidRPr="003568D9">
        <w:rPr>
          <w:rFonts w:ascii="Arial" w:eastAsia="Calibri" w:hAnsi="Arial" w:cs="Arial"/>
          <w:i/>
          <w:iCs/>
          <w:lang w:val="es-ES"/>
        </w:rPr>
        <w:t>Proceso de Contratación</w:t>
      </w:r>
      <w:r w:rsidRPr="003568D9">
        <w:rPr>
          <w:rFonts w:ascii="Arial" w:eastAsia="Calibri" w:hAnsi="Arial" w:cs="Arial"/>
          <w:lang w:val="es-ES"/>
        </w:rPr>
        <w:t>, sin importar quién sea su autor –la Administración o el contratista–, con excepción de los que pertenecen a</w:t>
      </w:r>
      <w:r w:rsidRPr="003568D9">
        <w:rPr>
          <w:rFonts w:ascii="Arial" w:eastAsia="Arial" w:hAnsi="Arial" w:cs="Arial"/>
          <w:lang w:val="es-ES"/>
        </w:rPr>
        <w:t xml:space="preserve">l marco de operaciones de bolsa de productos, expresamente excluidos de publicación por el artículo 2.2.1.1.1.7.1. del Decreto 1082 de 2015. </w:t>
      </w:r>
    </w:p>
    <w:p w14:paraId="55C8F84B" w14:textId="77777777" w:rsidR="005D0331" w:rsidRPr="003568D9" w:rsidRDefault="005D0331" w:rsidP="005D0331">
      <w:pPr>
        <w:spacing w:line="276" w:lineRule="auto"/>
        <w:ind w:firstLine="709"/>
        <w:jc w:val="both"/>
        <w:rPr>
          <w:rFonts w:ascii="Arial" w:eastAsia="Calibri" w:hAnsi="Arial" w:cs="Arial"/>
          <w:lang w:val="es-ES"/>
        </w:rPr>
      </w:pPr>
      <w:r w:rsidRPr="003568D9">
        <w:rPr>
          <w:rFonts w:ascii="Arial" w:eastAsia="Calibri" w:hAnsi="Arial" w:cs="Arial"/>
          <w:lang w:val="es-ES"/>
        </w:rPr>
        <w:t xml:space="preserve">Sin perjuicio de lo anterior, </w:t>
      </w:r>
      <w:bookmarkStart w:id="13" w:name="_Hlk79767737"/>
      <w:r w:rsidRPr="003568D9">
        <w:rPr>
          <w:rFonts w:ascii="Arial" w:eastAsia="Calibri" w:hAnsi="Arial" w:cs="Arial"/>
          <w:lang w:val="es-ES"/>
        </w:rPr>
        <w:t>no debe perderse de vista que en virtud del principio de transparencia, específicamente por cuenta de lo dispuesto en el numeral 4 del artículo 24 de la Ley 80 de 1993</w:t>
      </w:r>
      <w:r w:rsidRPr="003568D9">
        <w:rPr>
          <w:rFonts w:ascii="Arial" w:eastAsia="Calibri" w:hAnsi="Arial" w:cs="Arial"/>
          <w:vertAlign w:val="superscript"/>
          <w:lang w:val="es-ES"/>
        </w:rPr>
        <w:footnoteReference w:id="13"/>
      </w:r>
      <w:r w:rsidRPr="003568D9">
        <w:rPr>
          <w:rFonts w:ascii="Arial" w:eastAsia="Calibri" w:hAnsi="Arial" w:cs="Arial"/>
          <w:lang w:val="es-ES"/>
        </w:rPr>
        <w:t>, así como por el principio de máxima publicidad establecido en el artículo 2 de la Ley 1712 de 2014</w:t>
      </w:r>
      <w:r w:rsidRPr="003568D9">
        <w:rPr>
          <w:rFonts w:ascii="Arial" w:eastAsia="Calibri" w:hAnsi="Arial" w:cs="Arial"/>
          <w:vertAlign w:val="superscript"/>
          <w:lang w:val="es-ES"/>
        </w:rPr>
        <w:footnoteReference w:id="14"/>
      </w:r>
      <w:r w:rsidRPr="003568D9">
        <w:rPr>
          <w:rFonts w:ascii="Arial" w:eastAsia="Calibri" w:hAnsi="Arial" w:cs="Arial"/>
          <w:lang w:val="es-ES"/>
        </w:rPr>
        <w:t xml:space="preserve">, el contenido del expediente en el que reposa la actuación es información pública, independientemente de si se trata de documentos que deban  ser publicados en SECOP, razón por la que pueden ser objeto de solicitud de copias, en ejercicio del derecho de petición, en cualquier momento del proceso de selección, en la medida en que las normas señaladas no imponen ningún condicionamiento, así que podrán solicitarlas cualquier persona que manifieste interés, dentro de lo que cabe la vigilancia de </w:t>
      </w:r>
      <w:r w:rsidRPr="003568D9">
        <w:rPr>
          <w:rFonts w:ascii="Arial" w:eastAsia="Calibri" w:hAnsi="Arial" w:cs="Arial"/>
          <w:lang w:val="es-ES"/>
        </w:rPr>
        <w:lastRenderedPageBreak/>
        <w:t>la contratación pública, cuestión que podría interesar a cualquier ciudadano</w:t>
      </w:r>
      <w:r w:rsidRPr="003568D9">
        <w:rPr>
          <w:rFonts w:ascii="Arial" w:eastAsia="Calibri" w:hAnsi="Arial" w:cs="Arial"/>
          <w:vertAlign w:val="superscript"/>
          <w:lang w:val="es-ES"/>
        </w:rPr>
        <w:footnoteReference w:id="15"/>
      </w:r>
      <w:r w:rsidRPr="003568D9">
        <w:rPr>
          <w:rFonts w:ascii="Arial" w:eastAsia="Calibri" w:hAnsi="Arial" w:cs="Arial"/>
          <w:lang w:val="es-ES"/>
        </w:rPr>
        <w:t>. Esta posibilidad solo se encuentra limitada respecto de la documentación que tenga la calidad de reservada</w:t>
      </w:r>
      <w:r w:rsidRPr="003568D9">
        <w:rPr>
          <w:rFonts w:ascii="Arial" w:eastAsia="Calibri" w:hAnsi="Arial" w:cs="Arial"/>
          <w:vertAlign w:val="superscript"/>
          <w:lang w:val="es-ES"/>
        </w:rPr>
        <w:footnoteReference w:id="16"/>
      </w:r>
      <w:r w:rsidRPr="003568D9">
        <w:rPr>
          <w:rFonts w:ascii="Arial" w:eastAsia="Calibri" w:hAnsi="Arial" w:cs="Arial"/>
          <w:lang w:val="es-ES"/>
        </w:rPr>
        <w:t>, que deberá someterse al tratamiento establecido en el artículo 36 del CPACA, en lo relativo a la formación de cuadernos separados</w:t>
      </w:r>
      <w:r w:rsidRPr="003568D9">
        <w:rPr>
          <w:rFonts w:ascii="Arial" w:eastAsia="Calibri" w:hAnsi="Arial" w:cs="Arial"/>
          <w:vertAlign w:val="superscript"/>
          <w:lang w:val="es-ES"/>
        </w:rPr>
        <w:footnoteReference w:id="17"/>
      </w:r>
      <w:r w:rsidRPr="003568D9">
        <w:rPr>
          <w:rFonts w:ascii="Arial" w:eastAsia="Calibri" w:hAnsi="Arial" w:cs="Arial"/>
          <w:lang w:val="es-ES"/>
        </w:rPr>
        <w:t>.</w:t>
      </w:r>
    </w:p>
    <w:bookmarkEnd w:id="13"/>
    <w:p w14:paraId="19EA42A5" w14:textId="77777777" w:rsidR="005D0331" w:rsidRPr="003568D9" w:rsidRDefault="005D0331" w:rsidP="005D0331">
      <w:pPr>
        <w:spacing w:line="276" w:lineRule="auto"/>
        <w:jc w:val="both"/>
        <w:rPr>
          <w:rFonts w:ascii="Arial" w:eastAsia="Calibri" w:hAnsi="Arial" w:cs="Arial"/>
          <w:color w:val="000000"/>
        </w:rPr>
      </w:pPr>
    </w:p>
    <w:p w14:paraId="4B0B6EE9" w14:textId="77777777" w:rsidR="005D0331" w:rsidRPr="003568D9" w:rsidRDefault="005D0331" w:rsidP="005D0331">
      <w:pPr>
        <w:spacing w:line="276" w:lineRule="auto"/>
        <w:jc w:val="both"/>
        <w:rPr>
          <w:rFonts w:ascii="Arial" w:eastAsia="Calibri" w:hAnsi="Arial" w:cs="Arial"/>
          <w:b/>
          <w:color w:val="000000" w:themeColor="text1"/>
          <w:lang w:val="es-ES"/>
        </w:rPr>
      </w:pPr>
      <w:r w:rsidRPr="003568D9">
        <w:rPr>
          <w:rFonts w:ascii="Arial" w:eastAsia="Calibri" w:hAnsi="Arial" w:cs="Arial"/>
          <w:b/>
          <w:color w:val="000000" w:themeColor="text1"/>
          <w:lang w:val="es-ES"/>
        </w:rPr>
        <w:t>2.2. El SECOP II, su despliegue y utilización como plataforma electrónica transaccional</w:t>
      </w:r>
    </w:p>
    <w:p w14:paraId="10AAB89D" w14:textId="77777777" w:rsidR="005D0331" w:rsidRPr="003568D9" w:rsidRDefault="005D0331" w:rsidP="005D0331">
      <w:pPr>
        <w:spacing w:after="120" w:line="276" w:lineRule="auto"/>
        <w:jc w:val="both"/>
        <w:rPr>
          <w:rFonts w:ascii="Arial" w:eastAsia="Calibri" w:hAnsi="Arial" w:cs="Arial"/>
          <w:color w:val="000000" w:themeColor="text1"/>
          <w:lang w:val="es-ES"/>
        </w:rPr>
      </w:pPr>
      <w:r w:rsidRPr="003568D9">
        <w:rPr>
          <w:rFonts w:ascii="Arial" w:eastAsia="Calibri" w:hAnsi="Arial" w:cs="Arial"/>
          <w:color w:val="000000" w:themeColor="text1"/>
          <w:lang w:val="es-ES"/>
        </w:rPr>
        <w:t>La Agencia Nacional de Contratación Pública – Colombia Compra Eficiente tiene como función administrar el SECOP</w:t>
      </w:r>
      <w:r w:rsidRPr="003568D9">
        <w:rPr>
          <w:rStyle w:val="Refdenotaalpie"/>
          <w:rFonts w:ascii="Arial" w:eastAsia="Calibri" w:hAnsi="Arial" w:cs="Arial"/>
          <w:color w:val="000000" w:themeColor="text1"/>
          <w:lang w:val="es-ES"/>
        </w:rPr>
        <w:footnoteReference w:id="18"/>
      </w:r>
      <w:r w:rsidRPr="003568D9">
        <w:rPr>
          <w:rFonts w:ascii="Arial" w:eastAsia="Calibri" w:hAnsi="Arial" w:cs="Arial"/>
          <w:color w:val="000000" w:themeColor="text1"/>
          <w:lang w:val="es-ES"/>
        </w:rPr>
        <w:t xml:space="preserve">, por lo cual desarrolló la primera versión de la plataforma, </w:t>
      </w:r>
      <w:r w:rsidRPr="003568D9">
        <w:rPr>
          <w:rFonts w:ascii="Arial" w:eastAsia="Calibri" w:hAnsi="Arial" w:cs="Arial"/>
          <w:color w:val="000000" w:themeColor="text1"/>
          <w:lang w:val="es-ES"/>
        </w:rPr>
        <w:lastRenderedPageBreak/>
        <w:t>denominada SECOP I, que funciona como medio de publicidad y no transaccional, lo que significa que, en la práctica, el procedimiento contractual ocurre fuera de la plataforma y que la entidad lleva un expediente físico, cuyos documentos se escanean para cargarlos en la plataforma por quien tenga la función dentro de la entidad, de acuerdo con su organización interna.</w:t>
      </w:r>
    </w:p>
    <w:p w14:paraId="00791BF5" w14:textId="77777777" w:rsidR="005D0331" w:rsidRPr="003568D9" w:rsidRDefault="005D0331" w:rsidP="005D0331">
      <w:pPr>
        <w:spacing w:before="120" w:after="120" w:line="276" w:lineRule="auto"/>
        <w:ind w:firstLine="708"/>
        <w:jc w:val="both"/>
        <w:rPr>
          <w:rFonts w:ascii="Arial" w:eastAsia="Calibri" w:hAnsi="Arial" w:cs="Arial"/>
          <w:color w:val="000000" w:themeColor="text1"/>
          <w:lang w:val="es-ES"/>
        </w:rPr>
      </w:pPr>
      <w:r w:rsidRPr="003568D9">
        <w:rPr>
          <w:rFonts w:ascii="Arial" w:eastAsia="Calibri" w:hAnsi="Arial" w:cs="Arial"/>
          <w:color w:val="000000" w:themeColor="text1"/>
          <w:lang w:val="es-ES"/>
        </w:rPr>
        <w:t>El SECOP II es la segunda versión de la plataforma y se caracteriza por ser transaccional, esto es, permite la gestión en línea de los procedimientos de contratación, con cuentas y usuarios asociados a éstas, para las entidades y los proveedores, así como el acceso de consulta para cualquier interesado en hacer seguimiento a la contratación pública. Desde sus cuentas, las entidades crean, evalúan y adjudican procedimientos de contratación, y gestionan la fase de ejecución del contrato. Los proveedores, por su parte, pueden hacer comentarios a los documentos del procedimiento, presentar ofertas y, en general, seguir el procedimiento de selección en línea.</w:t>
      </w:r>
    </w:p>
    <w:p w14:paraId="41322CF8" w14:textId="77777777" w:rsidR="005D0331" w:rsidRPr="003568D9" w:rsidRDefault="005D0331" w:rsidP="005D0331">
      <w:pPr>
        <w:spacing w:line="276" w:lineRule="auto"/>
        <w:ind w:firstLine="708"/>
        <w:jc w:val="both"/>
        <w:rPr>
          <w:rFonts w:ascii="Arial" w:eastAsia="Calibri" w:hAnsi="Arial" w:cs="Arial"/>
          <w:color w:val="000000" w:themeColor="text1"/>
          <w:lang w:val="es-ES"/>
        </w:rPr>
      </w:pPr>
      <w:r w:rsidRPr="003568D9">
        <w:rPr>
          <w:rFonts w:ascii="Arial" w:eastAsia="Calibri" w:hAnsi="Arial" w:cs="Arial"/>
          <w:color w:val="000000" w:themeColor="text1"/>
          <w:lang w:val="es-ES"/>
        </w:rPr>
        <w:t>Es necesario aclarar que, dado que el procedimiento contractual se desarrolla en línea y dentro de la plataforma, paulatinamente se va conformando un expediente electrónico, lo cual implica una diferencia con el SECOP I, donde el procedimiento es físico, esto es, con documentos escritos que se publican posteriormente. Al existir esa diferencia entre las dos versiones del SECOP, por regla general, no es posible cargar en SECOP II actuaciones por escrito realizadas por la entidad, como ocurre en el SECOP I, sino que los documentos y actuaciones son electrónicos. En efecto, en una de las orientaciones jurídicas del SECOP II</w:t>
      </w:r>
      <w:r w:rsidRPr="003568D9">
        <w:rPr>
          <w:rStyle w:val="Refdenotaalpie"/>
          <w:rFonts w:ascii="Arial" w:eastAsia="Calibri" w:hAnsi="Arial" w:cs="Arial"/>
          <w:color w:val="000000" w:themeColor="text1"/>
          <w:lang w:val="es-ES"/>
        </w:rPr>
        <w:footnoteReference w:id="19"/>
      </w:r>
      <w:r w:rsidRPr="003568D9">
        <w:rPr>
          <w:rFonts w:ascii="Arial" w:eastAsia="Calibri" w:hAnsi="Arial" w:cs="Arial"/>
          <w:color w:val="000000" w:themeColor="text1"/>
          <w:lang w:val="es-ES"/>
        </w:rPr>
        <w:t>, la Subdirección de Gestión Contractual explicó que:</w:t>
      </w:r>
    </w:p>
    <w:p w14:paraId="3CF3EAF4" w14:textId="77777777" w:rsidR="005D0331" w:rsidRPr="003568D9" w:rsidRDefault="005D0331" w:rsidP="005D0331">
      <w:pPr>
        <w:spacing w:line="276" w:lineRule="auto"/>
        <w:ind w:firstLine="708"/>
        <w:jc w:val="both"/>
        <w:rPr>
          <w:rFonts w:ascii="Arial" w:eastAsia="Calibri" w:hAnsi="Arial" w:cs="Arial"/>
          <w:color w:val="000000" w:themeColor="text1"/>
          <w:lang w:val="es-ES"/>
        </w:rPr>
      </w:pPr>
    </w:p>
    <w:p w14:paraId="7489752B" w14:textId="77777777" w:rsidR="005D0331" w:rsidRPr="003568D9" w:rsidRDefault="005D0331" w:rsidP="005D0331">
      <w:pPr>
        <w:ind w:left="709" w:right="707"/>
        <w:jc w:val="both"/>
        <w:rPr>
          <w:rFonts w:ascii="Arial" w:eastAsia="Calibri" w:hAnsi="Arial" w:cs="Arial"/>
          <w:color w:val="000000" w:themeColor="text1"/>
          <w:sz w:val="21"/>
          <w:szCs w:val="21"/>
          <w:lang w:val="es-ES"/>
        </w:rPr>
      </w:pPr>
      <w:r w:rsidRPr="003568D9">
        <w:rPr>
          <w:rFonts w:ascii="Arial" w:eastAsia="Calibri" w:hAnsi="Arial" w:cs="Arial"/>
          <w:color w:val="000000" w:themeColor="text1"/>
          <w:sz w:val="21"/>
          <w:szCs w:val="21"/>
          <w:lang w:val="es-ES"/>
        </w:rPr>
        <w:t xml:space="preserve">[…] los contratos en SECOP II son electrónicos, por lo cual su publicación se da de manera simultánea a la actuación al ser una plataforma en línea. Teniendo en cuenta lo anterior no hay lugar a la publicación de manera posterior porque las actuaciones se hacen en la plataforma de manera inmediata. </w:t>
      </w:r>
    </w:p>
    <w:p w14:paraId="5860ED5A" w14:textId="77777777" w:rsidR="005D0331" w:rsidRPr="003568D9" w:rsidRDefault="005D0331" w:rsidP="005D0331">
      <w:pPr>
        <w:ind w:left="709" w:right="707"/>
        <w:jc w:val="both"/>
        <w:rPr>
          <w:rFonts w:ascii="Arial" w:eastAsia="Calibri" w:hAnsi="Arial" w:cs="Arial"/>
          <w:color w:val="000000" w:themeColor="text1"/>
          <w:sz w:val="21"/>
          <w:szCs w:val="21"/>
          <w:lang w:val="es-ES"/>
        </w:rPr>
      </w:pPr>
    </w:p>
    <w:p w14:paraId="197E83EB" w14:textId="77777777" w:rsidR="005D0331" w:rsidRPr="003568D9" w:rsidRDefault="005D0331" w:rsidP="005D0331">
      <w:pPr>
        <w:ind w:left="709" w:right="707"/>
        <w:jc w:val="both"/>
        <w:rPr>
          <w:rFonts w:ascii="Arial" w:eastAsia="Calibri" w:hAnsi="Arial" w:cs="Arial"/>
          <w:color w:val="000000" w:themeColor="text1"/>
          <w:sz w:val="21"/>
          <w:szCs w:val="21"/>
          <w:lang w:val="es-ES"/>
        </w:rPr>
      </w:pPr>
      <w:r w:rsidRPr="003568D9">
        <w:rPr>
          <w:rFonts w:ascii="Arial" w:eastAsia="Calibri" w:hAnsi="Arial" w:cs="Arial"/>
          <w:color w:val="000000" w:themeColor="text1"/>
          <w:sz w:val="21"/>
          <w:szCs w:val="21"/>
          <w:lang w:val="es-ES"/>
        </w:rPr>
        <w:t>Los contratos en el SECOP II están compuestos por el formulario y los anexos que son, mensajes de datos que la Entidad envía al proveedor como «contrato» y el mensaje de datos de aceptación por parte del proveedor, estos mensajes acompañados de la firma electrónica y el sello de tiempo que provee la plataforma constituyen el contrato electrónico el cual tiene plena validez y fuerza obligatoria.</w:t>
      </w:r>
    </w:p>
    <w:p w14:paraId="25978944" w14:textId="77777777" w:rsidR="005D0331" w:rsidRPr="003568D9" w:rsidRDefault="005D0331" w:rsidP="005D0331">
      <w:pPr>
        <w:spacing w:line="276" w:lineRule="auto"/>
        <w:ind w:firstLine="708"/>
        <w:jc w:val="both"/>
        <w:rPr>
          <w:rFonts w:ascii="Arial" w:eastAsia="Calibri" w:hAnsi="Arial" w:cs="Arial"/>
          <w:color w:val="000000" w:themeColor="text1"/>
          <w:lang w:val="es-ES"/>
        </w:rPr>
      </w:pPr>
    </w:p>
    <w:p w14:paraId="4179C6B3" w14:textId="77777777" w:rsidR="005D0331" w:rsidRPr="003568D9" w:rsidRDefault="005D0331" w:rsidP="005D0331">
      <w:pPr>
        <w:spacing w:line="276" w:lineRule="auto"/>
        <w:ind w:firstLine="708"/>
        <w:jc w:val="both"/>
        <w:rPr>
          <w:rFonts w:ascii="Arial" w:eastAsia="Calibri" w:hAnsi="Arial" w:cs="Arial"/>
          <w:color w:val="000000" w:themeColor="text1"/>
          <w:lang w:val="es-ES"/>
        </w:rPr>
      </w:pPr>
      <w:r w:rsidRPr="003568D9">
        <w:rPr>
          <w:rFonts w:ascii="Arial" w:eastAsia="Calibri" w:hAnsi="Arial" w:cs="Arial"/>
          <w:color w:val="000000" w:themeColor="text1"/>
          <w:lang w:val="es-ES"/>
        </w:rPr>
        <w:t xml:space="preserve">La plataforma SECOP II es totalmente transaccional, por lo que el trámite se realiza en línea y la publicidad de las actuaciones es concomitante, según transcurran cada una de las etapas del procedimiento, lo que descarta, en principio, la necesidad cargar documentación alguna. Además, de acuerdo con lo prescrito en el artículo 14 de la Ley 527 de 1999, en la formación del contrato, salvo acuerdo expreso entre las partes, la oferta y su aceptación podrán expresarse por medio de un mensaje de datos, lo que implica que «[n]o se negará validez o fuerza obligatoria a un contrato por la sola razón de haberse utilizado en su formación uno o más mensajes de datos». Igualmente, el artículo 22 </w:t>
      </w:r>
      <w:r w:rsidRPr="003568D9">
        <w:rPr>
          <w:rFonts w:ascii="Arial" w:eastAsia="Calibri" w:hAnsi="Arial" w:cs="Arial"/>
          <w:i/>
          <w:iCs/>
          <w:color w:val="000000" w:themeColor="text1"/>
          <w:lang w:val="es-ES"/>
        </w:rPr>
        <w:t>ibidem</w:t>
      </w:r>
      <w:r w:rsidRPr="003568D9">
        <w:rPr>
          <w:rFonts w:ascii="Arial" w:eastAsia="Calibri" w:hAnsi="Arial" w:cs="Arial"/>
          <w:color w:val="000000" w:themeColor="text1"/>
          <w:lang w:val="es-ES"/>
        </w:rPr>
        <w:t xml:space="preserve"> dispone que los contratos electrónicos compuestos por mensajes de datos tienen los efectos jurídicos según las normas aplicables al negocio jurídico contenido en dichos mensajes, esto es, las normas que regulan el sistema de contratación pública.</w:t>
      </w:r>
    </w:p>
    <w:p w14:paraId="77C8A86D" w14:textId="77777777" w:rsidR="005D0331" w:rsidRPr="003568D9" w:rsidRDefault="005D0331" w:rsidP="005D0331">
      <w:pPr>
        <w:spacing w:before="120" w:line="276" w:lineRule="auto"/>
        <w:ind w:firstLine="709"/>
        <w:jc w:val="both"/>
        <w:rPr>
          <w:rFonts w:ascii="Arial" w:eastAsia="Calibri" w:hAnsi="Arial" w:cs="Arial"/>
          <w:color w:val="000000" w:themeColor="text1"/>
          <w:lang w:val="es-ES"/>
        </w:rPr>
      </w:pPr>
      <w:r w:rsidRPr="003568D9">
        <w:rPr>
          <w:rFonts w:ascii="Arial" w:eastAsia="Calibri" w:hAnsi="Arial" w:cs="Arial"/>
          <w:color w:val="000000" w:themeColor="text1"/>
          <w:lang w:val="es-ES"/>
        </w:rPr>
        <w:t>No obstante, eventualmente puede ocurrir que al SECOP II se deban cargar documentos suscritos o no por las partes. Esto ocurre, por ejemplo, con los estudios previos, el informe de evaluación, la resolución de adjudicación o con el clausulado del contrato, entre otras actuaciones en las que los usuarios quedan habilitados para cargar documentos en la plataforma. Se trata de algo excepcional, pues, se insiste, el SECOP II es una plataforma esencialmente transaccional, distinta de la SECOP I que es una herramienta eminentemente de publicidad.</w:t>
      </w:r>
    </w:p>
    <w:p w14:paraId="67F250E9" w14:textId="77777777" w:rsidR="005D0331" w:rsidRPr="003568D9" w:rsidRDefault="005D0331" w:rsidP="005D0331">
      <w:pPr>
        <w:spacing w:before="120" w:line="276" w:lineRule="auto"/>
        <w:ind w:firstLine="709"/>
        <w:jc w:val="both"/>
        <w:rPr>
          <w:rFonts w:ascii="Arial" w:eastAsia="Calibri" w:hAnsi="Arial" w:cs="Arial"/>
          <w:color w:val="000000" w:themeColor="text1"/>
          <w:lang w:val="es-ES"/>
        </w:rPr>
      </w:pPr>
      <w:r w:rsidRPr="003568D9">
        <w:rPr>
          <w:rFonts w:ascii="Arial" w:eastAsia="Calibri" w:hAnsi="Arial" w:cs="Arial"/>
          <w:color w:val="000000" w:themeColor="text1"/>
          <w:lang w:val="es-ES"/>
        </w:rPr>
        <w:t xml:space="preserve">Dicho carácter excepcional, además, se justifica en la necesidad de evitar los problemas que pueden surgir ante la duplicidad de información, como, por ejemplo, la discrepancia entre el texto tramitado en el SECOP II y el que la entidad carga a la plataforma. </w:t>
      </w:r>
    </w:p>
    <w:p w14:paraId="5616E976" w14:textId="77777777" w:rsidR="005D0331" w:rsidRPr="003568D9" w:rsidRDefault="005D0331" w:rsidP="005D0331">
      <w:pPr>
        <w:spacing w:before="120" w:after="120" w:line="276" w:lineRule="auto"/>
        <w:ind w:firstLine="708"/>
        <w:jc w:val="both"/>
        <w:rPr>
          <w:rFonts w:ascii="Arial" w:eastAsia="Calibri" w:hAnsi="Arial" w:cs="Arial"/>
          <w:color w:val="000000" w:themeColor="text1"/>
          <w:lang w:val="es-ES"/>
        </w:rPr>
      </w:pPr>
      <w:r w:rsidRPr="003568D9">
        <w:rPr>
          <w:rFonts w:ascii="Arial" w:eastAsia="Calibri" w:hAnsi="Arial" w:cs="Arial"/>
          <w:color w:val="000000" w:themeColor="text1"/>
          <w:lang w:val="es-ES"/>
        </w:rPr>
        <w:t>Ahora bien, respecto a la obligación de utilizar la plataforma del SECOP II, Colombia Compra Eficiente realizó el despliegue de SECOP II a nivel territorial en el 2018 y 2019, por lo que expidió la Circular Externa No. 1 de 2019 sobre la obligatoriedad de su uso en el 2020, la cual dispone que: «a partir del 1 de enero de 2020, todos los procesos de contratación de las entidades relacionadas en el Anexo 1 de esta circular deberán gestionarse, exclusivamente, en el SECOP ll». Las entidades públicas relacionadas en dicho anexo están obligadas al uso de la plataforma.</w:t>
      </w:r>
    </w:p>
    <w:p w14:paraId="48074682" w14:textId="77777777" w:rsidR="005D0331" w:rsidRPr="003568D9" w:rsidRDefault="005D0331" w:rsidP="005D0331">
      <w:pPr>
        <w:spacing w:before="120" w:after="0" w:line="276" w:lineRule="auto"/>
        <w:jc w:val="both"/>
        <w:rPr>
          <w:rFonts w:ascii="Arial" w:eastAsia="Calibri" w:hAnsi="Arial" w:cs="Arial"/>
          <w:lang w:val="es-ES_tradnl"/>
        </w:rPr>
      </w:pPr>
    </w:p>
    <w:p w14:paraId="5A28BF9E" w14:textId="77777777" w:rsidR="005D0331" w:rsidRPr="003568D9" w:rsidRDefault="005D0331" w:rsidP="005D0331">
      <w:pPr>
        <w:spacing w:line="276" w:lineRule="auto"/>
        <w:jc w:val="both"/>
        <w:rPr>
          <w:rFonts w:ascii="Arial" w:eastAsia="Calibri" w:hAnsi="Arial" w:cs="Arial"/>
          <w:b/>
          <w:bCs/>
          <w:color w:val="000000" w:themeColor="text1"/>
          <w:lang w:val="es-ES"/>
        </w:rPr>
      </w:pPr>
      <w:r w:rsidRPr="003568D9">
        <w:rPr>
          <w:rFonts w:ascii="Arial" w:eastAsia="Calibri" w:hAnsi="Arial" w:cs="Arial"/>
          <w:b/>
          <w:bCs/>
          <w:color w:val="000000" w:themeColor="text1"/>
          <w:lang w:val="es-ES"/>
        </w:rPr>
        <w:t>2.3. Contrato electrónico</w:t>
      </w:r>
    </w:p>
    <w:p w14:paraId="684BFACB" w14:textId="77777777" w:rsidR="005D0331" w:rsidRPr="003568D9" w:rsidRDefault="005D0331" w:rsidP="005D0331">
      <w:pPr>
        <w:spacing w:after="120" w:line="276" w:lineRule="auto"/>
        <w:jc w:val="both"/>
        <w:rPr>
          <w:rFonts w:ascii="Arial" w:eastAsia="Calibri" w:hAnsi="Arial" w:cs="Arial"/>
          <w:color w:val="000000" w:themeColor="text1"/>
          <w:lang w:val="es-ES"/>
        </w:rPr>
      </w:pPr>
      <w:r w:rsidRPr="003568D9">
        <w:rPr>
          <w:rFonts w:ascii="Arial" w:eastAsia="Calibri" w:hAnsi="Arial" w:cs="Arial"/>
          <w:color w:val="000000" w:themeColor="text1"/>
          <w:lang w:val="es-ES"/>
        </w:rPr>
        <w:t xml:space="preserve">Después de que se adjudica el procedimiento en la plataforma y se carga el informe de evaluación, se da clic en «publicar» para que el SECOP II automáticamente cambie el estado del procedimiento a «adjudicado», con lo cual se genera el contrato electrónico en estado «en edición». La entidad debe buscar en la sección «contratos», el contrato </w:t>
      </w:r>
      <w:r w:rsidRPr="003568D9">
        <w:rPr>
          <w:rFonts w:ascii="Arial" w:eastAsia="Calibri" w:hAnsi="Arial" w:cs="Arial"/>
          <w:color w:val="000000" w:themeColor="text1"/>
          <w:lang w:val="es-ES"/>
        </w:rPr>
        <w:lastRenderedPageBreak/>
        <w:t xml:space="preserve">electrónico para su configuración, dando clic en «editar», con lo cual se visualizan nueve secciones de un formulario: i) información general, ii) condiciones, iii) bienes y servicios, iv) documentos del proveedor, v) documentos del contrato, vi) información presupuestal, vii) ejecución del contrato, viii) modificaciones del contrato y ix) incumplimientos. </w:t>
      </w:r>
    </w:p>
    <w:p w14:paraId="45E13B40" w14:textId="77777777" w:rsidR="005D0331" w:rsidRPr="003568D9" w:rsidRDefault="005D0331" w:rsidP="005D0331">
      <w:pPr>
        <w:spacing w:after="120" w:line="276" w:lineRule="auto"/>
        <w:ind w:firstLine="709"/>
        <w:jc w:val="both"/>
        <w:rPr>
          <w:rFonts w:ascii="Arial" w:eastAsia="Calibri" w:hAnsi="Arial" w:cs="Arial"/>
          <w:color w:val="000000" w:themeColor="text1"/>
          <w:lang w:val="es-ES"/>
        </w:rPr>
      </w:pPr>
      <w:r w:rsidRPr="003568D9">
        <w:rPr>
          <w:rFonts w:ascii="Arial" w:eastAsia="Calibri" w:hAnsi="Arial" w:cs="Arial"/>
          <w:color w:val="000000" w:themeColor="text1"/>
        </w:rPr>
        <w:t xml:space="preserve">La Guía para hacer la gestión contractual en el SECOP II de Colombia Compra Eficiente señala el contenido de cada sección del contrato electrónico y cómo debe ser diligenciado; </w:t>
      </w:r>
      <w:r w:rsidRPr="003568D9">
        <w:rPr>
          <w:rFonts w:ascii="Arial" w:eastAsia="Calibri" w:hAnsi="Arial" w:cs="Arial"/>
          <w:color w:val="000000" w:themeColor="text1"/>
          <w:lang w:val="es-ES"/>
        </w:rPr>
        <w:t xml:space="preserve">no obstante, puede ocurrir que sea necesario cargar documentos que por su contenido no se reflejan en el formulario generado automáticamente por la plataforma una vez adjudicado el proceso. Lo anterior es el caso de, entre otras, el clausulado del contrato. </w:t>
      </w:r>
    </w:p>
    <w:p w14:paraId="6CAAE99A" w14:textId="77777777" w:rsidR="005D0331" w:rsidRPr="003568D9" w:rsidRDefault="005D0331" w:rsidP="005D0331">
      <w:pPr>
        <w:spacing w:after="120" w:line="276" w:lineRule="auto"/>
        <w:ind w:firstLine="709"/>
        <w:jc w:val="both"/>
        <w:rPr>
          <w:rFonts w:ascii="Arial" w:eastAsia="Calibri" w:hAnsi="Arial" w:cs="Arial"/>
          <w:color w:val="000000" w:themeColor="text1"/>
          <w:lang w:val="es-ES"/>
        </w:rPr>
      </w:pPr>
      <w:r w:rsidRPr="003568D9">
        <w:rPr>
          <w:rFonts w:ascii="Arial" w:eastAsia="Calibri" w:hAnsi="Arial" w:cs="Arial"/>
          <w:color w:val="000000" w:themeColor="text1"/>
        </w:rPr>
        <w:t xml:space="preserve">Como consecuencia de lo anterior, la entidad, en los casos en que los campos generados en el contrato electrónico en edición no sean suficientes para publicar la totalidad de las cláusulas contractuales o información contractual relevante, </w:t>
      </w:r>
      <w:r w:rsidRPr="003568D9">
        <w:rPr>
          <w:rFonts w:ascii="Arial" w:eastAsia="Calibri" w:hAnsi="Arial" w:cs="Arial"/>
          <w:color w:val="000000" w:themeColor="text1"/>
          <w:lang w:val="es-ES"/>
        </w:rPr>
        <w:t>debe cargar dicha información a través de la sección «v) documentos del contrato».</w:t>
      </w:r>
    </w:p>
    <w:p w14:paraId="73D0B39A" w14:textId="77777777" w:rsidR="005D0331" w:rsidRPr="003568D9" w:rsidRDefault="005D0331" w:rsidP="005D0331">
      <w:pPr>
        <w:spacing w:before="120" w:line="276" w:lineRule="auto"/>
        <w:ind w:firstLine="709"/>
        <w:jc w:val="both"/>
        <w:rPr>
          <w:rFonts w:ascii="Arial" w:eastAsia="Calibri" w:hAnsi="Arial" w:cs="Arial"/>
          <w:color w:val="000000" w:themeColor="text1"/>
          <w:lang w:val="es-ES"/>
        </w:rPr>
      </w:pPr>
      <w:r w:rsidRPr="003568D9">
        <w:rPr>
          <w:rFonts w:ascii="Arial" w:eastAsia="Calibri" w:hAnsi="Arial" w:cs="Arial"/>
          <w:color w:val="000000" w:themeColor="text1"/>
          <w:lang w:val="es-ES"/>
        </w:rPr>
        <w:t xml:space="preserve">De esta forma, los contratos en SECOP II están compuestos por: i) los mensajes de datos que la entidad envía al proveedor como «contrato», es decir, el formulario ‒correspondiente a las nueve secciones mencionadas‒, y los anexos ‒documentos que se cargan en la sección «v) documentos del contrato»‒ y, ii) por el mensaje de datos de aceptación por parte del proveedor, información que, sumada al sello de tiempo que provee la plataforma, configura el contrato electrónico, el cual tiene plena validez y fuerza obligatoria. </w:t>
      </w:r>
    </w:p>
    <w:p w14:paraId="28870220" w14:textId="77777777" w:rsidR="005D0331" w:rsidRPr="003568D9" w:rsidRDefault="005D0331" w:rsidP="005D0331">
      <w:pPr>
        <w:spacing w:before="120" w:line="276" w:lineRule="auto"/>
        <w:ind w:firstLine="709"/>
        <w:jc w:val="both"/>
        <w:rPr>
          <w:rFonts w:ascii="Arial" w:eastAsia="Calibri" w:hAnsi="Arial" w:cs="Arial"/>
          <w:color w:val="000000" w:themeColor="text1"/>
          <w:lang w:val="es-ES"/>
        </w:rPr>
      </w:pPr>
      <w:r w:rsidRPr="003568D9">
        <w:rPr>
          <w:rFonts w:ascii="Arial" w:eastAsia="Calibri" w:hAnsi="Arial" w:cs="Arial"/>
          <w:color w:val="000000" w:themeColor="text1"/>
          <w:lang w:val="es-ES"/>
        </w:rPr>
        <w:t xml:space="preserve">Ahora, el hecho que la entidad publique documentos en la sección «v) documentos del contrato» no implica elaborar un contrato en físico, pues esto generaría duplicidad de la información del proceso. En ese sentido, la entidad debe tener en cuenta que los documentos que cargue en la mencionada sección deben corresponder a información adicional a la diligenciada en las nueve secciones. </w:t>
      </w:r>
    </w:p>
    <w:p w14:paraId="5E693DBF" w14:textId="77777777" w:rsidR="005D0331" w:rsidRPr="003568D9" w:rsidRDefault="005D0331" w:rsidP="005D0331">
      <w:pPr>
        <w:spacing w:before="120" w:line="276" w:lineRule="auto"/>
        <w:ind w:firstLine="709"/>
        <w:jc w:val="both"/>
        <w:rPr>
          <w:rStyle w:val="Hipervnculo"/>
          <w:rFonts w:ascii="Arial" w:eastAsia="Calibri" w:hAnsi="Arial" w:cs="Arial"/>
          <w:color w:val="000000" w:themeColor="text1"/>
          <w:lang w:val="es-ES"/>
        </w:rPr>
      </w:pPr>
      <w:r w:rsidRPr="003568D9">
        <w:rPr>
          <w:rFonts w:ascii="Arial" w:eastAsia="Calibri" w:hAnsi="Arial" w:cs="Arial"/>
          <w:color w:val="000000" w:themeColor="text1"/>
          <w:lang w:val="es-ES"/>
        </w:rPr>
        <w:t xml:space="preserve">En conclusión, al existir un contrato electrónico dentro de la plataforma este es válido y no es necesario cargar un documento escrito que se configure como el contrato, ya que esta actuación no quedaría registrada por no utilizar el procedimiento dispuesto, y por tanto, en la plataforma el estado del procedimiento sería «adjudicado» y no «firmado», ya que en el SECOP II las actuaciones deben ser electrónicas y no meramente escritas, mediante la publicación de documentos, lo cual es propio del SECOP I. Para más información sobre el uso de SECOP II, le recomendamos que consulte nuestra página web </w:t>
      </w:r>
      <w:hyperlink r:id="rId8" w:history="1">
        <w:r w:rsidRPr="003568D9">
          <w:rPr>
            <w:rStyle w:val="Hipervnculo"/>
            <w:rFonts w:ascii="Arial" w:eastAsia="Calibri" w:hAnsi="Arial" w:cs="Arial"/>
            <w:color w:val="000000" w:themeColor="text1"/>
            <w:lang w:val="es-ES"/>
          </w:rPr>
          <w:t>http://www.colombiacompra.gov.co/secop/que-es-el-secop-ii</w:t>
        </w:r>
      </w:hyperlink>
    </w:p>
    <w:p w14:paraId="0672A41A" w14:textId="77777777" w:rsidR="005D0331" w:rsidRPr="003568D9" w:rsidRDefault="005D0331" w:rsidP="005D0331">
      <w:pPr>
        <w:spacing w:before="120" w:line="276" w:lineRule="auto"/>
        <w:ind w:firstLine="709"/>
        <w:jc w:val="both"/>
        <w:rPr>
          <w:rStyle w:val="Hipervnculo"/>
          <w:rFonts w:ascii="Arial" w:eastAsia="Calibri" w:hAnsi="Arial" w:cs="Arial"/>
          <w:color w:val="000000" w:themeColor="text1"/>
          <w:lang w:val="es-ES"/>
        </w:rPr>
      </w:pPr>
    </w:p>
    <w:p w14:paraId="770E3982" w14:textId="77777777" w:rsidR="005D0331" w:rsidRPr="003568D9" w:rsidRDefault="005D0331" w:rsidP="005D0331">
      <w:pPr>
        <w:spacing w:after="0" w:line="264" w:lineRule="auto"/>
        <w:rPr>
          <w:rFonts w:ascii="Arial" w:hAnsi="Arial" w:cs="Arial"/>
          <w:b/>
          <w:bCs/>
          <w:szCs w:val="24"/>
          <w:lang w:eastAsia="es-ES_tradnl" w:bidi="es-ES"/>
        </w:rPr>
      </w:pPr>
      <w:r w:rsidRPr="003568D9">
        <w:rPr>
          <w:rFonts w:ascii="Arial" w:hAnsi="Arial" w:cs="Arial"/>
          <w:b/>
          <w:szCs w:val="24"/>
          <w:lang w:val="es-MX" w:eastAsia="es-ES_tradnl"/>
        </w:rPr>
        <w:t>2.4</w:t>
      </w:r>
      <w:r w:rsidRPr="003568D9">
        <w:rPr>
          <w:rFonts w:ascii="Arial" w:hAnsi="Arial" w:cs="Arial"/>
          <w:bCs/>
          <w:szCs w:val="24"/>
          <w:lang w:val="es-MX" w:eastAsia="es-ES_tradnl"/>
        </w:rPr>
        <w:t xml:space="preserve"> </w:t>
      </w:r>
      <w:r w:rsidRPr="003568D9">
        <w:rPr>
          <w:rFonts w:ascii="Arial" w:hAnsi="Arial" w:cs="Arial"/>
          <w:b/>
          <w:bCs/>
          <w:szCs w:val="24"/>
          <w:lang w:eastAsia="es-ES_tradnl" w:bidi="es-ES"/>
        </w:rPr>
        <w:t>Las modificaciones a los contratos estatales</w:t>
      </w:r>
    </w:p>
    <w:p w14:paraId="77C115AD" w14:textId="77777777" w:rsidR="005D0331" w:rsidRPr="003568D9" w:rsidRDefault="005D0331" w:rsidP="005D0331">
      <w:pPr>
        <w:spacing w:after="0" w:line="264" w:lineRule="auto"/>
        <w:jc w:val="both"/>
        <w:rPr>
          <w:rFonts w:ascii="Arial" w:hAnsi="Arial" w:cs="Arial"/>
          <w:b/>
          <w:bCs/>
          <w:szCs w:val="24"/>
          <w:lang w:val="es-MX" w:eastAsia="es-ES_tradnl" w:bidi="es-ES"/>
        </w:rPr>
      </w:pPr>
    </w:p>
    <w:p w14:paraId="45698BF4" w14:textId="77777777" w:rsidR="005D0331" w:rsidRPr="003568D9" w:rsidRDefault="005D0331" w:rsidP="005D0331">
      <w:pPr>
        <w:spacing w:after="0" w:line="276" w:lineRule="auto"/>
        <w:jc w:val="both"/>
        <w:rPr>
          <w:rFonts w:ascii="Arial" w:hAnsi="Arial" w:cs="Arial"/>
          <w:bCs/>
          <w:szCs w:val="24"/>
          <w:lang w:val="es-MX" w:eastAsia="es-ES_tradnl" w:bidi="es-ES"/>
        </w:rPr>
      </w:pPr>
      <w:r w:rsidRPr="003568D9">
        <w:rPr>
          <w:rFonts w:ascii="Arial" w:hAnsi="Arial" w:cs="Arial"/>
          <w:bCs/>
          <w:szCs w:val="24"/>
          <w:lang w:val="es-MX" w:eastAsia="es-ES_tradnl" w:bidi="es-ES"/>
        </w:rPr>
        <w:lastRenderedPageBreak/>
        <w:t>El Estatuto General de Contratación de la Administración Pública, contenido en las Leyes 80 de 1993, 1150 de 2007 y 1474 de 2011, así como en las normas que las han modificado y las reglamentan, no consagran una regulación expresa sobre la posibilidad de modificar los contratos celebrados por las entidades estatales. Ello encuentra sustento en que, en principio, los contratos deben ejecutarse en las condiciones pactadas inicialmente, pues tales condiciones fueron convenidas luego de que la entidad pública surtiera todos los procedimientos previstos para la selección de su contratista y definiera los aspectos, técnicos, legales y financieros propios de cada caso, con observancia de los principios de transparencia, economía y responsabilidad, así como de todos los demás principios de la función administrativa, aplicables al proceso de gestión contractual. La regulación expresa contenida en la Ley se limita a fijar los porcentajes límite para adicionar los valores inicialmente pactados, como lo hace el artículo 40 de la Ley 80 de 1993</w:t>
      </w:r>
      <w:r w:rsidRPr="003568D9">
        <w:rPr>
          <w:rFonts w:ascii="Arial" w:hAnsi="Arial" w:cs="Arial"/>
          <w:bCs/>
          <w:szCs w:val="24"/>
          <w:vertAlign w:val="superscript"/>
          <w:lang w:val="es-MX" w:eastAsia="es-ES_tradnl"/>
        </w:rPr>
        <w:footnoteReference w:id="20"/>
      </w:r>
      <w:r w:rsidRPr="003568D9">
        <w:rPr>
          <w:rFonts w:ascii="Arial" w:hAnsi="Arial" w:cs="Arial"/>
          <w:bCs/>
          <w:szCs w:val="24"/>
          <w:lang w:val="es-MX" w:eastAsia="es-ES_tradnl" w:bidi="es-ES"/>
        </w:rPr>
        <w:t>.</w:t>
      </w:r>
      <w:r w:rsidRPr="003568D9">
        <w:rPr>
          <w:rFonts w:ascii="Arial" w:hAnsi="Arial" w:cs="Arial"/>
          <w:bCs/>
          <w:szCs w:val="24"/>
          <w:lang w:val="es-MX" w:eastAsia="es-ES_tradnl"/>
        </w:rPr>
        <w:t xml:space="preserve"> </w:t>
      </w:r>
    </w:p>
    <w:p w14:paraId="7D2ADE16" w14:textId="77777777" w:rsidR="005D0331" w:rsidRPr="003568D9" w:rsidRDefault="005D0331" w:rsidP="005D0331">
      <w:pPr>
        <w:spacing w:before="120" w:after="0" w:line="276" w:lineRule="auto"/>
        <w:ind w:firstLine="709"/>
        <w:jc w:val="both"/>
        <w:rPr>
          <w:rFonts w:ascii="Arial" w:hAnsi="Arial" w:cs="Arial"/>
          <w:bCs/>
          <w:szCs w:val="24"/>
          <w:lang w:val="es-MX" w:eastAsia="es-ES_tradnl" w:bidi="es-ES"/>
        </w:rPr>
      </w:pPr>
      <w:r w:rsidRPr="003568D9">
        <w:rPr>
          <w:rFonts w:ascii="Arial" w:hAnsi="Arial" w:cs="Arial"/>
          <w:bCs/>
          <w:szCs w:val="24"/>
          <w:lang w:val="es-MX" w:eastAsia="es-ES_tradnl" w:bidi="es-ES"/>
        </w:rPr>
        <w:t>Ahora bien, no existe ninguna restricción expresa para modificar los contratos estatales y los mismos principios antes referidos puede poner en evidencia la necesidad de suscribir documentos de modificación en los cuales se cambie parte de las estipulaciones pactadas en un comienzo. En el contexto antes descrito, la jurisprudencia ha fijado pautas generales conforme a las cuales la Administración Pública debe evaluar, teniendo cuenta las particularidades de cada caso, si resulta procedente suscribir documentos de modificación a los contratos que ha celebrado. Así, por ejemplo, la Corte Constitucional, mediante sentencia C-416 de 2012, expresó lo siguiente sobre la posibilidad de modificar los contratos estatales:</w:t>
      </w:r>
    </w:p>
    <w:p w14:paraId="7096F903" w14:textId="77777777" w:rsidR="005D0331" w:rsidRPr="003568D9" w:rsidRDefault="005D0331" w:rsidP="005D0331">
      <w:pPr>
        <w:spacing w:after="0" w:line="240" w:lineRule="auto"/>
        <w:jc w:val="both"/>
        <w:rPr>
          <w:rFonts w:ascii="Arial" w:hAnsi="Arial" w:cs="Arial"/>
          <w:bCs/>
          <w:szCs w:val="24"/>
          <w:lang w:val="es-MX" w:eastAsia="es-ES_tradnl" w:bidi="es-ES"/>
        </w:rPr>
      </w:pPr>
    </w:p>
    <w:p w14:paraId="6ADBCE37"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r w:rsidRPr="003568D9">
        <w:rPr>
          <w:rFonts w:ascii="Arial" w:hAnsi="Arial" w:cs="Arial"/>
          <w:sz w:val="21"/>
          <w:szCs w:val="21"/>
          <w:lang w:val="es-MX" w:eastAsia="es-ES_tradnl"/>
        </w:rPr>
        <w:t>Por regla general, los contratos estatales pueden ser modificados cuando sea necesario para lograr su finalidad y en aras de la realización de los fines del Estado, a los cuales sirve el contrato.</w:t>
      </w:r>
      <w:r w:rsidRPr="003568D9">
        <w:rPr>
          <w:rFonts w:ascii="Arial" w:hAnsi="Arial" w:cs="Arial"/>
          <w:sz w:val="21"/>
          <w:szCs w:val="21"/>
          <w:lang w:val="es-MX" w:eastAsia="es-ES_tradnl"/>
        </w:rPr>
        <w:footnoteReference w:id="21"/>
      </w:r>
      <w:r w:rsidRPr="003568D9">
        <w:rPr>
          <w:rFonts w:ascii="Arial" w:hAnsi="Arial" w:cs="Arial"/>
          <w:sz w:val="21"/>
          <w:szCs w:val="21"/>
          <w:lang w:val="es-MX" w:eastAsia="es-ES_tradnl"/>
        </w:rPr>
        <w:t xml:space="preserve"> Así lo prevén por ejemplo los artículos 14 y 16 de la ley 80, los cuales facultan a la entidades contratantes a modificar los contratos de común acuerdo o de forma unilateral, para “[…] evitar la paralización o la afectación grave de los servicios públicos a su cargo y asegurar la inmediata, continua y adecuada prestación”, entre otros. En el mismo sentido, en la sentencia C-949 de 2001</w:t>
      </w:r>
      <w:r w:rsidRPr="003568D9">
        <w:rPr>
          <w:rFonts w:ascii="Arial" w:hAnsi="Arial" w:cs="Arial"/>
          <w:sz w:val="21"/>
          <w:szCs w:val="21"/>
          <w:lang w:val="es-MX" w:eastAsia="es-ES_tradnl"/>
        </w:rPr>
        <w:footnoteReference w:id="22"/>
      </w:r>
      <w:r w:rsidRPr="003568D9">
        <w:rPr>
          <w:rFonts w:ascii="Arial" w:hAnsi="Arial" w:cs="Arial"/>
          <w:sz w:val="21"/>
          <w:szCs w:val="21"/>
          <w:lang w:val="es-MX" w:eastAsia="es-ES_tradnl"/>
        </w:rPr>
        <w:t>, la Corte Constitucional señaló que las prórrogas de los contratos –como especie de modificación- pueden ser un instrumento útil para lograr los fines propios de la contratación estatal.</w:t>
      </w:r>
      <w:r w:rsidRPr="003568D9">
        <w:rPr>
          <w:rFonts w:ascii="Arial" w:hAnsi="Arial" w:cs="Arial"/>
          <w:sz w:val="21"/>
          <w:szCs w:val="21"/>
          <w:vertAlign w:val="superscript"/>
          <w:lang w:val="es-MX" w:eastAsia="es-ES_tradnl"/>
        </w:rPr>
        <w:footnoteReference w:id="23"/>
      </w:r>
    </w:p>
    <w:p w14:paraId="0D830400"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r w:rsidRPr="003568D9">
        <w:rPr>
          <w:rFonts w:ascii="Arial" w:hAnsi="Arial" w:cs="Arial"/>
          <w:sz w:val="21"/>
          <w:szCs w:val="21"/>
          <w:lang w:val="es-MX" w:eastAsia="es-ES_tradnl"/>
        </w:rPr>
        <w:t>[…]</w:t>
      </w:r>
    </w:p>
    <w:p w14:paraId="763D3CC1"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p>
    <w:p w14:paraId="2650A044"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r w:rsidRPr="003568D9">
        <w:rPr>
          <w:rFonts w:ascii="Arial" w:hAnsi="Arial" w:cs="Arial"/>
          <w:sz w:val="21"/>
          <w:szCs w:val="21"/>
          <w:lang w:val="es-MX" w:eastAsia="es-ES_tradnl"/>
        </w:rPr>
        <w:lastRenderedPageBreak/>
        <w:t>La modificación de los contratos estatales es especialmente importante en aquellos por naturaleza incompletos, es decir, (i) los afectados por asimetrías de información que impiden la previsión de todas las contingencias que pueden afectar su ejecución, y (ii) en el marco de los cuales, por esa misma razón, es difícil prever ex ante los remedios necesarios para afrontar tales contingencias, como ocurre por lo general con los contratos de largo plazo. En efecto, con el paso del tiempo, pueden surgir nuevas exigencias sociales, tecnológicas, culturales, etc. sobre la forma cómo el Estado debe cumplir sus fines y sobre cómo se deben prestar los servicios públicos, o simplemente pueden aparecer circunstancias extraordinarias e imprevisibles al momento del diseño del negocio, para que las que tampoco era posible, en dicho momento, prever un remedio adecuado y específico. En este tipo de contratos es preciso entonces el diseño de reglas que permitan la adaptación y la resolución pacífica de las controversias para evitar el fracaso.</w:t>
      </w:r>
    </w:p>
    <w:p w14:paraId="7E2116C2"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p>
    <w:p w14:paraId="56730A4F"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r w:rsidRPr="003568D9">
        <w:rPr>
          <w:rFonts w:ascii="Arial" w:hAnsi="Arial" w:cs="Arial"/>
          <w:sz w:val="21"/>
          <w:szCs w:val="21"/>
          <w:lang w:val="es-MX" w:eastAsia="es-ES_tradnl"/>
        </w:rPr>
        <w:t>Ahora bien, el que la mutabilidad de los contratos estatales sea posible no significa que pueda llevarse a cabo por la mera voluntad de las partes o de la entidad contratante; por el contrario, la modificación del contrato debe ser excepcional en virtud de los principios de planeación y seguridad jurídica. Por ello la Corte concuerda con la Sala de Consulta y Servicio Civil en que la modificación debe obedecer a una causa real y cierta autorizada en la ley, sustentada y probada, y acorde con los fines estatales a los que sirve la contratación estatal.</w:t>
      </w:r>
    </w:p>
    <w:p w14:paraId="165F6007" w14:textId="77777777" w:rsidR="005D0331" w:rsidRPr="003568D9" w:rsidRDefault="005D0331" w:rsidP="005D0331">
      <w:pPr>
        <w:spacing w:after="0" w:line="276" w:lineRule="auto"/>
        <w:ind w:left="709" w:right="709"/>
        <w:jc w:val="both"/>
        <w:rPr>
          <w:rFonts w:ascii="Arial" w:hAnsi="Arial" w:cs="Arial"/>
          <w:sz w:val="21"/>
          <w:szCs w:val="21"/>
          <w:lang w:val="es-MX" w:eastAsia="es-ES_tradnl"/>
        </w:rPr>
      </w:pPr>
    </w:p>
    <w:p w14:paraId="63F3B286" w14:textId="77777777" w:rsidR="005D0331" w:rsidRPr="003568D9" w:rsidRDefault="005D0331" w:rsidP="005D0331">
      <w:pPr>
        <w:spacing w:before="120" w:after="0" w:line="276" w:lineRule="auto"/>
        <w:ind w:firstLine="709"/>
        <w:jc w:val="both"/>
        <w:rPr>
          <w:rFonts w:ascii="Arial" w:hAnsi="Arial" w:cs="Arial"/>
          <w:bCs/>
          <w:szCs w:val="24"/>
          <w:lang w:val="es-MX" w:eastAsia="es-ES_tradnl" w:bidi="es-ES"/>
        </w:rPr>
      </w:pPr>
      <w:r w:rsidRPr="003568D9">
        <w:rPr>
          <w:rFonts w:ascii="Arial" w:hAnsi="Arial" w:cs="Arial"/>
          <w:bCs/>
          <w:szCs w:val="24"/>
          <w:lang w:val="es-MX" w:eastAsia="es-ES_tradnl" w:bidi="es-ES"/>
        </w:rPr>
        <w:t>A su turno, el Consejo de Estado</w:t>
      </w:r>
      <w:r w:rsidRPr="003568D9">
        <w:rPr>
          <w:rFonts w:ascii="Arial" w:hAnsi="Arial" w:cs="Arial"/>
          <w:bCs/>
          <w:szCs w:val="24"/>
          <w:vertAlign w:val="superscript"/>
          <w:lang w:val="es-MX" w:eastAsia="es-ES_tradnl" w:bidi="es-ES"/>
        </w:rPr>
        <w:footnoteReference w:id="24"/>
      </w:r>
      <w:r w:rsidRPr="003568D9">
        <w:rPr>
          <w:rFonts w:ascii="Arial" w:hAnsi="Arial" w:cs="Arial"/>
          <w:bCs/>
          <w:szCs w:val="24"/>
          <w:lang w:val="es-MX" w:eastAsia="es-ES_tradnl" w:bidi="es-ES"/>
        </w:rPr>
        <w:t>, ha expresado lo siguiente sobre el asunto:</w:t>
      </w:r>
    </w:p>
    <w:p w14:paraId="1714B18C" w14:textId="77777777" w:rsidR="005D0331" w:rsidRPr="003568D9" w:rsidRDefault="005D0331" w:rsidP="005D0331">
      <w:pPr>
        <w:spacing w:after="0" w:line="264" w:lineRule="auto"/>
        <w:jc w:val="both"/>
        <w:rPr>
          <w:rFonts w:ascii="Arial" w:hAnsi="Arial" w:cs="Arial"/>
          <w:bCs/>
          <w:szCs w:val="24"/>
          <w:lang w:val="es-MX" w:eastAsia="es-ES_tradnl" w:bidi="es-ES"/>
        </w:rPr>
      </w:pPr>
    </w:p>
    <w:p w14:paraId="0FEC0CCC"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r w:rsidRPr="003568D9">
        <w:rPr>
          <w:rFonts w:ascii="Arial" w:hAnsi="Arial" w:cs="Arial"/>
          <w:sz w:val="21"/>
          <w:szCs w:val="21"/>
          <w:lang w:val="es-MX" w:eastAsia="es-ES_tradnl"/>
        </w:rPr>
        <w:t>La contratación estatal responde de múltiples maneras a ese mandato y, en cuanto al concepto que se emite, se resalta que la posibilidad de modificar los contratos estatales es una especial forma de hacer prevalecer la finalidad del contrato sobre los restantes elementos del mismo. Por mutabilidad del contrato estatal se entiende el derecho que tiene la administración de variar, dadas ciertas condiciones, las obligaciones a cargo del contratista particular, cuando sea necesario para el cumplimiento del objeto y de los fines generales del Estado.</w:t>
      </w:r>
    </w:p>
    <w:p w14:paraId="6DB3A5C7"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p>
    <w:p w14:paraId="1FEBC1ED"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r w:rsidRPr="003568D9">
        <w:rPr>
          <w:rFonts w:ascii="Arial" w:hAnsi="Arial" w:cs="Arial"/>
          <w:sz w:val="21"/>
          <w:szCs w:val="21"/>
          <w:lang w:val="es-MX" w:eastAsia="es-ES_tradnl"/>
        </w:rPr>
        <w:t>[…]</w:t>
      </w:r>
    </w:p>
    <w:p w14:paraId="327B53AD"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p>
    <w:p w14:paraId="4045DEA0"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r w:rsidRPr="003568D9">
        <w:rPr>
          <w:rFonts w:ascii="Arial" w:hAnsi="Arial" w:cs="Arial"/>
          <w:sz w:val="21"/>
          <w:szCs w:val="21"/>
          <w:lang w:val="es-MX" w:eastAsia="es-ES_tradnl"/>
        </w:rPr>
        <w:t xml:space="preserve">La ley permite una cierta discrecionalidad en la toma de las decisiones de modificar los contratos, pues es muy difícil regular detalladamente el tema, en especial ante la infinidad de situaciones que pueden presentarse durante la ejecución. Por esto utiliza locuciones relativamente amplias, a las que debe </w:t>
      </w:r>
      <w:r w:rsidRPr="003568D9">
        <w:rPr>
          <w:rFonts w:ascii="Arial" w:hAnsi="Arial" w:cs="Arial"/>
          <w:sz w:val="21"/>
          <w:szCs w:val="21"/>
          <w:lang w:val="es-MX" w:eastAsia="es-ES_tradnl"/>
        </w:rPr>
        <w:lastRenderedPageBreak/>
        <w:t>someterse la administración. A manera de ejemplo, se citan las siguientes tomadas del Estatuto General de Contratación de la Administración Pública: mantener las condiciones técnicas, económicas y financieras, (artículo 4.8), no sobrevenga mayor onerosidad, (artículo 4.9), acordarán los mecanismos y procedimientos pertinentes para precaver o solucionar … diferencias, (ibídem), evitar la paralización y la afectación grave de los servicios públicos a su cargo y asegurar la inmediata, continua y adecuada prestación, (artículo 14); etc. Nótese que, sin embargo, en ellas van inmersas las ideas de una causa cierta y unos fines públicos que hay que salvaguardar.</w:t>
      </w:r>
    </w:p>
    <w:p w14:paraId="537A849A"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p>
    <w:p w14:paraId="1E3DF80A"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r w:rsidRPr="003568D9">
        <w:rPr>
          <w:rFonts w:ascii="Arial" w:hAnsi="Arial" w:cs="Arial"/>
          <w:sz w:val="21"/>
          <w:szCs w:val="21"/>
          <w:lang w:val="es-MX" w:eastAsia="es-ES_tradnl"/>
        </w:rPr>
        <w:t xml:space="preserve">Puede adicionarse una razón a las expuestas para justificar que la simple voluntad de las partes no es causa de modificación de los contratos estatales, la cual consiste en el respeto por el principio de igualdad de los oferentes. Si se acepta que los contratos pueden modificarse por el simple común acuerdo, fácilmente se podría licitar determinado objeto con el fin de adjudicárselo a cierta persona, a sabiendas de que se cambiarán las obligaciones, una vez celebrado. </w:t>
      </w:r>
    </w:p>
    <w:p w14:paraId="4A616748"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p>
    <w:p w14:paraId="15C41238"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r w:rsidRPr="003568D9">
        <w:rPr>
          <w:rFonts w:ascii="Arial" w:hAnsi="Arial" w:cs="Arial"/>
          <w:sz w:val="21"/>
          <w:szCs w:val="21"/>
          <w:lang w:val="es-MX" w:eastAsia="es-ES_tradnl"/>
        </w:rPr>
        <w:t>De lo expuesto, y a manera de solución al interrogante planteado, surgen estas dos ideas que han servido de hilo conductor al análisis que aquí se hace: el mutuo acuerdo es una forma de modificación del contrato estatal, la más usada en la práctica y preferida por la legislación vigente; advirtiendo, y esta es la segunda idea, que toda modificación debe tener una causa real y cierta, contemplada en la ley, diferente de la mera voluntad de los contratantes.</w:t>
      </w:r>
    </w:p>
    <w:p w14:paraId="1DFBB8C0" w14:textId="77777777" w:rsidR="005D0331" w:rsidRPr="003568D9" w:rsidRDefault="005D0331" w:rsidP="005D0331">
      <w:pPr>
        <w:spacing w:after="0" w:line="276" w:lineRule="auto"/>
        <w:ind w:left="709" w:right="709"/>
        <w:jc w:val="both"/>
        <w:rPr>
          <w:rFonts w:ascii="Arial" w:hAnsi="Arial" w:cs="Arial"/>
          <w:sz w:val="21"/>
          <w:szCs w:val="21"/>
          <w:lang w:val="es-MX" w:eastAsia="es-ES_tradnl"/>
        </w:rPr>
      </w:pPr>
    </w:p>
    <w:p w14:paraId="5CEB5F63" w14:textId="77777777" w:rsidR="005D0331" w:rsidRPr="003568D9" w:rsidRDefault="005D0331" w:rsidP="005D0331">
      <w:pPr>
        <w:spacing w:before="120" w:after="0" w:line="276" w:lineRule="auto"/>
        <w:ind w:firstLine="709"/>
        <w:jc w:val="both"/>
        <w:rPr>
          <w:rFonts w:ascii="Arial" w:hAnsi="Arial" w:cs="Arial"/>
          <w:bCs/>
          <w:szCs w:val="24"/>
          <w:lang w:val="es-MX" w:eastAsia="es-ES_tradnl"/>
        </w:rPr>
      </w:pPr>
      <w:r w:rsidRPr="003568D9">
        <w:rPr>
          <w:rFonts w:ascii="Arial" w:hAnsi="Arial" w:cs="Arial"/>
          <w:bCs/>
          <w:szCs w:val="24"/>
          <w:lang w:val="es-MX" w:eastAsia="es-ES_tradnl" w:bidi="es-ES"/>
        </w:rPr>
        <w:t xml:space="preserve">En el mismo sentido, en el concepto 2263 del 17 de marzo del 2016, la Sala de Consulta y Servicio Civil del Consejo de Estado precisó que </w:t>
      </w:r>
      <w:r w:rsidRPr="003568D9">
        <w:rPr>
          <w:rFonts w:ascii="Arial" w:hAnsi="Arial" w:cs="Arial"/>
          <w:bCs/>
          <w:szCs w:val="24"/>
          <w:lang w:val="es-MX" w:eastAsia="es-ES_tradnl"/>
        </w:rPr>
        <w:t>la regla general es la no modificación del contrato, y la vía excepcional su modificación, sometida a límites legales; límites que, en los términos definidos en el referido concepto, corresponden a los siguientes:</w:t>
      </w:r>
    </w:p>
    <w:p w14:paraId="4CB7374D" w14:textId="77777777" w:rsidR="005D0331" w:rsidRPr="003568D9" w:rsidRDefault="005D0331" w:rsidP="005D0331">
      <w:pPr>
        <w:spacing w:after="0" w:line="276" w:lineRule="auto"/>
        <w:ind w:firstLine="709"/>
        <w:jc w:val="both"/>
        <w:rPr>
          <w:rFonts w:ascii="Arial" w:hAnsi="Arial" w:cs="Arial"/>
          <w:bCs/>
          <w:szCs w:val="24"/>
          <w:lang w:val="es-MX" w:eastAsia="es-ES_tradnl"/>
        </w:rPr>
      </w:pPr>
    </w:p>
    <w:p w14:paraId="2BD152C0"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r w:rsidRPr="003568D9">
        <w:rPr>
          <w:rFonts w:ascii="Arial" w:hAnsi="Arial" w:cs="Arial"/>
          <w:sz w:val="21"/>
          <w:szCs w:val="21"/>
          <w:lang w:val="es-MX" w:eastAsia="es-ES_tradnl"/>
        </w:rPr>
        <w:t xml:space="preserve">1. La necesidad de preservar los principios de igualdad, transparencia y libertad de concurrencia, durante la fase de ejecución del contrato. </w:t>
      </w:r>
    </w:p>
    <w:p w14:paraId="1860580F"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p>
    <w:p w14:paraId="431EF5CA"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r w:rsidRPr="003568D9">
        <w:rPr>
          <w:rFonts w:ascii="Arial" w:hAnsi="Arial" w:cs="Arial"/>
          <w:sz w:val="21"/>
          <w:szCs w:val="21"/>
          <w:lang w:val="es-MX" w:eastAsia="es-ES_tradnl"/>
        </w:rPr>
        <w:t>Este límite encuentra sustento en el hecho de que, para celebrar contratos estatales las entidades públicas eligen, dentro de un «régimen de concurrencia y de igualdad, las mejores condiciones de costo, calidad e idoneidad de la prestación requerida», lo que supone que la selección objetiva de la oferta más favorable, se dirige a salvaguardar el interés público y, por lo tanto, celebrado el contrato en esas condiciones,  su eventual modificación debe asegurar que lo adjudicado, y posteriormente alterado, consulte la mejor opción para el servicio público.</w:t>
      </w:r>
    </w:p>
    <w:p w14:paraId="15C82505"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p>
    <w:p w14:paraId="3A40F41A"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r w:rsidRPr="003568D9">
        <w:rPr>
          <w:rFonts w:ascii="Arial" w:hAnsi="Arial" w:cs="Arial"/>
          <w:sz w:val="21"/>
          <w:szCs w:val="21"/>
          <w:lang w:val="es-MX" w:eastAsia="es-ES_tradnl"/>
        </w:rPr>
        <w:t xml:space="preserve">Así, según lo expuesto en el concepto en cuestión «la aplicación de los principios de transparencia, de libertad de concurrencia y de igualdad, consagrados en el Estatuto Contractual, y las reglas sustanciales del pliego de condiciones, que permitieron elegir la mejor oferta, previo cumplimiento de los requisitos habilitantes y de ponderación, deben ser de estricta observancia por la </w:t>
      </w:r>
      <w:r w:rsidRPr="003568D9">
        <w:rPr>
          <w:rFonts w:ascii="Arial" w:hAnsi="Arial" w:cs="Arial"/>
          <w:sz w:val="21"/>
          <w:szCs w:val="21"/>
          <w:lang w:val="es-MX" w:eastAsia="es-ES_tradnl"/>
        </w:rPr>
        <w:lastRenderedPageBreak/>
        <w:t>Administración y por el contratista, y sus efectos trascienden y se aplican durante la ejecución del contrato y en su liquidación, como garantía de inalterabilidad de lo pactado y de acatamiento a la legalidad de las reglas aplicadas en la actuación previa».</w:t>
      </w:r>
    </w:p>
    <w:p w14:paraId="68E167A1"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p>
    <w:p w14:paraId="2A5171B1"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r w:rsidRPr="003568D9">
        <w:rPr>
          <w:rFonts w:ascii="Arial" w:hAnsi="Arial" w:cs="Arial"/>
          <w:sz w:val="21"/>
          <w:szCs w:val="21"/>
          <w:lang w:val="es-MX" w:eastAsia="es-ES_tradnl"/>
        </w:rPr>
        <w:t>2.Límites de orden temporal, entre los que están comprendidos: i) la vigencia del contrato, pues no podría modificarse un contrato cuyo plazo ha culminado y ii) la prohibición de consagrar prórrogas automáticas, sucesivas o indefinidas, en tanto resultan contrarias al derecho esencial de la libertad de competencia.</w:t>
      </w:r>
    </w:p>
    <w:p w14:paraId="118363DA"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p>
    <w:p w14:paraId="789A5FC9"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r w:rsidRPr="003568D9">
        <w:rPr>
          <w:rFonts w:ascii="Arial" w:hAnsi="Arial" w:cs="Arial"/>
          <w:sz w:val="21"/>
          <w:szCs w:val="21"/>
          <w:lang w:val="es-MX" w:eastAsia="es-ES_tradnl"/>
        </w:rPr>
        <w:t>3. Límites de orden formal, que comprenden: i) La solemnidad del contrato de modificación, derivada del carácter solemne del contrato estatal, que exige que modificación de los contratos conste por escrito</w:t>
      </w:r>
      <w:r w:rsidRPr="003568D9">
        <w:rPr>
          <w:rFonts w:ascii="Arial" w:hAnsi="Arial" w:cs="Arial"/>
          <w:sz w:val="21"/>
          <w:szCs w:val="21"/>
          <w:vertAlign w:val="superscript"/>
          <w:lang w:val="es-MX" w:eastAsia="es-ES_tradnl"/>
        </w:rPr>
        <w:footnoteReference w:id="25"/>
      </w:r>
      <w:r w:rsidRPr="003568D9">
        <w:rPr>
          <w:rFonts w:ascii="Arial" w:hAnsi="Arial" w:cs="Arial"/>
          <w:sz w:val="21"/>
          <w:szCs w:val="21"/>
          <w:vertAlign w:val="superscript"/>
          <w:lang w:val="es-MX" w:eastAsia="es-ES_tradnl"/>
        </w:rPr>
        <w:t>;</w:t>
      </w:r>
      <w:r w:rsidRPr="003568D9">
        <w:rPr>
          <w:rFonts w:ascii="Arial" w:hAnsi="Arial" w:cs="Arial"/>
          <w:sz w:val="21"/>
          <w:szCs w:val="21"/>
          <w:lang w:val="es-MX" w:eastAsia="es-ES_tradnl"/>
        </w:rPr>
        <w:t xml:space="preserve"> ii) la motivación y justificación de la modificación, la cual constituye un elemento esencial que permite determinar la juridicidad y la necesidad de una modificación determinada; así como su racionalidad y la proporcionalidad de su contenido.</w:t>
      </w:r>
    </w:p>
    <w:p w14:paraId="555987B2"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p>
    <w:p w14:paraId="66B7A43C"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r w:rsidRPr="003568D9">
        <w:rPr>
          <w:rFonts w:ascii="Arial" w:hAnsi="Arial" w:cs="Arial"/>
          <w:sz w:val="21"/>
          <w:szCs w:val="21"/>
          <w:lang w:val="es-MX" w:eastAsia="es-ES_tradnl"/>
        </w:rPr>
        <w:t>4. Límites de orden material, que corresponden a: i) la prohibición de modificar las condiciones sustanciales del contrato, que se presentará en los casos en que se incluyan elementos que, «habiendo figurado en el procedimiento inicial, hubiera permitido la participación de otros interesados aparte de los inicialmente admitidos, o seleccionar una oferta distinta de la inicialmente seleccionada.</w:t>
      </w:r>
    </w:p>
    <w:p w14:paraId="2E247334"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p>
    <w:p w14:paraId="476470D3" w14:textId="77777777" w:rsidR="005D0331" w:rsidRPr="003568D9" w:rsidRDefault="005D0331" w:rsidP="005D0331">
      <w:pPr>
        <w:spacing w:after="0" w:line="240" w:lineRule="auto"/>
        <w:ind w:firstLine="708"/>
        <w:jc w:val="both"/>
        <w:rPr>
          <w:rFonts w:ascii="Arial" w:hAnsi="Arial" w:cs="Arial"/>
          <w:lang w:val="es-MX" w:eastAsia="es-ES_tradnl"/>
        </w:rPr>
      </w:pPr>
      <w:r w:rsidRPr="003568D9">
        <w:rPr>
          <w:rFonts w:ascii="Arial" w:hAnsi="Arial" w:cs="Arial"/>
          <w:lang w:val="es-MX" w:eastAsia="es-ES_tradnl"/>
        </w:rPr>
        <w:t>Sobre el alcance de dicha prohibición, la Sala de Consulta y Servicio Civil expresó lo siguiente</w:t>
      </w:r>
      <w:r w:rsidRPr="003568D9">
        <w:rPr>
          <w:rFonts w:ascii="Arial" w:hAnsi="Arial" w:cs="Arial"/>
          <w:vertAlign w:val="superscript"/>
          <w:lang w:val="es-MX" w:eastAsia="es-ES_tradnl"/>
        </w:rPr>
        <w:footnoteReference w:id="26"/>
      </w:r>
      <w:r w:rsidRPr="003568D9">
        <w:rPr>
          <w:rFonts w:ascii="Arial" w:hAnsi="Arial" w:cs="Arial"/>
          <w:lang w:val="es-MX" w:eastAsia="es-ES_tradnl"/>
        </w:rPr>
        <w:t>:</w:t>
      </w:r>
    </w:p>
    <w:p w14:paraId="73492DCF"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p>
    <w:p w14:paraId="596F5243"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r w:rsidRPr="003568D9">
        <w:rPr>
          <w:rFonts w:ascii="Arial" w:hAnsi="Arial" w:cs="Arial"/>
          <w:sz w:val="21"/>
          <w:szCs w:val="21"/>
          <w:lang w:val="es-MX" w:eastAsia="es-ES_tradnl"/>
        </w:rPr>
        <w:t>Así, frente a circunstancias excepcionales la Administración podría usar su poder de modificación unilateral o realizar las modificaciones de mutuo acuerdo, con el cumplimiento de los requisitos de ley. Se trataría de la excepción a la regla general de intangibilidad del contrato. La doctrina y algunos pronunciamientos de la Sección Tercera del Consejo de Estado aportan los elementos necesarios que permiten orientar a la Administración sobre esta vía excepcional y sus requisitos:</w:t>
      </w:r>
    </w:p>
    <w:p w14:paraId="1EB3BC1E"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p>
    <w:p w14:paraId="70449453"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r w:rsidRPr="003568D9">
        <w:rPr>
          <w:rFonts w:ascii="Arial" w:hAnsi="Arial" w:cs="Arial"/>
          <w:sz w:val="21"/>
          <w:szCs w:val="21"/>
          <w:lang w:val="es-MX" w:eastAsia="es-ES_tradnl"/>
        </w:rPr>
        <w:t xml:space="preserve">- No podría aceptarse un poder ilimitado o absoluto de modificación, aun frente a circunstancias excepcionales. Por ello la modificación no podrá afectar el núcleo esencial del objeto, o la naturaleza global del contrato. Con independencia de las razones y circunstancias imprevisibles que puedan presentarse, no es posible que el contrato mute o se transforme en un contrato sustancialmente distinto. Si se sustituyen las obras, los suministros o los servicios pactados por otros diferentes, o se modifica el tipo de contratación, o </w:t>
      </w:r>
      <w:r w:rsidRPr="003568D9">
        <w:rPr>
          <w:rFonts w:ascii="Arial" w:hAnsi="Arial" w:cs="Arial"/>
          <w:sz w:val="21"/>
          <w:szCs w:val="21"/>
          <w:lang w:val="es-MX" w:eastAsia="es-ES_tradnl"/>
        </w:rPr>
        <w:lastRenderedPageBreak/>
        <w:t>el núcleo esencial del objeto, se presentaría una novación del negocio jurídico y su objeto.</w:t>
      </w:r>
    </w:p>
    <w:p w14:paraId="11FB34A8"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p>
    <w:p w14:paraId="6D1FD849"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r w:rsidRPr="003568D9">
        <w:rPr>
          <w:rFonts w:ascii="Arial" w:hAnsi="Arial" w:cs="Arial"/>
          <w:sz w:val="21"/>
          <w:szCs w:val="21"/>
          <w:lang w:val="es-MX" w:eastAsia="es-ES_tradnl"/>
        </w:rPr>
        <w:t>[…]</w:t>
      </w:r>
    </w:p>
    <w:p w14:paraId="79B95EC1"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p>
    <w:p w14:paraId="5775043A"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r w:rsidRPr="003568D9">
        <w:rPr>
          <w:rFonts w:ascii="Arial" w:hAnsi="Arial" w:cs="Arial"/>
          <w:sz w:val="21"/>
          <w:szCs w:val="21"/>
          <w:lang w:val="es-MX" w:eastAsia="es-ES_tradnl"/>
        </w:rPr>
        <w:t>-Las causas que justificarían la modificación del contrato deben obedecer al acaecimiento de situaciones o circunstancias imposibles de prever, con una diligencia debida, que hagan imperiosa o necesaria la modificación de algunas estipulaciones del contrato, como única manera de conjurarlas. Debe tratarse de la existencia de circunstancias surgidas de un riesgo imprevisible, no necesariamente de una situación no prevista, que pueda razonablemente considerarse en un futuro mediato o que debieron ser previstas en la etapa de planeación del contrato. Ello supone la existencia de circunstancias posteriores, externas a las partes y no agravadas por su acción u omisión, puestas de manifiesto o imposibles de advertir en la etapa precontractual, que, además, muestren la imposibilidad de cumplir lo pactado inicialmente, o su falta de idoneidad. Estas circunstancias pueden obedecer a razones de tipo geológico, medioambiental o de otra índole, que no pudieron ser razonablemente previstas. […]</w:t>
      </w:r>
    </w:p>
    <w:p w14:paraId="3F30177C"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p>
    <w:p w14:paraId="3301D7E6"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r w:rsidRPr="003568D9">
        <w:rPr>
          <w:rFonts w:ascii="Arial" w:hAnsi="Arial" w:cs="Arial"/>
          <w:sz w:val="21"/>
          <w:szCs w:val="21"/>
          <w:lang w:val="es-MX" w:eastAsia="es-ES_tradnl"/>
        </w:rPr>
        <w:t xml:space="preserve">-La existencia de una necesidad de servicio público que justifique la modificación, hasta el punto de conjurar la nueva necesidad. La acreditación de estas circunstancias estará a cargo de la entidad estatal, justificada en los estudios previos y en la debida motivación del contrato modificatorio </w:t>
      </w:r>
    </w:p>
    <w:p w14:paraId="68C462F3"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p>
    <w:p w14:paraId="511500A8"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r w:rsidRPr="003568D9">
        <w:rPr>
          <w:rFonts w:ascii="Arial" w:hAnsi="Arial" w:cs="Arial"/>
          <w:sz w:val="21"/>
          <w:szCs w:val="21"/>
          <w:lang w:val="es-MX" w:eastAsia="es-ES_tradnl"/>
        </w:rPr>
        <w:t>-El cumplimiento del límite cuantitativo consagrado en la ley para los contratos adicionales. […]</w:t>
      </w:r>
    </w:p>
    <w:p w14:paraId="2DC71AF4"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p>
    <w:p w14:paraId="4A61C806"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r w:rsidRPr="003568D9">
        <w:rPr>
          <w:rFonts w:ascii="Arial" w:hAnsi="Arial" w:cs="Arial"/>
          <w:sz w:val="21"/>
          <w:szCs w:val="21"/>
          <w:lang w:val="es-MX" w:eastAsia="es-ES_tradnl"/>
        </w:rPr>
        <w:t>-Debe tratarse de prestaciones necesarias e inseparables técnica o económicamente del contrato inicial, que no permitan su uso o aprovechamiento independiente La modificación de las condiciones de la prestación o del contrato debe presuponer que no pueda ser materia de un nuevo proceso de selección, o de su contratación con un tercero, en razón a que, por su naturaleza, resulte inseparable técnica o económicamente de la prestación pactada en el contrato inicial.</w:t>
      </w:r>
    </w:p>
    <w:p w14:paraId="24436FAA" w14:textId="77777777" w:rsidR="005D0331" w:rsidRPr="003568D9" w:rsidRDefault="005D0331" w:rsidP="005D0331">
      <w:pPr>
        <w:spacing w:after="0" w:line="240" w:lineRule="auto"/>
        <w:ind w:left="709" w:right="709"/>
        <w:jc w:val="both"/>
        <w:rPr>
          <w:rFonts w:ascii="Arial" w:hAnsi="Arial" w:cs="Arial"/>
          <w:sz w:val="21"/>
          <w:szCs w:val="21"/>
          <w:lang w:val="es-MX" w:eastAsia="es-ES_tradnl"/>
        </w:rPr>
      </w:pPr>
    </w:p>
    <w:p w14:paraId="4A1F8C4C" w14:textId="77777777" w:rsidR="005D0331" w:rsidRPr="003568D9" w:rsidRDefault="005D0331" w:rsidP="005D0331">
      <w:pPr>
        <w:spacing w:before="120" w:after="0" w:line="276" w:lineRule="auto"/>
        <w:ind w:firstLine="709"/>
        <w:jc w:val="both"/>
        <w:rPr>
          <w:rFonts w:ascii="Arial" w:hAnsi="Arial" w:cs="Arial"/>
          <w:bCs/>
          <w:szCs w:val="24"/>
          <w:lang w:val="es-MX" w:eastAsia="es-ES_tradnl" w:bidi="es-ES"/>
        </w:rPr>
      </w:pPr>
      <w:r w:rsidRPr="003568D9">
        <w:rPr>
          <w:rFonts w:ascii="Arial" w:hAnsi="Arial" w:cs="Arial"/>
          <w:bCs/>
          <w:szCs w:val="24"/>
          <w:lang w:val="es-MX" w:eastAsia="es-ES_tradnl" w:bidi="es-ES"/>
        </w:rPr>
        <w:t xml:space="preserve">Es claro, entonces, que conforme a la regulación legal y a la interpretación que de la misma han hecho el Consejo de Estado y la Corte Constitucional, la cual se comparte por esta Agencia, es viable jurídicamente modificar los contratos estatales, pero esta medida tienen carácter excepcional y solo procede cuando con ella se pretenda garantizar el interés público, cuando la entidad haya verificado y así pueda constatarse por cualquier que la causa de la modificación es real y cierta, y cuando se deriva de previsiones legales, esto es, cuando la modificación encuentra sustento no solo en circunstancias fácticas propias de la ejecución del contrato, sino, además, cuando tales situaciones ponen de presente la necesidad de dar cumplimiento a previsiones establecidas por el legislador. De </w:t>
      </w:r>
      <w:r w:rsidRPr="003568D9">
        <w:rPr>
          <w:rFonts w:ascii="Arial" w:hAnsi="Arial" w:cs="Arial"/>
          <w:bCs/>
          <w:szCs w:val="24"/>
          <w:lang w:val="es-MX" w:eastAsia="es-ES_tradnl" w:bidi="es-ES"/>
        </w:rPr>
        <w:lastRenderedPageBreak/>
        <w:t xml:space="preserve">esta manera, para establecer si un contrato determinado puede ser susceptible de modificación, se hace necesario que la Administración analice, en cada caso, la concurrencia de los aspectos antes referidos.  </w:t>
      </w:r>
    </w:p>
    <w:p w14:paraId="37561AA6" w14:textId="77777777" w:rsidR="005D0331" w:rsidRPr="003568D9" w:rsidRDefault="005D0331" w:rsidP="005D0331">
      <w:pPr>
        <w:spacing w:before="120" w:after="0" w:line="276" w:lineRule="auto"/>
        <w:ind w:firstLine="567"/>
        <w:jc w:val="both"/>
        <w:rPr>
          <w:rFonts w:ascii="Arial" w:hAnsi="Arial" w:cs="Arial"/>
          <w:bCs/>
          <w:szCs w:val="24"/>
          <w:lang w:val="es-MX" w:eastAsia="es-ES_tradnl" w:bidi="es-ES"/>
        </w:rPr>
      </w:pPr>
      <w:r w:rsidRPr="003568D9">
        <w:rPr>
          <w:rFonts w:ascii="Arial" w:hAnsi="Arial" w:cs="Arial"/>
          <w:bCs/>
          <w:szCs w:val="24"/>
          <w:lang w:val="es-MX" w:eastAsia="es-ES_tradnl" w:bidi="es-ES"/>
        </w:rPr>
        <w:t>Además de lo anterior, las modificaciones no podrían suponer la variación del objeto de un contrato, pues ello supondría la alteración de su esencia y lo convertiría en otro tipo de negocio jurídico. Si se presentara esta situación lo indicado no sería modificar el contrato sino celebrar uno nuevo.</w:t>
      </w:r>
      <w:bookmarkStart w:id="14" w:name="_ftnref22"/>
      <w:r w:rsidRPr="003568D9">
        <w:rPr>
          <w:rFonts w:ascii="Arial" w:hAnsi="Arial" w:cs="Arial"/>
          <w:bCs/>
          <w:szCs w:val="24"/>
          <w:lang w:val="es-MX" w:eastAsia="es-ES_tradnl" w:bidi="es-ES"/>
        </w:rPr>
        <w:t xml:space="preserve"> </w:t>
      </w:r>
    </w:p>
    <w:p w14:paraId="7D492060" w14:textId="77777777" w:rsidR="005D0331" w:rsidRPr="003568D9" w:rsidRDefault="005D0331" w:rsidP="005D0331">
      <w:pPr>
        <w:spacing w:before="120" w:after="0" w:line="276" w:lineRule="auto"/>
        <w:ind w:firstLine="709"/>
        <w:jc w:val="both"/>
        <w:rPr>
          <w:rFonts w:ascii="Arial" w:hAnsi="Arial" w:cs="Arial"/>
          <w:bCs/>
          <w:szCs w:val="24"/>
          <w:lang w:val="es-MX" w:eastAsia="es-ES_tradnl" w:bidi="es-ES"/>
        </w:rPr>
      </w:pPr>
      <w:r w:rsidRPr="003568D9">
        <w:rPr>
          <w:rFonts w:ascii="Arial" w:hAnsi="Arial" w:cs="Arial"/>
          <w:bCs/>
          <w:szCs w:val="24"/>
          <w:lang w:val="es-MX" w:eastAsia="es-ES_tradnl" w:bidi="es-ES"/>
        </w:rPr>
        <w:t>Sobre este último punto, la doctrina</w:t>
      </w:r>
      <w:r w:rsidRPr="003568D9">
        <w:rPr>
          <w:rFonts w:ascii="Arial" w:hAnsi="Arial" w:cs="Arial"/>
          <w:bCs/>
          <w:szCs w:val="24"/>
          <w:vertAlign w:val="superscript"/>
          <w:lang w:val="es-MX" w:eastAsia="es-ES_tradnl" w:bidi="es-ES"/>
        </w:rPr>
        <w:footnoteReference w:id="27"/>
      </w:r>
      <w:r w:rsidRPr="003568D9">
        <w:rPr>
          <w:rFonts w:ascii="Arial" w:hAnsi="Arial" w:cs="Arial"/>
          <w:bCs/>
          <w:szCs w:val="24"/>
          <w:lang w:val="es-MX" w:eastAsia="es-ES_tradnl" w:bidi="es-ES"/>
        </w:rPr>
        <w:t xml:space="preserve"> ha precisado que cuando </w:t>
      </w:r>
      <w:r w:rsidRPr="003568D9">
        <w:rPr>
          <w:rFonts w:ascii="Arial" w:hAnsi="Arial" w:cs="Arial"/>
          <w:bCs/>
          <w:szCs w:val="24"/>
          <w:lang w:val="es-MX" w:eastAsia="es-ES_tradnl"/>
        </w:rPr>
        <w:t>«</w:t>
      </w:r>
      <w:r w:rsidRPr="003568D9">
        <w:rPr>
          <w:rFonts w:ascii="Arial" w:hAnsi="Arial" w:cs="Arial"/>
          <w:bCs/>
          <w:szCs w:val="24"/>
          <w:lang w:val="es-MX" w:eastAsia="es-ES_tradnl" w:bidi="es-ES"/>
        </w:rPr>
        <w:t>se alude a la modificación del contrato se lo hace para referirse a alteraciones, variaciones, sustituciones de calidad, componentes o número de obras, bienes o servicios. No implican la sustitución del género del contrato sino modificaciones que responden a necesidades sobrevivientes o a errores en la fase previa</w:t>
      </w:r>
      <w:r w:rsidRPr="003568D9">
        <w:rPr>
          <w:rFonts w:ascii="Arial" w:hAnsi="Arial" w:cs="Arial"/>
          <w:bCs/>
          <w:szCs w:val="24"/>
          <w:lang w:val="es-MX" w:eastAsia="es-ES_tradnl"/>
        </w:rPr>
        <w:t>»</w:t>
      </w:r>
      <w:r w:rsidRPr="003568D9">
        <w:rPr>
          <w:rFonts w:ascii="Arial" w:hAnsi="Arial" w:cs="Arial"/>
          <w:bCs/>
          <w:i/>
          <w:iCs/>
          <w:szCs w:val="24"/>
          <w:vertAlign w:val="superscript"/>
          <w:lang w:val="es-MX" w:eastAsia="es-ES_tradnl"/>
        </w:rPr>
        <w:footnoteReference w:id="28"/>
      </w:r>
      <w:r w:rsidRPr="003568D9">
        <w:rPr>
          <w:rFonts w:ascii="Arial" w:hAnsi="Arial" w:cs="Arial"/>
          <w:bCs/>
          <w:szCs w:val="24"/>
          <w:lang w:val="es-MX" w:eastAsia="es-ES_tradnl" w:bidi="es-ES"/>
        </w:rPr>
        <w:t xml:space="preserve">. </w:t>
      </w:r>
      <w:bookmarkEnd w:id="14"/>
      <w:r w:rsidRPr="003568D9">
        <w:rPr>
          <w:rFonts w:ascii="Arial" w:hAnsi="Arial" w:cs="Arial"/>
          <w:bCs/>
          <w:szCs w:val="24"/>
          <w:lang w:val="es-MX" w:eastAsia="es-ES_tradnl" w:bidi="es-ES"/>
        </w:rPr>
        <w:t xml:space="preserve">Para la determinación de los aspectos que no alteran la esencia del contrato estatal y que por ello al variarse no lo convierte en otro contrato, resulta útil remitirse a lo previsto en el artículo 1501 del Código Civil, que establece que los contratos tienen elementos de su esencia, de su naturaleza y accidentales. Las definiciones de cada uno de dichos conceptos efectuadas en el artículo en comento resultarán útiles para establecer, en un caso determinado, si una específica modificación altera la esencia del contrato. </w:t>
      </w:r>
    </w:p>
    <w:p w14:paraId="796C0D6A" w14:textId="77777777" w:rsidR="005D0331" w:rsidRPr="003568D9" w:rsidRDefault="005D0331" w:rsidP="005D0331">
      <w:pPr>
        <w:spacing w:before="120" w:after="0" w:line="276" w:lineRule="auto"/>
        <w:ind w:firstLine="709"/>
        <w:jc w:val="both"/>
        <w:rPr>
          <w:rFonts w:ascii="Arial" w:hAnsi="Arial" w:cs="Arial"/>
          <w:bCs/>
          <w:szCs w:val="24"/>
          <w:lang w:val="es-MX" w:eastAsia="es-ES_tradnl" w:bidi="es-ES"/>
        </w:rPr>
      </w:pPr>
      <w:r w:rsidRPr="003568D9">
        <w:rPr>
          <w:rFonts w:ascii="Arial" w:hAnsi="Arial" w:cs="Arial"/>
          <w:bCs/>
          <w:szCs w:val="24"/>
          <w:lang w:val="es-MX" w:eastAsia="es-ES_tradnl" w:bidi="es-ES"/>
        </w:rPr>
        <w:t xml:space="preserve">En todo caso, corresponderá a cada entidad estatal realizar el análisis respecto a la precedencia de modificar determinado contrato estatal, en el entendido que se respeten las reglas establecidas en el ordenamiento jurídico, de acuerdo con lo expuesto anteriormente, además de definir previamente su procedencia desde la perspectiva jurídica, técnica y financiera. </w:t>
      </w:r>
    </w:p>
    <w:p w14:paraId="414B962A" w14:textId="77777777" w:rsidR="005D0331" w:rsidRPr="003568D9" w:rsidRDefault="005D0331" w:rsidP="005D0331">
      <w:pPr>
        <w:spacing w:before="120" w:after="0" w:line="276" w:lineRule="auto"/>
        <w:ind w:firstLine="709"/>
        <w:jc w:val="both"/>
        <w:rPr>
          <w:rFonts w:ascii="Arial" w:hAnsi="Arial" w:cs="Arial"/>
          <w:bCs/>
          <w:szCs w:val="24"/>
          <w:lang w:val="es-MX" w:eastAsia="es-ES_tradnl" w:bidi="es-ES"/>
        </w:rPr>
      </w:pPr>
      <w:r w:rsidRPr="003568D9">
        <w:rPr>
          <w:rFonts w:ascii="Arial" w:hAnsi="Arial" w:cs="Arial"/>
          <w:bCs/>
          <w:szCs w:val="24"/>
          <w:lang w:val="es-ES_tradnl" w:eastAsia="es-ES_tradnl" w:bidi="es-ES"/>
        </w:rPr>
        <w:t xml:space="preserve">En este contexto, en concordancia con lo expuesto en el numeral 2.1 de este concepto, es claro que un contrato estatal puede modificarse en precio y en el alcance de su objeto para incluir actividades adicionales que no fueron comprendidas en el contrato inicial, esto es, para incluir ítems no previstos, siempre que se respete el límite fijado por el legislador para adicionar su valor y las demás disposiciones establecidas en el ordenamiento jurídico. Además, las modificaciones no podrían suponer la variación del objeto de un contrato, al punto que suponga la alteración de su esencia y se convierta en otro tipo de negocio jurídico. Si se presentara esta situación lo indicado no sería modificar el contrato sino celebrar uno nuevo. Estas reglas proceden cuando la modificación sea de manera bilateral, así como cuando se realice de forma unilateral por la entidad estatal, esta última teniendo en cuenta que el artículo 16 de la Ley 80 de 1993 señala que si las </w:t>
      </w:r>
      <w:r w:rsidRPr="003568D9">
        <w:rPr>
          <w:rFonts w:ascii="Arial" w:hAnsi="Arial" w:cs="Arial"/>
          <w:bCs/>
          <w:szCs w:val="24"/>
          <w:lang w:val="es-ES_tradnl" w:eastAsia="es-ES_tradnl" w:bidi="es-ES"/>
        </w:rPr>
        <w:lastRenderedPageBreak/>
        <w:t xml:space="preserve">modificaciones alteran el valor del contrato en un veinte por ciento (20%) o más del valor inicial, el contratista podrá renunciar a la continuación de la ejecución. </w:t>
      </w:r>
    </w:p>
    <w:p w14:paraId="0BCCB070" w14:textId="77777777" w:rsidR="005D0331" w:rsidRPr="003568D9" w:rsidRDefault="005D0331" w:rsidP="005D0331">
      <w:pPr>
        <w:spacing w:before="120" w:after="0" w:line="276" w:lineRule="auto"/>
        <w:ind w:firstLine="709"/>
        <w:jc w:val="both"/>
        <w:rPr>
          <w:rFonts w:ascii="Arial" w:hAnsi="Arial" w:cs="Arial"/>
          <w:bCs/>
          <w:szCs w:val="24"/>
          <w:lang w:eastAsia="es-ES_tradnl" w:bidi="es-ES"/>
        </w:rPr>
      </w:pPr>
      <w:r w:rsidRPr="003568D9">
        <w:rPr>
          <w:rFonts w:ascii="Arial" w:hAnsi="Arial" w:cs="Arial"/>
          <w:bCs/>
          <w:szCs w:val="24"/>
          <w:lang w:val="es-ES_tradnl" w:eastAsia="es-ES_tradnl" w:bidi="es-ES"/>
        </w:rPr>
        <w:t xml:space="preserve">Al respecto, es pertinente indicar en relación con la sentencia SU 214 de 2022 de la Corte Constitucional que, las consideraciones expuestas en dicha providencia para resolver el caso particular se fundamentan en </w:t>
      </w:r>
      <w:r w:rsidRPr="003568D9">
        <w:rPr>
          <w:rFonts w:ascii="Arial" w:hAnsi="Arial" w:cs="Arial"/>
          <w:bCs/>
          <w:szCs w:val="24"/>
          <w:lang w:eastAsia="es-ES_tradnl" w:bidi="es-ES"/>
        </w:rPr>
        <w:t xml:space="preserve">el análisis del alcance y contenido de las definiciones de </w:t>
      </w:r>
      <w:r w:rsidRPr="003568D9">
        <w:rPr>
          <w:rFonts w:ascii="Arial" w:hAnsi="Arial" w:cs="Arial"/>
          <w:bCs/>
          <w:i/>
          <w:iCs/>
          <w:szCs w:val="24"/>
          <w:lang w:eastAsia="es-ES_tradnl" w:bidi="es-ES"/>
        </w:rPr>
        <w:t>adiciones contractuales</w:t>
      </w:r>
      <w:r w:rsidRPr="003568D9">
        <w:rPr>
          <w:rFonts w:ascii="Arial" w:hAnsi="Arial" w:cs="Arial"/>
          <w:bCs/>
          <w:szCs w:val="24"/>
          <w:lang w:eastAsia="es-ES_tradnl" w:bidi="es-ES"/>
        </w:rPr>
        <w:t xml:space="preserve"> y  </w:t>
      </w:r>
      <w:r w:rsidRPr="003568D9">
        <w:rPr>
          <w:rFonts w:ascii="Arial" w:hAnsi="Arial" w:cs="Arial"/>
          <w:bCs/>
          <w:i/>
          <w:iCs/>
          <w:szCs w:val="24"/>
          <w:lang w:eastAsia="es-ES_tradnl" w:bidi="es-ES"/>
        </w:rPr>
        <w:t>contratos adicionales</w:t>
      </w:r>
      <w:r w:rsidRPr="003568D9">
        <w:rPr>
          <w:rFonts w:ascii="Arial" w:hAnsi="Arial" w:cs="Arial"/>
          <w:bCs/>
          <w:szCs w:val="24"/>
          <w:lang w:eastAsia="es-ES_tradnl" w:bidi="es-ES"/>
        </w:rPr>
        <w:t xml:space="preserve"> a la luz de la ley, teniendo en cuenta la posición de la jurisprudencia del Consejo de Estado y de la Sala de Casación Penal de la Corte Suprema de Justicia </w:t>
      </w:r>
      <w:r w:rsidRPr="003568D9">
        <w:rPr>
          <w:rFonts w:ascii="Arial" w:hAnsi="Arial" w:cs="Arial"/>
          <w:bCs/>
          <w:szCs w:val="24"/>
          <w:lang w:val="es-ES_tradnl" w:eastAsia="es-ES_tradnl" w:bidi="es-ES"/>
        </w:rPr>
        <w:t xml:space="preserve">vigente para el </w:t>
      </w:r>
      <w:r w:rsidRPr="003568D9">
        <w:rPr>
          <w:rFonts w:ascii="Arial" w:hAnsi="Arial" w:cs="Arial"/>
          <w:szCs w:val="24"/>
          <w:lang w:val="es-ES_tradnl" w:eastAsia="es-ES_tradnl" w:bidi="es-ES"/>
        </w:rPr>
        <w:t xml:space="preserve">momento de los hechos, </w:t>
      </w:r>
      <w:r w:rsidRPr="003568D9">
        <w:rPr>
          <w:rFonts w:ascii="Arial" w:hAnsi="Arial" w:cs="Arial"/>
          <w:bCs/>
          <w:szCs w:val="24"/>
          <w:lang w:val="es-ES_tradnl" w:eastAsia="es-ES_tradnl" w:bidi="es-ES"/>
        </w:rPr>
        <w:t xml:space="preserve">que se remiten al año 2004. Según lo expuesto en dicha sentencia, la posición establecida para ese momento indicaba que para </w:t>
      </w:r>
      <w:r w:rsidRPr="003568D9">
        <w:rPr>
          <w:rFonts w:ascii="Arial" w:hAnsi="Arial" w:cs="Arial"/>
          <w:bCs/>
          <w:szCs w:val="24"/>
          <w:lang w:eastAsia="es-ES_tradnl" w:bidi="es-ES"/>
        </w:rPr>
        <w:t xml:space="preserve">agregar ítems o actividades no pactadas en los contratos a precios unitarios, implicaba modificar el objeto del contrato por lo que era necesario celebrar nuevo contrato denominado </w:t>
      </w:r>
      <w:r w:rsidRPr="003568D9">
        <w:rPr>
          <w:rFonts w:ascii="Arial" w:hAnsi="Arial" w:cs="Arial"/>
          <w:bCs/>
          <w:i/>
          <w:iCs/>
          <w:szCs w:val="24"/>
          <w:lang w:eastAsia="es-ES_tradnl" w:bidi="es-ES"/>
        </w:rPr>
        <w:t>contrato adicional</w:t>
      </w:r>
      <w:r w:rsidRPr="003568D9">
        <w:rPr>
          <w:rFonts w:ascii="Arial" w:hAnsi="Arial" w:cs="Arial"/>
          <w:bCs/>
          <w:szCs w:val="24"/>
          <w:lang w:eastAsia="es-ES_tradnl" w:bidi="es-ES"/>
        </w:rPr>
        <w:t xml:space="preserve">. </w:t>
      </w:r>
    </w:p>
    <w:p w14:paraId="469970BC" w14:textId="77777777" w:rsidR="005D0331" w:rsidRPr="003568D9" w:rsidRDefault="005D0331" w:rsidP="005D0331">
      <w:pPr>
        <w:spacing w:before="120" w:after="0" w:line="276" w:lineRule="auto"/>
        <w:ind w:firstLine="709"/>
        <w:jc w:val="both"/>
        <w:rPr>
          <w:rFonts w:ascii="Arial" w:hAnsi="Arial" w:cs="Arial"/>
          <w:bCs/>
          <w:szCs w:val="24"/>
          <w:lang w:val="es-MX" w:eastAsia="es-ES_tradnl"/>
        </w:rPr>
      </w:pPr>
      <w:r w:rsidRPr="003568D9">
        <w:rPr>
          <w:rFonts w:ascii="Arial" w:hAnsi="Arial" w:cs="Arial"/>
          <w:bCs/>
          <w:szCs w:val="24"/>
          <w:lang w:eastAsia="es-ES_tradnl" w:bidi="es-ES"/>
        </w:rPr>
        <w:t xml:space="preserve">Lo anterior se colige de varios apartes de la sentencia, principalmente lo señalado en el numeral 306 que indica que </w:t>
      </w:r>
      <w:r w:rsidRPr="003568D9">
        <w:rPr>
          <w:rFonts w:ascii="Arial" w:hAnsi="Arial" w:cs="Arial"/>
          <w:bCs/>
          <w:szCs w:val="24"/>
          <w:lang w:val="es-MX" w:eastAsia="es-ES_tradnl"/>
        </w:rPr>
        <w:t>“</w:t>
      </w:r>
      <w:r w:rsidRPr="003568D9">
        <w:rPr>
          <w:rFonts w:ascii="Arial" w:hAnsi="Arial" w:cs="Arial"/>
          <w:bCs/>
          <w:szCs w:val="24"/>
          <w:lang w:eastAsia="es-ES_tradnl" w:bidi="es-ES"/>
        </w:rPr>
        <w:t xml:space="preserve">La Sala reconoce que en la jurisprudencia y la doctrina han existido diferentes posturas sobre si el objeto de un contrato de obra puede o no ser reformado mediante una simple adición o si ello, por el contrato, exige la celebración de un nuevo contrato producto de un proceso de selección y contratación propio. Ello quedó evidenciado al hacer el recuento jurisprudencial y doctrinal en la materia, en el acápite K) de esta providencia. </w:t>
      </w:r>
      <w:r w:rsidRPr="003568D9">
        <w:rPr>
          <w:rFonts w:ascii="Arial" w:hAnsi="Arial" w:cs="Arial"/>
          <w:bCs/>
          <w:i/>
          <w:iCs/>
          <w:szCs w:val="24"/>
          <w:lang w:eastAsia="es-ES_tradnl" w:bidi="es-ES"/>
        </w:rPr>
        <w:t>Sin embargo, la solución del caso sub examine, exige determinar cuál era el estado del arte, al momento de los hechos,</w:t>
      </w:r>
      <w:r w:rsidRPr="003568D9">
        <w:rPr>
          <w:rFonts w:ascii="Arial" w:hAnsi="Arial" w:cs="Arial"/>
          <w:bCs/>
          <w:szCs w:val="24"/>
          <w:lang w:eastAsia="es-ES_tradnl" w:bidi="es-ES"/>
        </w:rPr>
        <w:t xml:space="preserve"> es decir, para el 30 de agosto de 2004, fecha en la que el demandante suscribió el adicional No.2.</w:t>
      </w:r>
      <w:r w:rsidRPr="003568D9">
        <w:rPr>
          <w:rFonts w:ascii="Arial" w:hAnsi="Arial" w:cs="Arial"/>
          <w:bCs/>
          <w:szCs w:val="24"/>
          <w:lang w:val="es-MX" w:eastAsia="es-ES_tradnl"/>
        </w:rPr>
        <w:t xml:space="preserve">” (Énfasis por fuera de texto). </w:t>
      </w:r>
    </w:p>
    <w:p w14:paraId="0786B10B" w14:textId="77777777" w:rsidR="005D0331" w:rsidRPr="003568D9" w:rsidRDefault="005D0331" w:rsidP="005D0331">
      <w:pPr>
        <w:spacing w:before="120" w:after="0" w:line="276" w:lineRule="auto"/>
        <w:ind w:firstLine="709"/>
        <w:jc w:val="both"/>
        <w:rPr>
          <w:rFonts w:ascii="Arial" w:hAnsi="Arial" w:cs="Arial"/>
          <w:bCs/>
          <w:szCs w:val="24"/>
          <w:lang w:eastAsia="es-ES_tradnl" w:bidi="es-ES"/>
        </w:rPr>
      </w:pPr>
      <w:r w:rsidRPr="003568D9">
        <w:rPr>
          <w:rFonts w:ascii="Arial" w:hAnsi="Arial" w:cs="Arial"/>
          <w:bCs/>
          <w:szCs w:val="24"/>
          <w:lang w:val="es-MX" w:eastAsia="es-ES_tradnl"/>
        </w:rPr>
        <w:t>Asimismo, en el numeral 307 de la sentencia se señala que “</w:t>
      </w:r>
      <w:r w:rsidRPr="003568D9">
        <w:rPr>
          <w:rFonts w:ascii="Arial" w:hAnsi="Arial" w:cs="Arial"/>
          <w:bCs/>
          <w:i/>
          <w:iCs/>
          <w:szCs w:val="24"/>
          <w:lang w:val="es-MX" w:eastAsia="es-ES_tradnl"/>
        </w:rPr>
        <w:t>para el momento de los hechos,</w:t>
      </w:r>
      <w:r w:rsidRPr="003568D9">
        <w:rPr>
          <w:rFonts w:ascii="Arial" w:hAnsi="Arial" w:cs="Arial"/>
          <w:bCs/>
          <w:szCs w:val="24"/>
          <w:lang w:val="es-MX" w:eastAsia="es-ES_tradnl"/>
        </w:rPr>
        <w:t xml:space="preserve"> en la jurisprudencia del Consejo de Estado ya existía claridad sobre que (i) pactar nuevos ítems, en los contratos a precios unitarios, representa una modificación del objeto contractual; (ii) la modificación del objeto es una modificación de fondo y, no accesoria, del contrato; por lo que (iii) debe formalizarse mediante un nuevo contrato”. (Énfasis por fuera de texto). De igual manera, el numeral 349 reitera que “</w:t>
      </w:r>
      <w:r w:rsidRPr="003568D9">
        <w:rPr>
          <w:rFonts w:ascii="Arial" w:hAnsi="Arial" w:cs="Arial"/>
          <w:bCs/>
          <w:i/>
          <w:iCs/>
          <w:szCs w:val="24"/>
          <w:lang w:val="es-MX" w:eastAsia="es-ES_tradnl"/>
        </w:rPr>
        <w:t>para el mes de agosto de 2004</w:t>
      </w:r>
      <w:r w:rsidRPr="003568D9">
        <w:rPr>
          <w:rFonts w:ascii="Arial" w:hAnsi="Arial" w:cs="Arial"/>
          <w:b/>
          <w:i/>
          <w:iCs/>
          <w:szCs w:val="24"/>
          <w:lang w:val="es-MX" w:eastAsia="es-ES_tradnl"/>
        </w:rPr>
        <w:t>,</w:t>
      </w:r>
      <w:r w:rsidRPr="003568D9">
        <w:rPr>
          <w:rFonts w:ascii="Arial" w:hAnsi="Arial" w:cs="Arial"/>
          <w:bCs/>
          <w:szCs w:val="24"/>
          <w:lang w:val="es-MX" w:eastAsia="es-ES_tradnl"/>
        </w:rPr>
        <w:t xml:space="preserve"> fecha en la que el demandante suscribió el Adicional No. 2, la jurisprudencia del Consejo de Estado ya había señalado que, en los contratos pactados por el sistema de precios unitarios agregar ítems o actividades no pactados en el contrato, implica modificar el objeto del contrato, por lo que ello debía hacerse mediante nuevo contrato denominado “contrato adicional”. (Énfasis por fuera de texto).</w:t>
      </w:r>
    </w:p>
    <w:p w14:paraId="5542B72E" w14:textId="77777777" w:rsidR="005D0331" w:rsidRPr="003568D9" w:rsidRDefault="005D0331" w:rsidP="005D0331">
      <w:pPr>
        <w:spacing w:before="120" w:after="0" w:line="276" w:lineRule="auto"/>
        <w:ind w:firstLine="709"/>
        <w:jc w:val="both"/>
        <w:rPr>
          <w:rFonts w:ascii="Arial" w:hAnsi="Arial" w:cs="Arial"/>
          <w:bCs/>
          <w:szCs w:val="24"/>
          <w:lang w:val="es-ES_tradnl" w:eastAsia="es-ES_tradnl" w:bidi="es-ES"/>
        </w:rPr>
      </w:pPr>
      <w:r w:rsidRPr="003568D9">
        <w:rPr>
          <w:rFonts w:ascii="Arial" w:hAnsi="Arial" w:cs="Arial"/>
          <w:bCs/>
          <w:szCs w:val="24"/>
          <w:lang w:val="es-ES_tradnl" w:eastAsia="es-ES_tradnl" w:bidi="es-ES"/>
        </w:rPr>
        <w:t>Así las cosas, es posible colegir que la interpretación que realiza la Sentencia SU 214 del 16 de junio de 2022 en relación con la celebración de un contrato nuevo cuando se pretenda adicionar ítems o actividades al contrato, debe entenderse en el contexto histórico del momento de los hechos, es decir, del año 2004, época en la que la jurisprudencia del Consejo de Estado y de la</w:t>
      </w:r>
      <w:r w:rsidRPr="003568D9">
        <w:rPr>
          <w:rFonts w:ascii="Arial" w:hAnsi="Arial" w:cs="Arial"/>
          <w:bCs/>
          <w:szCs w:val="24"/>
          <w:lang w:eastAsia="es-ES_tradnl" w:bidi="es-ES"/>
        </w:rPr>
        <w:t xml:space="preserve"> Corte Suprema de Justicia sostenían </w:t>
      </w:r>
      <w:r w:rsidRPr="003568D9">
        <w:rPr>
          <w:rFonts w:ascii="Arial" w:hAnsi="Arial" w:cs="Arial"/>
          <w:bCs/>
          <w:szCs w:val="24"/>
          <w:lang w:val="es-ES_tradnl" w:eastAsia="es-ES_tradnl" w:bidi="es-ES"/>
        </w:rPr>
        <w:t xml:space="preserve">la necesidad de suscribir un contrato nuevo en estos casos. Lo anterior, sin desconocer la posición actual de la </w:t>
      </w:r>
      <w:r w:rsidRPr="003568D9">
        <w:rPr>
          <w:rFonts w:ascii="Arial" w:hAnsi="Arial" w:cs="Arial"/>
          <w:bCs/>
          <w:szCs w:val="24"/>
          <w:lang w:val="es-ES_tradnl" w:eastAsia="es-ES_tradnl" w:bidi="es-ES"/>
        </w:rPr>
        <w:lastRenderedPageBreak/>
        <w:t xml:space="preserve">materia en la jurisprudencia según la cual, como se explicó, es procedente las modificaciones del contrato </w:t>
      </w:r>
      <w:r w:rsidRPr="003568D9">
        <w:rPr>
          <w:rFonts w:ascii="Arial" w:hAnsi="Arial" w:cs="Arial"/>
          <w:szCs w:val="24"/>
          <w:lang w:val="es-ES_tradnl" w:eastAsia="es-ES_tradnl"/>
        </w:rPr>
        <w:t xml:space="preserve">para ampliar las prestaciones </w:t>
      </w:r>
      <w:r w:rsidRPr="003568D9">
        <w:rPr>
          <w:rFonts w:ascii="Arial" w:hAnsi="Arial" w:cs="Arial"/>
          <w:bCs/>
          <w:szCs w:val="24"/>
          <w:lang w:val="es-ES_tradnl" w:eastAsia="es-ES_tradnl" w:bidi="es-ES"/>
        </w:rPr>
        <w:t xml:space="preserve">contractuales, mediante la ejecución de nuevos ítems o actividades siempre que no se afecté el núcleo esencial del objeto y teniendo en cuenta las limitaciones sobre el particular. </w:t>
      </w:r>
    </w:p>
    <w:p w14:paraId="7B7A44C9" w14:textId="77777777" w:rsidR="005D0331" w:rsidRPr="003568D9" w:rsidRDefault="005D0331" w:rsidP="005D0331">
      <w:pPr>
        <w:spacing w:after="0" w:line="240" w:lineRule="auto"/>
        <w:ind w:left="709" w:right="709"/>
        <w:jc w:val="both"/>
        <w:rPr>
          <w:rFonts w:ascii="Arial" w:hAnsi="Arial" w:cs="Arial"/>
        </w:rPr>
      </w:pPr>
    </w:p>
    <w:p w14:paraId="1CADD480" w14:textId="77777777" w:rsidR="005D0331" w:rsidRPr="003568D9" w:rsidRDefault="005D0331" w:rsidP="005D0331">
      <w:pPr>
        <w:spacing w:after="0" w:line="276" w:lineRule="auto"/>
        <w:contextualSpacing/>
        <w:jc w:val="both"/>
        <w:rPr>
          <w:rFonts w:ascii="Arial" w:eastAsia="Calibri" w:hAnsi="Arial" w:cs="Arial"/>
          <w:b/>
        </w:rPr>
      </w:pPr>
      <w:r w:rsidRPr="003568D9">
        <w:rPr>
          <w:rFonts w:ascii="Arial" w:eastAsia="Calibri" w:hAnsi="Arial" w:cs="Arial"/>
          <w:b/>
        </w:rPr>
        <w:t>3. Respuesta</w:t>
      </w:r>
    </w:p>
    <w:p w14:paraId="53BDE12E" w14:textId="77777777" w:rsidR="005D0331" w:rsidRPr="003568D9" w:rsidRDefault="005D0331" w:rsidP="005D0331">
      <w:pPr>
        <w:spacing w:after="0" w:line="276" w:lineRule="auto"/>
        <w:contextualSpacing/>
        <w:jc w:val="both"/>
        <w:rPr>
          <w:rFonts w:ascii="Arial" w:eastAsia="Calibri" w:hAnsi="Arial" w:cs="Arial"/>
        </w:rPr>
      </w:pPr>
      <w:bookmarkStart w:id="15" w:name="_Hlk57650395"/>
    </w:p>
    <w:p w14:paraId="367481C5" w14:textId="77777777" w:rsidR="005D0331" w:rsidRPr="003568D9" w:rsidRDefault="005D0331" w:rsidP="005D0331">
      <w:pPr>
        <w:spacing w:before="120" w:after="0" w:line="240" w:lineRule="auto"/>
        <w:ind w:left="709" w:right="709"/>
        <w:contextualSpacing/>
        <w:jc w:val="both"/>
        <w:rPr>
          <w:rFonts w:ascii="Arial" w:eastAsia="Calibri" w:hAnsi="Arial" w:cs="Arial"/>
          <w:sz w:val="21"/>
          <w:szCs w:val="21"/>
        </w:rPr>
      </w:pPr>
      <w:r w:rsidRPr="003568D9">
        <w:rPr>
          <w:rFonts w:ascii="Arial" w:eastAsia="Calibri" w:hAnsi="Arial" w:cs="Arial"/>
          <w:sz w:val="21"/>
          <w:szCs w:val="21"/>
        </w:rPr>
        <w:t>“De acuerdo con el manejo de la plataforma SECOP II y la obligatoriedad de esta, se presenta la situación donde la información como OBJETO y/o VALOR difiere de lo establecido en el contrato electrónico a lo informado en el documento complementario. ¿Cuál tiene valides? o cual es el proceso para realizar?”</w:t>
      </w:r>
    </w:p>
    <w:p w14:paraId="2EA33729" w14:textId="77777777" w:rsidR="005D0331" w:rsidRPr="003568D9" w:rsidRDefault="005D0331" w:rsidP="005D0331">
      <w:pPr>
        <w:shd w:val="clear" w:color="auto" w:fill="FFFFFF"/>
        <w:spacing w:after="0" w:line="276" w:lineRule="auto"/>
        <w:jc w:val="both"/>
        <w:rPr>
          <w:rFonts w:ascii="Arial" w:hAnsi="Arial" w:cs="Arial"/>
        </w:rPr>
      </w:pPr>
    </w:p>
    <w:p w14:paraId="4687FC81" w14:textId="77777777" w:rsidR="005D0331" w:rsidRPr="003568D9" w:rsidRDefault="005D0331" w:rsidP="005D0331">
      <w:pPr>
        <w:spacing w:after="0" w:line="276" w:lineRule="auto"/>
        <w:jc w:val="both"/>
        <w:rPr>
          <w:rFonts w:ascii="Arial" w:eastAsia="Calibri" w:hAnsi="Arial" w:cs="Arial"/>
          <w:lang w:val="es-ES" w:eastAsia="es-MX"/>
        </w:rPr>
      </w:pPr>
      <w:r w:rsidRPr="003568D9">
        <w:rPr>
          <w:rFonts w:ascii="Arial" w:eastAsia="Calibri" w:hAnsi="Arial" w:cs="Arial"/>
          <w:lang w:val="es-ES" w:eastAsia="es-MX"/>
        </w:rPr>
        <w:t>De manera preliminar es pertinente aclarar, que la Agencia Nacional de Contratación Pública – Colombia Compra Eficiente resuelve consultas sobre asuntos de su competencia, esto es, sobre las temáticas de la contratación y compras públicas relacionadas con la aplicación de normas de carácter general. Por ello, esta competencia no puede extenderse a la resolución de casos particulares, brindar asesorías o validar las actuaciones de las Entidades Estatales, toda vez que ello desborda las atribuciones asignadas a esta entidad por el legislador extraordinario.</w:t>
      </w:r>
    </w:p>
    <w:p w14:paraId="69EECE2E" w14:textId="77777777" w:rsidR="005D0331" w:rsidRPr="003568D9" w:rsidRDefault="005D0331" w:rsidP="005D0331">
      <w:pPr>
        <w:spacing w:before="120" w:after="0" w:line="276" w:lineRule="auto"/>
        <w:jc w:val="both"/>
        <w:rPr>
          <w:rFonts w:ascii="Arial" w:eastAsia="Calibri" w:hAnsi="Arial" w:cs="Arial"/>
          <w:lang w:val="es-ES_tradnl"/>
        </w:rPr>
      </w:pPr>
      <w:r w:rsidRPr="003568D9">
        <w:rPr>
          <w:rFonts w:ascii="Arial" w:eastAsia="Calibri" w:hAnsi="Arial" w:cs="Arial"/>
          <w:lang w:val="es-ES_tradnl"/>
        </w:rPr>
        <w:t xml:space="preserve"> </w:t>
      </w:r>
    </w:p>
    <w:p w14:paraId="0968BB71" w14:textId="77777777" w:rsidR="005D0331" w:rsidRPr="003568D9" w:rsidRDefault="005D0331" w:rsidP="005D0331">
      <w:pPr>
        <w:spacing w:after="0" w:line="276" w:lineRule="auto"/>
        <w:jc w:val="both"/>
        <w:rPr>
          <w:rFonts w:ascii="Arial" w:hAnsi="Arial" w:cs="Arial"/>
          <w:lang w:val="es-ES_tradnl"/>
        </w:rPr>
      </w:pPr>
      <w:r w:rsidRPr="003568D9">
        <w:rPr>
          <w:rFonts w:ascii="Arial" w:hAnsi="Arial" w:cs="Arial"/>
          <w:lang w:val="es-ES_tradnl"/>
        </w:rPr>
        <w:tab/>
        <w:t>Sin embargo, para los efectos se aclara que las Entidades Estatales en virtud del principio de autonomía, cuando exista discrepancia entre los valorares relacionados en los documentos contentivos de esta y los referenciados en el SECOP deberá hacer un análisis de la necesidad y de los estudios previos para establecer si se requiere realizar alguna  modificación</w:t>
      </w:r>
      <w:r w:rsidRPr="003568D9">
        <w:rPr>
          <w:rFonts w:ascii="Arial" w:hAnsi="Arial" w:cs="Arial"/>
          <w:bCs/>
          <w:lang w:val="es-ES_tradnl"/>
        </w:rPr>
        <w:t>, ya que es claro que un contrato estatal puede modificarse en precio y en el alcance de su objeto para incluir actividades adicionales que no fueron comprendidas en el contrato inicial, esto es, para incluir ítems no previstos, siempre que se respete el límite fijado por el legislador para adicionar su valor y las demás disposiciones establecidas en el ordenamiento jurídico. Además, las modificaciones no podrían suponer la variación del objeto de un contrato, al punto que suponga la alteración de su esencia y se convierta en otro tipo de negocio jurídico. Si se presentara esta situación lo indicado no sería modificar el contrato sino celebrar uno nuevo. Estas reglas proceden cuando la modificación sea de manera bilateral, así como cuando se realice de forma unilateral por la entidad estatal, esta última teniendo en cuenta que el artículo 16 de la Ley 80 de 1993 señala que si las modificaciones alteran el valor del contrato en un veinte por ciento (20%) o más del valor inicial, el contratista podrá renunciar a la continuación de la ejecución.</w:t>
      </w:r>
      <w:r w:rsidRPr="003568D9">
        <w:rPr>
          <w:rFonts w:ascii="Arial" w:hAnsi="Arial" w:cs="Arial"/>
          <w:bCs/>
          <w:szCs w:val="24"/>
          <w:lang w:val="es-ES_tradnl" w:eastAsia="es-ES_tradnl" w:bidi="es-ES"/>
        </w:rPr>
        <w:t xml:space="preserve"> </w:t>
      </w:r>
      <w:r w:rsidRPr="003568D9">
        <w:rPr>
          <w:rFonts w:ascii="Arial" w:hAnsi="Arial" w:cs="Arial"/>
          <w:lang w:val="es-MX"/>
        </w:rPr>
        <w:t xml:space="preserve">No obstante, esta Agencia advierte que, la modificación de un contrato estatal deberá atender a los mismos requisitos exigidos para su celebración, por lo tanto, la modificación deberá constar por </w:t>
      </w:r>
      <w:r w:rsidRPr="003568D9">
        <w:rPr>
          <w:rFonts w:ascii="Arial" w:hAnsi="Arial" w:cs="Arial"/>
          <w:lang w:val="es-MX"/>
        </w:rPr>
        <w:lastRenderedPageBreak/>
        <w:t>escrito, asimismo, deberá contar con todos los documentos de respaldo presupuestal (CDP, RP), garantías, etc.</w:t>
      </w:r>
    </w:p>
    <w:p w14:paraId="11EB93C7" w14:textId="77777777" w:rsidR="005D0331" w:rsidRPr="003568D9" w:rsidRDefault="005D0331" w:rsidP="005D0331">
      <w:pPr>
        <w:widowControl w:val="0"/>
        <w:autoSpaceDE w:val="0"/>
        <w:autoSpaceDN w:val="0"/>
        <w:spacing w:after="0" w:line="276" w:lineRule="auto"/>
        <w:contextualSpacing/>
        <w:jc w:val="both"/>
        <w:rPr>
          <w:rFonts w:ascii="Arial" w:eastAsia="Calibri" w:hAnsi="Arial" w:cs="Arial"/>
        </w:rPr>
      </w:pPr>
    </w:p>
    <w:p w14:paraId="1590F5D7" w14:textId="77777777" w:rsidR="005D0331" w:rsidRPr="003568D9" w:rsidRDefault="005D0331" w:rsidP="005D0331">
      <w:pPr>
        <w:widowControl w:val="0"/>
        <w:autoSpaceDE w:val="0"/>
        <w:autoSpaceDN w:val="0"/>
        <w:spacing w:after="0" w:line="276" w:lineRule="auto"/>
        <w:contextualSpacing/>
        <w:jc w:val="both"/>
        <w:rPr>
          <w:rFonts w:ascii="Arial" w:eastAsia="Times New Roman" w:hAnsi="Arial" w:cs="Arial"/>
          <w:lang w:eastAsia="es-ES_tradnl"/>
        </w:rPr>
      </w:pPr>
      <w:r w:rsidRPr="003568D9">
        <w:rPr>
          <w:rFonts w:ascii="Arial" w:eastAsia="Calibri" w:hAnsi="Arial" w:cs="Arial"/>
        </w:rPr>
        <w:t>Este concepto tiene el alcance previsto en el artículo 28 del Código de Procedimiento Administrativo y de lo Contencioso Administrativo</w:t>
      </w:r>
      <w:r w:rsidRPr="003568D9">
        <w:rPr>
          <w:rFonts w:ascii="Arial" w:eastAsia="Calibri" w:hAnsi="Arial" w:cs="Arial"/>
          <w:noProof/>
          <w:lang w:eastAsia="es-CO"/>
        </w:rPr>
        <mc:AlternateContent>
          <mc:Choice Requires="wps">
            <w:drawing>
              <wp:anchor distT="0" distB="0" distL="114300" distR="114300" simplePos="0" relativeHeight="251659264" behindDoc="0" locked="0" layoutInCell="1" allowOverlap="1" wp14:anchorId="4F124BF4" wp14:editId="0BF8A0B7">
                <wp:simplePos x="0" y="0"/>
                <wp:positionH relativeFrom="page">
                  <wp:posOffset>1514475</wp:posOffset>
                </wp:positionH>
                <wp:positionV relativeFrom="paragraph">
                  <wp:posOffset>10160</wp:posOffset>
                </wp:positionV>
                <wp:extent cx="4686300" cy="0"/>
                <wp:effectExtent l="0" t="0" r="0" b="0"/>
                <wp:wrapNone/>
                <wp:docPr id="2" name="Conector recto 2"/>
                <wp:cNvGraphicFramePr/>
                <a:graphic xmlns:a="http://schemas.openxmlformats.org/drawingml/2006/main">
                  <a:graphicData uri="http://schemas.microsoft.com/office/word/2010/wordprocessingShape">
                    <wps:wsp>
                      <wps:cNvCnPr/>
                      <wps:spPr>
                        <a:xfrm>
                          <a:off x="0" y="0"/>
                          <a:ext cx="4686300" cy="0"/>
                        </a:xfrm>
                        <a:prstGeom prst="line">
                          <a:avLst/>
                        </a:prstGeom>
                        <a:noFill/>
                        <a:ln w="9525" cap="flat" cmpd="sng" algn="ctr">
                          <a:solidFill>
                            <a:srgbClr val="DBDBDB"/>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65435038" id="Conector recto 2"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page" from="119.25pt,.8pt" to="488.2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" strokecolor="#dbdbdb">
                <w10:wrap anchorx="page"/>
              </v:line>
            </w:pict>
          </mc:Fallback>
        </mc:AlternateContent>
      </w:r>
      <w:r w:rsidRPr="003568D9">
        <w:rPr>
          <w:rFonts w:ascii="Arial" w:eastAsia="Calibri" w:hAnsi="Arial" w:cs="Arial"/>
        </w:rPr>
        <w:t xml:space="preserve"> y las expresiones utilizadas con mayúscula inicial deben ser entendidas con el significado que les otorga el artículo 2.2.1.1.1.3.1 del Decreto 1082 de 2015.</w:t>
      </w:r>
    </w:p>
    <w:p w14:paraId="7533E396" w14:textId="77777777" w:rsidR="005D0331" w:rsidRPr="003568D9" w:rsidRDefault="005D0331" w:rsidP="005D0331">
      <w:pPr>
        <w:spacing w:after="0" w:line="276" w:lineRule="auto"/>
        <w:jc w:val="both"/>
        <w:rPr>
          <w:rFonts w:ascii="Arial" w:hAnsi="Arial" w:cs="Arial"/>
          <w:lang w:val="es-ES_tradnl"/>
        </w:rPr>
      </w:pPr>
    </w:p>
    <w:p w14:paraId="62AEF151" w14:textId="77777777" w:rsidR="005D0331" w:rsidRPr="003568D9" w:rsidRDefault="005D0331" w:rsidP="005D0331">
      <w:pPr>
        <w:spacing w:before="120" w:after="0" w:line="276" w:lineRule="auto"/>
        <w:jc w:val="both"/>
        <w:rPr>
          <w:rFonts w:ascii="Arial" w:eastAsia="Calibri" w:hAnsi="Arial" w:cs="Arial"/>
          <w:lang w:val="es-ES" w:eastAsia="es-MX"/>
        </w:rPr>
      </w:pPr>
    </w:p>
    <w:p w14:paraId="6C6CAC21" w14:textId="77777777" w:rsidR="005D0331" w:rsidRPr="003568D9" w:rsidRDefault="005D0331" w:rsidP="005D0331">
      <w:pPr>
        <w:spacing w:after="120" w:line="276" w:lineRule="auto"/>
        <w:jc w:val="both"/>
        <w:rPr>
          <w:rFonts w:ascii="Arial" w:eastAsia="Times New Roman" w:hAnsi="Arial" w:cs="Arial"/>
          <w:lang w:eastAsia="es-ES_tradnl"/>
        </w:rPr>
      </w:pPr>
    </w:p>
    <w:p w14:paraId="201469EC" w14:textId="77777777" w:rsidR="005D0331" w:rsidRPr="003568D9" w:rsidRDefault="005D0331" w:rsidP="005D0331">
      <w:pPr>
        <w:spacing w:after="0" w:line="276" w:lineRule="auto"/>
        <w:jc w:val="both"/>
        <w:rPr>
          <w:rFonts w:ascii="Arial" w:eastAsia="Times New Roman" w:hAnsi="Arial" w:cs="Arial"/>
          <w:lang w:eastAsia="es-CO"/>
        </w:rPr>
      </w:pPr>
      <w:r w:rsidRPr="003568D9">
        <w:rPr>
          <w:rFonts w:ascii="Arial" w:eastAsia="Times New Roman" w:hAnsi="Arial" w:cs="Arial"/>
          <w:lang w:eastAsia="es-CO"/>
        </w:rPr>
        <w:t>Atentamente,</w:t>
      </w:r>
    </w:p>
    <w:p w14:paraId="4A3046FE" w14:textId="4AFE7AC7" w:rsidR="005D0331" w:rsidRPr="003568D9" w:rsidRDefault="005D2060" w:rsidP="005D0331">
      <w:pPr>
        <w:spacing w:after="200" w:line="276" w:lineRule="auto"/>
        <w:jc w:val="center"/>
        <w:rPr>
          <w:rFonts w:ascii="Arial" w:eastAsia="Calibri" w:hAnsi="Arial" w:cs="Arial"/>
          <w:b/>
          <w:bCs/>
          <w:sz w:val="20"/>
          <w:szCs w:val="20"/>
          <w:lang w:val="es-MX"/>
        </w:rPr>
      </w:pPr>
      <w:bookmarkStart w:id="16" w:name="_Hlk130981267"/>
      <w:bookmarkEnd w:id="0"/>
      <w:bookmarkEnd w:id="15"/>
      <w:r>
        <w:rPr>
          <w:noProof/>
        </w:rPr>
        <w:drawing>
          <wp:inline distT="0" distB="0" distL="0" distR="0" wp14:anchorId="1FB8FFC8" wp14:editId="17396D2E">
            <wp:extent cx="2775006" cy="1064730"/>
            <wp:effectExtent l="0" t="0" r="6350" b="254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pic:nvPicPr>
                  <pic:blipFill>
                    <a:blip r:embed="rId9"/>
                    <a:stretch>
                      <a:fillRect/>
                    </a:stretch>
                  </pic:blipFill>
                  <pic:spPr>
                    <a:xfrm>
                      <a:off x="0" y="0"/>
                      <a:ext cx="2785707" cy="1068836"/>
                    </a:xfrm>
                    <a:prstGeom prst="rect">
                      <a:avLst/>
                    </a:prstGeom>
                  </pic:spPr>
                </pic:pic>
              </a:graphicData>
            </a:graphic>
          </wp:inline>
        </w:drawing>
      </w:r>
      <w:r w:rsidR="005D0331" w:rsidRPr="003568D9">
        <w:rPr>
          <w:rFonts w:ascii="Calibri" w:hAnsi="Calibri" w:cs="Calibri"/>
          <w:shd w:val="clear" w:color="auto" w:fill="FFFFFF"/>
        </w:rPr>
        <w:br/>
      </w:r>
    </w:p>
    <w:tbl>
      <w:tblPr>
        <w:tblStyle w:val="Tablaconc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5"/>
        <w:gridCol w:w="4957"/>
      </w:tblGrid>
      <w:tr w:rsidR="005D0331" w:rsidRPr="003568D9" w14:paraId="55FCBD70" w14:textId="77777777" w:rsidTr="008277D4">
        <w:trPr>
          <w:trHeight w:val="315"/>
        </w:trPr>
        <w:tc>
          <w:tcPr>
            <w:tcW w:w="855" w:type="dxa"/>
            <w:vAlign w:val="center"/>
            <w:hideMark/>
          </w:tcPr>
          <w:p w14:paraId="39206A52" w14:textId="77777777" w:rsidR="005D0331" w:rsidRPr="003568D9" w:rsidRDefault="005D0331" w:rsidP="008277D4">
            <w:pPr>
              <w:rPr>
                <w:rFonts w:ascii="Arial" w:eastAsia="Times New Roman" w:hAnsi="Arial" w:cs="Arial"/>
                <w:sz w:val="16"/>
                <w:szCs w:val="16"/>
                <w:lang w:eastAsia="es-ES"/>
              </w:rPr>
            </w:pPr>
            <w:r w:rsidRPr="003568D9">
              <w:rPr>
                <w:rFonts w:ascii="Arial" w:eastAsia="Times New Roman" w:hAnsi="Arial" w:cs="Arial"/>
                <w:sz w:val="16"/>
                <w:szCs w:val="16"/>
                <w:lang w:eastAsia="es-ES"/>
              </w:rPr>
              <w:t>Elaboró:</w:t>
            </w:r>
          </w:p>
        </w:tc>
        <w:tc>
          <w:tcPr>
            <w:tcW w:w="4957" w:type="dxa"/>
            <w:tcBorders>
              <w:top w:val="nil"/>
              <w:left w:val="nil"/>
              <w:bottom w:val="dotted" w:sz="4" w:space="0" w:color="7F7F7F"/>
              <w:right w:val="nil"/>
            </w:tcBorders>
            <w:vAlign w:val="center"/>
            <w:hideMark/>
          </w:tcPr>
          <w:p w14:paraId="2B9BA2C8" w14:textId="77777777" w:rsidR="005D0331" w:rsidRPr="003568D9" w:rsidRDefault="005D0331" w:rsidP="008277D4">
            <w:pPr>
              <w:rPr>
                <w:rFonts w:ascii="Arial" w:eastAsia="Times New Roman" w:hAnsi="Arial" w:cs="Arial"/>
                <w:sz w:val="16"/>
                <w:szCs w:val="16"/>
                <w:lang w:eastAsia="es-ES"/>
              </w:rPr>
            </w:pPr>
            <w:r w:rsidRPr="003568D9">
              <w:rPr>
                <w:rFonts w:ascii="Arial" w:eastAsia="Times New Roman" w:hAnsi="Arial" w:cs="Arial"/>
                <w:sz w:val="16"/>
                <w:szCs w:val="16"/>
                <w:lang w:eastAsia="es-ES"/>
              </w:rPr>
              <w:t xml:space="preserve">María Valeska Medellín Mora </w:t>
            </w:r>
          </w:p>
          <w:p w14:paraId="0CC0A814" w14:textId="77777777" w:rsidR="005D0331" w:rsidRPr="003568D9" w:rsidRDefault="005D0331" w:rsidP="008277D4">
            <w:pPr>
              <w:rPr>
                <w:rFonts w:ascii="Arial" w:eastAsia="Times New Roman" w:hAnsi="Arial" w:cs="Arial"/>
                <w:sz w:val="16"/>
                <w:szCs w:val="16"/>
                <w:lang w:eastAsia="es-ES"/>
              </w:rPr>
            </w:pPr>
            <w:r w:rsidRPr="003568D9">
              <w:rPr>
                <w:rFonts w:ascii="Arial" w:eastAsia="Times New Roman" w:hAnsi="Arial" w:cs="Arial"/>
                <w:sz w:val="16"/>
                <w:szCs w:val="16"/>
                <w:lang w:eastAsia="es-ES"/>
              </w:rPr>
              <w:t>Gestor T1-15 de la Subdirección de Gestión Contractual</w:t>
            </w:r>
          </w:p>
        </w:tc>
      </w:tr>
      <w:tr w:rsidR="005D0331" w:rsidRPr="003568D9" w14:paraId="78297F19" w14:textId="77777777" w:rsidTr="008277D4">
        <w:trPr>
          <w:trHeight w:val="330"/>
        </w:trPr>
        <w:tc>
          <w:tcPr>
            <w:tcW w:w="855" w:type="dxa"/>
            <w:vAlign w:val="center"/>
            <w:hideMark/>
          </w:tcPr>
          <w:p w14:paraId="5BFC580A" w14:textId="77777777" w:rsidR="005D0331" w:rsidRPr="003568D9" w:rsidRDefault="005D0331" w:rsidP="008277D4">
            <w:pPr>
              <w:rPr>
                <w:rFonts w:ascii="Arial" w:eastAsia="Times New Roman" w:hAnsi="Arial" w:cs="Arial"/>
                <w:sz w:val="16"/>
                <w:szCs w:val="16"/>
                <w:lang w:eastAsia="es-ES"/>
              </w:rPr>
            </w:pPr>
            <w:r w:rsidRPr="003568D9">
              <w:rPr>
                <w:rFonts w:ascii="Arial" w:eastAsia="Times New Roman" w:hAnsi="Arial" w:cs="Arial"/>
                <w:sz w:val="16"/>
                <w:szCs w:val="16"/>
                <w:lang w:eastAsia="es-ES"/>
              </w:rPr>
              <w:t>Revisó:</w:t>
            </w:r>
          </w:p>
        </w:tc>
        <w:tc>
          <w:tcPr>
            <w:tcW w:w="4957" w:type="dxa"/>
            <w:tcBorders>
              <w:top w:val="dotted" w:sz="4" w:space="0" w:color="7F7F7F"/>
              <w:left w:val="nil"/>
              <w:bottom w:val="dotted" w:sz="4" w:space="0" w:color="7F7F7F"/>
              <w:right w:val="nil"/>
            </w:tcBorders>
            <w:vAlign w:val="center"/>
            <w:hideMark/>
          </w:tcPr>
          <w:p w14:paraId="7ACA561D" w14:textId="77777777" w:rsidR="005D0331" w:rsidRPr="003568D9" w:rsidRDefault="005D0331" w:rsidP="008277D4">
            <w:pPr>
              <w:rPr>
                <w:rFonts w:ascii="Arial" w:eastAsia="Times New Roman" w:hAnsi="Arial" w:cs="Arial"/>
                <w:sz w:val="16"/>
                <w:szCs w:val="16"/>
                <w:lang w:eastAsia="es-ES"/>
              </w:rPr>
            </w:pPr>
            <w:r w:rsidRPr="003568D9">
              <w:rPr>
                <w:rFonts w:ascii="Arial" w:eastAsia="Times New Roman" w:hAnsi="Arial" w:cs="Arial"/>
                <w:sz w:val="16"/>
                <w:szCs w:val="16"/>
                <w:lang w:eastAsia="es-ES"/>
              </w:rPr>
              <w:t xml:space="preserve">Juan David Cardenas </w:t>
            </w:r>
          </w:p>
          <w:p w14:paraId="3F56989C" w14:textId="77777777" w:rsidR="005D0331" w:rsidRPr="003568D9" w:rsidRDefault="005D0331" w:rsidP="008277D4">
            <w:pPr>
              <w:rPr>
                <w:rFonts w:ascii="Arial" w:eastAsia="Times New Roman" w:hAnsi="Arial" w:cs="Arial"/>
                <w:sz w:val="16"/>
                <w:szCs w:val="16"/>
                <w:lang w:eastAsia="es-ES"/>
              </w:rPr>
            </w:pPr>
            <w:r w:rsidRPr="003568D9">
              <w:rPr>
                <w:rFonts w:ascii="Arial" w:eastAsia="Times New Roman" w:hAnsi="Arial" w:cs="Arial"/>
                <w:sz w:val="16"/>
                <w:szCs w:val="16"/>
                <w:lang w:eastAsia="es-ES"/>
              </w:rPr>
              <w:t>Contratista de la Subdirección de Gestión Contractual</w:t>
            </w:r>
          </w:p>
        </w:tc>
      </w:tr>
      <w:tr w:rsidR="005D0331" w:rsidRPr="003348F3" w14:paraId="773A8A4A" w14:textId="77777777" w:rsidTr="008277D4">
        <w:trPr>
          <w:trHeight w:val="300"/>
        </w:trPr>
        <w:tc>
          <w:tcPr>
            <w:tcW w:w="855" w:type="dxa"/>
            <w:vAlign w:val="center"/>
            <w:hideMark/>
          </w:tcPr>
          <w:p w14:paraId="6AFDC788" w14:textId="77777777" w:rsidR="005D0331" w:rsidRPr="003568D9" w:rsidRDefault="005D0331" w:rsidP="008277D4">
            <w:pPr>
              <w:rPr>
                <w:rFonts w:ascii="Arial" w:eastAsia="Times New Roman" w:hAnsi="Arial" w:cs="Arial"/>
                <w:sz w:val="16"/>
                <w:szCs w:val="16"/>
                <w:lang w:eastAsia="es-ES"/>
              </w:rPr>
            </w:pPr>
            <w:r w:rsidRPr="003568D9">
              <w:rPr>
                <w:rFonts w:ascii="Arial" w:eastAsia="Times New Roman" w:hAnsi="Arial" w:cs="Arial"/>
                <w:sz w:val="16"/>
                <w:szCs w:val="16"/>
                <w:lang w:eastAsia="es-ES"/>
              </w:rPr>
              <w:t>Aprobó:</w:t>
            </w:r>
          </w:p>
        </w:tc>
        <w:tc>
          <w:tcPr>
            <w:tcW w:w="4957" w:type="dxa"/>
            <w:tcBorders>
              <w:top w:val="dotted" w:sz="4" w:space="0" w:color="7F7F7F"/>
              <w:left w:val="nil"/>
              <w:bottom w:val="dotted" w:sz="4" w:space="0" w:color="7F7F7F"/>
              <w:right w:val="nil"/>
            </w:tcBorders>
            <w:vAlign w:val="center"/>
            <w:hideMark/>
          </w:tcPr>
          <w:p w14:paraId="24DCAA83" w14:textId="77777777" w:rsidR="005D0331" w:rsidRPr="003568D9" w:rsidRDefault="005D0331" w:rsidP="008277D4">
            <w:pPr>
              <w:rPr>
                <w:rFonts w:ascii="Arial" w:eastAsia="Times New Roman" w:hAnsi="Arial" w:cs="Arial"/>
                <w:sz w:val="16"/>
                <w:szCs w:val="16"/>
                <w:lang w:eastAsia="es-ES"/>
              </w:rPr>
            </w:pPr>
            <w:r w:rsidRPr="003568D9">
              <w:rPr>
                <w:rFonts w:ascii="Arial" w:eastAsia="Times New Roman" w:hAnsi="Arial" w:cs="Arial"/>
                <w:sz w:val="16"/>
                <w:szCs w:val="16"/>
                <w:lang w:eastAsia="es-ES"/>
              </w:rPr>
              <w:t>Nohelia del Carmen Zawady Palacio</w:t>
            </w:r>
          </w:p>
          <w:p w14:paraId="4086320A" w14:textId="77777777" w:rsidR="005D0331" w:rsidRPr="003348F3" w:rsidRDefault="005D0331" w:rsidP="008277D4">
            <w:pPr>
              <w:rPr>
                <w:rFonts w:ascii="Arial" w:eastAsia="Times New Roman" w:hAnsi="Arial" w:cs="Arial"/>
                <w:sz w:val="16"/>
                <w:szCs w:val="16"/>
                <w:lang w:eastAsia="es-ES"/>
              </w:rPr>
            </w:pPr>
            <w:r w:rsidRPr="003568D9">
              <w:rPr>
                <w:rFonts w:ascii="Arial" w:eastAsia="Times New Roman" w:hAnsi="Arial" w:cs="Arial"/>
                <w:sz w:val="16"/>
                <w:szCs w:val="16"/>
                <w:lang w:eastAsia="es-ES"/>
              </w:rPr>
              <w:t>Subdirectora de Gestión Contractual ANCP – CCE</w:t>
            </w:r>
          </w:p>
        </w:tc>
      </w:tr>
      <w:bookmarkEnd w:id="1"/>
      <w:bookmarkEnd w:id="2"/>
      <w:bookmarkEnd w:id="3"/>
      <w:bookmarkEnd w:id="4"/>
      <w:bookmarkEnd w:id="16"/>
    </w:tbl>
    <w:p w14:paraId="1BD81EDD" w14:textId="77777777" w:rsidR="005D0331" w:rsidRPr="003348F3" w:rsidRDefault="005D0331" w:rsidP="005D0331"/>
    <w:p w14:paraId="4D24C001" w14:textId="77777777" w:rsidR="005D0331" w:rsidRDefault="005D0331" w:rsidP="005D0331"/>
    <w:p w14:paraId="15E6B74A" w14:textId="77777777" w:rsidR="005D0331" w:rsidRPr="00AD3E19" w:rsidRDefault="005D0331" w:rsidP="005D0331">
      <w:r w:rsidRPr="00AD3E19">
        <w:t xml:space="preserve"> </w:t>
      </w:r>
    </w:p>
    <w:p w14:paraId="5EE3B4A5" w14:textId="77777777" w:rsidR="00EA591E" w:rsidRPr="005D0331" w:rsidRDefault="00EA591E" w:rsidP="005D0331"/>
    <w:sectPr w:rsidR="00EA591E" w:rsidRPr="005D0331" w:rsidSect="00923EEF">
      <w:headerReference w:type="default" r:id="rId10"/>
      <w:footerReference w:type="default" r:id="rId11"/>
      <w:pgSz w:w="12240" w:h="15840" w:code="1"/>
      <w:pgMar w:top="1418" w:right="1701" w:bottom="1418" w:left="1701"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455C70" w14:textId="77777777" w:rsidR="00A33CD2" w:rsidRDefault="00A33CD2" w:rsidP="00EA591E">
      <w:pPr>
        <w:spacing w:after="0" w:line="240" w:lineRule="auto"/>
      </w:pPr>
      <w:r>
        <w:separator/>
      </w:r>
    </w:p>
  </w:endnote>
  <w:endnote w:type="continuationSeparator" w:id="0">
    <w:p w14:paraId="40C48729" w14:textId="77777777" w:rsidR="00A33CD2" w:rsidRDefault="00A33CD2" w:rsidP="00EA59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Arial-BoldMT">
    <w:altName w:val="Arial"/>
    <w:panose1 w:val="00000000000000000000"/>
    <w:charset w:val="00"/>
    <w:family w:val="auto"/>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Geomanist Bold">
    <w:altName w:val="Calibri"/>
    <w:panose1 w:val="02000503000000020004"/>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C97C30" w14:textId="77777777" w:rsidR="00AF3A32" w:rsidRDefault="00EA591E">
    <w:pPr>
      <w:pStyle w:val="Piedepgina"/>
    </w:pPr>
    <w:r>
      <w:rPr>
        <w:noProof/>
      </w:rPr>
      <w:drawing>
        <wp:inline distT="0" distB="0" distL="0" distR="0" wp14:anchorId="5C9EED36" wp14:editId="57FF0669">
          <wp:extent cx="5612130" cy="650240"/>
          <wp:effectExtent l="0" t="0" r="7620" b="0"/>
          <wp:docPr id="1013471023" name="Imagen 1013471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71023" name="Imagen 11"/>
                  <pic:cNvPicPr/>
                </pic:nvPicPr>
                <pic:blipFill>
                  <a:blip r:embed="rId1">
                    <a:extLst>
                      <a:ext uri="{28A0092B-C50C-407E-A947-70E740481C1C}">
                        <a14:useLocalDpi xmlns:a14="http://schemas.microsoft.com/office/drawing/2010/main" val="0"/>
                      </a:ext>
                    </a:extLst>
                  </a:blip>
                  <a:stretch>
                    <a:fillRect/>
                  </a:stretch>
                </pic:blipFill>
                <pic:spPr>
                  <a:xfrm>
                    <a:off x="0" y="0"/>
                    <a:ext cx="5612130" cy="650240"/>
                  </a:xfrm>
                  <a:prstGeom prst="rect">
                    <a:avLst/>
                  </a:prstGeom>
                </pic:spPr>
              </pic:pic>
            </a:graphicData>
          </a:graphic>
        </wp:inline>
      </w:drawing>
    </w:r>
    <w:r>
      <w:rPr>
        <w:rFonts w:ascii="Geomanist Bold" w:hAnsi="Geomanist Bold"/>
        <w:b/>
        <w:bCs/>
        <w:noProof/>
        <w:color w:val="002060"/>
        <w:sz w:val="24"/>
        <w:szCs w:val="24"/>
      </w:rPr>
      <w:drawing>
        <wp:anchor distT="0" distB="0" distL="114300" distR="114300" simplePos="0" relativeHeight="251662336" behindDoc="0" locked="0" layoutInCell="1" allowOverlap="1" wp14:anchorId="6DA5C328" wp14:editId="0B3CCDA5">
          <wp:simplePos x="0" y="0"/>
          <wp:positionH relativeFrom="leftMargin">
            <wp:posOffset>-186690</wp:posOffset>
          </wp:positionH>
          <wp:positionV relativeFrom="margin">
            <wp:posOffset>6526530</wp:posOffset>
          </wp:positionV>
          <wp:extent cx="665480" cy="3098800"/>
          <wp:effectExtent l="0" t="0" r="1270" b="6350"/>
          <wp:wrapThrough wrapText="bothSides">
            <wp:wrapPolygon edited="0">
              <wp:start x="4947" y="0"/>
              <wp:lineTo x="0" y="132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567040523" name="Imagen 1567040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tbl>
    <w:tblPr>
      <w:tblStyle w:val="Tablaconcuadrcula"/>
      <w:tblW w:w="89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2693"/>
      <w:gridCol w:w="2699"/>
      <w:gridCol w:w="2268"/>
    </w:tblGrid>
    <w:tr w:rsidR="00FC2B5D" w:rsidRPr="00080DA3" w14:paraId="718B5582" w14:textId="77777777" w:rsidTr="00B72CD3">
      <w:trPr>
        <w:trHeight w:val="229"/>
        <w:jc w:val="center"/>
      </w:trPr>
      <w:tc>
        <w:tcPr>
          <w:tcW w:w="1271"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00AE1183" w14:textId="77777777" w:rsidR="00AF3A32" w:rsidRPr="003F3941" w:rsidRDefault="00EA591E" w:rsidP="006219F8">
          <w:pPr>
            <w:pStyle w:val="Piedepgina"/>
            <w:jc w:val="center"/>
            <w:rPr>
              <w:rFonts w:ascii="Century Gothic" w:hAnsi="Century Gothic"/>
              <w:sz w:val="16"/>
              <w:szCs w:val="16"/>
            </w:rPr>
          </w:pPr>
          <w:r w:rsidRPr="003F3941">
            <w:rPr>
              <w:rFonts w:ascii="Century Gothic" w:hAnsi="Century Gothic"/>
              <w:sz w:val="16"/>
              <w:szCs w:val="16"/>
            </w:rPr>
            <w:t>VERSIÓN: 0</w:t>
          </w:r>
          <w:r>
            <w:rPr>
              <w:rFonts w:ascii="Century Gothic" w:hAnsi="Century Gothic"/>
              <w:sz w:val="16"/>
              <w:szCs w:val="16"/>
            </w:rPr>
            <w:t>1</w:t>
          </w:r>
        </w:p>
      </w:tc>
      <w:tc>
        <w:tcPr>
          <w:tcW w:w="2693"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30E27A6D" w14:textId="77777777" w:rsidR="00AF3A32" w:rsidRPr="003F3941" w:rsidRDefault="00EA591E" w:rsidP="006219F8">
          <w:pPr>
            <w:pStyle w:val="Piedepgina"/>
            <w:jc w:val="center"/>
            <w:rPr>
              <w:rFonts w:ascii="Century Gothic" w:hAnsi="Century Gothic"/>
              <w:sz w:val="16"/>
              <w:szCs w:val="16"/>
            </w:rPr>
          </w:pPr>
          <w:r w:rsidRPr="003F3941">
            <w:rPr>
              <w:rFonts w:ascii="Century Gothic" w:hAnsi="Century Gothic"/>
              <w:sz w:val="16"/>
              <w:szCs w:val="16"/>
            </w:rPr>
            <w:t xml:space="preserve">CÓDIGO: </w:t>
          </w:r>
          <w:r w:rsidRPr="003F3941">
            <w:rPr>
              <w:rFonts w:ascii="Century Gothic" w:eastAsia="Geo" w:hAnsi="Century Gothic" w:cs="Geo"/>
              <w:b/>
              <w:color w:val="000000"/>
              <w:sz w:val="16"/>
              <w:szCs w:val="16"/>
              <w:lang w:eastAsia="es-CO"/>
            </w:rPr>
            <w:t>CCE-</w:t>
          </w:r>
          <w:r>
            <w:rPr>
              <w:rFonts w:ascii="Century Gothic" w:eastAsia="Geo" w:hAnsi="Century Gothic" w:cs="Geo"/>
              <w:b/>
              <w:color w:val="000000"/>
              <w:sz w:val="16"/>
              <w:szCs w:val="16"/>
              <w:lang w:eastAsia="es-CO"/>
            </w:rPr>
            <w:t>REC</w:t>
          </w:r>
          <w:r w:rsidRPr="003F3941">
            <w:rPr>
              <w:rFonts w:ascii="Century Gothic" w:eastAsia="Geo" w:hAnsi="Century Gothic" w:cs="Geo"/>
              <w:b/>
              <w:color w:val="000000"/>
              <w:sz w:val="16"/>
              <w:szCs w:val="16"/>
              <w:lang w:eastAsia="es-CO"/>
            </w:rPr>
            <w:t>-FM-</w:t>
          </w:r>
          <w:r>
            <w:rPr>
              <w:rFonts w:ascii="Century Gothic" w:eastAsia="Geo" w:hAnsi="Century Gothic" w:cs="Geo"/>
              <w:b/>
              <w:color w:val="000000"/>
              <w:sz w:val="16"/>
              <w:szCs w:val="16"/>
              <w:lang w:eastAsia="es-CO"/>
            </w:rPr>
            <w:t>13</w:t>
          </w:r>
        </w:p>
      </w:tc>
      <w:tc>
        <w:tcPr>
          <w:tcW w:w="2699"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7B7F6509" w14:textId="77777777" w:rsidR="00AF3A32" w:rsidRPr="003F3941" w:rsidRDefault="00EA591E" w:rsidP="00FC2B5D">
          <w:pPr>
            <w:pStyle w:val="Piedepgina"/>
            <w:rPr>
              <w:rFonts w:ascii="Century Gothic" w:hAnsi="Century Gothic"/>
              <w:sz w:val="16"/>
              <w:szCs w:val="16"/>
            </w:rPr>
          </w:pPr>
          <w:r w:rsidRPr="003F3941">
            <w:rPr>
              <w:rFonts w:ascii="Century Gothic" w:hAnsi="Century Gothic"/>
              <w:sz w:val="16"/>
              <w:szCs w:val="16"/>
            </w:rPr>
            <w:t xml:space="preserve">FECHA: </w:t>
          </w:r>
          <w:r>
            <w:rPr>
              <w:rFonts w:ascii="Century Gothic" w:hAnsi="Century Gothic"/>
              <w:sz w:val="16"/>
              <w:szCs w:val="16"/>
            </w:rPr>
            <w:t>15</w:t>
          </w:r>
          <w:r w:rsidRPr="003F3941">
            <w:rPr>
              <w:rFonts w:ascii="Century Gothic" w:hAnsi="Century Gothic"/>
              <w:sz w:val="16"/>
              <w:szCs w:val="16"/>
            </w:rPr>
            <w:t xml:space="preserve"> DE </w:t>
          </w:r>
          <w:r>
            <w:rPr>
              <w:rFonts w:ascii="Century Gothic" w:hAnsi="Century Gothic"/>
              <w:sz w:val="16"/>
              <w:szCs w:val="16"/>
            </w:rPr>
            <w:t>JUNIO</w:t>
          </w:r>
          <w:r w:rsidRPr="003F3941">
            <w:rPr>
              <w:rFonts w:ascii="Century Gothic" w:hAnsi="Century Gothic"/>
              <w:sz w:val="16"/>
              <w:szCs w:val="16"/>
            </w:rPr>
            <w:t xml:space="preserve">  2023 </w:t>
          </w:r>
        </w:p>
      </w:tc>
      <w:tc>
        <w:tcPr>
          <w:tcW w:w="2268"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15413E0" w14:textId="77777777" w:rsidR="00AF3A32" w:rsidRPr="003F3941" w:rsidRDefault="00EA591E" w:rsidP="00820278">
          <w:pPr>
            <w:pStyle w:val="Piedepgina"/>
            <w:rPr>
              <w:rFonts w:ascii="Century Gothic" w:hAnsi="Century Gothic"/>
              <w:sz w:val="16"/>
              <w:szCs w:val="16"/>
            </w:rPr>
          </w:pPr>
          <w:r w:rsidRPr="003F3941">
            <w:rPr>
              <w:rFonts w:ascii="Century Gothic" w:hAnsi="Century Gothic"/>
              <w:sz w:val="16"/>
              <w:szCs w:val="16"/>
            </w:rPr>
            <w:t xml:space="preserve">  PÁGINA </w:t>
          </w:r>
          <w:r w:rsidRPr="003F3941">
            <w:rPr>
              <w:rFonts w:ascii="Century Gothic" w:hAnsi="Century Gothic"/>
              <w:b/>
              <w:bCs/>
              <w:sz w:val="16"/>
              <w:szCs w:val="16"/>
            </w:rPr>
            <w:fldChar w:fldCharType="begin"/>
          </w:r>
          <w:r w:rsidRPr="003F3941">
            <w:rPr>
              <w:rFonts w:ascii="Century Gothic" w:hAnsi="Century Gothic"/>
              <w:b/>
              <w:bCs/>
              <w:sz w:val="16"/>
              <w:szCs w:val="16"/>
            </w:rPr>
            <w:instrText>PAGE  \* Arabic  \* MERGEFORMAT</w:instrText>
          </w:r>
          <w:r w:rsidRPr="003F3941">
            <w:rPr>
              <w:rFonts w:ascii="Century Gothic" w:hAnsi="Century Gothic"/>
              <w:b/>
              <w:bCs/>
              <w:sz w:val="16"/>
              <w:szCs w:val="16"/>
            </w:rPr>
            <w:fldChar w:fldCharType="separate"/>
          </w:r>
          <w:r w:rsidRPr="003F3941">
            <w:rPr>
              <w:rFonts w:ascii="Century Gothic" w:hAnsi="Century Gothic"/>
              <w:b/>
              <w:bCs/>
              <w:sz w:val="16"/>
              <w:szCs w:val="16"/>
            </w:rPr>
            <w:t>1</w:t>
          </w:r>
          <w:r w:rsidRPr="003F3941">
            <w:rPr>
              <w:rFonts w:ascii="Century Gothic" w:hAnsi="Century Gothic"/>
              <w:b/>
              <w:bCs/>
              <w:sz w:val="16"/>
              <w:szCs w:val="16"/>
            </w:rPr>
            <w:fldChar w:fldCharType="end"/>
          </w:r>
          <w:r w:rsidRPr="003F3941">
            <w:rPr>
              <w:rFonts w:ascii="Century Gothic" w:hAnsi="Century Gothic"/>
              <w:sz w:val="16"/>
              <w:szCs w:val="16"/>
            </w:rPr>
            <w:t xml:space="preserve"> DE </w:t>
          </w:r>
          <w:r w:rsidRPr="003F3941">
            <w:rPr>
              <w:rFonts w:ascii="Century Gothic" w:hAnsi="Century Gothic"/>
              <w:b/>
              <w:bCs/>
              <w:sz w:val="16"/>
              <w:szCs w:val="16"/>
            </w:rPr>
            <w:fldChar w:fldCharType="begin"/>
          </w:r>
          <w:r w:rsidRPr="003F3941">
            <w:rPr>
              <w:rFonts w:ascii="Century Gothic" w:hAnsi="Century Gothic"/>
              <w:b/>
              <w:bCs/>
              <w:sz w:val="16"/>
              <w:szCs w:val="16"/>
            </w:rPr>
            <w:instrText>NUMPAGES  \* Arabic  \* MERGEFORMAT</w:instrText>
          </w:r>
          <w:r w:rsidRPr="003F3941">
            <w:rPr>
              <w:rFonts w:ascii="Century Gothic" w:hAnsi="Century Gothic"/>
              <w:b/>
              <w:bCs/>
              <w:sz w:val="16"/>
              <w:szCs w:val="16"/>
            </w:rPr>
            <w:fldChar w:fldCharType="separate"/>
          </w:r>
          <w:r w:rsidRPr="003F3941">
            <w:rPr>
              <w:rFonts w:ascii="Century Gothic" w:hAnsi="Century Gothic"/>
              <w:b/>
              <w:bCs/>
              <w:sz w:val="16"/>
              <w:szCs w:val="16"/>
            </w:rPr>
            <w:t>2</w:t>
          </w:r>
          <w:r w:rsidRPr="003F3941">
            <w:rPr>
              <w:rFonts w:ascii="Century Gothic" w:hAnsi="Century Gothic"/>
              <w:b/>
              <w:bCs/>
              <w:sz w:val="16"/>
              <w:szCs w:val="16"/>
            </w:rPr>
            <w:fldChar w:fldCharType="end"/>
          </w:r>
        </w:p>
      </w:tc>
    </w:tr>
  </w:tbl>
  <w:p w14:paraId="095C53F7" w14:textId="77777777" w:rsidR="00AF3A32" w:rsidRDefault="00AF3A32" w:rsidP="003E049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CC10EE" w14:textId="77777777" w:rsidR="00A33CD2" w:rsidRDefault="00A33CD2" w:rsidP="00EA591E">
      <w:pPr>
        <w:spacing w:after="0" w:line="240" w:lineRule="auto"/>
      </w:pPr>
      <w:r>
        <w:separator/>
      </w:r>
    </w:p>
  </w:footnote>
  <w:footnote w:type="continuationSeparator" w:id="0">
    <w:p w14:paraId="012F9C79" w14:textId="77777777" w:rsidR="00A33CD2" w:rsidRDefault="00A33CD2" w:rsidP="00EA591E">
      <w:pPr>
        <w:spacing w:after="0" w:line="240" w:lineRule="auto"/>
      </w:pPr>
      <w:r>
        <w:continuationSeparator/>
      </w:r>
    </w:p>
  </w:footnote>
  <w:footnote w:id="1">
    <w:p w14:paraId="48F0FB47" w14:textId="77777777" w:rsidR="005D0331" w:rsidRPr="00C53357" w:rsidRDefault="005D0331" w:rsidP="005D0331">
      <w:pPr>
        <w:pStyle w:val="Textonotapie"/>
        <w:ind w:firstLine="708"/>
        <w:jc w:val="both"/>
        <w:rPr>
          <w:rFonts w:ascii="Arial" w:hAnsi="Arial" w:cs="Arial"/>
          <w:sz w:val="18"/>
          <w:szCs w:val="18"/>
        </w:rPr>
      </w:pPr>
      <w:r w:rsidRPr="00C53357">
        <w:rPr>
          <w:rStyle w:val="Refdenotaalpie"/>
          <w:rFonts w:ascii="Arial" w:hAnsi="Arial" w:cs="Arial"/>
          <w:sz w:val="18"/>
          <w:szCs w:val="18"/>
        </w:rPr>
        <w:footnoteRef/>
      </w:r>
      <w:r w:rsidRPr="00C53357">
        <w:rPr>
          <w:rFonts w:ascii="Arial" w:hAnsi="Arial" w:cs="Arial"/>
          <w:sz w:val="18"/>
          <w:szCs w:val="18"/>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C53357">
        <w:rPr>
          <w:rFonts w:ascii="Arial" w:hAnsi="Arial" w:cs="Arial"/>
          <w:i/>
          <w:iCs/>
          <w:sz w:val="18"/>
          <w:szCs w:val="18"/>
        </w:rPr>
        <w:t xml:space="preserve">ibidem </w:t>
      </w:r>
      <w:r w:rsidRPr="00C53357">
        <w:rPr>
          <w:rFonts w:ascii="Arial" w:hAnsi="Arial" w:cs="Arial"/>
          <w:sz w:val="18"/>
          <w:szCs w:val="18"/>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p w14:paraId="5FE4BAF1" w14:textId="77777777" w:rsidR="005D0331" w:rsidRPr="003348F3" w:rsidRDefault="005D0331" w:rsidP="005D0331">
      <w:pPr>
        <w:pStyle w:val="Textonotapie"/>
        <w:ind w:firstLine="708"/>
        <w:jc w:val="both"/>
        <w:rPr>
          <w:rFonts w:ascii="Arial" w:hAnsi="Arial" w:cs="Arial"/>
          <w:sz w:val="19"/>
          <w:szCs w:val="19"/>
          <w:lang w:val="es-ES"/>
        </w:rPr>
      </w:pPr>
    </w:p>
  </w:footnote>
  <w:footnote w:id="2">
    <w:p w14:paraId="64E49BD2" w14:textId="77777777" w:rsidR="005D0331" w:rsidRPr="000201D9" w:rsidRDefault="005D0331" w:rsidP="005D0331">
      <w:pPr>
        <w:pStyle w:val="Textonotapie"/>
        <w:ind w:right="49" w:firstLine="708"/>
        <w:jc w:val="both"/>
        <w:rPr>
          <w:rFonts w:ascii="Arial" w:hAnsi="Arial" w:cs="Arial"/>
          <w:color w:val="000000"/>
          <w:sz w:val="16"/>
          <w:szCs w:val="16"/>
        </w:rPr>
      </w:pPr>
      <w:r w:rsidRPr="000201D9">
        <w:rPr>
          <w:rStyle w:val="Refdenotaalpie"/>
          <w:rFonts w:ascii="Arial" w:hAnsi="Arial" w:cs="Arial"/>
          <w:color w:val="000000"/>
        </w:rPr>
        <w:footnoteRef/>
      </w:r>
      <w:r w:rsidRPr="000201D9">
        <w:rPr>
          <w:rFonts w:ascii="Arial" w:hAnsi="Arial" w:cs="Arial"/>
          <w:color w:val="000000"/>
          <w:sz w:val="16"/>
          <w:szCs w:val="16"/>
        </w:rPr>
        <w:t xml:space="preserve"> Decreto 1082 de 2015: </w:t>
      </w:r>
      <w:r>
        <w:rPr>
          <w:rFonts w:ascii="Arial" w:hAnsi="Arial" w:cs="Arial"/>
          <w:color w:val="000000"/>
          <w:sz w:val="16"/>
          <w:szCs w:val="16"/>
        </w:rPr>
        <w:t>“</w:t>
      </w:r>
      <w:r w:rsidRPr="000201D9">
        <w:rPr>
          <w:rFonts w:ascii="Arial" w:hAnsi="Arial" w:cs="Arial"/>
          <w:color w:val="000000"/>
          <w:sz w:val="16"/>
          <w:szCs w:val="16"/>
        </w:rPr>
        <w:t>Artículo 2.2.1.1.1.3.1. Definiciones. Los términos no definidos en el Título I de la Parte 2 del presente decreto y utilizados frecuentemente deben entenderse de acuerdo con su significado natural y obvio. Para la interpretación del presente Título I, las expresiones aquí utilizadas con mayúscula inicial deben ser entendidas con el significado que a continuación se indica. Los términos definidos son utilizados en singular y en plural de acuerdo como lo requiera el contexto en el cual son utilizados.</w:t>
      </w:r>
    </w:p>
    <w:p w14:paraId="313AB330" w14:textId="77777777" w:rsidR="005D0331" w:rsidRPr="000201D9" w:rsidRDefault="005D0331" w:rsidP="005D0331">
      <w:pPr>
        <w:pStyle w:val="Textonotapie"/>
        <w:ind w:right="49" w:firstLine="708"/>
        <w:jc w:val="both"/>
        <w:rPr>
          <w:rFonts w:ascii="Arial" w:hAnsi="Arial" w:cs="Arial"/>
          <w:color w:val="000000"/>
          <w:sz w:val="16"/>
          <w:szCs w:val="16"/>
        </w:rPr>
      </w:pPr>
      <w:r w:rsidRPr="000201D9">
        <w:rPr>
          <w:rFonts w:ascii="Arial" w:hAnsi="Arial" w:cs="Arial"/>
          <w:color w:val="000000"/>
          <w:sz w:val="16"/>
          <w:szCs w:val="16"/>
        </w:rPr>
        <w:t>[...]</w:t>
      </w:r>
    </w:p>
    <w:p w14:paraId="33F9017E" w14:textId="77777777" w:rsidR="005D0331" w:rsidRPr="000201D9" w:rsidRDefault="005D0331" w:rsidP="005D0331">
      <w:pPr>
        <w:pStyle w:val="Textonotapie"/>
        <w:ind w:right="49" w:firstLine="708"/>
        <w:jc w:val="both"/>
        <w:rPr>
          <w:rFonts w:ascii="Arial" w:hAnsi="Arial" w:cs="Arial"/>
          <w:color w:val="000000"/>
          <w:sz w:val="16"/>
          <w:szCs w:val="16"/>
        </w:rPr>
      </w:pPr>
      <w:r>
        <w:rPr>
          <w:rFonts w:ascii="Arial" w:hAnsi="Arial" w:cs="Arial"/>
          <w:color w:val="000000"/>
          <w:sz w:val="16"/>
          <w:szCs w:val="16"/>
        </w:rPr>
        <w:t>“</w:t>
      </w:r>
      <w:r w:rsidRPr="000201D9">
        <w:rPr>
          <w:rFonts w:ascii="Arial" w:hAnsi="Arial" w:cs="Arial"/>
          <w:color w:val="000000"/>
          <w:sz w:val="16"/>
          <w:szCs w:val="16"/>
        </w:rPr>
        <w:t>Proceso de Contratación: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w:t>
      </w:r>
      <w:r>
        <w:rPr>
          <w:rFonts w:ascii="Arial" w:hAnsi="Arial" w:cs="Arial"/>
          <w:color w:val="000000"/>
          <w:sz w:val="16"/>
          <w:szCs w:val="16"/>
        </w:rPr>
        <w:t>”</w:t>
      </w:r>
      <w:r w:rsidRPr="000201D9">
        <w:rPr>
          <w:rFonts w:ascii="Arial" w:hAnsi="Arial" w:cs="Arial"/>
          <w:color w:val="000000"/>
          <w:sz w:val="16"/>
          <w:szCs w:val="16"/>
        </w:rPr>
        <w:t>.</w:t>
      </w:r>
    </w:p>
    <w:p w14:paraId="72BB1C6E" w14:textId="77777777" w:rsidR="005D0331" w:rsidRPr="000201D9" w:rsidRDefault="005D0331" w:rsidP="005D0331">
      <w:pPr>
        <w:pStyle w:val="Textonotapie"/>
        <w:ind w:right="49"/>
        <w:jc w:val="both"/>
        <w:rPr>
          <w:rFonts w:ascii="Arial" w:hAnsi="Arial" w:cs="Arial"/>
          <w:color w:val="000000"/>
          <w:sz w:val="16"/>
          <w:szCs w:val="16"/>
          <w:lang w:val="es-ES"/>
        </w:rPr>
      </w:pPr>
    </w:p>
  </w:footnote>
  <w:footnote w:id="3">
    <w:p w14:paraId="0F3EAA1D" w14:textId="77777777" w:rsidR="005D0331" w:rsidRPr="000201D9" w:rsidRDefault="005D0331" w:rsidP="005D0331">
      <w:pPr>
        <w:spacing w:before="76"/>
        <w:ind w:right="49" w:firstLine="708"/>
        <w:jc w:val="both"/>
        <w:rPr>
          <w:rFonts w:ascii="Arial" w:hAnsi="Arial" w:cs="Arial"/>
          <w:color w:val="000000"/>
          <w:sz w:val="16"/>
          <w:szCs w:val="16"/>
        </w:rPr>
      </w:pPr>
      <w:r w:rsidRPr="000201D9">
        <w:rPr>
          <w:rStyle w:val="Refdenotaalpie"/>
          <w:rFonts w:ascii="Arial" w:hAnsi="Arial" w:cs="Arial"/>
          <w:color w:val="000000"/>
        </w:rPr>
        <w:footnoteRef/>
      </w:r>
      <w:r w:rsidRPr="000201D9">
        <w:rPr>
          <w:rFonts w:ascii="Arial" w:hAnsi="Arial" w:cs="Arial"/>
          <w:color w:val="000000"/>
          <w:sz w:val="16"/>
          <w:szCs w:val="16"/>
        </w:rPr>
        <w:t xml:space="preserve"> Ley 1150 de 2007: </w:t>
      </w:r>
      <w:r>
        <w:rPr>
          <w:rFonts w:ascii="Arial" w:hAnsi="Arial" w:cs="Arial"/>
          <w:color w:val="000000"/>
          <w:sz w:val="16"/>
          <w:szCs w:val="16"/>
        </w:rPr>
        <w:t>“</w:t>
      </w:r>
      <w:r w:rsidRPr="000201D9">
        <w:rPr>
          <w:rFonts w:ascii="Arial" w:hAnsi="Arial" w:cs="Arial"/>
          <w:color w:val="000000"/>
          <w:sz w:val="16"/>
          <w:szCs w:val="16"/>
        </w:rPr>
        <w:t>Artículo 3. De la contratación pública electrónica.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w:t>
      </w:r>
      <w:r w:rsidRPr="000201D9">
        <w:rPr>
          <w:rFonts w:ascii="Arial" w:hAnsi="Arial" w:cs="Arial"/>
          <w:color w:val="000000"/>
          <w:spacing w:val="-3"/>
          <w:sz w:val="16"/>
          <w:szCs w:val="16"/>
        </w:rPr>
        <w:t xml:space="preserve"> </w:t>
      </w:r>
      <w:r w:rsidRPr="000201D9">
        <w:rPr>
          <w:rFonts w:ascii="Arial" w:hAnsi="Arial" w:cs="Arial"/>
          <w:color w:val="000000"/>
          <w:sz w:val="16"/>
          <w:szCs w:val="16"/>
        </w:rPr>
        <w:t>Nacional.</w:t>
      </w:r>
    </w:p>
    <w:p w14:paraId="7210E1A4" w14:textId="77777777" w:rsidR="005D0331" w:rsidRPr="000201D9" w:rsidRDefault="005D0331" w:rsidP="005D0331">
      <w:pPr>
        <w:ind w:right="49" w:firstLine="708"/>
        <w:jc w:val="both"/>
        <w:rPr>
          <w:rFonts w:ascii="Arial" w:hAnsi="Arial" w:cs="Arial"/>
          <w:color w:val="000000"/>
          <w:sz w:val="16"/>
          <w:szCs w:val="16"/>
        </w:rPr>
      </w:pPr>
      <w:r>
        <w:rPr>
          <w:rFonts w:ascii="Arial" w:hAnsi="Arial" w:cs="Arial"/>
          <w:color w:val="000000"/>
          <w:sz w:val="16"/>
          <w:szCs w:val="16"/>
        </w:rPr>
        <w:t>“</w:t>
      </w:r>
      <w:r w:rsidRPr="000201D9">
        <w:rPr>
          <w:rFonts w:ascii="Arial" w:hAnsi="Arial" w:cs="Arial"/>
          <w:color w:val="000000"/>
          <w:sz w:val="16"/>
          <w:szCs w:val="16"/>
        </w:rPr>
        <w:t>Lo anterior, sin perjuicio de las publicaciones previstas en el numeral 3 del artículo 30 de la Ley 80 de 1993.</w:t>
      </w:r>
    </w:p>
    <w:p w14:paraId="0CAD38E2" w14:textId="77777777" w:rsidR="005D0331" w:rsidRPr="000201D9" w:rsidRDefault="005D0331" w:rsidP="005D0331">
      <w:pPr>
        <w:ind w:right="49" w:firstLine="708"/>
        <w:jc w:val="both"/>
        <w:rPr>
          <w:rFonts w:ascii="Arial" w:hAnsi="Arial" w:cs="Arial"/>
          <w:color w:val="000000"/>
          <w:sz w:val="16"/>
          <w:szCs w:val="16"/>
        </w:rPr>
      </w:pPr>
      <w:r>
        <w:rPr>
          <w:rFonts w:ascii="Arial" w:hAnsi="Arial" w:cs="Arial"/>
          <w:color w:val="000000"/>
          <w:sz w:val="16"/>
          <w:szCs w:val="16"/>
        </w:rPr>
        <w:t>“</w:t>
      </w:r>
      <w:r w:rsidRPr="000201D9">
        <w:rPr>
          <w:rFonts w:ascii="Arial" w:hAnsi="Arial" w:cs="Arial"/>
          <w:color w:val="000000"/>
          <w:sz w:val="16"/>
          <w:szCs w:val="16"/>
        </w:rPr>
        <w:t>Con el fin de materializar los objetivos a que se refiere el inciso anterior, el Gobierno Nacional desarrollará el Sistema Electrónico para la Contratación Pública, Secop, el cual:</w:t>
      </w:r>
    </w:p>
    <w:p w14:paraId="6C6BE395" w14:textId="77777777" w:rsidR="005D0331" w:rsidRPr="000201D9" w:rsidRDefault="005D0331" w:rsidP="005D0331">
      <w:pPr>
        <w:ind w:right="49" w:firstLine="708"/>
        <w:jc w:val="both"/>
        <w:rPr>
          <w:rFonts w:ascii="Arial" w:hAnsi="Arial" w:cs="Arial"/>
          <w:color w:val="000000"/>
          <w:sz w:val="16"/>
          <w:szCs w:val="16"/>
        </w:rPr>
      </w:pPr>
      <w:r>
        <w:rPr>
          <w:rFonts w:ascii="Arial" w:hAnsi="Arial" w:cs="Arial"/>
          <w:color w:val="000000"/>
          <w:sz w:val="16"/>
          <w:szCs w:val="16"/>
        </w:rPr>
        <w:t>“</w:t>
      </w:r>
      <w:r w:rsidRPr="000201D9">
        <w:rPr>
          <w:rFonts w:ascii="Arial" w:hAnsi="Arial" w:cs="Arial"/>
          <w:color w:val="000000"/>
          <w:sz w:val="16"/>
          <w:szCs w:val="16"/>
        </w:rPr>
        <w:t>a) Dispondrá de las funcionalidades tecnológicas para realizar procesos de contratación electrónicos bajo los métodos de selección señalados en el artículo 2o de la presente ley según lo defina el reglamento;</w:t>
      </w:r>
    </w:p>
    <w:p w14:paraId="0206AECA" w14:textId="77777777" w:rsidR="005D0331" w:rsidRPr="000201D9" w:rsidRDefault="005D0331" w:rsidP="005D0331">
      <w:pPr>
        <w:ind w:right="49" w:firstLine="708"/>
        <w:jc w:val="both"/>
        <w:rPr>
          <w:rFonts w:ascii="Arial" w:hAnsi="Arial" w:cs="Arial"/>
          <w:color w:val="000000"/>
          <w:sz w:val="16"/>
          <w:szCs w:val="16"/>
        </w:rPr>
      </w:pPr>
      <w:r>
        <w:rPr>
          <w:rFonts w:ascii="Arial" w:hAnsi="Arial" w:cs="Arial"/>
          <w:color w:val="000000"/>
          <w:sz w:val="16"/>
          <w:szCs w:val="16"/>
        </w:rPr>
        <w:t>“</w:t>
      </w:r>
      <w:r w:rsidRPr="000201D9">
        <w:rPr>
          <w:rFonts w:ascii="Arial" w:hAnsi="Arial" w:cs="Arial"/>
          <w:color w:val="000000"/>
          <w:sz w:val="16"/>
          <w:szCs w:val="16"/>
        </w:rPr>
        <w:t>b) Servirá de punto único de ingreso de información y de generación de reportes para las entidades estatales y la ciudadanía;</w:t>
      </w:r>
    </w:p>
    <w:p w14:paraId="556C1EF9" w14:textId="77777777" w:rsidR="005D0331" w:rsidRPr="000201D9" w:rsidRDefault="005D0331" w:rsidP="005D0331">
      <w:pPr>
        <w:ind w:right="49" w:firstLine="708"/>
        <w:jc w:val="both"/>
        <w:rPr>
          <w:rFonts w:ascii="Arial" w:hAnsi="Arial" w:cs="Arial"/>
          <w:color w:val="000000"/>
          <w:sz w:val="16"/>
          <w:szCs w:val="16"/>
        </w:rPr>
      </w:pPr>
      <w:r>
        <w:rPr>
          <w:rFonts w:ascii="Arial" w:hAnsi="Arial" w:cs="Arial"/>
          <w:color w:val="000000"/>
          <w:sz w:val="16"/>
          <w:szCs w:val="16"/>
        </w:rPr>
        <w:t>“</w:t>
      </w:r>
      <w:r w:rsidRPr="000201D9">
        <w:rPr>
          <w:rFonts w:ascii="Arial" w:hAnsi="Arial" w:cs="Arial"/>
          <w:color w:val="000000"/>
          <w:sz w:val="16"/>
          <w:szCs w:val="16"/>
        </w:rPr>
        <w:t>c) Contará con la información oficial de la contratación realizada con dineros públicos, para lo cual establecerá los patrones a que haya lugar y se encargará de su difusión a través de canales electrónicos y;</w:t>
      </w:r>
    </w:p>
    <w:p w14:paraId="2FED1B04" w14:textId="77777777" w:rsidR="005D0331" w:rsidRPr="000201D9" w:rsidRDefault="005D0331" w:rsidP="005D0331">
      <w:pPr>
        <w:ind w:right="49" w:firstLine="708"/>
        <w:jc w:val="both"/>
        <w:rPr>
          <w:rFonts w:ascii="Arial" w:hAnsi="Arial" w:cs="Arial"/>
          <w:color w:val="000000"/>
          <w:sz w:val="16"/>
          <w:szCs w:val="16"/>
        </w:rPr>
      </w:pPr>
      <w:r>
        <w:rPr>
          <w:rFonts w:ascii="Arial" w:hAnsi="Arial" w:cs="Arial"/>
          <w:color w:val="000000"/>
          <w:sz w:val="16"/>
          <w:szCs w:val="16"/>
        </w:rPr>
        <w:t>“</w:t>
      </w:r>
      <w:r w:rsidRPr="000201D9">
        <w:rPr>
          <w:rFonts w:ascii="Arial" w:hAnsi="Arial" w:cs="Arial"/>
          <w:color w:val="000000"/>
          <w:sz w:val="16"/>
          <w:szCs w:val="16"/>
        </w:rPr>
        <w:t>d) Integrará el Registro Unico Empresarial de las Cámaras de Comercio, el Diario Unico de Contratación Estatal y los demás sistemas que involucren la gestión contractual pública. Así mismo, se articulará con el Sistema de Información para la Vigilancia de la Contratación Estatal, SICE, creado por la Ley 598 de 2000, sin que este pierda su autonomía para el ejercicio del control fiscal a la contratación pública.</w:t>
      </w:r>
    </w:p>
  </w:footnote>
  <w:footnote w:id="4">
    <w:p w14:paraId="363229CB" w14:textId="77777777" w:rsidR="005D0331" w:rsidRPr="000201D9" w:rsidRDefault="005D0331" w:rsidP="005D0331">
      <w:pPr>
        <w:pStyle w:val="Textonotapie"/>
        <w:ind w:firstLine="708"/>
        <w:jc w:val="both"/>
        <w:rPr>
          <w:rFonts w:ascii="Arial" w:hAnsi="Arial" w:cs="Arial"/>
          <w:sz w:val="16"/>
          <w:szCs w:val="16"/>
        </w:rPr>
      </w:pPr>
      <w:r w:rsidRPr="000201D9">
        <w:rPr>
          <w:rStyle w:val="Refdenotaalpie"/>
          <w:rFonts w:ascii="Arial" w:hAnsi="Arial" w:cs="Arial"/>
        </w:rPr>
        <w:footnoteRef/>
      </w:r>
      <w:r w:rsidRPr="000201D9">
        <w:rPr>
          <w:rFonts w:ascii="Arial" w:hAnsi="Arial" w:cs="Arial"/>
          <w:sz w:val="16"/>
          <w:szCs w:val="16"/>
        </w:rPr>
        <w:t xml:space="preserve"> Si bien el artículo 2.2.1.1.1.7.1. del Decreto 1082 de 2015 no dice que el término para publicar sea de días hábiles, la Ley 4 de 1913, por un lado, en el artículo 59, establece que los plazos a los que se haga mención en la ley terminan a la medianoche, y que por día se entiende el espacio de veinticuatro horas; mientras que el artículo 62 establece que de los plazos de días señalados en la ley se entienden suprimidos los feriados, y que cuando se aluda a meses se computarán conforme al calendario, extendiéndose hasta el día hábil siguiente si el mes termina en un día feriado o vacante, lo que significa que lo días referidos en la ley deben entenderse como hábiles. Respecto a la noción de día hábil, son relevantes las consideraciones expuestas por esta Subdirección en el concepto C-160 del 3 de abril de 2020 –radicado No. 2202013000002420–, donde se expuso que </w:t>
      </w:r>
      <w:r>
        <w:rPr>
          <w:rFonts w:ascii="Arial" w:hAnsi="Arial" w:cs="Arial"/>
          <w:sz w:val="16"/>
          <w:szCs w:val="16"/>
        </w:rPr>
        <w:t>“</w:t>
      </w:r>
      <w:r w:rsidRPr="000201D9">
        <w:rPr>
          <w:rFonts w:ascii="Arial" w:hAnsi="Arial" w:cs="Arial"/>
          <w:sz w:val="16"/>
          <w:szCs w:val="16"/>
        </w:rPr>
        <w:t>[…] los días hábiles se determinan según la entidad, ya que “cada entidad pública establece la jornada laboral, a través de su reglamento interno, dando certeza sobre los días que atienden al público, e indirectamente definiendo qué día es hábil en determinada institución”, por lo que días hábiles son aquellos de la semana durante los cuales las entidades públicas ejercen sus funciones al público, los cuales son, por regla general, todos los días de la semana, con excepción de los sábados, domingos y feriados previstos en la generalidad de entidades como días de descanso</w:t>
      </w:r>
      <w:r>
        <w:rPr>
          <w:rFonts w:ascii="Arial" w:hAnsi="Arial" w:cs="Arial"/>
          <w:sz w:val="16"/>
          <w:szCs w:val="16"/>
        </w:rPr>
        <w:t>”</w:t>
      </w:r>
      <w:r w:rsidRPr="000201D9">
        <w:rPr>
          <w:rFonts w:ascii="Arial" w:hAnsi="Arial" w:cs="Arial"/>
          <w:sz w:val="16"/>
          <w:szCs w:val="16"/>
        </w:rPr>
        <w:t>.</w:t>
      </w:r>
    </w:p>
    <w:p w14:paraId="3D7A1335" w14:textId="77777777" w:rsidR="005D0331" w:rsidRPr="000201D9" w:rsidRDefault="005D0331" w:rsidP="005D0331">
      <w:pPr>
        <w:pStyle w:val="Textonotapie"/>
        <w:ind w:firstLine="708"/>
        <w:jc w:val="both"/>
        <w:rPr>
          <w:rFonts w:ascii="Arial" w:hAnsi="Arial" w:cs="Arial"/>
          <w:sz w:val="16"/>
          <w:szCs w:val="16"/>
        </w:rPr>
      </w:pPr>
    </w:p>
  </w:footnote>
  <w:footnote w:id="5">
    <w:p w14:paraId="0F3FB684" w14:textId="77777777" w:rsidR="005D0331" w:rsidRPr="000201D9" w:rsidRDefault="005D0331" w:rsidP="005D0331">
      <w:pPr>
        <w:pStyle w:val="NormalWeb"/>
        <w:spacing w:after="0"/>
        <w:ind w:firstLine="708"/>
        <w:jc w:val="both"/>
        <w:rPr>
          <w:rFonts w:ascii="Arial" w:hAnsi="Arial" w:cs="Arial"/>
          <w:color w:val="000000"/>
          <w:sz w:val="16"/>
          <w:szCs w:val="16"/>
        </w:rPr>
      </w:pPr>
      <w:r w:rsidRPr="000201D9">
        <w:rPr>
          <w:rStyle w:val="Refdenotaalpie"/>
          <w:rFonts w:ascii="Arial" w:hAnsi="Arial" w:cs="Arial"/>
        </w:rPr>
        <w:footnoteRef/>
      </w:r>
      <w:r w:rsidRPr="000201D9">
        <w:rPr>
          <w:rFonts w:ascii="Arial" w:hAnsi="Arial" w:cs="Arial"/>
          <w:sz w:val="16"/>
          <w:szCs w:val="16"/>
        </w:rPr>
        <w:t xml:space="preserve"> Decreto 1081 de 2015 </w:t>
      </w:r>
      <w:r>
        <w:rPr>
          <w:rFonts w:ascii="Arial" w:hAnsi="Arial" w:cs="Arial"/>
          <w:sz w:val="16"/>
          <w:szCs w:val="16"/>
        </w:rPr>
        <w:t>“</w:t>
      </w:r>
      <w:r w:rsidRPr="000201D9">
        <w:rPr>
          <w:rFonts w:ascii="Arial" w:hAnsi="Arial" w:cs="Arial"/>
          <w:color w:val="000000"/>
          <w:sz w:val="16"/>
          <w:szCs w:val="16"/>
        </w:rPr>
        <w:t>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1A49ACC3" w14:textId="77777777" w:rsidR="005D0331" w:rsidRPr="000201D9" w:rsidRDefault="005D0331" w:rsidP="005D0331">
      <w:pPr>
        <w:jc w:val="both"/>
        <w:rPr>
          <w:rFonts w:ascii="Arial" w:hAnsi="Arial" w:cs="Arial"/>
          <w:color w:val="000000"/>
          <w:sz w:val="16"/>
          <w:szCs w:val="16"/>
          <w:lang w:eastAsia="es-CO"/>
        </w:rPr>
      </w:pPr>
      <w:r w:rsidRPr="000201D9">
        <w:rPr>
          <w:rFonts w:ascii="Arial" w:hAnsi="Arial" w:cs="Arial"/>
          <w:color w:val="000000"/>
          <w:sz w:val="16"/>
          <w:szCs w:val="16"/>
          <w:lang w:eastAsia="es-CO"/>
        </w:rPr>
        <w:t>  </w:t>
      </w:r>
      <w:r w:rsidRPr="000201D9">
        <w:rPr>
          <w:rFonts w:ascii="Arial" w:hAnsi="Arial" w:cs="Arial"/>
          <w:color w:val="000000"/>
          <w:sz w:val="16"/>
          <w:szCs w:val="16"/>
          <w:lang w:eastAsia="es-CO"/>
        </w:rPr>
        <w:tab/>
      </w:r>
      <w:r>
        <w:rPr>
          <w:rFonts w:ascii="Arial" w:hAnsi="Arial" w:cs="Arial"/>
          <w:color w:val="000000"/>
          <w:sz w:val="16"/>
          <w:szCs w:val="16"/>
          <w:lang w:eastAsia="es-CO"/>
        </w:rPr>
        <w:t>“</w:t>
      </w:r>
      <w:r w:rsidRPr="000201D9">
        <w:rPr>
          <w:rFonts w:ascii="Arial" w:hAnsi="Arial" w:cs="Arial"/>
          <w:color w:val="000000"/>
          <w:sz w:val="16"/>
          <w:szCs w:val="16"/>
          <w:lang w:eastAsia="es-CO"/>
        </w:rPr>
        <w:t>Los sujetos obligados que contratan con cargo a recursos públicos deben publicar la información de su gestión contractual en el plazo previsto en el artículo 19 del Decreto 1510 de 2013, o el que lo modifique, sustituya o adicione. </w:t>
      </w:r>
    </w:p>
    <w:p w14:paraId="17758145" w14:textId="77777777" w:rsidR="005D0331" w:rsidRPr="000201D9" w:rsidRDefault="005D0331" w:rsidP="005D0331">
      <w:pPr>
        <w:jc w:val="both"/>
        <w:rPr>
          <w:rFonts w:ascii="Arial" w:hAnsi="Arial" w:cs="Arial"/>
          <w:color w:val="000000"/>
          <w:sz w:val="16"/>
          <w:szCs w:val="16"/>
          <w:lang w:eastAsia="es-CO"/>
        </w:rPr>
      </w:pPr>
      <w:r w:rsidRPr="000201D9">
        <w:rPr>
          <w:rFonts w:ascii="Arial" w:hAnsi="Arial" w:cs="Arial"/>
          <w:color w:val="000000"/>
          <w:sz w:val="16"/>
          <w:szCs w:val="16"/>
          <w:lang w:eastAsia="es-CO"/>
        </w:rPr>
        <w:t>  </w:t>
      </w:r>
      <w:r w:rsidRPr="000201D9">
        <w:rPr>
          <w:rFonts w:ascii="Arial" w:hAnsi="Arial" w:cs="Arial"/>
          <w:color w:val="000000"/>
          <w:sz w:val="16"/>
          <w:szCs w:val="16"/>
          <w:lang w:eastAsia="es-CO"/>
        </w:rPr>
        <w:tab/>
      </w:r>
      <w:r>
        <w:rPr>
          <w:rFonts w:ascii="Arial" w:hAnsi="Arial" w:cs="Arial"/>
          <w:color w:val="000000"/>
          <w:sz w:val="16"/>
          <w:szCs w:val="16"/>
          <w:lang w:eastAsia="es-CO"/>
        </w:rPr>
        <w:t>“</w:t>
      </w:r>
      <w:r w:rsidRPr="000201D9">
        <w:rPr>
          <w:rFonts w:ascii="Arial" w:hAnsi="Arial" w:cs="Arial"/>
          <w:color w:val="000000"/>
          <w:sz w:val="16"/>
          <w:szCs w:val="16"/>
          <w:lang w:eastAsia="es-CO"/>
        </w:rPr>
        <w:t>Los sujetos obligados que contratan con recursos públicos y recursos privados, deben publicar la información de su gestión contractual con cargo a recursos públicos en el Sistema Electrónico para la Contratación Pública (SECOP)</w:t>
      </w:r>
      <w:r>
        <w:rPr>
          <w:rFonts w:ascii="Arial" w:hAnsi="Arial" w:cs="Arial"/>
          <w:sz w:val="16"/>
          <w:szCs w:val="16"/>
        </w:rPr>
        <w:t>”</w:t>
      </w:r>
      <w:r w:rsidRPr="000201D9">
        <w:rPr>
          <w:rFonts w:ascii="Arial" w:hAnsi="Arial" w:cs="Arial"/>
          <w:sz w:val="16"/>
          <w:szCs w:val="16"/>
        </w:rPr>
        <w:t>.</w:t>
      </w:r>
    </w:p>
  </w:footnote>
  <w:footnote w:id="6">
    <w:p w14:paraId="11ECF209" w14:textId="77777777" w:rsidR="005D0331" w:rsidRPr="000201D9" w:rsidRDefault="005D0331" w:rsidP="005D0331">
      <w:pPr>
        <w:pStyle w:val="Textonotapie"/>
        <w:ind w:right="49" w:firstLine="709"/>
        <w:jc w:val="both"/>
        <w:rPr>
          <w:rFonts w:ascii="Arial" w:eastAsia="Calibri" w:hAnsi="Arial" w:cs="Arial"/>
          <w:color w:val="000000"/>
          <w:sz w:val="16"/>
          <w:szCs w:val="16"/>
        </w:rPr>
      </w:pPr>
      <w:r w:rsidRPr="000201D9">
        <w:rPr>
          <w:rStyle w:val="Refdenotaalpie"/>
          <w:rFonts w:ascii="Arial" w:hAnsi="Arial" w:cs="Arial"/>
          <w:color w:val="000000"/>
        </w:rPr>
        <w:footnoteRef/>
      </w:r>
      <w:r w:rsidRPr="000201D9">
        <w:rPr>
          <w:rFonts w:ascii="Arial" w:hAnsi="Arial" w:cs="Arial"/>
          <w:color w:val="000000"/>
          <w:sz w:val="16"/>
          <w:szCs w:val="16"/>
        </w:rPr>
        <w:t xml:space="preserve"> Decreto 1081 de 2015: </w:t>
      </w:r>
      <w:r>
        <w:rPr>
          <w:rFonts w:ascii="Arial" w:hAnsi="Arial" w:cs="Arial"/>
          <w:color w:val="000000"/>
          <w:sz w:val="16"/>
          <w:szCs w:val="16"/>
        </w:rPr>
        <w:t>“</w:t>
      </w:r>
      <w:r w:rsidRPr="000201D9">
        <w:rPr>
          <w:rFonts w:ascii="Arial" w:hAnsi="Arial" w:cs="Arial"/>
          <w:color w:val="000000"/>
          <w:sz w:val="16"/>
          <w:szCs w:val="16"/>
        </w:rPr>
        <w:t>Artículo 2.1.1.2.1.9. Publicación de procedimientos, lineamientos y políticas en materia de adquisición y compras. Para los sujetos obligados que contratan con cargo a recursos públicos, los procedimientos, lineamientos y políticas en materia de adquisición y compras de los que trata el literal g) del artículo 11 de la Ley 1712 de 2014 son los previstos en el manual de contratación expedido conforme a las directrices señaladas por la Agencia Nacional de Contratación Pública –Colombia Compra Eficiente–, el cual debe estar publicado en el sitio web oficial del sujeto obligado</w:t>
      </w:r>
      <w:r>
        <w:rPr>
          <w:rFonts w:ascii="Arial" w:hAnsi="Arial" w:cs="Arial"/>
          <w:color w:val="000000"/>
          <w:sz w:val="16"/>
          <w:szCs w:val="16"/>
        </w:rPr>
        <w:t>”</w:t>
      </w:r>
      <w:r w:rsidRPr="000201D9">
        <w:rPr>
          <w:rFonts w:ascii="Arial" w:hAnsi="Arial" w:cs="Arial"/>
          <w:color w:val="000000"/>
          <w:sz w:val="16"/>
          <w:szCs w:val="16"/>
        </w:rPr>
        <w:t>.</w:t>
      </w:r>
    </w:p>
    <w:p w14:paraId="4A0DFF10" w14:textId="77777777" w:rsidR="005D0331" w:rsidRPr="000201D9" w:rsidRDefault="005D0331" w:rsidP="005D0331">
      <w:pPr>
        <w:pStyle w:val="Textonotapie"/>
        <w:ind w:right="49" w:firstLine="709"/>
        <w:jc w:val="both"/>
        <w:rPr>
          <w:rFonts w:ascii="Arial" w:hAnsi="Arial" w:cs="Arial"/>
          <w:color w:val="000000"/>
          <w:sz w:val="16"/>
          <w:szCs w:val="16"/>
        </w:rPr>
      </w:pPr>
    </w:p>
  </w:footnote>
  <w:footnote w:id="7">
    <w:p w14:paraId="15FEE0B5" w14:textId="77777777" w:rsidR="005D0331" w:rsidRPr="000201D9" w:rsidRDefault="005D0331" w:rsidP="005D0331">
      <w:pPr>
        <w:pStyle w:val="Textonotapie"/>
        <w:ind w:right="49" w:firstLine="709"/>
        <w:jc w:val="both"/>
        <w:rPr>
          <w:rFonts w:ascii="Arial" w:hAnsi="Arial" w:cs="Arial"/>
          <w:color w:val="000000"/>
          <w:sz w:val="16"/>
          <w:szCs w:val="16"/>
        </w:rPr>
      </w:pPr>
      <w:r w:rsidRPr="000201D9">
        <w:rPr>
          <w:rStyle w:val="Refdenotaalpie"/>
          <w:rFonts w:ascii="Arial" w:hAnsi="Arial" w:cs="Arial"/>
          <w:color w:val="000000"/>
        </w:rPr>
        <w:footnoteRef/>
      </w:r>
      <w:r w:rsidRPr="000201D9">
        <w:rPr>
          <w:rFonts w:ascii="Arial" w:hAnsi="Arial" w:cs="Arial"/>
          <w:color w:val="000000"/>
          <w:sz w:val="16"/>
          <w:szCs w:val="16"/>
        </w:rPr>
        <w:t xml:space="preserve"> Decreto 1081 de 2015: </w:t>
      </w:r>
      <w:r>
        <w:rPr>
          <w:rFonts w:ascii="Arial" w:hAnsi="Arial" w:cs="Arial"/>
          <w:color w:val="000000"/>
          <w:sz w:val="16"/>
          <w:szCs w:val="16"/>
        </w:rPr>
        <w:t>“</w:t>
      </w:r>
      <w:r w:rsidRPr="000201D9">
        <w:rPr>
          <w:rFonts w:ascii="Arial" w:hAnsi="Arial" w:cs="Arial"/>
          <w:color w:val="000000"/>
          <w:sz w:val="16"/>
          <w:szCs w:val="16"/>
        </w:rPr>
        <w:t xml:space="preserve">Artículo 2.1.1.2.1.10. Publicación del Plan Anual de Adquisiciones. Los sujetos obligados que contratan con cargo a recursos públicos deben publicar en su página web y en el SECOP el Plan Anual de Adquisiciones, de acuerdo con lo previsto en el artículo 74 de la Ley 1474 de 2011, el literal e) del artículo 9° de la Ley 1712 de 2014 y el Decreto 1510 de 2013, o el que lo modifique, sustituya o adicione. </w:t>
      </w:r>
    </w:p>
    <w:p w14:paraId="6DFF35B3" w14:textId="77777777" w:rsidR="005D0331" w:rsidRPr="000201D9" w:rsidRDefault="005D0331" w:rsidP="005D0331">
      <w:pPr>
        <w:pStyle w:val="Textonotapie"/>
        <w:ind w:right="49" w:firstLine="709"/>
        <w:jc w:val="both"/>
        <w:rPr>
          <w:rFonts w:ascii="Arial" w:hAnsi="Arial" w:cs="Arial"/>
          <w:color w:val="000000"/>
          <w:sz w:val="16"/>
          <w:szCs w:val="16"/>
        </w:rPr>
      </w:pPr>
      <w:r>
        <w:rPr>
          <w:rFonts w:ascii="Arial" w:hAnsi="Arial" w:cs="Arial"/>
          <w:color w:val="000000"/>
          <w:sz w:val="16"/>
          <w:szCs w:val="16"/>
        </w:rPr>
        <w:t>“</w:t>
      </w:r>
      <w:r w:rsidRPr="000201D9">
        <w:rPr>
          <w:rFonts w:ascii="Arial" w:hAnsi="Arial" w:cs="Arial"/>
          <w:color w:val="000000"/>
          <w:sz w:val="16"/>
          <w:szCs w:val="16"/>
        </w:rPr>
        <w:t xml:space="preserve">Los sujetos obligados que no contratan con cargo a recursos públicos no están obligados a publicar su Plan Anual de Adquisiciones. </w:t>
      </w:r>
    </w:p>
    <w:p w14:paraId="72BC0BD6" w14:textId="77777777" w:rsidR="005D0331" w:rsidRPr="000201D9" w:rsidRDefault="005D0331" w:rsidP="005D0331">
      <w:pPr>
        <w:pStyle w:val="Textonotapie"/>
        <w:ind w:right="49" w:firstLine="709"/>
        <w:jc w:val="both"/>
        <w:rPr>
          <w:rFonts w:ascii="Arial" w:hAnsi="Arial" w:cs="Arial"/>
          <w:color w:val="000000"/>
          <w:sz w:val="16"/>
          <w:szCs w:val="16"/>
        </w:rPr>
      </w:pPr>
      <w:r>
        <w:rPr>
          <w:rFonts w:ascii="Arial" w:hAnsi="Arial" w:cs="Arial"/>
          <w:color w:val="000000"/>
          <w:sz w:val="16"/>
          <w:szCs w:val="16"/>
        </w:rPr>
        <w:t>“</w:t>
      </w:r>
      <w:r w:rsidRPr="000201D9">
        <w:rPr>
          <w:rFonts w:ascii="Arial" w:hAnsi="Arial" w:cs="Arial"/>
          <w:color w:val="000000"/>
          <w:sz w:val="16"/>
          <w:szCs w:val="16"/>
        </w:rPr>
        <w:t xml:space="preserve">Los sujetos obligados que contratan con cargo a recursos públicos y recursos privados, deben publicar en su página web y en el SECOP el Plan Anual de Adquisiciones para los recursos de carácter público que ejecutarán en el año. </w:t>
      </w:r>
    </w:p>
    <w:p w14:paraId="331EFBAA" w14:textId="77777777" w:rsidR="005D0331" w:rsidRPr="000201D9" w:rsidRDefault="005D0331" w:rsidP="005D0331">
      <w:pPr>
        <w:pStyle w:val="Textonotapie"/>
        <w:ind w:right="49" w:firstLine="709"/>
        <w:jc w:val="both"/>
        <w:rPr>
          <w:rFonts w:ascii="Arial" w:hAnsi="Arial" w:cs="Arial"/>
          <w:color w:val="000000"/>
          <w:sz w:val="16"/>
          <w:szCs w:val="16"/>
        </w:rPr>
      </w:pPr>
      <w:r>
        <w:rPr>
          <w:rFonts w:ascii="Arial" w:hAnsi="Arial" w:cs="Arial"/>
          <w:color w:val="000000"/>
          <w:sz w:val="16"/>
          <w:szCs w:val="16"/>
        </w:rPr>
        <w:t>“</w:t>
      </w:r>
      <w:r w:rsidRPr="000201D9">
        <w:rPr>
          <w:rFonts w:ascii="Arial" w:hAnsi="Arial" w:cs="Arial"/>
          <w:color w:val="000000"/>
          <w:sz w:val="16"/>
          <w:szCs w:val="16"/>
        </w:rPr>
        <w:t>Se entenderá como definición de Plan Anual de Adquisiciones respecto a todos los sujetos obligados que contratan con recursos públicos, la prevista en el artículo 3° del Decreto 1510 de 2013, o el que lo modifique, sustituya o adicione</w:t>
      </w:r>
      <w:r>
        <w:rPr>
          <w:rFonts w:ascii="Arial" w:hAnsi="Arial" w:cs="Arial"/>
          <w:color w:val="000000"/>
          <w:sz w:val="16"/>
          <w:szCs w:val="16"/>
        </w:rPr>
        <w:t>”</w:t>
      </w:r>
      <w:r w:rsidRPr="000201D9">
        <w:rPr>
          <w:rFonts w:ascii="Arial" w:hAnsi="Arial" w:cs="Arial"/>
          <w:color w:val="000000"/>
          <w:sz w:val="16"/>
          <w:szCs w:val="16"/>
        </w:rPr>
        <w:t>.</w:t>
      </w:r>
    </w:p>
  </w:footnote>
  <w:footnote w:id="8">
    <w:p w14:paraId="46A98A64" w14:textId="77777777" w:rsidR="005D0331" w:rsidRPr="000201D9" w:rsidRDefault="005D0331" w:rsidP="005D0331">
      <w:pPr>
        <w:pStyle w:val="Textonotapie"/>
        <w:ind w:right="49" w:firstLine="709"/>
        <w:jc w:val="both"/>
        <w:rPr>
          <w:rFonts w:ascii="Arial" w:hAnsi="Arial" w:cs="Arial"/>
          <w:color w:val="000000"/>
          <w:sz w:val="16"/>
          <w:szCs w:val="16"/>
        </w:rPr>
      </w:pPr>
      <w:r w:rsidRPr="000201D9">
        <w:rPr>
          <w:rStyle w:val="Refdenotaalpie"/>
          <w:rFonts w:ascii="Arial" w:hAnsi="Arial" w:cs="Arial"/>
          <w:color w:val="000000"/>
        </w:rPr>
        <w:footnoteRef/>
      </w:r>
      <w:r w:rsidRPr="000201D9">
        <w:rPr>
          <w:rFonts w:ascii="Arial" w:hAnsi="Arial" w:cs="Arial"/>
          <w:color w:val="000000"/>
          <w:sz w:val="16"/>
          <w:szCs w:val="16"/>
        </w:rPr>
        <w:t xml:space="preserve"> Decreto 1081 de 2015: </w:t>
      </w:r>
      <w:r>
        <w:rPr>
          <w:rFonts w:ascii="Arial" w:hAnsi="Arial" w:cs="Arial"/>
          <w:color w:val="000000"/>
          <w:sz w:val="16"/>
          <w:szCs w:val="16"/>
        </w:rPr>
        <w:t>“</w:t>
      </w:r>
      <w:r w:rsidRPr="000201D9">
        <w:rPr>
          <w:rFonts w:ascii="Arial" w:hAnsi="Arial" w:cs="Arial"/>
          <w:color w:val="000000"/>
          <w:sz w:val="16"/>
          <w:szCs w:val="16"/>
        </w:rPr>
        <w:t>Artículo 2.1.1.2.1.8. Publicación de la ejecución de contratos. Para efectos del cumplimiento de la obligación contenida en el literal g) del artículo 11 de la Ley 1712 de 2014, relativa a la información sobre la ejecución de contratos, el sujeto obligado debe publicar las aprobaciones, autorizaciones, requerimientos o informes del supervisor o del interventor, que prueben la ejecución del contrato</w:t>
      </w:r>
      <w:r>
        <w:rPr>
          <w:rFonts w:ascii="Arial" w:hAnsi="Arial" w:cs="Arial"/>
          <w:color w:val="000000"/>
          <w:sz w:val="16"/>
          <w:szCs w:val="16"/>
        </w:rPr>
        <w:t>”</w:t>
      </w:r>
      <w:r w:rsidRPr="000201D9">
        <w:rPr>
          <w:rFonts w:ascii="Arial" w:hAnsi="Arial" w:cs="Arial"/>
          <w:color w:val="000000"/>
          <w:sz w:val="16"/>
          <w:szCs w:val="16"/>
        </w:rPr>
        <w:t>.</w:t>
      </w:r>
    </w:p>
  </w:footnote>
  <w:footnote w:id="9">
    <w:p w14:paraId="712EEBCD" w14:textId="77777777" w:rsidR="005D0331" w:rsidRPr="000201D9" w:rsidRDefault="005D0331" w:rsidP="005D0331">
      <w:pPr>
        <w:pStyle w:val="Textonotapie"/>
        <w:ind w:firstLine="708"/>
        <w:jc w:val="both"/>
        <w:rPr>
          <w:rFonts w:ascii="Arial" w:hAnsi="Arial" w:cs="Arial"/>
          <w:sz w:val="16"/>
          <w:szCs w:val="16"/>
          <w:lang w:val="es-CO"/>
        </w:rPr>
      </w:pPr>
      <w:r w:rsidRPr="000201D9">
        <w:rPr>
          <w:rStyle w:val="Refdenotaalpie"/>
          <w:rFonts w:ascii="Arial" w:hAnsi="Arial" w:cs="Arial"/>
        </w:rPr>
        <w:footnoteRef/>
      </w:r>
      <w:r w:rsidRPr="000201D9">
        <w:rPr>
          <w:rFonts w:ascii="Arial" w:hAnsi="Arial" w:cs="Arial"/>
          <w:sz w:val="16"/>
          <w:szCs w:val="16"/>
        </w:rPr>
        <w:t xml:space="preserve">  Ley 1712 de 2014 </w:t>
      </w:r>
      <w:r>
        <w:rPr>
          <w:rFonts w:ascii="Arial" w:hAnsi="Arial" w:cs="Arial"/>
          <w:sz w:val="16"/>
          <w:szCs w:val="16"/>
        </w:rPr>
        <w:t>“</w:t>
      </w:r>
      <w:r w:rsidRPr="000201D9">
        <w:rPr>
          <w:rFonts w:ascii="Arial" w:hAnsi="Arial" w:cs="Arial"/>
          <w:sz w:val="16"/>
          <w:szCs w:val="16"/>
        </w:rPr>
        <w:t>Artículo 2°.Principio de máxima publicidad para titular universal. Toda información en posesión, bajo control o custodia de un sujeto obligado es pública y no podrá ser reservada o limitada sino por disposición constitucional o legal, de conformidad con la presente ley</w:t>
      </w:r>
      <w:r>
        <w:rPr>
          <w:rFonts w:ascii="Arial" w:hAnsi="Arial" w:cs="Arial"/>
          <w:sz w:val="16"/>
          <w:szCs w:val="16"/>
        </w:rPr>
        <w:t>”</w:t>
      </w:r>
      <w:r w:rsidRPr="000201D9">
        <w:rPr>
          <w:rFonts w:ascii="Arial" w:hAnsi="Arial" w:cs="Arial"/>
          <w:sz w:val="16"/>
          <w:szCs w:val="16"/>
        </w:rPr>
        <w:t>.</w:t>
      </w:r>
    </w:p>
  </w:footnote>
  <w:footnote w:id="10">
    <w:p w14:paraId="301910A2" w14:textId="77777777" w:rsidR="005D0331" w:rsidRPr="000201D9" w:rsidRDefault="005D0331" w:rsidP="005D0331">
      <w:pPr>
        <w:pStyle w:val="Textonotapie"/>
        <w:rPr>
          <w:rFonts w:ascii="Arial" w:hAnsi="Arial" w:cs="Arial"/>
          <w:sz w:val="16"/>
          <w:szCs w:val="16"/>
        </w:rPr>
      </w:pPr>
    </w:p>
    <w:p w14:paraId="4C9FE5C0" w14:textId="77777777" w:rsidR="005D0331" w:rsidRPr="000201D9" w:rsidRDefault="005D0331" w:rsidP="005D0331">
      <w:pPr>
        <w:pStyle w:val="NormalWeb"/>
        <w:spacing w:after="0"/>
        <w:ind w:firstLine="708"/>
        <w:jc w:val="both"/>
        <w:rPr>
          <w:rFonts w:ascii="Arial" w:hAnsi="Arial" w:cs="Arial"/>
          <w:color w:val="000000"/>
          <w:sz w:val="16"/>
          <w:szCs w:val="16"/>
        </w:rPr>
      </w:pPr>
      <w:r w:rsidRPr="000201D9">
        <w:rPr>
          <w:rStyle w:val="Refdenotaalpie"/>
          <w:rFonts w:ascii="Arial" w:hAnsi="Arial" w:cs="Arial"/>
        </w:rPr>
        <w:footnoteRef/>
      </w:r>
      <w:r w:rsidRPr="000201D9">
        <w:rPr>
          <w:rFonts w:ascii="Arial" w:hAnsi="Arial" w:cs="Arial"/>
          <w:sz w:val="16"/>
          <w:szCs w:val="16"/>
        </w:rPr>
        <w:t xml:space="preserve">  Ley 1712 de 2014 </w:t>
      </w:r>
      <w:r>
        <w:rPr>
          <w:rFonts w:ascii="Arial" w:hAnsi="Arial" w:cs="Arial"/>
          <w:sz w:val="16"/>
          <w:szCs w:val="16"/>
        </w:rPr>
        <w:t>“</w:t>
      </w:r>
      <w:r w:rsidRPr="000201D9">
        <w:rPr>
          <w:rStyle w:val="PiedepginaCar"/>
          <w:rFonts w:ascii="Arial" w:hAnsi="Arial" w:cs="Arial"/>
          <w:color w:val="000000"/>
        </w:rPr>
        <w:t xml:space="preserve"> </w:t>
      </w:r>
      <w:r w:rsidRPr="000201D9">
        <w:rPr>
          <w:rFonts w:ascii="Arial" w:hAnsi="Arial" w:cs="Arial"/>
          <w:color w:val="000000"/>
          <w:sz w:val="16"/>
          <w:szCs w:val="16"/>
        </w:rPr>
        <w:t>Artículo 3°.Otros principios de la transparencia y acceso a la información pública. En la interpretación del derecho de acceso a la información se deberá adoptar un criterio de razonabilidad y proporcionalidad, así como aplicar los siguientes principios: </w:t>
      </w:r>
    </w:p>
    <w:p w14:paraId="2D3DDADB" w14:textId="77777777" w:rsidR="005D0331" w:rsidRPr="000201D9" w:rsidRDefault="005D0331" w:rsidP="005D0331">
      <w:pPr>
        <w:jc w:val="both"/>
        <w:rPr>
          <w:rFonts w:ascii="Arial" w:hAnsi="Arial" w:cs="Arial"/>
          <w:color w:val="000000"/>
          <w:sz w:val="16"/>
          <w:szCs w:val="16"/>
          <w:lang w:eastAsia="es-CO"/>
        </w:rPr>
      </w:pPr>
      <w:r w:rsidRPr="000201D9">
        <w:rPr>
          <w:rFonts w:ascii="Arial" w:hAnsi="Arial" w:cs="Arial"/>
          <w:color w:val="000000"/>
          <w:sz w:val="16"/>
          <w:szCs w:val="16"/>
          <w:lang w:eastAsia="es-CO"/>
        </w:rPr>
        <w:t> </w:t>
      </w:r>
      <w:r w:rsidRPr="000201D9">
        <w:rPr>
          <w:rFonts w:ascii="Arial" w:hAnsi="Arial" w:cs="Arial"/>
          <w:color w:val="000000"/>
          <w:sz w:val="16"/>
          <w:szCs w:val="16"/>
          <w:lang w:eastAsia="es-CO"/>
        </w:rPr>
        <w:tab/>
      </w:r>
      <w:r>
        <w:rPr>
          <w:rFonts w:ascii="Arial" w:hAnsi="Arial" w:cs="Arial"/>
          <w:color w:val="000000"/>
          <w:sz w:val="16"/>
          <w:szCs w:val="16"/>
          <w:lang w:eastAsia="es-CO"/>
        </w:rPr>
        <w:t>“</w:t>
      </w:r>
      <w:r w:rsidRPr="000201D9">
        <w:rPr>
          <w:rFonts w:ascii="Arial" w:hAnsi="Arial" w:cs="Arial"/>
          <w:color w:val="000000"/>
          <w:sz w:val="16"/>
          <w:szCs w:val="16"/>
          <w:lang w:eastAsia="es-CO"/>
        </w:rPr>
        <w:t>Principio de transparencia. Principio conforme al cual toda la información en poder de los sujetos obligados definidos en esta ley se presume pública, en consecuencia de lo cual dichos sujetos están en el deber de proporcionar y facilitar el acceso a la misma en los términos más amplios posibles y a través de los medios y procedimientos que al efecto establezca la ley, excluyendo solo aquello que esté sujeto a las excepciones constitucionales y legales y bajo el cumplimiento de los requisitos establecidos en esta ley. </w:t>
      </w:r>
    </w:p>
    <w:p w14:paraId="3901D0CF" w14:textId="77777777" w:rsidR="005D0331" w:rsidRPr="000201D9" w:rsidRDefault="005D0331" w:rsidP="005D0331">
      <w:pPr>
        <w:jc w:val="both"/>
        <w:rPr>
          <w:rFonts w:ascii="Arial" w:hAnsi="Arial" w:cs="Arial"/>
          <w:color w:val="000000"/>
          <w:sz w:val="16"/>
          <w:szCs w:val="16"/>
          <w:lang w:eastAsia="es-CO"/>
        </w:rPr>
      </w:pPr>
      <w:r w:rsidRPr="000201D9">
        <w:rPr>
          <w:rFonts w:ascii="Arial" w:hAnsi="Arial" w:cs="Arial"/>
          <w:color w:val="000000"/>
          <w:sz w:val="16"/>
          <w:szCs w:val="16"/>
          <w:lang w:eastAsia="es-CO"/>
        </w:rPr>
        <w:t>  </w:t>
      </w:r>
      <w:r w:rsidRPr="000201D9">
        <w:rPr>
          <w:rFonts w:ascii="Arial" w:hAnsi="Arial" w:cs="Arial"/>
          <w:color w:val="000000"/>
          <w:sz w:val="16"/>
          <w:szCs w:val="16"/>
          <w:lang w:eastAsia="es-CO"/>
        </w:rPr>
        <w:tab/>
        <w:t>[…] </w:t>
      </w:r>
    </w:p>
    <w:p w14:paraId="15B47975" w14:textId="77777777" w:rsidR="005D0331" w:rsidRPr="000201D9" w:rsidRDefault="005D0331" w:rsidP="005D0331">
      <w:pPr>
        <w:jc w:val="both"/>
        <w:rPr>
          <w:rFonts w:ascii="Arial" w:hAnsi="Arial" w:cs="Arial"/>
          <w:color w:val="000000"/>
          <w:sz w:val="16"/>
          <w:szCs w:val="16"/>
          <w:lang w:eastAsia="es-CO"/>
        </w:rPr>
      </w:pPr>
      <w:r w:rsidRPr="000201D9">
        <w:rPr>
          <w:rFonts w:ascii="Arial" w:hAnsi="Arial" w:cs="Arial"/>
          <w:color w:val="000000"/>
          <w:sz w:val="16"/>
          <w:szCs w:val="16"/>
          <w:lang w:eastAsia="es-CO"/>
        </w:rPr>
        <w:t>  </w:t>
      </w:r>
      <w:r w:rsidRPr="000201D9">
        <w:rPr>
          <w:rFonts w:ascii="Arial" w:hAnsi="Arial" w:cs="Arial"/>
          <w:color w:val="000000"/>
          <w:sz w:val="16"/>
          <w:szCs w:val="16"/>
          <w:lang w:eastAsia="es-CO"/>
        </w:rPr>
        <w:tab/>
      </w:r>
      <w:r>
        <w:rPr>
          <w:rFonts w:ascii="Arial" w:hAnsi="Arial" w:cs="Arial"/>
          <w:color w:val="000000"/>
          <w:sz w:val="16"/>
          <w:szCs w:val="16"/>
          <w:lang w:eastAsia="es-CO"/>
        </w:rPr>
        <w:t>“</w:t>
      </w:r>
      <w:r w:rsidRPr="000201D9">
        <w:rPr>
          <w:rFonts w:ascii="Arial" w:hAnsi="Arial" w:cs="Arial"/>
          <w:color w:val="000000"/>
          <w:sz w:val="16"/>
          <w:szCs w:val="16"/>
          <w:lang w:eastAsia="es-CO"/>
        </w:rPr>
        <w:t>Principio de facilitación. En virtud de este principio los sujetos obligados deberán facilitar el ejercicio del derecho de acceso a la información pública, excluyendo exigencias o requisitos que puedan obstruirlo o impedirlo. </w:t>
      </w:r>
    </w:p>
    <w:p w14:paraId="47A43254" w14:textId="77777777" w:rsidR="005D0331" w:rsidRPr="000201D9" w:rsidRDefault="005D0331" w:rsidP="005D0331">
      <w:pPr>
        <w:jc w:val="both"/>
        <w:rPr>
          <w:rFonts w:ascii="Arial" w:hAnsi="Arial" w:cs="Arial"/>
          <w:color w:val="000000"/>
          <w:sz w:val="16"/>
          <w:szCs w:val="16"/>
          <w:lang w:eastAsia="es-CO"/>
        </w:rPr>
      </w:pPr>
      <w:r w:rsidRPr="000201D9">
        <w:rPr>
          <w:rFonts w:ascii="Arial" w:hAnsi="Arial" w:cs="Arial"/>
          <w:color w:val="000000"/>
          <w:sz w:val="16"/>
          <w:szCs w:val="16"/>
          <w:lang w:eastAsia="es-CO"/>
        </w:rPr>
        <w:t>  </w:t>
      </w:r>
      <w:r w:rsidRPr="000201D9">
        <w:rPr>
          <w:rFonts w:ascii="Arial" w:hAnsi="Arial" w:cs="Arial"/>
          <w:color w:val="000000"/>
          <w:sz w:val="16"/>
          <w:szCs w:val="16"/>
          <w:lang w:eastAsia="es-CO"/>
        </w:rPr>
        <w:tab/>
        <w:t>[…]</w:t>
      </w:r>
    </w:p>
    <w:p w14:paraId="012B9C88" w14:textId="77777777" w:rsidR="005D0331" w:rsidRPr="000201D9" w:rsidRDefault="005D0331" w:rsidP="005D0331">
      <w:pPr>
        <w:jc w:val="both"/>
        <w:rPr>
          <w:rFonts w:ascii="Arial" w:hAnsi="Arial" w:cs="Arial"/>
          <w:color w:val="000000"/>
          <w:sz w:val="16"/>
          <w:szCs w:val="16"/>
          <w:lang w:eastAsia="es-CO"/>
        </w:rPr>
      </w:pPr>
      <w:r w:rsidRPr="000201D9">
        <w:rPr>
          <w:rFonts w:ascii="Arial" w:hAnsi="Arial" w:cs="Arial"/>
          <w:color w:val="000000"/>
          <w:sz w:val="16"/>
          <w:szCs w:val="16"/>
          <w:lang w:eastAsia="es-CO"/>
        </w:rPr>
        <w:t>  </w:t>
      </w:r>
      <w:r w:rsidRPr="000201D9">
        <w:rPr>
          <w:rFonts w:ascii="Arial" w:hAnsi="Arial" w:cs="Arial"/>
          <w:color w:val="000000"/>
          <w:sz w:val="16"/>
          <w:szCs w:val="16"/>
          <w:lang w:eastAsia="es-CO"/>
        </w:rPr>
        <w:tab/>
      </w:r>
      <w:r>
        <w:rPr>
          <w:rFonts w:ascii="Arial" w:hAnsi="Arial" w:cs="Arial"/>
          <w:color w:val="000000"/>
          <w:sz w:val="16"/>
          <w:szCs w:val="16"/>
          <w:lang w:eastAsia="es-CO"/>
        </w:rPr>
        <w:t>“</w:t>
      </w:r>
      <w:r w:rsidRPr="000201D9">
        <w:rPr>
          <w:rFonts w:ascii="Arial" w:hAnsi="Arial" w:cs="Arial"/>
          <w:color w:val="000000"/>
          <w:sz w:val="16"/>
          <w:szCs w:val="16"/>
          <w:lang w:eastAsia="es-CO"/>
        </w:rPr>
        <w:t xml:space="preserve"> Principio de la divulgación proactiva de la información. El derecho de acceso a la información no radica únicamente en la obligación de dar respuesta a las peticiones de la sociedad, sino también en el deber de los sujetos obligados de promover y generar una cultura de transparencia, lo que conlleva la obligación de publicar y divulgar documentos y archivos que plasman la actividad estatal y de interés público, de forma rutinaria y proactiva, actualizada, accesible y comprensible, atendiendo a límites razonables del talento humano y recursos físicos y financieros […]</w:t>
      </w:r>
      <w:r>
        <w:rPr>
          <w:rFonts w:ascii="Arial" w:hAnsi="Arial" w:cs="Arial"/>
          <w:color w:val="000000"/>
          <w:sz w:val="16"/>
          <w:szCs w:val="16"/>
          <w:lang w:eastAsia="es-CO"/>
        </w:rPr>
        <w:t>”</w:t>
      </w:r>
      <w:r w:rsidRPr="000201D9">
        <w:rPr>
          <w:rFonts w:ascii="Arial" w:hAnsi="Arial" w:cs="Arial"/>
          <w:color w:val="000000"/>
          <w:sz w:val="16"/>
          <w:szCs w:val="16"/>
          <w:lang w:eastAsia="es-CO"/>
        </w:rPr>
        <w:t>.</w:t>
      </w:r>
    </w:p>
    <w:p w14:paraId="0120C2FC" w14:textId="77777777" w:rsidR="005D0331" w:rsidRPr="000201D9" w:rsidRDefault="005D0331" w:rsidP="005D0331">
      <w:pPr>
        <w:pStyle w:val="Textonotapie"/>
        <w:rPr>
          <w:rFonts w:ascii="Arial" w:eastAsia="Calibri" w:hAnsi="Arial" w:cs="Arial"/>
          <w:sz w:val="16"/>
          <w:szCs w:val="16"/>
          <w:lang w:val="es-CO"/>
        </w:rPr>
      </w:pPr>
    </w:p>
  </w:footnote>
  <w:footnote w:id="11">
    <w:p w14:paraId="60E4EC27" w14:textId="77777777" w:rsidR="005D0331" w:rsidRPr="000201D9" w:rsidRDefault="005D0331" w:rsidP="005D0331">
      <w:pPr>
        <w:pStyle w:val="Textonotapie"/>
        <w:ind w:firstLine="708"/>
        <w:jc w:val="both"/>
        <w:rPr>
          <w:rFonts w:ascii="Arial" w:hAnsi="Arial" w:cs="Arial"/>
          <w:color w:val="000000"/>
          <w:sz w:val="16"/>
          <w:szCs w:val="16"/>
          <w:lang w:val="es-CO"/>
        </w:rPr>
      </w:pPr>
      <w:r w:rsidRPr="000201D9">
        <w:rPr>
          <w:rStyle w:val="Refdenotaalpie"/>
          <w:rFonts w:ascii="Arial" w:hAnsi="Arial" w:cs="Arial"/>
          <w:color w:val="000000"/>
        </w:rPr>
        <w:footnoteRef/>
      </w:r>
      <w:r w:rsidRPr="000201D9">
        <w:rPr>
          <w:rFonts w:ascii="Arial" w:hAnsi="Arial" w:cs="Arial"/>
          <w:color w:val="000000"/>
          <w:sz w:val="16"/>
          <w:szCs w:val="16"/>
        </w:rPr>
        <w:t xml:space="preserve"> Ley 1474 de 2011 </w:t>
      </w:r>
      <w:r>
        <w:rPr>
          <w:rFonts w:ascii="Arial" w:hAnsi="Arial" w:cs="Arial"/>
          <w:color w:val="000000"/>
          <w:sz w:val="16"/>
          <w:szCs w:val="16"/>
        </w:rPr>
        <w:t>“</w:t>
      </w:r>
      <w:r w:rsidRPr="000201D9">
        <w:rPr>
          <w:rFonts w:ascii="Arial" w:hAnsi="Arial" w:cs="Arial"/>
          <w:color w:val="000000"/>
          <w:sz w:val="16"/>
          <w:szCs w:val="16"/>
          <w:lang w:val="es-CO"/>
        </w:rPr>
        <w:t>Artículo 74. </w:t>
      </w:r>
      <w:r w:rsidRPr="000201D9">
        <w:rPr>
          <w:rFonts w:ascii="Arial" w:hAnsi="Arial" w:cs="Arial"/>
          <w:i/>
          <w:iCs/>
          <w:color w:val="000000"/>
          <w:sz w:val="16"/>
          <w:szCs w:val="16"/>
          <w:lang w:val="es-CO"/>
        </w:rPr>
        <w:t>Plan de acción de las entidades públicas</w:t>
      </w:r>
      <w:r w:rsidRPr="000201D9">
        <w:rPr>
          <w:rFonts w:ascii="Arial" w:hAnsi="Arial" w:cs="Arial"/>
          <w:color w:val="000000"/>
          <w:sz w:val="16"/>
          <w:szCs w:val="16"/>
          <w:lang w:val="es-CO"/>
        </w:rPr>
        <w:t>. A partir de la vigencia de la presente ley, todas las entidades del Estado a más tardar el 31 de enero de cada año, deberán publicar en su respectiva página web el Plan de Acción para el año siguiente, en el cual se especificarán los objetivos, las estrategias, los proyectos, las metas, los responsables, los planes generales de compras y la distribución presupuestal de sus proyectos de inversión junto a los indicadores de gestión. </w:t>
      </w:r>
    </w:p>
    <w:p w14:paraId="494478C2" w14:textId="77777777" w:rsidR="005D0331" w:rsidRPr="000201D9" w:rsidRDefault="005D0331" w:rsidP="005D0331">
      <w:pPr>
        <w:pStyle w:val="Textonotapie"/>
        <w:jc w:val="both"/>
        <w:rPr>
          <w:rFonts w:ascii="Arial" w:hAnsi="Arial" w:cs="Arial"/>
          <w:color w:val="000000"/>
          <w:sz w:val="16"/>
          <w:szCs w:val="16"/>
          <w:lang w:val="es-CO"/>
        </w:rPr>
      </w:pPr>
      <w:r w:rsidRPr="000201D9">
        <w:rPr>
          <w:rFonts w:ascii="Arial" w:hAnsi="Arial" w:cs="Arial"/>
          <w:color w:val="000000"/>
          <w:sz w:val="16"/>
          <w:szCs w:val="16"/>
          <w:lang w:val="es-CO"/>
        </w:rPr>
        <w:t>  </w:t>
      </w:r>
      <w:r w:rsidRPr="000201D9">
        <w:rPr>
          <w:rFonts w:ascii="Arial" w:hAnsi="Arial" w:cs="Arial"/>
          <w:color w:val="000000"/>
          <w:sz w:val="16"/>
          <w:szCs w:val="16"/>
          <w:lang w:val="es-CO"/>
        </w:rPr>
        <w:tab/>
      </w:r>
      <w:r>
        <w:rPr>
          <w:rFonts w:ascii="Arial" w:hAnsi="Arial" w:cs="Arial"/>
          <w:color w:val="000000"/>
          <w:sz w:val="16"/>
          <w:szCs w:val="16"/>
          <w:lang w:val="es-CO"/>
        </w:rPr>
        <w:t>“</w:t>
      </w:r>
      <w:r w:rsidRPr="000201D9">
        <w:rPr>
          <w:rFonts w:ascii="Arial" w:hAnsi="Arial" w:cs="Arial"/>
          <w:color w:val="000000"/>
          <w:sz w:val="16"/>
          <w:szCs w:val="16"/>
          <w:lang w:val="es-CO"/>
        </w:rPr>
        <w:t>A partir del año siguiente, el Plan de Acción deberá estar acompañado del informe de gestión del año inmediatamente anterior. </w:t>
      </w:r>
    </w:p>
    <w:p w14:paraId="62D97ADF" w14:textId="77777777" w:rsidR="005D0331" w:rsidRPr="000201D9" w:rsidRDefault="005D0331" w:rsidP="005D0331">
      <w:pPr>
        <w:pStyle w:val="Textonotapie"/>
        <w:jc w:val="both"/>
        <w:rPr>
          <w:rFonts w:ascii="Arial" w:hAnsi="Arial" w:cs="Arial"/>
          <w:color w:val="000000"/>
          <w:sz w:val="16"/>
          <w:szCs w:val="16"/>
          <w:lang w:val="es-CO"/>
        </w:rPr>
      </w:pPr>
      <w:r w:rsidRPr="000201D9">
        <w:rPr>
          <w:rFonts w:ascii="Arial" w:hAnsi="Arial" w:cs="Arial"/>
          <w:color w:val="000000"/>
          <w:sz w:val="16"/>
          <w:szCs w:val="16"/>
          <w:lang w:val="es-CO"/>
        </w:rPr>
        <w:t>  </w:t>
      </w:r>
      <w:r w:rsidRPr="000201D9">
        <w:rPr>
          <w:rFonts w:ascii="Arial" w:hAnsi="Arial" w:cs="Arial"/>
          <w:color w:val="000000"/>
          <w:sz w:val="16"/>
          <w:szCs w:val="16"/>
          <w:lang w:val="es-CO"/>
        </w:rPr>
        <w:tab/>
      </w:r>
      <w:r>
        <w:rPr>
          <w:rFonts w:ascii="Arial" w:hAnsi="Arial" w:cs="Arial"/>
          <w:color w:val="000000"/>
          <w:sz w:val="16"/>
          <w:szCs w:val="16"/>
          <w:lang w:val="es-CO"/>
        </w:rPr>
        <w:t>“</w:t>
      </w:r>
      <w:r w:rsidRPr="000201D9">
        <w:rPr>
          <w:rFonts w:ascii="Arial" w:hAnsi="Arial" w:cs="Arial"/>
          <w:color w:val="000000"/>
          <w:sz w:val="16"/>
          <w:szCs w:val="16"/>
          <w:lang w:val="es-CO"/>
        </w:rPr>
        <w:t>Igualmente publicarán por dicho medio su presupuesto debidamente desagregado, así como las modificaciones a este o a su desagregación. </w:t>
      </w:r>
    </w:p>
    <w:p w14:paraId="4C4BB964" w14:textId="77777777" w:rsidR="005D0331" w:rsidRPr="000201D9" w:rsidRDefault="005D0331" w:rsidP="005D0331">
      <w:pPr>
        <w:pStyle w:val="Textonotapie"/>
        <w:jc w:val="both"/>
        <w:rPr>
          <w:rFonts w:ascii="Arial" w:hAnsi="Arial" w:cs="Arial"/>
          <w:color w:val="000000"/>
          <w:sz w:val="16"/>
          <w:szCs w:val="16"/>
          <w:lang w:val="es-CO"/>
        </w:rPr>
      </w:pPr>
      <w:r w:rsidRPr="000201D9">
        <w:rPr>
          <w:rFonts w:ascii="Arial" w:hAnsi="Arial" w:cs="Arial"/>
          <w:color w:val="000000"/>
          <w:sz w:val="16"/>
          <w:szCs w:val="16"/>
          <w:lang w:val="es-CO"/>
        </w:rPr>
        <w:t>  </w:t>
      </w:r>
      <w:r w:rsidRPr="000201D9">
        <w:rPr>
          <w:rFonts w:ascii="Arial" w:hAnsi="Arial" w:cs="Arial"/>
          <w:color w:val="000000"/>
          <w:sz w:val="16"/>
          <w:szCs w:val="16"/>
          <w:lang w:val="es-CO"/>
        </w:rPr>
        <w:tab/>
      </w:r>
      <w:r>
        <w:rPr>
          <w:rFonts w:ascii="Arial" w:hAnsi="Arial" w:cs="Arial"/>
          <w:color w:val="000000"/>
          <w:sz w:val="16"/>
          <w:szCs w:val="16"/>
          <w:lang w:val="es-CO"/>
        </w:rPr>
        <w:t>“</w:t>
      </w:r>
      <w:r w:rsidRPr="000201D9">
        <w:rPr>
          <w:rFonts w:ascii="Arial" w:hAnsi="Arial" w:cs="Arial"/>
          <w:color w:val="000000"/>
          <w:sz w:val="16"/>
          <w:szCs w:val="16"/>
          <w:lang w:val="es-CO"/>
        </w:rPr>
        <w:t>Parágrafo. Las empresas industriales y comerciales del Estado y las Sociedades de Economía Mixta estarán exentas de publicar la información relacionada con sus proyectos de inversión</w:t>
      </w:r>
      <w:r>
        <w:rPr>
          <w:rFonts w:ascii="Arial" w:hAnsi="Arial" w:cs="Arial"/>
          <w:color w:val="000000"/>
          <w:sz w:val="16"/>
          <w:szCs w:val="16"/>
          <w:lang w:val="es-CO"/>
        </w:rPr>
        <w:t>”</w:t>
      </w:r>
      <w:r w:rsidRPr="000201D9">
        <w:rPr>
          <w:rFonts w:ascii="Arial" w:hAnsi="Arial" w:cs="Arial"/>
          <w:color w:val="000000"/>
          <w:sz w:val="16"/>
          <w:szCs w:val="16"/>
          <w:lang w:val="es-CO"/>
        </w:rPr>
        <w:t>. </w:t>
      </w:r>
    </w:p>
    <w:p w14:paraId="10141F40" w14:textId="77777777" w:rsidR="005D0331" w:rsidRPr="000201D9" w:rsidRDefault="005D0331" w:rsidP="005D0331">
      <w:pPr>
        <w:pStyle w:val="Textonotapie"/>
        <w:jc w:val="both"/>
        <w:rPr>
          <w:rFonts w:ascii="Arial" w:hAnsi="Arial" w:cs="Arial"/>
          <w:color w:val="000000"/>
          <w:sz w:val="16"/>
          <w:szCs w:val="16"/>
          <w:lang w:val="es-CO"/>
        </w:rPr>
      </w:pPr>
    </w:p>
  </w:footnote>
  <w:footnote w:id="12">
    <w:p w14:paraId="6EFF9FA2" w14:textId="77777777" w:rsidR="005D0331" w:rsidRPr="000201D9" w:rsidRDefault="005D0331" w:rsidP="005D0331">
      <w:pPr>
        <w:pStyle w:val="Textonotapie"/>
        <w:ind w:firstLine="708"/>
        <w:jc w:val="both"/>
        <w:rPr>
          <w:rFonts w:ascii="Arial" w:hAnsi="Arial" w:cs="Arial"/>
          <w:color w:val="000000"/>
          <w:sz w:val="16"/>
          <w:szCs w:val="16"/>
          <w:lang w:val="es-CO"/>
        </w:rPr>
      </w:pPr>
      <w:r w:rsidRPr="000201D9">
        <w:rPr>
          <w:rStyle w:val="Refdenotaalpie"/>
          <w:rFonts w:ascii="Arial" w:hAnsi="Arial" w:cs="Arial"/>
          <w:color w:val="000000"/>
        </w:rPr>
        <w:footnoteRef/>
      </w:r>
      <w:r w:rsidRPr="000201D9">
        <w:rPr>
          <w:rFonts w:ascii="Arial" w:hAnsi="Arial" w:cs="Arial"/>
          <w:color w:val="000000"/>
          <w:sz w:val="16"/>
          <w:szCs w:val="16"/>
        </w:rPr>
        <w:t xml:space="preserve"> Decreto 1082 de 2015</w:t>
      </w:r>
      <w:r>
        <w:rPr>
          <w:rFonts w:ascii="Arial" w:hAnsi="Arial" w:cs="Arial"/>
          <w:color w:val="000000"/>
          <w:sz w:val="16"/>
          <w:szCs w:val="16"/>
        </w:rPr>
        <w:t>”</w:t>
      </w:r>
      <w:r w:rsidRPr="000201D9">
        <w:rPr>
          <w:rFonts w:ascii="Arial" w:hAnsi="Arial" w:cs="Arial"/>
          <w:color w:val="000000"/>
          <w:sz w:val="16"/>
          <w:szCs w:val="16"/>
        </w:rPr>
        <w:t>Artículo 2.2.1.1.1.4.3. Publicación del Plan Anual de Adquisiciones. La Entidad Estatal debe publicar su Plan Anual de Adquisiciones y las actualizaciones del mismo en su página web y en el SECOP, en la forma que para el efecto disponga Colombia Compra Eficiente</w:t>
      </w:r>
      <w:r>
        <w:rPr>
          <w:rFonts w:ascii="Arial" w:hAnsi="Arial" w:cs="Arial"/>
          <w:color w:val="000000"/>
          <w:sz w:val="16"/>
          <w:szCs w:val="16"/>
        </w:rPr>
        <w:t>”</w:t>
      </w:r>
      <w:r w:rsidRPr="000201D9">
        <w:rPr>
          <w:rFonts w:ascii="Arial" w:hAnsi="Arial" w:cs="Arial"/>
          <w:color w:val="000000"/>
          <w:sz w:val="16"/>
          <w:szCs w:val="16"/>
        </w:rPr>
        <w:t>.</w:t>
      </w:r>
    </w:p>
  </w:footnote>
  <w:footnote w:id="13">
    <w:p w14:paraId="5F9BEB55" w14:textId="77777777" w:rsidR="005D0331" w:rsidRPr="000201D9" w:rsidRDefault="005D0331" w:rsidP="005D0331">
      <w:pPr>
        <w:pStyle w:val="Textonotapie"/>
        <w:ind w:firstLine="708"/>
        <w:jc w:val="both"/>
        <w:rPr>
          <w:rFonts w:ascii="Arial" w:hAnsi="Arial" w:cs="Arial"/>
          <w:sz w:val="16"/>
          <w:szCs w:val="16"/>
        </w:rPr>
      </w:pPr>
    </w:p>
    <w:p w14:paraId="7BA001DA" w14:textId="77777777" w:rsidR="005D0331" w:rsidRPr="000201D9" w:rsidRDefault="005D0331" w:rsidP="005D0331">
      <w:pPr>
        <w:pStyle w:val="Textonotapie"/>
        <w:ind w:firstLine="708"/>
        <w:jc w:val="both"/>
        <w:rPr>
          <w:rFonts w:ascii="Arial" w:hAnsi="Arial" w:cs="Arial"/>
          <w:sz w:val="16"/>
          <w:szCs w:val="16"/>
        </w:rPr>
      </w:pPr>
      <w:r w:rsidRPr="000201D9">
        <w:rPr>
          <w:rStyle w:val="Refdenotaalpie"/>
          <w:rFonts w:ascii="Arial" w:hAnsi="Arial" w:cs="Arial"/>
        </w:rPr>
        <w:footnoteRef/>
      </w:r>
      <w:r w:rsidRPr="000201D9">
        <w:rPr>
          <w:rFonts w:ascii="Arial" w:hAnsi="Arial" w:cs="Arial"/>
          <w:sz w:val="16"/>
          <w:szCs w:val="16"/>
        </w:rPr>
        <w:t xml:space="preserve"> Ley 80 de 1993 </w:t>
      </w:r>
      <w:r>
        <w:rPr>
          <w:rFonts w:ascii="Arial" w:hAnsi="Arial" w:cs="Arial"/>
          <w:sz w:val="16"/>
          <w:szCs w:val="16"/>
        </w:rPr>
        <w:t>“</w:t>
      </w:r>
      <w:r w:rsidRPr="000201D9">
        <w:rPr>
          <w:rFonts w:ascii="Arial" w:hAnsi="Arial" w:cs="Arial"/>
          <w:sz w:val="16"/>
          <w:szCs w:val="16"/>
        </w:rPr>
        <w:t xml:space="preserve">Artículo 24. Del principio de transparencia. En virtud de este principio: </w:t>
      </w:r>
    </w:p>
    <w:p w14:paraId="44741091" w14:textId="77777777" w:rsidR="005D0331" w:rsidRPr="000201D9" w:rsidRDefault="005D0331" w:rsidP="005D0331">
      <w:pPr>
        <w:pStyle w:val="Textonotapie"/>
        <w:ind w:firstLine="708"/>
        <w:jc w:val="both"/>
        <w:rPr>
          <w:rFonts w:ascii="Arial" w:hAnsi="Arial" w:cs="Arial"/>
          <w:sz w:val="16"/>
          <w:szCs w:val="16"/>
        </w:rPr>
      </w:pPr>
      <w:r w:rsidRPr="000201D9">
        <w:rPr>
          <w:rFonts w:ascii="Arial" w:hAnsi="Arial" w:cs="Arial"/>
          <w:sz w:val="16"/>
          <w:szCs w:val="16"/>
        </w:rPr>
        <w:t>[…]</w:t>
      </w:r>
    </w:p>
    <w:p w14:paraId="33AC54A2" w14:textId="77777777" w:rsidR="005D0331" w:rsidRPr="000201D9" w:rsidRDefault="005D0331" w:rsidP="005D0331">
      <w:pPr>
        <w:pStyle w:val="Textonotapie"/>
        <w:ind w:firstLine="708"/>
        <w:jc w:val="both"/>
        <w:rPr>
          <w:rFonts w:ascii="Arial" w:hAnsi="Arial" w:cs="Arial"/>
          <w:sz w:val="16"/>
          <w:szCs w:val="16"/>
          <w:lang w:val="es-CO"/>
        </w:rPr>
      </w:pPr>
      <w:r>
        <w:rPr>
          <w:rFonts w:ascii="Arial" w:hAnsi="Arial" w:cs="Arial"/>
          <w:sz w:val="16"/>
          <w:szCs w:val="16"/>
        </w:rPr>
        <w:t>“</w:t>
      </w:r>
      <w:r w:rsidRPr="000201D9">
        <w:rPr>
          <w:rFonts w:ascii="Arial" w:hAnsi="Arial" w:cs="Arial"/>
          <w:sz w:val="16"/>
          <w:szCs w:val="16"/>
        </w:rPr>
        <w:t>4o. Las autoridades expedirán a costa de aquellas personas que demuestren interés legítimo, copias de las actuaciones y propuestas recibidas, respetando la reserva de que gocen legalmente las patentes, procedimientos y privilegios</w:t>
      </w:r>
      <w:r>
        <w:rPr>
          <w:rFonts w:ascii="Arial" w:hAnsi="Arial" w:cs="Arial"/>
          <w:sz w:val="16"/>
          <w:szCs w:val="16"/>
        </w:rPr>
        <w:t>”</w:t>
      </w:r>
      <w:r w:rsidRPr="000201D9">
        <w:rPr>
          <w:rFonts w:ascii="Arial" w:hAnsi="Arial" w:cs="Arial"/>
          <w:sz w:val="16"/>
          <w:szCs w:val="16"/>
        </w:rPr>
        <w:t>.</w:t>
      </w:r>
    </w:p>
    <w:p w14:paraId="7537890A" w14:textId="77777777" w:rsidR="005D0331" w:rsidRPr="000201D9" w:rsidRDefault="005D0331" w:rsidP="005D0331">
      <w:pPr>
        <w:pStyle w:val="Textonotapie"/>
        <w:ind w:firstLine="708"/>
        <w:jc w:val="both"/>
        <w:rPr>
          <w:rFonts w:ascii="Arial" w:hAnsi="Arial" w:cs="Arial"/>
          <w:sz w:val="16"/>
          <w:szCs w:val="16"/>
          <w:lang w:val="es-CO"/>
        </w:rPr>
      </w:pPr>
      <w:r w:rsidRPr="000201D9">
        <w:rPr>
          <w:rFonts w:ascii="Arial" w:hAnsi="Arial" w:cs="Arial"/>
          <w:sz w:val="16"/>
          <w:szCs w:val="16"/>
        </w:rPr>
        <w:t xml:space="preserve"> </w:t>
      </w:r>
    </w:p>
  </w:footnote>
  <w:footnote w:id="14">
    <w:p w14:paraId="6E913BB1" w14:textId="77777777" w:rsidR="005D0331" w:rsidRPr="000201D9" w:rsidRDefault="005D0331" w:rsidP="005D0331">
      <w:pPr>
        <w:pStyle w:val="Textonotapie"/>
        <w:ind w:firstLine="708"/>
        <w:jc w:val="both"/>
        <w:rPr>
          <w:rFonts w:ascii="Arial" w:hAnsi="Arial" w:cs="Arial"/>
          <w:sz w:val="16"/>
          <w:szCs w:val="16"/>
        </w:rPr>
      </w:pPr>
      <w:r w:rsidRPr="000201D9">
        <w:rPr>
          <w:rStyle w:val="Refdenotaalpie"/>
          <w:rFonts w:ascii="Arial" w:hAnsi="Arial" w:cs="Arial"/>
        </w:rPr>
        <w:footnoteRef/>
      </w:r>
      <w:r w:rsidRPr="000201D9">
        <w:rPr>
          <w:rFonts w:ascii="Arial" w:hAnsi="Arial" w:cs="Arial"/>
          <w:sz w:val="16"/>
          <w:szCs w:val="16"/>
        </w:rPr>
        <w:t xml:space="preserve">  Ley 1712 de 2014</w:t>
      </w:r>
      <w:r>
        <w:rPr>
          <w:rFonts w:ascii="Arial" w:hAnsi="Arial" w:cs="Arial"/>
          <w:sz w:val="16"/>
          <w:szCs w:val="16"/>
        </w:rPr>
        <w:t>”</w:t>
      </w:r>
      <w:r w:rsidRPr="000201D9">
        <w:rPr>
          <w:rFonts w:ascii="Arial" w:hAnsi="Arial" w:cs="Arial"/>
          <w:sz w:val="16"/>
          <w:szCs w:val="16"/>
        </w:rPr>
        <w:t>Artículo 2°.Principio de máxima publicidad para titular universal. Toda información en posesión, bajo control o custodia de un sujeto obligado es pública y no podrá ser reservada o limitada sino por disposición constitucional o legal, de conformidad con la presente ley</w:t>
      </w:r>
      <w:r>
        <w:rPr>
          <w:rFonts w:ascii="Arial" w:hAnsi="Arial" w:cs="Arial"/>
          <w:sz w:val="16"/>
          <w:szCs w:val="16"/>
        </w:rPr>
        <w:t>”</w:t>
      </w:r>
      <w:r w:rsidRPr="000201D9">
        <w:rPr>
          <w:rFonts w:ascii="Arial" w:hAnsi="Arial" w:cs="Arial"/>
          <w:sz w:val="16"/>
          <w:szCs w:val="16"/>
        </w:rPr>
        <w:t>.</w:t>
      </w:r>
    </w:p>
    <w:p w14:paraId="54ABE744" w14:textId="77777777" w:rsidR="005D0331" w:rsidRPr="000201D9" w:rsidRDefault="005D0331" w:rsidP="005D0331">
      <w:pPr>
        <w:pStyle w:val="Textonotapie"/>
        <w:rPr>
          <w:rFonts w:ascii="Arial" w:hAnsi="Arial" w:cs="Arial"/>
          <w:sz w:val="16"/>
          <w:szCs w:val="16"/>
          <w:lang w:val="es-CO"/>
        </w:rPr>
      </w:pPr>
    </w:p>
  </w:footnote>
  <w:footnote w:id="15">
    <w:p w14:paraId="61D4002E" w14:textId="77777777" w:rsidR="005D0331" w:rsidRPr="000201D9" w:rsidRDefault="005D0331" w:rsidP="005D0331">
      <w:pPr>
        <w:pStyle w:val="Textonotapie"/>
        <w:ind w:firstLine="708"/>
        <w:jc w:val="both"/>
        <w:rPr>
          <w:rFonts w:ascii="Arial" w:hAnsi="Arial" w:cs="Arial"/>
          <w:sz w:val="16"/>
          <w:szCs w:val="16"/>
        </w:rPr>
      </w:pPr>
      <w:r w:rsidRPr="000201D9">
        <w:rPr>
          <w:rStyle w:val="Refdenotaalpie"/>
          <w:rFonts w:ascii="Arial" w:hAnsi="Arial" w:cs="Arial"/>
        </w:rPr>
        <w:footnoteRef/>
      </w:r>
      <w:r w:rsidRPr="000201D9">
        <w:rPr>
          <w:rFonts w:ascii="Arial" w:hAnsi="Arial" w:cs="Arial"/>
          <w:sz w:val="16"/>
          <w:szCs w:val="16"/>
        </w:rPr>
        <w:t xml:space="preserve"> MATALLANA CAMACHO Ernesto. Manual de Contratación de la Administración Pública. Reforma a la Ley 80 de 1993. Universidad Externado de Colombia, Cuarta edición, 2015, pp 139.</w:t>
      </w:r>
    </w:p>
    <w:p w14:paraId="1D17D4CE" w14:textId="77777777" w:rsidR="005D0331" w:rsidRPr="000201D9" w:rsidRDefault="005D0331" w:rsidP="005D0331">
      <w:pPr>
        <w:pStyle w:val="Textonotapie"/>
        <w:ind w:firstLine="708"/>
        <w:jc w:val="both"/>
        <w:rPr>
          <w:rFonts w:ascii="Arial" w:hAnsi="Arial" w:cs="Arial"/>
          <w:sz w:val="16"/>
          <w:szCs w:val="16"/>
          <w:lang w:val="es-CO"/>
        </w:rPr>
      </w:pPr>
      <w:r w:rsidRPr="000201D9">
        <w:rPr>
          <w:rFonts w:ascii="Arial" w:hAnsi="Arial" w:cs="Arial"/>
          <w:sz w:val="16"/>
          <w:szCs w:val="16"/>
        </w:rPr>
        <w:t xml:space="preserve">  </w:t>
      </w:r>
    </w:p>
  </w:footnote>
  <w:footnote w:id="16">
    <w:p w14:paraId="364BB27C" w14:textId="77777777" w:rsidR="005D0331" w:rsidRPr="000201D9" w:rsidRDefault="005D0331" w:rsidP="005D0331">
      <w:pPr>
        <w:pStyle w:val="Textonotapie"/>
        <w:ind w:firstLine="708"/>
        <w:jc w:val="both"/>
        <w:rPr>
          <w:rFonts w:ascii="Arial" w:hAnsi="Arial" w:cs="Arial"/>
          <w:sz w:val="16"/>
          <w:szCs w:val="16"/>
        </w:rPr>
      </w:pPr>
      <w:r w:rsidRPr="000201D9">
        <w:rPr>
          <w:rStyle w:val="Refdenotaalpie"/>
          <w:rFonts w:ascii="Arial" w:hAnsi="Arial" w:cs="Arial"/>
        </w:rPr>
        <w:footnoteRef/>
      </w:r>
      <w:r w:rsidRPr="000201D9">
        <w:rPr>
          <w:rFonts w:ascii="Arial" w:hAnsi="Arial" w:cs="Arial"/>
          <w:sz w:val="16"/>
          <w:szCs w:val="16"/>
        </w:rPr>
        <w:t xml:space="preserve"> Ley 1437 de 2011 </w:t>
      </w:r>
      <w:r>
        <w:rPr>
          <w:rFonts w:ascii="Arial" w:hAnsi="Arial" w:cs="Arial"/>
          <w:sz w:val="16"/>
          <w:szCs w:val="16"/>
        </w:rPr>
        <w:t>“</w:t>
      </w:r>
      <w:r w:rsidRPr="000201D9">
        <w:rPr>
          <w:rFonts w:ascii="Arial" w:hAnsi="Arial" w:cs="Arial"/>
          <w:sz w:val="16"/>
          <w:szCs w:val="16"/>
        </w:rPr>
        <w:t xml:space="preserve">Artículo 24.Informaciones y documentos reservados.Solo tendrán carácter reservado las informaciones y documentos expresamente sometidos a reserva por la Constitución Política o la ley, y en especial:  </w:t>
      </w:r>
    </w:p>
    <w:p w14:paraId="110B1C1C" w14:textId="77777777" w:rsidR="005D0331" w:rsidRPr="000201D9" w:rsidRDefault="005D0331" w:rsidP="005D0331">
      <w:pPr>
        <w:pStyle w:val="Textonotapie"/>
        <w:ind w:firstLine="708"/>
        <w:rPr>
          <w:rFonts w:ascii="Arial" w:hAnsi="Arial" w:cs="Arial"/>
          <w:sz w:val="16"/>
          <w:szCs w:val="16"/>
        </w:rPr>
      </w:pPr>
      <w:r>
        <w:rPr>
          <w:rFonts w:ascii="Arial" w:hAnsi="Arial" w:cs="Arial"/>
          <w:sz w:val="16"/>
          <w:szCs w:val="16"/>
        </w:rPr>
        <w:t>“</w:t>
      </w:r>
      <w:r w:rsidRPr="000201D9">
        <w:rPr>
          <w:rFonts w:ascii="Arial" w:hAnsi="Arial" w:cs="Arial"/>
          <w:sz w:val="16"/>
          <w:szCs w:val="16"/>
        </w:rPr>
        <w:t xml:space="preserve">1. Los relacionados con la defensa o seguridad nacionales.  </w:t>
      </w:r>
    </w:p>
    <w:p w14:paraId="72422893" w14:textId="77777777" w:rsidR="005D0331" w:rsidRPr="000201D9" w:rsidRDefault="005D0331" w:rsidP="005D0331">
      <w:pPr>
        <w:pStyle w:val="Textonotapie"/>
        <w:ind w:firstLine="708"/>
        <w:rPr>
          <w:rFonts w:ascii="Arial" w:hAnsi="Arial" w:cs="Arial"/>
          <w:sz w:val="16"/>
          <w:szCs w:val="16"/>
        </w:rPr>
      </w:pPr>
      <w:r>
        <w:rPr>
          <w:rFonts w:ascii="Arial" w:hAnsi="Arial" w:cs="Arial"/>
          <w:sz w:val="16"/>
          <w:szCs w:val="16"/>
        </w:rPr>
        <w:t>“</w:t>
      </w:r>
      <w:r w:rsidRPr="000201D9">
        <w:rPr>
          <w:rFonts w:ascii="Arial" w:hAnsi="Arial" w:cs="Arial"/>
          <w:sz w:val="16"/>
          <w:szCs w:val="16"/>
        </w:rPr>
        <w:t xml:space="preserve">2. Las instrucciones en materia diplomática o sobre negociaciones reservadas.  </w:t>
      </w:r>
    </w:p>
    <w:p w14:paraId="6F1B7766" w14:textId="77777777" w:rsidR="005D0331" w:rsidRPr="000201D9" w:rsidRDefault="005D0331" w:rsidP="005D0331">
      <w:pPr>
        <w:pStyle w:val="Textonotapie"/>
        <w:ind w:firstLine="708"/>
        <w:rPr>
          <w:rFonts w:ascii="Arial" w:hAnsi="Arial" w:cs="Arial"/>
          <w:sz w:val="16"/>
          <w:szCs w:val="16"/>
        </w:rPr>
      </w:pPr>
      <w:r>
        <w:rPr>
          <w:rFonts w:ascii="Arial" w:hAnsi="Arial" w:cs="Arial"/>
          <w:sz w:val="16"/>
          <w:szCs w:val="16"/>
        </w:rPr>
        <w:t>“</w:t>
      </w:r>
      <w:r w:rsidRPr="000201D9">
        <w:rPr>
          <w:rFonts w:ascii="Arial" w:hAnsi="Arial" w:cs="Arial"/>
          <w:sz w:val="16"/>
          <w:szCs w:val="16"/>
        </w:rPr>
        <w:t xml:space="preserve">3. Los que involucren derechos a la privacidad e intimidad de las personas, incluidas en las hojas de vida, la historia laboral y los expedientes pensionales y demás registros de personal que obren en los archivos de las instituciones públicas o privadas, así como la historia clínica.  </w:t>
      </w:r>
    </w:p>
    <w:p w14:paraId="0BC088C2" w14:textId="77777777" w:rsidR="005D0331" w:rsidRPr="000201D9" w:rsidRDefault="005D0331" w:rsidP="005D0331">
      <w:pPr>
        <w:pStyle w:val="Textonotapie"/>
        <w:ind w:firstLine="708"/>
        <w:rPr>
          <w:rFonts w:ascii="Arial" w:hAnsi="Arial" w:cs="Arial"/>
          <w:sz w:val="16"/>
          <w:szCs w:val="16"/>
        </w:rPr>
      </w:pPr>
      <w:r>
        <w:rPr>
          <w:rFonts w:ascii="Arial" w:hAnsi="Arial" w:cs="Arial"/>
          <w:sz w:val="16"/>
          <w:szCs w:val="16"/>
        </w:rPr>
        <w:t>“</w:t>
      </w:r>
      <w:r w:rsidRPr="000201D9">
        <w:rPr>
          <w:rFonts w:ascii="Arial" w:hAnsi="Arial" w:cs="Arial"/>
          <w:sz w:val="16"/>
          <w:szCs w:val="16"/>
        </w:rPr>
        <w:t xml:space="preserve">4. Los relativos a las condiciones financieras de las operaciones de crédito público y tesorería que realice la nación, así como a los estudios técnicos de valoración de los activos de la nación. Estos documentos e informaciones estarán sometidos a reserva por un término de seis (6) meses contados a partir de la realización de la respectiva operación.  </w:t>
      </w:r>
    </w:p>
    <w:p w14:paraId="744B21F6" w14:textId="77777777" w:rsidR="005D0331" w:rsidRPr="000201D9" w:rsidRDefault="005D0331" w:rsidP="005D0331">
      <w:pPr>
        <w:pStyle w:val="Textonotapie"/>
        <w:ind w:firstLine="708"/>
        <w:rPr>
          <w:rFonts w:ascii="Arial" w:hAnsi="Arial" w:cs="Arial"/>
          <w:sz w:val="16"/>
          <w:szCs w:val="16"/>
        </w:rPr>
      </w:pPr>
      <w:r>
        <w:rPr>
          <w:rFonts w:ascii="Arial" w:hAnsi="Arial" w:cs="Arial"/>
          <w:sz w:val="16"/>
          <w:szCs w:val="16"/>
        </w:rPr>
        <w:t>“</w:t>
      </w:r>
      <w:r w:rsidRPr="000201D9">
        <w:rPr>
          <w:rFonts w:ascii="Arial" w:hAnsi="Arial" w:cs="Arial"/>
          <w:sz w:val="16"/>
          <w:szCs w:val="16"/>
        </w:rPr>
        <w:t xml:space="preserve">5. Los datos referentes a la información financiera y comercial, en los términos de la Ley Estatutaria 1266 de 2008.  </w:t>
      </w:r>
    </w:p>
    <w:p w14:paraId="0162D002" w14:textId="77777777" w:rsidR="005D0331" w:rsidRPr="000201D9" w:rsidRDefault="005D0331" w:rsidP="005D0331">
      <w:pPr>
        <w:pStyle w:val="Textonotapie"/>
        <w:ind w:firstLine="708"/>
        <w:rPr>
          <w:rFonts w:ascii="Arial" w:hAnsi="Arial" w:cs="Arial"/>
          <w:sz w:val="16"/>
          <w:szCs w:val="16"/>
        </w:rPr>
      </w:pPr>
      <w:r>
        <w:rPr>
          <w:rFonts w:ascii="Arial" w:hAnsi="Arial" w:cs="Arial"/>
          <w:sz w:val="16"/>
          <w:szCs w:val="16"/>
        </w:rPr>
        <w:t>“</w:t>
      </w:r>
      <w:r w:rsidRPr="000201D9">
        <w:rPr>
          <w:rFonts w:ascii="Arial" w:hAnsi="Arial" w:cs="Arial"/>
          <w:sz w:val="16"/>
          <w:szCs w:val="16"/>
        </w:rPr>
        <w:t xml:space="preserve">6. Los protegidos por el secreto comercial o industrial, así como los planes estratégicos de las empresas públicas de servicios públicos.  </w:t>
      </w:r>
    </w:p>
    <w:p w14:paraId="46D29718" w14:textId="77777777" w:rsidR="005D0331" w:rsidRPr="000201D9" w:rsidRDefault="005D0331" w:rsidP="005D0331">
      <w:pPr>
        <w:pStyle w:val="Textonotapie"/>
        <w:ind w:firstLine="708"/>
        <w:rPr>
          <w:rFonts w:ascii="Arial" w:hAnsi="Arial" w:cs="Arial"/>
          <w:sz w:val="16"/>
          <w:szCs w:val="16"/>
        </w:rPr>
      </w:pPr>
      <w:r>
        <w:rPr>
          <w:rFonts w:ascii="Arial" w:hAnsi="Arial" w:cs="Arial"/>
          <w:sz w:val="16"/>
          <w:szCs w:val="16"/>
        </w:rPr>
        <w:t>“</w:t>
      </w:r>
      <w:r w:rsidRPr="000201D9">
        <w:rPr>
          <w:rFonts w:ascii="Arial" w:hAnsi="Arial" w:cs="Arial"/>
          <w:sz w:val="16"/>
          <w:szCs w:val="16"/>
        </w:rPr>
        <w:t xml:space="preserve">7. Los amparados por el secreto profesional.  </w:t>
      </w:r>
    </w:p>
    <w:p w14:paraId="17FB60AB" w14:textId="77777777" w:rsidR="005D0331" w:rsidRPr="000201D9" w:rsidRDefault="005D0331" w:rsidP="005D0331">
      <w:pPr>
        <w:pStyle w:val="Textonotapie"/>
        <w:ind w:firstLine="708"/>
        <w:rPr>
          <w:rFonts w:ascii="Arial" w:hAnsi="Arial" w:cs="Arial"/>
          <w:sz w:val="16"/>
          <w:szCs w:val="16"/>
        </w:rPr>
      </w:pPr>
      <w:r>
        <w:rPr>
          <w:rFonts w:ascii="Arial" w:hAnsi="Arial" w:cs="Arial"/>
          <w:sz w:val="16"/>
          <w:szCs w:val="16"/>
        </w:rPr>
        <w:t>“</w:t>
      </w:r>
      <w:r w:rsidRPr="000201D9">
        <w:rPr>
          <w:rFonts w:ascii="Arial" w:hAnsi="Arial" w:cs="Arial"/>
          <w:sz w:val="16"/>
          <w:szCs w:val="16"/>
        </w:rPr>
        <w:t xml:space="preserve">8. Los datos genéticos humanos.  </w:t>
      </w:r>
    </w:p>
    <w:p w14:paraId="21B8431C" w14:textId="77777777" w:rsidR="005D0331" w:rsidRPr="000201D9" w:rsidRDefault="005D0331" w:rsidP="005D0331">
      <w:pPr>
        <w:pStyle w:val="Textonotapie"/>
        <w:ind w:firstLine="708"/>
        <w:rPr>
          <w:rFonts w:ascii="Arial" w:hAnsi="Arial" w:cs="Arial"/>
          <w:sz w:val="16"/>
          <w:szCs w:val="16"/>
        </w:rPr>
      </w:pPr>
      <w:r>
        <w:rPr>
          <w:rFonts w:ascii="Arial" w:hAnsi="Arial" w:cs="Arial"/>
          <w:sz w:val="16"/>
          <w:szCs w:val="16"/>
        </w:rPr>
        <w:t>“</w:t>
      </w:r>
      <w:r w:rsidRPr="000201D9">
        <w:rPr>
          <w:rFonts w:ascii="Arial" w:hAnsi="Arial" w:cs="Arial"/>
          <w:sz w:val="16"/>
          <w:szCs w:val="16"/>
        </w:rPr>
        <w:t>Parágrafo. Para efecto de la solicitud de información de carácter reservado, enunciada en los numerales 3, 5, 6 y 7 solo podrá ser solicitada por el titular de la información, por sus apoderados o por personas autorizadas con facultad expresa para acceder a esa información</w:t>
      </w:r>
      <w:r>
        <w:rPr>
          <w:rFonts w:ascii="Arial" w:hAnsi="Arial" w:cs="Arial"/>
          <w:sz w:val="16"/>
          <w:szCs w:val="16"/>
        </w:rPr>
        <w:t>”</w:t>
      </w:r>
      <w:r w:rsidRPr="000201D9">
        <w:rPr>
          <w:rFonts w:ascii="Arial" w:hAnsi="Arial" w:cs="Arial"/>
          <w:sz w:val="16"/>
          <w:szCs w:val="16"/>
        </w:rPr>
        <w:t xml:space="preserve">.  </w:t>
      </w:r>
    </w:p>
    <w:p w14:paraId="34F34B7C" w14:textId="77777777" w:rsidR="005D0331" w:rsidRPr="000201D9" w:rsidRDefault="005D0331" w:rsidP="005D0331">
      <w:pPr>
        <w:pStyle w:val="Textonotapie"/>
        <w:ind w:firstLine="708"/>
        <w:rPr>
          <w:rFonts w:ascii="Arial" w:hAnsi="Arial" w:cs="Arial"/>
          <w:sz w:val="16"/>
          <w:szCs w:val="16"/>
        </w:rPr>
      </w:pPr>
    </w:p>
  </w:footnote>
  <w:footnote w:id="17">
    <w:p w14:paraId="74A3A45E" w14:textId="77777777" w:rsidR="005D0331" w:rsidRPr="000201D9" w:rsidRDefault="005D0331" w:rsidP="005D0331">
      <w:pPr>
        <w:pStyle w:val="Textonotapie"/>
        <w:ind w:firstLine="708"/>
        <w:jc w:val="both"/>
        <w:rPr>
          <w:rFonts w:ascii="Arial" w:hAnsi="Arial" w:cs="Arial"/>
          <w:sz w:val="16"/>
          <w:szCs w:val="16"/>
        </w:rPr>
      </w:pPr>
      <w:r w:rsidRPr="000201D9">
        <w:rPr>
          <w:rStyle w:val="Refdenotaalpie"/>
          <w:rFonts w:ascii="Arial" w:hAnsi="Arial" w:cs="Arial"/>
        </w:rPr>
        <w:footnoteRef/>
      </w:r>
      <w:r w:rsidRPr="000201D9">
        <w:rPr>
          <w:rFonts w:ascii="Arial" w:hAnsi="Arial" w:cs="Arial"/>
          <w:sz w:val="16"/>
          <w:szCs w:val="16"/>
        </w:rPr>
        <w:t xml:space="preserve"> Resultan relevantes las consideraciones expuestas en el concepto C- 322 del 16 de junio de 2020 –radicado No. 2202013000005088–, sobre la aplicación del artículo 36 del CPACA en torno al manejo de información reservada en cuadernos separados: </w:t>
      </w:r>
      <w:r>
        <w:rPr>
          <w:rFonts w:ascii="Arial" w:hAnsi="Arial" w:cs="Arial"/>
          <w:sz w:val="16"/>
          <w:szCs w:val="16"/>
        </w:rPr>
        <w:t>“</w:t>
      </w:r>
      <w:r w:rsidRPr="000201D9">
        <w:rPr>
          <w:rFonts w:ascii="Arial" w:hAnsi="Arial" w:cs="Arial"/>
          <w:sz w:val="16"/>
          <w:szCs w:val="16"/>
        </w:rPr>
        <w:t>tratándose de información sometida a reserva, considera esta Agencia que el tratamiento que corresponde a esta información es el procedente a partir de lo dispuesto en el artículo 36 del CPACA sobre la formación y examen de expedientes, en el que se establece que los documentos sometidos a reserva deberán insertarse en un cuaderno separado del expediente principal, el cual no podrá ser consultado por la ciudadanía o interesados en general. El manejo de estos documentos conforme lo indica esta norma, permite guardar la reserva a la que están sometidos dichos documentos en el marco de procesos de contratación, sin que se vean lesionados los intereses de los titulares de la información o contrariadas las normas del régimen de protección de datos personales</w:t>
      </w:r>
      <w:r>
        <w:rPr>
          <w:rFonts w:ascii="Arial" w:hAnsi="Arial" w:cs="Arial"/>
          <w:sz w:val="16"/>
          <w:szCs w:val="16"/>
        </w:rPr>
        <w:t>”</w:t>
      </w:r>
      <w:r w:rsidRPr="000201D9">
        <w:rPr>
          <w:rFonts w:ascii="Arial" w:hAnsi="Arial" w:cs="Arial"/>
          <w:sz w:val="16"/>
          <w:szCs w:val="16"/>
        </w:rPr>
        <w:t>.</w:t>
      </w:r>
    </w:p>
    <w:p w14:paraId="44E59F90" w14:textId="77777777" w:rsidR="005D0331" w:rsidRPr="000201D9" w:rsidRDefault="005D0331" w:rsidP="005D0331">
      <w:pPr>
        <w:pStyle w:val="Textonotapie"/>
        <w:ind w:firstLine="708"/>
        <w:rPr>
          <w:rFonts w:ascii="Arial" w:hAnsi="Arial" w:cs="Arial"/>
          <w:sz w:val="16"/>
          <w:szCs w:val="16"/>
        </w:rPr>
      </w:pPr>
    </w:p>
  </w:footnote>
  <w:footnote w:id="18">
    <w:p w14:paraId="38272311" w14:textId="77777777" w:rsidR="005D0331" w:rsidRPr="00645B79" w:rsidRDefault="005D0331" w:rsidP="005D0331">
      <w:pPr>
        <w:pStyle w:val="Textonotapie"/>
        <w:ind w:firstLine="708"/>
        <w:jc w:val="both"/>
        <w:rPr>
          <w:rFonts w:ascii="Arial" w:hAnsi="Arial" w:cs="Arial"/>
          <w:sz w:val="19"/>
          <w:szCs w:val="19"/>
        </w:rPr>
      </w:pPr>
      <w:r w:rsidRPr="00645B79">
        <w:rPr>
          <w:rStyle w:val="Refdenotaalpie"/>
          <w:rFonts w:ascii="Arial" w:hAnsi="Arial" w:cs="Arial"/>
          <w:sz w:val="19"/>
          <w:szCs w:val="19"/>
        </w:rPr>
        <w:footnoteRef/>
      </w:r>
      <w:r w:rsidRPr="00645B79">
        <w:rPr>
          <w:rFonts w:ascii="Arial" w:hAnsi="Arial" w:cs="Arial"/>
          <w:sz w:val="19"/>
          <w:szCs w:val="19"/>
        </w:rPr>
        <w:t xml:space="preserve"> Decreto 4170 de 2011: «Artículo 3. Funciones: La Agencia Nacional de Contratación Pública –Colombia Compra Eficiente– ejercerá las siguientes funciones:</w:t>
      </w:r>
    </w:p>
    <w:p w14:paraId="50790F27" w14:textId="77777777" w:rsidR="005D0331" w:rsidRPr="00645B79" w:rsidRDefault="005D0331" w:rsidP="005D0331">
      <w:pPr>
        <w:pStyle w:val="Textonotapie"/>
        <w:ind w:firstLine="708"/>
        <w:jc w:val="both"/>
        <w:rPr>
          <w:rFonts w:ascii="Arial" w:hAnsi="Arial" w:cs="Arial"/>
          <w:sz w:val="19"/>
          <w:szCs w:val="19"/>
        </w:rPr>
      </w:pPr>
      <w:r w:rsidRPr="00645B79">
        <w:rPr>
          <w:rFonts w:ascii="Arial" w:hAnsi="Arial" w:cs="Arial"/>
          <w:sz w:val="19"/>
          <w:szCs w:val="19"/>
        </w:rPr>
        <w:t>[...]</w:t>
      </w:r>
    </w:p>
    <w:p w14:paraId="4F472C0D" w14:textId="77777777" w:rsidR="005D0331" w:rsidRPr="00645B79" w:rsidRDefault="005D0331" w:rsidP="005D0331">
      <w:pPr>
        <w:pStyle w:val="Textonotapie"/>
        <w:ind w:firstLine="708"/>
        <w:jc w:val="both"/>
        <w:rPr>
          <w:rFonts w:ascii="Arial" w:hAnsi="Arial" w:cs="Arial"/>
          <w:sz w:val="19"/>
          <w:szCs w:val="19"/>
        </w:rPr>
      </w:pPr>
    </w:p>
    <w:p w14:paraId="7871C33D" w14:textId="77777777" w:rsidR="005D0331" w:rsidRPr="00645B79" w:rsidRDefault="005D0331" w:rsidP="005D0331">
      <w:pPr>
        <w:pStyle w:val="Textonotapie"/>
        <w:ind w:firstLine="708"/>
        <w:jc w:val="both"/>
        <w:rPr>
          <w:rFonts w:ascii="Arial" w:hAnsi="Arial" w:cs="Arial"/>
          <w:sz w:val="19"/>
          <w:szCs w:val="19"/>
        </w:rPr>
      </w:pPr>
      <w:r w:rsidRPr="00645B79">
        <w:rPr>
          <w:rFonts w:ascii="Arial" w:hAnsi="Arial" w:cs="Arial"/>
          <w:sz w:val="19"/>
          <w:szCs w:val="19"/>
        </w:rPr>
        <w:t>»8. Desarrollar y administrar el Sistema Electrónico para la Contratación Pública (SECOP) o el que haga sus veces, y gestionar nuevos desarrollos tecnológicos en los asuntos de su competencia, teniendo en cuenta los parámetros fijados por el Consejo Directivo.</w:t>
      </w:r>
    </w:p>
    <w:p w14:paraId="3F5BF72B" w14:textId="77777777" w:rsidR="005D0331" w:rsidRPr="00645B79" w:rsidRDefault="005D0331" w:rsidP="005D0331">
      <w:pPr>
        <w:pStyle w:val="Textonotapie"/>
        <w:ind w:firstLine="708"/>
        <w:jc w:val="both"/>
        <w:rPr>
          <w:rFonts w:ascii="Arial" w:hAnsi="Arial" w:cs="Arial"/>
          <w:sz w:val="19"/>
          <w:szCs w:val="19"/>
        </w:rPr>
      </w:pPr>
      <w:r w:rsidRPr="00645B79">
        <w:rPr>
          <w:rFonts w:ascii="Arial" w:hAnsi="Arial" w:cs="Arial"/>
          <w:sz w:val="19"/>
          <w:szCs w:val="19"/>
        </w:rPr>
        <w:t>[...]».</w:t>
      </w:r>
    </w:p>
  </w:footnote>
  <w:footnote w:id="19">
    <w:p w14:paraId="4625F7C6" w14:textId="77777777" w:rsidR="005D0331" w:rsidRPr="00645B79" w:rsidRDefault="005D0331" w:rsidP="005D0331">
      <w:pPr>
        <w:pStyle w:val="Textonotapie"/>
        <w:ind w:firstLine="708"/>
        <w:jc w:val="both"/>
        <w:rPr>
          <w:rFonts w:ascii="Arial" w:hAnsi="Arial" w:cs="Arial"/>
          <w:sz w:val="19"/>
          <w:szCs w:val="19"/>
        </w:rPr>
      </w:pPr>
      <w:r w:rsidRPr="00645B79">
        <w:rPr>
          <w:rStyle w:val="Refdenotaalpie"/>
          <w:rFonts w:ascii="Arial" w:hAnsi="Arial" w:cs="Arial"/>
          <w:sz w:val="19"/>
          <w:szCs w:val="19"/>
        </w:rPr>
        <w:footnoteRef/>
      </w:r>
      <w:r w:rsidRPr="00645B79">
        <w:rPr>
          <w:rFonts w:ascii="Arial" w:hAnsi="Arial" w:cs="Arial"/>
          <w:sz w:val="19"/>
          <w:szCs w:val="19"/>
        </w:rPr>
        <w:t xml:space="preserve"> El documento se puede consultar en el siguiente link: </w:t>
      </w:r>
      <w:hyperlink r:id="rId1" w:history="1">
        <w:r w:rsidRPr="00645B79">
          <w:rPr>
            <w:rStyle w:val="Hipervnculo"/>
            <w:rFonts w:ascii="Arial" w:hAnsi="Arial" w:cs="Arial"/>
            <w:sz w:val="19"/>
            <w:szCs w:val="19"/>
          </w:rPr>
          <w:t>https://www.colombiacompra.gov.co/sites/cce_public/files/cce_documentos/concepto_firma_y_contrato_electronico_0.pdf</w:t>
        </w:r>
      </w:hyperlink>
      <w:r w:rsidRPr="00645B79">
        <w:rPr>
          <w:rFonts w:ascii="Arial" w:hAnsi="Arial" w:cs="Arial"/>
          <w:sz w:val="19"/>
          <w:szCs w:val="19"/>
        </w:rPr>
        <w:t>. Consultado el 7 de mayo de 2020.</w:t>
      </w:r>
    </w:p>
  </w:footnote>
  <w:footnote w:id="20">
    <w:p w14:paraId="399F47E3" w14:textId="77777777" w:rsidR="005D0331" w:rsidRPr="008B59F0" w:rsidRDefault="005D0331" w:rsidP="005D0331">
      <w:pPr>
        <w:pStyle w:val="Textonotapie"/>
        <w:ind w:firstLine="708"/>
        <w:jc w:val="both"/>
        <w:rPr>
          <w:rFonts w:ascii="Arial" w:hAnsi="Arial" w:cs="Arial"/>
          <w:sz w:val="14"/>
          <w:szCs w:val="14"/>
          <w:lang w:val="es-CO"/>
        </w:rPr>
      </w:pPr>
      <w:r w:rsidRPr="008B59F0">
        <w:rPr>
          <w:rStyle w:val="Refdenotaalpie"/>
          <w:rFonts w:ascii="Arial" w:hAnsi="Arial" w:cs="Arial"/>
          <w:sz w:val="14"/>
          <w:szCs w:val="14"/>
        </w:rPr>
        <w:footnoteRef/>
      </w:r>
      <w:r w:rsidRPr="008B59F0">
        <w:rPr>
          <w:rFonts w:ascii="Arial" w:hAnsi="Arial" w:cs="Arial"/>
          <w:sz w:val="14"/>
          <w:szCs w:val="14"/>
        </w:rPr>
        <w:t xml:space="preserve"> </w:t>
      </w:r>
      <w:r w:rsidRPr="008B59F0">
        <w:rPr>
          <w:rFonts w:ascii="Arial" w:hAnsi="Arial" w:cs="Arial"/>
          <w:color w:val="000000" w:themeColor="text1"/>
          <w:sz w:val="14"/>
          <w:szCs w:val="14"/>
        </w:rPr>
        <w:t>El artículo 40 de la Ley 80 de 1993 dispone que los contratos no podrán adicionarse en más del 50% de su valor inicial, expresado en SMLMV.</w:t>
      </w:r>
    </w:p>
    <w:p w14:paraId="2E95AAF4" w14:textId="77777777" w:rsidR="005D0331" w:rsidRPr="008B59F0" w:rsidRDefault="005D0331" w:rsidP="005D0331">
      <w:pPr>
        <w:pStyle w:val="Textonotapie"/>
        <w:ind w:firstLine="708"/>
        <w:jc w:val="both"/>
        <w:rPr>
          <w:rFonts w:ascii="Arial" w:hAnsi="Arial" w:cs="Arial"/>
          <w:sz w:val="14"/>
          <w:szCs w:val="14"/>
          <w:lang w:val="es-CO"/>
        </w:rPr>
      </w:pPr>
    </w:p>
  </w:footnote>
  <w:footnote w:id="21">
    <w:p w14:paraId="3ECC242A" w14:textId="77777777" w:rsidR="005D0331" w:rsidRPr="008B59F0" w:rsidRDefault="005D0331" w:rsidP="005D0331">
      <w:pPr>
        <w:pStyle w:val="Textonotapie"/>
        <w:ind w:firstLine="708"/>
        <w:jc w:val="both"/>
        <w:rPr>
          <w:rFonts w:ascii="Arial" w:hAnsi="Arial" w:cs="Arial"/>
          <w:color w:val="000000" w:themeColor="text1"/>
          <w:sz w:val="14"/>
          <w:szCs w:val="14"/>
        </w:rPr>
      </w:pPr>
      <w:r w:rsidRPr="008B59F0">
        <w:rPr>
          <w:rStyle w:val="Refdenotaalpie"/>
          <w:rFonts w:ascii="Arial" w:hAnsi="Arial" w:cs="Arial"/>
          <w:sz w:val="14"/>
          <w:szCs w:val="14"/>
        </w:rPr>
        <w:footnoteRef/>
      </w:r>
      <w:r w:rsidRPr="008B59F0">
        <w:rPr>
          <w:rFonts w:ascii="Arial" w:hAnsi="Arial" w:cs="Arial"/>
          <w:sz w:val="14"/>
          <w:szCs w:val="14"/>
        </w:rPr>
        <w:t xml:space="preserve"> </w:t>
      </w:r>
      <w:r w:rsidRPr="008B59F0">
        <w:rPr>
          <w:rFonts w:ascii="Arial" w:hAnsi="Arial" w:cs="Arial"/>
          <w:color w:val="000000" w:themeColor="text1"/>
          <w:sz w:val="14"/>
          <w:szCs w:val="14"/>
        </w:rPr>
        <w:t xml:space="preserve">Sobre la naturaleza instrumental del contrato para alcanzar los fines propios del estado social de derecho, ver la sentencia C-932 de </w:t>
      </w:r>
      <w:smartTag w:uri="urn:schemas-microsoft-com:office:smarttags" w:element="metricconverter">
        <w:smartTagPr>
          <w:attr w:name="ProductID" w:val="2007, M"/>
        </w:smartTagPr>
        <w:r w:rsidRPr="008B59F0">
          <w:rPr>
            <w:rFonts w:ascii="Arial" w:hAnsi="Arial" w:cs="Arial"/>
            <w:color w:val="000000" w:themeColor="text1"/>
            <w:sz w:val="14"/>
            <w:szCs w:val="14"/>
          </w:rPr>
          <w:t>2007, M</w:t>
        </w:r>
      </w:smartTag>
      <w:r w:rsidRPr="008B59F0">
        <w:rPr>
          <w:rFonts w:ascii="Arial" w:hAnsi="Arial" w:cs="Arial"/>
          <w:color w:val="000000" w:themeColor="text1"/>
          <w:sz w:val="14"/>
          <w:szCs w:val="14"/>
        </w:rPr>
        <w:t>.P. Marco Gerardo Monroy Cabra.</w:t>
      </w:r>
    </w:p>
    <w:p w14:paraId="38942AB6" w14:textId="77777777" w:rsidR="005D0331" w:rsidRPr="008B59F0" w:rsidRDefault="005D0331" w:rsidP="005D0331">
      <w:pPr>
        <w:pStyle w:val="Textonotapie"/>
        <w:ind w:firstLine="708"/>
        <w:jc w:val="both"/>
        <w:rPr>
          <w:rFonts w:ascii="Arial" w:hAnsi="Arial" w:cs="Arial"/>
          <w:sz w:val="14"/>
          <w:szCs w:val="14"/>
        </w:rPr>
      </w:pPr>
    </w:p>
  </w:footnote>
  <w:footnote w:id="22">
    <w:p w14:paraId="27375E96" w14:textId="77777777" w:rsidR="005D0331" w:rsidRPr="008B59F0" w:rsidRDefault="005D0331" w:rsidP="005D0331">
      <w:pPr>
        <w:pStyle w:val="Textonotapie"/>
        <w:ind w:firstLine="708"/>
        <w:jc w:val="both"/>
        <w:rPr>
          <w:rFonts w:ascii="Arial" w:hAnsi="Arial" w:cs="Arial"/>
          <w:sz w:val="14"/>
          <w:szCs w:val="14"/>
        </w:rPr>
      </w:pPr>
      <w:r w:rsidRPr="008B59F0">
        <w:rPr>
          <w:rStyle w:val="Refdenotaalpie"/>
          <w:rFonts w:ascii="Arial" w:hAnsi="Arial" w:cs="Arial"/>
          <w:sz w:val="14"/>
          <w:szCs w:val="14"/>
        </w:rPr>
        <w:footnoteRef/>
      </w:r>
      <w:r w:rsidRPr="008B59F0">
        <w:rPr>
          <w:rFonts w:ascii="Arial" w:hAnsi="Arial" w:cs="Arial"/>
          <w:sz w:val="14"/>
          <w:szCs w:val="14"/>
        </w:rPr>
        <w:t xml:space="preserve"> M.P. Clara Inés Vargas Hernández.</w:t>
      </w:r>
    </w:p>
    <w:p w14:paraId="12346B80" w14:textId="77777777" w:rsidR="005D0331" w:rsidRPr="008B59F0" w:rsidRDefault="005D0331" w:rsidP="005D0331">
      <w:pPr>
        <w:pStyle w:val="Textonotapie"/>
        <w:ind w:firstLine="708"/>
        <w:jc w:val="both"/>
        <w:rPr>
          <w:rFonts w:ascii="Arial" w:hAnsi="Arial" w:cs="Arial"/>
          <w:sz w:val="14"/>
          <w:szCs w:val="14"/>
        </w:rPr>
      </w:pPr>
    </w:p>
  </w:footnote>
  <w:footnote w:id="23">
    <w:p w14:paraId="000CBA29" w14:textId="77777777" w:rsidR="005D0331" w:rsidRPr="008B59F0" w:rsidRDefault="005D0331" w:rsidP="005D0331">
      <w:pPr>
        <w:pStyle w:val="Textonotapie"/>
        <w:ind w:firstLine="708"/>
        <w:jc w:val="both"/>
        <w:rPr>
          <w:rFonts w:ascii="Arial" w:hAnsi="Arial" w:cs="Arial"/>
          <w:sz w:val="14"/>
          <w:szCs w:val="14"/>
        </w:rPr>
      </w:pPr>
      <w:r w:rsidRPr="008B59F0">
        <w:rPr>
          <w:rStyle w:val="Refdenotaalpie"/>
          <w:rFonts w:ascii="Arial" w:hAnsi="Arial" w:cs="Arial"/>
          <w:sz w:val="14"/>
          <w:szCs w:val="14"/>
        </w:rPr>
        <w:footnoteRef/>
      </w:r>
      <w:r w:rsidRPr="008B59F0">
        <w:rPr>
          <w:rFonts w:ascii="Arial" w:hAnsi="Arial" w:cs="Arial"/>
          <w:sz w:val="14"/>
          <w:szCs w:val="14"/>
        </w:rPr>
        <w:t xml:space="preserve"> </w:t>
      </w:r>
      <w:r w:rsidRPr="008B59F0">
        <w:rPr>
          <w:rFonts w:ascii="Arial" w:hAnsi="Arial" w:cs="Arial"/>
          <w:color w:val="000000" w:themeColor="text1"/>
          <w:sz w:val="14"/>
          <w:szCs w:val="14"/>
        </w:rPr>
        <w:t xml:space="preserve">Ver también la sentencia C-068 de </w:t>
      </w:r>
      <w:smartTag w:uri="urn:schemas-microsoft-com:office:smarttags" w:element="metricconverter">
        <w:smartTagPr>
          <w:attr w:name="ProductID" w:val="2009, M"/>
        </w:smartTagPr>
        <w:r w:rsidRPr="008B59F0">
          <w:rPr>
            <w:rFonts w:ascii="Arial" w:hAnsi="Arial" w:cs="Arial"/>
            <w:color w:val="000000" w:themeColor="text1"/>
            <w:sz w:val="14"/>
            <w:szCs w:val="14"/>
          </w:rPr>
          <w:t>2009, M</w:t>
        </w:r>
      </w:smartTag>
      <w:r w:rsidRPr="008B59F0">
        <w:rPr>
          <w:rFonts w:ascii="Arial" w:hAnsi="Arial" w:cs="Arial"/>
          <w:color w:val="000000" w:themeColor="text1"/>
          <w:sz w:val="14"/>
          <w:szCs w:val="14"/>
        </w:rPr>
        <w:t>.P. Mauricio González Cuervo, sobre la constitucional de la posibilidad de prorrogar los contratos de concesión portuaria (artículo 8º  de la ley 1º de 1991).</w:t>
      </w:r>
    </w:p>
  </w:footnote>
  <w:footnote w:id="24">
    <w:p w14:paraId="034E7444" w14:textId="77777777" w:rsidR="005D0331" w:rsidRPr="008B59F0" w:rsidRDefault="005D0331" w:rsidP="005D0331">
      <w:pPr>
        <w:pStyle w:val="Textonotapie"/>
        <w:ind w:firstLine="708"/>
        <w:jc w:val="both"/>
        <w:rPr>
          <w:rFonts w:ascii="Arial" w:hAnsi="Arial" w:cs="Arial"/>
          <w:sz w:val="14"/>
          <w:szCs w:val="14"/>
        </w:rPr>
      </w:pPr>
      <w:r w:rsidRPr="008B59F0">
        <w:rPr>
          <w:rStyle w:val="Refdenotaalpie"/>
          <w:rFonts w:ascii="Arial" w:hAnsi="Arial" w:cs="Arial"/>
          <w:sz w:val="14"/>
          <w:szCs w:val="14"/>
        </w:rPr>
        <w:footnoteRef/>
      </w:r>
      <w:r w:rsidRPr="008B59F0">
        <w:rPr>
          <w:rFonts w:ascii="Arial" w:hAnsi="Arial" w:cs="Arial"/>
          <w:sz w:val="14"/>
          <w:szCs w:val="14"/>
        </w:rPr>
        <w:t xml:space="preserve"> </w:t>
      </w:r>
      <w:r w:rsidRPr="008B59F0">
        <w:rPr>
          <w:rFonts w:ascii="Arial" w:hAnsi="Arial" w:cs="Arial"/>
          <w:color w:val="000000" w:themeColor="text1"/>
          <w:sz w:val="14"/>
          <w:szCs w:val="14"/>
        </w:rPr>
        <w:t xml:space="preserve">Cfr. Consejo de Estado, Sala de Consulta y Servicio Civil, concepto del 13 de agosto de 2009, rad. </w:t>
      </w:r>
      <w:smartTag w:uri="urn:schemas-microsoft-com:office:smarttags" w:element="metricconverter">
        <w:smartTagPr>
          <w:attr w:name="ProductID" w:val="1.952, C"/>
        </w:smartTagPr>
        <w:r w:rsidRPr="008B59F0">
          <w:rPr>
            <w:rFonts w:ascii="Arial" w:hAnsi="Arial" w:cs="Arial"/>
            <w:color w:val="000000" w:themeColor="text1"/>
            <w:sz w:val="14"/>
            <w:szCs w:val="14"/>
          </w:rPr>
          <w:t>1.952, C</w:t>
        </w:r>
      </w:smartTag>
      <w:r w:rsidRPr="008B59F0">
        <w:rPr>
          <w:rFonts w:ascii="Arial" w:hAnsi="Arial" w:cs="Arial"/>
          <w:color w:val="000000" w:themeColor="text1"/>
          <w:sz w:val="14"/>
          <w:szCs w:val="14"/>
        </w:rPr>
        <w:t>.P. Enrique José Arboleda Perdomo. En este concepto la Sala de Consulta se ocupó, entre otras preguntas, de la siguiente formulada por el Ministerio de Transporte: «1. ¿Bajo el supuesto que en un contrato de concesión existan razones de conveniencia que permitan una mejora del objeto contratado y una mejor prestación del servicio público encomendado a la entidad estatal contratante, es posible, por fuera de lo dispuesto en el artículo 16 de la Ley 80 de 1993 y en caso de que las partes hubieran pactado una modificación de común acuerdo desde la licitación, acudir a tal previsión y modificar el contrato, teniendo en cuenta, además, que con la modificación se busca un efectivo cumplimiento de los fines estatales y una eficiente prestación de los servicios públicos?».</w:t>
      </w:r>
    </w:p>
  </w:footnote>
  <w:footnote w:id="25">
    <w:p w14:paraId="73CEFF1C" w14:textId="77777777" w:rsidR="005D0331" w:rsidRPr="008B59F0" w:rsidRDefault="005D0331" w:rsidP="005D0331">
      <w:pPr>
        <w:pStyle w:val="Textonotapie"/>
        <w:ind w:firstLine="708"/>
        <w:jc w:val="both"/>
        <w:rPr>
          <w:rFonts w:ascii="Arial" w:hAnsi="Arial" w:cs="Arial"/>
          <w:bCs/>
          <w:iCs/>
          <w:sz w:val="14"/>
          <w:szCs w:val="14"/>
          <w:lang w:val="es-ES_tradnl"/>
        </w:rPr>
      </w:pPr>
      <w:r w:rsidRPr="008B59F0">
        <w:rPr>
          <w:rStyle w:val="Refdenotaalpie"/>
          <w:rFonts w:ascii="Arial" w:hAnsi="Arial" w:cs="Arial"/>
          <w:sz w:val="14"/>
          <w:szCs w:val="14"/>
        </w:rPr>
        <w:footnoteRef/>
      </w:r>
      <w:r w:rsidRPr="008B59F0">
        <w:rPr>
          <w:rFonts w:ascii="Arial" w:hAnsi="Arial" w:cs="Arial"/>
          <w:sz w:val="14"/>
          <w:szCs w:val="14"/>
        </w:rPr>
        <w:t xml:space="preserve"> </w:t>
      </w:r>
      <w:r w:rsidRPr="008B59F0">
        <w:rPr>
          <w:rFonts w:ascii="Arial" w:hAnsi="Arial" w:cs="Arial"/>
          <w:color w:val="000000" w:themeColor="text1"/>
          <w:sz w:val="14"/>
          <w:szCs w:val="14"/>
        </w:rPr>
        <w:t>Los acuerdos de voluntades que no cumplan con esta formalidad se consideran inexistentes, por lo tanto, tal como lo ha planteado el Consejo de Estado en el Concepto 2263 del 17 de marzo del 2017,  «las eventuales reclamaciones contractuales que pueda presentar un particular sobre prestaciones realizadas, sin la previa modificación del mismo, están llamadas al fracaso, pues la Administración no puede reconocer situaciones de hecho u obligaciones dinerarias con cargo a un contrato que estipula obligaciones distintas».</w:t>
      </w:r>
    </w:p>
    <w:p w14:paraId="671DDBAF" w14:textId="77777777" w:rsidR="005D0331" w:rsidRPr="008B59F0" w:rsidRDefault="005D0331" w:rsidP="005D0331">
      <w:pPr>
        <w:pStyle w:val="Textonotapie"/>
        <w:ind w:firstLine="708"/>
        <w:jc w:val="both"/>
        <w:rPr>
          <w:rFonts w:ascii="Arial" w:hAnsi="Arial" w:cs="Arial"/>
          <w:sz w:val="14"/>
          <w:szCs w:val="14"/>
          <w:lang w:val="es-CO"/>
        </w:rPr>
      </w:pPr>
    </w:p>
  </w:footnote>
  <w:footnote w:id="26">
    <w:p w14:paraId="7F81C2C7" w14:textId="77777777" w:rsidR="005D0331" w:rsidRPr="008B59F0" w:rsidRDefault="005D0331" w:rsidP="005D0331">
      <w:pPr>
        <w:pStyle w:val="Textonotapie"/>
        <w:ind w:firstLine="708"/>
        <w:jc w:val="both"/>
        <w:rPr>
          <w:rFonts w:ascii="Arial" w:hAnsi="Arial" w:cs="Arial"/>
          <w:sz w:val="14"/>
          <w:szCs w:val="14"/>
          <w:lang w:val="es-CO"/>
        </w:rPr>
      </w:pPr>
      <w:r w:rsidRPr="008B59F0">
        <w:rPr>
          <w:rStyle w:val="Refdenotaalpie"/>
          <w:rFonts w:ascii="Arial" w:hAnsi="Arial" w:cs="Arial"/>
          <w:sz w:val="14"/>
          <w:szCs w:val="14"/>
        </w:rPr>
        <w:footnoteRef/>
      </w:r>
      <w:r w:rsidRPr="008B59F0">
        <w:rPr>
          <w:rFonts w:ascii="Arial" w:hAnsi="Arial" w:cs="Arial"/>
          <w:sz w:val="14"/>
          <w:szCs w:val="14"/>
        </w:rPr>
        <w:t xml:space="preserve"> Ibí</w:t>
      </w:r>
      <w:r w:rsidRPr="008B59F0">
        <w:rPr>
          <w:rFonts w:ascii="Arial" w:hAnsi="Arial" w:cs="Arial"/>
          <w:color w:val="000000" w:themeColor="text1"/>
          <w:sz w:val="14"/>
          <w:szCs w:val="14"/>
        </w:rPr>
        <w:t>dem</w:t>
      </w:r>
    </w:p>
  </w:footnote>
  <w:footnote w:id="27">
    <w:p w14:paraId="301A5650" w14:textId="77777777" w:rsidR="005D0331" w:rsidRPr="008B59F0" w:rsidRDefault="005D0331" w:rsidP="005D0331">
      <w:pPr>
        <w:pStyle w:val="Textonotapie"/>
        <w:ind w:firstLine="708"/>
        <w:jc w:val="both"/>
        <w:rPr>
          <w:rFonts w:ascii="Arial" w:hAnsi="Arial" w:cs="Arial"/>
          <w:sz w:val="14"/>
          <w:szCs w:val="14"/>
        </w:rPr>
      </w:pPr>
      <w:r w:rsidRPr="008B59F0">
        <w:rPr>
          <w:rStyle w:val="Refdenotaalpie"/>
          <w:rFonts w:ascii="Arial" w:hAnsi="Arial" w:cs="Arial"/>
          <w:sz w:val="14"/>
          <w:szCs w:val="14"/>
        </w:rPr>
        <w:footnoteRef/>
      </w:r>
      <w:r w:rsidRPr="008B59F0">
        <w:rPr>
          <w:rFonts w:ascii="Arial" w:hAnsi="Arial" w:cs="Arial"/>
          <w:sz w:val="14"/>
          <w:szCs w:val="14"/>
        </w:rPr>
        <w:t xml:space="preserve"> </w:t>
      </w:r>
      <w:r w:rsidRPr="008B59F0">
        <w:rPr>
          <w:rFonts w:ascii="Arial" w:hAnsi="Arial" w:cs="Arial"/>
          <w:color w:val="000000" w:themeColor="text1"/>
          <w:sz w:val="14"/>
          <w:szCs w:val="14"/>
        </w:rPr>
        <w:t>Cfr. DAVILA VINUEZA Luis Guillermo. Régimen Jurídico de la contratación estatal. Bogotá: Editorial Legis, 2001, p. 387.</w:t>
      </w:r>
    </w:p>
    <w:p w14:paraId="7D6E0503" w14:textId="77777777" w:rsidR="005D0331" w:rsidRPr="008B59F0" w:rsidRDefault="005D0331" w:rsidP="005D0331">
      <w:pPr>
        <w:pStyle w:val="Textonotapie"/>
        <w:ind w:firstLine="708"/>
        <w:jc w:val="both"/>
        <w:rPr>
          <w:rFonts w:ascii="Arial" w:hAnsi="Arial" w:cs="Arial"/>
          <w:sz w:val="14"/>
          <w:szCs w:val="14"/>
          <w:lang w:val="es-CO"/>
        </w:rPr>
      </w:pPr>
    </w:p>
  </w:footnote>
  <w:footnote w:id="28">
    <w:p w14:paraId="00C34F03" w14:textId="77777777" w:rsidR="005D0331" w:rsidRPr="008B59F0" w:rsidRDefault="005D0331" w:rsidP="005D0331">
      <w:pPr>
        <w:pStyle w:val="Textonotapie"/>
        <w:ind w:firstLine="708"/>
        <w:jc w:val="both"/>
        <w:rPr>
          <w:rFonts w:ascii="Arial" w:hAnsi="Arial" w:cs="Arial"/>
          <w:sz w:val="14"/>
          <w:szCs w:val="14"/>
          <w:lang w:val="es-CO"/>
        </w:rPr>
      </w:pPr>
      <w:r w:rsidRPr="008B59F0">
        <w:rPr>
          <w:rStyle w:val="Refdenotaalpie"/>
          <w:rFonts w:ascii="Arial" w:hAnsi="Arial" w:cs="Arial"/>
          <w:sz w:val="14"/>
          <w:szCs w:val="14"/>
        </w:rPr>
        <w:footnoteRef/>
      </w:r>
      <w:r w:rsidRPr="008B59F0">
        <w:rPr>
          <w:rFonts w:ascii="Arial" w:hAnsi="Arial" w:cs="Arial"/>
          <w:sz w:val="14"/>
          <w:szCs w:val="14"/>
        </w:rPr>
        <w:t xml:space="preserve"> </w:t>
      </w:r>
      <w:r w:rsidRPr="008B59F0">
        <w:rPr>
          <w:rFonts w:ascii="Arial" w:hAnsi="Arial" w:cs="Arial"/>
          <w:color w:val="000000" w:themeColor="text1"/>
          <w:sz w:val="14"/>
          <w:szCs w:val="14"/>
        </w:rPr>
        <w:t xml:space="preserve">Sobre el particular resultan pertinentes las consideraciones efectuadas en el mismo sentido por la Sala de Consulta y Servicio Civil del Consejo de Estado en el concepto del 13 de agosto de 2009, rad. </w:t>
      </w:r>
      <w:smartTag w:uri="urn:schemas-microsoft-com:office:smarttags" w:element="metricconverter">
        <w:smartTagPr>
          <w:attr w:name="ProductID" w:val="1.952, C"/>
        </w:smartTagPr>
        <w:r w:rsidRPr="008B59F0">
          <w:rPr>
            <w:rFonts w:ascii="Arial" w:hAnsi="Arial" w:cs="Arial"/>
            <w:color w:val="000000" w:themeColor="text1"/>
            <w:sz w:val="14"/>
            <w:szCs w:val="14"/>
          </w:rPr>
          <w:t>1.952, C</w:t>
        </w:r>
      </w:smartTag>
      <w:r w:rsidRPr="008B59F0">
        <w:rPr>
          <w:rFonts w:ascii="Arial" w:hAnsi="Arial" w:cs="Arial"/>
          <w:color w:val="000000" w:themeColor="text1"/>
          <w:sz w:val="14"/>
          <w:szCs w:val="14"/>
        </w:rPr>
        <w:t>.P. Enrique José Arboleda Perdomo y por la Corte Constitucional en la sentencia C-300 de 2012.</w:t>
      </w:r>
      <w:r w:rsidRPr="008B59F0">
        <w:rPr>
          <w:rFonts w:ascii="Arial" w:eastAsia="Times New Roman" w:hAnsi="Arial" w:cs="Arial"/>
          <w:bCs/>
          <w:sz w:val="14"/>
          <w:szCs w:val="14"/>
          <w:lang w:val="es-ES" w:eastAsia="es-ES"/>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88EC8E" w14:textId="77777777" w:rsidR="00AF3A32" w:rsidRDefault="00EA591E">
    <w:pPr>
      <w:pStyle w:val="Encabezado"/>
    </w:pPr>
    <w:r>
      <w:rPr>
        <w:noProof/>
      </w:rPr>
      <w:drawing>
        <wp:anchor distT="0" distB="0" distL="114300" distR="114300" simplePos="0" relativeHeight="251659264" behindDoc="1" locked="0" layoutInCell="1" allowOverlap="1" wp14:anchorId="4E995756" wp14:editId="6BB8669D">
          <wp:simplePos x="0" y="0"/>
          <wp:positionH relativeFrom="margin">
            <wp:align>right</wp:align>
          </wp:positionH>
          <wp:positionV relativeFrom="margin">
            <wp:posOffset>-1135380</wp:posOffset>
          </wp:positionV>
          <wp:extent cx="1757045" cy="628650"/>
          <wp:effectExtent l="0" t="0" r="0" b="0"/>
          <wp:wrapNone/>
          <wp:docPr id="864305913" name="Imagen 864305913"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305913" name="Imagen 7" descr="Imagen que contiene 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757045" cy="628650"/>
                  </a:xfrm>
                  <a:prstGeom prst="rect">
                    <a:avLst/>
                  </a:prstGeom>
                </pic:spPr>
              </pic:pic>
            </a:graphicData>
          </a:graphic>
          <wp14:sizeRelH relativeFrom="margin">
            <wp14:pctWidth>0</wp14:pctWidth>
          </wp14:sizeRelH>
          <wp14:sizeRelV relativeFrom="margin">
            <wp14:pctHeight>0</wp14:pctHeight>
          </wp14:sizeRelV>
        </wp:anchor>
      </w:drawing>
    </w:r>
    <w:r w:rsidRPr="00852E0B">
      <w:rPr>
        <w:rFonts w:ascii="Geomanist Bold" w:hAnsi="Geomanist Bold"/>
        <w:b/>
        <w:bCs/>
        <w:noProof/>
        <w:color w:val="46589C"/>
        <w:sz w:val="24"/>
        <w:szCs w:val="24"/>
      </w:rPr>
      <w:drawing>
        <wp:anchor distT="0" distB="0" distL="114300" distR="114300" simplePos="0" relativeHeight="251663360" behindDoc="0" locked="0" layoutInCell="1" allowOverlap="1" wp14:anchorId="1C459637" wp14:editId="34A07527">
          <wp:simplePos x="0" y="0"/>
          <wp:positionH relativeFrom="page">
            <wp:posOffset>7338060</wp:posOffset>
          </wp:positionH>
          <wp:positionV relativeFrom="margin">
            <wp:posOffset>-1644650</wp:posOffset>
          </wp:positionV>
          <wp:extent cx="665480" cy="3098800"/>
          <wp:effectExtent l="0" t="0" r="1270" b="6350"/>
          <wp:wrapThrough wrapText="bothSides">
            <wp:wrapPolygon edited="0">
              <wp:start x="4947" y="0"/>
              <wp:lineTo x="0" y="1328"/>
              <wp:lineTo x="0" y="1593"/>
              <wp:lineTo x="2473" y="2125"/>
              <wp:lineTo x="0" y="464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644356580" name="Imagen 1644356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1312" behindDoc="0" locked="0" layoutInCell="1" allowOverlap="1" wp14:anchorId="0ABB235A" wp14:editId="4847E06D">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0" locked="0" layoutInCell="1" allowOverlap="1" wp14:anchorId="0879A04D" wp14:editId="3D075043">
          <wp:simplePos x="0" y="0"/>
          <wp:positionH relativeFrom="margin">
            <wp:align>left</wp:align>
          </wp:positionH>
          <wp:positionV relativeFrom="paragraph">
            <wp:posOffset>-77470</wp:posOffset>
          </wp:positionV>
          <wp:extent cx="1399540" cy="485775"/>
          <wp:effectExtent l="0" t="0" r="0" b="0"/>
          <wp:wrapThrough wrapText="bothSides">
            <wp:wrapPolygon edited="0">
              <wp:start x="0" y="0"/>
              <wp:lineTo x="0" y="20329"/>
              <wp:lineTo x="21169" y="20329"/>
              <wp:lineTo x="21169" y="0"/>
              <wp:lineTo x="0" y="0"/>
            </wp:wrapPolygon>
          </wp:wrapThrough>
          <wp:docPr id="910553655" name="Imagen 910553655"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553655" name="Imagen 6" descr="Un dibujo con letras&#10;&#10;Descripción generada automáticamente con confianza media"/>
                  <pic:cNvPicPr/>
                </pic:nvPicPr>
                <pic:blipFill>
                  <a:blip r:embed="rId3">
                    <a:extLst>
                      <a:ext uri="{28A0092B-C50C-407E-A947-70E740481C1C}">
                        <a14:useLocalDpi xmlns:a14="http://schemas.microsoft.com/office/drawing/2010/main" val="0"/>
                      </a:ext>
                    </a:extLst>
                  </a:blip>
                  <a:stretch>
                    <a:fillRect/>
                  </a:stretch>
                </pic:blipFill>
                <pic:spPr>
                  <a:xfrm>
                    <a:off x="0" y="0"/>
                    <a:ext cx="1405747" cy="487770"/>
                  </a:xfrm>
                  <a:prstGeom prst="rect">
                    <a:avLst/>
                  </a:prstGeom>
                </pic:spPr>
              </pic:pic>
            </a:graphicData>
          </a:graphic>
          <wp14:sizeRelH relativeFrom="page">
            <wp14:pctWidth>0</wp14:pctWidth>
          </wp14:sizeRelH>
          <wp14:sizeRelV relativeFrom="page">
            <wp14:pctHeight>0</wp14:pctHeight>
          </wp14:sizeRelV>
        </wp:anchor>
      </w:drawing>
    </w:r>
  </w:p>
  <w:p w14:paraId="61E7CB11" w14:textId="77777777" w:rsidR="00AF3A32" w:rsidRDefault="00AF3A32">
    <w:pPr>
      <w:pStyle w:val="Encabezado"/>
    </w:pPr>
  </w:p>
  <w:p w14:paraId="14662FF5" w14:textId="77777777" w:rsidR="00AF3A32" w:rsidRDefault="00AF3A32">
    <w:pPr>
      <w:pStyle w:val="Encabezado"/>
    </w:pPr>
  </w:p>
  <w:p w14:paraId="2F4A893F" w14:textId="77777777" w:rsidR="00AF3A32" w:rsidRPr="004A305D" w:rsidRDefault="00EA591E" w:rsidP="004A305D">
    <w:pPr>
      <w:spacing w:after="0"/>
      <w:rPr>
        <w:rFonts w:ascii="Century Gothic" w:hAnsi="Century Gothic"/>
        <w:color w:val="002060"/>
        <w:sz w:val="16"/>
        <w:szCs w:val="16"/>
      </w:rPr>
    </w:pPr>
    <w:r w:rsidRPr="004A305D">
      <w:rPr>
        <w:rFonts w:ascii="Century Gothic" w:hAnsi="Century Gothic"/>
        <w:color w:val="002060"/>
        <w:sz w:val="16"/>
        <w:szCs w:val="16"/>
      </w:rPr>
      <w:t>FORMATO PQRSD</w:t>
    </w:r>
  </w:p>
  <w:p w14:paraId="597FF50D" w14:textId="77777777" w:rsidR="00AF3A32" w:rsidRPr="004A305D" w:rsidRDefault="00EA591E" w:rsidP="004A305D">
    <w:pPr>
      <w:pBdr>
        <w:top w:val="nil"/>
        <w:left w:val="nil"/>
        <w:bottom w:val="nil"/>
        <w:right w:val="nil"/>
        <w:between w:val="nil"/>
      </w:pBdr>
      <w:tabs>
        <w:tab w:val="center" w:pos="4419"/>
        <w:tab w:val="right" w:pos="8838"/>
        <w:tab w:val="center" w:pos="5400"/>
      </w:tabs>
      <w:spacing w:after="0"/>
      <w:rPr>
        <w:rFonts w:ascii="Century Gothic" w:eastAsia="Geo" w:hAnsi="Century Gothic" w:cs="Geo"/>
        <w:b/>
        <w:color w:val="002060"/>
        <w:sz w:val="16"/>
        <w:szCs w:val="16"/>
        <w:lang w:eastAsia="es-CO"/>
      </w:rPr>
    </w:pP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13</w:t>
    </w:r>
  </w:p>
  <w:p w14:paraId="1CE8D249" w14:textId="77777777" w:rsidR="00AF3A32" w:rsidRPr="004A305D" w:rsidRDefault="00EA591E" w:rsidP="004A305D">
    <w:pPr>
      <w:spacing w:after="0"/>
      <w:rPr>
        <w:rFonts w:ascii="Century Gothic" w:eastAsia="Geo" w:hAnsi="Century Gothic" w:cs="Geo"/>
        <w:sz w:val="16"/>
        <w:szCs w:val="16"/>
        <w:lang w:eastAsia="es-CO"/>
      </w:rPr>
    </w:pP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1</w:t>
    </w:r>
    <w:r w:rsidRPr="004A305D">
      <w:rPr>
        <w:rFonts w:ascii="Century Gothic" w:eastAsia="Geo" w:hAnsi="Century Gothic" w:cs="Geo"/>
        <w:sz w:val="16"/>
        <w:szCs w:val="16"/>
        <w:lang w:eastAsia="es-CO"/>
      </w:rPr>
      <w:t xml:space="preserve"> DEL </w:t>
    </w:r>
    <w:r>
      <w:rPr>
        <w:rFonts w:ascii="Century Gothic" w:eastAsia="Geo" w:hAnsi="Century Gothic" w:cs="Geo"/>
        <w:sz w:val="16"/>
        <w:szCs w:val="16"/>
        <w:lang w:eastAsia="es-CO"/>
      </w:rPr>
      <w:t xml:space="preserve">15 </w:t>
    </w:r>
    <w:r w:rsidRPr="004A305D">
      <w:rPr>
        <w:rFonts w:ascii="Century Gothic" w:eastAsia="Geo" w:hAnsi="Century Gothic" w:cs="Geo"/>
        <w:sz w:val="16"/>
        <w:szCs w:val="16"/>
        <w:lang w:eastAsia="es-CO"/>
      </w:rPr>
      <w:t xml:space="preserve">DE </w:t>
    </w:r>
    <w:r>
      <w:rPr>
        <w:rFonts w:ascii="Century Gothic" w:eastAsia="Geo" w:hAnsi="Century Gothic" w:cs="Geo"/>
        <w:sz w:val="16"/>
        <w:szCs w:val="16"/>
        <w:lang w:eastAsia="es-CO"/>
      </w:rPr>
      <w:t>JUNIO</w:t>
    </w:r>
    <w:r w:rsidRPr="004A305D">
      <w:rPr>
        <w:rFonts w:ascii="Century Gothic" w:eastAsia="Geo" w:hAnsi="Century Gothic" w:cs="Geo"/>
        <w:sz w:val="16"/>
        <w:szCs w:val="16"/>
        <w:lang w:eastAsia="es-CO"/>
      </w:rPr>
      <w:t xml:space="preserve"> DE 202</w:t>
    </w:r>
    <w:r>
      <w:rPr>
        <w:rFonts w:ascii="Century Gothic" w:eastAsia="Geo" w:hAnsi="Century Gothic" w:cs="Geo"/>
        <w:sz w:val="16"/>
        <w:szCs w:val="16"/>
        <w:lang w:eastAsia="es-CO"/>
      </w:rPr>
      <w:t>3</w:t>
    </w:r>
  </w:p>
  <w:p w14:paraId="2AD7F6D7" w14:textId="77777777" w:rsidR="00AF3A32" w:rsidRDefault="00AF3A32">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591E"/>
    <w:rsid w:val="00002322"/>
    <w:rsid w:val="000355BA"/>
    <w:rsid w:val="000474DE"/>
    <w:rsid w:val="000742B7"/>
    <w:rsid w:val="00076DF2"/>
    <w:rsid w:val="00085420"/>
    <w:rsid w:val="000B5847"/>
    <w:rsid w:val="00101877"/>
    <w:rsid w:val="001623C4"/>
    <w:rsid w:val="00175E14"/>
    <w:rsid w:val="00192AF1"/>
    <w:rsid w:val="001F3000"/>
    <w:rsid w:val="00207181"/>
    <w:rsid w:val="00235739"/>
    <w:rsid w:val="00246691"/>
    <w:rsid w:val="002E0147"/>
    <w:rsid w:val="00352A22"/>
    <w:rsid w:val="003568D9"/>
    <w:rsid w:val="003645FE"/>
    <w:rsid w:val="003A5F9F"/>
    <w:rsid w:val="003B5B68"/>
    <w:rsid w:val="003B6AC5"/>
    <w:rsid w:val="003E44D2"/>
    <w:rsid w:val="00435CFF"/>
    <w:rsid w:val="0045768F"/>
    <w:rsid w:val="004A4417"/>
    <w:rsid w:val="004D1B95"/>
    <w:rsid w:val="004D1F52"/>
    <w:rsid w:val="00530446"/>
    <w:rsid w:val="005B336D"/>
    <w:rsid w:val="005B4E62"/>
    <w:rsid w:val="005D0331"/>
    <w:rsid w:val="005D2060"/>
    <w:rsid w:val="00616FC9"/>
    <w:rsid w:val="006263BA"/>
    <w:rsid w:val="0065599B"/>
    <w:rsid w:val="006A5639"/>
    <w:rsid w:val="006C28CA"/>
    <w:rsid w:val="006D2EC0"/>
    <w:rsid w:val="007553C3"/>
    <w:rsid w:val="00767B5C"/>
    <w:rsid w:val="007A086A"/>
    <w:rsid w:val="008306A0"/>
    <w:rsid w:val="0085391D"/>
    <w:rsid w:val="008600EE"/>
    <w:rsid w:val="00872204"/>
    <w:rsid w:val="00886752"/>
    <w:rsid w:val="008D6507"/>
    <w:rsid w:val="008E7F28"/>
    <w:rsid w:val="00914724"/>
    <w:rsid w:val="009349A0"/>
    <w:rsid w:val="00941CFA"/>
    <w:rsid w:val="00982272"/>
    <w:rsid w:val="009D327A"/>
    <w:rsid w:val="009E1E4D"/>
    <w:rsid w:val="00A33CD2"/>
    <w:rsid w:val="00A62886"/>
    <w:rsid w:val="00A97DCD"/>
    <w:rsid w:val="00AC4031"/>
    <w:rsid w:val="00AF3A32"/>
    <w:rsid w:val="00B13378"/>
    <w:rsid w:val="00B20C65"/>
    <w:rsid w:val="00B80E85"/>
    <w:rsid w:val="00B82761"/>
    <w:rsid w:val="00BD4CFA"/>
    <w:rsid w:val="00BD6BCD"/>
    <w:rsid w:val="00BF6C21"/>
    <w:rsid w:val="00C71219"/>
    <w:rsid w:val="00C729B6"/>
    <w:rsid w:val="00CB2A17"/>
    <w:rsid w:val="00CF19F2"/>
    <w:rsid w:val="00CF3ADB"/>
    <w:rsid w:val="00D12E7A"/>
    <w:rsid w:val="00D26879"/>
    <w:rsid w:val="00D42756"/>
    <w:rsid w:val="00DD46D4"/>
    <w:rsid w:val="00DD5C22"/>
    <w:rsid w:val="00DD5D4F"/>
    <w:rsid w:val="00E166A7"/>
    <w:rsid w:val="00E318B3"/>
    <w:rsid w:val="00EA591E"/>
    <w:rsid w:val="00EE1C8B"/>
    <w:rsid w:val="00EF22D8"/>
    <w:rsid w:val="00F57151"/>
    <w:rsid w:val="00FB0210"/>
    <w:rsid w:val="00FC528B"/>
    <w:rsid w:val="00FF424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4B9E08A"/>
  <w15:chartTrackingRefBased/>
  <w15:docId w15:val="{0C5B1151-E074-4783-9535-63684B872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591E"/>
    <w:rPr>
      <w:kern w:val="0"/>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A591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A591E"/>
    <w:rPr>
      <w:kern w:val="0"/>
      <w14:ligatures w14:val="none"/>
    </w:rPr>
  </w:style>
  <w:style w:type="paragraph" w:styleId="Piedepgina">
    <w:name w:val="footer"/>
    <w:basedOn w:val="Normal"/>
    <w:link w:val="PiedepginaCar"/>
    <w:uiPriority w:val="99"/>
    <w:unhideWhenUsed/>
    <w:rsid w:val="00EA591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A591E"/>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EA591E"/>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EA591E"/>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EA591E"/>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EA591E"/>
    <w:rPr>
      <w:vertAlign w:val="superscript"/>
    </w:rPr>
  </w:style>
  <w:style w:type="table" w:styleId="Tablaconcuadrcula">
    <w:name w:val="Table Grid"/>
    <w:basedOn w:val="Tablanormal"/>
    <w:uiPriority w:val="39"/>
    <w:rsid w:val="00EA591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EA591E"/>
    <w:rPr>
      <w:color w:val="0000FF"/>
      <w:u w:val="single"/>
    </w:rPr>
  </w:style>
  <w:style w:type="paragraph" w:customStyle="1" w:styleId="Appelnotedebasde">
    <w:name w:val="Appel note de bas de..."/>
    <w:basedOn w:val="Normal"/>
    <w:link w:val="Refdenotaalpie"/>
    <w:uiPriority w:val="99"/>
    <w:rsid w:val="00EA591E"/>
    <w:pPr>
      <w:spacing w:line="240" w:lineRule="exact"/>
    </w:pPr>
    <w:rPr>
      <w:kern w:val="2"/>
      <w:vertAlign w:val="superscript"/>
      <w14:ligatures w14:val="standardContextual"/>
    </w:rPr>
  </w:style>
  <w:style w:type="table" w:customStyle="1" w:styleId="Tablaconcuadrcula1">
    <w:name w:val="Tabla con cuadrícula1"/>
    <w:basedOn w:val="Tablanormal"/>
    <w:next w:val="Tablaconcuadrcula"/>
    <w:uiPriority w:val="39"/>
    <w:rsid w:val="00EA591E"/>
    <w:pPr>
      <w:spacing w:after="0" w:line="240" w:lineRule="auto"/>
      <w:jc w:val="both"/>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next w:val="Tablaconcuadrcula"/>
    <w:uiPriority w:val="39"/>
    <w:rsid w:val="00EA591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ar"/>
    <w:uiPriority w:val="99"/>
    <w:unhideWhenUsed/>
    <w:rsid w:val="00EA591E"/>
    <w:rPr>
      <w:rFonts w:ascii="Times New Roman" w:hAnsi="Times New Roman" w:cs="Times New Roman"/>
      <w:sz w:val="24"/>
      <w:szCs w:val="24"/>
    </w:rPr>
  </w:style>
  <w:style w:type="character" w:customStyle="1" w:styleId="NormalWebCar">
    <w:name w:val="Normal (Web) Car"/>
    <w:link w:val="NormalWeb"/>
    <w:uiPriority w:val="99"/>
    <w:rsid w:val="00EA591E"/>
    <w:rPr>
      <w:rFonts w:ascii="Times New Roman" w:hAnsi="Times New Roman" w:cs="Times New Roman"/>
      <w:kern w:val="0"/>
      <w:sz w:val="24"/>
      <w:szCs w:val="24"/>
      <w14:ligatures w14:val="none"/>
    </w:rPr>
  </w:style>
  <w:style w:type="character" w:styleId="Mencinsinresolver">
    <w:name w:val="Unresolved Mention"/>
    <w:basedOn w:val="Fuentedeprrafopredeter"/>
    <w:uiPriority w:val="99"/>
    <w:semiHidden/>
    <w:unhideWhenUsed/>
    <w:rsid w:val="00AC4031"/>
    <w:rPr>
      <w:color w:val="605E5C"/>
      <w:shd w:val="clear" w:color="auto" w:fill="E1DFDD"/>
    </w:rPr>
  </w:style>
  <w:style w:type="character" w:customStyle="1" w:styleId="normaltextrun">
    <w:name w:val="normaltextrun"/>
    <w:basedOn w:val="Fuentedeprrafopredeter"/>
    <w:rsid w:val="005B4E62"/>
  </w:style>
  <w:style w:type="character" w:customStyle="1" w:styleId="eop">
    <w:name w:val="eop"/>
    <w:basedOn w:val="Fuentedeprrafopredeter"/>
    <w:rsid w:val="00D42756"/>
  </w:style>
  <w:style w:type="character" w:styleId="Textoennegrita">
    <w:name w:val="Strong"/>
    <w:basedOn w:val="Fuentedeprrafopredeter"/>
    <w:uiPriority w:val="22"/>
    <w:qFormat/>
    <w:rsid w:val="00EF22D8"/>
    <w:rPr>
      <w:b/>
      <w:bCs/>
    </w:rPr>
  </w:style>
  <w:style w:type="character" w:styleId="Hipervnculovisitado">
    <w:name w:val="FollowedHyperlink"/>
    <w:basedOn w:val="Fuentedeprrafopredeter"/>
    <w:uiPriority w:val="99"/>
    <w:semiHidden/>
    <w:unhideWhenUsed/>
    <w:rsid w:val="00192AF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lombiacompra.gov.co/secop/que-es-el-secop-ii"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edcastillo@mindeporte.gov.co" TargetMode="External"/><Relationship Id="rId12"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customXml" Target="../customXml/item3.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customXml" Target="../customXml/item2.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customXml" Target="../customXml/item1.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6.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sites/cce_public/files/cce_documentos/concepto_firma_y_contrato_electronico_0.pdf"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7" ma:contentTypeDescription="Crear nuevo documento." ma:contentTypeScope="" ma:versionID="a34407833354fcfc312bad70d6c3459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b353d508bfaf3d48e66d044e463fff7"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CBB828D-885C-40AF-844B-FAFB134BAE31}"/>
</file>

<file path=customXml/itemProps2.xml><?xml version="1.0" encoding="utf-8"?>
<ds:datastoreItem xmlns:ds="http://schemas.openxmlformats.org/officeDocument/2006/customXml" ds:itemID="{1729AF96-1C01-48EB-8B78-3878991F5D18}"/>
</file>

<file path=customXml/itemProps3.xml><?xml version="1.0" encoding="utf-8"?>
<ds:datastoreItem xmlns:ds="http://schemas.openxmlformats.org/officeDocument/2006/customXml" ds:itemID="{2670D69D-0ED5-43C2-8B65-A3682F609F81}"/>
</file>

<file path=docProps/app.xml><?xml version="1.0" encoding="utf-8"?>
<Properties xmlns="http://schemas.openxmlformats.org/officeDocument/2006/extended-properties" xmlns:vt="http://schemas.openxmlformats.org/officeDocument/2006/docPropsVTypes">
  <Template>Normal</Template>
  <TotalTime>431</TotalTime>
  <Pages>26</Pages>
  <Words>9341</Words>
  <Characters>51381</Characters>
  <Application>Microsoft Office Word</Application>
  <DocSecurity>0</DocSecurity>
  <Lines>428</Lines>
  <Paragraphs>121</Paragraphs>
  <ScaleCrop>false</ScaleCrop>
  <Company/>
  <LinksUpToDate>false</LinksUpToDate>
  <CharactersWithSpaces>60601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Maria Valeska Medellín Mora</cp:lastModifiedBy>
  <cp:revision>86</cp:revision>
  <dcterms:created xsi:type="dcterms:W3CDTF">2023-07-28T20:31:00Z</dcterms:created>
  <dcterms:modified xsi:type="dcterms:W3CDTF">2023-09-08T16:00:00Z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