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6CF2AE" w14:textId="77777777" w:rsidR="00AB7479" w:rsidRDefault="00AB7479" w:rsidP="00AB7479">
      <w:pPr>
        <w:pStyle w:val="paragraph"/>
        <w:spacing w:before="0" w:beforeAutospacing="0" w:after="0" w:afterAutospacing="0"/>
        <w:jc w:val="both"/>
        <w:textAlignment w:val="baseline"/>
        <w:rPr>
          <w:rFonts w:ascii="Segoe UI" w:hAnsi="Segoe UI" w:cs="Segoe UI"/>
          <w:sz w:val="18"/>
          <w:szCs w:val="18"/>
        </w:rPr>
      </w:pPr>
      <w:bookmarkStart w:id="0" w:name="_Hlk96417464"/>
      <w:bookmarkStart w:id="1" w:name="_Hlk120036210"/>
      <w:bookmarkStart w:id="2" w:name="_Hlk98867631"/>
      <w:bookmarkStart w:id="3" w:name="_Hlk99546921"/>
      <w:bookmarkStart w:id="4" w:name="_Hlk34951122"/>
      <w:r>
        <w:rPr>
          <w:rStyle w:val="normaltextrun"/>
          <w:rFonts w:ascii="Arial" w:hAnsi="Arial" w:cs="Arial"/>
          <w:b/>
          <w:bCs/>
          <w:sz w:val="22"/>
          <w:szCs w:val="22"/>
          <w:lang w:val="es-ES"/>
        </w:rPr>
        <w:t>LEY DE GARANTÍAS ELECTORALES – Definición – Finalidad </w:t>
      </w:r>
      <w:r>
        <w:rPr>
          <w:rStyle w:val="eop"/>
          <w:rFonts w:ascii="Arial" w:hAnsi="Arial" w:cs="Arial"/>
          <w:sz w:val="22"/>
          <w:szCs w:val="22"/>
        </w:rPr>
        <w:t> </w:t>
      </w:r>
    </w:p>
    <w:p w14:paraId="41A6EFC7" w14:textId="77777777" w:rsidR="00AB7479" w:rsidRDefault="00AB7479" w:rsidP="00AB7479">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21"/>
          <w:szCs w:val="21"/>
        </w:rPr>
        <w:t> </w:t>
      </w:r>
    </w:p>
    <w:p w14:paraId="3C4974CB" w14:textId="77777777" w:rsidR="00AB7479" w:rsidRDefault="00AB7479" w:rsidP="00AB7479">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1"/>
          <w:szCs w:val="21"/>
          <w:lang w:val="es-ES"/>
        </w:rPr>
        <w:t xml:space="preserve">[…] </w:t>
      </w:r>
      <w:r>
        <w:rPr>
          <w:rStyle w:val="normaltextrun"/>
          <w:rFonts w:ascii="Arial" w:hAnsi="Arial" w:cs="Arial"/>
          <w:sz w:val="21"/>
          <w:szCs w:val="21"/>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Pr>
          <w:rStyle w:val="normaltextrun"/>
          <w:rFonts w:ascii="Arial" w:hAnsi="Arial" w:cs="Arial"/>
          <w:sz w:val="21"/>
          <w:szCs w:val="21"/>
          <w:lang w:val="es-ES"/>
        </w:rPr>
        <w:t xml:space="preserve"> […]</w:t>
      </w:r>
      <w:r>
        <w:rPr>
          <w:rStyle w:val="eop"/>
          <w:rFonts w:ascii="Arial" w:hAnsi="Arial" w:cs="Arial"/>
          <w:sz w:val="21"/>
          <w:szCs w:val="21"/>
        </w:rPr>
        <w:t> </w:t>
      </w:r>
    </w:p>
    <w:p w14:paraId="69125EDE" w14:textId="77777777" w:rsidR="00AB7479" w:rsidRDefault="00AB7479" w:rsidP="00AB7479">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21"/>
          <w:szCs w:val="21"/>
        </w:rPr>
        <w:t> </w:t>
      </w:r>
    </w:p>
    <w:p w14:paraId="00CE63A9" w14:textId="77777777" w:rsidR="00AB7479" w:rsidRDefault="00AB7479" w:rsidP="00AB7479">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1"/>
          <w:szCs w:val="21"/>
        </w:rPr>
        <w:t>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w:t>
      </w:r>
      <w:r>
        <w:rPr>
          <w:rStyle w:val="eop"/>
          <w:rFonts w:ascii="Arial" w:hAnsi="Arial" w:cs="Arial"/>
          <w:sz w:val="21"/>
          <w:szCs w:val="21"/>
        </w:rPr>
        <w:t> </w:t>
      </w:r>
    </w:p>
    <w:p w14:paraId="08D20B49" w14:textId="77777777" w:rsidR="00AB7479" w:rsidRDefault="00AB7479" w:rsidP="00AB7479">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21"/>
          <w:szCs w:val="21"/>
        </w:rPr>
        <w:t> </w:t>
      </w:r>
    </w:p>
    <w:p w14:paraId="7D07AE88" w14:textId="77777777" w:rsidR="00AB7479" w:rsidRDefault="00AB7479" w:rsidP="00AB7479">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sz w:val="22"/>
          <w:szCs w:val="22"/>
        </w:rPr>
        <w:t>LEY DE GARANTÍAS ELECTORALES ‒ Prohibición por elección de cargos populares – Convenios y contratos interadministrativos – Parágrafo del artículo 38</w:t>
      </w:r>
      <w:r>
        <w:rPr>
          <w:rStyle w:val="eop"/>
          <w:rFonts w:ascii="Arial" w:hAnsi="Arial" w:cs="Arial"/>
          <w:sz w:val="22"/>
          <w:szCs w:val="22"/>
        </w:rPr>
        <w:t> </w:t>
      </w:r>
    </w:p>
    <w:p w14:paraId="2ABF99E5" w14:textId="77777777" w:rsidR="00AB7479" w:rsidRDefault="00AB7479" w:rsidP="00AB7479">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21"/>
          <w:szCs w:val="21"/>
        </w:rPr>
        <w:t> </w:t>
      </w:r>
    </w:p>
    <w:p w14:paraId="137FB971" w14:textId="77777777" w:rsidR="00AB7479" w:rsidRDefault="00AB7479" w:rsidP="00AB7479">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1"/>
          <w:szCs w:val="21"/>
        </w:rPr>
        <w:t xml:space="preserve">El parágrafo del artículo 38 de la Ley 996 de 2005 dispone que “[l]os Gobernadores, </w:t>
      </w:r>
      <w:proofErr w:type="gramStart"/>
      <w:r>
        <w:rPr>
          <w:rStyle w:val="normaltextrun"/>
          <w:rFonts w:ascii="Arial" w:hAnsi="Arial" w:cs="Arial"/>
          <w:sz w:val="21"/>
          <w:szCs w:val="21"/>
        </w:rPr>
        <w:t>Alcaldes</w:t>
      </w:r>
      <w:proofErr w:type="gramEnd"/>
      <w:r>
        <w:rPr>
          <w:rStyle w:val="normaltextrun"/>
          <w:rFonts w:ascii="Arial" w:hAnsi="Arial" w:cs="Arial"/>
          <w:sz w:val="21"/>
          <w:szCs w:val="21"/>
        </w:rPr>
        <w:t xml:space="preserve">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Pr>
          <w:rStyle w:val="eop"/>
          <w:rFonts w:ascii="Arial" w:hAnsi="Arial" w:cs="Arial"/>
          <w:sz w:val="21"/>
          <w:szCs w:val="21"/>
        </w:rPr>
        <w:t> </w:t>
      </w:r>
    </w:p>
    <w:p w14:paraId="25F9CFF6" w14:textId="77777777" w:rsidR="00AB7479" w:rsidRDefault="00AB7479" w:rsidP="00AB7479">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22"/>
          <w:szCs w:val="22"/>
        </w:rPr>
        <w:t> </w:t>
      </w:r>
    </w:p>
    <w:p w14:paraId="7BABD4C6" w14:textId="77777777" w:rsidR="00AB7479" w:rsidRDefault="00AB7479" w:rsidP="00AB7479">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1"/>
          <w:szCs w:val="21"/>
          <w:lang w:val="es-ES"/>
        </w:rPr>
        <w:t>Aunque la ley no la definió ni desarrolló, el Decreto 1082 de 2015 califica a los convenios o contratos interadministrativos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 estatales.</w:t>
      </w:r>
      <w:r>
        <w:rPr>
          <w:rStyle w:val="eop"/>
          <w:rFonts w:ascii="Arial" w:hAnsi="Arial" w:cs="Arial"/>
          <w:sz w:val="21"/>
          <w:szCs w:val="21"/>
        </w:rPr>
        <w:t> </w:t>
      </w:r>
    </w:p>
    <w:p w14:paraId="0A0EA9EB" w14:textId="77777777" w:rsidR="00AB7479" w:rsidRDefault="00AB7479" w:rsidP="00AB7479">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0"/>
          <w:szCs w:val="20"/>
        </w:rPr>
        <w:t>[…]</w:t>
      </w:r>
      <w:r>
        <w:rPr>
          <w:rStyle w:val="eop"/>
          <w:rFonts w:ascii="Arial" w:hAnsi="Arial" w:cs="Arial"/>
        </w:rPr>
        <w:t> </w:t>
      </w:r>
    </w:p>
    <w:p w14:paraId="6F9944C1" w14:textId="77777777" w:rsidR="00AB7479" w:rsidRDefault="00AB7479" w:rsidP="00AB7479">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0"/>
          <w:szCs w:val="20"/>
        </w:rPr>
        <w:t xml:space="preserve">[…] </w:t>
      </w:r>
      <w:r>
        <w:rPr>
          <w:rStyle w:val="normaltextrun"/>
          <w:rFonts w:ascii="Arial" w:hAnsi="Arial" w:cs="Arial"/>
          <w:sz w:val="20"/>
          <w:szCs w:val="20"/>
          <w:lang w:val="es-ES"/>
        </w:rPr>
        <w:t>lo que define los contratos o convenios interadministrativos es la naturaleza de las partes, de manera que están determinados por un criterio orgánico, en el sentido de que lo serán aquellos celebrados entre entidades estatales. Además, no existe una diferencia en los conceptos de contrato y convenio, por lo que se asimilaron para la aplicación de la Ley de Garantías Electorales.</w:t>
      </w:r>
      <w:r>
        <w:rPr>
          <w:rStyle w:val="eop"/>
          <w:rFonts w:ascii="Arial" w:hAnsi="Arial" w:cs="Arial"/>
        </w:rPr>
        <w:t> </w:t>
      </w:r>
    </w:p>
    <w:p w14:paraId="65EF9CA4" w14:textId="77777777" w:rsidR="00AB7479" w:rsidRDefault="00AB7479" w:rsidP="00AB7479">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2"/>
          <w:szCs w:val="22"/>
        </w:rPr>
        <w:t>[…]</w:t>
      </w:r>
      <w:r>
        <w:rPr>
          <w:rStyle w:val="eop"/>
          <w:rFonts w:ascii="Arial" w:hAnsi="Arial" w:cs="Arial"/>
          <w:sz w:val="22"/>
          <w:szCs w:val="22"/>
        </w:rPr>
        <w:t> </w:t>
      </w:r>
    </w:p>
    <w:p w14:paraId="34593B96" w14:textId="77777777" w:rsidR="00AB7479" w:rsidRDefault="00AB7479" w:rsidP="00AB7479">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1"/>
          <w:szCs w:val="21"/>
        </w:rPr>
        <w:t xml:space="preserve">[…] las restricciones contractuales establecidas en el parágrafo del artículo 38 de la Ley 996 de 2005 prohíbe a los alcaldes, gobernadores, secretarios, gerentes y directores de las entidades del orden municipal, departamental o distrital celebrar convenios y contratos interadministrativos para la ejecución de recursos públicos. En este sentido, si una o ambas partes de la relación contractual es una de las entidades descritas en el parágrafo ibidem, no podrá celebrar tales convenios o contratos durante la aplicación de la Ley de Garantías Electorales, toda vez que la citada disposición hace </w:t>
      </w:r>
      <w:r>
        <w:rPr>
          <w:rStyle w:val="normaltextrun"/>
          <w:rFonts w:ascii="Arial" w:hAnsi="Arial" w:cs="Arial"/>
          <w:sz w:val="21"/>
          <w:szCs w:val="21"/>
        </w:rPr>
        <w:lastRenderedPageBreak/>
        <w:t>referencia a dicha tipología contractual sin que el legislador hubiere contemplado excepción alguna frente a la modalidad de selección o naturaleza de su objeto.</w:t>
      </w:r>
      <w:r>
        <w:rPr>
          <w:rStyle w:val="eop"/>
          <w:rFonts w:ascii="Arial" w:hAnsi="Arial" w:cs="Arial"/>
          <w:sz w:val="21"/>
          <w:szCs w:val="21"/>
        </w:rPr>
        <w:t> </w:t>
      </w:r>
    </w:p>
    <w:p w14:paraId="5E4FB492" w14:textId="77777777" w:rsidR="00AB7479" w:rsidRDefault="00AB7479" w:rsidP="00AB7479">
      <w:pPr>
        <w:spacing w:after="0" w:line="240" w:lineRule="auto"/>
        <w:contextualSpacing/>
        <w:jc w:val="both"/>
        <w:rPr>
          <w:rFonts w:ascii="Arial" w:eastAsia="Calibri" w:hAnsi="Arial" w:cs="Arial"/>
        </w:rPr>
      </w:pPr>
    </w:p>
    <w:p w14:paraId="32CF1F07" w14:textId="77777777" w:rsidR="00AB7479" w:rsidRDefault="00AB7479" w:rsidP="00AB7479">
      <w:pPr>
        <w:spacing w:after="0" w:line="240" w:lineRule="auto"/>
        <w:contextualSpacing/>
        <w:jc w:val="both"/>
        <w:rPr>
          <w:rFonts w:ascii="Arial" w:eastAsia="Calibri" w:hAnsi="Arial" w:cs="Arial"/>
        </w:rPr>
      </w:pPr>
    </w:p>
    <w:p w14:paraId="4EE62F27" w14:textId="77777777" w:rsidR="00AB7479" w:rsidRPr="00574963" w:rsidRDefault="00AB7479" w:rsidP="00AB7479">
      <w:pPr>
        <w:spacing w:after="0" w:line="240" w:lineRule="auto"/>
        <w:contextualSpacing/>
        <w:jc w:val="right"/>
        <w:rPr>
          <w:rFonts w:ascii="Arial" w:eastAsia="Calibri" w:hAnsi="Arial" w:cs="Arial"/>
        </w:rPr>
      </w:pPr>
    </w:p>
    <w:p w14:paraId="6FABBC50" w14:textId="77777777" w:rsidR="00AB7479" w:rsidRDefault="00AB7479" w:rsidP="00AB7479">
      <w:pPr>
        <w:rPr>
          <w:rFonts w:ascii="Arial" w:eastAsia="Geomanist Light" w:hAnsi="Arial" w:cs="Arial"/>
          <w:color w:val="000000" w:themeColor="text1"/>
          <w:lang w:val="es-MX"/>
        </w:rPr>
      </w:pPr>
    </w:p>
    <w:p w14:paraId="2A643E67" w14:textId="77777777" w:rsidR="00AB7479" w:rsidRDefault="00AB7479" w:rsidP="00AB7479">
      <w:pPr>
        <w:rPr>
          <w:rFonts w:ascii="Arial" w:eastAsia="Geomanist Light" w:hAnsi="Arial" w:cs="Arial"/>
          <w:color w:val="000000" w:themeColor="text1"/>
          <w:lang w:val="es-MX"/>
        </w:rPr>
      </w:pPr>
    </w:p>
    <w:p w14:paraId="62BABA46" w14:textId="77777777" w:rsidR="00AB7479" w:rsidRDefault="00AB7479" w:rsidP="00AB7479">
      <w:pPr>
        <w:rPr>
          <w:rFonts w:ascii="Arial" w:eastAsia="Geomanist Light" w:hAnsi="Arial" w:cs="Arial"/>
          <w:color w:val="000000" w:themeColor="text1"/>
          <w:lang w:val="es-MX"/>
        </w:rPr>
      </w:pPr>
    </w:p>
    <w:p w14:paraId="30890CDC" w14:textId="77777777" w:rsidR="00AB7479" w:rsidRDefault="00AB7479" w:rsidP="00AB7479">
      <w:pPr>
        <w:rPr>
          <w:rFonts w:ascii="Arial" w:eastAsia="Geomanist Light" w:hAnsi="Arial" w:cs="Arial"/>
          <w:color w:val="000000" w:themeColor="text1"/>
          <w:lang w:val="es-MX"/>
        </w:rPr>
      </w:pPr>
    </w:p>
    <w:p w14:paraId="14BF3050" w14:textId="77777777" w:rsidR="00AB7479" w:rsidRDefault="00AB7479" w:rsidP="00AB7479">
      <w:pPr>
        <w:rPr>
          <w:rFonts w:ascii="Arial" w:eastAsia="Geomanist Light" w:hAnsi="Arial" w:cs="Arial"/>
          <w:color w:val="000000" w:themeColor="text1"/>
          <w:lang w:val="es-MX"/>
        </w:rPr>
      </w:pPr>
    </w:p>
    <w:p w14:paraId="05AD1F1E" w14:textId="77777777" w:rsidR="00AB7479" w:rsidRDefault="00AB7479" w:rsidP="00AB7479">
      <w:pPr>
        <w:rPr>
          <w:rFonts w:ascii="Arial" w:eastAsia="Geomanist Light" w:hAnsi="Arial" w:cs="Arial"/>
          <w:color w:val="000000" w:themeColor="text1"/>
          <w:lang w:val="es-MX"/>
        </w:rPr>
      </w:pPr>
    </w:p>
    <w:p w14:paraId="5D8F8243" w14:textId="77777777" w:rsidR="00AB7479" w:rsidRDefault="00AB7479" w:rsidP="00AB7479">
      <w:pPr>
        <w:rPr>
          <w:rFonts w:ascii="Arial" w:eastAsia="Geomanist Light" w:hAnsi="Arial" w:cs="Arial"/>
          <w:color w:val="000000" w:themeColor="text1"/>
          <w:lang w:val="es-MX"/>
        </w:rPr>
      </w:pPr>
    </w:p>
    <w:p w14:paraId="65851F4D" w14:textId="77777777" w:rsidR="00AB7479" w:rsidRDefault="00AB7479" w:rsidP="00AB7479">
      <w:pPr>
        <w:rPr>
          <w:rFonts w:ascii="Arial" w:eastAsia="Geomanist Light" w:hAnsi="Arial" w:cs="Arial"/>
          <w:color w:val="000000" w:themeColor="text1"/>
          <w:lang w:val="es-MX"/>
        </w:rPr>
      </w:pPr>
    </w:p>
    <w:p w14:paraId="3F0EBA71" w14:textId="77777777" w:rsidR="00AB7479" w:rsidRDefault="00AB7479" w:rsidP="00AB7479">
      <w:pPr>
        <w:rPr>
          <w:rFonts w:ascii="Arial" w:eastAsia="Geomanist Light" w:hAnsi="Arial" w:cs="Arial"/>
          <w:color w:val="000000" w:themeColor="text1"/>
          <w:lang w:val="es-MX"/>
        </w:rPr>
      </w:pPr>
    </w:p>
    <w:p w14:paraId="3313695A" w14:textId="77777777" w:rsidR="00AB7479" w:rsidRDefault="00AB7479" w:rsidP="00AB7479">
      <w:pPr>
        <w:rPr>
          <w:rFonts w:ascii="Arial" w:eastAsia="Geomanist Light" w:hAnsi="Arial" w:cs="Arial"/>
          <w:color w:val="000000" w:themeColor="text1"/>
          <w:lang w:val="es-MX"/>
        </w:rPr>
      </w:pPr>
    </w:p>
    <w:p w14:paraId="0ABD758B" w14:textId="77777777" w:rsidR="00AB7479" w:rsidRDefault="00AB7479" w:rsidP="00AB7479">
      <w:pPr>
        <w:rPr>
          <w:rFonts w:ascii="Arial" w:eastAsia="Geomanist Light" w:hAnsi="Arial" w:cs="Arial"/>
          <w:color w:val="000000" w:themeColor="text1"/>
          <w:lang w:val="es-MX"/>
        </w:rPr>
      </w:pPr>
    </w:p>
    <w:p w14:paraId="215312CA" w14:textId="77777777" w:rsidR="00AB7479" w:rsidRDefault="00AB7479" w:rsidP="00AB7479">
      <w:pPr>
        <w:rPr>
          <w:rFonts w:ascii="Arial" w:eastAsia="Geomanist Light" w:hAnsi="Arial" w:cs="Arial"/>
          <w:color w:val="000000" w:themeColor="text1"/>
          <w:lang w:val="es-MX"/>
        </w:rPr>
      </w:pPr>
    </w:p>
    <w:p w14:paraId="0B049931" w14:textId="77777777" w:rsidR="00AB7479" w:rsidRDefault="00AB7479" w:rsidP="00AB7479">
      <w:pPr>
        <w:rPr>
          <w:rFonts w:ascii="Arial" w:eastAsia="Geomanist Light" w:hAnsi="Arial" w:cs="Arial"/>
          <w:color w:val="000000" w:themeColor="text1"/>
          <w:lang w:val="es-MX"/>
        </w:rPr>
      </w:pPr>
    </w:p>
    <w:p w14:paraId="4A759D0E" w14:textId="77777777" w:rsidR="00AB7479" w:rsidRDefault="00AB7479" w:rsidP="00AB7479">
      <w:pPr>
        <w:rPr>
          <w:rFonts w:ascii="Arial" w:eastAsia="Geomanist Light" w:hAnsi="Arial" w:cs="Arial"/>
          <w:color w:val="000000" w:themeColor="text1"/>
          <w:lang w:val="es-MX"/>
        </w:rPr>
      </w:pPr>
    </w:p>
    <w:p w14:paraId="1D16FB07" w14:textId="77777777" w:rsidR="00AB7479" w:rsidRDefault="00AB7479" w:rsidP="00AB7479">
      <w:pPr>
        <w:rPr>
          <w:rFonts w:ascii="Arial" w:eastAsia="Geomanist Light" w:hAnsi="Arial" w:cs="Arial"/>
          <w:color w:val="000000" w:themeColor="text1"/>
          <w:lang w:val="es-MX"/>
        </w:rPr>
      </w:pPr>
    </w:p>
    <w:p w14:paraId="15A90653" w14:textId="77777777" w:rsidR="00AB7479" w:rsidRDefault="00AB7479" w:rsidP="00AB7479">
      <w:pPr>
        <w:rPr>
          <w:rFonts w:ascii="Arial" w:eastAsia="Geomanist Light" w:hAnsi="Arial" w:cs="Arial"/>
          <w:color w:val="000000" w:themeColor="text1"/>
          <w:lang w:val="es-MX"/>
        </w:rPr>
      </w:pPr>
    </w:p>
    <w:p w14:paraId="10645C45" w14:textId="77777777" w:rsidR="00AB7479" w:rsidRDefault="00AB7479" w:rsidP="00AB7479">
      <w:pPr>
        <w:rPr>
          <w:rFonts w:ascii="Arial" w:eastAsia="Geomanist Light" w:hAnsi="Arial" w:cs="Arial"/>
          <w:color w:val="000000" w:themeColor="text1"/>
          <w:lang w:val="es-MX"/>
        </w:rPr>
      </w:pPr>
    </w:p>
    <w:p w14:paraId="75348CCB" w14:textId="77777777" w:rsidR="00AB7479" w:rsidRDefault="00AB7479" w:rsidP="00AB7479">
      <w:pPr>
        <w:rPr>
          <w:rFonts w:ascii="Arial" w:eastAsia="Geomanist Light" w:hAnsi="Arial" w:cs="Arial"/>
          <w:color w:val="000000" w:themeColor="text1"/>
          <w:lang w:val="es-MX"/>
        </w:rPr>
      </w:pPr>
    </w:p>
    <w:p w14:paraId="7C0A3DC1" w14:textId="77777777" w:rsidR="00AB7479" w:rsidRDefault="00AB7479" w:rsidP="00AB7479">
      <w:pPr>
        <w:rPr>
          <w:rFonts w:ascii="Arial" w:eastAsia="Geomanist Light" w:hAnsi="Arial" w:cs="Arial"/>
          <w:color w:val="000000" w:themeColor="text1"/>
          <w:lang w:val="es-MX"/>
        </w:rPr>
      </w:pPr>
    </w:p>
    <w:p w14:paraId="2FF0189D" w14:textId="77777777" w:rsidR="00AB7479" w:rsidRDefault="00AB7479" w:rsidP="00AB7479">
      <w:pPr>
        <w:rPr>
          <w:rFonts w:ascii="Arial" w:eastAsia="Geomanist Light" w:hAnsi="Arial" w:cs="Arial"/>
          <w:color w:val="000000" w:themeColor="text1"/>
          <w:lang w:val="es-MX"/>
        </w:rPr>
      </w:pPr>
    </w:p>
    <w:p w14:paraId="28ED107C" w14:textId="77777777" w:rsidR="00AB7479" w:rsidRDefault="00AB7479" w:rsidP="00AB7479">
      <w:pPr>
        <w:rPr>
          <w:rFonts w:ascii="Arial" w:eastAsia="Geomanist Light" w:hAnsi="Arial" w:cs="Arial"/>
          <w:color w:val="000000" w:themeColor="text1"/>
          <w:lang w:val="es-MX"/>
        </w:rPr>
      </w:pPr>
    </w:p>
    <w:p w14:paraId="299E2988" w14:textId="77777777" w:rsidR="00AB7479" w:rsidRDefault="00AB7479" w:rsidP="00AB7479">
      <w:pPr>
        <w:rPr>
          <w:rFonts w:ascii="Arial" w:eastAsia="Geomanist Light" w:hAnsi="Arial" w:cs="Arial"/>
          <w:color w:val="000000" w:themeColor="text1"/>
          <w:lang w:val="es-MX"/>
        </w:rPr>
      </w:pPr>
    </w:p>
    <w:p w14:paraId="33AC20FF" w14:textId="77777777" w:rsidR="00AB7479" w:rsidRDefault="00AB7479" w:rsidP="00AB7479">
      <w:pPr>
        <w:rPr>
          <w:rFonts w:ascii="Arial" w:eastAsia="Geomanist Light" w:hAnsi="Arial" w:cs="Arial"/>
          <w:color w:val="000000" w:themeColor="text1"/>
          <w:lang w:val="es-MX"/>
        </w:rPr>
      </w:pPr>
    </w:p>
    <w:p w14:paraId="6D7AA143" w14:textId="77777777" w:rsidR="00AB7479" w:rsidRDefault="00AB7479" w:rsidP="00AB7479">
      <w:pPr>
        <w:rPr>
          <w:rFonts w:ascii="Arial" w:eastAsia="Geomanist Light" w:hAnsi="Arial" w:cs="Arial"/>
          <w:color w:val="201F1E"/>
          <w:lang w:val="es-MX"/>
        </w:rPr>
      </w:pPr>
      <w:r w:rsidRPr="00574963">
        <w:rPr>
          <w:rFonts w:ascii="Arial" w:eastAsia="Geomanist Light" w:hAnsi="Arial" w:cs="Arial"/>
          <w:color w:val="000000" w:themeColor="text1"/>
          <w:lang w:val="es-MX"/>
        </w:rPr>
        <w:lastRenderedPageBreak/>
        <w:t>Bogotá D.C., </w:t>
      </w:r>
      <w:r w:rsidRPr="00574963">
        <w:rPr>
          <w:rFonts w:ascii="Arial" w:eastAsia="Geomanist Light" w:hAnsi="Arial" w:cs="Arial"/>
          <w:color w:val="201F1E"/>
          <w:lang w:val="es-MX"/>
        </w:rPr>
        <w:t>[Día] de [</w:t>
      </w:r>
      <w:proofErr w:type="spellStart"/>
      <w:r w:rsidRPr="00574963">
        <w:rPr>
          <w:rFonts w:ascii="Arial" w:eastAsia="Geomanist Light" w:hAnsi="Arial" w:cs="Arial"/>
          <w:color w:val="201F1E"/>
          <w:lang w:val="es-MX"/>
        </w:rPr>
        <w:t>Mes.NombreCapitalizado</w:t>
      </w:r>
      <w:proofErr w:type="spellEnd"/>
      <w:r w:rsidRPr="00574963">
        <w:rPr>
          <w:rFonts w:ascii="Arial" w:eastAsia="Geomanist Light" w:hAnsi="Arial" w:cs="Arial"/>
          <w:color w:val="201F1E"/>
          <w:lang w:val="es-MX"/>
        </w:rPr>
        <w:t>] de [Año]</w:t>
      </w:r>
    </w:p>
    <w:p w14:paraId="4EA08F69" w14:textId="6DA8B4D4" w:rsidR="00EE0874" w:rsidRPr="00574963" w:rsidRDefault="00EE0874" w:rsidP="00EE0874">
      <w:pPr>
        <w:jc w:val="right"/>
        <w:rPr>
          <w:rFonts w:ascii="Arial" w:eastAsia="Geomanist Light" w:hAnsi="Arial" w:cs="Arial"/>
          <w:color w:val="201F1E"/>
          <w:lang w:val="es-MX"/>
        </w:rPr>
      </w:pPr>
      <w:r>
        <w:rPr>
          <w:noProof/>
          <w14:ligatures w14:val="standardContextual"/>
        </w:rPr>
        <w:drawing>
          <wp:inline distT="0" distB="0" distL="0" distR="0" wp14:anchorId="7C2E211F" wp14:editId="10B9A910">
            <wp:extent cx="2847975" cy="762000"/>
            <wp:effectExtent l="0" t="0" r="9525" b="0"/>
            <wp:docPr id="38492842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928425" name="Imagen 1" descr="Texto&#10;&#10;Descripción generada automáticamente"/>
                    <pic:cNvPicPr/>
                  </pic:nvPicPr>
                  <pic:blipFill>
                    <a:blip r:embed="rId9"/>
                    <a:stretch>
                      <a:fillRect/>
                    </a:stretch>
                  </pic:blipFill>
                  <pic:spPr>
                    <a:xfrm>
                      <a:off x="0" y="0"/>
                      <a:ext cx="2847975" cy="762000"/>
                    </a:xfrm>
                    <a:prstGeom prst="rect">
                      <a:avLst/>
                    </a:prstGeom>
                  </pic:spPr>
                </pic:pic>
              </a:graphicData>
            </a:graphic>
          </wp:inline>
        </w:drawing>
      </w:r>
    </w:p>
    <w:p w14:paraId="14898440" w14:textId="77777777" w:rsidR="00AB7479" w:rsidRPr="00574963" w:rsidRDefault="00AB7479" w:rsidP="00AB7479">
      <w:pPr>
        <w:spacing w:after="0" w:line="240" w:lineRule="auto"/>
        <w:contextualSpacing/>
        <w:jc w:val="both"/>
        <w:rPr>
          <w:rFonts w:ascii="Arial" w:eastAsia="Calibri" w:hAnsi="Arial" w:cs="Arial"/>
        </w:rPr>
      </w:pPr>
    </w:p>
    <w:p w14:paraId="7AA336EE" w14:textId="77777777" w:rsidR="00AB7479" w:rsidRPr="00574963" w:rsidRDefault="00AB7479" w:rsidP="00AB7479">
      <w:pPr>
        <w:spacing w:after="0" w:line="276" w:lineRule="auto"/>
        <w:contextualSpacing/>
        <w:jc w:val="both"/>
        <w:rPr>
          <w:rFonts w:ascii="Arial" w:eastAsia="Calibri" w:hAnsi="Arial" w:cs="Arial"/>
        </w:rPr>
      </w:pPr>
      <w:r w:rsidRPr="00574963">
        <w:rPr>
          <w:rFonts w:ascii="Arial" w:eastAsia="Calibri" w:hAnsi="Arial" w:cs="Arial"/>
        </w:rPr>
        <w:t>Señor</w:t>
      </w:r>
      <w:r>
        <w:rPr>
          <w:rFonts w:ascii="Arial" w:eastAsia="Calibri" w:hAnsi="Arial" w:cs="Arial"/>
        </w:rPr>
        <w:t>a</w:t>
      </w:r>
    </w:p>
    <w:p w14:paraId="627F44B1" w14:textId="77777777" w:rsidR="00AB7479" w:rsidRDefault="00AB7479" w:rsidP="00AB7479">
      <w:pPr>
        <w:spacing w:after="0" w:line="276" w:lineRule="auto"/>
        <w:contextualSpacing/>
        <w:jc w:val="both"/>
        <w:rPr>
          <w:rFonts w:ascii="Arial" w:eastAsia="Calibri" w:hAnsi="Arial" w:cs="Arial"/>
          <w:b/>
          <w:bCs/>
        </w:rPr>
      </w:pPr>
      <w:r>
        <w:rPr>
          <w:rFonts w:ascii="Arial" w:eastAsia="Calibri" w:hAnsi="Arial" w:cs="Arial"/>
          <w:b/>
          <w:bCs/>
        </w:rPr>
        <w:t>Gloria Eugenia Sáleme Castillo</w:t>
      </w:r>
    </w:p>
    <w:p w14:paraId="477B1A6F" w14:textId="77777777" w:rsidR="00AB7479" w:rsidRDefault="00AB7479" w:rsidP="00AB7479">
      <w:pPr>
        <w:spacing w:after="0" w:line="276" w:lineRule="auto"/>
        <w:contextualSpacing/>
        <w:jc w:val="both"/>
        <w:rPr>
          <w:rFonts w:ascii="Arial" w:eastAsia="Calibri" w:hAnsi="Arial" w:cs="Arial"/>
        </w:rPr>
      </w:pPr>
      <w:r>
        <w:rPr>
          <w:rFonts w:ascii="Arial" w:eastAsia="Calibri" w:hAnsi="Arial" w:cs="Arial"/>
        </w:rPr>
        <w:t>Directora Administrativa de Contratación</w:t>
      </w:r>
    </w:p>
    <w:p w14:paraId="58B1EFE3" w14:textId="77777777" w:rsidR="00AB7479" w:rsidRDefault="00AB7479" w:rsidP="00AB7479">
      <w:pPr>
        <w:spacing w:after="0" w:line="276" w:lineRule="auto"/>
        <w:contextualSpacing/>
        <w:jc w:val="both"/>
        <w:rPr>
          <w:rFonts w:ascii="Arial" w:eastAsia="Calibri" w:hAnsi="Arial" w:cs="Arial"/>
        </w:rPr>
      </w:pPr>
      <w:r>
        <w:rPr>
          <w:rFonts w:ascii="Arial" w:eastAsia="Calibri" w:hAnsi="Arial" w:cs="Arial"/>
        </w:rPr>
        <w:t>Gobernación de Córdoba</w:t>
      </w:r>
    </w:p>
    <w:p w14:paraId="3D4CAFF5" w14:textId="77777777" w:rsidR="00AB7479" w:rsidRPr="00574963" w:rsidRDefault="00AB7479" w:rsidP="00AB7479">
      <w:pPr>
        <w:spacing w:after="0" w:line="276" w:lineRule="auto"/>
        <w:contextualSpacing/>
        <w:jc w:val="both"/>
        <w:rPr>
          <w:rFonts w:ascii="Arial" w:eastAsia="Calibri" w:hAnsi="Arial" w:cs="Arial"/>
        </w:rPr>
      </w:pPr>
      <w:r>
        <w:rPr>
          <w:rFonts w:ascii="Arial" w:eastAsia="Calibri" w:hAnsi="Arial" w:cs="Arial"/>
        </w:rPr>
        <w:t>Montería- Córdoba</w:t>
      </w:r>
    </w:p>
    <w:p w14:paraId="42071156" w14:textId="77777777" w:rsidR="00AB7479" w:rsidRPr="00574963" w:rsidRDefault="00AB7479" w:rsidP="00AB7479">
      <w:pPr>
        <w:spacing w:after="0" w:line="240" w:lineRule="auto"/>
        <w:contextualSpacing/>
        <w:jc w:val="both"/>
        <w:rPr>
          <w:rFonts w:ascii="Arial" w:eastAsia="Calibri" w:hAnsi="Arial" w:cs="Arial"/>
        </w:rPr>
      </w:pPr>
    </w:p>
    <w:p w14:paraId="2430E716" w14:textId="77777777" w:rsidR="00AB7479" w:rsidRPr="00574963" w:rsidRDefault="00AB7479" w:rsidP="00AB7479">
      <w:pPr>
        <w:spacing w:after="0" w:line="240" w:lineRule="auto"/>
        <w:contextualSpacing/>
        <w:jc w:val="both"/>
        <w:rPr>
          <w:rFonts w:ascii="Arial" w:eastAsia="Calibri" w:hAnsi="Arial" w:cs="Arial"/>
        </w:rPr>
      </w:pPr>
      <w:r w:rsidRPr="00574963">
        <w:rPr>
          <w:rFonts w:ascii="Arial" w:eastAsia="Calibri" w:hAnsi="Arial" w:cs="Arial"/>
        </w:rPr>
        <w:t xml:space="preserve">                                            </w:t>
      </w:r>
      <w:r w:rsidRPr="00574963">
        <w:rPr>
          <w:rFonts w:ascii="Arial" w:eastAsia="Calibri" w:hAnsi="Arial" w:cs="Arial"/>
          <w:b/>
        </w:rPr>
        <w:t>Concepto C–</w:t>
      </w:r>
      <w:r>
        <w:rPr>
          <w:rFonts w:ascii="Arial" w:eastAsia="Calibri" w:hAnsi="Arial" w:cs="Arial"/>
          <w:b/>
        </w:rPr>
        <w:t xml:space="preserve">357 </w:t>
      </w:r>
      <w:r w:rsidRPr="00574963">
        <w:rPr>
          <w:rFonts w:ascii="Arial" w:eastAsia="Calibri" w:hAnsi="Arial" w:cs="Arial"/>
          <w:b/>
        </w:rPr>
        <w:t>de 2023</w:t>
      </w:r>
    </w:p>
    <w:p w14:paraId="031DFE7A" w14:textId="77777777" w:rsidR="00AB7479" w:rsidRPr="00574963" w:rsidRDefault="00AB7479" w:rsidP="00AB7479">
      <w:pPr>
        <w:spacing w:after="0" w:line="240" w:lineRule="auto"/>
        <w:contextualSpacing/>
        <w:jc w:val="both"/>
        <w:rPr>
          <w:rFonts w:ascii="Arial" w:eastAsia="Calibri" w:hAnsi="Arial" w:cs="Arial"/>
          <w:b/>
        </w:rPr>
      </w:pPr>
    </w:p>
    <w:p w14:paraId="30B84CBD" w14:textId="77777777" w:rsidR="00AB7479" w:rsidRPr="00574963" w:rsidRDefault="00AB7479" w:rsidP="00AB7479">
      <w:pPr>
        <w:spacing w:after="0" w:line="240" w:lineRule="auto"/>
        <w:contextualSpacing/>
        <w:jc w:val="both"/>
        <w:rPr>
          <w:rFonts w:ascii="Arial" w:eastAsia="Calibri" w:hAnsi="Arial" w:cs="Arial"/>
          <w:b/>
        </w:rPr>
      </w:pPr>
    </w:p>
    <w:tbl>
      <w:tblPr>
        <w:tblStyle w:val="Tablaconcuadrcula1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AB7479" w:rsidRPr="00574963" w14:paraId="0BC10575" w14:textId="77777777" w:rsidTr="00C63415">
        <w:trPr>
          <w:trHeight w:val="485"/>
        </w:trPr>
        <w:tc>
          <w:tcPr>
            <w:tcW w:w="2689" w:type="dxa"/>
            <w:hideMark/>
          </w:tcPr>
          <w:p w14:paraId="2964ADE7" w14:textId="77777777" w:rsidR="00AB7479" w:rsidRPr="00574963" w:rsidRDefault="00AB7479" w:rsidP="00C63415">
            <w:pPr>
              <w:rPr>
                <w:rFonts w:ascii="Arial" w:eastAsia="Calibri" w:hAnsi="Arial" w:cs="Arial"/>
                <w:noProof/>
                <w:lang w:val="es-ES_tradnl"/>
              </w:rPr>
            </w:pPr>
            <w:r w:rsidRPr="00574963">
              <w:rPr>
                <w:rFonts w:ascii="Arial" w:eastAsia="Calibri" w:hAnsi="Arial" w:cs="Arial"/>
                <w:b/>
                <w:noProof/>
                <w:lang w:val="es-ES_tradnl"/>
              </w:rPr>
              <w:t>Temas:</w:t>
            </w:r>
            <w:r w:rsidRPr="00574963">
              <w:rPr>
                <w:rFonts w:ascii="Arial" w:eastAsia="Calibri" w:hAnsi="Arial" w:cs="Arial"/>
                <w:noProof/>
                <w:lang w:val="es-ES_tradnl"/>
              </w:rPr>
              <w:t xml:space="preserve">        </w:t>
            </w:r>
          </w:p>
        </w:tc>
        <w:tc>
          <w:tcPr>
            <w:tcW w:w="6237" w:type="dxa"/>
            <w:hideMark/>
          </w:tcPr>
          <w:p w14:paraId="16704D17" w14:textId="77777777" w:rsidR="00AB7479" w:rsidRPr="00574963" w:rsidRDefault="00AB7479" w:rsidP="00C63415">
            <w:pPr>
              <w:spacing w:line="276" w:lineRule="auto"/>
              <w:jc w:val="both"/>
              <w:rPr>
                <w:rFonts w:ascii="Arial" w:eastAsia="Times New Roman" w:hAnsi="Arial" w:cs="Arial"/>
                <w:lang w:val="es-ES_tradnl" w:eastAsia="es-ES_tradnl"/>
              </w:rPr>
            </w:pPr>
            <w:r w:rsidRPr="00574963">
              <w:rPr>
                <w:rFonts w:ascii="Arial" w:eastAsia="Times New Roman" w:hAnsi="Arial" w:cs="Arial"/>
                <w:lang w:val="es-ES_tradnl" w:eastAsia="es-ES_tradnl"/>
              </w:rPr>
              <w:t>LEY DE GARA</w:t>
            </w:r>
            <w:r>
              <w:rPr>
                <w:rFonts w:ascii="Arial" w:eastAsia="Times New Roman" w:hAnsi="Arial" w:cs="Arial"/>
                <w:lang w:val="es-ES_tradnl" w:eastAsia="es-ES_tradnl"/>
              </w:rPr>
              <w:t>N</w:t>
            </w:r>
            <w:r w:rsidRPr="00574963">
              <w:rPr>
                <w:rFonts w:ascii="Arial" w:eastAsia="Times New Roman" w:hAnsi="Arial" w:cs="Arial"/>
                <w:lang w:val="es-ES_tradnl" w:eastAsia="es-ES_tradnl"/>
              </w:rPr>
              <w:t>TÍAS ELECTORALES – Definición – Finalidad / LEY DE GARANTÍAS ELECTORALES – Prohibición por elección de cargos populares – Convenios y contratos interadministrativos – Parágrafo del artículo 38</w:t>
            </w:r>
          </w:p>
          <w:p w14:paraId="6D4A1A7C" w14:textId="77777777" w:rsidR="00AB7479" w:rsidRPr="00574963" w:rsidRDefault="00AB7479" w:rsidP="00C63415">
            <w:pPr>
              <w:jc w:val="both"/>
              <w:rPr>
                <w:rFonts w:ascii="Arial" w:eastAsia="Calibri" w:hAnsi="Arial" w:cs="Arial"/>
                <w:b/>
                <w:bCs/>
                <w:lang w:val="es-MX"/>
              </w:rPr>
            </w:pPr>
          </w:p>
          <w:p w14:paraId="4EE6EA8D" w14:textId="77777777" w:rsidR="00AB7479" w:rsidRPr="00574963" w:rsidRDefault="00AB7479" w:rsidP="00C63415">
            <w:pPr>
              <w:ind w:right="703"/>
              <w:jc w:val="both"/>
              <w:rPr>
                <w:rFonts w:ascii="Arial" w:eastAsia="Calibri" w:hAnsi="Arial" w:cs="Arial"/>
                <w:bCs/>
                <w:lang w:val="es-MX"/>
              </w:rPr>
            </w:pPr>
          </w:p>
        </w:tc>
      </w:tr>
      <w:tr w:rsidR="00AB7479" w:rsidRPr="00574963" w14:paraId="1C39C3A0" w14:textId="77777777" w:rsidTr="00C63415">
        <w:tc>
          <w:tcPr>
            <w:tcW w:w="2689" w:type="dxa"/>
          </w:tcPr>
          <w:p w14:paraId="06FB1201" w14:textId="77777777" w:rsidR="00AB7479" w:rsidRPr="00574963" w:rsidRDefault="00AB7479" w:rsidP="00C63415">
            <w:pPr>
              <w:rPr>
                <w:rFonts w:ascii="Arial" w:eastAsia="Calibri" w:hAnsi="Arial" w:cs="Arial"/>
                <w:b/>
                <w:noProof/>
                <w:lang w:val="es-ES_tradnl"/>
              </w:rPr>
            </w:pPr>
            <w:r w:rsidRPr="00574963">
              <w:rPr>
                <w:rFonts w:ascii="Arial" w:eastAsia="Calibri" w:hAnsi="Arial" w:cs="Arial"/>
                <w:b/>
                <w:noProof/>
                <w:lang w:val="es-ES_tradnl"/>
              </w:rPr>
              <w:t>Radicación:</w:t>
            </w:r>
            <w:r w:rsidRPr="00574963">
              <w:rPr>
                <w:rFonts w:ascii="Arial" w:eastAsia="Calibri" w:hAnsi="Arial" w:cs="Arial"/>
                <w:noProof/>
                <w:lang w:val="es-ES_tradnl"/>
              </w:rPr>
              <w:t xml:space="preserve">                              </w:t>
            </w:r>
          </w:p>
        </w:tc>
        <w:tc>
          <w:tcPr>
            <w:tcW w:w="6237" w:type="dxa"/>
          </w:tcPr>
          <w:p w14:paraId="68EE6230" w14:textId="77777777" w:rsidR="00AB7479" w:rsidRPr="00574963" w:rsidRDefault="00AB7479" w:rsidP="00C63415">
            <w:pPr>
              <w:jc w:val="both"/>
              <w:rPr>
                <w:rFonts w:ascii="Arial" w:eastAsia="Calibri" w:hAnsi="Arial" w:cs="Arial"/>
                <w:noProof/>
                <w:lang w:val="es-ES_tradnl"/>
              </w:rPr>
            </w:pPr>
            <w:r w:rsidRPr="00574963">
              <w:rPr>
                <w:rFonts w:ascii="Arial" w:eastAsia="Calibri" w:hAnsi="Arial" w:cs="Arial"/>
                <w:noProof/>
                <w:lang w:val="es-ES_tradnl"/>
              </w:rPr>
              <w:t>Respuesta a consulta</w:t>
            </w:r>
            <w:r>
              <w:rPr>
                <w:rFonts w:ascii="Arial" w:eastAsia="Calibri" w:hAnsi="Arial" w:cs="Arial"/>
                <w:noProof/>
                <w:lang w:val="es-ES_tradnl"/>
              </w:rPr>
              <w:t xml:space="preserve"> </w:t>
            </w:r>
            <w:r w:rsidRPr="00BB1782">
              <w:rPr>
                <w:rFonts w:ascii="Arial" w:eastAsia="Calibri" w:hAnsi="Arial" w:cs="Arial"/>
                <w:noProof/>
                <w:lang w:val="es-ES_tradnl"/>
              </w:rPr>
              <w:t>P20230717013373</w:t>
            </w:r>
            <w:r w:rsidRPr="00574963">
              <w:rPr>
                <w:rFonts w:ascii="Arial" w:eastAsia="Calibri" w:hAnsi="Arial" w:cs="Arial"/>
                <w:noProof/>
                <w:lang w:val="es-ES_tradnl"/>
              </w:rPr>
              <w:tab/>
            </w:r>
            <w:r w:rsidRPr="00574963">
              <w:rPr>
                <w:rFonts w:ascii="Arial" w:eastAsia="Calibri" w:hAnsi="Arial" w:cs="Arial"/>
                <w:noProof/>
                <w:lang w:val="es-ES_tradnl"/>
              </w:rPr>
              <w:tab/>
            </w:r>
          </w:p>
        </w:tc>
      </w:tr>
    </w:tbl>
    <w:p w14:paraId="6F129216" w14:textId="77777777" w:rsidR="00AB7479" w:rsidRPr="00574963" w:rsidRDefault="00AB7479" w:rsidP="00AB7479">
      <w:pPr>
        <w:spacing w:after="0" w:line="240" w:lineRule="auto"/>
        <w:contextualSpacing/>
        <w:jc w:val="both"/>
        <w:rPr>
          <w:rFonts w:ascii="Arial" w:eastAsia="Calibri" w:hAnsi="Arial" w:cs="Arial"/>
        </w:rPr>
      </w:pPr>
    </w:p>
    <w:p w14:paraId="367B4257" w14:textId="77777777" w:rsidR="00AB7479" w:rsidRPr="00574963" w:rsidRDefault="00AB7479" w:rsidP="00AB7479">
      <w:pPr>
        <w:spacing w:after="0" w:line="240" w:lineRule="auto"/>
        <w:contextualSpacing/>
        <w:jc w:val="both"/>
        <w:rPr>
          <w:rFonts w:ascii="Arial" w:eastAsia="Calibri" w:hAnsi="Arial" w:cs="Arial"/>
        </w:rPr>
      </w:pPr>
    </w:p>
    <w:p w14:paraId="31ACD042" w14:textId="77777777" w:rsidR="00AB7479" w:rsidRPr="00574963" w:rsidRDefault="00AB7479" w:rsidP="00AB7479">
      <w:pPr>
        <w:spacing w:after="0" w:line="276" w:lineRule="auto"/>
        <w:contextualSpacing/>
        <w:jc w:val="both"/>
        <w:rPr>
          <w:rFonts w:ascii="Arial" w:eastAsia="Calibri" w:hAnsi="Arial" w:cs="Arial"/>
        </w:rPr>
      </w:pPr>
      <w:r w:rsidRPr="00574963">
        <w:rPr>
          <w:rFonts w:ascii="Arial" w:eastAsia="Calibri" w:hAnsi="Arial" w:cs="Arial"/>
        </w:rPr>
        <w:t>Estimad</w:t>
      </w:r>
      <w:r>
        <w:rPr>
          <w:rFonts w:ascii="Arial" w:eastAsia="Calibri" w:hAnsi="Arial" w:cs="Arial"/>
        </w:rPr>
        <w:t>a</w:t>
      </w:r>
      <w:r w:rsidRPr="00574963">
        <w:rPr>
          <w:rFonts w:ascii="Arial" w:eastAsia="Calibri" w:hAnsi="Arial" w:cs="Arial"/>
        </w:rPr>
        <w:t xml:space="preserve"> señor</w:t>
      </w:r>
      <w:r>
        <w:rPr>
          <w:rFonts w:ascii="Arial" w:eastAsia="Calibri" w:hAnsi="Arial" w:cs="Arial"/>
        </w:rPr>
        <w:t>a Gloria Eugenia</w:t>
      </w:r>
      <w:r w:rsidRPr="00574963">
        <w:rPr>
          <w:rFonts w:ascii="Arial" w:eastAsia="Calibri" w:hAnsi="Arial" w:cs="Arial"/>
        </w:rPr>
        <w:t>:</w:t>
      </w:r>
    </w:p>
    <w:p w14:paraId="4DBE46D9" w14:textId="77777777" w:rsidR="00AB7479" w:rsidRPr="00574963" w:rsidRDefault="00AB7479" w:rsidP="00AB7479">
      <w:pPr>
        <w:spacing w:after="0" w:line="276" w:lineRule="auto"/>
        <w:ind w:firstLine="709"/>
        <w:contextualSpacing/>
        <w:jc w:val="both"/>
        <w:rPr>
          <w:rFonts w:ascii="Arial" w:eastAsia="Calibri" w:hAnsi="Arial" w:cs="Arial"/>
        </w:rPr>
      </w:pPr>
    </w:p>
    <w:p w14:paraId="17B0C8A1" w14:textId="77777777" w:rsidR="00AB7479" w:rsidRPr="00574963" w:rsidRDefault="00AB7479" w:rsidP="00AB7479">
      <w:pPr>
        <w:spacing w:after="0" w:line="276" w:lineRule="auto"/>
        <w:contextualSpacing/>
        <w:jc w:val="both"/>
        <w:rPr>
          <w:rFonts w:ascii="Arial" w:eastAsia="Calibri" w:hAnsi="Arial" w:cs="Arial"/>
        </w:rPr>
      </w:pPr>
      <w:r w:rsidRPr="00574963">
        <w:rPr>
          <w:rFonts w:ascii="Arial" w:eastAsia="Calibri" w:hAnsi="Arial" w:cs="Arial"/>
        </w:rPr>
        <w:t xml:space="preserve">En ejercicio de la competencia otorgada por el numeral 8 del artículo 11 y el numeral 5 del artículo 3 del Decreto Ley 4170 de 2011, la Agencia Nacional de Contratación Pública – Colombia Compra Eficiente responde su consulta recibida el </w:t>
      </w:r>
      <w:r>
        <w:rPr>
          <w:rFonts w:ascii="Arial" w:eastAsia="Calibri" w:hAnsi="Arial" w:cs="Arial"/>
        </w:rPr>
        <w:t xml:space="preserve">17 </w:t>
      </w:r>
      <w:r w:rsidRPr="00574963">
        <w:rPr>
          <w:rFonts w:ascii="Arial" w:eastAsia="Calibri" w:hAnsi="Arial" w:cs="Arial"/>
        </w:rPr>
        <w:t xml:space="preserve">de </w:t>
      </w:r>
      <w:r>
        <w:rPr>
          <w:rFonts w:ascii="Arial" w:eastAsia="Calibri" w:hAnsi="Arial" w:cs="Arial"/>
        </w:rPr>
        <w:t>julio</w:t>
      </w:r>
      <w:r w:rsidRPr="00574963">
        <w:rPr>
          <w:rFonts w:ascii="Arial" w:eastAsia="Calibri" w:hAnsi="Arial" w:cs="Arial"/>
        </w:rPr>
        <w:t xml:space="preserve"> de 2023.</w:t>
      </w:r>
    </w:p>
    <w:p w14:paraId="740D7B23" w14:textId="77777777" w:rsidR="00AB7479" w:rsidRPr="00574963" w:rsidRDefault="00AB7479" w:rsidP="00AB7479">
      <w:pPr>
        <w:spacing w:after="0" w:line="276" w:lineRule="auto"/>
        <w:contextualSpacing/>
        <w:jc w:val="both"/>
        <w:rPr>
          <w:rFonts w:ascii="Arial" w:eastAsia="Calibri" w:hAnsi="Arial" w:cs="Arial"/>
        </w:rPr>
      </w:pPr>
    </w:p>
    <w:p w14:paraId="4439E5D3" w14:textId="77777777" w:rsidR="00AB7479" w:rsidRPr="00574963" w:rsidRDefault="00AB7479" w:rsidP="00AB7479">
      <w:pPr>
        <w:tabs>
          <w:tab w:val="left" w:pos="284"/>
        </w:tabs>
        <w:spacing w:after="0" w:line="276" w:lineRule="auto"/>
        <w:contextualSpacing/>
        <w:jc w:val="both"/>
        <w:rPr>
          <w:rFonts w:ascii="Arial" w:eastAsia="Calibri" w:hAnsi="Arial" w:cs="Arial"/>
          <w:b/>
        </w:rPr>
      </w:pPr>
      <w:r w:rsidRPr="00574963">
        <w:rPr>
          <w:rFonts w:ascii="Arial" w:eastAsia="Calibri" w:hAnsi="Arial" w:cs="Arial"/>
          <w:b/>
        </w:rPr>
        <w:t xml:space="preserve">1. Problema planteado </w:t>
      </w:r>
    </w:p>
    <w:p w14:paraId="7C32B015" w14:textId="77777777" w:rsidR="00AB7479" w:rsidRPr="00574963" w:rsidRDefault="00AB7479" w:rsidP="00AB7479">
      <w:pPr>
        <w:tabs>
          <w:tab w:val="left" w:pos="284"/>
        </w:tabs>
        <w:spacing w:after="0" w:line="276" w:lineRule="auto"/>
        <w:ind w:firstLine="709"/>
        <w:contextualSpacing/>
        <w:jc w:val="both"/>
        <w:rPr>
          <w:rFonts w:ascii="Arial" w:eastAsia="Calibri" w:hAnsi="Arial" w:cs="Arial"/>
          <w:b/>
        </w:rPr>
      </w:pPr>
    </w:p>
    <w:p w14:paraId="3F9A0D11" w14:textId="77777777" w:rsidR="00AB7479" w:rsidRPr="00574963" w:rsidRDefault="00AB7479" w:rsidP="00AB7479">
      <w:pPr>
        <w:spacing w:after="0" w:line="276" w:lineRule="auto"/>
        <w:contextualSpacing/>
        <w:jc w:val="both"/>
        <w:rPr>
          <w:rFonts w:ascii="Arial" w:eastAsia="Calibri" w:hAnsi="Arial" w:cs="Arial"/>
        </w:rPr>
      </w:pPr>
      <w:bookmarkStart w:id="5" w:name="_Hlk58917991"/>
      <w:bookmarkStart w:id="6" w:name="_Hlk56103000"/>
      <w:r w:rsidRPr="00574963">
        <w:rPr>
          <w:rFonts w:ascii="Arial" w:eastAsia="Calibri" w:hAnsi="Arial" w:cs="Arial"/>
        </w:rPr>
        <w:t xml:space="preserve">Usted plantea la siguiente consulta: </w:t>
      </w:r>
      <w:bookmarkStart w:id="7" w:name="_Hlk116284008"/>
    </w:p>
    <w:p w14:paraId="13F40D56" w14:textId="77777777" w:rsidR="00AB7479" w:rsidRPr="00574963" w:rsidRDefault="00AB7479" w:rsidP="00AB7479">
      <w:pPr>
        <w:spacing w:after="0" w:line="276" w:lineRule="auto"/>
        <w:contextualSpacing/>
        <w:jc w:val="both"/>
        <w:rPr>
          <w:rFonts w:ascii="Arial" w:eastAsia="Calibri" w:hAnsi="Arial" w:cs="Arial"/>
        </w:rPr>
      </w:pPr>
    </w:p>
    <w:p w14:paraId="14B04CA6" w14:textId="77777777" w:rsidR="00AB7479" w:rsidRDefault="00AB7479" w:rsidP="00AB7479">
      <w:pPr>
        <w:spacing w:before="120" w:after="0" w:line="240" w:lineRule="auto"/>
        <w:ind w:left="709" w:right="709"/>
        <w:contextualSpacing/>
        <w:jc w:val="both"/>
        <w:rPr>
          <w:rFonts w:ascii="Arial" w:eastAsia="Calibri" w:hAnsi="Arial" w:cs="Arial"/>
          <w:sz w:val="21"/>
          <w:szCs w:val="21"/>
          <w:lang w:val="es-MX"/>
        </w:rPr>
      </w:pPr>
      <w:bookmarkStart w:id="8" w:name="_Hlk133573383"/>
      <w:r w:rsidRPr="00574963">
        <w:rPr>
          <w:rFonts w:ascii="Arial" w:eastAsia="Calibri" w:hAnsi="Arial" w:cs="Arial"/>
          <w:sz w:val="21"/>
          <w:szCs w:val="21"/>
          <w:lang w:val="es-MX"/>
        </w:rPr>
        <w:t>“</w:t>
      </w:r>
      <w:r>
        <w:rPr>
          <w:rFonts w:ascii="Arial" w:eastAsia="Calibri" w:hAnsi="Arial" w:cs="Arial"/>
          <w:sz w:val="21"/>
          <w:szCs w:val="21"/>
          <w:lang w:val="es-MX"/>
        </w:rPr>
        <w:t xml:space="preserve">Pregunta </w:t>
      </w:r>
      <w:r w:rsidRPr="00574963">
        <w:rPr>
          <w:rFonts w:ascii="Arial" w:eastAsia="Calibri" w:hAnsi="Arial" w:cs="Arial"/>
          <w:sz w:val="21"/>
          <w:szCs w:val="21"/>
          <w:lang w:val="es-MX"/>
        </w:rPr>
        <w:t>1.</w:t>
      </w:r>
      <w:r>
        <w:rPr>
          <w:rFonts w:ascii="Arial" w:eastAsia="Calibri" w:hAnsi="Arial" w:cs="Arial"/>
          <w:sz w:val="21"/>
          <w:szCs w:val="21"/>
          <w:lang w:val="es-MX"/>
        </w:rPr>
        <w:t xml:space="preserve"> ¿Se entiende como convenio interadministrativo un convenio especial de cooperación para la ejecución de actividades científicas y tecnológicas, cuando las partes cooperantes corresponden a entidades públicas? Lo anterior en consideración a que en la ley 1150 de 2007 las causales de contratación para convenios y contratos interadministrativos y contratos para la ejecución de actividades científicas y tecnológicas bajo cualquiera de sus modalidades son distintas, literales c), y </w:t>
      </w:r>
      <w:proofErr w:type="spellStart"/>
      <w:r>
        <w:rPr>
          <w:rFonts w:ascii="Arial" w:eastAsia="Calibri" w:hAnsi="Arial" w:cs="Arial"/>
          <w:sz w:val="21"/>
          <w:szCs w:val="21"/>
          <w:lang w:val="es-MX"/>
        </w:rPr>
        <w:t>e</w:t>
      </w:r>
      <w:proofErr w:type="spellEnd"/>
      <w:r>
        <w:rPr>
          <w:rFonts w:ascii="Arial" w:eastAsia="Calibri" w:hAnsi="Arial" w:cs="Arial"/>
          <w:sz w:val="21"/>
          <w:szCs w:val="21"/>
          <w:lang w:val="es-MX"/>
        </w:rPr>
        <w:t>).</w:t>
      </w:r>
    </w:p>
    <w:p w14:paraId="4A793CD1" w14:textId="77777777" w:rsidR="00AB7479" w:rsidRDefault="00AB7479" w:rsidP="00AB7479">
      <w:pPr>
        <w:spacing w:before="120" w:after="0" w:line="240" w:lineRule="auto"/>
        <w:ind w:left="709" w:right="709"/>
        <w:contextualSpacing/>
        <w:jc w:val="both"/>
        <w:rPr>
          <w:rFonts w:ascii="Arial" w:eastAsia="Calibri" w:hAnsi="Arial" w:cs="Arial"/>
          <w:sz w:val="21"/>
          <w:szCs w:val="21"/>
          <w:lang w:val="es-MX"/>
        </w:rPr>
      </w:pPr>
    </w:p>
    <w:p w14:paraId="281F06D4" w14:textId="77777777" w:rsidR="00AB7479" w:rsidRPr="00574963" w:rsidRDefault="00AB7479" w:rsidP="00AB7479">
      <w:pPr>
        <w:spacing w:before="120" w:after="0" w:line="240" w:lineRule="auto"/>
        <w:ind w:left="709" w:right="709"/>
        <w:contextualSpacing/>
        <w:jc w:val="both"/>
        <w:rPr>
          <w:rFonts w:ascii="Arial" w:eastAsia="Calibri" w:hAnsi="Arial" w:cs="Arial"/>
          <w:sz w:val="21"/>
          <w:szCs w:val="21"/>
          <w:lang w:val="es-MX"/>
        </w:rPr>
      </w:pPr>
      <w:r>
        <w:rPr>
          <w:rFonts w:ascii="Arial" w:eastAsia="Calibri" w:hAnsi="Arial" w:cs="Arial"/>
          <w:sz w:val="21"/>
          <w:szCs w:val="21"/>
          <w:lang w:val="es-MX"/>
        </w:rPr>
        <w:t>Pregunta 2. ¿Se entiende amparado bajo la restricción contenida por el parágrafo del Artículo 38 de la ley 996 de 2005 los convenios especiales de cooperación para la ejecución de actividades científicas y tecnológicas, cuando las partes cooperantes corresponden a entidades públicas?</w:t>
      </w:r>
      <w:r w:rsidRPr="00574963">
        <w:rPr>
          <w:rFonts w:ascii="Arial" w:eastAsia="Calibri" w:hAnsi="Arial" w:cs="Arial"/>
          <w:sz w:val="21"/>
          <w:szCs w:val="21"/>
          <w:lang w:val="es-MX"/>
        </w:rPr>
        <w:t>”</w:t>
      </w:r>
      <w:r>
        <w:rPr>
          <w:rFonts w:ascii="Arial" w:eastAsia="Calibri" w:hAnsi="Arial" w:cs="Arial"/>
          <w:sz w:val="21"/>
          <w:szCs w:val="21"/>
          <w:lang w:val="es-MX"/>
        </w:rPr>
        <w:t xml:space="preserve"> (SIC)</w:t>
      </w:r>
    </w:p>
    <w:p w14:paraId="4955B1E1" w14:textId="77777777" w:rsidR="00AB7479" w:rsidRPr="00574963" w:rsidRDefault="00AB7479" w:rsidP="00AB7479">
      <w:pPr>
        <w:spacing w:after="0" w:line="276" w:lineRule="auto"/>
        <w:ind w:right="709"/>
        <w:jc w:val="both"/>
        <w:rPr>
          <w:rFonts w:ascii="Arial" w:eastAsia="Calibri" w:hAnsi="Arial" w:cs="Arial"/>
          <w:lang w:val="es-ES"/>
        </w:rPr>
      </w:pPr>
    </w:p>
    <w:bookmarkEnd w:id="5"/>
    <w:bookmarkEnd w:id="6"/>
    <w:bookmarkEnd w:id="7"/>
    <w:bookmarkEnd w:id="8"/>
    <w:p w14:paraId="7795EDC9" w14:textId="77777777" w:rsidR="00AB7479" w:rsidRPr="00574963" w:rsidRDefault="00AB7479" w:rsidP="00AB7479">
      <w:pPr>
        <w:tabs>
          <w:tab w:val="left" w:pos="284"/>
        </w:tabs>
        <w:spacing w:after="0" w:line="276" w:lineRule="auto"/>
        <w:contextualSpacing/>
        <w:jc w:val="both"/>
        <w:rPr>
          <w:rFonts w:ascii="Arial" w:eastAsia="Calibri" w:hAnsi="Arial" w:cs="Arial"/>
          <w:b/>
        </w:rPr>
      </w:pPr>
      <w:r w:rsidRPr="00574963">
        <w:rPr>
          <w:rFonts w:ascii="Arial" w:eastAsia="Calibri" w:hAnsi="Arial" w:cs="Arial"/>
          <w:b/>
        </w:rPr>
        <w:t>2. Consideraciones</w:t>
      </w:r>
    </w:p>
    <w:p w14:paraId="4DD02B2F" w14:textId="77777777" w:rsidR="00AB7479" w:rsidRPr="00574963" w:rsidRDefault="00AB7479" w:rsidP="00AB7479">
      <w:pPr>
        <w:tabs>
          <w:tab w:val="left" w:pos="284"/>
        </w:tabs>
        <w:spacing w:after="0" w:line="276" w:lineRule="auto"/>
        <w:contextualSpacing/>
        <w:jc w:val="both"/>
        <w:rPr>
          <w:rFonts w:ascii="Arial" w:eastAsia="Calibri" w:hAnsi="Arial" w:cs="Arial"/>
          <w:b/>
        </w:rPr>
      </w:pPr>
    </w:p>
    <w:p w14:paraId="46158AF5" w14:textId="77777777" w:rsidR="00AB7479" w:rsidRPr="00574963" w:rsidRDefault="00AB7479" w:rsidP="00AB7479">
      <w:pPr>
        <w:spacing w:after="120" w:line="276" w:lineRule="auto"/>
        <w:jc w:val="both"/>
        <w:rPr>
          <w:rFonts w:ascii="Arial" w:eastAsia="Calibri" w:hAnsi="Arial" w:cs="Arial"/>
          <w:lang w:val="es-ES"/>
        </w:rPr>
      </w:pPr>
      <w:r w:rsidRPr="00574963">
        <w:rPr>
          <w:rFonts w:ascii="Arial" w:eastAsia="Calibri" w:hAnsi="Arial" w:cs="Arial"/>
          <w:bCs/>
          <w:lang w:val="es-MX"/>
        </w:rPr>
        <w:t>En ejercicio de las competencias establecidas en los artículos 3, numeral 5° y 11, numeral 8° del Decreto 4170 de 2011, la Agencia Nacional de Contratación Pública – Colombia Compra Eficiente resuelve consultas sobre los asuntos de su competencia, esto es, sobre las temáticas de la contratación estatal relacionad</w:t>
      </w:r>
      <w:r>
        <w:rPr>
          <w:rFonts w:ascii="Arial" w:eastAsia="Calibri" w:hAnsi="Arial" w:cs="Arial"/>
          <w:bCs/>
          <w:lang w:val="es-MX"/>
        </w:rPr>
        <w:t>a</w:t>
      </w:r>
      <w:r w:rsidRPr="00574963">
        <w:rPr>
          <w:rFonts w:ascii="Arial" w:eastAsia="Calibri" w:hAnsi="Arial" w:cs="Arial"/>
          <w:bCs/>
          <w:lang w:val="es-MX"/>
        </w:rPr>
        <w:t>s en los artículos citados.</w:t>
      </w:r>
      <w:r w:rsidRPr="00574963">
        <w:rPr>
          <w:rFonts w:ascii="Arial" w:eastAsia="Calibri" w:hAnsi="Arial" w:cs="Arial"/>
          <w:lang w:val="es-ES"/>
        </w:rPr>
        <w:t xml:space="preserve"> </w:t>
      </w:r>
      <w:bookmarkStart w:id="9" w:name="_Hlk61701014"/>
      <w:bookmarkStart w:id="10" w:name="_Hlk62136649"/>
      <w:r w:rsidRPr="00574963">
        <w:rPr>
          <w:rFonts w:ascii="Arial" w:eastAsia="Calibri" w:hAnsi="Arial" w:cs="Arial"/>
          <w:lang w:val="es-ES"/>
        </w:rPr>
        <w:t xml:space="preserve">Es necesario tener en cuenta que </w:t>
      </w:r>
      <w:bookmarkStart w:id="11" w:name="_Hlk61026958"/>
      <w:r w:rsidRPr="00574963">
        <w:rPr>
          <w:rFonts w:ascii="Arial" w:eastAsia="Calibri" w:hAnsi="Arial" w:cs="Arial"/>
          <w:lang w:val="es-ES"/>
        </w:rPr>
        <w:t>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574963">
        <w:rPr>
          <w:rFonts w:ascii="Arial" w:eastAsia="Calibri" w:hAnsi="Arial" w:cs="Arial"/>
          <w:bCs/>
          <w:lang w:val="es-MX"/>
        </w:rPr>
        <w:t xml:space="preserve"> de todos los partícipes de la contratación estatal.</w:t>
      </w:r>
    </w:p>
    <w:p w14:paraId="4380AD86" w14:textId="77777777" w:rsidR="00AB7479" w:rsidRPr="00574963" w:rsidRDefault="00AB7479" w:rsidP="00AB7479">
      <w:pPr>
        <w:spacing w:after="120" w:line="276" w:lineRule="auto"/>
        <w:ind w:firstLine="708"/>
        <w:jc w:val="both"/>
        <w:rPr>
          <w:rFonts w:ascii="Arial" w:eastAsia="Calibri" w:hAnsi="Arial" w:cs="Arial"/>
          <w:lang w:val="es-ES"/>
        </w:rPr>
      </w:pPr>
      <w:r w:rsidRPr="00574963">
        <w:rPr>
          <w:rFonts w:ascii="Arial" w:eastAsia="Calibri" w:hAnsi="Arial"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574963">
        <w:rPr>
          <w:rFonts w:ascii="Arial" w:eastAsia="Calibri" w:hAnsi="Arial" w:cs="Arial"/>
          <w:vertAlign w:val="superscript"/>
          <w:lang w:val="es-ES"/>
        </w:rPr>
        <w:footnoteReference w:id="1"/>
      </w:r>
      <w:r w:rsidRPr="00574963">
        <w:rPr>
          <w:rFonts w:ascii="Arial" w:eastAsia="Calibri" w:hAnsi="Arial" w:cs="Arial"/>
          <w:lang w:val="es-ES"/>
        </w:rPr>
        <w:t>. Esta competencia de interpretación de normas generales, por definición, no puede extenderse a la resolución de controversias, ni a brindar asesorías sobre casos puntuales.</w:t>
      </w:r>
      <w:bookmarkEnd w:id="9"/>
      <w:bookmarkEnd w:id="11"/>
    </w:p>
    <w:bookmarkEnd w:id="10"/>
    <w:p w14:paraId="3A8DC353" w14:textId="77777777" w:rsidR="00AB7479" w:rsidRPr="00574963" w:rsidRDefault="00AB7479" w:rsidP="00AB7479">
      <w:pPr>
        <w:spacing w:before="120" w:after="120" w:line="276" w:lineRule="auto"/>
        <w:ind w:firstLine="709"/>
        <w:jc w:val="both"/>
        <w:rPr>
          <w:rFonts w:ascii="Arial" w:eastAsia="Calibri" w:hAnsi="Arial" w:cs="Arial"/>
          <w:highlight w:val="yellow"/>
          <w:lang w:val="es-ES_tradnl" w:eastAsia="es-MX"/>
        </w:rPr>
      </w:pPr>
      <w:r w:rsidRPr="00574963">
        <w:rPr>
          <w:rFonts w:ascii="Arial" w:eastAsia="Calibri" w:hAnsi="Arial" w:cs="Arial"/>
          <w:lang w:val="es-MX"/>
        </w:rPr>
        <w:t xml:space="preserve">Sin perjuicio de lo anterior, </w:t>
      </w:r>
      <w:r w:rsidRPr="00574963">
        <w:rPr>
          <w:rFonts w:ascii="Arial" w:eastAsia="Calibri" w:hAnsi="Arial" w:cs="Arial"/>
          <w:lang w:val="es-ES"/>
        </w:rPr>
        <w:t>la Subdirección de Gestión Contractual dentro de los límites de sus atribuciones, resolverá la consulta conforme a las normas generales en materia de contratación estatal</w:t>
      </w:r>
      <w:r w:rsidRPr="00574963">
        <w:rPr>
          <w:rFonts w:ascii="Arial" w:eastAsia="Calibri" w:hAnsi="Arial" w:cs="Arial"/>
          <w:lang w:val="es-ES_tradnl" w:eastAsia="es-MX"/>
        </w:rPr>
        <w:t>. Con este objetivo, se analizarán los siguientes temas: i) definición y finalidad de la Ley de Garantías Electorales, ii) restricciones para la celebración de contratos y convenios interadministrativos en los comicios para cargos de elección popular.</w:t>
      </w:r>
    </w:p>
    <w:p w14:paraId="6B8B123A" w14:textId="77777777" w:rsidR="00AB7479" w:rsidRPr="00574963" w:rsidRDefault="00AB7479" w:rsidP="00AB7479">
      <w:pPr>
        <w:spacing w:after="0" w:line="276" w:lineRule="auto"/>
        <w:ind w:firstLine="709"/>
        <w:jc w:val="both"/>
        <w:rPr>
          <w:rFonts w:ascii="Arial" w:eastAsia="Arial" w:hAnsi="Arial" w:cs="Arial"/>
          <w:lang w:val="es-MX" w:eastAsia="es-ES_tradnl"/>
        </w:rPr>
      </w:pPr>
      <w:r w:rsidRPr="00574963">
        <w:rPr>
          <w:rFonts w:ascii="Arial" w:eastAsia="Times New Roman" w:hAnsi="Arial" w:cs="Arial"/>
          <w:lang w:eastAsia="es-ES_tradnl"/>
        </w:rPr>
        <w:t xml:space="preserve">La Agencia Nacional de Contratación Pública – Colombia Compra Eficiente </w:t>
      </w:r>
      <w:r w:rsidRPr="00574963">
        <w:rPr>
          <w:rFonts w:ascii="Arial" w:eastAsia="Arial" w:hAnsi="Arial" w:cs="Arial"/>
          <w:lang w:val="es-MX" w:eastAsia="es-ES_tradnl"/>
        </w:rPr>
        <w:t xml:space="preserve">ha analizado diferentes aspectos de la Ley 996 de 2005 en los conceptos con número de radicado </w:t>
      </w:r>
      <w:r w:rsidRPr="00574963">
        <w:rPr>
          <w:rFonts w:ascii="Arial" w:eastAsia="Calibri" w:hAnsi="Arial" w:cs="Arial"/>
          <w:bCs/>
        </w:rPr>
        <w:t>C-099 del 22 de marzo de 2022, C-102 del 22 de marzo de 2022, C-107 del 18 de marzo de 2022, C-111 del 22 de marzo de 2022</w:t>
      </w:r>
      <w:r>
        <w:rPr>
          <w:rFonts w:ascii="Arial" w:eastAsia="Calibri" w:hAnsi="Arial" w:cs="Arial"/>
          <w:bCs/>
        </w:rPr>
        <w:t>,</w:t>
      </w:r>
      <w:r w:rsidRPr="00574963">
        <w:rPr>
          <w:rFonts w:ascii="Arial" w:eastAsia="Calibri" w:hAnsi="Arial" w:cs="Arial"/>
          <w:bCs/>
        </w:rPr>
        <w:t xml:space="preserve"> C-115 del 22 de marzo de 2022, C-116 del 18 de marzo de 2022, C-127 del 22 de marzo de 2022 </w:t>
      </w:r>
      <w:r>
        <w:rPr>
          <w:rFonts w:ascii="Arial" w:eastAsia="Calibri" w:hAnsi="Arial" w:cs="Arial"/>
          <w:bCs/>
        </w:rPr>
        <w:t xml:space="preserve">, </w:t>
      </w:r>
      <w:r w:rsidRPr="00574963">
        <w:rPr>
          <w:rFonts w:ascii="Arial" w:eastAsia="Calibri" w:hAnsi="Arial" w:cs="Arial"/>
          <w:bCs/>
        </w:rPr>
        <w:t xml:space="preserve"> C-164 del 22 de marzo de 2022</w:t>
      </w:r>
      <w:r>
        <w:rPr>
          <w:rFonts w:ascii="Arial" w:eastAsia="Calibri" w:hAnsi="Arial" w:cs="Arial"/>
          <w:bCs/>
        </w:rPr>
        <w:t xml:space="preserve">, </w:t>
      </w:r>
      <w:r w:rsidRPr="00574963">
        <w:rPr>
          <w:rFonts w:ascii="Arial" w:eastAsia="Calibri" w:hAnsi="Arial" w:cs="Arial"/>
          <w:bCs/>
          <w:vertAlign w:val="superscript"/>
        </w:rPr>
        <w:footnoteReference w:id="2"/>
      </w:r>
      <w:r>
        <w:rPr>
          <w:rFonts w:ascii="Arial" w:eastAsia="Calibri" w:hAnsi="Arial" w:cs="Arial"/>
          <w:bCs/>
        </w:rPr>
        <w:t>, C-251-4 de julio de 2023; C-</w:t>
      </w:r>
      <w:r>
        <w:rPr>
          <w:rFonts w:ascii="Arial" w:eastAsia="Calibri" w:hAnsi="Arial" w:cs="Arial"/>
          <w:bCs/>
        </w:rPr>
        <w:lastRenderedPageBreak/>
        <w:t>257 del 16 de agosto de 2023 y C-257 del 16  de agosto de 2023</w:t>
      </w:r>
      <w:r w:rsidRPr="00574963">
        <w:rPr>
          <w:rFonts w:ascii="Arial" w:eastAsia="Calibri" w:hAnsi="Arial" w:cs="Arial"/>
          <w:lang w:val="es-ES_tradnl"/>
        </w:rPr>
        <w:t>.</w:t>
      </w:r>
      <w:r w:rsidRPr="00574963">
        <w:rPr>
          <w:rFonts w:ascii="Arial" w:eastAsia="Arial" w:hAnsi="Arial" w:cs="Arial"/>
          <w:lang w:val="es-MX" w:eastAsia="es-ES_tradnl"/>
        </w:rPr>
        <w:t xml:space="preserve"> </w:t>
      </w:r>
      <w:r w:rsidRPr="00574963">
        <w:rPr>
          <w:rFonts w:ascii="Arial" w:eastAsia="Calibri" w:hAnsi="Arial" w:cs="Arial"/>
          <w:lang w:val="es-ES_tradnl" w:eastAsia="es-ES_tradnl"/>
        </w:rPr>
        <w:t>Algunas de las consideraciones de estos conceptos se reiteran y se complementan en lo pertinente, teniendo en cuenta lo consultado.</w:t>
      </w:r>
    </w:p>
    <w:p w14:paraId="51473B6C" w14:textId="77777777" w:rsidR="00AB7479" w:rsidRPr="00574963" w:rsidRDefault="00AB7479" w:rsidP="00AB7479">
      <w:pPr>
        <w:spacing w:after="0" w:line="276" w:lineRule="auto"/>
        <w:ind w:firstLine="709"/>
        <w:jc w:val="both"/>
        <w:rPr>
          <w:rFonts w:ascii="Arial" w:eastAsia="Times New Roman" w:hAnsi="Arial" w:cs="Arial"/>
          <w:b/>
          <w:bCs/>
          <w:iCs/>
          <w:szCs w:val="24"/>
          <w:lang w:val="es-ES_tradnl" w:eastAsia="es-ES_tradnl"/>
        </w:rPr>
      </w:pPr>
    </w:p>
    <w:p w14:paraId="34BF7DEB" w14:textId="77777777" w:rsidR="00AB7479" w:rsidRPr="00574963" w:rsidRDefault="00AB7479" w:rsidP="00AB7479">
      <w:pPr>
        <w:spacing w:after="0" w:line="276" w:lineRule="auto"/>
        <w:jc w:val="both"/>
        <w:rPr>
          <w:rFonts w:ascii="Arial" w:eastAsia="Times New Roman" w:hAnsi="Arial" w:cs="Arial"/>
          <w:b/>
          <w:bCs/>
          <w:iCs/>
          <w:szCs w:val="24"/>
          <w:lang w:val="es-ES_tradnl" w:eastAsia="es-ES_tradnl"/>
        </w:rPr>
      </w:pPr>
      <w:r w:rsidRPr="00574963">
        <w:rPr>
          <w:rFonts w:ascii="Arial" w:eastAsia="Times New Roman" w:hAnsi="Arial" w:cs="Arial"/>
          <w:b/>
          <w:bCs/>
          <w:iCs/>
          <w:szCs w:val="24"/>
          <w:lang w:val="es-ES_tradnl" w:eastAsia="es-ES_tradnl"/>
        </w:rPr>
        <w:t>2.1. Definición y finalidad de la Ley de Garantías Electorales. Reiteración de línea</w:t>
      </w:r>
    </w:p>
    <w:p w14:paraId="314E787D" w14:textId="77777777" w:rsidR="00AB7479" w:rsidRPr="00574963" w:rsidRDefault="00AB7479" w:rsidP="00AB7479">
      <w:pPr>
        <w:spacing w:after="0" w:line="240" w:lineRule="auto"/>
        <w:ind w:firstLine="709"/>
        <w:jc w:val="both"/>
        <w:rPr>
          <w:rFonts w:ascii="Arial" w:eastAsia="Times New Roman" w:hAnsi="Arial" w:cs="Arial"/>
          <w:iCs/>
          <w:szCs w:val="24"/>
          <w:lang w:val="es-ES_tradnl" w:eastAsia="es-ES_tradnl"/>
        </w:rPr>
      </w:pPr>
    </w:p>
    <w:p w14:paraId="2A711E44" w14:textId="77777777" w:rsidR="00AB7479" w:rsidRPr="00574963" w:rsidRDefault="00AB7479" w:rsidP="00AB7479">
      <w:pPr>
        <w:spacing w:after="0" w:line="276" w:lineRule="auto"/>
        <w:jc w:val="both"/>
        <w:rPr>
          <w:rFonts w:ascii="Arial" w:eastAsia="Times New Roman" w:hAnsi="Arial" w:cs="Arial"/>
          <w:iCs/>
          <w:szCs w:val="24"/>
          <w:lang w:val="es-ES_tradnl" w:eastAsia="es-ES_tradnl"/>
        </w:rPr>
      </w:pPr>
      <w:r w:rsidRPr="00574963">
        <w:rPr>
          <w:rFonts w:ascii="Arial" w:eastAsia="Times New Roman" w:hAnsi="Arial" w:cs="Arial"/>
          <w:iCs/>
          <w:szCs w:val="24"/>
          <w:lang w:val="es-ES_tradnl" w:eastAsia="es-ES_tradnl"/>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cuento a aspectos políticos, consagra restricciones a ciertos empleados del Estado, incluso en época no electoral</w:t>
      </w:r>
      <w:r w:rsidRPr="00574963">
        <w:rPr>
          <w:rFonts w:ascii="Arial" w:eastAsia="Calibri" w:hAnsi="Arial" w:cs="Arial"/>
          <w:bCs/>
          <w:vertAlign w:val="superscript"/>
          <w:lang w:val="es-MX"/>
        </w:rPr>
        <w:footnoteReference w:id="3"/>
      </w:r>
      <w:r w:rsidRPr="00574963">
        <w:rPr>
          <w:rFonts w:ascii="Arial" w:eastAsia="Calibri" w:hAnsi="Arial" w:cs="Arial"/>
          <w:bCs/>
          <w:lang w:val="es-MX"/>
        </w:rPr>
        <w:t>.</w:t>
      </w:r>
    </w:p>
    <w:p w14:paraId="50A2DBC9" w14:textId="77777777" w:rsidR="00AB7479" w:rsidRPr="00574963" w:rsidRDefault="00AB7479" w:rsidP="00AB7479">
      <w:pPr>
        <w:spacing w:before="120" w:after="0" w:line="276" w:lineRule="auto"/>
        <w:ind w:firstLine="709"/>
        <w:jc w:val="both"/>
        <w:rPr>
          <w:rFonts w:ascii="Arial" w:eastAsia="Times New Roman" w:hAnsi="Arial" w:cs="Arial"/>
          <w:iCs/>
          <w:szCs w:val="24"/>
          <w:lang w:val="es-ES_tradnl" w:eastAsia="es-ES_tradnl"/>
        </w:rPr>
      </w:pPr>
      <w:r w:rsidRPr="00574963">
        <w:rPr>
          <w:rFonts w:ascii="Arial" w:eastAsia="Times New Roman" w:hAnsi="Arial" w:cs="Arial"/>
          <w:iCs/>
          <w:szCs w:val="24"/>
          <w:lang w:val="es-ES_tradnl" w:eastAsia="es-ES_tradnl"/>
        </w:rPr>
        <w:t>En el mismo sentido,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574963">
        <w:rPr>
          <w:rFonts w:ascii="Arial" w:hAnsi="Arial" w:cs="Arial"/>
          <w:bCs/>
          <w:vertAlign w:val="superscript"/>
          <w:lang w:eastAsia="es-CO"/>
        </w:rPr>
        <w:footnoteReference w:id="4"/>
      </w:r>
      <w:r w:rsidRPr="00574963">
        <w:rPr>
          <w:rFonts w:ascii="Arial" w:hAnsi="Arial" w:cs="Arial"/>
          <w:bCs/>
          <w:lang w:eastAsia="es-CO"/>
        </w:rPr>
        <w:t>. En esta medida, introduce limitaciones para realizar nombramientos, postulaciones, contrataciones o cualquier otro tipo de actividad que implique destinación de recursos públicos bajo el devenir propio de las entidades estatales. En armonía con lo anterior, la Corte Constitucional ha abordado la definición de la Ley de Garantías Electorales. De esta manera, explica que tiene como propósito:</w:t>
      </w:r>
    </w:p>
    <w:p w14:paraId="12D699FF" w14:textId="77777777" w:rsidR="00AB7479" w:rsidRPr="00574963" w:rsidRDefault="00AB7479" w:rsidP="00AB7479">
      <w:pPr>
        <w:spacing w:after="0" w:line="240" w:lineRule="auto"/>
        <w:ind w:left="709" w:right="709"/>
        <w:contextualSpacing/>
        <w:jc w:val="both"/>
        <w:rPr>
          <w:rFonts w:ascii="Arial" w:hAnsi="Arial" w:cs="Arial"/>
          <w:sz w:val="21"/>
          <w:szCs w:val="21"/>
          <w:lang w:val="es-ES" w:eastAsia="es-CO"/>
        </w:rPr>
      </w:pPr>
    </w:p>
    <w:p w14:paraId="4DDE754C" w14:textId="77777777" w:rsidR="00AB7479" w:rsidRPr="00574963" w:rsidRDefault="00AB7479" w:rsidP="00AB7479">
      <w:pPr>
        <w:spacing w:after="0" w:line="240" w:lineRule="auto"/>
        <w:ind w:left="709" w:right="709"/>
        <w:contextualSpacing/>
        <w:jc w:val="both"/>
        <w:rPr>
          <w:rFonts w:ascii="Arial" w:hAnsi="Arial" w:cs="Arial"/>
          <w:bCs/>
          <w:sz w:val="21"/>
          <w:szCs w:val="21"/>
          <w:lang w:val="es-MX" w:eastAsia="es-CO"/>
        </w:rPr>
      </w:pPr>
      <w:r w:rsidRPr="00574963">
        <w:rPr>
          <w:rFonts w:ascii="Arial" w:hAnsi="Arial" w:cs="Arial"/>
          <w:sz w:val="21"/>
          <w:szCs w:val="21"/>
          <w:lang w:val="es-ES" w:eastAsia="es-CO"/>
        </w:rPr>
        <w:t xml:space="preserve">“[…] </w:t>
      </w:r>
      <w:r w:rsidRPr="00574963">
        <w:rPr>
          <w:rFonts w:ascii="Arial" w:hAnsi="Arial" w:cs="Arial"/>
          <w:bCs/>
          <w:sz w:val="21"/>
          <w:szCs w:val="21"/>
          <w:lang w:val="es-MX" w:eastAsia="es-CO"/>
        </w:rPr>
        <w:t>la definición de reglas claras que permitan acceder a los canales de expresión democrática de manera efectiva e igualitaria. El objetivo de una ley de garantías es definir esas reglas.</w:t>
      </w:r>
    </w:p>
    <w:p w14:paraId="6A46BE25" w14:textId="77777777" w:rsidR="00AB7479" w:rsidRPr="00574963" w:rsidRDefault="00AB7479" w:rsidP="00AB7479">
      <w:pPr>
        <w:spacing w:before="120" w:after="120" w:line="276" w:lineRule="auto"/>
        <w:ind w:left="709" w:right="709"/>
        <w:jc w:val="both"/>
        <w:rPr>
          <w:rFonts w:ascii="Arial" w:hAnsi="Arial" w:cs="Arial"/>
          <w:bCs/>
          <w:sz w:val="21"/>
          <w:szCs w:val="21"/>
          <w:lang w:val="es-MX" w:eastAsia="es-CO"/>
        </w:rPr>
      </w:pPr>
      <w:r w:rsidRPr="00574963">
        <w:rPr>
          <w:rFonts w:ascii="Arial" w:hAnsi="Arial" w:cs="Arial"/>
          <w:bCs/>
          <w:sz w:val="21"/>
          <w:szCs w:val="21"/>
          <w:lang w:val="es-MX" w:eastAsia="es-CO"/>
        </w:rPr>
        <w:t xml:space="preserve">[…] </w:t>
      </w:r>
    </w:p>
    <w:p w14:paraId="36F993F8" w14:textId="77777777" w:rsidR="00AB7479" w:rsidRPr="00574963" w:rsidRDefault="00AB7479" w:rsidP="00AB7479">
      <w:pPr>
        <w:spacing w:after="0" w:line="240" w:lineRule="auto"/>
        <w:ind w:left="709" w:right="709"/>
        <w:contextualSpacing/>
        <w:jc w:val="both"/>
        <w:rPr>
          <w:rFonts w:ascii="Arial" w:hAnsi="Arial" w:cs="Arial"/>
          <w:bCs/>
          <w:sz w:val="21"/>
          <w:szCs w:val="21"/>
          <w:lang w:val="es-MX" w:eastAsia="es-CO"/>
        </w:rPr>
      </w:pPr>
      <w:r w:rsidRPr="00574963">
        <w:rPr>
          <w:rFonts w:ascii="Arial" w:hAnsi="Arial" w:cs="Arial"/>
          <w:bCs/>
          <w:sz w:val="21"/>
          <w:szCs w:val="21"/>
          <w:lang w:val="es-MX"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los electores. Una ley de garantías busca afianzar la neutralidad de los servidores públicos que organizan y supervisan las disputas electorales, e intenta garantizar el acceso </w:t>
      </w:r>
      <w:r w:rsidRPr="00574963">
        <w:rPr>
          <w:rFonts w:ascii="Arial" w:hAnsi="Arial" w:cs="Arial"/>
          <w:bCs/>
          <w:sz w:val="21"/>
          <w:szCs w:val="21"/>
          <w:lang w:val="es-MX" w:eastAsia="es-CO"/>
        </w:rPr>
        <w:lastRenderedPageBreak/>
        <w:t>igualitario a los canales de comunicación de los candidatos. Igualmente, una ley de garantías debe permitir que, en el debate democrático, sean las ideas y las propuestas las que definan el ascenso al poder, y no el músculo económico de los que se lo disputan</w:t>
      </w:r>
      <w:r w:rsidRPr="00574963">
        <w:rPr>
          <w:rFonts w:ascii="Arial" w:eastAsia="Calibri" w:hAnsi="Arial" w:cs="Arial"/>
          <w:sz w:val="21"/>
          <w:szCs w:val="21"/>
          <w:vertAlign w:val="superscript"/>
          <w:lang w:val="es-MX"/>
        </w:rPr>
        <w:footnoteReference w:id="5"/>
      </w:r>
      <w:r w:rsidRPr="00574963">
        <w:rPr>
          <w:rFonts w:ascii="Arial" w:hAnsi="Arial" w:cs="Arial"/>
          <w:bCs/>
          <w:sz w:val="21"/>
          <w:szCs w:val="21"/>
          <w:lang w:val="es-MX" w:eastAsia="es-CO"/>
        </w:rPr>
        <w:t>”.</w:t>
      </w:r>
    </w:p>
    <w:p w14:paraId="1FAE549B" w14:textId="77777777" w:rsidR="00AB7479" w:rsidRPr="00574963" w:rsidRDefault="00AB7479" w:rsidP="00AB7479">
      <w:pPr>
        <w:spacing w:after="0" w:line="276" w:lineRule="auto"/>
        <w:ind w:left="708" w:right="709"/>
        <w:contextualSpacing/>
        <w:jc w:val="both"/>
        <w:rPr>
          <w:rFonts w:ascii="Arial" w:hAnsi="Arial" w:cs="Arial"/>
          <w:bCs/>
          <w:lang w:val="es-MX" w:eastAsia="es-CO"/>
        </w:rPr>
      </w:pPr>
    </w:p>
    <w:p w14:paraId="7DF08B08" w14:textId="77777777" w:rsidR="00AB7479" w:rsidRPr="00574963" w:rsidRDefault="00AB7479" w:rsidP="00AB7479">
      <w:pPr>
        <w:spacing w:after="0" w:line="276" w:lineRule="auto"/>
        <w:contextualSpacing/>
        <w:jc w:val="both"/>
        <w:rPr>
          <w:rFonts w:ascii="Arial" w:hAnsi="Arial" w:cs="Arial"/>
          <w:bCs/>
          <w:lang w:val="es-MX" w:eastAsia="es-CO"/>
        </w:rPr>
      </w:pPr>
      <w:r w:rsidRPr="00574963">
        <w:rPr>
          <w:rFonts w:ascii="Arial" w:hAnsi="Arial" w:cs="Arial"/>
          <w:bCs/>
          <w:lang w:val="es-MX" w:eastAsia="es-CO"/>
        </w:rPr>
        <w:tab/>
        <w:t xml:space="preserve">En ese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electorales. Por ello, varias de las disposiciones de la Ley 996 de 2005, al contener normas prohibitivas, no admiten una interpretación amplia, sino que deben interpretarse restrictivamente. En efecto, la Sala de Consulta y Servicio del Consejo de Estado, precisó lo siguiente: </w:t>
      </w:r>
    </w:p>
    <w:p w14:paraId="1012B21D" w14:textId="77777777" w:rsidR="00AB7479" w:rsidRPr="00574963" w:rsidRDefault="00AB7479" w:rsidP="00AB7479">
      <w:pPr>
        <w:spacing w:after="0" w:line="240" w:lineRule="auto"/>
        <w:ind w:left="709" w:right="709"/>
        <w:contextualSpacing/>
        <w:jc w:val="both"/>
        <w:rPr>
          <w:rFonts w:ascii="Arial" w:hAnsi="Arial" w:cs="Arial"/>
          <w:bCs/>
          <w:sz w:val="21"/>
          <w:szCs w:val="21"/>
          <w:lang w:val="es-MX" w:eastAsia="es-CO"/>
        </w:rPr>
      </w:pPr>
    </w:p>
    <w:p w14:paraId="3847ADEB" w14:textId="77777777" w:rsidR="00AB7479" w:rsidRPr="00574963" w:rsidRDefault="00AB7479" w:rsidP="00AB7479">
      <w:pPr>
        <w:spacing w:after="0" w:line="240" w:lineRule="auto"/>
        <w:ind w:left="709" w:right="709"/>
        <w:contextualSpacing/>
        <w:jc w:val="both"/>
        <w:rPr>
          <w:rFonts w:ascii="Arial" w:hAnsi="Arial" w:cs="Arial"/>
          <w:bCs/>
          <w:sz w:val="21"/>
          <w:szCs w:val="21"/>
          <w:lang w:val="es-MX" w:eastAsia="es-CO"/>
        </w:rPr>
      </w:pPr>
      <w:r w:rsidRPr="00574963">
        <w:rPr>
          <w:rFonts w:ascii="Arial" w:hAnsi="Arial" w:cs="Arial"/>
          <w:bCs/>
          <w:sz w:val="21"/>
          <w:szCs w:val="21"/>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574963">
        <w:rPr>
          <w:rFonts w:ascii="Arial" w:hAnsi="Arial" w:cs="Arial"/>
          <w:bCs/>
          <w:sz w:val="21"/>
          <w:szCs w:val="21"/>
          <w:lang w:val="es-MX" w:eastAsia="es-CO"/>
        </w:rPr>
        <w:t>legis</w:t>
      </w:r>
      <w:proofErr w:type="spellEnd"/>
      <w:r w:rsidRPr="00574963">
        <w:rPr>
          <w:rFonts w:ascii="Arial" w:hAnsi="Arial" w:cs="Arial"/>
          <w:bCs/>
          <w:sz w:val="21"/>
          <w:szCs w:val="21"/>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0E7F0BB" w14:textId="77777777" w:rsidR="00AB7479" w:rsidRPr="00574963" w:rsidRDefault="00AB7479" w:rsidP="00AB7479">
      <w:pPr>
        <w:spacing w:after="0" w:line="240" w:lineRule="auto"/>
        <w:ind w:left="709" w:right="709"/>
        <w:contextualSpacing/>
        <w:jc w:val="both"/>
        <w:rPr>
          <w:rFonts w:ascii="Arial" w:hAnsi="Arial" w:cs="Arial"/>
          <w:bCs/>
          <w:sz w:val="21"/>
          <w:szCs w:val="21"/>
          <w:lang w:val="es-MX" w:eastAsia="es-CO"/>
        </w:rPr>
      </w:pPr>
    </w:p>
    <w:p w14:paraId="4D0B000A" w14:textId="77777777" w:rsidR="00AB7479" w:rsidRPr="00574963" w:rsidRDefault="00AB7479" w:rsidP="00AB7479">
      <w:pPr>
        <w:spacing w:after="0" w:line="240" w:lineRule="auto"/>
        <w:ind w:left="709" w:right="709"/>
        <w:contextualSpacing/>
        <w:jc w:val="both"/>
        <w:rPr>
          <w:rFonts w:ascii="Arial" w:hAnsi="Arial" w:cs="Arial"/>
          <w:bCs/>
          <w:sz w:val="21"/>
          <w:szCs w:val="21"/>
          <w:lang w:val="es-MX" w:eastAsia="es-CO"/>
        </w:rPr>
      </w:pPr>
      <w:r w:rsidRPr="00574963">
        <w:rPr>
          <w:rFonts w:ascii="Arial" w:hAnsi="Arial" w:cs="Arial"/>
          <w:bCs/>
          <w:sz w:val="21"/>
          <w:szCs w:val="21"/>
          <w:lang w:val="es-MX" w:eastAsia="es-CO"/>
        </w:rPr>
        <w:t>La jurisprudencia de la Corte Constitucional</w:t>
      </w:r>
      <w:r w:rsidRPr="00574963">
        <w:rPr>
          <w:rFonts w:ascii="Arial" w:hAnsi="Arial" w:cs="Arial"/>
          <w:bCs/>
          <w:sz w:val="21"/>
          <w:szCs w:val="21"/>
          <w:vertAlign w:val="superscript"/>
          <w:lang w:val="es-MX" w:eastAsia="es-CO"/>
        </w:rPr>
        <w:footnoteReference w:id="6"/>
      </w:r>
      <w:r w:rsidRPr="00574963">
        <w:rPr>
          <w:rFonts w:ascii="Arial" w:hAnsi="Arial" w:cs="Arial"/>
          <w:bCs/>
          <w:sz w:val="21"/>
          <w:szCs w:val="21"/>
          <w:lang w:val="es-MX" w:eastAsia="es-CO"/>
        </w:rPr>
        <w:t> y del Consejo de Estado</w:t>
      </w:r>
      <w:r w:rsidRPr="00574963">
        <w:rPr>
          <w:rFonts w:ascii="Arial" w:hAnsi="Arial" w:cs="Arial"/>
          <w:bCs/>
          <w:sz w:val="21"/>
          <w:szCs w:val="21"/>
          <w:vertAlign w:val="superscript"/>
          <w:lang w:val="es-MX" w:eastAsia="es-CO"/>
        </w:rPr>
        <w:footnoteReference w:id="7"/>
      </w:r>
      <w:r w:rsidRPr="00574963">
        <w:rPr>
          <w:rFonts w:ascii="Arial" w:hAnsi="Arial" w:cs="Arial"/>
          <w:bCs/>
          <w:sz w:val="21"/>
          <w:szCs w:val="21"/>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574963">
        <w:rPr>
          <w:rFonts w:ascii="Arial" w:hAnsi="Arial" w:cs="Arial"/>
          <w:bCs/>
          <w:sz w:val="21"/>
          <w:szCs w:val="21"/>
          <w:vertAlign w:val="superscript"/>
          <w:lang w:val="es-MX" w:eastAsia="es-CO"/>
        </w:rPr>
        <w:footnoteReference w:id="8"/>
      </w:r>
      <w:r w:rsidRPr="00574963">
        <w:rPr>
          <w:rFonts w:ascii="Arial" w:hAnsi="Arial" w:cs="Arial"/>
          <w:bCs/>
          <w:sz w:val="21"/>
          <w:szCs w:val="21"/>
          <w:lang w:val="es-MX" w:eastAsia="es-CO"/>
        </w:rPr>
        <w:t>”.</w:t>
      </w:r>
    </w:p>
    <w:p w14:paraId="3A0D4BC3" w14:textId="77777777" w:rsidR="00AB7479" w:rsidRPr="00574963" w:rsidRDefault="00AB7479" w:rsidP="00AB7479">
      <w:pPr>
        <w:spacing w:after="0" w:line="276" w:lineRule="auto"/>
        <w:ind w:right="709"/>
        <w:contextualSpacing/>
        <w:jc w:val="both"/>
        <w:rPr>
          <w:rFonts w:ascii="Arial" w:hAnsi="Arial" w:cs="Arial"/>
          <w:bCs/>
          <w:color w:val="FF0000"/>
          <w:lang w:val="es-MX" w:eastAsia="es-CO"/>
        </w:rPr>
      </w:pPr>
    </w:p>
    <w:p w14:paraId="2B20404C" w14:textId="77777777" w:rsidR="00AB7479" w:rsidRPr="00574963" w:rsidRDefault="00AB7479" w:rsidP="00AB7479">
      <w:pPr>
        <w:spacing w:after="0" w:line="276" w:lineRule="auto"/>
        <w:contextualSpacing/>
        <w:jc w:val="both"/>
        <w:rPr>
          <w:rFonts w:ascii="Arial" w:hAnsi="Arial" w:cs="Arial"/>
          <w:bCs/>
          <w:lang w:val="es-MX" w:eastAsia="es-CO"/>
        </w:rPr>
      </w:pPr>
      <w:r w:rsidRPr="00574963">
        <w:rPr>
          <w:rFonts w:ascii="Arial" w:hAnsi="Arial" w:cs="Arial"/>
          <w:bCs/>
          <w:color w:val="FF0000"/>
          <w:lang w:val="es-MX" w:eastAsia="es-CO"/>
        </w:rPr>
        <w:tab/>
      </w:r>
      <w:r w:rsidRPr="00574963">
        <w:rPr>
          <w:rFonts w:ascii="Arial" w:hAnsi="Arial" w:cs="Arial"/>
          <w:bCs/>
          <w:lang w:val="es-MX" w:eastAsia="es-CO"/>
        </w:rPr>
        <w:t xml:space="preserve">De conformidad con lo anterior, la Ley de Garantías Electorales fijó una serie de regulaciones y prohibiciones dirigidas a los servidores públicos. Con la finalidad de preservar la </w:t>
      </w:r>
      <w:r w:rsidRPr="00574963">
        <w:rPr>
          <w:rFonts w:ascii="Arial" w:hAnsi="Arial" w:cs="Arial"/>
          <w:bCs/>
          <w:lang w:val="es-MX" w:eastAsia="es-CO"/>
        </w:rPr>
        <w:lastRenderedPageBreak/>
        <w:t>igualdad entre los candidatos en las elecciones, aumentó las garantías en materia de contratación, de forma que no exista siquiera sospecha de que, por ese medio, en los periodos previos a la contienda electoral, se alteren las condiciones de igualdad entre los candidatos. Específicamente, las restricciones consagradas en la citada ley se dirigen a dos (2) tipo de campañas electorales claramente diferenciadas: las presidenciales y las demás que se adelanten para la elección de los demás cargos de elección popular, tanto a nivel nacional como territorial.</w:t>
      </w:r>
    </w:p>
    <w:p w14:paraId="0F4F6FE4" w14:textId="77777777" w:rsidR="00AB7479" w:rsidRPr="00574963" w:rsidRDefault="00AB7479" w:rsidP="00AB7479">
      <w:pPr>
        <w:spacing w:before="120" w:after="0" w:line="276" w:lineRule="auto"/>
        <w:ind w:firstLine="709"/>
        <w:jc w:val="both"/>
        <w:rPr>
          <w:rFonts w:ascii="Arial" w:eastAsia="Times New Roman" w:hAnsi="Arial" w:cs="Arial"/>
          <w:iCs/>
          <w:szCs w:val="24"/>
          <w:lang w:val="es-ES_tradnl" w:eastAsia="es-ES_tradnl"/>
        </w:rPr>
      </w:pPr>
      <w:r w:rsidRPr="00574963">
        <w:rPr>
          <w:rFonts w:ascii="Arial" w:eastAsia="Times New Roman" w:hAnsi="Arial" w:cs="Arial"/>
          <w:iCs/>
          <w:szCs w:val="24"/>
          <w:lang w:val="es-ES_tradnl" w:eastAsia="es-ES_tradnl"/>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574963">
        <w:rPr>
          <w:rFonts w:ascii="Arial" w:eastAsia="Calibri" w:hAnsi="Arial" w:cs="Arial"/>
          <w:bCs/>
          <w:vertAlign w:val="superscript"/>
        </w:rPr>
        <w:footnoteReference w:id="9"/>
      </w:r>
      <w:r w:rsidRPr="00574963">
        <w:rPr>
          <w:rFonts w:ascii="Arial" w:eastAsia="Times New Roman" w:hAnsi="Arial" w:cs="Arial"/>
          <w:iCs/>
          <w:szCs w:val="24"/>
          <w:lang w:val="es-ES_tradnl" w:eastAsia="es-ES_tradnl"/>
        </w:rPr>
        <w:t>”</w:t>
      </w:r>
      <w:r w:rsidRPr="00574963">
        <w:rPr>
          <w:rFonts w:ascii="Arial" w:eastAsia="Calibri" w:hAnsi="Arial" w:cs="Arial"/>
        </w:rPr>
        <w:t>.</w:t>
      </w:r>
    </w:p>
    <w:p w14:paraId="75842DDB" w14:textId="77777777" w:rsidR="00AB7479" w:rsidRPr="00574963" w:rsidRDefault="00AB7479" w:rsidP="00AB7479">
      <w:pPr>
        <w:spacing w:before="120" w:after="0" w:line="276" w:lineRule="auto"/>
        <w:ind w:firstLine="709"/>
        <w:jc w:val="both"/>
        <w:rPr>
          <w:rFonts w:ascii="Arial" w:eastAsia="Times New Roman" w:hAnsi="Arial" w:cs="Arial"/>
          <w:iCs/>
          <w:szCs w:val="24"/>
          <w:lang w:val="es-ES_tradnl" w:eastAsia="es-ES_tradnl"/>
        </w:rPr>
      </w:pPr>
      <w:r w:rsidRPr="00574963">
        <w:rPr>
          <w:rFonts w:ascii="Arial" w:eastAsia="Times New Roman" w:hAnsi="Arial" w:cs="Arial"/>
          <w:iCs/>
          <w:szCs w:val="24"/>
          <w:lang w:val="es-ES_tradnl" w:eastAsia="es-ES_tradnl"/>
        </w:rPr>
        <w:t>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574963">
        <w:rPr>
          <w:rFonts w:ascii="Arial" w:eastAsia="Calibri" w:hAnsi="Arial" w:cs="Arial"/>
          <w:bCs/>
          <w:vertAlign w:val="superscript"/>
        </w:rPr>
        <w:t xml:space="preserve"> </w:t>
      </w:r>
      <w:r w:rsidRPr="00574963">
        <w:rPr>
          <w:rFonts w:ascii="Arial" w:eastAsia="Calibri" w:hAnsi="Arial" w:cs="Arial"/>
          <w:bCs/>
          <w:vertAlign w:val="superscript"/>
        </w:rPr>
        <w:footnoteReference w:id="10"/>
      </w:r>
      <w:r w:rsidRPr="00574963">
        <w:rPr>
          <w:rFonts w:ascii="Arial" w:eastAsia="Calibri" w:hAnsi="Arial" w:cs="Arial"/>
        </w:rPr>
        <w:t>”.</w:t>
      </w:r>
    </w:p>
    <w:p w14:paraId="6AE014F4" w14:textId="77777777" w:rsidR="00AB7479" w:rsidRPr="00574963" w:rsidRDefault="00AB7479" w:rsidP="00AB7479">
      <w:pPr>
        <w:spacing w:before="120" w:after="0" w:line="276" w:lineRule="auto"/>
        <w:ind w:firstLine="709"/>
        <w:jc w:val="both"/>
        <w:rPr>
          <w:rFonts w:ascii="Arial" w:eastAsia="Times New Roman" w:hAnsi="Arial" w:cs="Arial"/>
          <w:iCs/>
          <w:szCs w:val="24"/>
          <w:lang w:val="es-ES_tradnl" w:eastAsia="es-ES_tradnl"/>
        </w:rPr>
      </w:pPr>
      <w:r w:rsidRPr="00574963">
        <w:rPr>
          <w:rFonts w:ascii="Arial" w:eastAsia="Times New Roman" w:hAnsi="Arial" w:cs="Arial"/>
          <w:iCs/>
          <w:szCs w:val="24"/>
          <w:lang w:val="es-ES_tradnl" w:eastAsia="es-ES_tradnl"/>
        </w:rPr>
        <w:t>La Sala de Consulta y Servicio Civil del Consejo de Estado ha aclarado la distinción en la aplicación de las prohibiciones de la Ley 996 de 2005, dependiendo del tipo de elección que se trate. Sobre el particular, consideró:</w:t>
      </w:r>
    </w:p>
    <w:p w14:paraId="3190D226" w14:textId="77777777" w:rsidR="00AB7479" w:rsidRPr="00574963" w:rsidRDefault="00AB7479" w:rsidP="00AB7479">
      <w:pPr>
        <w:widowControl w:val="0"/>
        <w:autoSpaceDE w:val="0"/>
        <w:autoSpaceDN w:val="0"/>
        <w:spacing w:after="0" w:line="240" w:lineRule="auto"/>
        <w:ind w:left="709" w:right="709"/>
        <w:contextualSpacing/>
        <w:jc w:val="both"/>
        <w:rPr>
          <w:rFonts w:ascii="Arial" w:eastAsia="Arial" w:hAnsi="Arial" w:cs="Arial"/>
          <w:sz w:val="21"/>
          <w:szCs w:val="21"/>
          <w:lang w:val="es-ES" w:eastAsia="es-ES" w:bidi="es-ES"/>
        </w:rPr>
      </w:pPr>
    </w:p>
    <w:p w14:paraId="1BDAB8E0" w14:textId="77777777" w:rsidR="00AB7479" w:rsidRPr="00574963" w:rsidRDefault="00AB7479" w:rsidP="00AB7479">
      <w:pPr>
        <w:widowControl w:val="0"/>
        <w:autoSpaceDE w:val="0"/>
        <w:autoSpaceDN w:val="0"/>
        <w:spacing w:after="0" w:line="240" w:lineRule="auto"/>
        <w:ind w:left="709" w:right="709"/>
        <w:contextualSpacing/>
        <w:jc w:val="both"/>
        <w:rPr>
          <w:rFonts w:ascii="Arial" w:eastAsia="Arial" w:hAnsi="Arial" w:cs="Arial"/>
          <w:sz w:val="21"/>
          <w:szCs w:val="21"/>
          <w:lang w:val="es-ES" w:eastAsia="es-ES" w:bidi="es-ES"/>
        </w:rPr>
      </w:pPr>
      <w:r w:rsidRPr="00574963">
        <w:rPr>
          <w:rFonts w:ascii="Arial" w:eastAsia="Arial" w:hAnsi="Arial" w:cs="Arial"/>
          <w:sz w:val="21"/>
          <w:szCs w:val="21"/>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w:t>
      </w:r>
      <w:r w:rsidRPr="00574963">
        <w:rPr>
          <w:rFonts w:ascii="Arial" w:eastAsia="Arial" w:hAnsi="Arial" w:cs="Arial"/>
          <w:sz w:val="21"/>
          <w:szCs w:val="21"/>
          <w:lang w:val="es-ES" w:eastAsia="es-ES" w:bidi="es-ES"/>
        </w:rPr>
        <w:lastRenderedPageBreak/>
        <w:t xml:space="preserve">elecciones  para cualquier cargo de elección popular a que se refiere la ley –incluido el de Presidente de la República-; de manera que dichas restricciones no se excluyen sino que </w:t>
      </w:r>
      <w:bookmarkStart w:id="14" w:name="_Hlk76109421"/>
      <w:r w:rsidRPr="00574963">
        <w:rPr>
          <w:rFonts w:ascii="Arial" w:eastAsia="Arial" w:hAnsi="Arial" w:cs="Arial"/>
          <w:sz w:val="21"/>
          <w:szCs w:val="21"/>
          <w:lang w:val="es-ES" w:eastAsia="es-ES" w:bidi="es-ES"/>
        </w:rPr>
        <w:t>se integran parcialmente</w:t>
      </w:r>
      <w:bookmarkEnd w:id="14"/>
      <w:r w:rsidRPr="00574963">
        <w:rPr>
          <w:rFonts w:ascii="Arial" w:eastAsia="Arial" w:hAnsi="Arial" w:cs="Arial"/>
          <w:sz w:val="21"/>
          <w:szCs w:val="21"/>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574963">
        <w:rPr>
          <w:rFonts w:ascii="Arial" w:eastAsia="Arial" w:hAnsi="Arial" w:cs="Arial"/>
          <w:bCs/>
          <w:i/>
          <w:iCs/>
          <w:sz w:val="21"/>
          <w:szCs w:val="21"/>
          <w:u w:val="single"/>
          <w:lang w:val="es-ES" w:eastAsia="es-ES" w:bidi="es-ES"/>
        </w:rPr>
        <w:t xml:space="preserve">En cambio, para elecciones en general, excluyendo las correspondientes a </w:t>
      </w:r>
      <w:proofErr w:type="gramStart"/>
      <w:r w:rsidRPr="00574963">
        <w:rPr>
          <w:rFonts w:ascii="Arial" w:eastAsia="Arial" w:hAnsi="Arial" w:cs="Arial"/>
          <w:bCs/>
          <w:i/>
          <w:iCs/>
          <w:sz w:val="21"/>
          <w:szCs w:val="21"/>
          <w:u w:val="single"/>
          <w:lang w:val="es-ES" w:eastAsia="es-ES" w:bidi="es-ES"/>
        </w:rPr>
        <w:t>Presidente</w:t>
      </w:r>
      <w:proofErr w:type="gramEnd"/>
      <w:r w:rsidRPr="00574963">
        <w:rPr>
          <w:rFonts w:ascii="Arial" w:eastAsia="Arial" w:hAnsi="Arial" w:cs="Arial"/>
          <w:bCs/>
          <w:i/>
          <w:iCs/>
          <w:sz w:val="21"/>
          <w:szCs w:val="21"/>
          <w:u w:val="single"/>
          <w:lang w:val="es-ES" w:eastAsia="es-ES" w:bidi="es-ES"/>
        </w:rPr>
        <w:t xml:space="preserve"> de la República, a las autoridades territoriales allí mencionadas sólo se aplican las restricciones contenidas en el parágrafo del artículo 38</w:t>
      </w:r>
      <w:r w:rsidRPr="00574963">
        <w:rPr>
          <w:rFonts w:ascii="Arial" w:eastAsia="Arial" w:hAnsi="Arial" w:cs="Arial"/>
          <w:sz w:val="21"/>
          <w:szCs w:val="21"/>
          <w:vertAlign w:val="superscript"/>
          <w:lang w:val="es-ES" w:eastAsia="es-ES" w:bidi="es-ES"/>
        </w:rPr>
        <w:footnoteReference w:id="11"/>
      </w:r>
      <w:r w:rsidRPr="00574963">
        <w:rPr>
          <w:rFonts w:ascii="Arial" w:eastAsia="Arial" w:hAnsi="Arial" w:cs="Arial"/>
          <w:sz w:val="21"/>
          <w:szCs w:val="21"/>
          <w:lang w:val="es-ES" w:eastAsia="es-ES" w:bidi="es-ES"/>
        </w:rPr>
        <w:t>”. [Énfasis fuera de texto]</w:t>
      </w:r>
    </w:p>
    <w:p w14:paraId="30F31E47" w14:textId="77777777" w:rsidR="00AB7479" w:rsidRPr="00574963" w:rsidRDefault="00AB7479" w:rsidP="00AB7479">
      <w:pPr>
        <w:spacing w:after="0" w:line="276" w:lineRule="auto"/>
        <w:ind w:firstLine="709"/>
        <w:jc w:val="both"/>
        <w:rPr>
          <w:rFonts w:ascii="Arial" w:eastAsia="Times New Roman" w:hAnsi="Arial" w:cs="Arial"/>
          <w:i/>
          <w:szCs w:val="24"/>
          <w:lang w:val="es-ES_tradnl" w:eastAsia="es-ES_tradnl"/>
        </w:rPr>
      </w:pPr>
    </w:p>
    <w:p w14:paraId="79DD4668" w14:textId="77777777" w:rsidR="00AB7479" w:rsidRPr="00574963" w:rsidRDefault="00AB7479" w:rsidP="00AB7479">
      <w:pPr>
        <w:spacing w:after="0" w:line="276" w:lineRule="auto"/>
        <w:ind w:firstLine="709"/>
        <w:jc w:val="both"/>
      </w:pPr>
      <w:r w:rsidRPr="00574963">
        <w:rPr>
          <w:rFonts w:ascii="Arial" w:eastAsia="Times New Roman" w:hAnsi="Arial" w:cs="Arial"/>
          <w:iCs/>
          <w:szCs w:val="24"/>
          <w:lang w:val="es-ES_tradnl" w:eastAsia="es-ES_tradnl"/>
        </w:rPr>
        <w:t xml:space="preserve">De conformidad con lo anterior, la Ley 996 de 2005 establece dos (2) tipos de restricciones en materia de contratación, las cuales coinciden parcialmente. </w:t>
      </w:r>
      <w:r w:rsidRPr="00574963">
        <w:rPr>
          <w:rFonts w:ascii="Arial" w:eastAsia="Times New Roman" w:hAnsi="Arial" w:cs="Arial"/>
          <w:i/>
          <w:szCs w:val="24"/>
          <w:lang w:val="es-ES_tradnl" w:eastAsia="es-ES_tradnl"/>
        </w:rPr>
        <w:t xml:space="preserve">En primer lugar, </w:t>
      </w:r>
      <w:r w:rsidRPr="00574963">
        <w:rPr>
          <w:rFonts w:ascii="Arial" w:eastAsia="Times New Roman" w:hAnsi="Arial" w:cs="Arial"/>
          <w:iCs/>
          <w:szCs w:val="24"/>
          <w:lang w:val="es-ES_tradnl" w:eastAsia="es-ES_tradnl"/>
        </w:rPr>
        <w:t xml:space="preserve">la del artículo 33, que opera solo respecto de las elecciones presidenciales, en virtud de la cual queda proscrita la contratación directa dentro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a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roofErr w:type="gramStart"/>
      <w:r w:rsidRPr="00574963">
        <w:rPr>
          <w:rFonts w:ascii="Arial" w:eastAsia="Times New Roman" w:hAnsi="Arial" w:cs="Arial"/>
          <w:iCs/>
          <w:szCs w:val="24"/>
          <w:lang w:val="es-ES_tradnl" w:eastAsia="es-ES_tradnl"/>
        </w:rPr>
        <w:t>Y</w:t>
      </w:r>
      <w:proofErr w:type="gramEnd"/>
      <w:r w:rsidRPr="00574963">
        <w:rPr>
          <w:rFonts w:ascii="Arial" w:hAnsi="Arial" w:cs="Arial"/>
          <w:i/>
          <w:iCs/>
        </w:rPr>
        <w:t xml:space="preserve"> en segundo lugar, </w:t>
      </w:r>
      <w:r w:rsidRPr="00574963">
        <w:rPr>
          <w:rFonts w:ascii="Arial" w:hAnsi="Arial" w:cs="Arial"/>
        </w:rPr>
        <w:t>también se encuentra la prohibición de contienda electoral, y que prohíbe la celebración de convenios interadministrativos que impliquen la ejecución de recursos públicos dentro de los cuatro (4) meses anteriores a la respectiva jornada de votaciones.</w:t>
      </w:r>
    </w:p>
    <w:p w14:paraId="38E301F6" w14:textId="77777777" w:rsidR="00AB7479" w:rsidRPr="00574963" w:rsidRDefault="00AB7479" w:rsidP="00AB7479">
      <w:pPr>
        <w:spacing w:before="120" w:after="0" w:line="276" w:lineRule="auto"/>
        <w:ind w:firstLine="709"/>
        <w:jc w:val="both"/>
        <w:rPr>
          <w:rFonts w:ascii="Arial" w:eastAsia="Times New Roman" w:hAnsi="Arial" w:cs="Arial"/>
          <w:i/>
          <w:szCs w:val="24"/>
          <w:lang w:val="es-ES_tradnl" w:eastAsia="es-ES_tradnl"/>
        </w:rPr>
      </w:pPr>
      <w:r w:rsidRPr="00574963">
        <w:rPr>
          <w:rFonts w:ascii="Arial" w:eastAsia="Times New Roman" w:hAnsi="Arial" w:cs="Arial"/>
          <w:iCs/>
          <w:szCs w:val="24"/>
          <w:lang w:val="es-ES_tradnl" w:eastAsia="es-ES_tradnl"/>
        </w:rPr>
        <w:t xml:space="preserve">Ambas restricciones no son excluyentes, lo que permite concluir que en el período preelectoral para elección del </w:t>
      </w:r>
      <w:proofErr w:type="gramStart"/>
      <w:r w:rsidRPr="00574963">
        <w:rPr>
          <w:rFonts w:ascii="Arial" w:eastAsia="Times New Roman" w:hAnsi="Arial" w:cs="Arial"/>
          <w:iCs/>
          <w:szCs w:val="24"/>
          <w:lang w:val="es-ES_tradnl" w:eastAsia="es-ES_tradnl"/>
        </w:rPr>
        <w:t>Presidente</w:t>
      </w:r>
      <w:proofErr w:type="gramEnd"/>
      <w:r w:rsidRPr="00574963">
        <w:rPr>
          <w:rFonts w:ascii="Arial" w:eastAsia="Times New Roman" w:hAnsi="Arial" w:cs="Arial"/>
          <w:iCs/>
          <w:szCs w:val="24"/>
          <w:lang w:val="es-ES_tradnl" w:eastAsia="es-ES_tradnl"/>
        </w:rPr>
        <w:t xml:space="preserve"> de la República, a todos los entes del Estado, incluidos los territoriales, aplican las restricciones del artículo 33 de la Ley 996 de 2005 con sus excepciones, así como las del parágrafo del artículo 38 </w:t>
      </w:r>
      <w:r w:rsidRPr="00574963">
        <w:rPr>
          <w:rFonts w:ascii="Arial" w:eastAsia="Times New Roman" w:hAnsi="Arial" w:cs="Arial"/>
          <w:i/>
          <w:szCs w:val="24"/>
          <w:lang w:val="es-ES_tradnl" w:eastAsia="es-ES_tradnl"/>
        </w:rPr>
        <w:t>ibidem</w:t>
      </w:r>
      <w:r w:rsidRPr="00574963">
        <w:rPr>
          <w:rFonts w:ascii="Arial" w:eastAsia="Times New Roman" w:hAnsi="Arial" w:cs="Arial"/>
          <w:iCs/>
          <w:szCs w:val="24"/>
          <w:lang w:val="es-ES_tradnl" w:eastAsia="es-ES_tradnl"/>
        </w:rPr>
        <w:t xml:space="preserve">. En cambio, tratándose de elecciones en general, excluyendo las correspondientes al </w:t>
      </w:r>
      <w:proofErr w:type="gramStart"/>
      <w:r w:rsidRPr="00574963">
        <w:rPr>
          <w:rFonts w:ascii="Arial" w:eastAsia="Times New Roman" w:hAnsi="Arial" w:cs="Arial"/>
          <w:iCs/>
          <w:szCs w:val="24"/>
          <w:lang w:val="es-ES_tradnl" w:eastAsia="es-ES_tradnl"/>
        </w:rPr>
        <w:t>Presidente</w:t>
      </w:r>
      <w:proofErr w:type="gramEnd"/>
      <w:r w:rsidRPr="00574963">
        <w:rPr>
          <w:rFonts w:ascii="Arial" w:eastAsia="Times New Roman" w:hAnsi="Arial" w:cs="Arial"/>
          <w:iCs/>
          <w:szCs w:val="24"/>
          <w:lang w:val="es-ES_tradnl" w:eastAsia="es-ES_tradnl"/>
        </w:rPr>
        <w:t xml:space="preserve"> de la República, las autoridades allí mencionadas sólo deben aplicar las restricciones contenidas en el parágrafo del artículo 38 </w:t>
      </w:r>
      <w:r w:rsidRPr="00574963">
        <w:rPr>
          <w:rFonts w:ascii="Arial" w:eastAsia="Times New Roman" w:hAnsi="Arial" w:cs="Arial"/>
          <w:i/>
          <w:szCs w:val="24"/>
          <w:lang w:val="es-ES_tradnl" w:eastAsia="es-ES_tradnl"/>
        </w:rPr>
        <w:t>ibidem</w:t>
      </w:r>
      <w:r w:rsidRPr="00574963">
        <w:rPr>
          <w:rFonts w:ascii="Arial" w:eastAsia="Times New Roman" w:hAnsi="Arial" w:cs="Arial"/>
          <w:iCs/>
          <w:szCs w:val="24"/>
          <w:lang w:val="es-ES_tradnl" w:eastAsia="es-ES_tradnl"/>
        </w:rPr>
        <w:t>. Restricción en la que enfatizaremos, según el objeto bajo consulta.</w:t>
      </w:r>
    </w:p>
    <w:p w14:paraId="77CF0FB5" w14:textId="77777777" w:rsidR="00AB7479" w:rsidRPr="00574963" w:rsidRDefault="00AB7479" w:rsidP="00AB7479">
      <w:pPr>
        <w:spacing w:after="0" w:line="276" w:lineRule="auto"/>
        <w:jc w:val="both"/>
        <w:rPr>
          <w:rFonts w:ascii="Arial" w:eastAsia="Times New Roman" w:hAnsi="Arial" w:cs="Arial"/>
          <w:iCs/>
          <w:szCs w:val="24"/>
          <w:lang w:val="es-ES_tradnl" w:eastAsia="es-ES_tradnl"/>
        </w:rPr>
      </w:pPr>
    </w:p>
    <w:p w14:paraId="5D9A8EAF" w14:textId="77777777" w:rsidR="00AB7479" w:rsidRPr="00574963" w:rsidRDefault="00AB7479" w:rsidP="00AB7479">
      <w:pPr>
        <w:spacing w:after="0" w:line="276" w:lineRule="auto"/>
        <w:jc w:val="both"/>
        <w:rPr>
          <w:rFonts w:ascii="Arial" w:eastAsia="Times New Roman" w:hAnsi="Arial" w:cs="Arial"/>
          <w:b/>
          <w:bCs/>
          <w:iCs/>
          <w:szCs w:val="24"/>
          <w:lang w:val="es-ES_tradnl" w:eastAsia="es-ES_tradnl"/>
        </w:rPr>
      </w:pPr>
      <w:r w:rsidRPr="00574963">
        <w:rPr>
          <w:rFonts w:ascii="Arial" w:eastAsia="Times New Roman" w:hAnsi="Arial" w:cs="Arial"/>
          <w:b/>
          <w:bCs/>
          <w:iCs/>
          <w:szCs w:val="24"/>
          <w:lang w:val="es-ES_tradnl" w:eastAsia="es-ES_tradnl"/>
        </w:rPr>
        <w:t>2.</w:t>
      </w:r>
      <w:r>
        <w:rPr>
          <w:rFonts w:ascii="Arial" w:eastAsia="Times New Roman" w:hAnsi="Arial" w:cs="Arial"/>
          <w:b/>
          <w:bCs/>
          <w:iCs/>
          <w:szCs w:val="24"/>
          <w:lang w:val="es-ES_tradnl" w:eastAsia="es-ES_tradnl"/>
        </w:rPr>
        <w:t>2</w:t>
      </w:r>
      <w:r w:rsidRPr="00574963">
        <w:rPr>
          <w:rFonts w:ascii="Arial" w:eastAsia="Times New Roman" w:hAnsi="Arial" w:cs="Arial"/>
          <w:b/>
          <w:bCs/>
          <w:iCs/>
          <w:szCs w:val="24"/>
          <w:lang w:val="es-ES_tradnl" w:eastAsia="es-ES_tradnl"/>
        </w:rPr>
        <w:t xml:space="preserve">. Restricciones para la celebración de contratos y convenios interadministrativos en los </w:t>
      </w:r>
      <w:bookmarkStart w:id="15" w:name="_Hlk133573167"/>
      <w:r w:rsidRPr="00574963">
        <w:rPr>
          <w:rFonts w:ascii="Arial" w:eastAsia="Times New Roman" w:hAnsi="Arial" w:cs="Arial"/>
          <w:b/>
          <w:bCs/>
          <w:iCs/>
          <w:szCs w:val="24"/>
          <w:lang w:val="es-ES_tradnl" w:eastAsia="es-ES_tradnl"/>
        </w:rPr>
        <w:t>comicios para cargos de elección popular</w:t>
      </w:r>
      <w:bookmarkEnd w:id="15"/>
      <w:r w:rsidRPr="00574963">
        <w:rPr>
          <w:rFonts w:ascii="Arial" w:eastAsia="Times New Roman" w:hAnsi="Arial" w:cs="Arial"/>
          <w:b/>
          <w:bCs/>
          <w:iCs/>
          <w:szCs w:val="24"/>
          <w:lang w:val="es-ES_tradnl" w:eastAsia="es-ES_tradnl"/>
        </w:rPr>
        <w:t>. Reiteración de línea</w:t>
      </w:r>
    </w:p>
    <w:p w14:paraId="0D60BA33" w14:textId="77777777" w:rsidR="00AB7479" w:rsidRPr="00574963" w:rsidRDefault="00AB7479" w:rsidP="00AB7479">
      <w:pPr>
        <w:spacing w:after="0" w:line="276" w:lineRule="auto"/>
        <w:jc w:val="both"/>
        <w:rPr>
          <w:rFonts w:ascii="Arial" w:eastAsia="Times New Roman" w:hAnsi="Arial" w:cs="Arial"/>
          <w:iCs/>
          <w:szCs w:val="24"/>
          <w:lang w:val="es-ES_tradnl" w:eastAsia="es-ES_tradnl"/>
        </w:rPr>
      </w:pPr>
    </w:p>
    <w:p w14:paraId="52D3FC36" w14:textId="77777777" w:rsidR="00AB7479" w:rsidRPr="00574963" w:rsidRDefault="00AB7479" w:rsidP="00AB7479">
      <w:pPr>
        <w:spacing w:after="0" w:line="276" w:lineRule="auto"/>
        <w:jc w:val="both"/>
        <w:rPr>
          <w:rFonts w:ascii="Arial" w:eastAsia="Times New Roman" w:hAnsi="Arial" w:cs="Arial"/>
          <w:iCs/>
          <w:szCs w:val="24"/>
          <w:lang w:val="es-ES_tradnl" w:eastAsia="es-ES_tradnl"/>
        </w:rPr>
      </w:pPr>
      <w:r w:rsidRPr="00574963">
        <w:rPr>
          <w:rFonts w:ascii="Arial" w:eastAsia="Times New Roman" w:hAnsi="Arial" w:cs="Arial"/>
          <w:iCs/>
          <w:szCs w:val="24"/>
          <w:lang w:val="es-ES_tradnl" w:eastAsia="es-ES_tradnl"/>
        </w:rPr>
        <w:t xml:space="preserve">El parágrafo del artículo 38 de la Ley 996 de 2005 dispone que “[l]os Gobernadores, </w:t>
      </w:r>
      <w:proofErr w:type="gramStart"/>
      <w:r w:rsidRPr="00574963">
        <w:rPr>
          <w:rFonts w:ascii="Arial" w:eastAsia="Times New Roman" w:hAnsi="Arial" w:cs="Arial"/>
          <w:iCs/>
          <w:szCs w:val="24"/>
          <w:lang w:val="es-ES_tradnl" w:eastAsia="es-ES_tradnl"/>
        </w:rPr>
        <w:t>Alcaldes</w:t>
      </w:r>
      <w:proofErr w:type="gramEnd"/>
      <w:r w:rsidRPr="00574963">
        <w:rPr>
          <w:rFonts w:ascii="Arial" w:eastAsia="Times New Roman" w:hAnsi="Arial" w:cs="Arial"/>
          <w:iCs/>
          <w:szCs w:val="24"/>
          <w:lang w:val="es-ES_tradnl" w:eastAsia="es-ES_tradnl"/>
        </w:rPr>
        <w:t xml:space="preserve"> Municipales y/o Distritales, Secretarios, Gerentes y directores de Entidades Descentralizadas del </w:t>
      </w:r>
      <w:r w:rsidRPr="00574963">
        <w:rPr>
          <w:rFonts w:ascii="Arial" w:eastAsia="Times New Roman" w:hAnsi="Arial" w:cs="Arial"/>
          <w:iCs/>
          <w:szCs w:val="24"/>
          <w:lang w:val="es-ES_tradnl" w:eastAsia="es-ES_tradnl"/>
        </w:rPr>
        <w:lastRenderedPageBreak/>
        <w:t>orden Municipal, Departamental o Distrital, dentro de los cuatro (4) meses anteriores a las elecciones, no podrán celebrar contratos interadministrativos para la ejecución de recursos públicos”. 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r w:rsidRPr="00574963">
        <w:rPr>
          <w:rFonts w:ascii="Arial" w:hAnsi="Arial" w:cs="Arial"/>
          <w:bCs/>
          <w:iCs/>
          <w:vertAlign w:val="superscript"/>
          <w:lang w:eastAsia="x-none"/>
        </w:rPr>
        <w:footnoteReference w:id="12"/>
      </w:r>
      <w:r w:rsidRPr="00574963">
        <w:rPr>
          <w:rFonts w:ascii="Arial" w:hAnsi="Arial" w:cs="Arial"/>
          <w:bCs/>
          <w:iCs/>
          <w:lang w:eastAsia="x-none"/>
        </w:rPr>
        <w:t>.</w:t>
      </w:r>
    </w:p>
    <w:p w14:paraId="297F7A9C" w14:textId="77777777" w:rsidR="00AB7479" w:rsidRPr="00574963" w:rsidRDefault="00AB7479" w:rsidP="00AB7479">
      <w:pPr>
        <w:spacing w:before="120" w:after="0" w:line="276" w:lineRule="auto"/>
        <w:ind w:firstLine="709"/>
        <w:jc w:val="both"/>
        <w:rPr>
          <w:rFonts w:ascii="Arial" w:eastAsia="Times New Roman" w:hAnsi="Arial" w:cs="Arial"/>
          <w:iCs/>
          <w:szCs w:val="24"/>
          <w:lang w:val="es-ES_tradnl" w:eastAsia="es-ES_tradnl"/>
        </w:rPr>
      </w:pPr>
      <w:r w:rsidRPr="00574963">
        <w:rPr>
          <w:rFonts w:ascii="Arial" w:eastAsia="Times New Roman" w:hAnsi="Arial" w:cs="Arial"/>
          <w:iCs/>
          <w:szCs w:val="24"/>
          <w:lang w:val="es-ES_tradnl" w:eastAsia="es-ES_tradnl"/>
        </w:rPr>
        <w:t>Ahora bien, para determinar el alcance de la prohibición consagrada por la Ley de Garantías Electorales, conviene precisar la tipología de convenios o contratos interadministrativos. Aunque la ley no la definió ni desarrolló, el Decreto 1082 de 2015 califica a los convenios o contratos interadministrativos como aquella contratación entre entidades estatales</w:t>
      </w:r>
      <w:r w:rsidRPr="00574963">
        <w:rPr>
          <w:rFonts w:ascii="Arial" w:eastAsia="Arial" w:hAnsi="Arial" w:cs="Arial"/>
          <w:vertAlign w:val="superscript"/>
          <w:lang w:val="es-ES" w:eastAsia="es-ES" w:bidi="es-ES"/>
        </w:rPr>
        <w:footnoteReference w:id="13"/>
      </w:r>
      <w:r w:rsidRPr="00574963">
        <w:rPr>
          <w:rFonts w:ascii="Arial" w:eastAsia="Arial" w:hAnsi="Arial" w:cs="Arial"/>
          <w:lang w:val="es-ES" w:eastAsia="es-ES" w:bidi="es-ES"/>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 estatales.</w:t>
      </w:r>
    </w:p>
    <w:p w14:paraId="1A8F8818" w14:textId="77777777" w:rsidR="00AB7479" w:rsidRPr="00574963" w:rsidRDefault="00AB7479" w:rsidP="00AB7479">
      <w:pPr>
        <w:spacing w:before="120" w:after="0" w:line="276" w:lineRule="auto"/>
        <w:ind w:firstLine="709"/>
        <w:jc w:val="both"/>
        <w:rPr>
          <w:rFonts w:ascii="Arial" w:eastAsia="Times New Roman" w:hAnsi="Arial" w:cs="Arial"/>
          <w:iCs/>
          <w:szCs w:val="24"/>
          <w:lang w:val="es-ES_tradnl" w:eastAsia="es-ES_tradnl"/>
        </w:rPr>
      </w:pPr>
      <w:r w:rsidRPr="00574963">
        <w:rPr>
          <w:rFonts w:ascii="Arial" w:eastAsia="Times New Roman" w:hAnsi="Arial" w:cs="Arial"/>
          <w:iCs/>
          <w:szCs w:val="24"/>
          <w:lang w:val="es-ES_tradnl" w:eastAsia="es-ES_tradnl"/>
        </w:rPr>
        <w:t xml:space="preserve">Si bien los contratos o convenios interadministrativos están previstos en la Ley 80 de 1993, en la Ley 1150 de 2007 y el Decreto 1082 de 2015, no quiere decir que solo pueden celebrarse entre entidades estatales que apliquen el régimen de contratación allí previsto, pues una entidad estatal sometida a la Ley 80 de 1993, puede celebrar esta clase de convenios y/o contratos con una entidad estatal de régimen especial y no por ello pierde su calidad de interadministrativo. </w:t>
      </w:r>
    </w:p>
    <w:p w14:paraId="0F64B6E5" w14:textId="77777777" w:rsidR="00AB7479" w:rsidRPr="00574963" w:rsidRDefault="00AB7479" w:rsidP="00AB7479">
      <w:pPr>
        <w:spacing w:before="120" w:after="0" w:line="276" w:lineRule="auto"/>
        <w:ind w:firstLine="709"/>
        <w:jc w:val="both"/>
        <w:rPr>
          <w:rFonts w:ascii="Arial" w:eastAsia="Times New Roman" w:hAnsi="Arial" w:cs="Arial"/>
          <w:iCs/>
          <w:szCs w:val="24"/>
          <w:lang w:val="es-ES_tradnl" w:eastAsia="es-ES_tradnl"/>
        </w:rPr>
      </w:pPr>
      <w:r w:rsidRPr="00574963">
        <w:rPr>
          <w:rFonts w:ascii="Arial" w:eastAsia="Times New Roman" w:hAnsi="Arial" w:cs="Arial"/>
          <w:iCs/>
          <w:szCs w:val="24"/>
          <w:lang w:val="es-ES_tradnl" w:eastAsia="es-ES_tradnl"/>
        </w:rPr>
        <w:t>La Corte Constitucional expresó en la Sentencia C-671 de 2015 que “Lo que hace interadministrativo a un contrato o convenio no es el procedimiento de selección aplicable, sino la calidad de los sujetos contratantes, esto es que las dos partes de la redacción jurídica contractual formen parte de la administración pública”. Así las cosas, esta clase de acuerdos de voluntades se definen por un criterio orgánico, por lo que uno de sus elementos esenciales es que en los extremos de la relación jurídico negocial concurran personas de derecho público. Adicionalmente, el Consejo de Estado ha indicado, frente al convenio interadministrativo y sus características, que:</w:t>
      </w:r>
    </w:p>
    <w:p w14:paraId="25C92F2F" w14:textId="77777777" w:rsidR="00AB7479" w:rsidRPr="00574963" w:rsidRDefault="00AB7479" w:rsidP="00AB7479">
      <w:pPr>
        <w:widowControl w:val="0"/>
        <w:autoSpaceDE w:val="0"/>
        <w:autoSpaceDN w:val="0"/>
        <w:spacing w:after="0" w:line="276" w:lineRule="auto"/>
        <w:ind w:firstLine="707"/>
        <w:contextualSpacing/>
        <w:jc w:val="both"/>
        <w:rPr>
          <w:rFonts w:ascii="Arial" w:eastAsia="Arial" w:hAnsi="Arial" w:cs="Arial"/>
          <w:lang w:val="es-ES" w:eastAsia="es-ES" w:bidi="es-ES"/>
        </w:rPr>
      </w:pPr>
    </w:p>
    <w:p w14:paraId="3223D632" w14:textId="77777777" w:rsidR="00AB7479" w:rsidRPr="00574963" w:rsidRDefault="00AB7479" w:rsidP="00AB7479">
      <w:pPr>
        <w:spacing w:after="0" w:line="240" w:lineRule="auto"/>
        <w:ind w:left="709" w:right="709"/>
        <w:contextualSpacing/>
        <w:jc w:val="both"/>
        <w:rPr>
          <w:rFonts w:ascii="Arial" w:eastAsia="Calibri" w:hAnsi="Arial" w:cs="Arial"/>
          <w:sz w:val="21"/>
          <w:lang w:val="es-MX"/>
        </w:rPr>
      </w:pPr>
      <w:r w:rsidRPr="00574963">
        <w:rPr>
          <w:rFonts w:ascii="Arial" w:eastAsia="Calibri" w:hAnsi="Arial" w:cs="Arial"/>
          <w:sz w:val="21"/>
          <w:lang w:val="es-MX"/>
        </w:rPr>
        <w:t xml:space="preserve">“[…] se puede señalar que los convenios o contratos interadministrativos tienen como características principales las siguientes: (i) constituyen verdaderos contratos en los términos del Código de Comercio cuando su objeto lo constituyen obligaciones </w:t>
      </w:r>
      <w:r w:rsidRPr="00574963">
        <w:rPr>
          <w:rFonts w:ascii="Arial" w:eastAsia="Calibri" w:hAnsi="Arial" w:cs="Arial"/>
          <w:sz w:val="21"/>
          <w:lang w:val="es-MX"/>
        </w:rPr>
        <w:lastRenderedPageBreak/>
        <w:t>patrimoniales; (ii) tienen como fuente la autonomía contractual; (</w:t>
      </w:r>
      <w:proofErr w:type="spellStart"/>
      <w:r w:rsidRPr="00574963">
        <w:rPr>
          <w:rFonts w:ascii="Arial" w:eastAsia="Calibri" w:hAnsi="Arial" w:cs="Arial"/>
          <w:sz w:val="21"/>
          <w:lang w:val="es-MX"/>
        </w:rPr>
        <w:t>iii</w:t>
      </w:r>
      <w:proofErr w:type="spellEnd"/>
      <w:r w:rsidRPr="00574963">
        <w:rPr>
          <w:rFonts w:ascii="Arial" w:eastAsia="Calibri" w:hAnsi="Arial" w:cs="Arial"/>
          <w:sz w:val="21"/>
          <w:lang w:val="es-MX"/>
        </w:rPr>
        <w:t>) son contratos nominados puesto que están mencionados en la ley; (</w:t>
      </w:r>
      <w:proofErr w:type="spellStart"/>
      <w:r w:rsidRPr="00574963">
        <w:rPr>
          <w:rFonts w:ascii="Arial" w:eastAsia="Calibri" w:hAnsi="Arial" w:cs="Arial"/>
          <w:sz w:val="21"/>
          <w:lang w:val="es-MX"/>
        </w:rPr>
        <w:t>iv</w:t>
      </w:r>
      <w:proofErr w:type="spellEnd"/>
      <w:r w:rsidRPr="00574963">
        <w:rPr>
          <w:rFonts w:ascii="Arial" w:eastAsia="Calibri" w:hAnsi="Arial" w:cs="Arial"/>
          <w:sz w:val="21"/>
          <w:lang w:val="es-MX"/>
        </w:rPr>
        <w:t>)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w:t>
      </w:r>
      <w:proofErr w:type="spellStart"/>
      <w:r w:rsidRPr="00574963">
        <w:rPr>
          <w:rFonts w:ascii="Arial" w:eastAsia="Calibri" w:hAnsi="Arial" w:cs="Arial"/>
          <w:sz w:val="21"/>
          <w:lang w:val="es-MX"/>
        </w:rPr>
        <w:t>vii</w:t>
      </w:r>
      <w:proofErr w:type="spellEnd"/>
      <w:r w:rsidRPr="00574963">
        <w:rPr>
          <w:rFonts w:ascii="Arial" w:eastAsia="Calibri" w:hAnsi="Arial" w:cs="Arial"/>
          <w:sz w:val="21"/>
          <w:lang w:val="es-MX"/>
        </w:rPr>
        <w:t>) persiguen  una finalidad común a través de la realización de intereses compartidos entre las entidades vinculadas; (</w:t>
      </w:r>
      <w:proofErr w:type="spellStart"/>
      <w:r w:rsidRPr="00574963">
        <w:rPr>
          <w:rFonts w:ascii="Arial" w:eastAsia="Calibri" w:hAnsi="Arial" w:cs="Arial"/>
          <w:sz w:val="21"/>
          <w:lang w:val="es-MX"/>
        </w:rPr>
        <w:t>viii</w:t>
      </w:r>
      <w:proofErr w:type="spellEnd"/>
      <w:r w:rsidRPr="00574963">
        <w:rPr>
          <w:rFonts w:ascii="Arial" w:eastAsia="Calibri" w:hAnsi="Arial" w:cs="Arial"/>
          <w:sz w:val="21"/>
          <w:lang w:val="es-MX"/>
        </w:rPr>
        <w:t>) la acción mediante la cual se deben ventilar las diferencias que sobre el particular surjan es la de controversias contractuales</w:t>
      </w:r>
      <w:r w:rsidRPr="00574963">
        <w:rPr>
          <w:rFonts w:ascii="Arial" w:eastAsia="Calibri" w:hAnsi="Arial" w:cs="Arial"/>
          <w:sz w:val="21"/>
          <w:vertAlign w:val="superscript"/>
          <w:lang w:val="es-MX"/>
        </w:rPr>
        <w:footnoteReference w:id="14"/>
      </w:r>
      <w:r w:rsidRPr="00574963">
        <w:rPr>
          <w:rFonts w:ascii="Arial" w:eastAsia="Calibri" w:hAnsi="Arial" w:cs="Arial"/>
          <w:sz w:val="21"/>
          <w:lang w:val="es-MX"/>
        </w:rPr>
        <w:t>”.</w:t>
      </w:r>
    </w:p>
    <w:p w14:paraId="23DD17E1" w14:textId="77777777" w:rsidR="00AB7479" w:rsidRPr="00574963" w:rsidRDefault="00AB7479" w:rsidP="00AB7479">
      <w:pPr>
        <w:spacing w:after="0" w:line="276" w:lineRule="auto"/>
        <w:ind w:firstLine="709"/>
        <w:jc w:val="both"/>
        <w:rPr>
          <w:rFonts w:ascii="Arial" w:eastAsia="Times New Roman" w:hAnsi="Arial" w:cs="Arial"/>
          <w:iCs/>
          <w:szCs w:val="24"/>
          <w:lang w:val="es-ES_tradnl" w:eastAsia="es-ES_tradnl"/>
        </w:rPr>
      </w:pPr>
    </w:p>
    <w:p w14:paraId="73E9D2CD" w14:textId="77777777" w:rsidR="00AB7479" w:rsidRPr="00574963" w:rsidRDefault="00AB7479" w:rsidP="00AB7479">
      <w:pPr>
        <w:spacing w:after="0" w:line="276" w:lineRule="auto"/>
        <w:ind w:firstLine="709"/>
        <w:jc w:val="both"/>
        <w:rPr>
          <w:rFonts w:ascii="Arial" w:eastAsia="Times New Roman" w:hAnsi="Arial" w:cs="Arial"/>
          <w:iCs/>
          <w:szCs w:val="24"/>
          <w:lang w:val="es-ES_tradnl" w:eastAsia="es-ES_tradnl"/>
        </w:rPr>
      </w:pPr>
      <w:r w:rsidRPr="00574963">
        <w:rPr>
          <w:rFonts w:ascii="Arial" w:eastAsia="Times New Roman" w:hAnsi="Arial" w:cs="Arial"/>
          <w:iCs/>
          <w:szCs w:val="24"/>
          <w:lang w:val="es-ES_tradnl" w:eastAsia="es-ES_tradnl"/>
        </w:rPr>
        <w:t>En ese sentido, los convenios interadministrativos se caracterizan por los sujetos que intervienen y por la modalidad de selección que la ley permite aplicar para su celebración, ya que comporta un grado de excepcionalidad frente a las demás tipologías contractuales, donde los sujetos no están restringidos a una cualificación particular y aplican otras modalidades de selección. El Estatuto General de Contratación de la Administración Pública establece la contratación directa como la modalidad de selección aplicable, por regla general, a la celebración de los contratos interadministrativos.</w:t>
      </w:r>
    </w:p>
    <w:p w14:paraId="6C48E7EC" w14:textId="77777777" w:rsidR="00AB7479" w:rsidRPr="00574963" w:rsidRDefault="00AB7479" w:rsidP="00AB7479">
      <w:pPr>
        <w:spacing w:before="120" w:after="0" w:line="276" w:lineRule="auto"/>
        <w:ind w:firstLine="709"/>
        <w:jc w:val="both"/>
        <w:rPr>
          <w:rFonts w:ascii="Arial" w:eastAsia="Times New Roman" w:hAnsi="Arial" w:cs="Arial"/>
          <w:iCs/>
          <w:szCs w:val="24"/>
          <w:lang w:val="es-ES_tradnl" w:eastAsia="es-ES_tradnl"/>
        </w:rPr>
      </w:pPr>
      <w:r w:rsidRPr="00574963">
        <w:rPr>
          <w:rFonts w:ascii="Arial" w:eastAsia="Times New Roman" w:hAnsi="Arial" w:cs="Arial"/>
          <w:iCs/>
          <w:szCs w:val="24"/>
          <w:lang w:val="es-ES_tradnl" w:eastAsia="es-ES_tradnl"/>
        </w:rPr>
        <w:t>Así las cosas, la ley no limitó la celebración de contratos interadministrativos a la modalidad de selección de contratación directa, pues solo estableció, excepcionalmente, su celebración de manera directa cuando dos o más entidades del Estado, con el fin de materializar funciones administrativas de interés común para ambas partes, celebren un negocio jurídico. No obstante, es posible que se celebren contratos interadministrativos en el marco de un proceso donde sea posible la participación de los interesados en ofertar, es decir, a través de las otras modalidades de selección previstas en la Ley 1150 de 2007 diferentes a la contratación directa, pues, como se indicó, la existencia de un contrato interadministrativo no está determinada por la modalidad de selección, sino entre otras cosas, por la calidad de las partes que lo suscriben, es decir, debe tratarse de entidades estatales.</w:t>
      </w:r>
    </w:p>
    <w:p w14:paraId="43F646D7" w14:textId="77777777" w:rsidR="00AB7479" w:rsidRPr="00574963" w:rsidRDefault="00AB7479" w:rsidP="00AB7479">
      <w:pPr>
        <w:spacing w:before="120" w:after="0" w:line="276" w:lineRule="auto"/>
        <w:jc w:val="both"/>
        <w:rPr>
          <w:rFonts w:ascii="Arial" w:eastAsia="Times New Roman" w:hAnsi="Arial" w:cs="Arial"/>
          <w:iCs/>
          <w:szCs w:val="24"/>
          <w:lang w:val="es-ES_tradnl" w:eastAsia="es-ES_tradnl"/>
        </w:rPr>
      </w:pPr>
      <w:r w:rsidRPr="00574963">
        <w:rPr>
          <w:rFonts w:ascii="Arial" w:eastAsia="Times New Roman" w:hAnsi="Arial" w:cs="Arial"/>
          <w:iCs/>
          <w:szCs w:val="24"/>
          <w:lang w:val="es-ES_tradnl" w:eastAsia="es-ES_tradnl"/>
        </w:rPr>
        <w:tab/>
        <w:t xml:space="preserve">Además, es necesario tener en cuenta que para que un contrato o convenio interadministrativo exista, debe cumplir con los siguientes elementos: acuerdo sobre el objeto y la contraprestación, y que se eleve a escrito. Por otra parte, si bien actualmente el Estatuto General de Contratación de la Administración Pública hace referencia de manera expresa al contrato interadministrativos y no al convenio, no por esto puede concluirse que se trate de figuras totalmente diferentes, pues las entidades del Estado, en el marco de la Ley 80 de 1993, pueden </w:t>
      </w:r>
      <w:r w:rsidRPr="00574963">
        <w:rPr>
          <w:rFonts w:ascii="Arial" w:eastAsia="Times New Roman" w:hAnsi="Arial" w:cs="Arial"/>
          <w:iCs/>
          <w:szCs w:val="24"/>
          <w:lang w:val="es-ES_tradnl" w:eastAsia="es-ES_tradnl"/>
        </w:rPr>
        <w:lastRenderedPageBreak/>
        <w:t xml:space="preserve">acordar entre sí diferentes tipos de obligaciones, siempre que su objeto de creación les permita cumplirlas, con el objetivo común de materializar los fines del Estado. Por este motivo,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w:t>
      </w:r>
    </w:p>
    <w:p w14:paraId="5A08748E" w14:textId="77777777" w:rsidR="00AB7479" w:rsidRPr="00574963" w:rsidRDefault="00AB7479" w:rsidP="00AB7479">
      <w:pPr>
        <w:spacing w:before="120" w:after="0" w:line="276" w:lineRule="auto"/>
        <w:jc w:val="both"/>
        <w:rPr>
          <w:rFonts w:ascii="Arial" w:eastAsia="Times New Roman" w:hAnsi="Arial" w:cs="Arial"/>
          <w:iCs/>
          <w:szCs w:val="24"/>
          <w:lang w:val="es-ES_tradnl" w:eastAsia="es-ES_tradnl"/>
        </w:rPr>
      </w:pPr>
      <w:r w:rsidRPr="00574963">
        <w:rPr>
          <w:rFonts w:ascii="Arial" w:eastAsia="Times New Roman" w:hAnsi="Arial" w:cs="Arial"/>
          <w:iCs/>
          <w:szCs w:val="24"/>
          <w:lang w:val="es-ES_tradnl" w:eastAsia="es-ES_tradnl"/>
        </w:rPr>
        <w:tab/>
        <w:t>Resulta a bien destacar que el Decreto 1082 de 2015 dispone que los convenios o contratos interadministrativos, así denominados en su artículo 2.2.1.2.1.4.4, se contratan directamente, por lo que no hay lugar a dudas que representan lo mismo en la medida que concurran entidades estatales en el acuerdo de voluntades. De este modo, es posible concluir que en la contratación estatal no existen mayores diferencias entre el convenio y contrato y, dando aplicación al derecho privado y a la definición contenida en el Código Civil, puede afirmarse que se trata de figuras equivalentes.</w:t>
      </w:r>
    </w:p>
    <w:p w14:paraId="116C4C3F" w14:textId="77777777" w:rsidR="00AB7479" w:rsidRPr="00574963" w:rsidRDefault="00AB7479" w:rsidP="00AB7479">
      <w:pPr>
        <w:spacing w:before="120" w:after="0" w:line="276" w:lineRule="auto"/>
        <w:ind w:firstLine="709"/>
        <w:jc w:val="both"/>
        <w:rPr>
          <w:rFonts w:ascii="Arial" w:eastAsia="Times New Roman" w:hAnsi="Arial" w:cs="Arial"/>
          <w:iCs/>
          <w:szCs w:val="24"/>
          <w:lang w:val="es-ES_tradnl" w:eastAsia="es-ES_tradnl"/>
        </w:rPr>
      </w:pPr>
      <w:r w:rsidRPr="00574963">
        <w:rPr>
          <w:rFonts w:ascii="Arial" w:eastAsia="Times New Roman" w:hAnsi="Arial" w:cs="Arial"/>
          <w:iCs/>
          <w:szCs w:val="24"/>
          <w:lang w:val="es-ES_tradnl" w:eastAsia="es-ES_tradnl"/>
        </w:rPr>
        <w:t>Por tanto, aunque el artículo 95 de la Ley 489 de 1998 dispone que “Las entidades públicas podrán asociarse con el fin de cooperar en el cumplimiento de funciones administrativas o de prestar conjuntamente servicios que se hallen a su cargo, mediante la celebración de convenios interadministrativos […]”, esto no significa que dichos acuerdos estén exceptuados del Estatuto General de Contratación de la Administración Pública por no tener carácter contractual. Por ello, la jurisprudencia considera que “Estos convenios cuentan con las características propias de los contratos, cuando su objeto lo constituyen obligaciones patrimoniales, y las entidades estatales que los conforman están sujetas tanto a la normativa contractual pública, como a las normas del derecho civil […]</w:t>
      </w:r>
      <w:r w:rsidRPr="00574963">
        <w:rPr>
          <w:rFonts w:eastAsia="Arial"/>
          <w:vertAlign w:val="superscript"/>
        </w:rPr>
        <w:footnoteReference w:id="15"/>
      </w:r>
      <w:r w:rsidRPr="00574963">
        <w:rPr>
          <w:rFonts w:ascii="Arial" w:eastAsia="Arial" w:hAnsi="Arial" w:cs="Arial"/>
          <w:lang w:val="es-ES_tradnl" w:eastAsia="es-ES" w:bidi="es-ES"/>
        </w:rPr>
        <w:t>”.</w:t>
      </w:r>
    </w:p>
    <w:p w14:paraId="02B5CC81" w14:textId="77777777" w:rsidR="00AB7479" w:rsidRPr="00574963" w:rsidRDefault="00AB7479" w:rsidP="00AB7479">
      <w:pPr>
        <w:spacing w:before="120" w:after="0" w:line="276" w:lineRule="auto"/>
        <w:ind w:firstLine="709"/>
        <w:jc w:val="both"/>
        <w:rPr>
          <w:rFonts w:ascii="Arial" w:eastAsia="Times New Roman" w:hAnsi="Arial" w:cs="Arial"/>
          <w:iCs/>
          <w:szCs w:val="24"/>
          <w:lang w:val="es-ES_tradnl" w:eastAsia="es-ES_tradnl"/>
        </w:rPr>
      </w:pPr>
      <w:r w:rsidRPr="00574963">
        <w:rPr>
          <w:rFonts w:ascii="Arial" w:eastAsia="Times New Roman" w:hAnsi="Arial" w:cs="Arial"/>
          <w:iCs/>
          <w:szCs w:val="24"/>
          <w:lang w:val="es-ES_tradnl" w:eastAsia="es-ES_tradnl"/>
        </w:rPr>
        <w:t>Sin perjuicio de lo anterior, debe tenerse en cuenta que cierto sector de la doctrina y la jurisprudencia han establecido algunas diferencias o caracterización de los contratos interadministrativos frente a los convenios interadministrativos de que trata el artículo 95 de la Ley 489 de 1998. Por ejemplo, en Sentencia del 14 de junio de 2019, el Consejo de Estado señaló:</w:t>
      </w:r>
    </w:p>
    <w:p w14:paraId="13732C82" w14:textId="77777777" w:rsidR="00AB7479" w:rsidRPr="00574963" w:rsidRDefault="00AB7479" w:rsidP="00AB7479">
      <w:pPr>
        <w:spacing w:after="0" w:line="240" w:lineRule="auto"/>
        <w:ind w:left="709" w:right="709"/>
        <w:jc w:val="both"/>
        <w:rPr>
          <w:rFonts w:ascii="Arial" w:eastAsia="Calibri" w:hAnsi="Arial" w:cs="Arial"/>
          <w:sz w:val="21"/>
          <w:szCs w:val="21"/>
          <w:lang w:val="es-ES_tradnl"/>
        </w:rPr>
      </w:pPr>
    </w:p>
    <w:p w14:paraId="447F412F" w14:textId="77777777" w:rsidR="00AB7479" w:rsidRPr="00574963" w:rsidRDefault="00AB7479" w:rsidP="00AB7479">
      <w:pPr>
        <w:spacing w:after="0" w:line="240" w:lineRule="auto"/>
        <w:ind w:left="709" w:right="709"/>
        <w:jc w:val="both"/>
        <w:rPr>
          <w:rFonts w:ascii="Arial" w:eastAsia="Calibri" w:hAnsi="Arial" w:cs="Arial"/>
          <w:sz w:val="21"/>
          <w:szCs w:val="21"/>
          <w:lang w:val="es-ES_tradnl"/>
        </w:rPr>
      </w:pPr>
      <w:r w:rsidRPr="00574963">
        <w:rPr>
          <w:rFonts w:ascii="Arial" w:eastAsia="Calibri" w:hAnsi="Arial" w:cs="Arial"/>
          <w:sz w:val="21"/>
          <w:szCs w:val="21"/>
          <w:lang w:val="es-ES_tradnl"/>
        </w:rPr>
        <w:t>“La Sala de Consulta y Servicio Civil</w:t>
      </w:r>
      <w:r w:rsidRPr="00574963">
        <w:rPr>
          <w:rFonts w:ascii="Arial" w:eastAsia="Calibri" w:hAnsi="Arial" w:cs="Arial"/>
          <w:sz w:val="21"/>
          <w:szCs w:val="21"/>
          <w:vertAlign w:val="superscript"/>
          <w:lang w:eastAsia="es-ES_tradnl"/>
        </w:rPr>
        <w:footnoteReference w:id="16"/>
      </w:r>
      <w:r w:rsidRPr="00574963">
        <w:rPr>
          <w:rFonts w:ascii="Arial" w:eastAsia="Calibri" w:hAnsi="Arial" w:cs="Arial"/>
          <w:sz w:val="21"/>
          <w:szCs w:val="21"/>
          <w:lang w:val="es-ES_tradnl"/>
        </w:rPr>
        <w:t xml:space="preserve"> de esta Corporación se ha referido a los </w:t>
      </w:r>
      <w:r w:rsidRPr="00574963">
        <w:rPr>
          <w:rFonts w:ascii="Arial" w:eastAsia="Calibri" w:hAnsi="Arial" w:cs="Arial"/>
          <w:i/>
          <w:sz w:val="21"/>
          <w:szCs w:val="21"/>
          <w:lang w:val="es-ES_tradnl"/>
        </w:rPr>
        <w:t>“convenios interadministrativos”</w:t>
      </w:r>
      <w:r w:rsidRPr="00574963">
        <w:rPr>
          <w:rFonts w:ascii="Arial" w:eastAsia="Calibri" w:hAnsi="Arial" w:cs="Arial"/>
          <w:sz w:val="21"/>
          <w:szCs w:val="21"/>
          <w:lang w:val="es-ES_tradnl"/>
        </w:rPr>
        <w:t xml:space="preserve"> a los cuales alude el artículo 95 de la Ley 489 de 1998, calificándolos de </w:t>
      </w:r>
      <w:r w:rsidRPr="00574963">
        <w:rPr>
          <w:rFonts w:ascii="Arial" w:eastAsia="Calibri" w:hAnsi="Arial" w:cs="Arial"/>
          <w:i/>
          <w:sz w:val="21"/>
          <w:szCs w:val="21"/>
          <w:lang w:val="es-ES_tradnl"/>
        </w:rPr>
        <w:t xml:space="preserve">“puros” </w:t>
      </w:r>
      <w:r w:rsidRPr="00574963">
        <w:rPr>
          <w:rFonts w:ascii="Arial" w:eastAsia="Calibri" w:hAnsi="Arial" w:cs="Arial"/>
          <w:sz w:val="21"/>
          <w:szCs w:val="21"/>
          <w:lang w:val="es-ES_tradnl"/>
        </w:rPr>
        <w:t xml:space="preserve">y entendiendo que estos, además de perseguir la finalidad de cooperación antes indicada, no implican intereses contrapuestos ni tampoco se circunscriben a un </w:t>
      </w:r>
      <w:r w:rsidRPr="00574963">
        <w:rPr>
          <w:rFonts w:ascii="Arial" w:eastAsia="Calibri" w:hAnsi="Arial" w:cs="Arial"/>
          <w:i/>
          <w:sz w:val="21"/>
          <w:szCs w:val="21"/>
          <w:lang w:val="es-ES_tradnl"/>
        </w:rPr>
        <w:t>“intercambio patrimonial”</w:t>
      </w:r>
      <w:r w:rsidRPr="00574963">
        <w:rPr>
          <w:rFonts w:ascii="Arial" w:eastAsia="Calibri" w:hAnsi="Arial" w:cs="Arial"/>
          <w:sz w:val="21"/>
          <w:szCs w:val="21"/>
          <w:lang w:val="es-ES_tradnl"/>
        </w:rPr>
        <w:t>. Sin perjuicio de lo anterior, en otra oportunidad, la misma Sala</w:t>
      </w:r>
      <w:r w:rsidRPr="00574963">
        <w:rPr>
          <w:rFonts w:ascii="Arial" w:eastAsia="Calibri" w:hAnsi="Arial" w:cs="Arial"/>
          <w:sz w:val="21"/>
          <w:szCs w:val="21"/>
          <w:vertAlign w:val="superscript"/>
          <w:lang w:eastAsia="es-ES_tradnl"/>
        </w:rPr>
        <w:footnoteReference w:id="17"/>
      </w:r>
      <w:r w:rsidRPr="00574963">
        <w:rPr>
          <w:rFonts w:ascii="Arial" w:eastAsia="Calibri" w:hAnsi="Arial" w:cs="Arial"/>
          <w:sz w:val="21"/>
          <w:szCs w:val="21"/>
          <w:lang w:val="es-ES_tradnl"/>
        </w:rPr>
        <w:t xml:space="preserve"> había indicado que, si bien en dichos convenios no se </w:t>
      </w:r>
      <w:r w:rsidRPr="00574963">
        <w:rPr>
          <w:rFonts w:ascii="Arial" w:eastAsia="Calibri" w:hAnsi="Arial" w:cs="Arial"/>
          <w:sz w:val="21"/>
          <w:szCs w:val="21"/>
          <w:lang w:val="es-ES_tradnl"/>
        </w:rPr>
        <w:lastRenderedPageBreak/>
        <w:t xml:space="preserve">daba un </w:t>
      </w:r>
      <w:r w:rsidRPr="00574963">
        <w:rPr>
          <w:rFonts w:ascii="Arial" w:eastAsia="Calibri" w:hAnsi="Arial" w:cs="Arial"/>
          <w:i/>
          <w:sz w:val="21"/>
          <w:szCs w:val="21"/>
          <w:lang w:val="es-ES_tradnl"/>
        </w:rPr>
        <w:t>“verdadero intercambio de bienes o servicios (contrato conmutativo)”</w:t>
      </w:r>
      <w:r w:rsidRPr="00574963">
        <w:rPr>
          <w:rFonts w:ascii="Arial" w:eastAsia="Calibri" w:hAnsi="Arial" w:cs="Arial"/>
          <w:sz w:val="21"/>
          <w:szCs w:val="21"/>
          <w:lang w:val="es-ES_tradnl"/>
        </w:rPr>
        <w:t>, ello no impedía que se conviniera una remuneración a cargo de alguna(s) entidad(es).</w:t>
      </w:r>
    </w:p>
    <w:p w14:paraId="60F47D44" w14:textId="77777777" w:rsidR="00AB7479" w:rsidRPr="00574963" w:rsidRDefault="00AB7479" w:rsidP="00AB7479">
      <w:pPr>
        <w:widowControl w:val="0"/>
        <w:autoSpaceDE w:val="0"/>
        <w:autoSpaceDN w:val="0"/>
        <w:spacing w:before="120" w:after="0" w:line="240" w:lineRule="auto"/>
        <w:ind w:left="709" w:right="709"/>
        <w:jc w:val="both"/>
        <w:rPr>
          <w:rFonts w:ascii="Arial" w:eastAsia="Arial" w:hAnsi="Arial" w:cs="Arial"/>
          <w:sz w:val="21"/>
          <w:szCs w:val="21"/>
          <w:lang w:val="es-ES_tradnl" w:eastAsia="es-ES" w:bidi="es-ES"/>
        </w:rPr>
      </w:pPr>
      <w:r w:rsidRPr="00574963">
        <w:rPr>
          <w:rFonts w:ascii="Arial" w:eastAsia="Arial" w:hAnsi="Arial" w:cs="Arial"/>
          <w:sz w:val="21"/>
          <w:szCs w:val="21"/>
          <w:lang w:val="es-ES_tradnl" w:eastAsia="es-ES" w:bidi="es-ES"/>
        </w:rPr>
        <w:t xml:space="preserve">Lo expuesto evidencia que, en general, las interpretaciones en torno a los </w:t>
      </w:r>
      <w:r w:rsidRPr="00574963">
        <w:rPr>
          <w:rFonts w:ascii="Arial" w:eastAsia="Arial" w:hAnsi="Arial" w:cs="Arial"/>
          <w:i/>
          <w:sz w:val="21"/>
          <w:szCs w:val="21"/>
          <w:lang w:val="es-ES_tradnl" w:eastAsia="es-ES" w:bidi="es-ES"/>
        </w:rPr>
        <w:t>“convenios interadministrativos”</w:t>
      </w:r>
      <w:r w:rsidRPr="00574963">
        <w:rPr>
          <w:rFonts w:ascii="Arial" w:eastAsia="Arial" w:hAnsi="Arial" w:cs="Arial"/>
          <w:sz w:val="21"/>
          <w:szCs w:val="21"/>
          <w:lang w:val="es-ES_tradnl" w:eastAsia="es-ES" w:bidi="es-ES"/>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574963">
        <w:rPr>
          <w:rFonts w:ascii="Arial" w:eastAsia="Arial" w:hAnsi="Arial" w:cs="Arial"/>
          <w:sz w:val="21"/>
          <w:szCs w:val="21"/>
          <w:vertAlign w:val="superscript"/>
          <w:lang w:eastAsia="es-ES_tradnl"/>
        </w:rPr>
        <w:footnoteReference w:id="18"/>
      </w:r>
      <w:r w:rsidRPr="00574963">
        <w:rPr>
          <w:rFonts w:ascii="Arial" w:eastAsia="Arial" w:hAnsi="Arial" w:cs="Arial"/>
          <w:sz w:val="21"/>
          <w:szCs w:val="21"/>
          <w:lang w:val="es-ES_tradnl" w:eastAsia="es-ES" w:bidi="es-ES"/>
        </w:rPr>
        <w:t xml:space="preserve"> </w:t>
      </w:r>
      <w:r w:rsidRPr="00574963">
        <w:rPr>
          <w:rFonts w:ascii="Arial" w:eastAsia="Arial" w:hAnsi="Arial" w:cs="Arial"/>
          <w:sz w:val="21"/>
          <w:szCs w:val="21"/>
          <w:vertAlign w:val="superscript"/>
          <w:lang w:eastAsia="es-ES_tradnl"/>
        </w:rPr>
        <w:footnoteReference w:id="19"/>
      </w:r>
      <w:r w:rsidRPr="00574963">
        <w:rPr>
          <w:rFonts w:ascii="Arial" w:eastAsia="Arial" w:hAnsi="Arial" w:cs="Arial"/>
          <w:sz w:val="21"/>
          <w:szCs w:val="21"/>
          <w:lang w:val="es-ES_tradnl" w:eastAsia="es-ES" w:bidi="es-ES"/>
        </w:rPr>
        <w:t>”. [Énfasis propio]</w:t>
      </w:r>
    </w:p>
    <w:p w14:paraId="1E7687B3" w14:textId="77777777" w:rsidR="00AB7479" w:rsidRPr="00574963" w:rsidRDefault="00AB7479" w:rsidP="00AB7479">
      <w:pPr>
        <w:spacing w:after="0" w:line="276" w:lineRule="auto"/>
        <w:ind w:firstLine="709"/>
        <w:jc w:val="both"/>
        <w:rPr>
          <w:rFonts w:ascii="Arial" w:eastAsia="Times New Roman" w:hAnsi="Arial" w:cs="Arial"/>
          <w:iCs/>
          <w:szCs w:val="24"/>
          <w:lang w:val="es-ES_tradnl" w:eastAsia="es-ES_tradnl"/>
        </w:rPr>
      </w:pPr>
    </w:p>
    <w:p w14:paraId="4440AA61" w14:textId="77777777" w:rsidR="00AB7479" w:rsidRPr="00574963" w:rsidRDefault="00AB7479" w:rsidP="00AB7479">
      <w:pPr>
        <w:spacing w:after="0" w:line="276" w:lineRule="auto"/>
        <w:ind w:firstLine="709"/>
        <w:jc w:val="both"/>
        <w:rPr>
          <w:rFonts w:ascii="Arial" w:eastAsia="Times New Roman" w:hAnsi="Arial" w:cs="Arial"/>
          <w:iCs/>
          <w:szCs w:val="24"/>
          <w:lang w:val="es-ES_tradnl" w:eastAsia="es-ES_tradnl"/>
        </w:rPr>
      </w:pPr>
      <w:r w:rsidRPr="00574963">
        <w:rPr>
          <w:rFonts w:ascii="Arial" w:eastAsia="Times New Roman" w:hAnsi="Arial" w:cs="Arial"/>
          <w:iCs/>
          <w:szCs w:val="24"/>
          <w:lang w:val="es-ES_tradnl" w:eastAsia="es-ES_tradnl"/>
        </w:rPr>
        <w:t>En ese orden, debe advertirse que el ordenamiento jurídico en distintas ocasiones utiliza de forma indistinta los conceptos de contrato o convenio para referirse a la misma institución jurídica</w:t>
      </w:r>
      <w:r w:rsidRPr="00574963">
        <w:rPr>
          <w:rFonts w:eastAsia="Arial"/>
          <w:vertAlign w:val="superscript"/>
        </w:rPr>
        <w:footnoteReference w:id="20"/>
      </w:r>
      <w:r w:rsidRPr="00574963">
        <w:rPr>
          <w:rFonts w:ascii="Arial" w:eastAsia="Arial" w:hAnsi="Arial" w:cs="Arial"/>
          <w:lang w:val="es-ES_tradnl" w:eastAsia="es-ES" w:bidi="es-ES"/>
        </w:rPr>
        <w:t>. Incluso la Corte Constitucional explica la posibilidad de celebrar convenios interadministrativos de forma directa, con fundamento en la causal establecida en la Ley 1150 de 2007 respecto a los contratos interadministrativos</w:t>
      </w:r>
      <w:r w:rsidRPr="00574963">
        <w:rPr>
          <w:rFonts w:eastAsia="Arial"/>
          <w:vertAlign w:val="superscript"/>
        </w:rPr>
        <w:footnoteReference w:id="21"/>
      </w:r>
      <w:r w:rsidRPr="00574963">
        <w:rPr>
          <w:rFonts w:ascii="Arial" w:eastAsia="Arial" w:hAnsi="Arial" w:cs="Arial"/>
          <w:lang w:val="es-ES_tradnl" w:eastAsia="es-ES" w:bidi="es-ES"/>
        </w:rPr>
        <w:t>.</w:t>
      </w:r>
    </w:p>
    <w:p w14:paraId="7FD52898" w14:textId="77777777" w:rsidR="00AB7479" w:rsidRPr="00574963" w:rsidRDefault="00AB7479" w:rsidP="00AB7479">
      <w:pPr>
        <w:spacing w:before="120" w:after="0" w:line="276" w:lineRule="auto"/>
        <w:ind w:firstLine="709"/>
        <w:jc w:val="both"/>
        <w:rPr>
          <w:rFonts w:ascii="Arial" w:eastAsia="Times New Roman" w:hAnsi="Arial" w:cs="Arial"/>
          <w:iCs/>
          <w:szCs w:val="24"/>
          <w:lang w:val="es-ES_tradnl" w:eastAsia="es-ES_tradnl"/>
        </w:rPr>
      </w:pPr>
      <w:r w:rsidRPr="00574963">
        <w:rPr>
          <w:rFonts w:ascii="Arial" w:eastAsia="Times New Roman" w:hAnsi="Arial" w:cs="Arial"/>
          <w:iCs/>
          <w:szCs w:val="24"/>
          <w:lang w:val="es-ES_tradnl" w:eastAsia="es-ES_tradnl"/>
        </w:rPr>
        <w:t xml:space="preserve">Corolario de lo anterior, se colige que lo que define los contratos o convenios interadministrativos es la naturaleza de las partes, de manera que están determinados por un criterio orgánico, en el sentido de que lo serán aquellos celebrados entre entidades estatales. Además, no existe una diferencia en los conceptos de contrato y convenio, por lo que se asimilaron para la aplicación de la Ley de Garantías Electorales. En tal sentido, las referencias realizadas por el legislador a estos términos deben asimilarse, salvo que de su contenido se logre inferir que se le quiere otorgar un contenido en particular, pues como se expresó, el legislador utiliza estos conceptos de forma indistinta. </w:t>
      </w:r>
    </w:p>
    <w:p w14:paraId="2F835BDC" w14:textId="77777777" w:rsidR="00AB7479" w:rsidRPr="00574963" w:rsidRDefault="00AB7479" w:rsidP="00AB7479">
      <w:pPr>
        <w:spacing w:before="120" w:after="0" w:line="276" w:lineRule="auto"/>
        <w:ind w:firstLine="709"/>
        <w:jc w:val="both"/>
        <w:rPr>
          <w:rFonts w:ascii="Arial" w:eastAsia="Times New Roman" w:hAnsi="Arial" w:cs="Arial"/>
          <w:iCs/>
          <w:szCs w:val="24"/>
          <w:lang w:val="es-ES_tradnl" w:eastAsia="es-ES_tradnl"/>
        </w:rPr>
      </w:pPr>
      <w:r w:rsidRPr="00574963">
        <w:rPr>
          <w:rFonts w:ascii="Arial" w:eastAsia="Times New Roman" w:hAnsi="Arial" w:cs="Arial"/>
          <w:iCs/>
          <w:szCs w:val="24"/>
          <w:lang w:val="es-ES_tradnl" w:eastAsia="es-ES_tradnl"/>
        </w:rPr>
        <w:t xml:space="preserve">Finalmente, y conforme a todo lo expuesto, debe aclararse que para los comicios que se celebrarán este año, aplicarán las restricciones contractuales establecidas en el parágrafo del artículo 38 de la Ley 996 de 2005 que prohíbe a los alcaldes, gobernadores, secretarios, gerentes y directores de las entidades del orden municipal, departamental o distrital celebrar convenios y contratos interadministrativos para la ejecución de recursos públicos. En este sentido, si una o ambas partes de la relación contractual es una de las entidades descritas en el parágrafo </w:t>
      </w:r>
      <w:r w:rsidRPr="00574963">
        <w:rPr>
          <w:rFonts w:ascii="Arial" w:eastAsia="Times New Roman" w:hAnsi="Arial" w:cs="Arial"/>
          <w:i/>
          <w:szCs w:val="24"/>
          <w:lang w:val="es-ES_tradnl" w:eastAsia="es-ES_tradnl"/>
        </w:rPr>
        <w:t xml:space="preserve">ibidem, </w:t>
      </w:r>
      <w:r w:rsidRPr="00574963">
        <w:rPr>
          <w:rFonts w:ascii="Arial" w:eastAsia="Times New Roman" w:hAnsi="Arial" w:cs="Arial"/>
          <w:iCs/>
          <w:szCs w:val="24"/>
          <w:lang w:val="es-ES_tradnl" w:eastAsia="es-ES_tradnl"/>
        </w:rPr>
        <w:lastRenderedPageBreak/>
        <w:t>no podrá celebrar tales convenios o contratos durante la aplicación de la Ley de Garantías Electorales, toda vez que la citada disposición hace referencia a dicha tipología contractual sin que el legislador hubiere contemplado excepción alguna frente a la modalidad de selección o naturaleza de su objeto.</w:t>
      </w:r>
    </w:p>
    <w:p w14:paraId="5D67DE83" w14:textId="77777777" w:rsidR="00AB7479" w:rsidRPr="00574963" w:rsidRDefault="00AB7479" w:rsidP="00AB7479">
      <w:pPr>
        <w:spacing w:after="0" w:line="276" w:lineRule="auto"/>
        <w:ind w:firstLine="709"/>
        <w:jc w:val="both"/>
        <w:rPr>
          <w:rFonts w:ascii="Arial" w:eastAsia="Times New Roman" w:hAnsi="Arial" w:cs="Arial"/>
          <w:iCs/>
          <w:szCs w:val="24"/>
          <w:lang w:val="es-ES_tradnl" w:eastAsia="es-ES_tradnl"/>
        </w:rPr>
      </w:pPr>
    </w:p>
    <w:p w14:paraId="74D02E63" w14:textId="77777777" w:rsidR="00AB7479" w:rsidRPr="00574963" w:rsidRDefault="00AB7479" w:rsidP="00AB7479">
      <w:pPr>
        <w:spacing w:after="0" w:line="276" w:lineRule="auto"/>
        <w:contextualSpacing/>
        <w:jc w:val="both"/>
        <w:rPr>
          <w:rFonts w:ascii="Arial" w:eastAsia="Calibri" w:hAnsi="Arial" w:cs="Arial"/>
          <w:b/>
        </w:rPr>
      </w:pPr>
      <w:r w:rsidRPr="00574963">
        <w:rPr>
          <w:rFonts w:ascii="Arial" w:eastAsia="Calibri" w:hAnsi="Arial" w:cs="Arial"/>
          <w:b/>
        </w:rPr>
        <w:t>3. Respuesta</w:t>
      </w:r>
    </w:p>
    <w:p w14:paraId="71909442" w14:textId="77777777" w:rsidR="00AB7479" w:rsidRPr="00574963" w:rsidRDefault="00AB7479" w:rsidP="00AB7479">
      <w:pPr>
        <w:spacing w:before="120" w:after="0" w:line="240" w:lineRule="auto"/>
        <w:ind w:left="709" w:right="709"/>
        <w:contextualSpacing/>
        <w:jc w:val="both"/>
        <w:rPr>
          <w:rFonts w:ascii="Arial" w:eastAsia="Calibri" w:hAnsi="Arial" w:cs="Arial"/>
          <w:sz w:val="21"/>
          <w:szCs w:val="21"/>
          <w:lang w:val="es-MX"/>
        </w:rPr>
      </w:pPr>
      <w:bookmarkStart w:id="16" w:name="_Hlk57650395"/>
    </w:p>
    <w:p w14:paraId="52949166" w14:textId="77777777" w:rsidR="00AB7479" w:rsidRDefault="00AB7479" w:rsidP="00AB7479">
      <w:pPr>
        <w:spacing w:before="120" w:after="0" w:line="240" w:lineRule="auto"/>
        <w:ind w:left="709" w:right="709"/>
        <w:contextualSpacing/>
        <w:jc w:val="both"/>
        <w:rPr>
          <w:rFonts w:ascii="Arial" w:eastAsia="Calibri" w:hAnsi="Arial" w:cs="Arial"/>
          <w:sz w:val="21"/>
          <w:szCs w:val="21"/>
          <w:lang w:val="es-MX"/>
        </w:rPr>
      </w:pPr>
      <w:r w:rsidRPr="00574963">
        <w:rPr>
          <w:rFonts w:ascii="Arial" w:eastAsia="Calibri" w:hAnsi="Arial" w:cs="Arial"/>
          <w:sz w:val="21"/>
          <w:szCs w:val="21"/>
          <w:lang w:val="es-MX"/>
        </w:rPr>
        <w:t>“</w:t>
      </w:r>
      <w:r>
        <w:rPr>
          <w:rFonts w:ascii="Arial" w:eastAsia="Calibri" w:hAnsi="Arial" w:cs="Arial"/>
          <w:sz w:val="21"/>
          <w:szCs w:val="21"/>
          <w:lang w:val="es-MX"/>
        </w:rPr>
        <w:t xml:space="preserve">Pregunta </w:t>
      </w:r>
      <w:r w:rsidRPr="00574963">
        <w:rPr>
          <w:rFonts w:ascii="Arial" w:eastAsia="Calibri" w:hAnsi="Arial" w:cs="Arial"/>
          <w:sz w:val="21"/>
          <w:szCs w:val="21"/>
          <w:lang w:val="es-MX"/>
        </w:rPr>
        <w:t>1.</w:t>
      </w:r>
      <w:r>
        <w:rPr>
          <w:rFonts w:ascii="Arial" w:eastAsia="Calibri" w:hAnsi="Arial" w:cs="Arial"/>
          <w:sz w:val="21"/>
          <w:szCs w:val="21"/>
          <w:lang w:val="es-MX"/>
        </w:rPr>
        <w:t xml:space="preserve"> ¿Se entiende como convenio interadministrativo un convenio especial de cooperación para la ejecución de actividades científicas y tecnológicas, cuando las partes cooperantes corresponden a entidades públicas? Lo anterior en consideración a que en la ley 1150 de 2007 las causales de contratación para convenios y contratos interadministrativos y contratos para la ejecución de actividades científicas y tecnológicas bajo cualquiera de sus modalidades son distintas, literales c), y </w:t>
      </w:r>
      <w:proofErr w:type="spellStart"/>
      <w:r>
        <w:rPr>
          <w:rFonts w:ascii="Arial" w:eastAsia="Calibri" w:hAnsi="Arial" w:cs="Arial"/>
          <w:sz w:val="21"/>
          <w:szCs w:val="21"/>
          <w:lang w:val="es-MX"/>
        </w:rPr>
        <w:t>e</w:t>
      </w:r>
      <w:proofErr w:type="spellEnd"/>
      <w:r>
        <w:rPr>
          <w:rFonts w:ascii="Arial" w:eastAsia="Calibri" w:hAnsi="Arial" w:cs="Arial"/>
          <w:sz w:val="21"/>
          <w:szCs w:val="21"/>
          <w:lang w:val="es-MX"/>
        </w:rPr>
        <w:t>).</w:t>
      </w:r>
    </w:p>
    <w:p w14:paraId="289AE5C6" w14:textId="77777777" w:rsidR="00AB7479" w:rsidRDefault="00AB7479" w:rsidP="00AB7479">
      <w:pPr>
        <w:spacing w:before="120" w:after="0" w:line="240" w:lineRule="auto"/>
        <w:ind w:left="709" w:right="709"/>
        <w:contextualSpacing/>
        <w:jc w:val="both"/>
        <w:rPr>
          <w:rFonts w:ascii="Arial" w:eastAsia="Calibri" w:hAnsi="Arial" w:cs="Arial"/>
          <w:sz w:val="21"/>
          <w:szCs w:val="21"/>
          <w:lang w:val="es-MX"/>
        </w:rPr>
      </w:pPr>
    </w:p>
    <w:p w14:paraId="596DB019" w14:textId="77777777" w:rsidR="00AB7479" w:rsidRDefault="00AB7479" w:rsidP="00AB7479">
      <w:pPr>
        <w:spacing w:before="120" w:after="0" w:line="240" w:lineRule="auto"/>
        <w:ind w:left="709" w:right="709"/>
        <w:contextualSpacing/>
        <w:jc w:val="both"/>
        <w:rPr>
          <w:rFonts w:ascii="Arial" w:eastAsia="Calibri" w:hAnsi="Arial" w:cs="Arial"/>
          <w:sz w:val="21"/>
          <w:szCs w:val="21"/>
          <w:lang w:val="es-MX"/>
        </w:rPr>
      </w:pPr>
      <w:r>
        <w:rPr>
          <w:rFonts w:ascii="Arial" w:eastAsia="Calibri" w:hAnsi="Arial" w:cs="Arial"/>
          <w:sz w:val="21"/>
          <w:szCs w:val="21"/>
          <w:lang w:val="es-MX"/>
        </w:rPr>
        <w:t>Pregunta 2. ¿Se entiende amparado bajo la restricción contenida por el parágrafo del Artículo 38 de la ley 996 de 2005 los convenios especiales de cooperación para la ejecución de actividades científicas y tecnológicas, cuando las partes cooperantes corresponden a entidades públicas?</w:t>
      </w:r>
      <w:r w:rsidRPr="00574963">
        <w:rPr>
          <w:rFonts w:ascii="Arial" w:eastAsia="Calibri" w:hAnsi="Arial" w:cs="Arial"/>
          <w:sz w:val="21"/>
          <w:szCs w:val="21"/>
          <w:lang w:val="es-MX"/>
        </w:rPr>
        <w:t xml:space="preserve">” </w:t>
      </w:r>
    </w:p>
    <w:p w14:paraId="6009A0BF" w14:textId="77777777" w:rsidR="00AB7479" w:rsidRPr="00C04E06" w:rsidRDefault="00AB7479" w:rsidP="00AB7479">
      <w:pPr>
        <w:spacing w:after="120" w:line="276" w:lineRule="auto"/>
        <w:jc w:val="both"/>
        <w:rPr>
          <w:rFonts w:ascii="Arial" w:eastAsia="Arial" w:hAnsi="Arial" w:cs="Arial"/>
          <w:lang w:val="es-MX"/>
        </w:rPr>
      </w:pPr>
    </w:p>
    <w:p w14:paraId="6C68AE47" w14:textId="77777777" w:rsidR="00AB7479" w:rsidRPr="00C04E06" w:rsidRDefault="00AB7479" w:rsidP="00AB7479">
      <w:pPr>
        <w:spacing w:after="120" w:line="276" w:lineRule="auto"/>
        <w:jc w:val="both"/>
        <w:rPr>
          <w:rFonts w:ascii="Arial" w:eastAsia="Arial" w:hAnsi="Arial" w:cs="Arial"/>
          <w:lang w:val="es-MX"/>
        </w:rPr>
      </w:pPr>
      <w:r>
        <w:rPr>
          <w:rFonts w:ascii="Arial" w:eastAsia="Arial" w:hAnsi="Arial" w:cs="Arial"/>
          <w:lang w:val="es-MX"/>
        </w:rPr>
        <w:t xml:space="preserve">En principio se debe mencionar como se indica en el concepto, que </w:t>
      </w:r>
      <w:r w:rsidRPr="00C04E06">
        <w:rPr>
          <w:rFonts w:ascii="Arial" w:eastAsia="Arial" w:hAnsi="Arial" w:cs="Arial"/>
          <w:lang w:val="es-MX"/>
        </w:rPr>
        <w:t>lo que define</w:t>
      </w:r>
      <w:r>
        <w:rPr>
          <w:rFonts w:ascii="Arial" w:eastAsia="Arial" w:hAnsi="Arial" w:cs="Arial"/>
          <w:lang w:val="es-MX"/>
        </w:rPr>
        <w:t xml:space="preserve"> a </w:t>
      </w:r>
      <w:r w:rsidRPr="00C04E06">
        <w:rPr>
          <w:rFonts w:ascii="Arial" w:eastAsia="Arial" w:hAnsi="Arial" w:cs="Arial"/>
          <w:lang w:val="es-MX"/>
        </w:rPr>
        <w:t>los contratos o convenios interadministrativos es la naturaleza de las partes, de manera que están determinados por un criterio orgánico, en el sentido de que lo serán aquellos celebrados entre entidades estatales.</w:t>
      </w:r>
    </w:p>
    <w:p w14:paraId="06F2D368" w14:textId="77777777" w:rsidR="00AB7479" w:rsidRPr="00574963" w:rsidRDefault="00AB7479" w:rsidP="00AB7479">
      <w:pPr>
        <w:spacing w:after="120" w:line="276" w:lineRule="auto"/>
        <w:ind w:firstLine="708"/>
        <w:jc w:val="both"/>
        <w:rPr>
          <w:rFonts w:ascii="Arial" w:eastAsia="Arial" w:hAnsi="Arial" w:cs="Arial"/>
          <w:lang w:val="es-ES" w:eastAsia="es-ES" w:bidi="es-ES"/>
        </w:rPr>
      </w:pPr>
      <w:r>
        <w:rPr>
          <w:rFonts w:ascii="Arial" w:eastAsia="Arial" w:hAnsi="Arial" w:cs="Arial"/>
          <w:lang w:val="es-MX"/>
        </w:rPr>
        <w:t>Por otra parte, d</w:t>
      </w:r>
      <w:r w:rsidRPr="00574963">
        <w:rPr>
          <w:rFonts w:ascii="Arial" w:eastAsia="Arial" w:hAnsi="Arial" w:cs="Arial"/>
          <w:lang w:val="es-MX"/>
        </w:rPr>
        <w:t xml:space="preserve">e acuerdo con la interpretación de las normas generales del sistema de compras y contratación pública, </w:t>
      </w:r>
      <w:r w:rsidRPr="00574963">
        <w:rPr>
          <w:rFonts w:ascii="Arial" w:eastAsia="Arial" w:hAnsi="Arial" w:cs="Arial"/>
          <w:lang w:val="es-ES" w:eastAsia="es-ES" w:bidi="es-ES"/>
        </w:rPr>
        <w:t>la Ley de Garantías Electorales consagra una serie de restricciones que se dirigen a dos (2) tipos de campañas electorales claramente diferenciadas: las presidenciales y las demás que se adelanten para la elección de los demás cargos de elección popular, tanto a nivel nacional como territorial.</w:t>
      </w:r>
    </w:p>
    <w:p w14:paraId="2CA4E8C4" w14:textId="77777777" w:rsidR="00AB7479" w:rsidRPr="00574963" w:rsidRDefault="00AB7479" w:rsidP="00AB7479">
      <w:pPr>
        <w:spacing w:after="120" w:line="276" w:lineRule="auto"/>
        <w:ind w:firstLine="708"/>
        <w:jc w:val="both"/>
        <w:rPr>
          <w:rFonts w:ascii="Arial" w:hAnsi="Arial" w:cs="Arial"/>
          <w:bCs/>
          <w:lang w:val="es-ES_tradnl" w:eastAsia="es-CO"/>
        </w:rPr>
      </w:pPr>
      <w:r w:rsidRPr="00574963">
        <w:rPr>
          <w:rFonts w:ascii="Arial" w:hAnsi="Arial" w:cs="Arial"/>
          <w:bCs/>
          <w:lang w:val="es-ES_tradnl" w:eastAsia="es-CO"/>
        </w:rPr>
        <w:t xml:space="preserve">Por un lado, el artículo 33 de la Ley 996 de 2005 establece una restricción en atención a la cual, durante los cuatro meses anteriores a la elección presidencial y hasta la realización de la elección en la segunda vuelta, si fuere el caso, está prohibida la contratación directa por parte de todos las Entidades Estatales. </w:t>
      </w:r>
      <w:r w:rsidRPr="00574963">
        <w:rPr>
          <w:rFonts w:ascii="Arial" w:hAnsi="Arial" w:cs="Arial"/>
          <w:bCs/>
          <w:lang w:val="es-MX" w:eastAsia="es-CO"/>
        </w:rPr>
        <w:t>Los destinatarios de la prohibición son “todos los entes del Estado”, expresión que contempla a los diferentes organismos o entidades autorizadas por la ley para suscribir contratos. En efecto, como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4D827295" w14:textId="77777777" w:rsidR="00AB7479" w:rsidRPr="00574963" w:rsidRDefault="00AB7479" w:rsidP="00AB7479">
      <w:pPr>
        <w:spacing w:after="120" w:line="276" w:lineRule="auto"/>
        <w:ind w:firstLine="709"/>
        <w:jc w:val="both"/>
        <w:rPr>
          <w:rFonts w:ascii="Arial" w:hAnsi="Arial" w:cs="Arial"/>
          <w:bCs/>
          <w:lang w:val="es-ES_tradnl" w:eastAsia="es-CO" w:bidi="es-ES"/>
        </w:rPr>
      </w:pPr>
      <w:r>
        <w:rPr>
          <w:rFonts w:ascii="Arial" w:hAnsi="Arial" w:cs="Arial"/>
          <w:bCs/>
          <w:lang w:val="es-MX" w:eastAsia="es-CO"/>
        </w:rPr>
        <w:lastRenderedPageBreak/>
        <w:t>Así mismo</w:t>
      </w:r>
      <w:r w:rsidRPr="00574963">
        <w:rPr>
          <w:rFonts w:ascii="Arial" w:hAnsi="Arial" w:cs="Arial"/>
          <w:bCs/>
          <w:lang w:val="es-MX" w:eastAsia="es-CO"/>
        </w:rPr>
        <w:t xml:space="preserve">, el parágrafo del artículo 38 de la Ley de Garantías Electorales, establece una restricción en virtud de la cual, durante el periodo de cuatro (4) meses anteriores a cualquier jornada de elecciones, las entidades territoriales no pueden suscribir convenios interadministrativos que impliquen la ejecución de recursos públicos. Para determinar el alcance de la prohibición consagrada por la Ley de Garantías Electorales, conviene precisar la tipología de convenios o contratos interadministrativos. </w:t>
      </w:r>
      <w:r w:rsidRPr="00574963">
        <w:rPr>
          <w:rFonts w:ascii="Arial" w:hAnsi="Arial" w:cs="Arial"/>
          <w:bCs/>
          <w:lang w:val="es-ES_tradnl" w:eastAsia="es-CO" w:bidi="es-ES"/>
        </w:rPr>
        <w:t>Aunque la ley no la definió ni desarrolló, el Decreto 1082 de 2015 califica a los convenios o contratos interadministrativos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 estatales.</w:t>
      </w:r>
    </w:p>
    <w:p w14:paraId="20728DA1" w14:textId="77777777" w:rsidR="00AB7479" w:rsidRPr="00574963" w:rsidRDefault="00AB7479" w:rsidP="00AB7479">
      <w:pPr>
        <w:spacing w:after="120" w:line="276" w:lineRule="auto"/>
        <w:ind w:firstLine="709"/>
        <w:jc w:val="both"/>
        <w:rPr>
          <w:rFonts w:ascii="Arial" w:eastAsia="Calibri" w:hAnsi="Arial" w:cs="Arial"/>
          <w:color w:val="000000" w:themeColor="text1"/>
          <w:lang w:val="es-MX"/>
        </w:rPr>
      </w:pPr>
      <w:r w:rsidRPr="00574963">
        <w:rPr>
          <w:rFonts w:ascii="Arial" w:eastAsia="Times New Roman" w:hAnsi="Arial" w:cs="Arial"/>
          <w:bCs/>
          <w:lang w:val="es-MX" w:eastAsia="es-CO"/>
        </w:rPr>
        <w:t xml:space="preserve">En este sentido y teniendo en cuenta que para los comicios de este año rigen las restricciones contractuales señaladas en </w:t>
      </w:r>
      <w:r w:rsidRPr="00574963">
        <w:rPr>
          <w:rFonts w:ascii="Arial" w:hAnsi="Arial" w:cs="Arial"/>
          <w:bCs/>
          <w:lang w:val="es-MX" w:eastAsia="es-CO"/>
        </w:rPr>
        <w:t>el parágrafo del artículo 38 de la Ley 996 de 2005</w:t>
      </w:r>
      <w:r w:rsidRPr="00574963">
        <w:rPr>
          <w:rFonts w:ascii="Arial" w:eastAsia="Times New Roman" w:hAnsi="Arial" w:cs="Arial"/>
          <w:bCs/>
          <w:lang w:val="es-MX" w:eastAsia="es-CO"/>
        </w:rPr>
        <w:t>, los entes territoriales no podrán celebrar tales convenios o contratos durante la aplicación de la Ley de Garantías Electorales, toda vez que la citada disposición hace referencia a dicha tipología contractual sin que el legislador hubiere contemplado excepción alguna frente a la modalidad de selección o naturaleza de su objeto. De esta manera, la prohibición aplica a todos los contratos interadministrativos con independencia de que estén o no precedidos de un procedimiento de selección con pluralidad de oferentes. Esto por cuanto, como se indicó, el contrato o convenio interadministrativo no se define por la modalidad de selección</w:t>
      </w:r>
      <w:r>
        <w:rPr>
          <w:rFonts w:ascii="Arial" w:eastAsia="Times New Roman" w:hAnsi="Arial" w:cs="Arial"/>
          <w:bCs/>
          <w:lang w:val="es-MX" w:eastAsia="es-CO"/>
        </w:rPr>
        <w:t xml:space="preserve"> ni por el nombre que le den las partes al convenio</w:t>
      </w:r>
      <w:r w:rsidRPr="00574963">
        <w:rPr>
          <w:rFonts w:ascii="Arial" w:eastAsia="Times New Roman" w:hAnsi="Arial" w:cs="Arial"/>
          <w:bCs/>
          <w:lang w:val="es-MX" w:eastAsia="es-CO"/>
        </w:rPr>
        <w:t>, sino por la naturaleza pública de quienes lo celebran, es decir, por un criterio orgánico.</w:t>
      </w:r>
      <w:r w:rsidRPr="00574963">
        <w:rPr>
          <w:rFonts w:ascii="Arial" w:eastAsia="Calibri" w:hAnsi="Arial" w:cs="Arial"/>
          <w:color w:val="000000" w:themeColor="text1"/>
          <w:lang w:val="es-MX"/>
        </w:rPr>
        <w:t>  </w:t>
      </w:r>
    </w:p>
    <w:p w14:paraId="65B0289C" w14:textId="77777777" w:rsidR="00AB7479" w:rsidRPr="00574963" w:rsidRDefault="00AB7479" w:rsidP="00AB7479">
      <w:pPr>
        <w:spacing w:after="0" w:line="276" w:lineRule="auto"/>
        <w:ind w:firstLine="709"/>
        <w:jc w:val="both"/>
        <w:rPr>
          <w:rFonts w:ascii="Arial" w:eastAsia="Calibri" w:hAnsi="Arial" w:cs="Arial"/>
          <w:lang w:val="es-MX"/>
        </w:rPr>
      </w:pPr>
      <w:r w:rsidRPr="00574963">
        <w:rPr>
          <w:rFonts w:ascii="Arial" w:eastAsia="Calibri" w:hAnsi="Arial" w:cs="Arial"/>
          <w:bCs/>
          <w:lang w:val="es-MX" w:eastAsia="es-CO"/>
        </w:rPr>
        <w:t>Bajo estas consideraciones, corresponde a cada entidad pública, en ejercicio de su competencia y previa valoración de los elementos fácticos y jurídicos, determinar si es procedente o no la celebración de un determinado contrato durante la vigencia de la Ley de Garantías Electorales. Lo anterior en razón a que,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w:t>
      </w:r>
      <w:r w:rsidRPr="00574963">
        <w:rPr>
          <w:rFonts w:ascii="Arial" w:hAnsi="Arial" w:cs="Arial"/>
          <w:bCs/>
          <w:lang w:val="es-ES"/>
        </w:rPr>
        <w:t xml:space="preserve"> </w:t>
      </w:r>
    </w:p>
    <w:p w14:paraId="3212E1AF" w14:textId="77777777" w:rsidR="00AB7479" w:rsidRPr="00574963" w:rsidRDefault="00AB7479" w:rsidP="00AB7479">
      <w:pPr>
        <w:shd w:val="clear" w:color="auto" w:fill="FFFFFF"/>
        <w:spacing w:after="0" w:line="276" w:lineRule="auto"/>
        <w:jc w:val="both"/>
        <w:rPr>
          <w:rFonts w:ascii="Arial" w:hAnsi="Arial" w:cs="Arial"/>
        </w:rPr>
      </w:pPr>
    </w:p>
    <w:p w14:paraId="1968B777" w14:textId="77777777" w:rsidR="00AB7479" w:rsidRPr="00574963" w:rsidRDefault="00AB7479" w:rsidP="00AB7479">
      <w:pPr>
        <w:widowControl w:val="0"/>
        <w:autoSpaceDE w:val="0"/>
        <w:autoSpaceDN w:val="0"/>
        <w:spacing w:after="0" w:line="276" w:lineRule="auto"/>
        <w:contextualSpacing/>
        <w:jc w:val="both"/>
        <w:rPr>
          <w:rFonts w:ascii="Arial" w:eastAsia="Times New Roman" w:hAnsi="Arial" w:cs="Arial"/>
          <w:lang w:eastAsia="es-ES_tradnl"/>
        </w:rPr>
      </w:pPr>
      <w:r w:rsidRPr="00574963">
        <w:rPr>
          <w:rFonts w:ascii="Arial" w:eastAsia="Calibri" w:hAnsi="Arial" w:cs="Arial"/>
        </w:rPr>
        <w:t>Este concepto tiene el alcance previsto en el artículo 28 del Código de Procedimiento Administrativo y de lo Contencioso Administrativo</w:t>
      </w:r>
      <w:r w:rsidRPr="00574963">
        <w:rPr>
          <w:rFonts w:ascii="Arial" w:eastAsia="Calibri" w:hAnsi="Arial" w:cs="Arial"/>
          <w:noProof/>
          <w:lang w:eastAsia="es-CO"/>
        </w:rPr>
        <mc:AlternateContent>
          <mc:Choice Requires="wps">
            <w:drawing>
              <wp:anchor distT="0" distB="0" distL="114300" distR="114300" simplePos="0" relativeHeight="251659264" behindDoc="0" locked="0" layoutInCell="1" allowOverlap="1" wp14:anchorId="510C77AA" wp14:editId="6657A4EC">
                <wp:simplePos x="0" y="0"/>
                <wp:positionH relativeFrom="page">
                  <wp:posOffset>1514475</wp:posOffset>
                </wp:positionH>
                <wp:positionV relativeFrom="paragraph">
                  <wp:posOffset>10160</wp:posOffset>
                </wp:positionV>
                <wp:extent cx="4686300" cy="0"/>
                <wp:effectExtent l="0" t="0" r="0" b="0"/>
                <wp:wrapNone/>
                <wp:docPr id="2" name="Conector recto 2"/>
                <wp:cNvGraphicFramePr/>
                <a:graphic xmlns:a="http://schemas.openxmlformats.org/drawingml/2006/main">
                  <a:graphicData uri="http://schemas.microsoft.com/office/word/2010/wordprocessingShape">
                    <wps:wsp>
                      <wps:cNvCnPr/>
                      <wps:spPr>
                        <a:xfrm>
                          <a:off x="0" y="0"/>
                          <a:ext cx="4686300" cy="0"/>
                        </a:xfrm>
                        <a:prstGeom prst="line">
                          <a:avLst/>
                        </a:prstGeom>
                        <a:noFill/>
                        <a:ln w="9525" cap="flat" cmpd="sng" algn="ctr">
                          <a:solidFill>
                            <a:srgbClr val="DBDBDB"/>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CD08FA8" id="Conector recto 2" o:spid="_x0000_s1026"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page" from="119.25pt,.8pt" to="488.2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" strokecolor="#dbdbdb">
                <w10:wrap anchorx="page"/>
              </v:line>
            </w:pict>
          </mc:Fallback>
        </mc:AlternateContent>
      </w:r>
      <w:r w:rsidRPr="00574963">
        <w:rPr>
          <w:rFonts w:ascii="Arial" w:eastAsia="Calibri" w:hAnsi="Arial" w:cs="Arial"/>
        </w:rPr>
        <w:t xml:space="preserve"> y las expresiones utilizadas con mayúscula inicial deben ser entendidas con el significado que les otorga el artículo 2.2.1.1.1.3.1 del Decreto 1082 de 2015.</w:t>
      </w:r>
    </w:p>
    <w:p w14:paraId="61530F3E" w14:textId="77777777" w:rsidR="00AB7479" w:rsidRPr="00574963" w:rsidRDefault="00AB7479" w:rsidP="00AB7479">
      <w:pPr>
        <w:spacing w:after="120" w:line="276" w:lineRule="auto"/>
        <w:jc w:val="both"/>
        <w:rPr>
          <w:rFonts w:ascii="Arial" w:eastAsia="Times New Roman" w:hAnsi="Arial" w:cs="Arial"/>
          <w:lang w:eastAsia="es-ES_tradnl"/>
        </w:rPr>
      </w:pPr>
    </w:p>
    <w:p w14:paraId="40A02D6B" w14:textId="77777777" w:rsidR="00AB7479" w:rsidRDefault="00AB7479" w:rsidP="00AB7479">
      <w:pPr>
        <w:spacing w:after="200" w:line="276" w:lineRule="auto"/>
        <w:rPr>
          <w:rFonts w:ascii="Arial" w:eastAsia="Times New Roman" w:hAnsi="Arial" w:cs="Arial"/>
          <w:lang w:eastAsia="es-CO"/>
        </w:rPr>
      </w:pPr>
      <w:r w:rsidRPr="00574963">
        <w:rPr>
          <w:rFonts w:ascii="Arial" w:eastAsia="Times New Roman" w:hAnsi="Arial" w:cs="Arial"/>
          <w:lang w:eastAsia="es-CO"/>
        </w:rPr>
        <w:t>Atentamente,</w:t>
      </w:r>
      <w:bookmarkStart w:id="17" w:name="_Hlk130981267"/>
      <w:bookmarkEnd w:id="0"/>
      <w:bookmarkEnd w:id="16"/>
    </w:p>
    <w:p w14:paraId="4A7CB482" w14:textId="0C16A7B2" w:rsidR="00AB7479" w:rsidRPr="00AC7D83" w:rsidRDefault="00AB7479" w:rsidP="00AB7479">
      <w:pPr>
        <w:spacing w:after="200" w:line="276" w:lineRule="auto"/>
        <w:jc w:val="center"/>
        <w:rPr>
          <w:rFonts w:ascii="Arial" w:eastAsia="Times New Roman" w:hAnsi="Arial" w:cs="Arial"/>
          <w:lang w:eastAsia="es-CO"/>
        </w:rPr>
      </w:pPr>
      <w:r>
        <w:rPr>
          <w:rFonts w:ascii="Calibri" w:hAnsi="Calibri" w:cs="Calibri"/>
          <w:color w:val="000000"/>
          <w:shd w:val="clear" w:color="auto" w:fill="FFFFFF"/>
          <w:lang w:val="es-ES"/>
        </w:rPr>
        <w:br/>
      </w:r>
      <w:r w:rsidR="00C34D3E">
        <w:rPr>
          <w:noProof/>
        </w:rPr>
        <w:drawing>
          <wp:inline distT="0" distB="0" distL="0" distR="0" wp14:anchorId="5C2C0897" wp14:editId="20527A26">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0"/>
                    <a:stretch>
                      <a:fillRect/>
                    </a:stretch>
                  </pic:blipFill>
                  <pic:spPr>
                    <a:xfrm>
                      <a:off x="0" y="0"/>
                      <a:ext cx="2785707" cy="1068836"/>
                    </a:xfrm>
                    <a:prstGeom prst="rect">
                      <a:avLst/>
                    </a:prstGeom>
                  </pic:spPr>
                </pic:pic>
              </a:graphicData>
            </a:graphic>
          </wp:inline>
        </w:drawing>
      </w:r>
      <w:r w:rsidRPr="00574963">
        <w:rPr>
          <w:rFonts w:ascii="Geomanist Light" w:hAnsi="Geomanist Light"/>
          <w:b/>
          <w:bCs/>
          <w:sz w:val="20"/>
          <w:szCs w:val="20"/>
          <w:shd w:val="clear" w:color="auto" w:fill="FFFFFF"/>
          <w:lang w:val="es-MX"/>
        </w:rPr>
        <w:br/>
      </w: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291"/>
      </w:tblGrid>
      <w:tr w:rsidR="00AB7479" w:rsidRPr="00574963" w14:paraId="75798F29" w14:textId="77777777" w:rsidTr="00C63415">
        <w:trPr>
          <w:trHeight w:val="315"/>
        </w:trPr>
        <w:tc>
          <w:tcPr>
            <w:tcW w:w="812" w:type="dxa"/>
            <w:vAlign w:val="center"/>
            <w:hideMark/>
          </w:tcPr>
          <w:p w14:paraId="2D25CA27" w14:textId="77777777" w:rsidR="00AB7479" w:rsidRPr="00574963" w:rsidRDefault="00AB7479" w:rsidP="00C63415">
            <w:pPr>
              <w:rPr>
                <w:rFonts w:ascii="Arial" w:eastAsia="Times New Roman" w:hAnsi="Arial" w:cs="Arial"/>
                <w:sz w:val="16"/>
                <w:szCs w:val="16"/>
                <w:lang w:eastAsia="es-ES"/>
              </w:rPr>
            </w:pPr>
            <w:r w:rsidRPr="00574963">
              <w:rPr>
                <w:rFonts w:ascii="Arial" w:eastAsia="Times New Roman" w:hAnsi="Arial" w:cs="Arial"/>
                <w:sz w:val="16"/>
                <w:szCs w:val="16"/>
                <w:lang w:eastAsia="es-ES"/>
              </w:rPr>
              <w:t>Elaboró:</w:t>
            </w:r>
          </w:p>
        </w:tc>
        <w:tc>
          <w:tcPr>
            <w:tcW w:w="4291" w:type="dxa"/>
            <w:tcBorders>
              <w:top w:val="nil"/>
              <w:left w:val="nil"/>
              <w:bottom w:val="dotted" w:sz="4" w:space="0" w:color="7F7F7F"/>
              <w:right w:val="nil"/>
            </w:tcBorders>
            <w:vAlign w:val="center"/>
            <w:hideMark/>
          </w:tcPr>
          <w:p w14:paraId="1DC8F55D" w14:textId="77777777" w:rsidR="00AB7479" w:rsidRPr="00574963" w:rsidRDefault="00AB7479" w:rsidP="00C63415">
            <w:pPr>
              <w:rPr>
                <w:rFonts w:ascii="Arial" w:eastAsia="Times New Roman" w:hAnsi="Arial" w:cs="Arial"/>
                <w:sz w:val="16"/>
                <w:szCs w:val="16"/>
                <w:lang w:eastAsia="es-ES"/>
              </w:rPr>
            </w:pPr>
            <w:r>
              <w:rPr>
                <w:rFonts w:ascii="Arial" w:eastAsia="Times New Roman" w:hAnsi="Arial" w:cs="Arial"/>
                <w:sz w:val="16"/>
                <w:szCs w:val="16"/>
                <w:lang w:eastAsia="es-ES"/>
              </w:rPr>
              <w:t xml:space="preserve">María Valeska Medellín Mora </w:t>
            </w:r>
          </w:p>
          <w:p w14:paraId="4179B74B" w14:textId="77777777" w:rsidR="00AB7479" w:rsidRPr="00574963" w:rsidRDefault="00AB7479" w:rsidP="00C63415">
            <w:pPr>
              <w:rPr>
                <w:rFonts w:ascii="Arial" w:eastAsia="Times New Roman" w:hAnsi="Arial" w:cs="Arial"/>
                <w:sz w:val="16"/>
                <w:szCs w:val="16"/>
                <w:lang w:eastAsia="es-ES"/>
              </w:rPr>
            </w:pPr>
            <w:r>
              <w:rPr>
                <w:rFonts w:ascii="Arial" w:eastAsia="Times New Roman" w:hAnsi="Arial" w:cs="Arial"/>
                <w:sz w:val="16"/>
                <w:szCs w:val="16"/>
                <w:lang w:eastAsia="es-ES"/>
              </w:rPr>
              <w:t xml:space="preserve">Gestor T1-15 </w:t>
            </w:r>
            <w:r w:rsidRPr="00574963">
              <w:rPr>
                <w:rFonts w:ascii="Arial" w:eastAsia="Times New Roman" w:hAnsi="Arial" w:cs="Arial"/>
                <w:sz w:val="16"/>
                <w:szCs w:val="16"/>
                <w:lang w:eastAsia="es-ES"/>
              </w:rPr>
              <w:t>de la Subdirección de Gestión Contractual</w:t>
            </w:r>
          </w:p>
        </w:tc>
      </w:tr>
      <w:tr w:rsidR="00AB7479" w:rsidRPr="00574963" w14:paraId="3BE1074F" w14:textId="77777777" w:rsidTr="00C63415">
        <w:trPr>
          <w:trHeight w:val="330"/>
        </w:trPr>
        <w:tc>
          <w:tcPr>
            <w:tcW w:w="812" w:type="dxa"/>
            <w:vAlign w:val="center"/>
            <w:hideMark/>
          </w:tcPr>
          <w:p w14:paraId="53760CB5" w14:textId="77777777" w:rsidR="00AB7479" w:rsidRPr="00574963" w:rsidRDefault="00AB7479" w:rsidP="00C63415">
            <w:pPr>
              <w:rPr>
                <w:rFonts w:ascii="Arial" w:eastAsia="Times New Roman" w:hAnsi="Arial" w:cs="Arial"/>
                <w:sz w:val="16"/>
                <w:szCs w:val="16"/>
                <w:lang w:eastAsia="es-ES"/>
              </w:rPr>
            </w:pPr>
            <w:r w:rsidRPr="00574963">
              <w:rPr>
                <w:rFonts w:ascii="Arial" w:eastAsia="Times New Roman" w:hAnsi="Arial" w:cs="Arial"/>
                <w:sz w:val="16"/>
                <w:szCs w:val="16"/>
                <w:lang w:eastAsia="es-ES"/>
              </w:rPr>
              <w:t>Revisó:</w:t>
            </w:r>
          </w:p>
        </w:tc>
        <w:tc>
          <w:tcPr>
            <w:tcW w:w="4291" w:type="dxa"/>
            <w:tcBorders>
              <w:top w:val="dotted" w:sz="4" w:space="0" w:color="7F7F7F"/>
              <w:left w:val="nil"/>
              <w:bottom w:val="dotted" w:sz="4" w:space="0" w:color="7F7F7F"/>
              <w:right w:val="nil"/>
            </w:tcBorders>
            <w:vAlign w:val="center"/>
            <w:hideMark/>
          </w:tcPr>
          <w:p w14:paraId="72D25C7C" w14:textId="77777777" w:rsidR="00AB7479" w:rsidRDefault="00AB7479" w:rsidP="00C63415">
            <w:pPr>
              <w:rPr>
                <w:rFonts w:ascii="Arial" w:eastAsia="Times New Roman" w:hAnsi="Arial" w:cs="Arial"/>
                <w:sz w:val="16"/>
                <w:szCs w:val="16"/>
                <w:lang w:eastAsia="es-ES"/>
              </w:rPr>
            </w:pPr>
            <w:r>
              <w:rPr>
                <w:rFonts w:ascii="Arial" w:eastAsia="Times New Roman" w:hAnsi="Arial" w:cs="Arial"/>
                <w:sz w:val="16"/>
                <w:szCs w:val="16"/>
                <w:lang w:eastAsia="es-ES"/>
              </w:rPr>
              <w:t>Ximena Ríos López</w:t>
            </w:r>
          </w:p>
          <w:p w14:paraId="0B32EDFF" w14:textId="77777777" w:rsidR="00AB7479" w:rsidRPr="00574963" w:rsidRDefault="00AB7479" w:rsidP="00C63415">
            <w:pPr>
              <w:rPr>
                <w:rFonts w:ascii="Arial" w:eastAsia="Times New Roman" w:hAnsi="Arial" w:cs="Arial"/>
                <w:sz w:val="16"/>
                <w:szCs w:val="16"/>
                <w:lang w:eastAsia="es-ES"/>
              </w:rPr>
            </w:pPr>
            <w:r w:rsidRPr="00574963">
              <w:rPr>
                <w:rFonts w:ascii="Arial" w:eastAsia="Times New Roman" w:hAnsi="Arial" w:cs="Arial"/>
                <w:sz w:val="16"/>
                <w:szCs w:val="16"/>
                <w:lang w:eastAsia="es-ES"/>
              </w:rPr>
              <w:t>Gestor T1–1</w:t>
            </w:r>
            <w:r>
              <w:rPr>
                <w:rFonts w:ascii="Arial" w:eastAsia="Times New Roman" w:hAnsi="Arial" w:cs="Arial"/>
                <w:sz w:val="16"/>
                <w:szCs w:val="16"/>
                <w:lang w:eastAsia="es-ES"/>
              </w:rPr>
              <w:t>1</w:t>
            </w:r>
            <w:r w:rsidRPr="00574963">
              <w:rPr>
                <w:rFonts w:ascii="Arial" w:eastAsia="Times New Roman" w:hAnsi="Arial" w:cs="Arial"/>
                <w:sz w:val="16"/>
                <w:szCs w:val="16"/>
                <w:lang w:eastAsia="es-ES"/>
              </w:rPr>
              <w:t xml:space="preserve"> de la Subdirección de Gestión Contractual</w:t>
            </w:r>
          </w:p>
        </w:tc>
      </w:tr>
      <w:tr w:rsidR="00AB7479" w:rsidRPr="00574963" w14:paraId="2897A10A" w14:textId="77777777" w:rsidTr="00C63415">
        <w:trPr>
          <w:trHeight w:val="300"/>
        </w:trPr>
        <w:tc>
          <w:tcPr>
            <w:tcW w:w="812" w:type="dxa"/>
            <w:vAlign w:val="center"/>
            <w:hideMark/>
          </w:tcPr>
          <w:p w14:paraId="42E239F7" w14:textId="77777777" w:rsidR="00AB7479" w:rsidRPr="00574963" w:rsidRDefault="00AB7479" w:rsidP="00C63415">
            <w:pPr>
              <w:rPr>
                <w:rFonts w:ascii="Arial" w:eastAsia="Times New Roman" w:hAnsi="Arial" w:cs="Arial"/>
                <w:sz w:val="16"/>
                <w:szCs w:val="16"/>
                <w:lang w:eastAsia="es-ES"/>
              </w:rPr>
            </w:pPr>
            <w:r w:rsidRPr="00574963">
              <w:rPr>
                <w:rFonts w:ascii="Arial" w:eastAsia="Times New Roman" w:hAnsi="Arial" w:cs="Arial"/>
                <w:sz w:val="16"/>
                <w:szCs w:val="16"/>
                <w:lang w:eastAsia="es-ES"/>
              </w:rPr>
              <w:t>Aprobó:</w:t>
            </w:r>
          </w:p>
        </w:tc>
        <w:tc>
          <w:tcPr>
            <w:tcW w:w="4291" w:type="dxa"/>
            <w:tcBorders>
              <w:top w:val="dotted" w:sz="4" w:space="0" w:color="7F7F7F"/>
              <w:left w:val="nil"/>
              <w:bottom w:val="dotted" w:sz="4" w:space="0" w:color="7F7F7F"/>
              <w:right w:val="nil"/>
            </w:tcBorders>
            <w:vAlign w:val="center"/>
            <w:hideMark/>
          </w:tcPr>
          <w:p w14:paraId="7BD69184" w14:textId="77777777" w:rsidR="00AB7479" w:rsidRPr="00574963" w:rsidRDefault="00AB7479" w:rsidP="00C63415">
            <w:pPr>
              <w:rPr>
                <w:rFonts w:ascii="Arial" w:eastAsia="Times New Roman" w:hAnsi="Arial" w:cs="Arial"/>
                <w:sz w:val="16"/>
                <w:szCs w:val="16"/>
                <w:lang w:eastAsia="es-ES"/>
              </w:rPr>
            </w:pPr>
            <w:r w:rsidRPr="00574963">
              <w:rPr>
                <w:rFonts w:ascii="Arial" w:eastAsia="Times New Roman" w:hAnsi="Arial" w:cs="Arial"/>
                <w:sz w:val="16"/>
                <w:szCs w:val="16"/>
                <w:lang w:eastAsia="es-ES"/>
              </w:rPr>
              <w:t>Nohelia del Carmen Zawady Palacio</w:t>
            </w:r>
          </w:p>
          <w:p w14:paraId="71997E85" w14:textId="77777777" w:rsidR="00AB7479" w:rsidRPr="00574963" w:rsidRDefault="00AB7479" w:rsidP="00C63415">
            <w:pPr>
              <w:rPr>
                <w:rFonts w:ascii="Arial" w:eastAsia="Times New Roman" w:hAnsi="Arial" w:cs="Arial"/>
                <w:sz w:val="16"/>
                <w:szCs w:val="16"/>
                <w:lang w:eastAsia="es-ES"/>
              </w:rPr>
            </w:pPr>
            <w:r w:rsidRPr="00574963">
              <w:rPr>
                <w:rFonts w:ascii="Arial" w:eastAsia="Times New Roman" w:hAnsi="Arial" w:cs="Arial"/>
                <w:sz w:val="16"/>
                <w:szCs w:val="16"/>
                <w:lang w:eastAsia="es-ES"/>
              </w:rPr>
              <w:t>Subdirectora de Gestión Contractual ANCP – CCE</w:t>
            </w:r>
          </w:p>
        </w:tc>
      </w:tr>
      <w:bookmarkEnd w:id="1"/>
      <w:bookmarkEnd w:id="2"/>
      <w:bookmarkEnd w:id="3"/>
      <w:bookmarkEnd w:id="17"/>
    </w:tbl>
    <w:p w14:paraId="5C09C5B0" w14:textId="77777777" w:rsidR="00AB7479" w:rsidRPr="00574963" w:rsidRDefault="00AB7479" w:rsidP="00AB7479"/>
    <w:p w14:paraId="7DF1CE98" w14:textId="77777777" w:rsidR="00AB7479" w:rsidRDefault="00AB7479" w:rsidP="00AB7479">
      <w:pPr>
        <w:spacing w:after="0" w:line="240" w:lineRule="auto"/>
        <w:rPr>
          <w:rFonts w:ascii="Geomanist Light" w:hAnsi="Geomanist Light"/>
          <w:b/>
          <w:color w:val="404040" w:themeColor="text1" w:themeTint="BF"/>
          <w:lang w:val="es-ES"/>
        </w:rPr>
      </w:pPr>
    </w:p>
    <w:p w14:paraId="408F9F5F" w14:textId="77777777" w:rsidR="00AB7479" w:rsidRDefault="00AB7479" w:rsidP="00AB7479">
      <w:pPr>
        <w:spacing w:after="0" w:line="240" w:lineRule="auto"/>
        <w:rPr>
          <w:rFonts w:ascii="Geomanist Light" w:hAnsi="Geomanist Light"/>
          <w:b/>
          <w:color w:val="404040" w:themeColor="text1" w:themeTint="BF"/>
          <w:lang w:val="es-ES"/>
        </w:rPr>
      </w:pPr>
    </w:p>
    <w:bookmarkEnd w:id="4"/>
    <w:p w14:paraId="60E1C69E" w14:textId="77777777" w:rsidR="00AB7479" w:rsidRPr="006219F8" w:rsidRDefault="00AB7479" w:rsidP="00AB7479">
      <w:pPr>
        <w:rPr>
          <w:lang w:val="es-MX"/>
        </w:rPr>
      </w:pPr>
    </w:p>
    <w:p w14:paraId="508D83B3" w14:textId="77777777" w:rsidR="00AB7479" w:rsidRDefault="00AB7479" w:rsidP="00AB7479"/>
    <w:p w14:paraId="60023DDF" w14:textId="77777777" w:rsidR="00AB7479" w:rsidRPr="00EF1E89" w:rsidRDefault="00AB7479" w:rsidP="00AB7479">
      <w:r w:rsidRPr="00EF1E89">
        <w:t xml:space="preserve"> </w:t>
      </w:r>
    </w:p>
    <w:p w14:paraId="53B7FE2E" w14:textId="77777777" w:rsidR="009E750A" w:rsidRPr="00AB7479" w:rsidRDefault="009E750A" w:rsidP="00AB7479"/>
    <w:sectPr w:rsidR="009E750A" w:rsidRPr="00AB7479" w:rsidSect="0039439C">
      <w:headerReference w:type="default" r:id="rId11"/>
      <w:footerReference w:type="default" r:id="rId12"/>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510FD9" w14:textId="77777777" w:rsidR="00D82E9E" w:rsidRDefault="00D82E9E" w:rsidP="00325C2F">
      <w:pPr>
        <w:spacing w:after="0" w:line="240" w:lineRule="auto"/>
      </w:pPr>
      <w:r>
        <w:separator/>
      </w:r>
    </w:p>
  </w:endnote>
  <w:endnote w:type="continuationSeparator" w:id="0">
    <w:p w14:paraId="74907BBB" w14:textId="77777777" w:rsidR="00D82E9E" w:rsidRDefault="00D82E9E" w:rsidP="00325C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Bold">
    <w:altName w:val="Calibri"/>
    <w:panose1 w:val="02000503000000020004"/>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E74059" w14:textId="77777777" w:rsidR="00F97467" w:rsidRDefault="00F97467" w:rsidP="00F97467">
    <w:pPr>
      <w:pStyle w:val="Piedepgina"/>
    </w:pPr>
    <w:r>
      <w:rPr>
        <w:noProof/>
      </w:rPr>
      <w:drawing>
        <wp:inline distT="0" distB="0" distL="0" distR="0" wp14:anchorId="612785FA" wp14:editId="444BBD28">
          <wp:extent cx="5612130" cy="650240"/>
          <wp:effectExtent l="0" t="0" r="7620" b="0"/>
          <wp:docPr id="10134710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rPr>
      <w:drawing>
        <wp:anchor distT="0" distB="0" distL="114300" distR="114300" simplePos="0" relativeHeight="251664384" behindDoc="0" locked="0" layoutInCell="1" allowOverlap="1" wp14:anchorId="28A4929B" wp14:editId="4C990D70">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040523" name="Imagen 1567040523"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97467" w:rsidRPr="00080DA3" w14:paraId="23DFF0D9" w14:textId="77777777" w:rsidTr="0036407F">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3A9C800E" w14:textId="77777777" w:rsidR="00F97467" w:rsidRPr="003F3941" w:rsidRDefault="00F97467" w:rsidP="00F97467">
          <w:pPr>
            <w:pStyle w:val="Piedepgina"/>
            <w:jc w:val="center"/>
            <w:rPr>
              <w:rFonts w:ascii="Century Gothic" w:hAnsi="Century Gothic"/>
              <w:sz w:val="16"/>
              <w:szCs w:val="16"/>
            </w:rPr>
          </w:pPr>
          <w:r w:rsidRPr="003F3941">
            <w:rPr>
              <w:rFonts w:ascii="Century Gothic" w:hAnsi="Century Gothic"/>
              <w:sz w:val="16"/>
              <w:szCs w:val="16"/>
            </w:rPr>
            <w:t>VERSIÓN: 0</w:t>
          </w:r>
          <w:r>
            <w:rPr>
              <w:rFonts w:ascii="Century Gothic" w:hAnsi="Century Gothic"/>
              <w:sz w:val="16"/>
              <w:szCs w:val="16"/>
            </w:rPr>
            <w:t>1</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20E97E3E" w14:textId="77777777" w:rsidR="00F97467" w:rsidRPr="003F3941" w:rsidRDefault="00F97467" w:rsidP="00F97467">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Pr>
              <w:rFonts w:ascii="Century Gothic" w:eastAsia="Geo" w:hAnsi="Century Gothic" w:cs="Geo"/>
              <w:b/>
              <w:color w:val="000000"/>
              <w:sz w:val="16"/>
              <w:szCs w:val="16"/>
              <w:lang w:eastAsia="es-CO"/>
            </w:rPr>
            <w:t>13</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389CCC3E" w14:textId="77777777" w:rsidR="00F97467" w:rsidRPr="003F3941" w:rsidRDefault="00F97467" w:rsidP="00F97467">
          <w:pPr>
            <w:pStyle w:val="Piedepgina"/>
            <w:rPr>
              <w:rFonts w:ascii="Century Gothic" w:hAnsi="Century Gothic"/>
              <w:sz w:val="16"/>
              <w:szCs w:val="16"/>
            </w:rPr>
          </w:pPr>
          <w:r w:rsidRPr="003F3941">
            <w:rPr>
              <w:rFonts w:ascii="Century Gothic" w:hAnsi="Century Gothic"/>
              <w:sz w:val="16"/>
              <w:szCs w:val="16"/>
            </w:rPr>
            <w:t xml:space="preserve">FECHA: </w:t>
          </w:r>
          <w:r>
            <w:rPr>
              <w:rFonts w:ascii="Century Gothic" w:hAnsi="Century Gothic"/>
              <w:sz w:val="16"/>
              <w:szCs w:val="16"/>
            </w:rPr>
            <w:t>15</w:t>
          </w:r>
          <w:r w:rsidRPr="003F3941">
            <w:rPr>
              <w:rFonts w:ascii="Century Gothic" w:hAnsi="Century Gothic"/>
              <w:sz w:val="16"/>
              <w:szCs w:val="16"/>
            </w:rPr>
            <w:t xml:space="preserve"> DE </w:t>
          </w:r>
          <w:r>
            <w:rPr>
              <w:rFonts w:ascii="Century Gothic" w:hAnsi="Century Gothic"/>
              <w:sz w:val="16"/>
              <w:szCs w:val="16"/>
            </w:rPr>
            <w:t>JUNIO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2543771" w14:textId="77777777" w:rsidR="00F97467" w:rsidRPr="003F3941" w:rsidRDefault="00F97467" w:rsidP="00F97467">
          <w:pPr>
            <w:pStyle w:val="Piedepgina"/>
            <w:rPr>
              <w:rFonts w:ascii="Century Gothic" w:hAnsi="Century Gothic"/>
              <w:sz w:val="16"/>
              <w:szCs w:val="16"/>
            </w:rPr>
          </w:pPr>
          <w:r w:rsidRPr="003F3941">
            <w:rPr>
              <w:rFonts w:ascii="Century Gothic" w:hAnsi="Century Gothic"/>
              <w:sz w:val="16"/>
              <w:szCs w:val="16"/>
            </w:rPr>
            <w:t xml:space="preserve">  PÁGINA </w:t>
          </w:r>
          <w:r w:rsidRPr="003F3941">
            <w:rPr>
              <w:rFonts w:ascii="Century Gothic" w:hAnsi="Century Gothic"/>
              <w:b/>
              <w:bCs/>
              <w:sz w:val="16"/>
              <w:szCs w:val="16"/>
            </w:rPr>
            <w:fldChar w:fldCharType="begin"/>
          </w:r>
          <w:r w:rsidRPr="003F3941">
            <w:rPr>
              <w:rFonts w:ascii="Century Gothic" w:hAnsi="Century Gothic"/>
              <w:b/>
              <w:bCs/>
              <w:sz w:val="16"/>
              <w:szCs w:val="16"/>
            </w:rPr>
            <w:instrText>PAGE  \* Arabic  \* MERGEFORMAT</w:instrText>
          </w:r>
          <w:r w:rsidRPr="003F3941">
            <w:rPr>
              <w:rFonts w:ascii="Century Gothic" w:hAnsi="Century Gothic"/>
              <w:b/>
              <w:bCs/>
              <w:sz w:val="16"/>
              <w:szCs w:val="16"/>
            </w:rPr>
            <w:fldChar w:fldCharType="separate"/>
          </w:r>
          <w:r>
            <w:rPr>
              <w:rFonts w:ascii="Century Gothic" w:hAnsi="Century Gothic"/>
              <w:b/>
              <w:bCs/>
              <w:sz w:val="16"/>
              <w:szCs w:val="16"/>
            </w:rPr>
            <w:t>1</w:t>
          </w:r>
          <w:r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Pr="003F3941">
            <w:rPr>
              <w:rFonts w:ascii="Century Gothic" w:hAnsi="Century Gothic"/>
              <w:b/>
              <w:bCs/>
              <w:sz w:val="16"/>
              <w:szCs w:val="16"/>
            </w:rPr>
            <w:fldChar w:fldCharType="begin"/>
          </w:r>
          <w:r w:rsidRPr="003F3941">
            <w:rPr>
              <w:rFonts w:ascii="Century Gothic" w:hAnsi="Century Gothic"/>
              <w:b/>
              <w:bCs/>
              <w:sz w:val="16"/>
              <w:szCs w:val="16"/>
            </w:rPr>
            <w:instrText>NUMPAGES  \* Arabic  \* MERGEFORMAT</w:instrText>
          </w:r>
          <w:r w:rsidRPr="003F3941">
            <w:rPr>
              <w:rFonts w:ascii="Century Gothic" w:hAnsi="Century Gothic"/>
              <w:b/>
              <w:bCs/>
              <w:sz w:val="16"/>
              <w:szCs w:val="16"/>
            </w:rPr>
            <w:fldChar w:fldCharType="separate"/>
          </w:r>
          <w:r>
            <w:rPr>
              <w:rFonts w:ascii="Century Gothic" w:hAnsi="Century Gothic"/>
              <w:b/>
              <w:bCs/>
              <w:sz w:val="16"/>
              <w:szCs w:val="16"/>
            </w:rPr>
            <w:t>14</w:t>
          </w:r>
          <w:r w:rsidRPr="003F3941">
            <w:rPr>
              <w:rFonts w:ascii="Century Gothic" w:hAnsi="Century Gothic"/>
              <w:b/>
              <w:bCs/>
              <w:sz w:val="16"/>
              <w:szCs w:val="16"/>
            </w:rPr>
            <w:fldChar w:fldCharType="end"/>
          </w:r>
        </w:p>
      </w:tc>
    </w:tr>
  </w:tbl>
  <w:p w14:paraId="5AF14FE2" w14:textId="77777777" w:rsidR="00742A52" w:rsidRDefault="00742A52"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30DA45" w14:textId="77777777" w:rsidR="00D82E9E" w:rsidRDefault="00D82E9E" w:rsidP="00325C2F">
      <w:pPr>
        <w:spacing w:after="0" w:line="240" w:lineRule="auto"/>
      </w:pPr>
      <w:r>
        <w:separator/>
      </w:r>
    </w:p>
  </w:footnote>
  <w:footnote w:type="continuationSeparator" w:id="0">
    <w:p w14:paraId="240CE960" w14:textId="77777777" w:rsidR="00D82E9E" w:rsidRDefault="00D82E9E" w:rsidP="00325C2F">
      <w:pPr>
        <w:spacing w:after="0" w:line="240" w:lineRule="auto"/>
      </w:pPr>
      <w:r>
        <w:continuationSeparator/>
      </w:r>
    </w:p>
  </w:footnote>
  <w:footnote w:id="1">
    <w:p w14:paraId="483AE903" w14:textId="77777777" w:rsidR="00AB7479" w:rsidRPr="00DF3573" w:rsidRDefault="00AB7479" w:rsidP="00AB7479">
      <w:pPr>
        <w:pStyle w:val="Textonotapie"/>
        <w:ind w:firstLine="708"/>
        <w:jc w:val="both"/>
        <w:rPr>
          <w:rFonts w:ascii="Arial" w:hAnsi="Arial" w:cs="Arial"/>
          <w:sz w:val="12"/>
          <w:szCs w:val="12"/>
        </w:rPr>
      </w:pPr>
    </w:p>
    <w:p w14:paraId="1709FC92" w14:textId="77777777" w:rsidR="00AB7479" w:rsidRPr="00DF3573" w:rsidRDefault="00AB7479" w:rsidP="00AB7479">
      <w:pPr>
        <w:pStyle w:val="Textonotapie"/>
        <w:ind w:firstLine="708"/>
        <w:jc w:val="both"/>
        <w:rPr>
          <w:rFonts w:ascii="Arial" w:hAnsi="Arial" w:cs="Arial"/>
          <w:sz w:val="12"/>
          <w:szCs w:val="12"/>
        </w:rPr>
      </w:pPr>
      <w:r w:rsidRPr="00DF3573">
        <w:rPr>
          <w:rStyle w:val="Refdenotaalpie"/>
          <w:rFonts w:ascii="Arial" w:hAnsi="Arial" w:cs="Arial"/>
          <w:sz w:val="12"/>
          <w:szCs w:val="12"/>
        </w:rPr>
        <w:footnoteRef/>
      </w:r>
      <w:r w:rsidRPr="00DF3573">
        <w:rPr>
          <w:rFonts w:ascii="Arial" w:hAnsi="Arial" w:cs="Arial"/>
          <w:sz w:val="12"/>
          <w:szCs w:val="12"/>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DF3573">
        <w:rPr>
          <w:rFonts w:ascii="Arial" w:hAnsi="Arial" w:cs="Arial"/>
          <w:i/>
          <w:iCs/>
          <w:sz w:val="12"/>
          <w:szCs w:val="12"/>
        </w:rPr>
        <w:t xml:space="preserve">ibidem </w:t>
      </w:r>
      <w:r w:rsidRPr="00DF3573">
        <w:rPr>
          <w:rFonts w:ascii="Arial" w:hAnsi="Arial" w:cs="Arial"/>
          <w:sz w:val="12"/>
          <w:szCs w:val="12"/>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p w14:paraId="752B36C4" w14:textId="77777777" w:rsidR="00AB7479" w:rsidRPr="00DF3573" w:rsidRDefault="00AB7479" w:rsidP="00AB7479">
      <w:pPr>
        <w:pStyle w:val="Textonotapie"/>
        <w:ind w:firstLine="708"/>
        <w:jc w:val="both"/>
        <w:rPr>
          <w:rFonts w:ascii="Arial" w:hAnsi="Arial" w:cs="Arial"/>
          <w:sz w:val="12"/>
          <w:szCs w:val="12"/>
          <w:lang w:val="es-ES"/>
        </w:rPr>
      </w:pPr>
    </w:p>
  </w:footnote>
  <w:footnote w:id="2">
    <w:p w14:paraId="15E0F338" w14:textId="77777777" w:rsidR="00AB7479" w:rsidRPr="00DF3573" w:rsidRDefault="00AB7479" w:rsidP="00AB7479">
      <w:pPr>
        <w:pStyle w:val="Textonotapie"/>
        <w:ind w:firstLine="708"/>
        <w:jc w:val="both"/>
        <w:rPr>
          <w:rFonts w:ascii="Arial" w:hAnsi="Arial" w:cs="Arial"/>
          <w:sz w:val="12"/>
          <w:szCs w:val="12"/>
          <w:lang w:val="es-CO"/>
        </w:rPr>
      </w:pPr>
      <w:r w:rsidRPr="00DF3573">
        <w:rPr>
          <w:rStyle w:val="Refdenotaalpie"/>
          <w:rFonts w:ascii="Arial" w:hAnsi="Arial" w:cs="Arial"/>
          <w:sz w:val="12"/>
          <w:szCs w:val="12"/>
        </w:rPr>
        <w:footnoteRef/>
      </w:r>
      <w:r w:rsidRPr="00DF3573">
        <w:rPr>
          <w:rFonts w:ascii="Arial" w:hAnsi="Arial" w:cs="Arial"/>
          <w:sz w:val="12"/>
          <w:szCs w:val="12"/>
        </w:rPr>
        <w:t xml:space="preserve"> Colombia Compra Eficiente, también se pronunció sobre la Ley 996 de 2005 en los Conceptos C-074 del 17 de marzo de 2021, C-075 del 16 de marzo de 2021, C-227 de 2021 del 5 de mayo de 2021, C-259 del 2 de junio de 2021, C-296 del 22 de junio de 2021, C005 del 16 de febrero de 2022, C-009 del 15 de febrero de 2022, C-014 del 18 de febrero de 2022, C-022 del 21 de febrero de 2022, C-023 del 22 de febrero de 2022, C-008 del 24 de febrero de 2022, C-045 del 3 de marzo de 2022, C-064 del 8 de marzo de 2022, C-072 del 11 de marzo de 2022, C-109 del 14 de marzo de 2022, C-073 del 14 de marzo de 2022, C-075 del 10 de marzo de 2022, C-077 del 17 de marzo de 2022, C-092 del 16 de marzo de 2022, C-094 del 16 de marzo de 2022, C-096 del 22 de marzo de 2022, C-097 del 18 de marzo de 2022 y C-098 del 9 de marzo de 2022.</w:t>
      </w:r>
    </w:p>
  </w:footnote>
  <w:footnote w:id="3">
    <w:p w14:paraId="71DF621D" w14:textId="77777777" w:rsidR="00AB7479" w:rsidRPr="00DF3573" w:rsidRDefault="00AB7479" w:rsidP="00AB7479">
      <w:pPr>
        <w:pStyle w:val="Textonotapie"/>
        <w:ind w:firstLine="709"/>
        <w:contextualSpacing/>
        <w:jc w:val="both"/>
        <w:rPr>
          <w:rFonts w:ascii="Arial" w:hAnsi="Arial" w:cs="Arial"/>
          <w:sz w:val="12"/>
          <w:szCs w:val="12"/>
        </w:rPr>
      </w:pPr>
    </w:p>
    <w:p w14:paraId="21C3EA46" w14:textId="77777777" w:rsidR="00AB7479" w:rsidRPr="00DF3573" w:rsidRDefault="00AB7479" w:rsidP="00AB7479">
      <w:pPr>
        <w:pStyle w:val="Textonotapie"/>
        <w:ind w:firstLine="709"/>
        <w:contextualSpacing/>
        <w:jc w:val="both"/>
        <w:rPr>
          <w:rFonts w:ascii="Arial" w:hAnsi="Arial" w:cs="Arial"/>
          <w:sz w:val="12"/>
          <w:szCs w:val="12"/>
        </w:rPr>
      </w:pPr>
      <w:r w:rsidRPr="00DF3573">
        <w:rPr>
          <w:rStyle w:val="Refdenotaalpie"/>
          <w:rFonts w:ascii="Arial" w:hAnsi="Arial" w:cs="Arial"/>
          <w:sz w:val="12"/>
          <w:szCs w:val="12"/>
        </w:rPr>
        <w:footnoteRef/>
      </w:r>
      <w:r w:rsidRPr="00DF3573">
        <w:rPr>
          <w:rFonts w:ascii="Arial" w:hAnsi="Arial" w:cs="Arial"/>
          <w:sz w:val="12"/>
          <w:szCs w:val="12"/>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3FF3D18" w14:textId="77777777" w:rsidR="00AB7479" w:rsidRPr="00DF3573" w:rsidRDefault="00AB7479" w:rsidP="00AB7479">
      <w:pPr>
        <w:pStyle w:val="Textonotapie"/>
        <w:ind w:firstLine="709"/>
        <w:contextualSpacing/>
        <w:jc w:val="both"/>
        <w:rPr>
          <w:rFonts w:ascii="Arial" w:hAnsi="Arial" w:cs="Arial"/>
          <w:sz w:val="12"/>
          <w:szCs w:val="12"/>
        </w:rPr>
      </w:pPr>
    </w:p>
    <w:p w14:paraId="21D7AE5E" w14:textId="77777777" w:rsidR="00AB7479" w:rsidRPr="00DF3573" w:rsidRDefault="00AB7479" w:rsidP="00AB7479">
      <w:pPr>
        <w:pStyle w:val="Textonotapie"/>
        <w:ind w:firstLine="709"/>
        <w:contextualSpacing/>
        <w:jc w:val="both"/>
        <w:rPr>
          <w:rFonts w:ascii="Arial" w:hAnsi="Arial" w:cs="Arial"/>
          <w:sz w:val="12"/>
          <w:szCs w:val="12"/>
        </w:rPr>
      </w:pPr>
      <w:r w:rsidRPr="00DF3573">
        <w:rPr>
          <w:rFonts w:ascii="Arial" w:hAnsi="Arial" w:cs="Arial"/>
          <w:sz w:val="12"/>
          <w:szCs w:val="12"/>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6A490E4F" w14:textId="77777777" w:rsidR="00AB7479" w:rsidRPr="00DF3573" w:rsidRDefault="00AB7479" w:rsidP="00AB7479">
      <w:pPr>
        <w:pStyle w:val="Textonotapie"/>
        <w:ind w:firstLine="709"/>
        <w:contextualSpacing/>
        <w:jc w:val="both"/>
        <w:rPr>
          <w:rFonts w:ascii="Arial" w:hAnsi="Arial" w:cs="Arial"/>
          <w:sz w:val="12"/>
          <w:szCs w:val="12"/>
        </w:rPr>
      </w:pPr>
    </w:p>
  </w:footnote>
  <w:footnote w:id="4">
    <w:p w14:paraId="0FB6D574" w14:textId="77777777" w:rsidR="00AB7479" w:rsidRDefault="00AB7479" w:rsidP="00AB7479">
      <w:pPr>
        <w:pStyle w:val="Textonotapie"/>
        <w:ind w:firstLine="709"/>
        <w:contextualSpacing/>
        <w:jc w:val="both"/>
        <w:rPr>
          <w:rFonts w:ascii="Arial" w:hAnsi="Arial" w:cs="Arial"/>
          <w:sz w:val="12"/>
          <w:szCs w:val="12"/>
        </w:rPr>
      </w:pPr>
      <w:r w:rsidRPr="00DF3573">
        <w:rPr>
          <w:rStyle w:val="Refdenotaalpie"/>
          <w:rFonts w:ascii="Arial" w:hAnsi="Arial" w:cs="Arial"/>
          <w:sz w:val="12"/>
          <w:szCs w:val="12"/>
        </w:rPr>
        <w:footnoteRef/>
      </w:r>
      <w:r w:rsidRPr="00DF3573">
        <w:rPr>
          <w:rFonts w:ascii="Arial" w:hAnsi="Arial" w:cs="Arial"/>
          <w:sz w:val="12"/>
          <w:szCs w:val="12"/>
        </w:rPr>
        <w:t xml:space="preserve"> Gaceta del Congreso de la República No. 71 del 2005.</w:t>
      </w:r>
    </w:p>
    <w:p w14:paraId="74277411" w14:textId="77777777" w:rsidR="00AB7479" w:rsidRPr="00DF3573" w:rsidRDefault="00AB7479" w:rsidP="00AB7479">
      <w:pPr>
        <w:pStyle w:val="Textonotapie"/>
        <w:ind w:firstLine="709"/>
        <w:contextualSpacing/>
        <w:jc w:val="both"/>
        <w:rPr>
          <w:rFonts w:ascii="Arial" w:hAnsi="Arial" w:cs="Arial"/>
          <w:sz w:val="12"/>
          <w:szCs w:val="12"/>
        </w:rPr>
      </w:pPr>
    </w:p>
  </w:footnote>
  <w:footnote w:id="5">
    <w:p w14:paraId="289CA178" w14:textId="77777777" w:rsidR="00AB7479" w:rsidRDefault="00AB7479" w:rsidP="00AB7479">
      <w:pPr>
        <w:pStyle w:val="Textonotapie"/>
        <w:ind w:firstLine="709"/>
        <w:contextualSpacing/>
        <w:jc w:val="both"/>
        <w:rPr>
          <w:rFonts w:ascii="Arial" w:hAnsi="Arial" w:cs="Arial"/>
          <w:sz w:val="12"/>
          <w:szCs w:val="12"/>
        </w:rPr>
      </w:pPr>
      <w:r w:rsidRPr="00DF3573">
        <w:rPr>
          <w:rStyle w:val="Refdenotaalpie"/>
          <w:rFonts w:ascii="Arial" w:hAnsi="Arial" w:cs="Arial"/>
          <w:sz w:val="12"/>
          <w:szCs w:val="12"/>
        </w:rPr>
        <w:footnoteRef/>
      </w:r>
      <w:r w:rsidRPr="00DF3573">
        <w:rPr>
          <w:rFonts w:ascii="Arial" w:hAnsi="Arial" w:cs="Arial"/>
          <w:sz w:val="12"/>
          <w:szCs w:val="12"/>
        </w:rPr>
        <w:t xml:space="preserve"> Corte Constitucional, Sentencia C- 1153 de 2005, M.P. Marco Gerardo Monroy Cabra.</w:t>
      </w:r>
    </w:p>
    <w:p w14:paraId="1BEB44A6" w14:textId="77777777" w:rsidR="00AB7479" w:rsidRPr="00DF3573" w:rsidRDefault="00AB7479" w:rsidP="00AB7479">
      <w:pPr>
        <w:pStyle w:val="Textonotapie"/>
        <w:ind w:firstLine="709"/>
        <w:contextualSpacing/>
        <w:jc w:val="both"/>
        <w:rPr>
          <w:rFonts w:ascii="Arial" w:hAnsi="Arial" w:cs="Arial"/>
          <w:sz w:val="12"/>
          <w:szCs w:val="12"/>
        </w:rPr>
      </w:pPr>
    </w:p>
    <w:p w14:paraId="2BB555CB" w14:textId="77777777" w:rsidR="00AB7479" w:rsidRPr="00DF3573" w:rsidRDefault="00AB7479" w:rsidP="00AB7479">
      <w:pPr>
        <w:pStyle w:val="Textonotapie"/>
        <w:ind w:firstLine="709"/>
        <w:contextualSpacing/>
        <w:jc w:val="both"/>
        <w:rPr>
          <w:rFonts w:ascii="Arial" w:hAnsi="Arial" w:cs="Arial"/>
          <w:sz w:val="12"/>
          <w:szCs w:val="12"/>
        </w:rPr>
      </w:pPr>
    </w:p>
  </w:footnote>
  <w:footnote w:id="6">
    <w:p w14:paraId="66A91D24" w14:textId="77777777" w:rsidR="00AB7479" w:rsidRPr="00DF3573" w:rsidRDefault="00AB7479" w:rsidP="00AB7479">
      <w:pPr>
        <w:pStyle w:val="Textonotapie"/>
        <w:ind w:firstLine="709"/>
        <w:contextualSpacing/>
        <w:jc w:val="both"/>
        <w:rPr>
          <w:rFonts w:ascii="Arial" w:hAnsi="Arial" w:cs="Arial"/>
          <w:sz w:val="12"/>
          <w:szCs w:val="12"/>
        </w:rPr>
      </w:pPr>
      <w:r w:rsidRPr="00DF3573">
        <w:rPr>
          <w:rStyle w:val="Refdenotaalpie"/>
          <w:rFonts w:ascii="Arial" w:hAnsi="Arial" w:cs="Arial"/>
          <w:sz w:val="12"/>
          <w:szCs w:val="12"/>
        </w:rPr>
        <w:footnoteRef/>
      </w:r>
      <w:r w:rsidRPr="00DF3573">
        <w:rPr>
          <w:rFonts w:ascii="Arial" w:hAnsi="Arial" w:cs="Arial"/>
          <w:sz w:val="12"/>
          <w:szCs w:val="12"/>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00CFEA77" w14:textId="77777777" w:rsidR="00AB7479" w:rsidRPr="00DF3573" w:rsidRDefault="00AB7479" w:rsidP="00AB7479">
      <w:pPr>
        <w:pStyle w:val="Textonotapie"/>
        <w:ind w:firstLine="709"/>
        <w:contextualSpacing/>
        <w:jc w:val="both"/>
        <w:rPr>
          <w:rFonts w:ascii="Arial" w:hAnsi="Arial" w:cs="Arial"/>
          <w:sz w:val="12"/>
          <w:szCs w:val="12"/>
        </w:rPr>
      </w:pPr>
    </w:p>
  </w:footnote>
  <w:footnote w:id="7">
    <w:p w14:paraId="4362786C" w14:textId="77777777" w:rsidR="00AB7479" w:rsidRDefault="00AB7479" w:rsidP="00AB7479">
      <w:pPr>
        <w:pStyle w:val="Textonotapie"/>
        <w:ind w:firstLine="709"/>
        <w:contextualSpacing/>
        <w:jc w:val="both"/>
        <w:rPr>
          <w:rFonts w:ascii="Arial" w:hAnsi="Arial" w:cs="Arial"/>
          <w:sz w:val="12"/>
          <w:szCs w:val="12"/>
          <w:lang w:val="es-CO"/>
        </w:rPr>
      </w:pPr>
      <w:r w:rsidRPr="00DF3573">
        <w:rPr>
          <w:rStyle w:val="Refdenotaalpie"/>
          <w:rFonts w:ascii="Arial" w:hAnsi="Arial" w:cs="Arial"/>
          <w:sz w:val="12"/>
          <w:szCs w:val="12"/>
        </w:rPr>
        <w:footnoteRef/>
      </w:r>
      <w:r w:rsidRPr="00DF3573">
        <w:rPr>
          <w:rFonts w:ascii="Arial" w:hAnsi="Arial" w:cs="Arial"/>
          <w:sz w:val="12"/>
          <w:szCs w:val="12"/>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33B2B2FC" w14:textId="77777777" w:rsidR="00AB7479" w:rsidRPr="00DF3573" w:rsidRDefault="00AB7479" w:rsidP="00AB7479">
      <w:pPr>
        <w:pStyle w:val="Textonotapie"/>
        <w:ind w:firstLine="709"/>
        <w:contextualSpacing/>
        <w:jc w:val="both"/>
        <w:rPr>
          <w:rFonts w:ascii="Arial" w:hAnsi="Arial" w:cs="Arial"/>
          <w:sz w:val="12"/>
          <w:szCs w:val="12"/>
          <w:lang w:val="es-CO"/>
        </w:rPr>
      </w:pPr>
    </w:p>
  </w:footnote>
  <w:footnote w:id="8">
    <w:p w14:paraId="69893421" w14:textId="77777777" w:rsidR="00AB7479" w:rsidRPr="00DF3573" w:rsidRDefault="00AB7479" w:rsidP="00AB7479">
      <w:pPr>
        <w:pStyle w:val="Textonotapie"/>
        <w:ind w:firstLine="709"/>
        <w:contextualSpacing/>
        <w:jc w:val="both"/>
        <w:rPr>
          <w:rFonts w:ascii="Arial" w:hAnsi="Arial" w:cs="Arial"/>
          <w:sz w:val="12"/>
          <w:szCs w:val="12"/>
        </w:rPr>
      </w:pPr>
      <w:r w:rsidRPr="00DF3573">
        <w:rPr>
          <w:rStyle w:val="Refdenotaalpie"/>
          <w:rFonts w:ascii="Arial" w:hAnsi="Arial" w:cs="Arial"/>
          <w:sz w:val="12"/>
          <w:szCs w:val="12"/>
        </w:rPr>
        <w:footnoteRef/>
      </w:r>
      <w:r w:rsidRPr="00DF3573">
        <w:rPr>
          <w:rFonts w:ascii="Arial" w:hAnsi="Arial" w:cs="Arial"/>
          <w:sz w:val="12"/>
          <w:szCs w:val="12"/>
        </w:rPr>
        <w:t xml:space="preserve"> Consejo de Estado, Sala de Consulta y Servicio Civil de fecha 24 de julio de 2013, radicado 2166, Consejero Ponente: Álvaro Namén Vargas. </w:t>
      </w:r>
    </w:p>
    <w:p w14:paraId="4FA1B3DF" w14:textId="77777777" w:rsidR="00AB7479" w:rsidRPr="00DF3573" w:rsidRDefault="00AB7479" w:rsidP="00AB7479">
      <w:pPr>
        <w:pStyle w:val="Textonotapie"/>
        <w:ind w:firstLine="709"/>
        <w:contextualSpacing/>
        <w:jc w:val="both"/>
        <w:rPr>
          <w:rFonts w:ascii="Arial" w:hAnsi="Arial" w:cs="Arial"/>
          <w:sz w:val="12"/>
          <w:szCs w:val="12"/>
        </w:rPr>
      </w:pPr>
      <w:r w:rsidRPr="00DF3573">
        <w:rPr>
          <w:rFonts w:ascii="Arial" w:hAnsi="Arial" w:cs="Arial"/>
          <w:sz w:val="12"/>
          <w:szCs w:val="12"/>
        </w:rPr>
        <w:t xml:space="preserve"> </w:t>
      </w:r>
    </w:p>
  </w:footnote>
  <w:footnote w:id="9">
    <w:p w14:paraId="097E62B5" w14:textId="77777777" w:rsidR="00AB7479" w:rsidRPr="00DF3573" w:rsidRDefault="00AB7479" w:rsidP="00AB7479">
      <w:pPr>
        <w:spacing w:line="240" w:lineRule="auto"/>
        <w:ind w:firstLine="709"/>
        <w:contextualSpacing/>
        <w:jc w:val="both"/>
        <w:rPr>
          <w:rFonts w:ascii="Arial" w:hAnsi="Arial" w:cs="Arial"/>
          <w:sz w:val="12"/>
          <w:szCs w:val="12"/>
        </w:rPr>
      </w:pPr>
      <w:r w:rsidRPr="00DF3573">
        <w:rPr>
          <w:rStyle w:val="Refdenotaalpie"/>
          <w:rFonts w:ascii="Arial" w:hAnsi="Arial" w:cs="Arial"/>
          <w:sz w:val="12"/>
          <w:szCs w:val="12"/>
        </w:rPr>
        <w:footnoteRef/>
      </w:r>
      <w:r w:rsidRPr="00DF3573">
        <w:rPr>
          <w:rFonts w:ascii="Arial" w:hAnsi="Arial" w:cs="Arial"/>
          <w:sz w:val="12"/>
          <w:szCs w:val="12"/>
        </w:rPr>
        <w:t xml:space="preserve"> </w:t>
      </w:r>
      <w:bookmarkStart w:id="12" w:name="33"/>
      <w:r w:rsidRPr="00DF3573">
        <w:rPr>
          <w:rFonts w:ascii="Arial" w:eastAsia="Calibri" w:hAnsi="Arial" w:cs="Arial"/>
          <w:color w:val="000000"/>
          <w:sz w:val="12"/>
          <w:szCs w:val="12"/>
        </w:rPr>
        <w:t>“</w:t>
      </w:r>
      <w:r w:rsidRPr="00DF3573">
        <w:rPr>
          <w:rFonts w:ascii="Arial" w:hAnsi="Arial" w:cs="Arial"/>
          <w:sz w:val="12"/>
          <w:szCs w:val="12"/>
        </w:rPr>
        <w:t>Artículo 33. Restricciones a la contratación pública.</w:t>
      </w:r>
      <w:bookmarkEnd w:id="12"/>
      <w:r w:rsidRPr="00DF3573">
        <w:rPr>
          <w:rFonts w:ascii="Arial" w:hAnsi="Arial" w:cs="Arial"/>
          <w:sz w:val="12"/>
          <w:szCs w:val="12"/>
        </w:rPr>
        <w:t> Durante los cuatro (4) meses anteriores a la elección presidencial y hasta la realización de la elección en la segunda vuelta, si fuere el caso, queda prohibida la contratación directa por parte de todos los entes del Estado.</w:t>
      </w:r>
    </w:p>
    <w:p w14:paraId="509D746C" w14:textId="77777777" w:rsidR="00AB7479" w:rsidRPr="00DF3573" w:rsidRDefault="00AB7479" w:rsidP="00AB7479">
      <w:pPr>
        <w:spacing w:line="240" w:lineRule="auto"/>
        <w:ind w:firstLine="709"/>
        <w:contextualSpacing/>
        <w:jc w:val="both"/>
        <w:rPr>
          <w:rFonts w:ascii="Arial" w:hAnsi="Arial" w:cs="Arial"/>
          <w:sz w:val="12"/>
          <w:szCs w:val="12"/>
        </w:rPr>
      </w:pPr>
    </w:p>
    <w:p w14:paraId="438835B1" w14:textId="77777777" w:rsidR="00AB7479" w:rsidRPr="00DF3573" w:rsidRDefault="00AB7479" w:rsidP="00AB7479">
      <w:pPr>
        <w:spacing w:after="0" w:line="240" w:lineRule="auto"/>
        <w:ind w:firstLine="709"/>
        <w:contextualSpacing/>
        <w:jc w:val="both"/>
        <w:rPr>
          <w:rFonts w:ascii="Arial" w:hAnsi="Arial" w:cs="Arial"/>
          <w:sz w:val="12"/>
          <w:szCs w:val="12"/>
        </w:rPr>
      </w:pPr>
      <w:r w:rsidRPr="00DF3573">
        <w:rPr>
          <w:rFonts w:ascii="Arial" w:hAnsi="Arial" w:cs="Arial"/>
          <w:sz w:val="12"/>
          <w:szCs w:val="12"/>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w:t>
      </w:r>
    </w:p>
  </w:footnote>
  <w:footnote w:id="10">
    <w:p w14:paraId="5B8094B3" w14:textId="77777777" w:rsidR="00AB7479" w:rsidRPr="00DF3573" w:rsidRDefault="00AB7479" w:rsidP="00AB7479">
      <w:pPr>
        <w:pStyle w:val="NormalWeb"/>
        <w:spacing w:after="0" w:line="240" w:lineRule="auto"/>
        <w:ind w:firstLine="709"/>
        <w:contextualSpacing/>
        <w:rPr>
          <w:rFonts w:ascii="Arial" w:hAnsi="Arial" w:cs="Arial"/>
          <w:sz w:val="12"/>
          <w:szCs w:val="12"/>
        </w:rPr>
      </w:pPr>
    </w:p>
    <w:p w14:paraId="6ED58937" w14:textId="77777777" w:rsidR="00AB7479" w:rsidRPr="00DF3573" w:rsidRDefault="00AB7479" w:rsidP="00AB7479">
      <w:pPr>
        <w:pStyle w:val="NormalWeb"/>
        <w:spacing w:after="0" w:line="240" w:lineRule="auto"/>
        <w:ind w:firstLine="709"/>
        <w:contextualSpacing/>
        <w:rPr>
          <w:rFonts w:ascii="Arial" w:hAnsi="Arial" w:cs="Arial"/>
          <w:sz w:val="12"/>
          <w:szCs w:val="12"/>
          <w:lang w:val="es-MX"/>
        </w:rPr>
      </w:pPr>
      <w:r w:rsidRPr="00DF3573">
        <w:rPr>
          <w:rStyle w:val="Refdenotaalpie"/>
          <w:rFonts w:ascii="Arial" w:hAnsi="Arial" w:cs="Arial"/>
          <w:sz w:val="12"/>
          <w:szCs w:val="12"/>
        </w:rPr>
        <w:footnoteRef/>
      </w:r>
      <w:r w:rsidRPr="00DF3573">
        <w:rPr>
          <w:rFonts w:ascii="Arial" w:hAnsi="Arial" w:cs="Arial"/>
          <w:sz w:val="12"/>
          <w:szCs w:val="12"/>
        </w:rPr>
        <w:t xml:space="preserve"> </w:t>
      </w:r>
      <w:bookmarkStart w:id="13" w:name="38"/>
      <w:r w:rsidRPr="00DF3573">
        <w:rPr>
          <w:rFonts w:ascii="Arial" w:eastAsia="Calibri" w:hAnsi="Arial" w:cs="Arial"/>
          <w:color w:val="000000"/>
          <w:sz w:val="12"/>
          <w:szCs w:val="12"/>
        </w:rPr>
        <w:t>“</w:t>
      </w:r>
      <w:r w:rsidRPr="00DF3573">
        <w:rPr>
          <w:rFonts w:ascii="Arial" w:hAnsi="Arial" w:cs="Arial"/>
          <w:sz w:val="12"/>
          <w:szCs w:val="12"/>
          <w:lang w:val="es-MX"/>
        </w:rPr>
        <w:t>Artículo 38. Prohibiciones para los servidores públicos. A los empleados del Estado les está prohibido:</w:t>
      </w:r>
      <w:bookmarkEnd w:id="13"/>
    </w:p>
    <w:p w14:paraId="10FDFC4B" w14:textId="77777777" w:rsidR="00AB7479" w:rsidRPr="00DF3573" w:rsidRDefault="00AB7479" w:rsidP="00AB7479">
      <w:pPr>
        <w:pStyle w:val="NormalWeb"/>
        <w:spacing w:after="0" w:line="240" w:lineRule="auto"/>
        <w:ind w:firstLine="709"/>
        <w:contextualSpacing/>
        <w:rPr>
          <w:rFonts w:ascii="Arial" w:hAnsi="Arial" w:cs="Arial"/>
          <w:sz w:val="12"/>
          <w:szCs w:val="12"/>
          <w:lang w:val="es-MX"/>
        </w:rPr>
      </w:pPr>
      <w:r w:rsidRPr="00DF3573">
        <w:rPr>
          <w:rFonts w:ascii="Arial" w:hAnsi="Arial" w:cs="Arial"/>
          <w:sz w:val="12"/>
          <w:szCs w:val="12"/>
          <w:lang w:val="es-MX"/>
        </w:rPr>
        <w:t>[…]</w:t>
      </w:r>
    </w:p>
    <w:p w14:paraId="7AC47FB7" w14:textId="77777777" w:rsidR="00AB7479" w:rsidRPr="00DF3573" w:rsidRDefault="00AB7479" w:rsidP="00AB7479">
      <w:pPr>
        <w:pStyle w:val="NormalWeb"/>
        <w:spacing w:after="0" w:line="240" w:lineRule="auto"/>
        <w:ind w:firstLine="709"/>
        <w:contextualSpacing/>
        <w:rPr>
          <w:rFonts w:ascii="Arial" w:eastAsia="Calibri" w:hAnsi="Arial" w:cs="Arial"/>
          <w:color w:val="000000"/>
          <w:sz w:val="12"/>
          <w:szCs w:val="12"/>
        </w:rPr>
      </w:pPr>
      <w:r w:rsidRPr="00DF3573">
        <w:rPr>
          <w:rStyle w:val="baj"/>
          <w:rFonts w:ascii="Arial" w:hAnsi="Arial" w:cs="Arial"/>
          <w:sz w:val="12"/>
          <w:szCs w:val="12"/>
          <w:lang w:val="es-MX"/>
        </w:rPr>
        <w:t>Parágrafo.</w:t>
      </w:r>
      <w:r w:rsidRPr="00DF3573">
        <w:rPr>
          <w:rFonts w:ascii="Arial" w:hAnsi="Arial" w:cs="Arial"/>
          <w:sz w:val="12"/>
          <w:szCs w:val="12"/>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F3573">
        <w:rPr>
          <w:rFonts w:ascii="Arial" w:eastAsia="Calibri" w:hAnsi="Arial" w:cs="Arial"/>
          <w:color w:val="000000"/>
          <w:sz w:val="12"/>
          <w:szCs w:val="12"/>
        </w:rPr>
        <w:t>”.</w:t>
      </w:r>
    </w:p>
    <w:p w14:paraId="5F6491B4" w14:textId="77777777" w:rsidR="00AB7479" w:rsidRPr="00DF3573" w:rsidRDefault="00AB7479" w:rsidP="00AB7479">
      <w:pPr>
        <w:pStyle w:val="NormalWeb"/>
        <w:spacing w:after="0" w:line="240" w:lineRule="auto"/>
        <w:ind w:firstLine="709"/>
        <w:contextualSpacing/>
        <w:rPr>
          <w:rFonts w:ascii="Arial" w:hAnsi="Arial" w:cs="Arial"/>
          <w:sz w:val="12"/>
          <w:szCs w:val="12"/>
          <w:lang w:val="es-MX"/>
        </w:rPr>
      </w:pPr>
    </w:p>
  </w:footnote>
  <w:footnote w:id="11">
    <w:p w14:paraId="30369AE8" w14:textId="77777777" w:rsidR="00AB7479" w:rsidRPr="00DF3573" w:rsidRDefault="00AB7479" w:rsidP="00AB7479">
      <w:pPr>
        <w:spacing w:line="240" w:lineRule="auto"/>
        <w:ind w:left="100" w:right="244" w:firstLine="709"/>
        <w:contextualSpacing/>
        <w:jc w:val="both"/>
        <w:rPr>
          <w:rFonts w:ascii="Arial" w:hAnsi="Arial" w:cs="Arial"/>
          <w:sz w:val="12"/>
          <w:szCs w:val="12"/>
          <w:lang w:val="es-ES"/>
        </w:rPr>
      </w:pPr>
      <w:r w:rsidRPr="00DF3573">
        <w:rPr>
          <w:rStyle w:val="Refdenotaalpie"/>
          <w:rFonts w:ascii="Arial" w:hAnsi="Arial" w:cs="Arial"/>
          <w:sz w:val="12"/>
          <w:szCs w:val="12"/>
        </w:rPr>
        <w:footnoteRef/>
      </w:r>
      <w:r w:rsidRPr="00DF3573">
        <w:rPr>
          <w:rFonts w:ascii="Arial" w:hAnsi="Arial" w:cs="Arial"/>
          <w:sz w:val="12"/>
          <w:szCs w:val="12"/>
        </w:rPr>
        <w:t xml:space="preserve"> Consejo de Estado. Sala de Consulta y Servicio Civil. Concepto del 17 de febrero de 2015. C.P. William Zambrano Cetina. Radicación No. 11001-03-06-000-2015-00164-00(2269).</w:t>
      </w:r>
    </w:p>
  </w:footnote>
  <w:footnote w:id="12">
    <w:p w14:paraId="39E17B11" w14:textId="77777777" w:rsidR="00AB7479" w:rsidRPr="00DF3573" w:rsidRDefault="00AB7479" w:rsidP="00AB7479">
      <w:pPr>
        <w:pStyle w:val="Textonotapie"/>
        <w:ind w:firstLine="709"/>
        <w:contextualSpacing/>
        <w:jc w:val="both"/>
        <w:rPr>
          <w:rFonts w:ascii="Arial" w:hAnsi="Arial" w:cs="Arial"/>
          <w:sz w:val="12"/>
          <w:szCs w:val="12"/>
        </w:rPr>
      </w:pPr>
      <w:r w:rsidRPr="00DF3573">
        <w:rPr>
          <w:rStyle w:val="Refdenotaalpie"/>
          <w:rFonts w:ascii="Arial" w:hAnsi="Arial" w:cs="Arial"/>
          <w:sz w:val="12"/>
          <w:szCs w:val="12"/>
        </w:rPr>
        <w:footnoteRef/>
      </w:r>
      <w:r w:rsidRPr="00DF3573">
        <w:rPr>
          <w:rFonts w:ascii="Arial" w:hAnsi="Arial" w:cs="Arial"/>
          <w:sz w:val="12"/>
          <w:szCs w:val="12"/>
        </w:rPr>
        <w:t xml:space="preserve"> Consejo de Estado. Sala de Consulta y Servicio Civil. Concepto de 20 de febrero de2006. Radicación 11001-03-06-000-2006-00023-00(1724). Consejero Ponente: Flavio Augusto Rodríguez Arce.</w:t>
      </w:r>
    </w:p>
    <w:p w14:paraId="1A3B0B47" w14:textId="77777777" w:rsidR="00AB7479" w:rsidRPr="00DF3573" w:rsidRDefault="00AB7479" w:rsidP="00AB7479">
      <w:pPr>
        <w:pStyle w:val="Textonotapie"/>
        <w:ind w:firstLine="709"/>
        <w:contextualSpacing/>
        <w:jc w:val="both"/>
        <w:rPr>
          <w:rFonts w:ascii="Arial" w:hAnsi="Arial" w:cs="Arial"/>
          <w:sz w:val="12"/>
          <w:szCs w:val="12"/>
        </w:rPr>
      </w:pPr>
    </w:p>
  </w:footnote>
  <w:footnote w:id="13">
    <w:p w14:paraId="662C5CEF" w14:textId="77777777" w:rsidR="00AB7479" w:rsidRPr="00DF3573" w:rsidRDefault="00AB7479" w:rsidP="00AB7479">
      <w:pPr>
        <w:spacing w:line="240" w:lineRule="auto"/>
        <w:ind w:firstLine="709"/>
        <w:contextualSpacing/>
        <w:jc w:val="both"/>
        <w:rPr>
          <w:rFonts w:ascii="Arial" w:hAnsi="Arial" w:cs="Arial"/>
          <w:sz w:val="12"/>
          <w:szCs w:val="12"/>
        </w:rPr>
      </w:pPr>
      <w:r w:rsidRPr="00DF3573">
        <w:rPr>
          <w:rStyle w:val="Refdenotaalpie"/>
          <w:rFonts w:ascii="Arial" w:hAnsi="Arial" w:cs="Arial"/>
          <w:sz w:val="12"/>
          <w:szCs w:val="12"/>
        </w:rPr>
        <w:footnoteRef/>
      </w:r>
      <w:r w:rsidRPr="00DF3573">
        <w:rPr>
          <w:rFonts w:ascii="Arial" w:hAnsi="Arial" w:cs="Arial"/>
          <w:sz w:val="12"/>
          <w:szCs w:val="12"/>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4EF63B3A" w14:textId="77777777" w:rsidR="00AB7479" w:rsidRPr="00DF3573" w:rsidRDefault="00AB7479" w:rsidP="00AB7479">
      <w:pPr>
        <w:spacing w:line="240" w:lineRule="auto"/>
        <w:ind w:firstLine="709"/>
        <w:contextualSpacing/>
        <w:jc w:val="both"/>
        <w:rPr>
          <w:rFonts w:ascii="Arial" w:hAnsi="Arial" w:cs="Arial"/>
          <w:sz w:val="12"/>
          <w:szCs w:val="12"/>
        </w:rPr>
      </w:pPr>
    </w:p>
    <w:p w14:paraId="574B0A51" w14:textId="77777777" w:rsidR="00AB7479" w:rsidRPr="00DF3573" w:rsidRDefault="00AB7479" w:rsidP="00AB7479">
      <w:pPr>
        <w:spacing w:line="240" w:lineRule="auto"/>
        <w:ind w:firstLine="709"/>
        <w:contextualSpacing/>
        <w:jc w:val="both"/>
        <w:rPr>
          <w:rFonts w:ascii="Arial" w:hAnsi="Arial" w:cs="Arial"/>
          <w:sz w:val="12"/>
          <w:szCs w:val="12"/>
        </w:rPr>
      </w:pPr>
      <w:r w:rsidRPr="00DF3573">
        <w:rPr>
          <w:rFonts w:ascii="Arial" w:hAnsi="Arial" w:cs="Arial"/>
          <w:sz w:val="12"/>
          <w:szCs w:val="12"/>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DF3573">
        <w:rPr>
          <w:rFonts w:ascii="Arial" w:hAnsi="Arial" w:cs="Arial"/>
          <w:spacing w:val="-1"/>
          <w:sz w:val="12"/>
          <w:szCs w:val="12"/>
        </w:rPr>
        <w:t xml:space="preserve"> </w:t>
      </w:r>
      <w:r w:rsidRPr="00DF3573">
        <w:rPr>
          <w:rFonts w:ascii="Arial" w:hAnsi="Arial" w:cs="Arial"/>
          <w:sz w:val="12"/>
          <w:szCs w:val="12"/>
        </w:rPr>
        <w:t>Estatales”.</w:t>
      </w:r>
    </w:p>
    <w:p w14:paraId="74D7B4FE" w14:textId="77777777" w:rsidR="00AB7479" w:rsidRPr="00DF3573" w:rsidRDefault="00AB7479" w:rsidP="00AB7479">
      <w:pPr>
        <w:spacing w:line="240" w:lineRule="auto"/>
        <w:ind w:firstLine="709"/>
        <w:contextualSpacing/>
        <w:jc w:val="both"/>
        <w:rPr>
          <w:rFonts w:ascii="Arial" w:hAnsi="Arial" w:cs="Arial"/>
          <w:sz w:val="12"/>
          <w:szCs w:val="12"/>
        </w:rPr>
      </w:pPr>
    </w:p>
  </w:footnote>
  <w:footnote w:id="14">
    <w:p w14:paraId="12475FE0" w14:textId="77777777" w:rsidR="00AB7479" w:rsidRPr="00DF3573" w:rsidRDefault="00AB7479" w:rsidP="00AB7479">
      <w:pPr>
        <w:spacing w:line="240" w:lineRule="auto"/>
        <w:ind w:right="454" w:firstLine="709"/>
        <w:contextualSpacing/>
        <w:jc w:val="both"/>
        <w:rPr>
          <w:rFonts w:ascii="Arial" w:hAnsi="Arial" w:cs="Arial"/>
          <w:sz w:val="12"/>
          <w:szCs w:val="12"/>
        </w:rPr>
      </w:pPr>
      <w:r w:rsidRPr="00DF3573">
        <w:rPr>
          <w:rStyle w:val="Refdenotaalpie"/>
          <w:rFonts w:ascii="Arial" w:hAnsi="Arial" w:cs="Arial"/>
          <w:sz w:val="12"/>
          <w:szCs w:val="12"/>
        </w:rPr>
        <w:footnoteRef/>
      </w:r>
      <w:r w:rsidRPr="00DF3573">
        <w:rPr>
          <w:rFonts w:ascii="Arial" w:hAnsi="Arial" w:cs="Arial"/>
          <w:position w:val="7"/>
          <w:sz w:val="12"/>
          <w:szCs w:val="12"/>
        </w:rPr>
        <w:t xml:space="preserve"> </w:t>
      </w:r>
      <w:r w:rsidRPr="00DF3573">
        <w:rPr>
          <w:rFonts w:ascii="Arial" w:hAnsi="Arial" w:cs="Arial"/>
          <w:sz w:val="12"/>
          <w:szCs w:val="12"/>
        </w:rPr>
        <w:t>Consejo de Estado. Sección Tercera. Sentencia del 23 de junio de 2010. Radicación No. 66001-23-31-000-1998-00261-01(17.860). Consejero Ponente: Mauricio Fajardo Gómez.</w:t>
      </w:r>
    </w:p>
  </w:footnote>
  <w:footnote w:id="15">
    <w:p w14:paraId="5735C18E" w14:textId="77777777" w:rsidR="00AB7479" w:rsidRPr="00DF3573" w:rsidRDefault="00AB7479" w:rsidP="00AB7479">
      <w:pPr>
        <w:spacing w:after="0" w:line="240" w:lineRule="auto"/>
        <w:ind w:firstLine="709"/>
        <w:jc w:val="both"/>
        <w:rPr>
          <w:rFonts w:ascii="Arial" w:hAnsi="Arial" w:cs="Arial"/>
          <w:sz w:val="12"/>
          <w:szCs w:val="12"/>
        </w:rPr>
      </w:pPr>
      <w:r w:rsidRPr="00DF3573">
        <w:rPr>
          <w:rStyle w:val="Refdenotaalpie"/>
          <w:rFonts w:ascii="Arial" w:hAnsi="Arial" w:cs="Arial"/>
          <w:sz w:val="12"/>
          <w:szCs w:val="12"/>
        </w:rPr>
        <w:footnoteRef/>
      </w:r>
      <w:r w:rsidRPr="00DF3573">
        <w:rPr>
          <w:rFonts w:ascii="Arial" w:hAnsi="Arial" w:cs="Arial"/>
          <w:sz w:val="12"/>
          <w:szCs w:val="12"/>
        </w:rPr>
        <w:t xml:space="preserve"> Consejo de Estado. Sección Tercera. Subsección C. Sentencia del 11 de diciembre de 2019. Exp. 46.986. C.P. Jaime Enrique Rodríguez Navas.</w:t>
      </w:r>
    </w:p>
    <w:p w14:paraId="444F52BB" w14:textId="77777777" w:rsidR="00AB7479" w:rsidRPr="00DF3573" w:rsidRDefault="00AB7479" w:rsidP="00AB7479">
      <w:pPr>
        <w:spacing w:after="0" w:line="240" w:lineRule="auto"/>
        <w:ind w:firstLine="709"/>
        <w:jc w:val="both"/>
        <w:rPr>
          <w:rFonts w:ascii="Arial" w:hAnsi="Arial" w:cs="Arial"/>
          <w:sz w:val="12"/>
          <w:szCs w:val="12"/>
        </w:rPr>
      </w:pPr>
    </w:p>
  </w:footnote>
  <w:footnote w:id="16">
    <w:p w14:paraId="3225AA39" w14:textId="77777777" w:rsidR="00AB7479" w:rsidRPr="00DF3573" w:rsidRDefault="00AB7479" w:rsidP="00AB7479">
      <w:pPr>
        <w:pStyle w:val="Textonotapie"/>
        <w:ind w:firstLine="709"/>
        <w:jc w:val="both"/>
        <w:rPr>
          <w:rFonts w:ascii="Arial" w:hAnsi="Arial" w:cs="Arial"/>
          <w:sz w:val="12"/>
          <w:szCs w:val="12"/>
        </w:rPr>
      </w:pPr>
      <w:r w:rsidRPr="00DF3573">
        <w:rPr>
          <w:rStyle w:val="Refdenotaalpie"/>
          <w:rFonts w:ascii="Arial" w:hAnsi="Arial" w:cs="Arial"/>
          <w:sz w:val="12"/>
          <w:szCs w:val="12"/>
        </w:rPr>
        <w:footnoteRef/>
      </w:r>
      <w:r w:rsidRPr="00DF3573">
        <w:rPr>
          <w:rFonts w:ascii="Arial" w:hAnsi="Arial" w:cs="Arial"/>
          <w:sz w:val="12"/>
          <w:szCs w:val="12"/>
        </w:rPr>
        <w:t xml:space="preserve"> [Referencia propia de la cita] “CE. SCSC. Concepto de 1 de noviembre de 2016 [Rad. 11001-03-06-000-2016-00125-00(2305)]. MP. Germán Alberto Bula Escobar”.</w:t>
      </w:r>
    </w:p>
    <w:p w14:paraId="6A0021D3" w14:textId="77777777" w:rsidR="00AB7479" w:rsidRPr="00DF3573" w:rsidRDefault="00AB7479" w:rsidP="00AB7479">
      <w:pPr>
        <w:pStyle w:val="Textonotapie"/>
        <w:ind w:firstLine="709"/>
        <w:jc w:val="both"/>
        <w:rPr>
          <w:rFonts w:ascii="Arial" w:hAnsi="Arial" w:cs="Arial"/>
          <w:sz w:val="12"/>
          <w:szCs w:val="12"/>
        </w:rPr>
      </w:pPr>
    </w:p>
  </w:footnote>
  <w:footnote w:id="17">
    <w:p w14:paraId="221E82AE" w14:textId="77777777" w:rsidR="00AB7479" w:rsidRPr="00DF3573" w:rsidRDefault="00AB7479" w:rsidP="00AB7479">
      <w:pPr>
        <w:pStyle w:val="Textonotapie"/>
        <w:ind w:firstLine="709"/>
        <w:jc w:val="both"/>
        <w:rPr>
          <w:rFonts w:ascii="Arial" w:hAnsi="Arial" w:cs="Arial"/>
          <w:sz w:val="12"/>
          <w:szCs w:val="12"/>
        </w:rPr>
      </w:pPr>
      <w:r w:rsidRPr="00DF3573">
        <w:rPr>
          <w:rStyle w:val="Refdenotaalpie"/>
          <w:rFonts w:ascii="Arial" w:hAnsi="Arial" w:cs="Arial"/>
          <w:sz w:val="12"/>
          <w:szCs w:val="12"/>
        </w:rPr>
        <w:footnoteRef/>
      </w:r>
      <w:r w:rsidRPr="00DF3573">
        <w:rPr>
          <w:rFonts w:ascii="Arial" w:hAnsi="Arial" w:cs="Arial"/>
          <w:sz w:val="12"/>
          <w:szCs w:val="12"/>
        </w:rPr>
        <w:t xml:space="preserve"> [Referencia propia de la cita] “CE. SCSC. Concepto de 30 de abril de 2008 [Rad. 11001-03-06-000-2008-00013-00(1881)]. MP. Enrique José Arboleda Perdomo. En esta oportunidad, la Sala indicó que el contenido </w:t>
      </w:r>
      <w:r w:rsidRPr="00DF3573">
        <w:rPr>
          <w:rFonts w:ascii="Arial" w:hAnsi="Arial" w:cs="Arial"/>
          <w:i/>
          <w:sz w:val="12"/>
          <w:szCs w:val="12"/>
        </w:rPr>
        <w:t>“obligacional”</w:t>
      </w:r>
      <w:r w:rsidRPr="00DF3573">
        <w:rPr>
          <w:rFonts w:ascii="Arial" w:hAnsi="Arial" w:cs="Arial"/>
          <w:sz w:val="12"/>
          <w:szCs w:val="12"/>
        </w:rPr>
        <w:t xml:space="preserve"> de los convenios se estructura definiendo el resultado querido por las partes y los medios que cada entidad despliega para la obtención del respectivo objeto”.</w:t>
      </w:r>
    </w:p>
  </w:footnote>
  <w:footnote w:id="18">
    <w:p w14:paraId="07881DB0" w14:textId="77777777" w:rsidR="00AB7479" w:rsidRPr="00DF3573" w:rsidRDefault="00AB7479" w:rsidP="00AB7479">
      <w:pPr>
        <w:pStyle w:val="Textonotapie"/>
        <w:ind w:firstLine="709"/>
        <w:jc w:val="both"/>
        <w:rPr>
          <w:rFonts w:ascii="Arial" w:hAnsi="Arial" w:cs="Arial"/>
          <w:sz w:val="12"/>
          <w:szCs w:val="12"/>
        </w:rPr>
      </w:pPr>
    </w:p>
    <w:p w14:paraId="0BE79F90" w14:textId="77777777" w:rsidR="00AB7479" w:rsidRPr="00DF3573" w:rsidRDefault="00AB7479" w:rsidP="00AB7479">
      <w:pPr>
        <w:pStyle w:val="Textonotapie"/>
        <w:ind w:firstLine="709"/>
        <w:jc w:val="both"/>
        <w:rPr>
          <w:rFonts w:ascii="Arial" w:hAnsi="Arial" w:cs="Arial"/>
          <w:sz w:val="12"/>
          <w:szCs w:val="12"/>
        </w:rPr>
      </w:pPr>
      <w:r w:rsidRPr="00DF3573">
        <w:rPr>
          <w:rStyle w:val="Refdenotaalpie"/>
          <w:rFonts w:ascii="Arial" w:hAnsi="Arial" w:cs="Arial"/>
          <w:sz w:val="12"/>
          <w:szCs w:val="12"/>
        </w:rPr>
        <w:footnoteRef/>
      </w:r>
      <w:r w:rsidRPr="00DF3573">
        <w:rPr>
          <w:rFonts w:ascii="Arial" w:hAnsi="Arial" w:cs="Arial"/>
          <w:sz w:val="12"/>
          <w:szCs w:val="12"/>
        </w:rPr>
        <w:t xml:space="preserve"> [Referencia propia de la cita] “La normativa vigente del EGCAP </w:t>
      </w:r>
      <w:r w:rsidRPr="00DF3573">
        <w:rPr>
          <w:rFonts w:ascii="Arial" w:hAnsi="Arial" w:cs="Arial"/>
          <w:i/>
          <w:sz w:val="12"/>
          <w:szCs w:val="12"/>
        </w:rPr>
        <w:t>[literal c) del numeral 4. del artículo 2 de la Ley 1150/07]</w:t>
      </w:r>
      <w:r w:rsidRPr="00DF3573">
        <w:rPr>
          <w:rFonts w:ascii="Arial" w:hAnsi="Arial" w:cs="Arial"/>
          <w:sz w:val="12"/>
          <w:szCs w:val="12"/>
        </w:rPr>
        <w:t xml:space="preserve"> se refiere a </w:t>
      </w:r>
      <w:r w:rsidRPr="00DF3573">
        <w:rPr>
          <w:rFonts w:ascii="Arial" w:hAnsi="Arial" w:cs="Arial"/>
          <w:i/>
          <w:sz w:val="12"/>
          <w:szCs w:val="12"/>
        </w:rPr>
        <w:t>“contratos interadministrativos”</w:t>
      </w:r>
      <w:r w:rsidRPr="00DF3573">
        <w:rPr>
          <w:rFonts w:ascii="Arial" w:hAnsi="Arial" w:cs="Arial"/>
          <w:sz w:val="12"/>
          <w:szCs w:val="12"/>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p w14:paraId="4FE11ABF" w14:textId="77777777" w:rsidR="00AB7479" w:rsidRPr="00DF3573" w:rsidRDefault="00AB7479" w:rsidP="00AB7479">
      <w:pPr>
        <w:pStyle w:val="Textonotapie"/>
        <w:ind w:firstLine="709"/>
        <w:jc w:val="both"/>
        <w:rPr>
          <w:rFonts w:ascii="Arial" w:hAnsi="Arial" w:cs="Arial"/>
          <w:sz w:val="12"/>
          <w:szCs w:val="12"/>
        </w:rPr>
      </w:pPr>
    </w:p>
  </w:footnote>
  <w:footnote w:id="19">
    <w:p w14:paraId="09CBFD83" w14:textId="77777777" w:rsidR="00AB7479" w:rsidRPr="00DF3573" w:rsidRDefault="00AB7479" w:rsidP="00AB7479">
      <w:pPr>
        <w:pStyle w:val="Textonotapie"/>
        <w:ind w:firstLine="709"/>
        <w:jc w:val="both"/>
        <w:rPr>
          <w:rFonts w:ascii="Arial" w:hAnsi="Arial" w:cs="Arial"/>
          <w:sz w:val="12"/>
          <w:szCs w:val="12"/>
        </w:rPr>
      </w:pPr>
      <w:r w:rsidRPr="00DF3573">
        <w:rPr>
          <w:rStyle w:val="Refdenotaalpie"/>
          <w:rFonts w:ascii="Arial" w:hAnsi="Arial" w:cs="Arial"/>
          <w:sz w:val="12"/>
          <w:szCs w:val="12"/>
        </w:rPr>
        <w:footnoteRef/>
      </w:r>
      <w:r w:rsidRPr="00DF3573">
        <w:rPr>
          <w:rFonts w:ascii="Arial" w:hAnsi="Arial" w:cs="Arial"/>
          <w:sz w:val="12"/>
          <w:szCs w:val="12"/>
        </w:rPr>
        <w:t xml:space="preserve"> En línea con lo anterior, la Sala de Consulta y Servicio Civil del Consejo de Estado expresó lo siguiente: “La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 (Consejo de Estado. Sala de Consulta y Servicio Civil. Concepto 26 de julio de 2016. Exp. 2.257. M.P. Álvaro Namén Vargas).</w:t>
      </w:r>
    </w:p>
    <w:p w14:paraId="71C9422F" w14:textId="77777777" w:rsidR="00AB7479" w:rsidRPr="00DF3573" w:rsidRDefault="00AB7479" w:rsidP="00AB7479">
      <w:pPr>
        <w:pStyle w:val="Textonotapie"/>
        <w:ind w:firstLine="709"/>
        <w:jc w:val="both"/>
        <w:rPr>
          <w:rFonts w:ascii="Arial" w:hAnsi="Arial" w:cs="Arial"/>
          <w:sz w:val="12"/>
          <w:szCs w:val="12"/>
        </w:rPr>
      </w:pPr>
    </w:p>
  </w:footnote>
  <w:footnote w:id="20">
    <w:p w14:paraId="50FCFCBC" w14:textId="77777777" w:rsidR="00AB7479" w:rsidRPr="00DF3573" w:rsidRDefault="00AB7479" w:rsidP="00AB7479">
      <w:pPr>
        <w:pStyle w:val="Textonotapie"/>
        <w:ind w:firstLine="709"/>
        <w:jc w:val="both"/>
        <w:rPr>
          <w:rFonts w:ascii="Arial" w:hAnsi="Arial" w:cs="Arial"/>
          <w:sz w:val="12"/>
          <w:szCs w:val="12"/>
        </w:rPr>
      </w:pPr>
      <w:r w:rsidRPr="00DF3573">
        <w:rPr>
          <w:rStyle w:val="Refdenotaalpie"/>
          <w:rFonts w:ascii="Arial" w:hAnsi="Arial" w:cs="Arial"/>
          <w:sz w:val="12"/>
          <w:szCs w:val="12"/>
        </w:rPr>
        <w:footnoteRef/>
      </w:r>
      <w:r w:rsidRPr="00DF3573">
        <w:rPr>
          <w:rFonts w:ascii="Arial" w:hAnsi="Arial" w:cs="Arial"/>
          <w:sz w:val="12"/>
          <w:szCs w:val="12"/>
        </w:rPr>
        <w:t xml:space="preserve"> Es lo que sucede, por ejemplo, con el Decreto 092 de 2017, que en su desarrollo hace referencia tanto a los “contratos” como a los “convenios”. </w:t>
      </w:r>
    </w:p>
    <w:p w14:paraId="14789549" w14:textId="77777777" w:rsidR="00AB7479" w:rsidRPr="00DF3573" w:rsidRDefault="00AB7479" w:rsidP="00AB7479">
      <w:pPr>
        <w:pStyle w:val="Textonotapie"/>
        <w:ind w:firstLine="709"/>
        <w:jc w:val="both"/>
        <w:rPr>
          <w:rFonts w:ascii="Arial" w:hAnsi="Arial" w:cs="Arial"/>
          <w:sz w:val="12"/>
          <w:szCs w:val="12"/>
          <w:lang w:val="es-CO"/>
        </w:rPr>
      </w:pPr>
    </w:p>
  </w:footnote>
  <w:footnote w:id="21">
    <w:p w14:paraId="7103D4F4" w14:textId="77777777" w:rsidR="00AB7479" w:rsidRPr="00911970" w:rsidRDefault="00AB7479" w:rsidP="00AB7479">
      <w:pPr>
        <w:pStyle w:val="Textonotapie"/>
        <w:ind w:firstLine="709"/>
        <w:jc w:val="both"/>
        <w:rPr>
          <w:rFonts w:ascii="Arial" w:hAnsi="Arial" w:cs="Arial"/>
          <w:sz w:val="19"/>
          <w:szCs w:val="19"/>
          <w:lang w:val="es-CO"/>
        </w:rPr>
      </w:pPr>
      <w:r w:rsidRPr="00DF3573">
        <w:rPr>
          <w:rStyle w:val="Refdenotaalpie"/>
          <w:rFonts w:ascii="Arial" w:hAnsi="Arial" w:cs="Arial"/>
          <w:sz w:val="12"/>
          <w:szCs w:val="12"/>
        </w:rPr>
        <w:footnoteRef/>
      </w:r>
      <w:r w:rsidRPr="00DF3573">
        <w:rPr>
          <w:rFonts w:ascii="Arial" w:hAnsi="Arial" w:cs="Arial"/>
          <w:sz w:val="12"/>
          <w:szCs w:val="12"/>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(Corte Constitucional. Sentencia C-671 de 2015. M.P. Alberto Rojas Ríos).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93C3B1" w14:textId="77777777" w:rsidR="00483559" w:rsidRDefault="00483559" w:rsidP="00483559">
    <w:pPr>
      <w:pStyle w:val="Encabezado"/>
    </w:pPr>
    <w:r>
      <w:rPr>
        <w:noProof/>
      </w:rPr>
      <w:drawing>
        <wp:anchor distT="0" distB="0" distL="114300" distR="114300" simplePos="0" relativeHeight="251659264" behindDoc="1" locked="0" layoutInCell="1" allowOverlap="1" wp14:anchorId="56C11148" wp14:editId="47C0CB86">
          <wp:simplePos x="0" y="0"/>
          <wp:positionH relativeFrom="margin">
            <wp:align>right</wp:align>
          </wp:positionH>
          <wp:positionV relativeFrom="margin">
            <wp:posOffset>-1135380</wp:posOffset>
          </wp:positionV>
          <wp:extent cx="1757045" cy="628650"/>
          <wp:effectExtent l="0" t="0" r="0" b="0"/>
          <wp:wrapNone/>
          <wp:docPr id="864305913"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Pr>
        <w:rFonts w:ascii="Geomanist Bold" w:hAnsi="Geomanist Bold"/>
        <w:b/>
        <w:bCs/>
        <w:noProof/>
        <w:color w:val="46589C"/>
        <w:sz w:val="24"/>
        <w:szCs w:val="24"/>
      </w:rPr>
      <w:drawing>
        <wp:anchor distT="0" distB="0" distL="114300" distR="114300" simplePos="0" relativeHeight="251662336" behindDoc="0" locked="0" layoutInCell="1" allowOverlap="1" wp14:anchorId="4A4CC1C0" wp14:editId="7DB1B611">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1312" behindDoc="0" locked="0" layoutInCell="1" allowOverlap="1" wp14:anchorId="25A2A9C8" wp14:editId="6C581E04">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0B8480C8" wp14:editId="754D3FE9">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16C741EF" w14:textId="77777777" w:rsidR="00483559" w:rsidRDefault="00483559" w:rsidP="00483559">
    <w:pPr>
      <w:pStyle w:val="Encabezado"/>
    </w:pPr>
  </w:p>
  <w:p w14:paraId="75391F20" w14:textId="77777777" w:rsidR="00483559" w:rsidRDefault="00483559" w:rsidP="00483559">
    <w:pPr>
      <w:pStyle w:val="Encabezado"/>
    </w:pPr>
  </w:p>
  <w:p w14:paraId="2B6BFC66" w14:textId="77777777" w:rsidR="00483559" w:rsidRPr="004A305D" w:rsidRDefault="00483559" w:rsidP="00483559">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68BE8C93" w14:textId="77777777" w:rsidR="00483559" w:rsidRPr="004A305D" w:rsidRDefault="00483559" w:rsidP="00483559">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13</w:t>
    </w:r>
  </w:p>
  <w:p w14:paraId="7123D418" w14:textId="77777777" w:rsidR="00483559" w:rsidRPr="004A305D" w:rsidRDefault="00483559" w:rsidP="00483559">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1</w:t>
    </w:r>
    <w:r w:rsidRPr="004A305D">
      <w:rPr>
        <w:rFonts w:ascii="Century Gothic" w:eastAsia="Geo" w:hAnsi="Century Gothic" w:cs="Geo"/>
        <w:sz w:val="16"/>
        <w:szCs w:val="16"/>
        <w:lang w:eastAsia="es-CO"/>
      </w:rPr>
      <w:t xml:space="preserve"> DEL </w:t>
    </w:r>
    <w:r>
      <w:rPr>
        <w:rFonts w:ascii="Century Gothic" w:eastAsia="Geo" w:hAnsi="Century Gothic" w:cs="Geo"/>
        <w:sz w:val="16"/>
        <w:szCs w:val="16"/>
        <w:lang w:eastAsia="es-CO"/>
      </w:rPr>
      <w:t xml:space="preserve">15 </w:t>
    </w:r>
    <w:r w:rsidRPr="004A305D">
      <w:rPr>
        <w:rFonts w:ascii="Century Gothic" w:eastAsia="Geo" w:hAnsi="Century Gothic" w:cs="Geo"/>
        <w:sz w:val="16"/>
        <w:szCs w:val="16"/>
        <w:lang w:eastAsia="es-CO"/>
      </w:rPr>
      <w:t xml:space="preserve">DE </w:t>
    </w:r>
    <w:r>
      <w:rPr>
        <w:rFonts w:ascii="Century Gothic" w:eastAsia="Geo" w:hAnsi="Century Gothic" w:cs="Geo"/>
        <w:sz w:val="16"/>
        <w:szCs w:val="16"/>
        <w:lang w:eastAsia="es-CO"/>
      </w:rPr>
      <w:t>JUNIO</w:t>
    </w:r>
    <w:r w:rsidRPr="004A305D">
      <w:rPr>
        <w:rFonts w:ascii="Century Gothic" w:eastAsia="Geo" w:hAnsi="Century Gothic" w:cs="Geo"/>
        <w:sz w:val="16"/>
        <w:szCs w:val="16"/>
        <w:lang w:eastAsia="es-CO"/>
      </w:rPr>
      <w:t xml:space="preserve"> DE 202</w:t>
    </w:r>
    <w:r>
      <w:rPr>
        <w:rFonts w:ascii="Century Gothic" w:eastAsia="Geo" w:hAnsi="Century Gothic" w:cs="Geo"/>
        <w:sz w:val="16"/>
        <w:szCs w:val="16"/>
        <w:lang w:eastAsia="es-CO"/>
      </w:rPr>
      <w:t>3</w:t>
    </w:r>
  </w:p>
  <w:p w14:paraId="068C7DC1" w14:textId="77777777" w:rsidR="00483559" w:rsidRPr="007566FE" w:rsidRDefault="00483559" w:rsidP="00483559">
    <w:pPr>
      <w:spacing w:after="0"/>
      <w:rPr>
        <w:rFonts w:ascii="Geomanist Light" w:hAnsi="Geomanist Light"/>
        <w:color w:val="002060"/>
        <w:sz w:val="16"/>
        <w:szCs w:val="16"/>
      </w:rPr>
    </w:pPr>
  </w:p>
  <w:p w14:paraId="635572FF" w14:textId="77777777" w:rsidR="00742A52" w:rsidRPr="00906B3C" w:rsidRDefault="00742A52" w:rsidP="00906B3C">
    <w:pPr>
      <w:pStyle w:val="Encabezado"/>
      <w:tabs>
        <w:tab w:val="clear" w:pos="4419"/>
        <w:tab w:val="clear" w:pos="8838"/>
      </w:tabs>
      <w:ind w:left="3545" w:firstLine="709"/>
      <w:rPr>
        <w:b/>
        <w:bCs/>
        <w:color w:val="A5A5A5" w:themeColor="accent3"/>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50A"/>
    <w:rsid w:val="00004CB4"/>
    <w:rsid w:val="00042B53"/>
    <w:rsid w:val="00047190"/>
    <w:rsid w:val="00066710"/>
    <w:rsid w:val="000F09E1"/>
    <w:rsid w:val="001278BF"/>
    <w:rsid w:val="0017203F"/>
    <w:rsid w:val="001B0C01"/>
    <w:rsid w:val="00210B91"/>
    <w:rsid w:val="002612B8"/>
    <w:rsid w:val="002A3D9D"/>
    <w:rsid w:val="00307676"/>
    <w:rsid w:val="00325C2F"/>
    <w:rsid w:val="003625AB"/>
    <w:rsid w:val="0039249B"/>
    <w:rsid w:val="00394818"/>
    <w:rsid w:val="003C2E73"/>
    <w:rsid w:val="003D7AA7"/>
    <w:rsid w:val="004347DF"/>
    <w:rsid w:val="004734F0"/>
    <w:rsid w:val="00483559"/>
    <w:rsid w:val="00506129"/>
    <w:rsid w:val="005465E5"/>
    <w:rsid w:val="00550E71"/>
    <w:rsid w:val="00565EF9"/>
    <w:rsid w:val="005F0F53"/>
    <w:rsid w:val="006D450F"/>
    <w:rsid w:val="006E26EA"/>
    <w:rsid w:val="00742A52"/>
    <w:rsid w:val="0077644C"/>
    <w:rsid w:val="007B5328"/>
    <w:rsid w:val="008B478B"/>
    <w:rsid w:val="008D2CCA"/>
    <w:rsid w:val="008D3A53"/>
    <w:rsid w:val="008E4C52"/>
    <w:rsid w:val="008E4F3B"/>
    <w:rsid w:val="009A6455"/>
    <w:rsid w:val="009C7068"/>
    <w:rsid w:val="009E750A"/>
    <w:rsid w:val="00AB7479"/>
    <w:rsid w:val="00AC7D83"/>
    <w:rsid w:val="00B60454"/>
    <w:rsid w:val="00B972A4"/>
    <w:rsid w:val="00BB1782"/>
    <w:rsid w:val="00C04E06"/>
    <w:rsid w:val="00C27EA5"/>
    <w:rsid w:val="00C34D3E"/>
    <w:rsid w:val="00CB0440"/>
    <w:rsid w:val="00D03E26"/>
    <w:rsid w:val="00D82E9E"/>
    <w:rsid w:val="00DE1D65"/>
    <w:rsid w:val="00E10068"/>
    <w:rsid w:val="00E22CAF"/>
    <w:rsid w:val="00E45F7A"/>
    <w:rsid w:val="00E8002F"/>
    <w:rsid w:val="00EA14FD"/>
    <w:rsid w:val="00EC776B"/>
    <w:rsid w:val="00EE0874"/>
    <w:rsid w:val="00F96367"/>
    <w:rsid w:val="00F97467"/>
    <w:rsid w:val="00FE269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2B99A"/>
  <w15:chartTrackingRefBased/>
  <w15:docId w15:val="{E5A15939-2F9D-421F-8AE4-F9F186AFA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5C2F"/>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25C2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25C2F"/>
    <w:rPr>
      <w:kern w:val="0"/>
      <w14:ligatures w14:val="none"/>
    </w:rPr>
  </w:style>
  <w:style w:type="paragraph" w:styleId="Piedepgina">
    <w:name w:val="footer"/>
    <w:basedOn w:val="Normal"/>
    <w:link w:val="PiedepginaCar"/>
    <w:uiPriority w:val="99"/>
    <w:unhideWhenUsed/>
    <w:rsid w:val="00325C2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25C2F"/>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325C2F"/>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325C2F"/>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325C2F"/>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325C2F"/>
    <w:rPr>
      <w:vertAlign w:val="superscript"/>
    </w:rPr>
  </w:style>
  <w:style w:type="table" w:styleId="Tablaconcuadrcula">
    <w:name w:val="Table Grid"/>
    <w:basedOn w:val="Tablanormal"/>
    <w:uiPriority w:val="39"/>
    <w:rsid w:val="00325C2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325C2F"/>
    <w:rPr>
      <w:rFonts w:ascii="Times New Roman" w:hAnsi="Times New Roman" w:cs="Times New Roman"/>
      <w:sz w:val="24"/>
      <w:szCs w:val="24"/>
    </w:rPr>
  </w:style>
  <w:style w:type="table" w:customStyle="1" w:styleId="Tablaconcuadrcula1">
    <w:name w:val="Tabla con cuadrícula1"/>
    <w:basedOn w:val="Tablanormal"/>
    <w:next w:val="Tablaconcuadrcula"/>
    <w:uiPriority w:val="39"/>
    <w:rsid w:val="00325C2F"/>
    <w:pPr>
      <w:spacing w:after="0" w:line="240"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325C2F"/>
    <w:pPr>
      <w:spacing w:line="240" w:lineRule="exact"/>
      <w:jc w:val="both"/>
    </w:pPr>
    <w:rPr>
      <w:kern w:val="2"/>
      <w:vertAlign w:val="superscript"/>
      <w14:ligatures w14:val="standardContextual"/>
    </w:rPr>
  </w:style>
  <w:style w:type="table" w:customStyle="1" w:styleId="Tablaconcuadrcula11">
    <w:name w:val="Tabla con cuadrícula11"/>
    <w:basedOn w:val="Tablanormal"/>
    <w:next w:val="Tablaconcuadrcula"/>
    <w:uiPriority w:val="39"/>
    <w:rsid w:val="00325C2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j">
    <w:name w:val="b_aj"/>
    <w:basedOn w:val="Fuentedeprrafopredeter"/>
    <w:rsid w:val="00325C2F"/>
  </w:style>
  <w:style w:type="paragraph" w:customStyle="1" w:styleId="paragraph">
    <w:name w:val="paragraph"/>
    <w:basedOn w:val="Normal"/>
    <w:rsid w:val="00394818"/>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normaltextrun">
    <w:name w:val="normaltextrun"/>
    <w:basedOn w:val="Fuentedeprrafopredeter"/>
    <w:rsid w:val="00394818"/>
  </w:style>
  <w:style w:type="character" w:customStyle="1" w:styleId="eop">
    <w:name w:val="eop"/>
    <w:basedOn w:val="Fuentedeprrafopredeter"/>
    <w:rsid w:val="003948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6938419">
      <w:bodyDiv w:val="1"/>
      <w:marLeft w:val="0"/>
      <w:marRight w:val="0"/>
      <w:marTop w:val="0"/>
      <w:marBottom w:val="0"/>
      <w:divBdr>
        <w:top w:val="none" w:sz="0" w:space="0" w:color="auto"/>
        <w:left w:val="none" w:sz="0" w:space="0" w:color="auto"/>
        <w:bottom w:val="none" w:sz="0" w:space="0" w:color="auto"/>
        <w:right w:val="none" w:sz="0" w:space="0" w:color="auto"/>
      </w:divBdr>
      <w:divsChild>
        <w:div w:id="2054429175">
          <w:marLeft w:val="0"/>
          <w:marRight w:val="0"/>
          <w:marTop w:val="0"/>
          <w:marBottom w:val="0"/>
          <w:divBdr>
            <w:top w:val="none" w:sz="0" w:space="0" w:color="auto"/>
            <w:left w:val="none" w:sz="0" w:space="0" w:color="auto"/>
            <w:bottom w:val="none" w:sz="0" w:space="0" w:color="auto"/>
            <w:right w:val="none" w:sz="0" w:space="0" w:color="auto"/>
          </w:divBdr>
        </w:div>
        <w:div w:id="386226323">
          <w:marLeft w:val="0"/>
          <w:marRight w:val="0"/>
          <w:marTop w:val="0"/>
          <w:marBottom w:val="0"/>
          <w:divBdr>
            <w:top w:val="none" w:sz="0" w:space="0" w:color="auto"/>
            <w:left w:val="none" w:sz="0" w:space="0" w:color="auto"/>
            <w:bottom w:val="none" w:sz="0" w:space="0" w:color="auto"/>
            <w:right w:val="none" w:sz="0" w:space="0" w:color="auto"/>
          </w:divBdr>
        </w:div>
        <w:div w:id="479083444">
          <w:marLeft w:val="0"/>
          <w:marRight w:val="0"/>
          <w:marTop w:val="0"/>
          <w:marBottom w:val="0"/>
          <w:divBdr>
            <w:top w:val="none" w:sz="0" w:space="0" w:color="auto"/>
            <w:left w:val="none" w:sz="0" w:space="0" w:color="auto"/>
            <w:bottom w:val="none" w:sz="0" w:space="0" w:color="auto"/>
            <w:right w:val="none" w:sz="0" w:space="0" w:color="auto"/>
          </w:divBdr>
        </w:div>
        <w:div w:id="218514374">
          <w:marLeft w:val="0"/>
          <w:marRight w:val="0"/>
          <w:marTop w:val="0"/>
          <w:marBottom w:val="0"/>
          <w:divBdr>
            <w:top w:val="none" w:sz="0" w:space="0" w:color="auto"/>
            <w:left w:val="none" w:sz="0" w:space="0" w:color="auto"/>
            <w:bottom w:val="none" w:sz="0" w:space="0" w:color="auto"/>
            <w:right w:val="none" w:sz="0" w:space="0" w:color="auto"/>
          </w:divBdr>
        </w:div>
        <w:div w:id="706954588">
          <w:marLeft w:val="0"/>
          <w:marRight w:val="0"/>
          <w:marTop w:val="0"/>
          <w:marBottom w:val="0"/>
          <w:divBdr>
            <w:top w:val="none" w:sz="0" w:space="0" w:color="auto"/>
            <w:left w:val="none" w:sz="0" w:space="0" w:color="auto"/>
            <w:bottom w:val="none" w:sz="0" w:space="0" w:color="auto"/>
            <w:right w:val="none" w:sz="0" w:space="0" w:color="auto"/>
          </w:divBdr>
        </w:div>
        <w:div w:id="2095736882">
          <w:marLeft w:val="0"/>
          <w:marRight w:val="0"/>
          <w:marTop w:val="0"/>
          <w:marBottom w:val="0"/>
          <w:divBdr>
            <w:top w:val="none" w:sz="0" w:space="0" w:color="auto"/>
            <w:left w:val="none" w:sz="0" w:space="0" w:color="auto"/>
            <w:bottom w:val="none" w:sz="0" w:space="0" w:color="auto"/>
            <w:right w:val="none" w:sz="0" w:space="0" w:color="auto"/>
          </w:divBdr>
        </w:div>
        <w:div w:id="1583372959">
          <w:marLeft w:val="0"/>
          <w:marRight w:val="0"/>
          <w:marTop w:val="0"/>
          <w:marBottom w:val="0"/>
          <w:divBdr>
            <w:top w:val="none" w:sz="0" w:space="0" w:color="auto"/>
            <w:left w:val="none" w:sz="0" w:space="0" w:color="auto"/>
            <w:bottom w:val="none" w:sz="0" w:space="0" w:color="auto"/>
            <w:right w:val="none" w:sz="0" w:space="0" w:color="auto"/>
          </w:divBdr>
        </w:div>
        <w:div w:id="518741082">
          <w:marLeft w:val="0"/>
          <w:marRight w:val="0"/>
          <w:marTop w:val="0"/>
          <w:marBottom w:val="0"/>
          <w:divBdr>
            <w:top w:val="none" w:sz="0" w:space="0" w:color="auto"/>
            <w:left w:val="none" w:sz="0" w:space="0" w:color="auto"/>
            <w:bottom w:val="none" w:sz="0" w:space="0" w:color="auto"/>
            <w:right w:val="none" w:sz="0" w:space="0" w:color="auto"/>
          </w:divBdr>
        </w:div>
        <w:div w:id="2116364127">
          <w:marLeft w:val="0"/>
          <w:marRight w:val="0"/>
          <w:marTop w:val="0"/>
          <w:marBottom w:val="0"/>
          <w:divBdr>
            <w:top w:val="none" w:sz="0" w:space="0" w:color="auto"/>
            <w:left w:val="none" w:sz="0" w:space="0" w:color="auto"/>
            <w:bottom w:val="none" w:sz="0" w:space="0" w:color="auto"/>
            <w:right w:val="none" w:sz="0" w:space="0" w:color="auto"/>
          </w:divBdr>
        </w:div>
        <w:div w:id="1895120780">
          <w:marLeft w:val="0"/>
          <w:marRight w:val="0"/>
          <w:marTop w:val="0"/>
          <w:marBottom w:val="0"/>
          <w:divBdr>
            <w:top w:val="none" w:sz="0" w:space="0" w:color="auto"/>
            <w:left w:val="none" w:sz="0" w:space="0" w:color="auto"/>
            <w:bottom w:val="none" w:sz="0" w:space="0" w:color="auto"/>
            <w:right w:val="none" w:sz="0" w:space="0" w:color="auto"/>
          </w:divBdr>
        </w:div>
        <w:div w:id="1968705618">
          <w:marLeft w:val="0"/>
          <w:marRight w:val="0"/>
          <w:marTop w:val="0"/>
          <w:marBottom w:val="0"/>
          <w:divBdr>
            <w:top w:val="none" w:sz="0" w:space="0" w:color="auto"/>
            <w:left w:val="none" w:sz="0" w:space="0" w:color="auto"/>
            <w:bottom w:val="none" w:sz="0" w:space="0" w:color="auto"/>
            <w:right w:val="none" w:sz="0" w:space="0" w:color="auto"/>
          </w:divBdr>
        </w:div>
        <w:div w:id="805200368">
          <w:marLeft w:val="0"/>
          <w:marRight w:val="0"/>
          <w:marTop w:val="0"/>
          <w:marBottom w:val="0"/>
          <w:divBdr>
            <w:top w:val="none" w:sz="0" w:space="0" w:color="auto"/>
            <w:left w:val="none" w:sz="0" w:space="0" w:color="auto"/>
            <w:bottom w:val="none" w:sz="0" w:space="0" w:color="auto"/>
            <w:right w:val="none" w:sz="0" w:space="0" w:color="auto"/>
          </w:divBdr>
        </w:div>
        <w:div w:id="1310555871">
          <w:marLeft w:val="0"/>
          <w:marRight w:val="0"/>
          <w:marTop w:val="0"/>
          <w:marBottom w:val="0"/>
          <w:divBdr>
            <w:top w:val="none" w:sz="0" w:space="0" w:color="auto"/>
            <w:left w:val="none" w:sz="0" w:space="0" w:color="auto"/>
            <w:bottom w:val="none" w:sz="0" w:space="0" w:color="auto"/>
            <w:right w:val="none" w:sz="0" w:space="0" w:color="auto"/>
          </w:divBdr>
        </w:div>
        <w:div w:id="1309633975">
          <w:marLeft w:val="0"/>
          <w:marRight w:val="0"/>
          <w:marTop w:val="0"/>
          <w:marBottom w:val="0"/>
          <w:divBdr>
            <w:top w:val="none" w:sz="0" w:space="0" w:color="auto"/>
            <w:left w:val="none" w:sz="0" w:space="0" w:color="auto"/>
            <w:bottom w:val="none" w:sz="0" w:space="0" w:color="auto"/>
            <w:right w:val="none" w:sz="0" w:space="0" w:color="auto"/>
          </w:divBdr>
        </w:div>
        <w:div w:id="787357119">
          <w:marLeft w:val="0"/>
          <w:marRight w:val="0"/>
          <w:marTop w:val="0"/>
          <w:marBottom w:val="0"/>
          <w:divBdr>
            <w:top w:val="none" w:sz="0" w:space="0" w:color="auto"/>
            <w:left w:val="none" w:sz="0" w:space="0" w:color="auto"/>
            <w:bottom w:val="none" w:sz="0" w:space="0" w:color="auto"/>
            <w:right w:val="none" w:sz="0" w:space="0" w:color="auto"/>
          </w:divBdr>
        </w:div>
        <w:div w:id="925115173">
          <w:marLeft w:val="0"/>
          <w:marRight w:val="0"/>
          <w:marTop w:val="0"/>
          <w:marBottom w:val="0"/>
          <w:divBdr>
            <w:top w:val="none" w:sz="0" w:space="0" w:color="auto"/>
            <w:left w:val="none" w:sz="0" w:space="0" w:color="auto"/>
            <w:bottom w:val="none" w:sz="0" w:space="0" w:color="auto"/>
            <w:right w:val="none" w:sz="0" w:space="0" w:color="auto"/>
          </w:divBdr>
        </w:div>
        <w:div w:id="1163620306">
          <w:marLeft w:val="0"/>
          <w:marRight w:val="0"/>
          <w:marTop w:val="0"/>
          <w:marBottom w:val="0"/>
          <w:divBdr>
            <w:top w:val="none" w:sz="0" w:space="0" w:color="auto"/>
            <w:left w:val="none" w:sz="0" w:space="0" w:color="auto"/>
            <w:bottom w:val="none" w:sz="0" w:space="0" w:color="auto"/>
            <w:right w:val="none" w:sz="0" w:space="0" w:color="auto"/>
          </w:divBdr>
        </w:div>
        <w:div w:id="1679115225">
          <w:marLeft w:val="0"/>
          <w:marRight w:val="0"/>
          <w:marTop w:val="0"/>
          <w:marBottom w:val="0"/>
          <w:divBdr>
            <w:top w:val="none" w:sz="0" w:space="0" w:color="auto"/>
            <w:left w:val="none" w:sz="0" w:space="0" w:color="auto"/>
            <w:bottom w:val="none" w:sz="0" w:space="0" w:color="auto"/>
            <w:right w:val="none" w:sz="0" w:space="0" w:color="auto"/>
          </w:divBdr>
        </w:div>
        <w:div w:id="1828203993">
          <w:marLeft w:val="0"/>
          <w:marRight w:val="0"/>
          <w:marTop w:val="0"/>
          <w:marBottom w:val="0"/>
          <w:divBdr>
            <w:top w:val="none" w:sz="0" w:space="0" w:color="auto"/>
            <w:left w:val="none" w:sz="0" w:space="0" w:color="auto"/>
            <w:bottom w:val="none" w:sz="0" w:space="0" w:color="auto"/>
            <w:right w:val="none" w:sz="0" w:space="0" w:color="auto"/>
          </w:divBdr>
        </w:div>
        <w:div w:id="75438366">
          <w:marLeft w:val="0"/>
          <w:marRight w:val="0"/>
          <w:marTop w:val="0"/>
          <w:marBottom w:val="0"/>
          <w:divBdr>
            <w:top w:val="none" w:sz="0" w:space="0" w:color="auto"/>
            <w:left w:val="none" w:sz="0" w:space="0" w:color="auto"/>
            <w:bottom w:val="none" w:sz="0" w:space="0" w:color="auto"/>
            <w:right w:val="none" w:sz="0" w:space="0" w:color="auto"/>
          </w:divBdr>
        </w:div>
        <w:div w:id="718164049">
          <w:marLeft w:val="0"/>
          <w:marRight w:val="0"/>
          <w:marTop w:val="0"/>
          <w:marBottom w:val="0"/>
          <w:divBdr>
            <w:top w:val="none" w:sz="0" w:space="0" w:color="auto"/>
            <w:left w:val="none" w:sz="0" w:space="0" w:color="auto"/>
            <w:bottom w:val="none" w:sz="0" w:space="0" w:color="auto"/>
            <w:right w:val="none" w:sz="0" w:space="0" w:color="auto"/>
          </w:divBdr>
        </w:div>
        <w:div w:id="16221044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7" ma:contentTypeDescription="Crear nuevo documento." ma:contentTypeScope="" ma:versionID="a34407833354fcfc312bad70d6c3459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b353d508bfaf3d48e66d044e463fff7"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3C1C1D9-8AC9-4012-807B-37CCD66AC48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EA731ADD-7691-4583-959C-75DFD00FEE0A}">
  <ds:schemaRefs>
    <ds:schemaRef ds:uri="http://schemas.microsoft.com/sharepoint/v3/contenttype/forms"/>
  </ds:schemaRefs>
</ds:datastoreItem>
</file>

<file path=customXml/itemProps3.xml><?xml version="1.0" encoding="utf-8"?>
<ds:datastoreItem xmlns:ds="http://schemas.openxmlformats.org/officeDocument/2006/customXml" ds:itemID="{12DD646D-C135-44FB-8598-8F7D30181908}"/>
</file>

<file path=docProps/app.xml><?xml version="1.0" encoding="utf-8"?>
<Properties xmlns="http://schemas.openxmlformats.org/officeDocument/2006/extended-properties" xmlns:vt="http://schemas.openxmlformats.org/officeDocument/2006/docPropsVTypes">
  <Template>Normal</Template>
  <TotalTime>67</TotalTime>
  <Pages>15</Pages>
  <Words>5374</Words>
  <Characters>29562</Characters>
  <Application>Microsoft Office Word</Application>
  <DocSecurity>0</DocSecurity>
  <Lines>246</Lines>
  <Paragraphs>69</Paragraphs>
  <ScaleCrop>false</ScaleCrop>
  <Company/>
  <LinksUpToDate>false</LinksUpToDate>
  <CharactersWithSpaces>34867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Maria Valeska Medellín Mora</cp:lastModifiedBy>
  <cp:revision>54</cp:revision>
  <dcterms:created xsi:type="dcterms:W3CDTF">2023-06-02T14:41:00Z</dcterms:created>
  <dcterms:modified xsi:type="dcterms:W3CDTF">2023-08-31T21:33:00Z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