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926"/>
      </w:tblGrid>
      <w:tr w:rsidR="006070F1" w:rsidRPr="00A46C61" w14:paraId="3B18A3DD" w14:textId="77777777" w:rsidTr="00586245">
        <w:trPr>
          <w:trHeight w:val="485"/>
        </w:trPr>
        <w:tc>
          <w:tcPr>
            <w:tcW w:w="6237" w:type="dxa"/>
            <w:hideMark/>
          </w:tcPr>
          <w:p w14:paraId="2A4D80E5" w14:textId="3A68BE4D" w:rsidR="004E2625" w:rsidRDefault="006070F1" w:rsidP="00586245">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r w:rsidRPr="00AE7E93">
              <w:rPr>
                <w:rFonts w:ascii="Arial" w:eastAsiaTheme="minorHAnsi" w:hAnsi="Arial" w:cs="Arial"/>
                <w:b/>
                <w:bCs/>
                <w:color w:val="000000" w:themeColor="text1"/>
                <w:sz w:val="22"/>
                <w:szCs w:val="22"/>
                <w:lang w:val="es-ES_tradnl" w:eastAsia="en-US"/>
              </w:rPr>
              <w:t xml:space="preserve">DECRETO 1860 DE 2021 – Normas reglamentarias – Mínima cuantía </w:t>
            </w:r>
          </w:p>
          <w:p w14:paraId="2880239B" w14:textId="3D823E5D" w:rsidR="004E2625" w:rsidRPr="005E7BA4" w:rsidRDefault="004E2625" w:rsidP="004E2625">
            <w:pPr>
              <w:tabs>
                <w:tab w:val="left" w:pos="709"/>
              </w:tabs>
              <w:spacing w:after="120" w:line="276" w:lineRule="auto"/>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 xml:space="preserve">La mínima cuantía es una modalidad de selección en virtud de la cual la entidad estatal realiza una convocatoria pública para recibir ofertas de bienes, obras o servicios cuyo valor no excede el diez por ciento (10%) de la menor cuantía. El factor determinante para llevar a cabo tal procedimiento es la cuantía –calculada como presupuesto oficial a partir del estudio del sector–, independientemente de su objeto. </w:t>
            </w:r>
          </w:p>
          <w:p w14:paraId="56E2B917" w14:textId="0AFAA357" w:rsidR="004E2625" w:rsidRPr="005E7BA4" w:rsidRDefault="004E2625" w:rsidP="004E2625">
            <w:pPr>
              <w:spacing w:after="120" w:line="276" w:lineRule="auto"/>
              <w:ind w:firstLine="709"/>
              <w:rPr>
                <w:rFonts w:ascii="Arial" w:eastAsia="Calibri" w:hAnsi="Arial" w:cs="Arial"/>
                <w:color w:val="000000"/>
                <w:lang w:val="es-ES_tradnl"/>
              </w:rPr>
            </w:pPr>
            <w:r w:rsidRPr="005E7BA4">
              <w:rPr>
                <w:rFonts w:ascii="Arial" w:eastAsia="Calibri" w:hAnsi="Arial" w:cs="Arial"/>
                <w:color w:val="000000"/>
                <w:szCs w:val="24"/>
                <w:lang w:val="es-ES_tradnl" w:eastAsia="es-ES_tradnl"/>
              </w:rPr>
              <w:t xml:space="preserve">Dicho de otro modo, la mínima cuantía es un procedimiento de selección </w:t>
            </w:r>
            <w:r>
              <w:rPr>
                <w:rFonts w:ascii="Arial" w:eastAsia="Calibri" w:hAnsi="Arial" w:cs="Arial"/>
                <w:color w:val="000000"/>
                <w:szCs w:val="24"/>
                <w:lang w:val="es-ES_tradnl" w:eastAsia="es-ES_tradnl"/>
              </w:rPr>
              <w:t>“</w:t>
            </w:r>
            <w:r w:rsidRPr="005E7BA4">
              <w:rPr>
                <w:rFonts w:ascii="Arial" w:eastAsia="Calibri" w:hAnsi="Arial" w:cs="Arial"/>
                <w:color w:val="000000"/>
                <w:szCs w:val="24"/>
                <w:lang w:val="es-ES_tradnl" w:eastAsia="es-ES_tradnl"/>
              </w:rPr>
              <w:t>exceptivo</w:t>
            </w:r>
            <w:r>
              <w:rPr>
                <w:rFonts w:ascii="Arial" w:eastAsia="Calibri" w:hAnsi="Arial" w:cs="Arial"/>
                <w:color w:val="000000"/>
                <w:szCs w:val="24"/>
                <w:lang w:val="es-ES_tradnl" w:eastAsia="es-ES_tradnl"/>
              </w:rPr>
              <w:t>”</w:t>
            </w:r>
            <w:r w:rsidRPr="005E7BA4">
              <w:rPr>
                <w:rFonts w:ascii="Arial" w:eastAsia="Calibri" w:hAnsi="Arial" w:cs="Arial"/>
                <w:color w:val="000000"/>
                <w:szCs w:val="24"/>
                <w:lang w:val="es-ES_tradnl" w:eastAsia="es-ES_tradnl"/>
              </w:rPr>
              <w:t>, porque es una excepción adicional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5E7BA4">
              <w:rPr>
                <w:rFonts w:ascii="Arial" w:eastAsia="Calibri" w:hAnsi="Arial" w:cs="Arial"/>
                <w:color w:val="000000"/>
                <w:szCs w:val="24"/>
                <w:vertAlign w:val="superscript"/>
                <w:lang w:val="es-ES_tradnl" w:eastAsia="es-ES_tradnl"/>
              </w:rPr>
              <w:footnoteReference w:id="2"/>
            </w:r>
            <w:r w:rsidRPr="005E7BA4">
              <w:rPr>
                <w:rFonts w:ascii="Arial" w:eastAsia="Calibri" w:hAnsi="Arial" w:cs="Arial"/>
                <w:color w:val="000000"/>
                <w:szCs w:val="24"/>
                <w:lang w:val="es-ES_tradnl" w:eastAsia="es-ES_tradnl"/>
              </w:rPr>
              <w:t>, y lo segundo, porque sus requisitos, etapas y términos son especiales. En efecto, a partir de las modificaciones reguladas en el Decreto 1860 de 2021 los requisitos de la mínima cuantía pueden sintetizarse así:</w:t>
            </w:r>
          </w:p>
          <w:p w14:paraId="52E381A5" w14:textId="77777777" w:rsidR="004E2625" w:rsidRPr="005E7BA4" w:rsidRDefault="004E2625" w:rsidP="004E2625">
            <w:pPr>
              <w:spacing w:after="120" w:line="276" w:lineRule="auto"/>
              <w:ind w:firstLine="709"/>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i) La entidad estatal debe realizar los estudios previos en los que señale cuál es la necesidad que pretende satisfacer, el objeto del contrato, sus condiciones técnicas, el valor estimado, el plazo de ejecución y el certificado de disponibilidad presupuestal.</w:t>
            </w:r>
          </w:p>
          <w:p w14:paraId="7CF16C0E" w14:textId="77777777" w:rsidR="004E2625" w:rsidRPr="005E7BA4" w:rsidRDefault="004E2625" w:rsidP="004E2625">
            <w:pPr>
              <w:spacing w:after="120" w:line="276" w:lineRule="auto"/>
              <w:ind w:firstLine="709"/>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 xml:space="preserve">ii) Luego de surtir los trámites previos, la entidad debe publicar en el SECOP una invitación, señalando el objeto, las condiciones técnicas y el valor estimado del contrato, expresando además las razones que justifican el cálculo de la cuantía. Asimismo, deberá señalar la forma en la cual se acreditará la capacidad jurídica y la experiencia mínima, en caso de que esta se exija, así como el cumplimiento de las condiciones técnicas exigidas, incluyendo las obligaciones del futuro contrato. </w:t>
            </w:r>
          </w:p>
          <w:p w14:paraId="54CB627A" w14:textId="77777777" w:rsidR="004E2625" w:rsidRPr="005E7BA4" w:rsidRDefault="004E2625" w:rsidP="004E2625">
            <w:pPr>
              <w:spacing w:after="120" w:line="276" w:lineRule="auto"/>
              <w:ind w:firstLine="709"/>
              <w:rPr>
                <w:rFonts w:ascii="Arial" w:eastAsia="Calibri" w:hAnsi="Arial" w:cs="Arial"/>
                <w:szCs w:val="24"/>
                <w:lang w:eastAsia="es-ES_tradnl"/>
              </w:rPr>
            </w:pPr>
            <w:proofErr w:type="spellStart"/>
            <w:r w:rsidRPr="005E7BA4">
              <w:rPr>
                <w:rFonts w:ascii="Arial" w:eastAsia="Calibri" w:hAnsi="Arial" w:cs="Arial"/>
                <w:color w:val="000000"/>
                <w:szCs w:val="24"/>
                <w:lang w:val="es-ES_tradnl" w:eastAsia="es-ES_tradnl"/>
              </w:rPr>
              <w:t>iii</w:t>
            </w:r>
            <w:proofErr w:type="spellEnd"/>
            <w:r w:rsidRPr="005E7BA4">
              <w:rPr>
                <w:rFonts w:ascii="Arial" w:eastAsia="Calibri" w:hAnsi="Arial" w:cs="Arial"/>
                <w:color w:val="000000"/>
                <w:szCs w:val="24"/>
                <w:lang w:val="es-ES_tradnl" w:eastAsia="es-ES_tradnl"/>
              </w:rPr>
              <w:t xml:space="preserve">) La entidad podrá exigir una capacidad financiera mínima cuando no hace el pago contra entrega a satisfacción de los bienes, obras o servicios. En estos casos, la entidad deberá indicar la forma en la que hará la verificación correspondiente en la invitación. Cabe anotar que este aspecto </w:t>
            </w:r>
            <w:r w:rsidRPr="005E7BA4">
              <w:rPr>
                <w:rFonts w:ascii="Arial" w:eastAsia="Calibri" w:hAnsi="Arial" w:cs="Arial"/>
                <w:szCs w:val="24"/>
                <w:lang w:eastAsia="es-ES_tradnl"/>
              </w:rPr>
              <w:t xml:space="preserve">se encontraba regulado desde la disposición anterior y no hay ninguna modificación en su aplicación en el procedimiento de mínima cuantía reglamentado en el Decreto 1860 de 2021.  </w:t>
            </w:r>
          </w:p>
          <w:p w14:paraId="25A7915B" w14:textId="77777777" w:rsidR="004E2625" w:rsidRPr="00AE7E93" w:rsidRDefault="004E2625" w:rsidP="00586245">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p>
          <w:p w14:paraId="5A0F7E97" w14:textId="77777777" w:rsidR="006070F1" w:rsidRPr="00AE7E93" w:rsidRDefault="006070F1" w:rsidP="00586245">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p>
          <w:p w14:paraId="0F11CFD1" w14:textId="75C6D899" w:rsidR="00A30586" w:rsidRPr="005E7BA4" w:rsidRDefault="003D0C0C" w:rsidP="00A30586">
            <w:pPr>
              <w:tabs>
                <w:tab w:val="left" w:pos="709"/>
              </w:tabs>
              <w:spacing w:line="276" w:lineRule="auto"/>
              <w:outlineLvl w:val="0"/>
              <w:rPr>
                <w:rFonts w:ascii="Arial" w:eastAsia="Calibri" w:hAnsi="Arial" w:cs="Arial"/>
                <w:b/>
                <w:bCs/>
                <w:lang w:val="es-ES_tradnl" w:eastAsia="es-ES_tradnl"/>
              </w:rPr>
            </w:pPr>
            <w:r w:rsidRPr="005E7BA4">
              <w:rPr>
                <w:rFonts w:ascii="Arial" w:eastAsia="Calibri" w:hAnsi="Arial" w:cs="Arial"/>
                <w:b/>
                <w:bCs/>
                <w:lang w:val="es-ES_tradnl" w:eastAsia="es-ES_tradnl"/>
              </w:rPr>
              <w:lastRenderedPageBreak/>
              <w:t>REGULACIÓN DE LAS C</w:t>
            </w:r>
            <w:r w:rsidRPr="005E7BA4">
              <w:rPr>
                <w:rFonts w:ascii="Arial" w:eastAsia="Times New Roman" w:hAnsi="Arial" w:cs="Arial"/>
                <w:b/>
                <w:bCs/>
                <w:lang w:val="es-ES_tradnl" w:eastAsia="es-ES_tradnl"/>
              </w:rPr>
              <w:t>ONVOCATORIAS LIMITADAS A MIPYME</w:t>
            </w:r>
            <w:r w:rsidRPr="005E7BA4">
              <w:rPr>
                <w:rFonts w:ascii="Arial" w:eastAsia="Calibri" w:hAnsi="Arial" w:cs="Arial"/>
                <w:b/>
                <w:bCs/>
                <w:lang w:val="es-ES_tradnl" w:eastAsia="es-ES_tradnl"/>
              </w:rPr>
              <w:t xml:space="preserve"> EN EL ARTÍCULO 34 DE LA LEY 2069 DE 2020 Y EN EL DECRETO 1860 DE 2021 </w:t>
            </w:r>
          </w:p>
          <w:p w14:paraId="395E36E7" w14:textId="77777777" w:rsidR="00A30586" w:rsidRPr="005E7BA4" w:rsidRDefault="00A30586" w:rsidP="00A30586">
            <w:pPr>
              <w:spacing w:line="276" w:lineRule="auto"/>
              <w:rPr>
                <w:rFonts w:ascii="Arial" w:eastAsia="Calibri" w:hAnsi="Arial" w:cs="Arial"/>
                <w:b/>
                <w:bCs/>
                <w:color w:val="000000"/>
                <w:lang w:val="es-ES_tradnl" w:eastAsia="es-ES_tradnl"/>
              </w:rPr>
            </w:pPr>
          </w:p>
          <w:p w14:paraId="3E7F9BD1" w14:textId="6A2AFA2E" w:rsidR="00A30586" w:rsidRDefault="003D0C0C" w:rsidP="00A30586">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r>
              <w:rPr>
                <w:rFonts w:ascii="Arial" w:eastAsia="Calibri" w:hAnsi="Arial" w:cs="Arial"/>
                <w:lang w:val="es-ES_tradnl" w:eastAsia="es-ES_tradnl"/>
              </w:rPr>
              <w:t xml:space="preserve">(…) </w:t>
            </w:r>
            <w:r w:rsidR="00A30586" w:rsidRPr="005E7BA4">
              <w:rPr>
                <w:rFonts w:ascii="Arial" w:eastAsia="Calibri" w:hAnsi="Arial" w:cs="Arial"/>
                <w:lang w:val="es-ES_tradnl" w:eastAsia="es-ES_tradnl"/>
              </w:rPr>
              <w:t xml:space="preserve">Conforme a lo explicado por esta Agencia desde el Concepto </w:t>
            </w:r>
            <w:r w:rsidR="00A30586" w:rsidRPr="005E7BA4">
              <w:rPr>
                <w:rFonts w:ascii="Arial" w:eastAsia="Calibri" w:hAnsi="Arial" w:cs="Arial"/>
                <w:lang w:eastAsia="es-ES_tradnl"/>
              </w:rPr>
              <w:t>C-043 del 9 de febrero de 2021</w:t>
            </w:r>
            <w:r w:rsidR="00A30586" w:rsidRPr="005E7BA4">
              <w:rPr>
                <w:rFonts w:ascii="Arial" w:eastAsia="Calibri" w:hAnsi="Arial" w:cs="Arial"/>
                <w:lang w:val="es-ES_tradnl" w:eastAsia="es-ES_tradnl"/>
              </w:rPr>
              <w:t xml:space="preserve">, postura reiterada en conceptos posteriores, el artículo 34 de la Ley 2069 de 2020 que establece nuevas reglas sobre la promoción al desarrollo en la contratación estatal, sustituyó íntegramente el contenido del artículo 12 de la Ley 1150 de 2007, por lo que frente a esta última norma se produjo el fenómeno de la subrogación. De acuerdo con lo anterior, el artículo 2.2.1.2.4.2.2 original del Decreto 1082 de 2015 –antes del Decreto 1860 de 2021–, que hasta la expedición de la Ley 2069 de 2020 regulaba las convocatorias limitadas a </w:t>
            </w:r>
            <w:proofErr w:type="spellStart"/>
            <w:r w:rsidR="00A30586" w:rsidRPr="005E7BA4">
              <w:rPr>
                <w:rFonts w:ascii="Arial" w:eastAsia="Calibri" w:hAnsi="Arial" w:cs="Arial"/>
                <w:lang w:val="es-ES_tradnl" w:eastAsia="es-ES_tradnl"/>
              </w:rPr>
              <w:t>Mipyme</w:t>
            </w:r>
            <w:proofErr w:type="spellEnd"/>
            <w:r w:rsidR="00A30586" w:rsidRPr="005E7BA4">
              <w:rPr>
                <w:rFonts w:ascii="Arial" w:eastAsia="Calibri" w:hAnsi="Arial" w:cs="Arial"/>
                <w:lang w:val="es-ES_tradnl" w:eastAsia="es-ES_tradnl"/>
              </w:rPr>
              <w:t xml:space="preserve">, carecía de vigencia, porque su contenido era contrario al artículo 34 de la Ley 2069 de 2020. En tal sentido, ha perdido fuerza ejecutoria, de conformidad con el artículo 91.2 de la Ley 1437 de 2011, el cual establece que los actos administrativos –categoría que, como es sabido, incluye los decretos reglamentarios– dejan de ser obligatorios o decaen </w:t>
            </w:r>
            <w:r w:rsidR="00A30586">
              <w:rPr>
                <w:rFonts w:ascii="Arial" w:eastAsia="Calibri" w:hAnsi="Arial" w:cs="Arial"/>
                <w:lang w:val="es-ES_tradnl" w:eastAsia="es-ES_tradnl"/>
              </w:rPr>
              <w:t>“</w:t>
            </w:r>
            <w:r w:rsidR="00A30586" w:rsidRPr="005E7BA4">
              <w:rPr>
                <w:rFonts w:ascii="Arial" w:eastAsia="Calibri" w:hAnsi="Arial" w:cs="Arial"/>
                <w:lang w:val="es-ES_tradnl" w:eastAsia="es-ES_tradnl"/>
              </w:rPr>
              <w:t>Cuando desaparezcan sus fundamentos de hecho o de derecho</w:t>
            </w:r>
          </w:p>
          <w:p w14:paraId="75851F61" w14:textId="77777777" w:rsidR="00A30586" w:rsidRDefault="00A30586" w:rsidP="00586245">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p>
          <w:p w14:paraId="6616FEA6" w14:textId="40897CCA" w:rsidR="006070F1" w:rsidRDefault="006070F1" w:rsidP="00586245">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r w:rsidRPr="00AE7E93">
              <w:rPr>
                <w:rFonts w:ascii="Arial" w:eastAsiaTheme="minorHAnsi" w:hAnsi="Arial" w:cs="Arial"/>
                <w:b/>
                <w:bCs/>
                <w:color w:val="000000" w:themeColor="text1"/>
                <w:sz w:val="22"/>
                <w:szCs w:val="22"/>
                <w:lang w:val="es-ES_tradnl" w:eastAsia="en-US"/>
              </w:rPr>
              <w:t xml:space="preserve">CONVOCATORIAS LIMITADAS A MIPYME </w:t>
            </w:r>
            <w:r w:rsidR="00E320CF">
              <w:rPr>
                <w:rFonts w:ascii="Arial" w:eastAsiaTheme="minorHAnsi" w:hAnsi="Arial" w:cs="Arial"/>
                <w:b/>
                <w:bCs/>
                <w:color w:val="000000" w:themeColor="text1"/>
                <w:sz w:val="22"/>
                <w:szCs w:val="22"/>
                <w:lang w:val="es-ES_tradnl" w:eastAsia="en-US"/>
              </w:rPr>
              <w:t>-limitación territorial</w:t>
            </w:r>
          </w:p>
          <w:p w14:paraId="5E69AB38" w14:textId="3139EFD9" w:rsidR="00C752CB" w:rsidRPr="005E7BA4" w:rsidRDefault="00C752CB" w:rsidP="00C752CB">
            <w:pPr>
              <w:spacing w:after="120" w:line="276" w:lineRule="auto"/>
              <w:ind w:firstLine="709"/>
              <w:rPr>
                <w:rFonts w:ascii="Arial" w:eastAsia="Arial" w:hAnsi="Arial" w:cs="Arial"/>
                <w:color w:val="000000"/>
                <w:lang w:val="es-ES_tradnl"/>
              </w:rPr>
            </w:pPr>
            <w:r>
              <w:rPr>
                <w:rFonts w:ascii="Arial" w:eastAsia="Arial" w:hAnsi="Arial" w:cs="Arial"/>
                <w:color w:val="000000"/>
                <w:lang w:val="es-ES_tradnl"/>
              </w:rPr>
              <w:t xml:space="preserve">(…) </w:t>
            </w:r>
            <w:r w:rsidRPr="005E7BA4">
              <w:rPr>
                <w:rFonts w:ascii="Arial" w:eastAsia="Arial" w:hAnsi="Arial" w:cs="Arial"/>
                <w:color w:val="000000"/>
                <w:lang w:val="es-ES_tradnl"/>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nacional. Además, las normas de contratación permiten que las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nacionales puedan beneficiarse de la ejecución de un contrato dentro de la entidad territorial en la que tienen su </w:t>
            </w:r>
            <w:r>
              <w:rPr>
                <w:rFonts w:ascii="Arial" w:eastAsia="Arial" w:hAnsi="Arial" w:cs="Arial"/>
                <w:color w:val="000000"/>
                <w:lang w:val="es-ES_tradnl"/>
              </w:rPr>
              <w:t>“</w:t>
            </w:r>
            <w:r w:rsidRPr="005E7BA4">
              <w:rPr>
                <w:rFonts w:ascii="Arial" w:eastAsia="Arial" w:hAnsi="Arial" w:cs="Arial"/>
                <w:color w:val="000000"/>
                <w:lang w:val="es-ES_tradnl"/>
              </w:rPr>
              <w:t>domicilio</w:t>
            </w:r>
            <w:r>
              <w:rPr>
                <w:rFonts w:ascii="Arial" w:eastAsia="Arial" w:hAnsi="Arial" w:cs="Arial"/>
                <w:color w:val="000000"/>
                <w:lang w:val="es-ES_tradnl"/>
              </w:rPr>
              <w:t>”</w:t>
            </w:r>
            <w:r w:rsidRPr="005E7BA4">
              <w:rPr>
                <w:rFonts w:ascii="Arial" w:eastAsia="Arial" w:hAnsi="Arial" w:cs="Arial"/>
                <w:color w:val="000000"/>
                <w:lang w:val="es-ES_tradnl"/>
              </w:rPr>
              <w:t xml:space="preserve">. </w:t>
            </w:r>
          </w:p>
          <w:p w14:paraId="16DA6547" w14:textId="77777777" w:rsidR="00C752CB" w:rsidRPr="005E7BA4" w:rsidRDefault="00C752CB" w:rsidP="00C752CB">
            <w:pPr>
              <w:spacing w:after="120" w:line="276" w:lineRule="auto"/>
              <w:ind w:firstLine="709"/>
              <w:rPr>
                <w:rFonts w:ascii="Arial" w:eastAsia="Arial" w:hAnsi="Arial" w:cs="Arial"/>
                <w:color w:val="000000"/>
                <w:lang w:val="es-ES_tradnl"/>
              </w:rPr>
            </w:pPr>
            <w:r w:rsidRPr="005E7BA4">
              <w:rPr>
                <w:rFonts w:ascii="Arial" w:eastAsia="Arial" w:hAnsi="Arial" w:cs="Arial"/>
                <w:color w:val="000000"/>
                <w:lang w:val="es-ES_tradnl"/>
              </w:rPr>
              <w:t xml:space="preserve">Ahora bien, el artículo 2.2.1.2.4.2.3. del Decreto 1082 de 2015, modificado por el artículo 5 del Decreto 1860 de 2021, se refiere a las </w:t>
            </w:r>
            <w:r>
              <w:rPr>
                <w:rFonts w:ascii="Arial" w:eastAsia="Arial" w:hAnsi="Arial" w:cs="Arial"/>
                <w:color w:val="000000"/>
                <w:lang w:val="es-ES_tradnl"/>
              </w:rPr>
              <w:t>“</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colombianas que tengan domicilio en los departamentos o municipios en donde se va a ejecutar el contrato</w:t>
            </w:r>
            <w:r>
              <w:rPr>
                <w:rFonts w:ascii="Arial" w:eastAsia="Arial" w:hAnsi="Arial" w:cs="Arial"/>
                <w:color w:val="000000"/>
                <w:lang w:val="es-ES_tradnl"/>
              </w:rPr>
              <w:t>”</w:t>
            </w:r>
            <w:r w:rsidRPr="005E7BA4">
              <w:rPr>
                <w:rFonts w:ascii="Arial" w:eastAsia="Arial" w:hAnsi="Arial" w:cs="Arial"/>
                <w:color w:val="000000"/>
                <w:lang w:val="es-ES_tradnl"/>
              </w:rPr>
              <w:t xml:space="preserve">. Esta precisión es importante, pues el incentivo previsto en la norma únicamente aplica en el lugar de ejecución del contratado en el que la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tiene su </w:t>
            </w:r>
            <w:r>
              <w:rPr>
                <w:rFonts w:ascii="Arial" w:eastAsia="Arial" w:hAnsi="Arial" w:cs="Arial"/>
                <w:color w:val="000000"/>
                <w:lang w:val="es-ES_tradnl"/>
              </w:rPr>
              <w:t>“</w:t>
            </w:r>
            <w:r w:rsidRPr="005E7BA4">
              <w:rPr>
                <w:rFonts w:ascii="Arial" w:eastAsia="Arial" w:hAnsi="Arial" w:cs="Arial"/>
                <w:color w:val="000000"/>
                <w:lang w:val="es-ES_tradnl"/>
              </w:rPr>
              <w:t>domicilio</w:t>
            </w:r>
            <w:r>
              <w:rPr>
                <w:rFonts w:ascii="Arial" w:eastAsia="Arial" w:hAnsi="Arial" w:cs="Arial"/>
                <w:color w:val="000000"/>
                <w:lang w:val="es-ES_tradnl"/>
              </w:rPr>
              <w:t>”</w:t>
            </w:r>
            <w:r w:rsidRPr="005E7BA4">
              <w:rPr>
                <w:rFonts w:ascii="Arial" w:eastAsia="Arial" w:hAnsi="Arial" w:cs="Arial"/>
                <w:color w:val="000000"/>
                <w:lang w:val="es-ES_tradnl"/>
              </w:rPr>
              <w:t xml:space="preserve">, y no en donde tiene sucursales. </w:t>
            </w:r>
          </w:p>
          <w:p w14:paraId="57160911" w14:textId="77777777" w:rsidR="00AE7E93" w:rsidRDefault="00AE7E93" w:rsidP="00C752CB">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p>
          <w:p w14:paraId="5695E688" w14:textId="77777777" w:rsidR="00C752CB" w:rsidRDefault="00C752CB" w:rsidP="00C752CB">
            <w:pPr>
              <w:pStyle w:val="paragraph"/>
              <w:shd w:val="clear" w:color="auto" w:fill="FFFFFF" w:themeFill="background1"/>
              <w:spacing w:after="120" w:line="276" w:lineRule="auto"/>
              <w:textAlignment w:val="baseline"/>
              <w:rPr>
                <w:rFonts w:ascii="Arial" w:eastAsia="Calibri" w:hAnsi="Arial" w:cs="Arial"/>
                <w:noProof/>
                <w:sz w:val="22"/>
                <w:szCs w:val="22"/>
                <w:lang w:val="es-ES_tradnl" w:eastAsia="en-US"/>
              </w:rPr>
            </w:pPr>
          </w:p>
          <w:p w14:paraId="22FF66D4" w14:textId="035C06C2" w:rsidR="00C752CB" w:rsidRPr="00A46C61" w:rsidRDefault="00C752CB" w:rsidP="00C752CB">
            <w:pPr>
              <w:pStyle w:val="paragraph"/>
              <w:shd w:val="clear" w:color="auto" w:fill="FFFFFF" w:themeFill="background1"/>
              <w:spacing w:after="120" w:line="276" w:lineRule="auto"/>
              <w:textAlignment w:val="baseline"/>
              <w:rPr>
                <w:rFonts w:ascii="Arial" w:eastAsia="Calibri" w:hAnsi="Arial" w:cs="Arial"/>
                <w:noProof/>
                <w:sz w:val="22"/>
                <w:szCs w:val="22"/>
                <w:lang w:val="es-ES_tradnl" w:eastAsia="en-US"/>
              </w:rPr>
            </w:pPr>
          </w:p>
        </w:tc>
      </w:tr>
    </w:tbl>
    <w:p w14:paraId="1D39BAD6" w14:textId="77777777" w:rsidR="0098794A" w:rsidRDefault="0098794A" w:rsidP="00381D63">
      <w:pPr>
        <w:shd w:val="clear" w:color="auto" w:fill="FFFFFF" w:themeFill="background1"/>
        <w:spacing w:after="0" w:line="276" w:lineRule="auto"/>
        <w:rPr>
          <w:rFonts w:ascii="Arial" w:hAnsi="Arial" w:cs="Arial"/>
        </w:rPr>
      </w:pPr>
    </w:p>
    <w:p w14:paraId="2E322248" w14:textId="5B10592B" w:rsidR="00381D63" w:rsidRDefault="00381D63" w:rsidP="00381D63">
      <w:pPr>
        <w:shd w:val="clear" w:color="auto" w:fill="FFFFFF" w:themeFill="background1"/>
        <w:spacing w:after="0" w:line="276" w:lineRule="auto"/>
        <w:rPr>
          <w:rFonts w:ascii="Arial" w:hAnsi="Arial" w:cs="Arial"/>
        </w:rPr>
      </w:pPr>
      <w:r w:rsidRPr="00AE43E9">
        <w:rPr>
          <w:rFonts w:ascii="Arial" w:hAnsi="Arial" w:cs="Arial"/>
        </w:rPr>
        <w:t xml:space="preserve">Bogotá D.C., </w:t>
      </w:r>
      <w:r w:rsidR="006070F1">
        <w:rPr>
          <w:rFonts w:ascii="Arial" w:hAnsi="Arial" w:cs="Arial"/>
        </w:rPr>
        <w:t>14/09/2023</w:t>
      </w:r>
    </w:p>
    <w:p w14:paraId="6B068C70" w14:textId="77777777" w:rsidR="006070F1" w:rsidRDefault="006070F1" w:rsidP="00381D63">
      <w:pPr>
        <w:shd w:val="clear" w:color="auto" w:fill="FFFFFF" w:themeFill="background1"/>
        <w:spacing w:after="0" w:line="276" w:lineRule="auto"/>
        <w:rPr>
          <w:rFonts w:ascii="Arial" w:hAnsi="Arial" w:cs="Arial"/>
        </w:rPr>
      </w:pPr>
    </w:p>
    <w:p w14:paraId="307BA43C" w14:textId="013B628B" w:rsidR="006070F1" w:rsidRPr="00AE43E9" w:rsidRDefault="006070F1" w:rsidP="006070F1">
      <w:pPr>
        <w:shd w:val="clear" w:color="auto" w:fill="FFFFFF" w:themeFill="background1"/>
        <w:spacing w:after="0" w:line="276" w:lineRule="auto"/>
        <w:jc w:val="right"/>
        <w:rPr>
          <w:rFonts w:ascii="Arial" w:hAnsi="Arial" w:cs="Arial"/>
        </w:rPr>
      </w:pPr>
      <w:r>
        <w:rPr>
          <w:noProof/>
          <w14:ligatures w14:val="standardContextual"/>
        </w:rPr>
        <w:drawing>
          <wp:inline distT="0" distB="0" distL="0" distR="0" wp14:anchorId="5E401190" wp14:editId="5AEE9B73">
            <wp:extent cx="2838450" cy="742950"/>
            <wp:effectExtent l="0" t="0" r="0" b="0"/>
            <wp:docPr id="21130631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63139" name=""/>
                    <pic:cNvPicPr/>
                  </pic:nvPicPr>
                  <pic:blipFill>
                    <a:blip r:embed="rId11"/>
                    <a:stretch>
                      <a:fillRect/>
                    </a:stretch>
                  </pic:blipFill>
                  <pic:spPr>
                    <a:xfrm>
                      <a:off x="0" y="0"/>
                      <a:ext cx="2838450" cy="742950"/>
                    </a:xfrm>
                    <a:prstGeom prst="rect">
                      <a:avLst/>
                    </a:prstGeom>
                  </pic:spPr>
                </pic:pic>
              </a:graphicData>
            </a:graphic>
          </wp:inline>
        </w:drawing>
      </w:r>
    </w:p>
    <w:p w14:paraId="5459FF7E" w14:textId="77777777" w:rsidR="00381D63" w:rsidRPr="00A46C61" w:rsidRDefault="00381D63" w:rsidP="00381D63">
      <w:pPr>
        <w:shd w:val="clear" w:color="auto" w:fill="FFFFFF" w:themeFill="background1"/>
        <w:spacing w:after="0" w:line="276" w:lineRule="auto"/>
        <w:jc w:val="right"/>
        <w:rPr>
          <w:rFonts w:ascii="Arial" w:eastAsia="Calibri" w:hAnsi="Arial" w:cs="Arial"/>
        </w:rPr>
      </w:pPr>
    </w:p>
    <w:p w14:paraId="1BAB6EB9" w14:textId="77777777" w:rsidR="00381D63" w:rsidRPr="00A46C61" w:rsidRDefault="00381D63" w:rsidP="00381D63">
      <w:pPr>
        <w:shd w:val="clear" w:color="auto" w:fill="FFFFFF" w:themeFill="background1"/>
        <w:spacing w:after="0" w:line="276" w:lineRule="auto"/>
        <w:jc w:val="both"/>
        <w:rPr>
          <w:rFonts w:ascii="Arial" w:eastAsia="Calibri" w:hAnsi="Arial" w:cs="Arial"/>
        </w:rPr>
      </w:pPr>
      <w:bookmarkStart w:id="0" w:name="_Hlk96417464"/>
      <w:bookmarkStart w:id="1" w:name="_Hlk118098570"/>
      <w:r w:rsidRPr="00A46C61">
        <w:rPr>
          <w:rFonts w:ascii="Arial" w:eastAsia="Calibri" w:hAnsi="Arial" w:cs="Arial"/>
        </w:rPr>
        <w:t>Señor</w:t>
      </w:r>
    </w:p>
    <w:p w14:paraId="1AC382E8" w14:textId="77777777" w:rsidR="00381D63" w:rsidRPr="00A46C61" w:rsidRDefault="00381D63" w:rsidP="00381D63">
      <w:pPr>
        <w:shd w:val="clear" w:color="auto" w:fill="FFFFFF" w:themeFill="background1"/>
        <w:spacing w:after="0" w:line="276" w:lineRule="auto"/>
        <w:jc w:val="both"/>
        <w:rPr>
          <w:rFonts w:ascii="Arial" w:eastAsia="Calibri" w:hAnsi="Arial" w:cs="Arial"/>
          <w:b/>
          <w:bCs/>
        </w:rPr>
      </w:pPr>
      <w:r w:rsidRPr="00A46C61">
        <w:rPr>
          <w:rFonts w:ascii="Arial" w:eastAsia="Calibri" w:hAnsi="Arial" w:cs="Arial"/>
          <w:b/>
          <w:bCs/>
        </w:rPr>
        <w:t>Anuar Arias</w:t>
      </w:r>
    </w:p>
    <w:p w14:paraId="5981ADA2" w14:textId="77777777" w:rsidR="00381D63" w:rsidRPr="00A46C61" w:rsidRDefault="00381D63" w:rsidP="00381D63">
      <w:pPr>
        <w:shd w:val="clear" w:color="auto" w:fill="FFFFFF" w:themeFill="background1"/>
        <w:spacing w:after="0" w:line="276" w:lineRule="auto"/>
        <w:jc w:val="both"/>
        <w:rPr>
          <w:rFonts w:ascii="Arial" w:eastAsia="Calibri" w:hAnsi="Arial" w:cs="Arial"/>
        </w:rPr>
      </w:pPr>
      <w:r w:rsidRPr="00A46C61">
        <w:rPr>
          <w:rFonts w:ascii="Arial" w:eastAsia="Calibri" w:hAnsi="Arial" w:cs="Arial"/>
        </w:rPr>
        <w:t>Ciudad</w:t>
      </w:r>
    </w:p>
    <w:p w14:paraId="5EEF1842" w14:textId="77777777" w:rsidR="00381D63" w:rsidRPr="00A46C61" w:rsidRDefault="00381D63" w:rsidP="00381D63">
      <w:pPr>
        <w:shd w:val="clear" w:color="auto" w:fill="FFFFFF" w:themeFill="background1"/>
        <w:spacing w:after="0" w:line="276" w:lineRule="auto"/>
        <w:jc w:val="both"/>
        <w:rPr>
          <w:rFonts w:ascii="Arial" w:hAnsi="Arial" w:cs="Arial"/>
        </w:rPr>
      </w:pPr>
      <w:r w:rsidRPr="00A46C61">
        <w:rPr>
          <w:rFonts w:ascii="Arial" w:eastAsia="Calibri" w:hAnsi="Arial" w:cs="Arial"/>
        </w:rPr>
        <w:t xml:space="preserve">                                            </w:t>
      </w:r>
      <w:r w:rsidRPr="00A46C61">
        <w:rPr>
          <w:rFonts w:ascii="Arial" w:eastAsia="Calibri" w:hAnsi="Arial" w:cs="Arial"/>
          <w:b/>
        </w:rPr>
        <w:t>Concepto C–302 de 2023</w:t>
      </w:r>
      <w:r w:rsidRPr="00A46C61">
        <w:rPr>
          <w:rFonts w:ascii="Arial" w:hAnsi="Arial" w:cs="Arial"/>
        </w:rPr>
        <w:t xml:space="preserve"> </w:t>
      </w: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381D63" w:rsidRPr="00A46C61" w14:paraId="3519A04B" w14:textId="77777777" w:rsidTr="00AE43E9">
        <w:trPr>
          <w:trHeight w:val="485"/>
        </w:trPr>
        <w:tc>
          <w:tcPr>
            <w:tcW w:w="2689" w:type="dxa"/>
            <w:hideMark/>
          </w:tcPr>
          <w:p w14:paraId="15829836" w14:textId="77777777" w:rsidR="00381D63" w:rsidRDefault="00381D63" w:rsidP="00AE43E9">
            <w:pPr>
              <w:shd w:val="clear" w:color="auto" w:fill="FFFFFF" w:themeFill="background1"/>
              <w:spacing w:after="200" w:line="276" w:lineRule="auto"/>
              <w:contextualSpacing/>
              <w:rPr>
                <w:rFonts w:ascii="Arial" w:eastAsia="Calibri" w:hAnsi="Arial" w:cs="Arial"/>
                <w:b/>
                <w:noProof/>
                <w:lang w:val="es-ES_tradnl"/>
              </w:rPr>
            </w:pPr>
          </w:p>
          <w:p w14:paraId="4E16093D" w14:textId="77777777" w:rsidR="00381D63" w:rsidRDefault="00381D63" w:rsidP="00AE43E9">
            <w:pPr>
              <w:shd w:val="clear" w:color="auto" w:fill="FFFFFF" w:themeFill="background1"/>
              <w:spacing w:after="200" w:line="276" w:lineRule="auto"/>
              <w:contextualSpacing/>
              <w:rPr>
                <w:rFonts w:ascii="Arial" w:eastAsia="Calibri" w:hAnsi="Arial" w:cs="Arial"/>
                <w:b/>
                <w:noProof/>
                <w:lang w:val="es-ES_tradnl"/>
              </w:rPr>
            </w:pPr>
          </w:p>
          <w:p w14:paraId="3E6D36C9" w14:textId="77777777" w:rsidR="00381D63" w:rsidRPr="00A46C61" w:rsidRDefault="00381D63" w:rsidP="00AE43E9">
            <w:pPr>
              <w:shd w:val="clear" w:color="auto" w:fill="FFFFFF" w:themeFill="background1"/>
              <w:spacing w:after="200" w:line="276" w:lineRule="auto"/>
              <w:contextualSpacing/>
              <w:rPr>
                <w:rFonts w:ascii="Arial" w:eastAsia="Calibri" w:hAnsi="Arial" w:cs="Arial"/>
                <w:noProof/>
                <w:lang w:val="es-ES_tradnl"/>
              </w:rPr>
            </w:pPr>
            <w:r w:rsidRPr="00A46C61">
              <w:rPr>
                <w:rFonts w:ascii="Arial" w:eastAsia="Calibri" w:hAnsi="Arial" w:cs="Arial"/>
                <w:b/>
                <w:noProof/>
                <w:lang w:val="es-ES_tradnl"/>
              </w:rPr>
              <w:t>Temas:</w:t>
            </w:r>
            <w:r w:rsidRPr="00A46C61">
              <w:rPr>
                <w:rFonts w:ascii="Arial" w:eastAsia="Calibri" w:hAnsi="Arial" w:cs="Arial"/>
                <w:noProof/>
                <w:lang w:val="es-ES_tradnl"/>
              </w:rPr>
              <w:t xml:space="preserve">        </w:t>
            </w:r>
          </w:p>
        </w:tc>
        <w:tc>
          <w:tcPr>
            <w:tcW w:w="6237" w:type="dxa"/>
            <w:hideMark/>
          </w:tcPr>
          <w:p w14:paraId="7EDB9DC0" w14:textId="77777777" w:rsidR="00381D63" w:rsidRPr="00A46C61" w:rsidRDefault="00381D63" w:rsidP="00AE43E9">
            <w:pPr>
              <w:shd w:val="clear" w:color="auto" w:fill="FFFFFF" w:themeFill="background1"/>
              <w:spacing w:line="276" w:lineRule="auto"/>
              <w:jc w:val="right"/>
              <w:rPr>
                <w:rFonts w:ascii="Arial" w:eastAsia="Calibri" w:hAnsi="Arial" w:cs="Arial"/>
                <w:noProof/>
                <w:lang w:val="es-ES_tradnl"/>
              </w:rPr>
            </w:pPr>
          </w:p>
          <w:p w14:paraId="4A3FBBB2" w14:textId="77777777" w:rsidR="00381D63" w:rsidRPr="00A46C61" w:rsidRDefault="00381D63" w:rsidP="00AE43E9">
            <w:pPr>
              <w:pStyle w:val="paragraph"/>
              <w:shd w:val="clear" w:color="auto" w:fill="FFFFFF" w:themeFill="background1"/>
              <w:spacing w:after="120" w:line="276" w:lineRule="auto"/>
              <w:textAlignment w:val="baseline"/>
              <w:rPr>
                <w:rFonts w:ascii="Arial" w:eastAsia="Calibri" w:hAnsi="Arial" w:cs="Arial"/>
                <w:noProof/>
                <w:sz w:val="22"/>
                <w:szCs w:val="22"/>
                <w:lang w:val="es-ES_tradnl" w:eastAsia="en-US"/>
              </w:rPr>
            </w:pPr>
            <w:r w:rsidRPr="00370936">
              <w:rPr>
                <w:rFonts w:ascii="Arial" w:eastAsiaTheme="minorHAnsi" w:hAnsi="Arial" w:cs="Arial"/>
                <w:color w:val="000000" w:themeColor="text1"/>
                <w:sz w:val="22"/>
                <w:szCs w:val="22"/>
                <w:lang w:val="es-ES_tradnl" w:eastAsia="en-US"/>
              </w:rPr>
              <w:t>DECRETO</w:t>
            </w:r>
            <w:r w:rsidRPr="00543CFC">
              <w:rPr>
                <w:rFonts w:ascii="Arial" w:eastAsiaTheme="minorHAnsi" w:hAnsi="Arial" w:cs="Arial"/>
                <w:color w:val="000000" w:themeColor="text1"/>
                <w:sz w:val="22"/>
                <w:szCs w:val="22"/>
                <w:lang w:val="es-ES_tradnl" w:eastAsia="en-US"/>
              </w:rPr>
              <w:t xml:space="preserve"> 1860 DE 2021 – Normas reglamentarias – Mínima cuantía /</w:t>
            </w:r>
            <w:r w:rsidRPr="00C66A96">
              <w:rPr>
                <w:rFonts w:ascii="Arial" w:eastAsiaTheme="minorHAnsi" w:hAnsi="Arial" w:cs="Arial"/>
                <w:color w:val="000000" w:themeColor="text1"/>
                <w:sz w:val="22"/>
                <w:szCs w:val="22"/>
                <w:lang w:val="es-ES_tradnl" w:eastAsia="en-US"/>
              </w:rPr>
              <w:t xml:space="preserve"> CONVOCATORIAS LIMITADAS A MIPYME – Aplicación / CONVOCATORIAS LIMITADAS A MIPYME – Limitación territorial – Facultativa – Requisitos</w:t>
            </w:r>
            <w:r>
              <w:rPr>
                <w:rFonts w:ascii="Arial" w:eastAsia="Calibri" w:hAnsi="Arial" w:cs="Arial"/>
                <w:noProof/>
                <w:sz w:val="22"/>
                <w:szCs w:val="22"/>
                <w:lang w:val="es-ES_tradnl" w:eastAsia="en-US"/>
              </w:rPr>
              <w:t xml:space="preserve"> / </w:t>
            </w:r>
            <w:r w:rsidRPr="00C66A96">
              <w:rPr>
                <w:rFonts w:ascii="Arial" w:eastAsiaTheme="minorHAnsi" w:hAnsi="Arial" w:cs="Arial"/>
                <w:color w:val="000000" w:themeColor="text1"/>
                <w:sz w:val="22"/>
                <w:szCs w:val="22"/>
                <w:lang w:val="es-ES_tradnl" w:eastAsia="en-US"/>
              </w:rPr>
              <w:t xml:space="preserve">CONVOCATORIAS LIMITADAS A MIPYME – Limitación territorial – </w:t>
            </w:r>
            <w:r>
              <w:rPr>
                <w:rFonts w:ascii="Arial" w:eastAsiaTheme="minorHAnsi" w:hAnsi="Arial" w:cs="Arial"/>
                <w:color w:val="000000" w:themeColor="text1"/>
                <w:sz w:val="22"/>
                <w:szCs w:val="22"/>
                <w:lang w:val="es-ES_tradnl" w:eastAsia="en-US"/>
              </w:rPr>
              <w:t>Domicilio – Acreditación – Tarifa legal – Domicilio</w:t>
            </w:r>
          </w:p>
          <w:p w14:paraId="0A1079B4" w14:textId="77777777" w:rsidR="00381D63" w:rsidRPr="00A46C61" w:rsidRDefault="00381D63" w:rsidP="00AE43E9">
            <w:pPr>
              <w:pStyle w:val="paragraph"/>
              <w:shd w:val="clear" w:color="auto" w:fill="FFFFFF" w:themeFill="background1"/>
              <w:spacing w:before="0" w:beforeAutospacing="0" w:after="0" w:afterAutospacing="0" w:line="276" w:lineRule="auto"/>
              <w:textAlignment w:val="baseline"/>
              <w:rPr>
                <w:rFonts w:ascii="Arial" w:eastAsia="Calibri" w:hAnsi="Arial" w:cs="Arial"/>
                <w:noProof/>
                <w:sz w:val="22"/>
                <w:szCs w:val="22"/>
                <w:lang w:val="es-ES_tradnl" w:eastAsia="en-US"/>
              </w:rPr>
            </w:pPr>
          </w:p>
        </w:tc>
      </w:tr>
      <w:tr w:rsidR="00381D63" w:rsidRPr="00A46C61" w14:paraId="72DA40AD" w14:textId="77777777" w:rsidTr="00AE43E9">
        <w:tc>
          <w:tcPr>
            <w:tcW w:w="2689" w:type="dxa"/>
          </w:tcPr>
          <w:p w14:paraId="3327360A" w14:textId="77777777" w:rsidR="00381D63" w:rsidRPr="00A46C61" w:rsidRDefault="00381D63" w:rsidP="00AE43E9">
            <w:pPr>
              <w:shd w:val="clear" w:color="auto" w:fill="FFFFFF" w:themeFill="background1"/>
              <w:spacing w:after="200" w:line="276" w:lineRule="auto"/>
              <w:contextualSpacing/>
              <w:rPr>
                <w:rFonts w:ascii="Arial" w:eastAsia="Calibri" w:hAnsi="Arial" w:cs="Arial"/>
                <w:b/>
                <w:noProof/>
                <w:lang w:val="es-ES_tradnl"/>
              </w:rPr>
            </w:pPr>
            <w:r w:rsidRPr="00A46C61">
              <w:rPr>
                <w:rFonts w:ascii="Arial" w:eastAsia="Calibri" w:hAnsi="Arial" w:cs="Arial"/>
                <w:b/>
                <w:noProof/>
                <w:lang w:val="es-ES_tradnl"/>
              </w:rPr>
              <w:t>Radicación:</w:t>
            </w:r>
            <w:r w:rsidRPr="00A46C61">
              <w:rPr>
                <w:rFonts w:ascii="Arial" w:eastAsia="Calibri" w:hAnsi="Arial" w:cs="Arial"/>
                <w:noProof/>
                <w:lang w:val="es-ES_tradnl"/>
              </w:rPr>
              <w:t xml:space="preserve">                              </w:t>
            </w:r>
          </w:p>
        </w:tc>
        <w:tc>
          <w:tcPr>
            <w:tcW w:w="6237" w:type="dxa"/>
          </w:tcPr>
          <w:p w14:paraId="0250DA7B" w14:textId="77777777" w:rsidR="00381D63" w:rsidRPr="00A46C61" w:rsidRDefault="00381D63" w:rsidP="00AE43E9">
            <w:pPr>
              <w:shd w:val="clear" w:color="auto" w:fill="FFFFFF" w:themeFill="background1"/>
              <w:spacing w:after="200" w:line="276" w:lineRule="auto"/>
              <w:contextualSpacing/>
              <w:rPr>
                <w:rFonts w:ascii="Arial" w:eastAsia="Calibri" w:hAnsi="Arial" w:cs="Arial"/>
                <w:noProof/>
                <w:lang w:val="es-ES_tradnl"/>
              </w:rPr>
            </w:pPr>
            <w:r w:rsidRPr="00A46C61">
              <w:rPr>
                <w:rFonts w:ascii="Arial" w:eastAsia="Calibri" w:hAnsi="Arial" w:cs="Arial"/>
                <w:noProof/>
                <w:lang w:val="es-ES_tradnl"/>
              </w:rPr>
              <w:t>Respuesta a consulta No.</w:t>
            </w:r>
            <w:r w:rsidRPr="00AE43E9">
              <w:rPr>
                <w:rFonts w:ascii="Arial" w:hAnsi="Arial" w:cs="Arial"/>
              </w:rPr>
              <w:t xml:space="preserve"> </w:t>
            </w:r>
            <w:r w:rsidRPr="00A46C61">
              <w:rPr>
                <w:rFonts w:ascii="Arial" w:eastAsia="Times New Roman" w:hAnsi="Arial" w:cs="Arial"/>
                <w:sz w:val="21"/>
                <w:szCs w:val="21"/>
                <w:lang w:eastAsia="es-CO"/>
              </w:rPr>
              <w:t>P20230718013454</w:t>
            </w:r>
          </w:p>
        </w:tc>
      </w:tr>
    </w:tbl>
    <w:p w14:paraId="39F01C32" w14:textId="77777777" w:rsidR="00381D63" w:rsidRPr="00A46C61" w:rsidRDefault="00381D63" w:rsidP="00381D63">
      <w:pPr>
        <w:shd w:val="clear" w:color="auto" w:fill="FFFFFF" w:themeFill="background1"/>
        <w:spacing w:after="0" w:line="276" w:lineRule="auto"/>
        <w:jc w:val="both"/>
        <w:rPr>
          <w:rFonts w:ascii="Arial" w:eastAsia="Calibri" w:hAnsi="Arial" w:cs="Arial"/>
        </w:rPr>
      </w:pPr>
    </w:p>
    <w:p w14:paraId="4B767192" w14:textId="77777777" w:rsidR="00381D63" w:rsidRPr="00A46C61" w:rsidRDefault="00381D63" w:rsidP="00381D63">
      <w:pPr>
        <w:shd w:val="clear" w:color="auto" w:fill="FFFFFF" w:themeFill="background1"/>
        <w:spacing w:after="0" w:line="276" w:lineRule="auto"/>
        <w:jc w:val="both"/>
        <w:rPr>
          <w:rFonts w:ascii="Arial" w:eastAsia="Calibri" w:hAnsi="Arial" w:cs="Arial"/>
        </w:rPr>
      </w:pPr>
    </w:p>
    <w:p w14:paraId="19EFCBDA" w14:textId="77777777" w:rsidR="00381D63" w:rsidRPr="00A46C61" w:rsidRDefault="00381D63" w:rsidP="00381D63">
      <w:pPr>
        <w:shd w:val="clear" w:color="auto" w:fill="FFFFFF" w:themeFill="background1"/>
        <w:spacing w:after="0" w:line="276" w:lineRule="auto"/>
        <w:jc w:val="both"/>
        <w:rPr>
          <w:rFonts w:ascii="Arial" w:eastAsia="Calibri" w:hAnsi="Arial" w:cs="Arial"/>
        </w:rPr>
      </w:pPr>
      <w:r w:rsidRPr="00A46C61">
        <w:rPr>
          <w:rFonts w:ascii="Arial" w:eastAsia="Calibri" w:hAnsi="Arial" w:cs="Arial"/>
        </w:rPr>
        <w:t xml:space="preserve">Estimado señor Arias: </w:t>
      </w:r>
    </w:p>
    <w:p w14:paraId="1F6C2D8F" w14:textId="77777777" w:rsidR="00381D63" w:rsidRPr="00A46C61" w:rsidRDefault="00381D63" w:rsidP="00381D63">
      <w:pPr>
        <w:shd w:val="clear" w:color="auto" w:fill="FFFFFF" w:themeFill="background1"/>
        <w:spacing w:after="0" w:line="276" w:lineRule="auto"/>
        <w:ind w:firstLine="709"/>
        <w:jc w:val="both"/>
        <w:rPr>
          <w:rFonts w:ascii="Arial" w:eastAsia="Calibri" w:hAnsi="Arial" w:cs="Arial"/>
        </w:rPr>
      </w:pPr>
    </w:p>
    <w:p w14:paraId="141C85BE" w14:textId="77777777" w:rsidR="00381D63" w:rsidRPr="00A46C61" w:rsidRDefault="00381D63" w:rsidP="00381D63">
      <w:pPr>
        <w:pStyle w:val="Default"/>
        <w:shd w:val="clear" w:color="auto" w:fill="FFFFFF" w:themeFill="background1"/>
        <w:spacing w:line="276" w:lineRule="auto"/>
        <w:jc w:val="both"/>
        <w:rPr>
          <w:rFonts w:eastAsia="Times New Roman"/>
          <w:color w:val="auto"/>
          <w:sz w:val="21"/>
          <w:szCs w:val="21"/>
          <w:lang w:eastAsia="es-CO"/>
        </w:rPr>
      </w:pPr>
      <w:r w:rsidRPr="00A46C61">
        <w:rPr>
          <w:rFonts w:eastAsia="Times New Roman"/>
          <w:color w:val="auto"/>
          <w:sz w:val="21"/>
          <w:szCs w:val="21"/>
          <w:lang w:eastAsia="es-CO"/>
        </w:rPr>
        <w:t xml:space="preserve">En ejercicio de la competencia otorgada por el numeral 8 del artículo 11 y el numeral 5 del artículo 3 del Decreto Ley 4170 de 2011, la Agencia Nacional de Contratación Pública – Colombia Compra Eficiente responde su consulta del 18 de julio de 2023. </w:t>
      </w:r>
    </w:p>
    <w:p w14:paraId="254385BE" w14:textId="77777777" w:rsidR="00381D63" w:rsidRPr="00A46C61" w:rsidRDefault="00381D63" w:rsidP="00381D63">
      <w:pPr>
        <w:shd w:val="clear" w:color="auto" w:fill="FFFFFF" w:themeFill="background1"/>
        <w:spacing w:after="0" w:line="276" w:lineRule="auto"/>
        <w:ind w:right="51"/>
        <w:jc w:val="both"/>
        <w:rPr>
          <w:rFonts w:ascii="Arial" w:eastAsia="Calibri" w:hAnsi="Arial" w:cs="Arial"/>
        </w:rPr>
      </w:pPr>
    </w:p>
    <w:p w14:paraId="2A6E9AF3" w14:textId="77777777" w:rsidR="00381D63" w:rsidRPr="00A46C61" w:rsidRDefault="00381D63" w:rsidP="00381D63">
      <w:pPr>
        <w:shd w:val="clear" w:color="auto" w:fill="FFFFFF" w:themeFill="background1"/>
        <w:tabs>
          <w:tab w:val="left" w:pos="284"/>
        </w:tabs>
        <w:spacing w:after="0" w:line="276" w:lineRule="auto"/>
        <w:jc w:val="both"/>
        <w:rPr>
          <w:rFonts w:ascii="Arial" w:eastAsia="Calibri" w:hAnsi="Arial" w:cs="Arial"/>
          <w:b/>
        </w:rPr>
      </w:pPr>
      <w:r w:rsidRPr="00A46C61">
        <w:rPr>
          <w:rFonts w:ascii="Arial" w:eastAsia="Calibri" w:hAnsi="Arial" w:cs="Arial"/>
          <w:b/>
        </w:rPr>
        <w:t xml:space="preserve">1. Problema planteado </w:t>
      </w:r>
    </w:p>
    <w:p w14:paraId="703B1658" w14:textId="77777777" w:rsidR="00381D63" w:rsidRPr="00A46C61" w:rsidRDefault="00381D63" w:rsidP="00381D63">
      <w:pPr>
        <w:shd w:val="clear" w:color="auto" w:fill="FFFFFF" w:themeFill="background1"/>
        <w:spacing w:before="100" w:beforeAutospacing="1" w:after="100" w:afterAutospacing="1" w:line="276" w:lineRule="auto"/>
        <w:ind w:right="709"/>
        <w:jc w:val="both"/>
        <w:rPr>
          <w:rFonts w:ascii="Arial" w:eastAsia="Times New Roman" w:hAnsi="Arial" w:cs="Arial"/>
          <w:sz w:val="21"/>
          <w:szCs w:val="21"/>
          <w:lang w:eastAsia="es-CO"/>
        </w:rPr>
      </w:pPr>
      <w:bookmarkStart w:id="2" w:name="_Hlk58917991"/>
      <w:bookmarkStart w:id="3" w:name="_Hlk56103000"/>
      <w:r w:rsidRPr="00A46C61">
        <w:rPr>
          <w:rFonts w:ascii="Arial" w:eastAsia="Times New Roman" w:hAnsi="Arial" w:cs="Arial"/>
          <w:sz w:val="21"/>
          <w:szCs w:val="21"/>
          <w:lang w:eastAsia="es-CO"/>
        </w:rPr>
        <w:t xml:space="preserve">Usted realiza respecto de los convenios solidarios, la siguiente consulta: </w:t>
      </w:r>
      <w:bookmarkStart w:id="4" w:name="_Hlk103091320"/>
      <w:bookmarkEnd w:id="2"/>
      <w:bookmarkEnd w:id="3"/>
    </w:p>
    <w:p w14:paraId="25D52568" w14:textId="77777777" w:rsidR="00381D63" w:rsidRPr="00A46C61" w:rsidRDefault="00381D63" w:rsidP="00381D63">
      <w:pPr>
        <w:shd w:val="clear" w:color="auto" w:fill="FFFFFF" w:themeFill="background1"/>
        <w:spacing w:line="240" w:lineRule="auto"/>
        <w:ind w:left="709" w:right="709"/>
        <w:jc w:val="both"/>
        <w:rPr>
          <w:rFonts w:ascii="Arial" w:hAnsi="Arial" w:cs="Arial"/>
          <w:sz w:val="21"/>
          <w:szCs w:val="21"/>
        </w:rPr>
      </w:pPr>
      <w:bookmarkStart w:id="5" w:name="_Hlk116637274"/>
      <w:bookmarkEnd w:id="4"/>
      <w:r w:rsidRPr="00A46C61">
        <w:rPr>
          <w:rFonts w:ascii="Arial" w:eastAsia="Times New Roman" w:hAnsi="Arial" w:cs="Arial"/>
          <w:sz w:val="21"/>
          <w:szCs w:val="21"/>
          <w:lang w:eastAsia="es-CO"/>
        </w:rPr>
        <w:t>“</w:t>
      </w:r>
      <w:r w:rsidRPr="00A46C61">
        <w:rPr>
          <w:rFonts w:ascii="Arial" w:hAnsi="Arial" w:cs="Arial"/>
          <w:sz w:val="21"/>
          <w:szCs w:val="21"/>
        </w:rPr>
        <w:t xml:space="preserve">De manera atenta y respetuosa me permito elevar la siguiente consulta, para un proceso de mínima cuantía se solicitó limitación a </w:t>
      </w:r>
      <w:proofErr w:type="spellStart"/>
      <w:r w:rsidRPr="00A46C61">
        <w:rPr>
          <w:rFonts w:ascii="Arial" w:hAnsi="Arial" w:cs="Arial"/>
          <w:sz w:val="21"/>
          <w:szCs w:val="21"/>
        </w:rPr>
        <w:t>mipymes</w:t>
      </w:r>
      <w:proofErr w:type="spellEnd"/>
      <w:r w:rsidRPr="00A46C61">
        <w:rPr>
          <w:rFonts w:ascii="Arial" w:hAnsi="Arial" w:cs="Arial"/>
          <w:sz w:val="21"/>
          <w:szCs w:val="21"/>
        </w:rPr>
        <w:t xml:space="preserve"> departamentales, al momento de entregar la oferta se presentó un ingeniero civil, al momento de la evaluación la asesora Jurídica le exige demostrar su domicilio manifestando que en caso de ser persona natural el requisito para demostrar lo anterior era: RUP o REGISTRO MERCANTIL según la normatividad establecida en el </w:t>
      </w:r>
      <w:r w:rsidRPr="00A46C61">
        <w:rPr>
          <w:rFonts w:ascii="Arial" w:hAnsi="Arial" w:cs="Arial"/>
          <w:b/>
          <w:bCs/>
          <w:color w:val="000000"/>
          <w:sz w:val="21"/>
          <w:szCs w:val="21"/>
        </w:rPr>
        <w:t>ARTÍCULO 2.2.1.2.4.2.3. Limitaciones territoriales</w:t>
      </w:r>
      <w:r w:rsidRPr="00A46C61">
        <w:rPr>
          <w:rFonts w:ascii="Arial" w:hAnsi="Arial" w:cs="Arial"/>
          <w:sz w:val="21"/>
          <w:szCs w:val="21"/>
        </w:rPr>
        <w:t xml:space="preserve"> siendo un proceso de </w:t>
      </w:r>
      <w:r w:rsidRPr="00A46C61">
        <w:rPr>
          <w:rFonts w:ascii="Arial" w:hAnsi="Arial" w:cs="Arial"/>
          <w:sz w:val="21"/>
          <w:szCs w:val="21"/>
        </w:rPr>
        <w:lastRenderedPageBreak/>
        <w:t>mínima cuantía es claro que no es de obligatorio cumplimiento presentar el RUP siendo una persona natural de profesión liberal no está obligado a tener registro mercantil</w:t>
      </w:r>
    </w:p>
    <w:p w14:paraId="7D08CEEF" w14:textId="77777777" w:rsidR="00381D63" w:rsidRPr="00A46C61" w:rsidRDefault="00381D63" w:rsidP="00381D63">
      <w:pPr>
        <w:shd w:val="clear" w:color="auto" w:fill="FFFFFF" w:themeFill="background1"/>
        <w:spacing w:line="240" w:lineRule="auto"/>
        <w:ind w:left="709" w:right="709"/>
        <w:jc w:val="both"/>
        <w:rPr>
          <w:rFonts w:ascii="Arial" w:hAnsi="Arial" w:cs="Arial"/>
          <w:sz w:val="21"/>
          <w:szCs w:val="21"/>
        </w:rPr>
      </w:pPr>
      <w:r w:rsidRPr="00A46C61">
        <w:rPr>
          <w:rFonts w:ascii="Arial" w:hAnsi="Arial" w:cs="Arial"/>
          <w:sz w:val="21"/>
          <w:szCs w:val="21"/>
        </w:rPr>
        <w:t>Por lo anterior se solicita dilucidar la inquietud de cual otro documento podría validar el domicilio de esta persona en mención”.</w:t>
      </w:r>
    </w:p>
    <w:bookmarkEnd w:id="5"/>
    <w:p w14:paraId="55F7A3F4" w14:textId="77777777" w:rsidR="00381D63" w:rsidRPr="00A46C61" w:rsidRDefault="00381D63" w:rsidP="00381D63">
      <w:pPr>
        <w:shd w:val="clear" w:color="auto" w:fill="FFFFFF" w:themeFill="background1"/>
        <w:spacing w:before="120" w:after="120" w:line="276" w:lineRule="auto"/>
        <w:jc w:val="both"/>
        <w:rPr>
          <w:rFonts w:ascii="Arial" w:eastAsia="Calibri" w:hAnsi="Arial" w:cs="Arial"/>
          <w:b/>
          <w:szCs w:val="24"/>
          <w:lang w:eastAsia="es-CO"/>
        </w:rPr>
      </w:pPr>
      <w:r w:rsidRPr="00A46C61">
        <w:rPr>
          <w:rFonts w:ascii="Arial" w:eastAsia="Calibri" w:hAnsi="Arial" w:cs="Arial"/>
          <w:b/>
          <w:szCs w:val="24"/>
          <w:lang w:eastAsia="es-CO"/>
        </w:rPr>
        <w:t>2. Consideraciones</w:t>
      </w:r>
      <w:bookmarkStart w:id="6" w:name="_Hlk57650395"/>
    </w:p>
    <w:p w14:paraId="1859AEAB" w14:textId="77777777" w:rsidR="00381D63" w:rsidRPr="009B713A" w:rsidRDefault="00381D63" w:rsidP="00381D63">
      <w:pPr>
        <w:spacing w:after="120" w:line="276" w:lineRule="auto"/>
        <w:jc w:val="both"/>
        <w:rPr>
          <w:rFonts w:ascii="Arial" w:eastAsia="Times New Roman" w:hAnsi="Arial" w:cs="Arial"/>
          <w:lang w:val="es-ES" w:eastAsia="es-ES_tradnl"/>
        </w:rPr>
      </w:pPr>
      <w:r w:rsidRPr="009B713A">
        <w:rPr>
          <w:rFonts w:ascii="Arial" w:eastAsia="Times New Roman" w:hAnsi="Arial" w:cs="Arial"/>
          <w:lang w:eastAsia="es-ES_tradnl"/>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7" w:name="_Hlk61701014"/>
      <w:bookmarkStart w:id="8" w:name="_Hlk62136649"/>
      <w:r w:rsidRPr="009B713A">
        <w:rPr>
          <w:rFonts w:ascii="Arial" w:eastAsia="Times New Roman" w:hAnsi="Arial" w:cs="Arial"/>
          <w:lang w:eastAsia="es-ES_tradnl"/>
        </w:rPr>
        <w:t xml:space="preserve"> </w:t>
      </w:r>
      <w:r w:rsidRPr="009B713A">
        <w:rPr>
          <w:rFonts w:ascii="Arial" w:eastAsia="Times New Roman" w:hAnsi="Arial" w:cs="Arial"/>
          <w:lang w:val="es-ES" w:eastAsia="es-ES_tradnl"/>
        </w:rPr>
        <w:t xml:space="preserve">Es necesario tener en cuenta que </w:t>
      </w:r>
      <w:bookmarkStart w:id="9" w:name="_Hlk61026958"/>
      <w:r w:rsidRPr="009B713A">
        <w:rPr>
          <w:rFonts w:ascii="Arial" w:eastAsia="Times New Roman" w:hAnsi="Arial" w:cs="Arial"/>
          <w:lang w:val="es-ES" w:eastAsia="es-ES_tradnl"/>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9B713A">
        <w:rPr>
          <w:rFonts w:ascii="Arial" w:eastAsia="Times New Roman" w:hAnsi="Arial" w:cs="Arial"/>
          <w:lang w:eastAsia="es-ES_tradnl"/>
        </w:rPr>
        <w:t xml:space="preserve"> de todos los partícipes de la contratación estatal.</w:t>
      </w:r>
    </w:p>
    <w:p w14:paraId="438EA698" w14:textId="77777777" w:rsidR="00381D63" w:rsidRPr="009B713A" w:rsidRDefault="00381D63" w:rsidP="00381D63">
      <w:pPr>
        <w:spacing w:after="120" w:line="276" w:lineRule="auto"/>
        <w:ind w:firstLine="708"/>
        <w:jc w:val="both"/>
        <w:rPr>
          <w:rFonts w:ascii="Arial" w:eastAsia="Times New Roman" w:hAnsi="Arial" w:cs="Arial"/>
          <w:lang w:val="es-ES" w:eastAsia="es-ES_tradnl"/>
        </w:rPr>
      </w:pPr>
      <w:r w:rsidRPr="009B713A">
        <w:rPr>
          <w:rFonts w:ascii="Arial" w:eastAsia="Times New Roman" w:hAnsi="Arial" w:cs="Arial"/>
          <w:lang w:val="es-ES"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9B713A">
        <w:rPr>
          <w:rFonts w:ascii="Arial" w:eastAsia="Times New Roman" w:hAnsi="Arial" w:cs="Arial"/>
          <w:vertAlign w:val="superscript"/>
          <w:lang w:val="es-ES" w:eastAsia="es-ES_tradnl"/>
        </w:rPr>
        <w:footnoteReference w:id="3"/>
      </w:r>
      <w:r w:rsidRPr="009B713A">
        <w:rPr>
          <w:rFonts w:ascii="Arial" w:eastAsia="Times New Roman" w:hAnsi="Arial" w:cs="Arial"/>
          <w:lang w:val="es-ES" w:eastAsia="es-ES_tradnl"/>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9"/>
      <w:r w:rsidRPr="009B713A">
        <w:rPr>
          <w:rFonts w:ascii="Arial" w:eastAsia="Times New Roman" w:hAnsi="Arial" w:cs="Arial"/>
          <w:lang w:val="es-ES" w:eastAsia="es-ES_tradnl"/>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7"/>
    </w:p>
    <w:bookmarkEnd w:id="8"/>
    <w:p w14:paraId="5299F234" w14:textId="77777777" w:rsidR="00381D63" w:rsidRDefault="00381D63" w:rsidP="00381D63">
      <w:pPr>
        <w:shd w:val="clear" w:color="auto" w:fill="FFFFFF" w:themeFill="background1"/>
        <w:spacing w:after="0" w:line="276" w:lineRule="auto"/>
        <w:ind w:firstLine="708"/>
        <w:jc w:val="both"/>
        <w:rPr>
          <w:rFonts w:ascii="Arial" w:eastAsia="Times New Roman" w:hAnsi="Arial" w:cs="Arial"/>
          <w:lang w:val="es-ES_tradnl" w:eastAsia="es-ES_tradnl"/>
        </w:rPr>
      </w:pPr>
      <w:r w:rsidRPr="009B713A">
        <w:rPr>
          <w:rFonts w:ascii="Arial" w:eastAsia="Times New Roman" w:hAnsi="Arial" w:cs="Arial"/>
          <w:lang w:eastAsia="es-ES_tradnl"/>
        </w:rPr>
        <w:t xml:space="preserve">Sin perjuicio de lo anterior, la Subdirección –dentro de los límites de sus atribuciones, esto es, haciendo abstracción del caso particular expuesto por el peticionario– resolverá la consulta conforme a las normas generales en materia de contratación estatal. </w:t>
      </w:r>
      <w:r w:rsidRPr="00A46C61">
        <w:rPr>
          <w:rFonts w:ascii="Arial" w:eastAsia="Times New Roman" w:hAnsi="Arial" w:cs="Arial"/>
          <w:lang w:val="es-ES_tradnl" w:eastAsia="es-ES_tradnl"/>
        </w:rPr>
        <w:t xml:space="preserve">La Agencia Nacional de Contratación Pública ― Colombia Compra Eficiente en el concepto con radicado No. 2201913000007381 del 3 de octubre de 2019, reiterado y desarrollado en </w:t>
      </w:r>
      <w:r w:rsidRPr="00A46C61">
        <w:rPr>
          <w:rFonts w:ascii="Arial" w:eastAsia="Times New Roman" w:hAnsi="Arial" w:cs="Arial"/>
          <w:lang w:val="es-ES_tradnl" w:eastAsia="es-ES_tradnl"/>
        </w:rPr>
        <w:lastRenderedPageBreak/>
        <w:t xml:space="preserve">los conceptos identificados con radicado No. 2201913000009471 del 20 de diciembre de 2019 y No. 2201913000009619 del 26 de diciembre de 2019, estudió las condiciones para el ejercicio de la ingeniería en Colombia, a partir del análisis de las normas de la Ley 842 de 2003. Asimismo, en el concepto identificado con el radicado No. 4201912000005754 del 4 de octubre de 2019, reiterado en el concepto No. 4201912000004782 del 30 de octubre de 2019, se pronunció sobre la exigencia del registro mercantil en los procesos de contratación. Así mismo en los conceptos que se enuncian a continuación se pronunció sobre la nueva regulación de la promoción del desarrollo en la contratación estatal contenida en el artículo 34 de la Ley 2069 de 2020,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C-455 del 31 de agosto de 2021. Asimismo, sobre las limitaciones territoriales de convocatorias </w:t>
      </w:r>
      <w:proofErr w:type="spellStart"/>
      <w:r w:rsidRPr="00A46C61">
        <w:rPr>
          <w:rFonts w:ascii="Arial" w:eastAsia="Times New Roman" w:hAnsi="Arial" w:cs="Arial"/>
          <w:lang w:val="es-ES_tradnl" w:eastAsia="es-ES_tradnl"/>
        </w:rPr>
        <w:t>Mipyme</w:t>
      </w:r>
      <w:proofErr w:type="spellEnd"/>
      <w:r w:rsidRPr="00A46C61">
        <w:rPr>
          <w:rFonts w:ascii="Arial" w:eastAsia="Times New Roman" w:hAnsi="Arial" w:cs="Arial"/>
          <w:lang w:val="es-ES_tradnl" w:eastAsia="es-ES_tradnl"/>
        </w:rPr>
        <w:t xml:space="preserve"> se pronunció en el Concepto C-705 de 7 de diciembre de 2020, C-438 de 27 de septiembre de 2021, C-041 de 2 de marzo de 2022, C-361 de 20 de mayo de 2021, C-473 de 25 de julio de 2022, C-539 de 29 de agosto de 2022, C-585 del 19 de septiembre de 2022, C-587 del 21 de septiembre de 2022, C-597 del 9 de septiembre de 2022, C-627 del 12 de septiembre de 2022, C-643 del 10 de octubre de 2022 y C-662 del 13 de octubre de 2022y C-159 del 22 de junio  2023 , entre otros</w:t>
      </w:r>
      <w:r>
        <w:rPr>
          <w:rFonts w:ascii="Arial" w:eastAsia="Times New Roman" w:hAnsi="Arial" w:cs="Arial"/>
          <w:lang w:val="es-ES_tradnl" w:eastAsia="es-ES_tradnl"/>
        </w:rPr>
        <w:t>.</w:t>
      </w:r>
      <w:r w:rsidRPr="00A46C61">
        <w:rPr>
          <w:rFonts w:ascii="Arial" w:eastAsia="Times New Roman" w:hAnsi="Arial" w:cs="Arial"/>
          <w:lang w:val="es-ES_tradnl" w:eastAsia="es-ES_tradnl"/>
        </w:rPr>
        <w:t xml:space="preserve"> </w:t>
      </w:r>
      <w:r>
        <w:rPr>
          <w:rFonts w:ascii="Arial" w:eastAsia="Times New Roman" w:hAnsi="Arial" w:cs="Arial"/>
          <w:lang w:val="es-ES_tradnl" w:eastAsia="es-ES_tradnl"/>
        </w:rPr>
        <w:t>L</w:t>
      </w:r>
      <w:r w:rsidRPr="00A46C61">
        <w:rPr>
          <w:rFonts w:ascii="Arial" w:eastAsia="Times New Roman" w:hAnsi="Arial" w:cs="Arial"/>
          <w:lang w:val="es-ES_tradnl" w:eastAsia="es-ES_tradnl"/>
        </w:rPr>
        <w:t xml:space="preserve">a tesis desarrollada en estos conceptos </w:t>
      </w:r>
      <w:r>
        <w:rPr>
          <w:rFonts w:ascii="Arial" w:eastAsia="Times New Roman" w:hAnsi="Arial" w:cs="Arial"/>
          <w:lang w:val="es-ES_tradnl" w:eastAsia="es-ES_tradnl"/>
        </w:rPr>
        <w:t>se reitera a</w:t>
      </w:r>
      <w:r w:rsidRPr="00A46C61">
        <w:rPr>
          <w:rFonts w:ascii="Arial" w:eastAsia="Times New Roman" w:hAnsi="Arial" w:cs="Arial"/>
          <w:lang w:val="es-ES_tradnl" w:eastAsia="es-ES_tradnl"/>
        </w:rPr>
        <w:t xml:space="preserve"> continuación.</w:t>
      </w:r>
    </w:p>
    <w:p w14:paraId="76ED9EB0" w14:textId="77777777" w:rsidR="00381D63" w:rsidRDefault="00381D63" w:rsidP="00381D63">
      <w:pPr>
        <w:pStyle w:val="paragraph"/>
        <w:shd w:val="clear" w:color="auto" w:fill="FFFFFF" w:themeFill="background1"/>
        <w:spacing w:before="0" w:beforeAutospacing="0" w:after="0" w:afterAutospacing="0" w:line="276" w:lineRule="auto"/>
        <w:jc w:val="both"/>
        <w:textAlignment w:val="baseline"/>
        <w:rPr>
          <w:rStyle w:val="eop"/>
          <w:rFonts w:ascii="Arial" w:hAnsi="Arial" w:cs="Arial"/>
          <w:b/>
          <w:bCs/>
          <w:sz w:val="22"/>
          <w:szCs w:val="22"/>
        </w:rPr>
      </w:pPr>
    </w:p>
    <w:p w14:paraId="14EDB210" w14:textId="77777777" w:rsidR="00381D63" w:rsidRPr="005E7BA4" w:rsidRDefault="00381D63" w:rsidP="00381D63">
      <w:pPr>
        <w:tabs>
          <w:tab w:val="left" w:pos="709"/>
        </w:tabs>
        <w:spacing w:after="0" w:line="276" w:lineRule="auto"/>
        <w:jc w:val="both"/>
        <w:rPr>
          <w:rFonts w:ascii="Arial" w:eastAsia="Calibri" w:hAnsi="Arial" w:cs="Arial"/>
          <w:b/>
          <w:bCs/>
          <w:color w:val="000000"/>
          <w:lang w:val="es-ES_tradnl" w:eastAsia="es-ES_tradnl"/>
        </w:rPr>
      </w:pPr>
      <w:r w:rsidRPr="005E7BA4">
        <w:rPr>
          <w:rFonts w:ascii="Arial" w:eastAsia="Calibri" w:hAnsi="Arial" w:cs="Arial"/>
          <w:b/>
          <w:bCs/>
          <w:color w:val="000000"/>
          <w:lang w:val="es-ES_tradnl" w:eastAsia="es-ES_tradnl"/>
        </w:rPr>
        <w:t>2.1. Modalidad de selección de mínima cuantía. Regulación y características del procedimiento</w:t>
      </w:r>
    </w:p>
    <w:p w14:paraId="7DD4C77B" w14:textId="77777777" w:rsidR="00381D63" w:rsidRPr="005E7BA4" w:rsidRDefault="00381D63" w:rsidP="00381D63">
      <w:pPr>
        <w:tabs>
          <w:tab w:val="left" w:pos="709"/>
        </w:tabs>
        <w:spacing w:after="0" w:line="276" w:lineRule="auto"/>
        <w:jc w:val="both"/>
        <w:rPr>
          <w:rFonts w:ascii="Arial" w:eastAsia="Calibri" w:hAnsi="Arial" w:cs="Arial"/>
          <w:b/>
          <w:bCs/>
          <w:color w:val="000000"/>
          <w:lang w:val="es-ES_tradnl" w:eastAsia="es-ES_tradnl"/>
        </w:rPr>
      </w:pPr>
    </w:p>
    <w:p w14:paraId="66F5B84F" w14:textId="77777777" w:rsidR="00381D63" w:rsidRPr="005E7BA4" w:rsidRDefault="00381D63" w:rsidP="00381D63">
      <w:pPr>
        <w:tabs>
          <w:tab w:val="left" w:pos="709"/>
        </w:tabs>
        <w:spacing w:after="120" w:line="276" w:lineRule="auto"/>
        <w:jc w:val="both"/>
        <w:rPr>
          <w:rFonts w:ascii="Arial" w:eastAsia="Calibri" w:hAnsi="Arial" w:cs="Arial"/>
          <w:bCs/>
          <w:color w:val="000000"/>
          <w:lang w:val="es-ES_tradnl"/>
        </w:rPr>
      </w:pPr>
      <w:r w:rsidRPr="005E7BA4">
        <w:rPr>
          <w:rFonts w:ascii="Arial" w:eastAsia="Calibri" w:hAnsi="Arial" w:cs="Arial"/>
          <w:bCs/>
          <w:color w:val="000000"/>
          <w:lang w:val="es-ES_tradnl"/>
        </w:rPr>
        <w:t xml:space="preserve">El artículo 30 de la Ley 2069 de 2020 modifica el numeral 5 del artículo 2 de la Ley 1150 de 2007, el cual regula la mínima cuantía. En esta modalidad de selección, la entidad estatal realiza una convocatoria pública para recibir ofertas de bienes o servicios cuyo valor no excede el diez por ciento –10%– de la menor cuantía. Fue creada por el artículo 274 de la Ley 1450 de 2011 y modificada por </w:t>
      </w:r>
      <w:bookmarkStart w:id="10" w:name="_Hlk69566698"/>
      <w:r w:rsidRPr="005E7BA4">
        <w:rPr>
          <w:rFonts w:ascii="Arial" w:eastAsia="Calibri" w:hAnsi="Arial" w:cs="Arial"/>
          <w:bCs/>
          <w:color w:val="000000"/>
          <w:lang w:val="es-ES_tradnl"/>
        </w:rPr>
        <w:t>el artículo 94 de la Ley 1474 de 2011</w:t>
      </w:r>
      <w:bookmarkEnd w:id="10"/>
      <w:r w:rsidRPr="005E7BA4">
        <w:rPr>
          <w:rFonts w:ascii="Arial" w:eastAsia="Calibri" w:hAnsi="Arial" w:cs="Arial"/>
          <w:bCs/>
          <w:color w:val="000000"/>
          <w:lang w:val="es-ES_tradnl"/>
        </w:rPr>
        <w:t xml:space="preserve">, disponiendo que el factor determinante para adelantarla es el valor del presupuesto oficial con independencia de su objeto. Por lo demás, como en este procedimiento el contrato se perfecciona con la </w:t>
      </w:r>
      <w:r w:rsidRPr="005E7BA4">
        <w:rPr>
          <w:rFonts w:ascii="Arial" w:eastAsia="Calibri" w:hAnsi="Arial" w:cs="Arial"/>
          <w:bCs/>
          <w:color w:val="000000"/>
          <w:lang w:val="es-ES_tradnl"/>
        </w:rPr>
        <w:lastRenderedPageBreak/>
        <w:t xml:space="preserve">aceptación de la oferta, se considera un sucedáneo de los denominados </w:t>
      </w:r>
      <w:r>
        <w:rPr>
          <w:rFonts w:ascii="Arial" w:eastAsia="Calibri" w:hAnsi="Arial" w:cs="Arial"/>
          <w:bCs/>
          <w:color w:val="000000"/>
          <w:lang w:val="es-ES_tradnl"/>
        </w:rPr>
        <w:t>“</w:t>
      </w:r>
      <w:r w:rsidRPr="005E7BA4">
        <w:rPr>
          <w:rFonts w:ascii="Arial" w:eastAsia="Calibri" w:hAnsi="Arial" w:cs="Arial"/>
          <w:bCs/>
          <w:color w:val="000000"/>
          <w:lang w:val="es-ES_tradnl"/>
        </w:rPr>
        <w:t>contratos sin formalidades plenas</w:t>
      </w:r>
      <w:r>
        <w:rPr>
          <w:rFonts w:ascii="Arial" w:eastAsia="Calibri" w:hAnsi="Arial" w:cs="Arial"/>
          <w:bCs/>
          <w:color w:val="000000"/>
          <w:lang w:val="es-ES_tradnl"/>
        </w:rPr>
        <w:t>”</w:t>
      </w:r>
      <w:r w:rsidRPr="005E7BA4">
        <w:rPr>
          <w:rFonts w:ascii="Arial" w:eastAsia="Calibri" w:hAnsi="Arial" w:cs="Arial"/>
          <w:bCs/>
          <w:color w:val="000000"/>
          <w:vertAlign w:val="superscript"/>
          <w:lang w:val="es-ES_tradnl"/>
        </w:rPr>
        <w:footnoteReference w:id="4"/>
      </w:r>
      <w:r w:rsidRPr="005E7BA4">
        <w:rPr>
          <w:rFonts w:ascii="Arial" w:eastAsia="Calibri" w:hAnsi="Arial" w:cs="Arial"/>
          <w:bCs/>
          <w:color w:val="000000"/>
          <w:lang w:val="es-ES_tradnl"/>
        </w:rPr>
        <w:t>.</w:t>
      </w:r>
    </w:p>
    <w:p w14:paraId="7BACAE00" w14:textId="77777777" w:rsidR="00381D63" w:rsidRPr="005E7BA4" w:rsidRDefault="00381D63" w:rsidP="00381D63">
      <w:pPr>
        <w:tabs>
          <w:tab w:val="left" w:pos="709"/>
        </w:tabs>
        <w:spacing w:after="120" w:line="276" w:lineRule="auto"/>
        <w:jc w:val="both"/>
        <w:rPr>
          <w:rFonts w:ascii="Arial" w:eastAsia="Calibri" w:hAnsi="Arial" w:cs="Arial"/>
          <w:bCs/>
          <w:color w:val="000000"/>
          <w:lang w:val="es-ES_tradnl"/>
        </w:rPr>
      </w:pPr>
      <w:r w:rsidRPr="005E7BA4">
        <w:rPr>
          <w:rFonts w:ascii="Arial" w:eastAsia="Calibri" w:hAnsi="Arial" w:cs="Arial"/>
          <w:bCs/>
          <w:color w:val="000000"/>
          <w:lang w:val="es-ES_tradnl"/>
        </w:rPr>
        <w:tab/>
        <w:t>En esencia, el artículo 30 de la Ley 2069 de 2020 conserva a grandes rasgos el procedimiento previsto en el derogado artículo 94 de la Ley 1474 de 2011, el cual define los aspectos generales del procedimiento contractual</w:t>
      </w:r>
      <w:r w:rsidRPr="005E7BA4">
        <w:rPr>
          <w:rFonts w:ascii="Arial" w:eastAsia="Calibri" w:hAnsi="Arial" w:cs="Arial"/>
          <w:bCs/>
          <w:color w:val="000000"/>
          <w:vertAlign w:val="superscript"/>
          <w:lang w:val="es-ES_tradnl"/>
        </w:rPr>
        <w:footnoteReference w:id="5"/>
      </w:r>
      <w:r w:rsidRPr="005E7BA4">
        <w:rPr>
          <w:rFonts w:ascii="Arial" w:eastAsia="Calibri" w:hAnsi="Arial" w:cs="Arial"/>
          <w:bCs/>
          <w:color w:val="000000"/>
          <w:lang w:val="es-ES_tradnl"/>
        </w:rPr>
        <w:t xml:space="preserve">. No obstante, aludiendo expresamente al desarrollo reglamentario, el parágrafo primero introduce el siguiente cambio: </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Las particularidades del procedimiento aquí previsto, así como la posibilidad que tengan las entidades de realizar estas adquisiciones </w:t>
      </w:r>
      <w:r w:rsidRPr="005E7BA4">
        <w:rPr>
          <w:rFonts w:ascii="Arial" w:eastAsia="Calibri" w:hAnsi="Arial" w:cs="Arial"/>
          <w:bCs/>
          <w:i/>
          <w:iCs/>
          <w:color w:val="000000"/>
          <w:lang w:val="es-ES_tradnl"/>
        </w:rPr>
        <w:t xml:space="preserve">a </w:t>
      </w:r>
      <w:proofErr w:type="spellStart"/>
      <w:r w:rsidRPr="005E7BA4">
        <w:rPr>
          <w:rFonts w:ascii="Arial" w:eastAsia="Calibri" w:hAnsi="Arial" w:cs="Arial"/>
          <w:bCs/>
          <w:i/>
          <w:iCs/>
          <w:color w:val="000000"/>
          <w:lang w:val="es-ES_tradnl"/>
        </w:rPr>
        <w:t>Mipymes</w:t>
      </w:r>
      <w:proofErr w:type="spellEnd"/>
      <w:r w:rsidRPr="005E7BA4">
        <w:rPr>
          <w:rFonts w:ascii="Arial" w:eastAsia="Calibri" w:hAnsi="Arial" w:cs="Arial"/>
          <w:bCs/>
          <w:color w:val="000000"/>
          <w:lang w:val="es-ES_tradnl"/>
        </w:rPr>
        <w:t xml:space="preserve"> o establecimientos que correspondan a la definición de "gran almacén" señalada por la Superintendencia de Industria y Comercio, se determinarán en el reglamento que para el efecto expida el Gobierno Nacional</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 (Énfasis fuera de texto). </w:t>
      </w:r>
    </w:p>
    <w:p w14:paraId="2A9C2725" w14:textId="77777777" w:rsidR="00381D63" w:rsidRPr="005E7BA4" w:rsidRDefault="00381D63" w:rsidP="00381D63">
      <w:pPr>
        <w:tabs>
          <w:tab w:val="left" w:pos="709"/>
        </w:tabs>
        <w:spacing w:after="120" w:line="276" w:lineRule="auto"/>
        <w:jc w:val="both"/>
        <w:rPr>
          <w:rFonts w:ascii="Arial" w:eastAsia="Calibri" w:hAnsi="Arial" w:cs="Arial"/>
          <w:bCs/>
          <w:color w:val="000000"/>
          <w:lang w:val="es-ES_tradnl"/>
        </w:rPr>
      </w:pPr>
      <w:r w:rsidRPr="005E7BA4">
        <w:rPr>
          <w:rFonts w:ascii="Arial" w:eastAsia="Calibri" w:hAnsi="Arial" w:cs="Arial"/>
          <w:bCs/>
          <w:color w:val="000000"/>
          <w:lang w:val="es-ES_tradnl"/>
        </w:rPr>
        <w:tab/>
        <w:t xml:space="preserve">Esta modificación es importante, pues antes de la Ley de Emprendimiento era imposible limitar a </w:t>
      </w:r>
      <w:proofErr w:type="spellStart"/>
      <w:r w:rsidRPr="005E7BA4">
        <w:rPr>
          <w:rFonts w:ascii="Arial" w:eastAsia="Calibri" w:hAnsi="Arial" w:cs="Arial"/>
          <w:bCs/>
          <w:color w:val="000000"/>
          <w:lang w:val="es-ES_tradnl"/>
        </w:rPr>
        <w:t>Mipyme</w:t>
      </w:r>
      <w:proofErr w:type="spellEnd"/>
      <w:r w:rsidRPr="005E7BA4">
        <w:rPr>
          <w:rFonts w:ascii="Arial" w:eastAsia="Calibri" w:hAnsi="Arial" w:cs="Arial"/>
          <w:bCs/>
          <w:color w:val="000000"/>
          <w:lang w:val="es-ES_tradnl"/>
        </w:rPr>
        <w:t xml:space="preserve"> la mínima cuantía, especialmente, cuando el artículo 94 la Ley 1474 de 2011 disponía que no era aplicable la Ley 816 de 2003, </w:t>
      </w:r>
      <w:r>
        <w:rPr>
          <w:rFonts w:ascii="Arial" w:eastAsia="Calibri" w:hAnsi="Arial" w:cs="Arial"/>
          <w:bCs/>
          <w:color w:val="000000"/>
          <w:lang w:val="es-ES_tradnl"/>
        </w:rPr>
        <w:t>“</w:t>
      </w:r>
      <w:r w:rsidRPr="005E7BA4">
        <w:rPr>
          <w:rFonts w:ascii="Arial" w:eastAsia="Calibri" w:hAnsi="Arial" w:cs="Arial"/>
          <w:bCs/>
          <w:color w:val="000000"/>
          <w:lang w:val="es-ES_tradnl"/>
        </w:rPr>
        <w:t>Por medio de la cual se apoya a la industria nacional a través de la contratación pública</w:t>
      </w:r>
      <w:r>
        <w:rPr>
          <w:rFonts w:ascii="Arial" w:eastAsia="Calibri" w:hAnsi="Arial" w:cs="Arial"/>
          <w:color w:val="000000"/>
          <w:lang w:val="es-ES_tradnl"/>
        </w:rPr>
        <w:t>”</w:t>
      </w:r>
      <w:r w:rsidRPr="005E7BA4">
        <w:rPr>
          <w:rFonts w:ascii="Arial" w:eastAsia="Calibri" w:hAnsi="Arial" w:cs="Arial"/>
          <w:color w:val="000000"/>
          <w:lang w:val="es-ES_tradnl"/>
        </w:rPr>
        <w:t xml:space="preserve">, ni </w:t>
      </w:r>
      <w:r w:rsidRPr="005E7BA4">
        <w:rPr>
          <w:rFonts w:ascii="Arial" w:eastAsia="Calibri" w:hAnsi="Arial" w:cs="Arial"/>
          <w:bCs/>
          <w:color w:val="000000"/>
          <w:lang w:val="es-ES_tradnl"/>
        </w:rPr>
        <w:t xml:space="preserve">el artículo 12 de la Ley 1150 de 2007, relacionado con la promoción del desarrollo en la contratación pública. A partir de la expedición del artículo 30, parágrafo 2, de la Ley 2069 de 2020, </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La contratación a que se refiere el presente artículo se realizará exclusivamente con las reglas en él contempladas y en su reglamentación. En particular no se aplicará lo previsto en la Ley 816 </w:t>
      </w:r>
      <w:r w:rsidRPr="005E7BA4">
        <w:rPr>
          <w:rFonts w:ascii="Arial" w:eastAsia="Calibri" w:hAnsi="Arial" w:cs="Arial"/>
          <w:bCs/>
          <w:color w:val="000000"/>
          <w:lang w:val="es-ES_tradnl"/>
        </w:rPr>
        <w:lastRenderedPageBreak/>
        <w:t>de 2003</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 Es decir, al no prohibir la aplicación del artículo 12 de la Ley 1150 de 2007, la norma –además de reiterar la importancia de su reglamentación posterior– permite las convocatorias limitadas a </w:t>
      </w:r>
      <w:proofErr w:type="spellStart"/>
      <w:r w:rsidRPr="005E7BA4">
        <w:rPr>
          <w:rFonts w:ascii="Arial" w:eastAsia="Calibri" w:hAnsi="Arial" w:cs="Arial"/>
          <w:bCs/>
          <w:color w:val="000000"/>
          <w:lang w:val="es-ES_tradnl"/>
        </w:rPr>
        <w:t>mipymes</w:t>
      </w:r>
      <w:proofErr w:type="spellEnd"/>
      <w:r w:rsidRPr="005E7BA4">
        <w:rPr>
          <w:rFonts w:ascii="Arial" w:eastAsia="Calibri" w:hAnsi="Arial" w:cs="Arial"/>
          <w:bCs/>
          <w:color w:val="000000"/>
          <w:lang w:val="es-ES_tradnl"/>
        </w:rPr>
        <w:t xml:space="preserve"> en esta modalidad de selección. Como se observa, el parágrafo 1 del artículo 30 de la Ley 2069 de 2020 dispone que el reglamento es importante para regular: i) las </w:t>
      </w:r>
      <w:r>
        <w:rPr>
          <w:rFonts w:ascii="Arial" w:eastAsia="Calibri" w:hAnsi="Arial" w:cs="Arial"/>
          <w:bCs/>
          <w:color w:val="000000"/>
          <w:lang w:val="es-ES_tradnl"/>
        </w:rPr>
        <w:t>“</w:t>
      </w:r>
      <w:r w:rsidRPr="005E7BA4">
        <w:rPr>
          <w:rFonts w:ascii="Arial" w:eastAsia="Calibri" w:hAnsi="Arial" w:cs="Arial"/>
          <w:bCs/>
          <w:color w:val="000000"/>
          <w:lang w:val="es-ES_tradnl"/>
        </w:rPr>
        <w:t>particularidades del procedimiento de selección</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 y ii) la posibilidad de realizar estas adquisiciones a </w:t>
      </w:r>
      <w:proofErr w:type="spellStart"/>
      <w:r w:rsidRPr="005E7BA4">
        <w:rPr>
          <w:rFonts w:ascii="Arial" w:eastAsia="Calibri" w:hAnsi="Arial" w:cs="Arial"/>
          <w:bCs/>
          <w:color w:val="000000"/>
          <w:lang w:val="es-ES_tradnl"/>
        </w:rPr>
        <w:t>mipymes</w:t>
      </w:r>
      <w:proofErr w:type="spellEnd"/>
      <w:r w:rsidRPr="005E7BA4">
        <w:rPr>
          <w:rFonts w:ascii="Arial" w:eastAsia="Calibri" w:hAnsi="Arial" w:cs="Arial"/>
          <w:bCs/>
          <w:color w:val="000000"/>
          <w:lang w:val="es-ES_tradnl"/>
        </w:rPr>
        <w:t xml:space="preserve"> o establecimientos que correspondan a la definición de </w:t>
      </w:r>
      <w:r>
        <w:rPr>
          <w:rFonts w:ascii="Arial" w:eastAsia="Calibri" w:hAnsi="Arial" w:cs="Arial"/>
          <w:bCs/>
          <w:color w:val="000000"/>
          <w:lang w:val="es-ES_tradnl"/>
        </w:rPr>
        <w:t>“</w:t>
      </w:r>
      <w:r w:rsidRPr="005E7BA4">
        <w:rPr>
          <w:rFonts w:ascii="Arial" w:eastAsia="Calibri" w:hAnsi="Arial" w:cs="Arial"/>
          <w:bCs/>
          <w:color w:val="000000"/>
          <w:lang w:val="es-ES_tradnl"/>
        </w:rPr>
        <w:t>gran almacén</w:t>
      </w:r>
      <w:r>
        <w:rPr>
          <w:rFonts w:ascii="Arial" w:eastAsia="Calibri" w:hAnsi="Arial" w:cs="Arial"/>
          <w:bCs/>
          <w:color w:val="000000"/>
          <w:lang w:val="es-ES_tradnl"/>
        </w:rPr>
        <w:t>”</w:t>
      </w:r>
      <w:r w:rsidRPr="005E7BA4">
        <w:rPr>
          <w:rFonts w:ascii="Arial" w:eastAsia="Calibri" w:hAnsi="Arial" w:cs="Arial"/>
          <w:bCs/>
          <w:color w:val="000000"/>
          <w:lang w:val="es-ES_tradnl"/>
        </w:rPr>
        <w:t>.</w:t>
      </w:r>
    </w:p>
    <w:p w14:paraId="439674B5" w14:textId="77777777" w:rsidR="00381D63" w:rsidRPr="005E7BA4" w:rsidRDefault="00381D63" w:rsidP="00381D63">
      <w:pPr>
        <w:tabs>
          <w:tab w:val="left" w:pos="709"/>
        </w:tabs>
        <w:spacing w:after="120" w:line="276" w:lineRule="auto"/>
        <w:ind w:firstLine="709"/>
        <w:jc w:val="both"/>
        <w:rPr>
          <w:rFonts w:ascii="Arial" w:eastAsia="Calibri" w:hAnsi="Arial" w:cs="Arial"/>
          <w:bCs/>
          <w:color w:val="000000"/>
        </w:rPr>
      </w:pPr>
      <w:r w:rsidRPr="005E7BA4">
        <w:rPr>
          <w:rFonts w:ascii="Arial" w:eastAsia="Calibri" w:hAnsi="Arial" w:cs="Arial"/>
          <w:bCs/>
          <w:color w:val="000000"/>
          <w:lang w:val="es-ES_tradnl"/>
        </w:rPr>
        <w:t xml:space="preserve">Con fundamento en lo anterior, </w:t>
      </w:r>
      <w:r w:rsidRPr="005E7BA4">
        <w:rPr>
          <w:rFonts w:ascii="Arial" w:eastAsia="Calibri" w:hAnsi="Arial" w:cs="Arial"/>
          <w:color w:val="000000"/>
          <w:lang w:val="es-ES_tradnl"/>
        </w:rPr>
        <w:t xml:space="preserve">el Gobierno Nacional expidió el Decreto 1860 del 24 de diciembre de 2021, </w:t>
      </w:r>
      <w:r>
        <w:rPr>
          <w:rFonts w:ascii="Arial" w:eastAsia="Calibri" w:hAnsi="Arial" w:cs="Arial"/>
          <w:bCs/>
          <w:color w:val="000000"/>
          <w:lang w:val="es-ES_tradnl"/>
        </w:rPr>
        <w:t>“</w:t>
      </w:r>
      <w:r w:rsidRPr="005E7BA4">
        <w:rPr>
          <w:rFonts w:ascii="Arial" w:eastAsia="Calibri" w:hAnsi="Arial" w:cs="Arial"/>
          <w:bCs/>
          <w:color w:val="000000"/>
          <w:lang w:val="es-ES_tradnl"/>
        </w:rPr>
        <w:t>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 El artículo 8 </w:t>
      </w:r>
      <w:r w:rsidRPr="005E7BA4">
        <w:rPr>
          <w:rFonts w:ascii="Arial" w:eastAsia="Calibri" w:hAnsi="Arial" w:cs="Arial"/>
          <w:bCs/>
          <w:i/>
          <w:iCs/>
          <w:color w:val="000000"/>
          <w:lang w:val="es-ES_tradnl"/>
        </w:rPr>
        <w:t>ibidem</w:t>
      </w:r>
      <w:r w:rsidRPr="005E7BA4">
        <w:rPr>
          <w:rFonts w:ascii="Arial" w:eastAsia="Calibri" w:hAnsi="Arial" w:cs="Arial"/>
          <w:bCs/>
          <w:color w:val="000000"/>
          <w:lang w:val="es-ES_tradnl"/>
        </w:rPr>
        <w:t xml:space="preserve"> sometió a un plazo la </w:t>
      </w:r>
      <w:proofErr w:type="gramStart"/>
      <w:r w:rsidRPr="005E7BA4">
        <w:rPr>
          <w:rFonts w:ascii="Arial" w:eastAsia="Calibri" w:hAnsi="Arial" w:cs="Arial"/>
          <w:bCs/>
          <w:color w:val="000000"/>
          <w:lang w:val="es-ES_tradnl"/>
        </w:rPr>
        <w:t>entrada en vigencia</w:t>
      </w:r>
      <w:proofErr w:type="gramEnd"/>
      <w:r w:rsidRPr="005E7BA4">
        <w:rPr>
          <w:rFonts w:ascii="Arial" w:eastAsia="Calibri" w:hAnsi="Arial" w:cs="Arial"/>
          <w:bCs/>
          <w:color w:val="000000"/>
          <w:lang w:val="es-ES_tradnl"/>
        </w:rPr>
        <w:t xml:space="preserve"> de sus disposiciones, al señalar que </w:t>
      </w:r>
      <w:r>
        <w:rPr>
          <w:rFonts w:ascii="Arial" w:eastAsia="Calibri" w:hAnsi="Arial" w:cs="Arial"/>
          <w:bCs/>
          <w:color w:val="000000"/>
          <w:lang w:val="es-ES_tradnl"/>
        </w:rPr>
        <w:t>“</w:t>
      </w:r>
      <w:r w:rsidRPr="005E7BA4">
        <w:rPr>
          <w:rFonts w:ascii="Arial" w:eastAsia="Calibri" w:hAnsi="Arial" w:cs="Arial"/>
          <w:bCs/>
          <w:color w:val="000000"/>
          <w:lang w:val="es-ES_tradnl"/>
        </w:rPr>
        <w:t>aplicarán a los procedimientos de selección cuya invitación, aviso de convocatoria o documento equivalente se publique a los tres (3) meses contados a partir de su expedición</w:t>
      </w:r>
      <w:r>
        <w:rPr>
          <w:rFonts w:ascii="Arial" w:eastAsia="Calibri" w:hAnsi="Arial" w:cs="Arial"/>
          <w:bCs/>
          <w:color w:val="000000"/>
          <w:lang w:val="es-ES_tradnl"/>
        </w:rPr>
        <w:t>”</w:t>
      </w:r>
      <w:r w:rsidRPr="005E7BA4">
        <w:rPr>
          <w:rFonts w:ascii="Arial" w:eastAsia="Calibri" w:hAnsi="Arial" w:cs="Arial"/>
          <w:bCs/>
          <w:color w:val="000000"/>
          <w:vertAlign w:val="superscript"/>
          <w:lang w:val="es-ES_tradnl"/>
        </w:rPr>
        <w:footnoteReference w:id="6"/>
      </w:r>
      <w:r w:rsidRPr="005E7BA4">
        <w:rPr>
          <w:rFonts w:ascii="Arial" w:eastAsia="Calibri" w:hAnsi="Arial" w:cs="Arial"/>
          <w:bCs/>
          <w:color w:val="000000"/>
        </w:rPr>
        <w:t xml:space="preserve">. </w:t>
      </w:r>
    </w:p>
    <w:p w14:paraId="7E081B6B" w14:textId="77777777" w:rsidR="00381D63" w:rsidRPr="005E7BA4" w:rsidRDefault="00381D63" w:rsidP="00381D63">
      <w:pPr>
        <w:tabs>
          <w:tab w:val="left" w:pos="709"/>
        </w:tabs>
        <w:spacing w:after="120" w:line="276" w:lineRule="auto"/>
        <w:ind w:firstLine="709"/>
        <w:jc w:val="both"/>
        <w:rPr>
          <w:rFonts w:ascii="Arial" w:eastAsia="Calibri" w:hAnsi="Arial" w:cs="Arial"/>
          <w:bCs/>
          <w:color w:val="000000"/>
          <w:lang w:val="es-ES_tradnl"/>
        </w:rPr>
      </w:pPr>
      <w:r w:rsidRPr="005E7BA4">
        <w:rPr>
          <w:rFonts w:ascii="Arial" w:eastAsia="Calibri" w:hAnsi="Arial" w:cs="Arial"/>
          <w:bCs/>
          <w:color w:val="000000"/>
          <w:lang w:val="es-ES_tradnl"/>
        </w:rPr>
        <w:t xml:space="preserve">Entre los aspectos reglamentados por el mencionado decreto se encuentra el procedimiento de mínima cuantía. Así las cosas, el artículo 2 modifica la Subsección 5 de la Sección 1 del Capítulo 2 del Título 1 de la Parte 2 del Libro 2 del Decreto 1082 de 2015, que se titula </w:t>
      </w:r>
      <w:r>
        <w:rPr>
          <w:rFonts w:ascii="Arial" w:eastAsia="Calibri" w:hAnsi="Arial" w:cs="Arial"/>
          <w:bCs/>
          <w:color w:val="000000"/>
          <w:lang w:val="es-ES_tradnl"/>
        </w:rPr>
        <w:t>“</w:t>
      </w:r>
      <w:r w:rsidRPr="005E7BA4">
        <w:rPr>
          <w:rFonts w:ascii="Arial" w:eastAsia="Calibri" w:hAnsi="Arial" w:cs="Arial"/>
          <w:bCs/>
          <w:color w:val="000000"/>
          <w:lang w:val="es-ES_tradnl"/>
        </w:rPr>
        <w:t>mínima cuantía</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 por lo que reglamenta esta modalidad de selección con fundamento en lo establecido en el artículo 30 de la Ley 2069 de 2020. Teniendo en cuenta lo anterior, la nueva Subsección 5 a que se hizo referencia contiene los siguientes artículos: i) 2.2.1.2.1.5.1. que se ocupa de desarrollar el contenido de los estudios previos para la contratación de mínima cuantía. ii) 2.2.1.2.1.5.2. que contiene el procedimiento general de la mínima cuantía, señalando el contenido mínimo de la </w:t>
      </w:r>
      <w:r>
        <w:rPr>
          <w:rFonts w:ascii="Arial" w:eastAsia="Calibri" w:hAnsi="Arial" w:cs="Arial"/>
          <w:bCs/>
          <w:color w:val="000000"/>
          <w:lang w:val="es-ES_tradnl"/>
        </w:rPr>
        <w:t>“</w:t>
      </w:r>
      <w:r w:rsidRPr="005E7BA4">
        <w:rPr>
          <w:rFonts w:ascii="Arial" w:eastAsia="Calibri" w:hAnsi="Arial" w:cs="Arial"/>
          <w:bCs/>
          <w:color w:val="000000"/>
          <w:lang w:val="es-ES_tradnl"/>
        </w:rPr>
        <w:t>invitación</w:t>
      </w:r>
      <w:r>
        <w:rPr>
          <w:rFonts w:ascii="Arial" w:eastAsia="Calibri" w:hAnsi="Arial" w:cs="Arial"/>
          <w:bCs/>
          <w:color w:val="000000"/>
          <w:lang w:val="es-ES_tradnl"/>
        </w:rPr>
        <w:t>”</w:t>
      </w:r>
      <w:r w:rsidRPr="005E7BA4">
        <w:rPr>
          <w:rFonts w:ascii="Arial" w:eastAsia="Calibri" w:hAnsi="Arial" w:cs="Arial"/>
          <w:bCs/>
          <w:color w:val="000000"/>
          <w:lang w:val="es-ES_tradnl"/>
        </w:rPr>
        <w:t xml:space="preserve"> y las distintas etapas y reglas que estructuran esta modalidad de selección, incluyendo la forma en que procederán las convocatorias limitadas a </w:t>
      </w:r>
      <w:proofErr w:type="spellStart"/>
      <w:r w:rsidRPr="005E7BA4">
        <w:rPr>
          <w:rFonts w:ascii="Arial" w:eastAsia="Calibri" w:hAnsi="Arial" w:cs="Arial"/>
          <w:bCs/>
          <w:color w:val="000000"/>
          <w:lang w:val="es-ES_tradnl"/>
        </w:rPr>
        <w:t>Mipyme</w:t>
      </w:r>
      <w:proofErr w:type="spellEnd"/>
      <w:r w:rsidRPr="005E7BA4">
        <w:rPr>
          <w:rFonts w:ascii="Arial" w:eastAsia="Calibri" w:hAnsi="Arial" w:cs="Arial"/>
          <w:bCs/>
          <w:color w:val="000000"/>
          <w:lang w:val="es-ES_tradnl"/>
        </w:rPr>
        <w:t xml:space="preserve">, de acuerdo con el mandato del parágrafo 1 del artículo 30 de la Ley 2069 de 2020. </w:t>
      </w:r>
      <w:proofErr w:type="spellStart"/>
      <w:r w:rsidRPr="005E7BA4">
        <w:rPr>
          <w:rFonts w:ascii="Arial" w:eastAsia="Calibri" w:hAnsi="Arial" w:cs="Arial"/>
          <w:bCs/>
          <w:color w:val="000000"/>
          <w:lang w:val="es-ES_tradnl"/>
        </w:rPr>
        <w:t>iii</w:t>
      </w:r>
      <w:proofErr w:type="spellEnd"/>
      <w:r w:rsidRPr="005E7BA4">
        <w:rPr>
          <w:rFonts w:ascii="Arial" w:eastAsia="Calibri" w:hAnsi="Arial" w:cs="Arial"/>
          <w:bCs/>
          <w:color w:val="000000"/>
          <w:lang w:val="es-ES_tradnl"/>
        </w:rPr>
        <w:t xml:space="preserve">) 2.2.1.2.1.5.3. que regula un procedimiento especial para las adquisiciones en grandes almacenes cuando se trate de mínima cuantía. </w:t>
      </w:r>
      <w:proofErr w:type="spellStart"/>
      <w:r w:rsidRPr="005E7BA4">
        <w:rPr>
          <w:rFonts w:ascii="Arial" w:eastAsia="Calibri" w:hAnsi="Arial" w:cs="Arial"/>
          <w:bCs/>
          <w:color w:val="000000"/>
          <w:lang w:val="es-ES_tradnl"/>
        </w:rPr>
        <w:t>iv</w:t>
      </w:r>
      <w:proofErr w:type="spellEnd"/>
      <w:r w:rsidRPr="005E7BA4">
        <w:rPr>
          <w:rFonts w:ascii="Arial" w:eastAsia="Calibri" w:hAnsi="Arial" w:cs="Arial"/>
          <w:bCs/>
          <w:color w:val="000000"/>
          <w:lang w:val="es-ES_tradnl"/>
        </w:rPr>
        <w:t xml:space="preserve">)  2.2.1.2.1.5.4. el cual establece la posibilidad de la Agencia Nacional de Contratación Pública – Colombia Compra Eficiente defina las reglas para la utilización de instrumentos de agregación de demanda en la Tienda Virtual del Estado Colombiano para adquisiciones </w:t>
      </w:r>
      <w:r w:rsidRPr="005E7BA4">
        <w:rPr>
          <w:rFonts w:ascii="Arial" w:eastAsia="Calibri" w:hAnsi="Arial" w:cs="Arial"/>
          <w:bCs/>
          <w:color w:val="000000"/>
          <w:lang w:val="es-ES_tradnl"/>
        </w:rPr>
        <w:lastRenderedPageBreak/>
        <w:t xml:space="preserve">hasta el monto de la mínima cuantía con </w:t>
      </w:r>
      <w:proofErr w:type="spellStart"/>
      <w:r w:rsidRPr="005E7BA4">
        <w:rPr>
          <w:rFonts w:ascii="Arial" w:eastAsia="Calibri" w:hAnsi="Arial" w:cs="Arial"/>
          <w:bCs/>
          <w:color w:val="000000"/>
          <w:lang w:val="es-ES_tradnl"/>
        </w:rPr>
        <w:t>Mipyme</w:t>
      </w:r>
      <w:proofErr w:type="spellEnd"/>
      <w:r w:rsidRPr="005E7BA4">
        <w:rPr>
          <w:rFonts w:ascii="Arial" w:eastAsia="Calibri" w:hAnsi="Arial" w:cs="Arial"/>
          <w:bCs/>
          <w:color w:val="000000"/>
          <w:lang w:val="es-ES_tradnl"/>
        </w:rPr>
        <w:t xml:space="preserve"> y con grandes almacenes. Y v) 2.2.1.2.1.5.5. el cual establece que la entidad estatal es libre de exigir o no garantías en el proceso de selección de mínima cuantía y en la adquisición de </w:t>
      </w:r>
      <w:r>
        <w:rPr>
          <w:rFonts w:ascii="Arial" w:eastAsia="Calibri" w:hAnsi="Arial" w:cs="Arial"/>
          <w:bCs/>
          <w:color w:val="000000"/>
          <w:lang w:val="es-ES_tradnl"/>
        </w:rPr>
        <w:t>“</w:t>
      </w:r>
      <w:r w:rsidRPr="005E7BA4">
        <w:rPr>
          <w:rFonts w:ascii="Arial" w:eastAsia="Calibri" w:hAnsi="Arial" w:cs="Arial"/>
          <w:bCs/>
          <w:color w:val="000000"/>
          <w:lang w:val="es-ES_tradnl"/>
        </w:rPr>
        <w:t>grandes almacenes</w:t>
      </w:r>
      <w:r>
        <w:rPr>
          <w:rFonts w:ascii="Arial" w:eastAsia="Calibri" w:hAnsi="Arial" w:cs="Arial"/>
          <w:bCs/>
          <w:color w:val="000000"/>
          <w:lang w:val="es-ES_tradnl"/>
        </w:rPr>
        <w:t>”</w:t>
      </w:r>
      <w:r w:rsidRPr="005E7BA4">
        <w:rPr>
          <w:rFonts w:ascii="Arial" w:eastAsia="Calibri" w:hAnsi="Arial" w:cs="Arial"/>
          <w:bCs/>
          <w:color w:val="000000"/>
          <w:lang w:val="es-ES_tradnl"/>
        </w:rPr>
        <w:t>.</w:t>
      </w:r>
    </w:p>
    <w:p w14:paraId="1810C5A5" w14:textId="77777777" w:rsidR="00381D63" w:rsidRPr="005E7BA4" w:rsidRDefault="00381D63" w:rsidP="00381D63">
      <w:pPr>
        <w:tabs>
          <w:tab w:val="left" w:pos="709"/>
        </w:tabs>
        <w:spacing w:after="120" w:line="276" w:lineRule="auto"/>
        <w:jc w:val="both"/>
        <w:rPr>
          <w:rFonts w:ascii="Arial" w:eastAsia="Calibri" w:hAnsi="Arial" w:cs="Arial"/>
          <w:color w:val="000000"/>
          <w:lang w:val="es-ES_tradnl"/>
        </w:rPr>
      </w:pPr>
      <w:r w:rsidRPr="005E7BA4">
        <w:rPr>
          <w:rFonts w:ascii="Arial" w:eastAsia="Calibri" w:hAnsi="Arial" w:cs="Arial"/>
          <w:bCs/>
          <w:color w:val="000000"/>
          <w:lang w:val="es-ES_tradnl"/>
        </w:rPr>
        <w:tab/>
        <w:t xml:space="preserve">De esta manera, el artículo 2 del Decreto 1860 del 24 de diciembre de 2021, que modifica los artículos del Decreto 1082 de 2015 expuestos en el párrafo anterior, constituye la reglamentación del artículo 30 de la Ley 2069 de 2020, al desarrollar las reglas aplicables a esta modalidad de selección. Como se indicó anteriormente, estas disposiciones rigen para los procedimientos de selección cuya invitación, </w:t>
      </w:r>
      <w:r w:rsidRPr="005E7BA4">
        <w:rPr>
          <w:rFonts w:ascii="Arial" w:eastAsia="Calibri" w:hAnsi="Arial" w:cs="Arial"/>
          <w:color w:val="000000"/>
          <w:lang w:val="es-ES_tradnl"/>
        </w:rPr>
        <w:t xml:space="preserve">aviso de convocatoria o documento equivalente se publique a los tres (3) meses contados a partir de su expedición. </w:t>
      </w:r>
    </w:p>
    <w:p w14:paraId="567B0276" w14:textId="77777777" w:rsidR="00381D63" w:rsidRPr="005E7BA4" w:rsidRDefault="00381D63" w:rsidP="00381D63">
      <w:pPr>
        <w:tabs>
          <w:tab w:val="left" w:pos="709"/>
        </w:tabs>
        <w:spacing w:after="120" w:line="276" w:lineRule="auto"/>
        <w:jc w:val="both"/>
        <w:rPr>
          <w:rFonts w:ascii="Arial" w:eastAsia="Calibri" w:hAnsi="Arial" w:cs="Arial"/>
          <w:color w:val="000000"/>
          <w:szCs w:val="24"/>
          <w:lang w:val="es-ES_tradnl" w:eastAsia="es-ES_tradnl"/>
        </w:rPr>
      </w:pPr>
      <w:r w:rsidRPr="005E7BA4">
        <w:rPr>
          <w:rFonts w:ascii="Arial" w:eastAsia="Calibri" w:hAnsi="Arial" w:cs="Arial"/>
          <w:color w:val="000000"/>
          <w:lang w:val="es-ES_tradnl"/>
        </w:rPr>
        <w:tab/>
      </w:r>
      <w:r w:rsidRPr="005E7BA4">
        <w:rPr>
          <w:rFonts w:ascii="Arial" w:eastAsia="Calibri" w:hAnsi="Arial" w:cs="Arial"/>
          <w:color w:val="000000"/>
          <w:szCs w:val="24"/>
          <w:lang w:val="es-ES_tradnl" w:eastAsia="es-ES_tradnl"/>
        </w:rPr>
        <w:t>La mínima cuantía es una modalidad de selección en virtud de la cual la entidad estatal realiza una convocatoria pública para recibir ofertas de bienes, obras o servicios cuyo valor no excede el diez por ciento (10%) de la menor cuantía. El factor determinante para llevar a cabo tal procedimiento es la cuantía –calculada como presupuesto oficial a partir del estudio del sector–, independientemente de su objeto</w:t>
      </w:r>
      <w:r w:rsidRPr="005E7BA4">
        <w:rPr>
          <w:rFonts w:ascii="Arial" w:eastAsia="Calibri" w:hAnsi="Arial" w:cs="Arial"/>
          <w:color w:val="000000"/>
          <w:szCs w:val="24"/>
          <w:vertAlign w:val="superscript"/>
          <w:lang w:val="es-ES_tradnl" w:eastAsia="es-ES_tradnl"/>
        </w:rPr>
        <w:footnoteReference w:id="7"/>
      </w:r>
      <w:r w:rsidRPr="005E7BA4">
        <w:rPr>
          <w:rFonts w:ascii="Arial" w:eastAsia="Calibri" w:hAnsi="Arial" w:cs="Arial"/>
          <w:color w:val="000000"/>
          <w:szCs w:val="24"/>
          <w:lang w:val="es-ES_tradnl" w:eastAsia="es-ES_tradnl"/>
        </w:rPr>
        <w:t xml:space="preserve">. </w:t>
      </w:r>
    </w:p>
    <w:p w14:paraId="481A598F" w14:textId="77777777" w:rsidR="00381D63" w:rsidRPr="005E7BA4" w:rsidRDefault="00381D63" w:rsidP="00381D63">
      <w:pPr>
        <w:spacing w:after="120" w:line="276" w:lineRule="auto"/>
        <w:ind w:firstLine="709"/>
        <w:jc w:val="both"/>
        <w:rPr>
          <w:rFonts w:ascii="Arial" w:eastAsia="Calibri" w:hAnsi="Arial" w:cs="Arial"/>
          <w:color w:val="000000"/>
          <w:lang w:val="es-ES_tradnl"/>
        </w:rPr>
      </w:pPr>
      <w:r w:rsidRPr="005E7BA4">
        <w:rPr>
          <w:rFonts w:ascii="Arial" w:eastAsia="Calibri" w:hAnsi="Arial" w:cs="Arial"/>
          <w:color w:val="000000"/>
          <w:szCs w:val="24"/>
          <w:lang w:val="es-ES_tradnl" w:eastAsia="es-ES_tradnl"/>
        </w:rPr>
        <w:t xml:space="preserve">Dicho de otro modo, la mínima cuantía es un procedimiento de selección </w:t>
      </w:r>
      <w:r>
        <w:rPr>
          <w:rFonts w:ascii="Arial" w:eastAsia="Calibri" w:hAnsi="Arial" w:cs="Arial"/>
          <w:color w:val="000000"/>
          <w:szCs w:val="24"/>
          <w:lang w:val="es-ES_tradnl" w:eastAsia="es-ES_tradnl"/>
        </w:rPr>
        <w:t>“</w:t>
      </w:r>
      <w:r w:rsidRPr="005E7BA4">
        <w:rPr>
          <w:rFonts w:ascii="Arial" w:eastAsia="Calibri" w:hAnsi="Arial" w:cs="Arial"/>
          <w:color w:val="000000"/>
          <w:szCs w:val="24"/>
          <w:lang w:val="es-ES_tradnl" w:eastAsia="es-ES_tradnl"/>
        </w:rPr>
        <w:t>exceptivo</w:t>
      </w:r>
      <w:r>
        <w:rPr>
          <w:rFonts w:ascii="Arial" w:eastAsia="Calibri" w:hAnsi="Arial" w:cs="Arial"/>
          <w:color w:val="000000"/>
          <w:szCs w:val="24"/>
          <w:lang w:val="es-ES_tradnl" w:eastAsia="es-ES_tradnl"/>
        </w:rPr>
        <w:t>”</w:t>
      </w:r>
      <w:r w:rsidRPr="005E7BA4">
        <w:rPr>
          <w:rFonts w:ascii="Arial" w:eastAsia="Calibri" w:hAnsi="Arial" w:cs="Arial"/>
          <w:color w:val="000000"/>
          <w:szCs w:val="24"/>
          <w:vertAlign w:val="superscript"/>
          <w:lang w:val="es-ES_tradnl" w:eastAsia="es-ES_tradnl"/>
        </w:rPr>
        <w:footnoteReference w:id="8"/>
      </w:r>
      <w:r w:rsidRPr="005E7BA4">
        <w:rPr>
          <w:rFonts w:ascii="Arial" w:eastAsia="Calibri" w:hAnsi="Arial" w:cs="Arial"/>
          <w:color w:val="000000"/>
          <w:szCs w:val="24"/>
          <w:lang w:val="es-ES_tradnl" w:eastAsia="es-ES_tradnl"/>
        </w:rPr>
        <w:t>, porque es una excepción adicional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5E7BA4">
        <w:rPr>
          <w:rFonts w:ascii="Arial" w:eastAsia="Calibri" w:hAnsi="Arial" w:cs="Arial"/>
          <w:color w:val="000000"/>
          <w:szCs w:val="24"/>
          <w:vertAlign w:val="superscript"/>
          <w:lang w:val="es-ES_tradnl" w:eastAsia="es-ES_tradnl"/>
        </w:rPr>
        <w:footnoteReference w:id="9"/>
      </w:r>
      <w:r w:rsidRPr="005E7BA4">
        <w:rPr>
          <w:rFonts w:ascii="Arial" w:eastAsia="Calibri" w:hAnsi="Arial" w:cs="Arial"/>
          <w:color w:val="000000"/>
          <w:szCs w:val="24"/>
          <w:lang w:val="es-ES_tradnl" w:eastAsia="es-ES_tradnl"/>
        </w:rPr>
        <w:t xml:space="preserve">, y lo segundo, porque </w:t>
      </w:r>
      <w:r w:rsidRPr="005E7BA4">
        <w:rPr>
          <w:rFonts w:ascii="Arial" w:eastAsia="Calibri" w:hAnsi="Arial" w:cs="Arial"/>
          <w:color w:val="000000"/>
          <w:szCs w:val="24"/>
          <w:lang w:val="es-ES_tradnl" w:eastAsia="es-ES_tradnl"/>
        </w:rPr>
        <w:lastRenderedPageBreak/>
        <w:t>sus requisitos, etapas y términos son especiales. En efecto, a partir de las modificaciones reguladas en el Decreto 1860 de 2021 los requisitos de la mínima cuantía pueden sintetizarse así:</w:t>
      </w:r>
    </w:p>
    <w:p w14:paraId="35EAA3FB"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i) La entidad estatal debe realizar los estudios previos en los que señale cuál es la necesidad que pretende satisfacer, el objeto del contrato, sus condiciones técnicas, el valor estimado, el plazo de ejecución y el certificado de disponibilidad presupuestal.</w:t>
      </w:r>
    </w:p>
    <w:p w14:paraId="05A1B6A5"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 xml:space="preserve">ii) Luego de surtir los trámites previos, la entidad debe publicar en el SECOP una invitación, señalando el objeto, las condiciones técnicas y el valor estimado del contrato, expresando además las razones que justifican el cálculo de la cuantía. Asimismo, deberá señalar la forma en la cual se acreditará la capacidad jurídica y la experiencia mínima, en caso de que esta se exija, así como el cumplimiento de las condiciones técnicas exigidas, incluyendo las obligaciones del futuro contrato. </w:t>
      </w:r>
    </w:p>
    <w:p w14:paraId="27E87EFB" w14:textId="77777777" w:rsidR="00381D63" w:rsidRPr="005E7BA4" w:rsidRDefault="00381D63" w:rsidP="00381D63">
      <w:pPr>
        <w:spacing w:after="120" w:line="276" w:lineRule="auto"/>
        <w:ind w:firstLine="709"/>
        <w:jc w:val="both"/>
        <w:rPr>
          <w:rFonts w:ascii="Arial" w:eastAsia="Calibri" w:hAnsi="Arial" w:cs="Arial"/>
          <w:szCs w:val="24"/>
          <w:lang w:eastAsia="es-ES_tradnl"/>
        </w:rPr>
      </w:pPr>
      <w:proofErr w:type="spellStart"/>
      <w:r w:rsidRPr="005E7BA4">
        <w:rPr>
          <w:rFonts w:ascii="Arial" w:eastAsia="Calibri" w:hAnsi="Arial" w:cs="Arial"/>
          <w:color w:val="000000"/>
          <w:szCs w:val="24"/>
          <w:lang w:val="es-ES_tradnl" w:eastAsia="es-ES_tradnl"/>
        </w:rPr>
        <w:t>iii</w:t>
      </w:r>
      <w:proofErr w:type="spellEnd"/>
      <w:r w:rsidRPr="005E7BA4">
        <w:rPr>
          <w:rFonts w:ascii="Arial" w:eastAsia="Calibri" w:hAnsi="Arial" w:cs="Arial"/>
          <w:color w:val="000000"/>
          <w:szCs w:val="24"/>
          <w:lang w:val="es-ES_tradnl" w:eastAsia="es-ES_tradnl"/>
        </w:rPr>
        <w:t xml:space="preserve">) La entidad podrá exigir una capacidad financiera mínima cuando no hace el pago contra entrega a satisfacción de los bienes, obras o servicios. En estos casos, la entidad deberá indicar la forma en la que hará la verificación correspondiente en la invitación. Cabe anotar que este aspecto </w:t>
      </w:r>
      <w:r w:rsidRPr="005E7BA4">
        <w:rPr>
          <w:rFonts w:ascii="Arial" w:eastAsia="Calibri" w:hAnsi="Arial" w:cs="Arial"/>
          <w:szCs w:val="24"/>
          <w:lang w:eastAsia="es-ES_tradnl"/>
        </w:rPr>
        <w:t xml:space="preserve">se encontraba regulado desde la disposición anterior y no hay ninguna modificación en su aplicación en el procedimiento de mínima cuantía reglamentado en el Decreto 1860 de 2021.  </w:t>
      </w:r>
    </w:p>
    <w:p w14:paraId="1D5C2F03" w14:textId="77777777" w:rsidR="00381D63" w:rsidRPr="005E7BA4" w:rsidRDefault="00381D63" w:rsidP="00381D63">
      <w:pPr>
        <w:spacing w:after="120" w:line="276" w:lineRule="auto"/>
        <w:ind w:firstLine="709"/>
        <w:jc w:val="both"/>
        <w:rPr>
          <w:rFonts w:ascii="Arial" w:eastAsia="Calibri" w:hAnsi="Arial" w:cs="Arial"/>
          <w:color w:val="000000"/>
          <w:szCs w:val="24"/>
          <w:lang w:val="es-ES" w:eastAsia="es-ES_tradnl"/>
        </w:rPr>
      </w:pPr>
      <w:r w:rsidRPr="005E7BA4">
        <w:rPr>
          <w:rFonts w:ascii="Arial" w:eastAsia="Calibri" w:hAnsi="Arial" w:cs="Arial"/>
          <w:color w:val="000000"/>
          <w:szCs w:val="24"/>
          <w:lang w:val="es-ES_tradnl" w:eastAsia="es-ES_tradnl"/>
        </w:rPr>
        <w:t xml:space="preserve">Es pertinente resaltar que en el evento en que la entidad determine la necesidad de exigir capacidad financiera en un proceso de mínima cuantía, no podrá requerir la presentación del RUP para realizar dicha verificación. En efecto, de conformidad con el artículo 6 de la Ley 1150 de 2007 </w:t>
      </w:r>
      <w:r w:rsidRPr="005E7BA4">
        <w:rPr>
          <w:rFonts w:ascii="Arial" w:eastAsia="Calibri" w:hAnsi="Arial" w:cs="Arial"/>
          <w:color w:val="000000"/>
          <w:szCs w:val="24"/>
          <w:lang w:val="es-ES" w:eastAsia="es-ES_tradnl"/>
        </w:rPr>
        <w:t xml:space="preserve">el RUP no es exigible en algunos procedimientos de contratación, como en la contratación directa, </w:t>
      </w:r>
      <w:r w:rsidRPr="005E7BA4">
        <w:rPr>
          <w:rFonts w:ascii="Arial" w:eastAsia="Calibri" w:hAnsi="Arial" w:cs="Arial"/>
          <w:i/>
          <w:iCs/>
          <w:color w:val="000000"/>
          <w:szCs w:val="24"/>
          <w:lang w:val="es-ES" w:eastAsia="es-ES_tradnl"/>
        </w:rPr>
        <w:t>la mínima cuantía</w:t>
      </w:r>
      <w:r w:rsidRPr="005E7BA4">
        <w:rPr>
          <w:rFonts w:ascii="Arial" w:eastAsia="Calibri" w:hAnsi="Arial" w:cs="Arial"/>
          <w:color w:val="000000"/>
          <w:szCs w:val="24"/>
          <w:lang w:val="es-ES" w:eastAsia="es-ES_tradnl"/>
        </w:rPr>
        <w:t>,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sidRPr="005E7BA4">
        <w:rPr>
          <w:rFonts w:ascii="Arial" w:eastAsia="Calibri" w:hAnsi="Arial" w:cs="Arial"/>
          <w:color w:val="000000"/>
          <w:szCs w:val="24"/>
          <w:vertAlign w:val="superscript"/>
          <w:lang w:val="es-ES" w:eastAsia="es-ES_tradnl"/>
        </w:rPr>
        <w:footnoteReference w:id="10"/>
      </w:r>
      <w:r w:rsidRPr="005E7BA4">
        <w:rPr>
          <w:rFonts w:ascii="Arial" w:eastAsia="Calibri" w:hAnsi="Arial" w:cs="Arial"/>
          <w:color w:val="000000"/>
          <w:szCs w:val="24"/>
          <w:lang w:val="es-ES" w:eastAsia="es-ES_tradnl"/>
        </w:rPr>
        <w:t xml:space="preserve">. </w:t>
      </w:r>
    </w:p>
    <w:p w14:paraId="74845908" w14:textId="77777777" w:rsidR="00381D63" w:rsidRPr="005E7BA4" w:rsidRDefault="00381D63" w:rsidP="00381D63">
      <w:pPr>
        <w:spacing w:after="120" w:line="276" w:lineRule="auto"/>
        <w:ind w:firstLine="709"/>
        <w:jc w:val="both"/>
        <w:rPr>
          <w:rFonts w:ascii="Arial" w:eastAsia="Calibri" w:hAnsi="Arial" w:cs="Arial"/>
          <w:color w:val="000000"/>
          <w:szCs w:val="24"/>
          <w:lang w:val="es-ES" w:eastAsia="es-ES_tradnl"/>
        </w:rPr>
      </w:pPr>
      <w:r w:rsidRPr="005E7BA4">
        <w:rPr>
          <w:rFonts w:ascii="Arial" w:eastAsia="Calibri" w:hAnsi="Arial" w:cs="Arial"/>
          <w:color w:val="000000"/>
          <w:szCs w:val="24"/>
          <w:lang w:val="es-ES" w:eastAsia="es-ES_tradnl"/>
        </w:rPr>
        <w:lastRenderedPageBreak/>
        <w:t>Por ello, las entidades estatales deben verificar directamente el cumplimiento de los requisitos habilitantes, como establece en inciso segundo del artículo 6 de la Ley 1150 de 2007. Las indicadas excepciones a la obligación general de inscribirse en el RUP para celebrar contratos con las entidades estatales sometidas al EGCAP, son de interpretación estricta. Esto también se fundamenta en el artículo 2.2.1.1.1.5.1 del Decreto 1082 de 2015, al prescribir que la inscripción en el RUP es imperativa para los sujetos mencionados en el primer inciso del artículo 6 de la Ley 1150 de 2007, salvo las excepciones previstas de forma taxativa en la ley</w:t>
      </w:r>
      <w:r w:rsidRPr="005E7BA4">
        <w:rPr>
          <w:rFonts w:ascii="Arial" w:eastAsia="Calibri" w:hAnsi="Arial" w:cs="Arial"/>
          <w:color w:val="000000"/>
          <w:szCs w:val="24"/>
          <w:vertAlign w:val="superscript"/>
          <w:lang w:val="es-ES" w:eastAsia="es-ES_tradnl"/>
        </w:rPr>
        <w:footnoteReference w:id="11"/>
      </w:r>
      <w:r w:rsidRPr="005E7BA4">
        <w:rPr>
          <w:rFonts w:ascii="Arial" w:eastAsia="Calibri" w:hAnsi="Arial" w:cs="Arial"/>
          <w:color w:val="000000"/>
          <w:szCs w:val="24"/>
          <w:lang w:val="es-ES" w:eastAsia="es-ES_tradnl"/>
        </w:rPr>
        <w:t xml:space="preserve">. </w:t>
      </w:r>
    </w:p>
    <w:p w14:paraId="14588B09" w14:textId="77777777" w:rsidR="00381D63" w:rsidRPr="005E7BA4" w:rsidRDefault="00381D63" w:rsidP="00381D63">
      <w:pPr>
        <w:spacing w:after="120" w:line="276" w:lineRule="auto"/>
        <w:ind w:firstLine="709"/>
        <w:jc w:val="both"/>
        <w:rPr>
          <w:rFonts w:ascii="Arial" w:eastAsia="Calibri" w:hAnsi="Arial" w:cs="Arial"/>
          <w:color w:val="000000"/>
          <w:szCs w:val="24"/>
          <w:lang w:val="es-ES" w:eastAsia="es-ES_tradnl"/>
        </w:rPr>
      </w:pPr>
      <w:r w:rsidRPr="005E7BA4">
        <w:rPr>
          <w:rFonts w:ascii="Arial" w:eastAsia="Calibri" w:hAnsi="Arial" w:cs="Arial"/>
          <w:color w:val="000000"/>
          <w:szCs w:val="24"/>
          <w:lang w:val="es-ES" w:eastAsia="es-ES_tradnl"/>
        </w:rPr>
        <w:t>En tal sentido, la evaluación de la capacidad financiera, así como el requisito de experiencia en los procesos de selección de mínima cuantía, cuando estas condiciones se requieran, se realizará en los términos establecidos en la invitación, pues las entidades estatales cuentan con discrecionalidad para regular este aspecto, de acuerdo con lo explicado, sin que sea posible exigir la presentación del RUP.</w:t>
      </w:r>
    </w:p>
    <w:p w14:paraId="23DA86F4" w14:textId="77777777" w:rsidR="00381D63" w:rsidRPr="005E7BA4" w:rsidRDefault="00381D63" w:rsidP="00381D63">
      <w:pPr>
        <w:spacing w:after="120" w:line="276" w:lineRule="auto"/>
        <w:ind w:firstLine="709"/>
        <w:jc w:val="both"/>
        <w:rPr>
          <w:rFonts w:ascii="Arial" w:eastAsia="Calibri" w:hAnsi="Arial" w:cs="Arial"/>
          <w:color w:val="000000"/>
          <w:szCs w:val="24"/>
          <w:lang w:val="es-ES" w:eastAsia="es-ES_tradnl"/>
        </w:rPr>
      </w:pPr>
      <w:proofErr w:type="spellStart"/>
      <w:r w:rsidRPr="005E7BA4">
        <w:rPr>
          <w:rFonts w:ascii="Arial" w:eastAsia="Calibri" w:hAnsi="Arial" w:cs="Arial"/>
          <w:color w:val="000000"/>
          <w:szCs w:val="24"/>
          <w:lang w:val="es-ES_tradnl" w:eastAsia="es-ES_tradnl"/>
        </w:rPr>
        <w:t>iv</w:t>
      </w:r>
      <w:proofErr w:type="spellEnd"/>
      <w:r w:rsidRPr="005E7BA4">
        <w:rPr>
          <w:rFonts w:ascii="Arial" w:eastAsia="Calibri" w:hAnsi="Arial" w:cs="Arial"/>
          <w:color w:val="000000"/>
          <w:szCs w:val="24"/>
          <w:lang w:val="es-ES_tradnl" w:eastAsia="es-ES_tradnl"/>
        </w:rPr>
        <w:t xml:space="preserve">) La invitación se debe publicar por un término no inferior a un (1) día hábil, para que </w:t>
      </w:r>
      <w:r w:rsidRPr="005E7BA4">
        <w:rPr>
          <w:rFonts w:ascii="Arial" w:eastAsia="Calibri" w:hAnsi="Arial" w:cs="Arial"/>
          <w:color w:val="000000"/>
          <w:szCs w:val="24"/>
          <w:lang w:eastAsia="es-ES_tradnl"/>
        </w:rPr>
        <w:t>los interesados se informen de su contenido y formulen observaciones o comentarios.</w:t>
      </w:r>
      <w:r w:rsidRPr="005E7BA4">
        <w:rPr>
          <w:rFonts w:ascii="Arial" w:eastAsia="Calibri" w:hAnsi="Arial" w:cs="Arial"/>
          <w:color w:val="000000"/>
          <w:szCs w:val="24"/>
          <w:lang w:val="es-ES_tradnl" w:eastAsia="es-ES_tradnl"/>
        </w:rPr>
        <w:t xml:space="preserve"> En este plazo </w:t>
      </w:r>
      <w:r w:rsidRPr="005E7BA4">
        <w:rPr>
          <w:rFonts w:ascii="Arial" w:eastAsia="Calibri" w:hAnsi="Arial" w:cs="Arial"/>
          <w:color w:val="000000"/>
          <w:szCs w:val="24"/>
          <w:lang w:eastAsia="es-ES_tradnl"/>
        </w:rPr>
        <w:t xml:space="preserve">se podrán presentar las solicitudes para limitar la convocatoria a </w:t>
      </w:r>
      <w:proofErr w:type="spellStart"/>
      <w:r w:rsidRPr="005E7BA4">
        <w:rPr>
          <w:rFonts w:ascii="Arial" w:eastAsia="Calibri" w:hAnsi="Arial" w:cs="Arial"/>
          <w:color w:val="000000"/>
          <w:szCs w:val="24"/>
          <w:lang w:eastAsia="es-ES_tradnl"/>
        </w:rPr>
        <w:t>Mipyme</w:t>
      </w:r>
      <w:proofErr w:type="spellEnd"/>
      <w:r w:rsidRPr="005E7BA4">
        <w:rPr>
          <w:rFonts w:ascii="Arial" w:eastAsia="Calibri" w:hAnsi="Arial" w:cs="Arial"/>
          <w:color w:val="000000"/>
          <w:szCs w:val="24"/>
          <w:lang w:eastAsia="es-ES_tradnl"/>
        </w:rPr>
        <w:t xml:space="preserve"> colombianas. Este último aspecto materializa la posibilidad de </w:t>
      </w:r>
      <w:r w:rsidRPr="005E7BA4">
        <w:rPr>
          <w:rFonts w:ascii="Arial" w:eastAsia="Calibri" w:hAnsi="Arial" w:cs="Arial"/>
          <w:bCs/>
          <w:color w:val="000000"/>
          <w:lang w:val="es-ES_tradnl"/>
        </w:rPr>
        <w:t xml:space="preserve">limitar las convocatorias a </w:t>
      </w:r>
      <w:proofErr w:type="spellStart"/>
      <w:r w:rsidRPr="005E7BA4">
        <w:rPr>
          <w:rFonts w:ascii="Arial" w:eastAsia="Calibri" w:hAnsi="Arial" w:cs="Arial"/>
          <w:bCs/>
          <w:color w:val="000000"/>
          <w:lang w:val="es-ES_tradnl"/>
        </w:rPr>
        <w:t>Mipyme</w:t>
      </w:r>
      <w:proofErr w:type="spellEnd"/>
      <w:r w:rsidRPr="005E7BA4">
        <w:rPr>
          <w:rFonts w:ascii="Arial" w:eastAsia="Calibri" w:hAnsi="Arial" w:cs="Arial"/>
          <w:color w:val="000000"/>
          <w:szCs w:val="24"/>
          <w:lang w:eastAsia="es-ES_tradnl"/>
        </w:rPr>
        <w:t xml:space="preserve"> en estos procesos de selección</w:t>
      </w:r>
      <w:r w:rsidRPr="005E7BA4">
        <w:rPr>
          <w:rFonts w:ascii="Arial" w:eastAsia="Calibri" w:hAnsi="Arial" w:cs="Arial"/>
          <w:bCs/>
          <w:color w:val="000000"/>
          <w:lang w:val="es-ES_tradnl"/>
        </w:rPr>
        <w:t>, conforme lo establece el artículo 30 de la Ley 2069 de 2020.</w:t>
      </w:r>
    </w:p>
    <w:p w14:paraId="1177F857"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 xml:space="preserve">v) Las observaciones que realicen los interesados deben responderse por la entidad estatal a más tardar antes del inicio del plazo para presentar las ofertas. </w:t>
      </w:r>
    </w:p>
    <w:p w14:paraId="427ECFD6"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 xml:space="preserve">vi) En la invitación se deberá incluir un cronograma que tenga en cuenta los términos mínimos establecidos en el artículo </w:t>
      </w:r>
      <w:r w:rsidRPr="005E7BA4">
        <w:rPr>
          <w:rFonts w:ascii="Arial" w:eastAsia="Calibri" w:hAnsi="Arial" w:cs="Arial"/>
          <w:bCs/>
          <w:color w:val="000000"/>
          <w:szCs w:val="24"/>
          <w:lang w:val="es-ES_tradnl" w:eastAsia="es-ES_tradnl"/>
        </w:rPr>
        <w:t>2.2.1.2.1.5.2. del Decreto 1082 de 2015</w:t>
      </w:r>
      <w:r w:rsidRPr="005E7BA4">
        <w:rPr>
          <w:rFonts w:ascii="Arial" w:eastAsia="Calibri" w:hAnsi="Arial" w:cs="Arial"/>
          <w:color w:val="000000"/>
          <w:szCs w:val="24"/>
          <w:lang w:eastAsia="es-ES_tradnl"/>
        </w:rPr>
        <w:t xml:space="preserve">, así como: a) el término dentro del cual la entidad responderá las observaciones; b)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c) el momento en que publicará un aviso en el SECOP precisando si el proceso efectivamente se limitó a </w:t>
      </w:r>
      <w:proofErr w:type="spellStart"/>
      <w:r w:rsidRPr="005E7BA4">
        <w:rPr>
          <w:rFonts w:ascii="Arial" w:eastAsia="Calibri" w:hAnsi="Arial" w:cs="Arial"/>
          <w:color w:val="000000"/>
          <w:szCs w:val="24"/>
          <w:lang w:eastAsia="es-ES_tradnl"/>
        </w:rPr>
        <w:t>Mipyme</w:t>
      </w:r>
      <w:proofErr w:type="spellEnd"/>
      <w:r w:rsidRPr="005E7BA4">
        <w:rPr>
          <w:rFonts w:ascii="Arial" w:eastAsia="Calibri" w:hAnsi="Arial" w:cs="Arial"/>
          <w:color w:val="000000"/>
          <w:szCs w:val="24"/>
          <w:lang w:eastAsia="es-ES_tradnl"/>
        </w:rPr>
        <w:t xml:space="preserve"> o si podrá participar cualquier otro interesado; d) </w:t>
      </w:r>
      <w:r w:rsidRPr="005E7BA4">
        <w:rPr>
          <w:rFonts w:ascii="Arial" w:eastAsia="Calibri" w:hAnsi="Arial" w:cs="Arial"/>
          <w:color w:val="000000"/>
          <w:szCs w:val="24"/>
          <w:lang w:eastAsia="es-ES_tradnl"/>
        </w:rPr>
        <w:lastRenderedPageBreak/>
        <w:t xml:space="preserve">finalmente, se dispondrá un término adicional dentro del cual los proponentes podrán presentar sus ofertas, el cual será de mínimo un (1) día hábil luego de publicado el aviso en que se informe si el proceso se limita o no a </w:t>
      </w:r>
      <w:proofErr w:type="spellStart"/>
      <w:r w:rsidRPr="005E7BA4">
        <w:rPr>
          <w:rFonts w:ascii="Arial" w:eastAsia="Calibri" w:hAnsi="Arial" w:cs="Arial"/>
          <w:color w:val="000000"/>
          <w:szCs w:val="24"/>
          <w:lang w:eastAsia="es-ES_tradnl"/>
        </w:rPr>
        <w:t>Mipyme</w:t>
      </w:r>
      <w:proofErr w:type="spellEnd"/>
      <w:r w:rsidRPr="005E7BA4">
        <w:rPr>
          <w:rFonts w:ascii="Arial" w:eastAsia="Calibri" w:hAnsi="Arial" w:cs="Arial"/>
          <w:color w:val="000000"/>
          <w:szCs w:val="24"/>
          <w:lang w:eastAsia="es-ES_tradnl"/>
        </w:rPr>
        <w:t>.</w:t>
      </w:r>
    </w:p>
    <w:p w14:paraId="15F8215B"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proofErr w:type="spellStart"/>
      <w:r w:rsidRPr="005E7BA4">
        <w:rPr>
          <w:rFonts w:ascii="Arial" w:eastAsia="Calibri" w:hAnsi="Arial" w:cs="Arial"/>
          <w:color w:val="000000"/>
          <w:szCs w:val="24"/>
          <w:lang w:val="es-ES_tradnl" w:eastAsia="es-ES_tradnl"/>
        </w:rPr>
        <w:t>vii</w:t>
      </w:r>
      <w:proofErr w:type="spellEnd"/>
      <w:r w:rsidRPr="005E7BA4">
        <w:rPr>
          <w:rFonts w:ascii="Arial" w:eastAsia="Calibri" w:hAnsi="Arial" w:cs="Arial"/>
          <w:color w:val="000000"/>
          <w:szCs w:val="24"/>
          <w:lang w:val="es-ES_tradnl" w:eastAsia="es-ES_tradnl"/>
        </w:rPr>
        <w:t>) Presentadas las propuestas, la entidad estatal debe revisar las ofertas económicas y verificar que la del menor precio cumpla con los requisitos de participación. Si no los satisface, debe revisar la oferta económica en el segundo mejor precio y así sucesivamente. Esto significa que en la mínima cuantía el precio es el único factor de calificación o asignación de puntaje</w:t>
      </w:r>
      <w:r w:rsidRPr="005E7BA4">
        <w:rPr>
          <w:rFonts w:ascii="Arial" w:eastAsia="Calibri" w:hAnsi="Arial" w:cs="Arial"/>
          <w:color w:val="000000"/>
          <w:szCs w:val="24"/>
          <w:vertAlign w:val="superscript"/>
          <w:lang w:val="es-ES_tradnl" w:eastAsia="es-ES_tradnl"/>
        </w:rPr>
        <w:footnoteReference w:id="12"/>
      </w:r>
      <w:r w:rsidRPr="005E7BA4">
        <w:rPr>
          <w:rFonts w:ascii="Arial" w:eastAsia="Calibri" w:hAnsi="Arial" w:cs="Arial"/>
          <w:color w:val="000000"/>
          <w:szCs w:val="24"/>
          <w:lang w:val="es-ES_tradnl" w:eastAsia="es-ES_tradnl"/>
        </w:rPr>
        <w:t xml:space="preserve">. </w:t>
      </w:r>
    </w:p>
    <w:p w14:paraId="6B246703"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r w:rsidRPr="005E7BA4">
        <w:rPr>
          <w:rFonts w:ascii="Arial" w:eastAsia="Calibri" w:hAnsi="Arial" w:cs="Arial"/>
          <w:color w:val="000000"/>
          <w:szCs w:val="24"/>
          <w:lang w:eastAsia="es-ES_tradnl"/>
        </w:rPr>
        <w:t>Respecto de los requisitos de participación, las entidades deberán otorgar la oportunidad para subsanar las ofertas en los términos del artículo </w:t>
      </w:r>
      <w:hyperlink r:id="rId12" w:anchor="5" w:history="1">
        <w:r w:rsidRPr="005E7BA4">
          <w:rPr>
            <w:rFonts w:ascii="Arial" w:eastAsia="Calibri" w:hAnsi="Arial" w:cs="Arial"/>
            <w:color w:val="000000"/>
            <w:szCs w:val="24"/>
            <w:lang w:eastAsia="es-ES_tradnl"/>
          </w:rPr>
          <w:t>5 </w:t>
        </w:r>
      </w:hyperlink>
      <w:r w:rsidRPr="005E7BA4">
        <w:rPr>
          <w:rFonts w:ascii="Arial" w:eastAsia="Calibri" w:hAnsi="Arial" w:cs="Arial"/>
          <w:color w:val="000000"/>
          <w:szCs w:val="24"/>
          <w:lang w:eastAsia="es-ES_tradnl"/>
        </w:rPr>
        <w:t>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p>
    <w:p w14:paraId="6E90DED0"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proofErr w:type="spellStart"/>
      <w:r w:rsidRPr="005E7BA4">
        <w:rPr>
          <w:rFonts w:ascii="Arial" w:eastAsia="Calibri" w:hAnsi="Arial" w:cs="Arial"/>
          <w:color w:val="000000"/>
          <w:szCs w:val="24"/>
          <w:lang w:val="es-ES_tradnl" w:eastAsia="es-ES_tradnl"/>
        </w:rPr>
        <w:t>viii</w:t>
      </w:r>
      <w:proofErr w:type="spellEnd"/>
      <w:r w:rsidRPr="005E7BA4">
        <w:rPr>
          <w:rFonts w:ascii="Arial" w:eastAsia="Calibri" w:hAnsi="Arial" w:cs="Arial"/>
          <w:color w:val="000000"/>
          <w:szCs w:val="24"/>
          <w:lang w:val="es-ES_tradnl" w:eastAsia="es-ES_tradnl"/>
        </w:rPr>
        <w:t>) El informe de evaluación se debe publicar durante mínimo un (1) día hábil.</w:t>
      </w:r>
    </w:p>
    <w:p w14:paraId="46C0D42A"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proofErr w:type="spellStart"/>
      <w:r w:rsidRPr="005E7BA4">
        <w:rPr>
          <w:rFonts w:ascii="Arial" w:eastAsia="Calibri" w:hAnsi="Arial" w:cs="Arial"/>
          <w:color w:val="000000"/>
          <w:szCs w:val="24"/>
          <w:lang w:val="es-ES_tradnl" w:eastAsia="es-ES_tradnl"/>
        </w:rPr>
        <w:t>ix</w:t>
      </w:r>
      <w:proofErr w:type="spellEnd"/>
      <w:r w:rsidRPr="005E7BA4">
        <w:rPr>
          <w:rFonts w:ascii="Arial" w:eastAsia="Calibri" w:hAnsi="Arial" w:cs="Arial"/>
          <w:color w:val="000000"/>
          <w:szCs w:val="24"/>
          <w:lang w:val="es-ES_tradnl" w:eastAsia="es-ES_tradnl"/>
        </w:rPr>
        <w:t xml:space="preserve">) </w:t>
      </w:r>
      <w:r w:rsidRPr="005E7BA4">
        <w:rPr>
          <w:rFonts w:ascii="Arial" w:eastAsia="Calibri" w:hAnsi="Arial" w:cs="Arial"/>
          <w:color w:val="000000"/>
          <w:szCs w:val="24"/>
          <w:lang w:eastAsia="es-ES_tradnl"/>
        </w:rPr>
        <w:t>La entidad debe aceptar la oferta de menor precio, siempre que cumpla con las condiciones establecidas en la invitación a participar en procesos de mínima cuantía. En la aceptación de la oferta, la entidad debe informar al contratista el nombre del supervisor o interventor del contrato.</w:t>
      </w:r>
      <w:r w:rsidRPr="005E7BA4">
        <w:rPr>
          <w:rFonts w:ascii="Arial" w:eastAsia="Calibri" w:hAnsi="Arial" w:cs="Arial"/>
          <w:color w:val="000000"/>
          <w:szCs w:val="24"/>
          <w:lang w:val="es-ES_tradnl" w:eastAsia="es-ES_tradnl"/>
        </w:rPr>
        <w:t xml:space="preserve"> En tal sentido, el contrato se perfecciona con la comunicación de aceptación de la oferta que envía la entidad estatal al proponente que presentó la oferta económica de menor precio, no requiriéndose, entonces, de la suscripción de una minuta. </w:t>
      </w:r>
    </w:p>
    <w:p w14:paraId="6E9819CF" w14:textId="77777777" w:rsidR="00381D63" w:rsidRPr="005E7BA4" w:rsidRDefault="00381D63" w:rsidP="00381D63">
      <w:pPr>
        <w:spacing w:after="120" w:line="276" w:lineRule="auto"/>
        <w:ind w:firstLine="709"/>
        <w:jc w:val="both"/>
        <w:rPr>
          <w:rFonts w:ascii="Arial" w:eastAsia="Calibri" w:hAnsi="Arial" w:cs="Arial"/>
          <w:color w:val="000000"/>
          <w:szCs w:val="24"/>
          <w:lang w:val="es-ES_tradnl" w:eastAsia="es-ES_tradnl"/>
        </w:rPr>
      </w:pPr>
      <w:r w:rsidRPr="005E7BA4">
        <w:rPr>
          <w:rFonts w:ascii="Arial" w:eastAsia="Calibri" w:hAnsi="Arial" w:cs="Arial"/>
          <w:color w:val="000000"/>
          <w:szCs w:val="24"/>
          <w:lang w:val="es-ES_tradnl" w:eastAsia="es-ES_tradnl"/>
        </w:rPr>
        <w:t>x) De existir empate, l</w:t>
      </w:r>
      <w:r w:rsidRPr="005E7BA4">
        <w:rPr>
          <w:rFonts w:ascii="Arial" w:eastAsia="Calibri" w:hAnsi="Arial" w:cs="Arial"/>
          <w:color w:val="000000"/>
          <w:szCs w:val="24"/>
          <w:lang w:eastAsia="es-ES_tradnl"/>
        </w:rPr>
        <w:t>a entidad aplicará los criterios de que trata el artículo </w:t>
      </w:r>
      <w:hyperlink r:id="rId13" w:anchor="35" w:history="1">
        <w:r w:rsidRPr="005E7BA4">
          <w:rPr>
            <w:rFonts w:ascii="Arial" w:eastAsia="Calibri" w:hAnsi="Arial" w:cs="Arial"/>
            <w:color w:val="000000"/>
            <w:szCs w:val="24"/>
            <w:lang w:eastAsia="es-ES_tradnl"/>
          </w:rPr>
          <w:t>35 </w:t>
        </w:r>
      </w:hyperlink>
      <w:r w:rsidRPr="005E7BA4">
        <w:rPr>
          <w:rFonts w:ascii="Arial" w:eastAsia="Calibri" w:hAnsi="Arial" w:cs="Arial"/>
          <w:color w:val="000000"/>
          <w:szCs w:val="24"/>
          <w:lang w:eastAsia="es-ES_tradnl"/>
        </w:rPr>
        <w:t>de la Ley 2069 de 2020, conforme a los medíos de acreditación del artículo 2.2.1.2.4.2.17. del Decreto 1082 de 2015 o las normas que los modifiquen, adicionen o sustituyan.</w:t>
      </w:r>
      <w:r w:rsidRPr="005E7BA4">
        <w:rPr>
          <w:rFonts w:ascii="Arial" w:eastAsia="Calibri" w:hAnsi="Arial" w:cs="Arial"/>
          <w:szCs w:val="24"/>
          <w:lang w:val="es-ES_tradnl" w:eastAsia="es-ES_tradnl"/>
        </w:rPr>
        <w:t xml:space="preserve"> Esta disposición se ajusta a la nueva regulación de criterios de desempate establecida en el artículo 35 de la Ley 2069 de 2020.</w:t>
      </w:r>
    </w:p>
    <w:p w14:paraId="5C231023" w14:textId="77777777" w:rsidR="00381D63" w:rsidRPr="005E7BA4" w:rsidRDefault="00381D63" w:rsidP="00381D63">
      <w:pPr>
        <w:spacing w:after="0" w:line="276" w:lineRule="auto"/>
        <w:ind w:firstLine="708"/>
        <w:jc w:val="both"/>
        <w:rPr>
          <w:rFonts w:ascii="Arial" w:eastAsia="Calibri" w:hAnsi="Arial" w:cs="Arial"/>
          <w:szCs w:val="24"/>
          <w:lang w:eastAsia="es-ES_tradnl"/>
        </w:rPr>
      </w:pPr>
      <w:r w:rsidRPr="005E7BA4">
        <w:rPr>
          <w:rFonts w:ascii="Arial" w:eastAsia="Calibri" w:hAnsi="Arial" w:cs="Arial"/>
          <w:szCs w:val="24"/>
          <w:lang w:eastAsia="es-ES_tradnl"/>
        </w:rPr>
        <w:t xml:space="preserve">En esta medida, el procedimiento de selección de mínima cuantía está regulado en el artículo 2, numeral 5, de la Ley 1150 de 2007 y en el Libro 2, Parte 2, Título 1, Capítulo 2, Sección 1, Subsección 5 del Decreto 1082 de 2015, modificado por el Decreto 1860 de 2021, con la particularidad de que el trámite solo sigue las reglas señaladas, razón por la cual no es posible aplicar disposiciones diferentes a las allí previstas. </w:t>
      </w:r>
    </w:p>
    <w:p w14:paraId="482EE4F5" w14:textId="77777777" w:rsidR="00381D63" w:rsidRPr="005E7BA4" w:rsidRDefault="00381D63" w:rsidP="00381D63">
      <w:pPr>
        <w:spacing w:after="0" w:line="276" w:lineRule="auto"/>
        <w:ind w:firstLine="709"/>
        <w:jc w:val="both"/>
        <w:rPr>
          <w:rFonts w:ascii="Arial" w:eastAsia="Calibri" w:hAnsi="Arial" w:cs="Arial"/>
          <w:szCs w:val="24"/>
          <w:lang w:val="es-MX" w:eastAsia="es-ES_tradnl"/>
        </w:rPr>
      </w:pPr>
    </w:p>
    <w:p w14:paraId="4A126777" w14:textId="77777777" w:rsidR="00381D63" w:rsidRPr="005E7BA4" w:rsidRDefault="00381D63" w:rsidP="00381D63">
      <w:pPr>
        <w:tabs>
          <w:tab w:val="left" w:pos="709"/>
        </w:tabs>
        <w:spacing w:after="0" w:line="276" w:lineRule="auto"/>
        <w:jc w:val="both"/>
        <w:outlineLvl w:val="0"/>
        <w:rPr>
          <w:rFonts w:ascii="Arial" w:eastAsia="Calibri" w:hAnsi="Arial" w:cs="Arial"/>
          <w:b/>
          <w:bCs/>
          <w:lang w:val="es-ES_tradnl" w:eastAsia="es-ES_tradnl"/>
        </w:rPr>
      </w:pPr>
      <w:r w:rsidRPr="005E7BA4">
        <w:rPr>
          <w:rFonts w:ascii="Arial" w:eastAsia="Calibri" w:hAnsi="Arial" w:cs="Arial"/>
          <w:b/>
          <w:bCs/>
          <w:color w:val="000000"/>
          <w:lang w:val="es-ES_tradnl" w:eastAsia="es-ES_tradnl"/>
        </w:rPr>
        <w:t xml:space="preserve">2.2. </w:t>
      </w:r>
      <w:r w:rsidRPr="005E7BA4">
        <w:rPr>
          <w:rFonts w:ascii="Arial" w:eastAsia="Calibri" w:hAnsi="Arial" w:cs="Arial"/>
          <w:b/>
          <w:bCs/>
          <w:lang w:val="es-ES_tradnl" w:eastAsia="es-ES_tradnl"/>
        </w:rPr>
        <w:t>Regulación de las c</w:t>
      </w:r>
      <w:r w:rsidRPr="005E7BA4">
        <w:rPr>
          <w:rFonts w:ascii="Arial" w:eastAsia="Times New Roman" w:hAnsi="Arial" w:cs="Arial"/>
          <w:b/>
          <w:bCs/>
          <w:lang w:val="es-ES_tradnl" w:eastAsia="es-ES_tradnl"/>
        </w:rPr>
        <w:t xml:space="preserve">onvocatorias limitadas a </w:t>
      </w:r>
      <w:proofErr w:type="spellStart"/>
      <w:r w:rsidRPr="005E7BA4">
        <w:rPr>
          <w:rFonts w:ascii="Arial" w:eastAsia="Times New Roman" w:hAnsi="Arial" w:cs="Arial"/>
          <w:b/>
          <w:bCs/>
          <w:lang w:val="es-ES_tradnl" w:eastAsia="es-ES_tradnl"/>
        </w:rPr>
        <w:t>Mipyme</w:t>
      </w:r>
      <w:proofErr w:type="spellEnd"/>
      <w:r w:rsidRPr="005E7BA4">
        <w:rPr>
          <w:rFonts w:ascii="Arial" w:eastAsia="Calibri" w:hAnsi="Arial" w:cs="Arial"/>
          <w:b/>
          <w:bCs/>
          <w:lang w:val="es-ES_tradnl" w:eastAsia="es-ES_tradnl"/>
        </w:rPr>
        <w:t xml:space="preserve"> en el artículo 34 de la Ley 2069 de 2020 y en el Decreto 1860 de 2021 </w:t>
      </w:r>
    </w:p>
    <w:p w14:paraId="3F181F9D" w14:textId="77777777" w:rsidR="00381D63" w:rsidRPr="005E7BA4" w:rsidRDefault="00381D63" w:rsidP="00381D63">
      <w:pPr>
        <w:spacing w:after="0" w:line="276" w:lineRule="auto"/>
        <w:jc w:val="both"/>
        <w:rPr>
          <w:rFonts w:ascii="Arial" w:eastAsia="Calibri" w:hAnsi="Arial" w:cs="Arial"/>
          <w:b/>
          <w:bCs/>
          <w:color w:val="000000"/>
          <w:lang w:val="es-ES_tradnl" w:eastAsia="es-ES_tradnl"/>
        </w:rPr>
      </w:pPr>
    </w:p>
    <w:p w14:paraId="1B81ACA5" w14:textId="77777777" w:rsidR="00381D63" w:rsidRPr="005E7BA4" w:rsidRDefault="00381D63" w:rsidP="00381D63">
      <w:pPr>
        <w:spacing w:after="120" w:line="276" w:lineRule="auto"/>
        <w:jc w:val="both"/>
        <w:rPr>
          <w:rFonts w:ascii="Arial" w:eastAsia="Calibri" w:hAnsi="Arial" w:cs="Arial"/>
          <w:lang w:val="es-ES_tradnl" w:eastAsia="es-ES_tradnl"/>
        </w:rPr>
      </w:pPr>
      <w:r w:rsidRPr="005E7BA4">
        <w:rPr>
          <w:rFonts w:ascii="Arial" w:eastAsia="Calibri" w:hAnsi="Arial" w:cs="Arial"/>
          <w:lang w:val="es-ES_tradnl" w:eastAsia="es-ES_tradnl"/>
        </w:rPr>
        <w:t xml:space="preserve">Conforme a lo explicado por esta Agencia desde el Concepto </w:t>
      </w:r>
      <w:r w:rsidRPr="005E7BA4">
        <w:rPr>
          <w:rFonts w:ascii="Arial" w:eastAsia="Calibri" w:hAnsi="Arial" w:cs="Arial"/>
          <w:lang w:eastAsia="es-ES_tradnl"/>
        </w:rPr>
        <w:t>C-043 del 9 de febrero de 2021</w:t>
      </w:r>
      <w:r w:rsidRPr="005E7BA4">
        <w:rPr>
          <w:rFonts w:ascii="Arial" w:eastAsia="Calibri" w:hAnsi="Arial" w:cs="Arial"/>
          <w:lang w:val="es-ES_tradnl" w:eastAsia="es-ES_tradnl"/>
        </w:rPr>
        <w:t xml:space="preserve">, postura reiterada en conceptos posteriores, el artículo 34 de la Ley 2069 de 2020 que establece nuevas reglas sobre la promoción al desarrollo en la contratación estatal, sustituyó íntegramente el contenido del artículo 12 de la Ley 1150 de 2007, por lo que frente a esta última norma se produjo el fenómeno de la subrogación. De acuerdo con lo anterior, el artículo 2.2.1.2.4.2.2 original del Decreto 1082 de 2015 –antes del Decreto 1860 de 2021–, que hasta la expedición de la Ley 2069 de 2020 regulaba las convocatorias limitadas a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carecía de vigencia, porque su contenido era contrario al artículo 34 de la Ley 2069 de 2020. En tal sentido, ha perdido fuerza ejecutoria, de conformidad con el artículo 91.2 de la Ley 1437 de 2011, el cual establece que los actos administrativos –categoría que, como es sabido, incluye los decretos reglamentarios– dejan de ser obligatorios o decaen </w:t>
      </w:r>
      <w:r>
        <w:rPr>
          <w:rFonts w:ascii="Arial" w:eastAsia="Calibri" w:hAnsi="Arial" w:cs="Arial"/>
          <w:lang w:val="es-ES_tradnl" w:eastAsia="es-ES_tradnl"/>
        </w:rPr>
        <w:t>“</w:t>
      </w:r>
      <w:r w:rsidRPr="005E7BA4">
        <w:rPr>
          <w:rFonts w:ascii="Arial" w:eastAsia="Calibri" w:hAnsi="Arial" w:cs="Arial"/>
          <w:lang w:val="es-ES_tradnl" w:eastAsia="es-ES_tradnl"/>
        </w:rPr>
        <w:t>Cuando desaparezcan sus fundamentos de hecho o de derecho</w:t>
      </w:r>
      <w:r>
        <w:rPr>
          <w:rFonts w:ascii="Arial" w:eastAsia="Calibri" w:hAnsi="Arial" w:cs="Arial"/>
          <w:lang w:val="es-ES_tradnl" w:eastAsia="es-ES_tradnl"/>
        </w:rPr>
        <w:t>”</w:t>
      </w:r>
      <w:r w:rsidRPr="005E7BA4">
        <w:rPr>
          <w:rFonts w:ascii="Arial" w:eastAsia="Calibri" w:hAnsi="Arial" w:cs="Arial"/>
          <w:lang w:val="es-ES_tradnl" w:eastAsia="es-ES_tradnl"/>
        </w:rPr>
        <w:t xml:space="preserve">. </w:t>
      </w:r>
    </w:p>
    <w:p w14:paraId="58C8EAEA" w14:textId="77777777" w:rsidR="00381D63" w:rsidRPr="005E7BA4" w:rsidRDefault="00381D63" w:rsidP="00381D63">
      <w:pPr>
        <w:spacing w:after="120" w:line="276" w:lineRule="auto"/>
        <w:ind w:firstLine="709"/>
        <w:jc w:val="both"/>
        <w:rPr>
          <w:rFonts w:ascii="Arial" w:eastAsia="Calibri" w:hAnsi="Arial" w:cs="Arial"/>
          <w:lang w:eastAsia="es-ES_tradnl"/>
        </w:rPr>
      </w:pPr>
      <w:r w:rsidRPr="005E7BA4">
        <w:rPr>
          <w:rFonts w:ascii="Arial" w:eastAsia="Calibri" w:hAnsi="Arial" w:cs="Arial"/>
          <w:lang w:eastAsia="es-ES_tradnl"/>
        </w:rPr>
        <w:t xml:space="preserve">Además de la pérdida de fuerza ejecutoria de la redacción original de los artículos 2.2.1.2.4.2.2 y 2.2.1.2.4.2.3 del Decreto 1082 de 2015 por la desaparición de su fundamento de derecho, también se advirtió una manifiesta oposición entre dichos enunciados normativos y el nuevo contenido del artículo 12 de la Ley 1150 de 2007, modificado por el artículo 34 de la Ley 2069 de 2020. Ante esta contradicción, debía aplicarse la consecuencia jurídica prevista en el artículo 84 de la Ley 2069 de 2020, según la cual </w:t>
      </w:r>
      <w:proofErr w:type="spellStart"/>
      <w:r w:rsidRPr="005E7BA4">
        <w:rPr>
          <w:rFonts w:ascii="Arial" w:eastAsia="Calibri" w:hAnsi="Arial" w:cs="Arial"/>
          <w:lang w:eastAsia="es-ES_tradnl"/>
        </w:rPr>
        <w:t>esta</w:t>
      </w:r>
      <w:proofErr w:type="spellEnd"/>
      <w:r w:rsidRPr="005E7BA4">
        <w:rPr>
          <w:rFonts w:ascii="Arial" w:eastAsia="Calibri" w:hAnsi="Arial" w:cs="Arial"/>
          <w:lang w:eastAsia="es-ES_tradnl"/>
        </w:rPr>
        <w:t xml:space="preserve"> </w:t>
      </w:r>
      <w:r>
        <w:rPr>
          <w:rFonts w:ascii="Arial" w:eastAsia="Calibri" w:hAnsi="Arial" w:cs="Arial"/>
          <w:lang w:eastAsia="es-ES_tradnl"/>
        </w:rPr>
        <w:t>“</w:t>
      </w:r>
      <w:r w:rsidRPr="005E7BA4">
        <w:rPr>
          <w:rFonts w:ascii="Arial" w:eastAsia="Calibri" w:hAnsi="Arial" w:cs="Arial"/>
          <w:lang w:eastAsia="es-ES_tradnl"/>
        </w:rPr>
        <w:t>deroga […] todas las disposiciones que le sean contrarias</w:t>
      </w:r>
      <w:r>
        <w:rPr>
          <w:rFonts w:ascii="Arial" w:eastAsia="Calibri" w:hAnsi="Arial" w:cs="Arial"/>
          <w:lang w:eastAsia="es-ES_tradnl"/>
        </w:rPr>
        <w:t>”</w:t>
      </w:r>
      <w:r w:rsidRPr="005E7BA4">
        <w:rPr>
          <w:rFonts w:ascii="Arial" w:eastAsia="Calibri" w:hAnsi="Arial" w:cs="Arial"/>
          <w:lang w:eastAsia="es-ES_tradnl"/>
        </w:rPr>
        <w:t xml:space="preserve">. Por ello, puede afirmarse que, además del decaimiento de los artículos 2.2.1.2.4.2.2 y 2.2.1.2.4.2.3 originales del Decreto 1082 de 2015 –antes de la modificación del Decreto 1860–, se entendieron derogados, de acuerdo con el artículo 84 </w:t>
      </w:r>
      <w:proofErr w:type="spellStart"/>
      <w:r w:rsidRPr="005E7BA4">
        <w:rPr>
          <w:rFonts w:ascii="Arial" w:eastAsia="Calibri" w:hAnsi="Arial" w:cs="Arial"/>
          <w:i/>
          <w:iCs/>
          <w:lang w:eastAsia="es-ES_tradnl"/>
        </w:rPr>
        <w:t>ibídem</w:t>
      </w:r>
      <w:proofErr w:type="spellEnd"/>
      <w:r w:rsidRPr="005E7BA4">
        <w:rPr>
          <w:rFonts w:ascii="Arial" w:eastAsia="Calibri" w:hAnsi="Arial" w:cs="Arial"/>
          <w:lang w:eastAsia="es-ES_tradnl"/>
        </w:rPr>
        <w:t xml:space="preserve">. </w:t>
      </w:r>
    </w:p>
    <w:p w14:paraId="2EE8FCF5" w14:textId="77777777" w:rsidR="00381D63" w:rsidRPr="005E7BA4" w:rsidRDefault="00381D63" w:rsidP="00381D63">
      <w:pPr>
        <w:spacing w:after="120" w:line="276" w:lineRule="auto"/>
        <w:ind w:firstLine="709"/>
        <w:jc w:val="both"/>
        <w:rPr>
          <w:rFonts w:ascii="Arial" w:eastAsia="Calibri" w:hAnsi="Arial" w:cs="Arial"/>
          <w:lang w:val="es-ES" w:eastAsia="es-ES_tradnl"/>
        </w:rPr>
      </w:pPr>
      <w:r w:rsidRPr="005E7BA4">
        <w:rPr>
          <w:rFonts w:ascii="Arial" w:eastAsia="Calibri" w:hAnsi="Arial" w:cs="Arial"/>
          <w:lang w:val="es-ES" w:eastAsia="es-ES_tradnl"/>
        </w:rPr>
        <w:t xml:space="preserve">Adicionalmente, el artículo 34 de la Ley de Emprendimiento no es una norma de aplicación directa y contempla supuestos que no estaban previstos en el Decreto 1082 de 2015 original –antes de la modificación realizada por el Decreto 1860 de 2021–. Particularmente, conforme al artículo 2.2.1.2.4.2.2 </w:t>
      </w:r>
      <w:proofErr w:type="spellStart"/>
      <w:r w:rsidRPr="005E7BA4">
        <w:rPr>
          <w:rFonts w:ascii="Arial" w:eastAsia="Calibri" w:hAnsi="Arial" w:cs="Arial"/>
          <w:i/>
          <w:lang w:val="es-ES" w:eastAsia="es-ES_tradnl"/>
        </w:rPr>
        <w:t>ibídem</w:t>
      </w:r>
      <w:proofErr w:type="spellEnd"/>
      <w:r w:rsidRPr="005E7BA4">
        <w:rPr>
          <w:rFonts w:ascii="Arial" w:eastAsia="Calibri" w:hAnsi="Arial" w:cs="Arial"/>
          <w:lang w:val="es-ES" w:eastAsia="es-ES_tradnl"/>
        </w:rPr>
        <w:t xml:space="preserve">, las convocatorias limitadas únicamente eran obligatorias en la licitación pública, selección abreviada y concurso de méritos de las entidades sometidas a la Ley 80 de 1993, siempre que la entidad contratante recibiera solicitudes de limitación de por lo menos tres (3) </w:t>
      </w:r>
      <w:proofErr w:type="spellStart"/>
      <w:r w:rsidRPr="005E7BA4">
        <w:rPr>
          <w:rFonts w:ascii="Arial" w:eastAsia="Calibri" w:hAnsi="Arial" w:cs="Arial"/>
          <w:lang w:val="es-ES" w:eastAsia="es-ES_tradnl"/>
        </w:rPr>
        <w:t>mipymes</w:t>
      </w:r>
      <w:proofErr w:type="spellEnd"/>
      <w:r w:rsidRPr="005E7BA4">
        <w:rPr>
          <w:rFonts w:ascii="Arial" w:eastAsia="Calibri" w:hAnsi="Arial" w:cs="Arial"/>
          <w:lang w:val="es-ES" w:eastAsia="es-ES_tradnl"/>
        </w:rPr>
        <w:t xml:space="preserve"> nacionales. Frente a este escenario, surge la necesidad de expedir una nueva reglamentación para las convocatorias limitadas que desarrolle los nuevos elementos previstos en la ley, regulación que se concretó mediante el Decreto 1860 del 24 de diciembre de 2021. </w:t>
      </w:r>
    </w:p>
    <w:p w14:paraId="3B3D16B3" w14:textId="77777777" w:rsidR="00381D63" w:rsidRPr="005E7BA4" w:rsidRDefault="00381D63" w:rsidP="00381D63">
      <w:pPr>
        <w:spacing w:after="120" w:line="276" w:lineRule="auto"/>
        <w:ind w:firstLine="709"/>
        <w:jc w:val="both"/>
        <w:rPr>
          <w:rFonts w:ascii="Arial" w:eastAsia="Times New Roman" w:hAnsi="Arial" w:cs="Arial"/>
          <w:bCs/>
          <w:lang w:eastAsia="es-ES"/>
        </w:rPr>
      </w:pPr>
      <w:r w:rsidRPr="005E7BA4">
        <w:rPr>
          <w:rFonts w:ascii="Arial" w:eastAsia="Times New Roman" w:hAnsi="Arial" w:cs="Arial"/>
          <w:bCs/>
          <w:lang w:val="es-ES_tradnl" w:eastAsia="es-ES"/>
        </w:rPr>
        <w:t xml:space="preserve">En efecto, el artículo 5 del Decreto 1860 de 2021 modificó </w:t>
      </w:r>
      <w:r w:rsidRPr="005E7BA4">
        <w:rPr>
          <w:rFonts w:ascii="Arial" w:eastAsia="Times New Roman" w:hAnsi="Arial" w:cs="Arial"/>
          <w:bCs/>
          <w:lang w:eastAsia="es-ES"/>
        </w:rPr>
        <w:t xml:space="preserve">los artículos 2.2.1.2.4.2.2., 2.2.1.2.4.2.3. y 2.2.1.2.4.2.4. de la Subsección 2 de la Sección 4 del Capítulo 2 del Título 1 </w:t>
      </w:r>
      <w:r w:rsidRPr="005E7BA4">
        <w:rPr>
          <w:rFonts w:ascii="Arial" w:eastAsia="Times New Roman" w:hAnsi="Arial" w:cs="Arial"/>
          <w:bCs/>
          <w:lang w:eastAsia="es-ES"/>
        </w:rPr>
        <w:lastRenderedPageBreak/>
        <w:t>de la Parte 2 del Libro 2 del Decreto 1082 de 2015, reglamentando</w:t>
      </w:r>
      <w:r w:rsidRPr="005E7BA4">
        <w:rPr>
          <w:rFonts w:ascii="Arial" w:eastAsia="Times New Roman" w:hAnsi="Arial" w:cs="Arial"/>
          <w:bCs/>
          <w:lang w:val="es-ES_tradnl" w:eastAsia="es-ES"/>
        </w:rPr>
        <w:t xml:space="preserve"> las convocatorias limitadas a </w:t>
      </w:r>
      <w:proofErr w:type="spellStart"/>
      <w:r w:rsidRPr="005E7BA4">
        <w:rPr>
          <w:rFonts w:ascii="Arial" w:eastAsia="Times New Roman" w:hAnsi="Arial" w:cs="Arial"/>
          <w:bCs/>
          <w:lang w:val="es-ES_tradnl" w:eastAsia="es-ES"/>
        </w:rPr>
        <w:t>Mipyme</w:t>
      </w:r>
      <w:proofErr w:type="spellEnd"/>
      <w:r w:rsidRPr="005E7BA4">
        <w:rPr>
          <w:rFonts w:ascii="Arial" w:eastAsia="Times New Roman" w:hAnsi="Arial" w:cs="Arial"/>
          <w:bCs/>
          <w:lang w:val="es-ES_tradnl" w:eastAsia="es-ES"/>
        </w:rPr>
        <w:t xml:space="preserve">, con fundamento en lo establecido en el artículo 34 de la Ley 2069 de 2020. Esta nueva Subsección 2 contempla los siguientes aspectos: i) requisitos para limitar la convocatoria de los </w:t>
      </w:r>
      <w:r w:rsidRPr="005E7BA4">
        <w:rPr>
          <w:rFonts w:ascii="Arial" w:eastAsia="Times New Roman" w:hAnsi="Arial" w:cs="Arial"/>
          <w:bCs/>
          <w:lang w:eastAsia="es-ES"/>
        </w:rPr>
        <w:t>procesos de contratación con pluralidad de oferentes</w:t>
      </w:r>
      <w:r w:rsidRPr="005E7BA4">
        <w:rPr>
          <w:rFonts w:ascii="Arial" w:eastAsia="Times New Roman" w:hAnsi="Arial" w:cs="Arial"/>
          <w:bCs/>
          <w:lang w:val="es-ES_tradnl" w:eastAsia="es-ES"/>
        </w:rPr>
        <w:t xml:space="preserve"> a las </w:t>
      </w:r>
      <w:proofErr w:type="spellStart"/>
      <w:r w:rsidRPr="005E7BA4">
        <w:rPr>
          <w:rFonts w:ascii="Arial" w:eastAsia="Times New Roman" w:hAnsi="Arial" w:cs="Arial"/>
          <w:bCs/>
          <w:lang w:val="es-ES_tradnl" w:eastAsia="es-ES"/>
        </w:rPr>
        <w:t>Mipyme</w:t>
      </w:r>
      <w:proofErr w:type="spellEnd"/>
      <w:r w:rsidRPr="005E7BA4">
        <w:rPr>
          <w:rFonts w:ascii="Arial" w:eastAsia="Times New Roman" w:hAnsi="Arial" w:cs="Arial"/>
          <w:bCs/>
          <w:lang w:val="es-ES_tradnl" w:eastAsia="es-ES"/>
        </w:rPr>
        <w:t xml:space="preserve"> colombianas con mínimo un (1) año de existencia – artículo </w:t>
      </w:r>
      <w:r w:rsidRPr="005E7BA4">
        <w:rPr>
          <w:rFonts w:ascii="Arial" w:eastAsia="Times New Roman" w:hAnsi="Arial" w:cs="Arial"/>
          <w:bCs/>
          <w:lang w:eastAsia="es-ES"/>
        </w:rPr>
        <w:t>2.2.1.2.4.2.2-</w:t>
      </w:r>
      <w:r w:rsidRPr="005E7BA4">
        <w:rPr>
          <w:rFonts w:ascii="Arial" w:eastAsia="Times New Roman" w:hAnsi="Arial" w:cs="Arial"/>
          <w:bCs/>
          <w:lang w:val="es-ES_tradnl" w:eastAsia="es-ES"/>
        </w:rPr>
        <w:t xml:space="preserve"> , ii) desarrolla las </w:t>
      </w:r>
      <w:r w:rsidRPr="005E7BA4">
        <w:rPr>
          <w:rFonts w:ascii="Arial" w:eastAsia="Times New Roman" w:hAnsi="Arial" w:cs="Arial"/>
          <w:bCs/>
          <w:lang w:eastAsia="es-ES"/>
        </w:rPr>
        <w:t xml:space="preserve">convocatorias limitadas a </w:t>
      </w:r>
      <w:proofErr w:type="spellStart"/>
      <w:r w:rsidRPr="005E7BA4">
        <w:rPr>
          <w:rFonts w:ascii="Arial" w:eastAsia="Times New Roman" w:hAnsi="Arial" w:cs="Arial"/>
          <w:bCs/>
          <w:lang w:eastAsia="es-ES"/>
        </w:rPr>
        <w:t>Mipyme</w:t>
      </w:r>
      <w:proofErr w:type="spellEnd"/>
      <w:r w:rsidRPr="005E7BA4">
        <w:rPr>
          <w:rFonts w:ascii="Arial" w:eastAsia="Times New Roman" w:hAnsi="Arial" w:cs="Arial"/>
          <w:bCs/>
          <w:lang w:eastAsia="es-ES"/>
        </w:rPr>
        <w:t xml:space="preserve"> colombianas que tengan domicilio en los departamentos o municipios en donde se va a ejecutar el contrato – artículo 2.2.1.2.4.2.3.,</w:t>
      </w:r>
      <w:r w:rsidRPr="005E7BA4">
        <w:rPr>
          <w:rFonts w:ascii="Arial" w:eastAsia="Times New Roman" w:hAnsi="Arial" w:cs="Arial"/>
          <w:bCs/>
          <w:lang w:val="es-ES_tradnl" w:eastAsia="es-ES"/>
        </w:rPr>
        <w:t xml:space="preserve"> y </w:t>
      </w:r>
      <w:proofErr w:type="spellStart"/>
      <w:r w:rsidRPr="005E7BA4">
        <w:rPr>
          <w:rFonts w:ascii="Arial" w:eastAsia="Times New Roman" w:hAnsi="Arial" w:cs="Arial"/>
          <w:bCs/>
          <w:lang w:val="es-ES_tradnl" w:eastAsia="es-ES"/>
        </w:rPr>
        <w:t>iii</w:t>
      </w:r>
      <w:proofErr w:type="spellEnd"/>
      <w:r w:rsidRPr="005E7BA4">
        <w:rPr>
          <w:rFonts w:ascii="Arial" w:eastAsia="Times New Roman" w:hAnsi="Arial" w:cs="Arial"/>
          <w:bCs/>
          <w:lang w:val="es-ES_tradnl" w:eastAsia="es-ES"/>
        </w:rPr>
        <w:t xml:space="preserve">) </w:t>
      </w:r>
      <w:r w:rsidRPr="005E7BA4">
        <w:rPr>
          <w:rFonts w:ascii="Arial" w:eastAsia="Times New Roman" w:hAnsi="Arial" w:cs="Arial"/>
          <w:bCs/>
          <w:lang w:eastAsia="es-ES"/>
        </w:rPr>
        <w:t>regula la acreditación de requisitos para participar en convocatorias limitadas – artículo 2.2.1.2.4.2.4-</w:t>
      </w:r>
    </w:p>
    <w:p w14:paraId="319CA6BF" w14:textId="77777777" w:rsidR="00381D63" w:rsidRPr="005E7BA4" w:rsidRDefault="00381D63" w:rsidP="00381D63">
      <w:pPr>
        <w:spacing w:after="120" w:line="276" w:lineRule="auto"/>
        <w:ind w:firstLine="709"/>
        <w:jc w:val="both"/>
        <w:rPr>
          <w:rFonts w:ascii="Arial" w:eastAsia="Times New Roman" w:hAnsi="Arial" w:cs="Arial"/>
          <w:bCs/>
          <w:lang w:val="es-ES_tradnl" w:eastAsia="es-ES"/>
        </w:rPr>
      </w:pPr>
      <w:r w:rsidRPr="005E7BA4">
        <w:rPr>
          <w:rFonts w:ascii="Arial" w:eastAsia="Times New Roman" w:hAnsi="Arial" w:cs="Arial"/>
          <w:bCs/>
          <w:lang w:val="es-ES_tradnl" w:eastAsia="es-ES"/>
        </w:rPr>
        <w:t xml:space="preserve">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005E7BA4">
        <w:rPr>
          <w:rFonts w:ascii="Arial" w:eastAsia="Times New Roman" w:hAnsi="Arial" w:cs="Arial"/>
          <w:bCs/>
          <w:lang w:val="es-ES_tradnl" w:eastAsia="es-ES"/>
        </w:rPr>
        <w:t>Mipyme</w:t>
      </w:r>
      <w:proofErr w:type="spellEnd"/>
      <w:r w:rsidRPr="005E7BA4">
        <w:rPr>
          <w:rFonts w:ascii="Arial" w:eastAsia="Times New Roman" w:hAnsi="Arial" w:cs="Arial"/>
          <w:bCs/>
          <w:lang w:val="es-ES_tradnl" w:eastAsia="es-ES"/>
        </w:rPr>
        <w:t>,</w:t>
      </w:r>
      <w:r w:rsidRPr="005E7BA4">
        <w:rPr>
          <w:rFonts w:ascii="Arial" w:eastAsia="Calibri" w:hAnsi="Arial" w:cs="Arial"/>
          <w:lang w:val="es-ES_tradnl" w:eastAsia="es-ES_tradnl"/>
        </w:rPr>
        <w:t xml:space="preserve"> </w:t>
      </w:r>
      <w:r w:rsidRPr="005E7BA4">
        <w:rPr>
          <w:rFonts w:ascii="Arial" w:eastAsia="Times New Roman" w:hAnsi="Arial" w:cs="Arial"/>
          <w:bCs/>
          <w:lang w:val="es-ES_tradnl" w:eastAsia="es-ES"/>
        </w:rPr>
        <w:t xml:space="preserve">disposición que entró a regir desde el pasado 24 de marzo de 2022, pues, como se indicó, </w:t>
      </w:r>
      <w:r w:rsidRPr="005E7BA4">
        <w:rPr>
          <w:rFonts w:ascii="Arial" w:eastAsia="Calibri" w:hAnsi="Arial" w:cs="Arial"/>
          <w:lang w:val="es-ES_tradnl" w:eastAsia="es-ES_tradnl"/>
        </w:rPr>
        <w:t>el artículo 8 de dicho decreto sometió su vigencia al transcurso del periodo de 3 meses siguientes a su expedición.</w:t>
      </w:r>
    </w:p>
    <w:p w14:paraId="61B5BF6E" w14:textId="77777777" w:rsidR="00381D63" w:rsidRPr="005E7BA4" w:rsidRDefault="00381D63" w:rsidP="00381D63">
      <w:pPr>
        <w:spacing w:after="0" w:line="276" w:lineRule="auto"/>
        <w:ind w:firstLine="709"/>
        <w:jc w:val="both"/>
        <w:rPr>
          <w:rFonts w:ascii="Arial" w:eastAsia="Arial" w:hAnsi="Arial" w:cs="Arial"/>
          <w:color w:val="000000"/>
          <w:lang w:eastAsia="es-ES_tradnl"/>
        </w:rPr>
      </w:pPr>
      <w:r w:rsidRPr="005E7BA4">
        <w:rPr>
          <w:rFonts w:ascii="Arial" w:eastAsia="Arial" w:hAnsi="Arial" w:cs="Arial"/>
          <w:color w:val="000000"/>
          <w:lang w:eastAsia="es-ES_tradnl"/>
        </w:rPr>
        <w:t xml:space="preserve">En este contexto, el artículo 2.2.1.2.4.2.2. del Decreto 1082 de 2015 –modificado por el Decreto 1860 de 2021– establece los requisitos que se deben acreditar en las </w:t>
      </w:r>
      <w:r>
        <w:rPr>
          <w:rFonts w:ascii="Arial" w:eastAsia="Arial" w:hAnsi="Arial" w:cs="Arial"/>
          <w:color w:val="000000"/>
          <w:lang w:eastAsia="es-ES_tradnl"/>
        </w:rPr>
        <w:t>“</w:t>
      </w:r>
      <w:r w:rsidRPr="005E7BA4">
        <w:rPr>
          <w:rFonts w:ascii="Arial" w:eastAsia="Arial" w:hAnsi="Arial" w:cs="Arial"/>
          <w:color w:val="000000"/>
          <w:lang w:eastAsia="es-ES_tradnl"/>
        </w:rPr>
        <w:t xml:space="preserve">convocatorias limitadas a </w:t>
      </w:r>
      <w:proofErr w:type="spellStart"/>
      <w:r w:rsidRPr="005E7BA4">
        <w:rPr>
          <w:rFonts w:ascii="Arial" w:eastAsia="Arial" w:hAnsi="Arial" w:cs="Arial"/>
          <w:color w:val="000000"/>
          <w:lang w:eastAsia="es-ES_tradnl"/>
        </w:rPr>
        <w:t>Mipymes</w:t>
      </w:r>
      <w:proofErr w:type="spellEnd"/>
      <w:r>
        <w:rPr>
          <w:rFonts w:ascii="Arial" w:eastAsia="Arial" w:hAnsi="Arial" w:cs="Arial"/>
          <w:color w:val="000000"/>
          <w:lang w:eastAsia="es-ES_tradnl"/>
        </w:rPr>
        <w:t>”</w:t>
      </w:r>
      <w:r w:rsidRPr="005E7BA4">
        <w:rPr>
          <w:rFonts w:ascii="Arial" w:eastAsia="Arial" w:hAnsi="Arial" w:cs="Arial"/>
          <w:color w:val="000000"/>
          <w:lang w:eastAsia="es-ES_tradnl"/>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5E7BA4">
        <w:rPr>
          <w:rFonts w:ascii="Arial" w:eastAsia="Arial" w:hAnsi="Arial" w:cs="Arial"/>
          <w:color w:val="000000"/>
          <w:lang w:eastAsia="es-ES_tradnl"/>
        </w:rPr>
        <w:t>Mipyme</w:t>
      </w:r>
      <w:proofErr w:type="spellEnd"/>
      <w:r w:rsidRPr="005E7BA4">
        <w:rPr>
          <w:rFonts w:ascii="Arial" w:eastAsia="Arial" w:hAnsi="Arial" w:cs="Arial"/>
          <w:color w:val="000000"/>
          <w:lang w:eastAsia="es-ES_tradnl"/>
        </w:rPr>
        <w:t xml:space="preserve"> colombianas con mínimo un (1) año de existencia, siempre que se cumplan los requisitos señalados allí. Al respecto indica lo siguiente: </w:t>
      </w:r>
    </w:p>
    <w:p w14:paraId="147DDB32" w14:textId="77777777" w:rsidR="00381D63" w:rsidRPr="005E7BA4" w:rsidRDefault="00381D63" w:rsidP="00381D63">
      <w:pPr>
        <w:spacing w:after="0" w:line="276" w:lineRule="auto"/>
        <w:ind w:firstLine="709"/>
        <w:jc w:val="both"/>
        <w:rPr>
          <w:rFonts w:ascii="Arial" w:eastAsia="Arial" w:hAnsi="Arial" w:cs="Arial"/>
          <w:color w:val="000000"/>
          <w:lang w:eastAsia="es-ES_tradnl"/>
        </w:rPr>
      </w:pPr>
    </w:p>
    <w:p w14:paraId="3B4EC6C9" w14:textId="77777777" w:rsidR="00381D63" w:rsidRPr="005E7BA4" w:rsidRDefault="00381D63" w:rsidP="00381D63">
      <w:pPr>
        <w:spacing w:after="0" w:line="240" w:lineRule="auto"/>
        <w:ind w:left="709" w:right="709"/>
        <w:jc w:val="both"/>
        <w:rPr>
          <w:rFonts w:ascii="Arial" w:eastAsia="Calibri" w:hAnsi="Arial" w:cs="Arial"/>
          <w:sz w:val="21"/>
          <w:szCs w:val="21"/>
          <w:lang w:val="es-ES_tradnl" w:eastAsia="es-ES_tradnl"/>
        </w:rPr>
      </w:pPr>
      <w:r>
        <w:rPr>
          <w:rFonts w:ascii="Arial" w:eastAsia="Calibri" w:hAnsi="Arial" w:cs="Arial"/>
          <w:sz w:val="21"/>
          <w:szCs w:val="21"/>
          <w:lang w:val="es-ES_tradnl" w:eastAsia="es-ES_tradnl"/>
        </w:rPr>
        <w:t>“</w:t>
      </w:r>
      <w:r w:rsidRPr="005E7BA4">
        <w:rPr>
          <w:rFonts w:ascii="Arial" w:eastAsia="Calibri" w:hAnsi="Arial" w:cs="Arial"/>
          <w:sz w:val="21"/>
          <w:szCs w:val="21"/>
          <w:lang w:val="es-ES_tradnl" w:eastAsia="es-ES_tradnl"/>
        </w:rPr>
        <w:t xml:space="preserve">Artículo 2.2.1.2.4.2.2. Convocatorias Imitadas a </w:t>
      </w:r>
      <w:proofErr w:type="spellStart"/>
      <w:r w:rsidRPr="005E7BA4">
        <w:rPr>
          <w:rFonts w:ascii="Arial" w:eastAsia="Calibri" w:hAnsi="Arial" w:cs="Arial"/>
          <w:sz w:val="21"/>
          <w:szCs w:val="21"/>
          <w:lang w:val="es-ES_tradnl" w:eastAsia="es-ES_tradnl"/>
        </w:rPr>
        <w:t>Mipyme</w:t>
      </w:r>
      <w:proofErr w:type="spellEnd"/>
      <w:r w:rsidRPr="005E7BA4">
        <w:rPr>
          <w:rFonts w:ascii="Arial" w:eastAsia="Calibri" w:hAnsi="Arial" w:cs="Arial"/>
          <w:sz w:val="21"/>
          <w:szCs w:val="21"/>
          <w:lang w:val="es-ES_tradnl" w:eastAsia="es-ES_tradnl"/>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5E7BA4">
        <w:rPr>
          <w:rFonts w:ascii="Arial" w:eastAsia="Calibri" w:hAnsi="Arial" w:cs="Arial"/>
          <w:sz w:val="21"/>
          <w:szCs w:val="21"/>
          <w:lang w:val="es-ES_tradnl" w:eastAsia="es-ES_tradnl"/>
        </w:rPr>
        <w:t>Mipyme</w:t>
      </w:r>
      <w:proofErr w:type="spellEnd"/>
      <w:r w:rsidRPr="005E7BA4">
        <w:rPr>
          <w:rFonts w:ascii="Arial" w:eastAsia="Calibri" w:hAnsi="Arial" w:cs="Arial"/>
          <w:sz w:val="21"/>
          <w:szCs w:val="21"/>
          <w:lang w:val="es-ES_tradnl" w:eastAsia="es-ES_tradnl"/>
        </w:rPr>
        <w:t xml:space="preserve"> colombianas con mínimo un (1) año de existencia, cuando concurran los siguientes requisitos: </w:t>
      </w:r>
    </w:p>
    <w:p w14:paraId="582CDAA5" w14:textId="77777777" w:rsidR="00381D63" w:rsidRPr="005E7BA4" w:rsidRDefault="00381D63" w:rsidP="00381D63">
      <w:pPr>
        <w:spacing w:after="0" w:line="240" w:lineRule="auto"/>
        <w:ind w:left="709" w:right="709"/>
        <w:jc w:val="both"/>
        <w:rPr>
          <w:rFonts w:ascii="Arial" w:eastAsia="Calibri" w:hAnsi="Arial" w:cs="Arial"/>
          <w:sz w:val="21"/>
          <w:szCs w:val="21"/>
          <w:lang w:val="es-ES_tradnl" w:eastAsia="es-ES_tradnl"/>
        </w:rPr>
      </w:pPr>
    </w:p>
    <w:p w14:paraId="4BCCCCAC" w14:textId="77777777" w:rsidR="00381D63" w:rsidRPr="005E7BA4" w:rsidRDefault="00381D63" w:rsidP="00381D63">
      <w:pPr>
        <w:spacing w:after="0" w:line="240" w:lineRule="auto"/>
        <w:ind w:left="709" w:right="709"/>
        <w:jc w:val="both"/>
        <w:rPr>
          <w:rFonts w:ascii="Arial" w:eastAsia="Calibri" w:hAnsi="Arial" w:cs="Arial"/>
          <w:sz w:val="21"/>
          <w:szCs w:val="21"/>
          <w:lang w:val="es-ES_tradnl" w:eastAsia="es-ES_tradnl"/>
        </w:rPr>
      </w:pPr>
      <w:r w:rsidRPr="005E7BA4">
        <w:rPr>
          <w:rFonts w:ascii="Arial" w:eastAsia="Calibri" w:hAnsi="Arial" w:cs="Arial"/>
          <w:sz w:val="21"/>
          <w:szCs w:val="21"/>
          <w:lang w:val="es-ES_tradnl" w:eastAsia="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0AD4CF6F" w14:textId="77777777" w:rsidR="00381D63" w:rsidRPr="005E7BA4" w:rsidRDefault="00381D63" w:rsidP="00381D63">
      <w:pPr>
        <w:spacing w:after="0" w:line="240" w:lineRule="auto"/>
        <w:ind w:left="709" w:right="709"/>
        <w:jc w:val="both"/>
        <w:rPr>
          <w:rFonts w:ascii="Arial" w:eastAsia="Calibri" w:hAnsi="Arial" w:cs="Arial"/>
          <w:sz w:val="21"/>
          <w:szCs w:val="21"/>
          <w:lang w:val="es-ES_tradnl" w:eastAsia="es-ES_tradnl"/>
        </w:rPr>
      </w:pPr>
      <w:r w:rsidRPr="005E7BA4">
        <w:rPr>
          <w:rFonts w:ascii="Arial" w:eastAsia="Calibri" w:hAnsi="Arial" w:cs="Arial"/>
          <w:sz w:val="21"/>
          <w:szCs w:val="21"/>
          <w:lang w:val="es-ES_tradnl" w:eastAsia="es-ES_tradnl"/>
        </w:rPr>
        <w:t xml:space="preserve">2. Se hayan recibido solicitudes de por lo menos dos (2) </w:t>
      </w:r>
      <w:proofErr w:type="spellStart"/>
      <w:r w:rsidRPr="005E7BA4">
        <w:rPr>
          <w:rFonts w:ascii="Arial" w:eastAsia="Calibri" w:hAnsi="Arial" w:cs="Arial"/>
          <w:sz w:val="21"/>
          <w:szCs w:val="21"/>
          <w:lang w:val="es-ES_tradnl" w:eastAsia="es-ES_tradnl"/>
        </w:rPr>
        <w:t>Mipyme</w:t>
      </w:r>
      <w:proofErr w:type="spellEnd"/>
      <w:r w:rsidRPr="005E7BA4">
        <w:rPr>
          <w:rFonts w:ascii="Arial" w:eastAsia="Calibri" w:hAnsi="Arial" w:cs="Arial"/>
          <w:sz w:val="21"/>
          <w:szCs w:val="21"/>
          <w:lang w:val="es-ES_tradnl" w:eastAsia="es-ES_tradnl"/>
        </w:rPr>
        <w:t xml:space="preserve"> colombianas para limitar la convocatoria a </w:t>
      </w:r>
      <w:proofErr w:type="spellStart"/>
      <w:r w:rsidRPr="005E7BA4">
        <w:rPr>
          <w:rFonts w:ascii="Arial" w:eastAsia="Calibri" w:hAnsi="Arial" w:cs="Arial"/>
          <w:sz w:val="21"/>
          <w:szCs w:val="21"/>
          <w:lang w:val="es-ES_tradnl" w:eastAsia="es-ES_tradnl"/>
        </w:rPr>
        <w:t>Mipyme</w:t>
      </w:r>
      <w:proofErr w:type="spellEnd"/>
      <w:r w:rsidRPr="005E7BA4">
        <w:rPr>
          <w:rFonts w:ascii="Arial" w:eastAsia="Calibri" w:hAnsi="Arial" w:cs="Arial"/>
          <w:sz w:val="21"/>
          <w:szCs w:val="21"/>
          <w:lang w:val="es-ES_tradnl" w:eastAsia="es-ES_tradnl"/>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5E7BA4">
        <w:rPr>
          <w:rFonts w:ascii="Arial" w:eastAsia="Calibri" w:hAnsi="Arial" w:cs="Arial"/>
          <w:sz w:val="21"/>
          <w:szCs w:val="21"/>
          <w:lang w:val="es-ES_tradnl" w:eastAsia="es-ES_tradnl"/>
        </w:rPr>
        <w:t>Mipyme</w:t>
      </w:r>
      <w:proofErr w:type="spellEnd"/>
      <w:r w:rsidRPr="005E7BA4">
        <w:rPr>
          <w:rFonts w:ascii="Arial" w:eastAsia="Calibri" w:hAnsi="Arial" w:cs="Arial"/>
          <w:sz w:val="21"/>
          <w:szCs w:val="21"/>
          <w:lang w:val="es-ES_tradnl" w:eastAsia="es-ES_tradnl"/>
        </w:rPr>
        <w:t xml:space="preserve">, cuyo </w:t>
      </w:r>
      <w:r w:rsidRPr="005E7BA4">
        <w:rPr>
          <w:rFonts w:ascii="Arial" w:eastAsia="Calibri" w:hAnsi="Arial" w:cs="Arial"/>
          <w:sz w:val="21"/>
          <w:szCs w:val="21"/>
          <w:lang w:val="es-ES_tradnl" w:eastAsia="es-ES_tradnl"/>
        </w:rPr>
        <w:lastRenderedPageBreak/>
        <w:t>objeto social les permita ejecutar el contrato relacionado con el proceso contractual.</w:t>
      </w:r>
    </w:p>
    <w:p w14:paraId="21268CD9" w14:textId="77777777" w:rsidR="00381D63" w:rsidRPr="005E7BA4" w:rsidRDefault="00381D63" w:rsidP="00381D63">
      <w:pPr>
        <w:spacing w:after="0" w:line="240" w:lineRule="auto"/>
        <w:ind w:left="709" w:right="709"/>
        <w:jc w:val="both"/>
        <w:rPr>
          <w:rFonts w:ascii="Arial" w:eastAsia="Calibri" w:hAnsi="Arial" w:cs="Arial"/>
          <w:sz w:val="21"/>
          <w:szCs w:val="21"/>
          <w:lang w:val="es-ES_tradnl" w:eastAsia="es-ES_tradnl"/>
        </w:rPr>
      </w:pPr>
    </w:p>
    <w:p w14:paraId="5EF62B29" w14:textId="77777777" w:rsidR="00381D63" w:rsidRPr="005E7BA4" w:rsidRDefault="00381D63" w:rsidP="00381D63">
      <w:pPr>
        <w:spacing w:after="0" w:line="240" w:lineRule="auto"/>
        <w:ind w:left="709" w:right="709"/>
        <w:jc w:val="both"/>
        <w:rPr>
          <w:rFonts w:ascii="Arial" w:eastAsia="Calibri" w:hAnsi="Arial" w:cs="Arial"/>
          <w:sz w:val="21"/>
          <w:szCs w:val="21"/>
          <w:lang w:val="es-ES_tradnl" w:eastAsia="es-ES_tradnl"/>
        </w:rPr>
      </w:pPr>
      <w:r w:rsidRPr="005E7BA4">
        <w:rPr>
          <w:rFonts w:ascii="Arial" w:eastAsia="Calibri" w:hAnsi="Arial" w:cs="Arial"/>
          <w:sz w:val="21"/>
          <w:szCs w:val="21"/>
          <w:lang w:val="es-ES_tradnl" w:eastAsia="es-ES_tradnl"/>
        </w:rPr>
        <w:t xml:space="preserve">Parágrafo. Las cooperativas y demás entidades de economía solidaria, siempre que tengan la calidad de </w:t>
      </w:r>
      <w:proofErr w:type="spellStart"/>
      <w:r w:rsidRPr="005E7BA4">
        <w:rPr>
          <w:rFonts w:ascii="Arial" w:eastAsia="Calibri" w:hAnsi="Arial" w:cs="Arial"/>
          <w:sz w:val="21"/>
          <w:szCs w:val="21"/>
          <w:lang w:val="es-ES_tradnl" w:eastAsia="es-ES_tradnl"/>
        </w:rPr>
        <w:t>Mipyme</w:t>
      </w:r>
      <w:proofErr w:type="spellEnd"/>
      <w:r w:rsidRPr="005E7BA4">
        <w:rPr>
          <w:rFonts w:ascii="Arial" w:eastAsia="Calibri" w:hAnsi="Arial" w:cs="Arial"/>
          <w:sz w:val="21"/>
          <w:szCs w:val="21"/>
          <w:lang w:val="es-ES_tradnl" w:eastAsia="es-ES_tradnl"/>
        </w:rPr>
        <w:t>, podrán solicitar y participar en las convocatorias limitadas en las mismas condiciones dispuestas en el presente artículo</w:t>
      </w:r>
      <w:r>
        <w:rPr>
          <w:rFonts w:ascii="Arial" w:eastAsia="Calibri" w:hAnsi="Arial" w:cs="Arial"/>
          <w:sz w:val="21"/>
          <w:szCs w:val="21"/>
          <w:lang w:val="es-ES_tradnl" w:eastAsia="es-ES_tradnl"/>
        </w:rPr>
        <w:t>”</w:t>
      </w:r>
      <w:r w:rsidRPr="005E7BA4">
        <w:rPr>
          <w:rFonts w:ascii="Arial" w:eastAsia="Calibri" w:hAnsi="Arial" w:cs="Arial"/>
          <w:sz w:val="21"/>
          <w:szCs w:val="21"/>
          <w:lang w:val="es-ES_tradnl" w:eastAsia="es-ES_tradnl"/>
        </w:rPr>
        <w:t>.</w:t>
      </w:r>
    </w:p>
    <w:p w14:paraId="24E2A4EE" w14:textId="77777777" w:rsidR="00381D63" w:rsidRPr="005E7BA4" w:rsidRDefault="00381D63" w:rsidP="00381D63">
      <w:pPr>
        <w:spacing w:after="0" w:line="276" w:lineRule="auto"/>
        <w:ind w:firstLine="709"/>
        <w:jc w:val="both"/>
        <w:rPr>
          <w:rFonts w:ascii="Arial" w:eastAsia="Arial" w:hAnsi="Arial" w:cs="Arial"/>
          <w:color w:val="000000"/>
          <w:lang w:eastAsia="es-ES_tradnl"/>
        </w:rPr>
      </w:pPr>
    </w:p>
    <w:p w14:paraId="25DDFA8E" w14:textId="77777777" w:rsidR="00381D63" w:rsidRPr="005E7BA4" w:rsidRDefault="00381D63" w:rsidP="00381D63">
      <w:pPr>
        <w:spacing w:after="120" w:line="276" w:lineRule="auto"/>
        <w:ind w:firstLine="709"/>
        <w:jc w:val="both"/>
        <w:rPr>
          <w:rFonts w:ascii="Arial" w:eastAsia="Arial" w:hAnsi="Arial" w:cs="Arial"/>
          <w:color w:val="000000"/>
          <w:lang w:eastAsia="es-ES_tradnl"/>
        </w:rPr>
      </w:pPr>
      <w:r w:rsidRPr="005E7BA4">
        <w:rPr>
          <w:rFonts w:ascii="Arial" w:eastAsia="Arial" w:hAnsi="Arial" w:cs="Arial"/>
          <w:color w:val="000000"/>
          <w:lang w:eastAsia="es-ES_tradnl"/>
        </w:rPr>
        <w:t xml:space="preserve">Según se evidencia, el numeral primero limita cuantitativamente los procesos contractuales en los que se puede hacer esa convocatoria limitada a </w:t>
      </w:r>
      <w:proofErr w:type="spellStart"/>
      <w:r w:rsidRPr="005E7BA4">
        <w:rPr>
          <w:rFonts w:ascii="Arial" w:eastAsia="Arial" w:hAnsi="Arial" w:cs="Arial"/>
          <w:color w:val="000000"/>
          <w:lang w:eastAsia="es-ES_tradnl"/>
        </w:rPr>
        <w:t>Mipyme</w:t>
      </w:r>
      <w:proofErr w:type="spellEnd"/>
      <w:r w:rsidRPr="005E7BA4">
        <w:rPr>
          <w:rFonts w:ascii="Arial" w:eastAsia="Arial" w:hAnsi="Arial" w:cs="Arial"/>
          <w:color w:val="000000"/>
          <w:lang w:eastAsia="es-ES_tradnl"/>
        </w:rPr>
        <w:t xml:space="preserve">, en la medida en que el valor del proceso de contratación tendrá que ser </w:t>
      </w:r>
      <w:r>
        <w:rPr>
          <w:rFonts w:ascii="Arial" w:eastAsia="Arial" w:hAnsi="Arial" w:cs="Arial"/>
          <w:color w:val="000000"/>
          <w:lang w:eastAsia="es-ES_tradnl"/>
        </w:rPr>
        <w:t>“</w:t>
      </w:r>
      <w:r w:rsidRPr="005E7BA4">
        <w:rPr>
          <w:rFonts w:ascii="Arial" w:eastAsia="Arial" w:hAnsi="Arial" w:cs="Arial"/>
          <w:color w:val="000000"/>
          <w:lang w:eastAsia="es-ES_tradnl"/>
        </w:rPr>
        <w:t>menor a ciento veinticinco mil dólares de los Estados Unidos de América</w:t>
      </w:r>
      <w:r>
        <w:rPr>
          <w:rFonts w:ascii="Arial" w:eastAsia="Arial" w:hAnsi="Arial" w:cs="Arial"/>
          <w:color w:val="000000"/>
          <w:lang w:eastAsia="es-ES_tradnl"/>
        </w:rPr>
        <w:t>”</w:t>
      </w:r>
      <w:r w:rsidRPr="005E7BA4">
        <w:rPr>
          <w:rFonts w:ascii="Arial" w:eastAsia="Arial" w:hAnsi="Arial" w:cs="Arial"/>
          <w:color w:val="000000"/>
          <w:lang w:eastAsia="es-ES_tradnl"/>
        </w:rPr>
        <w:t>. Esta limitante, valga la pena aclarar, es establecida de acuerdo con la tasa que, para el efecto, determine cada dos años el Ministerio de Comercio, Industria y Turismo</w:t>
      </w:r>
      <w:r w:rsidRPr="005E7BA4">
        <w:rPr>
          <w:rFonts w:ascii="Arial" w:eastAsia="Arial" w:hAnsi="Arial" w:cs="Arial"/>
          <w:color w:val="000000"/>
          <w:vertAlign w:val="superscript"/>
          <w:lang w:eastAsia="es-ES_tradnl"/>
        </w:rPr>
        <w:footnoteReference w:id="13"/>
      </w:r>
      <w:r w:rsidRPr="005E7BA4">
        <w:rPr>
          <w:rFonts w:ascii="Arial" w:eastAsia="Arial" w:hAnsi="Arial" w:cs="Arial"/>
          <w:color w:val="000000"/>
          <w:lang w:eastAsia="es-ES_tradnl"/>
        </w:rPr>
        <w:t xml:space="preserve">. Por su parte, el numeral segundo establece dos exigencias: por un lado, que al menos dos (2) </w:t>
      </w:r>
      <w:proofErr w:type="spellStart"/>
      <w:r w:rsidRPr="005E7BA4">
        <w:rPr>
          <w:rFonts w:ascii="Arial" w:eastAsia="Arial" w:hAnsi="Arial" w:cs="Arial"/>
          <w:color w:val="000000"/>
          <w:lang w:eastAsia="es-ES_tradnl"/>
        </w:rPr>
        <w:t>Mipymes</w:t>
      </w:r>
      <w:proofErr w:type="spellEnd"/>
      <w:r w:rsidRPr="005E7BA4">
        <w:rPr>
          <w:rFonts w:ascii="Arial" w:eastAsia="Arial" w:hAnsi="Arial" w:cs="Arial"/>
          <w:color w:val="000000"/>
          <w:lang w:eastAsia="es-ES_tradnl"/>
        </w:rPr>
        <w:t xml:space="preserve"> colombianas presenten a la entidad la solicitud de limitar el proceso contractual y, por el otro, que hagan la solicitud por lo menos un día (1) hábil antes de la expedición del acto administrativo de apertura </w:t>
      </w:r>
      <w:r w:rsidRPr="005E7BA4">
        <w:rPr>
          <w:rFonts w:ascii="Arial" w:eastAsia="Arial" w:hAnsi="Arial" w:cs="Arial"/>
          <w:color w:val="000000"/>
          <w:lang w:val="es-ES_tradnl" w:eastAsia="es-ES_tradnl"/>
        </w:rPr>
        <w:t>o el que haga sus veces de acuerdo con la normativa aplicable a cada Proceso de Contratación</w:t>
      </w:r>
      <w:r w:rsidRPr="005E7BA4">
        <w:rPr>
          <w:rFonts w:ascii="Arial" w:eastAsia="Arial" w:hAnsi="Arial" w:cs="Arial"/>
          <w:color w:val="000000"/>
          <w:lang w:eastAsia="es-ES_tradnl"/>
        </w:rPr>
        <w:t xml:space="preserve">. Además, la norma señala que, </w:t>
      </w:r>
      <w:r w:rsidRPr="005E7BA4">
        <w:rPr>
          <w:rFonts w:ascii="Arial" w:eastAsia="Arial" w:hAnsi="Arial" w:cs="Arial"/>
          <w:color w:val="000000"/>
          <w:lang w:val="es-ES_tradnl" w:eastAsia="es-ES_tradnl"/>
        </w:rPr>
        <w:t xml:space="preserve">tratándose de personas jurídicas, las solicitudes solo las podrán realizar </w:t>
      </w:r>
      <w:proofErr w:type="spellStart"/>
      <w:r w:rsidRPr="005E7BA4">
        <w:rPr>
          <w:rFonts w:ascii="Arial" w:eastAsia="Arial" w:hAnsi="Arial" w:cs="Arial"/>
          <w:color w:val="000000"/>
          <w:lang w:val="es-ES_tradnl" w:eastAsia="es-ES_tradnl"/>
        </w:rPr>
        <w:t>Mipyme</w:t>
      </w:r>
      <w:proofErr w:type="spellEnd"/>
      <w:r w:rsidRPr="005E7BA4">
        <w:rPr>
          <w:rFonts w:ascii="Arial" w:eastAsia="Arial" w:hAnsi="Arial" w:cs="Arial"/>
          <w:color w:val="000000"/>
          <w:lang w:val="es-ES_tradnl" w:eastAsia="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5E7BA4">
        <w:rPr>
          <w:rFonts w:ascii="Arial" w:eastAsia="Arial" w:hAnsi="Arial" w:cs="Arial"/>
          <w:color w:val="000000"/>
          <w:lang w:val="es-ES_tradnl" w:eastAsia="es-ES_tradnl"/>
        </w:rPr>
        <w:t>Mipyme</w:t>
      </w:r>
      <w:proofErr w:type="spellEnd"/>
      <w:r w:rsidRPr="005E7BA4">
        <w:rPr>
          <w:rFonts w:ascii="Arial" w:eastAsia="Arial" w:hAnsi="Arial" w:cs="Arial"/>
          <w:color w:val="000000"/>
          <w:lang w:val="es-ES_tradnl" w:eastAsia="es-ES_tradnl"/>
        </w:rPr>
        <w:t xml:space="preserve">, siempre que estas cumplan con las condiciones señaladas en el artículo. </w:t>
      </w:r>
    </w:p>
    <w:p w14:paraId="4FE1E6FC" w14:textId="77777777" w:rsidR="00381D63" w:rsidRPr="005E7BA4" w:rsidRDefault="00381D63" w:rsidP="00381D63">
      <w:pPr>
        <w:spacing w:after="120" w:line="276" w:lineRule="auto"/>
        <w:ind w:firstLine="709"/>
        <w:jc w:val="both"/>
        <w:rPr>
          <w:rFonts w:ascii="Arial" w:eastAsia="Times New Roman" w:hAnsi="Arial" w:cs="Arial"/>
          <w:szCs w:val="24"/>
          <w:lang w:val="es-ES" w:eastAsia="es-MX"/>
        </w:rPr>
      </w:pPr>
      <w:r w:rsidRPr="005E7BA4">
        <w:rPr>
          <w:rFonts w:ascii="Arial" w:eastAsia="Arial" w:hAnsi="Arial" w:cs="Arial"/>
          <w:color w:val="000000"/>
          <w:lang w:val="es-ES_tradnl" w:eastAsia="es-ES_tradnl"/>
        </w:rPr>
        <w:t>Así las cosas,</w:t>
      </w:r>
      <w:r w:rsidRPr="005E7BA4">
        <w:rPr>
          <w:rFonts w:ascii="Arial" w:eastAsia="Times New Roman" w:hAnsi="Arial" w:cs="Arial"/>
          <w:szCs w:val="24"/>
          <w:lang w:val="es-ES" w:eastAsia="es-MX"/>
        </w:rPr>
        <w:t xml:space="preserve"> desde el 24 de marzo de 2022 se encuentran vigentes las disposiciones del Decreto 1860 de 2021, por lo que las entidades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5E7BA4">
        <w:rPr>
          <w:rFonts w:ascii="Arial" w:eastAsia="Times New Roman" w:hAnsi="Arial" w:cs="Arial"/>
          <w:szCs w:val="24"/>
          <w:lang w:val="es-ES" w:eastAsia="es-MX"/>
        </w:rPr>
        <w:t>Mipyme</w:t>
      </w:r>
      <w:proofErr w:type="spellEnd"/>
      <w:r w:rsidRPr="005E7BA4">
        <w:rPr>
          <w:rFonts w:ascii="Arial" w:eastAsia="Times New Roman" w:hAnsi="Arial" w:cs="Arial"/>
          <w:szCs w:val="24"/>
          <w:lang w:val="es-ES" w:eastAsia="es-MX"/>
        </w:rPr>
        <w:t xml:space="preserve"> colombianas con mínimo un (1) año de existencia, cuando se cumplan los requisitos previstos en el artículo 2.2.1.2.4.2.2 del Decreto 1082 de 2015 anteriormente señalado.</w:t>
      </w:r>
    </w:p>
    <w:p w14:paraId="286743BD" w14:textId="77777777" w:rsidR="00381D63" w:rsidRPr="005E7BA4" w:rsidRDefault="00381D63" w:rsidP="00381D63">
      <w:pPr>
        <w:spacing w:after="0" w:line="276" w:lineRule="auto"/>
        <w:ind w:firstLine="709"/>
        <w:jc w:val="both"/>
        <w:rPr>
          <w:rFonts w:ascii="Arial" w:eastAsia="Calibri" w:hAnsi="Arial" w:cs="Arial"/>
          <w:szCs w:val="24"/>
          <w:lang w:val="es-ES_tradnl" w:eastAsia="es-ES_tradnl"/>
        </w:rPr>
      </w:pPr>
      <w:r w:rsidRPr="005E7BA4">
        <w:rPr>
          <w:rFonts w:ascii="Arial" w:eastAsia="Calibri" w:hAnsi="Arial" w:cs="Arial"/>
          <w:lang w:val="es-ES_tradnl" w:eastAsia="es-ES_tradnl"/>
        </w:rPr>
        <w:t>En relación con las limitaciones territorial</w:t>
      </w:r>
      <w:r w:rsidRPr="005E7BA4">
        <w:rPr>
          <w:rFonts w:ascii="Arial" w:eastAsia="Times New Roman" w:hAnsi="Arial" w:cs="Arial"/>
          <w:lang w:val="es-ES_tradnl" w:eastAsia="es-ES_tradnl"/>
        </w:rPr>
        <w:t xml:space="preserve">es de las convocatorias a </w:t>
      </w:r>
      <w:proofErr w:type="spellStart"/>
      <w:r w:rsidRPr="005E7BA4">
        <w:rPr>
          <w:rFonts w:ascii="Arial" w:eastAsia="Times New Roman" w:hAnsi="Arial" w:cs="Arial"/>
          <w:lang w:val="es-ES_tradnl" w:eastAsia="es-ES_tradnl"/>
        </w:rPr>
        <w:t>Mipyme</w:t>
      </w:r>
      <w:proofErr w:type="spellEnd"/>
      <w:r w:rsidRPr="005E7BA4">
        <w:rPr>
          <w:rFonts w:ascii="Arial" w:eastAsia="Times New Roman" w:hAnsi="Arial" w:cs="Arial"/>
          <w:lang w:val="es-ES_tradnl" w:eastAsia="es-ES_tradnl"/>
        </w:rPr>
        <w:t xml:space="preserve">, </w:t>
      </w:r>
      <w:r w:rsidRPr="005E7BA4">
        <w:rPr>
          <w:rFonts w:ascii="Arial" w:eastAsia="Calibri" w:hAnsi="Arial" w:cs="Arial"/>
          <w:lang w:val="es-ES_tradnl" w:eastAsia="es-ES_tradnl"/>
        </w:rPr>
        <w:t xml:space="preserve"> a la luz del antiguo artículo 2.2.1.2.4.2.3 del Decreto 1082 de 2015, esta Agencia –</w:t>
      </w:r>
      <w:r w:rsidRPr="005E7BA4">
        <w:rPr>
          <w:rFonts w:ascii="Arial" w:eastAsia="Times New Roman" w:hAnsi="Arial" w:cs="Arial"/>
          <w:szCs w:val="24"/>
          <w:lang w:val="es-ES_tradnl" w:eastAsia="es-ES_tradnl"/>
        </w:rPr>
        <w:t>en los conceptos del 29 de enero de 2018 −radicado No. 4201714000006924−,</w:t>
      </w:r>
      <w:r w:rsidRPr="005E7BA4">
        <w:rPr>
          <w:rFonts w:ascii="Arial" w:eastAsia="Calibri" w:hAnsi="Arial" w:cs="Arial"/>
          <w:szCs w:val="24"/>
          <w:lang w:val="es-ES_tradnl" w:eastAsia="es-ES_tradnl"/>
        </w:rPr>
        <w:t xml:space="preserve"> C – 045 del 17 de marzo de 2020, C – 162 del 16 de abril de 2020, C – 214 del 21 de abril de 2020, C – 258 del 17 de </w:t>
      </w:r>
      <w:r w:rsidRPr="005E7BA4">
        <w:rPr>
          <w:rFonts w:ascii="Arial" w:eastAsia="Calibri" w:hAnsi="Arial" w:cs="Arial"/>
          <w:szCs w:val="24"/>
          <w:lang w:val="es-ES_tradnl" w:eastAsia="es-ES_tradnl"/>
        </w:rPr>
        <w:lastRenderedPageBreak/>
        <w:t>abril de 2020, C – 364 del 4 de junio de 2020, C – 413 del 30 de junio de 2020</w:t>
      </w:r>
      <w:r w:rsidRPr="005E7BA4">
        <w:rPr>
          <w:rFonts w:ascii="Arial" w:eastAsia="Times New Roman" w:hAnsi="Arial" w:cs="Arial"/>
          <w:szCs w:val="24"/>
          <w:lang w:val="es-ES_tradnl" w:eastAsia="es-ES_tradnl"/>
        </w:rPr>
        <w:t xml:space="preserve">, </w:t>
      </w:r>
      <w:r w:rsidRPr="005E7BA4">
        <w:rPr>
          <w:rFonts w:ascii="Arial" w:eastAsia="Calibri" w:hAnsi="Arial" w:cs="Arial"/>
          <w:szCs w:val="24"/>
          <w:lang w:val="es-ES_tradnl" w:eastAsia="es-ES_tradnl"/>
        </w:rPr>
        <w:t>C – 492 del 24 de julio de 2020, C – 523 del 11 de agosto de 2020, C – 610 del 14 de septiembre de 2020 y C-700 de 1 de diciembre de 2020–</w:t>
      </w:r>
      <w:r w:rsidRPr="005E7BA4">
        <w:rPr>
          <w:rFonts w:ascii="Arial" w:eastAsia="Calibri" w:hAnsi="Arial" w:cs="Arial"/>
          <w:lang w:val="es-ES_tradnl" w:eastAsia="es-ES_tradnl"/>
        </w:rPr>
        <w:t xml:space="preserve"> había sostenido que, para que se permitiera la participación de una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en uno de estos procesos, era necesario que esta demostrara estar domiciliada en el municipio o departamento en el que se ejecutaría el contrato, la tesis se expuso en los siguientes términos</w:t>
      </w:r>
      <w:r w:rsidRPr="005E7BA4">
        <w:rPr>
          <w:rFonts w:ascii="Arial" w:eastAsia="Calibri" w:hAnsi="Arial" w:cs="Arial"/>
          <w:szCs w:val="24"/>
          <w:lang w:val="es-ES_tradnl" w:eastAsia="es-ES_tradnl"/>
        </w:rPr>
        <w:t xml:space="preserve">: </w:t>
      </w:r>
    </w:p>
    <w:p w14:paraId="1C9E7C9C" w14:textId="77777777" w:rsidR="00381D63" w:rsidRPr="005E7BA4" w:rsidRDefault="00381D63" w:rsidP="00381D63">
      <w:pPr>
        <w:spacing w:after="0" w:line="276" w:lineRule="auto"/>
        <w:ind w:firstLine="709"/>
        <w:jc w:val="both"/>
        <w:rPr>
          <w:rFonts w:ascii="Arial" w:eastAsia="Calibri" w:hAnsi="Arial" w:cs="Arial"/>
          <w:szCs w:val="24"/>
          <w:lang w:val="es-ES_tradnl" w:eastAsia="es-ES_tradnl"/>
        </w:rPr>
      </w:pPr>
    </w:p>
    <w:p w14:paraId="071F2313" w14:textId="77777777" w:rsidR="00381D63" w:rsidRPr="005E7BA4" w:rsidRDefault="00381D63" w:rsidP="00381D63">
      <w:pPr>
        <w:spacing w:after="0" w:line="240" w:lineRule="auto"/>
        <w:ind w:left="709" w:right="709"/>
        <w:jc w:val="both"/>
        <w:rPr>
          <w:rFonts w:ascii="Arial" w:eastAsia="Times New Roman" w:hAnsi="Arial" w:cs="Arial"/>
          <w:sz w:val="21"/>
          <w:szCs w:val="21"/>
          <w:lang w:val="es-ES_tradnl" w:eastAsia="es-ES_tradnl"/>
        </w:rPr>
      </w:pPr>
      <w:r>
        <w:rPr>
          <w:rFonts w:ascii="Arial" w:eastAsia="Times New Roman" w:hAnsi="Arial" w:cs="Arial"/>
          <w:sz w:val="21"/>
          <w:szCs w:val="21"/>
          <w:lang w:val="es-ES_tradnl" w:eastAsia="es-ES_tradnl"/>
        </w:rPr>
        <w:t>“</w:t>
      </w:r>
      <w:r w:rsidRPr="005E7BA4">
        <w:rPr>
          <w:rFonts w:ascii="Arial" w:eastAsia="Times New Roman" w:hAnsi="Arial" w:cs="Arial"/>
          <w:sz w:val="21"/>
          <w:szCs w:val="21"/>
          <w:lang w:val="es-ES_tradnl" w:eastAsia="es-ES_tradnl"/>
        </w:rPr>
        <w:t xml:space="preserve">Es de resaltar que </w:t>
      </w:r>
      <w:r w:rsidRPr="005E7BA4">
        <w:rPr>
          <w:rFonts w:ascii="Arial" w:eastAsia="Times New Roman" w:hAnsi="Arial" w:cs="Arial"/>
          <w:i/>
          <w:iCs/>
          <w:sz w:val="21"/>
          <w:szCs w:val="21"/>
          <w:lang w:val="es-ES_tradnl" w:eastAsia="es-ES_tradnl"/>
        </w:rPr>
        <w:t xml:space="preserve">estas normas se refieren a las </w:t>
      </w:r>
      <w:proofErr w:type="spellStart"/>
      <w:r w:rsidRPr="005E7BA4">
        <w:rPr>
          <w:rFonts w:ascii="Arial" w:eastAsia="Times New Roman" w:hAnsi="Arial" w:cs="Arial"/>
          <w:i/>
          <w:iCs/>
          <w:sz w:val="21"/>
          <w:szCs w:val="21"/>
          <w:lang w:val="es-ES_tradnl" w:eastAsia="es-ES_tradnl"/>
        </w:rPr>
        <w:t>Mipymes</w:t>
      </w:r>
      <w:proofErr w:type="spellEnd"/>
      <w:r w:rsidRPr="005E7BA4">
        <w:rPr>
          <w:rFonts w:ascii="Arial" w:eastAsia="Times New Roman" w:hAnsi="Arial" w:cs="Arial"/>
          <w:i/>
          <w:iCs/>
          <w:sz w:val="21"/>
          <w:szCs w:val="21"/>
          <w:lang w:val="es-ES_tradnl" w:eastAsia="es-ES_tradnl"/>
        </w:rPr>
        <w:t xml:space="preserve"> nacionales genéricamente y, particularmente, a las </w:t>
      </w:r>
      <w:proofErr w:type="spellStart"/>
      <w:r w:rsidRPr="005E7BA4">
        <w:rPr>
          <w:rFonts w:ascii="Arial" w:eastAsia="Times New Roman" w:hAnsi="Arial" w:cs="Arial"/>
          <w:i/>
          <w:iCs/>
          <w:sz w:val="21"/>
          <w:szCs w:val="21"/>
          <w:lang w:val="es-ES_tradnl" w:eastAsia="es-ES_tradnl"/>
        </w:rPr>
        <w:t>Mipymes</w:t>
      </w:r>
      <w:proofErr w:type="spellEnd"/>
      <w:r w:rsidRPr="005E7BA4">
        <w:rPr>
          <w:rFonts w:ascii="Arial" w:eastAsia="Times New Roman" w:hAnsi="Arial" w:cs="Arial"/>
          <w:i/>
          <w:iCs/>
          <w:sz w:val="21"/>
          <w:szCs w:val="21"/>
          <w:lang w:val="es-ES_tradnl" w:eastAsia="es-ES_tradnl"/>
        </w:rPr>
        <w:t xml:space="preserve"> nacionales </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domiciliadas en los departamentos o municipios en donde se va a ejecutar el contrato</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w:t>
      </w:r>
      <w:r w:rsidRPr="005E7BA4">
        <w:rPr>
          <w:rFonts w:ascii="Arial" w:eastAsia="Times New Roman" w:hAnsi="Arial" w:cs="Arial"/>
          <w:sz w:val="21"/>
          <w:szCs w:val="21"/>
          <w:lang w:val="es-ES_tradnl" w:eastAsia="es-ES_tradnl"/>
        </w:rPr>
        <w:t xml:space="preserve"> En ambos casos se refiere a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nacionales, distinguiéndolas de las empresas extranjeras. Del artículo 2.2.1.2.4.2.3. del Decreto 1082 de 2015 no se deriva que existan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del orden nacional. Otra cosa es que las normas de contratación permitan que las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nacionales con </w:t>
      </w:r>
      <w:r>
        <w:rPr>
          <w:rFonts w:ascii="Arial" w:eastAsia="Times New Roman" w:hAnsi="Arial" w:cs="Arial"/>
          <w:sz w:val="21"/>
          <w:szCs w:val="21"/>
          <w:lang w:val="es-ES_tradnl" w:eastAsia="es-ES_tradnl"/>
        </w:rPr>
        <w:t>“</w:t>
      </w:r>
      <w:r w:rsidRPr="005E7BA4">
        <w:rPr>
          <w:rFonts w:ascii="Arial" w:eastAsia="Times New Roman" w:hAnsi="Arial" w:cs="Arial"/>
          <w:sz w:val="21"/>
          <w:szCs w:val="21"/>
          <w:lang w:val="es-ES_tradnl" w:eastAsia="es-ES_tradnl"/>
        </w:rPr>
        <w:t>domicilio</w:t>
      </w:r>
      <w:r>
        <w:rPr>
          <w:rFonts w:ascii="Arial" w:eastAsia="Times New Roman" w:hAnsi="Arial" w:cs="Arial"/>
          <w:sz w:val="21"/>
          <w:szCs w:val="21"/>
          <w:lang w:val="es-ES_tradnl" w:eastAsia="es-ES_tradnl"/>
        </w:rPr>
        <w:t>”</w:t>
      </w:r>
      <w:r w:rsidRPr="005E7BA4">
        <w:rPr>
          <w:rFonts w:ascii="Arial" w:eastAsia="Times New Roman" w:hAnsi="Arial" w:cs="Arial"/>
          <w:sz w:val="21"/>
          <w:szCs w:val="21"/>
          <w:lang w:val="es-ES_tradnl" w:eastAsia="es-ES_tradnl"/>
        </w:rPr>
        <w:t xml:space="preserve"> en un municipio o departamento puedan beneficiarse en la ejecución de un contrato dentro de la entidad territorial en la que tienen su </w:t>
      </w:r>
      <w:r>
        <w:rPr>
          <w:rFonts w:ascii="Arial" w:eastAsia="Times New Roman" w:hAnsi="Arial" w:cs="Arial"/>
          <w:sz w:val="21"/>
          <w:szCs w:val="21"/>
          <w:lang w:val="es-ES_tradnl" w:eastAsia="es-ES_tradnl"/>
        </w:rPr>
        <w:t>“</w:t>
      </w:r>
      <w:r w:rsidRPr="005E7BA4">
        <w:rPr>
          <w:rFonts w:ascii="Arial" w:eastAsia="Times New Roman" w:hAnsi="Arial" w:cs="Arial"/>
          <w:sz w:val="21"/>
          <w:szCs w:val="21"/>
          <w:lang w:val="es-ES_tradnl" w:eastAsia="es-ES_tradnl"/>
        </w:rPr>
        <w:t>domicilio</w:t>
      </w:r>
      <w:r>
        <w:rPr>
          <w:rFonts w:ascii="Arial" w:eastAsia="Times New Roman" w:hAnsi="Arial" w:cs="Arial"/>
          <w:sz w:val="21"/>
          <w:szCs w:val="21"/>
          <w:lang w:val="es-ES_tradnl" w:eastAsia="es-ES_tradnl"/>
        </w:rPr>
        <w:t>”</w:t>
      </w:r>
      <w:r w:rsidRPr="005E7BA4">
        <w:rPr>
          <w:rFonts w:ascii="Arial" w:eastAsia="Times New Roman" w:hAnsi="Arial" w:cs="Arial"/>
          <w:sz w:val="21"/>
          <w:szCs w:val="21"/>
          <w:lang w:val="es-ES_tradnl" w:eastAsia="es-ES_tradnl"/>
        </w:rPr>
        <w:t xml:space="preserve">. De todos modos, las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domiciliadas en un municipio o departamento son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nacionales. En consecuencia, no es procedente distinguir entre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nacionales y </w:t>
      </w:r>
      <w:proofErr w:type="spellStart"/>
      <w:r w:rsidRPr="005E7BA4">
        <w:rPr>
          <w:rFonts w:ascii="Arial" w:eastAsia="Times New Roman" w:hAnsi="Arial" w:cs="Arial"/>
          <w:sz w:val="21"/>
          <w:szCs w:val="21"/>
          <w:lang w:val="es-ES_tradnl" w:eastAsia="es-ES_tradnl"/>
        </w:rPr>
        <w:t>Mipymes</w:t>
      </w:r>
      <w:proofErr w:type="spellEnd"/>
      <w:r w:rsidRPr="005E7BA4">
        <w:rPr>
          <w:rFonts w:ascii="Arial" w:eastAsia="Times New Roman" w:hAnsi="Arial" w:cs="Arial"/>
          <w:sz w:val="21"/>
          <w:szCs w:val="21"/>
          <w:lang w:val="es-ES_tradnl" w:eastAsia="es-ES_tradnl"/>
        </w:rPr>
        <w:t xml:space="preserve"> municipales o departamentales, habida cuenta que estas últimas no existen como categoría dentro del ordenamiento normativo.</w:t>
      </w:r>
    </w:p>
    <w:p w14:paraId="50913E6F" w14:textId="77777777" w:rsidR="00381D63" w:rsidRPr="005E7BA4" w:rsidRDefault="00381D63" w:rsidP="00381D63">
      <w:pPr>
        <w:spacing w:after="0" w:line="240" w:lineRule="auto"/>
        <w:ind w:left="709" w:right="709"/>
        <w:jc w:val="both"/>
        <w:rPr>
          <w:rFonts w:ascii="Arial" w:eastAsia="Times New Roman" w:hAnsi="Arial" w:cs="Arial"/>
          <w:sz w:val="21"/>
          <w:szCs w:val="21"/>
          <w:lang w:val="es-ES_tradnl" w:eastAsia="es-ES_tradnl"/>
        </w:rPr>
      </w:pPr>
    </w:p>
    <w:p w14:paraId="6F14FA71" w14:textId="77777777" w:rsidR="00381D63" w:rsidRPr="005E7BA4" w:rsidRDefault="00381D63" w:rsidP="00381D63">
      <w:pPr>
        <w:spacing w:after="0" w:line="240" w:lineRule="auto"/>
        <w:ind w:left="709" w:right="709"/>
        <w:jc w:val="both"/>
        <w:rPr>
          <w:rFonts w:ascii="Arial" w:eastAsia="Times New Roman" w:hAnsi="Arial" w:cs="Arial"/>
          <w:lang w:val="es-ES_tradnl" w:eastAsia="es-ES_tradnl"/>
        </w:rPr>
      </w:pPr>
      <w:r w:rsidRPr="005E7BA4">
        <w:rPr>
          <w:rFonts w:ascii="Arial" w:eastAsia="Times New Roman" w:hAnsi="Arial" w:cs="Arial"/>
          <w:sz w:val="21"/>
          <w:szCs w:val="21"/>
          <w:lang w:val="es-ES_tradnl" w:eastAsia="es-ES_tradnl"/>
        </w:rPr>
        <w:t xml:space="preserve">Igualmente, se debe precisar que </w:t>
      </w:r>
      <w:r w:rsidRPr="005E7BA4">
        <w:rPr>
          <w:rFonts w:ascii="Arial" w:eastAsia="Times New Roman" w:hAnsi="Arial" w:cs="Arial"/>
          <w:i/>
          <w:iCs/>
          <w:sz w:val="21"/>
          <w:szCs w:val="21"/>
          <w:lang w:val="es-ES_tradnl" w:eastAsia="es-ES_tradnl"/>
        </w:rPr>
        <w:t xml:space="preserve">el artículo 2.2.1.2.4.2.3. del Decreto 1082 de 2015 se refiere a las </w:t>
      </w:r>
      <w:r>
        <w:rPr>
          <w:rFonts w:ascii="Arial" w:eastAsia="Times New Roman" w:hAnsi="Arial" w:cs="Arial"/>
          <w:i/>
          <w:iCs/>
          <w:sz w:val="21"/>
          <w:szCs w:val="21"/>
          <w:lang w:val="es-ES_tradnl" w:eastAsia="es-ES_tradnl"/>
        </w:rPr>
        <w:t>“</w:t>
      </w:r>
      <w:proofErr w:type="spellStart"/>
      <w:r w:rsidRPr="005E7BA4">
        <w:rPr>
          <w:rFonts w:ascii="Arial" w:eastAsia="Times New Roman" w:hAnsi="Arial" w:cs="Arial"/>
          <w:i/>
          <w:iCs/>
          <w:sz w:val="21"/>
          <w:szCs w:val="21"/>
          <w:lang w:val="es-ES_tradnl" w:eastAsia="es-ES_tradnl"/>
        </w:rPr>
        <w:t>Mipyme</w:t>
      </w:r>
      <w:proofErr w:type="spellEnd"/>
      <w:r w:rsidRPr="005E7BA4">
        <w:rPr>
          <w:rFonts w:ascii="Arial" w:eastAsia="Times New Roman" w:hAnsi="Arial" w:cs="Arial"/>
          <w:i/>
          <w:iCs/>
          <w:sz w:val="21"/>
          <w:szCs w:val="21"/>
          <w:lang w:val="es-ES_tradnl" w:eastAsia="es-ES_tradnl"/>
        </w:rPr>
        <w:t xml:space="preserve"> nacionales domiciliadas en los departamentos o municipios en donde se va a ejecutar el contrato</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 xml:space="preserve"> </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cursivas propias</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 xml:space="preserve">, esto es, al </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domicilio</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 xml:space="preserve"> y no a las </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sucursales</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 xml:space="preserve">. Esta distinción es importante porque el beneficio normativo únicamente aplica en el lugar en el que la </w:t>
      </w:r>
      <w:proofErr w:type="spellStart"/>
      <w:r w:rsidRPr="005E7BA4">
        <w:rPr>
          <w:rFonts w:ascii="Arial" w:eastAsia="Times New Roman" w:hAnsi="Arial" w:cs="Arial"/>
          <w:i/>
          <w:iCs/>
          <w:sz w:val="21"/>
          <w:szCs w:val="21"/>
          <w:lang w:val="es-ES_tradnl" w:eastAsia="es-ES_tradnl"/>
        </w:rPr>
        <w:t>Mipyme</w:t>
      </w:r>
      <w:proofErr w:type="spellEnd"/>
      <w:r w:rsidRPr="005E7BA4">
        <w:rPr>
          <w:rFonts w:ascii="Arial" w:eastAsia="Times New Roman" w:hAnsi="Arial" w:cs="Arial"/>
          <w:i/>
          <w:iCs/>
          <w:sz w:val="21"/>
          <w:szCs w:val="21"/>
          <w:lang w:val="es-ES_tradnl" w:eastAsia="es-ES_tradnl"/>
        </w:rPr>
        <w:t xml:space="preserve"> tiene su </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domicilio</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lang w:val="es-ES_tradnl" w:eastAsia="es-ES_tradnl"/>
        </w:rPr>
        <w:t>, y no en donde tiene sucursales</w:t>
      </w:r>
      <w:r>
        <w:rPr>
          <w:rFonts w:ascii="Arial" w:eastAsia="Times New Roman" w:hAnsi="Arial" w:cs="Arial"/>
          <w:i/>
          <w:iCs/>
          <w:sz w:val="21"/>
          <w:szCs w:val="21"/>
          <w:lang w:val="es-ES_tradnl" w:eastAsia="es-ES_tradnl"/>
        </w:rPr>
        <w:t>”</w:t>
      </w:r>
      <w:r w:rsidRPr="005E7BA4">
        <w:rPr>
          <w:rFonts w:ascii="Arial" w:eastAsia="Times New Roman" w:hAnsi="Arial" w:cs="Arial"/>
          <w:i/>
          <w:iCs/>
          <w:sz w:val="21"/>
          <w:szCs w:val="21"/>
          <w:vertAlign w:val="superscript"/>
          <w:lang w:val="es-ES_tradnl" w:eastAsia="es-ES_tradnl"/>
        </w:rPr>
        <w:footnoteReference w:id="14"/>
      </w:r>
      <w:r w:rsidRPr="005E7BA4">
        <w:rPr>
          <w:rFonts w:ascii="Arial" w:eastAsia="Times New Roman" w:hAnsi="Arial" w:cs="Arial"/>
          <w:sz w:val="21"/>
          <w:szCs w:val="21"/>
          <w:lang w:val="es-ES_tradnl" w:eastAsia="es-ES_tradnl"/>
        </w:rPr>
        <w:t xml:space="preserve">. </w:t>
      </w:r>
      <w:r w:rsidRPr="005E7BA4">
        <w:rPr>
          <w:rFonts w:ascii="Arial" w:eastAsia="Times New Roman" w:hAnsi="Arial" w:cs="Arial"/>
          <w:lang w:val="es-ES_tradnl" w:eastAsia="es-ES_tradnl"/>
        </w:rPr>
        <w:t>(Énfasis fuera de texto)</w:t>
      </w:r>
    </w:p>
    <w:p w14:paraId="12D8C441" w14:textId="77777777" w:rsidR="00381D63" w:rsidRPr="005E7BA4" w:rsidRDefault="00381D63" w:rsidP="00381D63">
      <w:pPr>
        <w:spacing w:after="0" w:line="276" w:lineRule="auto"/>
        <w:ind w:left="709" w:right="709"/>
        <w:jc w:val="both"/>
        <w:rPr>
          <w:rFonts w:ascii="Arial" w:eastAsia="Times New Roman" w:hAnsi="Arial" w:cs="Arial"/>
          <w:lang w:val="es-ES_tradnl" w:eastAsia="es-ES_tradnl"/>
        </w:rPr>
      </w:pPr>
    </w:p>
    <w:p w14:paraId="20EDA730" w14:textId="77777777" w:rsidR="00381D63" w:rsidRPr="005E7BA4" w:rsidRDefault="00381D63" w:rsidP="00381D63">
      <w:pPr>
        <w:spacing w:after="120" w:line="276" w:lineRule="auto"/>
        <w:ind w:firstLine="709"/>
        <w:jc w:val="both"/>
        <w:rPr>
          <w:rFonts w:ascii="Arial" w:eastAsia="Calibri" w:hAnsi="Arial" w:cs="Arial"/>
          <w:lang w:val="es-ES_tradnl" w:eastAsia="es-ES_tradnl"/>
        </w:rPr>
      </w:pPr>
      <w:r w:rsidRPr="005E7BA4">
        <w:rPr>
          <w:rFonts w:ascii="Arial" w:eastAsia="Times New Roman" w:hAnsi="Arial" w:cs="Arial"/>
          <w:lang w:val="es-ES_tradnl" w:eastAsia="es-ES_tradnl"/>
        </w:rPr>
        <w:t xml:space="preserve">Como se aprecia, la postura sostenida por esta Agencia en vigencia del artículo </w:t>
      </w:r>
      <w:r w:rsidRPr="005E7BA4">
        <w:rPr>
          <w:rFonts w:ascii="Arial" w:eastAsia="Calibri" w:hAnsi="Arial" w:cs="Arial"/>
          <w:lang w:val="es-ES_tradnl" w:eastAsia="es-ES_tradnl"/>
        </w:rPr>
        <w:t xml:space="preserve">2.2.1.2.4.2.3 del Decreto 1082 de 2015 no contemplaba la posibilidad de que una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w:t>
      </w:r>
    </w:p>
    <w:p w14:paraId="5833B168" w14:textId="77777777" w:rsidR="00381D63" w:rsidRPr="005E7BA4" w:rsidRDefault="00381D63" w:rsidP="00381D63">
      <w:pPr>
        <w:spacing w:after="0" w:line="276" w:lineRule="auto"/>
        <w:ind w:firstLine="708"/>
        <w:jc w:val="both"/>
        <w:rPr>
          <w:rFonts w:ascii="Arial" w:eastAsia="Calibri" w:hAnsi="Arial" w:cs="Arial"/>
          <w:lang w:val="es-ES_tradnl" w:eastAsia="es-ES_tradnl"/>
        </w:rPr>
      </w:pPr>
      <w:r w:rsidRPr="005E7BA4">
        <w:rPr>
          <w:rFonts w:ascii="Arial" w:eastAsia="Calibri" w:hAnsi="Arial" w:cs="Arial"/>
          <w:lang w:val="es-ES_tradnl" w:eastAsia="es-ES_tradnl"/>
        </w:rPr>
        <w:t xml:space="preserve">Ahora bien, el texto del actual artículo 2.2.1.2.4.2.3, modificado por el artículo 5 del Decreto 1860 de 2021, no cambia la tesis adoptada en conceptos anteriores de Colombia </w:t>
      </w:r>
      <w:r w:rsidRPr="005E7BA4">
        <w:rPr>
          <w:rFonts w:ascii="Arial" w:eastAsia="Calibri" w:hAnsi="Arial" w:cs="Arial"/>
          <w:lang w:val="es-ES_tradnl" w:eastAsia="es-ES_tradnl"/>
        </w:rPr>
        <w:lastRenderedPageBreak/>
        <w:t xml:space="preserve">Compra Eficiente emitidos antes de la expedición de este reglamento. Lo anterior en la medida en que, respecto del domicilio de las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en el departamento o municipio donde se ejecuta el contrato, la reglamentación no tuvo cambios. Así se desprende del texto de la nueva norma que es del siguiente tenor: </w:t>
      </w:r>
    </w:p>
    <w:p w14:paraId="5229BBDF" w14:textId="77777777" w:rsidR="00381D63" w:rsidRPr="005E7BA4" w:rsidRDefault="00381D63" w:rsidP="00381D63">
      <w:pPr>
        <w:spacing w:after="0" w:line="240" w:lineRule="auto"/>
        <w:ind w:right="709"/>
        <w:jc w:val="both"/>
        <w:rPr>
          <w:rFonts w:ascii="Arial" w:eastAsia="Times New Roman" w:hAnsi="Arial" w:cs="Arial"/>
          <w:sz w:val="21"/>
          <w:szCs w:val="21"/>
          <w:lang w:val="es-ES_tradnl" w:eastAsia="es-ES_tradnl"/>
        </w:rPr>
      </w:pPr>
    </w:p>
    <w:p w14:paraId="261932BB" w14:textId="77777777" w:rsidR="00381D63" w:rsidRPr="005E7BA4" w:rsidRDefault="00381D63" w:rsidP="00381D63">
      <w:pPr>
        <w:spacing w:after="0" w:line="240" w:lineRule="auto"/>
        <w:ind w:left="709" w:right="709"/>
        <w:jc w:val="both"/>
        <w:rPr>
          <w:rFonts w:ascii="Arial" w:eastAsia="Times New Roman" w:hAnsi="Arial" w:cs="Arial"/>
          <w:sz w:val="21"/>
          <w:szCs w:val="21"/>
          <w:lang w:val="es-ES_tradnl" w:eastAsia="es-ES_tradnl"/>
        </w:rPr>
      </w:pPr>
      <w:r>
        <w:rPr>
          <w:rFonts w:ascii="Arial" w:eastAsia="Times New Roman" w:hAnsi="Arial" w:cs="Arial"/>
          <w:sz w:val="21"/>
          <w:szCs w:val="21"/>
          <w:lang w:val="es-ES_tradnl" w:eastAsia="es-ES_tradnl"/>
        </w:rPr>
        <w:t>“</w:t>
      </w:r>
      <w:r w:rsidRPr="005E7BA4">
        <w:rPr>
          <w:rFonts w:ascii="Arial" w:eastAsia="Times New Roman" w:hAnsi="Arial" w:cs="Arial"/>
          <w:sz w:val="21"/>
          <w:szCs w:val="21"/>
          <w:lang w:val="es-ES_tradnl" w:eastAsia="es-ES_tradnl"/>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2FBBE5CF" w14:textId="77777777" w:rsidR="00381D63" w:rsidRPr="005E7BA4" w:rsidRDefault="00381D63" w:rsidP="00381D63">
      <w:pPr>
        <w:spacing w:after="0" w:line="240" w:lineRule="auto"/>
        <w:ind w:left="709" w:right="709"/>
        <w:jc w:val="both"/>
        <w:rPr>
          <w:rFonts w:ascii="Arial" w:eastAsia="Times New Roman" w:hAnsi="Arial" w:cs="Arial"/>
          <w:sz w:val="21"/>
          <w:szCs w:val="21"/>
          <w:lang w:val="es-ES_tradnl" w:eastAsia="es-ES_tradnl"/>
        </w:rPr>
      </w:pPr>
    </w:p>
    <w:p w14:paraId="566C00AD" w14:textId="77777777" w:rsidR="00381D63" w:rsidRPr="005E7BA4" w:rsidRDefault="00381D63" w:rsidP="00381D63">
      <w:pPr>
        <w:spacing w:after="0" w:line="240" w:lineRule="auto"/>
        <w:ind w:left="709" w:right="709"/>
        <w:jc w:val="both"/>
        <w:rPr>
          <w:rFonts w:ascii="Arial" w:eastAsia="Times New Roman" w:hAnsi="Arial" w:cs="Arial"/>
          <w:sz w:val="21"/>
          <w:szCs w:val="21"/>
          <w:lang w:val="es-ES_tradnl" w:eastAsia="es-ES_tradnl"/>
        </w:rPr>
      </w:pPr>
      <w:r w:rsidRPr="005E7BA4">
        <w:rPr>
          <w:rFonts w:ascii="Arial" w:eastAsia="Times New Roman" w:hAnsi="Arial" w:cs="Arial"/>
          <w:sz w:val="21"/>
          <w:szCs w:val="21"/>
          <w:lang w:val="es-ES_tradnl" w:eastAsia="es-ES_tradnl"/>
        </w:rPr>
        <w:t>[…]</w:t>
      </w:r>
    </w:p>
    <w:p w14:paraId="0862DBD2" w14:textId="77777777" w:rsidR="00381D63" w:rsidRPr="005E7BA4" w:rsidRDefault="00381D63" w:rsidP="00381D63">
      <w:pPr>
        <w:spacing w:after="0" w:line="240" w:lineRule="auto"/>
        <w:ind w:left="709" w:right="709"/>
        <w:jc w:val="both"/>
        <w:rPr>
          <w:rFonts w:ascii="Arial" w:eastAsia="Times New Roman" w:hAnsi="Arial" w:cs="Arial"/>
          <w:sz w:val="21"/>
          <w:szCs w:val="21"/>
          <w:lang w:val="es-ES_tradnl" w:eastAsia="es-ES_tradnl"/>
        </w:rPr>
      </w:pPr>
    </w:p>
    <w:p w14:paraId="5397BB23" w14:textId="77777777" w:rsidR="00381D63" w:rsidRPr="005E7BA4" w:rsidRDefault="00381D63" w:rsidP="00381D63">
      <w:pPr>
        <w:spacing w:after="0" w:line="240" w:lineRule="auto"/>
        <w:ind w:left="709" w:right="709"/>
        <w:jc w:val="both"/>
        <w:rPr>
          <w:rFonts w:ascii="Arial" w:eastAsia="Calibri" w:hAnsi="Arial" w:cs="Arial"/>
          <w:lang w:val="es-ES_tradnl" w:eastAsia="es-ES_tradnl"/>
        </w:rPr>
      </w:pPr>
      <w:r w:rsidRPr="005E7BA4">
        <w:rPr>
          <w:rFonts w:ascii="Arial" w:eastAsia="Times New Roman" w:hAnsi="Arial" w:cs="Arial"/>
          <w:sz w:val="21"/>
          <w:szCs w:val="21"/>
          <w:lang w:val="es-ES_tradnl" w:eastAsia="es-ES_tradnl"/>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5E7BA4">
        <w:rPr>
          <w:rFonts w:ascii="Arial" w:eastAsia="Times New Roman" w:hAnsi="Arial" w:cs="Arial"/>
          <w:sz w:val="21"/>
          <w:szCs w:val="21"/>
          <w:lang w:val="es-ES_tradnl" w:eastAsia="es-ES_tradnl"/>
        </w:rPr>
        <w:t>Mipyme</w:t>
      </w:r>
      <w:proofErr w:type="spellEnd"/>
      <w:r w:rsidRPr="005E7BA4">
        <w:rPr>
          <w:rFonts w:ascii="Arial" w:eastAsia="Times New Roman" w:hAnsi="Arial" w:cs="Arial"/>
          <w:sz w:val="21"/>
          <w:szCs w:val="21"/>
          <w:lang w:val="es-ES_tradnl" w:eastAsia="es-ES_tradnl"/>
        </w:rPr>
        <w:t xml:space="preserve"> colombianas que tengan domicilio en los departamentos o municipios en donde se va a ejecutar el contrato. Cada </w:t>
      </w:r>
      <w:proofErr w:type="spellStart"/>
      <w:r w:rsidRPr="005E7BA4">
        <w:rPr>
          <w:rFonts w:ascii="Arial" w:eastAsia="Times New Roman" w:hAnsi="Arial" w:cs="Arial"/>
          <w:sz w:val="21"/>
          <w:szCs w:val="21"/>
          <w:lang w:val="es-ES_tradnl" w:eastAsia="es-ES_tradnl"/>
        </w:rPr>
        <w:t>Mipyme</w:t>
      </w:r>
      <w:proofErr w:type="spellEnd"/>
      <w:r w:rsidRPr="005E7BA4">
        <w:rPr>
          <w:rFonts w:ascii="Arial" w:eastAsia="Times New Roman" w:hAnsi="Arial" w:cs="Arial"/>
          <w:sz w:val="21"/>
          <w:szCs w:val="21"/>
          <w:lang w:val="es-ES_tradnl" w:eastAsia="es-ES_tradnl"/>
        </w:rPr>
        <w:t xml:space="preserve"> deberá acreditar su domicilio con los documentos a los que se refiere el siguiente artículo</w:t>
      </w:r>
      <w:r>
        <w:rPr>
          <w:rFonts w:ascii="Arial" w:eastAsia="Times New Roman" w:hAnsi="Arial" w:cs="Arial"/>
          <w:sz w:val="21"/>
          <w:szCs w:val="21"/>
          <w:lang w:val="es-ES_tradnl" w:eastAsia="es-ES_tradnl"/>
        </w:rPr>
        <w:t>”</w:t>
      </w:r>
      <w:r w:rsidRPr="005E7BA4">
        <w:rPr>
          <w:rFonts w:ascii="Arial" w:eastAsia="Times New Roman" w:hAnsi="Arial" w:cs="Arial"/>
          <w:sz w:val="21"/>
          <w:szCs w:val="21"/>
          <w:lang w:val="es-ES_tradnl" w:eastAsia="es-ES_tradnl"/>
        </w:rPr>
        <w:t xml:space="preserve">. </w:t>
      </w:r>
    </w:p>
    <w:p w14:paraId="7EF3223A" w14:textId="77777777" w:rsidR="00381D63" w:rsidRPr="005E7BA4" w:rsidRDefault="00381D63" w:rsidP="00381D63">
      <w:pPr>
        <w:spacing w:after="0" w:line="276" w:lineRule="auto"/>
        <w:ind w:left="709" w:right="709"/>
        <w:jc w:val="both"/>
        <w:rPr>
          <w:rFonts w:ascii="Arial" w:eastAsia="Calibri" w:hAnsi="Arial" w:cs="Arial"/>
          <w:lang w:val="es-ES_tradnl" w:eastAsia="es-ES_tradnl"/>
        </w:rPr>
      </w:pPr>
    </w:p>
    <w:p w14:paraId="5074F638" w14:textId="77777777" w:rsidR="00381D63" w:rsidRPr="005E7BA4" w:rsidRDefault="00381D63" w:rsidP="00381D63">
      <w:pPr>
        <w:spacing w:after="120" w:line="276" w:lineRule="auto"/>
        <w:ind w:firstLine="709"/>
        <w:jc w:val="both"/>
        <w:rPr>
          <w:rFonts w:ascii="Arial" w:eastAsia="Calibri" w:hAnsi="Arial" w:cs="Arial"/>
          <w:lang w:val="es-ES_tradnl" w:eastAsia="es-ES_tradnl"/>
        </w:rPr>
      </w:pPr>
      <w:r w:rsidRPr="005E7BA4">
        <w:rPr>
          <w:rFonts w:ascii="Arial" w:eastAsia="Calibri" w:hAnsi="Arial" w:cs="Arial"/>
          <w:lang w:val="es-ES_tradnl" w:eastAsia="es-ES_tradnl"/>
        </w:rPr>
        <w:t xml:space="preserve">La norma reglamentaria coincide con la redacción del parágrafo 1 del artículo 34 de la Ley 2069 de 2020, según el cual, solo es posible limitar convocatorias a la participación de </w:t>
      </w:r>
      <w:proofErr w:type="spellStart"/>
      <w:r w:rsidRPr="005E7BA4">
        <w:rPr>
          <w:rFonts w:ascii="Arial" w:eastAsia="Calibri" w:hAnsi="Arial" w:cs="Arial"/>
          <w:lang w:val="es-ES_tradnl" w:eastAsia="es-ES_tradnl"/>
        </w:rPr>
        <w:t>mipymes</w:t>
      </w:r>
      <w:proofErr w:type="spellEnd"/>
      <w:r w:rsidRPr="005E7BA4">
        <w:rPr>
          <w:rFonts w:ascii="Arial" w:eastAsia="Calibri" w:hAnsi="Arial" w:cs="Arial"/>
          <w:lang w:val="es-ES_tradnl" w:eastAsia="es-ES_tradnl"/>
        </w:rPr>
        <w:t xml:space="preserve"> </w:t>
      </w:r>
      <w:r>
        <w:rPr>
          <w:rFonts w:ascii="Arial" w:eastAsia="Calibri" w:hAnsi="Arial" w:cs="Arial"/>
          <w:lang w:val="es-ES_tradnl" w:eastAsia="es-ES_tradnl"/>
        </w:rPr>
        <w:t>“</w:t>
      </w:r>
      <w:r w:rsidRPr="005E7BA4">
        <w:rPr>
          <w:rFonts w:ascii="Arial" w:eastAsia="Calibri" w:hAnsi="Arial" w:cs="Arial"/>
          <w:lang w:val="es-ES_tradnl" w:eastAsia="es-ES_tradnl"/>
        </w:rPr>
        <w:t>[…] del ámbito municipal o departamental correspondiente al de la ejecución del contrato</w:t>
      </w:r>
      <w:r>
        <w:rPr>
          <w:rFonts w:ascii="Arial" w:eastAsia="Calibri" w:hAnsi="Arial" w:cs="Arial"/>
          <w:lang w:val="es-ES_tradnl" w:eastAsia="es-ES_tradnl"/>
        </w:rPr>
        <w:t>”</w:t>
      </w:r>
      <w:r w:rsidRPr="005E7BA4">
        <w:rPr>
          <w:rFonts w:ascii="Arial" w:eastAsia="Calibri" w:hAnsi="Arial" w:cs="Arial"/>
          <w:lang w:val="es-ES_tradnl" w:eastAsia="es-ES_tradnl"/>
        </w:rPr>
        <w:t xml:space="preserve">. En tales términos, la norma citada solo contempla la posibilidad de limitar convocatorias a </w:t>
      </w:r>
      <w:proofErr w:type="spellStart"/>
      <w:r w:rsidRPr="005E7BA4">
        <w:rPr>
          <w:rFonts w:ascii="Arial" w:eastAsia="Calibri" w:hAnsi="Arial" w:cs="Arial"/>
          <w:lang w:val="es-ES_tradnl" w:eastAsia="es-ES_tradnl"/>
        </w:rPr>
        <w:t>mipymes</w:t>
      </w:r>
      <w:proofErr w:type="spellEnd"/>
      <w:r w:rsidRPr="005E7BA4">
        <w:rPr>
          <w:rFonts w:ascii="Arial" w:eastAsia="Calibri" w:hAnsi="Arial" w:cs="Arial"/>
          <w:lang w:val="es-ES_tradnl" w:eastAsia="es-ES_tradnl"/>
        </w:rPr>
        <w:t xml:space="preserve"> con domicilio en esos dos tipos de entidades territoriales. </w:t>
      </w:r>
    </w:p>
    <w:p w14:paraId="32169298" w14:textId="77777777" w:rsidR="00381D63" w:rsidRPr="005E7BA4" w:rsidRDefault="00381D63" w:rsidP="00381D63">
      <w:pPr>
        <w:spacing w:after="120" w:line="276" w:lineRule="auto"/>
        <w:ind w:firstLine="709"/>
        <w:jc w:val="both"/>
        <w:rPr>
          <w:rFonts w:ascii="Arial" w:eastAsia="Arial" w:hAnsi="Arial" w:cs="Arial"/>
          <w:color w:val="000000"/>
          <w:lang w:val="es-ES_tradnl"/>
        </w:rPr>
      </w:pPr>
      <w:r w:rsidRPr="005E7BA4">
        <w:rPr>
          <w:rFonts w:ascii="Arial" w:eastAsia="Arial" w:hAnsi="Arial" w:cs="Arial"/>
          <w:color w:val="000000"/>
          <w:lang w:val="es-ES_tradnl"/>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nacional. Además, las normas de contratación permiten que las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nacionales puedan beneficiarse de la ejecución de un contrato dentro de la entidad territorial en la que tienen su </w:t>
      </w:r>
      <w:r>
        <w:rPr>
          <w:rFonts w:ascii="Arial" w:eastAsia="Arial" w:hAnsi="Arial" w:cs="Arial"/>
          <w:color w:val="000000"/>
          <w:lang w:val="es-ES_tradnl"/>
        </w:rPr>
        <w:t>“</w:t>
      </w:r>
      <w:r w:rsidRPr="005E7BA4">
        <w:rPr>
          <w:rFonts w:ascii="Arial" w:eastAsia="Arial" w:hAnsi="Arial" w:cs="Arial"/>
          <w:color w:val="000000"/>
          <w:lang w:val="es-ES_tradnl"/>
        </w:rPr>
        <w:t>domicilio</w:t>
      </w:r>
      <w:r>
        <w:rPr>
          <w:rFonts w:ascii="Arial" w:eastAsia="Arial" w:hAnsi="Arial" w:cs="Arial"/>
          <w:color w:val="000000"/>
          <w:lang w:val="es-ES_tradnl"/>
        </w:rPr>
        <w:t>”</w:t>
      </w:r>
      <w:r w:rsidRPr="005E7BA4">
        <w:rPr>
          <w:rFonts w:ascii="Arial" w:eastAsia="Arial" w:hAnsi="Arial" w:cs="Arial"/>
          <w:color w:val="000000"/>
          <w:lang w:val="es-ES_tradnl"/>
        </w:rPr>
        <w:t xml:space="preserve">. </w:t>
      </w:r>
    </w:p>
    <w:p w14:paraId="2702994D" w14:textId="77777777" w:rsidR="00381D63" w:rsidRPr="005E7BA4" w:rsidRDefault="00381D63" w:rsidP="00381D63">
      <w:pPr>
        <w:spacing w:after="120" w:line="276" w:lineRule="auto"/>
        <w:ind w:firstLine="709"/>
        <w:jc w:val="both"/>
        <w:rPr>
          <w:rFonts w:ascii="Arial" w:eastAsia="Arial" w:hAnsi="Arial" w:cs="Arial"/>
          <w:color w:val="000000"/>
          <w:lang w:val="es-ES_tradnl"/>
        </w:rPr>
      </w:pPr>
      <w:r w:rsidRPr="005E7BA4">
        <w:rPr>
          <w:rFonts w:ascii="Arial" w:eastAsia="Arial" w:hAnsi="Arial" w:cs="Arial"/>
          <w:color w:val="000000"/>
          <w:lang w:val="es-ES_tradnl"/>
        </w:rPr>
        <w:t xml:space="preserve">Ahora bien, el artículo 2.2.1.2.4.2.3. del Decreto 1082 de 2015, modificado por el artículo 5 del Decreto 1860 de 2021, se refiere a las </w:t>
      </w:r>
      <w:r>
        <w:rPr>
          <w:rFonts w:ascii="Arial" w:eastAsia="Arial" w:hAnsi="Arial" w:cs="Arial"/>
          <w:color w:val="000000"/>
          <w:lang w:val="es-ES_tradnl"/>
        </w:rPr>
        <w:t>“</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colombianas que tengan domicilio en los departamentos o municipios en donde se va a ejecutar el contrato</w:t>
      </w:r>
      <w:r>
        <w:rPr>
          <w:rFonts w:ascii="Arial" w:eastAsia="Arial" w:hAnsi="Arial" w:cs="Arial"/>
          <w:color w:val="000000"/>
          <w:lang w:val="es-ES_tradnl"/>
        </w:rPr>
        <w:t>”</w:t>
      </w:r>
      <w:r w:rsidRPr="005E7BA4">
        <w:rPr>
          <w:rFonts w:ascii="Arial" w:eastAsia="Arial" w:hAnsi="Arial" w:cs="Arial"/>
          <w:color w:val="000000"/>
          <w:lang w:val="es-ES_tradnl"/>
        </w:rPr>
        <w:t xml:space="preserve">. Esta precisión es importante, pues el incentivo previsto en la norma únicamente aplica en el lugar de ejecución del contratado en el que la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tiene su </w:t>
      </w:r>
      <w:r>
        <w:rPr>
          <w:rFonts w:ascii="Arial" w:eastAsia="Arial" w:hAnsi="Arial" w:cs="Arial"/>
          <w:color w:val="000000"/>
          <w:lang w:val="es-ES_tradnl"/>
        </w:rPr>
        <w:t>“</w:t>
      </w:r>
      <w:r w:rsidRPr="005E7BA4">
        <w:rPr>
          <w:rFonts w:ascii="Arial" w:eastAsia="Arial" w:hAnsi="Arial" w:cs="Arial"/>
          <w:color w:val="000000"/>
          <w:lang w:val="es-ES_tradnl"/>
        </w:rPr>
        <w:t>domicilio</w:t>
      </w:r>
      <w:r>
        <w:rPr>
          <w:rFonts w:ascii="Arial" w:eastAsia="Arial" w:hAnsi="Arial" w:cs="Arial"/>
          <w:color w:val="000000"/>
          <w:lang w:val="es-ES_tradnl"/>
        </w:rPr>
        <w:t>”</w:t>
      </w:r>
      <w:r w:rsidRPr="005E7BA4">
        <w:rPr>
          <w:rFonts w:ascii="Arial" w:eastAsia="Arial" w:hAnsi="Arial" w:cs="Arial"/>
          <w:color w:val="000000"/>
          <w:lang w:val="es-ES_tradnl"/>
        </w:rPr>
        <w:t xml:space="preserve">, y no en donde tiene sucursales. </w:t>
      </w:r>
    </w:p>
    <w:p w14:paraId="29BFEEC6" w14:textId="77777777" w:rsidR="00381D63" w:rsidRPr="005E7BA4" w:rsidRDefault="00381D63" w:rsidP="00381D63">
      <w:pPr>
        <w:spacing w:after="120" w:line="276" w:lineRule="auto"/>
        <w:ind w:firstLine="709"/>
        <w:jc w:val="both"/>
        <w:rPr>
          <w:rFonts w:ascii="Arial" w:eastAsia="Arial" w:hAnsi="Arial" w:cs="Arial"/>
          <w:color w:val="000000"/>
          <w:lang w:val="es-ES_tradnl"/>
        </w:rPr>
      </w:pPr>
      <w:r w:rsidRPr="005E7BA4">
        <w:rPr>
          <w:rFonts w:ascii="Arial" w:eastAsia="Arial" w:hAnsi="Arial" w:cs="Arial"/>
          <w:color w:val="000000"/>
          <w:lang w:val="es-ES_tradnl"/>
        </w:rPr>
        <w:t xml:space="preserve">El artículo 263 del Código de Comercio define las sucursales como </w:t>
      </w:r>
      <w:r>
        <w:rPr>
          <w:rFonts w:ascii="Arial" w:eastAsia="Arial" w:hAnsi="Arial" w:cs="Arial"/>
          <w:color w:val="000000"/>
          <w:lang w:val="es-ES_tradnl"/>
        </w:rPr>
        <w:t>“</w:t>
      </w:r>
      <w:r w:rsidRPr="005E7BA4">
        <w:rPr>
          <w:rFonts w:ascii="Arial" w:eastAsia="Arial" w:hAnsi="Arial" w:cs="Arial"/>
          <w:color w:val="000000"/>
          <w:lang w:val="es-ES_tradnl"/>
        </w:rPr>
        <w:t xml:space="preserve">los establecimientos de comercio abiertos por una sociedad, dentro o fuera de su domicilio, </w:t>
      </w:r>
      <w:r w:rsidRPr="005E7BA4">
        <w:rPr>
          <w:rFonts w:ascii="Arial" w:eastAsia="Arial" w:hAnsi="Arial" w:cs="Arial"/>
          <w:color w:val="000000"/>
          <w:lang w:val="es-ES_tradnl"/>
        </w:rPr>
        <w:lastRenderedPageBreak/>
        <w:t>para el desarrollo de los negocios sociales o parte de ellos, administrados por mandatarios con facultades para representar la sociedad</w:t>
      </w:r>
      <w:r>
        <w:rPr>
          <w:rFonts w:ascii="Arial" w:eastAsia="Arial" w:hAnsi="Arial" w:cs="Arial"/>
          <w:color w:val="000000"/>
          <w:lang w:val="es-ES_tradnl"/>
        </w:rPr>
        <w:t>”</w:t>
      </w:r>
      <w:r w:rsidRPr="005E7BA4">
        <w:rPr>
          <w:rFonts w:ascii="Arial" w:eastAsia="Arial" w:hAnsi="Arial" w:cs="Arial"/>
          <w:color w:val="000000"/>
          <w:lang w:val="es-ES_tradnl"/>
        </w:rPr>
        <w:t xml:space="preserve">. Nótese que la norma se refiere a los conceptos de </w:t>
      </w:r>
      <w:r>
        <w:rPr>
          <w:rFonts w:ascii="Arial" w:eastAsia="Arial" w:hAnsi="Arial" w:cs="Arial"/>
          <w:color w:val="000000"/>
          <w:lang w:val="es-ES_tradnl"/>
        </w:rPr>
        <w:t>“</w:t>
      </w:r>
      <w:r w:rsidRPr="005E7BA4">
        <w:rPr>
          <w:rFonts w:ascii="Arial" w:eastAsia="Arial" w:hAnsi="Arial" w:cs="Arial"/>
          <w:color w:val="000000"/>
          <w:lang w:val="es-ES_tradnl"/>
        </w:rPr>
        <w:t>sucursal</w:t>
      </w:r>
      <w:r>
        <w:rPr>
          <w:rFonts w:ascii="Arial" w:eastAsia="Arial" w:hAnsi="Arial" w:cs="Arial"/>
          <w:color w:val="000000"/>
          <w:lang w:val="es-ES_tradnl"/>
        </w:rPr>
        <w:t>”</w:t>
      </w:r>
      <w:r w:rsidRPr="005E7BA4">
        <w:rPr>
          <w:rFonts w:ascii="Arial" w:eastAsia="Arial" w:hAnsi="Arial" w:cs="Arial"/>
          <w:color w:val="000000"/>
          <w:lang w:val="es-ES_tradnl"/>
        </w:rPr>
        <w:t xml:space="preserve"> y </w:t>
      </w:r>
      <w:r>
        <w:rPr>
          <w:rFonts w:ascii="Arial" w:eastAsia="Arial" w:hAnsi="Arial" w:cs="Arial"/>
          <w:color w:val="000000"/>
          <w:lang w:val="es-ES_tradnl"/>
        </w:rPr>
        <w:t>“</w:t>
      </w:r>
      <w:r w:rsidRPr="005E7BA4">
        <w:rPr>
          <w:rFonts w:ascii="Arial" w:eastAsia="Arial" w:hAnsi="Arial" w:cs="Arial"/>
          <w:color w:val="000000"/>
          <w:lang w:val="es-ES_tradnl"/>
        </w:rPr>
        <w:t>domicilio</w:t>
      </w:r>
      <w:r>
        <w:rPr>
          <w:rFonts w:ascii="Arial" w:eastAsia="Arial" w:hAnsi="Arial" w:cs="Arial"/>
          <w:color w:val="000000"/>
          <w:lang w:val="es-ES_tradnl"/>
        </w:rPr>
        <w:t>”</w:t>
      </w:r>
      <w:r w:rsidRPr="005E7BA4">
        <w:rPr>
          <w:rFonts w:ascii="Arial" w:eastAsia="Arial" w:hAnsi="Arial" w:cs="Arial"/>
          <w:color w:val="000000"/>
          <w:lang w:val="es-ES_tradnl"/>
        </w:rPr>
        <w:t xml:space="preserve"> de forma diferente, de lo que se deriva que las sociedades comerciales tienen un domicilio y pueden tener una o varias sucursales que son establecimientos de comercio, esto es, bienes mercantiles pertenecientes a la sociedad. En ese mismo sentido, los artículos 110 y 111 </w:t>
      </w:r>
      <w:proofErr w:type="spellStart"/>
      <w:r w:rsidRPr="005E7BA4">
        <w:rPr>
          <w:rFonts w:ascii="Arial" w:eastAsia="Arial" w:hAnsi="Arial" w:cs="Arial"/>
          <w:i/>
          <w:color w:val="000000"/>
          <w:lang w:val="es-ES_tradnl"/>
        </w:rPr>
        <w:t>ibídem</w:t>
      </w:r>
      <w:proofErr w:type="spellEnd"/>
      <w:r w:rsidRPr="005E7BA4">
        <w:rPr>
          <w:rFonts w:ascii="Arial" w:eastAsia="Arial" w:hAnsi="Arial" w:cs="Arial"/>
          <w:color w:val="000000"/>
          <w:lang w:val="es-ES_tradnl"/>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w:t>
      </w:r>
      <w:r>
        <w:rPr>
          <w:rFonts w:ascii="Arial" w:eastAsia="Arial" w:hAnsi="Arial" w:cs="Arial"/>
          <w:color w:val="000000"/>
          <w:lang w:val="es-ES_tradnl"/>
        </w:rPr>
        <w:t>“</w:t>
      </w:r>
      <w:r w:rsidRPr="005E7BA4">
        <w:rPr>
          <w:rFonts w:ascii="Arial" w:eastAsia="Arial" w:hAnsi="Arial" w:cs="Arial"/>
          <w:color w:val="000000"/>
          <w:lang w:val="es-ES_tradnl"/>
        </w:rPr>
        <w:t>domicilio</w:t>
      </w:r>
      <w:r>
        <w:rPr>
          <w:rFonts w:ascii="Arial" w:eastAsia="Arial" w:hAnsi="Arial" w:cs="Arial"/>
          <w:color w:val="000000"/>
          <w:lang w:val="es-ES_tradnl"/>
        </w:rPr>
        <w:t>”</w:t>
      </w:r>
      <w:r w:rsidRPr="005E7BA4">
        <w:rPr>
          <w:rFonts w:ascii="Arial" w:eastAsia="Arial" w:hAnsi="Arial" w:cs="Arial"/>
          <w:color w:val="000000"/>
          <w:lang w:val="es-ES_tradnl"/>
        </w:rPr>
        <w:t xml:space="preserve">, se entiende que no es procedente extender el beneficio contenido en el artículo 2.2.1.2.4.2.3. </w:t>
      </w:r>
      <w:proofErr w:type="spellStart"/>
      <w:r w:rsidRPr="005E7BA4">
        <w:rPr>
          <w:rFonts w:ascii="Arial" w:eastAsia="Arial" w:hAnsi="Arial" w:cs="Arial"/>
          <w:i/>
          <w:color w:val="000000"/>
          <w:lang w:val="es-ES_tradnl"/>
        </w:rPr>
        <w:t>ibídem</w:t>
      </w:r>
      <w:proofErr w:type="spellEnd"/>
      <w:r w:rsidRPr="005E7BA4">
        <w:rPr>
          <w:rFonts w:ascii="Arial" w:eastAsia="Arial" w:hAnsi="Arial" w:cs="Arial"/>
          <w:i/>
          <w:color w:val="000000"/>
          <w:lang w:val="es-ES_tradnl"/>
        </w:rPr>
        <w:t xml:space="preserve"> </w:t>
      </w:r>
      <w:r w:rsidRPr="005E7BA4">
        <w:rPr>
          <w:rFonts w:ascii="Arial" w:eastAsia="Arial" w:hAnsi="Arial" w:cs="Arial"/>
          <w:color w:val="000000"/>
          <w:lang w:val="es-ES_tradnl"/>
        </w:rPr>
        <w:t xml:space="preserve">a las entidades que tienen </w:t>
      </w:r>
      <w:r>
        <w:rPr>
          <w:rFonts w:ascii="Arial" w:eastAsia="Arial" w:hAnsi="Arial" w:cs="Arial"/>
          <w:color w:val="000000"/>
          <w:lang w:val="es-ES_tradnl"/>
        </w:rPr>
        <w:t>“</w:t>
      </w:r>
      <w:r w:rsidRPr="005E7BA4">
        <w:rPr>
          <w:rFonts w:ascii="Arial" w:eastAsia="Arial" w:hAnsi="Arial" w:cs="Arial"/>
          <w:color w:val="000000"/>
          <w:lang w:val="es-ES_tradnl"/>
        </w:rPr>
        <w:t>sucursales</w:t>
      </w:r>
      <w:r>
        <w:rPr>
          <w:rFonts w:ascii="Arial" w:eastAsia="Arial" w:hAnsi="Arial" w:cs="Arial"/>
          <w:color w:val="000000"/>
          <w:lang w:val="es-ES_tradnl"/>
        </w:rPr>
        <w:t>”</w:t>
      </w:r>
      <w:r w:rsidRPr="005E7BA4">
        <w:rPr>
          <w:rFonts w:ascii="Arial" w:eastAsia="Arial" w:hAnsi="Arial" w:cs="Arial"/>
          <w:color w:val="000000"/>
          <w:lang w:val="es-ES_tradnl"/>
        </w:rPr>
        <w:t xml:space="preserve"> en el municipio o departamento en donde se va a ejecutar el contrato estatal.</w:t>
      </w:r>
    </w:p>
    <w:p w14:paraId="4337E690" w14:textId="77777777" w:rsidR="00381D63" w:rsidRPr="005E7BA4" w:rsidRDefault="00381D63" w:rsidP="00381D63">
      <w:pPr>
        <w:spacing w:after="120" w:line="276" w:lineRule="auto"/>
        <w:ind w:firstLine="709"/>
        <w:jc w:val="both"/>
        <w:rPr>
          <w:rFonts w:ascii="Arial" w:eastAsia="Arial" w:hAnsi="Arial" w:cs="Arial"/>
          <w:color w:val="000000"/>
          <w:lang w:val="es-ES_tradnl"/>
        </w:rPr>
      </w:pPr>
      <w:r w:rsidRPr="005E7BA4">
        <w:rPr>
          <w:rFonts w:ascii="Arial" w:eastAsia="Arial" w:hAnsi="Arial" w:cs="Arial"/>
          <w:color w:val="000000"/>
          <w:lang w:val="es-ES_tradnl"/>
        </w:rPr>
        <w:t xml:space="preserve">Sin perjuicio de lo anterior, no puede perderse de vista que la decisión de limitar </w:t>
      </w:r>
      <w:r>
        <w:rPr>
          <w:rFonts w:ascii="Arial" w:eastAsia="Arial" w:hAnsi="Arial" w:cs="Arial"/>
          <w:color w:val="000000"/>
          <w:lang w:val="es-ES_tradnl"/>
        </w:rPr>
        <w:t>“</w:t>
      </w:r>
      <w:r w:rsidRPr="005E7BA4">
        <w:rPr>
          <w:rFonts w:ascii="Arial" w:eastAsia="Arial" w:hAnsi="Arial" w:cs="Arial"/>
          <w:color w:val="000000"/>
          <w:lang w:val="es-ES_tradnl"/>
        </w:rPr>
        <w:t xml:space="preserve">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colombianas que tengan domicilio en los departamentos o municipios en donde se va a ejecutar el contrato</w:t>
      </w:r>
      <w:r>
        <w:rPr>
          <w:rFonts w:ascii="Arial" w:eastAsia="Arial" w:hAnsi="Arial" w:cs="Arial"/>
          <w:color w:val="000000"/>
          <w:lang w:val="es-ES_tradnl"/>
        </w:rPr>
        <w:t>”</w:t>
      </w:r>
      <w:r w:rsidRPr="005E7BA4">
        <w:rPr>
          <w:rFonts w:ascii="Arial" w:eastAsia="Arial" w:hAnsi="Arial" w:cs="Arial"/>
          <w:color w:val="000000"/>
          <w:lang w:val="es-ES_tradnl"/>
        </w:rPr>
        <w:t>, aunque es facultativa de la entidad, está supeditada a que se verifiquen los requisitos establecidos en los numerales 1 y 2 del artículo 2.2.1.2.4.2.2. del Decreto 1082 de 2015, modificado por el Decreto 1860 de 2021</w:t>
      </w:r>
      <w:r w:rsidRPr="005E7BA4">
        <w:rPr>
          <w:rFonts w:ascii="Arial" w:eastAsia="Arial" w:hAnsi="Arial" w:cs="Arial"/>
          <w:color w:val="000000"/>
          <w:vertAlign w:val="superscript"/>
          <w:lang w:val="es-ES_tradnl"/>
        </w:rPr>
        <w:footnoteReference w:id="15"/>
      </w:r>
      <w:r w:rsidRPr="005E7BA4">
        <w:rPr>
          <w:rFonts w:ascii="Arial" w:eastAsia="Arial" w:hAnsi="Arial" w:cs="Arial"/>
          <w:color w:val="000000"/>
          <w:lang w:val="es-ES_tradnl"/>
        </w:rPr>
        <w:t xml:space="preserve">. En ese sentido, si la entidad no recibió las solicitudes para limitar la convocatoria 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no puede </w:t>
      </w:r>
      <w:r w:rsidRPr="005E7BA4">
        <w:rPr>
          <w:rFonts w:ascii="Arial" w:eastAsia="Arial" w:hAnsi="Arial" w:cs="Arial"/>
          <w:i/>
          <w:color w:val="000000"/>
          <w:lang w:val="es-ES_tradnl"/>
        </w:rPr>
        <w:t xml:space="preserve">motu proprio </w:t>
      </w:r>
      <w:r w:rsidRPr="005E7BA4">
        <w:rPr>
          <w:rFonts w:ascii="Arial" w:eastAsia="Arial" w:hAnsi="Arial" w:cs="Arial"/>
          <w:color w:val="000000"/>
          <w:lang w:val="es-ES_tradnl"/>
        </w:rPr>
        <w:t xml:space="preserve">proceder con la </w:t>
      </w:r>
      <w:r>
        <w:rPr>
          <w:rFonts w:ascii="Arial" w:eastAsia="Arial" w:hAnsi="Arial" w:cs="Arial"/>
          <w:color w:val="000000"/>
          <w:lang w:val="es-ES_tradnl"/>
        </w:rPr>
        <w:t>“</w:t>
      </w:r>
      <w:r w:rsidRPr="005E7BA4">
        <w:rPr>
          <w:rFonts w:ascii="Arial" w:eastAsia="Arial" w:hAnsi="Arial" w:cs="Arial"/>
          <w:color w:val="000000"/>
          <w:lang w:val="es-ES_tradnl"/>
        </w:rPr>
        <w:t>limitación territorial</w:t>
      </w:r>
      <w:r>
        <w:rPr>
          <w:rFonts w:ascii="Arial" w:eastAsia="Arial" w:hAnsi="Arial" w:cs="Arial"/>
          <w:color w:val="000000"/>
          <w:lang w:val="es-ES_tradnl"/>
        </w:rPr>
        <w:t>”</w:t>
      </w:r>
      <w:r w:rsidRPr="005E7BA4">
        <w:rPr>
          <w:rFonts w:ascii="Arial" w:eastAsia="Arial" w:hAnsi="Arial" w:cs="Arial"/>
          <w:color w:val="000000"/>
          <w:lang w:val="es-ES_tradnl"/>
        </w:rPr>
        <w:t xml:space="preserve"> de que trata el artículo 2.2.1.2.4.2.3. del Decreto 1082 de 2015. Esto debido a que el ejercicio de esta facultad solo puede darse ante la </w:t>
      </w:r>
      <w:r>
        <w:rPr>
          <w:rFonts w:ascii="Arial" w:eastAsia="Arial" w:hAnsi="Arial" w:cs="Arial"/>
          <w:color w:val="000000"/>
          <w:lang w:val="es-ES_tradnl"/>
        </w:rPr>
        <w:t>“</w:t>
      </w:r>
      <w:r w:rsidRPr="005E7BA4">
        <w:rPr>
          <w:rFonts w:ascii="Arial" w:eastAsia="Arial" w:hAnsi="Arial" w:cs="Arial"/>
          <w:color w:val="000000"/>
          <w:lang w:val="es-ES_tradnl"/>
        </w:rPr>
        <w:t xml:space="preserve">limitación a </w:t>
      </w:r>
      <w:proofErr w:type="spellStart"/>
      <w:r w:rsidRPr="005E7BA4">
        <w:rPr>
          <w:rFonts w:ascii="Arial" w:eastAsia="Arial" w:hAnsi="Arial" w:cs="Arial"/>
          <w:color w:val="000000"/>
          <w:lang w:val="es-ES_tradnl"/>
        </w:rPr>
        <w:t>Mipymes</w:t>
      </w:r>
      <w:proofErr w:type="spellEnd"/>
      <w:r w:rsidRPr="005E7BA4">
        <w:rPr>
          <w:rFonts w:ascii="Arial" w:eastAsia="Arial" w:hAnsi="Arial" w:cs="Arial"/>
          <w:color w:val="000000"/>
          <w:lang w:val="es-ES_tradnl"/>
        </w:rPr>
        <w:t xml:space="preserve"> colombianas</w:t>
      </w:r>
      <w:r>
        <w:rPr>
          <w:rFonts w:ascii="Arial" w:eastAsia="Arial" w:hAnsi="Arial" w:cs="Arial"/>
          <w:color w:val="000000"/>
          <w:lang w:val="es-ES_tradnl"/>
        </w:rPr>
        <w:t>”</w:t>
      </w:r>
      <w:r w:rsidRPr="005E7BA4">
        <w:rPr>
          <w:rFonts w:ascii="Arial" w:eastAsia="Arial" w:hAnsi="Arial" w:cs="Arial"/>
          <w:color w:val="000000"/>
          <w:lang w:val="es-ES_tradnl"/>
        </w:rPr>
        <w:t>, lo cual supone verificar los supuestos legales establecidos en los mencionados numerales.</w:t>
      </w:r>
    </w:p>
    <w:p w14:paraId="52950AD6" w14:textId="77777777" w:rsidR="00381D63" w:rsidRPr="005E7BA4" w:rsidRDefault="00381D63" w:rsidP="00381D63">
      <w:pPr>
        <w:spacing w:after="120" w:line="276" w:lineRule="auto"/>
        <w:ind w:firstLine="708"/>
        <w:jc w:val="both"/>
        <w:rPr>
          <w:rFonts w:ascii="Arial" w:eastAsia="Times New Roman" w:hAnsi="Arial" w:cs="Arial"/>
          <w:color w:val="000000"/>
          <w:szCs w:val="24"/>
          <w:lang w:eastAsia="es-ES_tradnl"/>
        </w:rPr>
      </w:pPr>
      <w:r w:rsidRPr="005E7BA4">
        <w:rPr>
          <w:rFonts w:ascii="Arial" w:eastAsia="Times New Roman" w:hAnsi="Arial" w:cs="Arial"/>
          <w:color w:val="000000"/>
          <w:szCs w:val="24"/>
          <w:lang w:eastAsia="es-ES_tradnl"/>
        </w:rPr>
        <w:lastRenderedPageBreak/>
        <w:t xml:space="preserve">Cumplidos los dos requisitos del artículo 2.2.1.2.4.2.2. </w:t>
      </w:r>
      <w:proofErr w:type="spellStart"/>
      <w:r w:rsidRPr="005E7BA4">
        <w:rPr>
          <w:rFonts w:ascii="Arial" w:eastAsia="Times New Roman" w:hAnsi="Arial" w:cs="Arial"/>
          <w:i/>
          <w:iCs/>
          <w:color w:val="000000"/>
          <w:szCs w:val="24"/>
          <w:lang w:eastAsia="es-ES_tradnl"/>
        </w:rPr>
        <w:t>ibídem</w:t>
      </w:r>
      <w:proofErr w:type="spellEnd"/>
      <w:r w:rsidRPr="005E7BA4">
        <w:rPr>
          <w:rFonts w:ascii="Arial" w:eastAsia="Times New Roman" w:hAnsi="Arial" w:cs="Arial"/>
          <w:color w:val="000000"/>
          <w:szCs w:val="24"/>
          <w:lang w:eastAsia="es-ES_tradnl"/>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proofErr w:type="spellStart"/>
      <w:r w:rsidRPr="005E7BA4">
        <w:rPr>
          <w:rFonts w:ascii="Arial" w:eastAsia="Times New Roman" w:hAnsi="Arial" w:cs="Arial"/>
          <w:color w:val="000000"/>
          <w:szCs w:val="24"/>
          <w:lang w:eastAsia="es-ES_tradnl"/>
        </w:rPr>
        <w:t>Mipyme</w:t>
      </w:r>
      <w:proofErr w:type="spellEnd"/>
      <w:r w:rsidRPr="005E7BA4">
        <w:rPr>
          <w:rFonts w:ascii="Arial" w:eastAsia="Times New Roman" w:hAnsi="Arial" w:cs="Arial"/>
          <w:color w:val="000000"/>
          <w:szCs w:val="24"/>
          <w:lang w:eastAsia="es-ES_tradnl"/>
        </w:rPr>
        <w:t xml:space="preserve"> colombianas domiciliadas en el municipio o departamento en el que se ejecutará el contrato</w:t>
      </w:r>
      <w:r w:rsidRPr="005E7BA4">
        <w:rPr>
          <w:rFonts w:ascii="Arial" w:eastAsia="Times New Roman" w:hAnsi="Arial" w:cs="Arial"/>
          <w:color w:val="000000"/>
          <w:szCs w:val="24"/>
          <w:vertAlign w:val="superscript"/>
          <w:lang w:eastAsia="es-ES_tradnl"/>
        </w:rPr>
        <w:footnoteReference w:id="16"/>
      </w:r>
      <w:r w:rsidRPr="005E7BA4">
        <w:rPr>
          <w:rFonts w:ascii="Arial" w:eastAsia="Times New Roman" w:hAnsi="Arial" w:cs="Arial"/>
          <w:color w:val="000000"/>
          <w:szCs w:val="24"/>
          <w:lang w:eastAsia="es-ES_tradnl"/>
        </w:rPr>
        <w:t xml:space="preserve">. Esto de acuerdo con lo establecido en artículo 2.2.1.2.4.2.3. del Decreto 1082 de 2015 </w:t>
      </w:r>
      <w:r w:rsidRPr="005E7BA4">
        <w:rPr>
          <w:rFonts w:ascii="Arial" w:eastAsia="Arial" w:hAnsi="Arial" w:cs="Arial"/>
          <w:color w:val="000000"/>
          <w:lang w:val="es-ES_tradnl"/>
        </w:rPr>
        <w:t>modificado por el Decreto 1860 de 2021</w:t>
      </w:r>
      <w:r w:rsidRPr="005E7BA4">
        <w:rPr>
          <w:rFonts w:ascii="Arial" w:eastAsia="Times New Roman" w:hAnsi="Arial" w:cs="Arial"/>
          <w:color w:val="000000"/>
          <w:szCs w:val="24"/>
          <w:lang w:eastAsia="es-ES_tradnl"/>
        </w:rPr>
        <w:t xml:space="preserve">, norma que se refiere a la facultad de la administración con el verbo infinitivo </w:t>
      </w:r>
      <w:r>
        <w:rPr>
          <w:rFonts w:ascii="Arial" w:eastAsia="Times New Roman" w:hAnsi="Arial" w:cs="Arial"/>
          <w:color w:val="000000"/>
          <w:szCs w:val="24"/>
          <w:lang w:eastAsia="es-ES_tradnl"/>
        </w:rPr>
        <w:t>“</w:t>
      </w:r>
      <w:r w:rsidRPr="005E7BA4">
        <w:rPr>
          <w:rFonts w:ascii="Arial" w:eastAsia="Times New Roman" w:hAnsi="Arial" w:cs="Arial"/>
          <w:color w:val="000000"/>
          <w:szCs w:val="24"/>
          <w:lang w:eastAsia="es-ES_tradnl"/>
        </w:rPr>
        <w:t>poder</w:t>
      </w:r>
      <w:r>
        <w:rPr>
          <w:rFonts w:ascii="Arial" w:eastAsia="Times New Roman" w:hAnsi="Arial" w:cs="Arial"/>
          <w:color w:val="000000"/>
          <w:szCs w:val="24"/>
          <w:lang w:eastAsia="es-ES_tradnl"/>
        </w:rPr>
        <w:t>”</w:t>
      </w:r>
      <w:r w:rsidRPr="005E7BA4">
        <w:rPr>
          <w:rFonts w:ascii="Arial" w:eastAsia="Times New Roman" w:hAnsi="Arial" w:cs="Arial"/>
          <w:color w:val="000000"/>
          <w:szCs w:val="24"/>
          <w:lang w:eastAsia="es-ES_tradnl"/>
        </w:rPr>
        <w:t xml:space="preserve">, no </w:t>
      </w:r>
      <w:r>
        <w:rPr>
          <w:rFonts w:ascii="Arial" w:eastAsia="Times New Roman" w:hAnsi="Arial" w:cs="Arial"/>
          <w:color w:val="000000"/>
          <w:szCs w:val="24"/>
          <w:lang w:eastAsia="es-ES_tradnl"/>
        </w:rPr>
        <w:t>“</w:t>
      </w:r>
      <w:r w:rsidRPr="005E7BA4">
        <w:rPr>
          <w:rFonts w:ascii="Arial" w:eastAsia="Times New Roman" w:hAnsi="Arial" w:cs="Arial"/>
          <w:color w:val="000000"/>
          <w:szCs w:val="24"/>
          <w:lang w:eastAsia="es-ES_tradnl"/>
        </w:rPr>
        <w:t>deber</w:t>
      </w:r>
      <w:r>
        <w:rPr>
          <w:rFonts w:ascii="Arial" w:eastAsia="Times New Roman" w:hAnsi="Arial" w:cs="Arial"/>
          <w:color w:val="000000"/>
          <w:szCs w:val="24"/>
          <w:lang w:eastAsia="es-ES_tradnl"/>
        </w:rPr>
        <w:t>”</w:t>
      </w:r>
      <w:r w:rsidRPr="005E7BA4">
        <w:rPr>
          <w:rFonts w:ascii="Arial" w:eastAsia="Times New Roman" w:hAnsi="Arial" w:cs="Arial"/>
          <w:color w:val="000000"/>
          <w:szCs w:val="24"/>
          <w:lang w:eastAsia="es-ES_tradnl"/>
        </w:rPr>
        <w:t xml:space="preserve">. </w:t>
      </w:r>
    </w:p>
    <w:p w14:paraId="3ACD9C7E" w14:textId="77777777" w:rsidR="00381D63" w:rsidRPr="005E7BA4" w:rsidRDefault="00381D63" w:rsidP="00381D63">
      <w:pPr>
        <w:spacing w:after="120" w:line="276" w:lineRule="auto"/>
        <w:ind w:firstLine="709"/>
        <w:jc w:val="both"/>
        <w:rPr>
          <w:rFonts w:ascii="Arial" w:eastAsia="Calibri" w:hAnsi="Arial" w:cs="Arial"/>
          <w:color w:val="000000"/>
          <w:szCs w:val="24"/>
          <w:lang w:eastAsia="es-ES_tradnl"/>
        </w:rPr>
      </w:pPr>
      <w:r w:rsidRPr="005E7BA4">
        <w:rPr>
          <w:rFonts w:ascii="Arial" w:eastAsia="Calibri" w:hAnsi="Arial" w:cs="Arial"/>
          <w:color w:val="000000"/>
          <w:szCs w:val="24"/>
          <w:lang w:eastAsia="es-ES_tradnl"/>
        </w:rPr>
        <w:t>Colombia Compra Eficiente ha sostenido que la decisión de limitar territorialmente un</w:t>
      </w:r>
      <w:r w:rsidRPr="005E7BA4">
        <w:rPr>
          <w:rFonts w:ascii="Arial" w:eastAsia="Times New Roman" w:hAnsi="Arial" w:cs="Arial"/>
          <w:color w:val="000000"/>
          <w:szCs w:val="24"/>
          <w:lang w:eastAsia="es-ES_tradnl"/>
        </w:rPr>
        <w:t xml:space="preserve">a convocatoria a </w:t>
      </w:r>
      <w:proofErr w:type="spellStart"/>
      <w:r w:rsidRPr="005E7BA4">
        <w:rPr>
          <w:rFonts w:ascii="Arial" w:eastAsia="Times New Roman" w:hAnsi="Arial" w:cs="Arial"/>
          <w:color w:val="000000"/>
          <w:szCs w:val="24"/>
          <w:lang w:eastAsia="es-ES_tradnl"/>
        </w:rPr>
        <w:t>Mipyme</w:t>
      </w:r>
      <w:proofErr w:type="spellEnd"/>
      <w:r w:rsidRPr="005E7BA4">
        <w:rPr>
          <w:rFonts w:ascii="Arial" w:eastAsia="Times New Roman" w:hAnsi="Arial" w:cs="Arial"/>
          <w:color w:val="000000"/>
          <w:szCs w:val="24"/>
          <w:lang w:eastAsia="es-ES_tradnl"/>
        </w:rPr>
        <w:t xml:space="preserve"> </w:t>
      </w:r>
      <w:r w:rsidRPr="005E7BA4">
        <w:rPr>
          <w:rFonts w:ascii="Arial" w:eastAsia="Calibri" w:hAnsi="Arial" w:cs="Arial"/>
          <w:color w:val="000000"/>
          <w:szCs w:val="24"/>
          <w:lang w:eastAsia="es-ES_tradnl"/>
        </w:rPr>
        <w:t xml:space="preserve">es discrecional, y ha precisado que, de todos modos, la decisión debe estar justificada en los correspondientes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estudios del sector</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 Así lo consideró en la consulta No. 216130003241, resuelta el 30 de junio de 2016. Igualmente, en la consulta resuelta en el radicado No. 2201813000008184 del 7 de septiembre de 2018, se dijo que, de acuerdo con el </w:t>
      </w:r>
      <w:r w:rsidRPr="005E7BA4">
        <w:rPr>
          <w:rFonts w:ascii="Arial" w:eastAsia="Times New Roman" w:hAnsi="Arial" w:cs="Arial"/>
          <w:color w:val="000000"/>
          <w:szCs w:val="24"/>
          <w:lang w:eastAsia="es-ES_tradnl"/>
        </w:rPr>
        <w:t xml:space="preserve">artículo 2.2.1.2.4.2.3. del Decreto 1082 de 2015, las </w:t>
      </w:r>
      <w:proofErr w:type="spellStart"/>
      <w:r w:rsidRPr="005E7BA4">
        <w:rPr>
          <w:rFonts w:ascii="Arial" w:eastAsia="Times New Roman" w:hAnsi="Arial" w:cs="Arial"/>
          <w:color w:val="000000"/>
          <w:szCs w:val="24"/>
          <w:lang w:eastAsia="es-ES_tradnl"/>
        </w:rPr>
        <w:t>Mipyme</w:t>
      </w:r>
      <w:proofErr w:type="spellEnd"/>
      <w:r w:rsidRPr="005E7BA4">
        <w:rPr>
          <w:rFonts w:ascii="Arial" w:eastAsia="Calibri" w:hAnsi="Arial" w:cs="Arial"/>
          <w:color w:val="000000"/>
          <w:szCs w:val="24"/>
          <w:lang w:eastAsia="es-ES_tradnl"/>
        </w:rPr>
        <w:t xml:space="preserve"> beneficiadas deben tener su domicilio principal en el municipio o departamento donde se ejecutará el contrato para poder participar en una convocatoria limitada territorialmente.</w:t>
      </w:r>
      <w:r w:rsidRPr="005E7BA4">
        <w:rPr>
          <w:rFonts w:ascii="Arial" w:eastAsia="Times New Roman" w:hAnsi="Arial" w:cs="Arial"/>
          <w:color w:val="000000"/>
          <w:szCs w:val="24"/>
          <w:vertAlign w:val="superscript"/>
          <w:lang w:eastAsia="es-ES_tradnl"/>
        </w:rPr>
        <w:footnoteReference w:id="17"/>
      </w:r>
      <w:r w:rsidRPr="005E7BA4">
        <w:rPr>
          <w:rFonts w:ascii="Arial" w:eastAsia="Times New Roman" w:hAnsi="Arial" w:cs="Arial"/>
          <w:color w:val="000000"/>
          <w:szCs w:val="24"/>
          <w:lang w:eastAsia="es-ES_tradnl"/>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7CF96510" w14:textId="77777777" w:rsidR="00381D63" w:rsidRPr="005E7BA4" w:rsidRDefault="00381D63" w:rsidP="00381D63">
      <w:pPr>
        <w:spacing w:after="120" w:line="276" w:lineRule="auto"/>
        <w:ind w:firstLine="709"/>
        <w:jc w:val="both"/>
        <w:rPr>
          <w:rFonts w:ascii="Arial" w:eastAsia="Calibri" w:hAnsi="Arial" w:cs="Arial"/>
          <w:color w:val="000000"/>
          <w:szCs w:val="24"/>
          <w:lang w:eastAsia="es-ES_tradnl"/>
        </w:rPr>
      </w:pPr>
      <w:r w:rsidRPr="005E7BA4">
        <w:rPr>
          <w:rFonts w:ascii="Arial" w:eastAsia="Times New Roman" w:hAnsi="Arial" w:cs="Arial"/>
          <w:color w:val="000000"/>
          <w:szCs w:val="24"/>
          <w:lang w:eastAsia="es-ES_tradnl"/>
        </w:rPr>
        <w:t>En tal sentido, s</w:t>
      </w:r>
      <w:r w:rsidRPr="005E7BA4">
        <w:rPr>
          <w:rFonts w:ascii="Arial" w:eastAsia="Calibri" w:hAnsi="Arial" w:cs="Arial"/>
          <w:color w:val="000000"/>
          <w:szCs w:val="24"/>
          <w:lang w:eastAsia="es-ES_tradnl"/>
        </w:rPr>
        <w:t>e debe tener presente que lo que sucede de pleno derecho es la</w:t>
      </w:r>
      <w:r w:rsidRPr="005E7BA4">
        <w:rPr>
          <w:rFonts w:ascii="Arial" w:eastAsia="Times New Roman" w:hAnsi="Arial" w:cs="Arial"/>
          <w:color w:val="000000"/>
          <w:szCs w:val="24"/>
          <w:lang w:eastAsia="es-ES_tradnl"/>
        </w:rPr>
        <w:t xml:space="preserve"> limitación a </w:t>
      </w:r>
      <w:proofErr w:type="spellStart"/>
      <w:r w:rsidRPr="005E7BA4">
        <w:rPr>
          <w:rFonts w:ascii="Arial" w:eastAsia="Times New Roman" w:hAnsi="Arial" w:cs="Arial"/>
          <w:color w:val="000000"/>
          <w:szCs w:val="24"/>
          <w:lang w:eastAsia="es-ES_tradnl"/>
        </w:rPr>
        <w:t>Mipyme</w:t>
      </w:r>
      <w:proofErr w:type="spellEnd"/>
      <w:r w:rsidRPr="005E7BA4">
        <w:rPr>
          <w:rFonts w:ascii="Arial" w:eastAsia="Times New Roman" w:hAnsi="Arial" w:cs="Arial"/>
          <w:color w:val="000000"/>
          <w:szCs w:val="24"/>
          <w:lang w:eastAsia="es-ES_tradnl"/>
        </w:rPr>
        <w:t xml:space="preserve"> colombianas</w:t>
      </w:r>
      <w:r w:rsidRPr="005E7BA4">
        <w:rPr>
          <w:rFonts w:ascii="Arial" w:eastAsia="Calibri" w:hAnsi="Arial" w:cs="Arial"/>
          <w:color w:val="000000"/>
          <w:szCs w:val="24"/>
          <w:lang w:eastAsia="es-ES_tradnl"/>
        </w:rPr>
        <w:t xml:space="preserve"> a la que se refiere el artículo 2.2.1.2.4.2.2. del Decreto 1082 de 2015, pero no la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limitación territorial</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 referida en el artículo 2.2.1.2.4.2.3. </w:t>
      </w:r>
      <w:proofErr w:type="spellStart"/>
      <w:r w:rsidRPr="005E7BA4">
        <w:rPr>
          <w:rFonts w:ascii="Arial" w:eastAsia="Calibri" w:hAnsi="Arial" w:cs="Arial"/>
          <w:i/>
          <w:iCs/>
          <w:color w:val="000000"/>
          <w:szCs w:val="24"/>
          <w:lang w:eastAsia="es-ES_tradnl"/>
        </w:rPr>
        <w:t>ibídem</w:t>
      </w:r>
      <w:proofErr w:type="spellEnd"/>
      <w:r w:rsidRPr="005E7BA4">
        <w:rPr>
          <w:rFonts w:ascii="Arial" w:eastAsia="Calibri" w:hAnsi="Arial" w:cs="Arial"/>
          <w:color w:val="000000"/>
          <w:szCs w:val="24"/>
          <w:lang w:eastAsia="es-ES_tradnl"/>
        </w:rPr>
        <w:t>, pues esta, como ya se dijo, es facultativa para la entidad. Las únicas exigencias son que la convocatoria esté l</w:t>
      </w:r>
      <w:r w:rsidRPr="005E7BA4">
        <w:rPr>
          <w:rFonts w:ascii="Arial" w:eastAsia="Times New Roman" w:hAnsi="Arial" w:cs="Arial"/>
          <w:color w:val="000000"/>
          <w:szCs w:val="24"/>
          <w:lang w:eastAsia="es-ES_tradnl"/>
        </w:rPr>
        <w:t xml:space="preserve">imitada a las </w:t>
      </w:r>
      <w:proofErr w:type="spellStart"/>
      <w:r w:rsidRPr="005E7BA4">
        <w:rPr>
          <w:rFonts w:ascii="Arial" w:eastAsia="Times New Roman" w:hAnsi="Arial" w:cs="Arial"/>
          <w:color w:val="000000"/>
          <w:szCs w:val="24"/>
          <w:lang w:eastAsia="es-ES_tradnl"/>
        </w:rPr>
        <w:t>Mipyme</w:t>
      </w:r>
      <w:proofErr w:type="spellEnd"/>
      <w:r w:rsidRPr="005E7BA4">
        <w:rPr>
          <w:rFonts w:ascii="Arial" w:eastAsia="Times New Roman" w:hAnsi="Arial" w:cs="Arial"/>
          <w:color w:val="000000"/>
          <w:szCs w:val="24"/>
          <w:lang w:eastAsia="es-ES_tradnl"/>
        </w:rPr>
        <w:t xml:space="preserve"> colombianas</w:t>
      </w:r>
      <w:r w:rsidRPr="005E7BA4">
        <w:rPr>
          <w:rFonts w:ascii="Arial" w:eastAsia="Calibri" w:hAnsi="Arial" w:cs="Arial"/>
          <w:color w:val="000000"/>
          <w:szCs w:val="24"/>
          <w:lang w:eastAsia="es-ES_tradnl"/>
        </w:rPr>
        <w:t xml:space="preserve">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domiciliadas en los departamentos o municipios en donde se va a ejecutar el contrato</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 y que la entidad justifique su decisión en los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estudios del sector</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 No es procedente, entonces, que sean las </w:t>
      </w:r>
      <w:proofErr w:type="spellStart"/>
      <w:r w:rsidRPr="005E7BA4">
        <w:rPr>
          <w:rFonts w:ascii="Arial" w:eastAsia="Calibri" w:hAnsi="Arial" w:cs="Arial"/>
          <w:color w:val="000000"/>
          <w:szCs w:val="24"/>
          <w:lang w:eastAsia="es-ES_tradnl"/>
        </w:rPr>
        <w:t>Mipymes</w:t>
      </w:r>
      <w:proofErr w:type="spellEnd"/>
      <w:r w:rsidRPr="005E7BA4">
        <w:rPr>
          <w:rFonts w:ascii="Arial" w:eastAsia="Calibri" w:hAnsi="Arial" w:cs="Arial"/>
          <w:color w:val="000000"/>
          <w:szCs w:val="24"/>
          <w:lang w:eastAsia="es-ES_tradnl"/>
        </w:rPr>
        <w:t xml:space="preserve"> las que soliciten la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limitación territorial</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 a la que se refiere el artículo 2.2.1.2.4.2.3. del Decreto 1082 de 2015. </w:t>
      </w:r>
    </w:p>
    <w:p w14:paraId="06A7081C" w14:textId="77777777" w:rsidR="00381D63" w:rsidRPr="005E7BA4" w:rsidRDefault="00381D63" w:rsidP="00381D63">
      <w:pPr>
        <w:spacing w:after="120" w:line="276" w:lineRule="auto"/>
        <w:ind w:firstLine="709"/>
        <w:jc w:val="both"/>
        <w:rPr>
          <w:rFonts w:ascii="Arial" w:eastAsia="Calibri" w:hAnsi="Arial" w:cs="Arial"/>
          <w:color w:val="000000"/>
          <w:szCs w:val="24"/>
          <w:lang w:eastAsia="es-ES_tradnl"/>
        </w:rPr>
      </w:pPr>
      <w:r w:rsidRPr="005E7BA4">
        <w:rPr>
          <w:rFonts w:ascii="Arial" w:eastAsia="Calibri" w:hAnsi="Arial" w:cs="Arial"/>
          <w:color w:val="000000"/>
          <w:szCs w:val="24"/>
          <w:lang w:eastAsia="es-ES_tradnl"/>
        </w:rPr>
        <w:t>En tal sentido, se debe reite</w:t>
      </w:r>
      <w:r w:rsidRPr="005E7BA4">
        <w:rPr>
          <w:rFonts w:ascii="Arial" w:eastAsia="Times New Roman" w:hAnsi="Arial" w:cs="Arial"/>
          <w:color w:val="000000"/>
          <w:szCs w:val="24"/>
          <w:lang w:eastAsia="es-ES_tradnl"/>
        </w:rPr>
        <w:t xml:space="preserve">rar que el origen de las </w:t>
      </w:r>
      <w:proofErr w:type="spellStart"/>
      <w:r w:rsidRPr="005E7BA4">
        <w:rPr>
          <w:rFonts w:ascii="Arial" w:eastAsia="Times New Roman" w:hAnsi="Arial" w:cs="Arial"/>
          <w:color w:val="000000"/>
          <w:szCs w:val="24"/>
          <w:lang w:eastAsia="es-ES_tradnl"/>
        </w:rPr>
        <w:t>Mipyme</w:t>
      </w:r>
      <w:proofErr w:type="spellEnd"/>
      <w:r w:rsidRPr="005E7BA4">
        <w:rPr>
          <w:rFonts w:ascii="Arial" w:eastAsia="Calibri" w:hAnsi="Arial" w:cs="Arial"/>
          <w:color w:val="000000"/>
          <w:szCs w:val="24"/>
          <w:lang w:eastAsia="es-ES_tradnl"/>
        </w:rPr>
        <w:t xml:space="preserve"> que solicitan la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limitación territorial</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 no es relevante frente a dicha decisión, por dos razo</w:t>
      </w:r>
      <w:r w:rsidRPr="005E7BA4">
        <w:rPr>
          <w:rFonts w:ascii="Arial" w:eastAsia="Times New Roman" w:hAnsi="Arial" w:cs="Arial"/>
          <w:color w:val="000000"/>
          <w:szCs w:val="24"/>
          <w:lang w:eastAsia="es-ES_tradnl"/>
        </w:rPr>
        <w:t xml:space="preserve">nes: primero, </w:t>
      </w:r>
      <w:r w:rsidRPr="005E7BA4">
        <w:rPr>
          <w:rFonts w:ascii="Arial" w:eastAsia="Times New Roman" w:hAnsi="Arial" w:cs="Arial"/>
          <w:color w:val="000000"/>
          <w:szCs w:val="24"/>
          <w:lang w:eastAsia="es-ES_tradnl"/>
        </w:rPr>
        <w:lastRenderedPageBreak/>
        <w:t xml:space="preserve">porque las </w:t>
      </w:r>
      <w:proofErr w:type="spellStart"/>
      <w:r w:rsidRPr="005E7BA4">
        <w:rPr>
          <w:rFonts w:ascii="Arial" w:eastAsia="Times New Roman" w:hAnsi="Arial" w:cs="Arial"/>
          <w:color w:val="000000"/>
          <w:szCs w:val="24"/>
          <w:lang w:eastAsia="es-ES_tradnl"/>
        </w:rPr>
        <w:t>Mipyme</w:t>
      </w:r>
      <w:proofErr w:type="spellEnd"/>
      <w:r w:rsidRPr="005E7BA4">
        <w:rPr>
          <w:rFonts w:ascii="Arial" w:eastAsia="Calibri" w:hAnsi="Arial" w:cs="Arial"/>
          <w:color w:val="000000"/>
          <w:szCs w:val="24"/>
          <w:lang w:eastAsia="es-ES_tradnl"/>
        </w:rPr>
        <w:t xml:space="preserve"> no están habilitadas para pedir la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limitación territorial</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 lo están para pedir la </w:t>
      </w:r>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xml:space="preserve">convocatoria limitada a </w:t>
      </w:r>
      <w:proofErr w:type="spellStart"/>
      <w:r w:rsidRPr="005E7BA4">
        <w:rPr>
          <w:rFonts w:ascii="Arial" w:eastAsia="Calibri" w:hAnsi="Arial" w:cs="Arial"/>
          <w:color w:val="000000"/>
          <w:szCs w:val="24"/>
          <w:lang w:eastAsia="es-ES_tradnl"/>
        </w:rPr>
        <w:t>Mipymes</w:t>
      </w:r>
      <w:proofErr w:type="spellEnd"/>
      <w:r>
        <w:rPr>
          <w:rFonts w:ascii="Arial" w:eastAsia="Calibri" w:hAnsi="Arial" w:cs="Arial"/>
          <w:color w:val="000000"/>
          <w:szCs w:val="24"/>
          <w:lang w:eastAsia="es-ES_tradnl"/>
        </w:rPr>
        <w:t>”</w:t>
      </w:r>
      <w:r w:rsidRPr="005E7BA4">
        <w:rPr>
          <w:rFonts w:ascii="Arial" w:eastAsia="Calibri" w:hAnsi="Arial" w:cs="Arial"/>
          <w:color w:val="000000"/>
          <w:szCs w:val="24"/>
          <w:lang w:eastAsia="es-ES_tradnl"/>
        </w:rPr>
        <w:t>, y, segundo, porque el único criterio a tener en cuenta, una vez se ha decidido justificadamente limitar territorialmente la convocatori</w:t>
      </w:r>
      <w:r w:rsidRPr="005E7BA4">
        <w:rPr>
          <w:rFonts w:ascii="Arial" w:eastAsia="Times New Roman" w:hAnsi="Arial" w:cs="Arial"/>
          <w:color w:val="000000"/>
          <w:szCs w:val="24"/>
          <w:lang w:eastAsia="es-ES_tradnl"/>
        </w:rPr>
        <w:t xml:space="preserve">a previamente limitada a </w:t>
      </w:r>
      <w:proofErr w:type="spellStart"/>
      <w:r w:rsidRPr="005E7BA4">
        <w:rPr>
          <w:rFonts w:ascii="Arial" w:eastAsia="Times New Roman" w:hAnsi="Arial" w:cs="Arial"/>
          <w:color w:val="000000"/>
          <w:szCs w:val="24"/>
          <w:lang w:eastAsia="es-ES_tradnl"/>
        </w:rPr>
        <w:t>Mipyme</w:t>
      </w:r>
      <w:proofErr w:type="spellEnd"/>
      <w:r w:rsidRPr="005E7BA4">
        <w:rPr>
          <w:rFonts w:ascii="Arial" w:eastAsia="Calibri" w:hAnsi="Arial" w:cs="Arial"/>
          <w:color w:val="000000"/>
          <w:szCs w:val="24"/>
          <w:lang w:eastAsia="es-ES_tradnl"/>
        </w:rPr>
        <w:t>, es el lugar donde se va a ejecutar el contrato.</w:t>
      </w:r>
    </w:p>
    <w:p w14:paraId="50EEBFDC" w14:textId="77777777" w:rsidR="00381D63" w:rsidRPr="005E7BA4" w:rsidRDefault="00381D63" w:rsidP="00381D63">
      <w:pPr>
        <w:spacing w:after="0" w:line="276" w:lineRule="auto"/>
        <w:ind w:firstLine="709"/>
        <w:jc w:val="both"/>
        <w:rPr>
          <w:rFonts w:ascii="Arial" w:eastAsia="Arial" w:hAnsi="Arial" w:cs="Arial"/>
          <w:color w:val="000000"/>
          <w:lang w:val="es-ES_tradnl"/>
        </w:rPr>
      </w:pPr>
      <w:r w:rsidRPr="005E7BA4">
        <w:rPr>
          <w:rFonts w:ascii="Arial" w:eastAsia="Arial" w:hAnsi="Arial" w:cs="Arial"/>
          <w:color w:val="000000"/>
          <w:lang w:val="es-ES_tradnl"/>
        </w:rPr>
        <w:t xml:space="preserve">Conviene, igualmente, precisar que el domicilio de la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xml:space="preserve">.  De igual manera, en el parágrafo 2 de dicho artículo se establecen los requisitos que deben acompañar la solicitud de limitación a </w:t>
      </w:r>
      <w:proofErr w:type="spellStart"/>
      <w:r w:rsidRPr="005E7BA4">
        <w:rPr>
          <w:rFonts w:ascii="Arial" w:eastAsia="Arial" w:hAnsi="Arial" w:cs="Arial"/>
          <w:color w:val="000000"/>
          <w:lang w:val="es-ES_tradnl"/>
        </w:rPr>
        <w:t>Mipyme</w:t>
      </w:r>
      <w:proofErr w:type="spellEnd"/>
      <w:r w:rsidRPr="005E7BA4">
        <w:rPr>
          <w:rFonts w:ascii="Arial" w:eastAsia="Arial" w:hAnsi="Arial" w:cs="Arial"/>
          <w:color w:val="000000"/>
          <w:lang w:val="es-ES_tradnl"/>
        </w:rPr>
        <w:t>, al siguiente tenor:</w:t>
      </w:r>
    </w:p>
    <w:p w14:paraId="724342C5" w14:textId="77777777" w:rsidR="00381D63" w:rsidRPr="005E7BA4" w:rsidRDefault="00381D63" w:rsidP="00381D63">
      <w:pPr>
        <w:spacing w:after="0" w:line="276" w:lineRule="auto"/>
        <w:ind w:firstLine="709"/>
        <w:jc w:val="both"/>
        <w:rPr>
          <w:rFonts w:ascii="Arial" w:eastAsia="Arial" w:hAnsi="Arial" w:cs="Arial"/>
          <w:color w:val="000000"/>
          <w:lang w:val="es-ES_tradnl"/>
        </w:rPr>
      </w:pPr>
    </w:p>
    <w:p w14:paraId="19657655"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Pr>
          <w:rFonts w:ascii="Arial" w:eastAsia="Times New Roman" w:hAnsi="Arial" w:cs="Arial"/>
          <w:sz w:val="21"/>
          <w:szCs w:val="21"/>
          <w:shd w:val="clear" w:color="auto" w:fill="FFFFFF"/>
          <w:lang w:eastAsia="es-ES_tradnl"/>
        </w:rPr>
        <w:t>“</w:t>
      </w:r>
      <w:r w:rsidRPr="00613E90">
        <w:rPr>
          <w:rFonts w:ascii="Arial" w:eastAsia="Times New Roman" w:hAnsi="Arial" w:cs="Arial"/>
          <w:sz w:val="21"/>
          <w:szCs w:val="21"/>
          <w:shd w:val="clear" w:color="auto" w:fill="FFFFFF"/>
          <w:lang w:eastAsia="es-ES_tradnl"/>
        </w:rPr>
        <w:t xml:space="preserve">Artículo 2.2.1.2.4.2.4. Acreditación de requisitos para participar en convocatorias limitadas. La </w:t>
      </w:r>
      <w:proofErr w:type="spellStart"/>
      <w:r w:rsidRPr="00613E90">
        <w:rPr>
          <w:rFonts w:ascii="Arial" w:eastAsia="Times New Roman" w:hAnsi="Arial" w:cs="Arial"/>
          <w:sz w:val="21"/>
          <w:szCs w:val="21"/>
          <w:shd w:val="clear" w:color="auto" w:fill="FFFFFF"/>
          <w:lang w:eastAsia="es-ES_tradnl"/>
        </w:rPr>
        <w:t>Mipyme</w:t>
      </w:r>
      <w:proofErr w:type="spellEnd"/>
      <w:r w:rsidRPr="00613E90">
        <w:rPr>
          <w:rFonts w:ascii="Arial" w:eastAsia="Times New Roman" w:hAnsi="Arial" w:cs="Arial"/>
          <w:sz w:val="21"/>
          <w:szCs w:val="21"/>
          <w:shd w:val="clear" w:color="auto" w:fill="FFFFFF"/>
          <w:lang w:eastAsia="es-ES_tradnl"/>
        </w:rPr>
        <w:t xml:space="preserve"> colombianas deben acreditar que tiene el tamaño empresarial establecido por la ley de la siguiente manera:</w:t>
      </w:r>
    </w:p>
    <w:p w14:paraId="64794A9B"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p>
    <w:p w14:paraId="1C301133"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sidRPr="00613E90">
        <w:rPr>
          <w:rFonts w:ascii="Arial" w:eastAsia="Times New Roman" w:hAnsi="Arial" w:cs="Arial"/>
          <w:sz w:val="21"/>
          <w:szCs w:val="21"/>
          <w:shd w:val="clear" w:color="auto" w:fill="FFFFFF"/>
          <w:lang w:eastAsia="es-ES_tradnl"/>
        </w:rPr>
        <w:t>1. Las personas naturales mediante certificación expedida por ellos y un contador público, adjuntando copia del registro mercantil.</w:t>
      </w:r>
    </w:p>
    <w:p w14:paraId="7B1092C9"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p>
    <w:p w14:paraId="45DC313D"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sidRPr="00613E90">
        <w:rPr>
          <w:rFonts w:ascii="Arial" w:eastAsia="Times New Roman" w:hAnsi="Arial" w:cs="Arial"/>
          <w:sz w:val="21"/>
          <w:szCs w:val="21"/>
          <w:shd w:val="clear" w:color="auto" w:fill="FFFFFF"/>
          <w:lang w:eastAsia="es-ES_tradnl"/>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p>
    <w:p w14:paraId="2B59D3B1"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p>
    <w:p w14:paraId="301B01AC"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sidRPr="00613E90">
        <w:rPr>
          <w:rFonts w:ascii="Arial" w:eastAsia="Times New Roman" w:hAnsi="Arial" w:cs="Arial"/>
          <w:sz w:val="21"/>
          <w:szCs w:val="21"/>
          <w:shd w:val="clear" w:color="auto" w:fill="FFFFFF"/>
          <w:lang w:eastAsia="es-ES_tradnl"/>
        </w:rPr>
        <w:t>Para la acreditación deberán observarse los rangos de clasificación empresarial establecidos de conformidad con la Ley 590 de 2000 y el Decreto 1074 de 2015, o las normas que lo modifiquen, sustituyan o complementen.</w:t>
      </w:r>
    </w:p>
    <w:p w14:paraId="171BEB32"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p>
    <w:p w14:paraId="251A8A1F"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sidRPr="00613E90">
        <w:rPr>
          <w:rFonts w:ascii="Arial" w:eastAsia="Times New Roman" w:hAnsi="Arial" w:cs="Arial"/>
          <w:sz w:val="21"/>
          <w:szCs w:val="21"/>
          <w:shd w:val="clear" w:color="auto" w:fill="FFFFFF"/>
          <w:lang w:eastAsia="es-ES_tradnl"/>
        </w:rPr>
        <w:t xml:space="preserve">Parágrafo 1. En todo caso, las </w:t>
      </w:r>
      <w:proofErr w:type="spellStart"/>
      <w:r w:rsidRPr="00613E90">
        <w:rPr>
          <w:rFonts w:ascii="Arial" w:eastAsia="Times New Roman" w:hAnsi="Arial" w:cs="Arial"/>
          <w:sz w:val="21"/>
          <w:szCs w:val="21"/>
          <w:shd w:val="clear" w:color="auto" w:fill="FFFFFF"/>
          <w:lang w:eastAsia="es-ES_tradnl"/>
        </w:rPr>
        <w:t>Mipyme</w:t>
      </w:r>
      <w:proofErr w:type="spellEnd"/>
      <w:r w:rsidRPr="00613E90">
        <w:rPr>
          <w:rFonts w:ascii="Arial" w:eastAsia="Times New Roman" w:hAnsi="Arial" w:cs="Arial"/>
          <w:sz w:val="21"/>
          <w:szCs w:val="21"/>
          <w:shd w:val="clear" w:color="auto" w:fill="FFFFFF"/>
          <w:lang w:eastAsia="es-ES_tradnl"/>
        </w:rPr>
        <w:t xml:space="preserve"> también podrán acreditar esta condición con la copia del certificado del Registro Único de Proponentes, el cual deberá encontrarse vigente y en firme al momento de su presentación.</w:t>
      </w:r>
    </w:p>
    <w:p w14:paraId="0631A081"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p>
    <w:p w14:paraId="38E73527"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sidRPr="00613E90">
        <w:rPr>
          <w:rFonts w:ascii="Arial" w:eastAsia="Times New Roman" w:hAnsi="Arial" w:cs="Arial"/>
          <w:sz w:val="21"/>
          <w:szCs w:val="21"/>
          <w:shd w:val="clear" w:color="auto" w:fill="FFFFFF"/>
          <w:lang w:eastAsia="es-ES_tradnl"/>
        </w:rPr>
        <w:t xml:space="preserve">Parágrafo 2. Para efectos de la limitación a </w:t>
      </w:r>
      <w:proofErr w:type="spellStart"/>
      <w:r w:rsidRPr="00613E90">
        <w:rPr>
          <w:rFonts w:ascii="Arial" w:eastAsia="Times New Roman" w:hAnsi="Arial" w:cs="Arial"/>
          <w:sz w:val="21"/>
          <w:szCs w:val="21"/>
          <w:shd w:val="clear" w:color="auto" w:fill="FFFFFF"/>
          <w:lang w:eastAsia="es-ES_tradnl"/>
        </w:rPr>
        <w:t>Mipyme</w:t>
      </w:r>
      <w:proofErr w:type="spellEnd"/>
      <w:r w:rsidRPr="00613E90">
        <w:rPr>
          <w:rFonts w:ascii="Arial" w:eastAsia="Times New Roman" w:hAnsi="Arial" w:cs="Arial"/>
          <w:sz w:val="21"/>
          <w:szCs w:val="21"/>
          <w:shd w:val="clear" w:color="auto" w:fill="FFFFFF"/>
          <w:lang w:eastAsia="es-ES_tradnl"/>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p>
    <w:p w14:paraId="18EEED2A"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p>
    <w:p w14:paraId="210D2F7D"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sidRPr="00613E90">
        <w:rPr>
          <w:rFonts w:ascii="Arial" w:eastAsia="Times New Roman" w:hAnsi="Arial" w:cs="Arial"/>
          <w:sz w:val="21"/>
          <w:szCs w:val="21"/>
          <w:shd w:val="clear" w:color="auto" w:fill="FFFFFF"/>
          <w:lang w:eastAsia="es-ES_tradnl"/>
        </w:rPr>
        <w:t xml:space="preserve">Parágrafo 3. En las convocatorias limitadas, las Entidades Estatales independientemente de su régimen de contratación, los patrimonios autónomos constituidos por Entidades Estatales y los </w:t>
      </w:r>
      <w:proofErr w:type="spellStart"/>
      <w:r w:rsidRPr="00613E90">
        <w:rPr>
          <w:rFonts w:ascii="Arial" w:eastAsia="Times New Roman" w:hAnsi="Arial" w:cs="Arial"/>
          <w:sz w:val="21"/>
          <w:szCs w:val="21"/>
          <w:shd w:val="clear" w:color="auto" w:fill="FFFFFF"/>
          <w:lang w:eastAsia="es-ES_tradnl"/>
        </w:rPr>
        <w:t>parliculares</w:t>
      </w:r>
      <w:proofErr w:type="spellEnd"/>
      <w:r w:rsidRPr="00613E90">
        <w:rPr>
          <w:rFonts w:ascii="Arial" w:eastAsia="Times New Roman" w:hAnsi="Arial" w:cs="Arial"/>
          <w:sz w:val="21"/>
          <w:szCs w:val="21"/>
          <w:shd w:val="clear" w:color="auto" w:fill="FFFFFF"/>
          <w:lang w:eastAsia="es-ES_tradnl"/>
        </w:rPr>
        <w:t xml:space="preserve"> que ejecuten recursos públicos, solo deberán aceptar las ofertas de </w:t>
      </w:r>
      <w:proofErr w:type="spellStart"/>
      <w:r w:rsidRPr="00613E90">
        <w:rPr>
          <w:rFonts w:ascii="Arial" w:eastAsia="Times New Roman" w:hAnsi="Arial" w:cs="Arial"/>
          <w:sz w:val="21"/>
          <w:szCs w:val="21"/>
          <w:shd w:val="clear" w:color="auto" w:fill="FFFFFF"/>
          <w:lang w:eastAsia="es-ES_tradnl"/>
        </w:rPr>
        <w:t>Mipyme</w:t>
      </w:r>
      <w:proofErr w:type="spellEnd"/>
      <w:r w:rsidRPr="00613E90">
        <w:rPr>
          <w:rFonts w:ascii="Arial" w:eastAsia="Times New Roman" w:hAnsi="Arial" w:cs="Arial"/>
          <w:sz w:val="21"/>
          <w:szCs w:val="21"/>
          <w:shd w:val="clear" w:color="auto" w:fill="FFFFFF"/>
          <w:lang w:eastAsia="es-ES_tradnl"/>
        </w:rPr>
        <w:t xml:space="preserve"> o de proponentes plurales integrados únicamente por </w:t>
      </w:r>
      <w:proofErr w:type="spellStart"/>
      <w:r w:rsidRPr="00613E90">
        <w:rPr>
          <w:rFonts w:ascii="Arial" w:eastAsia="Times New Roman" w:hAnsi="Arial" w:cs="Arial"/>
          <w:sz w:val="21"/>
          <w:szCs w:val="21"/>
          <w:shd w:val="clear" w:color="auto" w:fill="FFFFFF"/>
          <w:lang w:eastAsia="es-ES_tradnl"/>
        </w:rPr>
        <w:t>Mipyme</w:t>
      </w:r>
      <w:proofErr w:type="spellEnd"/>
      <w:r w:rsidRPr="00613E90">
        <w:rPr>
          <w:rFonts w:ascii="Arial" w:eastAsia="Times New Roman" w:hAnsi="Arial" w:cs="Arial"/>
          <w:sz w:val="21"/>
          <w:szCs w:val="21"/>
          <w:shd w:val="clear" w:color="auto" w:fill="FFFFFF"/>
          <w:lang w:eastAsia="es-ES_tradnl"/>
        </w:rPr>
        <w:t>.</w:t>
      </w:r>
    </w:p>
    <w:p w14:paraId="11E38FFA" w14:textId="77777777" w:rsidR="00381D63" w:rsidRPr="00613E90"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p>
    <w:p w14:paraId="62171AD2" w14:textId="77777777" w:rsidR="00381D63" w:rsidRPr="005E7BA4" w:rsidRDefault="00381D63" w:rsidP="00381D63">
      <w:pPr>
        <w:spacing w:after="0" w:line="240" w:lineRule="auto"/>
        <w:ind w:left="709" w:right="709"/>
        <w:jc w:val="both"/>
        <w:rPr>
          <w:rFonts w:ascii="Arial" w:eastAsia="Times New Roman" w:hAnsi="Arial" w:cs="Arial"/>
          <w:sz w:val="21"/>
          <w:szCs w:val="21"/>
          <w:shd w:val="clear" w:color="auto" w:fill="FFFFFF"/>
          <w:lang w:eastAsia="es-ES_tradnl"/>
        </w:rPr>
      </w:pPr>
      <w:r w:rsidRPr="00613E90">
        <w:rPr>
          <w:rFonts w:ascii="Arial" w:eastAsia="Times New Roman" w:hAnsi="Arial" w:cs="Arial"/>
          <w:sz w:val="21"/>
          <w:szCs w:val="21"/>
          <w:shd w:val="clear" w:color="auto" w:fill="FFFFFF"/>
          <w:lang w:eastAsia="es-ES_tradnl"/>
        </w:rPr>
        <w:lastRenderedPageBreak/>
        <w:t>Parágrafo 4. Los incentivos previstos en los artículos 2.2.1.2.4.2.2 y 2.2.1.2.4.2.3 de este Decreto no excluyen la aplicación de los criterios diferenciales para los emprendimientos y empresas de mujeres en el sistema de compras</w:t>
      </w:r>
      <w:r>
        <w:rPr>
          <w:rFonts w:ascii="Arial" w:eastAsia="Times New Roman" w:hAnsi="Arial" w:cs="Arial"/>
          <w:sz w:val="21"/>
          <w:szCs w:val="21"/>
          <w:shd w:val="clear" w:color="auto" w:fill="FFFFFF"/>
          <w:lang w:eastAsia="es-ES_tradnl"/>
        </w:rPr>
        <w:t>".</w:t>
      </w:r>
      <w:r w:rsidRPr="00613E90">
        <w:rPr>
          <w:rFonts w:ascii="Arial" w:eastAsia="Times New Roman" w:hAnsi="Arial" w:cs="Arial"/>
          <w:sz w:val="21"/>
          <w:szCs w:val="21"/>
          <w:shd w:val="clear" w:color="auto" w:fill="FFFFFF"/>
          <w:lang w:eastAsia="es-ES_tradnl"/>
        </w:rPr>
        <w:t xml:space="preserve"> </w:t>
      </w:r>
    </w:p>
    <w:p w14:paraId="2B6CE28D" w14:textId="77777777" w:rsidR="00381D63" w:rsidRPr="005E7BA4" w:rsidRDefault="00381D63" w:rsidP="00381D63">
      <w:pPr>
        <w:spacing w:after="0" w:line="240" w:lineRule="auto"/>
        <w:ind w:left="709" w:right="709"/>
        <w:jc w:val="both"/>
        <w:rPr>
          <w:rFonts w:ascii="Arial" w:eastAsia="Arial" w:hAnsi="Arial" w:cs="Arial"/>
          <w:sz w:val="21"/>
          <w:szCs w:val="21"/>
          <w:lang w:val="es-ES_tradnl"/>
        </w:rPr>
      </w:pPr>
    </w:p>
    <w:p w14:paraId="0B3C0328" w14:textId="77777777" w:rsidR="00381D63" w:rsidRPr="005E7BA4" w:rsidRDefault="00381D63" w:rsidP="00381D63">
      <w:pPr>
        <w:spacing w:after="0" w:line="276" w:lineRule="auto"/>
        <w:ind w:firstLine="709"/>
        <w:jc w:val="both"/>
        <w:rPr>
          <w:rFonts w:ascii="Arial" w:eastAsia="Calibri" w:hAnsi="Arial" w:cs="Arial"/>
          <w:lang w:val="es-ES_tradnl" w:eastAsia="es-ES_tradnl"/>
        </w:rPr>
      </w:pPr>
      <w:r w:rsidRPr="005E7BA4">
        <w:rPr>
          <w:rFonts w:ascii="Arial" w:eastAsia="Calibri" w:hAnsi="Arial" w:cs="Arial"/>
          <w:lang w:val="es-ES_tradnl" w:eastAsia="es-ES_tradnl"/>
        </w:rPr>
        <w:t xml:space="preserve">Por último, según se explicó con anterioridad, actualmente el procedimiento de mínima cuantía se encuentra reglamentado por el artículo 2.2.1.2.1.5.2. del Decreto 1082 de 2015, modificado por el artículo 2 del Decreto 1860 de 2021. El numeral 3 del artículo en mención establece que </w:t>
      </w:r>
      <w:r>
        <w:rPr>
          <w:rFonts w:ascii="Arial" w:eastAsia="Calibri" w:hAnsi="Arial" w:cs="Arial"/>
          <w:lang w:val="es-ES_tradnl" w:eastAsia="es-ES_tradnl"/>
        </w:rPr>
        <w:t>“</w:t>
      </w:r>
      <w:r w:rsidRPr="005E7BA4">
        <w:rPr>
          <w:rFonts w:ascii="Arial" w:eastAsia="Calibri" w:hAnsi="Arial" w:cs="Arial"/>
          <w:lang w:val="es-ES_tradnl" w:eastAsia="es-ES_tradnl"/>
        </w:rPr>
        <w:t>La invitación se publicará por un término no inferior a un (1) día hábil para que los interesados se informen de su contenido y formulen observaciones o comentarios […]</w:t>
      </w:r>
      <w:r>
        <w:rPr>
          <w:rFonts w:ascii="Arial" w:eastAsia="Calibri" w:hAnsi="Arial" w:cs="Arial"/>
          <w:lang w:val="es-ES_tradnl" w:eastAsia="es-ES_tradnl"/>
        </w:rPr>
        <w:t>”</w:t>
      </w:r>
      <w:r w:rsidRPr="005E7BA4">
        <w:rPr>
          <w:rFonts w:ascii="Arial" w:eastAsia="Calibri" w:hAnsi="Arial" w:cs="Arial"/>
          <w:lang w:val="es-ES_tradnl" w:eastAsia="es-ES_tradnl"/>
        </w:rPr>
        <w:t xml:space="preserve"> y que </w:t>
      </w:r>
      <w:r>
        <w:rPr>
          <w:rFonts w:ascii="Arial" w:eastAsia="Calibri" w:hAnsi="Arial" w:cs="Arial"/>
          <w:lang w:val="es-ES_tradnl" w:eastAsia="es-ES_tradnl"/>
        </w:rPr>
        <w:t>“</w:t>
      </w:r>
      <w:r w:rsidRPr="005E7BA4">
        <w:rPr>
          <w:rFonts w:ascii="Arial" w:eastAsia="Calibri" w:hAnsi="Arial" w:cs="Arial"/>
          <w:lang w:val="es-ES_tradnl" w:eastAsia="es-ES_tradnl"/>
        </w:rPr>
        <w:t xml:space="preserve">De conformidad con el parágrafo del presente artículo, dentro del mismo término para formular observaciones se podrán presentar las solicitudes para limitar la convocatoria a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colombianas</w:t>
      </w:r>
      <w:r>
        <w:rPr>
          <w:rFonts w:ascii="Arial" w:eastAsia="Calibri" w:hAnsi="Arial" w:cs="Arial"/>
          <w:lang w:val="es-ES_tradnl" w:eastAsia="es-ES_tradnl"/>
        </w:rPr>
        <w:t>”</w:t>
      </w:r>
      <w:r w:rsidRPr="005E7BA4">
        <w:rPr>
          <w:rFonts w:ascii="Arial" w:eastAsia="Calibri" w:hAnsi="Arial" w:cs="Arial"/>
          <w:lang w:val="es-ES_tradnl" w:eastAsia="es-ES_tradnl"/>
        </w:rPr>
        <w:t xml:space="preserve">. Adicionalmente, el numeral 4 dispone que en el cronograma se debe señalar </w:t>
      </w:r>
      <w:r>
        <w:rPr>
          <w:rFonts w:ascii="Arial" w:eastAsia="Calibri" w:hAnsi="Arial" w:cs="Arial"/>
          <w:lang w:val="es-ES_tradnl" w:eastAsia="es-ES_tradnl"/>
        </w:rPr>
        <w:t>“</w:t>
      </w:r>
      <w:r w:rsidRPr="005E7BA4">
        <w:rPr>
          <w:rFonts w:ascii="Arial" w:eastAsia="Calibri" w:hAnsi="Arial" w:cs="Arial"/>
          <w:lang w:val="es-ES_tradnl" w:eastAsia="es-ES_tradnl"/>
        </w:rPr>
        <w:t xml:space="preserve">El momento en que publicará un aviso en el SECOP precisando si el proceso efectivamente se limitó a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o si podrá participar cualquier otro interesado</w:t>
      </w:r>
      <w:r>
        <w:rPr>
          <w:rFonts w:ascii="Arial" w:eastAsia="Calibri" w:hAnsi="Arial" w:cs="Arial"/>
          <w:lang w:val="es-ES_tradnl" w:eastAsia="es-ES_tradnl"/>
        </w:rPr>
        <w:t>”</w:t>
      </w:r>
      <w:r w:rsidRPr="005E7BA4">
        <w:rPr>
          <w:rFonts w:ascii="Arial" w:eastAsia="Calibri" w:hAnsi="Arial" w:cs="Arial"/>
          <w:lang w:val="es-ES_tradnl" w:eastAsia="es-ES_tradnl"/>
        </w:rPr>
        <w:t xml:space="preserve">. Por otra parte, también es importante tener en cuenta el parágrafo del artículo 2.2.1.2.1.5.2., a cuyo tenor: </w:t>
      </w:r>
    </w:p>
    <w:p w14:paraId="1851D765" w14:textId="77777777" w:rsidR="00381D63" w:rsidRPr="005E7BA4" w:rsidRDefault="00381D63" w:rsidP="00381D63">
      <w:pPr>
        <w:spacing w:after="0" w:line="276" w:lineRule="auto"/>
        <w:jc w:val="both"/>
        <w:rPr>
          <w:rFonts w:ascii="Arial" w:eastAsia="Calibri" w:hAnsi="Arial" w:cs="Arial"/>
          <w:lang w:val="es-ES_tradnl" w:eastAsia="es-ES_tradnl"/>
        </w:rPr>
      </w:pPr>
    </w:p>
    <w:p w14:paraId="16C10A92" w14:textId="77777777" w:rsidR="00381D63" w:rsidRPr="005E7BA4" w:rsidRDefault="00381D63" w:rsidP="00381D63">
      <w:pPr>
        <w:spacing w:after="0" w:line="240" w:lineRule="auto"/>
        <w:ind w:left="709" w:right="709"/>
        <w:jc w:val="both"/>
        <w:rPr>
          <w:rFonts w:ascii="Arial" w:eastAsia="Calibri" w:hAnsi="Arial" w:cs="Arial"/>
          <w:sz w:val="21"/>
          <w:szCs w:val="21"/>
          <w:lang w:eastAsia="es-ES_tradnl"/>
        </w:rPr>
      </w:pPr>
      <w:r>
        <w:rPr>
          <w:rFonts w:ascii="Arial" w:eastAsia="Calibri" w:hAnsi="Arial" w:cs="Arial"/>
          <w:sz w:val="21"/>
          <w:szCs w:val="21"/>
          <w:lang w:eastAsia="es-ES_tradnl"/>
        </w:rPr>
        <w:t xml:space="preserve">“Parágrafo. </w:t>
      </w:r>
      <w:r w:rsidRPr="005E7BA4">
        <w:rPr>
          <w:rFonts w:ascii="Arial" w:eastAsia="Calibri" w:hAnsi="Arial" w:cs="Arial"/>
          <w:sz w:val="21"/>
          <w:szCs w:val="21"/>
          <w:lang w:eastAsia="es-ES_tradnl"/>
        </w:rPr>
        <w:t xml:space="preserve">De conformidad con el parágrafo 1 del artículo 30 y el artículo 34 de la Ley 2069 de 2020, en estos procedimientos de selección para </w:t>
      </w:r>
      <w:proofErr w:type="spellStart"/>
      <w:r w:rsidRPr="005E7BA4">
        <w:rPr>
          <w:rFonts w:ascii="Arial" w:eastAsia="Calibri" w:hAnsi="Arial" w:cs="Arial"/>
          <w:sz w:val="21"/>
          <w:szCs w:val="21"/>
          <w:lang w:eastAsia="es-ES_tradnl"/>
        </w:rPr>
        <w:t>Mipyme</w:t>
      </w:r>
      <w:proofErr w:type="spellEnd"/>
      <w:r w:rsidRPr="005E7BA4">
        <w:rPr>
          <w:rFonts w:ascii="Arial" w:eastAsia="Calibri" w:hAnsi="Arial" w:cs="Arial"/>
          <w:sz w:val="21"/>
          <w:szCs w:val="21"/>
          <w:lang w:eastAsia="es-ES_tradnl"/>
        </w:rPr>
        <w:t xml:space="preserve"> se aplicará lo prescrito en los artículos 2.2.1.2.4.2.2 a 2.2.1.2.4.2.4 de este Decreto. No obstante, de conformidad con el numeral 3 del presente artículo, las solicitudes para limitar el proceso a </w:t>
      </w:r>
      <w:proofErr w:type="spellStart"/>
      <w:r w:rsidRPr="005E7BA4">
        <w:rPr>
          <w:rFonts w:ascii="Arial" w:eastAsia="Calibri" w:hAnsi="Arial" w:cs="Arial"/>
          <w:sz w:val="21"/>
          <w:szCs w:val="21"/>
          <w:lang w:eastAsia="es-ES_tradnl"/>
        </w:rPr>
        <w:t>Mipyme</w:t>
      </w:r>
      <w:proofErr w:type="spellEnd"/>
      <w:r w:rsidRPr="005E7BA4">
        <w:rPr>
          <w:rFonts w:ascii="Arial" w:eastAsia="Calibri" w:hAnsi="Arial" w:cs="Arial"/>
          <w:sz w:val="21"/>
          <w:szCs w:val="21"/>
          <w:lang w:eastAsia="es-ES_tradnl"/>
        </w:rPr>
        <w:t xml:space="preserve"> se recibirán durante el término previsto en dicho numeral. Además, en el aviso de que trata el numeral 4 de este artículo se indicará si en el proceso aplican las limitaciones territoriales de que trata el artículo 2.2.1.2.4.2.3 o si podrá participar cualquier </w:t>
      </w:r>
      <w:proofErr w:type="spellStart"/>
      <w:r w:rsidRPr="005E7BA4">
        <w:rPr>
          <w:rFonts w:ascii="Arial" w:eastAsia="Calibri" w:hAnsi="Arial" w:cs="Arial"/>
          <w:sz w:val="21"/>
          <w:szCs w:val="21"/>
          <w:lang w:eastAsia="es-ES_tradnl"/>
        </w:rPr>
        <w:t>Mipyme</w:t>
      </w:r>
      <w:proofErr w:type="spellEnd"/>
      <w:r w:rsidRPr="005E7BA4">
        <w:rPr>
          <w:rFonts w:ascii="Arial" w:eastAsia="Calibri" w:hAnsi="Arial" w:cs="Arial"/>
          <w:sz w:val="21"/>
          <w:szCs w:val="21"/>
          <w:lang w:eastAsia="es-ES_tradnl"/>
        </w:rPr>
        <w:t xml:space="preserve"> nacional.</w:t>
      </w:r>
    </w:p>
    <w:p w14:paraId="06BF4475" w14:textId="77777777" w:rsidR="00381D63" w:rsidRPr="005E7BA4" w:rsidRDefault="00381D63" w:rsidP="00381D63">
      <w:pPr>
        <w:spacing w:after="0" w:line="276" w:lineRule="auto"/>
        <w:jc w:val="both"/>
        <w:rPr>
          <w:rFonts w:ascii="Arial" w:eastAsia="Calibri" w:hAnsi="Arial" w:cs="Arial"/>
          <w:lang w:eastAsia="es-ES_tradnl"/>
        </w:rPr>
      </w:pPr>
    </w:p>
    <w:p w14:paraId="72B1DF91" w14:textId="77777777" w:rsidR="00381D63" w:rsidRDefault="00381D63" w:rsidP="00381D63">
      <w:pPr>
        <w:spacing w:after="120" w:line="276" w:lineRule="auto"/>
        <w:ind w:firstLine="709"/>
        <w:jc w:val="both"/>
        <w:rPr>
          <w:rFonts w:ascii="Arial" w:eastAsia="Calibri" w:hAnsi="Arial" w:cs="Arial"/>
          <w:lang w:val="es-ES_tradnl" w:eastAsia="es-ES_tradnl"/>
        </w:rPr>
      </w:pPr>
      <w:r>
        <w:rPr>
          <w:rFonts w:ascii="Arial" w:eastAsia="Calibri" w:hAnsi="Arial" w:cs="Arial"/>
          <w:lang w:val="es-ES_tradnl" w:eastAsia="es-ES_tradnl"/>
        </w:rPr>
        <w:t>De acuerdo con lo explicado</w:t>
      </w:r>
      <w:r w:rsidRPr="005E7BA4">
        <w:rPr>
          <w:rFonts w:ascii="Arial" w:eastAsia="Calibri" w:hAnsi="Arial" w:cs="Arial"/>
          <w:lang w:val="es-ES_tradnl" w:eastAsia="es-ES_tradnl"/>
        </w:rPr>
        <w:t>, en el procedimiento de mínima cuantía, la limitac</w:t>
      </w:r>
      <w:r w:rsidRPr="005E7BA4">
        <w:rPr>
          <w:rFonts w:ascii="Arial" w:eastAsia="Times New Roman" w:hAnsi="Arial" w:cs="Arial"/>
          <w:lang w:val="es-ES_tradnl" w:eastAsia="es-ES_tradnl"/>
        </w:rPr>
        <w:t xml:space="preserve">ión de la convocatoria a </w:t>
      </w:r>
      <w:proofErr w:type="spellStart"/>
      <w:r w:rsidRPr="005E7BA4">
        <w:rPr>
          <w:rFonts w:ascii="Arial" w:eastAsia="Times New Roman" w:hAnsi="Arial" w:cs="Arial"/>
          <w:lang w:val="es-ES_tradnl" w:eastAsia="es-ES_tradnl"/>
        </w:rPr>
        <w:t>Mipyme</w:t>
      </w:r>
      <w:proofErr w:type="spellEnd"/>
      <w:r w:rsidRPr="005E7BA4">
        <w:rPr>
          <w:rFonts w:ascii="Arial" w:eastAsia="Calibri" w:hAnsi="Arial" w:cs="Arial"/>
          <w:lang w:val="es-ES_tradnl" w:eastAsia="es-ES_tradnl"/>
        </w:rPr>
        <w:t xml:space="preserve"> se debe hacer mediante la publicación de un aviso en el SECOP, luego de analizadas las solicitudes presentadas dentro del término de publicación de la invitación previsto en el numeral 3 del artículo 2.2.1.2.1.5.2. del Decreto 1082 de 2015, modificado por el artículo 2 del Decreto 1860 de 2021. De igual modo, en dicho aviso, se deberá indicar si en el proceso pueden participar las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domiciliadas en el municipio o departamento, según corresponda, o cualquier </w:t>
      </w:r>
      <w:proofErr w:type="spellStart"/>
      <w:r w:rsidRPr="005E7BA4">
        <w:rPr>
          <w:rFonts w:ascii="Arial" w:eastAsia="Calibri" w:hAnsi="Arial" w:cs="Arial"/>
          <w:lang w:val="es-ES_tradnl" w:eastAsia="es-ES_tradnl"/>
        </w:rPr>
        <w:t>Mipyme</w:t>
      </w:r>
      <w:proofErr w:type="spellEnd"/>
      <w:r w:rsidRPr="005E7BA4">
        <w:rPr>
          <w:rFonts w:ascii="Arial" w:eastAsia="Calibri" w:hAnsi="Arial" w:cs="Arial"/>
          <w:lang w:val="es-ES_tradnl" w:eastAsia="es-ES_tradnl"/>
        </w:rPr>
        <w:t xml:space="preserve"> nacional. </w:t>
      </w:r>
    </w:p>
    <w:p w14:paraId="2CDABE2E" w14:textId="77777777" w:rsidR="00381D63" w:rsidRDefault="00381D63" w:rsidP="00381D63">
      <w:pPr>
        <w:spacing w:after="120" w:line="276" w:lineRule="auto"/>
        <w:ind w:firstLine="709"/>
        <w:jc w:val="both"/>
        <w:rPr>
          <w:rFonts w:ascii="Arial" w:eastAsia="Calibri" w:hAnsi="Arial" w:cs="Arial"/>
          <w:lang w:val="es-ES_tradnl" w:eastAsia="es-ES_tradnl"/>
        </w:rPr>
      </w:pPr>
      <w:r>
        <w:rPr>
          <w:rFonts w:ascii="Arial" w:eastAsia="Calibri" w:hAnsi="Arial" w:cs="Arial"/>
          <w:lang w:val="es-ES_tradnl" w:eastAsia="es-ES_tradnl"/>
        </w:rPr>
        <w:t xml:space="preserve">Ahora bien, conforme se desprende del parágrafo del artículo </w:t>
      </w:r>
      <w:r w:rsidRPr="005E7BA4">
        <w:rPr>
          <w:rFonts w:ascii="Arial" w:eastAsia="Calibri" w:hAnsi="Arial" w:cs="Arial"/>
          <w:lang w:val="es-ES_tradnl" w:eastAsia="es-ES_tradnl"/>
        </w:rPr>
        <w:t>2.2</w:t>
      </w:r>
      <w:r>
        <w:rPr>
          <w:rFonts w:ascii="Arial" w:eastAsia="Calibri" w:hAnsi="Arial" w:cs="Arial"/>
          <w:lang w:val="es-ES_tradnl" w:eastAsia="es-ES_tradnl"/>
        </w:rPr>
        <w:t>.</w:t>
      </w:r>
      <w:r w:rsidRPr="005E7BA4">
        <w:rPr>
          <w:rFonts w:ascii="Arial" w:eastAsia="Calibri" w:hAnsi="Arial" w:cs="Arial"/>
          <w:lang w:val="es-ES_tradnl" w:eastAsia="es-ES_tradnl"/>
        </w:rPr>
        <w:t>1.2.1.5.2</w:t>
      </w:r>
      <w:r>
        <w:rPr>
          <w:rFonts w:ascii="Arial" w:eastAsia="Calibri" w:hAnsi="Arial" w:cs="Arial"/>
          <w:lang w:val="es-ES_tradnl" w:eastAsia="es-ES_tradnl"/>
        </w:rPr>
        <w:t xml:space="preserve">, si bien en el procedimiento de mínima cuantía tiene unas reglas particulares establecidas en dicho artículo, en este también resulta aplicable lo dispuesto en los artículos </w:t>
      </w:r>
      <w:r w:rsidRPr="00810F4D">
        <w:rPr>
          <w:rFonts w:ascii="Arial" w:eastAsia="Calibri" w:hAnsi="Arial" w:cs="Arial"/>
          <w:lang w:val="es-ES_tradnl" w:eastAsia="es-ES_tradnl"/>
        </w:rPr>
        <w:t>2.2.1.2.4.2.3.</w:t>
      </w:r>
      <w:r>
        <w:rPr>
          <w:rFonts w:ascii="Arial" w:eastAsia="Calibri" w:hAnsi="Arial" w:cs="Arial"/>
          <w:lang w:val="es-ES_tradnl" w:eastAsia="es-ES_tradnl"/>
        </w:rPr>
        <w:t xml:space="preserve"> y </w:t>
      </w:r>
      <w:r w:rsidRPr="005131C3">
        <w:rPr>
          <w:rFonts w:ascii="Arial" w:eastAsia="Calibri" w:hAnsi="Arial" w:cs="Arial"/>
          <w:lang w:val="es-ES_tradnl" w:eastAsia="es-ES_tradnl"/>
        </w:rPr>
        <w:t>2.2.1.2.4.2.4</w:t>
      </w:r>
      <w:r>
        <w:rPr>
          <w:rFonts w:ascii="Arial" w:eastAsia="Calibri" w:hAnsi="Arial" w:cs="Arial"/>
          <w:lang w:val="es-ES_tradnl" w:eastAsia="es-ES_tradnl"/>
        </w:rPr>
        <w:t xml:space="preserve">. Esto implica que la acreditación del domicilio de las proponentes debe realizarse mediante los documentos señalados en el artículo </w:t>
      </w:r>
      <w:r w:rsidRPr="005131C3">
        <w:rPr>
          <w:rFonts w:ascii="Arial" w:eastAsia="Calibri" w:hAnsi="Arial" w:cs="Arial"/>
          <w:lang w:val="es-ES_tradnl" w:eastAsia="es-ES_tradnl"/>
        </w:rPr>
        <w:t>2.2.1.2.4.2.4</w:t>
      </w:r>
      <w:r>
        <w:rPr>
          <w:rFonts w:ascii="Arial" w:eastAsia="Calibri" w:hAnsi="Arial" w:cs="Arial"/>
          <w:lang w:val="es-ES_tradnl" w:eastAsia="es-ES_tradnl"/>
        </w:rPr>
        <w:t xml:space="preserve">, al que remite el artículo </w:t>
      </w:r>
      <w:r w:rsidRPr="00810F4D">
        <w:rPr>
          <w:rFonts w:ascii="Arial" w:eastAsia="Calibri" w:hAnsi="Arial" w:cs="Arial"/>
          <w:lang w:val="es-ES_tradnl" w:eastAsia="es-ES_tradnl"/>
        </w:rPr>
        <w:t>2.2.1.2.4.2.3.</w:t>
      </w:r>
      <w:r>
        <w:rPr>
          <w:rFonts w:ascii="Arial" w:eastAsia="Calibri" w:hAnsi="Arial" w:cs="Arial"/>
          <w:lang w:val="es-ES_tradnl" w:eastAsia="es-ES_tradnl"/>
        </w:rPr>
        <w:t xml:space="preserve"> cuando indica que: </w:t>
      </w:r>
      <w:r w:rsidRPr="00AE43E9">
        <w:rPr>
          <w:rFonts w:ascii="Arial" w:eastAsia="Calibri" w:hAnsi="Arial" w:cs="Arial"/>
          <w:i/>
          <w:iCs/>
          <w:lang w:val="es-ES_tradnl" w:eastAsia="es-ES_tradnl"/>
        </w:rPr>
        <w:t xml:space="preserve">“Cada </w:t>
      </w:r>
      <w:proofErr w:type="spellStart"/>
      <w:r w:rsidRPr="00AE43E9">
        <w:rPr>
          <w:rFonts w:ascii="Arial" w:eastAsia="Calibri" w:hAnsi="Arial" w:cs="Arial"/>
          <w:i/>
          <w:iCs/>
          <w:lang w:val="es-ES_tradnl" w:eastAsia="es-ES_tradnl"/>
        </w:rPr>
        <w:t>Mipyme</w:t>
      </w:r>
      <w:proofErr w:type="spellEnd"/>
      <w:r w:rsidRPr="00AE43E9">
        <w:rPr>
          <w:rFonts w:ascii="Arial" w:eastAsia="Calibri" w:hAnsi="Arial" w:cs="Arial"/>
          <w:i/>
          <w:iCs/>
          <w:lang w:val="es-ES_tradnl" w:eastAsia="es-ES_tradnl"/>
        </w:rPr>
        <w:t xml:space="preserve"> deberá acreditar su domicilio con los documentos a los que se refiere el siguiente artículo”</w:t>
      </w:r>
      <w:r>
        <w:rPr>
          <w:rFonts w:ascii="Arial" w:eastAsia="Calibri" w:hAnsi="Arial" w:cs="Arial"/>
          <w:lang w:val="es-ES_tradnl" w:eastAsia="es-ES_tradnl"/>
        </w:rPr>
        <w:t xml:space="preserve">. En atención a esto, para participar en procesos limitados a </w:t>
      </w:r>
      <w:proofErr w:type="spellStart"/>
      <w:r>
        <w:rPr>
          <w:rFonts w:ascii="Arial" w:eastAsia="Calibri" w:hAnsi="Arial" w:cs="Arial"/>
          <w:lang w:val="es-ES_tradnl" w:eastAsia="es-ES_tradnl"/>
        </w:rPr>
        <w:t>mipymes</w:t>
      </w:r>
      <w:proofErr w:type="spellEnd"/>
      <w:r>
        <w:rPr>
          <w:rFonts w:ascii="Arial" w:eastAsia="Calibri" w:hAnsi="Arial" w:cs="Arial"/>
          <w:lang w:val="es-ES_tradnl" w:eastAsia="es-ES_tradnl"/>
        </w:rPr>
        <w:t xml:space="preserve"> por factor territorial, las personas naturales deben </w:t>
      </w:r>
      <w:r>
        <w:rPr>
          <w:rFonts w:ascii="Arial" w:eastAsia="Calibri" w:hAnsi="Arial" w:cs="Arial"/>
          <w:lang w:val="es-ES_tradnl" w:eastAsia="es-ES_tradnl"/>
        </w:rPr>
        <w:lastRenderedPageBreak/>
        <w:t xml:space="preserve">presentar registro mercantil a efectos de acreditar su domicilio, al igual que la certificación a la que alude el numeral 1 del artículo </w:t>
      </w:r>
      <w:r w:rsidRPr="005131C3">
        <w:rPr>
          <w:rFonts w:ascii="Arial" w:eastAsia="Calibri" w:hAnsi="Arial" w:cs="Arial"/>
          <w:lang w:val="es-ES_tradnl" w:eastAsia="es-ES_tradnl"/>
        </w:rPr>
        <w:t>2.2.1.2.4.2.4</w:t>
      </w:r>
      <w:r>
        <w:rPr>
          <w:rFonts w:ascii="Arial" w:eastAsia="Calibri" w:hAnsi="Arial" w:cs="Arial"/>
          <w:lang w:val="es-ES_tradnl" w:eastAsia="es-ES_tradnl"/>
        </w:rPr>
        <w:t xml:space="preserve">. Esto por cuanto, el artículo </w:t>
      </w:r>
      <w:r w:rsidRPr="005131C3">
        <w:rPr>
          <w:rFonts w:ascii="Arial" w:eastAsia="Calibri" w:hAnsi="Arial" w:cs="Arial"/>
          <w:lang w:val="es-ES_tradnl" w:eastAsia="es-ES_tradnl"/>
        </w:rPr>
        <w:t>2.2.1.2.4.2.4</w:t>
      </w:r>
      <w:r>
        <w:rPr>
          <w:rFonts w:ascii="Arial" w:eastAsia="Calibri" w:hAnsi="Arial" w:cs="Arial"/>
          <w:lang w:val="es-ES_tradnl" w:eastAsia="es-ES_tradnl"/>
        </w:rPr>
        <w:t xml:space="preserve"> establece una tarifa legal respecto de los documentos que deben presentarse para acreditar los requisitos para participar en convocatorias limitadas a </w:t>
      </w:r>
      <w:proofErr w:type="spellStart"/>
      <w:r>
        <w:rPr>
          <w:rFonts w:ascii="Arial" w:eastAsia="Calibri" w:hAnsi="Arial" w:cs="Arial"/>
          <w:lang w:val="es-ES_tradnl" w:eastAsia="es-ES_tradnl"/>
        </w:rPr>
        <w:t>mipymes</w:t>
      </w:r>
      <w:proofErr w:type="spellEnd"/>
      <w:r>
        <w:rPr>
          <w:rFonts w:ascii="Arial" w:eastAsia="Calibri" w:hAnsi="Arial" w:cs="Arial"/>
          <w:lang w:val="es-ES_tradnl" w:eastAsia="es-ES_tradnl"/>
        </w:rPr>
        <w:t xml:space="preserve">, contemplando únicamente al registro mercantil y al RUP como documentos conducentes para acreditar el domicilio. </w:t>
      </w:r>
    </w:p>
    <w:p w14:paraId="5EBEB1F7" w14:textId="77777777" w:rsidR="00381D63" w:rsidRDefault="00381D63" w:rsidP="00381D63">
      <w:pPr>
        <w:spacing w:after="120" w:line="276" w:lineRule="auto"/>
        <w:ind w:firstLine="709"/>
        <w:jc w:val="both"/>
        <w:rPr>
          <w:rFonts w:ascii="Arial" w:eastAsia="Calibri" w:hAnsi="Arial" w:cs="Arial"/>
          <w:lang w:val="es-ES_tradnl" w:eastAsia="es-ES_tradnl"/>
        </w:rPr>
      </w:pPr>
    </w:p>
    <w:p w14:paraId="54BE46F7" w14:textId="77777777" w:rsidR="00381D63" w:rsidRPr="00A46C61" w:rsidRDefault="00381D63" w:rsidP="00381D63">
      <w:pPr>
        <w:pStyle w:val="Ttulo1"/>
        <w:shd w:val="clear" w:color="auto" w:fill="FFFFFF" w:themeFill="background1"/>
        <w:spacing w:line="276" w:lineRule="auto"/>
        <w:ind w:left="0"/>
        <w:rPr>
          <w:color w:val="000000" w:themeColor="text1"/>
        </w:rPr>
      </w:pPr>
      <w:r>
        <w:rPr>
          <w:color w:val="000000" w:themeColor="text1"/>
        </w:rPr>
        <w:t>3</w:t>
      </w:r>
      <w:r w:rsidRPr="00A46C61">
        <w:rPr>
          <w:color w:val="000000" w:themeColor="text1"/>
        </w:rPr>
        <w:t>.</w:t>
      </w:r>
      <w:r w:rsidRPr="00A46C61">
        <w:rPr>
          <w:color w:val="000000" w:themeColor="text1"/>
          <w:spacing w:val="54"/>
        </w:rPr>
        <w:t xml:space="preserve"> </w:t>
      </w:r>
      <w:r w:rsidRPr="00A46C61">
        <w:rPr>
          <w:color w:val="000000" w:themeColor="text1"/>
        </w:rPr>
        <w:t>Respuesta</w:t>
      </w:r>
    </w:p>
    <w:p w14:paraId="22B563B3" w14:textId="77777777" w:rsidR="00381D63" w:rsidRPr="00A46C61" w:rsidRDefault="00381D63" w:rsidP="00381D63">
      <w:pPr>
        <w:pStyle w:val="Textoindependiente"/>
        <w:shd w:val="clear" w:color="auto" w:fill="FFFFFF" w:themeFill="background1"/>
        <w:spacing w:line="276" w:lineRule="auto"/>
        <w:rPr>
          <w:b/>
          <w:color w:val="000000" w:themeColor="text1"/>
          <w:sz w:val="25"/>
        </w:rPr>
      </w:pPr>
    </w:p>
    <w:p w14:paraId="23BE8812" w14:textId="77777777" w:rsidR="00381D63" w:rsidRPr="00AE43E9" w:rsidRDefault="00381D63" w:rsidP="00381D63">
      <w:pPr>
        <w:shd w:val="clear" w:color="auto" w:fill="FFFFFF" w:themeFill="background1"/>
        <w:spacing w:after="0" w:line="240" w:lineRule="auto"/>
        <w:ind w:left="709" w:right="709"/>
        <w:jc w:val="both"/>
        <w:rPr>
          <w:rFonts w:ascii="Arial" w:hAnsi="Arial" w:cs="Arial"/>
          <w:sz w:val="20"/>
          <w:szCs w:val="20"/>
        </w:rPr>
      </w:pPr>
      <w:r w:rsidRPr="00AE43E9">
        <w:rPr>
          <w:rFonts w:ascii="Arial" w:eastAsia="Times New Roman" w:hAnsi="Arial" w:cs="Arial"/>
          <w:sz w:val="20"/>
          <w:szCs w:val="20"/>
          <w:lang w:eastAsia="es-CO"/>
        </w:rPr>
        <w:t>“</w:t>
      </w:r>
      <w:r w:rsidRPr="00AE43E9">
        <w:rPr>
          <w:rFonts w:ascii="Arial" w:hAnsi="Arial" w:cs="Arial"/>
          <w:sz w:val="20"/>
          <w:szCs w:val="20"/>
        </w:rPr>
        <w:t xml:space="preserve">De manera atenta y respetuosa me permito elevar la siguiente consulta, para un proceso de mínima cuantía se solicitó limitación a </w:t>
      </w:r>
      <w:proofErr w:type="spellStart"/>
      <w:r w:rsidRPr="00AE43E9">
        <w:rPr>
          <w:rFonts w:ascii="Arial" w:hAnsi="Arial" w:cs="Arial"/>
          <w:sz w:val="20"/>
          <w:szCs w:val="20"/>
        </w:rPr>
        <w:t>mipymes</w:t>
      </w:r>
      <w:proofErr w:type="spellEnd"/>
      <w:r w:rsidRPr="00AE43E9">
        <w:rPr>
          <w:rFonts w:ascii="Arial" w:hAnsi="Arial" w:cs="Arial"/>
          <w:sz w:val="20"/>
          <w:szCs w:val="20"/>
        </w:rPr>
        <w:t xml:space="preserve"> departamentales, al momento de entregar la oferta se presentó un ingeniero civil, al momento de la evaluación la asesora Jurídica le exige demostrar su domicilio manifestando que en caso de ser persona natural el requisito para demostrar lo anterior era: RUP o REGISTRO MERCANTIL según la normatividad establecida en el </w:t>
      </w:r>
      <w:r w:rsidRPr="00AE43E9">
        <w:rPr>
          <w:rFonts w:ascii="Arial" w:hAnsi="Arial" w:cs="Arial"/>
          <w:b/>
          <w:bCs/>
          <w:color w:val="000000"/>
          <w:sz w:val="20"/>
          <w:szCs w:val="20"/>
        </w:rPr>
        <w:t>ARTÍCULO 2.2.1.2.4.2.3. Limitaciones territoriales</w:t>
      </w:r>
      <w:r w:rsidRPr="00AE43E9">
        <w:rPr>
          <w:rFonts w:ascii="Arial" w:hAnsi="Arial" w:cs="Arial"/>
          <w:sz w:val="20"/>
          <w:szCs w:val="20"/>
        </w:rPr>
        <w:t xml:space="preserve"> siendo un proceso de mínima cuantía es claro que no es de obligatorio cumplimiento presentar el RUP siendo una persona natural de profesión liberal no está obligado a tener registro mercantil</w:t>
      </w:r>
    </w:p>
    <w:p w14:paraId="5F76DD4C" w14:textId="77777777" w:rsidR="00381D63" w:rsidRDefault="00381D63" w:rsidP="00381D63">
      <w:pPr>
        <w:shd w:val="clear" w:color="auto" w:fill="FFFFFF" w:themeFill="background1"/>
        <w:spacing w:after="0" w:line="240" w:lineRule="auto"/>
        <w:ind w:left="709" w:right="709"/>
        <w:jc w:val="both"/>
        <w:rPr>
          <w:rFonts w:ascii="Arial" w:hAnsi="Arial" w:cs="Arial"/>
          <w:sz w:val="20"/>
          <w:szCs w:val="20"/>
        </w:rPr>
      </w:pPr>
    </w:p>
    <w:p w14:paraId="6E14A6BD" w14:textId="77777777" w:rsidR="00381D63" w:rsidRDefault="00381D63" w:rsidP="00381D63">
      <w:pPr>
        <w:shd w:val="clear" w:color="auto" w:fill="FFFFFF" w:themeFill="background1"/>
        <w:spacing w:after="0" w:line="240" w:lineRule="auto"/>
        <w:ind w:left="709" w:right="709"/>
        <w:jc w:val="both"/>
        <w:rPr>
          <w:rFonts w:ascii="Arial" w:hAnsi="Arial" w:cs="Arial"/>
          <w:sz w:val="20"/>
          <w:szCs w:val="20"/>
        </w:rPr>
      </w:pPr>
      <w:r w:rsidRPr="00AE43E9">
        <w:rPr>
          <w:rFonts w:ascii="Arial" w:hAnsi="Arial" w:cs="Arial"/>
          <w:sz w:val="20"/>
          <w:szCs w:val="20"/>
        </w:rPr>
        <w:t>Por lo anterior se solicita dilucidar la inquietud de cual otro documento podría validar el domicilio de esta persona en mención”.</w:t>
      </w:r>
    </w:p>
    <w:p w14:paraId="294DA3B6" w14:textId="77777777" w:rsidR="00381D63" w:rsidRPr="00AE43E9" w:rsidRDefault="00381D63" w:rsidP="00381D63">
      <w:pPr>
        <w:shd w:val="clear" w:color="auto" w:fill="FFFFFF" w:themeFill="background1"/>
        <w:spacing w:after="0" w:line="240" w:lineRule="auto"/>
        <w:ind w:left="709" w:right="709"/>
        <w:jc w:val="both"/>
        <w:rPr>
          <w:rFonts w:ascii="Arial" w:hAnsi="Arial" w:cs="Arial"/>
          <w:sz w:val="20"/>
          <w:szCs w:val="20"/>
        </w:rPr>
      </w:pPr>
    </w:p>
    <w:p w14:paraId="228E4B1F" w14:textId="77777777" w:rsidR="00381D63" w:rsidRPr="00A46C61" w:rsidRDefault="00381D63" w:rsidP="00381D63">
      <w:pPr>
        <w:spacing w:after="120" w:line="276" w:lineRule="auto"/>
        <w:jc w:val="both"/>
        <w:rPr>
          <w:rFonts w:ascii="Arial" w:eastAsia="Calibri" w:hAnsi="Arial" w:cs="Arial"/>
          <w:lang w:val="es-ES_tradnl"/>
        </w:rPr>
      </w:pPr>
      <w:r>
        <w:rPr>
          <w:rFonts w:ascii="Arial" w:eastAsia="Calibri" w:hAnsi="Arial" w:cs="Arial"/>
          <w:lang w:val="es-ES_tradnl"/>
        </w:rPr>
        <w:t xml:space="preserve">De acuerdo con lo expuesto, </w:t>
      </w:r>
      <w:r w:rsidRPr="00A46C61">
        <w:rPr>
          <w:rFonts w:ascii="Arial" w:eastAsia="Calibri" w:hAnsi="Arial" w:cs="Arial"/>
          <w:lang w:val="es-ES_tradnl"/>
        </w:rPr>
        <w:t xml:space="preserve">la facultad de limitar convocatorias territorialmente en favor de las </w:t>
      </w:r>
      <w:proofErr w:type="spellStart"/>
      <w:r w:rsidRPr="00A46C61">
        <w:rPr>
          <w:rFonts w:ascii="Arial" w:eastAsia="Calibri" w:hAnsi="Arial" w:cs="Arial"/>
          <w:lang w:val="es-ES_tradnl"/>
        </w:rPr>
        <w:t>Mipymes</w:t>
      </w:r>
      <w:proofErr w:type="spellEnd"/>
      <w:r w:rsidRPr="00A46C61">
        <w:rPr>
          <w:rFonts w:ascii="Arial" w:eastAsia="Calibri" w:hAnsi="Arial" w:cs="Arial"/>
          <w:lang w:val="es-ES_tradnl"/>
        </w:rPr>
        <w:t xml:space="preserve"> con domicilio en un municipio en un departamento específico debe ejercerse por las entidades estatales dentro del marco de lo regulado por el artículo 2.2.1.2.4.2.3 </w:t>
      </w:r>
      <w:proofErr w:type="spellStart"/>
      <w:r w:rsidRPr="00A46C61">
        <w:rPr>
          <w:rFonts w:ascii="Arial" w:eastAsia="Calibri" w:hAnsi="Arial" w:cs="Arial"/>
          <w:i/>
          <w:iCs/>
          <w:lang w:val="es-ES_tradnl"/>
        </w:rPr>
        <w:t>ejusdem</w:t>
      </w:r>
      <w:proofErr w:type="spellEnd"/>
      <w:r w:rsidRPr="00A46C61">
        <w:rPr>
          <w:rFonts w:ascii="Arial" w:eastAsia="Calibri" w:hAnsi="Arial" w:cs="Arial"/>
          <w:lang w:val="es-ES_tradnl"/>
        </w:rPr>
        <w:t xml:space="preserve">, el cual establece como presupuesto para que las </w:t>
      </w:r>
      <w:proofErr w:type="spellStart"/>
      <w:r w:rsidRPr="00A46C61">
        <w:rPr>
          <w:rFonts w:ascii="Arial" w:eastAsia="Calibri" w:hAnsi="Arial" w:cs="Arial"/>
          <w:lang w:val="es-ES_tradnl"/>
        </w:rPr>
        <w:t>Mipymes</w:t>
      </w:r>
      <w:proofErr w:type="spellEnd"/>
      <w:r w:rsidRPr="00A46C61">
        <w:rPr>
          <w:rFonts w:ascii="Arial" w:eastAsia="Calibri" w:hAnsi="Arial" w:cs="Arial"/>
          <w:lang w:val="es-ES_tradnl"/>
        </w:rPr>
        <w:t xml:space="preserve"> tengan su domicilio en el lugar en donde se va a ejecutar el contrato. En ese sentido, en el marco de estas convocatorias, la exigibilidad de que el domicilio de las </w:t>
      </w:r>
      <w:proofErr w:type="spellStart"/>
      <w:r w:rsidRPr="00A46C61">
        <w:rPr>
          <w:rFonts w:ascii="Arial" w:eastAsia="Calibri" w:hAnsi="Arial" w:cs="Arial"/>
          <w:lang w:val="es-ES_tradnl"/>
        </w:rPr>
        <w:t>Mipymes</w:t>
      </w:r>
      <w:proofErr w:type="spellEnd"/>
      <w:r w:rsidRPr="00A46C61">
        <w:rPr>
          <w:rFonts w:ascii="Arial" w:eastAsia="Calibri" w:hAnsi="Arial" w:cs="Arial"/>
          <w:lang w:val="es-ES_tradnl"/>
        </w:rPr>
        <w:t xml:space="preserve"> se ubique en un único municipio en particular o en alguno de los municipios que conforman un departamento en concreto, depende del ámbito territorial en el que se va a desarrollar el objeto contractual. </w:t>
      </w:r>
    </w:p>
    <w:p w14:paraId="47E49B1C" w14:textId="77777777" w:rsidR="00381D63" w:rsidRPr="00A46C61" w:rsidRDefault="00381D63" w:rsidP="00381D63">
      <w:pPr>
        <w:spacing w:line="276" w:lineRule="auto"/>
        <w:ind w:firstLine="709"/>
        <w:jc w:val="both"/>
        <w:rPr>
          <w:rFonts w:ascii="Arial" w:eastAsia="Calibri" w:hAnsi="Arial" w:cs="Arial"/>
          <w:lang w:val="es-ES_tradnl"/>
        </w:rPr>
      </w:pPr>
      <w:r w:rsidRPr="00A46C61">
        <w:rPr>
          <w:rFonts w:ascii="Arial" w:eastAsia="Calibri" w:hAnsi="Arial" w:cs="Arial"/>
          <w:lang w:val="es-ES_tradnl"/>
        </w:rPr>
        <w:t xml:space="preserve">Conforme a lo anterior, sí un contrato se va a ejecutar en un único municipio, las </w:t>
      </w:r>
      <w:proofErr w:type="spellStart"/>
      <w:r w:rsidRPr="00A46C61">
        <w:rPr>
          <w:rFonts w:ascii="Arial" w:eastAsia="Calibri" w:hAnsi="Arial" w:cs="Arial"/>
          <w:lang w:val="es-ES_tradnl"/>
        </w:rPr>
        <w:t>Mipymes</w:t>
      </w:r>
      <w:proofErr w:type="spellEnd"/>
      <w:r w:rsidRPr="00A46C61">
        <w:rPr>
          <w:rFonts w:ascii="Arial" w:eastAsia="Calibri" w:hAnsi="Arial" w:cs="Arial"/>
          <w:lang w:val="es-ES_tradnl"/>
        </w:rPr>
        <w:t xml:space="preserve"> que participen la convocatoria limitada por el factor territorial deberán tener su domicilio principal en dicha entidad territorial.  Asimismo, tratándose de un contrato cuya ejecución deberá desplegarse en el ámbito departamental, habiéndose limitado la convocatoria según lo dispuesto en el artículo 2.2.1.2.4.2.3, podrán participar </w:t>
      </w:r>
      <w:proofErr w:type="spellStart"/>
      <w:r w:rsidRPr="00A46C61">
        <w:rPr>
          <w:rFonts w:ascii="Arial" w:eastAsia="Calibri" w:hAnsi="Arial" w:cs="Arial"/>
          <w:lang w:val="es-ES_tradnl"/>
        </w:rPr>
        <w:t>Mipymes</w:t>
      </w:r>
      <w:proofErr w:type="spellEnd"/>
      <w:r w:rsidRPr="00A46C61">
        <w:rPr>
          <w:rFonts w:ascii="Arial" w:eastAsia="Calibri" w:hAnsi="Arial" w:cs="Arial"/>
          <w:lang w:val="es-ES_tradnl"/>
        </w:rPr>
        <w:t xml:space="preserve"> cuyos domicilios se encuentren establecidos en alguno de los municipios que conforman el departamento en el que se va a ejecutar el contrato.   </w:t>
      </w:r>
    </w:p>
    <w:p w14:paraId="281F5984" w14:textId="77777777" w:rsidR="00381D63" w:rsidRPr="00A46C61" w:rsidRDefault="00381D63" w:rsidP="00381D63">
      <w:pPr>
        <w:spacing w:after="0" w:line="276" w:lineRule="auto"/>
        <w:ind w:right="51" w:firstLine="709"/>
        <w:jc w:val="both"/>
        <w:rPr>
          <w:rFonts w:ascii="Arial" w:eastAsia="Calibri" w:hAnsi="Arial" w:cs="Arial"/>
          <w:lang w:val="es-ES_tradnl"/>
        </w:rPr>
      </w:pPr>
      <w:r w:rsidRPr="00DD6ED3">
        <w:rPr>
          <w:rFonts w:ascii="Arial" w:eastAsia="Calibri" w:hAnsi="Arial" w:cs="Arial"/>
          <w:lang w:val="es-ES_tradnl"/>
        </w:rPr>
        <w:t xml:space="preserve">Ahora bien, según </w:t>
      </w:r>
      <w:r w:rsidRPr="009A4F4B">
        <w:rPr>
          <w:rFonts w:ascii="Arial" w:eastAsia="Calibri" w:hAnsi="Arial" w:cs="Arial"/>
          <w:lang w:val="es-ES_tradnl"/>
        </w:rPr>
        <w:t xml:space="preserve">el artículo 2.2.1.2.1.5.2, si bien en el procedimiento de mínima cuantía tiene unas reglas particulares establecidas en dicho artículo, en este también resulta aplicable lo dispuesto en los artículos 2.2.1.2.4.2.3. y 2.2.1.2.4.2.4. Esto </w:t>
      </w:r>
      <w:r w:rsidRPr="00DD6ED3">
        <w:rPr>
          <w:rFonts w:ascii="Arial" w:eastAsia="Calibri" w:hAnsi="Arial" w:cs="Arial"/>
          <w:lang w:val="es-ES_tradnl"/>
        </w:rPr>
        <w:t>significa</w:t>
      </w:r>
      <w:r w:rsidRPr="009A4F4B">
        <w:rPr>
          <w:rFonts w:ascii="Arial" w:eastAsia="Calibri" w:hAnsi="Arial" w:cs="Arial"/>
          <w:lang w:val="es-ES_tradnl"/>
        </w:rPr>
        <w:t xml:space="preserve"> </w:t>
      </w:r>
      <w:r w:rsidRPr="009A4F4B">
        <w:rPr>
          <w:rFonts w:ascii="Arial" w:eastAsia="Calibri" w:hAnsi="Arial" w:cs="Arial"/>
          <w:lang w:val="es-ES_tradnl"/>
        </w:rPr>
        <w:lastRenderedPageBreak/>
        <w:t>que la acreditación del domicilio de las proponentes debe realizarse mediante los documentos señalados en el artículo 2.2.1.2.4.2.4</w:t>
      </w:r>
      <w:r w:rsidRPr="00DD6ED3">
        <w:rPr>
          <w:rFonts w:ascii="Arial" w:eastAsia="Calibri" w:hAnsi="Arial" w:cs="Arial"/>
          <w:lang w:val="es-ES_tradnl"/>
        </w:rPr>
        <w:t>.</w:t>
      </w:r>
      <w:r w:rsidRPr="009A4F4B">
        <w:rPr>
          <w:rFonts w:ascii="Arial" w:eastAsia="Calibri" w:hAnsi="Arial" w:cs="Arial"/>
          <w:lang w:val="es-ES_tradnl"/>
        </w:rPr>
        <w:t xml:space="preserve"> En atención a esto, para participar en procesos limitados a </w:t>
      </w:r>
      <w:proofErr w:type="spellStart"/>
      <w:r w:rsidRPr="009A4F4B">
        <w:rPr>
          <w:rFonts w:ascii="Arial" w:eastAsia="Calibri" w:hAnsi="Arial" w:cs="Arial"/>
          <w:lang w:val="es-ES_tradnl"/>
        </w:rPr>
        <w:t>mipymes</w:t>
      </w:r>
      <w:proofErr w:type="spellEnd"/>
      <w:r w:rsidRPr="009A4F4B">
        <w:rPr>
          <w:rFonts w:ascii="Arial" w:eastAsia="Calibri" w:hAnsi="Arial" w:cs="Arial"/>
          <w:lang w:val="es-ES_tradnl"/>
        </w:rPr>
        <w:t xml:space="preserve"> por factor territorial, las personas naturales deben presentar registro mercantil a efectos de acreditar su domicilio, al igual que la certificación a la que alude el numeral 1 del artículo 2.2.1.2.4.2.4. Esto por cuanto, el artículo 2.2.1.2.4.2.4 establece una tarifa legal respecto de los documentos que deben presentarse para acreditar los requisitos para participar en convocatorias limitadas a </w:t>
      </w:r>
      <w:proofErr w:type="spellStart"/>
      <w:r w:rsidRPr="009A4F4B">
        <w:rPr>
          <w:rFonts w:ascii="Arial" w:eastAsia="Calibri" w:hAnsi="Arial" w:cs="Arial"/>
          <w:lang w:val="es-ES_tradnl"/>
        </w:rPr>
        <w:t>mipymes</w:t>
      </w:r>
      <w:proofErr w:type="spellEnd"/>
      <w:r w:rsidRPr="009A4F4B">
        <w:rPr>
          <w:rFonts w:ascii="Arial" w:eastAsia="Calibri" w:hAnsi="Arial" w:cs="Arial"/>
          <w:lang w:val="es-ES_tradnl"/>
        </w:rPr>
        <w:t xml:space="preserve">, contemplando únicamente al registro mercantil y al RUP como documentos conducentes para acreditar el domicilio. </w:t>
      </w:r>
    </w:p>
    <w:p w14:paraId="55B9D659" w14:textId="77777777" w:rsidR="00381D63" w:rsidRPr="009A4F4B" w:rsidRDefault="00381D63" w:rsidP="00381D63">
      <w:pPr>
        <w:pStyle w:val="Textoindependiente"/>
        <w:shd w:val="clear" w:color="auto" w:fill="FFFFFF" w:themeFill="background1"/>
        <w:spacing w:line="276" w:lineRule="auto"/>
        <w:ind w:right="49" w:firstLine="708"/>
        <w:jc w:val="both"/>
        <w:rPr>
          <w:rFonts w:eastAsia="Calibri"/>
          <w:lang w:val="es-ES_tradnl" w:eastAsia="en-US" w:bidi="ar-SA"/>
        </w:rPr>
      </w:pPr>
    </w:p>
    <w:p w14:paraId="5560F36A" w14:textId="77777777" w:rsidR="00381D63" w:rsidRPr="00A46C61" w:rsidRDefault="00381D63" w:rsidP="00381D63">
      <w:pPr>
        <w:spacing w:after="0" w:line="276" w:lineRule="auto"/>
        <w:jc w:val="both"/>
        <w:rPr>
          <w:rFonts w:ascii="Arial" w:hAnsi="Arial" w:cs="Arial"/>
          <w:lang w:val="es-ES_tradnl"/>
        </w:rPr>
      </w:pPr>
      <w:r w:rsidRPr="00A46C61">
        <w:rPr>
          <w:rFonts w:ascii="Arial" w:hAnsi="Arial" w:cs="Arial"/>
          <w:lang w:val="es-ES_tradnl"/>
        </w:rPr>
        <w:t>Este concepto tiene el alcance previsto en el artículo 28 del Código de Procedimiento Administrativo y de lo Contencioso Administrativo.</w:t>
      </w:r>
    </w:p>
    <w:p w14:paraId="0367169C" w14:textId="77777777" w:rsidR="00381D63" w:rsidRPr="00A46C61" w:rsidRDefault="00381D63" w:rsidP="00381D63">
      <w:pPr>
        <w:shd w:val="clear" w:color="auto" w:fill="FFFFFF" w:themeFill="background1"/>
        <w:spacing w:after="0" w:line="276" w:lineRule="auto"/>
        <w:jc w:val="both"/>
        <w:rPr>
          <w:rFonts w:ascii="Arial" w:hAnsi="Arial" w:cs="Arial"/>
          <w:bCs/>
          <w:szCs w:val="20"/>
          <w:lang w:val="es-ES_tradnl"/>
        </w:rPr>
      </w:pPr>
    </w:p>
    <w:p w14:paraId="24DAFDC5" w14:textId="77777777" w:rsidR="00381D63" w:rsidRPr="00AE43E9" w:rsidRDefault="00381D63" w:rsidP="00381D63">
      <w:pPr>
        <w:shd w:val="clear" w:color="auto" w:fill="FFFFFF" w:themeFill="background1"/>
        <w:spacing w:after="0" w:line="276" w:lineRule="auto"/>
        <w:jc w:val="both"/>
        <w:rPr>
          <w:rFonts w:ascii="Arial" w:eastAsia="Times New Roman" w:hAnsi="Arial" w:cs="Arial"/>
          <w:sz w:val="24"/>
          <w:szCs w:val="24"/>
          <w:lang w:eastAsia="es-ES_tradnl"/>
        </w:rPr>
      </w:pPr>
    </w:p>
    <w:p w14:paraId="004630A8" w14:textId="77777777" w:rsidR="00381D63" w:rsidRPr="00A46C61" w:rsidRDefault="00381D63" w:rsidP="00381D63">
      <w:pPr>
        <w:shd w:val="clear" w:color="auto" w:fill="FFFFFF" w:themeFill="background1"/>
        <w:spacing w:after="200" w:line="276" w:lineRule="auto"/>
        <w:jc w:val="both"/>
        <w:rPr>
          <w:rFonts w:ascii="Arial" w:eastAsia="Times New Roman" w:hAnsi="Arial" w:cs="Arial"/>
          <w:lang w:eastAsia="es-CO"/>
        </w:rPr>
      </w:pPr>
      <w:r w:rsidRPr="00A46C61">
        <w:rPr>
          <w:rFonts w:ascii="Arial" w:eastAsia="Times New Roman" w:hAnsi="Arial" w:cs="Arial"/>
          <w:lang w:eastAsia="es-CO"/>
        </w:rPr>
        <w:t>Atentamente,</w:t>
      </w:r>
      <w:bookmarkEnd w:id="0"/>
      <w:bookmarkEnd w:id="6"/>
    </w:p>
    <w:p w14:paraId="1FC55874" w14:textId="1489E5C5" w:rsidR="00381D63" w:rsidRPr="00A46C61" w:rsidRDefault="00FD17FA" w:rsidP="00381D63">
      <w:pPr>
        <w:shd w:val="clear" w:color="auto" w:fill="FFFFFF" w:themeFill="background1"/>
        <w:spacing w:after="200" w:line="276" w:lineRule="auto"/>
        <w:jc w:val="center"/>
        <w:rPr>
          <w:rFonts w:ascii="Arial" w:eastAsia="Times New Roman" w:hAnsi="Arial" w:cs="Arial"/>
          <w:lang w:eastAsia="es-CO"/>
        </w:rPr>
      </w:pPr>
      <w:r>
        <w:rPr>
          <w:noProof/>
        </w:rPr>
        <w:drawing>
          <wp:inline distT="0" distB="0" distL="0" distR="0" wp14:anchorId="09407C54" wp14:editId="09EE5A1E">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4"/>
                    <a:stretch>
                      <a:fillRect/>
                    </a:stretch>
                  </pic:blipFill>
                  <pic:spPr>
                    <a:xfrm>
                      <a:off x="0" y="0"/>
                      <a:ext cx="2785707" cy="1068836"/>
                    </a:xfrm>
                    <a:prstGeom prst="rect">
                      <a:avLst/>
                    </a:prstGeom>
                  </pic:spPr>
                </pic:pic>
              </a:graphicData>
            </a:graphic>
          </wp:inline>
        </w:drawing>
      </w:r>
    </w:p>
    <w:p w14:paraId="70DF0F30" w14:textId="77777777" w:rsidR="00381D63" w:rsidRPr="00A46C61" w:rsidRDefault="00381D63" w:rsidP="00381D63">
      <w:pPr>
        <w:shd w:val="clear" w:color="auto" w:fill="FFFFFF" w:themeFill="background1"/>
        <w:spacing w:after="200" w:line="276" w:lineRule="auto"/>
        <w:jc w:val="center"/>
        <w:rPr>
          <w:rFonts w:ascii="Arial" w:eastAsia="Times New Roman" w:hAnsi="Arial" w:cs="Arial"/>
          <w:lang w:eastAsia="es-CO"/>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4410"/>
      </w:tblGrid>
      <w:tr w:rsidR="00381D63" w:rsidRPr="00A46C61" w14:paraId="4A5D3A69" w14:textId="77777777" w:rsidTr="00AE43E9">
        <w:trPr>
          <w:trHeight w:val="315"/>
        </w:trPr>
        <w:tc>
          <w:tcPr>
            <w:tcW w:w="810" w:type="dxa"/>
            <w:tcBorders>
              <w:top w:val="nil"/>
              <w:left w:val="nil"/>
              <w:bottom w:val="nil"/>
              <w:right w:val="nil"/>
            </w:tcBorders>
            <w:shd w:val="clear" w:color="auto" w:fill="auto"/>
            <w:vAlign w:val="center"/>
            <w:hideMark/>
          </w:tcPr>
          <w:p w14:paraId="3856A3BE" w14:textId="77777777" w:rsidR="00381D63" w:rsidRPr="00A46C61" w:rsidRDefault="00381D63" w:rsidP="00AE43E9">
            <w:pPr>
              <w:shd w:val="clear" w:color="auto" w:fill="FFFFFF" w:themeFill="background1"/>
              <w:spacing w:after="0" w:line="276" w:lineRule="auto"/>
              <w:jc w:val="both"/>
              <w:textAlignment w:val="baseline"/>
              <w:rPr>
                <w:rFonts w:ascii="Arial" w:eastAsia="Times New Roman" w:hAnsi="Arial" w:cs="Arial"/>
                <w:sz w:val="16"/>
                <w:szCs w:val="16"/>
                <w:lang w:eastAsia="es-CO"/>
              </w:rPr>
            </w:pPr>
            <w:r w:rsidRPr="00A46C61">
              <w:rPr>
                <w:rFonts w:ascii="Arial" w:eastAsia="Times New Roman" w:hAnsi="Arial" w:cs="Arial"/>
                <w:color w:val="000000"/>
                <w:sz w:val="16"/>
                <w:szCs w:val="16"/>
                <w:lang w:val="es-ES" w:eastAsia="es-CO"/>
              </w:rPr>
              <w:t>Elaboró:</w:t>
            </w:r>
            <w:r w:rsidRPr="00A46C61">
              <w:rPr>
                <w:rFonts w:ascii="Arial" w:eastAsia="Times New Roman" w:hAnsi="Arial" w:cs="Arial"/>
                <w:color w:val="000000"/>
                <w:sz w:val="16"/>
                <w:szCs w:val="16"/>
                <w:lang w:eastAsia="es-CO"/>
              </w:rPr>
              <w:t> </w:t>
            </w:r>
          </w:p>
        </w:tc>
        <w:tc>
          <w:tcPr>
            <w:tcW w:w="4410" w:type="dxa"/>
            <w:tcBorders>
              <w:top w:val="nil"/>
              <w:left w:val="nil"/>
              <w:bottom w:val="dotted" w:sz="6" w:space="0" w:color="7F7F7F"/>
              <w:right w:val="nil"/>
            </w:tcBorders>
            <w:shd w:val="clear" w:color="auto" w:fill="auto"/>
            <w:vAlign w:val="center"/>
            <w:hideMark/>
          </w:tcPr>
          <w:p w14:paraId="6ED47AE0" w14:textId="77777777" w:rsidR="00381D63" w:rsidRPr="00A46C61" w:rsidRDefault="00381D63" w:rsidP="00AE43E9">
            <w:pPr>
              <w:shd w:val="clear" w:color="auto" w:fill="FFFFFF" w:themeFill="background1"/>
              <w:spacing w:after="0" w:line="276" w:lineRule="auto"/>
              <w:jc w:val="both"/>
              <w:textAlignment w:val="baseline"/>
              <w:rPr>
                <w:rFonts w:ascii="Arial" w:eastAsia="Times New Roman" w:hAnsi="Arial" w:cs="Arial"/>
                <w:sz w:val="16"/>
                <w:szCs w:val="16"/>
                <w:lang w:eastAsia="es-CO"/>
              </w:rPr>
            </w:pPr>
            <w:r w:rsidRPr="00A46C61">
              <w:rPr>
                <w:rFonts w:ascii="Arial" w:eastAsia="Times New Roman" w:hAnsi="Arial" w:cs="Arial"/>
                <w:sz w:val="16"/>
                <w:szCs w:val="16"/>
                <w:lang w:eastAsia="es-CO"/>
              </w:rPr>
              <w:t>María Valeska Medellín Mora</w:t>
            </w:r>
          </w:p>
          <w:p w14:paraId="687ACED2" w14:textId="77777777" w:rsidR="00381D63" w:rsidRPr="00A46C61" w:rsidRDefault="00381D63" w:rsidP="00AE43E9">
            <w:pPr>
              <w:shd w:val="clear" w:color="auto" w:fill="FFFFFF" w:themeFill="background1"/>
              <w:spacing w:after="0" w:line="276" w:lineRule="auto"/>
              <w:jc w:val="both"/>
              <w:textAlignment w:val="baseline"/>
              <w:rPr>
                <w:rFonts w:ascii="Arial" w:eastAsia="Times New Roman" w:hAnsi="Arial" w:cs="Arial"/>
                <w:sz w:val="16"/>
                <w:szCs w:val="16"/>
                <w:lang w:eastAsia="es-CO"/>
              </w:rPr>
            </w:pPr>
            <w:r w:rsidRPr="00A46C61">
              <w:rPr>
                <w:rFonts w:ascii="Arial" w:eastAsia="Times New Roman" w:hAnsi="Arial" w:cs="Arial"/>
                <w:color w:val="000000"/>
                <w:sz w:val="16"/>
                <w:szCs w:val="16"/>
                <w:lang w:val="es-ES" w:eastAsia="es-CO"/>
              </w:rPr>
              <w:t>Gestor T1-15 de la Subdirección de Gestión Contractual</w:t>
            </w:r>
            <w:r w:rsidRPr="00A46C61">
              <w:rPr>
                <w:rFonts w:ascii="Arial" w:eastAsia="Times New Roman" w:hAnsi="Arial" w:cs="Arial"/>
                <w:color w:val="000000"/>
                <w:sz w:val="16"/>
                <w:szCs w:val="16"/>
                <w:lang w:eastAsia="es-CO"/>
              </w:rPr>
              <w:t> </w:t>
            </w:r>
          </w:p>
        </w:tc>
      </w:tr>
      <w:tr w:rsidR="00381D63" w:rsidRPr="00A46C61" w14:paraId="4F777E8B" w14:textId="77777777" w:rsidTr="00AE43E9">
        <w:trPr>
          <w:trHeight w:val="315"/>
        </w:trPr>
        <w:tc>
          <w:tcPr>
            <w:tcW w:w="810" w:type="dxa"/>
            <w:tcBorders>
              <w:top w:val="nil"/>
              <w:left w:val="nil"/>
              <w:bottom w:val="nil"/>
              <w:right w:val="nil"/>
            </w:tcBorders>
            <w:shd w:val="clear" w:color="auto" w:fill="auto"/>
            <w:vAlign w:val="center"/>
            <w:hideMark/>
          </w:tcPr>
          <w:p w14:paraId="7596AC1A" w14:textId="77777777" w:rsidR="00381D63" w:rsidRPr="00A46C61" w:rsidRDefault="00381D63" w:rsidP="00AE43E9">
            <w:pPr>
              <w:shd w:val="clear" w:color="auto" w:fill="FFFFFF" w:themeFill="background1"/>
              <w:spacing w:after="0" w:line="276" w:lineRule="auto"/>
              <w:jc w:val="both"/>
              <w:textAlignment w:val="baseline"/>
              <w:rPr>
                <w:rFonts w:ascii="Arial" w:eastAsia="Times New Roman" w:hAnsi="Arial" w:cs="Arial"/>
                <w:sz w:val="16"/>
                <w:szCs w:val="16"/>
                <w:lang w:eastAsia="es-CO"/>
              </w:rPr>
            </w:pPr>
            <w:r w:rsidRPr="00A46C61">
              <w:rPr>
                <w:rFonts w:ascii="Arial" w:eastAsia="Times New Roman" w:hAnsi="Arial" w:cs="Arial"/>
                <w:color w:val="000000"/>
                <w:sz w:val="16"/>
                <w:szCs w:val="16"/>
                <w:lang w:val="es-ES" w:eastAsia="es-CO"/>
              </w:rPr>
              <w:t>Revisó:</w:t>
            </w:r>
            <w:r w:rsidRPr="00A46C61">
              <w:rPr>
                <w:rFonts w:ascii="Arial" w:eastAsia="Times New Roman" w:hAnsi="Arial" w:cs="Arial"/>
                <w:color w:val="000000"/>
                <w:sz w:val="16"/>
                <w:szCs w:val="16"/>
                <w:lang w:eastAsia="es-CO"/>
              </w:rPr>
              <w:t> </w:t>
            </w:r>
          </w:p>
        </w:tc>
        <w:tc>
          <w:tcPr>
            <w:tcW w:w="4410" w:type="dxa"/>
            <w:tcBorders>
              <w:top w:val="dotted" w:sz="6" w:space="0" w:color="7F7F7F"/>
              <w:left w:val="nil"/>
              <w:bottom w:val="dotted" w:sz="6" w:space="0" w:color="7F7F7F"/>
              <w:right w:val="nil"/>
            </w:tcBorders>
            <w:shd w:val="clear" w:color="auto" w:fill="auto"/>
            <w:vAlign w:val="center"/>
            <w:hideMark/>
          </w:tcPr>
          <w:p w14:paraId="3055591B" w14:textId="77777777" w:rsidR="00381D63" w:rsidRPr="00A46C61" w:rsidRDefault="00381D63" w:rsidP="00AE43E9">
            <w:pPr>
              <w:shd w:val="clear" w:color="auto" w:fill="FFFFFF" w:themeFill="background1"/>
              <w:spacing w:after="0" w:line="276" w:lineRule="auto"/>
              <w:jc w:val="both"/>
              <w:textAlignment w:val="baseline"/>
              <w:rPr>
                <w:rFonts w:ascii="Arial" w:eastAsia="Times New Roman" w:hAnsi="Arial" w:cs="Arial"/>
                <w:color w:val="000000"/>
                <w:sz w:val="16"/>
                <w:szCs w:val="16"/>
                <w:lang w:val="es-ES" w:eastAsia="es-CO"/>
              </w:rPr>
            </w:pPr>
            <w:r w:rsidRPr="00A46C61">
              <w:rPr>
                <w:rFonts w:ascii="Arial" w:eastAsia="Times New Roman" w:hAnsi="Arial" w:cs="Arial"/>
                <w:color w:val="000000"/>
                <w:sz w:val="16"/>
                <w:szCs w:val="16"/>
                <w:lang w:val="es-ES" w:eastAsia="es-CO"/>
              </w:rPr>
              <w:t>Alejandro Sarmiento Cantillo</w:t>
            </w:r>
          </w:p>
          <w:p w14:paraId="55483DCB" w14:textId="77777777" w:rsidR="00381D63" w:rsidRPr="00A46C61" w:rsidRDefault="00381D63" w:rsidP="00AE43E9">
            <w:pPr>
              <w:shd w:val="clear" w:color="auto" w:fill="FFFFFF" w:themeFill="background1"/>
              <w:spacing w:after="0" w:line="276" w:lineRule="auto"/>
              <w:jc w:val="both"/>
              <w:textAlignment w:val="baseline"/>
              <w:rPr>
                <w:rFonts w:ascii="Arial" w:eastAsia="Times New Roman" w:hAnsi="Arial" w:cs="Arial"/>
                <w:sz w:val="16"/>
                <w:szCs w:val="16"/>
                <w:lang w:eastAsia="es-CO"/>
              </w:rPr>
            </w:pPr>
            <w:r w:rsidRPr="00A46C61">
              <w:rPr>
                <w:rFonts w:ascii="Arial" w:eastAsia="Times New Roman" w:hAnsi="Arial" w:cs="Arial"/>
                <w:color w:val="000000"/>
                <w:sz w:val="16"/>
                <w:szCs w:val="16"/>
                <w:lang w:val="es-ES" w:eastAsia="es-CO"/>
              </w:rPr>
              <w:t>Gestor T1-15 de la Subdirección de Gestión Contractual</w:t>
            </w:r>
            <w:r w:rsidRPr="00A46C61">
              <w:rPr>
                <w:rFonts w:ascii="Arial" w:eastAsia="Times New Roman" w:hAnsi="Arial" w:cs="Arial"/>
                <w:color w:val="000000"/>
                <w:sz w:val="16"/>
                <w:szCs w:val="16"/>
                <w:lang w:eastAsia="es-CO"/>
              </w:rPr>
              <w:t> </w:t>
            </w:r>
          </w:p>
        </w:tc>
      </w:tr>
      <w:tr w:rsidR="00381D63" w:rsidRPr="00A46C61" w14:paraId="3FE722C1" w14:textId="77777777" w:rsidTr="00AE43E9">
        <w:trPr>
          <w:trHeight w:val="300"/>
        </w:trPr>
        <w:tc>
          <w:tcPr>
            <w:tcW w:w="810" w:type="dxa"/>
            <w:tcBorders>
              <w:top w:val="nil"/>
              <w:left w:val="nil"/>
              <w:bottom w:val="nil"/>
              <w:right w:val="nil"/>
            </w:tcBorders>
            <w:shd w:val="clear" w:color="auto" w:fill="auto"/>
            <w:vAlign w:val="center"/>
            <w:hideMark/>
          </w:tcPr>
          <w:p w14:paraId="363E869E" w14:textId="77777777" w:rsidR="00381D63" w:rsidRPr="00A46C61" w:rsidRDefault="00381D63" w:rsidP="00AE43E9">
            <w:pPr>
              <w:shd w:val="clear" w:color="auto" w:fill="FFFFFF" w:themeFill="background1"/>
              <w:spacing w:after="0" w:line="276" w:lineRule="auto"/>
              <w:jc w:val="both"/>
              <w:textAlignment w:val="baseline"/>
              <w:rPr>
                <w:rFonts w:ascii="Arial" w:eastAsia="Times New Roman" w:hAnsi="Arial" w:cs="Arial"/>
                <w:sz w:val="16"/>
                <w:szCs w:val="16"/>
                <w:lang w:eastAsia="es-CO"/>
              </w:rPr>
            </w:pPr>
            <w:r w:rsidRPr="00A46C61">
              <w:rPr>
                <w:rFonts w:ascii="Arial" w:eastAsia="Times New Roman" w:hAnsi="Arial" w:cs="Arial"/>
                <w:color w:val="000000"/>
                <w:sz w:val="16"/>
                <w:szCs w:val="16"/>
                <w:lang w:val="es-ES" w:eastAsia="es-CO"/>
              </w:rPr>
              <w:t>Aprobó:</w:t>
            </w:r>
            <w:r w:rsidRPr="00A46C61">
              <w:rPr>
                <w:rFonts w:ascii="Arial" w:eastAsia="Times New Roman" w:hAnsi="Arial" w:cs="Arial"/>
                <w:color w:val="000000"/>
                <w:sz w:val="16"/>
                <w:szCs w:val="16"/>
                <w:lang w:eastAsia="es-CO"/>
              </w:rPr>
              <w:t> </w:t>
            </w:r>
          </w:p>
        </w:tc>
        <w:tc>
          <w:tcPr>
            <w:tcW w:w="4410" w:type="dxa"/>
            <w:tcBorders>
              <w:top w:val="dotted" w:sz="6" w:space="0" w:color="7F7F7F"/>
              <w:left w:val="nil"/>
              <w:bottom w:val="dotted" w:sz="6" w:space="0" w:color="7F7F7F"/>
              <w:right w:val="nil"/>
            </w:tcBorders>
            <w:shd w:val="clear" w:color="auto" w:fill="auto"/>
            <w:vAlign w:val="center"/>
            <w:hideMark/>
          </w:tcPr>
          <w:p w14:paraId="17BF395C" w14:textId="77777777" w:rsidR="00381D63" w:rsidRPr="00A46C61" w:rsidRDefault="00381D63" w:rsidP="00AE43E9">
            <w:pPr>
              <w:shd w:val="clear" w:color="auto" w:fill="FFFFFF" w:themeFill="background1"/>
              <w:spacing w:after="0" w:line="276" w:lineRule="auto"/>
              <w:textAlignment w:val="baseline"/>
              <w:rPr>
                <w:rFonts w:ascii="Arial" w:eastAsia="Times New Roman" w:hAnsi="Arial" w:cs="Arial"/>
                <w:sz w:val="16"/>
                <w:szCs w:val="16"/>
                <w:lang w:eastAsia="es-CO"/>
              </w:rPr>
            </w:pPr>
            <w:r w:rsidRPr="00A46C61">
              <w:rPr>
                <w:rFonts w:ascii="Arial" w:eastAsia="Times New Roman" w:hAnsi="Arial" w:cs="Arial"/>
                <w:color w:val="000000"/>
                <w:sz w:val="16"/>
                <w:szCs w:val="16"/>
                <w:lang w:eastAsia="es-CO"/>
              </w:rPr>
              <w:t>N</w:t>
            </w:r>
            <w:r w:rsidRPr="00A46C61">
              <w:rPr>
                <w:rFonts w:ascii="Arial" w:eastAsia="Times New Roman" w:hAnsi="Arial" w:cs="Arial"/>
                <w:sz w:val="16"/>
                <w:szCs w:val="16"/>
                <w:lang w:eastAsia="es-CO"/>
              </w:rPr>
              <w:t>ohelia del Carmen Zawady Palacio </w:t>
            </w:r>
          </w:p>
          <w:p w14:paraId="1E084FB9" w14:textId="77777777" w:rsidR="00381D63" w:rsidRPr="00A46C61" w:rsidRDefault="00381D63" w:rsidP="00AE43E9">
            <w:pPr>
              <w:shd w:val="clear" w:color="auto" w:fill="FFFFFF" w:themeFill="background1"/>
              <w:spacing w:after="0" w:line="276" w:lineRule="auto"/>
              <w:textAlignment w:val="baseline"/>
              <w:rPr>
                <w:rFonts w:ascii="Arial" w:eastAsia="Times New Roman" w:hAnsi="Arial" w:cs="Arial"/>
                <w:sz w:val="16"/>
                <w:szCs w:val="16"/>
                <w:lang w:eastAsia="es-CO"/>
              </w:rPr>
            </w:pPr>
            <w:r w:rsidRPr="00A46C61">
              <w:rPr>
                <w:rFonts w:ascii="Arial" w:eastAsia="Times New Roman" w:hAnsi="Arial" w:cs="Arial"/>
                <w:color w:val="000000"/>
                <w:sz w:val="16"/>
                <w:szCs w:val="16"/>
                <w:lang w:eastAsia="es-CO"/>
              </w:rPr>
              <w:t>Subdirectora de Gestión Contractual    </w:t>
            </w:r>
          </w:p>
        </w:tc>
      </w:tr>
      <w:bookmarkEnd w:id="1"/>
    </w:tbl>
    <w:p w14:paraId="212D28F2" w14:textId="77777777" w:rsidR="00381D63" w:rsidRPr="00AE43E9" w:rsidRDefault="00381D63" w:rsidP="00381D63">
      <w:pPr>
        <w:shd w:val="clear" w:color="auto" w:fill="FFFFFF" w:themeFill="background1"/>
        <w:spacing w:after="200" w:line="276" w:lineRule="auto"/>
        <w:jc w:val="both"/>
        <w:rPr>
          <w:rFonts w:ascii="Arial" w:hAnsi="Arial" w:cs="Arial"/>
          <w:sz w:val="24"/>
          <w:lang w:val="es-MX"/>
        </w:rPr>
      </w:pPr>
    </w:p>
    <w:p w14:paraId="5C8895CB" w14:textId="77777777" w:rsidR="00381D63" w:rsidRPr="00AE43E9" w:rsidRDefault="00381D63" w:rsidP="00381D63">
      <w:pPr>
        <w:shd w:val="clear" w:color="auto" w:fill="FFFFFF" w:themeFill="background1"/>
        <w:spacing w:after="0" w:line="276" w:lineRule="auto"/>
        <w:rPr>
          <w:rFonts w:ascii="Arial" w:hAnsi="Arial" w:cs="Arial"/>
        </w:rPr>
      </w:pPr>
    </w:p>
    <w:p w14:paraId="7EE76A54" w14:textId="77777777" w:rsidR="00381D63" w:rsidRPr="00AE43E9" w:rsidRDefault="00381D63" w:rsidP="00381D63">
      <w:pPr>
        <w:shd w:val="clear" w:color="auto" w:fill="FFFFFF" w:themeFill="background1"/>
        <w:spacing w:line="276" w:lineRule="auto"/>
        <w:rPr>
          <w:rFonts w:ascii="Arial" w:hAnsi="Arial" w:cs="Arial"/>
        </w:rPr>
      </w:pPr>
    </w:p>
    <w:p w14:paraId="0EE713B3" w14:textId="77777777" w:rsidR="00381D63" w:rsidRPr="00AE43E9" w:rsidRDefault="00381D63" w:rsidP="00381D63">
      <w:pPr>
        <w:rPr>
          <w:rFonts w:ascii="Arial" w:hAnsi="Arial" w:cs="Arial"/>
        </w:rPr>
      </w:pPr>
      <w:r w:rsidRPr="00AE43E9">
        <w:rPr>
          <w:rFonts w:ascii="Arial" w:hAnsi="Arial" w:cs="Arial"/>
        </w:rPr>
        <w:t xml:space="preserve"> </w:t>
      </w:r>
    </w:p>
    <w:p w14:paraId="50369321" w14:textId="77777777" w:rsidR="008E5C2E" w:rsidRPr="00381D63" w:rsidRDefault="008E5C2E" w:rsidP="00381D63"/>
    <w:sectPr w:rsidR="008E5C2E" w:rsidRPr="00381D63" w:rsidSect="0051250B">
      <w:headerReference w:type="default" r:id="rId15"/>
      <w:footerReference w:type="default" r:id="rId16"/>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E5109" w14:textId="77777777" w:rsidR="00BC0E0D" w:rsidRDefault="00BC0E0D" w:rsidP="00404A17">
      <w:pPr>
        <w:spacing w:after="0" w:line="240" w:lineRule="auto"/>
      </w:pPr>
      <w:r>
        <w:separator/>
      </w:r>
    </w:p>
  </w:endnote>
  <w:endnote w:type="continuationSeparator" w:id="0">
    <w:p w14:paraId="42CA116D" w14:textId="77777777" w:rsidR="00BC0E0D" w:rsidRDefault="00BC0E0D" w:rsidP="00404A17">
      <w:pPr>
        <w:spacing w:after="0" w:line="240" w:lineRule="auto"/>
      </w:pPr>
      <w:r>
        <w:continuationSeparator/>
      </w:r>
    </w:p>
  </w:endnote>
  <w:endnote w:type="continuationNotice" w:id="1">
    <w:p w14:paraId="19EB6F15" w14:textId="77777777" w:rsidR="00BC0E0D" w:rsidRDefault="00BC0E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8FDFC" w14:textId="77777777" w:rsidR="002D3D1A" w:rsidRDefault="00404A17">
    <w:pPr>
      <w:pStyle w:val="Piedepgina"/>
    </w:pPr>
    <w:r>
      <w:rPr>
        <w:noProof/>
      </w:rPr>
      <w:drawing>
        <wp:inline distT="0" distB="0" distL="0" distR="0" wp14:anchorId="083444B1" wp14:editId="583BE934">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0D6E64DB" wp14:editId="5F1FEDCA">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51250B" w:rsidRPr="00080DA3" w14:paraId="52C42280" w14:textId="77777777" w:rsidTr="0051250B">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6C4669F" w14:textId="77777777" w:rsidR="002D3D1A" w:rsidRPr="003F3941" w:rsidRDefault="00404A17" w:rsidP="0051250B">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07A18C7A" w14:textId="77777777" w:rsidR="002D3D1A" w:rsidRPr="003F3941" w:rsidRDefault="00404A17" w:rsidP="0051250B">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96DCF7" w14:textId="77777777" w:rsidR="002D3D1A" w:rsidRPr="003F3941" w:rsidRDefault="00404A17" w:rsidP="0051250B">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15</w:t>
          </w:r>
          <w:r w:rsidRPr="003F3941">
            <w:rPr>
              <w:rFonts w:ascii="Century Gothic" w:hAnsi="Century Gothic"/>
              <w:sz w:val="16"/>
              <w:szCs w:val="16"/>
            </w:rPr>
            <w:t xml:space="preserve"> DE </w:t>
          </w:r>
          <w:r>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5A7D5DC" w14:textId="77777777" w:rsidR="002D3D1A" w:rsidRPr="003F3941" w:rsidRDefault="00404A17" w:rsidP="0051250B">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1</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2</w:t>
          </w:r>
          <w:r w:rsidRPr="003F3941">
            <w:rPr>
              <w:rFonts w:ascii="Century Gothic" w:hAnsi="Century Gothic"/>
              <w:b/>
              <w:bCs/>
              <w:sz w:val="16"/>
              <w:szCs w:val="16"/>
            </w:rPr>
            <w:fldChar w:fldCharType="end"/>
          </w:r>
        </w:p>
      </w:tc>
    </w:tr>
  </w:tbl>
  <w:p w14:paraId="496C7093" w14:textId="77777777" w:rsidR="002D3D1A" w:rsidRDefault="002D3D1A" w:rsidP="005125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D5DA4" w14:textId="77777777" w:rsidR="00BC0E0D" w:rsidRDefault="00BC0E0D" w:rsidP="00404A17">
      <w:pPr>
        <w:spacing w:after="0" w:line="240" w:lineRule="auto"/>
      </w:pPr>
      <w:r>
        <w:separator/>
      </w:r>
    </w:p>
  </w:footnote>
  <w:footnote w:type="continuationSeparator" w:id="0">
    <w:p w14:paraId="022ABF03" w14:textId="77777777" w:rsidR="00BC0E0D" w:rsidRDefault="00BC0E0D" w:rsidP="00404A17">
      <w:pPr>
        <w:spacing w:after="0" w:line="240" w:lineRule="auto"/>
      </w:pPr>
      <w:r>
        <w:continuationSeparator/>
      </w:r>
    </w:p>
  </w:footnote>
  <w:footnote w:type="continuationNotice" w:id="1">
    <w:p w14:paraId="2831398E" w14:textId="77777777" w:rsidR="00BC0E0D" w:rsidRDefault="00BC0E0D">
      <w:pPr>
        <w:spacing w:after="0" w:line="240" w:lineRule="auto"/>
      </w:pPr>
    </w:p>
  </w:footnote>
  <w:footnote w:id="2">
    <w:p w14:paraId="422C41E7" w14:textId="4DEA92AC" w:rsidR="004E2625" w:rsidRPr="005E7BA4" w:rsidRDefault="004E2625" w:rsidP="004E2625">
      <w:pPr>
        <w:pStyle w:val="Textonotapie"/>
        <w:ind w:firstLine="709"/>
        <w:jc w:val="both"/>
        <w:rPr>
          <w:rFonts w:ascii="Arial" w:hAnsi="Arial" w:cs="Arial"/>
          <w:color w:val="000000"/>
          <w:sz w:val="19"/>
          <w:szCs w:val="19"/>
          <w:lang w:val="es-ES_tradnl"/>
        </w:rPr>
      </w:pPr>
    </w:p>
  </w:footnote>
  <w:footnote w:id="3">
    <w:p w14:paraId="71C1749D" w14:textId="77777777" w:rsidR="00381D63" w:rsidRPr="00B208E1" w:rsidRDefault="00381D63" w:rsidP="00381D63">
      <w:pPr>
        <w:pStyle w:val="Textonotapie"/>
        <w:ind w:firstLine="708"/>
        <w:contextualSpacing/>
        <w:jc w:val="both"/>
        <w:rPr>
          <w:rFonts w:ascii="Arial" w:hAnsi="Arial" w:cs="Arial"/>
          <w:sz w:val="14"/>
          <w:szCs w:val="14"/>
          <w:lang w:val="es-ES"/>
        </w:rPr>
      </w:pPr>
      <w:r w:rsidRPr="00B208E1">
        <w:rPr>
          <w:rFonts w:ascii="Arial" w:eastAsia="Calibri" w:hAnsi="Arial" w:cs="Arial"/>
          <w:sz w:val="14"/>
          <w:szCs w:val="14"/>
          <w:vertAlign w:val="superscript"/>
          <w:lang w:val="es-ES" w:eastAsia="es-ES_tradnl"/>
        </w:rPr>
        <w:footnoteRef/>
      </w:r>
      <w:r w:rsidRPr="00B208E1">
        <w:rPr>
          <w:rFonts w:ascii="Arial" w:eastAsia="Calibri" w:hAnsi="Arial" w:cs="Arial"/>
          <w:sz w:val="14"/>
          <w:szCs w:val="14"/>
          <w:lang w:val="es-ES" w:eastAsia="es-ES_tradnl"/>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ibidem 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4">
    <w:p w14:paraId="25A3A7DE" w14:textId="77777777" w:rsidR="00381D63" w:rsidRPr="005E7BA4" w:rsidRDefault="00381D63" w:rsidP="00381D63">
      <w:pPr>
        <w:pStyle w:val="Textonotapie"/>
        <w:ind w:firstLine="709"/>
        <w:jc w:val="both"/>
        <w:rPr>
          <w:rFonts w:ascii="Arial" w:hAnsi="Arial" w:cs="Arial"/>
          <w:color w:val="000000"/>
          <w:sz w:val="19"/>
          <w:szCs w:val="19"/>
        </w:rPr>
      </w:pPr>
      <w:r w:rsidRPr="005E7BA4">
        <w:rPr>
          <w:rStyle w:val="Refdenotaalpie"/>
          <w:rFonts w:ascii="Arial" w:hAnsi="Arial" w:cs="Arial"/>
          <w:color w:val="000000"/>
          <w:sz w:val="19"/>
          <w:szCs w:val="19"/>
        </w:rPr>
        <w:footnoteRef/>
      </w:r>
      <w:r w:rsidRPr="005E7BA4">
        <w:rPr>
          <w:rFonts w:ascii="Arial" w:hAnsi="Arial" w:cs="Arial"/>
          <w:color w:val="000000"/>
          <w:sz w:val="19"/>
          <w:szCs w:val="19"/>
        </w:rPr>
        <w:t xml:space="preserve"> Al respecto, la jurisprudencia explica que </w:t>
      </w:r>
      <w:r>
        <w:rPr>
          <w:rFonts w:ascii="Arial" w:hAnsi="Arial" w:cs="Arial"/>
          <w:color w:val="000000"/>
          <w:sz w:val="19"/>
          <w:szCs w:val="19"/>
        </w:rPr>
        <w:t>“</w:t>
      </w:r>
      <w:r w:rsidRPr="005E7BA4">
        <w:rPr>
          <w:rFonts w:ascii="Arial" w:hAnsi="Arial" w:cs="Arial"/>
          <w:color w:val="000000"/>
          <w:sz w:val="19"/>
          <w:szCs w:val="19"/>
        </w:rPr>
        <w:t>[…] los contratos sin formalidades plenas no están previstos por la legislación nacional, pues […] el parágrafo del artículo 39 de la Ley 80 de 1993 fue derogado por el artículo 32 de la Ley 1150 de 2007. Ahora se les denomina contratos de mínima cuantía y se encuentran regulados por los artículos 2 de la Ley 1150 de 2007 y 94 de la Ley 1474 de 2011 […];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 (CONSEJO DE ESTADO. Sección Tercera. Subsección A. Sentencia del 3 de octubre de 2012. Exp. 26.140. C.P. Carlos Alberto Zambrano Barrera).</w:t>
      </w:r>
    </w:p>
    <w:p w14:paraId="126BBACE" w14:textId="77777777" w:rsidR="00381D63" w:rsidRPr="005E7BA4" w:rsidRDefault="00381D63" w:rsidP="00381D63">
      <w:pPr>
        <w:pStyle w:val="Textonotapie"/>
        <w:ind w:firstLine="709"/>
        <w:jc w:val="both"/>
        <w:rPr>
          <w:rFonts w:ascii="Arial" w:hAnsi="Arial" w:cs="Arial"/>
          <w:color w:val="000000"/>
          <w:sz w:val="19"/>
          <w:szCs w:val="19"/>
        </w:rPr>
      </w:pPr>
    </w:p>
  </w:footnote>
  <w:footnote w:id="5">
    <w:p w14:paraId="49EA2B6E" w14:textId="77777777" w:rsidR="00381D63" w:rsidRPr="005E7BA4" w:rsidRDefault="00381D63" w:rsidP="00381D63">
      <w:pPr>
        <w:pStyle w:val="Textonotapie"/>
        <w:ind w:firstLine="709"/>
        <w:jc w:val="both"/>
        <w:rPr>
          <w:rFonts w:ascii="Arial" w:hAnsi="Arial" w:cs="Arial"/>
          <w:color w:val="000000"/>
          <w:sz w:val="19"/>
          <w:szCs w:val="19"/>
        </w:rPr>
      </w:pPr>
      <w:r w:rsidRPr="005E7BA4">
        <w:rPr>
          <w:rStyle w:val="Refdenotaalpie"/>
          <w:rFonts w:ascii="Arial" w:hAnsi="Arial" w:cs="Arial"/>
          <w:color w:val="000000"/>
          <w:sz w:val="19"/>
          <w:szCs w:val="19"/>
        </w:rPr>
        <w:footnoteRef/>
      </w:r>
      <w:r w:rsidRPr="005E7BA4">
        <w:rPr>
          <w:rFonts w:ascii="Arial" w:hAnsi="Arial" w:cs="Arial"/>
          <w:color w:val="000000"/>
          <w:sz w:val="19"/>
          <w:szCs w:val="19"/>
        </w:rPr>
        <w:t xml:space="preserve"> Ambas normas disponen lo siguiente: </w:t>
      </w:r>
      <w:r>
        <w:rPr>
          <w:rFonts w:ascii="Arial" w:hAnsi="Arial" w:cs="Arial"/>
          <w:color w:val="000000"/>
          <w:sz w:val="19"/>
          <w:szCs w:val="19"/>
        </w:rPr>
        <w:t>“</w:t>
      </w:r>
      <w:r w:rsidRPr="005E7BA4">
        <w:rPr>
          <w:rFonts w:ascii="Arial" w:hAnsi="Arial" w:cs="Arial"/>
          <w:color w:val="000000"/>
          <w:sz w:val="19"/>
          <w:szCs w:val="19"/>
        </w:rPr>
        <w:t>5) Contratación mínima cuantía. La contratación cuyo valor no excede del 10 por ciento de la menor cuantía de la entidad independientemente de su objeto, se efectuará de conformidad con las siguientes reglas:</w:t>
      </w:r>
    </w:p>
    <w:p w14:paraId="3790F673" w14:textId="77777777" w:rsidR="00381D63" w:rsidRPr="005E7BA4" w:rsidRDefault="00381D63" w:rsidP="00381D63">
      <w:pPr>
        <w:pStyle w:val="Textonotapie"/>
        <w:ind w:firstLine="709"/>
        <w:jc w:val="both"/>
        <w:rPr>
          <w:rFonts w:ascii="Arial" w:hAnsi="Arial" w:cs="Arial"/>
          <w:color w:val="000000"/>
          <w:sz w:val="19"/>
          <w:szCs w:val="19"/>
        </w:rPr>
      </w:pPr>
      <w:r w:rsidRPr="005E7BA4">
        <w:rPr>
          <w:rFonts w:ascii="Arial" w:hAnsi="Arial" w:cs="Arial"/>
          <w:color w:val="000000"/>
          <w:sz w:val="19"/>
          <w:szCs w:val="19"/>
        </w:rPr>
        <w:t>»a) Se publicará una invitación, por un término no inferior a un día hábil, en la cual se señalará el objeto a contratar, el presupuesto destinado para tal fin, así como las condiciones técnicas exigidas;</w:t>
      </w:r>
    </w:p>
    <w:p w14:paraId="4F4B6B4C" w14:textId="77777777" w:rsidR="00381D63" w:rsidRPr="005E7BA4" w:rsidRDefault="00381D63" w:rsidP="00381D63">
      <w:pPr>
        <w:pStyle w:val="Textonotapie"/>
        <w:ind w:firstLine="709"/>
        <w:jc w:val="both"/>
        <w:rPr>
          <w:rFonts w:ascii="Arial" w:hAnsi="Arial" w:cs="Arial"/>
          <w:color w:val="000000"/>
          <w:sz w:val="19"/>
          <w:szCs w:val="19"/>
        </w:rPr>
      </w:pPr>
      <w:r w:rsidRPr="005E7BA4">
        <w:rPr>
          <w:rFonts w:ascii="Arial" w:hAnsi="Arial" w:cs="Arial"/>
          <w:color w:val="000000"/>
          <w:sz w:val="19"/>
          <w:szCs w:val="19"/>
        </w:rPr>
        <w:t>»b) El término previsto en la invitación para presentar la oferta no podrá ser inferior a un día hábil;</w:t>
      </w:r>
    </w:p>
    <w:p w14:paraId="1B60346E" w14:textId="77777777" w:rsidR="00381D63" w:rsidRPr="005E7BA4" w:rsidRDefault="00381D63" w:rsidP="00381D63">
      <w:pPr>
        <w:pStyle w:val="Textonotapie"/>
        <w:ind w:firstLine="709"/>
        <w:jc w:val="both"/>
        <w:rPr>
          <w:rFonts w:ascii="Arial" w:hAnsi="Arial" w:cs="Arial"/>
          <w:color w:val="000000"/>
          <w:sz w:val="19"/>
          <w:szCs w:val="19"/>
        </w:rPr>
      </w:pPr>
      <w:r w:rsidRPr="005E7BA4">
        <w:rPr>
          <w:rFonts w:ascii="Arial" w:hAnsi="Arial" w:cs="Arial"/>
          <w:color w:val="000000"/>
          <w:sz w:val="19"/>
          <w:szCs w:val="19"/>
        </w:rPr>
        <w:t>»c) La entidad seleccionará, mediante comunicación de aceptación de la oferta, la propuesta con el menor precio, siempre y cuando cumpla con las condiciones exigidas;</w:t>
      </w:r>
    </w:p>
    <w:p w14:paraId="54C81010" w14:textId="77777777" w:rsidR="00381D63" w:rsidRPr="005E7BA4" w:rsidRDefault="00381D63" w:rsidP="00381D63">
      <w:pPr>
        <w:pStyle w:val="Textonotapie"/>
        <w:ind w:firstLine="709"/>
        <w:jc w:val="both"/>
        <w:rPr>
          <w:rFonts w:ascii="Arial" w:hAnsi="Arial" w:cs="Arial"/>
          <w:color w:val="000000"/>
          <w:sz w:val="19"/>
          <w:szCs w:val="19"/>
          <w:lang w:val="es-ES"/>
        </w:rPr>
      </w:pPr>
      <w:r w:rsidRPr="005E7BA4">
        <w:rPr>
          <w:rFonts w:ascii="Arial" w:hAnsi="Arial" w:cs="Arial"/>
          <w:color w:val="000000"/>
          <w:sz w:val="19"/>
          <w:szCs w:val="19"/>
        </w:rPr>
        <w:t>»d) La comunicación de aceptación junto con la oferta constituye para todos los efectos el contrato celebrado, con base en lo cual se efectuará el respectivo registro presupuestal».</w:t>
      </w:r>
    </w:p>
  </w:footnote>
  <w:footnote w:id="6">
    <w:p w14:paraId="1A1D272F" w14:textId="77777777" w:rsidR="00381D63" w:rsidRDefault="00381D63" w:rsidP="00381D63">
      <w:pPr>
        <w:pStyle w:val="Textonotapie"/>
        <w:ind w:firstLine="708"/>
        <w:jc w:val="both"/>
        <w:rPr>
          <w:rFonts w:ascii="Arial" w:hAnsi="Arial" w:cs="Arial"/>
          <w:sz w:val="19"/>
          <w:szCs w:val="19"/>
        </w:rPr>
      </w:pPr>
      <w:r>
        <w:rPr>
          <w:rStyle w:val="Refdenotaalpie"/>
          <w:rFonts w:ascii="Arial" w:hAnsi="Arial" w:cs="Arial"/>
          <w:sz w:val="19"/>
          <w:szCs w:val="19"/>
        </w:rPr>
        <w:footnoteRef/>
      </w:r>
      <w:r>
        <w:rPr>
          <w:rFonts w:ascii="Arial" w:hAnsi="Arial" w:cs="Arial"/>
          <w:sz w:val="19"/>
          <w:szCs w:val="19"/>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bookmarkStart w:id="11" w:name="_Hlk94513421"/>
      <w:r>
        <w:rPr>
          <w:rFonts w:ascii="Arial" w:hAnsi="Arial" w:cs="Arial"/>
          <w:sz w:val="19"/>
          <w:szCs w:val="19"/>
        </w:rPr>
        <w:t>»</w:t>
      </w:r>
      <w:bookmarkEnd w:id="11"/>
      <w:r>
        <w:rPr>
          <w:rFonts w:ascii="Arial" w:hAnsi="Arial" w:cs="Arial"/>
          <w:sz w:val="19"/>
          <w:szCs w:val="19"/>
        </w:rPr>
        <w:t>.</w:t>
      </w:r>
    </w:p>
  </w:footnote>
  <w:footnote w:id="7">
    <w:p w14:paraId="6B74E2BB"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Style w:val="Refdenotaalpie"/>
          <w:rFonts w:ascii="Arial" w:hAnsi="Arial" w:cs="Arial"/>
          <w:color w:val="000000"/>
          <w:sz w:val="19"/>
          <w:szCs w:val="19"/>
          <w:lang w:val="es-ES_tradnl"/>
        </w:rPr>
        <w:footnoteRef/>
      </w:r>
      <w:r w:rsidRPr="005E7BA4">
        <w:rPr>
          <w:rFonts w:ascii="Arial" w:hAnsi="Arial" w:cs="Arial"/>
          <w:color w:val="000000"/>
          <w:sz w:val="19"/>
          <w:szCs w:val="19"/>
          <w:lang w:val="es-ES_tradnl"/>
        </w:rPr>
        <w:t xml:space="preserve"> Esto lo ratifica el artículo 2.2.1.2.1.5.2. del Decreto 1082 de 2015.</w:t>
      </w:r>
    </w:p>
    <w:p w14:paraId="7E2B03A9" w14:textId="77777777" w:rsidR="00381D63" w:rsidRPr="005E7BA4" w:rsidRDefault="00381D63" w:rsidP="00381D63">
      <w:pPr>
        <w:pStyle w:val="Textonotapie"/>
        <w:ind w:firstLine="709"/>
        <w:jc w:val="both"/>
        <w:rPr>
          <w:rFonts w:ascii="Arial" w:hAnsi="Arial" w:cs="Arial"/>
          <w:color w:val="000000"/>
          <w:sz w:val="19"/>
          <w:szCs w:val="19"/>
          <w:lang w:val="es-ES_tradnl"/>
        </w:rPr>
      </w:pPr>
    </w:p>
  </w:footnote>
  <w:footnote w:id="8">
    <w:p w14:paraId="5338619B"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Style w:val="Refdenotaalpie"/>
          <w:rFonts w:ascii="Arial" w:hAnsi="Arial" w:cs="Arial"/>
          <w:color w:val="000000"/>
          <w:sz w:val="19"/>
          <w:szCs w:val="19"/>
          <w:lang w:val="es-ES_tradnl"/>
        </w:rPr>
        <w:footnoteRef/>
      </w:r>
      <w:r w:rsidRPr="005E7BA4">
        <w:rPr>
          <w:rFonts w:ascii="Arial" w:hAnsi="Arial" w:cs="Arial"/>
          <w:color w:val="000000"/>
          <w:sz w:val="19"/>
          <w:szCs w:val="19"/>
          <w:lang w:val="es-ES_tradnl"/>
        </w:rPr>
        <w:t xml:space="preserve"> DÁVILA VINUEZA, Luis Guillermo. Régimen jurídico de la contratación estatal. 3ª ed. Bogotá: Legis, 2016. p. 463.</w:t>
      </w:r>
    </w:p>
    <w:p w14:paraId="350550D9" w14:textId="77777777" w:rsidR="00381D63" w:rsidRPr="005E7BA4" w:rsidRDefault="00381D63" w:rsidP="00381D63">
      <w:pPr>
        <w:pStyle w:val="Textonotapie"/>
        <w:ind w:firstLine="709"/>
        <w:jc w:val="both"/>
        <w:rPr>
          <w:rFonts w:ascii="Arial" w:hAnsi="Arial" w:cs="Arial"/>
          <w:color w:val="000000"/>
          <w:sz w:val="19"/>
          <w:szCs w:val="19"/>
          <w:lang w:val="es-ES_tradnl"/>
        </w:rPr>
      </w:pPr>
    </w:p>
  </w:footnote>
  <w:footnote w:id="9">
    <w:p w14:paraId="27FB70FF"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Style w:val="Refdenotaalpie"/>
          <w:rFonts w:ascii="Arial" w:hAnsi="Arial" w:cs="Arial"/>
          <w:color w:val="000000"/>
          <w:sz w:val="19"/>
          <w:szCs w:val="19"/>
          <w:lang w:val="es-ES_tradnl"/>
        </w:rPr>
        <w:footnoteRef/>
      </w:r>
      <w:r w:rsidRPr="005E7BA4">
        <w:rPr>
          <w:rFonts w:ascii="Arial" w:hAnsi="Arial" w:cs="Arial"/>
          <w:color w:val="000000"/>
          <w:sz w:val="19"/>
          <w:szCs w:val="19"/>
          <w:lang w:val="es-ES_tradnl"/>
        </w:rPr>
        <w:t xml:space="preserve"> La contratación de mínima cuantía es aquella que no excede el 10% de la menor cuantía, o sea, que no supera el 10% de los topes definidos en el artículo 2, numeral 2, literal b) de la Ley 1150 de 2007, que dispone: </w:t>
      </w:r>
      <w:r>
        <w:rPr>
          <w:rFonts w:ascii="Arial" w:hAnsi="Arial" w:cs="Arial"/>
          <w:color w:val="000000"/>
          <w:sz w:val="19"/>
          <w:szCs w:val="19"/>
          <w:lang w:val="es-ES_tradnl"/>
        </w:rPr>
        <w:t>“</w:t>
      </w:r>
      <w:r w:rsidRPr="005E7BA4">
        <w:rPr>
          <w:rFonts w:ascii="Arial" w:hAnsi="Arial" w:cs="Arial"/>
          <w:color w:val="000000"/>
          <w:sz w:val="19"/>
          <w:szCs w:val="19"/>
          <w:lang w:val="es-ES_tradnl"/>
        </w:rPr>
        <w:t>Se entenderá por menor cuantía los valores que a continuación se relacionan, determinados en función de los presupuestos anuales de las entidades públicas expresados en salarios mínimos legales mensuales.</w:t>
      </w:r>
    </w:p>
    <w:p w14:paraId="742AAA25"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Fonts w:ascii="Arial" w:hAnsi="Arial" w:cs="Arial"/>
          <w:color w:val="000000"/>
          <w:sz w:val="19"/>
          <w:szCs w:val="19"/>
          <w:lang w:val="es-ES_tradnl"/>
        </w:rPr>
        <w:t>»Para las entidades que tengan un presupuesto anual superior o igual a 1.200.000 salarios mínimos legales mensuales, la menor cuantía será hasta 1.000 salarios mínimos legales mensuales.</w:t>
      </w:r>
    </w:p>
    <w:p w14:paraId="23CE4089"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Fonts w:ascii="Arial" w:hAnsi="Arial" w:cs="Arial"/>
          <w:color w:val="000000"/>
          <w:sz w:val="19"/>
          <w:szCs w:val="19"/>
          <w:lang w:val="es-ES_tradnl"/>
        </w:rPr>
        <w:t>»Las que tengan un presupuesto anual superior o igual a 850.000 salarios mínimos legales mensuales e inferiores a 1.200.000 salarios mínimos legales mensuales, la menor cuantía será hasta 850 salarios mínimos legales mensuales.</w:t>
      </w:r>
    </w:p>
    <w:p w14:paraId="3A8E7B3F"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Fonts w:ascii="Arial" w:hAnsi="Arial" w:cs="Arial"/>
          <w:color w:val="000000"/>
          <w:sz w:val="19"/>
          <w:szCs w:val="19"/>
          <w:lang w:val="es-ES_tradnl"/>
        </w:rPr>
        <w:t>»Las que tengan un presupuesto anual superior o igual a 400.000 salarios mínimos legales mensuales e inferior a 850.000 salarios mínimos legales mensuales, la menor cuantía será hasta 650 salarios mínimos legales mensuales.</w:t>
      </w:r>
    </w:p>
    <w:p w14:paraId="071AF190"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Fonts w:ascii="Arial" w:hAnsi="Arial" w:cs="Arial"/>
          <w:color w:val="000000"/>
          <w:sz w:val="19"/>
          <w:szCs w:val="19"/>
          <w:lang w:val="es-ES_tradnl"/>
        </w:rPr>
        <w:t>»Las que tengan un presupuesto anual superior o igual a 120.000 salarios mínimos legales mensuales e inferior a 400.000 salarios mínimos legales mensuales, la menor cuantía será hasta 450 salarios mínimos legales mensuales.</w:t>
      </w:r>
    </w:p>
    <w:p w14:paraId="2FB1D457"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Fonts w:ascii="Arial" w:hAnsi="Arial" w:cs="Arial"/>
          <w:color w:val="000000"/>
          <w:sz w:val="19"/>
          <w:szCs w:val="19"/>
          <w:lang w:val="es-ES_tradnl"/>
        </w:rPr>
        <w:t>»Las que tengan un presupuesto anual inferior a 120.000 salarios mínimos legales mensuales, la menor cuantía será hasta 280 salarios mínimos legales mensuales».</w:t>
      </w:r>
    </w:p>
  </w:footnote>
  <w:footnote w:id="10">
    <w:p w14:paraId="542BDBD4" w14:textId="77777777" w:rsidR="00381D63" w:rsidRPr="009E479B" w:rsidRDefault="00381D63" w:rsidP="00381D63">
      <w:pPr>
        <w:pStyle w:val="Textonotapie"/>
        <w:ind w:firstLine="709"/>
        <w:jc w:val="both"/>
        <w:rPr>
          <w:rFonts w:ascii="Arial" w:hAnsi="Arial" w:cs="Arial"/>
          <w:sz w:val="19"/>
          <w:szCs w:val="19"/>
        </w:rPr>
      </w:pPr>
      <w:r>
        <w:rPr>
          <w:rStyle w:val="Refdenotaalpie"/>
        </w:rPr>
        <w:footnoteRef/>
      </w:r>
      <w:r>
        <w:t xml:space="preserve"> </w:t>
      </w:r>
      <w:r>
        <w:rPr>
          <w:rFonts w:ascii="Arial" w:hAnsi="Arial" w:cs="Arial"/>
          <w:color w:val="000000"/>
          <w:sz w:val="19"/>
          <w:szCs w:val="19"/>
          <w:lang w:val="es-ES_tradnl"/>
        </w:rPr>
        <w:t>“</w:t>
      </w:r>
      <w:r>
        <w:rPr>
          <w:rFonts w:ascii="Arial" w:hAnsi="Arial" w:cs="Arial"/>
          <w:sz w:val="19"/>
          <w:szCs w:val="19"/>
        </w:rPr>
        <w:t>A</w:t>
      </w:r>
      <w:r w:rsidRPr="009E479B">
        <w:rPr>
          <w:rFonts w:ascii="Arial" w:hAnsi="Arial" w:cs="Arial"/>
          <w:sz w:val="19"/>
          <w:szCs w:val="19"/>
        </w:rPr>
        <w:t xml:space="preserve">rtículo 6. </w:t>
      </w:r>
      <w:r>
        <w:rPr>
          <w:rFonts w:ascii="Arial" w:hAnsi="Arial" w:cs="Arial"/>
          <w:sz w:val="19"/>
          <w:szCs w:val="19"/>
        </w:rPr>
        <w:t>D</w:t>
      </w:r>
      <w:r w:rsidRPr="009E479B">
        <w:rPr>
          <w:rFonts w:ascii="Arial" w:hAnsi="Arial" w:cs="Arial"/>
          <w:sz w:val="19"/>
          <w:szCs w:val="19"/>
        </w:rPr>
        <w:t>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19D4622" w14:textId="77777777" w:rsidR="00381D63" w:rsidRPr="004A73E3" w:rsidRDefault="00381D63" w:rsidP="00381D63">
      <w:pPr>
        <w:pStyle w:val="Textonotapie"/>
        <w:ind w:firstLine="709"/>
        <w:jc w:val="both"/>
        <w:rPr>
          <w:lang w:val="es-CO"/>
        </w:rPr>
      </w:pPr>
      <w:r w:rsidRPr="005E7BA4">
        <w:rPr>
          <w:rFonts w:ascii="Arial" w:hAnsi="Arial" w:cs="Arial"/>
          <w:color w:val="000000"/>
          <w:sz w:val="19"/>
          <w:szCs w:val="19"/>
          <w:lang w:val="es-ES_tradnl"/>
        </w:rPr>
        <w:t>»</w:t>
      </w:r>
      <w:r w:rsidRPr="009E479B">
        <w:rPr>
          <w:rFonts w:ascii="Arial" w:hAnsi="Arial" w:cs="Arial"/>
          <w:sz w:val="19"/>
          <w:szCs w:val="19"/>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5E7BA4">
        <w:rPr>
          <w:rFonts w:ascii="Arial" w:hAnsi="Arial" w:cs="Arial"/>
          <w:color w:val="000000"/>
          <w:sz w:val="19"/>
          <w:szCs w:val="19"/>
          <w:lang w:val="es-ES_tradnl"/>
        </w:rPr>
        <w:t xml:space="preserve"> […]»</w:t>
      </w:r>
    </w:p>
  </w:footnote>
  <w:footnote w:id="11">
    <w:p w14:paraId="79985253" w14:textId="77777777" w:rsidR="00381D63" w:rsidRPr="001C72E7" w:rsidRDefault="00381D63" w:rsidP="00381D63">
      <w:pPr>
        <w:pStyle w:val="Textonotapie"/>
        <w:ind w:firstLine="708"/>
        <w:jc w:val="both"/>
        <w:rPr>
          <w:rFonts w:ascii="Arial" w:hAnsi="Arial" w:cs="Arial"/>
          <w:sz w:val="19"/>
          <w:szCs w:val="19"/>
        </w:rPr>
      </w:pPr>
      <w:r w:rsidRPr="001C72E7">
        <w:rPr>
          <w:rStyle w:val="Refdenotaalpie"/>
          <w:rFonts w:ascii="Arial" w:hAnsi="Arial" w:cs="Arial"/>
          <w:sz w:val="19"/>
          <w:szCs w:val="19"/>
        </w:rPr>
        <w:footnoteRef/>
      </w:r>
      <w:r w:rsidRPr="001C72E7">
        <w:rPr>
          <w:rFonts w:ascii="Arial" w:hAnsi="Arial" w:cs="Arial"/>
          <w:sz w:val="19"/>
          <w:szCs w:val="19"/>
        </w:rPr>
        <w:t xml:space="preserve"> </w:t>
      </w:r>
      <w:r>
        <w:rPr>
          <w:rFonts w:ascii="Arial" w:hAnsi="Arial" w:cs="Arial"/>
          <w:sz w:val="19"/>
          <w:szCs w:val="19"/>
        </w:rPr>
        <w:t>“</w:t>
      </w:r>
      <w:r w:rsidRPr="001C72E7">
        <w:rPr>
          <w:rFonts w:ascii="Arial" w:hAnsi="Arial" w:cs="Arial"/>
          <w:sz w:val="19"/>
          <w:szCs w:val="19"/>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639B4165" w14:textId="77777777" w:rsidR="00381D63" w:rsidRPr="001C72E7" w:rsidRDefault="00381D63" w:rsidP="00381D63">
      <w:pPr>
        <w:pStyle w:val="Textonotapie"/>
        <w:ind w:firstLine="708"/>
        <w:jc w:val="both"/>
        <w:rPr>
          <w:rFonts w:ascii="Arial" w:hAnsi="Arial" w:cs="Arial"/>
          <w:sz w:val="19"/>
          <w:szCs w:val="19"/>
        </w:rPr>
      </w:pPr>
    </w:p>
  </w:footnote>
  <w:footnote w:id="12">
    <w:p w14:paraId="5628BAA6" w14:textId="77777777" w:rsidR="00381D63" w:rsidRPr="005E7BA4" w:rsidRDefault="00381D63" w:rsidP="00381D63">
      <w:pPr>
        <w:pStyle w:val="Textonotapie"/>
        <w:ind w:firstLine="709"/>
        <w:jc w:val="both"/>
        <w:rPr>
          <w:rFonts w:ascii="Arial" w:hAnsi="Arial" w:cs="Arial"/>
          <w:color w:val="000000"/>
          <w:sz w:val="19"/>
          <w:szCs w:val="19"/>
          <w:lang w:val="es-ES_tradnl"/>
        </w:rPr>
      </w:pPr>
      <w:r w:rsidRPr="005E7BA4">
        <w:rPr>
          <w:rStyle w:val="Refdenotaalpie"/>
          <w:rFonts w:ascii="Arial" w:hAnsi="Arial" w:cs="Arial"/>
          <w:color w:val="000000"/>
          <w:sz w:val="19"/>
          <w:szCs w:val="19"/>
          <w:lang w:val="es-ES_tradnl"/>
        </w:rPr>
        <w:footnoteRef/>
      </w:r>
      <w:r w:rsidRPr="005E7BA4">
        <w:rPr>
          <w:rFonts w:ascii="Arial" w:hAnsi="Arial" w:cs="Arial"/>
          <w:color w:val="000000"/>
          <w:sz w:val="19"/>
          <w:szCs w:val="19"/>
          <w:lang w:val="es-ES_tradnl"/>
        </w:rPr>
        <w:t xml:space="preserve"> Como lo indica la doctrina, en la mínima cuantía </w:t>
      </w:r>
      <w:r>
        <w:rPr>
          <w:rFonts w:ascii="Arial" w:hAnsi="Arial" w:cs="Arial"/>
          <w:color w:val="000000"/>
          <w:sz w:val="19"/>
          <w:szCs w:val="19"/>
          <w:lang w:val="es-ES_tradnl"/>
        </w:rPr>
        <w:t>“</w:t>
      </w:r>
      <w:r w:rsidRPr="005E7BA4">
        <w:rPr>
          <w:rFonts w:ascii="Arial" w:hAnsi="Arial" w:cs="Arial"/>
          <w:color w:val="000000"/>
          <w:sz w:val="19"/>
          <w:szCs w:val="19"/>
          <w:lang w:val="es-ES_tradnl"/>
        </w:rPr>
        <w:t xml:space="preserve">El precio es el factor de selección del proponente. Es decir, la </w:t>
      </w:r>
      <w:r w:rsidRPr="005E7BA4">
        <w:rPr>
          <w:rFonts w:ascii="Arial" w:hAnsi="Arial" w:cs="Arial"/>
          <w:i/>
          <w:iCs/>
          <w:color w:val="000000"/>
          <w:sz w:val="19"/>
          <w:szCs w:val="19"/>
          <w:lang w:val="es-ES_tradnl"/>
        </w:rPr>
        <w:t>entidad estatal</w:t>
      </w:r>
      <w:r w:rsidRPr="005E7BA4">
        <w:rPr>
          <w:rFonts w:ascii="Arial" w:hAnsi="Arial" w:cs="Arial"/>
          <w:color w:val="000000"/>
          <w:sz w:val="19"/>
          <w:szCs w:val="19"/>
          <w:lang w:val="es-ES_tradnl"/>
        </w:rPr>
        <w:t xml:space="preserve"> debe adjudicar el </w:t>
      </w:r>
      <w:r w:rsidRPr="005E7BA4">
        <w:rPr>
          <w:rFonts w:ascii="Arial" w:hAnsi="Arial" w:cs="Arial"/>
          <w:i/>
          <w:iCs/>
          <w:color w:val="000000"/>
          <w:sz w:val="19"/>
          <w:szCs w:val="19"/>
          <w:lang w:val="es-ES_tradnl"/>
        </w:rPr>
        <w:t>proceso de contratación</w:t>
      </w:r>
      <w:r w:rsidRPr="005E7BA4">
        <w:rPr>
          <w:rFonts w:ascii="Arial" w:hAnsi="Arial" w:cs="Arial"/>
          <w:color w:val="000000"/>
          <w:sz w:val="19"/>
          <w:szCs w:val="19"/>
          <w:lang w:val="es-ES_tradnl"/>
        </w:rPr>
        <w:t xml:space="preserve"> al oferente que cumpla con todas las condiciones exigidas por la </w:t>
      </w:r>
      <w:r w:rsidRPr="005E7BA4">
        <w:rPr>
          <w:rFonts w:ascii="Arial" w:hAnsi="Arial" w:cs="Arial"/>
          <w:i/>
          <w:iCs/>
          <w:color w:val="000000"/>
          <w:sz w:val="19"/>
          <w:szCs w:val="19"/>
          <w:lang w:val="es-ES_tradnl"/>
        </w:rPr>
        <w:t>entidad estatal</w:t>
      </w:r>
      <w:r w:rsidRPr="005E7BA4">
        <w:rPr>
          <w:rFonts w:ascii="Arial" w:hAnsi="Arial" w:cs="Arial"/>
          <w:color w:val="000000"/>
          <w:sz w:val="19"/>
          <w:szCs w:val="19"/>
          <w:lang w:val="es-ES_tradnl"/>
        </w:rPr>
        <w:t xml:space="preserve"> en los </w:t>
      </w:r>
      <w:r w:rsidRPr="005E7BA4">
        <w:rPr>
          <w:rFonts w:ascii="Arial" w:hAnsi="Arial" w:cs="Arial"/>
          <w:i/>
          <w:iCs/>
          <w:color w:val="000000"/>
          <w:sz w:val="19"/>
          <w:szCs w:val="19"/>
          <w:lang w:val="es-ES_tradnl"/>
        </w:rPr>
        <w:t>documentos del proceso</w:t>
      </w:r>
      <w:r w:rsidRPr="005E7BA4">
        <w:rPr>
          <w:rFonts w:ascii="Arial" w:hAnsi="Arial" w:cs="Arial"/>
          <w:color w:val="000000"/>
          <w:sz w:val="19"/>
          <w:szCs w:val="19"/>
          <w:lang w:val="es-ES_tradnl"/>
        </w:rPr>
        <w:t xml:space="preserve"> (estudios previos e invitación a participar), y que ofrezca el menor valor. No hay lugar a puntajes para evaluar las ofertas sobre las características del objeto a contratar, su calidad o condiciones» (DÁVILA, Op.cit., p. 515).</w:t>
      </w:r>
    </w:p>
    <w:p w14:paraId="738D4EEA" w14:textId="77777777" w:rsidR="00381D63" w:rsidRPr="005E7BA4" w:rsidRDefault="00381D63" w:rsidP="00381D63">
      <w:pPr>
        <w:pStyle w:val="Textonotapie"/>
        <w:ind w:firstLine="709"/>
        <w:jc w:val="both"/>
        <w:rPr>
          <w:rFonts w:ascii="Arial" w:hAnsi="Arial" w:cs="Arial"/>
          <w:color w:val="000000"/>
          <w:sz w:val="19"/>
          <w:szCs w:val="19"/>
          <w:lang w:val="es-ES_tradnl"/>
        </w:rPr>
      </w:pPr>
    </w:p>
  </w:footnote>
  <w:footnote w:id="13">
    <w:p w14:paraId="0F195455" w14:textId="77777777" w:rsidR="00381D63" w:rsidRPr="00EE341D" w:rsidRDefault="00381D63" w:rsidP="00381D63">
      <w:pPr>
        <w:pStyle w:val="Textonotapie"/>
        <w:ind w:firstLine="708"/>
        <w:jc w:val="both"/>
        <w:rPr>
          <w:rFonts w:ascii="Arial" w:hAnsi="Arial" w:cs="Arial"/>
          <w:sz w:val="19"/>
          <w:szCs w:val="19"/>
        </w:rPr>
      </w:pPr>
      <w:r w:rsidRPr="00EE341D">
        <w:rPr>
          <w:rStyle w:val="Refdenotaalpie"/>
          <w:rFonts w:ascii="Arial" w:hAnsi="Arial" w:cs="Arial"/>
          <w:sz w:val="19"/>
          <w:szCs w:val="19"/>
        </w:rPr>
        <w:footnoteRef/>
      </w:r>
      <w:r w:rsidRPr="00EE341D">
        <w:rPr>
          <w:rFonts w:ascii="Arial" w:hAnsi="Arial" w:cs="Arial"/>
          <w:sz w:val="19"/>
          <w:szCs w:val="19"/>
        </w:rPr>
        <w:t xml:space="preserve"> Este monto fue publicado por la Agencia Nacional de Contratación Pública – Colombia Compra Eficiente, de acuerdo con la información remitida por el Ministerio de Comercio Industria y Turismo, disponible en el siguiente enlace: </w:t>
      </w:r>
      <w:hyperlink r:id="rId1" w:history="1">
        <w:r w:rsidRPr="005E7BA4">
          <w:rPr>
            <w:rStyle w:val="Hipervnculo"/>
            <w:rFonts w:ascii="Arial" w:hAnsi="Arial" w:cs="Arial"/>
            <w:color w:val="000000"/>
            <w:sz w:val="19"/>
            <w:szCs w:val="19"/>
          </w:rPr>
          <w:t>https://www.colombiacompra.gov.co/sites/cce_public/files/files_2020/vf_umbrales_actualizaciones_2022_-_2023_1.pdf</w:t>
        </w:r>
      </w:hyperlink>
      <w:r w:rsidRPr="005E7BA4">
        <w:rPr>
          <w:rFonts w:ascii="Arial" w:hAnsi="Arial" w:cs="Arial"/>
          <w:color w:val="000000"/>
          <w:sz w:val="19"/>
          <w:szCs w:val="19"/>
        </w:rPr>
        <w:t xml:space="preserve">. </w:t>
      </w:r>
      <w:r w:rsidRPr="00EE341D">
        <w:rPr>
          <w:rFonts w:ascii="Arial" w:hAnsi="Arial" w:cs="Arial"/>
          <w:sz w:val="19"/>
          <w:szCs w:val="19"/>
        </w:rPr>
        <w:t>Allí se señala que el monto corresponde a $ 457.297.264.</w:t>
      </w:r>
    </w:p>
  </w:footnote>
  <w:footnote w:id="14">
    <w:p w14:paraId="59C4F4F4" w14:textId="77777777" w:rsidR="00381D63" w:rsidRPr="00DD5F33" w:rsidRDefault="00381D63" w:rsidP="00381D63">
      <w:pPr>
        <w:pStyle w:val="Textonotapie"/>
        <w:ind w:firstLine="709"/>
        <w:jc w:val="both"/>
        <w:rPr>
          <w:rFonts w:ascii="Arial" w:hAnsi="Arial" w:cs="Arial"/>
          <w:sz w:val="19"/>
          <w:szCs w:val="19"/>
        </w:rPr>
      </w:pPr>
      <w:r w:rsidRPr="00DD5F33">
        <w:rPr>
          <w:rStyle w:val="Refdenotaalpie"/>
          <w:rFonts w:ascii="Arial" w:hAnsi="Arial" w:cs="Arial"/>
          <w:sz w:val="19"/>
          <w:szCs w:val="19"/>
        </w:rPr>
        <w:footnoteRef/>
      </w:r>
      <w:r w:rsidRPr="00DD5F33">
        <w:rPr>
          <w:rFonts w:ascii="Arial" w:hAnsi="Arial" w:cs="Arial"/>
          <w:sz w:val="19"/>
          <w:szCs w:val="19"/>
        </w:rPr>
        <w:t xml:space="preserve">  Agencia Nacional de Contratación Pública – Colombia Compra Eficiente. Concepto C-045 del 17 de marzo de 2020. Radicado de salida No. 2202013000001974.</w:t>
      </w:r>
    </w:p>
  </w:footnote>
  <w:footnote w:id="15">
    <w:p w14:paraId="73F617B1" w14:textId="77777777" w:rsidR="00381D63" w:rsidRPr="00DD5F33" w:rsidRDefault="00381D63" w:rsidP="00381D63">
      <w:pPr>
        <w:pStyle w:val="Textonotapie"/>
        <w:ind w:firstLine="709"/>
        <w:jc w:val="both"/>
        <w:rPr>
          <w:rFonts w:ascii="Arial" w:hAnsi="Arial" w:cs="Arial"/>
          <w:sz w:val="19"/>
          <w:szCs w:val="19"/>
        </w:rPr>
      </w:pPr>
      <w:r w:rsidRPr="00DD5F33">
        <w:rPr>
          <w:rStyle w:val="Refdenotaalpie"/>
          <w:rFonts w:ascii="Arial" w:hAnsi="Arial" w:cs="Arial"/>
          <w:sz w:val="19"/>
          <w:szCs w:val="19"/>
        </w:rPr>
        <w:footnoteRef/>
      </w:r>
      <w:r w:rsidRPr="00DD5F33">
        <w:rPr>
          <w:rFonts w:ascii="Arial" w:hAnsi="Arial" w:cs="Arial"/>
          <w:sz w:val="19"/>
          <w:szCs w:val="19"/>
        </w:rPr>
        <w:t xml:space="preserve"> 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42F7E673" w14:textId="77777777" w:rsidR="00381D63" w:rsidRPr="00DD5F33" w:rsidRDefault="00381D63" w:rsidP="00381D63">
      <w:pPr>
        <w:pStyle w:val="Textonotapie"/>
        <w:ind w:firstLine="709"/>
        <w:jc w:val="both"/>
        <w:rPr>
          <w:rFonts w:ascii="Arial" w:hAnsi="Arial" w:cs="Arial"/>
          <w:sz w:val="19"/>
          <w:szCs w:val="19"/>
        </w:rPr>
      </w:pPr>
      <w:r w:rsidRPr="00DD5F33">
        <w:rPr>
          <w:rFonts w:ascii="Arial" w:hAnsi="Arial" w:cs="Arial"/>
          <w:sz w:val="19"/>
          <w:szCs w:val="19"/>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3B509B13" w14:textId="77777777" w:rsidR="00381D63" w:rsidRPr="00DD5F33" w:rsidRDefault="00381D63" w:rsidP="00381D63">
      <w:pPr>
        <w:pStyle w:val="Textonotapie"/>
        <w:ind w:firstLine="709"/>
        <w:jc w:val="both"/>
        <w:rPr>
          <w:rFonts w:ascii="Arial" w:hAnsi="Arial" w:cs="Arial"/>
          <w:sz w:val="19"/>
          <w:szCs w:val="19"/>
        </w:rPr>
      </w:pPr>
      <w:r w:rsidRPr="00DD5F33">
        <w:rPr>
          <w:rFonts w:ascii="Arial" w:hAnsi="Arial" w:cs="Arial"/>
          <w:sz w:val="19"/>
          <w:szCs w:val="19"/>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1E5A04D1" w14:textId="77777777" w:rsidR="00381D63" w:rsidRPr="00DD5F33" w:rsidRDefault="00381D63" w:rsidP="00381D63">
      <w:pPr>
        <w:pStyle w:val="Textonotapie"/>
        <w:ind w:firstLine="709"/>
        <w:jc w:val="both"/>
        <w:rPr>
          <w:rFonts w:ascii="Arial" w:hAnsi="Arial" w:cs="Arial"/>
          <w:sz w:val="19"/>
          <w:szCs w:val="19"/>
        </w:rPr>
      </w:pPr>
      <w:r w:rsidRPr="00DD5F33">
        <w:rPr>
          <w:rFonts w:ascii="Arial" w:hAnsi="Arial" w:cs="Arial"/>
          <w:sz w:val="19"/>
          <w:szCs w:val="19"/>
        </w:rPr>
        <w:t xml:space="preserve">Tratándose de personas jurídicas, las solicitudes solo las podrán realizar Mipyme, cuyo objeto social les permita ejecutar el contrato relacionado con el proceso contractual. </w:t>
      </w:r>
    </w:p>
    <w:p w14:paraId="7E778264" w14:textId="77777777" w:rsidR="00381D63" w:rsidRPr="00DD5F33" w:rsidRDefault="00381D63" w:rsidP="00381D63">
      <w:pPr>
        <w:pStyle w:val="Textonotapie"/>
        <w:ind w:firstLine="709"/>
        <w:jc w:val="both"/>
        <w:rPr>
          <w:rFonts w:ascii="Arial" w:hAnsi="Arial" w:cs="Arial"/>
          <w:sz w:val="19"/>
          <w:szCs w:val="19"/>
        </w:rPr>
      </w:pPr>
      <w:r w:rsidRPr="00DD5F33">
        <w:rPr>
          <w:rFonts w:ascii="Arial" w:hAnsi="Arial" w:cs="Arial"/>
          <w:sz w:val="19"/>
          <w:szCs w:val="19"/>
        </w:rPr>
        <w:t>PARÁGRAFO. Las cooperativas y demás entidades de economía solidaria, siempre que tengan la calidad de Mípyme, podrán solicitar y participar en las convocatorias limitadas en las mismas condiciones dispuestas en el presente artículo.</w:t>
      </w:r>
    </w:p>
  </w:footnote>
  <w:footnote w:id="16">
    <w:p w14:paraId="49D22692" w14:textId="77777777" w:rsidR="00381D63" w:rsidRPr="005E7BA4" w:rsidRDefault="00381D63" w:rsidP="00381D63">
      <w:pPr>
        <w:pStyle w:val="Textonotapie"/>
        <w:ind w:firstLine="708"/>
        <w:jc w:val="both"/>
        <w:rPr>
          <w:rFonts w:ascii="Arial" w:hAnsi="Arial" w:cs="Arial"/>
          <w:color w:val="000000"/>
          <w:sz w:val="19"/>
          <w:szCs w:val="19"/>
        </w:rPr>
      </w:pPr>
    </w:p>
    <w:p w14:paraId="1E1E8CC7" w14:textId="77777777" w:rsidR="00381D63" w:rsidRPr="005E7BA4" w:rsidRDefault="00381D63" w:rsidP="00381D63">
      <w:pPr>
        <w:pStyle w:val="Textonotapie"/>
        <w:ind w:firstLine="708"/>
        <w:jc w:val="both"/>
        <w:rPr>
          <w:rFonts w:ascii="Arial" w:hAnsi="Arial" w:cs="Arial"/>
          <w:color w:val="000000"/>
          <w:sz w:val="19"/>
          <w:szCs w:val="19"/>
        </w:rPr>
      </w:pPr>
      <w:r w:rsidRPr="005E7BA4">
        <w:rPr>
          <w:rStyle w:val="Refdenotaalpie"/>
          <w:rFonts w:ascii="Arial" w:hAnsi="Arial" w:cs="Arial"/>
          <w:color w:val="000000"/>
          <w:sz w:val="19"/>
          <w:szCs w:val="19"/>
        </w:rPr>
        <w:footnoteRef/>
      </w:r>
      <w:r w:rsidRPr="005E7BA4">
        <w:rPr>
          <w:rFonts w:ascii="Arial" w:hAnsi="Arial" w:cs="Arial"/>
          <w:color w:val="000000"/>
          <w:sz w:val="19"/>
          <w:szCs w:val="19"/>
        </w:rPr>
        <w:t xml:space="preserve">Ley 1150 de 2011. Artículo 12 modificado por el artículo 34 de la Ley 2069 de 2020. </w:t>
      </w:r>
      <w:r>
        <w:rPr>
          <w:rFonts w:ascii="Arial" w:hAnsi="Arial" w:cs="Arial"/>
          <w:color w:val="000000"/>
          <w:sz w:val="19"/>
          <w:szCs w:val="19"/>
        </w:rPr>
        <w:t>“</w:t>
      </w:r>
      <w:r w:rsidRPr="005E7BA4">
        <w:rPr>
          <w:rFonts w:ascii="Arial" w:hAnsi="Arial" w:cs="Arial"/>
          <w:color w:val="000000"/>
          <w:sz w:val="19"/>
          <w:szCs w:val="19"/>
        </w:rPr>
        <w:t>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150B6AB0" w14:textId="77777777" w:rsidR="00381D63" w:rsidRPr="005E7BA4" w:rsidRDefault="00381D63" w:rsidP="00381D63">
      <w:pPr>
        <w:pStyle w:val="Textonotapie"/>
        <w:ind w:firstLine="708"/>
        <w:jc w:val="both"/>
        <w:rPr>
          <w:rFonts w:ascii="Arial" w:hAnsi="Arial" w:cs="Arial"/>
          <w:color w:val="000000"/>
          <w:sz w:val="19"/>
          <w:szCs w:val="19"/>
        </w:rPr>
      </w:pPr>
    </w:p>
  </w:footnote>
  <w:footnote w:id="17">
    <w:p w14:paraId="7208A4D9" w14:textId="77777777" w:rsidR="00381D63" w:rsidRPr="005E7BA4" w:rsidRDefault="00381D63" w:rsidP="00381D63">
      <w:pPr>
        <w:pStyle w:val="Textonotapie"/>
        <w:ind w:firstLine="708"/>
        <w:jc w:val="both"/>
        <w:rPr>
          <w:rFonts w:ascii="Arial" w:hAnsi="Arial" w:cs="Arial"/>
          <w:color w:val="000000"/>
          <w:sz w:val="19"/>
          <w:szCs w:val="19"/>
        </w:rPr>
      </w:pPr>
      <w:r w:rsidRPr="005E7BA4">
        <w:rPr>
          <w:rStyle w:val="Refdenotaalpie"/>
          <w:rFonts w:ascii="Arial" w:hAnsi="Arial" w:cs="Arial"/>
          <w:color w:val="000000"/>
          <w:sz w:val="19"/>
          <w:szCs w:val="19"/>
        </w:rPr>
        <w:footnoteRef/>
      </w:r>
      <w:r w:rsidRPr="005E7BA4">
        <w:rPr>
          <w:rFonts w:ascii="Arial" w:hAnsi="Arial" w:cs="Arial"/>
          <w:color w:val="000000"/>
          <w:sz w:val="19"/>
          <w:szCs w:val="19"/>
        </w:rPr>
        <w:t xml:space="preserve"> Cfr. Concepto emitido en el radicado 4201913000005674, dictado el 27 de septiembre de 2019.</w:t>
      </w:r>
    </w:p>
    <w:p w14:paraId="50A8FA8A" w14:textId="77777777" w:rsidR="00381D63" w:rsidRPr="005E7BA4" w:rsidRDefault="00381D63" w:rsidP="00381D63">
      <w:pPr>
        <w:pStyle w:val="Textonotapie"/>
        <w:ind w:firstLine="708"/>
        <w:jc w:val="both"/>
        <w:rPr>
          <w:rFonts w:ascii="Arial" w:hAnsi="Arial" w:cs="Arial"/>
          <w:color w:val="000000"/>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82A1" w14:textId="77777777" w:rsidR="002D3D1A" w:rsidRDefault="00404A17">
    <w:pPr>
      <w:pStyle w:val="Encabezado"/>
    </w:pPr>
    <w:r>
      <w:rPr>
        <w:noProof/>
      </w:rPr>
      <w:drawing>
        <wp:anchor distT="0" distB="0" distL="114300" distR="114300" simplePos="0" relativeHeight="251658240" behindDoc="1" locked="0" layoutInCell="1" allowOverlap="1" wp14:anchorId="6AB39568" wp14:editId="0677A5D4">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372170D6" wp14:editId="18F28BC6">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2" behindDoc="0" locked="0" layoutInCell="1" allowOverlap="1" wp14:anchorId="2BE8F017" wp14:editId="224F6EE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1" behindDoc="0" locked="0" layoutInCell="1" allowOverlap="1" wp14:anchorId="5C5F92BA" wp14:editId="598CC37C">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718B4DE0" w14:textId="77777777" w:rsidR="002D3D1A" w:rsidRDefault="002D3D1A">
    <w:pPr>
      <w:pStyle w:val="Encabezado"/>
    </w:pPr>
  </w:p>
  <w:p w14:paraId="08378017" w14:textId="77777777" w:rsidR="002D3D1A" w:rsidRDefault="002D3D1A">
    <w:pPr>
      <w:pStyle w:val="Encabezado"/>
    </w:pPr>
  </w:p>
  <w:p w14:paraId="5439B39E" w14:textId="77777777" w:rsidR="002D3D1A" w:rsidRPr="004A305D" w:rsidRDefault="00404A17" w:rsidP="0051250B">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44AC9641" w14:textId="77777777" w:rsidR="002D3D1A" w:rsidRPr="004A305D" w:rsidRDefault="00404A17" w:rsidP="0051250B">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13</w:t>
    </w:r>
  </w:p>
  <w:p w14:paraId="2C0D1DFF" w14:textId="77777777" w:rsidR="002D3D1A" w:rsidRPr="004A305D" w:rsidRDefault="00404A17" w:rsidP="0051250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0E448613" w14:textId="77777777" w:rsidR="002D3D1A" w:rsidRDefault="002D3D1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485C48"/>
    <w:multiLevelType w:val="multilevel"/>
    <w:tmpl w:val="E7FC6F5A"/>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78076E6F"/>
    <w:multiLevelType w:val="multilevel"/>
    <w:tmpl w:val="1D489D0C"/>
    <w:lvl w:ilvl="0">
      <w:start w:val="1"/>
      <w:numFmt w:val="decimal"/>
      <w:lvlText w:val="%1."/>
      <w:lvlJc w:val="left"/>
      <w:pPr>
        <w:ind w:left="585" w:hanging="285"/>
      </w:pPr>
      <w:rPr>
        <w:rFonts w:ascii="Arial" w:eastAsia="Arial" w:hAnsi="Arial" w:cs="Arial" w:hint="default"/>
        <w:b/>
        <w:bCs/>
        <w:color w:val="000000" w:themeColor="text1"/>
        <w:spacing w:val="-21"/>
        <w:w w:val="100"/>
        <w:sz w:val="22"/>
        <w:szCs w:val="22"/>
        <w:lang w:val="es-ES" w:eastAsia="es-ES" w:bidi="es-ES"/>
      </w:rPr>
    </w:lvl>
    <w:lvl w:ilvl="1">
      <w:start w:val="1"/>
      <w:numFmt w:val="decimal"/>
      <w:lvlText w:val="%1.%2."/>
      <w:lvlJc w:val="left"/>
      <w:pPr>
        <w:ind w:left="725" w:hanging="426"/>
      </w:pPr>
      <w:rPr>
        <w:rFonts w:ascii="Arial" w:eastAsia="Arial" w:hAnsi="Arial" w:cs="Arial" w:hint="default"/>
        <w:b/>
        <w:bCs/>
        <w:color w:val="000000" w:themeColor="text1"/>
        <w:spacing w:val="-1"/>
        <w:w w:val="100"/>
        <w:sz w:val="22"/>
        <w:szCs w:val="22"/>
        <w:lang w:val="es-ES" w:eastAsia="es-ES" w:bidi="es-ES"/>
      </w:rPr>
    </w:lvl>
    <w:lvl w:ilvl="2">
      <w:numFmt w:val="bullet"/>
      <w:lvlText w:val="•"/>
      <w:lvlJc w:val="left"/>
      <w:pPr>
        <w:ind w:left="1700" w:hanging="426"/>
      </w:pPr>
      <w:rPr>
        <w:rFonts w:hint="default"/>
        <w:lang w:val="es-ES" w:eastAsia="es-ES" w:bidi="es-ES"/>
      </w:rPr>
    </w:lvl>
    <w:lvl w:ilvl="3">
      <w:numFmt w:val="bullet"/>
      <w:lvlText w:val="•"/>
      <w:lvlJc w:val="left"/>
      <w:pPr>
        <w:ind w:left="2680" w:hanging="426"/>
      </w:pPr>
      <w:rPr>
        <w:rFonts w:hint="default"/>
        <w:lang w:val="es-ES" w:eastAsia="es-ES" w:bidi="es-ES"/>
      </w:rPr>
    </w:lvl>
    <w:lvl w:ilvl="4">
      <w:numFmt w:val="bullet"/>
      <w:lvlText w:val="•"/>
      <w:lvlJc w:val="left"/>
      <w:pPr>
        <w:ind w:left="3660" w:hanging="426"/>
      </w:pPr>
      <w:rPr>
        <w:rFonts w:hint="default"/>
        <w:lang w:val="es-ES" w:eastAsia="es-ES" w:bidi="es-ES"/>
      </w:rPr>
    </w:lvl>
    <w:lvl w:ilvl="5">
      <w:numFmt w:val="bullet"/>
      <w:lvlText w:val="•"/>
      <w:lvlJc w:val="left"/>
      <w:pPr>
        <w:ind w:left="4640" w:hanging="426"/>
      </w:pPr>
      <w:rPr>
        <w:rFonts w:hint="default"/>
        <w:lang w:val="es-ES" w:eastAsia="es-ES" w:bidi="es-ES"/>
      </w:rPr>
    </w:lvl>
    <w:lvl w:ilvl="6">
      <w:numFmt w:val="bullet"/>
      <w:lvlText w:val="•"/>
      <w:lvlJc w:val="left"/>
      <w:pPr>
        <w:ind w:left="5620" w:hanging="426"/>
      </w:pPr>
      <w:rPr>
        <w:rFonts w:hint="default"/>
        <w:lang w:val="es-ES" w:eastAsia="es-ES" w:bidi="es-ES"/>
      </w:rPr>
    </w:lvl>
    <w:lvl w:ilvl="7">
      <w:numFmt w:val="bullet"/>
      <w:lvlText w:val="•"/>
      <w:lvlJc w:val="left"/>
      <w:pPr>
        <w:ind w:left="6600" w:hanging="426"/>
      </w:pPr>
      <w:rPr>
        <w:rFonts w:hint="default"/>
        <w:lang w:val="es-ES" w:eastAsia="es-ES" w:bidi="es-ES"/>
      </w:rPr>
    </w:lvl>
    <w:lvl w:ilvl="8">
      <w:numFmt w:val="bullet"/>
      <w:lvlText w:val="•"/>
      <w:lvlJc w:val="left"/>
      <w:pPr>
        <w:ind w:left="7580" w:hanging="426"/>
      </w:pPr>
      <w:rPr>
        <w:rFonts w:hint="default"/>
        <w:lang w:val="es-ES" w:eastAsia="es-ES" w:bidi="es-ES"/>
      </w:rPr>
    </w:lvl>
  </w:abstractNum>
  <w:num w:numId="1" w16cid:durableId="304512817">
    <w:abstractNumId w:val="1"/>
  </w:num>
  <w:num w:numId="2" w16cid:durableId="373164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A17"/>
    <w:rsid w:val="000201B2"/>
    <w:rsid w:val="00030D4E"/>
    <w:rsid w:val="0004024D"/>
    <w:rsid w:val="000619B6"/>
    <w:rsid w:val="00062C18"/>
    <w:rsid w:val="000E0BF7"/>
    <w:rsid w:val="000F117F"/>
    <w:rsid w:val="0011556A"/>
    <w:rsid w:val="0015196E"/>
    <w:rsid w:val="00152988"/>
    <w:rsid w:val="00153DC3"/>
    <w:rsid w:val="00160808"/>
    <w:rsid w:val="001624A7"/>
    <w:rsid w:val="00183D32"/>
    <w:rsid w:val="00185406"/>
    <w:rsid w:val="00186563"/>
    <w:rsid w:val="001A5846"/>
    <w:rsid w:val="001B01F5"/>
    <w:rsid w:val="001C20B7"/>
    <w:rsid w:val="001D528E"/>
    <w:rsid w:val="001D63A4"/>
    <w:rsid w:val="00211660"/>
    <w:rsid w:val="0022053E"/>
    <w:rsid w:val="00223936"/>
    <w:rsid w:val="00226CA0"/>
    <w:rsid w:val="002355F9"/>
    <w:rsid w:val="0025058A"/>
    <w:rsid w:val="00261432"/>
    <w:rsid w:val="00271690"/>
    <w:rsid w:val="002A69C5"/>
    <w:rsid w:val="002C0203"/>
    <w:rsid w:val="002D3D1A"/>
    <w:rsid w:val="00301181"/>
    <w:rsid w:val="00305779"/>
    <w:rsid w:val="00317770"/>
    <w:rsid w:val="0032111D"/>
    <w:rsid w:val="003260F1"/>
    <w:rsid w:val="00340EA9"/>
    <w:rsid w:val="00346602"/>
    <w:rsid w:val="0035074E"/>
    <w:rsid w:val="0038001D"/>
    <w:rsid w:val="00381D63"/>
    <w:rsid w:val="00394920"/>
    <w:rsid w:val="00397CDB"/>
    <w:rsid w:val="003A7562"/>
    <w:rsid w:val="003A7E2E"/>
    <w:rsid w:val="003B3C86"/>
    <w:rsid w:val="003B6446"/>
    <w:rsid w:val="003C07DC"/>
    <w:rsid w:val="003C28C1"/>
    <w:rsid w:val="003C63FD"/>
    <w:rsid w:val="003D0C0C"/>
    <w:rsid w:val="003E23D8"/>
    <w:rsid w:val="003E7BA6"/>
    <w:rsid w:val="003F7A55"/>
    <w:rsid w:val="0040318F"/>
    <w:rsid w:val="00404A17"/>
    <w:rsid w:val="0040627A"/>
    <w:rsid w:val="004326FE"/>
    <w:rsid w:val="00446F90"/>
    <w:rsid w:val="00481744"/>
    <w:rsid w:val="00484F84"/>
    <w:rsid w:val="0049474E"/>
    <w:rsid w:val="0049482E"/>
    <w:rsid w:val="004B0B21"/>
    <w:rsid w:val="004B5ADF"/>
    <w:rsid w:val="004C39EB"/>
    <w:rsid w:val="004D017D"/>
    <w:rsid w:val="004D5B4E"/>
    <w:rsid w:val="004E2625"/>
    <w:rsid w:val="004F0A39"/>
    <w:rsid w:val="004F0C82"/>
    <w:rsid w:val="004F5048"/>
    <w:rsid w:val="0051250B"/>
    <w:rsid w:val="00530B8D"/>
    <w:rsid w:val="00542AA9"/>
    <w:rsid w:val="00552F73"/>
    <w:rsid w:val="0056027A"/>
    <w:rsid w:val="005637D3"/>
    <w:rsid w:val="005818E2"/>
    <w:rsid w:val="00597B67"/>
    <w:rsid w:val="005A0C9E"/>
    <w:rsid w:val="005A4122"/>
    <w:rsid w:val="005A575A"/>
    <w:rsid w:val="005A7D75"/>
    <w:rsid w:val="005C1ECA"/>
    <w:rsid w:val="005C5F77"/>
    <w:rsid w:val="005D1251"/>
    <w:rsid w:val="005E0016"/>
    <w:rsid w:val="005E17A7"/>
    <w:rsid w:val="00603E5E"/>
    <w:rsid w:val="00604FC9"/>
    <w:rsid w:val="006070F1"/>
    <w:rsid w:val="0062194E"/>
    <w:rsid w:val="00636FBF"/>
    <w:rsid w:val="00663729"/>
    <w:rsid w:val="0069739A"/>
    <w:rsid w:val="006A0FF4"/>
    <w:rsid w:val="006B3F76"/>
    <w:rsid w:val="006F2B72"/>
    <w:rsid w:val="006F52C6"/>
    <w:rsid w:val="00702574"/>
    <w:rsid w:val="0070756B"/>
    <w:rsid w:val="00733354"/>
    <w:rsid w:val="00780CB5"/>
    <w:rsid w:val="007B2013"/>
    <w:rsid w:val="00800E4E"/>
    <w:rsid w:val="0084089A"/>
    <w:rsid w:val="00867219"/>
    <w:rsid w:val="00867409"/>
    <w:rsid w:val="00884668"/>
    <w:rsid w:val="0089640C"/>
    <w:rsid w:val="008E5C2E"/>
    <w:rsid w:val="00916C7F"/>
    <w:rsid w:val="00955127"/>
    <w:rsid w:val="00975ADA"/>
    <w:rsid w:val="0098794A"/>
    <w:rsid w:val="00996BD1"/>
    <w:rsid w:val="009A4F4B"/>
    <w:rsid w:val="009B6C83"/>
    <w:rsid w:val="009C126F"/>
    <w:rsid w:val="009E040D"/>
    <w:rsid w:val="009E68BD"/>
    <w:rsid w:val="009F2C82"/>
    <w:rsid w:val="00A06C46"/>
    <w:rsid w:val="00A10DD2"/>
    <w:rsid w:val="00A30586"/>
    <w:rsid w:val="00A443AB"/>
    <w:rsid w:val="00A45BA2"/>
    <w:rsid w:val="00A60AD8"/>
    <w:rsid w:val="00A651A0"/>
    <w:rsid w:val="00A81AC0"/>
    <w:rsid w:val="00A8308C"/>
    <w:rsid w:val="00A92583"/>
    <w:rsid w:val="00A9772B"/>
    <w:rsid w:val="00AA6891"/>
    <w:rsid w:val="00AC5D77"/>
    <w:rsid w:val="00AD6463"/>
    <w:rsid w:val="00AE7E93"/>
    <w:rsid w:val="00B04825"/>
    <w:rsid w:val="00B12169"/>
    <w:rsid w:val="00B30F14"/>
    <w:rsid w:val="00B43EB3"/>
    <w:rsid w:val="00B71709"/>
    <w:rsid w:val="00B824AC"/>
    <w:rsid w:val="00B87C8A"/>
    <w:rsid w:val="00BC0E0D"/>
    <w:rsid w:val="00BC7A29"/>
    <w:rsid w:val="00BD3529"/>
    <w:rsid w:val="00BE287B"/>
    <w:rsid w:val="00BE775C"/>
    <w:rsid w:val="00C02852"/>
    <w:rsid w:val="00C10D7C"/>
    <w:rsid w:val="00C1595B"/>
    <w:rsid w:val="00C1681D"/>
    <w:rsid w:val="00C231F0"/>
    <w:rsid w:val="00C41702"/>
    <w:rsid w:val="00C50A43"/>
    <w:rsid w:val="00C601C8"/>
    <w:rsid w:val="00C7169A"/>
    <w:rsid w:val="00C74CFA"/>
    <w:rsid w:val="00C752CB"/>
    <w:rsid w:val="00C85E9B"/>
    <w:rsid w:val="00C91827"/>
    <w:rsid w:val="00C96283"/>
    <w:rsid w:val="00CA1396"/>
    <w:rsid w:val="00CA75FA"/>
    <w:rsid w:val="00CB47C0"/>
    <w:rsid w:val="00CC7F4F"/>
    <w:rsid w:val="00CF2B79"/>
    <w:rsid w:val="00D0050D"/>
    <w:rsid w:val="00D11B64"/>
    <w:rsid w:val="00D157A4"/>
    <w:rsid w:val="00D21826"/>
    <w:rsid w:val="00D5039F"/>
    <w:rsid w:val="00D641AC"/>
    <w:rsid w:val="00D8400E"/>
    <w:rsid w:val="00D87C1E"/>
    <w:rsid w:val="00DD31BA"/>
    <w:rsid w:val="00E13076"/>
    <w:rsid w:val="00E14DC3"/>
    <w:rsid w:val="00E320CF"/>
    <w:rsid w:val="00E3507A"/>
    <w:rsid w:val="00E441E2"/>
    <w:rsid w:val="00E61DA6"/>
    <w:rsid w:val="00E660D9"/>
    <w:rsid w:val="00E66977"/>
    <w:rsid w:val="00E752BE"/>
    <w:rsid w:val="00E8015B"/>
    <w:rsid w:val="00E81F1D"/>
    <w:rsid w:val="00E833AA"/>
    <w:rsid w:val="00E928F9"/>
    <w:rsid w:val="00E95A22"/>
    <w:rsid w:val="00E97C5F"/>
    <w:rsid w:val="00EA30D4"/>
    <w:rsid w:val="00EA3AD8"/>
    <w:rsid w:val="00EB2821"/>
    <w:rsid w:val="00ED1F0E"/>
    <w:rsid w:val="00ED295A"/>
    <w:rsid w:val="00EE23CC"/>
    <w:rsid w:val="00F0402F"/>
    <w:rsid w:val="00F26EA7"/>
    <w:rsid w:val="00F35A06"/>
    <w:rsid w:val="00F40BE6"/>
    <w:rsid w:val="00F55E76"/>
    <w:rsid w:val="00F72022"/>
    <w:rsid w:val="00F75A69"/>
    <w:rsid w:val="00F84FC0"/>
    <w:rsid w:val="00F95D41"/>
    <w:rsid w:val="00FA6400"/>
    <w:rsid w:val="00FB6DCA"/>
    <w:rsid w:val="00FC2B1C"/>
    <w:rsid w:val="00FD17FA"/>
    <w:rsid w:val="00FD448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42A72"/>
  <w15:chartTrackingRefBased/>
  <w15:docId w15:val="{74685C92-A6CE-4878-8374-019E42EF1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A17"/>
    <w:rPr>
      <w:kern w:val="0"/>
      <w14:ligatures w14:val="none"/>
    </w:rPr>
  </w:style>
  <w:style w:type="paragraph" w:styleId="Ttulo1">
    <w:name w:val="heading 1"/>
    <w:basedOn w:val="Normal"/>
    <w:link w:val="Ttulo1Car"/>
    <w:uiPriority w:val="9"/>
    <w:qFormat/>
    <w:rsid w:val="00A9772B"/>
    <w:pPr>
      <w:widowControl w:val="0"/>
      <w:autoSpaceDE w:val="0"/>
      <w:autoSpaceDN w:val="0"/>
      <w:spacing w:after="0" w:line="240" w:lineRule="auto"/>
      <w:ind w:left="585"/>
      <w:outlineLvl w:val="0"/>
    </w:pPr>
    <w:rPr>
      <w:rFonts w:ascii="Arial" w:eastAsia="Arial" w:hAnsi="Arial" w:cs="Arial"/>
      <w:b/>
      <w:bCs/>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04A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04A17"/>
    <w:rPr>
      <w:kern w:val="0"/>
      <w14:ligatures w14:val="none"/>
    </w:rPr>
  </w:style>
  <w:style w:type="paragraph" w:styleId="Piedepgina">
    <w:name w:val="footer"/>
    <w:basedOn w:val="Normal"/>
    <w:link w:val="PiedepginaCar"/>
    <w:uiPriority w:val="99"/>
    <w:unhideWhenUsed/>
    <w:rsid w:val="00404A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04A1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04A1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04A1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04A1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404A17"/>
    <w:rPr>
      <w:vertAlign w:val="superscript"/>
    </w:rPr>
  </w:style>
  <w:style w:type="table" w:styleId="Tablaconcuadrcula">
    <w:name w:val="Table Grid"/>
    <w:basedOn w:val="Tablanormal"/>
    <w:uiPriority w:val="39"/>
    <w:rsid w:val="00404A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qFormat/>
    <w:rsid w:val="00404A17"/>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04A17"/>
    <w:pPr>
      <w:spacing w:after="200" w:line="240" w:lineRule="exact"/>
      <w:jc w:val="both"/>
    </w:pPr>
    <w:rPr>
      <w:kern w:val="2"/>
      <w:vertAlign w:val="superscript"/>
      <w14:ligatures w14:val="standardContextual"/>
    </w:rPr>
  </w:style>
  <w:style w:type="character" w:styleId="Hipervnculo">
    <w:name w:val="Hyperlink"/>
    <w:basedOn w:val="Fuentedeprrafopredeter"/>
    <w:uiPriority w:val="99"/>
    <w:unhideWhenUsed/>
    <w:rsid w:val="00404A17"/>
    <w:rPr>
      <w:color w:val="0563C1" w:themeColor="hyperlink"/>
      <w:u w:val="single"/>
    </w:rPr>
  </w:style>
  <w:style w:type="paragraph" w:customStyle="1" w:styleId="Default">
    <w:name w:val="Default"/>
    <w:rsid w:val="001D528E"/>
    <w:pPr>
      <w:autoSpaceDE w:val="0"/>
      <w:autoSpaceDN w:val="0"/>
      <w:adjustRightInd w:val="0"/>
      <w:spacing w:after="0" w:line="240" w:lineRule="auto"/>
    </w:pPr>
    <w:rPr>
      <w:rFonts w:ascii="Arial" w:hAnsi="Arial" w:cs="Arial"/>
      <w:color w:val="000000"/>
      <w:kern w:val="0"/>
      <w:sz w:val="24"/>
      <w:szCs w:val="24"/>
    </w:rPr>
  </w:style>
  <w:style w:type="paragraph" w:customStyle="1" w:styleId="paragraph">
    <w:name w:val="paragraph"/>
    <w:basedOn w:val="Normal"/>
    <w:rsid w:val="004F0A3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4F0A39"/>
  </w:style>
  <w:style w:type="character" w:customStyle="1" w:styleId="normaltextrun">
    <w:name w:val="normaltextrun"/>
    <w:basedOn w:val="Fuentedeprrafopredeter"/>
    <w:rsid w:val="004F0A39"/>
  </w:style>
  <w:style w:type="paragraph" w:styleId="NormalWeb">
    <w:name w:val="Normal (Web)"/>
    <w:basedOn w:val="Normal"/>
    <w:link w:val="NormalWebCar"/>
    <w:uiPriority w:val="99"/>
    <w:unhideWhenUsed/>
    <w:rsid w:val="005D1251"/>
    <w:rPr>
      <w:rFonts w:ascii="Times New Roman" w:hAnsi="Times New Roman" w:cs="Times New Roman"/>
      <w:sz w:val="24"/>
      <w:szCs w:val="24"/>
    </w:rPr>
  </w:style>
  <w:style w:type="character" w:customStyle="1" w:styleId="NormalWebCar">
    <w:name w:val="Normal (Web) Car"/>
    <w:link w:val="NormalWeb"/>
    <w:uiPriority w:val="99"/>
    <w:rsid w:val="005D1251"/>
    <w:rPr>
      <w:rFonts w:ascii="Times New Roman" w:hAnsi="Times New Roman" w:cs="Times New Roman"/>
      <w:kern w:val="0"/>
      <w:sz w:val="24"/>
      <w:szCs w:val="24"/>
      <w14:ligatures w14:val="none"/>
    </w:rPr>
  </w:style>
  <w:style w:type="paragraph" w:styleId="Textoindependiente">
    <w:name w:val="Body Text"/>
    <w:basedOn w:val="Normal"/>
    <w:link w:val="TextoindependienteCar"/>
    <w:uiPriority w:val="1"/>
    <w:qFormat/>
    <w:rsid w:val="00D87C1E"/>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D87C1E"/>
    <w:rPr>
      <w:rFonts w:ascii="Arial" w:eastAsia="Arial" w:hAnsi="Arial" w:cs="Arial"/>
      <w:kern w:val="0"/>
      <w:lang w:val="es-ES" w:eastAsia="es-ES" w:bidi="es-ES"/>
      <w14:ligatures w14:val="none"/>
    </w:rPr>
  </w:style>
  <w:style w:type="character" w:customStyle="1" w:styleId="Ttulo1Car">
    <w:name w:val="Título 1 Car"/>
    <w:basedOn w:val="Fuentedeprrafopredeter"/>
    <w:link w:val="Ttulo1"/>
    <w:uiPriority w:val="9"/>
    <w:rsid w:val="00A9772B"/>
    <w:rPr>
      <w:rFonts w:ascii="Arial" w:eastAsia="Arial" w:hAnsi="Arial" w:cs="Arial"/>
      <w:b/>
      <w:bCs/>
      <w:kern w:val="0"/>
      <w:lang w:val="es-ES" w:eastAsia="es-ES" w:bidi="es-ES"/>
      <w14:ligatures w14:val="none"/>
    </w:rPr>
  </w:style>
  <w:style w:type="paragraph" w:styleId="Prrafodelista">
    <w:name w:val="List Paragraph"/>
    <w:basedOn w:val="Normal"/>
    <w:uiPriority w:val="34"/>
    <w:qFormat/>
    <w:rsid w:val="00CA1396"/>
    <w:pPr>
      <w:ind w:left="720"/>
      <w:contextualSpacing/>
    </w:pPr>
  </w:style>
  <w:style w:type="character" w:styleId="Refdecomentario">
    <w:name w:val="annotation reference"/>
    <w:basedOn w:val="Fuentedeprrafopredeter"/>
    <w:uiPriority w:val="99"/>
    <w:semiHidden/>
    <w:unhideWhenUsed/>
    <w:rsid w:val="00381D63"/>
    <w:rPr>
      <w:sz w:val="16"/>
      <w:szCs w:val="16"/>
    </w:rPr>
  </w:style>
  <w:style w:type="paragraph" w:styleId="Textocomentario">
    <w:name w:val="annotation text"/>
    <w:basedOn w:val="Normal"/>
    <w:link w:val="TextocomentarioCar"/>
    <w:uiPriority w:val="99"/>
    <w:unhideWhenUsed/>
    <w:rsid w:val="00381D63"/>
    <w:pPr>
      <w:spacing w:line="240" w:lineRule="auto"/>
    </w:pPr>
    <w:rPr>
      <w:sz w:val="20"/>
      <w:szCs w:val="20"/>
    </w:rPr>
  </w:style>
  <w:style w:type="character" w:customStyle="1" w:styleId="TextocomentarioCar">
    <w:name w:val="Texto comentario Car"/>
    <w:basedOn w:val="Fuentedeprrafopredeter"/>
    <w:link w:val="Textocomentario"/>
    <w:uiPriority w:val="99"/>
    <w:rsid w:val="00381D63"/>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339559">
      <w:bodyDiv w:val="1"/>
      <w:marLeft w:val="0"/>
      <w:marRight w:val="0"/>
      <w:marTop w:val="0"/>
      <w:marBottom w:val="0"/>
      <w:divBdr>
        <w:top w:val="none" w:sz="0" w:space="0" w:color="auto"/>
        <w:left w:val="none" w:sz="0" w:space="0" w:color="auto"/>
        <w:bottom w:val="none" w:sz="0" w:space="0" w:color="auto"/>
        <w:right w:val="none" w:sz="0" w:space="0" w:color="auto"/>
      </w:divBdr>
    </w:div>
    <w:div w:id="1204826889">
      <w:bodyDiv w:val="1"/>
      <w:marLeft w:val="0"/>
      <w:marRight w:val="0"/>
      <w:marTop w:val="0"/>
      <w:marBottom w:val="0"/>
      <w:divBdr>
        <w:top w:val="none" w:sz="0" w:space="0" w:color="auto"/>
        <w:left w:val="none" w:sz="0" w:space="0" w:color="auto"/>
        <w:bottom w:val="none" w:sz="0" w:space="0" w:color="auto"/>
        <w:right w:val="none" w:sz="0" w:space="0" w:color="auto"/>
      </w:divBdr>
      <w:divsChild>
        <w:div w:id="827673253">
          <w:marLeft w:val="0"/>
          <w:marRight w:val="0"/>
          <w:marTop w:val="0"/>
          <w:marBottom w:val="0"/>
          <w:divBdr>
            <w:top w:val="none" w:sz="0" w:space="0" w:color="auto"/>
            <w:left w:val="none" w:sz="0" w:space="0" w:color="auto"/>
            <w:bottom w:val="none" w:sz="0" w:space="0" w:color="auto"/>
            <w:right w:val="none" w:sz="0" w:space="0" w:color="auto"/>
          </w:divBdr>
        </w:div>
        <w:div w:id="1318995500">
          <w:marLeft w:val="0"/>
          <w:marRight w:val="0"/>
          <w:marTop w:val="0"/>
          <w:marBottom w:val="0"/>
          <w:divBdr>
            <w:top w:val="none" w:sz="0" w:space="0" w:color="auto"/>
            <w:left w:val="none" w:sz="0" w:space="0" w:color="auto"/>
            <w:bottom w:val="none" w:sz="0" w:space="0" w:color="auto"/>
            <w:right w:val="none" w:sz="0" w:space="0" w:color="auto"/>
          </w:divBdr>
        </w:div>
      </w:divsChild>
    </w:div>
    <w:div w:id="1633711644">
      <w:bodyDiv w:val="1"/>
      <w:marLeft w:val="0"/>
      <w:marRight w:val="0"/>
      <w:marTop w:val="0"/>
      <w:marBottom w:val="0"/>
      <w:divBdr>
        <w:top w:val="none" w:sz="0" w:space="0" w:color="auto"/>
        <w:left w:val="none" w:sz="0" w:space="0" w:color="auto"/>
        <w:bottom w:val="none" w:sz="0" w:space="0" w:color="auto"/>
        <w:right w:val="none" w:sz="0" w:space="0" w:color="auto"/>
      </w:divBdr>
      <w:divsChild>
        <w:div w:id="1567959115">
          <w:marLeft w:val="0"/>
          <w:marRight w:val="0"/>
          <w:marTop w:val="0"/>
          <w:marBottom w:val="0"/>
          <w:divBdr>
            <w:top w:val="none" w:sz="0" w:space="0" w:color="auto"/>
            <w:left w:val="none" w:sz="0" w:space="0" w:color="auto"/>
            <w:bottom w:val="none" w:sz="0" w:space="0" w:color="auto"/>
            <w:right w:val="none" w:sz="0" w:space="0" w:color="auto"/>
          </w:divBdr>
        </w:div>
        <w:div w:id="2081171875">
          <w:marLeft w:val="0"/>
          <w:marRight w:val="0"/>
          <w:marTop w:val="0"/>
          <w:marBottom w:val="0"/>
          <w:divBdr>
            <w:top w:val="none" w:sz="0" w:space="0" w:color="auto"/>
            <w:left w:val="none" w:sz="0" w:space="0" w:color="auto"/>
            <w:bottom w:val="none" w:sz="0" w:space="0" w:color="auto"/>
            <w:right w:val="none" w:sz="0" w:space="0" w:color="auto"/>
          </w:divBdr>
        </w:div>
      </w:divsChild>
    </w:div>
    <w:div w:id="2070496367">
      <w:bodyDiv w:val="1"/>
      <w:marLeft w:val="0"/>
      <w:marRight w:val="0"/>
      <w:marTop w:val="0"/>
      <w:marBottom w:val="0"/>
      <w:divBdr>
        <w:top w:val="none" w:sz="0" w:space="0" w:color="auto"/>
        <w:left w:val="none" w:sz="0" w:space="0" w:color="auto"/>
        <w:bottom w:val="none" w:sz="0" w:space="0" w:color="auto"/>
        <w:right w:val="none" w:sz="0" w:space="0" w:color="auto"/>
      </w:divBdr>
      <w:divsChild>
        <w:div w:id="73401579">
          <w:marLeft w:val="0"/>
          <w:marRight w:val="0"/>
          <w:marTop w:val="0"/>
          <w:marBottom w:val="0"/>
          <w:divBdr>
            <w:top w:val="none" w:sz="0" w:space="0" w:color="auto"/>
            <w:left w:val="none" w:sz="0" w:space="0" w:color="auto"/>
            <w:bottom w:val="none" w:sz="0" w:space="0" w:color="auto"/>
            <w:right w:val="none" w:sz="0" w:space="0" w:color="auto"/>
          </w:divBdr>
        </w:div>
        <w:div w:id="316349832">
          <w:marLeft w:val="0"/>
          <w:marRight w:val="0"/>
          <w:marTop w:val="0"/>
          <w:marBottom w:val="0"/>
          <w:divBdr>
            <w:top w:val="none" w:sz="0" w:space="0" w:color="auto"/>
            <w:left w:val="none" w:sz="0" w:space="0" w:color="auto"/>
            <w:bottom w:val="none" w:sz="0" w:space="0" w:color="auto"/>
            <w:right w:val="none" w:sz="0" w:space="0" w:color="auto"/>
          </w:divBdr>
        </w:div>
        <w:div w:id="519855221">
          <w:marLeft w:val="0"/>
          <w:marRight w:val="0"/>
          <w:marTop w:val="0"/>
          <w:marBottom w:val="0"/>
          <w:divBdr>
            <w:top w:val="none" w:sz="0" w:space="0" w:color="auto"/>
            <w:left w:val="none" w:sz="0" w:space="0" w:color="auto"/>
            <w:bottom w:val="none" w:sz="0" w:space="0" w:color="auto"/>
            <w:right w:val="none" w:sz="0" w:space="0" w:color="auto"/>
          </w:divBdr>
        </w:div>
        <w:div w:id="623922244">
          <w:marLeft w:val="0"/>
          <w:marRight w:val="0"/>
          <w:marTop w:val="0"/>
          <w:marBottom w:val="0"/>
          <w:divBdr>
            <w:top w:val="none" w:sz="0" w:space="0" w:color="auto"/>
            <w:left w:val="none" w:sz="0" w:space="0" w:color="auto"/>
            <w:bottom w:val="none" w:sz="0" w:space="0" w:color="auto"/>
            <w:right w:val="none" w:sz="0" w:space="0" w:color="auto"/>
          </w:divBdr>
        </w:div>
        <w:div w:id="962880442">
          <w:marLeft w:val="0"/>
          <w:marRight w:val="0"/>
          <w:marTop w:val="0"/>
          <w:marBottom w:val="0"/>
          <w:divBdr>
            <w:top w:val="none" w:sz="0" w:space="0" w:color="auto"/>
            <w:left w:val="none" w:sz="0" w:space="0" w:color="auto"/>
            <w:bottom w:val="none" w:sz="0" w:space="0" w:color="auto"/>
            <w:right w:val="none" w:sz="0" w:space="0" w:color="auto"/>
          </w:divBdr>
        </w:div>
        <w:div w:id="1007908191">
          <w:marLeft w:val="0"/>
          <w:marRight w:val="0"/>
          <w:marTop w:val="0"/>
          <w:marBottom w:val="0"/>
          <w:divBdr>
            <w:top w:val="none" w:sz="0" w:space="0" w:color="auto"/>
            <w:left w:val="none" w:sz="0" w:space="0" w:color="auto"/>
            <w:bottom w:val="none" w:sz="0" w:space="0" w:color="auto"/>
            <w:right w:val="none" w:sz="0" w:space="0" w:color="auto"/>
          </w:divBdr>
        </w:div>
        <w:div w:id="1104150931">
          <w:marLeft w:val="0"/>
          <w:marRight w:val="0"/>
          <w:marTop w:val="0"/>
          <w:marBottom w:val="0"/>
          <w:divBdr>
            <w:top w:val="none" w:sz="0" w:space="0" w:color="auto"/>
            <w:left w:val="none" w:sz="0" w:space="0" w:color="auto"/>
            <w:bottom w:val="none" w:sz="0" w:space="0" w:color="auto"/>
            <w:right w:val="none" w:sz="0" w:space="0" w:color="auto"/>
          </w:divBdr>
        </w:div>
        <w:div w:id="1506365276">
          <w:marLeft w:val="0"/>
          <w:marRight w:val="0"/>
          <w:marTop w:val="0"/>
          <w:marBottom w:val="0"/>
          <w:divBdr>
            <w:top w:val="none" w:sz="0" w:space="0" w:color="auto"/>
            <w:left w:val="none" w:sz="0" w:space="0" w:color="auto"/>
            <w:bottom w:val="none" w:sz="0" w:space="0" w:color="auto"/>
            <w:right w:val="none" w:sz="0" w:space="0" w:color="auto"/>
          </w:divBdr>
        </w:div>
        <w:div w:id="1697072948">
          <w:marLeft w:val="0"/>
          <w:marRight w:val="0"/>
          <w:marTop w:val="0"/>
          <w:marBottom w:val="0"/>
          <w:divBdr>
            <w:top w:val="none" w:sz="0" w:space="0" w:color="auto"/>
            <w:left w:val="none" w:sz="0" w:space="0" w:color="auto"/>
            <w:bottom w:val="none" w:sz="0" w:space="0" w:color="auto"/>
            <w:right w:val="none" w:sz="0" w:space="0" w:color="auto"/>
          </w:divBdr>
        </w:div>
        <w:div w:id="20474854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60966"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uncionpublica.gov.co/eva/gestornormativo/norma.php?i=2567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files_2020/vf_umbrales_actualizaciones_2022_-_2023_1.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CE5F8AF-0FFF-43D9-9E83-6BA5883906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1495C4-C9D5-4917-9083-26E5401D0B0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D75373D2-815C-4215-A276-288F0BA3EFB4}">
  <ds:schemaRefs>
    <ds:schemaRef ds:uri="http://schemas.openxmlformats.org/officeDocument/2006/bibliography"/>
  </ds:schemaRefs>
</ds:datastoreItem>
</file>

<file path=customXml/itemProps4.xml><?xml version="1.0" encoding="utf-8"?>
<ds:datastoreItem xmlns:ds="http://schemas.openxmlformats.org/officeDocument/2006/customXml" ds:itemID="{AE26420B-56CA-440E-85E3-D9A2768FDE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1108</TotalTime>
  <Pages>22</Pages>
  <Words>8275</Words>
  <Characters>45518</Characters>
  <Application>Microsoft Office Word</Application>
  <DocSecurity>0</DocSecurity>
  <Lines>379</Lines>
  <Paragraphs>107</Paragraphs>
  <ScaleCrop>false</ScaleCrop>
  <Company/>
  <LinksUpToDate>false</LinksUpToDate>
  <CharactersWithSpaces>53686</CharactersWithSpaces>
  <SharedDoc>false</SharedDoc>
  <HLinks>
    <vt:vector size="12" baseType="variant">
      <vt:variant>
        <vt:i4>1769544</vt:i4>
      </vt:variant>
      <vt:variant>
        <vt:i4>3</vt:i4>
      </vt:variant>
      <vt:variant>
        <vt:i4>0</vt:i4>
      </vt:variant>
      <vt:variant>
        <vt:i4>5</vt:i4>
      </vt:variant>
      <vt:variant>
        <vt:lpwstr>http://legal.legis.com.co/document.legis?fn=content&amp;amp;docid=copnia&amp;amp;bookmark=bf11f9815c39ced47e48d04f68bc86f8752nf9&amp;amp;viewid=GRP-PC&amp;amp;bf11f9815c39ced47e48d04f68bc86f8752nf9</vt:lpwstr>
      </vt:variant>
      <vt:variant>
        <vt:lpwstr/>
      </vt:variant>
      <vt:variant>
        <vt:i4>1769544</vt:i4>
      </vt:variant>
      <vt:variant>
        <vt:i4>0</vt:i4>
      </vt:variant>
      <vt:variant>
        <vt:i4>0</vt:i4>
      </vt:variant>
      <vt:variant>
        <vt:i4>5</vt:i4>
      </vt:variant>
      <vt:variant>
        <vt:lpwstr>http://legal.legis.com.co/document.legis?fn=content&amp;amp;docid=copnia&amp;amp;bookmark=bf11f9815c39ced47e48d04f68bc86f8752nf9&amp;amp;viewid=GRP-PC&amp;amp;bf11f9815c39ced47e48d04f68bc86f8752nf9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dc:creator>
  <cp:keywords/>
  <dc:description/>
  <cp:lastModifiedBy>Maria Valeska Medellín Mora</cp:lastModifiedBy>
  <cp:revision>194</cp:revision>
  <dcterms:created xsi:type="dcterms:W3CDTF">2023-07-17T20:25:00Z</dcterms:created>
  <dcterms:modified xsi:type="dcterms:W3CDTF">2023-09-15T13:09:00Z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