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9C64D2" w:rsidR="00862A6E" w:rsidP="00862A6E" w:rsidRDefault="00862A6E" w14:paraId="37647523" w14:textId="77777777">
      <w:pPr>
        <w:spacing w:after="0" w:line="240" w:lineRule="auto"/>
        <w:jc w:val="both"/>
        <w:rPr>
          <w:rFonts w:ascii="Arial" w:hAnsi="Arial" w:eastAsia="Calibri" w:cs="Arial"/>
          <w:b/>
          <w:bCs/>
          <w:color w:val="000000" w:themeColor="text1"/>
          <w:lang w:val="es-MX"/>
        </w:rPr>
      </w:pPr>
      <w:bookmarkStart w:name="_Hlk94281581" w:id="0"/>
      <w:bookmarkStart w:name="_Hlk102489058" w:id="1"/>
      <w:bookmarkStart w:name="_Hlk34951122" w:id="2"/>
      <w:r w:rsidRPr="009C64D2">
        <w:rPr>
          <w:rFonts w:ascii="Arial" w:hAnsi="Arial" w:eastAsia="Calibri" w:cs="Arial"/>
          <w:b/>
          <w:bCs/>
          <w:color w:val="000000" w:themeColor="text1"/>
          <w:lang w:val="es-MX"/>
        </w:rPr>
        <w:t>INHABILIDADES – Definición – Finalidad – Limitación capacidad contractual</w:t>
      </w:r>
      <w:r w:rsidRPr="009C64D2">
        <w:rPr>
          <w:rFonts w:ascii="Arial" w:hAnsi="Arial" w:eastAsia="Calibri" w:cs="Arial"/>
          <w:b/>
          <w:bCs/>
          <w:color w:val="000000" w:themeColor="text1"/>
          <w:lang w:val="es-ES"/>
        </w:rPr>
        <w:t xml:space="preserve"> </w:t>
      </w:r>
    </w:p>
    <w:p w:rsidRPr="009C64D2" w:rsidR="00862A6E" w:rsidP="00862A6E" w:rsidRDefault="00862A6E" w14:paraId="23EE9EA7" w14:textId="77777777">
      <w:pPr>
        <w:spacing w:after="0" w:line="240" w:lineRule="auto"/>
        <w:jc w:val="both"/>
        <w:rPr>
          <w:rFonts w:ascii="Arial" w:hAnsi="Arial" w:eastAsia="Calibri" w:cs="Arial"/>
          <w:b/>
          <w:bCs/>
          <w:color w:val="000000" w:themeColor="text1"/>
          <w:sz w:val="20"/>
          <w:szCs w:val="20"/>
          <w:lang w:val="es-MX"/>
        </w:rPr>
      </w:pPr>
    </w:p>
    <w:p w:rsidRPr="009C64D2" w:rsidR="00862A6E" w:rsidP="00862A6E" w:rsidRDefault="00862A6E" w14:paraId="14492577" w14:textId="77777777">
      <w:pPr>
        <w:spacing w:after="0" w:line="240" w:lineRule="auto"/>
        <w:jc w:val="both"/>
        <w:rPr>
          <w:rFonts w:ascii="Arial" w:hAnsi="Arial" w:eastAsia="Calibri" w:cs="Arial"/>
          <w:bCs/>
          <w:color w:val="000000" w:themeColor="text1"/>
          <w:sz w:val="20"/>
          <w:szCs w:val="20"/>
          <w:lang w:val="es-MX"/>
        </w:rPr>
      </w:pPr>
      <w:r w:rsidRPr="009C64D2">
        <w:rPr>
          <w:rFonts w:ascii="Arial" w:hAnsi="Arial" w:eastAsia="Calibri" w:cs="Arial"/>
          <w:bCs/>
          <w:color w:val="000000" w:themeColor="text1"/>
          <w:sz w:val="20"/>
          <w:szCs w:val="20"/>
          <w:lang w:val="es-MX"/>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rsidRPr="009C64D2" w:rsidR="00862A6E" w:rsidP="00862A6E" w:rsidRDefault="00862A6E" w14:paraId="552F13EE" w14:textId="77777777">
      <w:pPr>
        <w:spacing w:after="0" w:line="240" w:lineRule="auto"/>
        <w:jc w:val="both"/>
        <w:rPr>
          <w:rFonts w:ascii="Arial" w:hAnsi="Arial" w:eastAsia="Calibri" w:cs="Arial"/>
          <w:bCs/>
          <w:color w:val="000000" w:themeColor="text1"/>
          <w:sz w:val="20"/>
          <w:szCs w:val="20"/>
          <w:lang w:val="es-MX"/>
        </w:rPr>
      </w:pPr>
    </w:p>
    <w:p w:rsidRPr="009C64D2" w:rsidR="00862A6E" w:rsidP="00862A6E" w:rsidRDefault="00862A6E" w14:paraId="0A1C792A" w14:textId="77777777">
      <w:pPr>
        <w:spacing w:after="0" w:line="240" w:lineRule="auto"/>
        <w:jc w:val="both"/>
        <w:rPr>
          <w:rFonts w:ascii="Arial" w:hAnsi="Arial" w:eastAsia="Calibri" w:cs="Arial"/>
          <w:bCs/>
          <w:color w:val="000000" w:themeColor="text1"/>
          <w:sz w:val="20"/>
          <w:szCs w:val="20"/>
          <w:lang w:val="es-MX"/>
        </w:rPr>
      </w:pPr>
      <w:r w:rsidRPr="009C64D2">
        <w:rPr>
          <w:rFonts w:ascii="Arial" w:hAnsi="Arial" w:eastAsia="Calibri" w:cs="Arial"/>
          <w:bCs/>
          <w:color w:val="000000" w:themeColor="text1"/>
          <w:sz w:val="20"/>
          <w:szCs w:val="20"/>
          <w:lang w:val="es-MX"/>
        </w:rPr>
        <w:t xml:space="preserve">El régimen de inhabilidades para contratar con el Estado es un conjunto de restricciones establecidas por el constituyente o por el legislador que afectan directamente la capacidad de las personas para establecer unas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 </w:t>
      </w:r>
    </w:p>
    <w:p w:rsidRPr="009C64D2" w:rsidR="00862A6E" w:rsidP="00862A6E" w:rsidRDefault="00862A6E" w14:paraId="016102B9" w14:textId="77777777">
      <w:pPr>
        <w:spacing w:after="0" w:line="240" w:lineRule="auto"/>
        <w:jc w:val="both"/>
        <w:rPr>
          <w:rFonts w:ascii="Arial" w:hAnsi="Arial" w:eastAsia="Calibri" w:cs="Arial"/>
          <w:bCs/>
          <w:color w:val="FF0000"/>
          <w:sz w:val="20"/>
          <w:szCs w:val="20"/>
          <w:lang w:val="es-ES"/>
        </w:rPr>
      </w:pPr>
    </w:p>
    <w:p w:rsidRPr="009C64D2" w:rsidR="00862A6E" w:rsidP="00862A6E" w:rsidRDefault="00862A6E" w14:paraId="01B22B1C" w14:textId="77777777">
      <w:pPr>
        <w:spacing w:after="0" w:line="240" w:lineRule="auto"/>
        <w:jc w:val="both"/>
        <w:rPr>
          <w:rFonts w:ascii="Arial" w:hAnsi="Arial" w:eastAsia="Calibri" w:cs="Arial"/>
          <w:b/>
          <w:bCs/>
          <w:color w:val="000000" w:themeColor="text1"/>
          <w:lang w:val="es-ES"/>
        </w:rPr>
      </w:pPr>
      <w:r w:rsidRPr="009C64D2">
        <w:rPr>
          <w:rFonts w:ascii="Arial" w:hAnsi="Arial" w:eastAsia="Calibri" w:cs="Arial"/>
          <w:b/>
          <w:bCs/>
          <w:lang w:val="es-ES"/>
        </w:rPr>
        <w:t xml:space="preserve">CONTRATACIÓN ESTATAL – </w:t>
      </w:r>
      <w:r w:rsidRPr="009C64D2">
        <w:rPr>
          <w:rFonts w:ascii="Arial" w:hAnsi="Arial" w:eastAsia="Calibri" w:cs="Arial"/>
          <w:b/>
          <w:bCs/>
          <w:color w:val="000000" w:themeColor="text1"/>
          <w:lang w:val="es-ES"/>
        </w:rPr>
        <w:t xml:space="preserve">Capacidad – Validez contratos – Régimen de contratación – Inscripción – Limitación de la capacidad </w:t>
      </w:r>
    </w:p>
    <w:p w:rsidRPr="009C64D2" w:rsidR="00862A6E" w:rsidP="00862A6E" w:rsidRDefault="00862A6E" w14:paraId="2B2C719E" w14:textId="77777777">
      <w:pPr>
        <w:spacing w:after="0" w:line="240" w:lineRule="auto"/>
        <w:jc w:val="both"/>
        <w:rPr>
          <w:rFonts w:ascii="Arial" w:hAnsi="Arial" w:eastAsia="Calibri" w:cs="Arial"/>
          <w:b/>
          <w:bCs/>
          <w:color w:val="000000" w:themeColor="text1"/>
          <w:sz w:val="20"/>
          <w:szCs w:val="20"/>
          <w:lang w:val="es-ES"/>
        </w:rPr>
      </w:pPr>
    </w:p>
    <w:p w:rsidRPr="009C64D2" w:rsidR="00862A6E" w:rsidP="00862A6E" w:rsidRDefault="00862A6E" w14:paraId="630F9253" w14:textId="77777777">
      <w:pPr>
        <w:spacing w:after="0" w:line="240" w:lineRule="auto"/>
        <w:jc w:val="both"/>
        <w:rPr>
          <w:rFonts w:ascii="Arial" w:hAnsi="Arial" w:eastAsia="Calibri" w:cs="Arial"/>
          <w:bCs/>
          <w:color w:val="000000" w:themeColor="text1"/>
          <w:sz w:val="20"/>
          <w:szCs w:val="20"/>
          <w:lang w:val="es-ES_tradnl"/>
        </w:rPr>
      </w:pPr>
      <w:r w:rsidRPr="009C64D2">
        <w:rPr>
          <w:rFonts w:ascii="Arial" w:hAnsi="Arial" w:eastAsia="Calibri" w:cs="Arial"/>
          <w:bCs/>
          <w:color w:val="000000" w:themeColor="text1"/>
          <w:sz w:val="20"/>
          <w:szCs w:val="20"/>
          <w:lang w:val="es-ES_tradnl"/>
        </w:rPr>
        <w:t xml:space="preserve">En la contratación estatal, la </w:t>
      </w:r>
      <w:r w:rsidRPr="009C64D2">
        <w:rPr>
          <w:rFonts w:ascii="Arial" w:hAnsi="Arial" w:eastAsia="Calibri" w:cs="Arial"/>
          <w:bCs/>
          <w:i/>
          <w:iCs/>
          <w:color w:val="000000" w:themeColor="text1"/>
          <w:sz w:val="20"/>
          <w:szCs w:val="20"/>
          <w:lang w:val="es-ES_tradnl"/>
        </w:rPr>
        <w:t>capacidad</w:t>
      </w:r>
      <w:r w:rsidRPr="009C64D2">
        <w:rPr>
          <w:rFonts w:ascii="Arial" w:hAnsi="Arial" w:eastAsia="Calibri" w:cs="Arial"/>
          <w:bCs/>
          <w:color w:val="000000" w:themeColor="text1"/>
          <w:sz w:val="20"/>
          <w:szCs w:val="20"/>
          <w:lang w:val="es-ES_tradnl"/>
        </w:rPr>
        <w:t xml:space="preserve">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 se destaca el régimen de inhabilidades e incompatibilidades como un conjunto de normas que imponen restricciones para los sujetos que, eventualmente, pretendan participar en los procedimientos de selección o celebrar contratos con las entidades estatales.</w:t>
      </w:r>
    </w:p>
    <w:p w:rsidRPr="009C64D2" w:rsidR="00862A6E" w:rsidP="00862A6E" w:rsidRDefault="00862A6E" w14:paraId="676D5620" w14:textId="77777777">
      <w:pPr>
        <w:spacing w:after="0" w:line="240" w:lineRule="auto"/>
        <w:jc w:val="both"/>
        <w:rPr>
          <w:rFonts w:ascii="Arial" w:hAnsi="Arial" w:eastAsia="Calibri" w:cs="Arial"/>
          <w:bCs/>
          <w:color w:val="000000" w:themeColor="text1"/>
          <w:sz w:val="20"/>
          <w:szCs w:val="20"/>
          <w:lang w:val="es-ES_tradnl"/>
        </w:rPr>
      </w:pPr>
    </w:p>
    <w:p w:rsidRPr="009C64D2" w:rsidR="00862A6E" w:rsidP="00862A6E" w:rsidRDefault="00862A6E" w14:paraId="688DF538" w14:textId="77777777">
      <w:pPr>
        <w:spacing w:after="0" w:line="240" w:lineRule="auto"/>
        <w:jc w:val="both"/>
        <w:rPr>
          <w:rFonts w:ascii="Arial" w:hAnsi="Arial" w:eastAsia="Calibri" w:cs="Arial"/>
          <w:bCs/>
          <w:color w:val="000000" w:themeColor="text1"/>
          <w:sz w:val="20"/>
          <w:szCs w:val="20"/>
          <w:lang w:val="es-ES_tradnl"/>
        </w:rPr>
      </w:pPr>
      <w:r w:rsidRPr="009C64D2">
        <w:rPr>
          <w:rFonts w:ascii="Arial" w:hAnsi="Arial" w:eastAsia="Calibri" w:cs="Arial"/>
          <w:bCs/>
          <w:color w:val="000000" w:themeColor="text1"/>
          <w:sz w:val="20"/>
          <w:szCs w:val="20"/>
          <w:lang w:val="es-ES_tradnl"/>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9C64D2">
        <w:rPr>
          <w:rFonts w:ascii="Arial" w:hAnsi="Arial" w:eastAsia="Calibri" w:cs="Arial"/>
          <w:bCs/>
          <w:color w:val="000000" w:themeColor="text1"/>
          <w:sz w:val="20"/>
          <w:szCs w:val="20"/>
          <w:lang w:val="es-ES_tradnl"/>
        </w:rPr>
        <w:t>ii</w:t>
      </w:r>
      <w:proofErr w:type="spellEnd"/>
      <w:r w:rsidRPr="009C64D2">
        <w:rPr>
          <w:rFonts w:ascii="Arial" w:hAnsi="Arial" w:eastAsia="Calibri" w:cs="Arial"/>
          <w:bCs/>
          <w:color w:val="000000" w:themeColor="text1"/>
          <w:sz w:val="20"/>
          <w:szCs w:val="20"/>
          <w:lang w:val="es-ES_tradnl"/>
        </w:rPr>
        <w:t xml:space="preserve">) de vínculos personales relativos al parentesco o al estado civil o </w:t>
      </w:r>
      <w:proofErr w:type="spellStart"/>
      <w:r w:rsidRPr="009C64D2">
        <w:rPr>
          <w:rFonts w:ascii="Arial" w:hAnsi="Arial" w:eastAsia="Calibri" w:cs="Arial"/>
          <w:bCs/>
          <w:color w:val="000000" w:themeColor="text1"/>
          <w:sz w:val="20"/>
          <w:szCs w:val="20"/>
          <w:lang w:val="es-ES_tradnl"/>
        </w:rPr>
        <w:t>iii</w:t>
      </w:r>
      <w:proofErr w:type="spellEnd"/>
      <w:r w:rsidRPr="009C64D2">
        <w:rPr>
          <w:rFonts w:ascii="Arial" w:hAnsi="Arial" w:eastAsia="Calibri" w:cs="Arial"/>
          <w:bCs/>
          <w:color w:val="000000" w:themeColor="text1"/>
          <w:sz w:val="20"/>
          <w:szCs w:val="20"/>
          <w:lang w:val="es-ES_tradnl"/>
        </w:rPr>
        <w:t>) de una actividad u oficio que se desempeñó en el pasado.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p>
    <w:p w:rsidRPr="009C64D2" w:rsidR="00862A6E" w:rsidP="00862A6E" w:rsidRDefault="00862A6E" w14:paraId="29055F41" w14:textId="77777777">
      <w:pPr>
        <w:spacing w:after="0" w:line="240" w:lineRule="auto"/>
        <w:jc w:val="both"/>
        <w:rPr>
          <w:rFonts w:ascii="Arial" w:hAnsi="Arial" w:eastAsia="Calibri" w:cs="Arial"/>
          <w:bCs/>
          <w:color w:val="000000" w:themeColor="text1"/>
          <w:sz w:val="20"/>
          <w:szCs w:val="20"/>
          <w:lang w:val="es-ES"/>
        </w:rPr>
      </w:pPr>
    </w:p>
    <w:p w:rsidRPr="009C64D2" w:rsidR="00862A6E" w:rsidP="00862A6E" w:rsidRDefault="00862A6E" w14:paraId="4E240865" w14:textId="77777777">
      <w:pPr>
        <w:spacing w:after="0" w:line="240" w:lineRule="auto"/>
        <w:jc w:val="both"/>
        <w:rPr>
          <w:rFonts w:ascii="Arial" w:hAnsi="Arial" w:eastAsia="Calibri" w:cs="Arial"/>
          <w:b/>
          <w:bCs/>
          <w:color w:val="000000" w:themeColor="text1"/>
          <w:sz w:val="20"/>
          <w:szCs w:val="20"/>
          <w:lang w:val="es-ES"/>
        </w:rPr>
      </w:pPr>
      <w:r w:rsidRPr="009C64D2">
        <w:rPr>
          <w:rFonts w:ascii="Arial" w:hAnsi="Arial" w:eastAsia="Calibri" w:cs="Arial"/>
          <w:b/>
          <w:bCs/>
          <w:color w:val="000000" w:themeColor="text1"/>
          <w:lang w:val="es-ES"/>
        </w:rPr>
        <w:t>INHABILIDADES – Taxatividad – Principio de legalidad – Interpretación restrictiva</w:t>
      </w:r>
    </w:p>
    <w:p w:rsidRPr="009C64D2" w:rsidR="00862A6E" w:rsidP="00862A6E" w:rsidRDefault="00862A6E" w14:paraId="5762E4FB" w14:textId="77777777">
      <w:pPr>
        <w:spacing w:after="0" w:line="240" w:lineRule="auto"/>
        <w:jc w:val="both"/>
        <w:rPr>
          <w:rFonts w:ascii="Arial" w:hAnsi="Arial" w:eastAsia="Calibri" w:cs="Arial"/>
          <w:color w:val="000000" w:themeColor="text1"/>
          <w:sz w:val="20"/>
          <w:szCs w:val="20"/>
          <w:lang w:val="es-ES"/>
        </w:rPr>
      </w:pPr>
    </w:p>
    <w:p w:rsidRPr="009C64D2" w:rsidR="00862A6E" w:rsidP="00862A6E" w:rsidRDefault="00862A6E" w14:paraId="07F7464E" w14:textId="77777777">
      <w:pPr>
        <w:spacing w:after="0" w:line="240" w:lineRule="auto"/>
        <w:jc w:val="both"/>
        <w:rPr>
          <w:rFonts w:ascii="Arial" w:hAnsi="Arial" w:eastAsia="Calibri" w:cs="Arial"/>
          <w:color w:val="000000" w:themeColor="text1"/>
          <w:sz w:val="20"/>
          <w:szCs w:val="20"/>
          <w:lang w:val="es-ES_tradnl"/>
        </w:rPr>
      </w:pPr>
      <w:r w:rsidRPr="009C64D2">
        <w:rPr>
          <w:rFonts w:ascii="Arial" w:hAnsi="Arial" w:eastAsia="Calibri" w:cs="Arial"/>
          <w:color w:val="000000" w:themeColor="text1"/>
          <w:sz w:val="20"/>
          <w:szCs w:val="20"/>
          <w:lang w:val="es-ES_tradnl"/>
        </w:rPr>
        <w:t xml:space="preserve">Ahora bien, las inhabilidades e incompatibilidades al ser restricciones o límites especiales a la capacidad para presentar ofertas y celebrar contratos estatales, solo pueden tipificarse en la ley –o sea, deben satisfacer el principio de legalidad– y su interpretación debe ser </w:t>
      </w:r>
      <w:r w:rsidRPr="009C64D2">
        <w:rPr>
          <w:rFonts w:ascii="Arial" w:hAnsi="Arial" w:eastAsia="Calibri" w:cs="Arial"/>
          <w:i/>
          <w:iCs/>
          <w:color w:val="000000" w:themeColor="text1"/>
          <w:sz w:val="20"/>
          <w:szCs w:val="20"/>
          <w:lang w:val="es-ES_tradnl"/>
        </w:rPr>
        <w:t>restrictiva</w:t>
      </w:r>
      <w:r w:rsidRPr="009C64D2">
        <w:rPr>
          <w:rFonts w:ascii="Arial" w:hAnsi="Arial" w:eastAsia="Calibri" w:cs="Arial"/>
          <w:color w:val="000000" w:themeColor="text1"/>
          <w:sz w:val="20"/>
          <w:szCs w:val="20"/>
          <w:lang w:val="es-ES_tradnl"/>
        </w:rPr>
        <w:t xml:space="preserve">, 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rsidRPr="009C64D2" w:rsidR="00862A6E" w:rsidP="00862A6E" w:rsidRDefault="00862A6E" w14:paraId="3450DF00" w14:textId="77777777">
      <w:pPr>
        <w:spacing w:after="0" w:line="240" w:lineRule="auto"/>
        <w:jc w:val="both"/>
        <w:rPr>
          <w:rFonts w:ascii="Arial" w:hAnsi="Arial" w:eastAsia="Calibri" w:cs="Arial"/>
          <w:b/>
          <w:bCs/>
          <w:color w:val="000000" w:themeColor="text1"/>
          <w:sz w:val="20"/>
          <w:szCs w:val="20"/>
          <w:lang w:val="es-ES"/>
        </w:rPr>
      </w:pPr>
    </w:p>
    <w:p w:rsidRPr="009C64D2" w:rsidR="00862A6E" w:rsidP="00862A6E" w:rsidRDefault="00862A6E" w14:paraId="1D87D37A" w14:textId="77777777">
      <w:pPr>
        <w:spacing w:after="0" w:line="240" w:lineRule="auto"/>
        <w:jc w:val="both"/>
        <w:rPr>
          <w:rFonts w:ascii="Arial" w:hAnsi="Arial" w:eastAsia="Calibri" w:cs="Arial"/>
          <w:b/>
          <w:bCs/>
          <w:color w:val="000000" w:themeColor="text1"/>
          <w:sz w:val="20"/>
          <w:szCs w:val="20"/>
          <w:lang w:val="es-ES"/>
        </w:rPr>
      </w:pPr>
      <w:r w:rsidRPr="009C64D2">
        <w:rPr>
          <w:rFonts w:ascii="Arial" w:hAnsi="Arial" w:eastAsia="Calibri" w:cs="Arial"/>
          <w:b/>
          <w:bCs/>
          <w:color w:val="000000" w:themeColor="text1"/>
          <w:sz w:val="20"/>
          <w:szCs w:val="20"/>
          <w:lang w:val="es-ES"/>
        </w:rPr>
        <w:t>EXCEPCIONES – Inhabilidades – Incompatibilidades – Artículo 10 – Ley 80 de 1993</w:t>
      </w:r>
    </w:p>
    <w:p w:rsidRPr="009C64D2" w:rsidR="00862A6E" w:rsidP="00862A6E" w:rsidRDefault="00862A6E" w14:paraId="7EC8A5F1" w14:textId="77777777">
      <w:pPr>
        <w:spacing w:after="0"/>
        <w:rPr>
          <w:rFonts w:ascii="Arial" w:hAnsi="Arial" w:eastAsia="Geomanist Light" w:cs="Arial"/>
          <w:color w:val="000000" w:themeColor="text1"/>
          <w:lang w:val="es-MX"/>
        </w:rPr>
      </w:pPr>
    </w:p>
    <w:p w:rsidRPr="009C64D2" w:rsidR="00862A6E" w:rsidP="00862A6E" w:rsidRDefault="00862A6E" w14:paraId="7292F859" w14:textId="77777777">
      <w:pPr>
        <w:tabs>
          <w:tab w:val="left" w:pos="709"/>
        </w:tabs>
        <w:spacing w:after="120" w:line="240" w:lineRule="auto"/>
        <w:jc w:val="both"/>
        <w:rPr>
          <w:rFonts w:ascii="Arial" w:hAnsi="Arial" w:eastAsia="Calibri" w:cs="Arial"/>
          <w:bCs/>
          <w:color w:val="000000" w:themeColor="text1"/>
          <w:sz w:val="20"/>
          <w:szCs w:val="20"/>
        </w:rPr>
      </w:pPr>
      <w:r w:rsidRPr="009C64D2">
        <w:rPr>
          <w:rFonts w:ascii="Arial" w:hAnsi="Arial" w:eastAsia="Calibri" w:cs="Arial"/>
          <w:bCs/>
          <w:color w:val="000000" w:themeColor="text1"/>
          <w:sz w:val="20"/>
          <w:szCs w:val="20"/>
        </w:rPr>
        <w:t xml:space="preserve">El artículo 10 de la Ley 80 de 1993 contempla unas excepciones a las inhabilidades e incompatibilidades para contratar. De esta forma, el artículo dispone cuatro supuestos en los cuales el régimen de inhabilidades e incompatibilidades no tiene aplicación. </w:t>
      </w:r>
    </w:p>
    <w:p w:rsidRPr="009C64D2" w:rsidR="00862A6E" w:rsidP="00862A6E" w:rsidRDefault="00862A6E" w14:paraId="0B4E5A75" w14:textId="77777777">
      <w:pPr>
        <w:tabs>
          <w:tab w:val="left" w:pos="709"/>
        </w:tabs>
        <w:spacing w:after="120" w:line="240" w:lineRule="auto"/>
        <w:jc w:val="both"/>
        <w:rPr>
          <w:rFonts w:ascii="Arial" w:hAnsi="Arial" w:cs="Arial"/>
          <w:bCs/>
          <w:sz w:val="20"/>
          <w:szCs w:val="20"/>
          <w:shd w:val="clear" w:color="auto" w:fill="FFFFFF"/>
        </w:rPr>
      </w:pPr>
      <w:r w:rsidRPr="009C64D2">
        <w:rPr>
          <w:rFonts w:ascii="Arial" w:hAnsi="Arial" w:eastAsia="Calibri" w:cs="Arial"/>
          <w:bCs/>
          <w:color w:val="000000" w:themeColor="text1"/>
          <w:sz w:val="20"/>
          <w:szCs w:val="20"/>
        </w:rPr>
        <w:t>[…]</w:t>
      </w:r>
    </w:p>
    <w:p w:rsidRPr="009C64D2" w:rsidR="00862A6E" w:rsidP="00862A6E" w:rsidRDefault="00862A6E" w14:paraId="57F0F22D" w14:textId="77777777">
      <w:pPr>
        <w:tabs>
          <w:tab w:val="left" w:pos="709"/>
        </w:tabs>
        <w:spacing w:after="0" w:line="240" w:lineRule="auto"/>
        <w:jc w:val="both"/>
        <w:rPr>
          <w:rFonts w:ascii="Arial" w:hAnsi="Arial" w:cs="Arial"/>
          <w:i/>
          <w:iCs/>
          <w:sz w:val="20"/>
          <w:szCs w:val="20"/>
          <w:shd w:val="clear" w:color="auto" w:fill="FFFFFF"/>
        </w:rPr>
      </w:pPr>
      <w:r w:rsidRPr="009C64D2">
        <w:rPr>
          <w:rFonts w:ascii="Arial" w:hAnsi="Arial" w:cs="Arial"/>
          <w:sz w:val="20"/>
          <w:szCs w:val="20"/>
          <w:shd w:val="clear" w:color="auto" w:fill="FFFFFF"/>
        </w:rPr>
        <w:t xml:space="preserve">Como se aprecia, el artículo 10 de la Ley 80 de 1993, presenta cuatro posibles circunstancias en las cuales, las personas a pesar de encontrarse en una situación de inhabilidad o incompatibilidad pueden celebrar contratos públicos. Al respecto, la norma señala que no quedan cobijados por las inhabilidades e incompatibilidades de que tratan los artículos anteriores las siguientes personas: </w:t>
      </w:r>
      <w:r w:rsidRPr="009C64D2">
        <w:rPr>
          <w:rFonts w:ascii="Arial" w:hAnsi="Arial" w:cs="Arial"/>
          <w:i/>
          <w:iCs/>
          <w:sz w:val="20"/>
          <w:szCs w:val="20"/>
          <w:shd w:val="clear" w:color="auto" w:fill="FFFFFF"/>
        </w:rPr>
        <w:t xml:space="preserve">i) quienes contraten por obligación legal, </w:t>
      </w:r>
      <w:proofErr w:type="spellStart"/>
      <w:r w:rsidRPr="009C64D2">
        <w:rPr>
          <w:rFonts w:ascii="Arial" w:hAnsi="Arial" w:cs="Arial"/>
          <w:i/>
          <w:iCs/>
          <w:sz w:val="20"/>
          <w:szCs w:val="20"/>
          <w:shd w:val="clear" w:color="auto" w:fill="FFFFFF"/>
        </w:rPr>
        <w:t>ii</w:t>
      </w:r>
      <w:proofErr w:type="spellEnd"/>
      <w:r w:rsidRPr="009C64D2">
        <w:rPr>
          <w:rFonts w:ascii="Arial" w:hAnsi="Arial" w:cs="Arial"/>
          <w:i/>
          <w:iCs/>
          <w:sz w:val="20"/>
          <w:szCs w:val="20"/>
          <w:shd w:val="clear" w:color="auto" w:fill="FFFFFF"/>
        </w:rPr>
        <w:t xml:space="preserve">) las personas que contraten para usar los bienes o servicios que las entidades a que se refiere el presente estatuto ofrezcan al público en condiciones comunes a quienes los soliciten, </w:t>
      </w:r>
      <w:proofErr w:type="spellStart"/>
      <w:r w:rsidRPr="009C64D2">
        <w:rPr>
          <w:rFonts w:ascii="Arial" w:hAnsi="Arial" w:cs="Arial"/>
          <w:i/>
          <w:iCs/>
          <w:sz w:val="20"/>
          <w:szCs w:val="20"/>
          <w:shd w:val="clear" w:color="auto" w:fill="FFFFFF"/>
        </w:rPr>
        <w:t>iii</w:t>
      </w:r>
      <w:proofErr w:type="spellEnd"/>
      <w:r w:rsidRPr="009C64D2">
        <w:rPr>
          <w:rFonts w:ascii="Arial" w:hAnsi="Arial" w:cs="Arial"/>
          <w:i/>
          <w:iCs/>
          <w:sz w:val="20"/>
          <w:szCs w:val="20"/>
          <w:shd w:val="clear" w:color="auto" w:fill="FFFFFF"/>
        </w:rPr>
        <w:t xml:space="preserve">) las personas jurídicas sin ánimo de lucro cuyos representantes legales hagan parte de las juntas o consejos directivos en virtud de su cargo o por mandato legal o estatutario, y </w:t>
      </w:r>
      <w:proofErr w:type="spellStart"/>
      <w:r w:rsidRPr="009C64D2">
        <w:rPr>
          <w:rFonts w:ascii="Arial" w:hAnsi="Arial" w:cs="Arial"/>
          <w:i/>
          <w:iCs/>
          <w:sz w:val="20"/>
          <w:szCs w:val="20"/>
          <w:shd w:val="clear" w:color="auto" w:fill="FFFFFF"/>
        </w:rPr>
        <w:t>iv</w:t>
      </w:r>
      <w:proofErr w:type="spellEnd"/>
      <w:r w:rsidRPr="009C64D2">
        <w:rPr>
          <w:rFonts w:ascii="Arial" w:hAnsi="Arial" w:cs="Arial"/>
          <w:i/>
          <w:iCs/>
          <w:sz w:val="20"/>
          <w:szCs w:val="20"/>
          <w:shd w:val="clear" w:color="auto" w:fill="FFFFFF"/>
        </w:rPr>
        <w:t xml:space="preserve">) quienes celebren contratos en desarrollo de lo previsto en el artículo 60 de la Constitución Política. </w:t>
      </w:r>
    </w:p>
    <w:p w:rsidRPr="009C64D2" w:rsidR="00862A6E" w:rsidP="00862A6E" w:rsidRDefault="00862A6E" w14:paraId="5187809D" w14:textId="77777777">
      <w:pPr>
        <w:tabs>
          <w:tab w:val="left" w:pos="709"/>
        </w:tabs>
        <w:spacing w:after="0" w:line="276" w:lineRule="auto"/>
        <w:jc w:val="both"/>
        <w:rPr>
          <w:rFonts w:ascii="Arial" w:hAnsi="Arial" w:cs="Arial"/>
          <w:bCs/>
          <w:sz w:val="21"/>
          <w:szCs w:val="21"/>
          <w:shd w:val="clear" w:color="auto" w:fill="FFFFFF"/>
        </w:rPr>
      </w:pPr>
    </w:p>
    <w:p w:rsidRPr="009C64D2" w:rsidR="00862A6E" w:rsidP="00862A6E" w:rsidRDefault="00862A6E" w14:paraId="565DDFD3" w14:textId="77777777">
      <w:pPr>
        <w:tabs>
          <w:tab w:val="left" w:pos="709"/>
        </w:tabs>
        <w:spacing w:after="0" w:line="276" w:lineRule="auto"/>
        <w:jc w:val="both"/>
        <w:rPr>
          <w:rFonts w:ascii="Arial" w:hAnsi="Arial" w:eastAsia="Calibri" w:cs="Arial"/>
          <w:b/>
          <w:bCs/>
          <w:color w:val="000000" w:themeColor="text1"/>
          <w:sz w:val="20"/>
          <w:szCs w:val="20"/>
          <w:lang w:val="es-ES"/>
        </w:rPr>
      </w:pPr>
      <w:r w:rsidRPr="009C64D2">
        <w:rPr>
          <w:rFonts w:ascii="Arial" w:hAnsi="Arial" w:eastAsia="Calibri" w:cs="Arial"/>
          <w:b/>
          <w:bCs/>
          <w:color w:val="000000" w:themeColor="text1"/>
          <w:sz w:val="20"/>
          <w:szCs w:val="20"/>
          <w:lang w:val="es-ES"/>
        </w:rPr>
        <w:t>EXCEPCIONES – Inhabilidades – Incompatibilidades – Obligación legal</w:t>
      </w:r>
    </w:p>
    <w:p w:rsidRPr="009C64D2" w:rsidR="00862A6E" w:rsidP="00862A6E" w:rsidRDefault="00862A6E" w14:paraId="6A6084DB" w14:textId="77777777">
      <w:pPr>
        <w:tabs>
          <w:tab w:val="left" w:pos="709"/>
        </w:tabs>
        <w:spacing w:after="0" w:line="276" w:lineRule="auto"/>
        <w:jc w:val="both"/>
        <w:rPr>
          <w:rFonts w:ascii="Arial" w:hAnsi="Arial" w:cs="Arial"/>
        </w:rPr>
      </w:pPr>
    </w:p>
    <w:p w:rsidRPr="004152C2" w:rsidR="004152C2" w:rsidP="004152C2" w:rsidRDefault="004152C2" w14:paraId="0D1013B1" w14:textId="43CA9258">
      <w:pPr>
        <w:tabs>
          <w:tab w:val="left" w:pos="0"/>
        </w:tabs>
        <w:spacing w:after="120" w:line="240" w:lineRule="auto"/>
        <w:jc w:val="both"/>
        <w:rPr>
          <w:rFonts w:ascii="Arial" w:hAnsi="Arial" w:cs="Arial"/>
          <w:sz w:val="20"/>
          <w:szCs w:val="20"/>
        </w:rPr>
      </w:pPr>
      <w:r w:rsidRPr="004152C2">
        <w:rPr>
          <w:rFonts w:ascii="Arial" w:hAnsi="Arial" w:cs="Arial"/>
          <w:sz w:val="20"/>
          <w:szCs w:val="20"/>
          <w:shd w:val="clear" w:color="auto" w:fill="FFFFFF"/>
        </w:rPr>
        <w:t xml:space="preserve">En relación el primer supuesto contenido en el artículo 10 de la Ley 80 de 1993, según el cual, se exceptúan del régimen de inhabilidades e incompatibilidades </w:t>
      </w:r>
      <w:r w:rsidRPr="004152C2">
        <w:rPr>
          <w:rFonts w:ascii="Arial" w:hAnsi="Arial" w:cs="Arial"/>
          <w:i/>
          <w:iCs/>
          <w:sz w:val="20"/>
          <w:szCs w:val="20"/>
          <w:shd w:val="clear" w:color="auto" w:fill="FFFFFF"/>
        </w:rPr>
        <w:t>“las personas que contraten por obligación legal”</w:t>
      </w:r>
      <w:r w:rsidRPr="004152C2">
        <w:rPr>
          <w:rFonts w:ascii="Arial" w:hAnsi="Arial" w:cs="Arial"/>
          <w:sz w:val="20"/>
          <w:szCs w:val="20"/>
          <w:shd w:val="clear" w:color="auto" w:fill="FFFFFF"/>
        </w:rPr>
        <w:t xml:space="preserve">, el enunciado conlleva a indagar sobre el alcance de la expresión </w:t>
      </w:r>
      <w:r w:rsidRPr="004152C2">
        <w:rPr>
          <w:rFonts w:ascii="Arial" w:hAnsi="Arial" w:cs="Arial"/>
          <w:i/>
          <w:iCs/>
          <w:sz w:val="20"/>
          <w:szCs w:val="20"/>
          <w:shd w:val="clear" w:color="auto" w:fill="FFFFFF"/>
        </w:rPr>
        <w:t>“obligación legal”</w:t>
      </w:r>
      <w:r w:rsidRPr="004152C2">
        <w:rPr>
          <w:rFonts w:ascii="Arial" w:hAnsi="Arial" w:cs="Arial"/>
          <w:sz w:val="20"/>
          <w:szCs w:val="20"/>
          <w:shd w:val="clear" w:color="auto" w:fill="FFFFFF"/>
        </w:rPr>
        <w:t xml:space="preserve">. Sobre el particular, es pertinente mencionar que no existe una definición normativa de dicha expresión, por lo tanto, conviene referirnos al sentido literal de cada una de las palabras que la componen. Según el Diccionario de la Real Academia de la Lengua Española “Obligación” se define como: “1. Aquello que alguien está obligado a hacer”, por otra parte, la doctrina ha definido ese término como el “vinculo jurídico en virtud del cual una persona le puede exigir a otra una prestación de dar, hacer o no hacer”. En relación con la palabra “Ley”, tenemos que esta se establece en el artículo 4 del Código Civil como la declaración de la voluntad soberana con el carácter general de mandar, prohibir, permitir o castigar. De esta forma, tenemos que el vocablo “Obligación legal”, </w:t>
      </w:r>
      <w:r w:rsidRPr="004152C2">
        <w:rPr>
          <w:rFonts w:ascii="Arial" w:hAnsi="Arial" w:cs="Arial"/>
          <w:sz w:val="20"/>
          <w:szCs w:val="20"/>
        </w:rPr>
        <w:t xml:space="preserve">se trata de una manifestación de voluntad soberana del Estado dirigida a ordenar, permitir o prohibir acciones de sus gobernados. </w:t>
      </w:r>
    </w:p>
    <w:p w:rsidRPr="004152C2" w:rsidR="004152C2" w:rsidP="004152C2" w:rsidRDefault="004152C2" w14:paraId="3CD03442" w14:textId="6329DE1A">
      <w:pPr>
        <w:tabs>
          <w:tab w:val="left" w:pos="0"/>
        </w:tabs>
        <w:spacing w:after="0" w:line="240" w:lineRule="auto"/>
        <w:jc w:val="both"/>
        <w:rPr>
          <w:rFonts w:ascii="Arial" w:hAnsi="Arial" w:cs="Arial"/>
          <w:sz w:val="20"/>
          <w:szCs w:val="20"/>
        </w:rPr>
      </w:pPr>
      <w:r w:rsidRPr="004152C2">
        <w:rPr>
          <w:rFonts w:ascii="Arial" w:hAnsi="Arial" w:cs="Arial"/>
          <w:sz w:val="20"/>
          <w:szCs w:val="20"/>
        </w:rPr>
        <w:t xml:space="preserve">De esta manera, una excepción a las inhabilidades e incompatibilidades para </w:t>
      </w:r>
      <w:proofErr w:type="gramStart"/>
      <w:r w:rsidRPr="004152C2">
        <w:rPr>
          <w:rFonts w:ascii="Arial" w:hAnsi="Arial" w:cs="Arial"/>
          <w:sz w:val="20"/>
          <w:szCs w:val="20"/>
        </w:rPr>
        <w:t>contratar,</w:t>
      </w:r>
      <w:proofErr w:type="gramEnd"/>
      <w:r w:rsidRPr="004152C2">
        <w:rPr>
          <w:rFonts w:ascii="Arial" w:hAnsi="Arial" w:cs="Arial"/>
          <w:sz w:val="20"/>
          <w:szCs w:val="20"/>
        </w:rPr>
        <w:t xml:space="preserve"> se presenta, cuando la ley así lo dispone, razón por la que su cumplimiento no se puede condicionar a que una persona -natural o jurídica- se encuentre inhabilitada o sea incompatible para celebrar contratos. Así, aun cuando la persona está inhabilitada para celebrar contratos con el Estado, la Ley le impone la obligación de contratar. </w:t>
      </w:r>
    </w:p>
    <w:p w:rsidRPr="009C64D2" w:rsidR="00862A6E" w:rsidP="004152C2" w:rsidRDefault="00862A6E" w14:paraId="17A73E69" w14:textId="77777777">
      <w:pPr>
        <w:tabs>
          <w:tab w:val="left" w:pos="0"/>
        </w:tabs>
        <w:spacing w:after="0" w:line="276" w:lineRule="auto"/>
        <w:jc w:val="both"/>
        <w:rPr>
          <w:rFonts w:ascii="Arial" w:hAnsi="Arial" w:cs="Arial"/>
        </w:rPr>
      </w:pPr>
    </w:p>
    <w:p w:rsidRPr="009C64D2" w:rsidR="00862A6E" w:rsidP="00862A6E" w:rsidRDefault="00862A6E" w14:paraId="0611FBB1" w14:textId="77777777">
      <w:pPr>
        <w:tabs>
          <w:tab w:val="left" w:pos="709"/>
        </w:tabs>
        <w:spacing w:after="0" w:line="276" w:lineRule="auto"/>
        <w:jc w:val="both"/>
        <w:rPr>
          <w:rFonts w:ascii="Arial" w:hAnsi="Arial" w:eastAsia="Calibri" w:cs="Arial"/>
          <w:b/>
          <w:bCs/>
          <w:color w:val="000000" w:themeColor="text1"/>
          <w:sz w:val="20"/>
          <w:szCs w:val="20"/>
          <w:lang w:val="es-ES"/>
        </w:rPr>
      </w:pPr>
      <w:r w:rsidRPr="009C64D2">
        <w:rPr>
          <w:rFonts w:ascii="Arial" w:hAnsi="Arial" w:eastAsia="Calibri" w:cs="Arial"/>
          <w:b/>
          <w:bCs/>
          <w:color w:val="000000" w:themeColor="text1"/>
          <w:sz w:val="20"/>
          <w:szCs w:val="20"/>
          <w:lang w:val="es-ES"/>
        </w:rPr>
        <w:t xml:space="preserve">EXCEPCIONES – Inhabilidades – Incompatibilidades – Obligación legal – </w:t>
      </w:r>
      <w:r w:rsidRPr="009C64D2">
        <w:rPr>
          <w:rFonts w:ascii="Arial" w:hAnsi="Arial" w:eastAsia="Arial" w:cs="Arial"/>
          <w:b/>
          <w:bCs/>
          <w:lang w:val="es-ES"/>
        </w:rPr>
        <w:t>Celebrar contratos − Usar bienes o servicios − Que las entidades ofrezcan al público en condiciones comunes</w:t>
      </w:r>
      <w:r w:rsidRPr="009C64D2">
        <w:rPr>
          <w:rFonts w:ascii="Arial" w:hAnsi="Arial" w:eastAsia="Arial" w:cs="Arial"/>
          <w:lang w:val="es-ES"/>
        </w:rPr>
        <w:t xml:space="preserve"> </w:t>
      </w:r>
    </w:p>
    <w:p w:rsidRPr="009C64D2" w:rsidR="00862A6E" w:rsidP="00862A6E" w:rsidRDefault="00862A6E" w14:paraId="7AF17BF4" w14:textId="77777777">
      <w:pPr>
        <w:tabs>
          <w:tab w:val="left" w:pos="0"/>
        </w:tabs>
        <w:spacing w:after="0" w:line="276" w:lineRule="auto"/>
        <w:jc w:val="both"/>
        <w:rPr>
          <w:rFonts w:ascii="Arial" w:hAnsi="Arial" w:cs="Arial"/>
          <w:shd w:val="clear" w:color="auto" w:fill="FFFFFF"/>
        </w:rPr>
      </w:pPr>
    </w:p>
    <w:p w:rsidRPr="004152C2" w:rsidR="004152C2" w:rsidP="004152C2" w:rsidRDefault="00862A6E" w14:paraId="4A3496DF" w14:textId="77777777">
      <w:pPr>
        <w:tabs>
          <w:tab w:val="left" w:pos="0"/>
        </w:tabs>
        <w:spacing w:after="120" w:line="240" w:lineRule="auto"/>
        <w:jc w:val="both"/>
        <w:rPr>
          <w:rFonts w:ascii="Arial" w:hAnsi="Arial" w:cs="Arial"/>
          <w:sz w:val="20"/>
          <w:szCs w:val="20"/>
          <w:shd w:val="clear" w:color="auto" w:fill="FFFFFF"/>
        </w:rPr>
      </w:pPr>
      <w:r w:rsidRPr="004152C2">
        <w:rPr>
          <w:rFonts w:ascii="Arial" w:hAnsi="Arial" w:cs="Arial"/>
          <w:sz w:val="20"/>
          <w:szCs w:val="20"/>
          <w:shd w:val="clear" w:color="auto" w:fill="FFFFFF"/>
        </w:rPr>
        <w:t xml:space="preserve">[…] </w:t>
      </w:r>
      <w:r w:rsidRPr="004152C2" w:rsidR="004152C2">
        <w:rPr>
          <w:rFonts w:ascii="Arial" w:hAnsi="Arial" w:cs="Arial"/>
          <w:sz w:val="20"/>
          <w:szCs w:val="20"/>
          <w:shd w:val="clear" w:color="auto" w:fill="FFFFFF"/>
        </w:rPr>
        <w:t xml:space="preserve">en relación con la segunda excepción, contenida en el artículo 10 de la Ley 80 de 1993, que se presenta cuando, las personas que contraten para usar los bienes o servicios que las entidades a que se refiere el presente estatuto ofrezcan al público en condiciones comunes a quienes los soliciten. Sobre esta prerrogativa, es pertinente mencionar que, esta exige que los bienes o servicios </w:t>
      </w:r>
      <w:r w:rsidRPr="004152C2" w:rsidR="004152C2">
        <w:rPr>
          <w:rFonts w:ascii="Arial" w:hAnsi="Arial" w:cs="Arial"/>
          <w:sz w:val="20"/>
          <w:szCs w:val="20"/>
          <w:shd w:val="clear" w:color="auto" w:fill="FFFFFF"/>
        </w:rPr>
        <w:t xml:space="preserve">sean ofrecidos por las entidades estatales “(…) a que se refiere el presente estatuto”, es decir, aquellas definidas en el Estatuto General de Contratación de la Administración Pública. </w:t>
      </w:r>
    </w:p>
    <w:p w:rsidRPr="004152C2" w:rsidR="004152C2" w:rsidP="004152C2" w:rsidRDefault="004152C2" w14:paraId="0A1E5B72" w14:textId="560A917A">
      <w:pPr>
        <w:tabs>
          <w:tab w:val="left" w:pos="0"/>
        </w:tabs>
        <w:spacing w:after="120" w:line="240" w:lineRule="auto"/>
        <w:ind w:right="709"/>
        <w:jc w:val="both"/>
        <w:rPr>
          <w:rFonts w:ascii="Arial" w:hAnsi="Arial" w:cs="Arial"/>
          <w:sz w:val="20"/>
          <w:szCs w:val="20"/>
          <w:shd w:val="clear" w:color="auto" w:fill="FFFFFF"/>
        </w:rPr>
      </w:pPr>
      <w:r>
        <w:rPr>
          <w:rFonts w:ascii="Arial" w:hAnsi="Arial" w:cs="Arial"/>
          <w:sz w:val="20"/>
          <w:szCs w:val="20"/>
          <w:shd w:val="clear" w:color="auto" w:fill="FFFFFF"/>
        </w:rPr>
        <w:t>[…]</w:t>
      </w:r>
    </w:p>
    <w:p w:rsidRPr="004152C2" w:rsidR="004152C2" w:rsidP="004152C2" w:rsidRDefault="004152C2" w14:paraId="769F19CE" w14:textId="2FA6CA06">
      <w:pPr>
        <w:widowControl w:val="0"/>
        <w:autoSpaceDE w:val="0"/>
        <w:autoSpaceDN w:val="0"/>
        <w:spacing w:before="1" w:after="120" w:line="240" w:lineRule="auto"/>
        <w:jc w:val="both"/>
        <w:rPr>
          <w:rFonts w:ascii="Arial" w:hAnsi="Arial" w:eastAsia="Arial" w:cs="Arial"/>
          <w:sz w:val="20"/>
          <w:szCs w:val="20"/>
          <w:lang w:val="es-ES"/>
        </w:rPr>
      </w:pPr>
      <w:r w:rsidRPr="004152C2">
        <w:rPr>
          <w:rFonts w:ascii="Arial" w:hAnsi="Arial" w:eastAsia="Arial" w:cs="Arial"/>
          <w:sz w:val="20"/>
          <w:szCs w:val="20"/>
          <w:lang w:val="es-ES"/>
        </w:rPr>
        <w:t xml:space="preserve">Conforme con lo anterior, la excepción de celebrar contratos para usar bienes o servicios que las entidades ofrezcan al público en condiciones comunes a quienes lo soliciten, significa que los bienes y servicios que se ofrezcan en condiciones de igualdad, como por ejemplo los servicios públicos domiciliarios, los servicios hospitalarios, pueden ser adquiridos por personas que se encuentran inhabilitados en relación con otros contratos. </w:t>
      </w:r>
    </w:p>
    <w:p w:rsidRPr="004152C2" w:rsidR="004152C2" w:rsidP="004152C2" w:rsidRDefault="004152C2" w14:paraId="3C8BEC86" w14:textId="2A6235D7">
      <w:pPr>
        <w:widowControl w:val="0"/>
        <w:autoSpaceDE w:val="0"/>
        <w:autoSpaceDN w:val="0"/>
        <w:spacing w:before="1" w:after="120" w:line="240" w:lineRule="auto"/>
        <w:jc w:val="both"/>
        <w:rPr>
          <w:rFonts w:ascii="Arial" w:hAnsi="Arial" w:eastAsia="Arial" w:cs="Arial"/>
          <w:sz w:val="20"/>
          <w:szCs w:val="20"/>
          <w:lang w:val="es-ES"/>
        </w:rPr>
      </w:pPr>
      <w:r w:rsidRPr="004152C2">
        <w:rPr>
          <w:rFonts w:ascii="Arial" w:hAnsi="Arial" w:eastAsia="Arial" w:cs="Arial"/>
          <w:sz w:val="20"/>
          <w:szCs w:val="20"/>
          <w:lang w:val="es-ES"/>
        </w:rPr>
        <w:t>[…]</w:t>
      </w:r>
    </w:p>
    <w:p w:rsidRPr="004152C2" w:rsidR="004152C2" w:rsidP="004152C2" w:rsidRDefault="004152C2" w14:paraId="3DDC6558" w14:textId="0F034561">
      <w:pPr>
        <w:widowControl w:val="0"/>
        <w:autoSpaceDE w:val="0"/>
        <w:autoSpaceDN w:val="0"/>
        <w:spacing w:after="0" w:line="240" w:lineRule="auto"/>
        <w:jc w:val="both"/>
        <w:rPr>
          <w:rFonts w:ascii="Arial" w:hAnsi="Arial" w:eastAsia="Arial" w:cs="Arial"/>
          <w:sz w:val="20"/>
          <w:szCs w:val="20"/>
          <w:lang w:val="es-ES"/>
        </w:rPr>
      </w:pPr>
      <w:r w:rsidRPr="004152C2">
        <w:rPr>
          <w:rFonts w:ascii="Arial" w:hAnsi="Arial" w:eastAsia="Arial" w:cs="Arial"/>
          <w:sz w:val="20"/>
          <w:szCs w:val="20"/>
          <w:lang w:val="es-ES"/>
        </w:rPr>
        <w:t xml:space="preserve">De esta forma, puede afirmarse que, una de las exigencias para que aplique la segunda excepción del artículo 10 de la Ley 80 de 1993, es que los bienes o servicios los ofrezca el Estado, por lo que no podría entenderse que aplica cuando el particular se presenta a un procedimiento de selección o a una contratación directa, teniendo en cuenta que en ese evento, no hay libre acceso del público, ni mucho menos se está ante un servicio o bien ofrecido por una entidad sometida al Estatuto General de Contratación de la Administración Pública, pues son estas entidades las que los requieren. </w:t>
      </w:r>
    </w:p>
    <w:p w:rsidRPr="009C64D2" w:rsidR="00862A6E" w:rsidP="004152C2" w:rsidRDefault="00862A6E" w14:paraId="54799DBD" w14:textId="77777777">
      <w:pPr>
        <w:widowControl w:val="0"/>
        <w:autoSpaceDE w:val="0"/>
        <w:autoSpaceDN w:val="0"/>
        <w:spacing w:after="0" w:line="276" w:lineRule="auto"/>
        <w:jc w:val="both"/>
        <w:rPr>
          <w:rFonts w:ascii="Arial" w:hAnsi="Arial" w:eastAsia="Arial" w:cs="Arial"/>
          <w:lang w:val="es-ES"/>
        </w:rPr>
      </w:pPr>
    </w:p>
    <w:p w:rsidRPr="009C64D2" w:rsidR="00862A6E" w:rsidP="004152C2" w:rsidRDefault="00862A6E" w14:paraId="58A54143" w14:textId="77777777">
      <w:pPr>
        <w:tabs>
          <w:tab w:val="left" w:pos="709"/>
        </w:tabs>
        <w:spacing w:after="0" w:line="276" w:lineRule="auto"/>
        <w:jc w:val="both"/>
        <w:rPr>
          <w:rFonts w:ascii="Arial" w:hAnsi="Arial" w:eastAsia="Calibri" w:cs="Arial"/>
          <w:b/>
          <w:bCs/>
          <w:color w:val="000000" w:themeColor="text1"/>
          <w:sz w:val="20"/>
          <w:szCs w:val="20"/>
          <w:lang w:val="es-ES"/>
        </w:rPr>
      </w:pPr>
      <w:r w:rsidRPr="009C64D2">
        <w:rPr>
          <w:rFonts w:ascii="Arial" w:hAnsi="Arial" w:eastAsia="Calibri" w:cs="Arial"/>
          <w:b/>
          <w:bCs/>
          <w:color w:val="000000" w:themeColor="text1"/>
          <w:sz w:val="20"/>
          <w:szCs w:val="20"/>
          <w:lang w:val="es-ES"/>
        </w:rPr>
        <w:t>EXCEPCIONES – Inhabilidades – Incompatibilidades – Personas jurídicas sin ánimo de lucro – Representantes legales – Juntas o consejos directivos – Cargo – Mandato legal</w:t>
      </w:r>
    </w:p>
    <w:p w:rsidRPr="009C64D2" w:rsidR="00862A6E" w:rsidP="00862A6E" w:rsidRDefault="00862A6E" w14:paraId="56C58CDE" w14:textId="77777777">
      <w:pPr>
        <w:widowControl w:val="0"/>
        <w:autoSpaceDE w:val="0"/>
        <w:autoSpaceDN w:val="0"/>
        <w:spacing w:after="0" w:line="276" w:lineRule="auto"/>
        <w:jc w:val="both"/>
        <w:rPr>
          <w:rFonts w:ascii="Arial" w:hAnsi="Arial" w:eastAsia="Arial" w:cs="Arial"/>
          <w:lang w:val="es-ES"/>
        </w:rPr>
      </w:pPr>
    </w:p>
    <w:p w:rsidRPr="009727BC" w:rsidR="009727BC" w:rsidP="009727BC" w:rsidRDefault="009727BC" w14:paraId="306FEDBC" w14:textId="77777777">
      <w:pPr>
        <w:widowControl w:val="0"/>
        <w:autoSpaceDE w:val="0"/>
        <w:autoSpaceDN w:val="0"/>
        <w:spacing w:after="0" w:line="240" w:lineRule="auto"/>
        <w:jc w:val="both"/>
        <w:rPr>
          <w:rFonts w:ascii="Arial" w:hAnsi="Arial" w:eastAsia="Arial" w:cs="Arial"/>
          <w:sz w:val="20"/>
          <w:szCs w:val="20"/>
          <w:lang w:val="es-ES"/>
        </w:rPr>
      </w:pPr>
      <w:r w:rsidRPr="009727BC">
        <w:rPr>
          <w:rFonts w:ascii="Arial" w:hAnsi="Arial" w:eastAsia="Arial" w:cs="Arial"/>
          <w:sz w:val="20"/>
          <w:szCs w:val="20"/>
          <w:lang w:val="es-ES"/>
        </w:rPr>
        <w:t xml:space="preserve">En cuanto a la tercera excepción que se dispone en el artículo 10 de la Ley 80 de 1993, esto es, que el régimen de inhabilidades e incompatibilidades no se aplicará a “(…) las personas jurídicas sin ánimo de lucro cuyos representantes legales hagan parte de las juntas o consejos directivos en virtud de su cargo o por mandato legal o estatutario”. Del análisis de la prerrogativa señalada, se desprende, por una parte, un primer requisito que se refiere a “una persona jurídica sin ánimo de lucro”, lo que indica que esta excepción no incluye a las personas naturales ni a las personas jurídicas con ánimo de lucro. </w:t>
      </w:r>
    </w:p>
    <w:p w:rsidRPr="009C64D2" w:rsidR="00862A6E" w:rsidP="009727BC" w:rsidRDefault="00862A6E" w14:paraId="418076EF" w14:textId="77777777">
      <w:pPr>
        <w:widowControl w:val="0"/>
        <w:autoSpaceDE w:val="0"/>
        <w:autoSpaceDN w:val="0"/>
        <w:spacing w:after="0" w:line="276" w:lineRule="auto"/>
        <w:jc w:val="both"/>
        <w:rPr>
          <w:rFonts w:ascii="Arial" w:hAnsi="Arial" w:eastAsia="Arial" w:cs="Arial"/>
          <w:lang w:val="es-ES"/>
        </w:rPr>
      </w:pPr>
    </w:p>
    <w:p w:rsidRPr="009C64D2" w:rsidR="00862A6E" w:rsidP="00862A6E" w:rsidRDefault="00862A6E" w14:paraId="785F9134" w14:textId="77777777">
      <w:pPr>
        <w:tabs>
          <w:tab w:val="left" w:pos="709"/>
        </w:tabs>
        <w:spacing w:after="0" w:line="276" w:lineRule="auto"/>
        <w:jc w:val="both"/>
        <w:rPr>
          <w:rFonts w:ascii="Arial" w:hAnsi="Arial" w:eastAsia="Calibri" w:cs="Arial"/>
          <w:b/>
          <w:bCs/>
          <w:color w:val="000000" w:themeColor="text1"/>
          <w:sz w:val="20"/>
          <w:szCs w:val="20"/>
          <w:lang w:val="es-ES"/>
        </w:rPr>
      </w:pPr>
      <w:r w:rsidRPr="009C64D2">
        <w:rPr>
          <w:rFonts w:ascii="Arial" w:hAnsi="Arial" w:eastAsia="Calibri" w:cs="Arial"/>
          <w:b/>
          <w:bCs/>
          <w:color w:val="000000" w:themeColor="text1"/>
          <w:sz w:val="20"/>
          <w:szCs w:val="20"/>
          <w:lang w:val="es-ES"/>
        </w:rPr>
        <w:t>EXCEPCIONES – Inhabilidades – Incompatibilidades – Desarrollo – Artículo 60 – Constitución política</w:t>
      </w:r>
    </w:p>
    <w:p w:rsidRPr="009C64D2" w:rsidR="00862A6E" w:rsidP="00862A6E" w:rsidRDefault="00862A6E" w14:paraId="055264B1" w14:textId="77777777">
      <w:pPr>
        <w:widowControl w:val="0"/>
        <w:autoSpaceDE w:val="0"/>
        <w:autoSpaceDN w:val="0"/>
        <w:spacing w:after="0" w:line="276" w:lineRule="auto"/>
        <w:jc w:val="both"/>
        <w:rPr>
          <w:rFonts w:ascii="Arial" w:hAnsi="Arial" w:eastAsia="Arial" w:cs="Arial"/>
          <w:sz w:val="20"/>
          <w:szCs w:val="20"/>
          <w:lang w:val="es-ES"/>
        </w:rPr>
      </w:pPr>
      <w:r w:rsidRPr="009C64D2">
        <w:rPr>
          <w:rFonts w:ascii="Arial" w:hAnsi="Arial" w:eastAsia="Arial" w:cs="Arial"/>
          <w:sz w:val="20"/>
          <w:szCs w:val="20"/>
          <w:lang w:val="es-ES"/>
        </w:rPr>
        <w:t xml:space="preserve"> </w:t>
      </w:r>
    </w:p>
    <w:p w:rsidRPr="009C64D2" w:rsidR="00862A6E" w:rsidP="00862A6E" w:rsidRDefault="00862A6E" w14:paraId="44ED83E3" w14:textId="77777777">
      <w:pPr>
        <w:widowControl w:val="0"/>
        <w:autoSpaceDE w:val="0"/>
        <w:autoSpaceDN w:val="0"/>
        <w:spacing w:after="120" w:line="276" w:lineRule="auto"/>
        <w:jc w:val="both"/>
        <w:rPr>
          <w:rFonts w:ascii="Arial" w:hAnsi="Arial" w:cs="Arial"/>
          <w:sz w:val="20"/>
          <w:szCs w:val="20"/>
        </w:rPr>
      </w:pPr>
      <w:r w:rsidRPr="009C64D2">
        <w:rPr>
          <w:rFonts w:ascii="Arial" w:hAnsi="Arial" w:eastAsia="Arial" w:cs="Arial"/>
          <w:sz w:val="20"/>
          <w:szCs w:val="20"/>
          <w:lang w:val="es-ES"/>
        </w:rPr>
        <w:t>[…] respecto de la última excepción al régimen de inhabilidades e incompatibilidades contenida en el artículo 10 de la Ley 80 de 1993, “(…) quienes celebren contratos en desarrollo de lo previsto en el artículo 60 de la Constitución Política”.</w:t>
      </w:r>
    </w:p>
    <w:p w:rsidRPr="009C64D2" w:rsidR="00862A6E" w:rsidP="00862A6E" w:rsidRDefault="00862A6E" w14:paraId="66E96E09" w14:textId="77777777">
      <w:pPr>
        <w:widowControl w:val="0"/>
        <w:autoSpaceDE w:val="0"/>
        <w:autoSpaceDN w:val="0"/>
        <w:spacing w:after="120" w:line="276" w:lineRule="auto"/>
        <w:jc w:val="both"/>
        <w:rPr>
          <w:rFonts w:ascii="Arial" w:hAnsi="Arial" w:eastAsia="Arial" w:cs="Arial"/>
          <w:sz w:val="20"/>
          <w:szCs w:val="20"/>
          <w:lang w:val="es-ES"/>
        </w:rPr>
      </w:pPr>
      <w:r w:rsidRPr="009C64D2">
        <w:rPr>
          <w:rFonts w:ascii="Arial" w:hAnsi="Arial" w:eastAsia="Arial" w:cs="Arial"/>
          <w:sz w:val="20"/>
          <w:szCs w:val="20"/>
          <w:lang w:val="es-ES"/>
        </w:rPr>
        <w:t>[…]</w:t>
      </w:r>
    </w:p>
    <w:p w:rsidRPr="009C64D2" w:rsidR="00862A6E" w:rsidP="00862A6E" w:rsidRDefault="00862A6E" w14:paraId="242F2F8E" w14:textId="77777777">
      <w:pPr>
        <w:widowControl w:val="0"/>
        <w:autoSpaceDE w:val="0"/>
        <w:autoSpaceDN w:val="0"/>
        <w:spacing w:after="120" w:line="276" w:lineRule="auto"/>
        <w:jc w:val="both"/>
        <w:rPr>
          <w:rFonts w:ascii="Arial" w:hAnsi="Arial" w:cs="Arial"/>
          <w:sz w:val="20"/>
          <w:szCs w:val="20"/>
        </w:rPr>
      </w:pPr>
      <w:r w:rsidRPr="009C64D2">
        <w:rPr>
          <w:rFonts w:ascii="Arial" w:hAnsi="Arial" w:eastAsia="Arial" w:cs="Arial"/>
          <w:sz w:val="20"/>
          <w:szCs w:val="20"/>
          <w:lang w:val="es-ES"/>
        </w:rPr>
        <w:t xml:space="preserve">Como se observa, </w:t>
      </w:r>
      <w:r w:rsidRPr="009C64D2">
        <w:rPr>
          <w:rFonts w:ascii="Arial" w:hAnsi="Arial" w:cs="Arial"/>
          <w:sz w:val="20"/>
          <w:szCs w:val="20"/>
        </w:rPr>
        <w:t xml:space="preserve">el artículo 60 de la Constitución Política ordena que la ley reglamente las circunstancias dentro de las cuales se llevará a efecto el mandato de democratización de la propiedad accionaria que, estando radicada en cabeza del Estado, éste decida transferir a terceros, respecto de lo cual sólo señala que las acciones que se pretenda enajenar deberán ofrecerse bajo condiciones especiales a los trabajadores de la empresa cuya propiedad total o parcial se ha decidido vender. Bajo este supuesto de democratización de la propiedad accionaria, </w:t>
      </w:r>
      <w:r w:rsidRPr="009C64D2">
        <w:rPr>
          <w:rFonts w:ascii="Arial" w:hAnsi="Arial" w:eastAsia="Arial" w:cs="Arial"/>
          <w:sz w:val="20"/>
          <w:szCs w:val="20"/>
          <w:lang w:val="es-ES"/>
        </w:rPr>
        <w:t xml:space="preserve">quienes celebren contratos en desarrollo de lo previsto en el artículo 60 de la Constitución Política, no quedaran incursos en el régimen de inhabilidades e incompatibilidades para contratar con el Estado. </w:t>
      </w:r>
    </w:p>
    <w:p w:rsidRPr="009C64D2" w:rsidR="00862A6E" w:rsidP="00862A6E" w:rsidRDefault="00862A6E" w14:paraId="41401DB9" w14:textId="77777777">
      <w:pPr>
        <w:rPr>
          <w:rFonts w:ascii="Arial" w:hAnsi="Arial" w:cs="Arial"/>
        </w:rPr>
      </w:pPr>
    </w:p>
    <w:p w:rsidRPr="009C64D2" w:rsidR="00154967" w:rsidP="00862A6E" w:rsidRDefault="009C64D2" w14:paraId="174B11A3" w14:textId="04597E55">
      <w:pPr>
        <w:widowControl w:val="0"/>
        <w:autoSpaceDE w:val="0"/>
        <w:autoSpaceDN w:val="0"/>
        <w:spacing w:after="0" w:line="276" w:lineRule="auto"/>
        <w:rPr>
          <w:rFonts w:ascii="Arial" w:hAnsi="Arial" w:eastAsia="Times New Roman" w:cs="Arial"/>
          <w:lang w:val="es-ES" w:eastAsia="es-ES"/>
        </w:rPr>
      </w:pPr>
      <w:r w:rsidRPr="009C64D2">
        <w:rPr>
          <w:rFonts w:ascii="Arial" w:hAnsi="Arial" w:cs="Arial"/>
        </w:rPr>
        <w:t>Bogotá, 10 Julio 2023</w:t>
      </w:r>
    </w:p>
    <w:p w:rsidRPr="009C64D2" w:rsidR="00862A6E" w:rsidP="5566FEFE" w:rsidRDefault="00154967" w14:paraId="7CA9B10D" w14:textId="536EBF01" w14:noSpellErr="1">
      <w:pPr>
        <w:widowControl w:val="0"/>
        <w:autoSpaceDE w:val="0"/>
        <w:autoSpaceDN w:val="0"/>
        <w:spacing w:after="0" w:line="276" w:lineRule="auto"/>
        <w:jc w:val="right"/>
        <w:rPr>
          <w:rFonts w:ascii="Arial" w:hAnsi="Arial" w:eastAsia="Calibri" w:cs="Arial"/>
          <w:lang w:eastAsia="es-ES"/>
        </w:rPr>
      </w:pPr>
      <w:r w:rsidRPr="009C64D2">
        <w:rPr>
          <w:rFonts w:ascii="Arial" w:hAnsi="Arial" w:cs="Arial"/>
          <w:noProof/>
        </w:rPr>
        <w:drawing>
          <wp:inline distT="0" distB="0" distL="0" distR="0" wp14:anchorId="5AA26DEA" wp14:editId="74753FD7">
            <wp:extent cx="2685403" cy="777430"/>
            <wp:effectExtent l="0" t="0" r="0" b="0"/>
            <wp:docPr id="1356597259" name="Imagen 1"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597259" name=""/>
                    <pic:cNvPicPr/>
                  </pic:nvPicPr>
                  <pic:blipFill rotWithShape="1">
                    <a:blip r:embed="rId10"/>
                    <a:srcRect l="79007" t="41123" r="9372" b="48411"/>
                    <a:stretch/>
                  </pic:blipFill>
                  <pic:spPr xmlns:pic="http://schemas.openxmlformats.org/drawingml/2006/picture" bwMode="auto">
                    <a:xfrm xmlns:a="http://schemas.openxmlformats.org/drawingml/2006/main" rot="0" flipH="0" flipV="0">
                      <a:off x="0" y="0"/>
                      <a:ext cx="2685403" cy="777430"/>
                    </a:xfrm>
                    <a:prstGeom xmlns:a="http://schemas.openxmlformats.org/drawingml/2006/main" prst="rect">
                      <a:avLst/>
                    </a:prstGeom>
                    <a:ln xmlns:a="http://schemas.openxmlformats.org/drawingml/2006/main">
                      <a:noFill/>
                    </a:ln>
                    <a:extLst xmlns:a="http://schemas.openxmlformats.org/drawingml/2006/main">
                      <a:ext uri="{53640926-AAD7-44D8-BBD7-CCE9431645EC}">
                        <a14:shadowObscured xmlns:a14="http://schemas.microsoft.com/office/drawing/2010/main"/>
                      </a:ext>
                    </a:extLst>
                  </pic:spPr>
                </pic:pic>
              </a:graphicData>
            </a:graphic>
          </wp:inline>
        </w:drawing>
      </w:r>
      <w:r w:rsidRPr="009C64D2" w:rsidR="00862A6E">
        <w:rPr>
          <w:rFonts w:ascii="Arial" w:hAnsi="Arial" w:eastAsia="Calibri" w:cs="Arial"/>
          <w:lang w:eastAsia="es-ES_tradnl"/>
        </w:rPr>
        <w:tab/>
      </w:r>
    </w:p>
    <w:p w:rsidRPr="009C64D2" w:rsidR="00862A6E" w:rsidP="00862A6E" w:rsidRDefault="00862A6E" w14:paraId="14FA3091" w14:textId="77777777">
      <w:pPr>
        <w:spacing w:after="0"/>
        <w:contextualSpacing/>
        <w:jc w:val="both"/>
        <w:rPr>
          <w:rFonts w:ascii="Arial" w:hAnsi="Arial" w:eastAsia="Calibri" w:cs="Arial"/>
          <w:lang w:val="es-ES_tradnl" w:eastAsia="es-ES_tradnl"/>
        </w:rPr>
      </w:pPr>
    </w:p>
    <w:p w:rsidRPr="009C64D2" w:rsidR="00862A6E" w:rsidP="00862A6E" w:rsidRDefault="00862A6E" w14:paraId="5D25F36E" w14:textId="77777777">
      <w:pPr>
        <w:contextualSpacing/>
        <w:jc w:val="both"/>
        <w:rPr>
          <w:rFonts w:ascii="Arial" w:hAnsi="Arial" w:eastAsia="Calibri" w:cs="Arial"/>
          <w:lang w:eastAsia="es-ES_tradnl"/>
        </w:rPr>
      </w:pPr>
      <w:r w:rsidRPr="009C64D2">
        <w:rPr>
          <w:rFonts w:ascii="Arial" w:hAnsi="Arial" w:eastAsia="Calibri" w:cs="Arial"/>
          <w:lang w:eastAsia="es-ES_tradnl"/>
        </w:rPr>
        <w:t>Señor</w:t>
      </w:r>
    </w:p>
    <w:p w:rsidRPr="009C64D2" w:rsidR="00862A6E" w:rsidP="00862A6E" w:rsidRDefault="00862A6E" w14:paraId="13F8AB1D" w14:textId="77777777">
      <w:pPr>
        <w:contextualSpacing/>
        <w:jc w:val="both"/>
        <w:rPr>
          <w:rFonts w:ascii="Arial" w:hAnsi="Arial" w:eastAsia="Calibri" w:cs="Arial"/>
          <w:b/>
          <w:lang w:eastAsia="es-ES_tradnl"/>
        </w:rPr>
      </w:pPr>
      <w:r w:rsidRPr="009C64D2">
        <w:rPr>
          <w:rFonts w:ascii="Arial" w:hAnsi="Arial" w:eastAsia="Calibri" w:cs="Arial"/>
          <w:b/>
          <w:lang w:eastAsia="es-ES_tradnl"/>
        </w:rPr>
        <w:t>John Alexander Ortiz Morales</w:t>
      </w:r>
    </w:p>
    <w:p w:rsidRPr="009C64D2" w:rsidR="00862A6E" w:rsidP="00862A6E" w:rsidRDefault="00862A6E" w14:paraId="45C93D71" w14:textId="77777777">
      <w:pPr>
        <w:contextualSpacing/>
        <w:jc w:val="both"/>
        <w:rPr>
          <w:rFonts w:ascii="Arial" w:hAnsi="Arial" w:eastAsia="Calibri" w:cs="Arial"/>
          <w:bCs/>
          <w:lang w:eastAsia="es-ES_tradnl"/>
        </w:rPr>
      </w:pPr>
      <w:r w:rsidRPr="009C64D2">
        <w:rPr>
          <w:rFonts w:ascii="Arial" w:hAnsi="Arial" w:eastAsia="Calibri" w:cs="Arial"/>
          <w:bCs/>
          <w:lang w:eastAsia="es-ES_tradnl"/>
        </w:rPr>
        <w:t>Directo Operativo Control Administrativo y Vigilancia de la Conducta Oficial</w:t>
      </w:r>
    </w:p>
    <w:p w:rsidRPr="009C64D2" w:rsidR="00862A6E" w:rsidP="00862A6E" w:rsidRDefault="00862A6E" w14:paraId="544703F2" w14:textId="77777777">
      <w:pPr>
        <w:contextualSpacing/>
        <w:jc w:val="both"/>
        <w:rPr>
          <w:rFonts w:ascii="Arial" w:hAnsi="Arial" w:eastAsia="Geomanist Light" w:cs="Arial"/>
          <w:color w:val="000000" w:themeColor="text1"/>
          <w:lang w:val="es-MX"/>
        </w:rPr>
      </w:pPr>
      <w:r w:rsidRPr="009C64D2">
        <w:rPr>
          <w:rFonts w:ascii="Arial" w:hAnsi="Arial" w:eastAsia="Geomanist Light" w:cs="Arial"/>
          <w:color w:val="000000" w:themeColor="text1"/>
          <w:lang w:val="es-MX"/>
        </w:rPr>
        <w:t>Personería de Palmira</w:t>
      </w:r>
    </w:p>
    <w:p w:rsidRPr="009C64D2" w:rsidR="00862A6E" w:rsidP="00862A6E" w:rsidRDefault="00862A6E" w14:paraId="436F4A55" w14:textId="5275A25D">
      <w:pPr>
        <w:contextualSpacing/>
        <w:jc w:val="both"/>
        <w:rPr>
          <w:rFonts w:ascii="Arial" w:hAnsi="Arial" w:eastAsia="Calibri" w:cs="Arial"/>
          <w:lang w:val="es-ES_tradnl" w:eastAsia="es-ES_tradnl"/>
        </w:rPr>
      </w:pPr>
      <w:r w:rsidRPr="009C64D2">
        <w:rPr>
          <w:rFonts w:ascii="Arial" w:hAnsi="Arial" w:eastAsia="Geomanist Light" w:cs="Arial"/>
          <w:color w:val="000000" w:themeColor="text1"/>
          <w:lang w:val="es-MX"/>
        </w:rPr>
        <w:t>Palmira, V</w:t>
      </w:r>
      <w:r w:rsidRPr="009C64D2" w:rsidR="004D4E3A">
        <w:rPr>
          <w:rFonts w:ascii="Arial" w:hAnsi="Arial" w:eastAsia="Geomanist Light" w:cs="Arial"/>
          <w:color w:val="000000" w:themeColor="text1"/>
          <w:lang w:val="es-MX"/>
        </w:rPr>
        <w:t>a</w:t>
      </w:r>
      <w:r w:rsidRPr="009C64D2">
        <w:rPr>
          <w:rFonts w:ascii="Arial" w:hAnsi="Arial" w:eastAsia="Geomanist Light" w:cs="Arial"/>
          <w:color w:val="000000" w:themeColor="text1"/>
          <w:lang w:val="es-MX"/>
        </w:rPr>
        <w:t>ll</w:t>
      </w:r>
      <w:r w:rsidRPr="009C64D2" w:rsidR="004D4E3A">
        <w:rPr>
          <w:rFonts w:ascii="Arial" w:hAnsi="Arial" w:eastAsia="Geomanist Light" w:cs="Arial"/>
          <w:color w:val="000000" w:themeColor="text1"/>
          <w:lang w:val="es-MX"/>
        </w:rPr>
        <w:t>e</w:t>
      </w:r>
      <w:r w:rsidRPr="009C64D2">
        <w:rPr>
          <w:rFonts w:ascii="Arial" w:hAnsi="Arial" w:eastAsia="Geomanist Light" w:cs="Arial"/>
          <w:color w:val="000000" w:themeColor="text1"/>
          <w:lang w:val="es-MX"/>
        </w:rPr>
        <w:t xml:space="preserve"> del Cauca</w:t>
      </w:r>
    </w:p>
    <w:p w:rsidRPr="009C64D2" w:rsidR="00862A6E" w:rsidP="00862A6E" w:rsidRDefault="00862A6E" w14:paraId="1F837C8B" w14:textId="77777777">
      <w:pPr>
        <w:contextualSpacing/>
        <w:rPr>
          <w:rFonts w:ascii="Arial" w:hAnsi="Arial" w:eastAsia="Calibri" w:cs="Arial"/>
          <w:b/>
          <w:bCs/>
          <w:lang w:val="es-ES_tradnl" w:eastAsia="es-ES_tradnl"/>
        </w:rPr>
      </w:pPr>
    </w:p>
    <w:p w:rsidRPr="009C64D2" w:rsidR="004D4E3A" w:rsidP="00862A6E" w:rsidRDefault="004D4E3A" w14:paraId="4B89A885" w14:textId="77777777">
      <w:pPr>
        <w:contextualSpacing/>
        <w:rPr>
          <w:rFonts w:ascii="Arial" w:hAnsi="Arial" w:eastAsia="Calibri" w:cs="Arial"/>
          <w:b/>
          <w:bCs/>
          <w:lang w:val="es-ES_tradnl" w:eastAsia="es-ES_tradnl"/>
        </w:rPr>
      </w:pPr>
    </w:p>
    <w:p w:rsidRPr="009C64D2" w:rsidR="004D4E3A" w:rsidP="00862A6E" w:rsidRDefault="004D4E3A" w14:paraId="25F48066" w14:textId="77777777">
      <w:pPr>
        <w:contextualSpacing/>
        <w:rPr>
          <w:rFonts w:ascii="Arial" w:hAnsi="Arial" w:eastAsia="Calibri" w:cs="Arial"/>
          <w:b/>
          <w:bCs/>
          <w:lang w:val="es-ES_tradnl" w:eastAsia="es-ES_tradnl"/>
        </w:rPr>
      </w:pPr>
    </w:p>
    <w:p w:rsidRPr="009C64D2" w:rsidR="00862A6E" w:rsidP="00862A6E" w:rsidRDefault="00862A6E" w14:paraId="124D95EC" w14:textId="77777777">
      <w:pPr>
        <w:ind w:left="2124" w:firstLine="570"/>
        <w:contextualSpacing/>
        <w:rPr>
          <w:rFonts w:ascii="Arial" w:hAnsi="Arial" w:eastAsia="Calibri" w:cs="Arial"/>
          <w:b/>
          <w:bCs/>
          <w:lang w:val="es-ES_tradnl" w:eastAsia="es-ES_tradnl"/>
        </w:rPr>
      </w:pPr>
      <w:r w:rsidRPr="009C64D2">
        <w:rPr>
          <w:rFonts w:ascii="Arial" w:hAnsi="Arial" w:eastAsia="Calibri" w:cs="Arial"/>
          <w:b/>
          <w:bCs/>
          <w:lang w:val="es-ES_tradnl" w:eastAsia="es-ES_tradnl"/>
        </w:rPr>
        <w:t>Concepto C – 225 de 2023</w:t>
      </w:r>
    </w:p>
    <w:p w:rsidRPr="009C64D2" w:rsidR="00862A6E" w:rsidP="00862A6E" w:rsidRDefault="00862A6E" w14:paraId="457D45C4" w14:textId="77777777">
      <w:pPr>
        <w:contextualSpacing/>
        <w:jc w:val="both"/>
        <w:rPr>
          <w:rFonts w:ascii="Arial" w:hAnsi="Arial" w:eastAsia="Calibri" w:cs="Arial"/>
          <w:lang w:val="es-ES_tradnl" w:eastAsia="es-ES_tradnl"/>
        </w:rPr>
      </w:pPr>
    </w:p>
    <w:p w:rsidRPr="009C64D2" w:rsidR="004D4E3A" w:rsidP="00862A6E" w:rsidRDefault="004D4E3A" w14:paraId="0F9DE031" w14:textId="77777777">
      <w:pPr>
        <w:contextualSpacing/>
        <w:jc w:val="both"/>
        <w:rPr>
          <w:rFonts w:ascii="Arial" w:hAnsi="Arial" w:eastAsia="Calibri" w:cs="Arial"/>
          <w:lang w:val="es-ES_tradnl" w:eastAsia="es-ES_tradnl"/>
        </w:rPr>
      </w:pPr>
    </w:p>
    <w:tbl>
      <w:tblPr>
        <w:tblStyle w:val="Tablaconcuadrcula"/>
        <w:tblW w:w="89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237"/>
      </w:tblGrid>
      <w:tr w:rsidRPr="009C64D2" w:rsidR="00862A6E" w:rsidTr="00E4680F" w14:paraId="26A6235C" w14:textId="77777777">
        <w:tc>
          <w:tcPr>
            <w:tcW w:w="2689" w:type="dxa"/>
          </w:tcPr>
          <w:p w:rsidRPr="009C64D2" w:rsidR="00862A6E" w:rsidP="00E4680F" w:rsidRDefault="00862A6E" w14:paraId="71EA5188" w14:textId="77777777">
            <w:pPr>
              <w:contextualSpacing/>
              <w:jc w:val="both"/>
              <w:rPr>
                <w:rFonts w:ascii="Arial" w:hAnsi="Arial" w:eastAsia="Calibri" w:cs="Arial"/>
                <w:lang w:val="es-ES_tradnl" w:eastAsia="es-ES_tradnl"/>
              </w:rPr>
            </w:pPr>
            <w:r w:rsidRPr="009C64D2">
              <w:rPr>
                <w:rFonts w:ascii="Arial" w:hAnsi="Arial" w:eastAsia="Calibri" w:cs="Arial"/>
                <w:b/>
                <w:lang w:val="es-ES_tradnl" w:eastAsia="es-ES_tradnl"/>
              </w:rPr>
              <w:t>Temas:</w:t>
            </w:r>
            <w:r w:rsidRPr="009C64D2">
              <w:rPr>
                <w:rFonts w:ascii="Arial" w:hAnsi="Arial" w:eastAsia="Calibri" w:cs="Arial"/>
                <w:lang w:val="es-ES_tradnl" w:eastAsia="es-ES_tradnl"/>
              </w:rPr>
              <w:t xml:space="preserve">                                      </w:t>
            </w:r>
          </w:p>
        </w:tc>
        <w:tc>
          <w:tcPr>
            <w:tcW w:w="6237" w:type="dxa"/>
          </w:tcPr>
          <w:p w:rsidRPr="009C64D2" w:rsidR="00862A6E" w:rsidP="00E4680F" w:rsidRDefault="00862A6E" w14:paraId="4546CCBC" w14:textId="77777777">
            <w:pPr>
              <w:spacing w:after="120"/>
              <w:contextualSpacing/>
              <w:jc w:val="both"/>
              <w:rPr>
                <w:rFonts w:ascii="Arial" w:hAnsi="Arial" w:eastAsia="Calibri" w:cs="Arial"/>
                <w:bCs/>
                <w:lang w:val="es-MX" w:eastAsia="es-ES_tradnl"/>
              </w:rPr>
            </w:pPr>
            <w:r w:rsidRPr="009C64D2">
              <w:rPr>
                <w:rFonts w:ascii="Arial" w:hAnsi="Arial" w:eastAsia="Calibri" w:cs="Arial"/>
                <w:bCs/>
                <w:lang w:val="es-MX" w:eastAsia="es-ES_tradnl"/>
              </w:rPr>
              <w:t>INHABILIDADES – Definición – Finalidad – Limitación capacidad contractual / CONTRATACIÓN ESTATAL – Capacidad – Validez contratos – Régimen de contratación – Inscripción – Limitación de la capacidad / INHABILIDADES – Taxatividad – Principio de legalidad – Interpretación restrictiva / EXCEPCIONES – Inhabilidades – Incompatibilidades – Artículo 10 – Ley 80 de 1993 / EXCEPCIONES – Inhabilidades – Incompatibilidades – Obligación legal / EXCEPCIONES – Inhabilidades – Incompatibilidades – Obligación legal – Celebrar contratos − Usar bienes o servicios − Que las entidades ofrezcan al público en condiciones comunes / EXCEPCIONES – Inhabilidades – Incompatibilidades – Personas jurídicas sin ánimo de lucro – Representantes legales – Juntas o consejos directivos – Cargo – Mandato legal / EXCEPCIONES – Inhabilidades – Incompatibilidades – Desarrollo – Artículo 60 – Constitución política</w:t>
            </w:r>
          </w:p>
          <w:p w:rsidRPr="009C64D2" w:rsidR="00862A6E" w:rsidP="00E4680F" w:rsidRDefault="00862A6E" w14:paraId="48292BBA" w14:textId="77777777">
            <w:pPr>
              <w:spacing w:after="120"/>
              <w:contextualSpacing/>
              <w:jc w:val="both"/>
              <w:rPr>
                <w:rFonts w:ascii="Arial" w:hAnsi="Arial" w:eastAsia="Calibri" w:cs="Arial"/>
                <w:bCs/>
                <w:sz w:val="12"/>
                <w:szCs w:val="12"/>
                <w:lang w:val="es-MX" w:eastAsia="es-ES_tradnl"/>
              </w:rPr>
            </w:pPr>
          </w:p>
          <w:p w:rsidRPr="009C64D2" w:rsidR="00862A6E" w:rsidP="00E4680F" w:rsidRDefault="00862A6E" w14:paraId="6E7F59D5" w14:textId="77777777">
            <w:pPr>
              <w:spacing w:after="120"/>
              <w:contextualSpacing/>
              <w:jc w:val="both"/>
              <w:rPr>
                <w:rFonts w:ascii="Arial" w:hAnsi="Arial" w:eastAsia="Calibri" w:cs="Arial"/>
                <w:bCs/>
                <w:sz w:val="12"/>
                <w:szCs w:val="12"/>
                <w:lang w:val="es-ES_tradnl" w:eastAsia="es-ES_tradnl"/>
              </w:rPr>
            </w:pPr>
          </w:p>
        </w:tc>
      </w:tr>
      <w:tr w:rsidRPr="009C64D2" w:rsidR="00862A6E" w:rsidTr="00E4680F" w14:paraId="18B42153" w14:textId="77777777">
        <w:trPr>
          <w:trHeight w:val="227"/>
        </w:trPr>
        <w:tc>
          <w:tcPr>
            <w:tcW w:w="2689" w:type="dxa"/>
          </w:tcPr>
          <w:p w:rsidRPr="009C64D2" w:rsidR="00862A6E" w:rsidP="00E4680F" w:rsidRDefault="00862A6E" w14:paraId="4EA75850" w14:textId="77777777">
            <w:pPr>
              <w:contextualSpacing/>
              <w:jc w:val="both"/>
              <w:rPr>
                <w:rFonts w:ascii="Arial" w:hAnsi="Arial" w:eastAsia="Calibri" w:cs="Arial"/>
                <w:b/>
                <w:lang w:val="es-ES_tradnl" w:eastAsia="es-ES_tradnl"/>
              </w:rPr>
            </w:pPr>
            <w:r w:rsidRPr="009C64D2">
              <w:rPr>
                <w:rFonts w:ascii="Arial" w:hAnsi="Arial" w:eastAsia="Calibri" w:cs="Arial"/>
                <w:b/>
                <w:lang w:val="es-ES_tradnl" w:eastAsia="es-ES_tradnl"/>
              </w:rPr>
              <w:t>Radicación:</w:t>
            </w:r>
            <w:r w:rsidRPr="009C64D2">
              <w:rPr>
                <w:rFonts w:ascii="Arial" w:hAnsi="Arial" w:eastAsia="Calibri" w:cs="Arial"/>
                <w:lang w:val="es-ES_tradnl" w:eastAsia="es-ES_tradnl"/>
              </w:rPr>
              <w:t xml:space="preserve">                             </w:t>
            </w:r>
          </w:p>
        </w:tc>
        <w:tc>
          <w:tcPr>
            <w:tcW w:w="6237" w:type="dxa"/>
          </w:tcPr>
          <w:p w:rsidRPr="009C64D2" w:rsidR="00862A6E" w:rsidP="00E4680F" w:rsidRDefault="00862A6E" w14:paraId="04F3D161" w14:textId="77777777">
            <w:pPr>
              <w:contextualSpacing/>
              <w:jc w:val="both"/>
              <w:rPr>
                <w:rFonts w:ascii="Arial" w:hAnsi="Arial" w:eastAsia="Calibri" w:cs="Arial"/>
                <w:lang w:val="es-ES_tradnl" w:eastAsia="es-ES_tradnl"/>
              </w:rPr>
            </w:pPr>
            <w:r w:rsidRPr="009C64D2">
              <w:rPr>
                <w:rFonts w:ascii="Arial" w:hAnsi="Arial" w:eastAsia="Calibri" w:cs="Arial"/>
                <w:lang w:val="es-ES_tradnl" w:eastAsia="es-ES_tradnl"/>
              </w:rPr>
              <w:t>Respuesta a consulta P20230526011674</w:t>
            </w:r>
          </w:p>
        </w:tc>
      </w:tr>
    </w:tbl>
    <w:p w:rsidRPr="009C64D2" w:rsidR="00862A6E" w:rsidP="00862A6E" w:rsidRDefault="00862A6E" w14:paraId="516F31A3" w14:textId="77777777">
      <w:pPr>
        <w:contextualSpacing/>
        <w:jc w:val="both"/>
        <w:rPr>
          <w:rFonts w:ascii="Arial" w:hAnsi="Arial" w:eastAsia="Calibri" w:cs="Arial"/>
          <w:lang w:val="es-ES_tradnl" w:eastAsia="es-ES_tradnl"/>
        </w:rPr>
      </w:pPr>
    </w:p>
    <w:p w:rsidRPr="009C64D2" w:rsidR="00862A6E" w:rsidP="00862A6E" w:rsidRDefault="00862A6E" w14:paraId="31D014CE" w14:textId="77777777">
      <w:pPr>
        <w:contextualSpacing/>
        <w:jc w:val="both"/>
        <w:rPr>
          <w:rFonts w:ascii="Arial" w:hAnsi="Arial" w:eastAsia="Calibri" w:cs="Arial"/>
          <w:lang w:val="es-ES" w:eastAsia="es-ES"/>
        </w:rPr>
      </w:pPr>
      <w:r w:rsidRPr="009C64D2">
        <w:rPr>
          <w:rFonts w:ascii="Arial" w:hAnsi="Arial" w:eastAsia="Calibri" w:cs="Arial"/>
          <w:lang w:val="es-ES" w:eastAsia="es-ES"/>
        </w:rPr>
        <w:t xml:space="preserve">Respetado señor </w:t>
      </w:r>
      <w:r w:rsidRPr="009C64D2">
        <w:rPr>
          <w:rFonts w:ascii="Arial" w:hAnsi="Arial" w:eastAsia="Times New Roman" w:cs="Arial"/>
          <w:lang w:eastAsia="es-ES"/>
        </w:rPr>
        <w:t>Ortiz Morales</w:t>
      </w:r>
      <w:r w:rsidRPr="009C64D2">
        <w:rPr>
          <w:rFonts w:ascii="Arial" w:hAnsi="Arial" w:eastAsia="Calibri" w:cs="Arial"/>
          <w:lang w:val="es-ES" w:eastAsia="es-ES"/>
        </w:rPr>
        <w:t>:</w:t>
      </w:r>
    </w:p>
    <w:p w:rsidRPr="009C64D2" w:rsidR="00862A6E" w:rsidP="00862A6E" w:rsidRDefault="00862A6E" w14:paraId="16BAED78" w14:textId="77777777">
      <w:pPr>
        <w:spacing w:line="276" w:lineRule="auto"/>
        <w:contextualSpacing/>
        <w:jc w:val="both"/>
        <w:rPr>
          <w:rFonts w:ascii="Arial" w:hAnsi="Arial" w:eastAsia="Calibri" w:cs="Arial"/>
          <w:szCs w:val="24"/>
          <w:lang w:val="es-ES_tradnl" w:eastAsia="es-ES_tradnl"/>
        </w:rPr>
      </w:pPr>
    </w:p>
    <w:bookmarkEnd w:id="0"/>
    <w:bookmarkEnd w:id="1"/>
    <w:p w:rsidRPr="009C64D2" w:rsidR="00862A6E" w:rsidP="00862A6E" w:rsidRDefault="00862A6E" w14:paraId="1C34C4C6" w14:textId="77777777">
      <w:pPr>
        <w:spacing w:after="0" w:line="276" w:lineRule="auto"/>
        <w:jc w:val="both"/>
        <w:rPr>
          <w:rFonts w:ascii="Arial" w:hAnsi="Arial" w:eastAsia="Calibri" w:cs="Arial"/>
          <w:color w:val="000000" w:themeColor="text1"/>
          <w:lang w:val="es-ES_tradnl"/>
        </w:rPr>
      </w:pPr>
      <w:r w:rsidRPr="009C64D2">
        <w:rPr>
          <w:rFonts w:ascii="Arial" w:hAnsi="Arial" w:eastAsia="Calibri" w:cs="Arial"/>
          <w:color w:val="000000" w:themeColor="text1"/>
          <w:lang w:val="es-ES_tradnl"/>
        </w:rPr>
        <w:t>En ejercicio de la competencia otorgada por el numeral 8 del artículo 11 y el numeral 5 del artículo 3 del Decreto Ley 4170 de 2011</w:t>
      </w:r>
      <w:bookmarkStart w:name="_Hlk99120496" w:id="3"/>
      <w:r w:rsidRPr="009C64D2">
        <w:rPr>
          <w:rFonts w:ascii="Arial" w:hAnsi="Arial" w:eastAsia="Arial MT" w:cs="Arial"/>
          <w:lang w:val="es-ES"/>
        </w:rPr>
        <w:t xml:space="preserve">, </w:t>
      </w:r>
      <w:bookmarkEnd w:id="3"/>
      <w:r w:rsidRPr="009C64D2">
        <w:rPr>
          <w:rFonts w:ascii="Arial" w:hAnsi="Arial" w:eastAsia="Calibri" w:cs="Arial"/>
          <w:color w:val="000000" w:themeColor="text1"/>
          <w:lang w:val="es-ES_tradnl"/>
        </w:rPr>
        <w:t>la Agencia Nacional de Contratación Pública – Colombia Compra Eficiente responde la consulta radicada el 25 de mayo de 2023.</w:t>
      </w:r>
    </w:p>
    <w:p w:rsidRPr="009C64D2" w:rsidR="00862A6E" w:rsidP="00862A6E" w:rsidRDefault="00862A6E" w14:paraId="2F6DB1E7" w14:textId="77777777">
      <w:pPr>
        <w:spacing w:after="0" w:line="276" w:lineRule="auto"/>
        <w:jc w:val="both"/>
        <w:rPr>
          <w:rFonts w:ascii="Arial" w:hAnsi="Arial" w:eastAsia="Calibri" w:cs="Arial"/>
          <w:b/>
          <w:color w:val="000000" w:themeColor="text1"/>
          <w:lang w:val="es-ES_tradnl"/>
        </w:rPr>
      </w:pPr>
    </w:p>
    <w:p w:rsidRPr="009C64D2" w:rsidR="00862A6E" w:rsidP="00862A6E" w:rsidRDefault="00862A6E" w14:paraId="1E4EB9D2" w14:textId="77777777">
      <w:pPr>
        <w:pStyle w:val="Prrafodelista"/>
        <w:numPr>
          <w:ilvl w:val="0"/>
          <w:numId w:val="6"/>
        </w:numPr>
        <w:tabs>
          <w:tab w:val="left" w:pos="0"/>
          <w:tab w:val="left" w:pos="142"/>
          <w:tab w:val="left" w:pos="284"/>
        </w:tabs>
        <w:spacing w:after="0" w:line="276" w:lineRule="auto"/>
        <w:ind w:left="0" w:firstLine="0"/>
        <w:jc w:val="both"/>
        <w:rPr>
          <w:rFonts w:ascii="Arial" w:hAnsi="Arial" w:eastAsia="Calibri" w:cs="Arial"/>
          <w:b/>
          <w:color w:val="000000" w:themeColor="text1"/>
          <w:lang w:val="es-ES_tradnl"/>
        </w:rPr>
      </w:pPr>
      <w:r w:rsidRPr="009C64D2">
        <w:rPr>
          <w:rFonts w:ascii="Arial" w:hAnsi="Arial" w:eastAsia="Calibri" w:cs="Arial"/>
          <w:b/>
          <w:color w:val="000000" w:themeColor="text1"/>
          <w:lang w:val="es-ES_tradnl"/>
        </w:rPr>
        <w:t xml:space="preserve">Problemas planteados </w:t>
      </w:r>
    </w:p>
    <w:p w:rsidRPr="009C64D2" w:rsidR="00862A6E" w:rsidP="00862A6E" w:rsidRDefault="00862A6E" w14:paraId="4D3B6B08" w14:textId="77777777">
      <w:pPr>
        <w:tabs>
          <w:tab w:val="left" w:pos="426"/>
        </w:tabs>
        <w:spacing w:after="0" w:line="276" w:lineRule="auto"/>
        <w:jc w:val="both"/>
        <w:rPr>
          <w:rFonts w:ascii="Arial" w:hAnsi="Arial" w:eastAsia="Calibri" w:cs="Arial"/>
          <w:b/>
          <w:color w:val="000000" w:themeColor="text1"/>
          <w:lang w:val="es-ES_tradnl"/>
        </w:rPr>
      </w:pPr>
    </w:p>
    <w:p w:rsidRPr="009C64D2" w:rsidR="00862A6E" w:rsidP="00862A6E" w:rsidRDefault="00862A6E" w14:paraId="7B85DF27" w14:textId="77777777">
      <w:pPr>
        <w:spacing w:after="0" w:line="276" w:lineRule="auto"/>
        <w:jc w:val="both"/>
        <w:rPr>
          <w:rFonts w:ascii="Arial" w:hAnsi="Arial" w:cs="Arial"/>
          <w:color w:val="000000" w:themeColor="text1"/>
          <w:lang w:val="es-ES_tradnl"/>
        </w:rPr>
      </w:pPr>
      <w:r w:rsidRPr="009C64D2">
        <w:rPr>
          <w:rFonts w:ascii="Arial" w:hAnsi="Arial" w:cs="Arial"/>
          <w:color w:val="000000" w:themeColor="text1"/>
          <w:lang w:val="es-ES_tradnl"/>
        </w:rPr>
        <w:t xml:space="preserve">Usted solicita “(…) un lineamiento conceptual sobre el alcance del artículo (10mo de la Ley 80 de 1993 (…)”, según afirma, para “(…) conocer la óptica conceptual de la Agencia Nacional de Contratación Pública como Ente rector en materia de contratación pública, respecto del alcance y aplicabilidad del artículo 10mo de la Ley 810 (sic) de 1993 (…)”. </w:t>
      </w:r>
    </w:p>
    <w:p w:rsidRPr="009C64D2" w:rsidR="00862A6E" w:rsidP="00862A6E" w:rsidRDefault="00862A6E" w14:paraId="59CEE5C9" w14:textId="77777777">
      <w:pPr>
        <w:spacing w:after="0" w:line="276" w:lineRule="auto"/>
        <w:ind w:right="709"/>
        <w:jc w:val="both"/>
        <w:rPr>
          <w:rFonts w:ascii="Arial" w:hAnsi="Arial" w:cs="Arial"/>
          <w:color w:val="000000" w:themeColor="text1"/>
        </w:rPr>
      </w:pPr>
    </w:p>
    <w:p w:rsidRPr="009C64D2" w:rsidR="00862A6E" w:rsidP="00862A6E" w:rsidRDefault="00862A6E" w14:paraId="71522B5B" w14:textId="77777777">
      <w:pPr>
        <w:pStyle w:val="Prrafodelista"/>
        <w:numPr>
          <w:ilvl w:val="0"/>
          <w:numId w:val="6"/>
        </w:numPr>
        <w:tabs>
          <w:tab w:val="left" w:pos="0"/>
          <w:tab w:val="left" w:pos="284"/>
        </w:tabs>
        <w:spacing w:after="0" w:line="240" w:lineRule="auto"/>
        <w:ind w:left="0" w:firstLine="0"/>
        <w:jc w:val="both"/>
        <w:rPr>
          <w:rFonts w:ascii="Arial" w:hAnsi="Arial" w:eastAsia="Calibri" w:cs="Arial"/>
          <w:b/>
          <w:color w:val="000000" w:themeColor="text1"/>
          <w:lang w:val="es-ES_tradnl"/>
        </w:rPr>
      </w:pPr>
      <w:r w:rsidRPr="009C64D2">
        <w:rPr>
          <w:rFonts w:ascii="Arial" w:hAnsi="Arial" w:eastAsia="Calibri" w:cs="Arial"/>
          <w:b/>
          <w:color w:val="000000" w:themeColor="text1"/>
          <w:lang w:val="es-ES_tradnl"/>
        </w:rPr>
        <w:t>Consideraciones</w:t>
      </w:r>
    </w:p>
    <w:p w:rsidRPr="009C64D2" w:rsidR="00862A6E" w:rsidP="00862A6E" w:rsidRDefault="00862A6E" w14:paraId="78562C01" w14:textId="77777777">
      <w:pPr>
        <w:spacing w:after="0" w:line="276" w:lineRule="auto"/>
        <w:jc w:val="both"/>
        <w:rPr>
          <w:rFonts w:ascii="Arial" w:hAnsi="Arial" w:eastAsia="Calibri" w:cs="Arial"/>
          <w:color w:val="000000" w:themeColor="text1"/>
          <w:lang w:val="es-ES"/>
        </w:rPr>
      </w:pPr>
    </w:p>
    <w:p w:rsidRPr="009C64D2" w:rsidR="00862A6E" w:rsidP="00862A6E" w:rsidRDefault="00862A6E" w14:paraId="1CE31C93" w14:textId="77777777">
      <w:pPr>
        <w:spacing w:line="276" w:lineRule="auto"/>
        <w:jc w:val="both"/>
        <w:rPr>
          <w:rFonts w:ascii="Arial" w:hAnsi="Arial" w:cs="Arial"/>
          <w:color w:val="000000" w:themeColor="text1"/>
          <w:lang w:val="es-ES"/>
        </w:rPr>
      </w:pPr>
      <w:r w:rsidRPr="009C64D2">
        <w:rPr>
          <w:rFonts w:ascii="Arial" w:hAnsi="Arial" w:eastAsia="Calibri" w:cs="Arial"/>
          <w:color w:val="000000" w:themeColor="text1"/>
        </w:rPr>
        <w:t xml:space="preserve">Para responder los problemas planteados, </w:t>
      </w:r>
      <w:r w:rsidRPr="009C64D2">
        <w:rPr>
          <w:rFonts w:ascii="Arial" w:hAnsi="Arial" w:eastAsia="Calibri" w:cs="Arial"/>
          <w:color w:val="000000" w:themeColor="text1"/>
          <w:lang w:val="es-ES"/>
        </w:rPr>
        <w:t>se abordarán los siguientes temas</w:t>
      </w:r>
      <w:r w:rsidRPr="009C64D2">
        <w:rPr>
          <w:rFonts w:ascii="Arial" w:hAnsi="Arial" w:cs="Arial"/>
          <w:color w:val="000000" w:themeColor="text1"/>
          <w:lang w:val="es-ES"/>
        </w:rPr>
        <w:t xml:space="preserve">: i) régimen de inhabilidades e incompatibilidades para contratar con el Estado, </w:t>
      </w:r>
      <w:proofErr w:type="spellStart"/>
      <w:r w:rsidRPr="009C64D2">
        <w:rPr>
          <w:rFonts w:ascii="Arial" w:hAnsi="Arial" w:cs="Arial"/>
          <w:color w:val="000000" w:themeColor="text1"/>
          <w:lang w:val="es-ES"/>
        </w:rPr>
        <w:t>ii</w:t>
      </w:r>
      <w:proofErr w:type="spellEnd"/>
      <w:r w:rsidRPr="009C64D2">
        <w:rPr>
          <w:rFonts w:ascii="Arial" w:hAnsi="Arial" w:cs="Arial"/>
          <w:color w:val="000000" w:themeColor="text1"/>
          <w:lang w:val="es-ES"/>
        </w:rPr>
        <w:t xml:space="preserve">) límites de la capacidad contractual en relación con la reserva de ley, y la interpretación restrictiva de estas disposiciones, y </w:t>
      </w:r>
      <w:proofErr w:type="spellStart"/>
      <w:r w:rsidRPr="009C64D2">
        <w:rPr>
          <w:rFonts w:ascii="Arial" w:hAnsi="Arial" w:cs="Arial"/>
          <w:color w:val="000000" w:themeColor="text1"/>
          <w:lang w:val="es-ES"/>
        </w:rPr>
        <w:t>iii</w:t>
      </w:r>
      <w:proofErr w:type="spellEnd"/>
      <w:r w:rsidRPr="009C64D2">
        <w:rPr>
          <w:rFonts w:ascii="Arial" w:hAnsi="Arial" w:cs="Arial"/>
          <w:color w:val="000000" w:themeColor="text1"/>
          <w:lang w:val="es-ES"/>
        </w:rPr>
        <w:t xml:space="preserve">) las “Excepciones a las inhabilidades e incompatibilidades”. </w:t>
      </w:r>
    </w:p>
    <w:p w:rsidRPr="009C64D2" w:rsidR="00862A6E" w:rsidP="00862A6E" w:rsidRDefault="00862A6E" w14:paraId="4FCBF0C5" w14:textId="77777777">
      <w:pPr>
        <w:spacing w:before="120" w:after="0" w:line="276" w:lineRule="auto"/>
        <w:ind w:firstLine="709"/>
        <w:jc w:val="both"/>
        <w:rPr>
          <w:rFonts w:ascii="Arial" w:hAnsi="Arial" w:eastAsia="Calibri" w:cs="Arial"/>
          <w:color w:val="000000" w:themeColor="text1"/>
          <w:lang w:val="es-ES_tradnl"/>
        </w:rPr>
      </w:pPr>
      <w:r w:rsidRPr="009C64D2">
        <w:rPr>
          <w:rFonts w:ascii="Arial" w:hAnsi="Arial" w:eastAsia="Calibri" w:cs="Arial"/>
          <w:color w:val="000000" w:themeColor="text1"/>
          <w:lang w:val="es-ES"/>
        </w:rPr>
        <w:t xml:space="preserve">La Agencia Nacional de Contratación Pública – Colombia Compra Eficiente, en los Conceptos </w:t>
      </w:r>
      <w:r w:rsidRPr="009C64D2">
        <w:rPr>
          <w:rFonts w:ascii="Arial" w:hAnsi="Arial" w:eastAsia="Calibri" w:cs="Arial"/>
          <w:color w:val="000000" w:themeColor="text1"/>
          <w:lang w:val="es-MX"/>
        </w:rPr>
        <w:t xml:space="preserve">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w:t>
      </w:r>
      <w:r w:rsidRPr="009C64D2">
        <w:rPr>
          <w:rFonts w:ascii="Arial" w:hAnsi="Arial" w:eastAsia="Calibri" w:cs="Arial"/>
          <w:color w:val="000000" w:themeColor="text1"/>
          <w:lang w:val="es-ES_tradnl"/>
        </w:rPr>
        <w:t xml:space="preserve">C-032 del 19 de febrero de 2020, C-090 del 24 de febrero de 2020, C-125 del 3 de marzo de 2020, C-157 del 17 de marzo de 2020, 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w:t>
      </w:r>
      <w:r w:rsidRPr="009C64D2">
        <w:rPr>
          <w:rFonts w:ascii="Arial" w:hAnsi="Arial" w:eastAsia="Calibri" w:cs="Arial"/>
          <w:color w:val="000000" w:themeColor="text1"/>
          <w:lang w:val="es-ES"/>
        </w:rPr>
        <w:t>C-028 del 28 de febrero de 2022, C-318 del 18 de mayo de 2022, C-252 del 30 de mayo de 2022, C-126 del 24 de abril de 2023, C-175 del 4 de mayo de 2023, y C-208 del 20 de junio de 2023 analizó los contornos generales del régimen de inhabilidades e incompatibilidades en la contratación estatal</w:t>
      </w:r>
      <w:r w:rsidRPr="009C64D2">
        <w:rPr>
          <w:rStyle w:val="Refdenotaalpie"/>
          <w:rFonts w:ascii="Arial" w:hAnsi="Arial" w:eastAsia="Calibri" w:cs="Arial"/>
        </w:rPr>
        <w:footnoteReference w:id="1"/>
      </w:r>
      <w:r w:rsidRPr="009C64D2">
        <w:rPr>
          <w:rFonts w:ascii="Arial" w:hAnsi="Arial" w:eastAsia="Calibri" w:cs="Arial"/>
          <w:color w:val="000000" w:themeColor="text1"/>
          <w:lang w:val="es-ES"/>
        </w:rPr>
        <w:t xml:space="preserve">. </w:t>
      </w:r>
      <w:r w:rsidRPr="009C64D2">
        <w:rPr>
          <w:rFonts w:ascii="Arial" w:hAnsi="Arial" w:eastAsia="Calibri" w:cs="Arial"/>
          <w:color w:val="000000" w:themeColor="text1"/>
          <w:lang w:val="es-ES_tradnl"/>
        </w:rPr>
        <w:t xml:space="preserve">La tesis propuesta en estos conceptos se reitera a continuación y se complementa en lo pertinente de acuerdo con las preguntas realizadas. </w:t>
      </w:r>
    </w:p>
    <w:p w:rsidRPr="009C64D2" w:rsidR="00862A6E" w:rsidP="00862A6E" w:rsidRDefault="00862A6E" w14:paraId="5DE08656" w14:textId="77777777">
      <w:pPr>
        <w:pStyle w:val="Sinespaciado"/>
        <w:widowControl w:val="0"/>
        <w:autoSpaceDE w:val="0"/>
        <w:autoSpaceDN w:val="0"/>
        <w:spacing w:line="276" w:lineRule="auto"/>
        <w:jc w:val="both"/>
        <w:rPr>
          <w:rFonts w:ascii="Arial" w:hAnsi="Arial" w:cs="Arial"/>
          <w:b/>
          <w:sz w:val="22"/>
        </w:rPr>
      </w:pPr>
    </w:p>
    <w:p w:rsidRPr="009C64D2" w:rsidR="00862A6E" w:rsidP="00862A6E" w:rsidRDefault="00862A6E" w14:paraId="098E8A1B" w14:textId="77777777">
      <w:pPr>
        <w:pStyle w:val="Sinespaciado"/>
        <w:widowControl w:val="0"/>
        <w:autoSpaceDE w:val="0"/>
        <w:autoSpaceDN w:val="0"/>
        <w:spacing w:line="276" w:lineRule="auto"/>
        <w:jc w:val="both"/>
        <w:rPr>
          <w:rFonts w:ascii="Arial" w:hAnsi="Arial" w:cs="Arial"/>
          <w:b/>
          <w:sz w:val="22"/>
        </w:rPr>
      </w:pPr>
      <w:r w:rsidRPr="009C64D2">
        <w:rPr>
          <w:rFonts w:ascii="Arial" w:hAnsi="Arial" w:cs="Arial"/>
          <w:b/>
          <w:sz w:val="22"/>
        </w:rPr>
        <w:t xml:space="preserve">2.1. </w:t>
      </w:r>
      <w:bookmarkStart w:name="_Hlk73970609" w:id="4"/>
      <w:r w:rsidRPr="009C64D2">
        <w:rPr>
          <w:rFonts w:ascii="Arial" w:hAnsi="Arial" w:cs="Arial"/>
          <w:b/>
          <w:sz w:val="22"/>
        </w:rPr>
        <w:t xml:space="preserve">Régimen de inhabilidades e incompatibilidades para contratar con el Estado </w:t>
      </w:r>
      <w:bookmarkEnd w:id="4"/>
    </w:p>
    <w:p w:rsidRPr="009C64D2" w:rsidR="00862A6E" w:rsidP="00862A6E" w:rsidRDefault="00862A6E" w14:paraId="3C54E0C3" w14:textId="77777777">
      <w:pPr>
        <w:pStyle w:val="Sinespaciado"/>
        <w:spacing w:line="276" w:lineRule="auto"/>
        <w:jc w:val="both"/>
        <w:rPr>
          <w:rFonts w:ascii="Arial" w:hAnsi="Arial" w:cs="Arial"/>
          <w:sz w:val="22"/>
        </w:rPr>
      </w:pPr>
    </w:p>
    <w:p w:rsidRPr="009C64D2" w:rsidR="00862A6E" w:rsidP="00862A6E" w:rsidRDefault="00862A6E" w14:paraId="1F3F6019" w14:textId="77777777">
      <w:pPr>
        <w:pStyle w:val="Sinespaciado"/>
        <w:spacing w:after="120" w:line="276" w:lineRule="auto"/>
        <w:jc w:val="both"/>
        <w:rPr>
          <w:rFonts w:ascii="Arial" w:hAnsi="Arial" w:cs="Arial"/>
          <w:sz w:val="22"/>
        </w:rPr>
      </w:pPr>
      <w:r w:rsidRPr="009C64D2">
        <w:rPr>
          <w:rFonts w:ascii="Arial" w:hAnsi="Arial" w:cs="Arial"/>
          <w:sz w:val="22"/>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rsidRPr="009C64D2" w:rsidR="00862A6E" w:rsidP="00862A6E" w:rsidRDefault="00862A6E" w14:paraId="5D566EF4" w14:textId="77777777">
      <w:pPr>
        <w:ind w:firstLine="709"/>
        <w:jc w:val="both"/>
        <w:rPr>
          <w:rFonts w:ascii="Arial" w:hAnsi="Arial" w:cs="Arial"/>
        </w:rPr>
      </w:pPr>
      <w:r w:rsidRPr="009C64D2">
        <w:rPr>
          <w:rFonts w:ascii="Arial" w:hAnsi="Arial" w:cs="Arial"/>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9C64D2">
        <w:rPr>
          <w:rStyle w:val="Refdenotaalpie"/>
          <w:rFonts w:ascii="Arial" w:hAnsi="Arial" w:cs="Arial"/>
        </w:rPr>
        <w:footnoteReference w:id="2"/>
      </w:r>
      <w:r w:rsidRPr="009C64D2">
        <w:rPr>
          <w:rFonts w:ascii="Arial" w:hAnsi="Arial" w:cs="Arial"/>
        </w:rPr>
        <w:t>.</w:t>
      </w:r>
    </w:p>
    <w:p w:rsidRPr="009C64D2" w:rsidR="00862A6E" w:rsidP="00862A6E" w:rsidRDefault="00862A6E" w14:paraId="57EB789B" w14:textId="77777777">
      <w:pPr>
        <w:pStyle w:val="Sinespaciado"/>
        <w:spacing w:before="120" w:line="276" w:lineRule="auto"/>
        <w:ind w:firstLine="709"/>
        <w:jc w:val="both"/>
        <w:rPr>
          <w:rFonts w:ascii="Arial" w:hAnsi="Arial" w:cs="Arial"/>
          <w:sz w:val="22"/>
        </w:rPr>
      </w:pPr>
      <w:r w:rsidRPr="009C64D2">
        <w:rPr>
          <w:rFonts w:ascii="Arial" w:hAnsi="Arial"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rsidRPr="009C64D2" w:rsidR="00862A6E" w:rsidP="00862A6E" w:rsidRDefault="00862A6E" w14:paraId="7F7EB6B5" w14:textId="77777777">
      <w:pPr>
        <w:pStyle w:val="Sinespaciado"/>
        <w:spacing w:line="276" w:lineRule="auto"/>
        <w:jc w:val="both"/>
        <w:rPr>
          <w:rFonts w:ascii="Arial" w:hAnsi="Arial" w:cs="Arial"/>
          <w:sz w:val="22"/>
        </w:rPr>
      </w:pPr>
    </w:p>
    <w:p w:rsidRPr="009C64D2" w:rsidR="00862A6E" w:rsidP="00862A6E" w:rsidRDefault="007845B6" w14:paraId="3B344D3E" w14:textId="32D56F70">
      <w:pPr>
        <w:pStyle w:val="NormalWeb"/>
        <w:shd w:val="clear" w:color="auto" w:fill="FFFFFF"/>
        <w:spacing w:after="120"/>
        <w:ind w:left="709" w:right="709"/>
        <w:jc w:val="both"/>
        <w:rPr>
          <w:rFonts w:ascii="Arial" w:hAnsi="Arial" w:cs="Arial"/>
          <w:sz w:val="21"/>
          <w:szCs w:val="21"/>
          <w:lang w:val="es-ES"/>
        </w:rPr>
      </w:pPr>
      <w:r w:rsidRPr="009C64D2">
        <w:rPr>
          <w:rFonts w:ascii="Arial" w:hAnsi="Arial" w:cs="Arial"/>
          <w:sz w:val="21"/>
          <w:szCs w:val="21"/>
          <w:lang w:val="es-ES"/>
        </w:rPr>
        <w:t>“</w:t>
      </w:r>
      <w:r w:rsidRPr="009C64D2" w:rsidR="00862A6E">
        <w:rPr>
          <w:rFonts w:ascii="Arial" w:hAnsi="Arial" w:cs="Arial"/>
          <w:sz w:val="21"/>
          <w:szCs w:val="21"/>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rsidRPr="009C64D2" w:rsidR="00862A6E" w:rsidP="00862A6E" w:rsidRDefault="00862A6E" w14:paraId="6084175E" w14:textId="4169C8FB">
      <w:pPr>
        <w:pStyle w:val="NormalWeb"/>
        <w:shd w:val="clear" w:color="auto" w:fill="FFFFFF"/>
        <w:spacing w:after="0"/>
        <w:ind w:left="709" w:right="709"/>
        <w:jc w:val="both"/>
        <w:rPr>
          <w:rFonts w:ascii="Arial" w:hAnsi="Arial" w:cs="Arial"/>
          <w:sz w:val="21"/>
          <w:szCs w:val="21"/>
          <w:lang w:val="es-ES"/>
        </w:rPr>
      </w:pPr>
      <w:r w:rsidRPr="009C64D2">
        <w:rPr>
          <w:rFonts w:ascii="Arial" w:hAnsi="Arial" w:cs="Arial"/>
          <w:sz w:val="21"/>
          <w:szCs w:val="21"/>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w:t>
      </w:r>
      <w:r w:rsidRPr="009C64D2">
        <w:rPr>
          <w:rFonts w:ascii="Arial" w:hAnsi="Arial" w:cs="Arial"/>
          <w:sz w:val="21"/>
          <w:szCs w:val="21"/>
          <w:lang w:val="es-ES"/>
        </w:rPr>
        <w:t>ese fin de interés general como regla legal prevalente, esto es que puede ser impuesta sobre el derecho individual a contratar con el Estado</w:t>
      </w:r>
      <w:r w:rsidRPr="009C64D2" w:rsidR="007845B6">
        <w:rPr>
          <w:rFonts w:ascii="Arial" w:hAnsi="Arial" w:cs="Arial"/>
          <w:sz w:val="21"/>
          <w:szCs w:val="21"/>
          <w:lang w:val="es-ES"/>
        </w:rPr>
        <w:t>”</w:t>
      </w:r>
      <w:r w:rsidRPr="009C64D2">
        <w:rPr>
          <w:rStyle w:val="Refdenotaalpie"/>
          <w:rFonts w:ascii="Arial" w:hAnsi="Arial" w:cs="Arial"/>
          <w:sz w:val="21"/>
          <w:szCs w:val="21"/>
          <w:lang w:val="es-ES"/>
        </w:rPr>
        <w:footnoteReference w:id="3"/>
      </w:r>
      <w:r w:rsidRPr="009C64D2">
        <w:rPr>
          <w:rFonts w:ascii="Arial" w:hAnsi="Arial" w:cs="Arial"/>
          <w:sz w:val="21"/>
          <w:szCs w:val="21"/>
          <w:lang w:val="es-ES"/>
        </w:rPr>
        <w:t>.</w:t>
      </w:r>
    </w:p>
    <w:p w:rsidRPr="009C64D2" w:rsidR="00862A6E" w:rsidP="00862A6E" w:rsidRDefault="00862A6E" w14:paraId="468154CE" w14:textId="77777777">
      <w:pPr>
        <w:pStyle w:val="NormalWeb"/>
        <w:shd w:val="clear" w:color="auto" w:fill="FFFFFF"/>
        <w:spacing w:after="0" w:line="276" w:lineRule="auto"/>
        <w:ind w:left="709" w:right="709"/>
        <w:jc w:val="both"/>
        <w:rPr>
          <w:rFonts w:ascii="Arial" w:hAnsi="Arial" w:cs="Arial"/>
          <w:sz w:val="22"/>
          <w:szCs w:val="22"/>
          <w:lang w:val="es-ES"/>
        </w:rPr>
      </w:pPr>
    </w:p>
    <w:p w:rsidRPr="009C64D2" w:rsidR="00862A6E" w:rsidP="00862A6E" w:rsidRDefault="00862A6E" w14:paraId="6A9F2CA3" w14:textId="77777777">
      <w:pPr>
        <w:pStyle w:val="Sinespaciado"/>
        <w:spacing w:line="276" w:lineRule="auto"/>
        <w:ind w:firstLine="709"/>
        <w:jc w:val="both"/>
        <w:rPr>
          <w:rFonts w:ascii="Arial" w:hAnsi="Arial" w:cs="Arial"/>
          <w:sz w:val="22"/>
        </w:rPr>
      </w:pPr>
      <w:r w:rsidRPr="009C64D2">
        <w:rPr>
          <w:rFonts w:ascii="Arial" w:hAnsi="Arial"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rsidRPr="009C64D2" w:rsidR="00862A6E" w:rsidP="00862A6E" w:rsidRDefault="00862A6E" w14:paraId="77806631" w14:textId="77777777">
      <w:pPr>
        <w:pStyle w:val="Sinespaciado"/>
        <w:spacing w:line="276" w:lineRule="auto"/>
        <w:ind w:firstLine="709"/>
        <w:jc w:val="both"/>
        <w:rPr>
          <w:rFonts w:ascii="Arial" w:hAnsi="Arial" w:cs="Arial"/>
          <w:sz w:val="22"/>
        </w:rPr>
      </w:pPr>
    </w:p>
    <w:p w:rsidRPr="009C64D2" w:rsidR="00862A6E" w:rsidP="00862A6E" w:rsidRDefault="007845B6" w14:paraId="13DD651B" w14:textId="12494C1D">
      <w:pPr>
        <w:spacing w:line="240" w:lineRule="auto"/>
        <w:ind w:left="709" w:right="709"/>
        <w:jc w:val="both"/>
        <w:rPr>
          <w:rFonts w:ascii="Arial" w:hAnsi="Arial" w:cs="Arial"/>
          <w:sz w:val="21"/>
          <w:szCs w:val="21"/>
        </w:rPr>
      </w:pPr>
      <w:r w:rsidRPr="009C64D2">
        <w:rPr>
          <w:rFonts w:ascii="Arial" w:hAnsi="Arial" w:cs="Arial"/>
          <w:sz w:val="21"/>
          <w:szCs w:val="21"/>
        </w:rPr>
        <w:t>“</w:t>
      </w:r>
      <w:r w:rsidRPr="009C64D2" w:rsidR="00862A6E">
        <w:rPr>
          <w:rFonts w:ascii="Arial" w:hAnsi="Arial" w:cs="Arial"/>
          <w:sz w:val="21"/>
          <w:szCs w:val="21"/>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9C64D2" w:rsidR="00862A6E">
        <w:rPr>
          <w:rFonts w:ascii="Arial" w:hAnsi="Arial" w:cs="Arial"/>
          <w:sz w:val="21"/>
          <w:szCs w:val="21"/>
        </w:rPr>
        <w:t>incompatibilidades,</w:t>
      </w:r>
      <w:proofErr w:type="gramEnd"/>
      <w:r w:rsidRPr="009C64D2" w:rsidR="00862A6E">
        <w:rPr>
          <w:rFonts w:ascii="Arial" w:hAnsi="Arial" w:cs="Arial"/>
          <w:sz w:val="21"/>
          <w:szCs w:val="21"/>
        </w:rPr>
        <w:t xml:space="preserve"> se erige en causal de nulidad del contrato celebrado en esas condiciones (ley 80 de 1993, art. 44).</w:t>
      </w:r>
    </w:p>
    <w:p w:rsidRPr="009C64D2" w:rsidR="00862A6E" w:rsidP="00862A6E" w:rsidRDefault="00862A6E" w14:paraId="2F7C87AA" w14:textId="75232559">
      <w:pPr>
        <w:spacing w:after="0" w:line="240" w:lineRule="auto"/>
        <w:ind w:left="709" w:right="709"/>
        <w:jc w:val="both"/>
        <w:rPr>
          <w:rFonts w:ascii="Arial" w:hAnsi="Arial" w:cs="Arial"/>
          <w:sz w:val="21"/>
          <w:szCs w:val="21"/>
        </w:rPr>
      </w:pPr>
      <w:r w:rsidRPr="009C64D2">
        <w:rPr>
          <w:rFonts w:ascii="Arial" w:hAnsi="Arial" w:cs="Arial"/>
          <w:sz w:val="21"/>
          <w:szCs w:val="21"/>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9C64D2" w:rsidR="007845B6">
        <w:rPr>
          <w:rFonts w:ascii="Arial" w:hAnsi="Arial" w:cs="Arial"/>
          <w:sz w:val="21"/>
          <w:szCs w:val="21"/>
        </w:rPr>
        <w:t>”</w:t>
      </w:r>
      <w:r w:rsidRPr="009C64D2">
        <w:rPr>
          <w:rStyle w:val="Refdenotaalpie"/>
          <w:rFonts w:ascii="Arial" w:hAnsi="Arial" w:cs="Arial"/>
          <w:sz w:val="21"/>
          <w:szCs w:val="21"/>
        </w:rPr>
        <w:footnoteReference w:id="4"/>
      </w:r>
      <w:r w:rsidRPr="009C64D2">
        <w:rPr>
          <w:rFonts w:ascii="Arial" w:hAnsi="Arial" w:cs="Arial"/>
          <w:sz w:val="21"/>
          <w:szCs w:val="21"/>
        </w:rPr>
        <w:t>.</w:t>
      </w:r>
    </w:p>
    <w:p w:rsidRPr="009C64D2" w:rsidR="00862A6E" w:rsidP="00862A6E" w:rsidRDefault="00862A6E" w14:paraId="576D49D7" w14:textId="77777777">
      <w:pPr>
        <w:spacing w:after="0" w:line="276" w:lineRule="auto"/>
        <w:ind w:right="709"/>
        <w:jc w:val="both"/>
        <w:rPr>
          <w:rFonts w:ascii="Arial" w:hAnsi="Arial" w:cs="Arial"/>
        </w:rPr>
      </w:pPr>
    </w:p>
    <w:p w:rsidRPr="009C64D2" w:rsidR="00862A6E" w:rsidP="00862A6E" w:rsidRDefault="00862A6E" w14:paraId="16B6A914" w14:textId="77777777">
      <w:pPr>
        <w:spacing w:after="0"/>
        <w:ind w:firstLine="709"/>
        <w:jc w:val="both"/>
        <w:rPr>
          <w:rFonts w:ascii="Arial" w:hAnsi="Arial" w:cs="Arial"/>
        </w:rPr>
      </w:pPr>
      <w:r w:rsidRPr="009C64D2">
        <w:rPr>
          <w:rFonts w:ascii="Arial" w:hAnsi="Arial" w:cs="Arial"/>
        </w:rPr>
        <w:t>Además, la Corte Constitucional explica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a la luz del artículo 150 de la Constitución Política, y que en esta materia rige el principio de legalidad:</w:t>
      </w:r>
    </w:p>
    <w:p w:rsidRPr="009C64D2" w:rsidR="00862A6E" w:rsidP="00862A6E" w:rsidRDefault="00862A6E" w14:paraId="78813449" w14:textId="77777777">
      <w:pPr>
        <w:pStyle w:val="Sinespaciado"/>
        <w:tabs>
          <w:tab w:val="left" w:pos="1532"/>
        </w:tabs>
        <w:spacing w:line="276" w:lineRule="auto"/>
        <w:jc w:val="both"/>
        <w:rPr>
          <w:rFonts w:ascii="Arial" w:hAnsi="Arial" w:cs="Arial"/>
          <w:sz w:val="22"/>
        </w:rPr>
      </w:pPr>
    </w:p>
    <w:p w:rsidRPr="009C64D2" w:rsidR="00862A6E" w:rsidP="00862A6E" w:rsidRDefault="007845B6" w14:paraId="0FBFD46D" w14:textId="62AA0DF2">
      <w:pPr>
        <w:spacing w:after="0" w:line="240" w:lineRule="auto"/>
        <w:ind w:left="709" w:right="709"/>
        <w:jc w:val="both"/>
        <w:rPr>
          <w:rFonts w:ascii="Arial" w:hAnsi="Arial" w:cs="Arial"/>
          <w:sz w:val="21"/>
          <w:szCs w:val="21"/>
        </w:rPr>
      </w:pPr>
      <w:r w:rsidRPr="009C64D2">
        <w:rPr>
          <w:rFonts w:ascii="Arial" w:hAnsi="Arial" w:cs="Arial"/>
          <w:sz w:val="21"/>
          <w:szCs w:val="21"/>
        </w:rPr>
        <w:t>“</w:t>
      </w:r>
      <w:r w:rsidRPr="009C64D2" w:rsidR="00862A6E">
        <w:rPr>
          <w:rFonts w:ascii="Arial" w:hAnsi="Arial" w:cs="Arial"/>
          <w:sz w:val="21"/>
          <w:szCs w:val="21"/>
        </w:rPr>
        <w:t xml:space="preserve">Las limitaciones y restricciones que se contienen en el citado estatuto, predicables de la relación Estado-particulares y que afectan los diversos momentos de formación, celebración y ejecución de los contratos estatales, se </w:t>
      </w:r>
      <w:r w:rsidRPr="009C64D2" w:rsidR="00862A6E">
        <w:rPr>
          <w:rFonts w:ascii="Arial" w:hAnsi="Arial" w:cs="Arial"/>
          <w:sz w:val="21"/>
          <w:szCs w:val="21"/>
        </w:rPr>
        <w:t>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9C64D2" w:rsidR="00862A6E">
        <w:rPr>
          <w:rFonts w:ascii="Arial" w:hAnsi="Arial" w:cs="Arial"/>
          <w:i/>
          <w:iCs/>
          <w:sz w:val="21"/>
          <w:szCs w:val="21"/>
        </w:rPr>
        <w:t xml:space="preserve">pro </w:t>
      </w:r>
      <w:proofErr w:type="spellStart"/>
      <w:r w:rsidRPr="009C64D2" w:rsidR="00862A6E">
        <w:rPr>
          <w:rFonts w:ascii="Arial" w:hAnsi="Arial" w:cs="Arial"/>
          <w:i/>
          <w:iCs/>
          <w:sz w:val="21"/>
          <w:szCs w:val="21"/>
        </w:rPr>
        <w:t>libertate</w:t>
      </w:r>
      <w:proofErr w:type="spellEnd"/>
      <w:r w:rsidRPr="009C64D2" w:rsidR="00862A6E">
        <w:rPr>
          <w:rFonts w:ascii="Arial" w:hAnsi="Arial" w:cs="Arial"/>
          <w:sz w:val="21"/>
          <w:szCs w:val="21"/>
        </w:rPr>
        <w:t xml:space="preserve">, sino el de legalidad, el que ordena que la función pública debe someterse estrictamente a lo que disponga la Constitución y la ley (CP art. 6). </w:t>
      </w:r>
    </w:p>
    <w:p w:rsidRPr="009C64D2" w:rsidR="00862A6E" w:rsidP="00862A6E" w:rsidRDefault="00862A6E" w14:paraId="4D450F78" w14:textId="77777777">
      <w:pPr>
        <w:spacing w:after="120" w:line="240" w:lineRule="auto"/>
        <w:ind w:left="709" w:right="709"/>
        <w:jc w:val="both"/>
        <w:rPr>
          <w:rFonts w:ascii="Arial" w:hAnsi="Arial" w:cs="Arial"/>
          <w:sz w:val="21"/>
          <w:szCs w:val="21"/>
        </w:rPr>
      </w:pPr>
      <w:r w:rsidRPr="009C64D2">
        <w:rPr>
          <w:rFonts w:ascii="Arial" w:hAnsi="Arial" w:cs="Arial"/>
          <w:sz w:val="21"/>
          <w:szCs w:val="21"/>
        </w:rPr>
        <w:t xml:space="preserve">[…] </w:t>
      </w:r>
    </w:p>
    <w:p w:rsidRPr="009C64D2" w:rsidR="00862A6E" w:rsidP="00862A6E" w:rsidRDefault="00862A6E" w14:paraId="6D6F5F6F" w14:textId="0F926CAD">
      <w:pPr>
        <w:spacing w:after="0" w:line="240" w:lineRule="auto"/>
        <w:ind w:left="709" w:right="709"/>
        <w:jc w:val="both"/>
        <w:rPr>
          <w:rFonts w:ascii="Arial" w:hAnsi="Arial" w:cs="Arial"/>
          <w:sz w:val="21"/>
          <w:szCs w:val="21"/>
        </w:rPr>
      </w:pPr>
      <w:r w:rsidRPr="009C64D2">
        <w:rPr>
          <w:rFonts w:ascii="Arial" w:hAnsi="Arial" w:cs="Arial"/>
          <w:sz w:val="21"/>
          <w:szCs w:val="21"/>
        </w:rPr>
        <w:t xml:space="preserve">Se comprende con facilidad que el régimen de inhabilidades e </w:t>
      </w:r>
      <w:proofErr w:type="gramStart"/>
      <w:r w:rsidRPr="009C64D2">
        <w:rPr>
          <w:rFonts w:ascii="Arial" w:hAnsi="Arial" w:cs="Arial"/>
          <w:sz w:val="21"/>
          <w:szCs w:val="21"/>
        </w:rPr>
        <w:t>incompatibilidades,</w:t>
      </w:r>
      <w:proofErr w:type="gramEnd"/>
      <w:r w:rsidRPr="009C64D2">
        <w:rPr>
          <w:rFonts w:ascii="Arial" w:hAnsi="Arial" w:cs="Arial"/>
          <w:sz w:val="21"/>
          <w:szCs w:val="21"/>
        </w:rPr>
        <w:t xml:space="preserve"> corresponde a una materia de normal y obligada inclusión en un estatuto contractual. El legislador, a quien se ha confiado expedir el indicado estatuto, tiene, pues, competencia para establecerlo (CP art. 150)</w:t>
      </w:r>
      <w:r w:rsidRPr="009C64D2" w:rsidR="007845B6">
        <w:rPr>
          <w:rFonts w:ascii="Arial" w:hAnsi="Arial" w:cs="Arial"/>
          <w:sz w:val="21"/>
          <w:szCs w:val="21"/>
        </w:rPr>
        <w:t>”</w:t>
      </w:r>
      <w:r w:rsidRPr="009C64D2">
        <w:rPr>
          <w:rStyle w:val="Refdenotaalpie"/>
          <w:rFonts w:ascii="Arial" w:hAnsi="Arial" w:cs="Arial"/>
          <w:sz w:val="21"/>
          <w:szCs w:val="21"/>
        </w:rPr>
        <w:footnoteReference w:id="5"/>
      </w:r>
      <w:r w:rsidRPr="009C64D2">
        <w:rPr>
          <w:rFonts w:ascii="Arial" w:hAnsi="Arial" w:cs="Arial"/>
          <w:sz w:val="21"/>
          <w:szCs w:val="21"/>
        </w:rPr>
        <w:t>.</w:t>
      </w:r>
    </w:p>
    <w:p w:rsidRPr="009C64D2" w:rsidR="00862A6E" w:rsidP="00862A6E" w:rsidRDefault="00862A6E" w14:paraId="64AD144B" w14:textId="77777777">
      <w:pPr>
        <w:spacing w:after="0" w:line="276" w:lineRule="auto"/>
        <w:ind w:left="709" w:right="709"/>
        <w:jc w:val="both"/>
        <w:rPr>
          <w:rFonts w:ascii="Arial" w:hAnsi="Arial" w:cs="Arial"/>
        </w:rPr>
      </w:pPr>
    </w:p>
    <w:p w:rsidRPr="009C64D2" w:rsidR="00862A6E" w:rsidP="00862A6E" w:rsidRDefault="00862A6E" w14:paraId="5EF05B88" w14:textId="77777777">
      <w:pPr>
        <w:spacing w:after="0"/>
        <w:ind w:firstLine="709"/>
        <w:jc w:val="both"/>
        <w:rPr>
          <w:rFonts w:ascii="Arial" w:hAnsi="Arial" w:cs="Arial"/>
        </w:rPr>
      </w:pPr>
      <w:r w:rsidRPr="009C64D2">
        <w:rPr>
          <w:rFonts w:ascii="Arial" w:hAnsi="Arial" w:cs="Arial"/>
        </w:rPr>
        <w:t xml:space="preserve">Conviene también distinguir las fuentes de las inhabilidades, las cuales han sido clasificadas en dos (2) grupos: i) inhabilidades-sanción y </w:t>
      </w:r>
      <w:proofErr w:type="spellStart"/>
      <w:r w:rsidRPr="009C64D2">
        <w:rPr>
          <w:rFonts w:ascii="Arial" w:hAnsi="Arial" w:cs="Arial"/>
        </w:rPr>
        <w:t>ii</w:t>
      </w:r>
      <w:proofErr w:type="spellEnd"/>
      <w:r w:rsidRPr="009C64D2">
        <w:rPr>
          <w:rFonts w:ascii="Arial" w:hAnsi="Arial" w:cs="Arial"/>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9C64D2">
        <w:rPr>
          <w:rStyle w:val="Refdenotaalpie"/>
          <w:rFonts w:ascii="Arial" w:hAnsi="Arial" w:cs="Arial"/>
        </w:rPr>
        <w:footnoteReference w:id="6"/>
      </w:r>
      <w:r w:rsidRPr="009C64D2">
        <w:rPr>
          <w:rFonts w:ascii="Arial" w:hAnsi="Arial" w:cs="Arial"/>
        </w:rPr>
        <w:t>.</w:t>
      </w:r>
    </w:p>
    <w:p w:rsidRPr="009C64D2" w:rsidR="00862A6E" w:rsidP="00862A6E" w:rsidRDefault="00862A6E" w14:paraId="45F46BE3" w14:textId="77777777">
      <w:pPr>
        <w:spacing w:before="120" w:after="0"/>
        <w:ind w:firstLine="708"/>
        <w:jc w:val="both"/>
        <w:rPr>
          <w:rFonts w:ascii="Arial" w:hAnsi="Arial" w:cs="Arial"/>
        </w:rPr>
      </w:pPr>
      <w:r w:rsidRPr="009C64D2">
        <w:rPr>
          <w:rFonts w:ascii="Arial" w:hAnsi="Arial" w:cs="Arial"/>
        </w:rPr>
        <w:t>A manera de ejemplo, en materia contractual, los literales c), d) y j) del numeral 1 del artículo 8 de la Ley 80 de 1993</w:t>
      </w:r>
      <w:r w:rsidRPr="009C64D2">
        <w:rPr>
          <w:rStyle w:val="Refdenotaalpie"/>
          <w:rFonts w:ascii="Arial" w:hAnsi="Arial" w:cs="Arial"/>
        </w:rPr>
        <w:footnoteReference w:id="7"/>
      </w:r>
      <w:r w:rsidRPr="009C64D2">
        <w:rPr>
          <w:rFonts w:ascii="Arial" w:hAnsi="Arial" w:cs="Arial"/>
        </w:rPr>
        <w:t xml:space="preserve"> establecen inhabilidades-sanción, porque la prohibición </w:t>
      </w:r>
      <w:r w:rsidRPr="009C64D2">
        <w:rPr>
          <w:rFonts w:ascii="Arial" w:hAnsi="Arial" w:cs="Arial"/>
        </w:rPr>
        <w:t xml:space="preserve">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name="_Hlk40976328" w:id="5"/>
      <w:r w:rsidRPr="009C64D2">
        <w:rPr>
          <w:rFonts w:ascii="Arial" w:hAnsi="Arial"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5"/>
    </w:p>
    <w:p w:rsidRPr="009C64D2" w:rsidR="00862A6E" w:rsidP="00862A6E" w:rsidRDefault="00862A6E" w14:paraId="4CDBCA7E" w14:textId="77777777">
      <w:pPr>
        <w:spacing w:after="0"/>
        <w:ind w:firstLine="709"/>
        <w:jc w:val="both"/>
        <w:rPr>
          <w:rFonts w:ascii="Arial" w:hAnsi="Arial" w:cs="Arial"/>
        </w:rPr>
      </w:pPr>
    </w:p>
    <w:p w:rsidRPr="009C64D2" w:rsidR="00862A6E" w:rsidP="00862A6E" w:rsidRDefault="00862A6E" w14:paraId="26F41440" w14:textId="77777777">
      <w:pPr>
        <w:tabs>
          <w:tab w:val="left" w:pos="426"/>
        </w:tabs>
        <w:spacing w:after="0"/>
        <w:jc w:val="both"/>
        <w:rPr>
          <w:rFonts w:ascii="Arial" w:hAnsi="Arial" w:eastAsia="Calibri" w:cs="Arial"/>
          <w:b/>
          <w:lang w:val="es-ES_tradnl"/>
        </w:rPr>
      </w:pPr>
      <w:r w:rsidRPr="009C64D2">
        <w:rPr>
          <w:rFonts w:ascii="Arial" w:hAnsi="Arial" w:eastAsia="Calibri" w:cs="Arial"/>
          <w:b/>
          <w:lang w:val="es-ES_tradnl"/>
        </w:rPr>
        <w:t>2.2. Régimen de inhabilidades e incompatibilidades en la contratación estatal: un límite a la capacidad contractual. La interpretación restrictiva como criterio hermenéutico de los enunciados normativos gravosos y la reserva de ley</w:t>
      </w:r>
    </w:p>
    <w:p w:rsidRPr="009C64D2" w:rsidR="00862A6E" w:rsidP="00862A6E" w:rsidRDefault="00862A6E" w14:paraId="7CB991DF" w14:textId="77777777">
      <w:pPr>
        <w:spacing w:after="0"/>
        <w:ind w:right="709"/>
        <w:jc w:val="both"/>
        <w:rPr>
          <w:rFonts w:ascii="Arial" w:hAnsi="Arial" w:eastAsia="Calibri" w:cs="Arial"/>
          <w:lang w:val="es-ES_tradnl"/>
        </w:rPr>
      </w:pPr>
    </w:p>
    <w:p w:rsidRPr="009C64D2" w:rsidR="00862A6E" w:rsidP="00862A6E" w:rsidRDefault="00862A6E" w14:paraId="761E01CF" w14:textId="77777777">
      <w:pPr>
        <w:spacing w:after="120"/>
        <w:jc w:val="both"/>
        <w:rPr>
          <w:rFonts w:ascii="Arial" w:hAnsi="Arial" w:eastAsia="Calibri" w:cs="Arial"/>
          <w:lang w:val="es-ES_tradnl"/>
        </w:rPr>
      </w:pPr>
      <w:r w:rsidRPr="009C64D2">
        <w:rPr>
          <w:rFonts w:ascii="Arial" w:hAnsi="Arial" w:eastAsia="Calibri" w:cs="Arial"/>
          <w:lang w:val="es-ES_tradnl"/>
        </w:rPr>
        <w:t xml:space="preserve">En la contratación estatal, la </w:t>
      </w:r>
      <w:r w:rsidRPr="009C64D2">
        <w:rPr>
          <w:rFonts w:ascii="Arial" w:hAnsi="Arial" w:eastAsia="Calibri" w:cs="Arial"/>
          <w:i/>
          <w:iCs/>
          <w:lang w:val="es-ES_tradnl"/>
        </w:rPr>
        <w:t>capacidad</w:t>
      </w:r>
      <w:r w:rsidRPr="009C64D2">
        <w:rPr>
          <w:rFonts w:ascii="Arial" w:hAnsi="Arial" w:eastAsia="Calibri" w:cs="Arial"/>
          <w:lang w:val="es-ES_tradnl"/>
        </w:rPr>
        <w:t xml:space="preserve"> también es un requisito de validez de los contratos, tanto en el régimen de las entidades sujetas al Estatuto General de Contratación de la Administración Pública</w:t>
      </w:r>
      <w:r w:rsidRPr="009C64D2">
        <w:rPr>
          <w:rStyle w:val="Refdenotaalpie"/>
          <w:rFonts w:ascii="Arial" w:hAnsi="Arial" w:eastAsia="Calibri" w:cs="Arial"/>
          <w:lang w:val="es-ES_tradnl"/>
        </w:rPr>
        <w:footnoteReference w:id="8"/>
      </w:r>
      <w:r w:rsidRPr="009C64D2">
        <w:rPr>
          <w:rFonts w:ascii="Arial" w:hAnsi="Arial" w:eastAsia="Calibri" w:cs="Arial"/>
          <w:lang w:val="es-ES_tradnl"/>
        </w:rPr>
        <w:t xml:space="preserve"> como en el de las entidades exceptuadas de aquel</w:t>
      </w:r>
      <w:r w:rsidRPr="009C64D2">
        <w:rPr>
          <w:rStyle w:val="Refdenotaalpie"/>
          <w:rFonts w:ascii="Arial" w:hAnsi="Arial" w:eastAsia="Calibri" w:cs="Arial"/>
          <w:lang w:val="es-ES_tradnl"/>
        </w:rPr>
        <w:footnoteReference w:id="9"/>
      </w:r>
      <w:r w:rsidRPr="009C64D2">
        <w:rPr>
          <w:rFonts w:ascii="Arial" w:hAnsi="Arial" w:eastAsia="Calibri" w:cs="Arial"/>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9C64D2">
        <w:rPr>
          <w:rStyle w:val="Refdenotaalpie"/>
          <w:rFonts w:ascii="Arial" w:hAnsi="Arial" w:eastAsia="Calibri" w:cs="Arial"/>
          <w:lang w:val="es-ES_tradnl"/>
        </w:rPr>
        <w:footnoteReference w:id="10"/>
      </w:r>
      <w:r w:rsidRPr="009C64D2">
        <w:rPr>
          <w:rFonts w:ascii="Arial" w:hAnsi="Arial" w:eastAsia="Calibri" w:cs="Arial"/>
          <w:lang w:val="es-ES_tradnl"/>
        </w:rPr>
        <w:t xml:space="preserve">–, se destaca el régimen de inhabilidades e incompatibilidades </w:t>
      </w:r>
      <w:r w:rsidRPr="009C64D2">
        <w:rPr>
          <w:rFonts w:ascii="Arial" w:hAnsi="Arial" w:eastAsia="Calibri" w:cs="Arial"/>
          <w:lang w:val="es-ES_tradnl"/>
        </w:rPr>
        <w:t>como un conjunto de normas que imponen restricciones para los sujetos que, eventualmente, pretendan participar en los procedimientos de selección o celebrar contratos con las entidades estatales</w:t>
      </w:r>
      <w:r w:rsidRPr="009C64D2">
        <w:rPr>
          <w:rStyle w:val="Refdenotaalpie"/>
          <w:rFonts w:ascii="Arial" w:hAnsi="Arial" w:eastAsia="Calibri" w:cs="Arial"/>
          <w:lang w:val="es-ES_tradnl"/>
        </w:rPr>
        <w:footnoteReference w:id="11"/>
      </w:r>
      <w:r w:rsidRPr="009C64D2">
        <w:rPr>
          <w:rFonts w:ascii="Arial" w:hAnsi="Arial" w:eastAsia="Calibri" w:cs="Arial"/>
          <w:lang w:val="es-ES_tradnl"/>
        </w:rPr>
        <w:t>.</w:t>
      </w:r>
    </w:p>
    <w:p w:rsidRPr="009C64D2" w:rsidR="00862A6E" w:rsidP="00862A6E" w:rsidRDefault="00862A6E" w14:paraId="78384E51" w14:textId="77777777">
      <w:pPr>
        <w:spacing w:after="120"/>
        <w:ind w:firstLine="709"/>
        <w:jc w:val="both"/>
        <w:rPr>
          <w:rFonts w:ascii="Arial" w:hAnsi="Arial" w:eastAsia="Calibri" w:cs="Arial"/>
          <w:lang w:val="es-ES_tradnl"/>
        </w:rPr>
      </w:pPr>
      <w:r w:rsidRPr="009C64D2">
        <w:rPr>
          <w:rFonts w:ascii="Arial" w:hAnsi="Arial" w:eastAsia="Calibri" w:cs="Arial"/>
          <w:lang w:val="es-ES_tradnl"/>
        </w:rPr>
        <w:t>Las inhabilidades son prohibiciones para concurrir a los procedimientos de selección y para contratar con el Estado, que se derivan: i) de la existencia de comportamientos reprochables o de sanciones anteriormente impuestas</w:t>
      </w:r>
      <w:r w:rsidRPr="009C64D2">
        <w:rPr>
          <w:rStyle w:val="Refdenotaalpie"/>
          <w:rFonts w:ascii="Arial" w:hAnsi="Arial" w:eastAsia="Calibri" w:cs="Arial"/>
          <w:lang w:val="es-ES_tradnl"/>
        </w:rPr>
        <w:footnoteReference w:id="12"/>
      </w:r>
      <w:r w:rsidRPr="009C64D2">
        <w:rPr>
          <w:rFonts w:ascii="Arial" w:hAnsi="Arial" w:eastAsia="Calibri" w:cs="Arial"/>
          <w:lang w:val="es-ES_tradnl"/>
        </w:rPr>
        <w:t xml:space="preserve">, </w:t>
      </w:r>
      <w:proofErr w:type="spellStart"/>
      <w:r w:rsidRPr="009C64D2">
        <w:rPr>
          <w:rFonts w:ascii="Arial" w:hAnsi="Arial" w:eastAsia="Calibri" w:cs="Arial"/>
          <w:lang w:val="es-ES_tradnl"/>
        </w:rPr>
        <w:t>ii</w:t>
      </w:r>
      <w:proofErr w:type="spellEnd"/>
      <w:r w:rsidRPr="009C64D2">
        <w:rPr>
          <w:rFonts w:ascii="Arial" w:hAnsi="Arial" w:eastAsia="Calibri" w:cs="Arial"/>
          <w:lang w:val="es-ES_tradnl"/>
        </w:rPr>
        <w:t>) de vínculos personales relativos al parentesco o al estado civil</w:t>
      </w:r>
      <w:r w:rsidRPr="009C64D2">
        <w:rPr>
          <w:rStyle w:val="Refdenotaalpie"/>
          <w:rFonts w:ascii="Arial" w:hAnsi="Arial" w:eastAsia="Calibri" w:cs="Arial"/>
          <w:lang w:val="es-ES_tradnl"/>
        </w:rPr>
        <w:footnoteReference w:id="13"/>
      </w:r>
      <w:r w:rsidRPr="009C64D2">
        <w:rPr>
          <w:rFonts w:ascii="Arial" w:hAnsi="Arial" w:eastAsia="Calibri" w:cs="Arial"/>
          <w:lang w:val="es-ES_tradnl"/>
        </w:rPr>
        <w:t xml:space="preserve"> o </w:t>
      </w:r>
      <w:proofErr w:type="spellStart"/>
      <w:r w:rsidRPr="009C64D2">
        <w:rPr>
          <w:rFonts w:ascii="Arial" w:hAnsi="Arial" w:eastAsia="Calibri" w:cs="Arial"/>
          <w:lang w:val="es-ES_tradnl"/>
        </w:rPr>
        <w:t>iii</w:t>
      </w:r>
      <w:proofErr w:type="spellEnd"/>
      <w:r w:rsidRPr="009C64D2">
        <w:rPr>
          <w:rFonts w:ascii="Arial" w:hAnsi="Arial" w:eastAsia="Calibri" w:cs="Arial"/>
          <w:lang w:val="es-ES_tradnl"/>
        </w:rPr>
        <w:t xml:space="preserve">) de una actividad u oficio que se desempeñó en el </w:t>
      </w:r>
      <w:r w:rsidRPr="009C64D2">
        <w:rPr>
          <w:rFonts w:ascii="Arial" w:hAnsi="Arial" w:eastAsia="Calibri" w:cs="Arial"/>
          <w:lang w:val="es-ES_tradnl"/>
        </w:rPr>
        <w:t>pasado</w:t>
      </w:r>
      <w:r w:rsidRPr="009C64D2">
        <w:rPr>
          <w:rStyle w:val="Refdenotaalpie"/>
          <w:rFonts w:ascii="Arial" w:hAnsi="Arial" w:eastAsia="Calibri" w:cs="Arial"/>
          <w:lang w:val="es-ES_tradnl"/>
        </w:rPr>
        <w:footnoteReference w:id="14"/>
      </w:r>
      <w:r w:rsidRPr="009C64D2">
        <w:rPr>
          <w:rFonts w:ascii="Arial" w:hAnsi="Arial" w:eastAsia="Calibri" w:cs="Arial"/>
          <w:lang w:val="es-ES_tradnl"/>
        </w:rPr>
        <w:t>.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9C64D2">
        <w:rPr>
          <w:rStyle w:val="Refdenotaalpie"/>
          <w:rFonts w:ascii="Arial" w:hAnsi="Arial" w:eastAsia="Calibri" w:cs="Arial"/>
          <w:lang w:val="es-ES_tradnl"/>
        </w:rPr>
        <w:footnoteReference w:id="15"/>
      </w:r>
      <w:r w:rsidRPr="009C64D2">
        <w:rPr>
          <w:rFonts w:ascii="Arial" w:hAnsi="Arial" w:eastAsia="Calibri" w:cs="Arial"/>
          <w:lang w:val="es-ES_tradnl"/>
        </w:rPr>
        <w:t>. En todo caso, a pesar de la existencia de distintos criterios para diferenciar las inhabilidades de las incompatibilidades, de la presencia de ellas se derivan las mismas consecuencias jurídicas, esto es, la limitación de la capacidad contractual, como se desarrolló en el numeral 2.1. de este concepto. De manera que la presencia de ellas impide que se puedan celebrar contratos con el Estado o participar en procedimientos de selección de las entidades estatales, por lo que de cualquiera de ellas se derivan los mismos efectos jurídicos</w:t>
      </w:r>
      <w:r w:rsidRPr="009C64D2">
        <w:rPr>
          <w:rStyle w:val="Refdenotaalpie"/>
          <w:rFonts w:ascii="Arial" w:hAnsi="Arial" w:eastAsia="Calibri" w:cs="Arial"/>
          <w:lang w:val="es-ES_tradnl"/>
        </w:rPr>
        <w:footnoteReference w:id="16"/>
      </w:r>
      <w:r w:rsidRPr="009C64D2">
        <w:rPr>
          <w:rFonts w:ascii="Arial" w:hAnsi="Arial" w:eastAsia="Calibri" w:cs="Arial"/>
          <w:lang w:val="es-ES_tradnl"/>
        </w:rPr>
        <w:t>.</w:t>
      </w:r>
    </w:p>
    <w:p w:rsidRPr="009C64D2" w:rsidR="00862A6E" w:rsidP="00862A6E" w:rsidRDefault="00862A6E" w14:paraId="23217DD3" w14:textId="77777777">
      <w:pPr>
        <w:spacing w:before="120" w:after="120"/>
        <w:ind w:firstLine="709"/>
        <w:jc w:val="both"/>
        <w:rPr>
          <w:rFonts w:ascii="Arial" w:hAnsi="Arial" w:eastAsia="Calibri" w:cs="Arial"/>
          <w:lang w:val="es-ES_tradnl"/>
        </w:rPr>
      </w:pPr>
      <w:r w:rsidRPr="009C64D2">
        <w:rPr>
          <w:rFonts w:ascii="Arial" w:hAnsi="Arial" w:eastAsia="Calibri" w:cs="Arial"/>
          <w:lang w:val="es-ES_tradnl"/>
        </w:rPr>
        <w:t>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w:t>
      </w:r>
      <w:proofErr w:type="spellStart"/>
      <w:r w:rsidRPr="009C64D2">
        <w:rPr>
          <w:rFonts w:ascii="Arial" w:hAnsi="Arial" w:eastAsia="Calibri" w:cs="Arial"/>
          <w:lang w:val="es-ES_tradnl"/>
        </w:rPr>
        <w:t>neopunitiva</w:t>
      </w:r>
      <w:proofErr w:type="spellEnd"/>
      <w:r w:rsidRPr="009C64D2">
        <w:rPr>
          <w:rFonts w:ascii="Arial" w:hAnsi="Arial" w:eastAsia="Calibri" w:cs="Arial"/>
          <w:lang w:val="es-ES_tradnl"/>
        </w:rPr>
        <w:t>”</w:t>
      </w:r>
      <w:r w:rsidRPr="009C64D2">
        <w:rPr>
          <w:rStyle w:val="Refdenotaalpie"/>
          <w:rFonts w:ascii="Arial" w:hAnsi="Arial" w:eastAsia="Calibri" w:cs="Arial"/>
          <w:lang w:val="es-ES_tradnl"/>
        </w:rPr>
        <w:footnoteReference w:id="17"/>
      </w:r>
      <w:r w:rsidRPr="009C64D2">
        <w:rPr>
          <w:rFonts w:ascii="Arial" w:hAnsi="Arial" w:eastAsia="Calibri" w:cs="Arial"/>
          <w:lang w:val="es-ES_tradnl"/>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rsidRPr="009C64D2" w:rsidR="00862A6E" w:rsidP="00862A6E" w:rsidRDefault="00862A6E" w14:paraId="56E4DFFE" w14:textId="77777777">
      <w:pPr>
        <w:spacing w:before="120" w:after="120"/>
        <w:ind w:firstLine="709"/>
        <w:jc w:val="both"/>
        <w:rPr>
          <w:rFonts w:ascii="Arial" w:hAnsi="Arial" w:eastAsia="Calibri" w:cs="Arial"/>
          <w:lang w:val="es-ES_tradnl"/>
        </w:rPr>
      </w:pPr>
      <w:r w:rsidRPr="009C64D2">
        <w:rPr>
          <w:rFonts w:ascii="Arial" w:hAnsi="Arial" w:eastAsia="Calibri"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9C64D2">
        <w:rPr>
          <w:rFonts w:ascii="Arial" w:hAnsi="Arial" w:eastAsia="Calibri" w:cs="Arial"/>
          <w:i/>
          <w:iCs/>
          <w:lang w:val="es-ES_tradnl"/>
        </w:rPr>
        <w:t>restrictiva</w:t>
      </w:r>
      <w:r w:rsidRPr="009C64D2">
        <w:rPr>
          <w:rStyle w:val="Refdenotaalpie"/>
          <w:rFonts w:ascii="Arial" w:hAnsi="Arial" w:eastAsia="Calibri" w:cs="Arial"/>
          <w:i/>
          <w:iCs/>
          <w:lang w:val="es-ES_tradnl"/>
        </w:rPr>
        <w:footnoteReference w:id="18"/>
      </w:r>
      <w:r w:rsidRPr="009C64D2">
        <w:rPr>
          <w:rFonts w:ascii="Arial" w:hAnsi="Arial" w:eastAsia="Calibri" w:cs="Arial"/>
          <w:i/>
          <w:iCs/>
          <w:lang w:val="es-ES_tradnl"/>
        </w:rPr>
        <w:t xml:space="preserve">, </w:t>
      </w:r>
      <w:r w:rsidRPr="009C64D2">
        <w:rPr>
          <w:rFonts w:ascii="Arial" w:hAnsi="Arial" w:eastAsia="Calibri"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rsidRPr="009C64D2" w:rsidR="00862A6E" w:rsidP="00862A6E" w:rsidRDefault="00862A6E" w14:paraId="2571F309" w14:textId="77777777">
      <w:pPr>
        <w:spacing w:after="0"/>
        <w:ind w:firstLine="709"/>
        <w:jc w:val="both"/>
        <w:rPr>
          <w:rFonts w:ascii="Arial" w:hAnsi="Arial" w:eastAsia="Calibri" w:cs="Arial"/>
          <w:lang w:val="es-ES_tradnl"/>
        </w:rPr>
      </w:pPr>
      <w:r w:rsidRPr="009C64D2">
        <w:rPr>
          <w:rFonts w:ascii="Arial" w:hAnsi="Arial" w:eastAsia="Calibri"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9C64D2">
        <w:rPr>
          <w:rStyle w:val="Refdenotaalpie"/>
          <w:rFonts w:ascii="Arial" w:hAnsi="Arial" w:eastAsia="Calibri" w:cs="Arial"/>
          <w:lang w:val="es-ES_tradnl"/>
        </w:rPr>
        <w:footnoteReference w:id="19"/>
      </w:r>
      <w:r w:rsidRPr="009C64D2">
        <w:rPr>
          <w:rFonts w:ascii="Arial" w:hAnsi="Arial" w:eastAsia="Calibri" w:cs="Arial"/>
          <w:lang w:val="es-ES_tradnl"/>
        </w:rPr>
        <w:t xml:space="preserve">. Por su parte, el Consejo de Estado ha acogido también este criterio, considerando –como expresa la Sala de Consulta y Servicio Civil–, que “La interpretación </w:t>
      </w:r>
      <w:r w:rsidRPr="009C64D2">
        <w:rPr>
          <w:rFonts w:ascii="Arial" w:hAnsi="Arial" w:eastAsia="Calibri" w:cs="Arial"/>
          <w:lang w:val="es-ES_tradnl"/>
        </w:rPr>
        <w:t>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9C64D2">
        <w:rPr>
          <w:rStyle w:val="Refdenotaalpie"/>
          <w:rFonts w:ascii="Arial" w:hAnsi="Arial" w:eastAsia="Calibri" w:cs="Arial"/>
          <w:lang w:val="es-ES_tradnl"/>
        </w:rPr>
        <w:footnoteReference w:id="20"/>
      </w:r>
      <w:r w:rsidRPr="009C64D2">
        <w:rPr>
          <w:rFonts w:ascii="Arial" w:hAnsi="Arial" w:eastAsia="Calibri" w:cs="Arial"/>
          <w:lang w:val="es-ES_tradnl"/>
        </w:rPr>
        <w:t>. En tal sentido, la Sección Tercera ha señalado que:</w:t>
      </w:r>
    </w:p>
    <w:p w:rsidRPr="009C64D2" w:rsidR="00862A6E" w:rsidP="00862A6E" w:rsidRDefault="00862A6E" w14:paraId="1F8558FE" w14:textId="77777777">
      <w:pPr>
        <w:spacing w:after="0"/>
        <w:ind w:firstLine="709"/>
        <w:jc w:val="both"/>
        <w:rPr>
          <w:rFonts w:ascii="Arial" w:hAnsi="Arial" w:eastAsia="Calibri" w:cs="Arial"/>
          <w:lang w:val="es-ES_tradnl"/>
        </w:rPr>
      </w:pPr>
    </w:p>
    <w:p w:rsidRPr="009C64D2" w:rsidR="00862A6E" w:rsidP="00862A6E" w:rsidRDefault="002F4CCA" w14:paraId="59B3CF01" w14:textId="1801AE26">
      <w:pPr>
        <w:spacing w:after="0" w:line="240" w:lineRule="auto"/>
        <w:ind w:left="709" w:right="709"/>
        <w:jc w:val="both"/>
        <w:rPr>
          <w:rFonts w:ascii="Arial" w:hAnsi="Arial" w:eastAsia="Calibri" w:cs="Arial"/>
          <w:lang w:val="es-ES_tradnl"/>
        </w:rPr>
      </w:pPr>
      <w:r w:rsidRPr="009C64D2">
        <w:rPr>
          <w:rFonts w:ascii="Arial" w:hAnsi="Arial" w:cs="Arial"/>
          <w:sz w:val="21"/>
          <w:szCs w:val="21"/>
          <w:lang w:val="es-ES_tradnl"/>
        </w:rPr>
        <w:t>“</w:t>
      </w:r>
      <w:r w:rsidRPr="009C64D2" w:rsidR="00862A6E">
        <w:rPr>
          <w:rFonts w:ascii="Arial" w:hAnsi="Arial" w:cs="Arial"/>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9C64D2">
        <w:rPr>
          <w:rFonts w:ascii="Arial" w:hAnsi="Arial" w:cs="Arial"/>
          <w:sz w:val="21"/>
          <w:szCs w:val="21"/>
          <w:lang w:val="es-ES_tradnl"/>
        </w:rPr>
        <w:t>”</w:t>
      </w:r>
      <w:r w:rsidRPr="009C64D2" w:rsidR="00862A6E">
        <w:rPr>
          <w:rStyle w:val="Refdenotaalpie"/>
          <w:rFonts w:ascii="Arial" w:hAnsi="Arial" w:cs="Arial"/>
          <w:sz w:val="21"/>
          <w:szCs w:val="21"/>
          <w:lang w:val="es-ES_tradnl"/>
        </w:rPr>
        <w:footnoteReference w:id="21"/>
      </w:r>
      <w:r w:rsidRPr="009C64D2" w:rsidR="00862A6E">
        <w:rPr>
          <w:rFonts w:ascii="Arial" w:hAnsi="Arial" w:cs="Arial"/>
          <w:sz w:val="21"/>
          <w:szCs w:val="21"/>
          <w:lang w:val="es-ES_tradnl"/>
        </w:rPr>
        <w:t>.</w:t>
      </w:r>
    </w:p>
    <w:p w:rsidRPr="009C64D2" w:rsidR="00862A6E" w:rsidP="00862A6E" w:rsidRDefault="00862A6E" w14:paraId="6219452F" w14:textId="77777777">
      <w:pPr>
        <w:spacing w:after="0" w:line="276" w:lineRule="auto"/>
        <w:ind w:firstLine="709"/>
        <w:jc w:val="both"/>
        <w:rPr>
          <w:rFonts w:ascii="Arial" w:hAnsi="Arial" w:eastAsia="Calibri" w:cs="Arial"/>
          <w:lang w:val="es-ES_tradnl"/>
        </w:rPr>
      </w:pPr>
    </w:p>
    <w:p w:rsidRPr="009C64D2" w:rsidR="00862A6E" w:rsidP="00862A6E" w:rsidRDefault="00862A6E" w14:paraId="7E800485" w14:textId="77777777">
      <w:pPr>
        <w:ind w:firstLine="709"/>
        <w:jc w:val="both"/>
        <w:rPr>
          <w:rFonts w:ascii="Arial" w:hAnsi="Arial" w:eastAsia="Calibri" w:cs="Arial"/>
          <w:lang w:val="es-ES_tradnl"/>
        </w:rPr>
      </w:pPr>
      <w:r w:rsidRPr="009C64D2">
        <w:rPr>
          <w:rFonts w:ascii="Arial" w:hAnsi="Arial" w:eastAsia="Calibri" w:cs="Arial"/>
          <w:lang w:val="es-ES_tradnl"/>
        </w:rPr>
        <w:t>También ha dicho que:</w:t>
      </w:r>
    </w:p>
    <w:p w:rsidRPr="009C64D2" w:rsidR="00862A6E" w:rsidP="00862A6E" w:rsidRDefault="002F4CCA" w14:paraId="103A6A77" w14:textId="36983914">
      <w:pPr>
        <w:spacing w:after="0" w:line="240" w:lineRule="auto"/>
        <w:ind w:left="709" w:right="616"/>
        <w:jc w:val="both"/>
        <w:rPr>
          <w:rFonts w:ascii="Arial" w:hAnsi="Arial" w:cs="Arial"/>
          <w:sz w:val="21"/>
          <w:szCs w:val="21"/>
          <w:lang w:val="es-ES_tradnl"/>
        </w:rPr>
      </w:pPr>
      <w:r w:rsidRPr="009C64D2">
        <w:rPr>
          <w:rFonts w:ascii="Arial" w:hAnsi="Arial" w:cs="Arial"/>
          <w:sz w:val="21"/>
          <w:szCs w:val="21"/>
          <w:lang w:val="es-ES_tradnl"/>
        </w:rPr>
        <w:t>“</w:t>
      </w:r>
      <w:r w:rsidRPr="009C64D2" w:rsidR="00862A6E">
        <w:rPr>
          <w:rFonts w:ascii="Arial" w:hAnsi="Arial" w:cs="Arial"/>
          <w:sz w:val="21"/>
          <w:szCs w:val="21"/>
          <w:lang w:val="es-ES_tradnl"/>
        </w:rPr>
        <w:t xml:space="preserve">[…] la aplicación de estos preceptos exige una interpretación restrictiva, dado que según el principio hermenéutico </w:t>
      </w:r>
      <w:r w:rsidRPr="009C64D2" w:rsidR="00862A6E">
        <w:rPr>
          <w:rFonts w:ascii="Arial" w:hAnsi="Arial" w:cs="Arial"/>
          <w:i/>
          <w:iCs/>
          <w:sz w:val="21"/>
          <w:szCs w:val="21"/>
          <w:lang w:val="es-ES_tradnl"/>
        </w:rPr>
        <w:t xml:space="preserve">pro </w:t>
      </w:r>
      <w:proofErr w:type="spellStart"/>
      <w:r w:rsidRPr="009C64D2" w:rsidR="00862A6E">
        <w:rPr>
          <w:rFonts w:ascii="Arial" w:hAnsi="Arial" w:cs="Arial"/>
          <w:i/>
          <w:iCs/>
          <w:sz w:val="21"/>
          <w:szCs w:val="21"/>
          <w:lang w:val="es-ES_tradnl"/>
        </w:rPr>
        <w:t>libertate</w:t>
      </w:r>
      <w:proofErr w:type="spellEnd"/>
      <w:r w:rsidRPr="009C64D2" w:rsidR="00862A6E">
        <w:rPr>
          <w:rFonts w:ascii="Arial" w:hAnsi="Arial" w:cs="Arial"/>
          <w:sz w:val="21"/>
          <w:szCs w:val="21"/>
          <w:lang w:val="es-ES_tradnl"/>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9C64D2">
        <w:rPr>
          <w:rFonts w:ascii="Arial" w:hAnsi="Arial" w:cs="Arial"/>
          <w:sz w:val="21"/>
          <w:szCs w:val="21"/>
          <w:lang w:val="es-ES_tradnl"/>
        </w:rPr>
        <w:t>”</w:t>
      </w:r>
      <w:r w:rsidRPr="009C64D2" w:rsidR="00862A6E">
        <w:rPr>
          <w:rStyle w:val="Refdenotaalpie"/>
          <w:rFonts w:ascii="Arial" w:hAnsi="Arial" w:cs="Arial"/>
          <w:sz w:val="21"/>
          <w:szCs w:val="21"/>
          <w:lang w:val="es-ES_tradnl"/>
        </w:rPr>
        <w:footnoteReference w:id="22"/>
      </w:r>
      <w:r w:rsidRPr="009C64D2" w:rsidR="00862A6E">
        <w:rPr>
          <w:rFonts w:ascii="Arial" w:hAnsi="Arial" w:cs="Arial"/>
          <w:sz w:val="21"/>
          <w:szCs w:val="21"/>
          <w:lang w:val="es-ES_tradnl"/>
        </w:rPr>
        <w:t>.</w:t>
      </w:r>
    </w:p>
    <w:p w:rsidRPr="009C64D2" w:rsidR="00862A6E" w:rsidP="00862A6E" w:rsidRDefault="00862A6E" w14:paraId="2C130C5B" w14:textId="77777777">
      <w:pPr>
        <w:spacing w:after="0"/>
        <w:ind w:firstLine="708"/>
        <w:jc w:val="both"/>
        <w:rPr>
          <w:rFonts w:ascii="Arial" w:hAnsi="Arial" w:eastAsia="Arial" w:cs="Arial"/>
          <w:color w:val="000000"/>
          <w:lang w:val="es-ES_tradnl"/>
        </w:rPr>
      </w:pPr>
    </w:p>
    <w:p w:rsidRPr="009C64D2" w:rsidR="00862A6E" w:rsidP="00862A6E" w:rsidRDefault="00862A6E" w14:paraId="71CDD094" w14:textId="77777777">
      <w:pPr>
        <w:spacing w:after="120"/>
        <w:ind w:firstLine="708"/>
        <w:jc w:val="both"/>
        <w:rPr>
          <w:rFonts w:ascii="Arial" w:hAnsi="Arial" w:cs="Arial"/>
          <w:color w:val="000000" w:themeColor="text1"/>
        </w:rPr>
      </w:pPr>
      <w:r w:rsidRPr="009C64D2">
        <w:rPr>
          <w:rFonts w:ascii="Arial" w:hAnsi="Arial" w:eastAsia="Arial" w:cs="Arial"/>
          <w:color w:val="000000"/>
          <w:lang w:val="es-ES_tradnl"/>
        </w:rPr>
        <w:t xml:space="preserve">Como se aprecia, el principio </w:t>
      </w:r>
      <w:r w:rsidRPr="009C64D2">
        <w:rPr>
          <w:rFonts w:ascii="Arial" w:hAnsi="Arial" w:eastAsia="Arial" w:cs="Arial"/>
          <w:i/>
          <w:iCs/>
          <w:color w:val="000000"/>
          <w:lang w:val="es-ES_tradnl"/>
        </w:rPr>
        <w:t xml:space="preserve">pro </w:t>
      </w:r>
      <w:proofErr w:type="spellStart"/>
      <w:r w:rsidRPr="009C64D2">
        <w:rPr>
          <w:rFonts w:ascii="Arial" w:hAnsi="Arial" w:eastAsia="Arial" w:cs="Arial"/>
          <w:i/>
          <w:iCs/>
          <w:color w:val="000000"/>
          <w:lang w:val="es-ES_tradnl"/>
        </w:rPr>
        <w:t>libertate</w:t>
      </w:r>
      <w:proofErr w:type="spellEnd"/>
      <w:r w:rsidRPr="009C64D2">
        <w:rPr>
          <w:rFonts w:ascii="Arial" w:hAnsi="Arial" w:eastAsia="Arial"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9C64D2">
        <w:rPr>
          <w:rFonts w:ascii="Arial" w:hAnsi="Arial" w:cs="Arial"/>
          <w:color w:val="000000" w:themeColor="text1"/>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9C64D2">
        <w:rPr>
          <w:rStyle w:val="Refdenotaalpie"/>
          <w:rFonts w:ascii="Arial" w:hAnsi="Arial" w:cs="Arial"/>
          <w:color w:val="000000" w:themeColor="text1"/>
        </w:rPr>
        <w:footnoteReference w:id="23"/>
      </w:r>
    </w:p>
    <w:p w:rsidRPr="009C64D2" w:rsidR="00862A6E" w:rsidP="00862A6E" w:rsidRDefault="00862A6E" w14:paraId="7FC7AF94" w14:textId="77777777">
      <w:pPr>
        <w:spacing w:after="0"/>
        <w:ind w:firstLine="709"/>
        <w:jc w:val="both"/>
        <w:rPr>
          <w:rFonts w:ascii="Arial" w:hAnsi="Arial" w:cs="Arial"/>
          <w:color w:val="000000"/>
          <w:shd w:val="clear" w:color="auto" w:fill="FFFFFF"/>
        </w:rPr>
      </w:pPr>
      <w:r w:rsidRPr="009C64D2">
        <w:rPr>
          <w:rFonts w:ascii="Arial" w:hAnsi="Arial" w:cs="Arial"/>
          <w:shd w:val="clear" w:color="auto" w:fill="FFFFFF"/>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9C64D2">
        <w:rPr>
          <w:rStyle w:val="Refdenotaalpie"/>
          <w:rFonts w:ascii="Arial" w:hAnsi="Arial" w:cs="Arial"/>
          <w:shd w:val="clear" w:color="auto" w:fill="FFFFFF"/>
        </w:rPr>
        <w:footnoteReference w:id="24"/>
      </w:r>
      <w:r w:rsidRPr="009C64D2">
        <w:rPr>
          <w:rFonts w:ascii="Arial" w:hAnsi="Arial" w:cs="Arial"/>
          <w:shd w:val="clear" w:color="auto" w:fill="FFFFFF"/>
        </w:rPr>
        <w:t xml:space="preserve"> En similar sentido, la Sala de Consulta y Servicio Civil del Consejo de Estado expresó </w:t>
      </w:r>
      <w:r w:rsidRPr="009C64D2">
        <w:rPr>
          <w:rFonts w:ascii="Arial" w:hAnsi="Arial" w:cs="Arial"/>
          <w:color w:val="000000"/>
          <w:shd w:val="clear" w:color="auto" w:fill="FFFFFF"/>
        </w:rPr>
        <w:t>que “[…] las causales de inhabilidad e incompatibilidad deben estar expresa y taxativamente establecidas en la Constitución o en la ley y son de aplicación e interpretación restrictivas […]”</w:t>
      </w:r>
      <w:r w:rsidRPr="009C64D2">
        <w:rPr>
          <w:rStyle w:val="Refdenotaalpie"/>
          <w:rFonts w:ascii="Arial" w:hAnsi="Arial" w:cs="Arial"/>
          <w:color w:val="000000"/>
          <w:shd w:val="clear" w:color="auto" w:fill="FFFFFF"/>
        </w:rPr>
        <w:footnoteReference w:id="25"/>
      </w:r>
      <w:r w:rsidRPr="009C64D2">
        <w:rPr>
          <w:rFonts w:ascii="Arial" w:hAnsi="Arial" w:cs="Arial"/>
          <w:color w:val="000000"/>
          <w:shd w:val="clear" w:color="auto" w:fill="FFFFFF"/>
        </w:rPr>
        <w:t xml:space="preserve">. En este sentido, como se observa, existe consenso, incluso como lo ha expresado esta Agencia en ocasiones anteriores, que la creación de inhabilidades o incompatibilidades está reservada al constituyente o al legislador. </w:t>
      </w:r>
    </w:p>
    <w:p w:rsidRPr="009C64D2" w:rsidR="00862A6E" w:rsidP="00862A6E" w:rsidRDefault="00862A6E" w14:paraId="2AA7BDAC" w14:textId="77777777">
      <w:pPr>
        <w:spacing w:after="0"/>
        <w:jc w:val="both"/>
        <w:rPr>
          <w:rFonts w:ascii="Arial" w:hAnsi="Arial" w:eastAsia="Calibri" w:cs="Arial"/>
          <w:lang w:val="es-ES_tradnl"/>
        </w:rPr>
      </w:pPr>
    </w:p>
    <w:p w:rsidRPr="009C64D2" w:rsidR="00862A6E" w:rsidP="00862A6E" w:rsidRDefault="00862A6E" w14:paraId="00244189" w14:textId="44DC7E64">
      <w:pPr>
        <w:spacing w:after="0"/>
        <w:jc w:val="both"/>
        <w:rPr>
          <w:rFonts w:ascii="Arial" w:hAnsi="Arial" w:eastAsia="Calibri" w:cs="Arial"/>
          <w:b/>
          <w:bCs/>
          <w:lang w:val="es-ES_tradnl"/>
        </w:rPr>
      </w:pPr>
      <w:r w:rsidRPr="009C64D2">
        <w:rPr>
          <w:rFonts w:ascii="Arial" w:hAnsi="Arial" w:eastAsia="Calibri" w:cs="Arial"/>
          <w:b/>
          <w:bCs/>
          <w:lang w:val="es-ES_tradnl"/>
        </w:rPr>
        <w:t>2.3</w:t>
      </w:r>
      <w:r w:rsidRPr="009C64D2" w:rsidR="00B06133">
        <w:rPr>
          <w:rFonts w:ascii="Arial" w:hAnsi="Arial" w:eastAsia="Calibri" w:cs="Arial"/>
          <w:b/>
          <w:bCs/>
          <w:lang w:val="es-ES_tradnl"/>
        </w:rPr>
        <w:t>.</w:t>
      </w:r>
      <w:r w:rsidRPr="009C64D2">
        <w:rPr>
          <w:rFonts w:ascii="Arial" w:hAnsi="Arial" w:eastAsia="Calibri" w:cs="Arial"/>
          <w:b/>
          <w:bCs/>
          <w:lang w:val="es-ES_tradnl"/>
        </w:rPr>
        <w:t xml:space="preserve"> Excepciones a l</w:t>
      </w:r>
      <w:r w:rsidRPr="009C64D2" w:rsidR="00B4062B">
        <w:rPr>
          <w:rFonts w:ascii="Arial" w:hAnsi="Arial" w:eastAsia="Calibri" w:cs="Arial"/>
          <w:b/>
          <w:bCs/>
          <w:lang w:val="es-ES_tradnl"/>
        </w:rPr>
        <w:t>a configuración de</w:t>
      </w:r>
      <w:r w:rsidRPr="009C64D2">
        <w:rPr>
          <w:rFonts w:ascii="Arial" w:hAnsi="Arial" w:eastAsia="Calibri" w:cs="Arial"/>
          <w:b/>
          <w:bCs/>
          <w:lang w:val="es-ES_tradnl"/>
        </w:rPr>
        <w:t xml:space="preserve"> inhabilidades e incompatibilidades</w:t>
      </w:r>
      <w:r w:rsidRPr="009C64D2" w:rsidR="00B4062B">
        <w:rPr>
          <w:rFonts w:ascii="Arial" w:hAnsi="Arial" w:eastAsia="Calibri" w:cs="Arial"/>
          <w:b/>
          <w:bCs/>
          <w:lang w:val="es-ES_tradnl"/>
        </w:rPr>
        <w:t>. Alcance</w:t>
      </w:r>
      <w:r w:rsidRPr="009C64D2" w:rsidR="005E664E">
        <w:rPr>
          <w:rFonts w:ascii="Arial" w:hAnsi="Arial" w:eastAsia="Calibri" w:cs="Arial"/>
          <w:b/>
          <w:bCs/>
          <w:lang w:val="es-ES_tradnl"/>
        </w:rPr>
        <w:t xml:space="preserve"> </w:t>
      </w:r>
      <w:r w:rsidRPr="009C64D2" w:rsidR="00B4062B">
        <w:rPr>
          <w:rFonts w:ascii="Arial" w:hAnsi="Arial" w:eastAsia="Calibri" w:cs="Arial"/>
          <w:b/>
          <w:bCs/>
          <w:lang w:val="es-ES_tradnl"/>
        </w:rPr>
        <w:t>del artículo 10 de la Ley 80 de 1993.</w:t>
      </w:r>
      <w:r w:rsidRPr="009C64D2">
        <w:rPr>
          <w:rFonts w:ascii="Arial" w:hAnsi="Arial" w:eastAsia="Calibri" w:cs="Arial"/>
          <w:b/>
          <w:bCs/>
          <w:lang w:val="es-ES_tradnl"/>
        </w:rPr>
        <w:t xml:space="preserve"> </w:t>
      </w:r>
    </w:p>
    <w:p w:rsidRPr="009C64D2" w:rsidR="00862A6E" w:rsidP="00862A6E" w:rsidRDefault="00862A6E" w14:paraId="09F2D447" w14:textId="77777777">
      <w:pPr>
        <w:tabs>
          <w:tab w:val="left" w:pos="709"/>
        </w:tabs>
        <w:spacing w:after="0" w:line="276" w:lineRule="auto"/>
        <w:jc w:val="both"/>
        <w:rPr>
          <w:rFonts w:ascii="Arial" w:hAnsi="Arial" w:eastAsia="Calibri" w:cs="Arial"/>
          <w:bCs/>
          <w:color w:val="000000" w:themeColor="text1"/>
        </w:rPr>
      </w:pPr>
    </w:p>
    <w:p w:rsidRPr="009C64D2" w:rsidR="00862A6E" w:rsidP="00862A6E" w:rsidRDefault="00862A6E" w14:paraId="43C6616A" w14:textId="28E42554">
      <w:pPr>
        <w:tabs>
          <w:tab w:val="left" w:pos="709"/>
        </w:tabs>
        <w:spacing w:after="0" w:line="276" w:lineRule="auto"/>
        <w:jc w:val="both"/>
        <w:rPr>
          <w:rFonts w:ascii="Arial" w:hAnsi="Arial" w:eastAsia="Calibri" w:cs="Arial"/>
          <w:bCs/>
          <w:color w:val="000000" w:themeColor="text1"/>
        </w:rPr>
      </w:pPr>
      <w:r w:rsidRPr="009C64D2">
        <w:rPr>
          <w:rFonts w:ascii="Arial" w:hAnsi="Arial" w:eastAsia="Calibri" w:cs="Arial"/>
          <w:bCs/>
          <w:color w:val="000000" w:themeColor="text1"/>
        </w:rPr>
        <w:t xml:space="preserve">El artículo 10 de la Ley 80 de 1993 </w:t>
      </w:r>
      <w:proofErr w:type="gramStart"/>
      <w:r w:rsidRPr="009C64D2">
        <w:rPr>
          <w:rFonts w:ascii="Arial" w:hAnsi="Arial" w:eastAsia="Calibri" w:cs="Arial"/>
          <w:bCs/>
          <w:color w:val="000000" w:themeColor="text1"/>
        </w:rPr>
        <w:t xml:space="preserve">contempla  </w:t>
      </w:r>
      <w:r w:rsidRPr="009C64D2" w:rsidR="00011641">
        <w:rPr>
          <w:rFonts w:ascii="Arial" w:hAnsi="Arial" w:eastAsia="Calibri" w:cs="Arial"/>
          <w:bCs/>
          <w:color w:val="000000" w:themeColor="text1"/>
        </w:rPr>
        <w:t>unas</w:t>
      </w:r>
      <w:proofErr w:type="gramEnd"/>
      <w:r w:rsidRPr="009C64D2" w:rsidR="00011641">
        <w:rPr>
          <w:rFonts w:ascii="Arial" w:hAnsi="Arial" w:eastAsia="Calibri" w:cs="Arial"/>
          <w:bCs/>
          <w:color w:val="000000" w:themeColor="text1"/>
        </w:rPr>
        <w:t xml:space="preserve"> </w:t>
      </w:r>
      <w:r w:rsidRPr="009C64D2">
        <w:rPr>
          <w:rFonts w:ascii="Arial" w:hAnsi="Arial" w:eastAsia="Calibri" w:cs="Arial"/>
          <w:bCs/>
          <w:color w:val="000000" w:themeColor="text1"/>
        </w:rPr>
        <w:t>excepciones a la</w:t>
      </w:r>
      <w:r w:rsidRPr="009C64D2" w:rsidR="00E84124">
        <w:rPr>
          <w:rFonts w:ascii="Arial" w:hAnsi="Arial" w:eastAsia="Calibri" w:cs="Arial"/>
          <w:bCs/>
          <w:color w:val="000000" w:themeColor="text1"/>
        </w:rPr>
        <w:t xml:space="preserve"> configuración de</w:t>
      </w:r>
      <w:r w:rsidRPr="009C64D2">
        <w:rPr>
          <w:rFonts w:ascii="Arial" w:hAnsi="Arial" w:eastAsia="Calibri" w:cs="Arial"/>
          <w:bCs/>
          <w:color w:val="000000" w:themeColor="text1"/>
        </w:rPr>
        <w:t xml:space="preserve"> inhabilidades e incompatibilidades para contratar</w:t>
      </w:r>
      <w:r w:rsidRPr="009C64D2" w:rsidR="00011641">
        <w:rPr>
          <w:rFonts w:ascii="Arial" w:hAnsi="Arial" w:eastAsia="Calibri" w:cs="Arial"/>
          <w:bCs/>
          <w:color w:val="000000" w:themeColor="text1"/>
        </w:rPr>
        <w:t xml:space="preserve"> con el Estado</w:t>
      </w:r>
      <w:r w:rsidRPr="009C64D2">
        <w:rPr>
          <w:rFonts w:ascii="Arial" w:hAnsi="Arial" w:eastAsia="Calibri" w:cs="Arial"/>
          <w:bCs/>
          <w:color w:val="000000" w:themeColor="text1"/>
        </w:rPr>
        <w:t>.</w:t>
      </w:r>
      <w:r w:rsidRPr="009C64D2" w:rsidR="00011641">
        <w:rPr>
          <w:rFonts w:ascii="Arial" w:hAnsi="Arial" w:eastAsia="Calibri" w:cs="Arial"/>
          <w:bCs/>
          <w:color w:val="000000" w:themeColor="text1"/>
        </w:rPr>
        <w:t xml:space="preserve"> Para estos efectos,</w:t>
      </w:r>
      <w:r w:rsidRPr="009C64D2">
        <w:rPr>
          <w:rFonts w:ascii="Arial" w:hAnsi="Arial" w:eastAsia="Calibri" w:cs="Arial"/>
          <w:bCs/>
          <w:color w:val="000000" w:themeColor="text1"/>
        </w:rPr>
        <w:t xml:space="preserve"> el artículo dispone cuatro supuestos en los cuales el régimen de inhabilidades e incompatibilidades no tiene aplicación. En efecto, en los eventos allí señalados por más que un sujeto tenga una incompatibilidad o esté inhabilitado, la norma le otorga la capacidad para celebrar los negocios estatales. Al respecto, el artículo consagra lo siguiente: </w:t>
      </w:r>
    </w:p>
    <w:p w:rsidRPr="009C64D2" w:rsidR="00862A6E" w:rsidP="00862A6E" w:rsidRDefault="00862A6E" w14:paraId="2C93FB83" w14:textId="77777777">
      <w:pPr>
        <w:tabs>
          <w:tab w:val="left" w:pos="709"/>
        </w:tabs>
        <w:spacing w:after="0" w:line="276" w:lineRule="auto"/>
        <w:jc w:val="both"/>
        <w:rPr>
          <w:rFonts w:ascii="Arial" w:hAnsi="Arial" w:eastAsia="Calibri" w:cs="Arial"/>
          <w:bCs/>
          <w:color w:val="000000" w:themeColor="text1"/>
        </w:rPr>
      </w:pPr>
    </w:p>
    <w:p w:rsidRPr="009C64D2" w:rsidR="00862A6E" w:rsidP="00862A6E" w:rsidRDefault="00862A6E" w14:paraId="44249D3E" w14:textId="77777777">
      <w:pPr>
        <w:tabs>
          <w:tab w:val="left" w:pos="709"/>
        </w:tabs>
        <w:spacing w:after="0" w:line="240" w:lineRule="auto"/>
        <w:ind w:left="709" w:right="709"/>
        <w:jc w:val="both"/>
        <w:rPr>
          <w:rFonts w:ascii="Arial" w:hAnsi="Arial" w:cs="Arial"/>
          <w:bCs/>
          <w:sz w:val="21"/>
          <w:szCs w:val="21"/>
          <w:shd w:val="clear" w:color="auto" w:fill="FFFFFF"/>
        </w:rPr>
      </w:pPr>
      <w:r w:rsidRPr="009C64D2">
        <w:rPr>
          <w:rStyle w:val="Textoennegrita"/>
          <w:rFonts w:ascii="Arial" w:hAnsi="Arial" w:cs="Arial"/>
          <w:sz w:val="21"/>
          <w:szCs w:val="21"/>
          <w:shd w:val="clear" w:color="auto" w:fill="FFFFFF"/>
        </w:rPr>
        <w:t>“ARTÍCULO </w:t>
      </w:r>
      <w:bookmarkStart w:name="BM10" w:id="6"/>
      <w:bookmarkStart w:name="10" w:id="7"/>
      <w:bookmarkEnd w:id="6"/>
      <w:bookmarkEnd w:id="7"/>
      <w:r w:rsidRPr="009C64D2">
        <w:rPr>
          <w:rStyle w:val="Textoennegrita"/>
          <w:rFonts w:ascii="Arial" w:hAnsi="Arial" w:cs="Arial"/>
          <w:sz w:val="21"/>
          <w:szCs w:val="21"/>
          <w:shd w:val="clear" w:color="auto" w:fill="FFFFFF"/>
        </w:rPr>
        <w:t>10.- </w:t>
      </w:r>
      <w:r w:rsidRPr="009C64D2">
        <w:rPr>
          <w:rStyle w:val="nfasis"/>
          <w:rFonts w:ascii="Arial" w:hAnsi="Arial" w:cs="Arial"/>
          <w:bCs/>
          <w:sz w:val="21"/>
          <w:szCs w:val="21"/>
          <w:shd w:val="clear" w:color="auto" w:fill="FFFFFF"/>
        </w:rPr>
        <w:t>De las Excepciones a las Inhabilidades e Incompatibilidades.</w:t>
      </w:r>
      <w:r w:rsidRPr="009C64D2">
        <w:rPr>
          <w:rFonts w:ascii="Arial" w:hAnsi="Arial" w:cs="Arial"/>
          <w:bCs/>
          <w:sz w:val="21"/>
          <w:szCs w:val="21"/>
          <w:shd w:val="clear" w:color="auto" w:fill="FFFFFF"/>
        </w:rPr>
        <w:t> No quedan cobijadas por las inhabilidades e incompatibilidades de que tratan los artículos anteriores, las personas que contraten por obligación legal o lo hagan para usar los bienes o servicios que las entidades a que se refiere el presente estatuto ofrezcan al público en condiciones comunes a quienes los soliciten, ni las personas jurídicas sin ánimo de lucro cuyos representantes legales hagan parte de las juntas o consejos directivos en virtud de su cargo o por mandato legal o estatutario, ni quienes celebren contratos en desarrollo de lo previsto en el artículo 60 de la Constitución Política”.</w:t>
      </w:r>
    </w:p>
    <w:p w:rsidRPr="009C64D2" w:rsidR="00862A6E" w:rsidP="00862A6E" w:rsidRDefault="00862A6E" w14:paraId="4BB12665" w14:textId="77777777">
      <w:pPr>
        <w:tabs>
          <w:tab w:val="left" w:pos="709"/>
        </w:tabs>
        <w:spacing w:after="0" w:line="276" w:lineRule="auto"/>
        <w:jc w:val="both"/>
        <w:rPr>
          <w:rFonts w:ascii="Arial" w:hAnsi="Arial" w:cs="Arial"/>
          <w:color w:val="333333"/>
          <w:shd w:val="clear" w:color="auto" w:fill="FFFFFF"/>
        </w:rPr>
      </w:pPr>
    </w:p>
    <w:p w:rsidRPr="009C64D2" w:rsidR="00862A6E" w:rsidP="00862A6E" w:rsidRDefault="00862A6E" w14:paraId="661AC67B" w14:textId="2E36885B">
      <w:pPr>
        <w:tabs>
          <w:tab w:val="left" w:pos="709"/>
        </w:tabs>
        <w:spacing w:after="120" w:line="276" w:lineRule="auto"/>
        <w:jc w:val="both"/>
        <w:rPr>
          <w:rFonts w:ascii="Arial" w:hAnsi="Arial" w:cs="Arial"/>
          <w:i/>
          <w:iCs/>
          <w:shd w:val="clear" w:color="auto" w:fill="FFFFFF"/>
        </w:rPr>
      </w:pPr>
      <w:r w:rsidRPr="009C64D2">
        <w:rPr>
          <w:rFonts w:ascii="Arial" w:hAnsi="Arial" w:cs="Arial"/>
          <w:color w:val="333333"/>
          <w:sz w:val="25"/>
          <w:szCs w:val="25"/>
          <w:shd w:val="clear" w:color="auto" w:fill="FFFFFF"/>
        </w:rPr>
        <w:tab/>
      </w:r>
      <w:r w:rsidRPr="009C64D2">
        <w:rPr>
          <w:rFonts w:ascii="Arial" w:hAnsi="Arial" w:cs="Arial"/>
          <w:shd w:val="clear" w:color="auto" w:fill="FFFFFF"/>
        </w:rPr>
        <w:t xml:space="preserve">Como se aprecia, el artículo 10 de la Ley 80 de </w:t>
      </w:r>
      <w:proofErr w:type="gramStart"/>
      <w:r w:rsidRPr="009C64D2">
        <w:rPr>
          <w:rFonts w:ascii="Arial" w:hAnsi="Arial" w:cs="Arial"/>
          <w:shd w:val="clear" w:color="auto" w:fill="FFFFFF"/>
        </w:rPr>
        <w:t>1993</w:t>
      </w:r>
      <w:r w:rsidRPr="009C64D2" w:rsidR="001C0579">
        <w:rPr>
          <w:rFonts w:ascii="Arial" w:hAnsi="Arial" w:cs="Arial"/>
          <w:shd w:val="clear" w:color="auto" w:fill="FFFFFF"/>
        </w:rPr>
        <w:t xml:space="preserve"> </w:t>
      </w:r>
      <w:r w:rsidRPr="009C64D2">
        <w:rPr>
          <w:rFonts w:ascii="Arial" w:hAnsi="Arial" w:cs="Arial"/>
          <w:shd w:val="clear" w:color="auto" w:fill="FFFFFF"/>
        </w:rPr>
        <w:t xml:space="preserve"> </w:t>
      </w:r>
      <w:r w:rsidRPr="009C64D2" w:rsidR="001C0579">
        <w:rPr>
          <w:rFonts w:ascii="Arial" w:hAnsi="Arial" w:cs="Arial"/>
          <w:shd w:val="clear" w:color="auto" w:fill="FFFFFF"/>
        </w:rPr>
        <w:t>describe</w:t>
      </w:r>
      <w:proofErr w:type="gramEnd"/>
      <w:r w:rsidRPr="009C64D2" w:rsidR="001C0579">
        <w:rPr>
          <w:rFonts w:ascii="Arial" w:hAnsi="Arial" w:cs="Arial"/>
          <w:shd w:val="clear" w:color="auto" w:fill="FFFFFF"/>
        </w:rPr>
        <w:t xml:space="preserve"> </w:t>
      </w:r>
      <w:r w:rsidRPr="009C64D2">
        <w:rPr>
          <w:rFonts w:ascii="Arial" w:hAnsi="Arial" w:cs="Arial"/>
          <w:shd w:val="clear" w:color="auto" w:fill="FFFFFF"/>
        </w:rPr>
        <w:t xml:space="preserve">cuatro posibles circunstancias en las cuales, las personas a pesar de encontrarse en una situación de inhabilidad o incompatibilidad pueden celebrar contratos </w:t>
      </w:r>
      <w:r w:rsidRPr="009C64D2" w:rsidR="001C0579">
        <w:rPr>
          <w:rFonts w:ascii="Arial" w:hAnsi="Arial" w:cs="Arial"/>
          <w:shd w:val="clear" w:color="auto" w:fill="FFFFFF"/>
        </w:rPr>
        <w:t>estatales</w:t>
      </w:r>
      <w:r w:rsidRPr="009C64D2">
        <w:rPr>
          <w:rFonts w:ascii="Arial" w:hAnsi="Arial" w:cs="Arial"/>
          <w:shd w:val="clear" w:color="auto" w:fill="FFFFFF"/>
        </w:rPr>
        <w:t xml:space="preserve">. Al respecto, la norma señala que no quedan cobijados por las inhabilidades e incompatibilidades de que tratan los artículos anteriores las siguientes personas: </w:t>
      </w:r>
      <w:r w:rsidRPr="009C64D2">
        <w:rPr>
          <w:rFonts w:ascii="Arial" w:hAnsi="Arial" w:cs="Arial"/>
          <w:i/>
          <w:iCs/>
          <w:shd w:val="clear" w:color="auto" w:fill="FFFFFF"/>
        </w:rPr>
        <w:t xml:space="preserve">i) quienes contraten por obligación legal, </w:t>
      </w:r>
      <w:proofErr w:type="spellStart"/>
      <w:r w:rsidRPr="009C64D2">
        <w:rPr>
          <w:rFonts w:ascii="Arial" w:hAnsi="Arial" w:cs="Arial"/>
          <w:i/>
          <w:iCs/>
          <w:shd w:val="clear" w:color="auto" w:fill="FFFFFF"/>
        </w:rPr>
        <w:t>ii</w:t>
      </w:r>
      <w:proofErr w:type="spellEnd"/>
      <w:r w:rsidRPr="009C64D2">
        <w:rPr>
          <w:rFonts w:ascii="Arial" w:hAnsi="Arial" w:cs="Arial"/>
          <w:i/>
          <w:iCs/>
          <w:shd w:val="clear" w:color="auto" w:fill="FFFFFF"/>
        </w:rPr>
        <w:t xml:space="preserve">) las personas que contraten para usar los bienes o servicios que las entidades a que se refiere el presente estatuto ofrezcan al público en condiciones comunes a quienes los soliciten, </w:t>
      </w:r>
      <w:proofErr w:type="spellStart"/>
      <w:r w:rsidRPr="009C64D2">
        <w:rPr>
          <w:rFonts w:ascii="Arial" w:hAnsi="Arial" w:cs="Arial"/>
          <w:i/>
          <w:iCs/>
          <w:shd w:val="clear" w:color="auto" w:fill="FFFFFF"/>
        </w:rPr>
        <w:t>iii</w:t>
      </w:r>
      <w:proofErr w:type="spellEnd"/>
      <w:r w:rsidRPr="009C64D2">
        <w:rPr>
          <w:rFonts w:ascii="Arial" w:hAnsi="Arial" w:cs="Arial"/>
          <w:i/>
          <w:iCs/>
          <w:shd w:val="clear" w:color="auto" w:fill="FFFFFF"/>
        </w:rPr>
        <w:t xml:space="preserve">) las personas jurídicas sin ánimo de lucro cuyos representantes legales hagan parte de las juntas o consejos directivos en virtud de su cargo o por mandato legal o estatutario, y </w:t>
      </w:r>
      <w:proofErr w:type="spellStart"/>
      <w:r w:rsidRPr="009C64D2">
        <w:rPr>
          <w:rFonts w:ascii="Arial" w:hAnsi="Arial" w:cs="Arial"/>
          <w:i/>
          <w:iCs/>
          <w:shd w:val="clear" w:color="auto" w:fill="FFFFFF"/>
        </w:rPr>
        <w:t>iv</w:t>
      </w:r>
      <w:proofErr w:type="spellEnd"/>
      <w:r w:rsidRPr="009C64D2">
        <w:rPr>
          <w:rFonts w:ascii="Arial" w:hAnsi="Arial" w:cs="Arial"/>
          <w:i/>
          <w:iCs/>
          <w:shd w:val="clear" w:color="auto" w:fill="FFFFFF"/>
        </w:rPr>
        <w:t xml:space="preserve">) quienes celebren contratos en desarrollo de lo previsto en el artículo 60 de la Constitución Política. </w:t>
      </w:r>
    </w:p>
    <w:p w:rsidRPr="009C64D2" w:rsidR="00862A6E" w:rsidP="00862A6E" w:rsidRDefault="00862A6E" w14:paraId="2C3D5C10" w14:textId="7D19D502">
      <w:pPr>
        <w:tabs>
          <w:tab w:val="left" w:pos="709"/>
        </w:tabs>
        <w:spacing w:after="120" w:line="276" w:lineRule="auto"/>
        <w:jc w:val="both"/>
        <w:rPr>
          <w:rFonts w:ascii="Arial" w:hAnsi="Arial" w:cs="Arial"/>
        </w:rPr>
      </w:pPr>
      <w:r w:rsidRPr="009C64D2">
        <w:rPr>
          <w:rFonts w:ascii="Arial" w:hAnsi="Arial" w:cs="Arial"/>
          <w:shd w:val="clear" w:color="auto" w:fill="FFFFFF"/>
        </w:rPr>
        <w:tab/>
      </w:r>
      <w:r w:rsidRPr="009C64D2">
        <w:rPr>
          <w:rFonts w:ascii="Arial" w:hAnsi="Arial" w:cs="Arial"/>
        </w:rPr>
        <w:t>A continuación, la Agencia Nacional de Contratación Pública – Colombia Compra Eficiente</w:t>
      </w:r>
      <w:r w:rsidRPr="009C64D2" w:rsidR="00245BDA">
        <w:rPr>
          <w:rFonts w:ascii="Arial" w:hAnsi="Arial" w:cs="Arial"/>
        </w:rPr>
        <w:t>–</w:t>
      </w:r>
      <w:r w:rsidRPr="009C64D2">
        <w:rPr>
          <w:rFonts w:ascii="Arial" w:hAnsi="Arial" w:cs="Arial"/>
        </w:rPr>
        <w:t xml:space="preserve"> analizará cada uno de los cuatros supuestos contenidos en el artículo 10 de la Ley 80 de 1993, bajo los cuales las personas que celebran contratos con el </w:t>
      </w:r>
      <w:r w:rsidRPr="009C64D2" w:rsidR="0073176C">
        <w:rPr>
          <w:rFonts w:ascii="Arial" w:hAnsi="Arial" w:cs="Arial"/>
        </w:rPr>
        <w:t>E</w:t>
      </w:r>
      <w:r w:rsidRPr="009C64D2">
        <w:rPr>
          <w:rFonts w:ascii="Arial" w:hAnsi="Arial" w:cs="Arial"/>
        </w:rPr>
        <w:t xml:space="preserve">stado no transgreden el ordenamiento jurídico aun estando incurso en inhabilidad e incompatibilidad, y el servidor público que contrata con estas no incurre en falta disciplinaria. </w:t>
      </w:r>
    </w:p>
    <w:p w:rsidRPr="009C64D2" w:rsidR="00862A6E" w:rsidP="00862A6E" w:rsidRDefault="00862A6E" w14:paraId="4901A38F" w14:textId="207162CB">
      <w:pPr>
        <w:tabs>
          <w:tab w:val="left" w:pos="0"/>
        </w:tabs>
        <w:spacing w:after="120" w:line="276" w:lineRule="auto"/>
        <w:jc w:val="both"/>
        <w:rPr>
          <w:rFonts w:ascii="Arial" w:hAnsi="Arial" w:cs="Arial"/>
        </w:rPr>
      </w:pPr>
      <w:r w:rsidRPr="009C64D2">
        <w:rPr>
          <w:rFonts w:ascii="Arial" w:hAnsi="Arial" w:cs="Arial"/>
          <w:shd w:val="clear" w:color="auto" w:fill="FFFFFF"/>
        </w:rPr>
        <w:tab/>
      </w:r>
      <w:r w:rsidRPr="009C64D2">
        <w:rPr>
          <w:rFonts w:ascii="Arial" w:hAnsi="Arial" w:cs="Arial"/>
          <w:shd w:val="clear" w:color="auto" w:fill="FFFFFF"/>
        </w:rPr>
        <w:t xml:space="preserve">En relación el primer supuesto contenido en el artículo 10 de la Ley 80 de 1993, según el cual, se exceptúan del régimen de inhabilidades e incompatibilidades </w:t>
      </w:r>
      <w:r w:rsidRPr="009C64D2">
        <w:rPr>
          <w:rFonts w:ascii="Arial" w:hAnsi="Arial" w:cs="Arial"/>
          <w:i/>
          <w:iCs/>
          <w:shd w:val="clear" w:color="auto" w:fill="FFFFFF"/>
        </w:rPr>
        <w:t>“las personas que contraten por obligación legal”</w:t>
      </w:r>
      <w:r w:rsidRPr="009C64D2">
        <w:rPr>
          <w:rFonts w:ascii="Arial" w:hAnsi="Arial" w:cs="Arial"/>
          <w:shd w:val="clear" w:color="auto" w:fill="FFFFFF"/>
        </w:rPr>
        <w:t xml:space="preserve">, el enunciado conlleva a indagar sobre el alcance de la expresión </w:t>
      </w:r>
      <w:r w:rsidRPr="009C64D2">
        <w:rPr>
          <w:rFonts w:ascii="Arial" w:hAnsi="Arial" w:cs="Arial"/>
          <w:i/>
          <w:iCs/>
          <w:shd w:val="clear" w:color="auto" w:fill="FFFFFF"/>
        </w:rPr>
        <w:t>“obligación legal”</w:t>
      </w:r>
      <w:r w:rsidRPr="009C64D2">
        <w:rPr>
          <w:rFonts w:ascii="Arial" w:hAnsi="Arial" w:cs="Arial"/>
          <w:shd w:val="clear" w:color="auto" w:fill="FFFFFF"/>
        </w:rPr>
        <w:t>. Sobre el particular, es pertinente mencionar que no existe una definición normativa de dicha expresión, por lo tanto, conviene referirnos al sentido literal de cada una de las palabras que la componen. Según el Diccionario de la Real Academia de la Lengua Española “Obligación” se define como: “1. Aquello que alguien está obligado a hacer”</w:t>
      </w:r>
      <w:r w:rsidRPr="009C64D2">
        <w:rPr>
          <w:rStyle w:val="Refdenotaalpie"/>
          <w:rFonts w:ascii="Arial" w:hAnsi="Arial" w:cs="Arial"/>
          <w:shd w:val="clear" w:color="auto" w:fill="FFFFFF"/>
        </w:rPr>
        <w:footnoteReference w:id="26"/>
      </w:r>
      <w:r w:rsidRPr="009C64D2">
        <w:rPr>
          <w:rFonts w:ascii="Arial" w:hAnsi="Arial" w:cs="Arial"/>
          <w:shd w:val="clear" w:color="auto" w:fill="FFFFFF"/>
        </w:rPr>
        <w:t xml:space="preserve">, por otra parte, la doctrina ha definido ese </w:t>
      </w:r>
      <w:r w:rsidRPr="009C64D2" w:rsidR="00285B33">
        <w:rPr>
          <w:rFonts w:ascii="Arial" w:hAnsi="Arial" w:cs="Arial"/>
          <w:shd w:val="clear" w:color="auto" w:fill="FFFFFF"/>
        </w:rPr>
        <w:t>término</w:t>
      </w:r>
      <w:r w:rsidRPr="009C64D2">
        <w:rPr>
          <w:rFonts w:ascii="Arial" w:hAnsi="Arial" w:cs="Arial"/>
          <w:shd w:val="clear" w:color="auto" w:fill="FFFFFF"/>
        </w:rPr>
        <w:t xml:space="preserve"> como el “vinculo jurídico en virtud del cual una persona le puede exigir a otra una prestación de dar, hacer o no hacer”</w:t>
      </w:r>
      <w:r w:rsidRPr="009C64D2">
        <w:rPr>
          <w:rStyle w:val="Refdenotaalpie"/>
          <w:rFonts w:ascii="Arial" w:hAnsi="Arial" w:cs="Arial"/>
          <w:shd w:val="clear" w:color="auto" w:fill="FFFFFF"/>
        </w:rPr>
        <w:footnoteReference w:id="27"/>
      </w:r>
      <w:r w:rsidRPr="009C64D2">
        <w:rPr>
          <w:rFonts w:ascii="Arial" w:hAnsi="Arial" w:cs="Arial"/>
          <w:shd w:val="clear" w:color="auto" w:fill="FFFFFF"/>
        </w:rPr>
        <w:t xml:space="preserve">. En relación con la palabra “Ley”, tenemos que esta se establece en el artículo 4 del Código Civil como la declaración de la voluntad soberana con el carácter general de mandar, prohibir, permitir o castigar. De esta forma, tenemos que el vocablo “Obligación legal”, </w:t>
      </w:r>
      <w:r w:rsidRPr="009C64D2">
        <w:rPr>
          <w:rFonts w:ascii="Arial" w:hAnsi="Arial" w:cs="Arial"/>
        </w:rPr>
        <w:t>se trata de una manifestación de voluntad soberana del Estado dirigida a ordenar, permitir o prohibir acciones de sus gobernados</w:t>
      </w:r>
      <w:r w:rsidRPr="009C64D2">
        <w:rPr>
          <w:rStyle w:val="Refdenotaalpie"/>
          <w:rFonts w:ascii="Arial" w:hAnsi="Arial" w:cs="Arial"/>
        </w:rPr>
        <w:footnoteReference w:id="28"/>
      </w:r>
      <w:r w:rsidRPr="009C64D2">
        <w:rPr>
          <w:rFonts w:ascii="Arial" w:hAnsi="Arial" w:cs="Arial"/>
        </w:rPr>
        <w:t xml:space="preserve">. </w:t>
      </w:r>
    </w:p>
    <w:p w:rsidRPr="009C64D2" w:rsidR="00862A6E" w:rsidP="00862A6E" w:rsidRDefault="00862A6E" w14:paraId="5EEC854E" w14:textId="38E7B8D9">
      <w:pPr>
        <w:tabs>
          <w:tab w:val="left" w:pos="0"/>
        </w:tabs>
        <w:spacing w:after="120" w:line="276" w:lineRule="auto"/>
        <w:jc w:val="both"/>
        <w:rPr>
          <w:rFonts w:ascii="Arial" w:hAnsi="Arial" w:cs="Arial"/>
        </w:rPr>
      </w:pPr>
      <w:r w:rsidRPr="009C64D2">
        <w:rPr>
          <w:rFonts w:ascii="Arial" w:hAnsi="Arial" w:cs="Arial"/>
        </w:rPr>
        <w:tab/>
      </w:r>
      <w:r w:rsidRPr="009C64D2" w:rsidR="008C33F9">
        <w:rPr>
          <w:rFonts w:ascii="Arial" w:hAnsi="Arial" w:cs="Arial"/>
        </w:rPr>
        <w:t>De esta manera</w:t>
      </w:r>
      <w:r w:rsidRPr="009C64D2" w:rsidR="002A6584">
        <w:rPr>
          <w:rFonts w:ascii="Arial" w:hAnsi="Arial" w:cs="Arial"/>
        </w:rPr>
        <w:t>,</w:t>
      </w:r>
      <w:r w:rsidRPr="009C64D2">
        <w:rPr>
          <w:rFonts w:ascii="Arial" w:hAnsi="Arial" w:cs="Arial"/>
        </w:rPr>
        <w:t xml:space="preserve"> una excepción a las inhabilidades e incompatibilidades para </w:t>
      </w:r>
      <w:proofErr w:type="gramStart"/>
      <w:r w:rsidRPr="009C64D2">
        <w:rPr>
          <w:rFonts w:ascii="Arial" w:hAnsi="Arial" w:cs="Arial"/>
        </w:rPr>
        <w:t>contratar,</w:t>
      </w:r>
      <w:proofErr w:type="gramEnd"/>
      <w:r w:rsidRPr="009C64D2">
        <w:rPr>
          <w:rFonts w:ascii="Arial" w:hAnsi="Arial" w:cs="Arial"/>
        </w:rPr>
        <w:t xml:space="preserve"> se presenta, cuando la ley así lo dispone, razón por la que su cumplimiento no se </w:t>
      </w:r>
      <w:r w:rsidRPr="009C64D2">
        <w:rPr>
          <w:rFonts w:ascii="Arial" w:hAnsi="Arial" w:cs="Arial"/>
        </w:rPr>
        <w:t xml:space="preserve">puede condicionar a que una persona -natural o jurídica- se encuentre inhabilitada o sea incompatible para celebrar contratos. Así, aun cuando la persona está inhabilitada para celebrar contratos con el Estado, la Ley le impone la obligación de contratar. </w:t>
      </w:r>
    </w:p>
    <w:p w:rsidRPr="009C64D2" w:rsidR="00862A6E" w:rsidP="00862A6E" w:rsidRDefault="00862A6E" w14:paraId="32C2F1CE" w14:textId="2CAB3207">
      <w:pPr>
        <w:tabs>
          <w:tab w:val="left" w:pos="0"/>
        </w:tabs>
        <w:spacing w:after="120" w:line="276" w:lineRule="auto"/>
        <w:jc w:val="both"/>
        <w:rPr>
          <w:rFonts w:ascii="Arial" w:hAnsi="Arial" w:cs="Arial"/>
          <w:shd w:val="clear" w:color="auto" w:fill="FFFFFF"/>
        </w:rPr>
      </w:pPr>
      <w:r w:rsidRPr="009C64D2">
        <w:rPr>
          <w:rFonts w:ascii="Arial" w:hAnsi="Arial" w:cs="Arial"/>
        </w:rPr>
        <w:tab/>
      </w:r>
      <w:r w:rsidRPr="009C64D2">
        <w:rPr>
          <w:rFonts w:ascii="Arial" w:hAnsi="Arial" w:cs="Arial"/>
        </w:rPr>
        <w:t>Sobre la excepción “obligación legal” en concepto de radicado 976-97</w:t>
      </w:r>
      <w:r w:rsidRPr="009C64D2" w:rsidR="002A6584">
        <w:rPr>
          <w:rFonts w:ascii="Arial" w:hAnsi="Arial" w:cs="Arial"/>
        </w:rPr>
        <w:t xml:space="preserve"> del 21 de abril de 1997,</w:t>
      </w:r>
      <w:r w:rsidRPr="009C64D2">
        <w:rPr>
          <w:rFonts w:ascii="Arial" w:hAnsi="Arial" w:cs="Arial"/>
        </w:rPr>
        <w:t xml:space="preserve"> l</w:t>
      </w:r>
      <w:r w:rsidRPr="009C64D2">
        <w:rPr>
          <w:rFonts w:ascii="Arial" w:hAnsi="Arial" w:eastAsia="Calibri" w:cs="Arial"/>
          <w:bCs/>
        </w:rPr>
        <w:t xml:space="preserve">a Sala de Consulta y Servicio Civil de Consejo de Estado se pronunció en relación con la posibilidad de que un municipio comprara </w:t>
      </w:r>
      <w:r w:rsidRPr="009C64D2">
        <w:rPr>
          <w:rFonts w:ascii="Arial" w:hAnsi="Arial" w:cs="Arial"/>
          <w:shd w:val="clear" w:color="auto" w:fill="FFFFFF"/>
        </w:rPr>
        <w:t>unos terrenos de propiedad de un Senador de la República, sin incurrir en mala conducta por parte del alcalde y de inhabilidad por parte del Senador. Al respecto, la Sala indicó que, cuando un servidor público deba contratar con una entidad pública como consecuencia de una obligación legal, no se tendrá en cuenta la inhabilidad o incompatibilidad existente para contratar por razón del carácter de servidor público. Esto es, que el valor, principio o derecho consignado en la norma que obliga a contratar prevalece sobre el que sustenta el impedimento para hacerlo</w:t>
      </w:r>
      <w:r w:rsidRPr="009C64D2">
        <w:rPr>
          <w:rStyle w:val="Refdenotaalpie"/>
          <w:rFonts w:ascii="Arial" w:hAnsi="Arial" w:cs="Arial"/>
          <w:shd w:val="clear" w:color="auto" w:fill="FFFFFF"/>
        </w:rPr>
        <w:footnoteReference w:id="29"/>
      </w:r>
      <w:r w:rsidRPr="009C64D2">
        <w:rPr>
          <w:rFonts w:ascii="Arial" w:hAnsi="Arial" w:cs="Arial"/>
          <w:shd w:val="clear" w:color="auto" w:fill="FFFFFF"/>
        </w:rPr>
        <w:t xml:space="preserve">. </w:t>
      </w:r>
    </w:p>
    <w:p w:rsidRPr="009C64D2" w:rsidR="00862A6E" w:rsidP="00862A6E" w:rsidRDefault="00862A6E" w14:paraId="7BC337F6" w14:textId="77777777">
      <w:pPr>
        <w:tabs>
          <w:tab w:val="left" w:pos="0"/>
        </w:tabs>
        <w:spacing w:after="120" w:line="276" w:lineRule="auto"/>
        <w:jc w:val="both"/>
        <w:rPr>
          <w:rFonts w:ascii="Arial" w:hAnsi="Arial" w:cs="Arial"/>
          <w:shd w:val="clear" w:color="auto" w:fill="FFFFFF"/>
        </w:rPr>
      </w:pPr>
      <w:r w:rsidRPr="009C64D2">
        <w:rPr>
          <w:rFonts w:ascii="Arial" w:hAnsi="Arial" w:cs="Arial"/>
          <w:color w:val="333333"/>
          <w:shd w:val="clear" w:color="auto" w:fill="FFFFFF"/>
        </w:rPr>
        <w:tab/>
      </w:r>
      <w:r w:rsidRPr="009C64D2">
        <w:rPr>
          <w:rFonts w:ascii="Arial" w:hAnsi="Arial" w:cs="Arial"/>
          <w:shd w:val="clear" w:color="auto" w:fill="FFFFFF"/>
        </w:rPr>
        <w:t xml:space="preserve">Ahora bien, en relación con la segunda excepción, contenida en el artículo 10 de la Ley 80 de 1993, que se presenta cuando, las personas que contraten para usar los bienes o servicios que las entidades a que se refiere el presente estatuto ofrezcan al público en condiciones comunes a quienes los soliciten. Sobre esta prerrogativa, es pertinente mencionar que, esta exige que los bienes o servicios sean ofrecidos por las entidades estatales “(…) a que se refiere el presente estatuto”, es decir, aquellas definidas en el Estatuto General de Contratación de la Administración Pública. </w:t>
      </w:r>
    </w:p>
    <w:p w:rsidRPr="009C64D2" w:rsidR="00862A6E" w:rsidP="00862A6E" w:rsidRDefault="00862A6E" w14:paraId="0B46C731" w14:textId="77777777">
      <w:pPr>
        <w:tabs>
          <w:tab w:val="left" w:pos="0"/>
        </w:tabs>
        <w:spacing w:after="0" w:line="276" w:lineRule="auto"/>
        <w:jc w:val="both"/>
        <w:rPr>
          <w:rFonts w:ascii="Arial" w:hAnsi="Arial" w:cs="Arial"/>
          <w:shd w:val="clear" w:color="auto" w:fill="FFFFFF"/>
        </w:rPr>
      </w:pPr>
      <w:r w:rsidRPr="009C64D2">
        <w:rPr>
          <w:rFonts w:ascii="Arial" w:hAnsi="Arial" w:cs="Arial"/>
          <w:shd w:val="clear" w:color="auto" w:fill="FFFFFF"/>
        </w:rPr>
        <w:tab/>
      </w:r>
      <w:r w:rsidRPr="009C64D2">
        <w:rPr>
          <w:rFonts w:ascii="Arial" w:hAnsi="Arial" w:cs="Arial"/>
          <w:shd w:val="clear" w:color="auto" w:fill="FFFFFF"/>
        </w:rPr>
        <w:t>Asimismo, teniendo en cuenta que el elemento principal de la excepción es que los bienes y servicios ofrecidos por las entidades se den en condiciones comunes a quien lo solicite, la doctrina ha manifestado lo siguiente:</w:t>
      </w:r>
    </w:p>
    <w:p w:rsidRPr="009C64D2" w:rsidR="00862A6E" w:rsidP="00862A6E" w:rsidRDefault="00862A6E" w14:paraId="355448CA" w14:textId="77777777">
      <w:pPr>
        <w:tabs>
          <w:tab w:val="left" w:pos="0"/>
        </w:tabs>
        <w:spacing w:after="0" w:line="276" w:lineRule="auto"/>
        <w:jc w:val="both"/>
        <w:rPr>
          <w:rFonts w:ascii="Arial" w:hAnsi="Arial" w:cs="Arial"/>
          <w:shd w:val="clear" w:color="auto" w:fill="FFFFFF"/>
        </w:rPr>
      </w:pPr>
    </w:p>
    <w:p w:rsidRPr="009C64D2" w:rsidR="00862A6E" w:rsidP="00862A6E" w:rsidRDefault="00862A6E" w14:paraId="7D794ABD" w14:textId="3EAAFE2D">
      <w:pPr>
        <w:tabs>
          <w:tab w:val="left" w:pos="0"/>
        </w:tabs>
        <w:spacing w:after="0" w:line="240" w:lineRule="auto"/>
        <w:ind w:left="709" w:right="709"/>
        <w:jc w:val="both"/>
        <w:rPr>
          <w:rFonts w:ascii="Arial" w:hAnsi="Arial" w:cs="Arial"/>
          <w:sz w:val="21"/>
          <w:szCs w:val="21"/>
          <w:shd w:val="clear" w:color="auto" w:fill="FFFFFF"/>
        </w:rPr>
      </w:pPr>
      <w:r w:rsidRPr="009C64D2">
        <w:rPr>
          <w:rFonts w:ascii="Arial" w:hAnsi="Arial" w:cs="Arial"/>
          <w:sz w:val="21"/>
          <w:szCs w:val="21"/>
          <w:shd w:val="clear" w:color="auto" w:fill="FFFFFF"/>
        </w:rPr>
        <w:t>“(…) esta excepción mira básicamente a que las personas que están inhabilitadas por la ley para celebrar contratos con las entidades estatales puedan gozar de los servicios que presta el Estado para todas las personas, como son los servidores públicos. En este sentido, el artículo 134 de la Ley 142 de 1994, señala que cualquier persona capaz de contratar que habite o utilice de modo permanente un inmueble, a cualquier título, tiene derecho a recibir los servicios públicos domiciliarios. Cuando se habla de bienes, que se ofrezcan al público en igualdad de condiciones, permite que aun puedan adquirirse bonos o acciones de los que saquen al mercado la entidad. Tal expresión, no habilita al funcionario, por ejemplo, para adquirir los bienes que se den en pública subasta, pues el procedimiento de selección que allí se sigue apareja el manejo de intereses que contravienen el espíritu de la contratación</w:t>
      </w:r>
      <w:r w:rsidRPr="009C64D2" w:rsidR="002A6584">
        <w:rPr>
          <w:rFonts w:ascii="Arial" w:hAnsi="Arial" w:cs="Arial"/>
          <w:sz w:val="21"/>
          <w:szCs w:val="21"/>
          <w:shd w:val="clear" w:color="auto" w:fill="FFFFFF"/>
        </w:rPr>
        <w:t>”</w:t>
      </w:r>
      <w:r w:rsidRPr="009C64D2">
        <w:rPr>
          <w:rStyle w:val="Refdenotaalpie"/>
          <w:rFonts w:ascii="Arial" w:hAnsi="Arial" w:cs="Arial"/>
          <w:sz w:val="21"/>
          <w:szCs w:val="21"/>
          <w:shd w:val="clear" w:color="auto" w:fill="FFFFFF"/>
        </w:rPr>
        <w:footnoteReference w:id="30"/>
      </w:r>
      <w:r w:rsidRPr="009C64D2">
        <w:rPr>
          <w:rFonts w:ascii="Arial" w:hAnsi="Arial" w:cs="Arial"/>
          <w:sz w:val="21"/>
          <w:szCs w:val="21"/>
          <w:shd w:val="clear" w:color="auto" w:fill="FFFFFF"/>
        </w:rPr>
        <w:t xml:space="preserve">. </w:t>
      </w:r>
    </w:p>
    <w:p w:rsidRPr="009C64D2" w:rsidR="00862A6E" w:rsidP="00862A6E" w:rsidRDefault="00862A6E" w14:paraId="3135414D" w14:textId="77777777">
      <w:pPr>
        <w:tabs>
          <w:tab w:val="left" w:pos="0"/>
        </w:tabs>
        <w:spacing w:after="0" w:line="240" w:lineRule="auto"/>
        <w:ind w:right="709"/>
        <w:jc w:val="both"/>
        <w:rPr>
          <w:rFonts w:ascii="Arial" w:hAnsi="Arial" w:cs="Arial"/>
          <w:shd w:val="clear" w:color="auto" w:fill="FFFFFF"/>
        </w:rPr>
      </w:pPr>
    </w:p>
    <w:p w:rsidRPr="009C64D2" w:rsidR="00862A6E" w:rsidP="00862A6E" w:rsidRDefault="00862A6E" w14:paraId="6316FE90" w14:textId="77777777">
      <w:pPr>
        <w:widowControl w:val="0"/>
        <w:autoSpaceDE w:val="0"/>
        <w:autoSpaceDN w:val="0"/>
        <w:spacing w:before="1" w:after="120" w:line="276" w:lineRule="auto"/>
        <w:ind w:firstLine="709"/>
        <w:jc w:val="both"/>
        <w:rPr>
          <w:rFonts w:ascii="Arial" w:hAnsi="Arial" w:eastAsia="Arial" w:cs="Arial"/>
          <w:lang w:val="es-ES"/>
        </w:rPr>
      </w:pPr>
      <w:r w:rsidRPr="009C64D2">
        <w:rPr>
          <w:rFonts w:ascii="Arial" w:hAnsi="Arial" w:eastAsia="Arial" w:cs="Arial"/>
          <w:lang w:val="es-ES"/>
        </w:rPr>
        <w:t xml:space="preserve">Conforme con lo anterior, la excepción de celebrar contratos para usar bienes o servicios que las entidades ofrezcan al público en condiciones comunes a quienes lo soliciten, significa que los bienes y servicios que se ofrezcan en condiciones de igualdad, como por ejemplo los servicios públicos domiciliarios, los servicios hospitalarios, pueden ser adquiridos por personas que se encuentran inhabilitados en relación con otros contratos. </w:t>
      </w:r>
    </w:p>
    <w:p w:rsidRPr="009C64D2" w:rsidR="00862A6E" w:rsidP="00862A6E" w:rsidRDefault="00862A6E" w14:paraId="0430C11E" w14:textId="77777777">
      <w:pPr>
        <w:widowControl w:val="0"/>
        <w:autoSpaceDE w:val="0"/>
        <w:autoSpaceDN w:val="0"/>
        <w:spacing w:after="0" w:line="276" w:lineRule="auto"/>
        <w:ind w:firstLine="709"/>
        <w:jc w:val="both"/>
        <w:rPr>
          <w:rFonts w:ascii="Arial" w:hAnsi="Arial" w:eastAsia="Arial" w:cs="Arial"/>
          <w:lang w:val="es-ES"/>
        </w:rPr>
      </w:pPr>
      <w:r w:rsidRPr="009C64D2">
        <w:rPr>
          <w:rFonts w:ascii="Arial" w:hAnsi="Arial" w:eastAsia="Arial" w:cs="Arial"/>
          <w:lang w:val="es-ES"/>
        </w:rPr>
        <w:t>La Sala de Consulta y Servicio Civil del Consejo de Estado, en el concepto No. 11001-03-06-000-2012-00060-00(2.113) del 25 de octubre de 2012, sobre los bienes y servicios ofrecidos por el Estado en condiciones comunes a quienes lo solicitan, expresó que la aplicación de esta excepción exige que se reúnan los siguientes dos elementos:</w:t>
      </w:r>
    </w:p>
    <w:p w:rsidRPr="009C64D2" w:rsidR="00862A6E" w:rsidP="00862A6E" w:rsidRDefault="00862A6E" w14:paraId="5D6D5777" w14:textId="77777777">
      <w:pPr>
        <w:widowControl w:val="0"/>
        <w:autoSpaceDE w:val="0"/>
        <w:autoSpaceDN w:val="0"/>
        <w:spacing w:after="0" w:line="276" w:lineRule="auto"/>
        <w:ind w:firstLine="709"/>
        <w:jc w:val="both"/>
        <w:rPr>
          <w:rFonts w:ascii="Arial" w:hAnsi="Arial" w:eastAsia="Arial" w:cs="Arial"/>
          <w:lang w:val="es-ES"/>
        </w:rPr>
      </w:pPr>
    </w:p>
    <w:p w:rsidRPr="009C64D2" w:rsidR="00862A6E" w:rsidP="00862A6E" w:rsidRDefault="00862A6E" w14:paraId="46C15994" w14:textId="77777777">
      <w:pPr>
        <w:widowControl w:val="0"/>
        <w:autoSpaceDE w:val="0"/>
        <w:autoSpaceDN w:val="0"/>
        <w:spacing w:after="120" w:line="240" w:lineRule="auto"/>
        <w:ind w:left="709" w:right="709"/>
        <w:jc w:val="both"/>
        <w:rPr>
          <w:rFonts w:ascii="Arial" w:hAnsi="Arial" w:cs="Arial"/>
          <w:sz w:val="21"/>
          <w:szCs w:val="21"/>
        </w:rPr>
      </w:pPr>
      <w:r w:rsidRPr="009C64D2">
        <w:rPr>
          <w:rFonts w:ascii="Arial" w:hAnsi="Arial" w:cs="Arial"/>
          <w:sz w:val="21"/>
          <w:szCs w:val="21"/>
        </w:rPr>
        <w:t xml:space="preserve">“La uniformidad en las condiciones contractuales, esto es que el contrato no sea objeto de negociación, en tanto que es igual y estandarizado para el público en general; y </w:t>
      </w:r>
    </w:p>
    <w:p w:rsidRPr="009C64D2" w:rsidR="00862A6E" w:rsidP="00862A6E" w:rsidRDefault="00862A6E" w14:paraId="02966B72" w14:textId="77777777">
      <w:pPr>
        <w:widowControl w:val="0"/>
        <w:autoSpaceDE w:val="0"/>
        <w:autoSpaceDN w:val="0"/>
        <w:spacing w:after="0" w:line="240" w:lineRule="auto"/>
        <w:ind w:left="709" w:right="709" w:firstLine="1"/>
        <w:jc w:val="both"/>
        <w:rPr>
          <w:rFonts w:ascii="Arial" w:hAnsi="Arial" w:eastAsia="Arial" w:cs="Arial"/>
          <w:sz w:val="21"/>
          <w:szCs w:val="21"/>
          <w:lang w:val="es-ES"/>
        </w:rPr>
      </w:pPr>
      <w:r w:rsidRPr="009C64D2">
        <w:rPr>
          <w:rFonts w:ascii="Arial" w:hAnsi="Arial" w:cs="Arial"/>
          <w:sz w:val="21"/>
          <w:szCs w:val="21"/>
        </w:rPr>
        <w:t xml:space="preserve">La posibilidad de acceso al contrato a todo el que lo solicite, lo que supone que no hay escogencia por parte de la entidad estatal entre posibles oferentes o interesados, que una vez escogidos excluyen a los demás; la excepción en cuestión tiene como supuesto que el goce de los bienes y servicios es una facultad de todos “quienes los soliciten”, de manera que el parentesco y otras causas de inhabilidad se vuelven inaplicables; ello, claro está, sin perjuicio del cumplimiento por parte del interesado de los requisitos y condiciones generales </w:t>
      </w:r>
      <w:r w:rsidRPr="009C64D2">
        <w:rPr>
          <w:rFonts w:ascii="Arial" w:hAnsi="Arial" w:eastAsia="Arial" w:cs="Arial"/>
          <w:sz w:val="21"/>
          <w:szCs w:val="21"/>
          <w:lang w:val="es-ES"/>
        </w:rPr>
        <w:t xml:space="preserve">establecidas previamente para solicitar dichos bienes y servicios” </w:t>
      </w:r>
      <w:r w:rsidRPr="009C64D2">
        <w:rPr>
          <w:rFonts w:ascii="Arial" w:hAnsi="Arial" w:eastAsia="Arial" w:cs="Arial"/>
          <w:sz w:val="21"/>
          <w:szCs w:val="21"/>
          <w:vertAlign w:val="superscript"/>
          <w:lang w:val="es-ES"/>
        </w:rPr>
        <w:footnoteReference w:id="31"/>
      </w:r>
      <w:r w:rsidRPr="009C64D2">
        <w:rPr>
          <w:rFonts w:ascii="Arial" w:hAnsi="Arial" w:eastAsia="Arial" w:cs="Arial"/>
          <w:sz w:val="21"/>
          <w:szCs w:val="21"/>
          <w:lang w:val="es-ES"/>
        </w:rPr>
        <w:t xml:space="preserve">. </w:t>
      </w:r>
    </w:p>
    <w:p w:rsidRPr="009C64D2" w:rsidR="00862A6E" w:rsidP="00862A6E" w:rsidRDefault="00862A6E" w14:paraId="5FA49E5F" w14:textId="77777777">
      <w:pPr>
        <w:widowControl w:val="0"/>
        <w:autoSpaceDE w:val="0"/>
        <w:autoSpaceDN w:val="0"/>
        <w:spacing w:after="0" w:line="240" w:lineRule="auto"/>
        <w:ind w:right="709"/>
        <w:jc w:val="both"/>
        <w:rPr>
          <w:rFonts w:ascii="Arial" w:hAnsi="Arial" w:eastAsia="Arial" w:cs="Arial"/>
          <w:sz w:val="21"/>
          <w:szCs w:val="21"/>
          <w:lang w:val="es-ES"/>
        </w:rPr>
      </w:pPr>
    </w:p>
    <w:p w:rsidRPr="009C64D2" w:rsidR="00862A6E" w:rsidP="00862A6E" w:rsidRDefault="00862A6E" w14:paraId="495C97ED" w14:textId="77777777">
      <w:pPr>
        <w:widowControl w:val="0"/>
        <w:autoSpaceDE w:val="0"/>
        <w:autoSpaceDN w:val="0"/>
        <w:spacing w:after="120" w:line="276" w:lineRule="auto"/>
        <w:ind w:firstLine="708"/>
        <w:jc w:val="both"/>
        <w:rPr>
          <w:rFonts w:ascii="Arial" w:hAnsi="Arial" w:eastAsia="Arial" w:cs="Arial"/>
          <w:lang w:val="es-ES"/>
        </w:rPr>
      </w:pPr>
      <w:r w:rsidRPr="009C64D2">
        <w:rPr>
          <w:rFonts w:ascii="Arial" w:hAnsi="Arial" w:eastAsia="Arial" w:cs="Arial"/>
          <w:lang w:val="es-ES"/>
        </w:rPr>
        <w:t xml:space="preserve">Asimismo, en el concepto señalado, la corporación manifestó que cuando se den las condiciones indicadas, no hay riesgo para la transparencia e imparcialidad de la contratación pública. Además, agregó que, aunque la excepción que se viene estudiante “(…) suele asociarse a la prestación de servicios públicos por parte del Estado, aunque podría aplicarse en otros eventos, siempre que se den las condiciones normativas anotadas”. Finalmente, en relación con el pronunciamiento de la Sala de Consulta y Servicio Civil del Consejo de Estado, conviene mencionar que en este se dispuso que el artículo 10 de la Ley 80 de 1993 únicamente exceptúa los contratos que se refieren a bienes y servicios ofrecidos en condiciones uniforme por el Estado a cualquier persona que lo solicite, así, la prerrogativa no cobija los contratos de condiciones uniformes ofrecidos por los particulares al Estado, </w:t>
      </w:r>
    </w:p>
    <w:p w:rsidRPr="009C64D2" w:rsidR="00862A6E" w:rsidP="00862A6E" w:rsidRDefault="00862A6E" w14:paraId="003D41C8" w14:textId="77777777">
      <w:pPr>
        <w:widowControl w:val="0"/>
        <w:autoSpaceDE w:val="0"/>
        <w:autoSpaceDN w:val="0"/>
        <w:spacing w:after="120" w:line="276" w:lineRule="auto"/>
        <w:jc w:val="both"/>
        <w:rPr>
          <w:rFonts w:ascii="Arial" w:hAnsi="Arial" w:eastAsia="Arial" w:cs="Arial"/>
          <w:lang w:val="es-ES"/>
        </w:rPr>
      </w:pPr>
      <w:r w:rsidRPr="009C64D2">
        <w:rPr>
          <w:rFonts w:ascii="Arial" w:hAnsi="Arial" w:eastAsia="Arial" w:cs="Arial"/>
          <w:lang w:val="es-ES"/>
        </w:rPr>
        <w:tab/>
      </w:r>
      <w:r w:rsidRPr="009C64D2">
        <w:rPr>
          <w:rFonts w:ascii="Arial" w:hAnsi="Arial" w:eastAsia="Arial" w:cs="Arial"/>
          <w:lang w:val="es-ES"/>
        </w:rPr>
        <w:t xml:space="preserve">De esta forma, puede afirmarse que, una de las exigencias para que aplique la segunda excepción del artículo 10 de la Ley 80 de 1993, es que los bienes o servicios los </w:t>
      </w:r>
      <w:r w:rsidRPr="009C64D2">
        <w:rPr>
          <w:rFonts w:ascii="Arial" w:hAnsi="Arial" w:eastAsia="Arial" w:cs="Arial"/>
          <w:lang w:val="es-ES"/>
        </w:rPr>
        <w:t>ofrezca el Estado, por lo que no podría entenderse que aplica cuando el particular se presenta a un procedimiento de selección o a una contratación directa, teniendo en cuenta que en ese evento, no hay libre acceso del público, ni mucho menos se está ante un servicio o bien ofrecido por una entidad sometida al Estatuto General de Contratación de la Administración Pública, pues son estas entidades las que los requieren</w:t>
      </w:r>
      <w:r w:rsidRPr="009C64D2">
        <w:rPr>
          <w:rStyle w:val="Refdenotaalpie"/>
          <w:rFonts w:ascii="Arial" w:hAnsi="Arial" w:eastAsia="Arial" w:cs="Arial"/>
          <w:lang w:val="es-ES"/>
        </w:rPr>
        <w:footnoteReference w:id="32"/>
      </w:r>
      <w:r w:rsidRPr="009C64D2">
        <w:rPr>
          <w:rFonts w:ascii="Arial" w:hAnsi="Arial" w:eastAsia="Arial" w:cs="Arial"/>
          <w:lang w:val="es-ES"/>
        </w:rPr>
        <w:t xml:space="preserve">. </w:t>
      </w:r>
    </w:p>
    <w:p w:rsidRPr="009C64D2" w:rsidR="00862A6E" w:rsidP="00862A6E" w:rsidRDefault="00862A6E" w14:paraId="49115199" w14:textId="77777777">
      <w:pPr>
        <w:widowControl w:val="0"/>
        <w:autoSpaceDE w:val="0"/>
        <w:autoSpaceDN w:val="0"/>
        <w:spacing w:after="120" w:line="276" w:lineRule="auto"/>
        <w:jc w:val="both"/>
        <w:rPr>
          <w:rFonts w:ascii="Arial" w:hAnsi="Arial" w:eastAsia="Arial" w:cs="Arial"/>
          <w:lang w:val="es-ES"/>
        </w:rPr>
      </w:pPr>
      <w:r w:rsidRPr="009C64D2">
        <w:rPr>
          <w:rFonts w:ascii="Arial" w:hAnsi="Arial" w:eastAsia="Arial" w:cs="Arial"/>
          <w:lang w:val="es-ES"/>
        </w:rPr>
        <w:tab/>
      </w:r>
      <w:r w:rsidRPr="009C64D2">
        <w:rPr>
          <w:rFonts w:ascii="Arial" w:hAnsi="Arial" w:eastAsia="Arial" w:cs="Arial"/>
          <w:lang w:val="es-ES"/>
        </w:rPr>
        <w:t xml:space="preserve">En cuanto a la tercera excepción que se dispone en el artículo 10 de la Ley 80 de 1993, esto es, que el régimen de inhabilidades e incompatibilidades no se aplicará a “(…) las personas jurídicas sin ánimo de lucro cuyos representantes legales hagan parte de las juntas o consejos directivos en virtud de su cargo o por mandato legal o estatutario”. Del análisis de la prerrogativa señalada, se desprende, por una parte, un primer requisito que se refiere a “una persona jurídica sin ánimo de lucro”, lo que indica que esta excepción no incluye a las personas naturales ni a las personas jurídicas con ánimo de lucro. </w:t>
      </w:r>
    </w:p>
    <w:p w:rsidRPr="009C64D2" w:rsidR="00862A6E" w:rsidP="00862A6E" w:rsidRDefault="00862A6E" w14:paraId="38744069" w14:textId="77777777">
      <w:pPr>
        <w:widowControl w:val="0"/>
        <w:autoSpaceDE w:val="0"/>
        <w:autoSpaceDN w:val="0"/>
        <w:spacing w:after="120" w:line="276" w:lineRule="auto"/>
        <w:ind w:firstLine="708"/>
        <w:jc w:val="both"/>
        <w:rPr>
          <w:rFonts w:ascii="Arial" w:hAnsi="Arial" w:eastAsia="Arial" w:cs="Arial"/>
          <w:lang w:val="es-ES"/>
        </w:rPr>
      </w:pPr>
      <w:r w:rsidRPr="009C64D2">
        <w:rPr>
          <w:rFonts w:ascii="Arial" w:hAnsi="Arial" w:eastAsia="Arial" w:cs="Arial"/>
          <w:lang w:val="es-ES"/>
        </w:rPr>
        <w:t>El segundo requisito al que se refiere el enunciado es que las personas jurídicas sin ánimo de lucro tengan “representantes legales [que] hagan parte de las juntas o consejos directivos en virtud de su cargo o por mandato legal estatutario”. De esta forma, la finalidad de esta causal es excepcionar un sujeto que no podría contratar por la concurrencia de dos calidades, esto es, ser representante legal y miembro de junta o de consejo directivo. Asimismo, se destaca que, teniendo en cuenta que en la excepción se dispone mandato legal hace referencia a que una Ley en sentido formal deba ser la que define que el representante de una entidad deba formar parte de la junta o consejo directivo de una entidad estatal. Ahora bien, cuando el enunciado hace referencia a “estatutario” se considera que hace referencia a los estatutos de la entidad estatal “pues no tendría sentido que un mismo contratista se excepcione del régimen de inhabilidades e incompatibilidades en sus actos de creación”</w:t>
      </w:r>
      <w:r w:rsidRPr="009C64D2">
        <w:rPr>
          <w:rStyle w:val="Refdenotaalpie"/>
          <w:rFonts w:ascii="Arial" w:hAnsi="Arial" w:eastAsia="Arial" w:cs="Arial"/>
          <w:lang w:val="es-ES"/>
        </w:rPr>
        <w:footnoteReference w:id="33"/>
      </w:r>
      <w:r w:rsidRPr="009C64D2">
        <w:rPr>
          <w:rFonts w:ascii="Arial" w:hAnsi="Arial" w:eastAsia="Arial" w:cs="Arial"/>
          <w:lang w:val="es-ES"/>
        </w:rPr>
        <w:t>.  Por otra parte, en relación con la expresión “en virtud del cargo” “se considera que debe ser el cargo de miembro de la junta o consejo de la entidad estatal, de manera que sea una norma general la que establece el deber, y no una que provenga del mismo excepcionado”</w:t>
      </w:r>
      <w:r w:rsidRPr="009C64D2">
        <w:rPr>
          <w:rStyle w:val="Refdenotaalpie"/>
          <w:rFonts w:ascii="Arial" w:hAnsi="Arial" w:eastAsia="Arial" w:cs="Arial"/>
          <w:lang w:val="es-ES"/>
        </w:rPr>
        <w:footnoteReference w:id="34"/>
      </w:r>
    </w:p>
    <w:p w:rsidRPr="009C64D2" w:rsidR="00862A6E" w:rsidP="00862A6E" w:rsidRDefault="00862A6E" w14:paraId="5ED7DE99" w14:textId="77777777">
      <w:pPr>
        <w:widowControl w:val="0"/>
        <w:autoSpaceDE w:val="0"/>
        <w:autoSpaceDN w:val="0"/>
        <w:spacing w:after="120" w:line="276" w:lineRule="auto"/>
        <w:jc w:val="both"/>
        <w:rPr>
          <w:rFonts w:ascii="Arial" w:hAnsi="Arial" w:eastAsia="Arial" w:cs="Arial"/>
          <w:lang w:val="es-ES"/>
        </w:rPr>
      </w:pPr>
      <w:r w:rsidRPr="009C64D2">
        <w:rPr>
          <w:rFonts w:ascii="Arial" w:hAnsi="Arial" w:eastAsia="Arial" w:cs="Arial"/>
          <w:lang w:val="es-ES"/>
        </w:rPr>
        <w:tab/>
      </w:r>
      <w:r w:rsidRPr="009C64D2">
        <w:rPr>
          <w:rFonts w:ascii="Arial" w:hAnsi="Arial" w:eastAsia="Arial" w:cs="Arial"/>
          <w:lang w:val="es-ES"/>
        </w:rPr>
        <w:t xml:space="preserve">  Como ejemplo de esta tercera excepción al régimen de inhabilidades e incompatibilidades, la doctrina señala que podría darse el caso que en virtud de la participación que tienen los usuarios en las juntas de las entidades prestadoras de servicios públicos, el representante legal de una persona jurídica sin ánimo de lucro fuera elegida para representar a los usuarios. En tal caso, la persona jurídica sin ánimo de lucro no estará inhabilitada para contratar con la entidad a pesar de hacer parte de la junta su representante legal</w:t>
      </w:r>
      <w:r w:rsidRPr="009C64D2">
        <w:rPr>
          <w:rStyle w:val="Refdenotaalpie"/>
          <w:rFonts w:ascii="Arial" w:hAnsi="Arial" w:eastAsia="Arial" w:cs="Arial"/>
          <w:lang w:val="es-ES"/>
        </w:rPr>
        <w:footnoteReference w:id="35"/>
      </w:r>
      <w:r w:rsidRPr="009C64D2">
        <w:rPr>
          <w:rFonts w:ascii="Arial" w:hAnsi="Arial" w:eastAsia="Arial" w:cs="Arial"/>
          <w:lang w:val="es-ES"/>
        </w:rPr>
        <w:t xml:space="preserve">. </w:t>
      </w:r>
    </w:p>
    <w:p w:rsidRPr="009C64D2" w:rsidR="00862A6E" w:rsidP="00862A6E" w:rsidRDefault="00862A6E" w14:paraId="1A838759" w14:textId="77777777">
      <w:pPr>
        <w:widowControl w:val="0"/>
        <w:autoSpaceDE w:val="0"/>
        <w:autoSpaceDN w:val="0"/>
        <w:spacing w:after="0" w:line="276" w:lineRule="auto"/>
        <w:jc w:val="both"/>
        <w:rPr>
          <w:rFonts w:ascii="Arial" w:hAnsi="Arial" w:eastAsia="Arial" w:cs="Arial"/>
          <w:lang w:val="es-ES"/>
        </w:rPr>
      </w:pPr>
      <w:r w:rsidRPr="009C64D2">
        <w:rPr>
          <w:rFonts w:ascii="Arial" w:hAnsi="Arial" w:eastAsia="Arial" w:cs="Arial"/>
          <w:lang w:val="es-ES"/>
        </w:rPr>
        <w:tab/>
      </w:r>
      <w:r w:rsidRPr="009C64D2">
        <w:rPr>
          <w:rFonts w:ascii="Arial" w:hAnsi="Arial" w:eastAsia="Arial" w:cs="Arial"/>
          <w:lang w:val="es-ES"/>
        </w:rPr>
        <w:t>Finalmente, respecto de la última excepción al régimen de inhabilidades e incompatibilidades contenida en el artículo 10 de la Ley 80 de 1993, “(…) quienes celebren contratos en desarrollo de lo previsto en el artículo 60 de la Constitución Política”, conviene mencionar que el artículo constitucional al que se refiere la causal establece lo siguiente:</w:t>
      </w:r>
    </w:p>
    <w:p w:rsidRPr="009C64D2" w:rsidR="00862A6E" w:rsidP="00862A6E" w:rsidRDefault="00862A6E" w14:paraId="42EC2D29" w14:textId="77777777">
      <w:pPr>
        <w:widowControl w:val="0"/>
        <w:autoSpaceDE w:val="0"/>
        <w:autoSpaceDN w:val="0"/>
        <w:spacing w:after="0" w:line="276" w:lineRule="auto"/>
        <w:jc w:val="both"/>
        <w:rPr>
          <w:rFonts w:ascii="Arial" w:hAnsi="Arial" w:eastAsia="Arial" w:cs="Arial"/>
          <w:lang w:val="es-ES"/>
        </w:rPr>
      </w:pPr>
    </w:p>
    <w:p w:rsidRPr="009C64D2" w:rsidR="00862A6E" w:rsidP="00862A6E" w:rsidRDefault="00862A6E" w14:paraId="798D50D6" w14:textId="77777777">
      <w:pPr>
        <w:pStyle w:val="NormalWeb"/>
        <w:spacing w:after="120"/>
        <w:ind w:left="709" w:right="709"/>
        <w:jc w:val="both"/>
        <w:rPr>
          <w:rFonts w:ascii="Arial" w:hAnsi="Arial" w:cs="Arial"/>
          <w:sz w:val="21"/>
          <w:szCs w:val="21"/>
        </w:rPr>
      </w:pPr>
      <w:bookmarkStart w:name="60" w:id="8"/>
      <w:r w:rsidRPr="009C64D2">
        <w:rPr>
          <w:rFonts w:ascii="Arial" w:hAnsi="Arial" w:cs="Arial"/>
          <w:b/>
          <w:bCs/>
          <w:sz w:val="21"/>
          <w:szCs w:val="21"/>
        </w:rPr>
        <w:t>“ARTICULO 60. </w:t>
      </w:r>
      <w:bookmarkEnd w:id="8"/>
      <w:r w:rsidRPr="009C64D2">
        <w:rPr>
          <w:rFonts w:ascii="Arial" w:hAnsi="Arial" w:cs="Arial"/>
          <w:sz w:val="21"/>
          <w:szCs w:val="21"/>
        </w:rPr>
        <w:t>El Estado promoverá, de acuerdo con la ley, el acceso a la propiedad.</w:t>
      </w:r>
    </w:p>
    <w:p w:rsidRPr="009C64D2" w:rsidR="00862A6E" w:rsidP="00862A6E" w:rsidRDefault="00862A6E" w14:paraId="3D6324DE" w14:textId="77777777">
      <w:pPr>
        <w:pStyle w:val="NormalWeb"/>
        <w:spacing w:after="0"/>
        <w:ind w:left="709" w:right="709"/>
        <w:jc w:val="both"/>
        <w:rPr>
          <w:rFonts w:ascii="Arial" w:hAnsi="Arial" w:cs="Arial"/>
          <w:sz w:val="21"/>
          <w:szCs w:val="21"/>
        </w:rPr>
      </w:pPr>
      <w:r w:rsidRPr="009C64D2">
        <w:rPr>
          <w:rFonts w:ascii="Arial" w:hAnsi="Arial" w:cs="Arial"/>
          <w:sz w:val="21"/>
          <w:szCs w:val="21"/>
        </w:rPr>
        <w:t>Cuando el Estado enajene su participación en una empresa, tomará las medidas conducentes a democratizar la titularidad de sus acciones, y ofrecerá a sus trabajadores, a las organizaciones solidarias y de trabajadores, condiciones especiales para acceder a dicha propiedad accionaria. La ley reglamentará la materia”.</w:t>
      </w:r>
    </w:p>
    <w:p w:rsidRPr="009C64D2" w:rsidR="00862A6E" w:rsidP="00862A6E" w:rsidRDefault="00862A6E" w14:paraId="1F8A2DB2" w14:textId="77777777">
      <w:pPr>
        <w:widowControl w:val="0"/>
        <w:autoSpaceDE w:val="0"/>
        <w:autoSpaceDN w:val="0"/>
        <w:spacing w:after="0" w:line="276" w:lineRule="auto"/>
        <w:jc w:val="both"/>
        <w:rPr>
          <w:rFonts w:ascii="Arial" w:hAnsi="Arial" w:eastAsia="Arial" w:cs="Arial"/>
          <w:lang w:val="es-ES"/>
        </w:rPr>
      </w:pPr>
    </w:p>
    <w:p w:rsidRPr="009C64D2" w:rsidR="00862A6E" w:rsidP="00862A6E" w:rsidRDefault="00862A6E" w14:paraId="1307BF5D" w14:textId="77777777">
      <w:pPr>
        <w:widowControl w:val="0"/>
        <w:autoSpaceDE w:val="0"/>
        <w:autoSpaceDN w:val="0"/>
        <w:spacing w:after="0" w:line="276" w:lineRule="auto"/>
        <w:ind w:firstLine="708"/>
        <w:jc w:val="both"/>
        <w:rPr>
          <w:rFonts w:ascii="Arial" w:hAnsi="Arial" w:cs="Arial"/>
        </w:rPr>
      </w:pPr>
      <w:r w:rsidRPr="009C64D2">
        <w:rPr>
          <w:rFonts w:ascii="Arial" w:hAnsi="Arial" w:eastAsia="Arial" w:cs="Arial"/>
          <w:lang w:val="es-ES"/>
        </w:rPr>
        <w:t xml:space="preserve">Como se observa, </w:t>
      </w:r>
      <w:r w:rsidRPr="009C64D2">
        <w:rPr>
          <w:rFonts w:ascii="Arial" w:hAnsi="Arial" w:cs="Arial"/>
        </w:rPr>
        <w:t xml:space="preserve">el artículo 60 de la Constitución Política ordena que la ley reglamente las circunstancias dentro de las cuales se llevará a efecto el mandato de democratización de la propiedad accionaria que, estando radicada en cabeza del Estado, éste decida transferir a terceros, respecto de lo cual sólo señala que las acciones que se pretenda enajenar deberán ofrecerse bajo condiciones especiales a los trabajadores de la empresa cuya propiedad total o parcial se ha decidido vender. Bajo este supuesto de democratización de la propiedad accionaria, </w:t>
      </w:r>
      <w:r w:rsidRPr="009C64D2">
        <w:rPr>
          <w:rFonts w:ascii="Arial" w:hAnsi="Arial" w:eastAsia="Arial" w:cs="Arial"/>
          <w:lang w:val="es-ES"/>
        </w:rPr>
        <w:t xml:space="preserve">quienes celebren contratos en desarrollo de lo previsto en el artículo 60 de la Constitución Política, no quedaran incursos en el régimen de inhabilidades e incompatibilidades para contratar con el Estado. </w:t>
      </w:r>
    </w:p>
    <w:p w:rsidRPr="009C64D2" w:rsidR="00862A6E" w:rsidP="00862A6E" w:rsidRDefault="00862A6E" w14:paraId="2B450104" w14:textId="77777777">
      <w:pPr>
        <w:widowControl w:val="0"/>
        <w:autoSpaceDE w:val="0"/>
        <w:autoSpaceDN w:val="0"/>
        <w:spacing w:after="0" w:line="276" w:lineRule="auto"/>
        <w:jc w:val="both"/>
        <w:rPr>
          <w:rFonts w:ascii="Arial" w:hAnsi="Arial" w:eastAsia="Arial" w:cs="Arial"/>
          <w:lang w:val="es-ES"/>
        </w:rPr>
      </w:pPr>
    </w:p>
    <w:p w:rsidRPr="009C64D2" w:rsidR="00862A6E" w:rsidP="00862A6E" w:rsidRDefault="00862A6E" w14:paraId="1144D311" w14:textId="77777777">
      <w:pPr>
        <w:pStyle w:val="Prrafodelista"/>
        <w:widowControl w:val="0"/>
        <w:numPr>
          <w:ilvl w:val="0"/>
          <w:numId w:val="6"/>
        </w:numPr>
        <w:autoSpaceDE w:val="0"/>
        <w:autoSpaceDN w:val="0"/>
        <w:spacing w:after="0" w:line="276" w:lineRule="auto"/>
        <w:rPr>
          <w:rFonts w:ascii="Arial" w:hAnsi="Arial" w:eastAsia="Arial" w:cs="Arial"/>
          <w:b/>
          <w:bCs/>
        </w:rPr>
      </w:pPr>
      <w:r w:rsidRPr="009C64D2">
        <w:rPr>
          <w:rFonts w:ascii="Arial" w:hAnsi="Arial" w:eastAsia="Arial" w:cs="Arial"/>
          <w:b/>
          <w:bCs/>
        </w:rPr>
        <w:t>Respuesta</w:t>
      </w:r>
    </w:p>
    <w:p w:rsidRPr="009C64D2" w:rsidR="00862A6E" w:rsidP="00862A6E" w:rsidRDefault="00862A6E" w14:paraId="1861FA23" w14:textId="77777777">
      <w:pPr>
        <w:widowControl w:val="0"/>
        <w:autoSpaceDE w:val="0"/>
        <w:autoSpaceDN w:val="0"/>
        <w:spacing w:after="0" w:line="276" w:lineRule="auto"/>
        <w:jc w:val="both"/>
        <w:rPr>
          <w:rFonts w:ascii="Arial" w:hAnsi="Arial" w:eastAsia="Arial" w:cs="Arial"/>
          <w:lang w:val="es-ES"/>
        </w:rPr>
      </w:pPr>
    </w:p>
    <w:p w:rsidRPr="009C64D2" w:rsidR="00862A6E" w:rsidP="00862A6E" w:rsidRDefault="00862A6E" w14:paraId="01C5C4B8" w14:textId="77777777">
      <w:pPr>
        <w:widowControl w:val="0"/>
        <w:autoSpaceDE w:val="0"/>
        <w:autoSpaceDN w:val="0"/>
        <w:spacing w:after="0" w:line="240" w:lineRule="auto"/>
        <w:ind w:left="709" w:right="709"/>
        <w:jc w:val="both"/>
        <w:rPr>
          <w:rFonts w:ascii="Arial" w:hAnsi="Arial" w:cs="Arial"/>
          <w:color w:val="000000" w:themeColor="text1"/>
          <w:sz w:val="21"/>
          <w:szCs w:val="21"/>
          <w:lang w:val="es-ES_tradnl"/>
        </w:rPr>
      </w:pPr>
      <w:r w:rsidRPr="009C64D2">
        <w:rPr>
          <w:rFonts w:ascii="Arial" w:hAnsi="Arial" w:cs="Arial"/>
          <w:color w:val="000000" w:themeColor="text1"/>
          <w:sz w:val="21"/>
          <w:szCs w:val="21"/>
          <w:lang w:val="es-ES_tradnl"/>
        </w:rPr>
        <w:t xml:space="preserve">“(…) un lineamiento conceptual sobre el alcance del artículo (10mo de la Ley 80 de 1993 (…)”. </w:t>
      </w:r>
    </w:p>
    <w:p w:rsidRPr="009C64D2" w:rsidR="00862A6E" w:rsidP="00862A6E" w:rsidRDefault="00862A6E" w14:paraId="1B187C92" w14:textId="77777777">
      <w:pPr>
        <w:widowControl w:val="0"/>
        <w:autoSpaceDE w:val="0"/>
        <w:autoSpaceDN w:val="0"/>
        <w:spacing w:after="0" w:line="276" w:lineRule="auto"/>
        <w:jc w:val="both"/>
        <w:rPr>
          <w:rFonts w:ascii="Arial" w:hAnsi="Arial" w:eastAsia="Arial" w:cs="Arial"/>
          <w:lang w:val="es-ES"/>
        </w:rPr>
      </w:pPr>
    </w:p>
    <w:p w:rsidRPr="009C64D2" w:rsidR="00862A6E" w:rsidP="00862A6E" w:rsidRDefault="00862A6E" w14:paraId="156FA996" w14:textId="2769F105">
      <w:pPr>
        <w:tabs>
          <w:tab w:val="left" w:pos="709"/>
        </w:tabs>
        <w:spacing w:after="120" w:line="276" w:lineRule="auto"/>
        <w:jc w:val="both"/>
        <w:rPr>
          <w:rFonts w:ascii="Arial" w:hAnsi="Arial" w:cs="Arial"/>
          <w:i/>
          <w:iCs/>
          <w:shd w:val="clear" w:color="auto" w:fill="FFFFFF"/>
        </w:rPr>
      </w:pPr>
      <w:r w:rsidRPr="009C64D2">
        <w:rPr>
          <w:rFonts w:ascii="Arial" w:hAnsi="Arial" w:eastAsia="Calibri" w:cs="Arial"/>
          <w:bCs/>
          <w:color w:val="000000" w:themeColor="text1"/>
        </w:rPr>
        <w:t xml:space="preserve">El artículo 10 de la Ley 80 de 1993 contempla unas excepciones a las inhabilidades e incompatibilidades para contratar. De esta forma, el artículo dispone cuatro supuestos en los cuales el régimen de inhabilidades e incompatibilidades no tiene aplicación. </w:t>
      </w:r>
      <w:r w:rsidRPr="009C64D2">
        <w:rPr>
          <w:rFonts w:ascii="Arial" w:hAnsi="Arial" w:cs="Arial"/>
          <w:shd w:val="clear" w:color="auto" w:fill="FFFFFF"/>
        </w:rPr>
        <w:t xml:space="preserve">Al respecto, </w:t>
      </w:r>
      <w:r w:rsidRPr="009C64D2">
        <w:rPr>
          <w:rFonts w:ascii="Arial" w:hAnsi="Arial" w:cs="Arial"/>
          <w:shd w:val="clear" w:color="auto" w:fill="FFFFFF"/>
        </w:rPr>
        <w:t xml:space="preserve">la norma señala que no quedan cobijados por las inhabilidades e incompatibilidades de que tratan los artículos anteriores las siguientes personas: </w:t>
      </w:r>
      <w:r w:rsidRPr="009C64D2">
        <w:rPr>
          <w:rFonts w:ascii="Arial" w:hAnsi="Arial" w:cs="Arial"/>
          <w:i/>
          <w:iCs/>
          <w:shd w:val="clear" w:color="auto" w:fill="FFFFFF"/>
        </w:rPr>
        <w:t xml:space="preserve">i) quienes contraten por obligación legal, </w:t>
      </w:r>
      <w:proofErr w:type="spellStart"/>
      <w:r w:rsidRPr="009C64D2">
        <w:rPr>
          <w:rFonts w:ascii="Arial" w:hAnsi="Arial" w:cs="Arial"/>
          <w:i/>
          <w:iCs/>
          <w:shd w:val="clear" w:color="auto" w:fill="FFFFFF"/>
        </w:rPr>
        <w:t>ii</w:t>
      </w:r>
      <w:proofErr w:type="spellEnd"/>
      <w:r w:rsidRPr="009C64D2">
        <w:rPr>
          <w:rFonts w:ascii="Arial" w:hAnsi="Arial" w:cs="Arial"/>
          <w:i/>
          <w:iCs/>
          <w:shd w:val="clear" w:color="auto" w:fill="FFFFFF"/>
        </w:rPr>
        <w:t xml:space="preserve">) las personas que contraten para usar los bienes o servicios que las entidades a que se refiere el presente estatuto ofrezcan al público en condiciones comunes a quienes los soliciten, </w:t>
      </w:r>
      <w:proofErr w:type="spellStart"/>
      <w:r w:rsidRPr="009C64D2">
        <w:rPr>
          <w:rFonts w:ascii="Arial" w:hAnsi="Arial" w:cs="Arial"/>
          <w:i/>
          <w:iCs/>
          <w:shd w:val="clear" w:color="auto" w:fill="FFFFFF"/>
        </w:rPr>
        <w:t>iii</w:t>
      </w:r>
      <w:proofErr w:type="spellEnd"/>
      <w:r w:rsidRPr="009C64D2">
        <w:rPr>
          <w:rFonts w:ascii="Arial" w:hAnsi="Arial" w:cs="Arial"/>
          <w:i/>
          <w:iCs/>
          <w:shd w:val="clear" w:color="auto" w:fill="FFFFFF"/>
        </w:rPr>
        <w:t xml:space="preserve">) las personas jurídicas sin ánimo de lucro cuyos representantes legales hagan parte de las juntas o consejos directivos en virtud de su cargo o por mandato legal o estatutario, y </w:t>
      </w:r>
      <w:proofErr w:type="spellStart"/>
      <w:r w:rsidRPr="009C64D2">
        <w:rPr>
          <w:rFonts w:ascii="Arial" w:hAnsi="Arial" w:cs="Arial"/>
          <w:i/>
          <w:iCs/>
          <w:shd w:val="clear" w:color="auto" w:fill="FFFFFF"/>
        </w:rPr>
        <w:t>iv</w:t>
      </w:r>
      <w:proofErr w:type="spellEnd"/>
      <w:r w:rsidRPr="009C64D2">
        <w:rPr>
          <w:rFonts w:ascii="Arial" w:hAnsi="Arial" w:cs="Arial"/>
          <w:i/>
          <w:iCs/>
          <w:shd w:val="clear" w:color="auto" w:fill="FFFFFF"/>
        </w:rPr>
        <w:t xml:space="preserve">) quienes celebren contratos en desarrollo de lo previsto en el artículo 60 de la Constitución Política. </w:t>
      </w:r>
    </w:p>
    <w:p w:rsidRPr="009C64D2" w:rsidR="00862A6E" w:rsidP="00862A6E" w:rsidRDefault="00862A6E" w14:paraId="77C9A0FA" w14:textId="77777777">
      <w:pPr>
        <w:tabs>
          <w:tab w:val="left" w:pos="709"/>
        </w:tabs>
        <w:spacing w:after="120" w:line="276" w:lineRule="auto"/>
        <w:jc w:val="both"/>
        <w:rPr>
          <w:rFonts w:ascii="Arial" w:hAnsi="Arial" w:cs="Arial"/>
        </w:rPr>
      </w:pPr>
      <w:r w:rsidRPr="009C64D2">
        <w:rPr>
          <w:rFonts w:ascii="Arial" w:hAnsi="Arial" w:cs="Arial"/>
          <w:shd w:val="clear" w:color="auto" w:fill="FFFFFF"/>
        </w:rPr>
        <w:tab/>
      </w:r>
      <w:r w:rsidRPr="009C64D2">
        <w:rPr>
          <w:rFonts w:ascii="Arial" w:hAnsi="Arial" w:cs="Arial"/>
          <w:shd w:val="clear" w:color="auto" w:fill="FFFFFF"/>
        </w:rPr>
        <w:t>En relación el primer supuesto contenido en el artículo 10 de la Ley 80 de 1993, según el cual, se exceptúan del régimen de inhabilidades e incompatibilidades, “las personas que contraten por obligación legal”, el enunciado conlleva a indagar sobre el alcance de la expresión “obligación legal”. Sobre el particular, es pertinente mencionar que no existe una definición normativa de dicha expresión, por lo tanto, conviene referirnos al sentido literal de cada una de las palabras que la componen. Según el Diccionario de la Real Academia de la Lengua Española “Obligación” se define como: “1. Aquello que alguien está obligado a hacer”</w:t>
      </w:r>
      <w:r w:rsidRPr="009C64D2">
        <w:rPr>
          <w:rStyle w:val="Refdenotaalpie"/>
          <w:rFonts w:ascii="Arial" w:hAnsi="Arial" w:cs="Arial"/>
          <w:shd w:val="clear" w:color="auto" w:fill="FFFFFF"/>
        </w:rPr>
        <w:footnoteReference w:id="36"/>
      </w:r>
      <w:r w:rsidRPr="009C64D2">
        <w:rPr>
          <w:rFonts w:ascii="Arial" w:hAnsi="Arial" w:cs="Arial"/>
          <w:shd w:val="clear" w:color="auto" w:fill="FFFFFF"/>
        </w:rPr>
        <w:t xml:space="preserve">, por otra parte, la doctrina ha definido ese </w:t>
      </w:r>
      <w:proofErr w:type="spellStart"/>
      <w:r w:rsidRPr="009C64D2">
        <w:rPr>
          <w:rFonts w:ascii="Arial" w:hAnsi="Arial" w:cs="Arial"/>
          <w:shd w:val="clear" w:color="auto" w:fill="FFFFFF"/>
        </w:rPr>
        <w:t>termino</w:t>
      </w:r>
      <w:proofErr w:type="spellEnd"/>
      <w:r w:rsidRPr="009C64D2">
        <w:rPr>
          <w:rFonts w:ascii="Arial" w:hAnsi="Arial" w:cs="Arial"/>
          <w:shd w:val="clear" w:color="auto" w:fill="FFFFFF"/>
        </w:rPr>
        <w:t xml:space="preserve"> como el “vinculo jurídico en virtud del cual una persona le puede exigir a otra una prestación de dar, hacer o no hacer”</w:t>
      </w:r>
      <w:r w:rsidRPr="009C64D2">
        <w:rPr>
          <w:rStyle w:val="Refdenotaalpie"/>
          <w:rFonts w:ascii="Arial" w:hAnsi="Arial" w:cs="Arial"/>
          <w:shd w:val="clear" w:color="auto" w:fill="FFFFFF"/>
        </w:rPr>
        <w:footnoteReference w:id="37"/>
      </w:r>
      <w:r w:rsidRPr="009C64D2">
        <w:rPr>
          <w:rFonts w:ascii="Arial" w:hAnsi="Arial" w:cs="Arial"/>
          <w:shd w:val="clear" w:color="auto" w:fill="FFFFFF"/>
        </w:rPr>
        <w:t xml:space="preserve">. En relación con la palabra “Ley”, tenemos que esta se establece en el artículo 4 del Código Civil como la declaración de la voluntad soberana con el carácter general de mandar, prohibir, permitir o castigar. De esta forma, tenemos que el vocablo “Obligación legal”, </w:t>
      </w:r>
      <w:r w:rsidRPr="009C64D2">
        <w:rPr>
          <w:rFonts w:ascii="Arial" w:hAnsi="Arial" w:cs="Arial"/>
        </w:rPr>
        <w:t>se trata de una manifestación de voluntad soberana del Estado dirigida a ordenar, permitir o prohibir acciones de sus gobernados</w:t>
      </w:r>
      <w:r w:rsidRPr="009C64D2">
        <w:rPr>
          <w:rStyle w:val="Refdenotaalpie"/>
          <w:rFonts w:ascii="Arial" w:hAnsi="Arial" w:cs="Arial"/>
        </w:rPr>
        <w:footnoteReference w:id="38"/>
      </w:r>
      <w:r w:rsidRPr="009C64D2">
        <w:rPr>
          <w:rFonts w:ascii="Arial" w:hAnsi="Arial" w:cs="Arial"/>
        </w:rPr>
        <w:t xml:space="preserve">. </w:t>
      </w:r>
    </w:p>
    <w:p w:rsidRPr="009C64D2" w:rsidR="00862A6E" w:rsidP="00862A6E" w:rsidRDefault="00862A6E" w14:paraId="0D318D96" w14:textId="77777777">
      <w:pPr>
        <w:tabs>
          <w:tab w:val="left" w:pos="0"/>
        </w:tabs>
        <w:spacing w:after="120" w:line="276" w:lineRule="auto"/>
        <w:jc w:val="both"/>
        <w:rPr>
          <w:rFonts w:ascii="Arial" w:hAnsi="Arial" w:cs="Arial"/>
        </w:rPr>
      </w:pPr>
      <w:r w:rsidRPr="009C64D2">
        <w:rPr>
          <w:rFonts w:ascii="Arial" w:hAnsi="Arial" w:cs="Arial"/>
        </w:rPr>
        <w:tab/>
      </w:r>
      <w:r w:rsidRPr="009C64D2">
        <w:rPr>
          <w:rFonts w:ascii="Arial" w:hAnsi="Arial" w:cs="Arial"/>
        </w:rPr>
        <w:t xml:space="preserve">Así las cosas, una excepción a las inhabilidades e incompatibilidades para contratar, se presenta, cuando la ley así lo dispone, razón por la que su cumplimiento no se puede condicionar a que una persona -natural o jurídica- se encuentre inhabilitada o sea incompatible para celebrar contratos. Así, aun cuando la persona está inhabilitada para celebrar contratos con el Estado, la Ley le impone la obligación de contratar. </w:t>
      </w:r>
    </w:p>
    <w:p w:rsidRPr="009C64D2" w:rsidR="00862A6E" w:rsidP="00862A6E" w:rsidRDefault="00862A6E" w14:paraId="41116339" w14:textId="77777777">
      <w:pPr>
        <w:tabs>
          <w:tab w:val="left" w:pos="0"/>
        </w:tabs>
        <w:spacing w:after="120" w:line="276" w:lineRule="auto"/>
        <w:jc w:val="both"/>
        <w:rPr>
          <w:rFonts w:ascii="Arial" w:hAnsi="Arial" w:cs="Arial"/>
          <w:shd w:val="clear" w:color="auto" w:fill="FFFFFF"/>
        </w:rPr>
      </w:pPr>
      <w:r w:rsidRPr="009C64D2">
        <w:rPr>
          <w:rFonts w:ascii="Arial" w:hAnsi="Arial" w:cs="Arial"/>
        </w:rPr>
        <w:tab/>
      </w:r>
      <w:r w:rsidRPr="009C64D2">
        <w:rPr>
          <w:rFonts w:ascii="Arial" w:hAnsi="Arial" w:cs="Arial"/>
          <w:shd w:val="clear" w:color="auto" w:fill="FFFFFF"/>
        </w:rPr>
        <w:t xml:space="preserve">Ahora bien, en relación con la segunda excepción, contenida en el artículo 10 de la Ley 80 de 1993, que se presenta cuando, las personas que contraten para usar los bienes o servicios que las entidades a que se refiere el presente estatuto ofrezcan al público en condiciones comunes a quienes los soliciten. Sobre esta prerrogativa, es pertinente mencionar que, esta exige que los bienes o servicios sean ofrecidos por las entidades </w:t>
      </w:r>
      <w:r w:rsidRPr="009C64D2">
        <w:rPr>
          <w:rFonts w:ascii="Arial" w:hAnsi="Arial" w:cs="Arial"/>
          <w:shd w:val="clear" w:color="auto" w:fill="FFFFFF"/>
        </w:rPr>
        <w:t xml:space="preserve">estatales “(…) a que se refiere el presente estatuto”, es decir, aquellas definidas en el Estatuto General de Contratación de la Administración Pública. </w:t>
      </w:r>
    </w:p>
    <w:p w:rsidRPr="009C64D2" w:rsidR="00862A6E" w:rsidP="00862A6E" w:rsidRDefault="00862A6E" w14:paraId="5318503B" w14:textId="77777777">
      <w:pPr>
        <w:tabs>
          <w:tab w:val="left" w:pos="0"/>
        </w:tabs>
        <w:spacing w:after="120" w:line="276" w:lineRule="auto"/>
        <w:jc w:val="both"/>
        <w:rPr>
          <w:rFonts w:ascii="Arial" w:hAnsi="Arial" w:eastAsia="Arial" w:cs="Arial"/>
          <w:lang w:val="es-ES"/>
        </w:rPr>
      </w:pPr>
      <w:r w:rsidRPr="009C64D2">
        <w:rPr>
          <w:rFonts w:ascii="Arial" w:hAnsi="Arial" w:cs="Arial"/>
          <w:shd w:val="clear" w:color="auto" w:fill="FFFFFF"/>
        </w:rPr>
        <w:tab/>
      </w:r>
      <w:r w:rsidRPr="009C64D2">
        <w:rPr>
          <w:rFonts w:ascii="Arial" w:hAnsi="Arial" w:eastAsia="Arial" w:cs="Arial"/>
          <w:lang w:val="es-ES"/>
        </w:rPr>
        <w:t xml:space="preserve">La excepción de celebrar contratos para usar bienes o servicios que las entidades ofrezcan al público en condiciones comunes a quienes lo soliciten, significa que los bienes y servicios que se ofrezcan en condiciones de igualdad, como por ejemplo los servicios públicos domiciliarios, los servicios hospitalarios, pueden ser adquiridos por personas que se encuentran inhabilitados en relación con otros contratos. </w:t>
      </w:r>
    </w:p>
    <w:p w:rsidRPr="009C64D2" w:rsidR="00862A6E" w:rsidP="00862A6E" w:rsidRDefault="00862A6E" w14:paraId="66CACF0F" w14:textId="77777777">
      <w:pPr>
        <w:widowControl w:val="0"/>
        <w:autoSpaceDE w:val="0"/>
        <w:autoSpaceDN w:val="0"/>
        <w:spacing w:after="120" w:line="276" w:lineRule="auto"/>
        <w:jc w:val="both"/>
        <w:rPr>
          <w:rFonts w:ascii="Arial" w:hAnsi="Arial" w:eastAsia="Arial" w:cs="Arial"/>
          <w:lang w:val="es-ES"/>
        </w:rPr>
      </w:pPr>
      <w:r w:rsidRPr="009C64D2">
        <w:rPr>
          <w:rFonts w:ascii="Arial" w:hAnsi="Arial" w:eastAsia="Arial" w:cs="Arial"/>
          <w:lang w:val="es-ES"/>
        </w:rPr>
        <w:tab/>
      </w:r>
      <w:r w:rsidRPr="009C64D2">
        <w:rPr>
          <w:rFonts w:ascii="Arial" w:hAnsi="Arial" w:eastAsia="Arial" w:cs="Arial"/>
          <w:lang w:val="es-ES"/>
        </w:rPr>
        <w:t>Puede afirmarse que, una de las exigencias para que aplique la segunda excepción del artículo 10 de la Ley 80 de 1993, es que los bienes o servicios los ofrezca el Estado, por lo que no podría entenderse que aplica cuando el particular se presenta a un procedimiento de selección o a una contratación directa, teniendo en cuenta que en ese evento, no hay libre acceso del público, ni mucho menos se está ante un servicio o bien ofrecido por una entidad sometida al Estatuto General de Contratación de la Administración Pública, pues son estas entidades las que los requieren</w:t>
      </w:r>
      <w:r w:rsidRPr="009C64D2">
        <w:rPr>
          <w:rStyle w:val="Refdenotaalpie"/>
          <w:rFonts w:ascii="Arial" w:hAnsi="Arial" w:eastAsia="Arial" w:cs="Arial"/>
          <w:lang w:val="es-ES"/>
        </w:rPr>
        <w:footnoteReference w:id="39"/>
      </w:r>
      <w:r w:rsidRPr="009C64D2">
        <w:rPr>
          <w:rFonts w:ascii="Arial" w:hAnsi="Arial" w:eastAsia="Arial" w:cs="Arial"/>
          <w:lang w:val="es-ES"/>
        </w:rPr>
        <w:t xml:space="preserve">. </w:t>
      </w:r>
    </w:p>
    <w:p w:rsidRPr="009C64D2" w:rsidR="00862A6E" w:rsidP="00862A6E" w:rsidRDefault="00862A6E" w14:paraId="0D76544F" w14:textId="77777777">
      <w:pPr>
        <w:widowControl w:val="0"/>
        <w:autoSpaceDE w:val="0"/>
        <w:autoSpaceDN w:val="0"/>
        <w:spacing w:after="120" w:line="276" w:lineRule="auto"/>
        <w:jc w:val="both"/>
        <w:rPr>
          <w:rFonts w:ascii="Arial" w:hAnsi="Arial" w:eastAsia="Arial" w:cs="Arial"/>
          <w:lang w:val="es-ES"/>
        </w:rPr>
      </w:pPr>
      <w:r w:rsidRPr="009C64D2">
        <w:rPr>
          <w:rFonts w:ascii="Arial" w:hAnsi="Arial" w:eastAsia="Arial" w:cs="Arial"/>
          <w:lang w:val="es-ES"/>
        </w:rPr>
        <w:tab/>
      </w:r>
      <w:r w:rsidRPr="009C64D2">
        <w:rPr>
          <w:rFonts w:ascii="Arial" w:hAnsi="Arial" w:eastAsia="Arial" w:cs="Arial"/>
          <w:lang w:val="es-ES"/>
        </w:rPr>
        <w:t xml:space="preserve">En cuanto a la tercera excepción que se dispone en el artículo 10 de la Ley 80 de 1993, esto es, que el régimen de inhabilidades e incompatibilidades no se aplicará a “(…) las personas jurídicas sin ánimo de lucro cuyos representantes legales hagan parte de las juntas o consejos directivos en virtud de su cargo o por mandato legal o estatutario”. Del análisis de la prerrogativa señalada, se desprende, por una parte, un primer requisito que se refiere a “una persona jurídica sin ánimo de lucro”, lo que indica que esta excepción no incluye a las personas naturales ni a las personas jurídicas con ánimo de lucro. El segundo requisito al que se refiere el enunciado es que las personas jurídicas sin ánimo de lucro tengan “representantes legales [que] hagan parte de las juntas o consejos directivos en virtud de su cargo o por mandato legal estatutario”.  </w:t>
      </w:r>
    </w:p>
    <w:p w:rsidRPr="009C64D2" w:rsidR="00862A6E" w:rsidP="00862A6E" w:rsidRDefault="00862A6E" w14:paraId="0F8D16B8" w14:textId="77777777">
      <w:pPr>
        <w:widowControl w:val="0"/>
        <w:autoSpaceDE w:val="0"/>
        <w:autoSpaceDN w:val="0"/>
        <w:spacing w:after="120" w:line="276" w:lineRule="auto"/>
        <w:jc w:val="both"/>
        <w:rPr>
          <w:rFonts w:ascii="Arial" w:hAnsi="Arial" w:cs="Arial"/>
        </w:rPr>
      </w:pPr>
      <w:r w:rsidRPr="009C64D2">
        <w:rPr>
          <w:rFonts w:ascii="Arial" w:hAnsi="Arial" w:eastAsia="Arial" w:cs="Arial"/>
          <w:lang w:val="es-ES"/>
        </w:rPr>
        <w:tab/>
      </w:r>
      <w:r w:rsidRPr="009C64D2">
        <w:rPr>
          <w:rFonts w:ascii="Arial" w:hAnsi="Arial" w:eastAsia="Arial" w:cs="Arial"/>
          <w:lang w:val="es-ES"/>
        </w:rPr>
        <w:t xml:space="preserve">Finalmente, respecto de la última excepción al régimen de inhabilidades e incompatibilidades contenida en el artículo 10 de la Ley 80 de 1993, “(…) quienes celebren contratos en desarrollo de lo previsto en el artículo 60 de la Constitución Política”, conviene mencionar que, el artículo constitucional </w:t>
      </w:r>
      <w:r w:rsidRPr="009C64D2">
        <w:rPr>
          <w:rFonts w:ascii="Arial" w:hAnsi="Arial" w:cs="Arial"/>
        </w:rPr>
        <w:t xml:space="preserve">ordena que la ley reglamente las circunstancias dentro de las cuales se llevará a efecto el mandato de democratización de la propiedad accionaria que, estando radicada en cabeza del Estado, éste decida transferir a terceros, respecto de lo cual sólo señala que las acciones que se pretenda enajenar deberán ofrecerse bajo condiciones especiales a los trabajadores de la empresa cuya propiedad total o parcial se ha decidido vender. Bajo este supuesto de democratización de la </w:t>
      </w:r>
      <w:r w:rsidRPr="009C64D2">
        <w:rPr>
          <w:rFonts w:ascii="Arial" w:hAnsi="Arial" w:cs="Arial"/>
        </w:rPr>
        <w:t xml:space="preserve">propiedad accionaria, </w:t>
      </w:r>
      <w:r w:rsidRPr="009C64D2">
        <w:rPr>
          <w:rFonts w:ascii="Arial" w:hAnsi="Arial" w:eastAsia="Arial" w:cs="Arial"/>
          <w:lang w:val="es-ES"/>
        </w:rPr>
        <w:t xml:space="preserve">quienes celebren contratos en desarrollo de lo previsto en el artículo 60 de la Constitución Política, no quedaran incursos en el régimen de inhabilidades e incompatibilidades para contratar con el Estado. </w:t>
      </w:r>
    </w:p>
    <w:p w:rsidRPr="009C64D2" w:rsidR="00862A6E" w:rsidP="00862A6E" w:rsidRDefault="00862A6E" w14:paraId="3EFA0EBE" w14:textId="77777777">
      <w:pPr>
        <w:widowControl w:val="0"/>
        <w:autoSpaceDE w:val="0"/>
        <w:autoSpaceDN w:val="0"/>
        <w:spacing w:after="0" w:line="276" w:lineRule="auto"/>
        <w:jc w:val="both"/>
        <w:rPr>
          <w:rFonts w:ascii="Arial" w:hAnsi="Arial" w:cs="Arial"/>
          <w:color w:val="000000" w:themeColor="text1"/>
          <w:lang w:val="es-ES_tradnl" w:bidi="es-ES"/>
        </w:rPr>
      </w:pPr>
      <w:r w:rsidRPr="009C64D2">
        <w:rPr>
          <w:rFonts w:ascii="Arial" w:hAnsi="Arial" w:cs="Arial"/>
          <w:color w:val="000000" w:themeColor="text1"/>
          <w:lang w:val="es-ES_tradnl"/>
        </w:rPr>
        <w:t>Este concepto tiene el alcance previsto en el artículo 28 del Código de Procedimiento Administrativo y de lo Contencioso Administrativo.</w:t>
      </w:r>
    </w:p>
    <w:p w:rsidRPr="009C64D2" w:rsidR="00862A6E" w:rsidP="00862A6E" w:rsidRDefault="00862A6E" w14:paraId="1A146199" w14:textId="77777777">
      <w:pPr>
        <w:widowControl w:val="0"/>
        <w:autoSpaceDE w:val="0"/>
        <w:autoSpaceDN w:val="0"/>
        <w:spacing w:after="0" w:line="276" w:lineRule="auto"/>
        <w:jc w:val="both"/>
        <w:rPr>
          <w:rFonts w:ascii="Arial" w:hAnsi="Arial" w:cs="Arial"/>
          <w:color w:val="000000" w:themeColor="text1"/>
          <w:lang w:val="es-ES_tradnl" w:bidi="es-ES"/>
        </w:rPr>
      </w:pPr>
    </w:p>
    <w:p w:rsidRPr="009C64D2" w:rsidR="00862A6E" w:rsidP="00862A6E" w:rsidRDefault="00862A6E" w14:paraId="1AF0E481" w14:textId="77777777">
      <w:pPr>
        <w:tabs>
          <w:tab w:val="left" w:pos="426"/>
        </w:tabs>
        <w:spacing w:line="276" w:lineRule="auto"/>
        <w:jc w:val="both"/>
        <w:rPr>
          <w:rFonts w:ascii="Arial" w:hAnsi="Arial" w:eastAsia="Times New Roman" w:cs="Arial"/>
          <w:color w:val="000000" w:themeColor="text1"/>
        </w:rPr>
      </w:pPr>
      <w:r w:rsidRPr="009C64D2">
        <w:rPr>
          <w:rFonts w:ascii="Arial" w:hAnsi="Arial" w:eastAsia="Times New Roman" w:cs="Arial"/>
          <w:color w:val="000000" w:themeColor="text1"/>
        </w:rPr>
        <w:t>Atentamente,</w:t>
      </w:r>
    </w:p>
    <w:p w:rsidRPr="009C64D2" w:rsidR="00862A6E" w:rsidP="00862A6E" w:rsidRDefault="000B23DA" w14:paraId="267AEC00" w14:textId="27DDD7F0">
      <w:pPr>
        <w:jc w:val="center"/>
        <w:rPr>
          <w:rFonts w:ascii="Arial" w:hAnsi="Arial" w:eastAsia="Times New Roman" w:cs="Arial"/>
          <w:lang w:eastAsia="es-CO"/>
        </w:rPr>
      </w:pPr>
      <w:r>
        <w:rPr>
          <w:noProof/>
        </w:rPr>
        <w:drawing>
          <wp:inline distT="0" distB="0" distL="0" distR="0" wp14:anchorId="04B1EC55" wp14:editId="781ECAA4">
            <wp:extent cx="2532241" cy="971585"/>
            <wp:effectExtent l="0" t="0" r="1905"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1"/>
                    <a:stretch>
                      <a:fillRect/>
                    </a:stretch>
                  </pic:blipFill>
                  <pic:spPr>
                    <a:xfrm>
                      <a:off x="0" y="0"/>
                      <a:ext cx="2548596" cy="977860"/>
                    </a:xfrm>
                    <a:prstGeom prst="rect">
                      <a:avLst/>
                    </a:prstGeom>
                  </pic:spPr>
                </pic:pic>
              </a:graphicData>
            </a:graphic>
          </wp:inline>
        </w:drawing>
      </w:r>
    </w:p>
    <w:tbl>
      <w:tblPr>
        <w:tblW w:w="5754"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817"/>
        <w:gridCol w:w="4937"/>
      </w:tblGrid>
      <w:tr w:rsidRPr="009C64D2" w:rsidR="00862A6E" w:rsidTr="220395A8" w14:paraId="40F906D8" w14:textId="77777777">
        <w:trPr>
          <w:trHeight w:val="409"/>
        </w:trPr>
        <w:tc>
          <w:tcPr>
            <w:tcW w:w="817" w:type="dxa"/>
            <w:tcBorders>
              <w:top w:val="nil"/>
              <w:left w:val="nil"/>
              <w:bottom w:val="nil"/>
              <w:right w:val="nil"/>
            </w:tcBorders>
            <w:vAlign w:val="center"/>
            <w:hideMark/>
          </w:tcPr>
          <w:p w:rsidRPr="009C64D2" w:rsidR="00862A6E" w:rsidP="00E4680F" w:rsidRDefault="00862A6E" w14:paraId="54BC8C3F" w14:textId="77777777">
            <w:pPr>
              <w:spacing w:after="0" w:line="240" w:lineRule="auto"/>
              <w:jc w:val="both"/>
              <w:rPr>
                <w:rFonts w:ascii="Arial" w:hAnsi="Arial" w:cs="Arial"/>
                <w:sz w:val="16"/>
                <w:szCs w:val="16"/>
              </w:rPr>
            </w:pPr>
            <w:r w:rsidRPr="009C64D2">
              <w:rPr>
                <w:rFonts w:ascii="Arial" w:hAnsi="Arial" w:cs="Arial"/>
                <w:sz w:val="16"/>
                <w:szCs w:val="16"/>
              </w:rPr>
              <w:t>Elaboró: </w:t>
            </w:r>
          </w:p>
        </w:tc>
        <w:tc>
          <w:tcPr>
            <w:tcW w:w="4937" w:type="dxa"/>
            <w:tcBorders>
              <w:top w:val="nil"/>
              <w:left w:val="nil"/>
              <w:bottom w:val="dotted" w:color="7F7F7F" w:themeColor="text1" w:themeTint="80" w:sz="6" w:space="0"/>
              <w:right w:val="nil"/>
            </w:tcBorders>
            <w:vAlign w:val="center"/>
            <w:hideMark/>
          </w:tcPr>
          <w:p w:rsidRPr="009C64D2" w:rsidR="00862A6E" w:rsidP="00E4680F" w:rsidRDefault="00804A74" w14:paraId="605D3B54" w14:textId="5E0052D8">
            <w:pPr>
              <w:spacing w:after="0" w:line="240" w:lineRule="auto"/>
              <w:jc w:val="both"/>
              <w:rPr>
                <w:rFonts w:ascii="Arial" w:hAnsi="Arial" w:cs="Arial"/>
                <w:sz w:val="16"/>
                <w:szCs w:val="16"/>
              </w:rPr>
            </w:pPr>
            <w:r w:rsidRPr="009C64D2">
              <w:rPr>
                <w:rFonts w:ascii="Arial" w:hAnsi="Arial" w:cs="Arial"/>
                <w:sz w:val="16"/>
                <w:szCs w:val="16"/>
              </w:rPr>
              <w:t>Carlos Mario Castrillón Endo</w:t>
            </w:r>
          </w:p>
          <w:p w:rsidRPr="009C64D2" w:rsidR="00862A6E" w:rsidP="00E4680F" w:rsidRDefault="00862A6E" w14:paraId="73B9FBAD" w14:textId="77777777">
            <w:pPr>
              <w:spacing w:after="0" w:line="240" w:lineRule="auto"/>
              <w:jc w:val="both"/>
              <w:rPr>
                <w:rFonts w:ascii="Arial" w:hAnsi="Arial" w:cs="Arial"/>
                <w:sz w:val="16"/>
                <w:szCs w:val="16"/>
              </w:rPr>
            </w:pPr>
            <w:r w:rsidRPr="009C64D2">
              <w:rPr>
                <w:rFonts w:ascii="Arial" w:hAnsi="Arial" w:cs="Arial"/>
                <w:sz w:val="16"/>
                <w:szCs w:val="16"/>
              </w:rPr>
              <w:t>Contratista de la Subdirección de Gestión Contractual</w:t>
            </w:r>
          </w:p>
        </w:tc>
      </w:tr>
      <w:tr w:rsidRPr="009C64D2" w:rsidR="00862A6E" w:rsidTr="220395A8" w14:paraId="524F5AE2" w14:textId="77777777">
        <w:trPr>
          <w:trHeight w:val="409"/>
        </w:trPr>
        <w:tc>
          <w:tcPr>
            <w:tcW w:w="817" w:type="dxa"/>
            <w:tcBorders>
              <w:top w:val="nil"/>
              <w:left w:val="nil"/>
              <w:right w:val="nil"/>
            </w:tcBorders>
            <w:vAlign w:val="center"/>
          </w:tcPr>
          <w:p w:rsidRPr="009C64D2" w:rsidR="00862A6E" w:rsidP="00E4680F" w:rsidRDefault="00862A6E" w14:paraId="2C8874FF" w14:textId="77777777">
            <w:pPr>
              <w:jc w:val="both"/>
              <w:rPr>
                <w:rFonts w:ascii="Arial" w:hAnsi="Arial" w:cs="Arial"/>
                <w:sz w:val="16"/>
                <w:szCs w:val="16"/>
              </w:rPr>
            </w:pPr>
            <w:r w:rsidRPr="009C64D2">
              <w:rPr>
                <w:rFonts w:ascii="Arial" w:hAnsi="Arial" w:cs="Arial"/>
                <w:sz w:val="16"/>
                <w:szCs w:val="16"/>
              </w:rPr>
              <w:t>Revisó</w:t>
            </w:r>
          </w:p>
        </w:tc>
        <w:tc>
          <w:tcPr>
            <w:tcW w:w="4937" w:type="dxa"/>
            <w:tcBorders>
              <w:top w:val="dotted" w:color="7F7F7F" w:themeColor="text1" w:themeTint="80" w:sz="6" w:space="0"/>
              <w:left w:val="nil"/>
              <w:bottom w:val="dotted" w:color="7F7F7F" w:themeColor="text1" w:themeTint="80" w:sz="6" w:space="0"/>
              <w:right w:val="nil"/>
            </w:tcBorders>
            <w:vAlign w:val="center"/>
          </w:tcPr>
          <w:p w:rsidRPr="009C64D2" w:rsidR="00862A6E" w:rsidP="00E4680F" w:rsidRDefault="00862A6E" w14:paraId="09FD1D07" w14:textId="77777777">
            <w:pPr>
              <w:spacing w:after="0" w:line="240" w:lineRule="auto"/>
              <w:jc w:val="both"/>
              <w:rPr>
                <w:rFonts w:ascii="Arial" w:hAnsi="Arial" w:cs="Arial"/>
                <w:sz w:val="16"/>
                <w:szCs w:val="16"/>
              </w:rPr>
            </w:pPr>
            <w:r w:rsidRPr="009C64D2">
              <w:rPr>
                <w:rFonts w:ascii="Arial" w:hAnsi="Arial" w:cs="Arial"/>
                <w:sz w:val="16"/>
                <w:szCs w:val="16"/>
              </w:rPr>
              <w:t>Alejandro Sarmiento Cantillo</w:t>
            </w:r>
          </w:p>
          <w:p w:rsidRPr="009C64D2" w:rsidR="00862A6E" w:rsidP="220395A8" w:rsidRDefault="00862A6E" w14:paraId="1A828F31" w14:textId="6258CFCF">
            <w:pPr>
              <w:spacing w:after="0" w:line="240" w:lineRule="auto"/>
              <w:jc w:val="both"/>
              <w:rPr>
                <w:rFonts w:ascii="Arial" w:hAnsi="Arial" w:cs="Arial"/>
                <w:sz w:val="16"/>
                <w:szCs w:val="16"/>
              </w:rPr>
            </w:pPr>
            <w:r w:rsidRPr="009C64D2">
              <w:rPr>
                <w:rFonts w:ascii="Arial" w:hAnsi="Arial" w:cs="Arial"/>
                <w:sz w:val="16"/>
                <w:szCs w:val="16"/>
              </w:rPr>
              <w:t>Gestor T1-15 de la Subdirección de Gestión Contractual</w:t>
            </w:r>
          </w:p>
          <w:p w:rsidRPr="009C64D2" w:rsidR="00862A6E" w:rsidP="220395A8" w:rsidRDefault="0A19222B" w14:paraId="764F81ED" w14:textId="6A839582">
            <w:pPr>
              <w:spacing w:after="0" w:line="240" w:lineRule="auto"/>
              <w:jc w:val="both"/>
              <w:rPr>
                <w:rFonts w:ascii="Arial" w:hAnsi="Arial" w:cs="Arial"/>
                <w:sz w:val="16"/>
                <w:szCs w:val="16"/>
              </w:rPr>
            </w:pPr>
            <w:r w:rsidRPr="009C64D2">
              <w:rPr>
                <w:rFonts w:ascii="Arial" w:hAnsi="Arial" w:cs="Arial"/>
                <w:sz w:val="16"/>
                <w:szCs w:val="16"/>
              </w:rPr>
              <w:t>Gabriel Mendoza</w:t>
            </w:r>
          </w:p>
          <w:p w:rsidRPr="009C64D2" w:rsidR="00862A6E" w:rsidP="220395A8" w:rsidRDefault="0A19222B" w14:paraId="4E4F4678" w14:textId="612F38FD">
            <w:pPr>
              <w:spacing w:after="0" w:line="240" w:lineRule="auto"/>
              <w:jc w:val="both"/>
              <w:rPr>
                <w:rFonts w:ascii="Arial" w:hAnsi="Arial" w:cs="Arial"/>
                <w:sz w:val="16"/>
                <w:szCs w:val="16"/>
              </w:rPr>
            </w:pPr>
            <w:r w:rsidRPr="009C64D2">
              <w:rPr>
                <w:rFonts w:ascii="Arial" w:hAnsi="Arial" w:cs="Arial"/>
                <w:sz w:val="16"/>
                <w:szCs w:val="16"/>
              </w:rPr>
              <w:t xml:space="preserve">Contratista de la Subdirección de Gestión Contractual </w:t>
            </w:r>
          </w:p>
        </w:tc>
      </w:tr>
      <w:tr w:rsidRPr="009C64D2" w:rsidR="00862A6E" w:rsidTr="220395A8" w14:paraId="5F3357D0" w14:textId="77777777">
        <w:trPr>
          <w:trHeight w:val="389"/>
        </w:trPr>
        <w:tc>
          <w:tcPr>
            <w:tcW w:w="817" w:type="dxa"/>
            <w:tcBorders>
              <w:top w:val="nil"/>
              <w:left w:val="nil"/>
              <w:bottom w:val="nil"/>
              <w:right w:val="nil"/>
            </w:tcBorders>
            <w:vAlign w:val="center"/>
            <w:hideMark/>
          </w:tcPr>
          <w:p w:rsidRPr="009C64D2" w:rsidR="00862A6E" w:rsidP="00E4680F" w:rsidRDefault="00862A6E" w14:paraId="495E8284" w14:textId="77777777">
            <w:pPr>
              <w:spacing w:after="0" w:line="240" w:lineRule="auto"/>
              <w:jc w:val="both"/>
              <w:rPr>
                <w:rFonts w:ascii="Arial" w:hAnsi="Arial" w:cs="Arial"/>
                <w:sz w:val="16"/>
                <w:szCs w:val="16"/>
              </w:rPr>
            </w:pPr>
            <w:r w:rsidRPr="009C64D2">
              <w:rPr>
                <w:rFonts w:ascii="Arial" w:hAnsi="Arial" w:cs="Arial"/>
                <w:sz w:val="16"/>
                <w:szCs w:val="16"/>
              </w:rPr>
              <w:t>Aprobó: </w:t>
            </w:r>
          </w:p>
        </w:tc>
        <w:tc>
          <w:tcPr>
            <w:tcW w:w="4937" w:type="dxa"/>
            <w:tcBorders>
              <w:top w:val="dotted" w:color="7F7F7F" w:themeColor="text1" w:themeTint="80" w:sz="6" w:space="0"/>
              <w:left w:val="nil"/>
              <w:bottom w:val="dotted" w:color="7F7F7F" w:themeColor="text1" w:themeTint="80" w:sz="6" w:space="0"/>
              <w:right w:val="nil"/>
            </w:tcBorders>
            <w:vAlign w:val="center"/>
            <w:hideMark/>
          </w:tcPr>
          <w:p w:rsidRPr="009C64D2" w:rsidR="00862A6E" w:rsidP="00E4680F" w:rsidRDefault="00862A6E" w14:paraId="49C1E9CE" w14:textId="77777777">
            <w:pPr>
              <w:spacing w:after="0" w:line="240" w:lineRule="auto"/>
              <w:jc w:val="both"/>
              <w:rPr>
                <w:rFonts w:ascii="Arial" w:hAnsi="Arial" w:cs="Arial"/>
                <w:sz w:val="16"/>
                <w:szCs w:val="16"/>
              </w:rPr>
            </w:pPr>
            <w:r w:rsidRPr="009C64D2">
              <w:rPr>
                <w:rFonts w:ascii="Arial" w:hAnsi="Arial" w:cs="Arial"/>
                <w:sz w:val="16"/>
                <w:szCs w:val="16"/>
              </w:rPr>
              <w:t>Nohelia del Carmen Zawady Palacio</w:t>
            </w:r>
          </w:p>
          <w:p w:rsidRPr="009C64D2" w:rsidR="00862A6E" w:rsidP="00E4680F" w:rsidRDefault="00862A6E" w14:paraId="2F33543C" w14:textId="77777777">
            <w:pPr>
              <w:spacing w:after="0" w:line="240" w:lineRule="auto"/>
              <w:jc w:val="both"/>
              <w:rPr>
                <w:rFonts w:ascii="Arial" w:hAnsi="Arial" w:cs="Arial"/>
                <w:sz w:val="16"/>
                <w:szCs w:val="16"/>
              </w:rPr>
            </w:pPr>
            <w:r w:rsidRPr="009C64D2">
              <w:rPr>
                <w:rFonts w:ascii="Arial" w:hAnsi="Arial" w:cs="Arial"/>
                <w:sz w:val="16"/>
                <w:szCs w:val="16"/>
              </w:rPr>
              <w:t>Subdirectora de Gestión Contractual ANCP - CCE</w:t>
            </w:r>
          </w:p>
        </w:tc>
      </w:tr>
      <w:bookmarkEnd w:id="2"/>
    </w:tbl>
    <w:p w:rsidRPr="009C64D2" w:rsidR="00862A6E" w:rsidP="00862A6E" w:rsidRDefault="00862A6E" w14:paraId="4FBCB47B" w14:textId="77777777">
      <w:pPr>
        <w:tabs>
          <w:tab w:val="left" w:pos="0"/>
        </w:tabs>
        <w:spacing w:line="276" w:lineRule="auto"/>
        <w:contextualSpacing/>
        <w:jc w:val="both"/>
        <w:rPr>
          <w:rFonts w:ascii="Arial" w:hAnsi="Arial" w:cs="Arial"/>
          <w:lang w:val="es-MX"/>
        </w:rPr>
      </w:pPr>
    </w:p>
    <w:p w:rsidRPr="009C64D2" w:rsidR="00862A6E" w:rsidP="00862A6E" w:rsidRDefault="00862A6E" w14:paraId="1564BE6F" w14:textId="77777777">
      <w:pPr>
        <w:rPr>
          <w:rFonts w:ascii="Arial" w:hAnsi="Arial" w:cs="Arial"/>
        </w:rPr>
      </w:pPr>
    </w:p>
    <w:p w:rsidRPr="009C64D2" w:rsidR="00862A6E" w:rsidP="00862A6E" w:rsidRDefault="00862A6E" w14:paraId="54EA6371" w14:textId="77777777">
      <w:pPr>
        <w:rPr>
          <w:rFonts w:ascii="Arial" w:hAnsi="Arial" w:cs="Arial"/>
        </w:rPr>
      </w:pPr>
    </w:p>
    <w:p w:rsidRPr="009C64D2" w:rsidR="00C330EB" w:rsidP="00862A6E" w:rsidRDefault="00C330EB" w14:paraId="0FD4057A" w14:textId="77777777">
      <w:pPr>
        <w:rPr>
          <w:rFonts w:ascii="Arial" w:hAnsi="Arial" w:cs="Arial"/>
        </w:rPr>
      </w:pPr>
    </w:p>
    <w:sectPr w:rsidRPr="009C64D2" w:rsidR="00C330EB" w:rsidSect="00923EEF">
      <w:headerReference w:type="default" r:id="rId12"/>
      <w:footerReference w:type="default" r:id="rId13"/>
      <w:pgSz w:w="12240" w:h="15840" w:orient="portrait"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865AF" w:rsidP="004A1847" w:rsidRDefault="00F865AF" w14:paraId="643075F6" w14:textId="77777777">
      <w:pPr>
        <w:spacing w:after="0" w:line="240" w:lineRule="auto"/>
      </w:pPr>
      <w:r>
        <w:separator/>
      </w:r>
    </w:p>
  </w:endnote>
  <w:endnote w:type="continuationSeparator" w:id="0">
    <w:p w:rsidR="00F865AF" w:rsidP="004A1847" w:rsidRDefault="00F865AF" w14:paraId="1D36075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Geomanist Bold">
    <w:altName w:val="Corbel"/>
    <w:panose1 w:val="02000503000000020004"/>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4A1847" w:rsidRDefault="009419F9" w14:paraId="18911A32" w14:textId="3BA5BB2D">
    <w:pPr>
      <w:pStyle w:val="Piedepgina"/>
    </w:pPr>
    <w:r>
      <w:rPr>
        <w:noProof/>
      </w:rPr>
      <w:drawing>
        <wp:inline distT="0" distB="0" distL="0" distR="0" wp14:anchorId="600A8696" wp14:editId="357635FE">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65408"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4A0" w:firstRow="1" w:lastRow="0" w:firstColumn="1" w:lastColumn="0" w:noHBand="0" w:noVBand="1"/>
    </w:tblPr>
    <w:tblGrid>
      <w:gridCol w:w="1271"/>
      <w:gridCol w:w="2693"/>
      <w:gridCol w:w="2699"/>
      <w:gridCol w:w="2268"/>
    </w:tblGrid>
    <w:tr w:rsidRPr="00080DA3" w:rsidR="00FC2B5D" w:rsidTr="00B72CD3" w14:paraId="0534DA7F" w14:textId="77777777">
      <w:trPr>
        <w:trHeight w:val="229"/>
        <w:jc w:val="center"/>
      </w:trPr>
      <w:tc>
        <w:tcPr>
          <w:tcW w:w="1271"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6219F8" w:rsidRDefault="003F3941" w14:paraId="171D456F" w14:textId="62368336">
          <w:pPr>
            <w:pStyle w:val="Piedepgina"/>
            <w:jc w:val="center"/>
            <w:rPr>
              <w:rFonts w:ascii="Century Gothic" w:hAnsi="Century Gothic"/>
              <w:sz w:val="16"/>
              <w:szCs w:val="16"/>
            </w:rPr>
          </w:pPr>
          <w:r w:rsidRPr="003F3941">
            <w:rPr>
              <w:rFonts w:ascii="Century Gothic" w:hAnsi="Century Gothic"/>
              <w:sz w:val="16"/>
              <w:szCs w:val="16"/>
            </w:rPr>
            <w:t>VERSIÓN: 0</w:t>
          </w:r>
          <w:r w:rsidR="00B72CD3">
            <w:rPr>
              <w:rFonts w:ascii="Century Gothic" w:hAnsi="Century Gothic"/>
              <w:sz w:val="16"/>
              <w:szCs w:val="16"/>
            </w:rPr>
            <w:t>1</w:t>
          </w:r>
        </w:p>
      </w:tc>
      <w:tc>
        <w:tcPr>
          <w:tcW w:w="2693"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6219F8" w:rsidRDefault="003F3941" w14:paraId="10C74553" w14:textId="3F78C75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hAnsi="Century Gothic" w:eastAsia="Geo" w:cs="Geo"/>
              <w:b/>
              <w:color w:val="000000"/>
              <w:sz w:val="16"/>
              <w:szCs w:val="16"/>
              <w:lang w:eastAsia="es-CO"/>
            </w:rPr>
            <w:t>CCE-</w:t>
          </w:r>
          <w:r w:rsidR="00B72CD3">
            <w:rPr>
              <w:rFonts w:ascii="Century Gothic" w:hAnsi="Century Gothic" w:eastAsia="Geo" w:cs="Geo"/>
              <w:b/>
              <w:color w:val="000000"/>
              <w:sz w:val="16"/>
              <w:szCs w:val="16"/>
              <w:lang w:eastAsia="es-CO"/>
            </w:rPr>
            <w:t>REC</w:t>
          </w:r>
          <w:r w:rsidRPr="003F3941">
            <w:rPr>
              <w:rFonts w:ascii="Century Gothic" w:hAnsi="Century Gothic" w:eastAsia="Geo" w:cs="Geo"/>
              <w:b/>
              <w:color w:val="000000"/>
              <w:sz w:val="16"/>
              <w:szCs w:val="16"/>
              <w:lang w:eastAsia="es-CO"/>
            </w:rPr>
            <w:t>-FM-</w:t>
          </w:r>
          <w:r w:rsidR="00CB6357">
            <w:rPr>
              <w:rFonts w:ascii="Century Gothic" w:hAnsi="Century Gothic" w:eastAsia="Geo" w:cs="Geo"/>
              <w:b/>
              <w:color w:val="000000"/>
              <w:sz w:val="16"/>
              <w:szCs w:val="16"/>
              <w:lang w:eastAsia="es-CO"/>
            </w:rPr>
            <w:t>13</w:t>
          </w:r>
        </w:p>
      </w:tc>
      <w:tc>
        <w:tcPr>
          <w:tcW w:w="2699"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FC2B5D" w:rsidP="00FC2B5D" w:rsidRDefault="003F3941" w14:paraId="5B51611F" w14:textId="5E0DB946">
          <w:pPr>
            <w:pStyle w:val="Piedepgina"/>
            <w:rPr>
              <w:rFonts w:ascii="Century Gothic" w:hAnsi="Century Gothic"/>
              <w:sz w:val="16"/>
              <w:szCs w:val="16"/>
            </w:rPr>
          </w:pPr>
          <w:r w:rsidRPr="003F3941">
            <w:rPr>
              <w:rFonts w:ascii="Century Gothic" w:hAnsi="Century Gothic"/>
              <w:sz w:val="16"/>
              <w:szCs w:val="16"/>
            </w:rPr>
            <w:t xml:space="preserve">FECHA: </w:t>
          </w:r>
          <w:r w:rsidR="00961B09">
            <w:rPr>
              <w:rFonts w:ascii="Century Gothic" w:hAnsi="Century Gothic"/>
              <w:sz w:val="16"/>
              <w:szCs w:val="16"/>
            </w:rPr>
            <w:t>15</w:t>
          </w:r>
          <w:r w:rsidRPr="003F3941">
            <w:rPr>
              <w:rFonts w:ascii="Century Gothic" w:hAnsi="Century Gothic"/>
              <w:sz w:val="16"/>
              <w:szCs w:val="16"/>
            </w:rPr>
            <w:t xml:space="preserve"> DE </w:t>
          </w:r>
          <w:r w:rsidR="00961B09">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color="808080" w:themeColor="background1" w:themeShade="80" w:sz="4" w:space="0"/>
            <w:left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3F3941" w:rsidR="00FC2B5D" w:rsidP="00820278" w:rsidRDefault="003F3941" w14:paraId="6C25E7A7" w14:textId="6039C9C7">
          <w:pPr>
            <w:pStyle w:val="Piedepgina"/>
            <w:rPr>
              <w:rFonts w:ascii="Century Gothic" w:hAnsi="Century Gothic"/>
              <w:sz w:val="16"/>
              <w:szCs w:val="16"/>
            </w:rPr>
          </w:pPr>
          <w:r w:rsidRPr="003F3941">
            <w:rPr>
              <w:rFonts w:ascii="Century Gothic" w:hAnsi="Century Gothic"/>
              <w:sz w:val="16"/>
              <w:szCs w:val="16"/>
            </w:rPr>
            <w:t xml:space="preserve">  PÁGINA </w:t>
          </w:r>
          <w:r w:rsidRPr="003F3941" w:rsidR="00FC2B5D">
            <w:rPr>
              <w:rFonts w:ascii="Century Gothic" w:hAnsi="Century Gothic"/>
              <w:b/>
              <w:bCs/>
              <w:sz w:val="16"/>
              <w:szCs w:val="16"/>
            </w:rPr>
            <w:fldChar w:fldCharType="begin"/>
          </w:r>
          <w:r w:rsidRPr="003F3941" w:rsidR="00FC2B5D">
            <w:rPr>
              <w:rFonts w:ascii="Century Gothic" w:hAnsi="Century Gothic"/>
              <w:b/>
              <w:bCs/>
              <w:sz w:val="16"/>
              <w:szCs w:val="16"/>
            </w:rPr>
            <w:instrText>PAGE  \* Arabic  \* MERGEFORMAT</w:instrText>
          </w:r>
          <w:r w:rsidRPr="003F3941" w:rsidR="00FC2B5D">
            <w:rPr>
              <w:rFonts w:ascii="Century Gothic" w:hAnsi="Century Gothic"/>
              <w:b/>
              <w:bCs/>
              <w:sz w:val="16"/>
              <w:szCs w:val="16"/>
            </w:rPr>
            <w:fldChar w:fldCharType="separate"/>
          </w:r>
          <w:r w:rsidRPr="003F3941">
            <w:rPr>
              <w:rFonts w:ascii="Century Gothic" w:hAnsi="Century Gothic"/>
              <w:b/>
              <w:bCs/>
              <w:sz w:val="16"/>
              <w:szCs w:val="16"/>
            </w:rPr>
            <w:t>1</w:t>
          </w:r>
          <w:r w:rsidRPr="003F3941" w:rsidR="00FC2B5D">
            <w:rPr>
              <w:rFonts w:ascii="Century Gothic" w:hAnsi="Century Gothic"/>
              <w:b/>
              <w:bCs/>
              <w:sz w:val="16"/>
              <w:szCs w:val="16"/>
            </w:rPr>
            <w:fldChar w:fldCharType="end"/>
          </w:r>
          <w:r w:rsidRPr="003F3941">
            <w:rPr>
              <w:rFonts w:ascii="Century Gothic" w:hAnsi="Century Gothic"/>
              <w:sz w:val="16"/>
              <w:szCs w:val="16"/>
            </w:rPr>
            <w:t xml:space="preserve"> DE </w:t>
          </w:r>
          <w:r w:rsidRPr="003F3941" w:rsidR="00FC2B5D">
            <w:rPr>
              <w:rFonts w:ascii="Century Gothic" w:hAnsi="Century Gothic"/>
              <w:b/>
              <w:bCs/>
              <w:sz w:val="16"/>
              <w:szCs w:val="16"/>
            </w:rPr>
            <w:fldChar w:fldCharType="begin"/>
          </w:r>
          <w:r w:rsidRPr="003F3941" w:rsidR="00FC2B5D">
            <w:rPr>
              <w:rFonts w:ascii="Century Gothic" w:hAnsi="Century Gothic"/>
              <w:b/>
              <w:bCs/>
              <w:sz w:val="16"/>
              <w:szCs w:val="16"/>
            </w:rPr>
            <w:instrText>NUMPAGES  \* Arabic  \* MERGEFORMAT</w:instrText>
          </w:r>
          <w:r w:rsidRPr="003F3941" w:rsidR="00FC2B5D">
            <w:rPr>
              <w:rFonts w:ascii="Century Gothic" w:hAnsi="Century Gothic"/>
              <w:b/>
              <w:bCs/>
              <w:sz w:val="16"/>
              <w:szCs w:val="16"/>
            </w:rPr>
            <w:fldChar w:fldCharType="separate"/>
          </w:r>
          <w:r w:rsidRPr="003F3941">
            <w:rPr>
              <w:rFonts w:ascii="Century Gothic" w:hAnsi="Century Gothic"/>
              <w:b/>
              <w:bCs/>
              <w:sz w:val="16"/>
              <w:szCs w:val="16"/>
            </w:rPr>
            <w:t>2</w:t>
          </w:r>
          <w:r w:rsidRPr="003F3941" w:rsidR="00FC2B5D">
            <w:rPr>
              <w:rFonts w:ascii="Century Gothic" w:hAnsi="Century Gothic"/>
              <w:b/>
              <w:bCs/>
              <w:sz w:val="16"/>
              <w:szCs w:val="16"/>
            </w:rPr>
            <w:fldChar w:fldCharType="end"/>
          </w:r>
        </w:p>
      </w:tc>
    </w:tr>
  </w:tbl>
  <w:p w:rsidR="006219F8" w:rsidP="003E0499" w:rsidRDefault="006219F8" w14:paraId="744661F5" w14:textId="3FCEADD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865AF" w:rsidP="004A1847" w:rsidRDefault="00F865AF" w14:paraId="34CB43A0" w14:textId="77777777">
      <w:pPr>
        <w:spacing w:after="0" w:line="240" w:lineRule="auto"/>
      </w:pPr>
      <w:r>
        <w:separator/>
      </w:r>
    </w:p>
  </w:footnote>
  <w:footnote w:type="continuationSeparator" w:id="0">
    <w:p w:rsidR="00F865AF" w:rsidP="004A1847" w:rsidRDefault="00F865AF" w14:paraId="6ED3A455" w14:textId="77777777">
      <w:pPr>
        <w:spacing w:after="0" w:line="240" w:lineRule="auto"/>
      </w:pPr>
      <w:r>
        <w:continuationSeparator/>
      </w:r>
    </w:p>
  </w:footnote>
  <w:footnote w:id="1">
    <w:p w:rsidRPr="00415EE8" w:rsidR="00862A6E" w:rsidP="00862A6E" w:rsidRDefault="00862A6E" w14:paraId="2CD8234A" w14:textId="77777777">
      <w:pPr>
        <w:pStyle w:val="Textonotapie"/>
        <w:ind w:firstLine="709"/>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Los conceptos referenciados, así como otros expedidos por la Subdirección se encuentran disponibles para consulta pública en el portal de relatoría de la Agencia, al cual se puede acceder a través del siguiente enlace: </w:t>
      </w:r>
      <w:hyperlink w:history="1" r:id="rId1">
        <w:r w:rsidRPr="00415EE8">
          <w:rPr>
            <w:rStyle w:val="Hipervnculo"/>
            <w:rFonts w:ascii="Arial" w:hAnsi="Arial" w:cs="Arial"/>
            <w:sz w:val="18"/>
            <w:szCs w:val="18"/>
          </w:rPr>
          <w:t>https://relatoria.colombiacompra.gov.co/busqueda/conceptos</w:t>
        </w:r>
      </w:hyperlink>
      <w:r w:rsidRPr="00415EE8">
        <w:rPr>
          <w:rStyle w:val="Hipervnculo"/>
          <w:rFonts w:ascii="Arial" w:hAnsi="Arial" w:cs="Arial"/>
          <w:sz w:val="18"/>
          <w:szCs w:val="18"/>
        </w:rPr>
        <w:t xml:space="preserve">. </w:t>
      </w:r>
      <w:r w:rsidRPr="00415EE8">
        <w:rPr>
          <w:rFonts w:ascii="Arial" w:hAnsi="Arial" w:cs="Arial"/>
          <w:sz w:val="18"/>
          <w:szCs w:val="18"/>
          <w:shd w:val="clear" w:color="auto" w:fill="E6E6E6"/>
        </w:rPr>
        <w:t xml:space="preserve"> </w:t>
      </w:r>
    </w:p>
  </w:footnote>
  <w:footnote w:id="2">
    <w:p w:rsidRPr="00415EE8" w:rsidR="007845B6" w:rsidP="00862A6E" w:rsidRDefault="007845B6" w14:paraId="0DD544C1" w14:textId="77777777">
      <w:pPr>
        <w:pStyle w:val="Textonotapie"/>
        <w:ind w:firstLine="709"/>
        <w:jc w:val="both"/>
        <w:rPr>
          <w:rFonts w:ascii="Arial" w:hAnsi="Arial" w:cs="Arial"/>
          <w:sz w:val="18"/>
          <w:szCs w:val="18"/>
        </w:rPr>
      </w:pPr>
    </w:p>
    <w:p w:rsidRPr="00415EE8" w:rsidR="00862A6E" w:rsidP="00862A6E" w:rsidRDefault="00862A6E" w14:paraId="7ACE8BD8" w14:textId="5BA2C10F">
      <w:pPr>
        <w:pStyle w:val="Textonotapie"/>
        <w:ind w:firstLine="709"/>
        <w:jc w:val="both"/>
        <w:rPr>
          <w:rFonts w:ascii="Arial" w:hAnsi="Arial" w:cs="Arial"/>
          <w:sz w:val="18"/>
          <w:szCs w:val="18"/>
          <w:lang w:val="es-ES_tradnl"/>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pt-BR"/>
        </w:rPr>
        <w:t>CORTE CONSTITUCIONAL. Sentencia C-1016 de 2012. M.P. Jorge Iván Palacio.</w:t>
      </w:r>
    </w:p>
  </w:footnote>
  <w:footnote w:id="3">
    <w:p w:rsidRPr="00415EE8" w:rsidR="00862A6E" w:rsidP="00862A6E" w:rsidRDefault="00862A6E" w14:paraId="60D7E5FD" w14:textId="77777777">
      <w:pPr>
        <w:pStyle w:val="Textonotapie"/>
        <w:ind w:firstLine="709"/>
        <w:jc w:val="both"/>
        <w:rPr>
          <w:rFonts w:ascii="Arial" w:hAnsi="Arial" w:cs="Arial"/>
          <w:sz w:val="18"/>
          <w:szCs w:val="18"/>
          <w:lang w:val="pt-BR"/>
        </w:rPr>
      </w:pPr>
      <w:r w:rsidRPr="00415EE8">
        <w:rPr>
          <w:rStyle w:val="Refdenotaalpie"/>
          <w:rFonts w:ascii="Arial" w:hAnsi="Arial" w:cs="Arial"/>
          <w:sz w:val="18"/>
          <w:szCs w:val="18"/>
        </w:rPr>
        <w:footnoteRef/>
      </w:r>
      <w:r w:rsidRPr="00415EE8">
        <w:rPr>
          <w:rFonts w:ascii="Arial" w:hAnsi="Arial" w:cs="Arial"/>
          <w:sz w:val="18"/>
          <w:szCs w:val="18"/>
        </w:rPr>
        <w:t xml:space="preserve"> CONSEJO DE ESTADO. Sección Tercera. Subsección A. Sentencia del 13 de noviembre de 2013. </w:t>
      </w:r>
      <w:r w:rsidRPr="00415EE8">
        <w:rPr>
          <w:rFonts w:ascii="Arial" w:hAnsi="Arial" w:cs="Arial"/>
          <w:sz w:val="18"/>
          <w:szCs w:val="18"/>
          <w:lang w:val="pt-BR"/>
        </w:rPr>
        <w:t xml:space="preserve">Rad. 25.646. C.P. Mauricio Fajardo Gómez.  </w:t>
      </w:r>
    </w:p>
    <w:p w:rsidRPr="00415EE8" w:rsidR="00862A6E" w:rsidP="00862A6E" w:rsidRDefault="00862A6E" w14:paraId="559EF2F3" w14:textId="77777777">
      <w:pPr>
        <w:pStyle w:val="Textonotapie"/>
        <w:ind w:firstLine="709"/>
        <w:jc w:val="both"/>
        <w:rPr>
          <w:rFonts w:ascii="Arial" w:hAnsi="Arial" w:cs="Arial"/>
          <w:sz w:val="18"/>
          <w:szCs w:val="18"/>
          <w:lang w:val="es-ES_tradnl"/>
        </w:rPr>
      </w:pPr>
    </w:p>
  </w:footnote>
  <w:footnote w:id="4">
    <w:p w:rsidRPr="00415EE8" w:rsidR="00862A6E" w:rsidP="00862A6E" w:rsidRDefault="00862A6E" w14:paraId="4DDB3E86" w14:textId="77777777">
      <w:pPr>
        <w:pStyle w:val="Textonotapie"/>
        <w:ind w:firstLine="709"/>
        <w:jc w:val="both"/>
        <w:rPr>
          <w:rFonts w:ascii="Arial" w:hAnsi="Arial" w:cs="Arial"/>
          <w:sz w:val="18"/>
          <w:szCs w:val="18"/>
          <w:lang w:val="es-ES_tradnl"/>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pt-BR"/>
        </w:rPr>
        <w:t>CORTE CONSTITUCIONAL. Sentencia C-415 de 1994. M.P. Eduardo Cifuentes Muñoz.</w:t>
      </w:r>
    </w:p>
  </w:footnote>
  <w:footnote w:id="5">
    <w:p w:rsidRPr="00415EE8" w:rsidR="00862A6E" w:rsidP="00862A6E" w:rsidRDefault="00862A6E" w14:paraId="6EFA8A3F" w14:textId="77777777">
      <w:pPr>
        <w:pStyle w:val="Textonotapie"/>
        <w:ind w:firstLine="709"/>
        <w:jc w:val="both"/>
        <w:rPr>
          <w:rFonts w:ascii="Arial" w:hAnsi="Arial" w:cs="Arial"/>
          <w:sz w:val="18"/>
          <w:szCs w:val="18"/>
          <w:lang w:val="pt-BR"/>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pt-BR"/>
        </w:rPr>
        <w:t>Ibídem.</w:t>
      </w:r>
    </w:p>
  </w:footnote>
  <w:footnote w:id="6">
    <w:p w:rsidRPr="00415EE8" w:rsidR="00862A6E" w:rsidP="00862A6E" w:rsidRDefault="00862A6E" w14:paraId="1C967E7C" w14:textId="77777777">
      <w:pPr>
        <w:pStyle w:val="Textonotapie"/>
        <w:ind w:firstLine="709"/>
        <w:jc w:val="both"/>
        <w:rPr>
          <w:rFonts w:ascii="Arial" w:hAnsi="Arial" w:cs="Arial"/>
          <w:sz w:val="18"/>
          <w:szCs w:val="18"/>
          <w:lang w:val="es-CO"/>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pt-BR"/>
        </w:rPr>
        <w:t xml:space="preserve">CORTE CONSTITUCIONAL. </w:t>
      </w:r>
      <w:r w:rsidRPr="00415EE8">
        <w:rPr>
          <w:rFonts w:ascii="Arial" w:hAnsi="Arial" w:cs="Arial"/>
          <w:sz w:val="18"/>
          <w:szCs w:val="18"/>
        </w:rPr>
        <w:t xml:space="preserve">Sentencia C-780 de 2001. </w:t>
      </w:r>
      <w:r w:rsidRPr="00415EE8">
        <w:rPr>
          <w:rFonts w:ascii="Arial" w:hAnsi="Arial" w:cs="Arial"/>
          <w:sz w:val="18"/>
          <w:szCs w:val="18"/>
          <w:lang w:val="es-CO"/>
        </w:rPr>
        <w:t xml:space="preserve">M.P. Jaime Córdoba Triviño. </w:t>
      </w:r>
    </w:p>
    <w:p w:rsidRPr="00415EE8" w:rsidR="007845B6" w:rsidP="00862A6E" w:rsidRDefault="007845B6" w14:paraId="06C8171B" w14:textId="77777777">
      <w:pPr>
        <w:pStyle w:val="Textonotapie"/>
        <w:ind w:firstLine="709"/>
        <w:jc w:val="both"/>
        <w:rPr>
          <w:rFonts w:ascii="Arial" w:hAnsi="Arial" w:cs="Arial"/>
          <w:sz w:val="18"/>
          <w:szCs w:val="18"/>
          <w:lang w:val="es-CO"/>
        </w:rPr>
      </w:pPr>
    </w:p>
  </w:footnote>
  <w:footnote w:id="7">
    <w:p w:rsidRPr="00415EE8" w:rsidR="00862A6E" w:rsidP="00862A6E" w:rsidRDefault="00862A6E" w14:paraId="547F2E97" w14:textId="77777777">
      <w:pPr>
        <w:pStyle w:val="NormalWeb"/>
        <w:spacing w:after="0"/>
        <w:ind w:firstLine="709"/>
        <w:jc w:val="both"/>
        <w:rPr>
          <w:rFonts w:ascii="Arial" w:hAnsi="Arial" w:cs="Arial"/>
          <w:sz w:val="18"/>
          <w:szCs w:val="18"/>
          <w:lang w:val="es-ES"/>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ES"/>
        </w:rPr>
        <w:t>Ley 80 de 1993: “Artículo 8: 1o. Son inhábiles para participar en licitaciones o concursos y para celebrar contratos con las entidades estatales: </w:t>
      </w:r>
    </w:p>
    <w:p w:rsidRPr="00415EE8" w:rsidR="00862A6E" w:rsidP="00862A6E" w:rsidRDefault="00862A6E" w14:paraId="2E2B4500"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a) Las personas que se hallen inhabilitadas para contratar por la Constitución y las leyes. </w:t>
      </w:r>
    </w:p>
    <w:p w:rsidRPr="00415EE8" w:rsidR="00862A6E" w:rsidP="00862A6E" w:rsidRDefault="00862A6E" w14:paraId="4D02EB4A"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b) Quienes participaron en las licitaciones o concursos o celebraron los contratos de que trata el literal anterior estando inhabilitados. </w:t>
      </w:r>
    </w:p>
    <w:p w:rsidRPr="00415EE8" w:rsidR="00862A6E" w:rsidP="00862A6E" w:rsidRDefault="00862A6E" w14:paraId="04094B01" w14:textId="77777777">
      <w:pPr>
        <w:pStyle w:val="NormalWeb"/>
        <w:spacing w:after="0"/>
        <w:ind w:firstLine="709"/>
        <w:jc w:val="both"/>
        <w:rPr>
          <w:rFonts w:ascii="Arial" w:hAnsi="Arial" w:cs="Arial"/>
          <w:sz w:val="18"/>
          <w:szCs w:val="18"/>
          <w:lang w:val="es-ES"/>
        </w:rPr>
      </w:pPr>
      <w:r w:rsidRPr="00415EE8">
        <w:rPr>
          <w:rFonts w:ascii="Arial" w:hAnsi="Arial" w:cs="Arial"/>
          <w:sz w:val="18"/>
          <w:szCs w:val="18"/>
          <w:lang w:val="es-ES"/>
        </w:rPr>
        <w:t>c) Quienes dieron lugar a la declaratoria de caducidad. </w:t>
      </w:r>
    </w:p>
    <w:p w:rsidRPr="00415EE8" w:rsidR="00862A6E" w:rsidP="00862A6E" w:rsidRDefault="00862A6E" w14:paraId="738F2606" w14:textId="77777777">
      <w:pPr>
        <w:pStyle w:val="NormalWeb"/>
        <w:spacing w:after="0"/>
        <w:ind w:firstLine="709"/>
        <w:jc w:val="both"/>
        <w:rPr>
          <w:rFonts w:ascii="Arial" w:hAnsi="Arial" w:cs="Arial"/>
          <w:sz w:val="18"/>
          <w:szCs w:val="18"/>
          <w:lang w:val="es-ES"/>
        </w:rPr>
      </w:pPr>
      <w:r w:rsidRPr="00415EE8">
        <w:rPr>
          <w:rFonts w:ascii="Arial" w:hAnsi="Arial" w:cs="Arial"/>
          <w:sz w:val="18"/>
          <w:szCs w:val="18"/>
          <w:lang w:val="es-ES"/>
        </w:rPr>
        <w:t>d) Quienes en sentencia judicial hayan sido condenados a la pena accesoria de interdicción de derechos y funciones públicas y quienes hayan sido sancionados disciplinariamente con destitución. </w:t>
      </w:r>
    </w:p>
    <w:p w:rsidRPr="00415EE8" w:rsidR="00862A6E" w:rsidP="00862A6E" w:rsidRDefault="00862A6E" w14:paraId="55B2AB04"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e) Quienes sin justa causa se abstengan de suscribir el contrato estatal adjudicado. </w:t>
      </w:r>
    </w:p>
    <w:p w:rsidRPr="00415EE8" w:rsidR="00862A6E" w:rsidP="00862A6E" w:rsidRDefault="00862A6E" w14:paraId="42579597"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f) Los servidores públicos. </w:t>
      </w:r>
    </w:p>
    <w:p w:rsidRPr="00415EE8" w:rsidR="00862A6E" w:rsidP="00862A6E" w:rsidRDefault="00862A6E" w14:paraId="3512933B"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g) Quienes sean cónyuges o compañeros permanentes y quienes se encuentren dentro del segundo grado de consanguinidad o segundo de afinidad con cualquier otra persona que formalmente haya presentado propuesta para una misma licitación o concurso. </w:t>
      </w:r>
    </w:p>
    <w:p w:rsidRPr="00415EE8" w:rsidR="00862A6E" w:rsidP="00862A6E" w:rsidRDefault="00862A6E" w14:paraId="24A6FBF4" w14:textId="77777777">
      <w:pPr>
        <w:pStyle w:val="NormalWeb"/>
        <w:spacing w:after="0"/>
        <w:ind w:firstLine="709"/>
        <w:jc w:val="both"/>
        <w:rPr>
          <w:rFonts w:ascii="Arial" w:hAnsi="Arial" w:cs="Arial"/>
          <w:sz w:val="18"/>
          <w:szCs w:val="18"/>
          <w:lang w:val="es-ES"/>
        </w:rPr>
      </w:pPr>
      <w:r w:rsidRPr="00415EE8">
        <w:rPr>
          <w:rFonts w:ascii="Arial" w:hAnsi="Arial" w:cs="Arial"/>
          <w:sz w:val="18"/>
          <w:szCs w:val="18"/>
          <w:lang w:val="es-E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rsidRPr="00415EE8" w:rsidR="00862A6E" w:rsidP="00862A6E" w:rsidRDefault="00862A6E" w14:paraId="351C77FD"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i) Los socios de sociedades de personas a las cuales se haya declarado la caducidad, así como las sociedades de personas de las que aquellos formen parte con posterioridad a dicha declaratoria. </w:t>
      </w:r>
    </w:p>
    <w:p w:rsidRPr="00415EE8" w:rsidR="00862A6E" w:rsidP="00862A6E" w:rsidRDefault="00862A6E" w14:paraId="2033EF2B" w14:textId="77777777">
      <w:pPr>
        <w:pStyle w:val="NormalWeb"/>
        <w:spacing w:after="0"/>
        <w:ind w:firstLine="709"/>
        <w:jc w:val="both"/>
        <w:rPr>
          <w:rFonts w:ascii="Arial" w:hAnsi="Arial" w:cs="Arial"/>
          <w:sz w:val="18"/>
          <w:szCs w:val="18"/>
          <w:lang w:val="es-ES"/>
        </w:rPr>
      </w:pPr>
      <w:r w:rsidRPr="00415EE8">
        <w:rPr>
          <w:rFonts w:ascii="Arial" w:hAnsi="Arial" w:cs="Arial"/>
          <w:sz w:val="18"/>
          <w:szCs w:val="18"/>
          <w:lang w:val="es-ES"/>
        </w:rPr>
        <w:t>  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rsidRPr="00415EE8" w:rsidR="00862A6E" w:rsidP="00862A6E" w:rsidRDefault="00862A6E" w14:paraId="036AF853"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rsidRPr="00415EE8" w:rsidR="00862A6E" w:rsidP="00862A6E" w:rsidRDefault="00862A6E" w14:paraId="39C5485E"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415EE8">
        <w:rPr>
          <w:rFonts w:ascii="Arial" w:hAnsi="Arial" w:cs="Arial"/>
          <w:sz w:val="18"/>
          <w:szCs w:val="18"/>
          <w:lang w:val="es-E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415EE8">
        <w:rPr>
          <w:rFonts w:ascii="Arial" w:hAnsi="Arial" w:cs="Arial"/>
          <w:sz w:val="18"/>
          <w:szCs w:val="18"/>
          <w:lang w:val="es-ES"/>
        </w:rPr>
        <w:softHyphen/>
        <w:t>cepción de las sociedades anónimas abiertas. También se considerarán inhabilitadas para contratar, las personas jurídicas sobre las cuales se haya ordenado la suspensión de la perso</w:t>
      </w:r>
      <w:r w:rsidRPr="00415EE8">
        <w:rPr>
          <w:rFonts w:ascii="Arial" w:hAnsi="Arial" w:cs="Arial"/>
          <w:sz w:val="18"/>
          <w:szCs w:val="18"/>
          <w:lang w:val="es-ES"/>
        </w:rPr>
        <w:softHyphen/>
        <w:t>nería jurídica en los términos de ley, o cuyos representantes legales, ad</w:t>
      </w:r>
      <w:r w:rsidRPr="00415EE8">
        <w:rPr>
          <w:rFonts w:ascii="Arial" w:hAnsi="Arial" w:cs="Arial"/>
          <w:sz w:val="18"/>
          <w:szCs w:val="18"/>
          <w:lang w:val="es-E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415EE8">
        <w:rPr>
          <w:rFonts w:ascii="Arial" w:hAnsi="Arial" w:cs="Arial"/>
          <w:sz w:val="18"/>
          <w:szCs w:val="18"/>
          <w:lang w:val="es-E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rsidRPr="00415EE8" w:rsidR="00862A6E" w:rsidP="00862A6E" w:rsidRDefault="00862A6E" w14:paraId="60760B2C" w14:textId="77777777">
      <w:pPr>
        <w:pStyle w:val="NormalWeb"/>
        <w:spacing w:after="0"/>
        <w:ind w:firstLine="709"/>
        <w:jc w:val="both"/>
        <w:rPr>
          <w:rFonts w:ascii="Arial" w:hAnsi="Arial" w:cs="Arial"/>
          <w:sz w:val="18"/>
          <w:szCs w:val="18"/>
          <w:lang w:val="es-ES"/>
        </w:rPr>
      </w:pPr>
      <w:r w:rsidRPr="00415EE8">
        <w:rPr>
          <w:rFonts w:ascii="Arial" w:hAnsi="Arial" w:cs="Arial"/>
          <w:sz w:val="18"/>
          <w:szCs w:val="18"/>
          <w:lang w:val="es-ES"/>
        </w:rPr>
        <w:t>[…]</w:t>
      </w:r>
    </w:p>
    <w:p w:rsidRPr="00415EE8" w:rsidR="00862A6E" w:rsidP="00862A6E" w:rsidRDefault="00862A6E" w14:paraId="2B978CB3" w14:textId="77777777">
      <w:pPr>
        <w:pStyle w:val="NormalWeb"/>
        <w:spacing w:after="0"/>
        <w:ind w:firstLine="709"/>
        <w:jc w:val="both"/>
        <w:rPr>
          <w:rFonts w:ascii="Arial" w:hAnsi="Arial" w:cs="Arial"/>
          <w:sz w:val="18"/>
          <w:szCs w:val="18"/>
          <w:lang w:val="es-ES"/>
        </w:rPr>
      </w:pPr>
      <w:r w:rsidRPr="00415EE8">
        <w:rPr>
          <w:rFonts w:ascii="Arial" w:hAnsi="Arial" w:cs="Arial"/>
          <w:sz w:val="18"/>
          <w:szCs w:val="18"/>
          <w:lang w:val="es-ES"/>
        </w:rPr>
        <w:t>2o. Tampoco podrán participar en licitaciones o concursos ni celebrar contratos estatales con la entidad respectiva: </w:t>
      </w:r>
    </w:p>
    <w:p w:rsidRPr="00415EE8" w:rsidR="00862A6E" w:rsidP="00862A6E" w:rsidRDefault="00862A6E" w14:paraId="6FFD7036"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rsidRPr="00415EE8" w:rsidR="00862A6E" w:rsidP="00862A6E" w:rsidRDefault="00862A6E" w14:paraId="68C6C8DE"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rsidRPr="00415EE8" w:rsidR="00862A6E" w:rsidP="00862A6E" w:rsidRDefault="00862A6E" w14:paraId="2D14D33A"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c) El cónyuge, compañero o compañera permanente del servidor público en los niveles directivo, asesor, ejecutivo, o de un miembro de la junta o consejo directivo, o de quien ejerza funciones de control interno o de control fiscal. </w:t>
      </w:r>
    </w:p>
    <w:p w:rsidRPr="00415EE8" w:rsidR="00862A6E" w:rsidP="00862A6E" w:rsidRDefault="00862A6E" w14:paraId="12F8251A"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rsidRPr="00415EE8" w:rsidR="00862A6E" w:rsidP="00862A6E" w:rsidRDefault="00862A6E" w14:paraId="54B3FF6E"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e) Los miembros de las juntas o consejos directivos. Esta incompatibilidad sólo se predica respecto de la entidad a la cual prestan sus servicios y de las del sector administrativo al que la misma esté adscrita o vinculada. </w:t>
      </w:r>
    </w:p>
    <w:p w:rsidRPr="00415EE8" w:rsidR="00862A6E" w:rsidP="00862A6E" w:rsidRDefault="00862A6E" w14:paraId="185B0684" w14:textId="77777777">
      <w:pPr>
        <w:pStyle w:val="NormalWeb"/>
        <w:spacing w:after="0"/>
        <w:ind w:firstLine="708"/>
        <w:jc w:val="both"/>
        <w:rPr>
          <w:rFonts w:ascii="Arial" w:hAnsi="Arial" w:cs="Arial"/>
          <w:sz w:val="18"/>
          <w:szCs w:val="18"/>
          <w:lang w:val="es-ES"/>
        </w:rPr>
      </w:pPr>
      <w:r w:rsidRPr="00415EE8">
        <w:rPr>
          <w:rFonts w:ascii="Arial" w:hAnsi="Arial" w:cs="Arial"/>
          <w:sz w:val="18"/>
          <w:szCs w:val="18"/>
          <w:lang w:val="es-ES"/>
        </w:rPr>
        <w:t xml:space="preserve">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ex empleado público”. (…). </w:t>
      </w:r>
    </w:p>
  </w:footnote>
  <w:footnote w:id="8">
    <w:p w:rsidRPr="00415EE8" w:rsidR="00862A6E" w:rsidP="00862A6E" w:rsidRDefault="00862A6E" w14:paraId="7715AA7A" w14:textId="77777777">
      <w:pPr>
        <w:pStyle w:val="Textonotapie"/>
        <w:ind w:firstLine="709"/>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rsidRPr="00415EE8" w:rsidR="00862A6E" w:rsidP="00862A6E" w:rsidRDefault="00862A6E" w14:paraId="1539F0D3" w14:textId="77777777">
      <w:pPr>
        <w:pStyle w:val="Textonotapie"/>
        <w:ind w:firstLine="709"/>
        <w:jc w:val="both"/>
        <w:rPr>
          <w:rFonts w:ascii="Arial" w:hAnsi="Arial" w:cs="Arial"/>
          <w:sz w:val="18"/>
          <w:szCs w:val="18"/>
        </w:rPr>
      </w:pPr>
      <w:r w:rsidRPr="00415EE8">
        <w:rPr>
          <w:rFonts w:ascii="Arial" w:hAnsi="Arial" w:cs="Arial"/>
          <w:sz w:val="18"/>
          <w:szCs w:val="18"/>
        </w:rPr>
        <w:t>Las personas jurídicas nacionales y extranjeras deberán acreditar que su duración no será inferior a la del plazo del contrato y un año más”.</w:t>
      </w:r>
    </w:p>
  </w:footnote>
  <w:footnote w:id="9">
    <w:p w:rsidRPr="00415EE8" w:rsidR="00862A6E" w:rsidP="00862A6E" w:rsidRDefault="00862A6E" w14:paraId="6AD894B5" w14:textId="77777777">
      <w:pPr>
        <w:pStyle w:val="Textonotapie"/>
        <w:ind w:firstLine="709"/>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Código Civil: “Artículo 1502. Requisitos para obligarse. Para que una persona se obligue a otra por un acto o declaración de voluntad, es necesario:</w:t>
      </w:r>
    </w:p>
    <w:p w:rsidRPr="00415EE8" w:rsidR="00862A6E" w:rsidP="00862A6E" w:rsidRDefault="00862A6E" w14:paraId="11CDDD97" w14:textId="77777777">
      <w:pPr>
        <w:pStyle w:val="Textonotapie"/>
        <w:ind w:firstLine="709"/>
        <w:jc w:val="both"/>
        <w:rPr>
          <w:rFonts w:ascii="Arial" w:hAnsi="Arial" w:cs="Arial"/>
          <w:sz w:val="18"/>
          <w:szCs w:val="18"/>
        </w:rPr>
      </w:pPr>
      <w:r w:rsidRPr="00415EE8">
        <w:rPr>
          <w:rFonts w:ascii="Arial" w:hAnsi="Arial" w:cs="Arial"/>
          <w:sz w:val="18"/>
          <w:szCs w:val="18"/>
        </w:rPr>
        <w:t>1o.) que sea legalmente capaz.</w:t>
      </w:r>
    </w:p>
    <w:p w:rsidRPr="00415EE8" w:rsidR="00862A6E" w:rsidP="00862A6E" w:rsidRDefault="00862A6E" w14:paraId="21BAAAD2" w14:textId="77777777">
      <w:pPr>
        <w:pStyle w:val="Textonotapie"/>
        <w:ind w:firstLine="709"/>
        <w:jc w:val="both"/>
        <w:rPr>
          <w:rFonts w:ascii="Arial" w:hAnsi="Arial" w:cs="Arial"/>
          <w:sz w:val="18"/>
          <w:szCs w:val="18"/>
        </w:rPr>
      </w:pPr>
      <w:r w:rsidRPr="00415EE8">
        <w:rPr>
          <w:rFonts w:ascii="Arial" w:hAnsi="Arial" w:cs="Arial"/>
          <w:sz w:val="18"/>
          <w:szCs w:val="18"/>
        </w:rPr>
        <w:t>[…]</w:t>
      </w:r>
    </w:p>
    <w:p w:rsidRPr="00415EE8" w:rsidR="00862A6E" w:rsidP="00862A6E" w:rsidRDefault="00862A6E" w14:paraId="11380046" w14:textId="77777777">
      <w:pPr>
        <w:pStyle w:val="Textonotapie"/>
        <w:ind w:firstLine="709"/>
        <w:jc w:val="both"/>
        <w:rPr>
          <w:rFonts w:ascii="Arial" w:hAnsi="Arial" w:cs="Arial"/>
          <w:sz w:val="18"/>
          <w:szCs w:val="18"/>
        </w:rPr>
      </w:pPr>
      <w:r w:rsidRPr="00415EE8">
        <w:rPr>
          <w:rFonts w:ascii="Arial" w:hAnsi="Arial" w:cs="Arial"/>
          <w:sz w:val="18"/>
          <w:szCs w:val="18"/>
        </w:rPr>
        <w:t>La capacidad legal de una persona consiste en poderse obligar por sí misma, sin el ministerio o la autorización de otra”.</w:t>
      </w:r>
    </w:p>
    <w:p w:rsidRPr="00415EE8" w:rsidR="007845B6" w:rsidP="00862A6E" w:rsidRDefault="007845B6" w14:paraId="312D37CE" w14:textId="77777777">
      <w:pPr>
        <w:pStyle w:val="Textonotapie"/>
        <w:ind w:firstLine="709"/>
        <w:jc w:val="both"/>
        <w:rPr>
          <w:rFonts w:ascii="Arial" w:hAnsi="Arial" w:cs="Arial"/>
          <w:sz w:val="18"/>
          <w:szCs w:val="18"/>
        </w:rPr>
      </w:pPr>
    </w:p>
  </w:footnote>
  <w:footnote w:id="10">
    <w:p w:rsidRPr="00415EE8" w:rsidR="00862A6E" w:rsidP="00862A6E" w:rsidRDefault="00862A6E" w14:paraId="2C6F49EF" w14:textId="77777777">
      <w:pPr>
        <w:pStyle w:val="Textonotapie"/>
        <w:ind w:firstLine="709"/>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Decreto Ley 19 de 2012: “Artículo 221. El artículo 6 de la Ley 1150 de 2007, quedará así:</w:t>
      </w:r>
    </w:p>
    <w:p w:rsidRPr="00415EE8" w:rsidR="00862A6E" w:rsidP="00862A6E" w:rsidRDefault="00862A6E" w14:paraId="44741AC2" w14:textId="77777777">
      <w:pPr>
        <w:pStyle w:val="Textonotapie"/>
        <w:ind w:firstLine="709"/>
        <w:jc w:val="both"/>
        <w:rPr>
          <w:rFonts w:ascii="Arial" w:hAnsi="Arial" w:cs="Arial"/>
          <w:sz w:val="18"/>
          <w:szCs w:val="18"/>
          <w:lang w:val="es-ES"/>
        </w:rPr>
      </w:pPr>
      <w:r w:rsidRPr="00415EE8">
        <w:rPr>
          <w:rFonts w:ascii="Arial" w:hAnsi="Arial" w:cs="Arial"/>
          <w:sz w:val="18"/>
          <w:szCs w:val="18"/>
        </w:rPr>
        <w:t>Artículo 6. De la verificación de las condiciones de los proponentes. T</w:t>
      </w:r>
      <w:r w:rsidRPr="00415EE8">
        <w:rPr>
          <w:rFonts w:ascii="Arial" w:hAnsi="Arial" w:cs="Arial"/>
          <w:sz w:val="18"/>
          <w:szCs w:val="18"/>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rsidRPr="00415EE8" w:rsidR="00862A6E" w:rsidP="00862A6E" w:rsidRDefault="00862A6E" w14:paraId="35336283" w14:textId="77777777">
      <w:pPr>
        <w:pStyle w:val="Textonotapie"/>
        <w:ind w:firstLine="709"/>
        <w:jc w:val="both"/>
        <w:rPr>
          <w:rFonts w:ascii="Arial" w:hAnsi="Arial" w:cs="Arial"/>
          <w:sz w:val="18"/>
          <w:szCs w:val="18"/>
          <w:lang w:val="es-ES"/>
        </w:rPr>
      </w:pPr>
      <w:r w:rsidRPr="00415EE8">
        <w:rPr>
          <w:rFonts w:ascii="Arial" w:hAnsi="Arial" w:cs="Arial"/>
          <w:sz w:val="18"/>
          <w:szCs w:val="18"/>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rsidRPr="00415EE8" w:rsidR="00581856" w:rsidP="00862A6E" w:rsidRDefault="00581856" w14:paraId="3864F6D2" w14:textId="77777777">
      <w:pPr>
        <w:pStyle w:val="Textonotapie"/>
        <w:ind w:firstLine="709"/>
        <w:jc w:val="both"/>
        <w:rPr>
          <w:rFonts w:ascii="Arial" w:hAnsi="Arial" w:cs="Arial"/>
          <w:sz w:val="18"/>
          <w:szCs w:val="18"/>
          <w:lang w:val="es-ES"/>
        </w:rPr>
      </w:pPr>
    </w:p>
  </w:footnote>
  <w:footnote w:id="11">
    <w:p w:rsidRPr="00415EE8" w:rsidR="00862A6E" w:rsidP="00862A6E" w:rsidRDefault="00862A6E" w14:paraId="0F5713DC" w14:textId="77777777">
      <w:pPr>
        <w:pStyle w:val="Textonotapie"/>
        <w:ind w:firstLine="709"/>
        <w:jc w:val="both"/>
        <w:rPr>
          <w:rFonts w:ascii="Arial" w:hAnsi="Arial" w:cs="Arial"/>
          <w:sz w:val="18"/>
          <w:szCs w:val="18"/>
          <w:lang w:val="es-ES"/>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415EE8">
        <w:rPr>
          <w:rFonts w:ascii="Arial" w:hAnsi="Arial" w:cs="Arial"/>
          <w:i/>
          <w:iCs/>
          <w:sz w:val="18"/>
          <w:szCs w:val="18"/>
          <w:lang w:val="es-ES"/>
        </w:rPr>
        <w:t>el régimen de inhabilidades e incompatibilidades</w:t>
      </w:r>
      <w:r w:rsidRPr="00415EE8">
        <w:rPr>
          <w:rFonts w:ascii="Arial" w:hAnsi="Arial" w:cs="Arial"/>
          <w:sz w:val="18"/>
          <w:szCs w:val="18"/>
          <w:lang w:val="es-ES"/>
        </w:rPr>
        <w:t xml:space="preserve"> (1) y la obligación de ciertos proponentes de inscribirse en el </w:t>
      </w:r>
      <w:r w:rsidRPr="00415EE8">
        <w:rPr>
          <w:rFonts w:ascii="Arial" w:hAnsi="Arial" w:cs="Arial"/>
          <w:i/>
          <w:iCs/>
          <w:sz w:val="18"/>
          <w:szCs w:val="18"/>
          <w:lang w:val="es-ES"/>
        </w:rPr>
        <w:t>registro único</w:t>
      </w:r>
      <w:r w:rsidRPr="00415EE8">
        <w:rPr>
          <w:rFonts w:ascii="Arial" w:hAnsi="Arial" w:cs="Arial"/>
          <w:sz w:val="18"/>
          <w:szCs w:val="18"/>
          <w:lang w:val="es-ES"/>
        </w:rPr>
        <w:t xml:space="preserve"> (2)” (BENAVIDES, José Luis. El contrato estatal. Entre el Derecho público y el Derecho privado. 2ª ed. Bogotá: Universidad Externado de Colombia, 2004. p. 278). </w:t>
      </w:r>
    </w:p>
  </w:footnote>
  <w:footnote w:id="12">
    <w:p w:rsidRPr="00415EE8" w:rsidR="00581856" w:rsidP="00862A6E" w:rsidRDefault="00581856" w14:paraId="12C9254C" w14:textId="77777777">
      <w:pPr>
        <w:spacing w:after="0" w:line="240" w:lineRule="auto"/>
        <w:ind w:firstLine="709"/>
        <w:jc w:val="both"/>
        <w:rPr>
          <w:rFonts w:ascii="Arial" w:hAnsi="Arial" w:cs="Arial"/>
          <w:sz w:val="18"/>
          <w:szCs w:val="18"/>
        </w:rPr>
      </w:pPr>
    </w:p>
    <w:p w:rsidRPr="00415EE8" w:rsidR="00862A6E" w:rsidP="00862A6E" w:rsidRDefault="00862A6E" w14:paraId="1AA1915A" w14:textId="384A1254">
      <w:pPr>
        <w:spacing w:after="0" w:line="240" w:lineRule="auto"/>
        <w:ind w:firstLine="709"/>
        <w:jc w:val="both"/>
        <w:rPr>
          <w:rFonts w:ascii="Arial" w:hAnsi="Arial" w:cs="Arial"/>
          <w:sz w:val="18"/>
          <w:szCs w:val="18"/>
          <w:lang w:val="es-ES"/>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ES"/>
        </w:rPr>
        <w:t xml:space="preserve">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w:t>
      </w:r>
      <w:r w:rsidRPr="00415EE8" w:rsidR="00581856">
        <w:rPr>
          <w:rFonts w:ascii="Arial" w:hAnsi="Arial" w:cs="Arial"/>
          <w:sz w:val="18"/>
          <w:szCs w:val="18"/>
          <w:lang w:val="es-ES"/>
        </w:rPr>
        <w:pgNum/>
      </w:r>
      <w:r w:rsidRPr="00415EE8" w:rsidR="00581856">
        <w:rPr>
          <w:rFonts w:ascii="Arial" w:hAnsi="Arial" w:cs="Arial"/>
          <w:sz w:val="18"/>
          <w:szCs w:val="18"/>
          <w:lang w:val="es-ES"/>
        </w:rPr>
        <w:t>ociedad</w:t>
      </w:r>
      <w:r w:rsidRPr="00415EE8">
        <w:rPr>
          <w:rFonts w:ascii="Arial" w:hAnsi="Arial" w:cs="Arial"/>
          <w:sz w:val="18"/>
          <w:szCs w:val="18"/>
          <w:lang w:val="es-ES"/>
        </w:rPr>
        <w:t>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rsidRPr="00415EE8" w:rsidR="00581856" w:rsidP="00862A6E" w:rsidRDefault="00581856" w14:paraId="3D9F9D44" w14:textId="77777777">
      <w:pPr>
        <w:spacing w:after="0" w:line="240" w:lineRule="auto"/>
        <w:ind w:firstLine="709"/>
        <w:jc w:val="both"/>
        <w:rPr>
          <w:rFonts w:ascii="Arial" w:hAnsi="Arial" w:cs="Arial"/>
          <w:sz w:val="18"/>
          <w:szCs w:val="18"/>
          <w:lang w:val="es-ES"/>
        </w:rPr>
      </w:pPr>
    </w:p>
  </w:footnote>
  <w:footnote w:id="13">
    <w:p w:rsidRPr="00415EE8" w:rsidR="00862A6E" w:rsidP="00862A6E" w:rsidRDefault="00862A6E" w14:paraId="4351E68A" w14:textId="77777777">
      <w:pPr>
        <w:pStyle w:val="Textonotapie"/>
        <w:ind w:firstLine="709"/>
        <w:jc w:val="both"/>
        <w:rPr>
          <w:rFonts w:ascii="Arial" w:hAnsi="Arial" w:cs="Arial"/>
          <w:sz w:val="18"/>
          <w:szCs w:val="18"/>
          <w:lang w:val="es-ES"/>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rsidRPr="00415EE8" w:rsidR="00581856" w:rsidP="00862A6E" w:rsidRDefault="00581856" w14:paraId="4497A070" w14:textId="77777777">
      <w:pPr>
        <w:pStyle w:val="Textonotapie"/>
        <w:ind w:firstLine="709"/>
        <w:jc w:val="both"/>
        <w:rPr>
          <w:rFonts w:ascii="Arial" w:hAnsi="Arial" w:cs="Arial"/>
          <w:sz w:val="18"/>
          <w:szCs w:val="18"/>
          <w:lang w:val="es-ES"/>
        </w:rPr>
      </w:pPr>
    </w:p>
  </w:footnote>
  <w:footnote w:id="14">
    <w:p w:rsidRPr="00415EE8" w:rsidR="00862A6E" w:rsidP="00862A6E" w:rsidRDefault="00862A6E" w14:paraId="3806027E" w14:textId="77777777">
      <w:pPr>
        <w:pStyle w:val="Textonotapie"/>
        <w:ind w:firstLine="709"/>
        <w:jc w:val="both"/>
        <w:rPr>
          <w:rFonts w:ascii="Arial" w:hAnsi="Arial" w:cs="Arial"/>
          <w:sz w:val="18"/>
          <w:szCs w:val="18"/>
          <w:lang w:val="es-ES"/>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ES"/>
        </w:rPr>
        <w:t>Verbigracia, entre otras, las que se indican a continuación: “Las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 (art. 8, num. 1º, lit. k), Ley 80/93, modificado por el art. 33, Ley 1778/16); “Quienes fueron miembros de la junta o consejo directivo o servidores públicos de la entidad contratante” (art. 8, num. 2º, lit. a), Ley 80/93);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w:t>
      </w:r>
    </w:p>
    <w:p w:rsidRPr="00415EE8" w:rsidR="00581856" w:rsidP="00862A6E" w:rsidRDefault="00581856" w14:paraId="2F971F78" w14:textId="77777777">
      <w:pPr>
        <w:pStyle w:val="Textonotapie"/>
        <w:ind w:firstLine="709"/>
        <w:jc w:val="both"/>
        <w:rPr>
          <w:rFonts w:ascii="Arial" w:hAnsi="Arial" w:cs="Arial"/>
          <w:sz w:val="18"/>
          <w:szCs w:val="18"/>
          <w:lang w:val="es-ES"/>
        </w:rPr>
      </w:pPr>
    </w:p>
  </w:footnote>
  <w:footnote w:id="15">
    <w:p w:rsidRPr="00415EE8" w:rsidR="00862A6E" w:rsidP="00862A6E" w:rsidRDefault="00862A6E" w14:paraId="599A64C1" w14:textId="77777777">
      <w:pPr>
        <w:spacing w:after="0" w:line="240" w:lineRule="auto"/>
        <w:ind w:firstLine="709"/>
        <w:jc w:val="both"/>
        <w:rPr>
          <w:rFonts w:ascii="Arial" w:hAnsi="Arial" w:cs="Arial"/>
          <w:sz w:val="18"/>
          <w:szCs w:val="18"/>
          <w:lang w:val="es-ES"/>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rsidRPr="00415EE8" w:rsidR="00581856" w:rsidP="00862A6E" w:rsidRDefault="00581856" w14:paraId="07850CC7" w14:textId="77777777">
      <w:pPr>
        <w:spacing w:after="0" w:line="240" w:lineRule="auto"/>
        <w:ind w:firstLine="709"/>
        <w:jc w:val="both"/>
        <w:rPr>
          <w:rFonts w:ascii="Arial" w:hAnsi="Arial" w:cs="Arial"/>
          <w:sz w:val="18"/>
          <w:szCs w:val="18"/>
          <w:lang w:val="es-ES"/>
        </w:rPr>
      </w:pPr>
    </w:p>
  </w:footnote>
  <w:footnote w:id="16">
    <w:p w:rsidRPr="00415EE8" w:rsidR="00862A6E" w:rsidP="00862A6E" w:rsidRDefault="00862A6E" w14:paraId="131816CF" w14:textId="0334D8EE">
      <w:pPr>
        <w:pStyle w:val="Textonotapie"/>
        <w:ind w:firstLine="709"/>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En esta línea </w:t>
      </w:r>
      <w:r w:rsidRPr="00415EE8" w:rsidR="00581856">
        <w:rPr>
          <w:rFonts w:ascii="Arial" w:hAnsi="Arial" w:cs="Arial"/>
          <w:sz w:val="18"/>
          <w:szCs w:val="18"/>
        </w:rPr>
        <w:t xml:space="preserve">DÁVILA VINUEZA </w:t>
      </w:r>
      <w:r w:rsidRPr="00415EE8">
        <w:rPr>
          <w:rFonts w:ascii="Arial" w:hAnsi="Arial" w:cs="Arial"/>
          <w:sz w:val="18"/>
          <w:szCs w:val="18"/>
        </w:rPr>
        <w:t>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17">
    <w:p w:rsidRPr="00415EE8" w:rsidR="00862A6E" w:rsidP="00862A6E" w:rsidRDefault="00862A6E" w14:paraId="1E2FBCBF" w14:textId="77777777">
      <w:pPr>
        <w:pStyle w:val="Textonotapie"/>
        <w:ind w:firstLine="709"/>
        <w:jc w:val="both"/>
        <w:rPr>
          <w:rFonts w:ascii="Arial" w:hAnsi="Arial" w:cs="Arial"/>
          <w:sz w:val="18"/>
          <w:szCs w:val="18"/>
          <w:lang w:val="es-ES"/>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18">
    <w:p w:rsidRPr="00415EE8" w:rsidR="00862A6E" w:rsidP="00862A6E" w:rsidRDefault="00862A6E" w14:paraId="2868B20C" w14:textId="77777777">
      <w:pPr>
        <w:pStyle w:val="Textonotapie"/>
        <w:ind w:firstLine="709"/>
        <w:jc w:val="both"/>
        <w:rPr>
          <w:rFonts w:ascii="Arial" w:hAnsi="Arial" w:cs="Arial"/>
          <w:sz w:val="18"/>
          <w:szCs w:val="18"/>
          <w:lang w:val="es-ES"/>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i/>
          <w:iCs/>
          <w:sz w:val="18"/>
          <w:szCs w:val="18"/>
          <w:lang w:val="es-ES"/>
        </w:rPr>
        <w:t>Ibídem</w:t>
      </w:r>
      <w:r w:rsidRPr="00415EE8">
        <w:rPr>
          <w:rFonts w:ascii="Arial" w:hAnsi="Arial" w:cs="Arial"/>
          <w:sz w:val="18"/>
          <w:szCs w:val="18"/>
          <w:lang w:val="es-ES"/>
        </w:rPr>
        <w:t>. p. 69.</w:t>
      </w:r>
    </w:p>
    <w:p w:rsidRPr="00415EE8" w:rsidR="002F4CCA" w:rsidP="00862A6E" w:rsidRDefault="002F4CCA" w14:paraId="0A64F216" w14:textId="77777777">
      <w:pPr>
        <w:pStyle w:val="Textonotapie"/>
        <w:ind w:firstLine="709"/>
        <w:jc w:val="both"/>
        <w:rPr>
          <w:rFonts w:ascii="Arial" w:hAnsi="Arial" w:cs="Arial"/>
          <w:sz w:val="18"/>
          <w:szCs w:val="18"/>
          <w:lang w:val="es-ES_tradnl"/>
        </w:rPr>
      </w:pPr>
    </w:p>
  </w:footnote>
  <w:footnote w:id="19">
    <w:p w:rsidRPr="00415EE8" w:rsidR="00862A6E" w:rsidP="00862A6E" w:rsidRDefault="00862A6E" w14:paraId="538334D9" w14:textId="77777777">
      <w:pPr>
        <w:pStyle w:val="Textonotapie"/>
        <w:ind w:firstLine="709"/>
        <w:jc w:val="both"/>
        <w:rPr>
          <w:rFonts w:ascii="Arial" w:hAnsi="Arial" w:cs="Arial"/>
          <w:sz w:val="18"/>
          <w:szCs w:val="18"/>
          <w:lang w:val="es-ES"/>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ES"/>
        </w:rPr>
        <w:t xml:space="preserve">CORTE CONSTITUCIONAL. Sentencia T-1039 de 2006. M.P. Humberto Sierra Porto. La Corte Constitucional ha mantenido este criterio en las sentencias: C-903 de 2008. M.P. Jaime Araujo Rentería; C-101 de 2018. M.P. Gloria Stella Ortiz Delgado; entre otras. </w:t>
      </w:r>
    </w:p>
  </w:footnote>
  <w:footnote w:id="20">
    <w:p w:rsidRPr="00415EE8" w:rsidR="002F4CCA" w:rsidP="00862A6E" w:rsidRDefault="002F4CCA" w14:paraId="3CD35EAF" w14:textId="77777777">
      <w:pPr>
        <w:pStyle w:val="Textonotapie"/>
        <w:ind w:firstLine="709"/>
        <w:jc w:val="both"/>
        <w:rPr>
          <w:rFonts w:ascii="Arial" w:hAnsi="Arial" w:cs="Arial"/>
          <w:sz w:val="18"/>
          <w:szCs w:val="18"/>
        </w:rPr>
      </w:pPr>
    </w:p>
    <w:p w:rsidRPr="00415EE8" w:rsidR="00862A6E" w:rsidP="00862A6E" w:rsidRDefault="00862A6E" w14:paraId="6B8F5567" w14:textId="69E622D6">
      <w:pPr>
        <w:pStyle w:val="Textonotapie"/>
        <w:ind w:firstLine="709"/>
        <w:jc w:val="both"/>
        <w:rPr>
          <w:rFonts w:ascii="Arial" w:hAnsi="Arial" w:cs="Arial"/>
          <w:sz w:val="18"/>
          <w:szCs w:val="18"/>
          <w:lang w:val="es-ES"/>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ES"/>
        </w:rPr>
        <w:t>CONSEJO DE ESTADO. Sala de Consulta y Servicio Civil. Concepto del 30 de abril de 2015. Exp. 2251. C.P. Álvaro Namén Vargas.</w:t>
      </w:r>
    </w:p>
  </w:footnote>
  <w:footnote w:id="21">
    <w:p w:rsidRPr="00415EE8" w:rsidR="002F4CCA" w:rsidP="00862A6E" w:rsidRDefault="002F4CCA" w14:paraId="5589B9C8" w14:textId="77777777">
      <w:pPr>
        <w:pStyle w:val="Textonotapie"/>
        <w:ind w:firstLine="709"/>
        <w:jc w:val="both"/>
        <w:rPr>
          <w:rFonts w:ascii="Arial" w:hAnsi="Arial" w:cs="Arial"/>
          <w:sz w:val="18"/>
          <w:szCs w:val="18"/>
        </w:rPr>
      </w:pPr>
    </w:p>
    <w:p w:rsidRPr="00415EE8" w:rsidR="00862A6E" w:rsidP="00862A6E" w:rsidRDefault="00862A6E" w14:paraId="74CC31D2" w14:textId="7D30D5DF">
      <w:pPr>
        <w:pStyle w:val="Textonotapie"/>
        <w:ind w:firstLine="709"/>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CONSEJO DE ESTADO. Sección Tercera. Subsección A. Sentencia del 24 de junio de 2015. Exp. 40.635. C.P. Hernán Andrade Rincón (E).</w:t>
      </w:r>
    </w:p>
  </w:footnote>
  <w:footnote w:id="22">
    <w:p w:rsidRPr="00415EE8" w:rsidR="00862A6E" w:rsidP="00862A6E" w:rsidRDefault="00862A6E" w14:paraId="58A04A96" w14:textId="77777777">
      <w:pPr>
        <w:pStyle w:val="Textonotapie"/>
        <w:ind w:firstLine="709"/>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CONSEJO DE ESTADO. Sección Tercera. Subsección C. Sentencia del 22 de mayo de 2013. Rad. 24.057. C.P. Olga Mélida Valle De De La Hoz. </w:t>
      </w:r>
    </w:p>
    <w:p w:rsidRPr="00415EE8" w:rsidR="002F4CCA" w:rsidP="00862A6E" w:rsidRDefault="002F4CCA" w14:paraId="57ABD81F" w14:textId="77777777">
      <w:pPr>
        <w:pStyle w:val="Textonotapie"/>
        <w:ind w:firstLine="709"/>
        <w:jc w:val="both"/>
        <w:rPr>
          <w:rFonts w:ascii="Arial" w:hAnsi="Arial" w:cs="Arial"/>
          <w:sz w:val="18"/>
          <w:szCs w:val="18"/>
          <w:lang w:val="es-ES_tradnl"/>
        </w:rPr>
      </w:pPr>
    </w:p>
  </w:footnote>
  <w:footnote w:id="23">
    <w:p w:rsidRPr="00415EE8" w:rsidR="00862A6E" w:rsidP="00862A6E" w:rsidRDefault="00862A6E" w14:paraId="185A3BBB" w14:textId="77777777">
      <w:pPr>
        <w:pStyle w:val="Textonotapie"/>
        <w:ind w:firstLine="709"/>
        <w:jc w:val="both"/>
        <w:rPr>
          <w:rFonts w:ascii="Arial" w:hAnsi="Arial" w:cs="Arial"/>
          <w:sz w:val="18"/>
          <w:szCs w:val="18"/>
          <w:lang w:val="pt-BR"/>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pt-BR"/>
        </w:rPr>
        <w:t>Corte Constitucional. Sentencia C-415 de 1994. M.P. Eduardo Cifuentes Muñoz.</w:t>
      </w:r>
    </w:p>
  </w:footnote>
  <w:footnote w:id="24">
    <w:p w:rsidRPr="00415EE8" w:rsidR="002F4CCA" w:rsidP="00862A6E" w:rsidRDefault="002F4CCA" w14:paraId="033EAC33" w14:textId="77777777">
      <w:pPr>
        <w:pStyle w:val="Textonotapie"/>
        <w:ind w:firstLine="709"/>
        <w:jc w:val="both"/>
        <w:rPr>
          <w:rFonts w:ascii="Arial" w:hAnsi="Arial" w:cs="Arial"/>
          <w:sz w:val="18"/>
          <w:szCs w:val="18"/>
        </w:rPr>
      </w:pPr>
    </w:p>
    <w:p w:rsidRPr="00415EE8" w:rsidR="00862A6E" w:rsidP="00862A6E" w:rsidRDefault="00862A6E" w14:paraId="58B2233D" w14:textId="30C7FCEC">
      <w:pPr>
        <w:pStyle w:val="Textonotapie"/>
        <w:ind w:firstLine="709"/>
        <w:jc w:val="both"/>
        <w:rPr>
          <w:rFonts w:ascii="Arial" w:hAnsi="Arial" w:cs="Arial"/>
          <w:color w:val="000000" w:themeColor="text1"/>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color w:val="000000" w:themeColor="text1"/>
          <w:sz w:val="18"/>
          <w:szCs w:val="18"/>
          <w:lang w:val="pt-BR"/>
        </w:rPr>
        <w:t xml:space="preserve">CONSEJO DE ESTADO. Sala de lo contencioso administrativo. Sentencia del 12 de diciembre de 2014. Exp. 26496. C.P. Ramiro Pazos Guerrero. </w:t>
      </w:r>
      <w:r w:rsidRPr="00415EE8">
        <w:rPr>
          <w:rFonts w:ascii="Arial" w:hAnsi="Arial" w:cs="Arial"/>
          <w:color w:val="000000" w:themeColor="text1"/>
          <w:sz w:val="18"/>
          <w:szCs w:val="18"/>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footnote>
  <w:footnote w:id="25">
    <w:p w:rsidRPr="00415EE8" w:rsidR="00862A6E" w:rsidP="00862A6E" w:rsidRDefault="00862A6E" w14:paraId="44FEBEBD" w14:textId="77777777">
      <w:pPr>
        <w:pStyle w:val="Textonotapie"/>
        <w:ind w:firstLine="709"/>
        <w:jc w:val="both"/>
        <w:rPr>
          <w:rFonts w:ascii="Arial" w:hAnsi="Arial" w:cs="Arial"/>
          <w:sz w:val="18"/>
          <w:szCs w:val="18"/>
          <w:lang w:val="es-ES_tradnl"/>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color w:val="000000" w:themeColor="text1"/>
          <w:sz w:val="18"/>
          <w:szCs w:val="18"/>
        </w:rPr>
        <w:t>CONSEJO DE ESTADO. Sala de Consulta y Servicio Civil. Concepto del 29 de abril de 1998. Rad. 1097. C.P. Augusto Trejos Jaramillo.</w:t>
      </w:r>
    </w:p>
  </w:footnote>
  <w:footnote w:id="26">
    <w:p w:rsidRPr="00415EE8" w:rsidR="00862A6E" w:rsidP="00862A6E" w:rsidRDefault="00862A6E" w14:paraId="7BE841DB" w14:textId="77777777">
      <w:pPr>
        <w:pStyle w:val="Textonotapie"/>
        <w:spacing w:after="120"/>
        <w:ind w:firstLine="708"/>
        <w:rPr>
          <w:rFonts w:ascii="Arial" w:hAnsi="Arial" w:cs="Arial"/>
          <w:sz w:val="18"/>
          <w:szCs w:val="18"/>
          <w:lang w:val="es-CO"/>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CO"/>
        </w:rPr>
        <w:t xml:space="preserve">Definición extraída el Diccionario de la Real Academia Española, disponible en el siguiente enlace: </w:t>
      </w:r>
      <w:hyperlink w:history="1" r:id="rId2">
        <w:r w:rsidRPr="00415EE8">
          <w:rPr>
            <w:rStyle w:val="Hipervnculo"/>
            <w:rFonts w:ascii="Arial" w:hAnsi="Arial" w:cs="Arial"/>
            <w:sz w:val="18"/>
            <w:szCs w:val="18"/>
            <w:lang w:val="es-CO"/>
          </w:rPr>
          <w:t>https://www.rae.es/dpd/obligaci%C3%B3n</w:t>
        </w:r>
      </w:hyperlink>
      <w:r w:rsidRPr="00415EE8">
        <w:rPr>
          <w:rFonts w:ascii="Arial" w:hAnsi="Arial" w:cs="Arial"/>
          <w:sz w:val="18"/>
          <w:szCs w:val="18"/>
          <w:lang w:val="es-CO"/>
        </w:rPr>
        <w:t xml:space="preserve"> </w:t>
      </w:r>
    </w:p>
  </w:footnote>
  <w:footnote w:id="27">
    <w:p w:rsidRPr="00415EE8" w:rsidR="00862A6E" w:rsidP="00FB7106" w:rsidRDefault="00862A6E" w14:paraId="18336FAA" w14:textId="0A029FE1">
      <w:pPr>
        <w:pStyle w:val="Textonotapie"/>
        <w:spacing w:after="120"/>
        <w:ind w:firstLine="708"/>
        <w:jc w:val="both"/>
        <w:rPr>
          <w:rFonts w:ascii="Arial" w:hAnsi="Arial" w:cs="Arial"/>
          <w:sz w:val="18"/>
          <w:szCs w:val="18"/>
          <w:lang w:val="es-CO"/>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sidR="002175C1">
        <w:rPr>
          <w:rFonts w:ascii="Arial" w:hAnsi="Arial" w:cs="Arial"/>
          <w:sz w:val="18"/>
          <w:szCs w:val="18"/>
          <w:lang w:val="es-CO"/>
        </w:rPr>
        <w:t>VELÁSQUEZ GÓMEZ</w:t>
      </w:r>
      <w:r w:rsidRPr="00415EE8">
        <w:rPr>
          <w:rFonts w:ascii="Arial" w:hAnsi="Arial" w:cs="Arial"/>
          <w:sz w:val="18"/>
          <w:szCs w:val="18"/>
          <w:lang w:val="es-CO"/>
        </w:rPr>
        <w:t xml:space="preserve">, </w:t>
      </w:r>
      <w:r w:rsidRPr="00415EE8" w:rsidR="002175C1">
        <w:rPr>
          <w:rFonts w:ascii="Arial" w:hAnsi="Arial" w:cs="Arial"/>
          <w:sz w:val="18"/>
          <w:szCs w:val="18"/>
          <w:lang w:val="es-CO"/>
        </w:rPr>
        <w:t>Hernán</w:t>
      </w:r>
      <w:r w:rsidRPr="00415EE8">
        <w:rPr>
          <w:rFonts w:ascii="Arial" w:hAnsi="Arial" w:cs="Arial"/>
          <w:sz w:val="18"/>
          <w:szCs w:val="18"/>
          <w:lang w:val="es-CO"/>
        </w:rPr>
        <w:t xml:space="preserve"> </w:t>
      </w:r>
      <w:r w:rsidRPr="00415EE8" w:rsidR="002175C1">
        <w:rPr>
          <w:rFonts w:ascii="Arial" w:hAnsi="Arial" w:cs="Arial"/>
          <w:sz w:val="18"/>
          <w:szCs w:val="18"/>
          <w:lang w:val="es-CO"/>
        </w:rPr>
        <w:t>Darío</w:t>
      </w:r>
      <w:r w:rsidRPr="00415EE8">
        <w:rPr>
          <w:rFonts w:ascii="Arial" w:hAnsi="Arial" w:cs="Arial"/>
          <w:sz w:val="18"/>
          <w:szCs w:val="18"/>
          <w:lang w:val="es-CO"/>
        </w:rPr>
        <w:t xml:space="preserve">. Estudio sobre obligaciones. Bogotá: Editorial Temis, 2010, pág 5. </w:t>
      </w:r>
    </w:p>
  </w:footnote>
  <w:footnote w:id="28">
    <w:p w:rsidRPr="00415EE8" w:rsidR="00862A6E" w:rsidP="00862A6E" w:rsidRDefault="00862A6E" w14:paraId="084F7F0A" w14:textId="77777777">
      <w:pPr>
        <w:spacing w:after="120"/>
        <w:ind w:left="300" w:firstLine="408"/>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Código Civil, artículos 4 y 1494.</w:t>
      </w:r>
    </w:p>
  </w:footnote>
  <w:footnote w:id="29">
    <w:p w:rsidRPr="00415EE8" w:rsidR="00862A6E" w:rsidP="00862A6E" w:rsidRDefault="00862A6E" w14:paraId="6CC95189" w14:textId="77777777">
      <w:pPr>
        <w:pStyle w:val="Textonotapie"/>
        <w:spacing w:after="120"/>
        <w:ind w:firstLine="708"/>
        <w:rPr>
          <w:rFonts w:ascii="Arial" w:hAnsi="Arial" w:cs="Arial"/>
          <w:sz w:val="18"/>
          <w:szCs w:val="18"/>
          <w:lang w:val="es-CO"/>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CO"/>
        </w:rPr>
        <w:t xml:space="preserve">Consejo de Estado. Sala de Consulta y Servicio Civil. Radicado No. 976-97 del 21 de abril de 1997. Mp Cesar Hoyos Salazar. </w:t>
      </w:r>
    </w:p>
  </w:footnote>
  <w:footnote w:id="30">
    <w:p w:rsidRPr="00415EE8" w:rsidR="00862A6E" w:rsidP="00862A6E" w:rsidRDefault="00862A6E" w14:paraId="0249E9BD" w14:textId="43168B24">
      <w:pPr>
        <w:pStyle w:val="Textonotapie"/>
        <w:spacing w:after="120"/>
        <w:ind w:firstLine="708"/>
        <w:rPr>
          <w:rFonts w:ascii="Arial" w:hAnsi="Arial" w:cs="Arial"/>
          <w:sz w:val="18"/>
          <w:szCs w:val="18"/>
          <w:lang w:val="es-CO"/>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sidR="008E4DD4">
        <w:rPr>
          <w:rFonts w:ascii="Arial" w:hAnsi="Arial" w:cs="Arial"/>
          <w:sz w:val="18"/>
          <w:szCs w:val="18"/>
          <w:lang w:val="es-CO"/>
        </w:rPr>
        <w:t>PALACIO HINCAPIÉ</w:t>
      </w:r>
      <w:r w:rsidRPr="00415EE8">
        <w:rPr>
          <w:rFonts w:ascii="Arial" w:hAnsi="Arial" w:cs="Arial"/>
          <w:sz w:val="18"/>
          <w:szCs w:val="18"/>
          <w:lang w:val="es-CO"/>
        </w:rPr>
        <w:t xml:space="preserve">, Juan Ángel. La contratación de las entidades estatales. Bogotá: Librería Jurídica Sánchez. 2020, pág. 169. </w:t>
      </w:r>
    </w:p>
    <w:p w:rsidRPr="00415EE8" w:rsidR="00862A6E" w:rsidP="00862A6E" w:rsidRDefault="00862A6E" w14:paraId="6898999A" w14:textId="77777777">
      <w:pPr>
        <w:pStyle w:val="Textonotapie"/>
        <w:rPr>
          <w:rFonts w:ascii="Arial" w:hAnsi="Arial" w:cs="Arial"/>
          <w:sz w:val="18"/>
          <w:szCs w:val="18"/>
          <w:lang w:val="es-CO"/>
        </w:rPr>
      </w:pPr>
    </w:p>
  </w:footnote>
  <w:footnote w:id="31">
    <w:p w:rsidRPr="00415EE8" w:rsidR="00862A6E" w:rsidP="00FB7106" w:rsidRDefault="00862A6E" w14:paraId="41498DA7" w14:textId="3EF19E00">
      <w:pPr>
        <w:spacing w:before="77"/>
        <w:ind w:right="308" w:firstLine="708"/>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sidR="008E4DD4">
        <w:rPr>
          <w:rFonts w:ascii="Arial" w:hAnsi="Arial" w:cs="Arial"/>
          <w:sz w:val="18"/>
          <w:szCs w:val="18"/>
        </w:rPr>
        <w:t>CONSEJO DE ESTADO</w:t>
      </w:r>
      <w:r w:rsidRPr="00415EE8">
        <w:rPr>
          <w:rFonts w:ascii="Arial" w:hAnsi="Arial" w:cs="Arial"/>
          <w:sz w:val="18"/>
          <w:szCs w:val="18"/>
        </w:rPr>
        <w:t xml:space="preserve">, Sala de Consulta y Servicio Civil, concepto No. 11001-03-06-000-2012-00060- 00(2.113) del 25 de octubre de 2012. Consejero Ponente: William Zambrano Cetina. </w:t>
      </w:r>
    </w:p>
  </w:footnote>
  <w:footnote w:id="32">
    <w:p w:rsidRPr="00415EE8" w:rsidR="00862A6E" w:rsidP="00862A6E" w:rsidRDefault="00862A6E" w14:paraId="3DCC0EF1" w14:textId="77777777">
      <w:pPr>
        <w:pStyle w:val="Textonotapie"/>
        <w:ind w:firstLine="708"/>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Al respecto véase: RINCÓN RODRIGUEZ, Michelle. Excepciones a las inhabilidades e incompatibilidades: Quienes contraten bienes o servicios ofrecidos al público en condiciones comunes. Centro de Estudios de Derecho Administrativo –CEDA–. </w:t>
      </w:r>
      <w:hyperlink w:history="1" r:id="rId3">
        <w:r w:rsidRPr="00415EE8">
          <w:rPr>
            <w:rStyle w:val="Hipervnculo"/>
            <w:rFonts w:ascii="Arial" w:hAnsi="Arial" w:cs="Arial"/>
            <w:sz w:val="18"/>
            <w:szCs w:val="18"/>
          </w:rPr>
          <w:t>www.ceda.com.co</w:t>
        </w:r>
      </w:hyperlink>
      <w:r w:rsidRPr="00415EE8">
        <w:rPr>
          <w:rFonts w:ascii="Arial" w:hAnsi="Arial" w:cs="Arial"/>
          <w:sz w:val="18"/>
          <w:szCs w:val="18"/>
        </w:rPr>
        <w:t xml:space="preserve">. Disponible en el siguiente enlace: </w:t>
      </w:r>
      <w:hyperlink w:history="1" r:id="rId4">
        <w:r w:rsidRPr="00415EE8">
          <w:rPr>
            <w:rStyle w:val="Hipervnculo"/>
            <w:rFonts w:ascii="Arial" w:hAnsi="Arial" w:cs="Arial"/>
            <w:sz w:val="18"/>
            <w:szCs w:val="18"/>
          </w:rPr>
          <w:t>https://www.ceda.com.co/_files/ugd/f56758_b136251a13ab4f8ab2ab3c047ab7a3f9.pdf</w:t>
        </w:r>
      </w:hyperlink>
      <w:r w:rsidRPr="00415EE8">
        <w:rPr>
          <w:rFonts w:ascii="Arial" w:hAnsi="Arial" w:cs="Arial"/>
          <w:sz w:val="18"/>
          <w:szCs w:val="18"/>
        </w:rPr>
        <w:t xml:space="preserve"> </w:t>
      </w:r>
    </w:p>
    <w:p w:rsidRPr="00415EE8" w:rsidR="00862A6E" w:rsidP="00862A6E" w:rsidRDefault="00862A6E" w14:paraId="58661422" w14:textId="77777777">
      <w:pPr>
        <w:pStyle w:val="Textonotapie"/>
        <w:rPr>
          <w:rFonts w:ascii="Arial" w:hAnsi="Arial" w:cs="Arial"/>
          <w:sz w:val="18"/>
          <w:szCs w:val="18"/>
          <w:lang w:val="es-CO"/>
        </w:rPr>
      </w:pPr>
    </w:p>
  </w:footnote>
  <w:footnote w:id="33">
    <w:p w:rsidRPr="00415EE8" w:rsidR="00862A6E" w:rsidP="00862A6E" w:rsidRDefault="00862A6E" w14:paraId="5F1F3B5C" w14:textId="77777777">
      <w:pPr>
        <w:pStyle w:val="Textonotapie"/>
        <w:ind w:firstLine="708"/>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Al respecto véase: PALACIO GÓMEZ, Aura Sofia. Excepción a las inhabilidades e incompatibilidades: Persona jurídica sin ánimo de lucro cuyo representante legal sea miembro de junta o consejo directivo. Centro de Estudios de Derecho Administrativo –CEDA–. </w:t>
      </w:r>
      <w:hyperlink w:history="1" r:id="rId5">
        <w:r w:rsidRPr="00415EE8">
          <w:rPr>
            <w:rStyle w:val="Hipervnculo"/>
            <w:rFonts w:ascii="Arial" w:hAnsi="Arial" w:cs="Arial"/>
            <w:sz w:val="18"/>
            <w:szCs w:val="18"/>
          </w:rPr>
          <w:t>www.ceda.com.co</w:t>
        </w:r>
      </w:hyperlink>
      <w:r w:rsidRPr="00415EE8">
        <w:rPr>
          <w:rFonts w:ascii="Arial" w:hAnsi="Arial" w:cs="Arial"/>
          <w:sz w:val="18"/>
          <w:szCs w:val="18"/>
        </w:rPr>
        <w:t xml:space="preserve">. Disponible en el siguiente enlace: chrome-extension://efaidnbmnnnibpcajpcglclefindmkaj/https://www.ceda.com.co/_files/ugd/f56758_054f572329034c7c9ddbe047c1489c4b.pdf </w:t>
      </w:r>
    </w:p>
    <w:p w:rsidRPr="00415EE8" w:rsidR="00862A6E" w:rsidP="00862A6E" w:rsidRDefault="00862A6E" w14:paraId="4C351E8C" w14:textId="77777777">
      <w:pPr>
        <w:pStyle w:val="Textonotapie"/>
        <w:ind w:firstLine="708"/>
        <w:jc w:val="both"/>
        <w:rPr>
          <w:rFonts w:ascii="Arial" w:hAnsi="Arial" w:cs="Arial"/>
          <w:sz w:val="18"/>
          <w:szCs w:val="18"/>
          <w:lang w:val="es-CO"/>
        </w:rPr>
      </w:pPr>
    </w:p>
  </w:footnote>
  <w:footnote w:id="34">
    <w:p w:rsidRPr="00415EE8" w:rsidR="00862A6E" w:rsidP="00862A6E" w:rsidRDefault="00862A6E" w14:paraId="2CE1D0CE" w14:textId="77777777">
      <w:pPr>
        <w:pStyle w:val="Textonotapie"/>
        <w:ind w:firstLine="708"/>
        <w:rPr>
          <w:rFonts w:ascii="Arial" w:hAnsi="Arial" w:cs="Arial"/>
          <w:sz w:val="18"/>
          <w:szCs w:val="18"/>
          <w:lang w:val="es-CO"/>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CO"/>
        </w:rPr>
        <w:t xml:space="preserve">Ibidem. </w:t>
      </w:r>
    </w:p>
    <w:p w:rsidRPr="00415EE8" w:rsidR="00862A6E" w:rsidP="00862A6E" w:rsidRDefault="00862A6E" w14:paraId="6E14308C" w14:textId="77777777">
      <w:pPr>
        <w:pStyle w:val="Textonotapie"/>
        <w:rPr>
          <w:rFonts w:ascii="Arial" w:hAnsi="Arial" w:cs="Arial"/>
          <w:sz w:val="18"/>
          <w:szCs w:val="18"/>
          <w:lang w:val="es-CO"/>
        </w:rPr>
      </w:pPr>
    </w:p>
  </w:footnote>
  <w:footnote w:id="35">
    <w:p w:rsidRPr="00415EE8" w:rsidR="00862A6E" w:rsidP="00862A6E" w:rsidRDefault="00862A6E" w14:paraId="1797502A" w14:textId="77777777">
      <w:pPr>
        <w:pStyle w:val="Textonotapie"/>
        <w:ind w:firstLine="708"/>
        <w:rPr>
          <w:rFonts w:ascii="Arial" w:hAnsi="Arial" w:cs="Arial"/>
          <w:sz w:val="18"/>
          <w:szCs w:val="18"/>
          <w:lang w:val="es-CO"/>
        </w:rPr>
      </w:pPr>
      <w:r w:rsidRPr="00415EE8">
        <w:rPr>
          <w:rStyle w:val="Refdenotaalpie"/>
          <w:rFonts w:ascii="Arial" w:hAnsi="Arial" w:cs="Arial"/>
          <w:sz w:val="18"/>
          <w:szCs w:val="18"/>
        </w:rPr>
        <w:footnoteRef/>
      </w:r>
      <w:r w:rsidRPr="00415EE8">
        <w:rPr>
          <w:rFonts w:ascii="Arial" w:hAnsi="Arial" w:cs="Arial"/>
          <w:sz w:val="18"/>
          <w:szCs w:val="18"/>
        </w:rPr>
        <w:t xml:space="preserve"> Ibidem. </w:t>
      </w:r>
    </w:p>
  </w:footnote>
  <w:footnote w:id="36">
    <w:p w:rsidRPr="00415EE8" w:rsidR="00862A6E" w:rsidP="00862A6E" w:rsidRDefault="00862A6E" w14:paraId="22EB24EA" w14:textId="77777777">
      <w:pPr>
        <w:pStyle w:val="Textonotapie"/>
        <w:spacing w:after="120"/>
        <w:ind w:firstLine="708"/>
        <w:rPr>
          <w:rFonts w:ascii="Arial" w:hAnsi="Arial" w:cs="Arial"/>
          <w:sz w:val="18"/>
          <w:szCs w:val="18"/>
          <w:lang w:val="es-CO"/>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CO"/>
        </w:rPr>
        <w:t xml:space="preserve">Definición extraída el Diccionario de la Real Academia Española, disponible en el siguiente enlace: </w:t>
      </w:r>
      <w:hyperlink w:history="1" r:id="rId6">
        <w:r w:rsidRPr="00415EE8">
          <w:rPr>
            <w:rStyle w:val="Hipervnculo"/>
            <w:rFonts w:ascii="Arial" w:hAnsi="Arial" w:cs="Arial"/>
            <w:sz w:val="18"/>
            <w:szCs w:val="18"/>
            <w:lang w:val="es-CO"/>
          </w:rPr>
          <w:t>https://www.rae.es/dpd/obligaci%C3%B3n</w:t>
        </w:r>
      </w:hyperlink>
      <w:r w:rsidRPr="00415EE8">
        <w:rPr>
          <w:rFonts w:ascii="Arial" w:hAnsi="Arial" w:cs="Arial"/>
          <w:sz w:val="18"/>
          <w:szCs w:val="18"/>
          <w:lang w:val="es-CO"/>
        </w:rPr>
        <w:t xml:space="preserve"> </w:t>
      </w:r>
    </w:p>
  </w:footnote>
  <w:footnote w:id="37">
    <w:p w:rsidRPr="00415EE8" w:rsidR="00862A6E" w:rsidP="00862A6E" w:rsidRDefault="00862A6E" w14:paraId="31F3EDB0" w14:textId="77777777">
      <w:pPr>
        <w:pStyle w:val="Textonotapie"/>
        <w:spacing w:after="120"/>
        <w:ind w:firstLine="708"/>
        <w:rPr>
          <w:rFonts w:ascii="Arial" w:hAnsi="Arial" w:cs="Arial"/>
          <w:sz w:val="18"/>
          <w:szCs w:val="18"/>
          <w:lang w:val="es-CO"/>
        </w:rPr>
      </w:pPr>
      <w:r w:rsidRPr="00415EE8">
        <w:rPr>
          <w:rStyle w:val="Refdenotaalpie"/>
          <w:rFonts w:ascii="Arial" w:hAnsi="Arial" w:cs="Arial"/>
          <w:sz w:val="18"/>
          <w:szCs w:val="18"/>
        </w:rPr>
        <w:footnoteRef/>
      </w:r>
      <w:r w:rsidRPr="00415EE8">
        <w:rPr>
          <w:rFonts w:ascii="Arial" w:hAnsi="Arial" w:cs="Arial"/>
          <w:sz w:val="18"/>
          <w:szCs w:val="18"/>
        </w:rPr>
        <w:t xml:space="preserve"> </w:t>
      </w:r>
      <w:r w:rsidRPr="00415EE8">
        <w:rPr>
          <w:rFonts w:ascii="Arial" w:hAnsi="Arial" w:cs="Arial"/>
          <w:sz w:val="18"/>
          <w:szCs w:val="18"/>
          <w:lang w:val="es-CO"/>
        </w:rPr>
        <w:t xml:space="preserve">Velásquez Gómez, Hernan Dario. Estudio sobre obligaciones. Bogotá: Editorial Temis, 2010, pág 5. </w:t>
      </w:r>
    </w:p>
  </w:footnote>
  <w:footnote w:id="38">
    <w:p w:rsidRPr="00415EE8" w:rsidR="00862A6E" w:rsidP="00862A6E" w:rsidRDefault="00862A6E" w14:paraId="75F25A1E" w14:textId="77777777">
      <w:pPr>
        <w:spacing w:after="120"/>
        <w:ind w:left="300" w:firstLine="408"/>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Código Civil, artículos 4 y 1494.</w:t>
      </w:r>
    </w:p>
  </w:footnote>
  <w:footnote w:id="39">
    <w:p w:rsidRPr="00415EE8" w:rsidR="00862A6E" w:rsidP="00862A6E" w:rsidRDefault="00862A6E" w14:paraId="6D78214A" w14:textId="77777777">
      <w:pPr>
        <w:pStyle w:val="Textonotapie"/>
        <w:ind w:firstLine="708"/>
        <w:jc w:val="both"/>
        <w:rPr>
          <w:rFonts w:ascii="Arial" w:hAnsi="Arial" w:cs="Arial"/>
          <w:sz w:val="18"/>
          <w:szCs w:val="18"/>
        </w:rPr>
      </w:pPr>
      <w:r w:rsidRPr="00415EE8">
        <w:rPr>
          <w:rStyle w:val="Refdenotaalpie"/>
          <w:rFonts w:ascii="Arial" w:hAnsi="Arial" w:cs="Arial"/>
          <w:sz w:val="18"/>
          <w:szCs w:val="18"/>
        </w:rPr>
        <w:footnoteRef/>
      </w:r>
      <w:r w:rsidRPr="00415EE8">
        <w:rPr>
          <w:rFonts w:ascii="Arial" w:hAnsi="Arial" w:cs="Arial"/>
          <w:sz w:val="18"/>
          <w:szCs w:val="18"/>
        </w:rPr>
        <w:t xml:space="preserve"> Al respecto véase: RINCÓN RODRIGUEZ, Michelle. Excepciones a las inhabilidades e incompatibilidades: Quienes contraten bienes o servicios ofrecidos al público en condiciones comunes. Centro de Estudios de Derecho Administrativo –CEDA–. </w:t>
      </w:r>
      <w:hyperlink w:history="1" r:id="rId7">
        <w:r w:rsidRPr="00415EE8">
          <w:rPr>
            <w:rStyle w:val="Hipervnculo"/>
            <w:rFonts w:ascii="Arial" w:hAnsi="Arial" w:cs="Arial"/>
            <w:sz w:val="18"/>
            <w:szCs w:val="18"/>
          </w:rPr>
          <w:t>www.ceda.com.co</w:t>
        </w:r>
      </w:hyperlink>
      <w:r w:rsidRPr="00415EE8">
        <w:rPr>
          <w:rFonts w:ascii="Arial" w:hAnsi="Arial" w:cs="Arial"/>
          <w:sz w:val="18"/>
          <w:szCs w:val="18"/>
        </w:rPr>
        <w:t xml:space="preserve">. Disponible en el siguiente enlace: </w:t>
      </w:r>
      <w:hyperlink w:history="1" r:id="rId8">
        <w:r w:rsidRPr="00415EE8">
          <w:rPr>
            <w:rStyle w:val="Hipervnculo"/>
            <w:rFonts w:ascii="Arial" w:hAnsi="Arial" w:cs="Arial"/>
            <w:sz w:val="18"/>
            <w:szCs w:val="18"/>
          </w:rPr>
          <w:t>https://www.ceda.com.co/_files/ugd/f56758_b136251a13ab4f8ab2ab3c047ab7a3f9.pdf</w:t>
        </w:r>
      </w:hyperlink>
      <w:r w:rsidRPr="00415EE8">
        <w:rPr>
          <w:rFonts w:ascii="Arial" w:hAnsi="Arial" w:cs="Arial"/>
          <w:sz w:val="18"/>
          <w:szCs w:val="18"/>
        </w:rPr>
        <w:t xml:space="preserve"> </w:t>
      </w:r>
    </w:p>
    <w:p w:rsidRPr="00415EE8" w:rsidR="00862A6E" w:rsidP="00862A6E" w:rsidRDefault="00862A6E" w14:paraId="34A1FF68" w14:textId="77777777">
      <w:pPr>
        <w:pStyle w:val="Textonotapie"/>
        <w:rPr>
          <w:rFonts w:ascii="Arial" w:hAnsi="Arial" w:cs="Arial"/>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756841" w:rsidRDefault="00961B09" w14:paraId="6ED12154" w14:textId="43B6B0B6">
    <w:pPr>
      <w:pStyle w:val="Encabezado"/>
    </w:pPr>
    <w:r>
      <w:rPr>
        <w:noProof/>
      </w:rPr>
      <w:drawing>
        <wp:anchor distT="0" distB="0" distL="114300" distR="114300" simplePos="0" relativeHeight="251659264"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sidR="002962BC">
      <w:rPr>
        <w:rFonts w:ascii="Geomanist Bold" w:hAnsi="Geomanist Bold"/>
        <w:b/>
        <w:bCs/>
        <w:noProof/>
        <w:color w:val="46589C"/>
        <w:sz w:val="24"/>
        <w:szCs w:val="24"/>
      </w:rPr>
      <w:drawing>
        <wp:anchor distT="0" distB="0" distL="114300" distR="114300" simplePos="0" relativeHeight="251667456"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rPr>
      <w:drawing>
        <wp:anchor distT="0" distB="0" distL="114300" distR="114300" simplePos="0" relativeHeight="251661312"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rsidR="00756841" w:rsidRDefault="00756841" w14:paraId="435F4D03" w14:textId="67DABC48">
    <w:pPr>
      <w:pStyle w:val="Encabezado"/>
    </w:pPr>
  </w:p>
  <w:p w:rsidR="00756841" w:rsidRDefault="00756841" w14:paraId="1BE2B9AE" w14:textId="4B94DB3B">
    <w:pPr>
      <w:pStyle w:val="Encabezado"/>
    </w:pPr>
  </w:p>
  <w:p w:rsidRPr="004A305D" w:rsidR="004A305D" w:rsidP="004A305D" w:rsidRDefault="004A305D" w14:paraId="7FE1230C" w14:textId="77777777">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rsidRPr="004A305D" w:rsidR="004A305D" w:rsidP="004A305D" w:rsidRDefault="004A305D" w14:paraId="7B0A8834" w14:textId="37E5E717">
    <w:pPr>
      <w:pBdr>
        <w:top w:val="nil"/>
        <w:left w:val="nil"/>
        <w:bottom w:val="nil"/>
        <w:right w:val="nil"/>
        <w:between w:val="nil"/>
      </w:pBdr>
      <w:tabs>
        <w:tab w:val="center" w:pos="4419"/>
        <w:tab w:val="right" w:pos="8838"/>
        <w:tab w:val="center" w:pos="5400"/>
      </w:tabs>
      <w:spacing w:after="0"/>
      <w:rPr>
        <w:rFonts w:ascii="Century Gothic" w:hAnsi="Century Gothic" w:eastAsia="Geo" w:cs="Geo"/>
        <w:b/>
        <w:color w:val="002060"/>
        <w:sz w:val="16"/>
        <w:szCs w:val="16"/>
        <w:lang w:eastAsia="es-CO"/>
      </w:rPr>
    </w:pPr>
    <w:r w:rsidRPr="004A305D">
      <w:rPr>
        <w:rFonts w:ascii="Century Gothic" w:hAnsi="Century Gothic" w:eastAsia="Geo" w:cs="Geo"/>
        <w:b/>
        <w:color w:val="000000"/>
        <w:sz w:val="16"/>
        <w:szCs w:val="16"/>
        <w:lang w:eastAsia="es-CO"/>
      </w:rPr>
      <w:t xml:space="preserve">Código: </w:t>
    </w:r>
    <w:r w:rsidRPr="004A305D">
      <w:rPr>
        <w:rFonts w:ascii="Century Gothic" w:hAnsi="Century Gothic" w:eastAsia="Geo" w:cs="Geo"/>
        <w:bCs/>
        <w:color w:val="000000"/>
        <w:sz w:val="16"/>
        <w:szCs w:val="16"/>
        <w:lang w:eastAsia="es-CO"/>
      </w:rPr>
      <w:t>CCE-</w:t>
    </w:r>
    <w:r w:rsidR="00CB6357">
      <w:rPr>
        <w:rFonts w:ascii="Century Gothic" w:hAnsi="Century Gothic" w:eastAsia="Geo" w:cs="Geo"/>
        <w:bCs/>
        <w:color w:val="000000"/>
        <w:sz w:val="16"/>
        <w:szCs w:val="16"/>
        <w:lang w:eastAsia="es-CO"/>
      </w:rPr>
      <w:t>REC</w:t>
    </w:r>
    <w:r w:rsidRPr="004A305D">
      <w:rPr>
        <w:rFonts w:ascii="Century Gothic" w:hAnsi="Century Gothic" w:eastAsia="Geo" w:cs="Geo"/>
        <w:bCs/>
        <w:color w:val="000000"/>
        <w:sz w:val="16"/>
        <w:szCs w:val="16"/>
        <w:lang w:eastAsia="es-CO"/>
      </w:rPr>
      <w:t>-FM-</w:t>
    </w:r>
    <w:r w:rsidR="00CB6357">
      <w:rPr>
        <w:rFonts w:ascii="Century Gothic" w:hAnsi="Century Gothic" w:eastAsia="Geo" w:cs="Geo"/>
        <w:bCs/>
        <w:color w:val="000000"/>
        <w:sz w:val="16"/>
        <w:szCs w:val="16"/>
        <w:lang w:eastAsia="es-CO"/>
      </w:rPr>
      <w:t>13</w:t>
    </w:r>
  </w:p>
  <w:p w:rsidRPr="004A305D" w:rsidR="004A305D" w:rsidP="004A305D" w:rsidRDefault="004A305D" w14:paraId="5E18350A" w14:textId="3833E343">
    <w:pPr>
      <w:spacing w:after="0"/>
      <w:rPr>
        <w:rFonts w:ascii="Century Gothic" w:hAnsi="Century Gothic" w:eastAsia="Geo" w:cs="Geo"/>
        <w:sz w:val="16"/>
        <w:szCs w:val="16"/>
        <w:lang w:eastAsia="es-CO"/>
      </w:rPr>
    </w:pPr>
    <w:r w:rsidRPr="004A305D">
      <w:rPr>
        <w:rFonts w:ascii="Century Gothic" w:hAnsi="Century Gothic" w:eastAsia="Geo" w:cs="Geo"/>
        <w:b/>
        <w:color w:val="000000"/>
        <w:sz w:val="16"/>
        <w:szCs w:val="16"/>
        <w:lang w:eastAsia="es-CO"/>
      </w:rPr>
      <w:t>Versión</w:t>
    </w:r>
    <w:r w:rsidRPr="004A305D">
      <w:rPr>
        <w:rFonts w:ascii="Century Gothic" w:hAnsi="Century Gothic" w:eastAsia="Arial Nova" w:cs="Arial Nova"/>
        <w:b/>
        <w:color w:val="000000"/>
        <w:sz w:val="16"/>
        <w:szCs w:val="16"/>
        <w:lang w:eastAsia="es-CO"/>
      </w:rPr>
      <w:t xml:space="preserve">: </w:t>
    </w:r>
    <w:r w:rsidRPr="004A305D">
      <w:rPr>
        <w:rFonts w:ascii="Century Gothic" w:hAnsi="Century Gothic" w:eastAsia="Geo" w:cs="Geo"/>
        <w:sz w:val="16"/>
        <w:szCs w:val="16"/>
        <w:lang w:eastAsia="es-CO"/>
      </w:rPr>
      <w:t>0</w:t>
    </w:r>
    <w:r w:rsidR="00CB6357">
      <w:rPr>
        <w:rFonts w:ascii="Century Gothic" w:hAnsi="Century Gothic" w:eastAsia="Geo" w:cs="Geo"/>
        <w:sz w:val="16"/>
        <w:szCs w:val="16"/>
        <w:lang w:eastAsia="es-CO"/>
      </w:rPr>
      <w:t>1</w:t>
    </w:r>
    <w:r w:rsidRPr="004A305D">
      <w:rPr>
        <w:rFonts w:ascii="Century Gothic" w:hAnsi="Century Gothic" w:eastAsia="Geo" w:cs="Geo"/>
        <w:sz w:val="16"/>
        <w:szCs w:val="16"/>
        <w:lang w:eastAsia="es-CO"/>
      </w:rPr>
      <w:t xml:space="preserve"> DEL </w:t>
    </w:r>
    <w:r w:rsidR="00CB6357">
      <w:rPr>
        <w:rFonts w:ascii="Century Gothic" w:hAnsi="Century Gothic" w:eastAsia="Geo" w:cs="Geo"/>
        <w:sz w:val="16"/>
        <w:szCs w:val="16"/>
        <w:lang w:eastAsia="es-CO"/>
      </w:rPr>
      <w:t xml:space="preserve">15 </w:t>
    </w:r>
    <w:r w:rsidRPr="004A305D">
      <w:rPr>
        <w:rFonts w:ascii="Century Gothic" w:hAnsi="Century Gothic" w:eastAsia="Geo" w:cs="Geo"/>
        <w:sz w:val="16"/>
        <w:szCs w:val="16"/>
        <w:lang w:eastAsia="es-CO"/>
      </w:rPr>
      <w:t xml:space="preserve">DE </w:t>
    </w:r>
    <w:r w:rsidR="00961B09">
      <w:rPr>
        <w:rFonts w:ascii="Century Gothic" w:hAnsi="Century Gothic" w:eastAsia="Geo" w:cs="Geo"/>
        <w:sz w:val="16"/>
        <w:szCs w:val="16"/>
        <w:lang w:eastAsia="es-CO"/>
      </w:rPr>
      <w:t>JUNIO</w:t>
    </w:r>
    <w:r w:rsidRPr="004A305D">
      <w:rPr>
        <w:rFonts w:ascii="Century Gothic" w:hAnsi="Century Gothic" w:eastAsia="Geo" w:cs="Geo"/>
        <w:sz w:val="16"/>
        <w:szCs w:val="16"/>
        <w:lang w:eastAsia="es-CO"/>
      </w:rPr>
      <w:t xml:space="preserve"> DE 202</w:t>
    </w:r>
    <w:r w:rsidR="00961B09">
      <w:rPr>
        <w:rFonts w:ascii="Century Gothic" w:hAnsi="Century Gothic" w:eastAsia="Geo" w:cs="Geo"/>
        <w:sz w:val="16"/>
        <w:szCs w:val="16"/>
        <w:lang w:eastAsia="es-CO"/>
      </w:rPr>
      <w:t>3</w:t>
    </w:r>
  </w:p>
  <w:p w:rsidR="008A446D" w:rsidRDefault="008A446D" w14:paraId="1FD1C243" w14:textId="6D74A3C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3"/>
  </w:num>
  <w:num w:numId="2" w16cid:durableId="19822139">
    <w:abstractNumId w:val="1"/>
  </w:num>
  <w:num w:numId="3" w16cid:durableId="876742304">
    <w:abstractNumId w:val="2"/>
  </w:num>
  <w:num w:numId="4" w16cid:durableId="2451864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2117552235">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1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641"/>
    <w:rsid w:val="000A683E"/>
    <w:rsid w:val="000B19B9"/>
    <w:rsid w:val="000B23DA"/>
    <w:rsid w:val="000D0334"/>
    <w:rsid w:val="000F6486"/>
    <w:rsid w:val="001027BD"/>
    <w:rsid w:val="00127233"/>
    <w:rsid w:val="00154967"/>
    <w:rsid w:val="001C0579"/>
    <w:rsid w:val="001E4177"/>
    <w:rsid w:val="002175C1"/>
    <w:rsid w:val="00245BDA"/>
    <w:rsid w:val="002677B8"/>
    <w:rsid w:val="00285B33"/>
    <w:rsid w:val="002951A0"/>
    <w:rsid w:val="002962BC"/>
    <w:rsid w:val="002A49AC"/>
    <w:rsid w:val="002A64FD"/>
    <w:rsid w:val="002A6584"/>
    <w:rsid w:val="002C7A84"/>
    <w:rsid w:val="002D422D"/>
    <w:rsid w:val="002F4CCA"/>
    <w:rsid w:val="003A779E"/>
    <w:rsid w:val="003D0F4D"/>
    <w:rsid w:val="003E0499"/>
    <w:rsid w:val="003F3941"/>
    <w:rsid w:val="004152C2"/>
    <w:rsid w:val="00415EE8"/>
    <w:rsid w:val="004A1847"/>
    <w:rsid w:val="004A305D"/>
    <w:rsid w:val="004D4E3A"/>
    <w:rsid w:val="004F21C4"/>
    <w:rsid w:val="004F685F"/>
    <w:rsid w:val="005566E8"/>
    <w:rsid w:val="00574867"/>
    <w:rsid w:val="00581856"/>
    <w:rsid w:val="00590183"/>
    <w:rsid w:val="005C5CDC"/>
    <w:rsid w:val="005D476C"/>
    <w:rsid w:val="005E664E"/>
    <w:rsid w:val="006219F8"/>
    <w:rsid w:val="00665D70"/>
    <w:rsid w:val="00706C16"/>
    <w:rsid w:val="0073176C"/>
    <w:rsid w:val="00756841"/>
    <w:rsid w:val="007649AB"/>
    <w:rsid w:val="007833AC"/>
    <w:rsid w:val="007845B6"/>
    <w:rsid w:val="007C3DC2"/>
    <w:rsid w:val="007E5497"/>
    <w:rsid w:val="00804A74"/>
    <w:rsid w:val="00806F5F"/>
    <w:rsid w:val="00820278"/>
    <w:rsid w:val="00862A6E"/>
    <w:rsid w:val="008843B6"/>
    <w:rsid w:val="00891928"/>
    <w:rsid w:val="008A446D"/>
    <w:rsid w:val="008C33F9"/>
    <w:rsid w:val="008E4DD4"/>
    <w:rsid w:val="008F0EA7"/>
    <w:rsid w:val="00923EEF"/>
    <w:rsid w:val="009419F9"/>
    <w:rsid w:val="00961B09"/>
    <w:rsid w:val="00965334"/>
    <w:rsid w:val="0097093E"/>
    <w:rsid w:val="009727BC"/>
    <w:rsid w:val="009C64D2"/>
    <w:rsid w:val="009C71FA"/>
    <w:rsid w:val="009C72E7"/>
    <w:rsid w:val="00A17F13"/>
    <w:rsid w:val="00A20739"/>
    <w:rsid w:val="00A33C78"/>
    <w:rsid w:val="00A43EA4"/>
    <w:rsid w:val="00AB0ADB"/>
    <w:rsid w:val="00AB3926"/>
    <w:rsid w:val="00AE5061"/>
    <w:rsid w:val="00AF6B70"/>
    <w:rsid w:val="00B06133"/>
    <w:rsid w:val="00B4062B"/>
    <w:rsid w:val="00B72CD3"/>
    <w:rsid w:val="00B72FFF"/>
    <w:rsid w:val="00BD7F72"/>
    <w:rsid w:val="00C330EB"/>
    <w:rsid w:val="00C754BE"/>
    <w:rsid w:val="00CB6357"/>
    <w:rsid w:val="00CC1B26"/>
    <w:rsid w:val="00D423A2"/>
    <w:rsid w:val="00D63AC2"/>
    <w:rsid w:val="00D72DFD"/>
    <w:rsid w:val="00D7383B"/>
    <w:rsid w:val="00DD4EEC"/>
    <w:rsid w:val="00E16408"/>
    <w:rsid w:val="00E20894"/>
    <w:rsid w:val="00E22910"/>
    <w:rsid w:val="00E245AB"/>
    <w:rsid w:val="00E50AFE"/>
    <w:rsid w:val="00E771DC"/>
    <w:rsid w:val="00E84124"/>
    <w:rsid w:val="00E8772A"/>
    <w:rsid w:val="00E90F6B"/>
    <w:rsid w:val="00E92C27"/>
    <w:rsid w:val="00EA0E3D"/>
    <w:rsid w:val="00EE1AA8"/>
    <w:rsid w:val="00F31EDC"/>
    <w:rsid w:val="00F5664F"/>
    <w:rsid w:val="00F76AFC"/>
    <w:rsid w:val="00F865AF"/>
    <w:rsid w:val="00FB5DD1"/>
    <w:rsid w:val="00FB7106"/>
    <w:rsid w:val="00FC2B5D"/>
    <w:rsid w:val="00FF1449"/>
    <w:rsid w:val="0A19222B"/>
    <w:rsid w:val="1D5BC046"/>
    <w:rsid w:val="220395A8"/>
    <w:rsid w:val="5566FEFE"/>
    <w:rsid w:val="772BA5B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paragraph" w:styleId="NormalWeb">
    <w:name w:val="Normal (Web)"/>
    <w:basedOn w:val="Normal"/>
    <w:link w:val="NormalWebCar"/>
    <w:uiPriority w:val="99"/>
    <w:unhideWhenUsed/>
    <w:rsid w:val="00AB3926"/>
    <w:rPr>
      <w:rFonts w:ascii="Times New Roman" w:hAnsi="Times New Roman" w:cs="Times New Roman"/>
      <w:sz w:val="24"/>
      <w:szCs w:val="24"/>
    </w:rPr>
  </w:style>
  <w:style w:type="character" w:styleId="Hipervnculo">
    <w:name w:val="Hyperlink"/>
    <w:basedOn w:val="Fuentedeprrafopredeter"/>
    <w:uiPriority w:val="99"/>
    <w:unhideWhenUsed/>
    <w:rsid w:val="00AB3926"/>
    <w:rPr>
      <w:color w:val="0563C1" w:themeColor="hyperlink"/>
      <w:u w:val="single"/>
    </w:rPr>
  </w:style>
  <w:style w:type="paragraph" w:styleId="Appelnotedebasde" w:customStyle="1">
    <w:name w:val="Appel note de bas de..."/>
    <w:basedOn w:val="Normal"/>
    <w:link w:val="Refdenotaalpie"/>
    <w:uiPriority w:val="99"/>
    <w:rsid w:val="00AB3926"/>
    <w:pPr>
      <w:spacing w:line="240" w:lineRule="exact"/>
    </w:pPr>
    <w:rPr>
      <w:vertAlign w:val="superscript"/>
    </w:rPr>
  </w:style>
  <w:style w:type="character" w:styleId="Hipervnculovisitado">
    <w:name w:val="FollowedHyperlink"/>
    <w:basedOn w:val="Fuentedeprrafopredeter"/>
    <w:uiPriority w:val="99"/>
    <w:semiHidden/>
    <w:unhideWhenUsed/>
    <w:rsid w:val="00AB3926"/>
    <w:rPr>
      <w:color w:val="954F72" w:themeColor="followedHyperlink"/>
      <w:u w:val="single"/>
    </w:rPr>
  </w:style>
  <w:style w:type="character" w:styleId="NormalWebCar" w:customStyle="1">
    <w:name w:val="Normal (Web) Car"/>
    <w:link w:val="NormalWeb"/>
    <w:uiPriority w:val="99"/>
    <w:rsid w:val="00862A6E"/>
    <w:rPr>
      <w:rFonts w:ascii="Times New Roman" w:hAnsi="Times New Roman" w:cs="Times New Roman"/>
      <w:sz w:val="24"/>
      <w:szCs w:val="24"/>
    </w:rPr>
  </w:style>
  <w:style w:type="paragraph" w:styleId="Sinespaciado">
    <w:name w:val="No Spacing"/>
    <w:aliases w:val="No Indent"/>
    <w:uiPriority w:val="3"/>
    <w:qFormat/>
    <w:rsid w:val="00862A6E"/>
    <w:pPr>
      <w:spacing w:after="0" w:line="240" w:lineRule="auto"/>
    </w:pPr>
    <w:rPr>
      <w:sz w:val="24"/>
      <w:lang w:val="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62A6E"/>
    <w:rPr>
      <w:rFonts w:ascii="Geomanist Light" w:hAnsi="Geomanist Light"/>
      <w:lang w:val="es-ES"/>
    </w:rPr>
  </w:style>
  <w:style w:type="character" w:styleId="Textoennegrita">
    <w:name w:val="Strong"/>
    <w:basedOn w:val="Fuentedeprrafopredeter"/>
    <w:uiPriority w:val="22"/>
    <w:qFormat/>
    <w:rsid w:val="00862A6E"/>
    <w:rPr>
      <w:b/>
      <w:bCs/>
    </w:rPr>
  </w:style>
  <w:style w:type="character" w:styleId="nfasis">
    <w:name w:val="Emphasis"/>
    <w:basedOn w:val="Fuentedeprrafopredeter"/>
    <w:uiPriority w:val="20"/>
    <w:qFormat/>
    <w:rsid w:val="00862A6E"/>
    <w:rPr>
      <w:i/>
      <w:iCs/>
    </w:rPr>
  </w:style>
  <w:style w:type="paragraph" w:styleId="Revisin">
    <w:name w:val="Revision"/>
    <w:hidden/>
    <w:uiPriority w:val="99"/>
    <w:semiHidden/>
    <w:rsid w:val="004D4E3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png" Id="rId11" /><Relationship Type="http://schemas.openxmlformats.org/officeDocument/2006/relationships/styles" Target="styles.xml" Id="rId5" /><Relationship Type="http://schemas.openxmlformats.org/officeDocument/2006/relationships/theme" Target="theme/theme1.xml" Id="rId1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ntTable" Target="fontTable.xml" Id="rId14" /></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8" Type="http://schemas.openxmlformats.org/officeDocument/2006/relationships/hyperlink" Target="https://www.ceda.com.co/_files/ugd/f56758_b136251a13ab4f8ab2ab3c047ab7a3f9.pdf" TargetMode="External"/><Relationship Id="rId3" Type="http://schemas.openxmlformats.org/officeDocument/2006/relationships/hyperlink" Target="http://www.ceda.com.co" TargetMode="External"/><Relationship Id="rId7" Type="http://schemas.openxmlformats.org/officeDocument/2006/relationships/hyperlink" Target="http://www.ceda.com.co" TargetMode="External"/><Relationship Id="rId2" Type="http://schemas.openxmlformats.org/officeDocument/2006/relationships/hyperlink" Target="https://www.rae.es/dpd/obligaci%C3%B3n" TargetMode="External"/><Relationship Id="rId1" Type="http://schemas.openxmlformats.org/officeDocument/2006/relationships/hyperlink" Target="https://relatoria.colombiacompra.gov.co/busqueda/conceptos" TargetMode="External"/><Relationship Id="rId6" Type="http://schemas.openxmlformats.org/officeDocument/2006/relationships/hyperlink" Target="https://www.rae.es/dpd/obligaci%C3%B3n" TargetMode="External"/><Relationship Id="rId5" Type="http://schemas.openxmlformats.org/officeDocument/2006/relationships/hyperlink" Target="http://www.ceda.com.co" TargetMode="External"/><Relationship Id="rId4" Type="http://schemas.openxmlformats.org/officeDocument/2006/relationships/hyperlink" Target="https://www.ceda.com.co/_files/ugd/f56758_b136251a13ab4f8ab2ab3c047ab7a3f9.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cabc2350-70b2-4dba-bb42-96a3175f4d5a"/>
  </ds:schemaRefs>
</ds:datastoreItem>
</file>

<file path=customXml/itemProps3.xml><?xml version="1.0" encoding="utf-8"?>
<ds:datastoreItem xmlns:ds="http://schemas.openxmlformats.org/officeDocument/2006/customXml" ds:itemID="{C5B568F8-410C-4334-9D4A-CB10C621425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Kelmis Yimara Bruges Alvarado</lastModifiedBy>
  <revision>10</revision>
  <lastPrinted>2023-01-10T21:18:00.0000000Z</lastPrinted>
  <dcterms:created xsi:type="dcterms:W3CDTF">2023-07-10T22:20:00.0000000Z</dcterms:created>
  <dcterms:modified xsi:type="dcterms:W3CDTF">2023-10-13T21:56:52.3094334Z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