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header1.xml" ContentType="application/vnd.openxmlformats-officedocument.wordprocessingml.head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commentsExtensible.xml" ContentType="application/vnd.openxmlformats-officedocument.wordprocessingml.commentsExtensible+xml"/>
  <Override PartName="/word/commentsIds.xml" ContentType="application/vnd.openxmlformats-officedocument.wordprocessingml.commentsId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067D09" w14:textId="0AD7CFB6" w:rsidR="002F62E7" w:rsidRDefault="002F62E7" w:rsidP="00074FEF">
      <w:pPr>
        <w:spacing w:after="120" w:line="276" w:lineRule="auto"/>
        <w:jc w:val="both"/>
        <w:rPr>
          <w:rFonts w:ascii="Arial" w:hAnsi="Arial" w:cs="Arial"/>
          <w:b/>
        </w:rPr>
      </w:pPr>
      <w:r w:rsidRPr="002F62E7">
        <w:rPr>
          <w:rFonts w:ascii="Arial" w:hAnsi="Arial" w:cs="Arial"/>
          <w:b/>
        </w:rPr>
        <w:t>CONTRATO DE PRESTACIÓN DE SERVICIOS PROFESIONALES Y DE APOYO A LA GESTIÓN – Plazo – Autonomía de las partes</w:t>
      </w:r>
    </w:p>
    <w:p w14:paraId="22760E8B" w14:textId="77777777" w:rsidR="00AD65C1" w:rsidRPr="00AD65C1" w:rsidRDefault="00AD65C1" w:rsidP="00074FEF">
      <w:pPr>
        <w:autoSpaceDE w:val="0"/>
        <w:autoSpaceDN w:val="0"/>
        <w:adjustRightInd w:val="0"/>
        <w:spacing w:after="120" w:line="276" w:lineRule="auto"/>
        <w:jc w:val="both"/>
        <w:rPr>
          <w:rFonts w:ascii="Arial" w:hAnsi="Arial" w:cs="Arial"/>
          <w:i/>
          <w:iCs/>
          <w:sz w:val="20"/>
          <w:szCs w:val="20"/>
        </w:rPr>
      </w:pPr>
      <w:r w:rsidRPr="00AD65C1">
        <w:rPr>
          <w:rFonts w:ascii="Arial" w:hAnsi="Arial" w:cs="Arial"/>
          <w:sz w:val="20"/>
          <w:szCs w:val="20"/>
        </w:rPr>
        <w:t xml:space="preserve">En lo relativo al plazo de los contratos de prestación de servicios debe destacarse lo señalado en el inciso segundo del numeral 3 del artículo 32 de la Ley 80 de 1993, el cual dispone que: “Estos contratos sólo podrán celebrarse con personas naturales cuando dichas actividades no puedan realizarse con personal de planta o requieran conocimientos especializados. </w:t>
      </w:r>
      <w:r w:rsidRPr="00AD65C1">
        <w:rPr>
          <w:rFonts w:ascii="Arial" w:hAnsi="Arial" w:cs="Arial"/>
          <w:i/>
          <w:iCs/>
          <w:sz w:val="20"/>
          <w:szCs w:val="20"/>
        </w:rPr>
        <w:t xml:space="preserve">En ningún caso estos contratos generan relación laboral ni prestaciones sociales y se celebrarán por el término estrictamente indispensable” </w:t>
      </w:r>
      <w:r w:rsidRPr="00AD65C1">
        <w:rPr>
          <w:rFonts w:ascii="Arial" w:hAnsi="Arial" w:cs="Arial"/>
          <w:sz w:val="20"/>
          <w:szCs w:val="20"/>
        </w:rPr>
        <w:t>[Énfasis fuera de texto]</w:t>
      </w:r>
      <w:r w:rsidRPr="00AD65C1">
        <w:rPr>
          <w:rFonts w:ascii="Arial" w:hAnsi="Arial" w:cs="Arial"/>
          <w:i/>
          <w:iCs/>
          <w:sz w:val="20"/>
          <w:szCs w:val="20"/>
        </w:rPr>
        <w:t xml:space="preserve">. </w:t>
      </w:r>
    </w:p>
    <w:p w14:paraId="26189ECC" w14:textId="55140B5A" w:rsidR="00AD65C1" w:rsidRPr="00AD65C1" w:rsidRDefault="00AD65C1" w:rsidP="00074FEF">
      <w:pPr>
        <w:autoSpaceDE w:val="0"/>
        <w:autoSpaceDN w:val="0"/>
        <w:adjustRightInd w:val="0"/>
        <w:spacing w:after="120" w:line="276" w:lineRule="auto"/>
        <w:jc w:val="both"/>
        <w:rPr>
          <w:rFonts w:ascii="Arial" w:hAnsi="Arial" w:cs="Arial"/>
          <w:sz w:val="20"/>
          <w:szCs w:val="20"/>
        </w:rPr>
      </w:pPr>
      <w:r w:rsidRPr="00AD65C1">
        <w:rPr>
          <w:rFonts w:ascii="Arial" w:hAnsi="Arial" w:cs="Arial"/>
          <w:sz w:val="20"/>
          <w:szCs w:val="20"/>
        </w:rPr>
        <w:t>En atención a lo establecido en esta norma, es claro que la temporalidad es una de las características fundamentales de los contratos de prestación de servicios, comoquiera que el plazo d</w:t>
      </w:r>
      <w:bookmarkStart w:id="0" w:name="_GoBack"/>
      <w:bookmarkEnd w:id="0"/>
      <w:r w:rsidRPr="00AD65C1">
        <w:rPr>
          <w:rFonts w:ascii="Arial" w:hAnsi="Arial" w:cs="Arial"/>
          <w:sz w:val="20"/>
          <w:szCs w:val="20"/>
        </w:rPr>
        <w:t xml:space="preserve">e los mismos deberá sujetarse al </w:t>
      </w:r>
      <w:r w:rsidRPr="00AD65C1">
        <w:rPr>
          <w:rFonts w:ascii="Arial" w:hAnsi="Arial" w:cs="Arial"/>
          <w:i/>
          <w:iCs/>
          <w:sz w:val="20"/>
          <w:szCs w:val="20"/>
        </w:rPr>
        <w:t xml:space="preserve">“término estrictamente indispensable”, </w:t>
      </w:r>
      <w:r w:rsidRPr="00AD65C1">
        <w:rPr>
          <w:rFonts w:ascii="Arial" w:hAnsi="Arial" w:cs="Arial"/>
          <w:sz w:val="20"/>
          <w:szCs w:val="20"/>
        </w:rPr>
        <w:t>el cual según lo manifestado en la Sentencia de Unificación Jurisprudencial SUJ-025-CE-S2-2021 de la Sección Segunda del Consejo de Estado es 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 En ese entendido, la temporalidad del contrato de prestación de servicios está determinada por el tiempo requerido para desarrollar el objeto para el que se celebra de acuerdo con lo establecido en los correspondientes estudios previos, en cumplimiento del principio de planeación, conjuntamente con la autonomía y voluntad de las partes.</w:t>
      </w:r>
    </w:p>
    <w:p w14:paraId="471D874B" w14:textId="7487C282" w:rsidR="00AD65C1" w:rsidRPr="002F62E7" w:rsidRDefault="00AD65C1" w:rsidP="00074FEF">
      <w:pPr>
        <w:spacing w:after="120" w:line="276" w:lineRule="auto"/>
        <w:jc w:val="both"/>
        <w:rPr>
          <w:rFonts w:ascii="Arial" w:hAnsi="Arial" w:cs="Arial"/>
          <w:b/>
        </w:rPr>
      </w:pPr>
    </w:p>
    <w:p w14:paraId="7A28C390" w14:textId="77777777" w:rsidR="00A27563" w:rsidRDefault="002F62E7" w:rsidP="00074FEF">
      <w:pPr>
        <w:spacing w:after="120" w:line="276" w:lineRule="auto"/>
        <w:jc w:val="both"/>
        <w:rPr>
          <w:rFonts w:ascii="Arial" w:hAnsi="Arial" w:cs="Arial"/>
          <w:b/>
        </w:rPr>
      </w:pPr>
      <w:r w:rsidRPr="002F62E7">
        <w:rPr>
          <w:rFonts w:ascii="Arial" w:hAnsi="Arial" w:cs="Arial"/>
          <w:b/>
        </w:rPr>
        <w:t>CIRCULAR CON</w:t>
      </w:r>
      <w:r w:rsidR="00A27563">
        <w:rPr>
          <w:rFonts w:ascii="Arial" w:hAnsi="Arial" w:cs="Arial"/>
          <w:b/>
        </w:rPr>
        <w:t xml:space="preserve">JUNTA No. 1 de 2023 – Alcance </w:t>
      </w:r>
    </w:p>
    <w:p w14:paraId="52943AEF" w14:textId="77777777" w:rsidR="00BE2D8F" w:rsidRDefault="00BE2D8F" w:rsidP="00074FEF">
      <w:pPr>
        <w:autoSpaceDE w:val="0"/>
        <w:autoSpaceDN w:val="0"/>
        <w:adjustRightInd w:val="0"/>
        <w:spacing w:after="120" w:line="240" w:lineRule="auto"/>
        <w:jc w:val="both"/>
        <w:rPr>
          <w:rFonts w:ascii="Arial" w:eastAsia="Calibri" w:hAnsi="Arial" w:cs="Arial"/>
          <w:sz w:val="20"/>
          <w:szCs w:val="20"/>
        </w:rPr>
      </w:pPr>
    </w:p>
    <w:p w14:paraId="07EE71BD" w14:textId="64A2BF5D" w:rsidR="00BE2D8F" w:rsidRPr="00BE2D8F" w:rsidRDefault="00BE2D8F" w:rsidP="00074FEF">
      <w:pPr>
        <w:autoSpaceDE w:val="0"/>
        <w:autoSpaceDN w:val="0"/>
        <w:adjustRightInd w:val="0"/>
        <w:spacing w:after="120" w:line="240" w:lineRule="auto"/>
        <w:jc w:val="both"/>
        <w:rPr>
          <w:rFonts w:ascii="Arial" w:eastAsia="Calibri" w:hAnsi="Arial" w:cs="Arial"/>
          <w:sz w:val="20"/>
          <w:szCs w:val="20"/>
        </w:rPr>
      </w:pPr>
      <w:r>
        <w:rPr>
          <w:rFonts w:ascii="Arial" w:eastAsia="Calibri" w:hAnsi="Arial" w:cs="Arial"/>
          <w:sz w:val="20"/>
          <w:szCs w:val="20"/>
        </w:rPr>
        <w:t>A</w:t>
      </w:r>
      <w:r w:rsidRPr="00BE2D8F">
        <w:rPr>
          <w:rFonts w:ascii="Arial" w:eastAsia="Calibri" w:hAnsi="Arial" w:cs="Arial"/>
          <w:sz w:val="20"/>
          <w:szCs w:val="20"/>
        </w:rPr>
        <w:t xml:space="preserve">unque en la Circular Conjunta No.01 de 2023, suscrita por esta Agencia, conjuntamente con el Departamento Administrativo de la Función Pública sugirió el plazo de cuatro (4) meses para los contratos de prestación de servicios, no existe en el ordenamiento jurídico Colombiano limitación frente a dicho plazo, puesto que estos contratos son una tipología contractual regulada por el numeral 3 del artículo 32 de la Ley 80 de 1993, norma que habilita su suscripción por el término estrictamente indispensable para cumplir su objeto, y el numeral  5 de la Circular Conjunta No. 01 de 2023 y numeral 3 de la </w:t>
      </w:r>
      <w:r w:rsidRPr="00BE2D8F">
        <w:rPr>
          <w:rFonts w:ascii="Arial" w:eastAsia="Calibri" w:hAnsi="Arial" w:cs="Arial"/>
          <w:color w:val="000000"/>
          <w:sz w:val="20"/>
          <w:szCs w:val="20"/>
        </w:rPr>
        <w:t xml:space="preserve">Circular Conjunta </w:t>
      </w:r>
      <w:r w:rsidRPr="00BE2D8F">
        <w:rPr>
          <w:rFonts w:ascii="Arial" w:eastAsia="Calibri" w:hAnsi="Arial" w:cs="Arial"/>
          <w:sz w:val="20"/>
          <w:szCs w:val="20"/>
        </w:rPr>
        <w:t xml:space="preserve">100-005-2022 no puede ser interpretado como una disposición que establece un plazo máximo de duración para los contratos de prestación de servicios, sino como una directriz administrativa orientadora tendiente a acompasar el proceso de creación de plantas temporales con la celebración de contratos de prestación de servicios durante la presente anualidad. En ese orden, los numerales 6, 6.1, 6.2 y 6.3 de la de Circular Conjunta No. 01 del 5 de enero de 2023 tampoco puede considerarse como normas que reglamenten la Ley 80 de 1993 o la Ley 1150 de 2007, en la medida en que constituyen lineamientos interpretativos que tienen por finalidad precisar diferentes aspectos relativos a la temporalidad de los contratos de prestación de servicios, los cuales se tornan relevantes dadas las inquietudes que suscitó el contenido del numeral 3 de la </w:t>
      </w:r>
      <w:r w:rsidRPr="00BE2D8F">
        <w:rPr>
          <w:rFonts w:ascii="Arial" w:eastAsia="Calibri" w:hAnsi="Arial" w:cs="Arial"/>
          <w:color w:val="000000"/>
          <w:sz w:val="20"/>
          <w:szCs w:val="20"/>
        </w:rPr>
        <w:t xml:space="preserve">Circular Conjunta </w:t>
      </w:r>
      <w:r w:rsidRPr="00BE2D8F">
        <w:rPr>
          <w:rFonts w:ascii="Arial" w:eastAsia="Calibri" w:hAnsi="Arial" w:cs="Arial"/>
          <w:sz w:val="20"/>
          <w:szCs w:val="20"/>
        </w:rPr>
        <w:t>100-005-2022.</w:t>
      </w:r>
    </w:p>
    <w:p w14:paraId="618E0413" w14:textId="77777777" w:rsidR="00BE2D8F" w:rsidRPr="00BE2D8F" w:rsidRDefault="00BE2D8F" w:rsidP="00074FEF">
      <w:pPr>
        <w:spacing w:after="120" w:line="240" w:lineRule="auto"/>
        <w:jc w:val="both"/>
        <w:rPr>
          <w:rFonts w:ascii="Arial" w:hAnsi="Arial" w:cs="Arial"/>
          <w:sz w:val="20"/>
          <w:szCs w:val="20"/>
        </w:rPr>
      </w:pPr>
      <w:r w:rsidRPr="00BE2D8F">
        <w:rPr>
          <w:rFonts w:ascii="Arial" w:hAnsi="Arial" w:cs="Arial"/>
          <w:sz w:val="20"/>
          <w:szCs w:val="20"/>
        </w:rPr>
        <w:t xml:space="preserve"> Por otra parte, debe advertirse que la Circular Conjunta No. 01 de 2023 es respetuosa de la autonomía con la que cuentan las entidades territoriales, en virtud del artículo 287 superior, para planear, programar y ejercer mediante la actividad contractual el cumplimiento de sus funciones y la </w:t>
      </w:r>
      <w:r w:rsidRPr="00BE2D8F">
        <w:rPr>
          <w:rFonts w:ascii="Arial" w:hAnsi="Arial" w:cs="Arial"/>
          <w:sz w:val="20"/>
          <w:szCs w:val="20"/>
        </w:rPr>
        <w:lastRenderedPageBreak/>
        <w:t>prestación de servicios públicos, quedando facultadas para suscribir contratos prestación de servicios profesionales y de apoyo a la gestión con personas naturales por plazos de ejecución superiores a los cuatro meses (4) señalados en el numeral 3 de la Circular Conjunta 100-005-2022, pues los lineamientos incorporados tiene como fin principal el invitar a las entidades para planear la contratación de estos servicios durante un “término estrictamente indispensable” que procure no ser superior a los cuatro meses (04), tiempo en el cual se espera que el contratista cumpla a cabalidad el objeto del contrato y las obligaciones que de él se derivan, a la par de las acciones necesarias que deberán desarrollar las Entidades Estatales para determinar, crear y proveer la planta de personal temporal necesaria y suficiente para suplir las necesidades misionales y administrativas que han sido provistas a través de contratos de prestación de servicios profesionales y de apoyo a la gestión con personas naturales.</w:t>
      </w:r>
    </w:p>
    <w:p w14:paraId="6DAD1A3E" w14:textId="22883F96" w:rsidR="00A27563" w:rsidRDefault="00A27563" w:rsidP="00074FEF">
      <w:pPr>
        <w:spacing w:after="120" w:line="276" w:lineRule="auto"/>
        <w:jc w:val="both"/>
        <w:rPr>
          <w:rFonts w:ascii="Arial" w:hAnsi="Arial" w:cs="Arial"/>
          <w:b/>
        </w:rPr>
      </w:pPr>
    </w:p>
    <w:p w14:paraId="650DC4D6" w14:textId="16B01093" w:rsidR="00A27563" w:rsidRDefault="002F62E7" w:rsidP="00074FEF">
      <w:pPr>
        <w:spacing w:after="120" w:line="276" w:lineRule="auto"/>
        <w:jc w:val="both"/>
        <w:rPr>
          <w:rFonts w:ascii="Arial" w:hAnsi="Arial" w:cs="Arial"/>
          <w:b/>
        </w:rPr>
      </w:pPr>
      <w:r w:rsidRPr="002F62E7">
        <w:rPr>
          <w:rFonts w:ascii="Arial" w:hAnsi="Arial" w:cs="Arial"/>
          <w:b/>
        </w:rPr>
        <w:t>ACTO ADMINISTRATIVO DE JUSTIFICACIÓN DE CONTRATACIÓN DIREC</w:t>
      </w:r>
      <w:r w:rsidRPr="002F62E7">
        <w:rPr>
          <w:rFonts w:ascii="Arial" w:hAnsi="Arial" w:cs="Arial"/>
          <w:b/>
        </w:rPr>
        <w:t xml:space="preserve">TA – Expedición – Oportunidad </w:t>
      </w:r>
    </w:p>
    <w:p w14:paraId="3CB1DA03" w14:textId="30C8B7D6" w:rsidR="00A27563" w:rsidRPr="00A27563" w:rsidRDefault="00A27563" w:rsidP="00074FEF">
      <w:pPr>
        <w:spacing w:after="120" w:line="276" w:lineRule="auto"/>
        <w:jc w:val="both"/>
        <w:rPr>
          <w:rFonts w:ascii="Arial" w:eastAsia="Arial" w:hAnsi="Arial" w:cs="Arial"/>
          <w:sz w:val="20"/>
          <w:szCs w:val="20"/>
        </w:rPr>
      </w:pPr>
      <w:r w:rsidRPr="00A27563">
        <w:rPr>
          <w:rFonts w:ascii="Arial" w:eastAsia="Arial" w:hAnsi="Arial" w:cs="Arial"/>
          <w:sz w:val="20"/>
          <w:szCs w:val="20"/>
        </w:rPr>
        <w:t>E</w:t>
      </w:r>
      <w:r w:rsidRPr="00A27563">
        <w:rPr>
          <w:rFonts w:ascii="Arial" w:eastAsia="Arial" w:hAnsi="Arial" w:cs="Arial"/>
          <w:sz w:val="20"/>
          <w:szCs w:val="20"/>
        </w:rPr>
        <w:t xml:space="preserve">s importante poner de presente que el artículo 2.2.1.2.1.4.1. del Decreto 1082 de 2015 no expresa de manera textual la temporalidad en que debe ser expedido el acto administrativo de justificación de la contratación directa, sin embargo, esto no significa que el acto referido pueda expedirse en cualquier oportunidad, pues esta interpretación restaría efecto útil a la disposición referida. </w:t>
      </w:r>
    </w:p>
    <w:p w14:paraId="0E0575A4" w14:textId="77777777" w:rsidR="00A27563" w:rsidRPr="00A27563" w:rsidRDefault="00A27563" w:rsidP="00074FEF">
      <w:pPr>
        <w:spacing w:after="120" w:line="276" w:lineRule="auto"/>
        <w:jc w:val="both"/>
        <w:rPr>
          <w:rFonts w:ascii="Arial" w:eastAsia="Arial" w:hAnsi="Arial" w:cs="Arial"/>
          <w:sz w:val="20"/>
          <w:szCs w:val="20"/>
        </w:rPr>
      </w:pPr>
      <w:r w:rsidRPr="00A27563">
        <w:rPr>
          <w:rFonts w:ascii="Arial" w:eastAsia="Arial" w:hAnsi="Arial" w:cs="Arial"/>
          <w:sz w:val="20"/>
          <w:szCs w:val="20"/>
        </w:rPr>
        <w:t xml:space="preserve">Para dar una solución al interrogante, es importante tener en cuenta que el artículo 87 del CPACA establece las reglas de firmeza de los actos administrativos en el señala que los actos quedan ejecutoriados, cuando contra ellos no proceda ningún recurso, al día siguiente al de su publicación. </w:t>
      </w:r>
    </w:p>
    <w:p w14:paraId="027ED22C" w14:textId="77777777" w:rsidR="00A27563" w:rsidRPr="00A27563" w:rsidRDefault="00A27563" w:rsidP="00074FEF">
      <w:pPr>
        <w:spacing w:after="120" w:line="276" w:lineRule="auto"/>
        <w:jc w:val="both"/>
        <w:rPr>
          <w:rFonts w:ascii="Arial" w:eastAsia="Arial" w:hAnsi="Arial" w:cs="Arial"/>
          <w:sz w:val="20"/>
          <w:szCs w:val="20"/>
          <w:lang w:val="es-MX"/>
        </w:rPr>
      </w:pPr>
      <w:r w:rsidRPr="00A27563">
        <w:rPr>
          <w:rFonts w:ascii="Arial" w:eastAsia="Arial" w:hAnsi="Arial" w:cs="Arial"/>
          <w:sz w:val="20"/>
          <w:szCs w:val="20"/>
        </w:rPr>
        <w:t>De modo que, l</w:t>
      </w:r>
      <w:r w:rsidRPr="00A27563">
        <w:rPr>
          <w:rFonts w:ascii="Arial" w:eastAsia="Arial" w:hAnsi="Arial" w:cs="Arial"/>
          <w:sz w:val="20"/>
          <w:szCs w:val="20"/>
          <w:lang w:val="es-MX"/>
        </w:rPr>
        <w:t>o anterior permite concluir a la Agencia que la justificación de la modalidad de selección correspondiente, así como la emisión del acto administrativo de justificación de la contratación directa cuando este proceda, en todo caso serán previos, si es del caso, a la celebración del contrato mismo, como mínimo una vez se encuentre ejecutoriado el acto administrativo referido.</w:t>
      </w:r>
    </w:p>
    <w:p w14:paraId="7807B171" w14:textId="77777777" w:rsidR="00A27563" w:rsidRPr="00A27563" w:rsidRDefault="00A27563" w:rsidP="00074FEF">
      <w:pPr>
        <w:spacing w:after="120" w:line="276" w:lineRule="auto"/>
        <w:jc w:val="both"/>
        <w:rPr>
          <w:rFonts w:ascii="Arial" w:hAnsi="Arial" w:cs="Arial"/>
          <w:b/>
          <w:lang w:val="es-MX"/>
        </w:rPr>
      </w:pPr>
    </w:p>
    <w:p w14:paraId="40D8061C" w14:textId="129011DE" w:rsidR="00BE2D8F" w:rsidRPr="00074FEF" w:rsidRDefault="002F62E7" w:rsidP="00074FEF">
      <w:pPr>
        <w:spacing w:after="120" w:line="276" w:lineRule="auto"/>
        <w:jc w:val="both"/>
        <w:rPr>
          <w:rFonts w:ascii="Arial" w:hAnsi="Arial" w:cs="Arial"/>
          <w:b/>
        </w:rPr>
      </w:pPr>
      <w:r w:rsidRPr="002F62E7">
        <w:rPr>
          <w:rFonts w:ascii="Arial" w:hAnsi="Arial" w:cs="Arial"/>
          <w:b/>
        </w:rPr>
        <w:t>PROMOCIÓN AL DESARROLLO – L</w:t>
      </w:r>
      <w:r w:rsidRPr="002F62E7">
        <w:rPr>
          <w:rFonts w:ascii="Arial" w:hAnsi="Arial" w:cs="Arial"/>
          <w:b/>
        </w:rPr>
        <w:t xml:space="preserve">ey 2069 de 2020 – Artículo 34 </w:t>
      </w:r>
    </w:p>
    <w:p w14:paraId="3EE262EE" w14:textId="216F2B2C" w:rsidR="00BE2D8F" w:rsidRPr="00074FEF" w:rsidRDefault="00BE2D8F" w:rsidP="00074FEF">
      <w:pPr>
        <w:spacing w:before="120" w:line="276" w:lineRule="auto"/>
        <w:jc w:val="both"/>
        <w:rPr>
          <w:rFonts w:ascii="Arial" w:eastAsia="Calibri" w:hAnsi="Arial" w:cs="Arial"/>
          <w:color w:val="000000" w:themeColor="text1"/>
          <w:sz w:val="20"/>
          <w:szCs w:val="20"/>
        </w:rPr>
      </w:pPr>
      <w:r w:rsidRPr="00074FEF">
        <w:rPr>
          <w:rFonts w:ascii="Arial" w:eastAsia="Calibri" w:hAnsi="Arial" w:cs="Arial"/>
          <w:color w:val="000000" w:themeColor="text1"/>
          <w:sz w:val="20"/>
          <w:szCs w:val="20"/>
        </w:rPr>
        <w:t>E</w:t>
      </w:r>
      <w:r w:rsidRPr="00074FEF">
        <w:rPr>
          <w:rFonts w:ascii="Arial" w:hAnsi="Arial" w:cs="Arial"/>
          <w:color w:val="000000" w:themeColor="text1"/>
          <w:sz w:val="20"/>
          <w:szCs w:val="20"/>
        </w:rPr>
        <w:t xml:space="preserve">l artículo 34 de la Ley 2069 de 2020 y el Decreto 1082 de 2015, modificado por el Decreto 1860 de 2021 regulan la limitación de convocatorias a </w:t>
      </w:r>
      <w:proofErr w:type="spellStart"/>
      <w:r w:rsidRPr="00074FEF">
        <w:rPr>
          <w:rFonts w:ascii="Arial" w:hAnsi="Arial" w:cs="Arial"/>
          <w:color w:val="000000" w:themeColor="text1"/>
          <w:sz w:val="20"/>
          <w:szCs w:val="20"/>
        </w:rPr>
        <w:t>Mipymes</w:t>
      </w:r>
      <w:proofErr w:type="spellEnd"/>
      <w:r w:rsidRPr="00074FEF">
        <w:rPr>
          <w:rFonts w:ascii="Arial" w:hAnsi="Arial" w:cs="Arial"/>
          <w:color w:val="000000" w:themeColor="text1"/>
          <w:sz w:val="20"/>
          <w:szCs w:val="20"/>
        </w:rPr>
        <w:t xml:space="preserve"> en dos normas distintas que deben leerse conjunta y armónicamente. Por un lado, el artículo </w:t>
      </w:r>
      <w:r w:rsidRPr="00074FEF">
        <w:rPr>
          <w:rFonts w:ascii="Arial" w:eastAsia="Calibri" w:hAnsi="Arial" w:cs="Arial"/>
          <w:color w:val="000000" w:themeColor="text1"/>
          <w:sz w:val="20"/>
          <w:szCs w:val="20"/>
        </w:rPr>
        <w:t xml:space="preserve">2.2.1.2.4.2.2. </w:t>
      </w:r>
      <w:r w:rsidRPr="00074FEF">
        <w:rPr>
          <w:rFonts w:ascii="Arial" w:hAnsi="Arial" w:cs="Arial"/>
          <w:color w:val="000000" w:themeColor="text1"/>
          <w:sz w:val="20"/>
          <w:szCs w:val="20"/>
        </w:rPr>
        <w:t xml:space="preserve">prevé los requisitos generales ante los cuales la entidad debe limitar sus convocatorias a </w:t>
      </w:r>
      <w:proofErr w:type="spellStart"/>
      <w:r w:rsidRPr="00074FEF">
        <w:rPr>
          <w:rFonts w:ascii="Arial" w:hAnsi="Arial" w:cs="Arial"/>
          <w:color w:val="000000" w:themeColor="text1"/>
          <w:sz w:val="20"/>
          <w:szCs w:val="20"/>
        </w:rPr>
        <w:t>Mipymes</w:t>
      </w:r>
      <w:proofErr w:type="spellEnd"/>
      <w:r w:rsidRPr="00074FEF">
        <w:rPr>
          <w:rFonts w:ascii="Arial" w:hAnsi="Arial" w:cs="Arial"/>
          <w:color w:val="000000" w:themeColor="text1"/>
          <w:sz w:val="20"/>
          <w:szCs w:val="20"/>
        </w:rPr>
        <w:t xml:space="preserve"> nacionales. Por el otro, el artículo </w:t>
      </w:r>
      <w:r w:rsidRPr="00074FEF">
        <w:rPr>
          <w:rFonts w:ascii="Arial" w:eastAsia="Calibri" w:hAnsi="Arial" w:cs="Arial"/>
          <w:color w:val="000000" w:themeColor="text1"/>
          <w:sz w:val="20"/>
          <w:szCs w:val="20"/>
        </w:rPr>
        <w:t xml:space="preserve">2.2.1.2.4.2.3. </w:t>
      </w:r>
      <w:r w:rsidRPr="00074FEF">
        <w:rPr>
          <w:rFonts w:ascii="Arial" w:hAnsi="Arial" w:cs="Arial"/>
          <w:color w:val="000000" w:themeColor="text1"/>
          <w:sz w:val="20"/>
          <w:szCs w:val="20"/>
        </w:rPr>
        <w:t xml:space="preserve">establece la posibilidad de limitar la convocatoria a </w:t>
      </w:r>
      <w:proofErr w:type="spellStart"/>
      <w:r w:rsidRPr="00074FEF">
        <w:rPr>
          <w:rFonts w:ascii="Arial" w:hAnsi="Arial" w:cs="Arial"/>
          <w:color w:val="000000" w:themeColor="text1"/>
          <w:sz w:val="20"/>
          <w:szCs w:val="20"/>
        </w:rPr>
        <w:t>Mipymes</w:t>
      </w:r>
      <w:proofErr w:type="spellEnd"/>
      <w:r w:rsidRPr="00074FEF">
        <w:rPr>
          <w:rFonts w:ascii="Arial" w:hAnsi="Arial" w:cs="Arial"/>
          <w:color w:val="000000" w:themeColor="text1"/>
          <w:sz w:val="20"/>
          <w:szCs w:val="20"/>
        </w:rPr>
        <w:t xml:space="preserve"> nacionales domiciliadas en los departamentos o municipios en donde se va a ejecutar el contrato, por supuesto, siempre que la entidad así lo decida y solo si se cumplen las exigencias del artículo </w:t>
      </w:r>
      <w:r w:rsidRPr="00074FEF">
        <w:rPr>
          <w:rFonts w:ascii="Arial" w:eastAsia="Calibri" w:hAnsi="Arial" w:cs="Arial"/>
          <w:color w:val="000000" w:themeColor="text1"/>
          <w:sz w:val="20"/>
          <w:szCs w:val="20"/>
        </w:rPr>
        <w:t>2.2.1.2.4.2.2.</w:t>
      </w:r>
    </w:p>
    <w:p w14:paraId="5588BE73" w14:textId="77777777" w:rsidR="00BE2D8F" w:rsidRPr="002F62E7" w:rsidRDefault="00BE2D8F" w:rsidP="00074FEF">
      <w:pPr>
        <w:spacing w:after="120" w:line="276" w:lineRule="auto"/>
        <w:jc w:val="both"/>
        <w:rPr>
          <w:rFonts w:ascii="Arial" w:hAnsi="Arial" w:cs="Arial"/>
          <w:b/>
        </w:rPr>
      </w:pPr>
    </w:p>
    <w:p w14:paraId="3BA3075D" w14:textId="09D0B7F1" w:rsidR="002F62E7" w:rsidRDefault="002F62E7" w:rsidP="00074FEF">
      <w:pPr>
        <w:spacing w:after="120" w:line="276" w:lineRule="auto"/>
        <w:jc w:val="both"/>
        <w:rPr>
          <w:rFonts w:ascii="Arial" w:hAnsi="Arial" w:cs="Arial"/>
          <w:b/>
        </w:rPr>
      </w:pPr>
      <w:r w:rsidRPr="002F62E7">
        <w:rPr>
          <w:rFonts w:ascii="Arial" w:hAnsi="Arial" w:cs="Arial"/>
          <w:b/>
        </w:rPr>
        <w:t>CONVOCATORIAS LIMITADAS A MIPYMES – Modalidades – Ámbitos – Nac</w:t>
      </w:r>
      <w:r w:rsidRPr="002F62E7">
        <w:rPr>
          <w:rFonts w:ascii="Arial" w:hAnsi="Arial" w:cs="Arial"/>
          <w:b/>
        </w:rPr>
        <w:t xml:space="preserve">ional – Territorial </w:t>
      </w:r>
    </w:p>
    <w:p w14:paraId="272D541F" w14:textId="77777777" w:rsidR="00BE2D8F" w:rsidRPr="002F62E7" w:rsidRDefault="00BE2D8F" w:rsidP="00074FEF">
      <w:pPr>
        <w:spacing w:after="120" w:line="276" w:lineRule="auto"/>
        <w:jc w:val="both"/>
        <w:rPr>
          <w:rFonts w:ascii="Arial" w:hAnsi="Arial" w:cs="Arial"/>
          <w:b/>
        </w:rPr>
      </w:pPr>
    </w:p>
    <w:p w14:paraId="6791AF10" w14:textId="4431A0B2" w:rsidR="00074FEF" w:rsidRPr="00074FEF" w:rsidRDefault="00074FEF" w:rsidP="00074FEF">
      <w:pPr>
        <w:spacing w:before="120" w:line="276" w:lineRule="auto"/>
        <w:jc w:val="both"/>
        <w:rPr>
          <w:rFonts w:ascii="Arial" w:eastAsia="Calibri" w:hAnsi="Arial" w:cs="Arial"/>
          <w:color w:val="000000" w:themeColor="text1"/>
        </w:rPr>
      </w:pPr>
      <w:r>
        <w:rPr>
          <w:rFonts w:ascii="Arial" w:eastAsia="Calibri" w:hAnsi="Arial" w:cs="Arial"/>
          <w:color w:val="000000" w:themeColor="text1"/>
        </w:rPr>
        <w:lastRenderedPageBreak/>
        <w:t>E</w:t>
      </w:r>
      <w:r w:rsidRPr="00140FFB">
        <w:rPr>
          <w:rFonts w:ascii="Arial" w:eastAsia="Calibri" w:hAnsi="Arial" w:cs="Arial"/>
          <w:color w:val="000000" w:themeColor="text1"/>
        </w:rPr>
        <w:t xml:space="preserve">sta Agencia considera que, de un lado, siempre que se solicite la limitación a </w:t>
      </w:r>
      <w:proofErr w:type="spellStart"/>
      <w:r w:rsidRPr="00140FFB">
        <w:rPr>
          <w:rFonts w:ascii="Arial" w:eastAsia="Calibri" w:hAnsi="Arial" w:cs="Arial"/>
          <w:color w:val="000000" w:themeColor="text1"/>
        </w:rPr>
        <w:t>mipymes</w:t>
      </w:r>
      <w:proofErr w:type="spellEnd"/>
      <w:r w:rsidRPr="00140FFB">
        <w:rPr>
          <w:rFonts w:ascii="Arial" w:eastAsia="Calibri" w:hAnsi="Arial" w:cs="Arial"/>
          <w:color w:val="000000" w:themeColor="text1"/>
        </w:rPr>
        <w:t xml:space="preserve"> nacionales y se den los supuestos consagrados en el artículo 2.2.1.2.4.2.2 del Decreto 1082 de 2015, la entidad pública deberá limitar la convocatoria a </w:t>
      </w:r>
      <w:proofErr w:type="spellStart"/>
      <w:r w:rsidRPr="00140FFB">
        <w:rPr>
          <w:rFonts w:ascii="Arial" w:eastAsia="Calibri" w:hAnsi="Arial" w:cs="Arial"/>
          <w:color w:val="000000" w:themeColor="text1"/>
        </w:rPr>
        <w:t>mipymes</w:t>
      </w:r>
      <w:proofErr w:type="spellEnd"/>
      <w:r w:rsidRPr="00140FFB">
        <w:rPr>
          <w:rFonts w:ascii="Arial" w:eastAsia="Calibri" w:hAnsi="Arial" w:cs="Arial"/>
          <w:color w:val="000000" w:themeColor="text1"/>
        </w:rPr>
        <w:t xml:space="preserve"> nacionales, en todos los procesos de contratación y sin consideración a que previamente se haya declarado desierto dicho proceso. Lo anterior, porque como viene de indicarse, el verbo rector de la norma es “deberá” de lo que nace la obligación por parte de las entidades públicas de realizar la limitación en el ámbito nacional.  </w:t>
      </w:r>
    </w:p>
    <w:p w14:paraId="654B6167" w14:textId="77777777" w:rsidR="00074FEF" w:rsidRDefault="00074FEF" w:rsidP="00074FEF">
      <w:pPr>
        <w:spacing w:after="120" w:line="276" w:lineRule="auto"/>
        <w:jc w:val="both"/>
        <w:rPr>
          <w:rFonts w:ascii="Arial" w:hAnsi="Arial" w:cs="Arial"/>
          <w:b/>
        </w:rPr>
      </w:pPr>
    </w:p>
    <w:p w14:paraId="39173EA6" w14:textId="05353553" w:rsidR="002F62E7" w:rsidRPr="002F62E7" w:rsidRDefault="002F62E7" w:rsidP="00074FEF">
      <w:pPr>
        <w:spacing w:after="120" w:line="276" w:lineRule="auto"/>
        <w:jc w:val="both"/>
        <w:rPr>
          <w:rFonts w:ascii="Arial" w:hAnsi="Arial" w:cs="Arial"/>
          <w:b/>
        </w:rPr>
      </w:pPr>
      <w:r w:rsidRPr="002F62E7">
        <w:rPr>
          <w:rFonts w:ascii="Arial" w:hAnsi="Arial" w:cs="Arial"/>
          <w:b/>
        </w:rPr>
        <w:t>CONVOCATORIAS LIMITADAS A MI</w:t>
      </w:r>
      <w:r w:rsidRPr="002F62E7">
        <w:rPr>
          <w:rFonts w:ascii="Arial" w:hAnsi="Arial" w:cs="Arial"/>
          <w:b/>
        </w:rPr>
        <w:t xml:space="preserve">PYMES NACIONALES – Requisitos </w:t>
      </w:r>
    </w:p>
    <w:p w14:paraId="07117F65" w14:textId="77777777" w:rsidR="00074FEF" w:rsidRPr="00074FEF" w:rsidRDefault="00074FEF" w:rsidP="00074FEF">
      <w:pPr>
        <w:spacing w:before="120" w:line="240" w:lineRule="auto"/>
        <w:jc w:val="both"/>
        <w:rPr>
          <w:rFonts w:ascii="Arial" w:hAnsi="Arial" w:cs="Arial"/>
          <w:color w:val="000000" w:themeColor="text1"/>
          <w:sz w:val="20"/>
          <w:szCs w:val="20"/>
        </w:rPr>
      </w:pPr>
      <w:r w:rsidRPr="00074FEF">
        <w:rPr>
          <w:rFonts w:ascii="Arial" w:hAnsi="Arial" w:cs="Arial"/>
          <w:color w:val="000000" w:themeColor="text1"/>
          <w:sz w:val="20"/>
          <w:szCs w:val="20"/>
        </w:rPr>
        <w:t xml:space="preserve">Puede decirse, entonces, que el Decreto 1082 de 2015, modificado por el Decreto 1860 de 2021, regula la limitación de convocatorias a </w:t>
      </w:r>
      <w:proofErr w:type="spellStart"/>
      <w:r w:rsidRPr="00074FEF">
        <w:rPr>
          <w:rFonts w:ascii="Arial" w:hAnsi="Arial" w:cs="Arial"/>
          <w:color w:val="000000" w:themeColor="text1"/>
          <w:sz w:val="20"/>
          <w:szCs w:val="20"/>
        </w:rPr>
        <w:t>Mipymes</w:t>
      </w:r>
      <w:proofErr w:type="spellEnd"/>
      <w:r w:rsidRPr="00074FEF">
        <w:rPr>
          <w:rFonts w:ascii="Arial" w:hAnsi="Arial" w:cs="Arial"/>
          <w:color w:val="000000" w:themeColor="text1"/>
          <w:sz w:val="20"/>
          <w:szCs w:val="20"/>
        </w:rPr>
        <w:t xml:space="preserve"> en dos normas distintas, las cuales, sin embargo, deben leerse conjunta y armónicamente. Por un lado, una disposición prevé los requisitos generales para que la entidad limite sus convocatorias a </w:t>
      </w:r>
      <w:proofErr w:type="spellStart"/>
      <w:r w:rsidRPr="00074FEF">
        <w:rPr>
          <w:rFonts w:ascii="Arial" w:hAnsi="Arial" w:cs="Arial"/>
          <w:color w:val="000000" w:themeColor="text1"/>
          <w:sz w:val="20"/>
          <w:szCs w:val="20"/>
        </w:rPr>
        <w:t>Mipymes</w:t>
      </w:r>
      <w:proofErr w:type="spellEnd"/>
      <w:r w:rsidRPr="00074FEF">
        <w:rPr>
          <w:rFonts w:ascii="Arial" w:hAnsi="Arial" w:cs="Arial"/>
          <w:color w:val="000000" w:themeColor="text1"/>
          <w:sz w:val="20"/>
          <w:szCs w:val="20"/>
        </w:rPr>
        <w:t xml:space="preserve"> nacionales “</w:t>
      </w:r>
      <w:r w:rsidRPr="00074FEF">
        <w:rPr>
          <w:rFonts w:ascii="Arial" w:hAnsi="Arial" w:cs="Arial"/>
          <w:i/>
          <w:iCs/>
          <w:color w:val="000000" w:themeColor="text1"/>
          <w:sz w:val="20"/>
          <w:szCs w:val="20"/>
        </w:rPr>
        <w:t>infra</w:t>
      </w:r>
      <w:r w:rsidRPr="00074FEF">
        <w:rPr>
          <w:rFonts w:ascii="Arial" w:hAnsi="Arial" w:cs="Arial"/>
          <w:color w:val="000000" w:themeColor="text1"/>
          <w:sz w:val="20"/>
          <w:szCs w:val="20"/>
        </w:rPr>
        <w:t xml:space="preserve"> literal a” y, por el otro, la otra establece la posibilidad de regular la convocatoria a </w:t>
      </w:r>
      <w:proofErr w:type="spellStart"/>
      <w:r w:rsidRPr="00074FEF">
        <w:rPr>
          <w:rFonts w:ascii="Arial" w:hAnsi="Arial" w:cs="Arial"/>
          <w:color w:val="000000" w:themeColor="text1"/>
          <w:sz w:val="20"/>
          <w:szCs w:val="20"/>
        </w:rPr>
        <w:t>Mipymes</w:t>
      </w:r>
      <w:proofErr w:type="spellEnd"/>
      <w:r w:rsidRPr="00074FEF">
        <w:rPr>
          <w:rFonts w:ascii="Arial" w:hAnsi="Arial" w:cs="Arial"/>
          <w:color w:val="000000" w:themeColor="text1"/>
          <w:sz w:val="20"/>
          <w:szCs w:val="20"/>
        </w:rPr>
        <w:t xml:space="preserve"> nacionales domiciliadas en los departamentos o municipios en donde se va a ejecutar el contrato “</w:t>
      </w:r>
      <w:r w:rsidRPr="00074FEF">
        <w:rPr>
          <w:rFonts w:ascii="Arial" w:hAnsi="Arial" w:cs="Arial"/>
          <w:i/>
          <w:iCs/>
          <w:color w:val="000000" w:themeColor="text1"/>
          <w:sz w:val="20"/>
          <w:szCs w:val="20"/>
        </w:rPr>
        <w:t xml:space="preserve">infra </w:t>
      </w:r>
      <w:r w:rsidRPr="00074FEF">
        <w:rPr>
          <w:rFonts w:ascii="Arial" w:hAnsi="Arial" w:cs="Arial"/>
          <w:color w:val="000000" w:themeColor="text1"/>
          <w:sz w:val="20"/>
          <w:szCs w:val="20"/>
        </w:rPr>
        <w:t xml:space="preserve">literal b”. </w:t>
      </w:r>
    </w:p>
    <w:p w14:paraId="4551071B" w14:textId="77777777" w:rsidR="00074FEF" w:rsidRPr="00074FEF" w:rsidRDefault="00074FEF" w:rsidP="00074FEF">
      <w:pPr>
        <w:spacing w:before="120" w:line="240" w:lineRule="auto"/>
        <w:jc w:val="both"/>
        <w:rPr>
          <w:rFonts w:ascii="Arial" w:hAnsi="Arial" w:cs="Arial"/>
          <w:color w:val="000000" w:themeColor="text1"/>
          <w:sz w:val="20"/>
          <w:szCs w:val="20"/>
        </w:rPr>
      </w:pPr>
      <w:r w:rsidRPr="00074FEF">
        <w:rPr>
          <w:rFonts w:ascii="Arial" w:hAnsi="Arial" w:cs="Arial"/>
          <w:color w:val="000000" w:themeColor="text1"/>
          <w:sz w:val="20"/>
          <w:szCs w:val="20"/>
        </w:rPr>
        <w:t xml:space="preserve">Es de resaltar que estas normas se refieren a las </w:t>
      </w:r>
      <w:proofErr w:type="spellStart"/>
      <w:r w:rsidRPr="00074FEF">
        <w:rPr>
          <w:rFonts w:ascii="Arial" w:hAnsi="Arial" w:cs="Arial"/>
          <w:color w:val="000000" w:themeColor="text1"/>
          <w:sz w:val="20"/>
          <w:szCs w:val="20"/>
        </w:rPr>
        <w:t>Mipymes</w:t>
      </w:r>
      <w:proofErr w:type="spellEnd"/>
      <w:r w:rsidRPr="00074FEF">
        <w:rPr>
          <w:rFonts w:ascii="Arial" w:hAnsi="Arial" w:cs="Arial"/>
          <w:color w:val="000000" w:themeColor="text1"/>
          <w:sz w:val="20"/>
          <w:szCs w:val="20"/>
        </w:rPr>
        <w:t xml:space="preserve"> nacionales genéricamente y, particularmente, a las </w:t>
      </w:r>
      <w:proofErr w:type="spellStart"/>
      <w:r w:rsidRPr="00074FEF">
        <w:rPr>
          <w:rFonts w:ascii="Arial" w:hAnsi="Arial" w:cs="Arial"/>
          <w:color w:val="000000" w:themeColor="text1"/>
          <w:sz w:val="20"/>
          <w:szCs w:val="20"/>
        </w:rPr>
        <w:t>Mipymes</w:t>
      </w:r>
      <w:proofErr w:type="spellEnd"/>
      <w:r w:rsidRPr="00074FEF">
        <w:rPr>
          <w:rFonts w:ascii="Arial" w:hAnsi="Arial" w:cs="Arial"/>
          <w:color w:val="000000" w:themeColor="text1"/>
          <w:sz w:val="20"/>
          <w:szCs w:val="20"/>
        </w:rPr>
        <w:t xml:space="preserve"> nacionales “domiciliadas en los departamentos o municipios en donde se va a ejecutar el contrato”. En ambos casos se refiere a </w:t>
      </w:r>
      <w:proofErr w:type="spellStart"/>
      <w:r w:rsidRPr="00074FEF">
        <w:rPr>
          <w:rFonts w:ascii="Arial" w:hAnsi="Arial" w:cs="Arial"/>
          <w:color w:val="000000" w:themeColor="text1"/>
          <w:sz w:val="20"/>
          <w:szCs w:val="20"/>
        </w:rPr>
        <w:t>Mipymes</w:t>
      </w:r>
      <w:proofErr w:type="spellEnd"/>
      <w:r w:rsidRPr="00074FEF">
        <w:rPr>
          <w:rFonts w:ascii="Arial" w:hAnsi="Arial" w:cs="Arial"/>
          <w:color w:val="000000" w:themeColor="text1"/>
          <w:sz w:val="20"/>
          <w:szCs w:val="20"/>
        </w:rPr>
        <w:t xml:space="preserve"> nacionales, distinguiéndolas de las empresas extranjeras. Del artículo 2.2.1.2.4.2.3. del Decreto 1082 de 2015 no se deriva que existan </w:t>
      </w:r>
      <w:proofErr w:type="spellStart"/>
      <w:r w:rsidRPr="00074FEF">
        <w:rPr>
          <w:rFonts w:ascii="Arial" w:hAnsi="Arial" w:cs="Arial"/>
          <w:color w:val="000000" w:themeColor="text1"/>
          <w:sz w:val="20"/>
          <w:szCs w:val="20"/>
        </w:rPr>
        <w:t>Mipymes</w:t>
      </w:r>
      <w:proofErr w:type="spellEnd"/>
      <w:r w:rsidRPr="00074FEF">
        <w:rPr>
          <w:rFonts w:ascii="Arial" w:hAnsi="Arial" w:cs="Arial"/>
          <w:color w:val="000000" w:themeColor="text1"/>
          <w:sz w:val="20"/>
          <w:szCs w:val="20"/>
        </w:rPr>
        <w:t xml:space="preserve"> del orden territorial. Esta categoría no existe en el ordenamiento jurídico. En ese sentido, toda empresa constituida bajo las leyes colombianas o que tenga su domicilio principal en el territorio colombiano y, además, cumpla los criterios previstos por la Ley 590 de 2000 y el Decreto 957 de 2019, será considerada </w:t>
      </w:r>
      <w:proofErr w:type="spellStart"/>
      <w:r w:rsidRPr="00074FEF">
        <w:rPr>
          <w:rFonts w:ascii="Arial" w:hAnsi="Arial" w:cs="Arial"/>
          <w:color w:val="000000" w:themeColor="text1"/>
          <w:sz w:val="20"/>
          <w:szCs w:val="20"/>
        </w:rPr>
        <w:t>Mipyme</w:t>
      </w:r>
      <w:proofErr w:type="spellEnd"/>
      <w:r w:rsidRPr="00074FEF">
        <w:rPr>
          <w:rFonts w:ascii="Arial" w:hAnsi="Arial" w:cs="Arial"/>
          <w:color w:val="000000" w:themeColor="text1"/>
          <w:sz w:val="20"/>
          <w:szCs w:val="20"/>
        </w:rPr>
        <w:t xml:space="preserve"> del orden nacional. Otra cosa es que las normas de contratación permitan que las </w:t>
      </w:r>
      <w:proofErr w:type="spellStart"/>
      <w:r w:rsidRPr="00074FEF">
        <w:rPr>
          <w:rFonts w:ascii="Arial" w:hAnsi="Arial" w:cs="Arial"/>
          <w:color w:val="000000" w:themeColor="text1"/>
          <w:sz w:val="20"/>
          <w:szCs w:val="20"/>
        </w:rPr>
        <w:t>Mipymes</w:t>
      </w:r>
      <w:proofErr w:type="spellEnd"/>
      <w:r w:rsidRPr="00074FEF">
        <w:rPr>
          <w:rFonts w:ascii="Arial" w:hAnsi="Arial" w:cs="Arial"/>
          <w:color w:val="000000" w:themeColor="text1"/>
          <w:sz w:val="20"/>
          <w:szCs w:val="20"/>
        </w:rPr>
        <w:t xml:space="preserve"> nacionales con “domicilio” en un municipio o departamento puedan beneficiarse para ejecutar un contrato en dichos municipios o departamentos. De todos modos, las </w:t>
      </w:r>
      <w:proofErr w:type="spellStart"/>
      <w:r w:rsidRPr="00074FEF">
        <w:rPr>
          <w:rFonts w:ascii="Arial" w:hAnsi="Arial" w:cs="Arial"/>
          <w:color w:val="000000" w:themeColor="text1"/>
          <w:sz w:val="20"/>
          <w:szCs w:val="20"/>
        </w:rPr>
        <w:t>Mipymes</w:t>
      </w:r>
      <w:proofErr w:type="spellEnd"/>
      <w:r w:rsidRPr="00074FEF">
        <w:rPr>
          <w:rFonts w:ascii="Arial" w:hAnsi="Arial" w:cs="Arial"/>
          <w:color w:val="000000" w:themeColor="text1"/>
          <w:sz w:val="20"/>
          <w:szCs w:val="20"/>
        </w:rPr>
        <w:t xml:space="preserve"> domiciliadas en un municipio o departamento son </w:t>
      </w:r>
      <w:proofErr w:type="spellStart"/>
      <w:r w:rsidRPr="00074FEF">
        <w:rPr>
          <w:rFonts w:ascii="Arial" w:hAnsi="Arial" w:cs="Arial"/>
          <w:color w:val="000000" w:themeColor="text1"/>
          <w:sz w:val="20"/>
          <w:szCs w:val="20"/>
        </w:rPr>
        <w:t>Mipymes</w:t>
      </w:r>
      <w:proofErr w:type="spellEnd"/>
      <w:r w:rsidRPr="00074FEF">
        <w:rPr>
          <w:rFonts w:ascii="Arial" w:hAnsi="Arial" w:cs="Arial"/>
          <w:color w:val="000000" w:themeColor="text1"/>
          <w:sz w:val="20"/>
          <w:szCs w:val="20"/>
        </w:rPr>
        <w:t xml:space="preserve"> nacionales. En consecuencia, no es procedente distinguir entre </w:t>
      </w:r>
      <w:proofErr w:type="spellStart"/>
      <w:r w:rsidRPr="00074FEF">
        <w:rPr>
          <w:rFonts w:ascii="Arial" w:hAnsi="Arial" w:cs="Arial"/>
          <w:color w:val="000000" w:themeColor="text1"/>
          <w:sz w:val="20"/>
          <w:szCs w:val="20"/>
        </w:rPr>
        <w:t>Mipymes</w:t>
      </w:r>
      <w:proofErr w:type="spellEnd"/>
      <w:r w:rsidRPr="00074FEF">
        <w:rPr>
          <w:rFonts w:ascii="Arial" w:hAnsi="Arial" w:cs="Arial"/>
          <w:color w:val="000000" w:themeColor="text1"/>
          <w:sz w:val="20"/>
          <w:szCs w:val="20"/>
        </w:rPr>
        <w:t xml:space="preserve"> nacionales y </w:t>
      </w:r>
      <w:proofErr w:type="spellStart"/>
      <w:r w:rsidRPr="00074FEF">
        <w:rPr>
          <w:rFonts w:ascii="Arial" w:hAnsi="Arial" w:cs="Arial"/>
          <w:color w:val="000000" w:themeColor="text1"/>
          <w:sz w:val="20"/>
          <w:szCs w:val="20"/>
        </w:rPr>
        <w:t>Mipymes</w:t>
      </w:r>
      <w:proofErr w:type="spellEnd"/>
      <w:r w:rsidRPr="00074FEF">
        <w:rPr>
          <w:rFonts w:ascii="Arial" w:hAnsi="Arial" w:cs="Arial"/>
          <w:color w:val="000000" w:themeColor="text1"/>
          <w:sz w:val="20"/>
          <w:szCs w:val="20"/>
        </w:rPr>
        <w:t xml:space="preserve"> municipales o departamentales, habida cuenta que estas últimas no existen como categoría dentro del ordenamiento normativo.</w:t>
      </w:r>
    </w:p>
    <w:p w14:paraId="508A603D" w14:textId="77777777" w:rsidR="00074FEF" w:rsidRPr="00074FEF" w:rsidRDefault="00074FEF" w:rsidP="00074FEF">
      <w:pPr>
        <w:spacing w:before="120" w:line="240" w:lineRule="auto"/>
        <w:jc w:val="both"/>
        <w:rPr>
          <w:rFonts w:ascii="Arial" w:hAnsi="Arial" w:cs="Arial"/>
          <w:color w:val="000000" w:themeColor="text1"/>
          <w:sz w:val="20"/>
          <w:szCs w:val="20"/>
        </w:rPr>
      </w:pPr>
      <w:r w:rsidRPr="00074FEF">
        <w:rPr>
          <w:rFonts w:ascii="Arial" w:hAnsi="Arial" w:cs="Arial"/>
          <w:bCs/>
          <w:color w:val="000000" w:themeColor="text1"/>
          <w:sz w:val="20"/>
          <w:szCs w:val="20"/>
        </w:rPr>
        <w:t>a)</w:t>
      </w:r>
      <w:r w:rsidRPr="00074FEF">
        <w:rPr>
          <w:rFonts w:ascii="Arial" w:hAnsi="Arial" w:cs="Arial"/>
          <w:color w:val="000000" w:themeColor="text1"/>
          <w:sz w:val="20"/>
          <w:szCs w:val="20"/>
        </w:rPr>
        <w:t xml:space="preserve"> El artículo 2.2.1.2.4.2.2. del Decreto 1082 de 2015 establece los requisitos que se deben acreditar en las “convocatorias limitadas a </w:t>
      </w:r>
      <w:proofErr w:type="spellStart"/>
      <w:r w:rsidRPr="00074FEF">
        <w:rPr>
          <w:rFonts w:ascii="Arial" w:hAnsi="Arial" w:cs="Arial"/>
          <w:color w:val="000000" w:themeColor="text1"/>
          <w:sz w:val="20"/>
          <w:szCs w:val="20"/>
        </w:rPr>
        <w:t>Mipymes</w:t>
      </w:r>
      <w:proofErr w:type="spellEnd"/>
      <w:r w:rsidRPr="00074FEF">
        <w:rPr>
          <w:rFonts w:ascii="Arial" w:hAnsi="Arial" w:cs="Arial"/>
          <w:color w:val="000000" w:themeColor="text1"/>
          <w:sz w:val="20"/>
          <w:szCs w:val="20"/>
        </w:rPr>
        <w:t>”. El primer elemento delimitador del ámbito de aplicación de esta norma deriva del primer inciso en donde se estable que “</w:t>
      </w:r>
      <w:r w:rsidRPr="00074FEF">
        <w:rPr>
          <w:rFonts w:ascii="Arial" w:hAnsi="Arial" w:cs="Arial"/>
          <w:color w:val="000000"/>
          <w:sz w:val="20"/>
          <w:szCs w:val="20"/>
        </w:rPr>
        <w:t xml:space="preserve">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w:t>
      </w:r>
      <w:proofErr w:type="spellStart"/>
      <w:r w:rsidRPr="00074FEF">
        <w:rPr>
          <w:rFonts w:ascii="Arial" w:hAnsi="Arial" w:cs="Arial"/>
          <w:color w:val="000000"/>
          <w:sz w:val="20"/>
          <w:szCs w:val="20"/>
        </w:rPr>
        <w:t>Mipyme</w:t>
      </w:r>
      <w:proofErr w:type="spellEnd"/>
      <w:r w:rsidRPr="00074FEF">
        <w:rPr>
          <w:rFonts w:ascii="Arial" w:hAnsi="Arial" w:cs="Arial"/>
          <w:color w:val="000000"/>
          <w:sz w:val="20"/>
          <w:szCs w:val="20"/>
        </w:rPr>
        <w:t xml:space="preserve"> colombianas con mínimo un (1) año de existencia […]”. Esta redacción obedece a un cambio introducido por el Decreto 1860 de 2021, el cual solo permitía la limitación a </w:t>
      </w:r>
      <w:proofErr w:type="spellStart"/>
      <w:r w:rsidRPr="00074FEF">
        <w:rPr>
          <w:rFonts w:ascii="Arial" w:hAnsi="Arial" w:cs="Arial"/>
          <w:color w:val="000000"/>
          <w:sz w:val="20"/>
          <w:szCs w:val="20"/>
        </w:rPr>
        <w:t>mipymes</w:t>
      </w:r>
      <w:proofErr w:type="spellEnd"/>
      <w:r w:rsidRPr="00074FEF">
        <w:rPr>
          <w:rFonts w:ascii="Arial" w:hAnsi="Arial" w:cs="Arial"/>
          <w:color w:val="000000"/>
          <w:sz w:val="20"/>
          <w:szCs w:val="20"/>
        </w:rPr>
        <w:t xml:space="preserve"> nacionales en los procedimientos de licitación pública, selección abreviada y concurso de méritos.</w:t>
      </w:r>
      <w:r w:rsidRPr="00074FEF">
        <w:rPr>
          <w:rFonts w:ascii="Arial" w:hAnsi="Arial" w:cs="Arial"/>
          <w:color w:val="000000" w:themeColor="text1"/>
          <w:sz w:val="20"/>
          <w:szCs w:val="20"/>
        </w:rPr>
        <w:t xml:space="preserve"> </w:t>
      </w:r>
    </w:p>
    <w:p w14:paraId="679ADE4C" w14:textId="77777777" w:rsidR="00074FEF" w:rsidRPr="00074FEF" w:rsidRDefault="00074FEF" w:rsidP="00074FEF">
      <w:pPr>
        <w:spacing w:before="120" w:line="240" w:lineRule="auto"/>
        <w:jc w:val="both"/>
        <w:rPr>
          <w:rFonts w:ascii="Arial" w:hAnsi="Arial" w:cs="Arial"/>
          <w:color w:val="000000" w:themeColor="text1"/>
          <w:sz w:val="20"/>
          <w:szCs w:val="20"/>
        </w:rPr>
      </w:pPr>
      <w:r w:rsidRPr="00074FEF">
        <w:rPr>
          <w:rFonts w:ascii="Arial" w:hAnsi="Arial" w:cs="Arial"/>
          <w:color w:val="000000" w:themeColor="text1"/>
          <w:sz w:val="20"/>
          <w:szCs w:val="20"/>
        </w:rPr>
        <w:t xml:space="preserve">El numeral primero limita cuantitativamente los procesos contractuales en los que se puede hacer esa “convocatoria limitada a </w:t>
      </w:r>
      <w:proofErr w:type="spellStart"/>
      <w:r w:rsidRPr="00074FEF">
        <w:rPr>
          <w:rFonts w:ascii="Arial" w:hAnsi="Arial" w:cs="Arial"/>
          <w:color w:val="000000" w:themeColor="text1"/>
          <w:sz w:val="20"/>
          <w:szCs w:val="20"/>
        </w:rPr>
        <w:t>Mipymes</w:t>
      </w:r>
      <w:proofErr w:type="spellEnd"/>
      <w:r w:rsidRPr="00074FEF">
        <w:rPr>
          <w:rFonts w:ascii="Arial" w:hAnsi="Arial" w:cs="Arial"/>
          <w:color w:val="000000" w:themeColor="text1"/>
          <w:sz w:val="20"/>
          <w:szCs w:val="20"/>
        </w:rPr>
        <w:t xml:space="preserve">”, en la medida en que el valor del proceso de contratación tendrá que ser “menor a ciento veinticinco mil dólares de los Estados Unidos de América”. Esta limitante, valga la pena aclarar, es establecida de acuerdo con la tasa que, para el efecto, determine cada dos años el Ministerio de Comercio, Industria y Turismo. Nótese que la norma no hace </w:t>
      </w:r>
      <w:r w:rsidRPr="00074FEF">
        <w:rPr>
          <w:rFonts w:ascii="Arial" w:hAnsi="Arial" w:cs="Arial"/>
          <w:color w:val="000000" w:themeColor="text1"/>
          <w:sz w:val="20"/>
          <w:szCs w:val="20"/>
        </w:rPr>
        <w:lastRenderedPageBreak/>
        <w:t>referencia a la tasa de cambio representativa del mercado –TRM</w:t>
      </w:r>
      <w:r w:rsidRPr="00074FEF">
        <w:rPr>
          <w:rStyle w:val="Refdenotaalpie"/>
          <w:rFonts w:ascii="Arial" w:hAnsi="Arial" w:cs="Arial"/>
          <w:color w:val="000000" w:themeColor="text1"/>
          <w:sz w:val="20"/>
          <w:szCs w:val="20"/>
        </w:rPr>
        <w:footnoteReference w:id="1"/>
      </w:r>
      <w:r w:rsidRPr="00074FEF">
        <w:rPr>
          <w:rFonts w:ascii="Arial" w:hAnsi="Arial" w:cs="Arial"/>
          <w:color w:val="000000" w:themeColor="text1"/>
          <w:sz w:val="20"/>
          <w:szCs w:val="20"/>
        </w:rPr>
        <w:t>–, establecida diariamente por la Superintendencia Financiera de Colombia, según lo que establece el artículo 40 de la Resolución Externa No. 1 de 2018 y la Circular Reglamentaria Externa- DODM-146, ambas expedidas por el Banco de la República.</w:t>
      </w:r>
    </w:p>
    <w:p w14:paraId="3B4EF728" w14:textId="77777777" w:rsidR="00074FEF" w:rsidRPr="00074FEF" w:rsidRDefault="00074FEF" w:rsidP="00074FEF">
      <w:pPr>
        <w:spacing w:before="120" w:line="240" w:lineRule="auto"/>
        <w:jc w:val="both"/>
        <w:rPr>
          <w:rFonts w:ascii="Arial" w:hAnsi="Arial" w:cs="Arial"/>
          <w:color w:val="000000" w:themeColor="text1"/>
          <w:sz w:val="20"/>
          <w:szCs w:val="20"/>
        </w:rPr>
      </w:pPr>
      <w:r w:rsidRPr="00074FEF">
        <w:rPr>
          <w:rFonts w:ascii="Arial" w:hAnsi="Arial" w:cs="Arial"/>
          <w:color w:val="000000" w:themeColor="text1"/>
          <w:sz w:val="20"/>
          <w:szCs w:val="20"/>
        </w:rPr>
        <w:t>Para establecer dicha tasa, el Ministerio toma en cuenta como parámetros, por un lado, el promedio de la TRM</w:t>
      </w:r>
      <w:r w:rsidRPr="00074FEF">
        <w:rPr>
          <w:rStyle w:val="Refdenotaalpie"/>
          <w:rFonts w:ascii="Arial" w:hAnsi="Arial" w:cs="Arial"/>
          <w:color w:val="000000" w:themeColor="text1"/>
          <w:sz w:val="20"/>
          <w:szCs w:val="20"/>
        </w:rPr>
        <w:footnoteReference w:id="2"/>
      </w:r>
      <w:r w:rsidRPr="00074FEF">
        <w:rPr>
          <w:rFonts w:ascii="Arial" w:hAnsi="Arial" w:cs="Arial"/>
          <w:color w:val="000000" w:themeColor="text1"/>
          <w:sz w:val="20"/>
          <w:szCs w:val="20"/>
        </w:rPr>
        <w:t xml:space="preserve"> de los dos años anteriores al periodo a calcular y, por el otro, los “veinticinco mil dólares de los Estados Unidos de América” a los que se refiere el numeral 1º del artículo 2.2.1.2.4.2.2. del Decreto 1082 de 2015. Así lo ha hecho para los periodos 2015</w:t>
      </w:r>
      <w:r w:rsidRPr="00074FEF">
        <w:rPr>
          <w:rStyle w:val="Refdenotaalpie"/>
          <w:rFonts w:ascii="Arial" w:hAnsi="Arial" w:cs="Arial"/>
          <w:color w:val="000000" w:themeColor="text1"/>
          <w:sz w:val="20"/>
          <w:szCs w:val="20"/>
        </w:rPr>
        <w:footnoteReference w:id="3"/>
      </w:r>
      <w:r w:rsidRPr="00074FEF">
        <w:rPr>
          <w:rFonts w:ascii="Arial" w:hAnsi="Arial" w:cs="Arial"/>
          <w:color w:val="000000" w:themeColor="text1"/>
          <w:sz w:val="20"/>
          <w:szCs w:val="20"/>
        </w:rPr>
        <w:t>-2017, 2018-2019 y 2020-2021 (vigente)</w:t>
      </w:r>
      <w:r w:rsidRPr="00074FEF">
        <w:rPr>
          <w:rStyle w:val="Refdenotaalpie"/>
          <w:rFonts w:ascii="Arial" w:hAnsi="Arial" w:cs="Arial"/>
          <w:color w:val="000000" w:themeColor="text1"/>
          <w:sz w:val="20"/>
          <w:szCs w:val="20"/>
        </w:rPr>
        <w:footnoteReference w:id="4"/>
      </w:r>
      <w:r w:rsidRPr="00074FEF">
        <w:rPr>
          <w:rFonts w:ascii="Arial" w:hAnsi="Arial" w:cs="Arial"/>
          <w:color w:val="000000" w:themeColor="text1"/>
          <w:sz w:val="20"/>
          <w:szCs w:val="20"/>
        </w:rPr>
        <w:t xml:space="preserve">. Esta entidad, por otro lado, en ejercicio de sus competencias legales y reglamentarias, está encargada de la publicación de la información en su portal Web: </w:t>
      </w:r>
      <w:hyperlink r:id="rId8" w:history="1">
        <w:r w:rsidRPr="00074FEF">
          <w:rPr>
            <w:rStyle w:val="Hipervnculo"/>
            <w:rFonts w:ascii="Arial" w:hAnsi="Arial" w:cs="Arial"/>
            <w:sz w:val="20"/>
            <w:szCs w:val="20"/>
          </w:rPr>
          <w:t>https://www.colombiacompra.gov.co/</w:t>
        </w:r>
      </w:hyperlink>
      <w:r w:rsidRPr="00074FEF">
        <w:rPr>
          <w:rFonts w:ascii="Arial" w:hAnsi="Arial" w:cs="Arial"/>
          <w:color w:val="000000" w:themeColor="text1"/>
          <w:sz w:val="20"/>
          <w:szCs w:val="20"/>
        </w:rPr>
        <w:t>.</w:t>
      </w:r>
    </w:p>
    <w:p w14:paraId="5F6C826F" w14:textId="77777777" w:rsidR="00074FEF" w:rsidRPr="00074FEF" w:rsidRDefault="00074FEF" w:rsidP="00074FEF">
      <w:pPr>
        <w:spacing w:before="120" w:line="240" w:lineRule="auto"/>
        <w:jc w:val="both"/>
        <w:rPr>
          <w:rFonts w:ascii="Arial" w:hAnsi="Arial" w:cs="Arial"/>
          <w:color w:val="000000" w:themeColor="text1"/>
          <w:sz w:val="20"/>
          <w:szCs w:val="20"/>
        </w:rPr>
      </w:pPr>
      <w:r w:rsidRPr="00074FEF">
        <w:rPr>
          <w:rFonts w:ascii="Arial" w:hAnsi="Arial" w:cs="Arial"/>
          <w:color w:val="000000" w:themeColor="text1"/>
          <w:sz w:val="20"/>
          <w:szCs w:val="20"/>
        </w:rPr>
        <w:t xml:space="preserve">El numeral segundo establece dos exigencias: por un lado, que al menos dos (2) </w:t>
      </w:r>
      <w:proofErr w:type="spellStart"/>
      <w:r w:rsidRPr="00074FEF">
        <w:rPr>
          <w:rFonts w:ascii="Arial" w:hAnsi="Arial" w:cs="Arial"/>
          <w:color w:val="000000" w:themeColor="text1"/>
          <w:sz w:val="20"/>
          <w:szCs w:val="20"/>
        </w:rPr>
        <w:t>Mipymes</w:t>
      </w:r>
      <w:proofErr w:type="spellEnd"/>
      <w:r w:rsidRPr="00074FEF">
        <w:rPr>
          <w:rFonts w:ascii="Arial" w:hAnsi="Arial" w:cs="Arial"/>
          <w:color w:val="000000" w:themeColor="text1"/>
          <w:sz w:val="20"/>
          <w:szCs w:val="20"/>
        </w:rPr>
        <w:t xml:space="preserve"> nacionales presenten a la entidad la solicitud formal de limitar el proceso contractual; y por el otro, que hagan la solicitud por lo menos un (1) día hábil antes de la expedición del acto administrativo de apertura, o el que haga sus veces de acuerdo con la normativa aplicable a cada Proceso de Contratación. Adicionalmente, el segundo inciso del numeral 2 de la norma indica que, tratándose de personas jurídicas, las solicitudes solo podrán realizarla las “[…] </w:t>
      </w:r>
      <w:proofErr w:type="spellStart"/>
      <w:r w:rsidRPr="00074FEF">
        <w:rPr>
          <w:rFonts w:ascii="Arial" w:hAnsi="Arial" w:cs="Arial"/>
          <w:color w:val="000000" w:themeColor="text1"/>
          <w:sz w:val="20"/>
          <w:szCs w:val="20"/>
        </w:rPr>
        <w:t>Mipyme</w:t>
      </w:r>
      <w:proofErr w:type="spellEnd"/>
      <w:r w:rsidRPr="00074FEF">
        <w:rPr>
          <w:rFonts w:ascii="Arial" w:hAnsi="Arial" w:cs="Arial"/>
          <w:color w:val="000000" w:themeColor="text1"/>
          <w:sz w:val="20"/>
          <w:szCs w:val="20"/>
        </w:rPr>
        <w:t>, cuyo objeto social les permita ejecutar el contrato relacionado con el proceso contractual”.</w:t>
      </w:r>
    </w:p>
    <w:p w14:paraId="661BE4AB" w14:textId="5151B619" w:rsidR="002F62E7" w:rsidRDefault="002F62E7" w:rsidP="00074FEF">
      <w:pPr>
        <w:spacing w:after="120" w:line="276" w:lineRule="auto"/>
        <w:jc w:val="both"/>
        <w:rPr>
          <w:rFonts w:ascii="Arial" w:hAnsi="Arial" w:cs="Arial"/>
          <w:b/>
        </w:rPr>
      </w:pPr>
    </w:p>
    <w:p w14:paraId="46C3CB00" w14:textId="77777777" w:rsidR="00BE2D8F" w:rsidRPr="002F62E7" w:rsidRDefault="00BE2D8F" w:rsidP="00074FEF">
      <w:pPr>
        <w:spacing w:after="120" w:line="276" w:lineRule="auto"/>
        <w:jc w:val="both"/>
        <w:rPr>
          <w:rFonts w:ascii="Arial" w:hAnsi="Arial" w:cs="Arial"/>
          <w:b/>
        </w:rPr>
      </w:pPr>
    </w:p>
    <w:p w14:paraId="3B90CC52" w14:textId="77777777" w:rsidR="002F62E7" w:rsidRPr="002F62E7" w:rsidRDefault="002F62E7" w:rsidP="00074FEF">
      <w:pPr>
        <w:spacing w:after="120" w:line="276" w:lineRule="auto"/>
        <w:jc w:val="both"/>
        <w:rPr>
          <w:rFonts w:ascii="Arial" w:hAnsi="Arial" w:cs="Arial"/>
          <w:b/>
        </w:rPr>
      </w:pPr>
      <w:r w:rsidRPr="002F62E7">
        <w:rPr>
          <w:rFonts w:ascii="Arial" w:hAnsi="Arial" w:cs="Arial"/>
          <w:b/>
        </w:rPr>
        <w:t>CONVOCATORIAS LIMITADAS A MIPYMES EN EL ÁMBITO TERRITORIAL – Limitación territ</w:t>
      </w:r>
      <w:r w:rsidRPr="002F62E7">
        <w:rPr>
          <w:rFonts w:ascii="Arial" w:hAnsi="Arial" w:cs="Arial"/>
          <w:b/>
        </w:rPr>
        <w:t xml:space="preserve">orial – Facultad discrecional </w:t>
      </w:r>
    </w:p>
    <w:p w14:paraId="06B32424" w14:textId="7B2C20B8" w:rsidR="00074FEF" w:rsidRPr="00074FEF" w:rsidRDefault="00074FEF" w:rsidP="00074FEF">
      <w:pPr>
        <w:spacing w:before="120" w:line="276" w:lineRule="auto"/>
        <w:jc w:val="both"/>
        <w:rPr>
          <w:rFonts w:ascii="Arial" w:eastAsia="Calibri" w:hAnsi="Arial" w:cs="Arial"/>
          <w:color w:val="000000" w:themeColor="text1"/>
          <w:sz w:val="20"/>
          <w:szCs w:val="20"/>
        </w:rPr>
      </w:pPr>
      <w:r w:rsidRPr="00074FEF">
        <w:rPr>
          <w:rFonts w:ascii="Arial" w:eastAsia="Calibri" w:hAnsi="Arial" w:cs="Arial"/>
          <w:color w:val="000000" w:themeColor="text1"/>
          <w:sz w:val="20"/>
          <w:szCs w:val="20"/>
        </w:rPr>
        <w:t xml:space="preserve">De otro lado, frente a la limitación territorial, considera esta Agencia que la decisión de limitar </w:t>
      </w:r>
      <w:r w:rsidRPr="00074FEF">
        <w:rPr>
          <w:rFonts w:ascii="Arial" w:eastAsia="Calibri" w:hAnsi="Arial" w:cs="Arial"/>
          <w:i/>
          <w:iCs/>
          <w:color w:val="000000" w:themeColor="text1"/>
          <w:sz w:val="20"/>
          <w:szCs w:val="20"/>
        </w:rPr>
        <w:t>territorialmente</w:t>
      </w:r>
      <w:r w:rsidRPr="00074FEF">
        <w:rPr>
          <w:rFonts w:ascii="Arial" w:eastAsia="Calibri" w:hAnsi="Arial" w:cs="Arial"/>
          <w:color w:val="000000" w:themeColor="text1"/>
          <w:sz w:val="20"/>
          <w:szCs w:val="20"/>
        </w:rPr>
        <w:t xml:space="preserve"> una convocatoria a </w:t>
      </w:r>
      <w:proofErr w:type="spellStart"/>
      <w:r w:rsidRPr="00074FEF">
        <w:rPr>
          <w:rFonts w:ascii="Arial" w:eastAsia="Calibri" w:hAnsi="Arial" w:cs="Arial"/>
          <w:color w:val="000000" w:themeColor="text1"/>
          <w:sz w:val="20"/>
          <w:szCs w:val="20"/>
        </w:rPr>
        <w:t>Mipymes</w:t>
      </w:r>
      <w:proofErr w:type="spellEnd"/>
      <w:r w:rsidRPr="00074FEF">
        <w:rPr>
          <w:rFonts w:ascii="Arial" w:eastAsia="Calibri" w:hAnsi="Arial" w:cs="Arial"/>
          <w:color w:val="000000" w:themeColor="text1"/>
          <w:sz w:val="20"/>
          <w:szCs w:val="20"/>
        </w:rPr>
        <w:t xml:space="preserve"> es </w:t>
      </w:r>
      <w:r w:rsidRPr="00074FEF">
        <w:rPr>
          <w:rFonts w:ascii="Arial" w:eastAsia="Calibri" w:hAnsi="Arial" w:cs="Arial"/>
          <w:i/>
          <w:iCs/>
          <w:color w:val="000000" w:themeColor="text1"/>
          <w:sz w:val="20"/>
          <w:szCs w:val="20"/>
        </w:rPr>
        <w:t>discrecional</w:t>
      </w:r>
      <w:r w:rsidRPr="00074FEF">
        <w:rPr>
          <w:rFonts w:ascii="Arial" w:eastAsia="Calibri" w:hAnsi="Arial" w:cs="Arial"/>
          <w:iCs/>
          <w:color w:val="000000" w:themeColor="text1"/>
          <w:sz w:val="20"/>
          <w:szCs w:val="20"/>
        </w:rPr>
        <w:t xml:space="preserve"> de la Entidad</w:t>
      </w:r>
      <w:r w:rsidRPr="00074FEF">
        <w:rPr>
          <w:rFonts w:ascii="Arial" w:eastAsia="Calibri" w:hAnsi="Arial" w:cs="Arial"/>
          <w:color w:val="000000" w:themeColor="text1"/>
          <w:sz w:val="20"/>
          <w:szCs w:val="20"/>
        </w:rPr>
        <w:t xml:space="preserve">, independientemente del “domicilio” de las </w:t>
      </w:r>
      <w:proofErr w:type="spellStart"/>
      <w:r w:rsidRPr="00074FEF">
        <w:rPr>
          <w:rFonts w:ascii="Arial" w:eastAsia="Calibri" w:hAnsi="Arial" w:cs="Arial"/>
          <w:color w:val="000000" w:themeColor="text1"/>
          <w:sz w:val="20"/>
          <w:szCs w:val="20"/>
        </w:rPr>
        <w:t>Mipymes</w:t>
      </w:r>
      <w:proofErr w:type="spellEnd"/>
      <w:r w:rsidRPr="00074FEF">
        <w:rPr>
          <w:rFonts w:ascii="Arial" w:eastAsia="Calibri" w:hAnsi="Arial" w:cs="Arial"/>
          <w:color w:val="000000" w:themeColor="text1"/>
          <w:sz w:val="20"/>
          <w:szCs w:val="20"/>
        </w:rPr>
        <w:t xml:space="preserve"> nacionales que solicitaron limitar la convocatoria –aunque dicha circunstancia podría servir de motivación para la limitación territorial–, y ha precisado que, de todos modos, la decisión debe estar justificada en los correspondientes “estudios del sector”, por lo cual, a diferencia del primer evento, en este último caso no será obligatorio para la entidad pública limitar la convocatoria en el ámbito territorial.</w:t>
      </w:r>
    </w:p>
    <w:p w14:paraId="217E2F54" w14:textId="77777777" w:rsidR="00074FEF" w:rsidRPr="00074FEF" w:rsidRDefault="00074FEF" w:rsidP="00074FEF">
      <w:pPr>
        <w:spacing w:before="120" w:line="276" w:lineRule="auto"/>
        <w:jc w:val="both"/>
        <w:rPr>
          <w:rFonts w:ascii="Arial" w:eastAsia="Calibri" w:hAnsi="Arial" w:cs="Arial"/>
          <w:color w:val="000000" w:themeColor="text1"/>
          <w:sz w:val="20"/>
          <w:szCs w:val="20"/>
        </w:rPr>
      </w:pPr>
      <w:r w:rsidRPr="00074FEF">
        <w:rPr>
          <w:rFonts w:ascii="Arial" w:eastAsia="Calibri" w:hAnsi="Arial" w:cs="Arial"/>
          <w:color w:val="000000" w:themeColor="text1"/>
          <w:sz w:val="20"/>
          <w:szCs w:val="20"/>
        </w:rPr>
        <w:t xml:space="preserve">Por ello, lo </w:t>
      </w:r>
      <w:r w:rsidRPr="00074FEF">
        <w:rPr>
          <w:rFonts w:ascii="Arial" w:eastAsia="Calibri" w:hAnsi="Arial" w:cs="Arial"/>
          <w:i/>
          <w:iCs/>
          <w:color w:val="000000" w:themeColor="text1"/>
          <w:sz w:val="20"/>
          <w:szCs w:val="20"/>
        </w:rPr>
        <w:t>recomendable</w:t>
      </w:r>
      <w:r w:rsidRPr="00074FEF">
        <w:rPr>
          <w:rFonts w:ascii="Arial" w:eastAsia="Calibri" w:hAnsi="Arial" w:cs="Arial"/>
          <w:color w:val="000000" w:themeColor="text1"/>
          <w:sz w:val="20"/>
          <w:szCs w:val="20"/>
        </w:rPr>
        <w:t xml:space="preserve"> es que las entidades establezcan </w:t>
      </w:r>
      <w:r w:rsidRPr="00074FEF">
        <w:rPr>
          <w:rFonts w:ascii="Arial" w:eastAsia="Calibri" w:hAnsi="Arial" w:cs="Arial"/>
          <w:i/>
          <w:iCs/>
          <w:color w:val="000000" w:themeColor="text1"/>
          <w:sz w:val="20"/>
          <w:szCs w:val="20"/>
        </w:rPr>
        <w:t xml:space="preserve">ex ante </w:t>
      </w:r>
      <w:r w:rsidRPr="00074FEF">
        <w:rPr>
          <w:rFonts w:ascii="Arial" w:eastAsia="Calibri" w:hAnsi="Arial" w:cs="Arial"/>
          <w:color w:val="000000" w:themeColor="text1"/>
          <w:sz w:val="20"/>
          <w:szCs w:val="20"/>
        </w:rPr>
        <w:t xml:space="preserve">las condiciones en las que, eventualmente, harían la “limitación territorial”. Para tales fines, en el proyecto de pliego de </w:t>
      </w:r>
      <w:r w:rsidRPr="00074FEF">
        <w:rPr>
          <w:rFonts w:ascii="Arial" w:eastAsia="Calibri" w:hAnsi="Arial" w:cs="Arial"/>
          <w:color w:val="000000" w:themeColor="text1"/>
          <w:sz w:val="20"/>
          <w:szCs w:val="20"/>
        </w:rPr>
        <w:lastRenderedPageBreak/>
        <w:t xml:space="preserve">condiciones podrían establecer claramente los términos de dicha limitación, los supuestos que darían lugar a su aplicación y, sobre todo, la forma como procedería la entidad si decide optar por limitar territorialmente la convocatoria en que se cumplan los presupuestos para ser limitada a </w:t>
      </w:r>
      <w:proofErr w:type="spellStart"/>
      <w:r w:rsidRPr="00074FEF">
        <w:rPr>
          <w:rFonts w:ascii="Arial" w:eastAsia="Calibri" w:hAnsi="Arial" w:cs="Arial"/>
          <w:color w:val="000000" w:themeColor="text1"/>
          <w:sz w:val="20"/>
          <w:szCs w:val="20"/>
        </w:rPr>
        <w:t>Mipymes</w:t>
      </w:r>
      <w:proofErr w:type="spellEnd"/>
      <w:r w:rsidRPr="00074FEF">
        <w:rPr>
          <w:rFonts w:ascii="Arial" w:eastAsia="Calibri" w:hAnsi="Arial" w:cs="Arial"/>
          <w:color w:val="000000" w:themeColor="text1"/>
          <w:sz w:val="20"/>
          <w:szCs w:val="20"/>
        </w:rPr>
        <w:t>, como, por ejemplo, hacer explícito en cuál o cuáles municipios o departamentos harían la limitación territorial de que trata el artículo 2.2.1.2.4.2.3. del Decreto 1082 de 2015.</w:t>
      </w:r>
    </w:p>
    <w:p w14:paraId="6928337F" w14:textId="3A431DB7" w:rsidR="002F62E7" w:rsidRPr="00074FEF" w:rsidRDefault="00074FEF" w:rsidP="00074FEF">
      <w:pPr>
        <w:spacing w:before="120" w:line="276" w:lineRule="auto"/>
        <w:jc w:val="both"/>
        <w:rPr>
          <w:rFonts w:ascii="Arial" w:eastAsia="Arial" w:hAnsi="Arial" w:cs="Arial"/>
          <w:color w:val="000000"/>
          <w:sz w:val="20"/>
          <w:szCs w:val="20"/>
          <w:lang w:val="es-MX"/>
        </w:rPr>
      </w:pPr>
      <w:r w:rsidRPr="00074FEF">
        <w:rPr>
          <w:rFonts w:ascii="Arial" w:eastAsia="Calibri" w:hAnsi="Arial" w:cs="Arial"/>
          <w:sz w:val="20"/>
          <w:szCs w:val="20"/>
        </w:rPr>
        <w:t xml:space="preserve">Sin embargo, en este último caso </w:t>
      </w:r>
      <w:r w:rsidRPr="00074FEF">
        <w:rPr>
          <w:rFonts w:ascii="Arial" w:eastAsia="Arial" w:hAnsi="Arial" w:cs="Arial"/>
          <w:color w:val="000000"/>
          <w:sz w:val="20"/>
          <w:szCs w:val="20"/>
          <w:lang w:val="es-MX"/>
        </w:rPr>
        <w:t xml:space="preserve">la decisión de limitar procesos de contratación “a </w:t>
      </w:r>
      <w:proofErr w:type="spellStart"/>
      <w:r w:rsidRPr="00074FEF">
        <w:rPr>
          <w:rFonts w:ascii="Arial" w:eastAsia="Arial" w:hAnsi="Arial" w:cs="Arial"/>
          <w:color w:val="000000"/>
          <w:sz w:val="20"/>
          <w:szCs w:val="20"/>
          <w:lang w:val="es-MX"/>
        </w:rPr>
        <w:t>Mipyme</w:t>
      </w:r>
      <w:proofErr w:type="spellEnd"/>
      <w:r w:rsidRPr="00074FEF">
        <w:rPr>
          <w:rFonts w:ascii="Arial" w:eastAsia="Arial" w:hAnsi="Arial" w:cs="Arial"/>
          <w:color w:val="000000"/>
          <w:sz w:val="20"/>
          <w:szCs w:val="20"/>
          <w:lang w:val="es-MX"/>
        </w:rPr>
        <w:t xml:space="preserve"> colombianas que tengan domicilio en los departamentos o municipios en donde se va a ejecutar el contrato”, aunque es facultativa de la entidad, está supeditada a que se verifiquen los requisitos establecidos en los numerales 1 y 2 del artículo 2.2.1.2.4.2.2. del Decreto 1082 de 2015, modificado por el Decreto 1860 de 2021. En ese sentido, si la entidad no recibió las solicitudes para limitar la convocatoria a </w:t>
      </w:r>
      <w:proofErr w:type="spellStart"/>
      <w:r w:rsidRPr="00074FEF">
        <w:rPr>
          <w:rFonts w:ascii="Arial" w:eastAsia="Arial" w:hAnsi="Arial" w:cs="Arial"/>
          <w:color w:val="000000"/>
          <w:sz w:val="20"/>
          <w:szCs w:val="20"/>
          <w:lang w:val="es-MX"/>
        </w:rPr>
        <w:t>Mipymes</w:t>
      </w:r>
      <w:proofErr w:type="spellEnd"/>
      <w:r w:rsidRPr="00074FEF">
        <w:rPr>
          <w:rFonts w:ascii="Arial" w:eastAsia="Arial" w:hAnsi="Arial" w:cs="Arial"/>
          <w:color w:val="000000"/>
          <w:sz w:val="20"/>
          <w:szCs w:val="20"/>
          <w:lang w:val="es-MX"/>
        </w:rPr>
        <w:t xml:space="preserve">, no puede </w:t>
      </w:r>
      <w:r w:rsidRPr="00074FEF">
        <w:rPr>
          <w:rFonts w:ascii="Arial" w:eastAsia="Arial" w:hAnsi="Arial" w:cs="Arial"/>
          <w:i/>
          <w:color w:val="000000"/>
          <w:sz w:val="20"/>
          <w:szCs w:val="20"/>
          <w:lang w:val="es-MX"/>
        </w:rPr>
        <w:t xml:space="preserve">motu propio </w:t>
      </w:r>
      <w:r w:rsidRPr="00074FEF">
        <w:rPr>
          <w:rFonts w:ascii="Arial" w:eastAsia="Arial" w:hAnsi="Arial" w:cs="Arial"/>
          <w:color w:val="000000"/>
          <w:sz w:val="20"/>
          <w:szCs w:val="20"/>
          <w:lang w:val="es-MX"/>
        </w:rPr>
        <w:t xml:space="preserve">proceder con la “limitación territorial” de que trata el artículo 2.2.1.2.4.2.3. del Decreto 1082 de 2015. Esto debido a que el ejercicio de esta facultad solo puede darse ante la “limitación a </w:t>
      </w:r>
      <w:proofErr w:type="spellStart"/>
      <w:r w:rsidRPr="00074FEF">
        <w:rPr>
          <w:rFonts w:ascii="Arial" w:eastAsia="Arial" w:hAnsi="Arial" w:cs="Arial"/>
          <w:color w:val="000000"/>
          <w:sz w:val="20"/>
          <w:szCs w:val="20"/>
          <w:lang w:val="es-MX"/>
        </w:rPr>
        <w:t>Mipymes</w:t>
      </w:r>
      <w:proofErr w:type="spellEnd"/>
      <w:r w:rsidRPr="00074FEF">
        <w:rPr>
          <w:rFonts w:ascii="Arial" w:eastAsia="Arial" w:hAnsi="Arial" w:cs="Arial"/>
          <w:color w:val="000000"/>
          <w:sz w:val="20"/>
          <w:szCs w:val="20"/>
          <w:lang w:val="es-MX"/>
        </w:rPr>
        <w:t xml:space="preserve"> colombianas”, lo cual supone verificar los supuestos legales establecidos en los mencionados numerales.</w:t>
      </w:r>
    </w:p>
    <w:p w14:paraId="27A8DCF7" w14:textId="28E74F66" w:rsidR="002F62E7" w:rsidRPr="00074FEF" w:rsidRDefault="002F62E7" w:rsidP="00074FEF">
      <w:pPr>
        <w:spacing w:after="120" w:line="276" w:lineRule="auto"/>
        <w:jc w:val="both"/>
        <w:rPr>
          <w:rFonts w:ascii="Arial" w:hAnsi="Arial" w:cs="Arial"/>
          <w:b/>
        </w:rPr>
      </w:pPr>
      <w:r w:rsidRPr="002F62E7">
        <w:rPr>
          <w:rFonts w:ascii="Arial" w:hAnsi="Arial" w:cs="Arial"/>
          <w:b/>
        </w:rPr>
        <w:t xml:space="preserve">DECLARATORIA DE DESIERTA EN PROCESOS DE SELECCIÓN – Recursos – Procedencia – Artículo 77 – Ley 80 de 1993 </w:t>
      </w:r>
    </w:p>
    <w:p w14:paraId="50E7DB42" w14:textId="07A0B8DA" w:rsidR="00BE2D8F" w:rsidRPr="00BE2D8F" w:rsidRDefault="00BE2D8F" w:rsidP="00074FEF">
      <w:pPr>
        <w:spacing w:before="120" w:line="276" w:lineRule="auto"/>
        <w:jc w:val="both"/>
        <w:rPr>
          <w:rFonts w:ascii="Arial" w:eastAsia="Calibri" w:hAnsi="Arial" w:cs="Arial"/>
          <w:sz w:val="20"/>
          <w:szCs w:val="20"/>
        </w:rPr>
      </w:pPr>
      <w:r w:rsidRPr="00BE2D8F">
        <w:rPr>
          <w:rFonts w:ascii="Arial" w:eastAsia="Calibri" w:hAnsi="Arial" w:cs="Arial"/>
          <w:sz w:val="20"/>
          <w:szCs w:val="20"/>
        </w:rPr>
        <w:t>D</w:t>
      </w:r>
      <w:r w:rsidRPr="00BE2D8F">
        <w:rPr>
          <w:rFonts w:ascii="Arial" w:eastAsia="Calibri" w:hAnsi="Arial" w:cs="Arial"/>
          <w:sz w:val="20"/>
          <w:szCs w:val="20"/>
        </w:rPr>
        <w:t>el artículo 77 de la ley 80 de 1993 se destacan varios aspectos relevantes para el asunto que se analiza: i) se establece que los actos administrativos que se expidan en desarrollo de la actividad contractual solo son susceptibles del recurso de reposición. ii) Se establece que frente al “acto de adjudicación” no proceden recursos. iii) El inciso primero prescribe que los vacíos en el procedimiento administrativo contractual serán llenados con las normas que “rigen los procedimientos y actuaciones en la función administrativa”, esto es, mediante el Código de Procedimiento Administrativo y de lo Contencioso Administrativo –CPACA–.</w:t>
      </w:r>
    </w:p>
    <w:p w14:paraId="69D34146" w14:textId="77777777" w:rsidR="00BE2D8F" w:rsidRPr="00BE2D8F" w:rsidRDefault="00BE2D8F" w:rsidP="00074FEF">
      <w:pPr>
        <w:spacing w:before="120" w:line="276" w:lineRule="auto"/>
        <w:jc w:val="both"/>
        <w:rPr>
          <w:rFonts w:ascii="Arial" w:eastAsia="Calibri" w:hAnsi="Arial" w:cs="Arial"/>
          <w:sz w:val="20"/>
          <w:szCs w:val="20"/>
        </w:rPr>
      </w:pPr>
      <w:r w:rsidRPr="00BE2D8F">
        <w:rPr>
          <w:rFonts w:ascii="Arial" w:eastAsia="Calibri" w:hAnsi="Arial" w:cs="Arial"/>
          <w:sz w:val="20"/>
          <w:szCs w:val="20"/>
        </w:rPr>
        <w:t>En relación con lo anterior, cabe destacar que la regla especial respecto a que frente al “acto de adjudicación” no pro</w:t>
      </w:r>
      <w:r w:rsidRPr="00BE2D8F">
        <w:rPr>
          <w:rFonts w:ascii="Arial" w:eastAsia="Calibri" w:hAnsi="Arial" w:cs="Arial"/>
          <w:b/>
          <w:sz w:val="20"/>
          <w:szCs w:val="20"/>
        </w:rPr>
        <w:t>c</w:t>
      </w:r>
      <w:r w:rsidRPr="00BE2D8F">
        <w:rPr>
          <w:rFonts w:ascii="Arial" w:eastAsia="Calibri" w:hAnsi="Arial" w:cs="Arial"/>
          <w:sz w:val="20"/>
          <w:szCs w:val="20"/>
        </w:rPr>
        <w:t>eden recursos, no es posible extenderla a la declaratoria de desierta, por tratarse de un acto con una naturaleza y contenido diferente, tal como se viene expresando y, además, bajo el entendido de que dicha disposición limita el ejercicio de un derecho, como sería la interposición de un recurso, por lo que su interpretación debe ser estricta. Por ello, esta Agencia considera que la declaratoria de desierta hace parte de aquellos actos regulados en el inciso segundo del artículo 77, es decir, que frente a ella procede el recurso de reposición.</w:t>
      </w:r>
    </w:p>
    <w:p w14:paraId="687C1383" w14:textId="77777777" w:rsidR="00BE2D8F" w:rsidRPr="00BE2D8F" w:rsidRDefault="00BE2D8F" w:rsidP="00074FEF">
      <w:pPr>
        <w:spacing w:before="120" w:line="276" w:lineRule="auto"/>
        <w:jc w:val="both"/>
        <w:rPr>
          <w:rFonts w:ascii="Arial" w:eastAsia="Calibri" w:hAnsi="Arial" w:cs="Arial"/>
          <w:sz w:val="20"/>
          <w:szCs w:val="20"/>
        </w:rPr>
      </w:pPr>
      <w:r w:rsidRPr="00BE2D8F">
        <w:rPr>
          <w:rFonts w:ascii="Arial" w:eastAsia="Calibri" w:hAnsi="Arial" w:cs="Arial"/>
          <w:sz w:val="20"/>
          <w:szCs w:val="20"/>
        </w:rPr>
        <w:t xml:space="preserve">En armonía con lo anterior, frente al acto que declara desierto un procedimiento de selección, procede el recurso de reposición, que podrá interponerse en los términos establecidos en el artículo 76 del CPACA. Debido a que las disposiciones no sujetan la procedencia de los recursos a los hechos o argumentos a que acuda la entidad estatal para declarar desierto el procedimiento de selección, estos procederán incluso en los eventos en que la entidad argumente no haber recibido ofertas o que estas fueron presentadas de forma extemporánea. </w:t>
      </w:r>
    </w:p>
    <w:p w14:paraId="755F4A95" w14:textId="77777777" w:rsidR="002F62E7" w:rsidRPr="00BE2D8F" w:rsidRDefault="002F62E7" w:rsidP="000E5D20">
      <w:pPr>
        <w:spacing w:after="0"/>
        <w:rPr>
          <w:rFonts w:ascii="Arial" w:hAnsi="Arial" w:cs="Arial"/>
          <w:sz w:val="20"/>
          <w:szCs w:val="20"/>
        </w:rPr>
      </w:pPr>
    </w:p>
    <w:p w14:paraId="0349BE17" w14:textId="77777777" w:rsidR="002F62E7" w:rsidRDefault="002F62E7" w:rsidP="000E5D20">
      <w:pPr>
        <w:spacing w:after="0"/>
        <w:rPr>
          <w:rFonts w:ascii="Arial" w:hAnsi="Arial" w:cs="Arial"/>
        </w:rPr>
      </w:pPr>
    </w:p>
    <w:p w14:paraId="3EE93D5C" w14:textId="77777777" w:rsidR="002F62E7" w:rsidRDefault="002F62E7" w:rsidP="000E5D20">
      <w:pPr>
        <w:spacing w:after="0"/>
        <w:rPr>
          <w:rFonts w:ascii="Arial" w:hAnsi="Arial" w:cs="Arial"/>
        </w:rPr>
      </w:pPr>
    </w:p>
    <w:p w14:paraId="74331BF6" w14:textId="77777777" w:rsidR="002F62E7" w:rsidRDefault="002F62E7" w:rsidP="000E5D20">
      <w:pPr>
        <w:spacing w:after="0"/>
        <w:rPr>
          <w:rFonts w:ascii="Arial" w:hAnsi="Arial" w:cs="Arial"/>
        </w:rPr>
      </w:pPr>
    </w:p>
    <w:p w14:paraId="56C26B1E" w14:textId="77777777" w:rsidR="002F62E7" w:rsidRDefault="002F62E7" w:rsidP="000E5D20">
      <w:pPr>
        <w:spacing w:after="0"/>
        <w:rPr>
          <w:rFonts w:ascii="Arial" w:hAnsi="Arial" w:cs="Arial"/>
        </w:rPr>
      </w:pPr>
    </w:p>
    <w:p w14:paraId="30533B10" w14:textId="77777777" w:rsidR="002F62E7" w:rsidRDefault="002F62E7" w:rsidP="000E5D20">
      <w:pPr>
        <w:spacing w:after="0"/>
        <w:rPr>
          <w:rFonts w:ascii="Arial" w:hAnsi="Arial" w:cs="Arial"/>
        </w:rPr>
      </w:pPr>
    </w:p>
    <w:p w14:paraId="54BF0D28" w14:textId="77777777" w:rsidR="002F62E7" w:rsidRDefault="002F62E7" w:rsidP="000E5D20">
      <w:pPr>
        <w:spacing w:after="0"/>
        <w:rPr>
          <w:rFonts w:ascii="Arial" w:hAnsi="Arial" w:cs="Arial"/>
        </w:rPr>
      </w:pPr>
    </w:p>
    <w:p w14:paraId="06212F43" w14:textId="77777777" w:rsidR="002F62E7" w:rsidRDefault="002F62E7" w:rsidP="000E5D20">
      <w:pPr>
        <w:spacing w:after="0"/>
        <w:rPr>
          <w:rFonts w:ascii="Arial" w:hAnsi="Arial" w:cs="Arial"/>
        </w:rPr>
      </w:pPr>
    </w:p>
    <w:p w14:paraId="70EFAC73" w14:textId="5D259710" w:rsidR="000E5D20" w:rsidRPr="00140FFB" w:rsidRDefault="000C6937" w:rsidP="000E5D20">
      <w:pPr>
        <w:spacing w:after="0"/>
        <w:rPr>
          <w:rFonts w:ascii="Arial" w:hAnsi="Arial" w:cs="Arial"/>
        </w:rPr>
      </w:pPr>
      <w:r>
        <w:rPr>
          <w:rFonts w:ascii="Arial" w:hAnsi="Arial" w:cs="Arial"/>
        </w:rPr>
        <w:t xml:space="preserve">Bogotá D.C., 11 de julio de 2023 </w:t>
      </w:r>
    </w:p>
    <w:p w14:paraId="35B7B06A" w14:textId="77777777" w:rsidR="000E5D20" w:rsidRPr="00140FFB" w:rsidRDefault="000E5D20" w:rsidP="000E5D20">
      <w:pPr>
        <w:pStyle w:val="Textonotapie"/>
        <w:rPr>
          <w:rFonts w:ascii="Arial" w:hAnsi="Arial" w:cs="Arial"/>
        </w:rPr>
      </w:pPr>
    </w:p>
    <w:p w14:paraId="62F79711" w14:textId="4D4645E8" w:rsidR="000E5D20" w:rsidRPr="00140FFB" w:rsidRDefault="001B3BDA" w:rsidP="001B3BDA">
      <w:pPr>
        <w:pStyle w:val="Textonotapie"/>
        <w:jc w:val="right"/>
        <w:rPr>
          <w:rFonts w:ascii="Arial" w:hAnsi="Arial" w:cs="Arial"/>
        </w:rPr>
      </w:pPr>
      <w:r w:rsidRPr="001B3BDA">
        <w:rPr>
          <w:rFonts w:ascii="Arial" w:hAnsi="Arial" w:cs="Arial"/>
          <w:noProof/>
          <w:lang w:val="en-US"/>
        </w:rPr>
        <w:drawing>
          <wp:inline distT="0" distB="0" distL="0" distR="0" wp14:anchorId="1BF4B591" wp14:editId="15E63ED0">
            <wp:extent cx="2810267" cy="771633"/>
            <wp:effectExtent l="0" t="0" r="0"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810267" cy="771633"/>
                    </a:xfrm>
                    <a:prstGeom prst="rect">
                      <a:avLst/>
                    </a:prstGeom>
                  </pic:spPr>
                </pic:pic>
              </a:graphicData>
            </a:graphic>
          </wp:inline>
        </w:drawing>
      </w:r>
    </w:p>
    <w:p w14:paraId="4F6B48BB" w14:textId="77777777" w:rsidR="000E5D20" w:rsidRPr="00140FFB" w:rsidRDefault="000E5D20" w:rsidP="000E5D20">
      <w:pPr>
        <w:pStyle w:val="Textonotapie"/>
        <w:rPr>
          <w:rFonts w:ascii="Arial" w:hAnsi="Arial" w:cs="Arial"/>
        </w:rPr>
      </w:pPr>
      <w:r w:rsidRPr="00140FFB">
        <w:rPr>
          <w:rFonts w:ascii="Arial" w:hAnsi="Arial" w:cs="Arial"/>
        </w:rPr>
        <w:t>Señor</w:t>
      </w:r>
    </w:p>
    <w:p w14:paraId="61D21ACD" w14:textId="77777777" w:rsidR="000E5D20" w:rsidRPr="00140FFB" w:rsidRDefault="000E5D20" w:rsidP="000E5D20">
      <w:pPr>
        <w:pStyle w:val="Textonotapie"/>
        <w:rPr>
          <w:rFonts w:ascii="Arial" w:hAnsi="Arial" w:cs="Arial"/>
          <w:b/>
          <w:bCs/>
        </w:rPr>
      </w:pPr>
      <w:r w:rsidRPr="00140FFB">
        <w:rPr>
          <w:rFonts w:ascii="Arial" w:hAnsi="Arial" w:cs="Arial"/>
          <w:b/>
          <w:bCs/>
        </w:rPr>
        <w:t>Óscar Mauricio Bello Rico</w:t>
      </w:r>
    </w:p>
    <w:p w14:paraId="545B27C0" w14:textId="77777777" w:rsidR="000E5D20" w:rsidRPr="00140FFB" w:rsidRDefault="000E5D20" w:rsidP="000E5D20">
      <w:pPr>
        <w:pStyle w:val="Textonotapie"/>
        <w:rPr>
          <w:rFonts w:ascii="Arial" w:hAnsi="Arial" w:cs="Arial"/>
          <w:lang w:val="es-ES_tradnl"/>
        </w:rPr>
      </w:pPr>
      <w:r w:rsidRPr="00140FFB">
        <w:rPr>
          <w:rFonts w:ascii="Arial" w:hAnsi="Arial" w:cs="Arial"/>
          <w:bCs/>
          <w:lang w:val="es-ES_tradnl"/>
        </w:rPr>
        <w:t xml:space="preserve">Bogotá D.C. </w:t>
      </w:r>
    </w:p>
    <w:p w14:paraId="4810E590" w14:textId="77777777" w:rsidR="000E5D20" w:rsidRPr="00140FFB" w:rsidRDefault="000E5D20" w:rsidP="000E5D20">
      <w:pPr>
        <w:spacing w:line="276" w:lineRule="auto"/>
        <w:jc w:val="both"/>
        <w:rPr>
          <w:rFonts w:ascii="Arial" w:eastAsia="Calibri" w:hAnsi="Arial" w:cs="Arial"/>
          <w:lang w:val="es-ES_tradnl"/>
        </w:rPr>
      </w:pPr>
    </w:p>
    <w:p w14:paraId="4B43A5F8" w14:textId="77777777" w:rsidR="000E5D20" w:rsidRPr="00140FFB" w:rsidRDefault="000E5D20" w:rsidP="000E5D20">
      <w:pPr>
        <w:spacing w:line="276" w:lineRule="auto"/>
        <w:ind w:left="3261" w:hanging="142"/>
        <w:jc w:val="both"/>
        <w:rPr>
          <w:rFonts w:ascii="Arial" w:eastAsia="Calibri" w:hAnsi="Arial" w:cs="Arial"/>
          <w:b/>
          <w:bCs/>
          <w:lang w:val="es-ES"/>
        </w:rPr>
      </w:pPr>
      <w:r w:rsidRPr="00140FFB">
        <w:rPr>
          <w:rFonts w:ascii="Arial" w:eastAsia="Calibri" w:hAnsi="Arial" w:cs="Arial"/>
          <w:b/>
          <w:bCs/>
          <w:lang w:val="es-ES"/>
        </w:rPr>
        <w:t>Concepto C–168 de 2023</w:t>
      </w:r>
    </w:p>
    <w:p w14:paraId="7D430111" w14:textId="77777777" w:rsidR="000E5D20" w:rsidRPr="00140FFB" w:rsidRDefault="000E5D20" w:rsidP="000E5D20">
      <w:pPr>
        <w:spacing w:line="276" w:lineRule="auto"/>
        <w:jc w:val="both"/>
        <w:rPr>
          <w:rFonts w:ascii="Arial" w:eastAsia="Calibri" w:hAnsi="Arial" w:cs="Arial"/>
          <w:lang w:val="es-ES_tradnl"/>
        </w:rPr>
      </w:pPr>
    </w:p>
    <w:tbl>
      <w:tblPr>
        <w:tblStyle w:val="Tablaconcuadrcula"/>
        <w:tblW w:w="8075"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838"/>
        <w:gridCol w:w="6237"/>
      </w:tblGrid>
      <w:tr w:rsidR="000E5D20" w:rsidRPr="00140FFB" w14:paraId="431E7D1E" w14:textId="77777777" w:rsidTr="00145C33">
        <w:trPr>
          <w:jc w:val="right"/>
        </w:trPr>
        <w:tc>
          <w:tcPr>
            <w:tcW w:w="1838" w:type="dxa"/>
          </w:tcPr>
          <w:p w14:paraId="0E8CF18C" w14:textId="77777777" w:rsidR="000E5D20" w:rsidRPr="00140FFB" w:rsidRDefault="000E5D20" w:rsidP="00145C33">
            <w:pPr>
              <w:spacing w:line="276" w:lineRule="auto"/>
              <w:jc w:val="both"/>
              <w:rPr>
                <w:rFonts w:ascii="Arial" w:eastAsia="Calibri" w:hAnsi="Arial" w:cs="Arial"/>
                <w:lang w:val="es-ES_tradnl"/>
              </w:rPr>
            </w:pPr>
            <w:r w:rsidRPr="00140FFB">
              <w:rPr>
                <w:rFonts w:ascii="Arial" w:eastAsia="Calibri" w:hAnsi="Arial" w:cs="Arial"/>
                <w:b/>
                <w:lang w:val="es-ES_tradnl"/>
              </w:rPr>
              <w:t>Temas:</w:t>
            </w:r>
          </w:p>
        </w:tc>
        <w:tc>
          <w:tcPr>
            <w:tcW w:w="6237" w:type="dxa"/>
          </w:tcPr>
          <w:p w14:paraId="501B51D0" w14:textId="6985F2CB" w:rsidR="000E5D20" w:rsidRPr="00140FFB" w:rsidRDefault="000E5D20" w:rsidP="00D8267C">
            <w:pPr>
              <w:spacing w:after="120" w:line="276" w:lineRule="auto"/>
              <w:jc w:val="both"/>
              <w:rPr>
                <w:rFonts w:ascii="Arial" w:hAnsi="Arial" w:cs="Arial"/>
              </w:rPr>
            </w:pPr>
            <w:r w:rsidRPr="00140FFB">
              <w:rPr>
                <w:rFonts w:ascii="Arial" w:hAnsi="Arial" w:cs="Arial"/>
              </w:rPr>
              <w:t xml:space="preserve">CONTRATO DE PRESTACIÓN DE SERVICIOS PROFESIONALES Y DE APOYO A LA GESTIÓN – </w:t>
            </w:r>
            <w:r w:rsidR="00D8267C">
              <w:rPr>
                <w:rFonts w:ascii="Arial" w:hAnsi="Arial" w:cs="Arial"/>
              </w:rPr>
              <w:t>Plazo – Autonomía de las partes</w:t>
            </w:r>
            <w:r w:rsidRPr="00140FFB">
              <w:rPr>
                <w:rFonts w:ascii="Arial" w:hAnsi="Arial" w:cs="Arial"/>
              </w:rPr>
              <w:t xml:space="preserve">/ </w:t>
            </w:r>
            <w:r w:rsidR="00D8267C">
              <w:rPr>
                <w:rFonts w:ascii="Arial" w:hAnsi="Arial" w:cs="Arial"/>
              </w:rPr>
              <w:t xml:space="preserve">CIRCULAR CONJUNTA No. 1 de 2023 – Alcance / </w:t>
            </w:r>
            <w:r w:rsidRPr="00140FFB">
              <w:rPr>
                <w:rFonts w:ascii="Arial" w:hAnsi="Arial" w:cs="Arial"/>
              </w:rPr>
              <w:t xml:space="preserve">ACTO ADMINISTRATIVO DE JUSTIFICACIÓN DE CONTRATACIÓN DIRECTA – Expedición – Oportunidad / PROMOCIÓN AL DESARROLLO – Ley 2069 de 2020 – Artículo 34 / CONVOCATORIAS LIMITADAS A MIPYMES – Modalidades – Ámbitos – Nacional – Territorial / CONVOCATORIAS LIMITADAS A MIPYMES NACIONALES – Requisitos / CONVOCATORIAS LIMITADAS A MIPYMES EN EL ÁMBITO TERRITORIAL – Limitación territorial – Facultad discrecional / DECLARATORIA DE DESIERTA EN PROCESOS DE SELECCIÓN – Recursos – Procedencia – Artículo 77 – Ley 80 de 1993 </w:t>
            </w:r>
          </w:p>
        </w:tc>
      </w:tr>
      <w:tr w:rsidR="000E5D20" w:rsidRPr="00140FFB" w14:paraId="65ABBC9B" w14:textId="77777777" w:rsidTr="00145C33">
        <w:trPr>
          <w:jc w:val="right"/>
        </w:trPr>
        <w:tc>
          <w:tcPr>
            <w:tcW w:w="1838" w:type="dxa"/>
          </w:tcPr>
          <w:p w14:paraId="03B2B89A" w14:textId="77777777" w:rsidR="000E5D20" w:rsidRPr="00140FFB" w:rsidRDefault="000E5D20" w:rsidP="00145C33">
            <w:pPr>
              <w:spacing w:before="120" w:line="276" w:lineRule="auto"/>
              <w:jc w:val="both"/>
              <w:rPr>
                <w:rFonts w:ascii="Arial" w:eastAsia="Calibri" w:hAnsi="Arial" w:cs="Arial"/>
                <w:b/>
                <w:lang w:val="es-ES"/>
              </w:rPr>
            </w:pPr>
            <w:r w:rsidRPr="00140FFB">
              <w:rPr>
                <w:rFonts w:ascii="Arial" w:eastAsia="Calibri" w:hAnsi="Arial" w:cs="Arial"/>
                <w:b/>
                <w:lang w:val="es-ES"/>
              </w:rPr>
              <w:t>Radicación:</w:t>
            </w:r>
          </w:p>
        </w:tc>
        <w:tc>
          <w:tcPr>
            <w:tcW w:w="6237" w:type="dxa"/>
          </w:tcPr>
          <w:p w14:paraId="7A60911B" w14:textId="77777777" w:rsidR="000E5D20" w:rsidRPr="00140FFB" w:rsidRDefault="000E5D20" w:rsidP="00145C33">
            <w:pPr>
              <w:spacing w:before="120" w:line="276" w:lineRule="auto"/>
              <w:jc w:val="both"/>
              <w:rPr>
                <w:rFonts w:ascii="Arial" w:eastAsia="Calibri" w:hAnsi="Arial" w:cs="Arial"/>
                <w:lang w:val="es-ES"/>
              </w:rPr>
            </w:pPr>
            <w:r w:rsidRPr="00140FFB">
              <w:rPr>
                <w:rFonts w:ascii="Arial" w:eastAsia="Calibri" w:hAnsi="Arial" w:cs="Arial"/>
                <w:lang w:val="es-ES"/>
              </w:rPr>
              <w:t>Respuesta a consulta P20230529011713</w:t>
            </w:r>
          </w:p>
        </w:tc>
      </w:tr>
    </w:tbl>
    <w:p w14:paraId="086F73A2" w14:textId="77777777" w:rsidR="000E5D20" w:rsidRPr="00140FFB" w:rsidRDefault="000E5D20" w:rsidP="000E5D20">
      <w:pPr>
        <w:spacing w:line="276" w:lineRule="auto"/>
        <w:jc w:val="both"/>
        <w:rPr>
          <w:rFonts w:ascii="Arial" w:eastAsia="Calibri" w:hAnsi="Arial" w:cs="Arial"/>
          <w:lang w:val="es-ES_tradnl"/>
        </w:rPr>
      </w:pPr>
    </w:p>
    <w:p w14:paraId="36B3C1DA" w14:textId="77777777" w:rsidR="000E5D20" w:rsidRPr="00140FFB" w:rsidRDefault="000E5D20" w:rsidP="000E5D20">
      <w:pPr>
        <w:spacing w:line="276" w:lineRule="auto"/>
        <w:jc w:val="both"/>
        <w:rPr>
          <w:rFonts w:ascii="Arial" w:eastAsia="Calibri" w:hAnsi="Arial" w:cs="Arial"/>
          <w:bCs/>
          <w:lang w:val="es-ES_tradnl"/>
        </w:rPr>
      </w:pPr>
      <w:r w:rsidRPr="00140FFB">
        <w:rPr>
          <w:rFonts w:ascii="Arial" w:eastAsia="Calibri" w:hAnsi="Arial" w:cs="Arial"/>
          <w:lang w:val="es-ES_tradnl"/>
        </w:rPr>
        <w:t>Estimado señor Bello,</w:t>
      </w:r>
    </w:p>
    <w:p w14:paraId="2920A449" w14:textId="77777777" w:rsidR="000E5D20" w:rsidRPr="00140FFB" w:rsidRDefault="000E5D20" w:rsidP="000E5D20">
      <w:pPr>
        <w:spacing w:line="276" w:lineRule="auto"/>
        <w:jc w:val="both"/>
        <w:rPr>
          <w:rFonts w:ascii="Arial" w:eastAsia="Calibri" w:hAnsi="Arial" w:cs="Arial"/>
          <w:lang w:val="es-ES"/>
        </w:rPr>
      </w:pPr>
      <w:r w:rsidRPr="00140FFB">
        <w:rPr>
          <w:rFonts w:ascii="Arial" w:eastAsia="Calibri" w:hAnsi="Arial" w:cs="Arial"/>
          <w:lang w:val="es-ES"/>
        </w:rPr>
        <w:lastRenderedPageBreak/>
        <w:t>En ejercicio de la competencia otorgada por el numeral 8 del artículo 11 y el numeral 5 del artículo 3 del Decreto Ley 4170 de 2011, la Agencia Nacional de Contratación Pública ― Colombia Compra Eficiente responde su consulta del 28 de mayo de 2023.</w:t>
      </w:r>
    </w:p>
    <w:p w14:paraId="644B410F" w14:textId="77777777" w:rsidR="000E5D20" w:rsidRPr="00140FFB" w:rsidRDefault="000E5D20" w:rsidP="000E5D20">
      <w:pPr>
        <w:pStyle w:val="Prrafodelista"/>
        <w:numPr>
          <w:ilvl w:val="0"/>
          <w:numId w:val="1"/>
        </w:numPr>
        <w:tabs>
          <w:tab w:val="left" w:pos="0"/>
          <w:tab w:val="left" w:pos="142"/>
          <w:tab w:val="left" w:pos="284"/>
        </w:tabs>
        <w:spacing w:after="0" w:line="276" w:lineRule="auto"/>
        <w:ind w:left="0" w:firstLine="0"/>
        <w:jc w:val="both"/>
        <w:rPr>
          <w:rFonts w:ascii="Arial" w:eastAsia="Calibri" w:hAnsi="Arial" w:cs="Arial"/>
          <w:b/>
          <w:lang w:val="es-ES_tradnl"/>
        </w:rPr>
      </w:pPr>
      <w:r w:rsidRPr="00140FFB">
        <w:rPr>
          <w:rFonts w:ascii="Arial" w:eastAsia="Calibri" w:hAnsi="Arial" w:cs="Arial"/>
          <w:b/>
          <w:lang w:val="es-ES_tradnl"/>
        </w:rPr>
        <w:t xml:space="preserve">Problema planteado </w:t>
      </w:r>
    </w:p>
    <w:p w14:paraId="360BD3A9" w14:textId="77777777" w:rsidR="000E5D20" w:rsidRPr="00140FFB" w:rsidRDefault="000E5D20" w:rsidP="000E5D20">
      <w:pPr>
        <w:pStyle w:val="Prrafodelista"/>
        <w:tabs>
          <w:tab w:val="left" w:pos="0"/>
          <w:tab w:val="left" w:pos="142"/>
          <w:tab w:val="left" w:pos="284"/>
        </w:tabs>
        <w:spacing w:after="0" w:line="276" w:lineRule="auto"/>
        <w:ind w:left="0"/>
        <w:jc w:val="both"/>
        <w:rPr>
          <w:rFonts w:ascii="Arial" w:eastAsia="Calibri" w:hAnsi="Arial" w:cs="Arial"/>
          <w:b/>
          <w:lang w:val="es-ES_tradnl"/>
        </w:rPr>
      </w:pPr>
    </w:p>
    <w:p w14:paraId="7EC3D3DB" w14:textId="77777777" w:rsidR="000E5D20" w:rsidRPr="00140FFB" w:rsidRDefault="000E5D20" w:rsidP="000E5D20">
      <w:pPr>
        <w:spacing w:line="276" w:lineRule="auto"/>
        <w:jc w:val="both"/>
        <w:rPr>
          <w:rFonts w:ascii="Arial" w:eastAsia="Arial" w:hAnsi="Arial" w:cs="Arial"/>
        </w:rPr>
      </w:pPr>
      <w:bookmarkStart w:id="1" w:name="_Hlk95313578"/>
      <w:r w:rsidRPr="00140FFB">
        <w:rPr>
          <w:rFonts w:ascii="Arial" w:eastAsia="Arial" w:hAnsi="Arial" w:cs="Arial"/>
        </w:rPr>
        <w:t xml:space="preserve">Usted plantea la siguiente consulta: </w:t>
      </w:r>
    </w:p>
    <w:p w14:paraId="39A3741E" w14:textId="77777777" w:rsidR="000E5D20" w:rsidRPr="00140FFB" w:rsidRDefault="000E5D20" w:rsidP="000E5D20">
      <w:pPr>
        <w:ind w:left="709" w:right="709"/>
        <w:jc w:val="both"/>
        <w:rPr>
          <w:rFonts w:ascii="Arial" w:hAnsi="Arial" w:cs="Arial"/>
          <w:sz w:val="21"/>
          <w:szCs w:val="21"/>
        </w:rPr>
      </w:pPr>
      <w:r w:rsidRPr="00140FFB">
        <w:rPr>
          <w:rFonts w:ascii="Arial" w:hAnsi="Arial" w:cs="Arial"/>
          <w:sz w:val="21"/>
          <w:szCs w:val="21"/>
        </w:rPr>
        <w:t xml:space="preserve">“[…] </w:t>
      </w:r>
      <w:bookmarkEnd w:id="1"/>
      <w:r w:rsidRPr="00140FFB">
        <w:rPr>
          <w:rFonts w:ascii="Arial" w:hAnsi="Arial" w:cs="Arial"/>
          <w:sz w:val="21"/>
          <w:szCs w:val="21"/>
        </w:rPr>
        <w:t xml:space="preserve">1. ¿Existe a la fecha algún limitante para que las entidades del orden </w:t>
      </w:r>
      <w:proofErr w:type="spellStart"/>
      <w:r w:rsidRPr="00140FFB">
        <w:rPr>
          <w:rFonts w:ascii="Arial" w:hAnsi="Arial" w:cs="Arial"/>
          <w:sz w:val="21"/>
          <w:szCs w:val="21"/>
        </w:rPr>
        <w:t>nacionalcelebren</w:t>
      </w:r>
      <w:proofErr w:type="spellEnd"/>
      <w:r w:rsidRPr="00140FFB">
        <w:rPr>
          <w:rFonts w:ascii="Arial" w:hAnsi="Arial" w:cs="Arial"/>
          <w:sz w:val="21"/>
          <w:szCs w:val="21"/>
        </w:rPr>
        <w:t xml:space="preserve"> contratos de prestación de servicios profesional o de apoyo a la gestión con persona natural, con un plazo de ejecución superior a 4 meses?</w:t>
      </w:r>
    </w:p>
    <w:p w14:paraId="4EAA6A9B" w14:textId="77777777" w:rsidR="000E5D20" w:rsidRPr="00140FFB" w:rsidRDefault="000E5D20" w:rsidP="000E5D20">
      <w:pPr>
        <w:ind w:left="709" w:right="709"/>
        <w:jc w:val="both"/>
        <w:rPr>
          <w:rFonts w:ascii="Arial" w:hAnsi="Arial" w:cs="Arial"/>
          <w:sz w:val="21"/>
          <w:szCs w:val="21"/>
        </w:rPr>
      </w:pPr>
      <w:r w:rsidRPr="00140FFB">
        <w:rPr>
          <w:rFonts w:ascii="Arial" w:hAnsi="Arial" w:cs="Arial"/>
          <w:sz w:val="21"/>
          <w:szCs w:val="21"/>
        </w:rPr>
        <w:t>2. Si una entidad pública abre un proceso de mínima cuantía que se limita solo a la partición de MYPIMES, y en dicho proceso no se presentan propuestas, y por ende, es declarado desierto, y por segunda vez dicha entidad vuelve a abrir el proceso de mínima cuantía para idéntico objeto, se limita solo a la partición de MYPIMES, y en dicho proceso no se presentan propuestas, y por ende, nuevamente es declarado desierto, si la necesidad de contratación persiste y la entidad abre por tercera vez el proceso: ¿está obligada a permitir que el mismo sea limitado a MYPIMES?</w:t>
      </w:r>
    </w:p>
    <w:p w14:paraId="7AC88FA0" w14:textId="77777777" w:rsidR="000E5D20" w:rsidRPr="00140FFB" w:rsidRDefault="000E5D20" w:rsidP="000E5D20">
      <w:pPr>
        <w:ind w:left="709" w:right="709"/>
        <w:jc w:val="both"/>
        <w:rPr>
          <w:rFonts w:ascii="Arial" w:hAnsi="Arial" w:cs="Arial"/>
          <w:sz w:val="21"/>
          <w:szCs w:val="21"/>
        </w:rPr>
      </w:pPr>
      <w:r w:rsidRPr="00140FFB">
        <w:rPr>
          <w:rFonts w:ascii="Arial" w:hAnsi="Arial" w:cs="Arial"/>
          <w:sz w:val="21"/>
          <w:szCs w:val="21"/>
        </w:rPr>
        <w:t>3. Cuando un proceso de selección es declarado desierto bajo el argumento que no fueron presentadas propuestas para la hora el cierre en el SECOP II, ¿procedería algún recurso frente al acto administrativo que declare desierto el proceso de selección, o no procederían recursos contra dicho acto?</w:t>
      </w:r>
    </w:p>
    <w:p w14:paraId="7B3AECB9" w14:textId="77777777" w:rsidR="000E5D20" w:rsidRPr="00140FFB" w:rsidRDefault="000E5D20" w:rsidP="000E5D20">
      <w:pPr>
        <w:ind w:left="709" w:right="709"/>
        <w:jc w:val="both"/>
        <w:rPr>
          <w:rFonts w:ascii="Arial" w:hAnsi="Arial" w:cs="Arial"/>
          <w:sz w:val="21"/>
          <w:szCs w:val="21"/>
        </w:rPr>
      </w:pPr>
      <w:r w:rsidRPr="00140FFB">
        <w:rPr>
          <w:rFonts w:ascii="Arial" w:hAnsi="Arial" w:cs="Arial"/>
          <w:sz w:val="21"/>
          <w:szCs w:val="21"/>
        </w:rPr>
        <w:t>4. En el trámite de un proceso de contratación directa que requiere la expedición del acto administrativo de que trata el artículo 2.2.1.2.1.4.1. del Decreto 1082 de 2015; ¿se puede celebrar el contrato respectivo el mismo día en que se expide el acto administrativo en cuestión? […] (SIC)”</w:t>
      </w:r>
    </w:p>
    <w:p w14:paraId="1E98824D" w14:textId="77777777" w:rsidR="000E5D20" w:rsidRPr="00140FFB" w:rsidRDefault="000E5D20" w:rsidP="000E5D20">
      <w:pPr>
        <w:tabs>
          <w:tab w:val="left" w:pos="284"/>
        </w:tabs>
        <w:spacing w:line="276" w:lineRule="auto"/>
        <w:jc w:val="both"/>
        <w:rPr>
          <w:rFonts w:ascii="Arial" w:eastAsia="Arial" w:hAnsi="Arial" w:cs="Arial"/>
          <w:b/>
        </w:rPr>
      </w:pPr>
      <w:bookmarkStart w:id="2" w:name="_Hlk117695077"/>
      <w:r w:rsidRPr="00140FFB">
        <w:rPr>
          <w:rFonts w:ascii="Arial" w:eastAsia="Arial" w:hAnsi="Arial" w:cs="Arial"/>
          <w:b/>
        </w:rPr>
        <w:t>2. Consideraciones</w:t>
      </w:r>
    </w:p>
    <w:p w14:paraId="5BCB78A5" w14:textId="77777777" w:rsidR="000E5D20" w:rsidRPr="00140FFB" w:rsidRDefault="000E5D20" w:rsidP="000E5D20">
      <w:pPr>
        <w:spacing w:after="120" w:line="276" w:lineRule="auto"/>
        <w:jc w:val="both"/>
        <w:rPr>
          <w:rFonts w:ascii="Arial" w:hAnsi="Arial" w:cs="Arial"/>
          <w:lang w:val="es-ES"/>
        </w:rPr>
      </w:pPr>
      <w:r w:rsidRPr="00140FFB">
        <w:rPr>
          <w:rFonts w:ascii="Arial" w:eastAsia="Arial" w:hAnsi="Arial" w:cs="Arial"/>
        </w:rPr>
        <w:t>En ejercicio de las competencias establecidas en los artículos 3, numeral 5° y 11, numeral 8° del Decreto 4170 de 2011, la Agencia Nacional de Contratación Pública – Colombia Compra Eficiente resuelve las consultas sobre los asuntos de su competencia, esto es, sobre las temáticas de la contratación estatal y compras públicas relacionadas en los artículos citados</w:t>
      </w:r>
      <w:r w:rsidRPr="00140FFB">
        <w:rPr>
          <w:rFonts w:ascii="Arial" w:eastAsia="Arial" w:hAnsi="Arial" w:cs="Arial"/>
          <w:vertAlign w:val="superscript"/>
        </w:rPr>
        <w:footnoteReference w:id="5"/>
      </w:r>
      <w:r w:rsidRPr="00140FFB">
        <w:rPr>
          <w:rFonts w:ascii="Arial" w:eastAsia="Arial" w:hAnsi="Arial" w:cs="Arial"/>
        </w:rPr>
        <w:t>.</w:t>
      </w:r>
      <w:bookmarkStart w:id="3" w:name="_1fob9te" w:colFirst="0" w:colLast="0"/>
      <w:bookmarkStart w:id="4" w:name="_Hlk61701014"/>
      <w:bookmarkStart w:id="5" w:name="_Hlk62136649"/>
      <w:bookmarkEnd w:id="3"/>
      <w:r w:rsidRPr="00140FFB">
        <w:rPr>
          <w:rFonts w:ascii="Arial" w:hAnsi="Arial" w:cs="Arial"/>
          <w:lang w:val="es-ES"/>
        </w:rPr>
        <w:t xml:space="preserve"> Es necesario tener en cuenta que </w:t>
      </w:r>
      <w:bookmarkStart w:id="6" w:name="_Hlk61026958"/>
      <w:r w:rsidRPr="00140FFB">
        <w:rPr>
          <w:rFonts w:ascii="Arial" w:hAnsi="Arial" w:cs="Arial"/>
          <w:lang w:val="es-ES"/>
        </w:rPr>
        <w:t xml:space="preserve">esta entidad solo tiene competencia </w:t>
      </w:r>
      <w:r w:rsidRPr="00140FFB">
        <w:rPr>
          <w:rFonts w:ascii="Arial" w:hAnsi="Arial" w:cs="Arial"/>
          <w:lang w:val="es-ES"/>
        </w:rPr>
        <w:lastRenderedPageBreak/>
        <w:t>para responder solicitudes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w:t>
      </w:r>
      <w:r w:rsidRPr="00140FFB">
        <w:rPr>
          <w:rFonts w:ascii="Arial" w:hAnsi="Arial" w:cs="Arial"/>
          <w:bCs/>
        </w:rPr>
        <w:t xml:space="preserve"> de todos los partícipes de la contratación estatal.</w:t>
      </w:r>
    </w:p>
    <w:p w14:paraId="27E04662" w14:textId="77777777" w:rsidR="000E5D20" w:rsidRPr="00140FFB" w:rsidRDefault="000E5D20" w:rsidP="000E5D20">
      <w:pPr>
        <w:spacing w:after="120" w:line="276" w:lineRule="auto"/>
        <w:ind w:firstLine="708"/>
        <w:jc w:val="both"/>
        <w:rPr>
          <w:rFonts w:ascii="Arial" w:hAnsi="Arial" w:cs="Arial"/>
          <w:lang w:val="es-ES"/>
        </w:rPr>
      </w:pPr>
      <w:r w:rsidRPr="00140FFB">
        <w:rPr>
          <w:rFonts w:ascii="Arial" w:hAnsi="Arial" w:cs="Arial"/>
          <w:lang w:val="es-ES"/>
        </w:rPr>
        <w:t>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Esto en la medida en que, para resolver una consulta de carácter particular, además de conocer un sinnúmero de detalles de la actuación administrativa, es necesario acceder al expediente y a los documentos del procedimiento contractual donde surge la inquietud</w:t>
      </w:r>
      <w:bookmarkEnd w:id="6"/>
      <w:r w:rsidRPr="00140FFB">
        <w:rPr>
          <w:rFonts w:ascii="Arial" w:hAnsi="Arial" w:cs="Arial"/>
          <w:lang w:val="es-ES"/>
        </w:rPr>
        <w:t xml:space="preserve">. Por lo anterior, previo concepto de sus órganos asesores, la solución de estos temas corresponde a la entidad que adelanta el procedimiento de selección y, en caso de conflicto, a las autoridades judiciales, fiscales y disciplinarias. </w:t>
      </w:r>
      <w:bookmarkEnd w:id="4"/>
      <w:bookmarkEnd w:id="5"/>
    </w:p>
    <w:p w14:paraId="61F8DB6A" w14:textId="7C772B66" w:rsidR="000E5D20" w:rsidRPr="00140FFB" w:rsidRDefault="000E5D20" w:rsidP="000E5D20">
      <w:pPr>
        <w:spacing w:after="120" w:line="276" w:lineRule="auto"/>
        <w:ind w:firstLine="708"/>
        <w:jc w:val="both"/>
        <w:rPr>
          <w:rFonts w:ascii="Arial" w:eastAsia="Times New Roman" w:hAnsi="Arial" w:cs="Arial"/>
          <w:szCs w:val="24"/>
          <w:lang w:val="es-ES"/>
        </w:rPr>
      </w:pPr>
      <w:r w:rsidRPr="00140FFB">
        <w:rPr>
          <w:rFonts w:ascii="Arial" w:eastAsia="Arial" w:hAnsi="Arial" w:cs="Arial"/>
        </w:rPr>
        <w:t>Por ello, esta Subdirección –dentro de los límites de sus atribuciones</w:t>
      </w:r>
      <w:r w:rsidRPr="00140FFB">
        <w:rPr>
          <w:rFonts w:ascii="Arial" w:eastAsia="Arial" w:hAnsi="Arial" w:cs="Arial"/>
          <w:vertAlign w:val="superscript"/>
        </w:rPr>
        <w:footnoteReference w:id="6"/>
      </w:r>
      <w:r w:rsidRPr="00140FFB">
        <w:rPr>
          <w:rFonts w:ascii="Arial" w:eastAsia="Arial" w:hAnsi="Arial" w:cs="Arial"/>
        </w:rPr>
        <w:t xml:space="preserve">– resolverá la consulta conforme a las normas generales en materia de contratación estatal. Con este objetivo se analizarán los siguientes temas: i) </w:t>
      </w:r>
      <w:r w:rsidR="00D8267C" w:rsidRPr="00D8267C">
        <w:rPr>
          <w:rFonts w:ascii="Arial" w:eastAsia="Arial" w:hAnsi="Arial" w:cs="Arial"/>
        </w:rPr>
        <w:t>Obligatoriedad, vigencia y alcance de la Circular Conjunta No. 01 del 05 de enero de 2023 e</w:t>
      </w:r>
      <w:r w:rsidR="00D8267C">
        <w:rPr>
          <w:rFonts w:ascii="Arial" w:eastAsia="Arial" w:hAnsi="Arial" w:cs="Arial"/>
        </w:rPr>
        <w:t>n la contratación directa</w:t>
      </w:r>
      <w:r w:rsidRPr="00140FFB">
        <w:rPr>
          <w:rFonts w:ascii="Arial" w:eastAsia="Arial" w:hAnsi="Arial" w:cs="Arial"/>
        </w:rPr>
        <w:t>; ii)</w:t>
      </w:r>
      <w:r w:rsidRPr="00140FFB">
        <w:rPr>
          <w:rFonts w:ascii="Arial" w:hAnsi="Arial" w:cs="Arial"/>
        </w:rPr>
        <w:t xml:space="preserve"> a</w:t>
      </w:r>
      <w:r w:rsidRPr="00140FFB">
        <w:rPr>
          <w:rFonts w:ascii="Arial" w:eastAsia="Arial" w:hAnsi="Arial" w:cs="Arial"/>
        </w:rPr>
        <w:t xml:space="preserve">plicación del principio de planeación en la contratación directa vigencia, objeto y finalidad de la Ley de Emprendimiento, iii) </w:t>
      </w:r>
      <w:r w:rsidR="00D8267C">
        <w:rPr>
          <w:rFonts w:ascii="Arial" w:eastAsia="Arial" w:hAnsi="Arial" w:cs="Arial"/>
        </w:rPr>
        <w:t xml:space="preserve">Vigencia, objeto y finalidad de la Ley 2069 de 2020, impacto sobre la contratación estatal iv) </w:t>
      </w:r>
      <w:r w:rsidRPr="00140FFB">
        <w:rPr>
          <w:rFonts w:ascii="Arial" w:eastAsia="Arial" w:hAnsi="Arial" w:cs="Arial"/>
        </w:rPr>
        <w:t xml:space="preserve">Convocatorias limitadas a </w:t>
      </w:r>
      <w:proofErr w:type="spellStart"/>
      <w:r w:rsidRPr="00140FFB">
        <w:rPr>
          <w:rFonts w:ascii="Arial" w:eastAsia="Arial" w:hAnsi="Arial" w:cs="Arial"/>
        </w:rPr>
        <w:t>mipymes</w:t>
      </w:r>
      <w:proofErr w:type="spellEnd"/>
      <w:r w:rsidRPr="00140FFB">
        <w:rPr>
          <w:rFonts w:ascii="Arial" w:eastAsia="Arial" w:hAnsi="Arial" w:cs="Arial"/>
        </w:rPr>
        <w:t xml:space="preserve"> en el ámbito nacional y territorial de conformidad con el Decreto 1860 de 2021</w:t>
      </w:r>
      <w:r w:rsidR="00D8267C">
        <w:rPr>
          <w:rFonts w:ascii="Arial" w:eastAsia="Arial" w:hAnsi="Arial" w:cs="Arial"/>
        </w:rPr>
        <w:t>: presupuestos mínimos para su aplicación</w:t>
      </w:r>
      <w:r w:rsidRPr="00140FFB">
        <w:rPr>
          <w:rFonts w:ascii="Arial" w:eastAsia="Arial" w:hAnsi="Arial" w:cs="Arial"/>
        </w:rPr>
        <w:t xml:space="preserve">; y </w:t>
      </w:r>
      <w:r w:rsidR="00D8267C">
        <w:rPr>
          <w:rFonts w:ascii="Arial" w:eastAsia="Arial" w:hAnsi="Arial" w:cs="Arial"/>
        </w:rPr>
        <w:t xml:space="preserve">iv) declaratoria de desierta en los </w:t>
      </w:r>
      <w:r w:rsidRPr="00140FFB">
        <w:rPr>
          <w:rFonts w:ascii="Arial" w:eastAsia="Arial" w:hAnsi="Arial" w:cs="Arial"/>
        </w:rPr>
        <w:t xml:space="preserve">procesos de selección. </w:t>
      </w:r>
    </w:p>
    <w:p w14:paraId="23066C18" w14:textId="77777777" w:rsidR="000E5D20" w:rsidRPr="00140FFB" w:rsidRDefault="000E5D20" w:rsidP="000E5D20">
      <w:pPr>
        <w:spacing w:after="120" w:line="276" w:lineRule="auto"/>
        <w:ind w:firstLine="709"/>
        <w:jc w:val="both"/>
        <w:rPr>
          <w:rFonts w:ascii="Arial" w:eastAsia="Arial" w:hAnsi="Arial" w:cs="Arial"/>
        </w:rPr>
      </w:pPr>
      <w:r w:rsidRPr="00140FFB">
        <w:rPr>
          <w:rFonts w:ascii="Arial" w:eastAsia="Calibri" w:hAnsi="Arial" w:cs="Arial"/>
          <w:color w:val="000000" w:themeColor="text1"/>
          <w:lang w:val="es-ES"/>
        </w:rPr>
        <w:t>La Agencia Nacional de Contratación Pública – Colombia Compra Eficiente, en los Conceptos</w:t>
      </w:r>
      <w:r w:rsidRPr="00140FFB">
        <w:rPr>
          <w:rFonts w:ascii="Arial" w:eastAsia="Calibri" w:hAnsi="Arial" w:cs="Arial"/>
          <w:color w:val="000000" w:themeColor="text1"/>
          <w:lang w:val="es-MX" w:eastAsia="en-GB"/>
        </w:rPr>
        <w:t xml:space="preserve"> C-009, C-010 y C-013 del 20 de febrero de 2023, C-006 del 21 de febrero de 2023, C-004 de 22 de febrero de 2023 y C-145 de 18 de mayo de 2023</w:t>
      </w:r>
      <w:r w:rsidRPr="00140FFB">
        <w:rPr>
          <w:rFonts w:ascii="Arial" w:eastAsia="Calibri" w:hAnsi="Arial" w:cs="Arial"/>
          <w:color w:val="000000" w:themeColor="text1"/>
          <w:lang w:val="es-ES"/>
        </w:rPr>
        <w:t xml:space="preserve">, analizó el alcance de la </w:t>
      </w:r>
      <w:r w:rsidRPr="00140FFB">
        <w:rPr>
          <w:rFonts w:ascii="Arial" w:hAnsi="Arial" w:cs="Arial"/>
          <w:color w:val="000000" w:themeColor="text1"/>
          <w:lang w:val="es-ES_tradnl"/>
        </w:rPr>
        <w:t>Circular Conjunta No. 01 del 05 de enero de 2023</w:t>
      </w:r>
      <w:r w:rsidRPr="00140FFB">
        <w:rPr>
          <w:rFonts w:ascii="Arial" w:eastAsia="Calibri" w:hAnsi="Arial" w:cs="Arial"/>
          <w:color w:val="000000" w:themeColor="text1"/>
          <w:lang w:val="es-ES"/>
        </w:rPr>
        <w:t>.</w:t>
      </w:r>
      <w:r w:rsidRPr="00140FFB">
        <w:rPr>
          <w:rFonts w:ascii="Arial" w:hAnsi="Arial" w:cs="Arial"/>
        </w:rPr>
        <w:t xml:space="preserve"> Así mismo, esta Agencia se </w:t>
      </w:r>
      <w:r w:rsidRPr="00140FFB">
        <w:rPr>
          <w:rFonts w:ascii="Arial" w:hAnsi="Arial" w:cs="Arial"/>
        </w:rPr>
        <w:lastRenderedPageBreak/>
        <w:t xml:space="preserve">pronunció </w:t>
      </w:r>
      <w:r w:rsidRPr="00140FFB">
        <w:rPr>
          <w:rFonts w:ascii="Arial" w:hAnsi="Arial" w:cs="Arial"/>
          <w:spacing w:val="-59"/>
        </w:rPr>
        <w:t xml:space="preserve">  </w:t>
      </w:r>
      <w:r w:rsidRPr="00140FFB">
        <w:rPr>
          <w:rFonts w:ascii="Arial" w:hAnsi="Arial" w:cs="Arial"/>
        </w:rPr>
        <w:t xml:space="preserve">sobre la nueva regulación de la promoción del desarrollo en la contratación estatal contenida en </w:t>
      </w:r>
      <w:r w:rsidRPr="00140FFB">
        <w:rPr>
          <w:rFonts w:ascii="Arial" w:hAnsi="Arial" w:cs="Arial"/>
          <w:spacing w:val="-59"/>
        </w:rPr>
        <w:t xml:space="preserve"> </w:t>
      </w:r>
      <w:r w:rsidRPr="00140FFB">
        <w:rPr>
          <w:rFonts w:ascii="Arial" w:hAnsi="Arial" w:cs="Arial"/>
        </w:rPr>
        <w:t>el artículo 34 de la Ley 2069 de 2020 en los conceptos C-043 del 09 de febrero de 2021, C-005</w:t>
      </w:r>
      <w:r w:rsidRPr="00140FFB">
        <w:rPr>
          <w:rFonts w:ascii="Arial" w:hAnsi="Arial" w:cs="Arial"/>
          <w:spacing w:val="1"/>
        </w:rPr>
        <w:t xml:space="preserve"> </w:t>
      </w:r>
      <w:r w:rsidRPr="00140FFB">
        <w:rPr>
          <w:rFonts w:ascii="Arial" w:hAnsi="Arial" w:cs="Arial"/>
        </w:rPr>
        <w:t>del</w:t>
      </w:r>
      <w:r w:rsidRPr="00140FFB">
        <w:rPr>
          <w:rFonts w:ascii="Arial" w:hAnsi="Arial" w:cs="Arial"/>
          <w:spacing w:val="-7"/>
        </w:rPr>
        <w:t xml:space="preserve"> </w:t>
      </w:r>
      <w:r w:rsidRPr="00140FFB">
        <w:rPr>
          <w:rFonts w:ascii="Arial" w:hAnsi="Arial" w:cs="Arial"/>
        </w:rPr>
        <w:t>16</w:t>
      </w:r>
      <w:r w:rsidRPr="00140FFB">
        <w:rPr>
          <w:rFonts w:ascii="Arial" w:hAnsi="Arial" w:cs="Arial"/>
          <w:spacing w:val="-7"/>
        </w:rPr>
        <w:t xml:space="preserve"> </w:t>
      </w:r>
      <w:r w:rsidRPr="00140FFB">
        <w:rPr>
          <w:rFonts w:ascii="Arial" w:hAnsi="Arial" w:cs="Arial"/>
        </w:rPr>
        <w:t>de</w:t>
      </w:r>
      <w:r w:rsidRPr="00140FFB">
        <w:rPr>
          <w:rFonts w:ascii="Arial" w:hAnsi="Arial" w:cs="Arial"/>
          <w:spacing w:val="-6"/>
        </w:rPr>
        <w:t xml:space="preserve"> </w:t>
      </w:r>
      <w:r w:rsidRPr="00140FFB">
        <w:rPr>
          <w:rFonts w:ascii="Arial" w:hAnsi="Arial" w:cs="Arial"/>
        </w:rPr>
        <w:t>febrero</w:t>
      </w:r>
      <w:r w:rsidRPr="00140FFB">
        <w:rPr>
          <w:rFonts w:ascii="Arial" w:hAnsi="Arial" w:cs="Arial"/>
          <w:spacing w:val="-6"/>
        </w:rPr>
        <w:t xml:space="preserve"> </w:t>
      </w:r>
      <w:r w:rsidRPr="00140FFB">
        <w:rPr>
          <w:rFonts w:ascii="Arial" w:hAnsi="Arial" w:cs="Arial"/>
        </w:rPr>
        <w:t>de</w:t>
      </w:r>
      <w:r w:rsidRPr="00140FFB">
        <w:rPr>
          <w:rFonts w:ascii="Arial" w:hAnsi="Arial" w:cs="Arial"/>
          <w:spacing w:val="-7"/>
        </w:rPr>
        <w:t xml:space="preserve"> </w:t>
      </w:r>
      <w:r w:rsidRPr="00140FFB">
        <w:rPr>
          <w:rFonts w:ascii="Arial" w:hAnsi="Arial" w:cs="Arial"/>
        </w:rPr>
        <w:t>2021,</w:t>
      </w:r>
      <w:r w:rsidRPr="00140FFB">
        <w:rPr>
          <w:rFonts w:ascii="Arial" w:hAnsi="Arial" w:cs="Arial"/>
          <w:spacing w:val="-6"/>
        </w:rPr>
        <w:t xml:space="preserve"> </w:t>
      </w:r>
      <w:r w:rsidRPr="00140FFB">
        <w:rPr>
          <w:rFonts w:ascii="Arial" w:hAnsi="Arial" w:cs="Arial"/>
        </w:rPr>
        <w:t>C-081</w:t>
      </w:r>
      <w:r w:rsidRPr="00140FFB">
        <w:rPr>
          <w:rFonts w:ascii="Arial" w:hAnsi="Arial" w:cs="Arial"/>
          <w:spacing w:val="-7"/>
        </w:rPr>
        <w:t xml:space="preserve"> </w:t>
      </w:r>
      <w:r w:rsidRPr="00140FFB">
        <w:rPr>
          <w:rFonts w:ascii="Arial" w:hAnsi="Arial" w:cs="Arial"/>
        </w:rPr>
        <w:t>del</w:t>
      </w:r>
      <w:r w:rsidRPr="00140FFB">
        <w:rPr>
          <w:rFonts w:ascii="Arial" w:hAnsi="Arial" w:cs="Arial"/>
          <w:spacing w:val="-6"/>
        </w:rPr>
        <w:t xml:space="preserve"> </w:t>
      </w:r>
      <w:r w:rsidRPr="00140FFB">
        <w:rPr>
          <w:rFonts w:ascii="Arial" w:hAnsi="Arial" w:cs="Arial"/>
        </w:rPr>
        <w:t>23</w:t>
      </w:r>
      <w:r w:rsidRPr="00140FFB">
        <w:rPr>
          <w:rFonts w:ascii="Arial" w:hAnsi="Arial" w:cs="Arial"/>
          <w:spacing w:val="-7"/>
        </w:rPr>
        <w:t xml:space="preserve"> </w:t>
      </w:r>
      <w:r w:rsidRPr="00140FFB">
        <w:rPr>
          <w:rFonts w:ascii="Arial" w:hAnsi="Arial" w:cs="Arial"/>
        </w:rPr>
        <w:t>de</w:t>
      </w:r>
      <w:r w:rsidRPr="00140FFB">
        <w:rPr>
          <w:rFonts w:ascii="Arial" w:hAnsi="Arial" w:cs="Arial"/>
          <w:spacing w:val="-7"/>
        </w:rPr>
        <w:t xml:space="preserve"> </w:t>
      </w:r>
      <w:r w:rsidRPr="00140FFB">
        <w:rPr>
          <w:rFonts w:ascii="Arial" w:hAnsi="Arial" w:cs="Arial"/>
        </w:rPr>
        <w:t>febrero</w:t>
      </w:r>
      <w:r w:rsidRPr="00140FFB">
        <w:rPr>
          <w:rFonts w:ascii="Arial" w:hAnsi="Arial" w:cs="Arial"/>
          <w:spacing w:val="-5"/>
        </w:rPr>
        <w:t xml:space="preserve"> </w:t>
      </w:r>
      <w:r w:rsidRPr="00140FFB">
        <w:rPr>
          <w:rFonts w:ascii="Arial" w:hAnsi="Arial" w:cs="Arial"/>
        </w:rPr>
        <w:t>de</w:t>
      </w:r>
      <w:r w:rsidRPr="00140FFB">
        <w:rPr>
          <w:rFonts w:ascii="Arial" w:hAnsi="Arial" w:cs="Arial"/>
          <w:spacing w:val="-7"/>
        </w:rPr>
        <w:t xml:space="preserve"> </w:t>
      </w:r>
      <w:r w:rsidRPr="00140FFB">
        <w:rPr>
          <w:rFonts w:ascii="Arial" w:hAnsi="Arial" w:cs="Arial"/>
        </w:rPr>
        <w:t>2021,</w:t>
      </w:r>
      <w:r w:rsidRPr="00140FFB">
        <w:rPr>
          <w:rFonts w:ascii="Arial" w:hAnsi="Arial" w:cs="Arial"/>
          <w:spacing w:val="-6"/>
        </w:rPr>
        <w:t xml:space="preserve"> </w:t>
      </w:r>
      <w:r w:rsidRPr="00140FFB">
        <w:rPr>
          <w:rFonts w:ascii="Arial" w:hAnsi="Arial" w:cs="Arial"/>
        </w:rPr>
        <w:t>C-087</w:t>
      </w:r>
      <w:r w:rsidRPr="00140FFB">
        <w:rPr>
          <w:rFonts w:ascii="Arial" w:hAnsi="Arial" w:cs="Arial"/>
          <w:spacing w:val="-7"/>
        </w:rPr>
        <w:t xml:space="preserve"> </w:t>
      </w:r>
      <w:r w:rsidRPr="00140FFB">
        <w:rPr>
          <w:rFonts w:ascii="Arial" w:hAnsi="Arial" w:cs="Arial"/>
        </w:rPr>
        <w:t>del</w:t>
      </w:r>
      <w:r w:rsidRPr="00140FFB">
        <w:rPr>
          <w:rFonts w:ascii="Arial" w:hAnsi="Arial" w:cs="Arial"/>
          <w:spacing w:val="-7"/>
        </w:rPr>
        <w:t xml:space="preserve"> </w:t>
      </w:r>
      <w:r w:rsidRPr="00140FFB">
        <w:rPr>
          <w:rFonts w:ascii="Arial" w:hAnsi="Arial" w:cs="Arial"/>
        </w:rPr>
        <w:t>23</w:t>
      </w:r>
      <w:r w:rsidRPr="00140FFB">
        <w:rPr>
          <w:rFonts w:ascii="Arial" w:hAnsi="Arial" w:cs="Arial"/>
          <w:spacing w:val="-6"/>
        </w:rPr>
        <w:t xml:space="preserve"> </w:t>
      </w:r>
      <w:r w:rsidRPr="00140FFB">
        <w:rPr>
          <w:rFonts w:ascii="Arial" w:hAnsi="Arial" w:cs="Arial"/>
        </w:rPr>
        <w:t>de</w:t>
      </w:r>
      <w:r w:rsidRPr="00140FFB">
        <w:rPr>
          <w:rFonts w:ascii="Arial" w:hAnsi="Arial" w:cs="Arial"/>
          <w:spacing w:val="-7"/>
        </w:rPr>
        <w:t xml:space="preserve"> </w:t>
      </w:r>
      <w:r w:rsidRPr="00140FFB">
        <w:rPr>
          <w:rFonts w:ascii="Arial" w:hAnsi="Arial" w:cs="Arial"/>
        </w:rPr>
        <w:t>febrero</w:t>
      </w:r>
      <w:r w:rsidRPr="00140FFB">
        <w:rPr>
          <w:rFonts w:ascii="Arial" w:hAnsi="Arial" w:cs="Arial"/>
          <w:spacing w:val="-6"/>
        </w:rPr>
        <w:t xml:space="preserve"> </w:t>
      </w:r>
      <w:r w:rsidRPr="00140FFB">
        <w:rPr>
          <w:rFonts w:ascii="Arial" w:hAnsi="Arial" w:cs="Arial"/>
        </w:rPr>
        <w:t>de</w:t>
      </w:r>
      <w:r w:rsidRPr="00140FFB">
        <w:rPr>
          <w:rFonts w:ascii="Arial" w:hAnsi="Arial" w:cs="Arial"/>
          <w:spacing w:val="-6"/>
        </w:rPr>
        <w:t xml:space="preserve"> </w:t>
      </w:r>
      <w:r w:rsidRPr="00140FFB">
        <w:rPr>
          <w:rFonts w:ascii="Arial" w:hAnsi="Arial" w:cs="Arial"/>
        </w:rPr>
        <w:t>2021,</w:t>
      </w:r>
      <w:r w:rsidRPr="00140FFB">
        <w:rPr>
          <w:rFonts w:ascii="Arial" w:hAnsi="Arial" w:cs="Arial"/>
          <w:spacing w:val="-7"/>
        </w:rPr>
        <w:t xml:space="preserve"> </w:t>
      </w:r>
      <w:r w:rsidRPr="00140FFB">
        <w:rPr>
          <w:rFonts w:ascii="Arial" w:hAnsi="Arial" w:cs="Arial"/>
        </w:rPr>
        <w:t>C-</w:t>
      </w:r>
      <w:r w:rsidRPr="00140FFB">
        <w:rPr>
          <w:rFonts w:ascii="Arial" w:hAnsi="Arial" w:cs="Arial"/>
          <w:spacing w:val="-59"/>
        </w:rPr>
        <w:t xml:space="preserve"> </w:t>
      </w:r>
      <w:r w:rsidRPr="00140FFB">
        <w:rPr>
          <w:rFonts w:ascii="Arial" w:hAnsi="Arial" w:cs="Arial"/>
        </w:rPr>
        <w:t>025</w:t>
      </w:r>
      <w:r w:rsidRPr="00140FFB">
        <w:rPr>
          <w:rFonts w:ascii="Arial" w:hAnsi="Arial" w:cs="Arial"/>
          <w:spacing w:val="-10"/>
        </w:rPr>
        <w:t xml:space="preserve"> </w:t>
      </w:r>
      <w:r w:rsidRPr="00140FFB">
        <w:rPr>
          <w:rFonts w:ascii="Arial" w:hAnsi="Arial" w:cs="Arial"/>
        </w:rPr>
        <w:t>del</w:t>
      </w:r>
      <w:r w:rsidRPr="00140FFB">
        <w:rPr>
          <w:rFonts w:ascii="Arial" w:hAnsi="Arial" w:cs="Arial"/>
          <w:spacing w:val="-9"/>
        </w:rPr>
        <w:t xml:space="preserve"> </w:t>
      </w:r>
      <w:r w:rsidRPr="00140FFB">
        <w:rPr>
          <w:rFonts w:ascii="Arial" w:hAnsi="Arial" w:cs="Arial"/>
        </w:rPr>
        <w:t>25</w:t>
      </w:r>
      <w:r w:rsidRPr="00140FFB">
        <w:rPr>
          <w:rFonts w:ascii="Arial" w:hAnsi="Arial" w:cs="Arial"/>
          <w:spacing w:val="-10"/>
        </w:rPr>
        <w:t xml:space="preserve"> </w:t>
      </w:r>
      <w:r w:rsidRPr="00140FFB">
        <w:rPr>
          <w:rFonts w:ascii="Arial" w:hAnsi="Arial" w:cs="Arial"/>
        </w:rPr>
        <w:t>de</w:t>
      </w:r>
      <w:r w:rsidRPr="00140FFB">
        <w:rPr>
          <w:rFonts w:ascii="Arial" w:hAnsi="Arial" w:cs="Arial"/>
          <w:spacing w:val="-9"/>
        </w:rPr>
        <w:t xml:space="preserve"> </w:t>
      </w:r>
      <w:r w:rsidRPr="00140FFB">
        <w:rPr>
          <w:rFonts w:ascii="Arial" w:hAnsi="Arial" w:cs="Arial"/>
        </w:rPr>
        <w:t>febrero</w:t>
      </w:r>
      <w:r w:rsidRPr="00140FFB">
        <w:rPr>
          <w:rFonts w:ascii="Arial" w:hAnsi="Arial" w:cs="Arial"/>
          <w:spacing w:val="-8"/>
        </w:rPr>
        <w:t xml:space="preserve"> </w:t>
      </w:r>
      <w:r w:rsidRPr="00140FFB">
        <w:rPr>
          <w:rFonts w:ascii="Arial" w:hAnsi="Arial" w:cs="Arial"/>
        </w:rPr>
        <w:t>de</w:t>
      </w:r>
      <w:r w:rsidRPr="00140FFB">
        <w:rPr>
          <w:rFonts w:ascii="Arial" w:hAnsi="Arial" w:cs="Arial"/>
          <w:spacing w:val="-10"/>
        </w:rPr>
        <w:t xml:space="preserve"> </w:t>
      </w:r>
      <w:r w:rsidRPr="00140FFB">
        <w:rPr>
          <w:rFonts w:ascii="Arial" w:hAnsi="Arial" w:cs="Arial"/>
        </w:rPr>
        <w:t>2021,</w:t>
      </w:r>
      <w:r w:rsidRPr="00140FFB">
        <w:rPr>
          <w:rFonts w:ascii="Arial" w:hAnsi="Arial" w:cs="Arial"/>
          <w:spacing w:val="-9"/>
        </w:rPr>
        <w:t xml:space="preserve"> </w:t>
      </w:r>
      <w:r w:rsidRPr="00140FFB">
        <w:rPr>
          <w:rFonts w:ascii="Arial" w:hAnsi="Arial" w:cs="Arial"/>
        </w:rPr>
        <w:t>C-037</w:t>
      </w:r>
      <w:r w:rsidRPr="00140FFB">
        <w:rPr>
          <w:rFonts w:ascii="Arial" w:hAnsi="Arial" w:cs="Arial"/>
          <w:spacing w:val="-9"/>
        </w:rPr>
        <w:t xml:space="preserve"> </w:t>
      </w:r>
      <w:r w:rsidRPr="00140FFB">
        <w:rPr>
          <w:rFonts w:ascii="Arial" w:hAnsi="Arial" w:cs="Arial"/>
        </w:rPr>
        <w:t>del</w:t>
      </w:r>
      <w:r w:rsidRPr="00140FFB">
        <w:rPr>
          <w:rFonts w:ascii="Arial" w:hAnsi="Arial" w:cs="Arial"/>
          <w:spacing w:val="-10"/>
        </w:rPr>
        <w:t xml:space="preserve"> </w:t>
      </w:r>
      <w:r w:rsidRPr="00140FFB">
        <w:rPr>
          <w:rFonts w:ascii="Arial" w:hAnsi="Arial" w:cs="Arial"/>
        </w:rPr>
        <w:t>26</w:t>
      </w:r>
      <w:r w:rsidRPr="00140FFB">
        <w:rPr>
          <w:rFonts w:ascii="Arial" w:hAnsi="Arial" w:cs="Arial"/>
          <w:spacing w:val="-9"/>
        </w:rPr>
        <w:t xml:space="preserve"> </w:t>
      </w:r>
      <w:r w:rsidRPr="00140FFB">
        <w:rPr>
          <w:rFonts w:ascii="Arial" w:hAnsi="Arial" w:cs="Arial"/>
        </w:rPr>
        <w:t>de</w:t>
      </w:r>
      <w:r w:rsidRPr="00140FFB">
        <w:rPr>
          <w:rFonts w:ascii="Arial" w:hAnsi="Arial" w:cs="Arial"/>
          <w:spacing w:val="-9"/>
        </w:rPr>
        <w:t xml:space="preserve"> </w:t>
      </w:r>
      <w:r w:rsidRPr="00140FFB">
        <w:rPr>
          <w:rFonts w:ascii="Arial" w:hAnsi="Arial" w:cs="Arial"/>
        </w:rPr>
        <w:t>febrero</w:t>
      </w:r>
      <w:r w:rsidRPr="00140FFB">
        <w:rPr>
          <w:rFonts w:ascii="Arial" w:hAnsi="Arial" w:cs="Arial"/>
          <w:spacing w:val="-9"/>
        </w:rPr>
        <w:t xml:space="preserve"> </w:t>
      </w:r>
      <w:r w:rsidRPr="00140FFB">
        <w:rPr>
          <w:rFonts w:ascii="Arial" w:hAnsi="Arial" w:cs="Arial"/>
        </w:rPr>
        <w:t>de</w:t>
      </w:r>
      <w:r w:rsidRPr="00140FFB">
        <w:rPr>
          <w:rFonts w:ascii="Arial" w:hAnsi="Arial" w:cs="Arial"/>
          <w:spacing w:val="-9"/>
        </w:rPr>
        <w:t xml:space="preserve"> </w:t>
      </w:r>
      <w:r w:rsidRPr="00140FFB">
        <w:rPr>
          <w:rFonts w:ascii="Arial" w:hAnsi="Arial" w:cs="Arial"/>
        </w:rPr>
        <w:t>2021,</w:t>
      </w:r>
      <w:r w:rsidRPr="00140FFB">
        <w:rPr>
          <w:rFonts w:ascii="Arial" w:hAnsi="Arial" w:cs="Arial"/>
          <w:spacing w:val="-10"/>
        </w:rPr>
        <w:t xml:space="preserve"> </w:t>
      </w:r>
      <w:r w:rsidRPr="00140FFB">
        <w:rPr>
          <w:rFonts w:ascii="Arial" w:hAnsi="Arial" w:cs="Arial"/>
        </w:rPr>
        <w:t>C-035</w:t>
      </w:r>
      <w:r w:rsidRPr="00140FFB">
        <w:rPr>
          <w:rFonts w:ascii="Arial" w:hAnsi="Arial" w:cs="Arial"/>
          <w:spacing w:val="-9"/>
        </w:rPr>
        <w:t xml:space="preserve"> </w:t>
      </w:r>
      <w:r w:rsidRPr="00140FFB">
        <w:rPr>
          <w:rFonts w:ascii="Arial" w:hAnsi="Arial" w:cs="Arial"/>
        </w:rPr>
        <w:t>del</w:t>
      </w:r>
      <w:r w:rsidRPr="00140FFB">
        <w:rPr>
          <w:rFonts w:ascii="Arial" w:hAnsi="Arial" w:cs="Arial"/>
          <w:spacing w:val="-9"/>
        </w:rPr>
        <w:t xml:space="preserve"> </w:t>
      </w:r>
      <w:r w:rsidRPr="00140FFB">
        <w:rPr>
          <w:rFonts w:ascii="Arial" w:hAnsi="Arial" w:cs="Arial"/>
        </w:rPr>
        <w:t>02</w:t>
      </w:r>
      <w:r w:rsidRPr="00140FFB">
        <w:rPr>
          <w:rFonts w:ascii="Arial" w:hAnsi="Arial" w:cs="Arial"/>
          <w:spacing w:val="-10"/>
        </w:rPr>
        <w:t xml:space="preserve"> </w:t>
      </w:r>
      <w:r w:rsidRPr="00140FFB">
        <w:rPr>
          <w:rFonts w:ascii="Arial" w:hAnsi="Arial" w:cs="Arial"/>
        </w:rPr>
        <w:t>de</w:t>
      </w:r>
      <w:r w:rsidRPr="00140FFB">
        <w:rPr>
          <w:rFonts w:ascii="Arial" w:hAnsi="Arial" w:cs="Arial"/>
          <w:spacing w:val="-9"/>
        </w:rPr>
        <w:t xml:space="preserve"> </w:t>
      </w:r>
      <w:r w:rsidRPr="00140FFB">
        <w:rPr>
          <w:rFonts w:ascii="Arial" w:hAnsi="Arial" w:cs="Arial"/>
        </w:rPr>
        <w:t>marzo</w:t>
      </w:r>
      <w:r w:rsidRPr="00140FFB">
        <w:rPr>
          <w:rFonts w:ascii="Arial" w:hAnsi="Arial" w:cs="Arial"/>
          <w:spacing w:val="-9"/>
        </w:rPr>
        <w:t xml:space="preserve"> </w:t>
      </w:r>
      <w:r w:rsidRPr="00140FFB">
        <w:rPr>
          <w:rFonts w:ascii="Arial" w:hAnsi="Arial" w:cs="Arial"/>
        </w:rPr>
        <w:t>de</w:t>
      </w:r>
      <w:r w:rsidRPr="00140FFB">
        <w:rPr>
          <w:rFonts w:ascii="Arial" w:hAnsi="Arial" w:cs="Arial"/>
          <w:spacing w:val="-10"/>
        </w:rPr>
        <w:t xml:space="preserve"> </w:t>
      </w:r>
      <w:r w:rsidRPr="00140FFB">
        <w:rPr>
          <w:rFonts w:ascii="Arial" w:hAnsi="Arial" w:cs="Arial"/>
        </w:rPr>
        <w:t>2021,</w:t>
      </w:r>
      <w:r w:rsidRPr="00140FFB">
        <w:rPr>
          <w:rFonts w:ascii="Arial" w:hAnsi="Arial" w:cs="Arial"/>
          <w:spacing w:val="1"/>
        </w:rPr>
        <w:t xml:space="preserve"> </w:t>
      </w:r>
      <w:r w:rsidRPr="00140FFB">
        <w:rPr>
          <w:rFonts w:ascii="Arial" w:hAnsi="Arial" w:cs="Arial"/>
        </w:rPr>
        <w:t>C-040</w:t>
      </w:r>
      <w:r w:rsidRPr="00140FFB">
        <w:rPr>
          <w:rFonts w:ascii="Arial" w:hAnsi="Arial" w:cs="Arial"/>
          <w:spacing w:val="-12"/>
        </w:rPr>
        <w:t xml:space="preserve"> </w:t>
      </w:r>
      <w:r w:rsidRPr="00140FFB">
        <w:rPr>
          <w:rFonts w:ascii="Arial" w:hAnsi="Arial" w:cs="Arial"/>
        </w:rPr>
        <w:t>del</w:t>
      </w:r>
      <w:r w:rsidRPr="00140FFB">
        <w:rPr>
          <w:rFonts w:ascii="Arial" w:hAnsi="Arial" w:cs="Arial"/>
          <w:spacing w:val="-12"/>
        </w:rPr>
        <w:t xml:space="preserve"> </w:t>
      </w:r>
      <w:r w:rsidRPr="00140FFB">
        <w:rPr>
          <w:rFonts w:ascii="Arial" w:hAnsi="Arial" w:cs="Arial"/>
        </w:rPr>
        <w:t>02</w:t>
      </w:r>
      <w:r w:rsidRPr="00140FFB">
        <w:rPr>
          <w:rFonts w:ascii="Arial" w:hAnsi="Arial" w:cs="Arial"/>
          <w:spacing w:val="-12"/>
        </w:rPr>
        <w:t xml:space="preserve"> </w:t>
      </w:r>
      <w:r w:rsidRPr="00140FFB">
        <w:rPr>
          <w:rFonts w:ascii="Arial" w:hAnsi="Arial" w:cs="Arial"/>
        </w:rPr>
        <w:t>de</w:t>
      </w:r>
      <w:r w:rsidRPr="00140FFB">
        <w:rPr>
          <w:rFonts w:ascii="Arial" w:hAnsi="Arial" w:cs="Arial"/>
          <w:spacing w:val="-12"/>
        </w:rPr>
        <w:t xml:space="preserve"> </w:t>
      </w:r>
      <w:r w:rsidRPr="00140FFB">
        <w:rPr>
          <w:rFonts w:ascii="Arial" w:hAnsi="Arial" w:cs="Arial"/>
        </w:rPr>
        <w:t>marzo</w:t>
      </w:r>
      <w:r w:rsidRPr="00140FFB">
        <w:rPr>
          <w:rFonts w:ascii="Arial" w:hAnsi="Arial" w:cs="Arial"/>
          <w:spacing w:val="-12"/>
        </w:rPr>
        <w:t xml:space="preserve"> </w:t>
      </w:r>
      <w:r w:rsidRPr="00140FFB">
        <w:rPr>
          <w:rFonts w:ascii="Arial" w:hAnsi="Arial" w:cs="Arial"/>
        </w:rPr>
        <w:t>de</w:t>
      </w:r>
      <w:r w:rsidRPr="00140FFB">
        <w:rPr>
          <w:rFonts w:ascii="Arial" w:hAnsi="Arial" w:cs="Arial"/>
          <w:spacing w:val="-12"/>
        </w:rPr>
        <w:t xml:space="preserve"> </w:t>
      </w:r>
      <w:r w:rsidRPr="00140FFB">
        <w:rPr>
          <w:rFonts w:ascii="Arial" w:hAnsi="Arial" w:cs="Arial"/>
        </w:rPr>
        <w:t>2021,</w:t>
      </w:r>
      <w:r w:rsidRPr="00140FFB">
        <w:rPr>
          <w:rFonts w:ascii="Arial" w:hAnsi="Arial" w:cs="Arial"/>
          <w:spacing w:val="-12"/>
        </w:rPr>
        <w:t xml:space="preserve"> </w:t>
      </w:r>
      <w:r w:rsidRPr="00140FFB">
        <w:rPr>
          <w:rFonts w:ascii="Arial" w:hAnsi="Arial" w:cs="Arial"/>
        </w:rPr>
        <w:t>C-044</w:t>
      </w:r>
      <w:r w:rsidRPr="00140FFB">
        <w:rPr>
          <w:rFonts w:ascii="Arial" w:hAnsi="Arial" w:cs="Arial"/>
          <w:spacing w:val="-12"/>
        </w:rPr>
        <w:t xml:space="preserve"> </w:t>
      </w:r>
      <w:r w:rsidRPr="00140FFB">
        <w:rPr>
          <w:rFonts w:ascii="Arial" w:hAnsi="Arial" w:cs="Arial"/>
        </w:rPr>
        <w:t>del</w:t>
      </w:r>
      <w:r w:rsidRPr="00140FFB">
        <w:rPr>
          <w:rFonts w:ascii="Arial" w:hAnsi="Arial" w:cs="Arial"/>
          <w:spacing w:val="-12"/>
        </w:rPr>
        <w:t xml:space="preserve"> </w:t>
      </w:r>
      <w:r w:rsidRPr="00140FFB">
        <w:rPr>
          <w:rFonts w:ascii="Arial" w:hAnsi="Arial" w:cs="Arial"/>
        </w:rPr>
        <w:t>03</w:t>
      </w:r>
      <w:r w:rsidRPr="00140FFB">
        <w:rPr>
          <w:rFonts w:ascii="Arial" w:hAnsi="Arial" w:cs="Arial"/>
          <w:spacing w:val="-11"/>
        </w:rPr>
        <w:t xml:space="preserve"> </w:t>
      </w:r>
      <w:r w:rsidRPr="00140FFB">
        <w:rPr>
          <w:rFonts w:ascii="Arial" w:hAnsi="Arial" w:cs="Arial"/>
        </w:rPr>
        <w:t>de</w:t>
      </w:r>
      <w:r w:rsidRPr="00140FFB">
        <w:rPr>
          <w:rFonts w:ascii="Arial" w:hAnsi="Arial" w:cs="Arial"/>
          <w:spacing w:val="-12"/>
        </w:rPr>
        <w:t xml:space="preserve"> </w:t>
      </w:r>
      <w:r w:rsidRPr="00140FFB">
        <w:rPr>
          <w:rFonts w:ascii="Arial" w:hAnsi="Arial" w:cs="Arial"/>
        </w:rPr>
        <w:t>marzo</w:t>
      </w:r>
      <w:r w:rsidRPr="00140FFB">
        <w:rPr>
          <w:rFonts w:ascii="Arial" w:hAnsi="Arial" w:cs="Arial"/>
          <w:spacing w:val="-12"/>
        </w:rPr>
        <w:t xml:space="preserve"> </w:t>
      </w:r>
      <w:r w:rsidRPr="00140FFB">
        <w:rPr>
          <w:rFonts w:ascii="Arial" w:hAnsi="Arial" w:cs="Arial"/>
        </w:rPr>
        <w:t>de</w:t>
      </w:r>
      <w:r w:rsidRPr="00140FFB">
        <w:rPr>
          <w:rFonts w:ascii="Arial" w:hAnsi="Arial" w:cs="Arial"/>
          <w:spacing w:val="-12"/>
        </w:rPr>
        <w:t xml:space="preserve"> </w:t>
      </w:r>
      <w:r w:rsidRPr="00140FFB">
        <w:rPr>
          <w:rFonts w:ascii="Arial" w:hAnsi="Arial" w:cs="Arial"/>
        </w:rPr>
        <w:t>2021,</w:t>
      </w:r>
      <w:r w:rsidRPr="00140FFB">
        <w:rPr>
          <w:rFonts w:ascii="Arial" w:hAnsi="Arial" w:cs="Arial"/>
          <w:spacing w:val="-12"/>
        </w:rPr>
        <w:t xml:space="preserve"> </w:t>
      </w:r>
      <w:r w:rsidRPr="00140FFB">
        <w:rPr>
          <w:rFonts w:ascii="Arial" w:hAnsi="Arial" w:cs="Arial"/>
        </w:rPr>
        <w:t>C-102</w:t>
      </w:r>
      <w:r w:rsidRPr="00140FFB">
        <w:rPr>
          <w:rFonts w:ascii="Arial" w:hAnsi="Arial" w:cs="Arial"/>
          <w:spacing w:val="-12"/>
        </w:rPr>
        <w:t xml:space="preserve"> </w:t>
      </w:r>
      <w:r w:rsidRPr="00140FFB">
        <w:rPr>
          <w:rFonts w:ascii="Arial" w:hAnsi="Arial" w:cs="Arial"/>
        </w:rPr>
        <w:t>del</w:t>
      </w:r>
      <w:r w:rsidRPr="00140FFB">
        <w:rPr>
          <w:rFonts w:ascii="Arial" w:hAnsi="Arial" w:cs="Arial"/>
          <w:spacing w:val="-12"/>
        </w:rPr>
        <w:t xml:space="preserve"> </w:t>
      </w:r>
      <w:r w:rsidRPr="00140FFB">
        <w:rPr>
          <w:rFonts w:ascii="Arial" w:hAnsi="Arial" w:cs="Arial"/>
        </w:rPr>
        <w:t>25</w:t>
      </w:r>
      <w:r w:rsidRPr="00140FFB">
        <w:rPr>
          <w:rFonts w:ascii="Arial" w:hAnsi="Arial" w:cs="Arial"/>
          <w:spacing w:val="-12"/>
        </w:rPr>
        <w:t xml:space="preserve"> </w:t>
      </w:r>
      <w:r w:rsidRPr="00140FFB">
        <w:rPr>
          <w:rFonts w:ascii="Arial" w:hAnsi="Arial" w:cs="Arial"/>
        </w:rPr>
        <w:t>de</w:t>
      </w:r>
      <w:r w:rsidRPr="00140FFB">
        <w:rPr>
          <w:rFonts w:ascii="Arial" w:hAnsi="Arial" w:cs="Arial"/>
          <w:spacing w:val="-12"/>
        </w:rPr>
        <w:t xml:space="preserve"> </w:t>
      </w:r>
      <w:r w:rsidRPr="00140FFB">
        <w:rPr>
          <w:rFonts w:ascii="Arial" w:hAnsi="Arial" w:cs="Arial"/>
        </w:rPr>
        <w:t>marzo</w:t>
      </w:r>
      <w:r w:rsidRPr="00140FFB">
        <w:rPr>
          <w:rFonts w:ascii="Arial" w:hAnsi="Arial" w:cs="Arial"/>
          <w:spacing w:val="-11"/>
        </w:rPr>
        <w:t xml:space="preserve"> </w:t>
      </w:r>
      <w:r w:rsidRPr="00140FFB">
        <w:rPr>
          <w:rFonts w:ascii="Arial" w:hAnsi="Arial" w:cs="Arial"/>
        </w:rPr>
        <w:t>de</w:t>
      </w:r>
      <w:r w:rsidRPr="00140FFB">
        <w:rPr>
          <w:rFonts w:ascii="Arial" w:hAnsi="Arial" w:cs="Arial"/>
          <w:spacing w:val="-12"/>
        </w:rPr>
        <w:t xml:space="preserve"> </w:t>
      </w:r>
      <w:r w:rsidRPr="00140FFB">
        <w:rPr>
          <w:rFonts w:ascii="Arial" w:hAnsi="Arial" w:cs="Arial"/>
        </w:rPr>
        <w:t>2021,</w:t>
      </w:r>
      <w:r w:rsidRPr="00140FFB">
        <w:rPr>
          <w:rFonts w:ascii="Arial" w:hAnsi="Arial" w:cs="Arial"/>
          <w:spacing w:val="-59"/>
        </w:rPr>
        <w:t xml:space="preserve"> </w:t>
      </w:r>
      <w:r w:rsidRPr="00140FFB">
        <w:rPr>
          <w:rFonts w:ascii="Arial" w:hAnsi="Arial" w:cs="Arial"/>
        </w:rPr>
        <w:t>C-125 del 05 de abril de 2021, C-127 del 06 de abril de 2021,</w:t>
      </w:r>
      <w:r w:rsidRPr="00140FFB">
        <w:rPr>
          <w:rFonts w:ascii="Arial" w:hAnsi="Arial" w:cs="Arial"/>
          <w:spacing w:val="1"/>
        </w:rPr>
        <w:t xml:space="preserve"> </w:t>
      </w:r>
      <w:r w:rsidRPr="00140FFB">
        <w:rPr>
          <w:rFonts w:ascii="Arial" w:hAnsi="Arial" w:cs="Arial"/>
        </w:rPr>
        <w:t>C-130 del 07 de abril de 2021, C-</w:t>
      </w:r>
      <w:r w:rsidRPr="00140FFB">
        <w:rPr>
          <w:rFonts w:ascii="Arial" w:hAnsi="Arial" w:cs="Arial"/>
          <w:spacing w:val="-59"/>
        </w:rPr>
        <w:t xml:space="preserve"> </w:t>
      </w:r>
      <w:r w:rsidRPr="00140FFB">
        <w:rPr>
          <w:rFonts w:ascii="Arial" w:hAnsi="Arial" w:cs="Arial"/>
        </w:rPr>
        <w:t>144</w:t>
      </w:r>
      <w:r w:rsidRPr="00140FFB">
        <w:rPr>
          <w:rFonts w:ascii="Arial" w:hAnsi="Arial" w:cs="Arial"/>
          <w:spacing w:val="-11"/>
        </w:rPr>
        <w:t xml:space="preserve"> </w:t>
      </w:r>
      <w:r w:rsidRPr="00140FFB">
        <w:rPr>
          <w:rFonts w:ascii="Arial" w:hAnsi="Arial" w:cs="Arial"/>
        </w:rPr>
        <w:t>del</w:t>
      </w:r>
      <w:r w:rsidRPr="00140FFB">
        <w:rPr>
          <w:rFonts w:ascii="Arial" w:hAnsi="Arial" w:cs="Arial"/>
          <w:spacing w:val="-11"/>
        </w:rPr>
        <w:t xml:space="preserve"> </w:t>
      </w:r>
      <w:r w:rsidRPr="00140FFB">
        <w:rPr>
          <w:rFonts w:ascii="Arial" w:hAnsi="Arial" w:cs="Arial"/>
        </w:rPr>
        <w:t>07</w:t>
      </w:r>
      <w:r w:rsidRPr="00140FFB">
        <w:rPr>
          <w:rFonts w:ascii="Arial" w:hAnsi="Arial" w:cs="Arial"/>
          <w:spacing w:val="-10"/>
        </w:rPr>
        <w:t xml:space="preserve"> </w:t>
      </w:r>
      <w:r w:rsidRPr="00140FFB">
        <w:rPr>
          <w:rFonts w:ascii="Arial" w:hAnsi="Arial" w:cs="Arial"/>
        </w:rPr>
        <w:t>de</w:t>
      </w:r>
      <w:r w:rsidRPr="00140FFB">
        <w:rPr>
          <w:rFonts w:ascii="Arial" w:hAnsi="Arial" w:cs="Arial"/>
          <w:spacing w:val="-11"/>
        </w:rPr>
        <w:t xml:space="preserve"> </w:t>
      </w:r>
      <w:r w:rsidRPr="00140FFB">
        <w:rPr>
          <w:rFonts w:ascii="Arial" w:hAnsi="Arial" w:cs="Arial"/>
        </w:rPr>
        <w:t>abril</w:t>
      </w:r>
      <w:r w:rsidRPr="00140FFB">
        <w:rPr>
          <w:rFonts w:ascii="Arial" w:hAnsi="Arial" w:cs="Arial"/>
          <w:spacing w:val="-11"/>
        </w:rPr>
        <w:t xml:space="preserve"> </w:t>
      </w:r>
      <w:r w:rsidRPr="00140FFB">
        <w:rPr>
          <w:rFonts w:ascii="Arial" w:hAnsi="Arial" w:cs="Arial"/>
        </w:rPr>
        <w:t>de</w:t>
      </w:r>
      <w:r w:rsidRPr="00140FFB">
        <w:rPr>
          <w:rFonts w:ascii="Arial" w:hAnsi="Arial" w:cs="Arial"/>
          <w:spacing w:val="-10"/>
        </w:rPr>
        <w:t xml:space="preserve"> </w:t>
      </w:r>
      <w:r w:rsidRPr="00140FFB">
        <w:rPr>
          <w:rFonts w:ascii="Arial" w:hAnsi="Arial" w:cs="Arial"/>
        </w:rPr>
        <w:t>2021,</w:t>
      </w:r>
      <w:r w:rsidRPr="00140FFB">
        <w:rPr>
          <w:rFonts w:ascii="Arial" w:hAnsi="Arial" w:cs="Arial"/>
          <w:spacing w:val="-11"/>
        </w:rPr>
        <w:t xml:space="preserve"> </w:t>
      </w:r>
      <w:r w:rsidRPr="00140FFB">
        <w:rPr>
          <w:rFonts w:ascii="Arial" w:hAnsi="Arial" w:cs="Arial"/>
        </w:rPr>
        <w:t>C-141</w:t>
      </w:r>
      <w:r w:rsidRPr="00140FFB">
        <w:rPr>
          <w:rFonts w:ascii="Arial" w:hAnsi="Arial" w:cs="Arial"/>
          <w:spacing w:val="-10"/>
        </w:rPr>
        <w:t xml:space="preserve"> </w:t>
      </w:r>
      <w:r w:rsidRPr="00140FFB">
        <w:rPr>
          <w:rFonts w:ascii="Arial" w:hAnsi="Arial" w:cs="Arial"/>
        </w:rPr>
        <w:t>del</w:t>
      </w:r>
      <w:r w:rsidRPr="00140FFB">
        <w:rPr>
          <w:rFonts w:ascii="Arial" w:hAnsi="Arial" w:cs="Arial"/>
          <w:spacing w:val="-11"/>
        </w:rPr>
        <w:t xml:space="preserve"> </w:t>
      </w:r>
      <w:r w:rsidRPr="00140FFB">
        <w:rPr>
          <w:rFonts w:ascii="Arial" w:hAnsi="Arial" w:cs="Arial"/>
        </w:rPr>
        <w:t>08</w:t>
      </w:r>
      <w:r w:rsidRPr="00140FFB">
        <w:rPr>
          <w:rFonts w:ascii="Arial" w:hAnsi="Arial" w:cs="Arial"/>
          <w:spacing w:val="-11"/>
        </w:rPr>
        <w:t xml:space="preserve"> </w:t>
      </w:r>
      <w:r w:rsidRPr="00140FFB">
        <w:rPr>
          <w:rFonts w:ascii="Arial" w:hAnsi="Arial" w:cs="Arial"/>
        </w:rPr>
        <w:t>de</w:t>
      </w:r>
      <w:r w:rsidRPr="00140FFB">
        <w:rPr>
          <w:rFonts w:ascii="Arial" w:hAnsi="Arial" w:cs="Arial"/>
          <w:spacing w:val="-10"/>
        </w:rPr>
        <w:t xml:space="preserve"> </w:t>
      </w:r>
      <w:r w:rsidRPr="00140FFB">
        <w:rPr>
          <w:rFonts w:ascii="Arial" w:hAnsi="Arial" w:cs="Arial"/>
        </w:rPr>
        <w:t>abril</w:t>
      </w:r>
      <w:r w:rsidRPr="00140FFB">
        <w:rPr>
          <w:rFonts w:ascii="Arial" w:hAnsi="Arial" w:cs="Arial"/>
          <w:spacing w:val="-11"/>
        </w:rPr>
        <w:t xml:space="preserve"> </w:t>
      </w:r>
      <w:r w:rsidRPr="00140FFB">
        <w:rPr>
          <w:rFonts w:ascii="Arial" w:hAnsi="Arial" w:cs="Arial"/>
        </w:rPr>
        <w:t>de</w:t>
      </w:r>
      <w:r w:rsidRPr="00140FFB">
        <w:rPr>
          <w:rFonts w:ascii="Arial" w:hAnsi="Arial" w:cs="Arial"/>
          <w:spacing w:val="-10"/>
        </w:rPr>
        <w:t xml:space="preserve"> </w:t>
      </w:r>
      <w:r w:rsidRPr="00140FFB">
        <w:rPr>
          <w:rFonts w:ascii="Arial" w:hAnsi="Arial" w:cs="Arial"/>
        </w:rPr>
        <w:t>2021,</w:t>
      </w:r>
      <w:r w:rsidRPr="00140FFB">
        <w:rPr>
          <w:rFonts w:ascii="Arial" w:hAnsi="Arial" w:cs="Arial"/>
          <w:spacing w:val="-11"/>
        </w:rPr>
        <w:t xml:space="preserve"> </w:t>
      </w:r>
      <w:r w:rsidRPr="00140FFB">
        <w:rPr>
          <w:rFonts w:ascii="Arial" w:hAnsi="Arial" w:cs="Arial"/>
        </w:rPr>
        <w:t>C-114</w:t>
      </w:r>
      <w:r w:rsidRPr="00140FFB">
        <w:rPr>
          <w:rFonts w:ascii="Arial" w:hAnsi="Arial" w:cs="Arial"/>
          <w:spacing w:val="-11"/>
        </w:rPr>
        <w:t xml:space="preserve"> </w:t>
      </w:r>
      <w:r w:rsidRPr="00140FFB">
        <w:rPr>
          <w:rFonts w:ascii="Arial" w:hAnsi="Arial" w:cs="Arial"/>
        </w:rPr>
        <w:t>del</w:t>
      </w:r>
      <w:r w:rsidRPr="00140FFB">
        <w:rPr>
          <w:rFonts w:ascii="Arial" w:hAnsi="Arial" w:cs="Arial"/>
          <w:spacing w:val="-10"/>
        </w:rPr>
        <w:t xml:space="preserve"> </w:t>
      </w:r>
      <w:r w:rsidRPr="00140FFB">
        <w:rPr>
          <w:rFonts w:ascii="Arial" w:hAnsi="Arial" w:cs="Arial"/>
        </w:rPr>
        <w:t>13</w:t>
      </w:r>
      <w:r w:rsidRPr="00140FFB">
        <w:rPr>
          <w:rFonts w:ascii="Arial" w:hAnsi="Arial" w:cs="Arial"/>
          <w:spacing w:val="-11"/>
        </w:rPr>
        <w:t xml:space="preserve"> </w:t>
      </w:r>
      <w:r w:rsidRPr="00140FFB">
        <w:rPr>
          <w:rFonts w:ascii="Arial" w:hAnsi="Arial" w:cs="Arial"/>
        </w:rPr>
        <w:t>de</w:t>
      </w:r>
      <w:r w:rsidRPr="00140FFB">
        <w:rPr>
          <w:rFonts w:ascii="Arial" w:hAnsi="Arial" w:cs="Arial"/>
          <w:spacing w:val="-10"/>
        </w:rPr>
        <w:t xml:space="preserve"> </w:t>
      </w:r>
      <w:r w:rsidRPr="00140FFB">
        <w:rPr>
          <w:rFonts w:ascii="Arial" w:hAnsi="Arial" w:cs="Arial"/>
        </w:rPr>
        <w:t>abril</w:t>
      </w:r>
      <w:r w:rsidRPr="00140FFB">
        <w:rPr>
          <w:rFonts w:ascii="Arial" w:hAnsi="Arial" w:cs="Arial"/>
          <w:spacing w:val="-11"/>
        </w:rPr>
        <w:t xml:space="preserve"> </w:t>
      </w:r>
      <w:r w:rsidRPr="00140FFB">
        <w:rPr>
          <w:rFonts w:ascii="Arial" w:hAnsi="Arial" w:cs="Arial"/>
        </w:rPr>
        <w:t>de</w:t>
      </w:r>
      <w:r w:rsidRPr="00140FFB">
        <w:rPr>
          <w:rFonts w:ascii="Arial" w:hAnsi="Arial" w:cs="Arial"/>
          <w:spacing w:val="-11"/>
        </w:rPr>
        <w:t xml:space="preserve"> </w:t>
      </w:r>
      <w:r w:rsidRPr="00140FFB">
        <w:rPr>
          <w:rFonts w:ascii="Arial" w:hAnsi="Arial" w:cs="Arial"/>
        </w:rPr>
        <w:t>2021,</w:t>
      </w:r>
      <w:r w:rsidRPr="00140FFB">
        <w:rPr>
          <w:rFonts w:ascii="Arial" w:hAnsi="Arial" w:cs="Arial"/>
          <w:spacing w:val="-10"/>
        </w:rPr>
        <w:t xml:space="preserve"> </w:t>
      </w:r>
      <w:r w:rsidRPr="00140FFB">
        <w:rPr>
          <w:rFonts w:ascii="Arial" w:hAnsi="Arial" w:cs="Arial"/>
        </w:rPr>
        <w:t>C−151</w:t>
      </w:r>
      <w:r w:rsidRPr="00140FFB">
        <w:rPr>
          <w:rFonts w:ascii="Arial" w:hAnsi="Arial" w:cs="Arial"/>
          <w:spacing w:val="-59"/>
        </w:rPr>
        <w:t xml:space="preserve"> </w:t>
      </w:r>
      <w:r w:rsidRPr="00140FFB">
        <w:rPr>
          <w:rFonts w:ascii="Arial" w:hAnsi="Arial" w:cs="Arial"/>
        </w:rPr>
        <w:t>del 12 de abril de 2021,</w:t>
      </w:r>
      <w:r w:rsidRPr="00140FFB">
        <w:rPr>
          <w:rFonts w:ascii="Arial" w:hAnsi="Arial" w:cs="Arial"/>
          <w:spacing w:val="1"/>
        </w:rPr>
        <w:t xml:space="preserve"> </w:t>
      </w:r>
      <w:r w:rsidRPr="00140FFB">
        <w:rPr>
          <w:rFonts w:ascii="Arial" w:hAnsi="Arial" w:cs="Arial"/>
        </w:rPr>
        <w:t>C-160 del 20 de abril de 2021,</w:t>
      </w:r>
      <w:r w:rsidRPr="00140FFB">
        <w:rPr>
          <w:rFonts w:ascii="Arial" w:hAnsi="Arial" w:cs="Arial"/>
          <w:spacing w:val="1"/>
        </w:rPr>
        <w:t xml:space="preserve"> </w:t>
      </w:r>
      <w:r w:rsidRPr="00140FFB">
        <w:rPr>
          <w:rFonts w:ascii="Arial" w:hAnsi="Arial" w:cs="Arial"/>
        </w:rPr>
        <w:t>C−189 del 26 de abril de 2021, C-206</w:t>
      </w:r>
      <w:r w:rsidRPr="00140FFB">
        <w:rPr>
          <w:rFonts w:ascii="Arial" w:hAnsi="Arial" w:cs="Arial"/>
          <w:spacing w:val="1"/>
        </w:rPr>
        <w:t xml:space="preserve"> </w:t>
      </w:r>
      <w:r w:rsidRPr="00140FFB">
        <w:rPr>
          <w:rFonts w:ascii="Arial" w:hAnsi="Arial" w:cs="Arial"/>
        </w:rPr>
        <w:t>del 3 de mayo de 2021, C-208 del 10 de mayo de 2021, C-211 del 11 de mayo de 2021, C-234</w:t>
      </w:r>
      <w:r w:rsidRPr="00140FFB">
        <w:rPr>
          <w:rFonts w:ascii="Arial" w:hAnsi="Arial" w:cs="Arial"/>
          <w:spacing w:val="1"/>
        </w:rPr>
        <w:t xml:space="preserve"> </w:t>
      </w:r>
      <w:r w:rsidRPr="00140FFB">
        <w:rPr>
          <w:rFonts w:ascii="Arial" w:hAnsi="Arial" w:cs="Arial"/>
        </w:rPr>
        <w:t>del</w:t>
      </w:r>
      <w:r w:rsidRPr="00140FFB">
        <w:rPr>
          <w:rFonts w:ascii="Arial" w:hAnsi="Arial" w:cs="Arial"/>
          <w:spacing w:val="-6"/>
        </w:rPr>
        <w:t xml:space="preserve"> </w:t>
      </w:r>
      <w:r w:rsidRPr="00140FFB">
        <w:rPr>
          <w:rFonts w:ascii="Arial" w:hAnsi="Arial" w:cs="Arial"/>
        </w:rPr>
        <w:t>24</w:t>
      </w:r>
      <w:r w:rsidRPr="00140FFB">
        <w:rPr>
          <w:rFonts w:ascii="Arial" w:hAnsi="Arial" w:cs="Arial"/>
          <w:spacing w:val="-5"/>
        </w:rPr>
        <w:t xml:space="preserve"> </w:t>
      </w:r>
      <w:r w:rsidRPr="00140FFB">
        <w:rPr>
          <w:rFonts w:ascii="Arial" w:hAnsi="Arial" w:cs="Arial"/>
        </w:rPr>
        <w:t>de</w:t>
      </w:r>
      <w:r w:rsidRPr="00140FFB">
        <w:rPr>
          <w:rFonts w:ascii="Arial" w:hAnsi="Arial" w:cs="Arial"/>
          <w:spacing w:val="-5"/>
        </w:rPr>
        <w:t xml:space="preserve"> </w:t>
      </w:r>
      <w:r w:rsidRPr="00140FFB">
        <w:rPr>
          <w:rFonts w:ascii="Arial" w:hAnsi="Arial" w:cs="Arial"/>
        </w:rPr>
        <w:t>mayo</w:t>
      </w:r>
      <w:r w:rsidRPr="00140FFB">
        <w:rPr>
          <w:rFonts w:ascii="Arial" w:hAnsi="Arial" w:cs="Arial"/>
          <w:spacing w:val="-5"/>
        </w:rPr>
        <w:t xml:space="preserve"> </w:t>
      </w:r>
      <w:r w:rsidRPr="00140FFB">
        <w:rPr>
          <w:rFonts w:ascii="Arial" w:hAnsi="Arial" w:cs="Arial"/>
        </w:rPr>
        <w:t>de</w:t>
      </w:r>
      <w:r w:rsidRPr="00140FFB">
        <w:rPr>
          <w:rFonts w:ascii="Arial" w:hAnsi="Arial" w:cs="Arial"/>
          <w:spacing w:val="-6"/>
        </w:rPr>
        <w:t xml:space="preserve"> </w:t>
      </w:r>
      <w:r w:rsidRPr="00140FFB">
        <w:rPr>
          <w:rFonts w:ascii="Arial" w:hAnsi="Arial" w:cs="Arial"/>
        </w:rPr>
        <w:t>2021,</w:t>
      </w:r>
      <w:r w:rsidRPr="00140FFB">
        <w:rPr>
          <w:rFonts w:ascii="Arial" w:hAnsi="Arial" w:cs="Arial"/>
          <w:spacing w:val="-5"/>
        </w:rPr>
        <w:t xml:space="preserve"> </w:t>
      </w:r>
      <w:r w:rsidRPr="00140FFB">
        <w:rPr>
          <w:rFonts w:ascii="Arial" w:hAnsi="Arial" w:cs="Arial"/>
        </w:rPr>
        <w:t>C-271</w:t>
      </w:r>
      <w:r w:rsidRPr="00140FFB">
        <w:rPr>
          <w:rFonts w:ascii="Arial" w:hAnsi="Arial" w:cs="Arial"/>
          <w:spacing w:val="-5"/>
        </w:rPr>
        <w:t xml:space="preserve"> </w:t>
      </w:r>
      <w:r w:rsidRPr="00140FFB">
        <w:rPr>
          <w:rFonts w:ascii="Arial" w:hAnsi="Arial" w:cs="Arial"/>
        </w:rPr>
        <w:t>del</w:t>
      </w:r>
      <w:r w:rsidRPr="00140FFB">
        <w:rPr>
          <w:rFonts w:ascii="Arial" w:hAnsi="Arial" w:cs="Arial"/>
          <w:spacing w:val="-5"/>
        </w:rPr>
        <w:t xml:space="preserve"> </w:t>
      </w:r>
      <w:r w:rsidRPr="00140FFB">
        <w:rPr>
          <w:rFonts w:ascii="Arial" w:hAnsi="Arial" w:cs="Arial"/>
        </w:rPr>
        <w:t>9</w:t>
      </w:r>
      <w:r w:rsidRPr="00140FFB">
        <w:rPr>
          <w:rFonts w:ascii="Arial" w:hAnsi="Arial" w:cs="Arial"/>
          <w:spacing w:val="-5"/>
        </w:rPr>
        <w:t xml:space="preserve"> </w:t>
      </w:r>
      <w:r w:rsidRPr="00140FFB">
        <w:rPr>
          <w:rFonts w:ascii="Arial" w:hAnsi="Arial" w:cs="Arial"/>
        </w:rPr>
        <w:t>de</w:t>
      </w:r>
      <w:r w:rsidRPr="00140FFB">
        <w:rPr>
          <w:rFonts w:ascii="Arial" w:hAnsi="Arial" w:cs="Arial"/>
          <w:spacing w:val="-6"/>
        </w:rPr>
        <w:t xml:space="preserve"> </w:t>
      </w:r>
      <w:r w:rsidRPr="00140FFB">
        <w:rPr>
          <w:rFonts w:ascii="Arial" w:hAnsi="Arial" w:cs="Arial"/>
        </w:rPr>
        <w:t>junio</w:t>
      </w:r>
      <w:r w:rsidRPr="00140FFB">
        <w:rPr>
          <w:rFonts w:ascii="Arial" w:hAnsi="Arial" w:cs="Arial"/>
          <w:spacing w:val="-5"/>
        </w:rPr>
        <w:t xml:space="preserve"> </w:t>
      </w:r>
      <w:r w:rsidRPr="00140FFB">
        <w:rPr>
          <w:rFonts w:ascii="Arial" w:hAnsi="Arial" w:cs="Arial"/>
        </w:rPr>
        <w:t>de</w:t>
      </w:r>
      <w:r w:rsidRPr="00140FFB">
        <w:rPr>
          <w:rFonts w:ascii="Arial" w:hAnsi="Arial" w:cs="Arial"/>
          <w:spacing w:val="-5"/>
        </w:rPr>
        <w:t xml:space="preserve"> </w:t>
      </w:r>
      <w:r w:rsidRPr="00140FFB">
        <w:rPr>
          <w:rFonts w:ascii="Arial" w:hAnsi="Arial" w:cs="Arial"/>
        </w:rPr>
        <w:t>2021,</w:t>
      </w:r>
      <w:r w:rsidRPr="00140FFB">
        <w:rPr>
          <w:rFonts w:ascii="Arial" w:hAnsi="Arial" w:cs="Arial"/>
          <w:spacing w:val="-5"/>
        </w:rPr>
        <w:t xml:space="preserve"> </w:t>
      </w:r>
      <w:r w:rsidRPr="00140FFB">
        <w:rPr>
          <w:rFonts w:ascii="Arial" w:hAnsi="Arial" w:cs="Arial"/>
        </w:rPr>
        <w:t>C-306</w:t>
      </w:r>
      <w:r w:rsidRPr="00140FFB">
        <w:rPr>
          <w:rFonts w:ascii="Arial" w:hAnsi="Arial" w:cs="Arial"/>
          <w:spacing w:val="-6"/>
        </w:rPr>
        <w:t xml:space="preserve"> </w:t>
      </w:r>
      <w:r w:rsidRPr="00140FFB">
        <w:rPr>
          <w:rFonts w:ascii="Arial" w:hAnsi="Arial" w:cs="Arial"/>
        </w:rPr>
        <w:t>del</w:t>
      </w:r>
      <w:r w:rsidRPr="00140FFB">
        <w:rPr>
          <w:rFonts w:ascii="Arial" w:hAnsi="Arial" w:cs="Arial"/>
          <w:spacing w:val="-5"/>
        </w:rPr>
        <w:t xml:space="preserve"> </w:t>
      </w:r>
      <w:r w:rsidRPr="00140FFB">
        <w:rPr>
          <w:rFonts w:ascii="Arial" w:hAnsi="Arial" w:cs="Arial"/>
        </w:rPr>
        <w:t>28</w:t>
      </w:r>
      <w:r w:rsidRPr="00140FFB">
        <w:rPr>
          <w:rFonts w:ascii="Arial" w:hAnsi="Arial" w:cs="Arial"/>
          <w:spacing w:val="-5"/>
        </w:rPr>
        <w:t xml:space="preserve"> </w:t>
      </w:r>
      <w:r w:rsidRPr="00140FFB">
        <w:rPr>
          <w:rFonts w:ascii="Arial" w:hAnsi="Arial" w:cs="Arial"/>
        </w:rPr>
        <w:t>de</w:t>
      </w:r>
      <w:r w:rsidRPr="00140FFB">
        <w:rPr>
          <w:rFonts w:ascii="Arial" w:hAnsi="Arial" w:cs="Arial"/>
          <w:spacing w:val="-5"/>
        </w:rPr>
        <w:t xml:space="preserve"> </w:t>
      </w:r>
      <w:r w:rsidRPr="00140FFB">
        <w:rPr>
          <w:rFonts w:ascii="Arial" w:hAnsi="Arial" w:cs="Arial"/>
        </w:rPr>
        <w:t>junio</w:t>
      </w:r>
      <w:r w:rsidRPr="00140FFB">
        <w:rPr>
          <w:rFonts w:ascii="Arial" w:hAnsi="Arial" w:cs="Arial"/>
          <w:spacing w:val="-5"/>
        </w:rPr>
        <w:t xml:space="preserve"> </w:t>
      </w:r>
      <w:r w:rsidRPr="00140FFB">
        <w:rPr>
          <w:rFonts w:ascii="Arial" w:hAnsi="Arial" w:cs="Arial"/>
        </w:rPr>
        <w:t>de</w:t>
      </w:r>
      <w:r w:rsidRPr="00140FFB">
        <w:rPr>
          <w:rFonts w:ascii="Arial" w:hAnsi="Arial" w:cs="Arial"/>
          <w:spacing w:val="-6"/>
        </w:rPr>
        <w:t xml:space="preserve"> </w:t>
      </w:r>
      <w:r w:rsidRPr="00140FFB">
        <w:rPr>
          <w:rFonts w:ascii="Arial" w:hAnsi="Arial" w:cs="Arial"/>
        </w:rPr>
        <w:t>2021,</w:t>
      </w:r>
      <w:r w:rsidRPr="00140FFB">
        <w:rPr>
          <w:rFonts w:ascii="Arial" w:hAnsi="Arial" w:cs="Arial"/>
          <w:spacing w:val="-5"/>
        </w:rPr>
        <w:t xml:space="preserve"> </w:t>
      </w:r>
      <w:r w:rsidRPr="00140FFB">
        <w:rPr>
          <w:rFonts w:ascii="Arial" w:hAnsi="Arial" w:cs="Arial"/>
        </w:rPr>
        <w:t>C-426</w:t>
      </w:r>
      <w:r w:rsidRPr="00140FFB">
        <w:rPr>
          <w:rFonts w:ascii="Arial" w:hAnsi="Arial" w:cs="Arial"/>
          <w:spacing w:val="-5"/>
        </w:rPr>
        <w:t xml:space="preserve"> </w:t>
      </w:r>
      <w:r w:rsidRPr="00140FFB">
        <w:rPr>
          <w:rFonts w:ascii="Arial" w:hAnsi="Arial" w:cs="Arial"/>
        </w:rPr>
        <w:t>del</w:t>
      </w:r>
      <w:r w:rsidRPr="00140FFB">
        <w:rPr>
          <w:rFonts w:ascii="Arial" w:hAnsi="Arial" w:cs="Arial"/>
          <w:spacing w:val="1"/>
        </w:rPr>
        <w:t xml:space="preserve"> </w:t>
      </w:r>
      <w:r w:rsidRPr="00140FFB">
        <w:rPr>
          <w:rFonts w:ascii="Arial" w:hAnsi="Arial" w:cs="Arial"/>
        </w:rPr>
        <w:t>18</w:t>
      </w:r>
      <w:r w:rsidRPr="00140FFB">
        <w:rPr>
          <w:rFonts w:ascii="Arial" w:hAnsi="Arial" w:cs="Arial"/>
          <w:spacing w:val="-7"/>
        </w:rPr>
        <w:t xml:space="preserve"> </w:t>
      </w:r>
      <w:r w:rsidRPr="00140FFB">
        <w:rPr>
          <w:rFonts w:ascii="Arial" w:hAnsi="Arial" w:cs="Arial"/>
        </w:rPr>
        <w:t>de</w:t>
      </w:r>
      <w:r w:rsidRPr="00140FFB">
        <w:rPr>
          <w:rFonts w:ascii="Arial" w:hAnsi="Arial" w:cs="Arial"/>
          <w:spacing w:val="-6"/>
        </w:rPr>
        <w:t xml:space="preserve"> </w:t>
      </w:r>
      <w:r w:rsidRPr="00140FFB">
        <w:rPr>
          <w:rFonts w:ascii="Arial" w:hAnsi="Arial" w:cs="Arial"/>
        </w:rPr>
        <w:t>agosto</w:t>
      </w:r>
      <w:r w:rsidRPr="00140FFB">
        <w:rPr>
          <w:rFonts w:ascii="Arial" w:hAnsi="Arial" w:cs="Arial"/>
          <w:spacing w:val="-7"/>
        </w:rPr>
        <w:t xml:space="preserve"> </w:t>
      </w:r>
      <w:r w:rsidRPr="00140FFB">
        <w:rPr>
          <w:rFonts w:ascii="Arial" w:hAnsi="Arial" w:cs="Arial"/>
        </w:rPr>
        <w:t>de</w:t>
      </w:r>
      <w:r w:rsidRPr="00140FFB">
        <w:rPr>
          <w:rFonts w:ascii="Arial" w:hAnsi="Arial" w:cs="Arial"/>
          <w:spacing w:val="-6"/>
        </w:rPr>
        <w:t xml:space="preserve"> </w:t>
      </w:r>
      <w:r w:rsidRPr="00140FFB">
        <w:rPr>
          <w:rFonts w:ascii="Arial" w:hAnsi="Arial" w:cs="Arial"/>
        </w:rPr>
        <w:t>2021,</w:t>
      </w:r>
      <w:r w:rsidRPr="00140FFB">
        <w:rPr>
          <w:rFonts w:ascii="Arial" w:hAnsi="Arial" w:cs="Arial"/>
          <w:spacing w:val="-7"/>
        </w:rPr>
        <w:t xml:space="preserve"> </w:t>
      </w:r>
      <w:r w:rsidRPr="00140FFB">
        <w:rPr>
          <w:rFonts w:ascii="Arial" w:hAnsi="Arial" w:cs="Arial"/>
        </w:rPr>
        <w:t>C-309</w:t>
      </w:r>
      <w:r w:rsidRPr="00140FFB">
        <w:rPr>
          <w:rFonts w:ascii="Arial" w:hAnsi="Arial" w:cs="Arial"/>
          <w:spacing w:val="-6"/>
        </w:rPr>
        <w:t xml:space="preserve"> </w:t>
      </w:r>
      <w:r w:rsidRPr="00140FFB">
        <w:rPr>
          <w:rFonts w:ascii="Arial" w:hAnsi="Arial" w:cs="Arial"/>
        </w:rPr>
        <w:t>del</w:t>
      </w:r>
      <w:r w:rsidRPr="00140FFB">
        <w:rPr>
          <w:rFonts w:ascii="Arial" w:hAnsi="Arial" w:cs="Arial"/>
          <w:spacing w:val="-7"/>
        </w:rPr>
        <w:t xml:space="preserve"> </w:t>
      </w:r>
      <w:r w:rsidRPr="00140FFB">
        <w:rPr>
          <w:rFonts w:ascii="Arial" w:hAnsi="Arial" w:cs="Arial"/>
        </w:rPr>
        <w:t>24</w:t>
      </w:r>
      <w:r w:rsidRPr="00140FFB">
        <w:rPr>
          <w:rFonts w:ascii="Arial" w:hAnsi="Arial" w:cs="Arial"/>
          <w:spacing w:val="-6"/>
        </w:rPr>
        <w:t xml:space="preserve"> </w:t>
      </w:r>
      <w:r w:rsidRPr="00140FFB">
        <w:rPr>
          <w:rFonts w:ascii="Arial" w:hAnsi="Arial" w:cs="Arial"/>
        </w:rPr>
        <w:t>de</w:t>
      </w:r>
      <w:r w:rsidRPr="00140FFB">
        <w:rPr>
          <w:rFonts w:ascii="Arial" w:hAnsi="Arial" w:cs="Arial"/>
          <w:spacing w:val="-7"/>
        </w:rPr>
        <w:t xml:space="preserve"> </w:t>
      </w:r>
      <w:r w:rsidRPr="00140FFB">
        <w:rPr>
          <w:rFonts w:ascii="Arial" w:hAnsi="Arial" w:cs="Arial"/>
        </w:rPr>
        <w:t>agosto</w:t>
      </w:r>
      <w:r w:rsidRPr="00140FFB">
        <w:rPr>
          <w:rFonts w:ascii="Arial" w:hAnsi="Arial" w:cs="Arial"/>
          <w:spacing w:val="-6"/>
        </w:rPr>
        <w:t xml:space="preserve"> </w:t>
      </w:r>
      <w:r w:rsidRPr="00140FFB">
        <w:rPr>
          <w:rFonts w:ascii="Arial" w:hAnsi="Arial" w:cs="Arial"/>
        </w:rPr>
        <w:t>de</w:t>
      </w:r>
      <w:r w:rsidRPr="00140FFB">
        <w:rPr>
          <w:rFonts w:ascii="Arial" w:hAnsi="Arial" w:cs="Arial"/>
          <w:spacing w:val="-7"/>
        </w:rPr>
        <w:t xml:space="preserve"> </w:t>
      </w:r>
      <w:r w:rsidRPr="00140FFB">
        <w:rPr>
          <w:rFonts w:ascii="Arial" w:hAnsi="Arial" w:cs="Arial"/>
        </w:rPr>
        <w:t>2021</w:t>
      </w:r>
      <w:r w:rsidRPr="00140FFB">
        <w:rPr>
          <w:rFonts w:ascii="Arial" w:hAnsi="Arial" w:cs="Arial"/>
          <w:spacing w:val="-6"/>
        </w:rPr>
        <w:t xml:space="preserve"> </w:t>
      </w:r>
      <w:r w:rsidRPr="00140FFB">
        <w:rPr>
          <w:rFonts w:ascii="Arial" w:hAnsi="Arial" w:cs="Arial"/>
        </w:rPr>
        <w:t>y</w:t>
      </w:r>
      <w:r w:rsidRPr="00140FFB">
        <w:rPr>
          <w:rFonts w:ascii="Arial" w:hAnsi="Arial" w:cs="Arial"/>
          <w:spacing w:val="-7"/>
        </w:rPr>
        <w:t xml:space="preserve"> </w:t>
      </w:r>
      <w:r w:rsidRPr="00140FFB">
        <w:rPr>
          <w:rFonts w:ascii="Arial" w:hAnsi="Arial" w:cs="Arial"/>
        </w:rPr>
        <w:t>C-455</w:t>
      </w:r>
      <w:r w:rsidRPr="00140FFB">
        <w:rPr>
          <w:rFonts w:ascii="Arial" w:hAnsi="Arial" w:cs="Arial"/>
          <w:spacing w:val="-6"/>
        </w:rPr>
        <w:t xml:space="preserve"> </w:t>
      </w:r>
      <w:r w:rsidRPr="00140FFB">
        <w:rPr>
          <w:rFonts w:ascii="Arial" w:hAnsi="Arial" w:cs="Arial"/>
        </w:rPr>
        <w:t>del</w:t>
      </w:r>
      <w:r w:rsidRPr="00140FFB">
        <w:rPr>
          <w:rFonts w:ascii="Arial" w:hAnsi="Arial" w:cs="Arial"/>
          <w:spacing w:val="-7"/>
        </w:rPr>
        <w:t xml:space="preserve"> </w:t>
      </w:r>
      <w:r w:rsidRPr="00140FFB">
        <w:rPr>
          <w:rFonts w:ascii="Arial" w:hAnsi="Arial" w:cs="Arial"/>
        </w:rPr>
        <w:t>31</w:t>
      </w:r>
      <w:r w:rsidRPr="00140FFB">
        <w:rPr>
          <w:rFonts w:ascii="Arial" w:hAnsi="Arial" w:cs="Arial"/>
          <w:spacing w:val="-6"/>
        </w:rPr>
        <w:t xml:space="preserve"> </w:t>
      </w:r>
      <w:r w:rsidRPr="00140FFB">
        <w:rPr>
          <w:rFonts w:ascii="Arial" w:hAnsi="Arial" w:cs="Arial"/>
        </w:rPr>
        <w:t>de</w:t>
      </w:r>
      <w:r w:rsidRPr="00140FFB">
        <w:rPr>
          <w:rFonts w:ascii="Arial" w:hAnsi="Arial" w:cs="Arial"/>
          <w:spacing w:val="-7"/>
        </w:rPr>
        <w:t xml:space="preserve"> </w:t>
      </w:r>
      <w:r w:rsidRPr="00140FFB">
        <w:rPr>
          <w:rFonts w:ascii="Arial" w:hAnsi="Arial" w:cs="Arial"/>
        </w:rPr>
        <w:t>agosto</w:t>
      </w:r>
      <w:r w:rsidRPr="00140FFB">
        <w:rPr>
          <w:rFonts w:ascii="Arial" w:hAnsi="Arial" w:cs="Arial"/>
          <w:spacing w:val="-6"/>
        </w:rPr>
        <w:t xml:space="preserve"> </w:t>
      </w:r>
      <w:r w:rsidRPr="00140FFB">
        <w:rPr>
          <w:rFonts w:ascii="Arial" w:hAnsi="Arial" w:cs="Arial"/>
        </w:rPr>
        <w:t>de</w:t>
      </w:r>
      <w:r w:rsidRPr="00140FFB">
        <w:rPr>
          <w:rFonts w:ascii="Arial" w:hAnsi="Arial" w:cs="Arial"/>
          <w:spacing w:val="-6"/>
        </w:rPr>
        <w:t xml:space="preserve"> </w:t>
      </w:r>
      <w:r w:rsidRPr="00140FFB">
        <w:rPr>
          <w:rFonts w:ascii="Arial" w:hAnsi="Arial" w:cs="Arial"/>
        </w:rPr>
        <w:t>2021.</w:t>
      </w:r>
      <w:r w:rsidRPr="00140FFB">
        <w:rPr>
          <w:rFonts w:ascii="Arial" w:hAnsi="Arial" w:cs="Arial"/>
          <w:spacing w:val="-7"/>
        </w:rPr>
        <w:t xml:space="preserve"> </w:t>
      </w:r>
    </w:p>
    <w:p w14:paraId="486D8E7D" w14:textId="77777777" w:rsidR="000E5D20" w:rsidRDefault="000E5D20" w:rsidP="000E5D20">
      <w:pPr>
        <w:spacing w:before="120" w:line="276" w:lineRule="auto"/>
        <w:ind w:firstLine="709"/>
        <w:jc w:val="both"/>
        <w:rPr>
          <w:rFonts w:ascii="Arial" w:hAnsi="Arial" w:cs="Arial"/>
          <w:bCs/>
          <w:color w:val="000000" w:themeColor="text1"/>
        </w:rPr>
      </w:pPr>
      <w:r w:rsidRPr="00140FFB">
        <w:rPr>
          <w:rFonts w:ascii="Arial" w:hAnsi="Arial" w:cs="Arial"/>
          <w:spacing w:val="1"/>
        </w:rPr>
        <w:t xml:space="preserve">Finalmente, </w:t>
      </w:r>
      <w:r w:rsidRPr="00140FFB">
        <w:rPr>
          <w:rFonts w:ascii="Arial" w:hAnsi="Arial" w:cs="Arial"/>
          <w:noProof/>
          <w:lang w:val="es-ES_tradnl"/>
        </w:rPr>
        <w:t>la Agencia Nacional de Contratación Pública – Colombia Compra Eficiente se ha pronunciado sobre la declaratoria de desierta en los procesos de contratación</w:t>
      </w:r>
      <w:r w:rsidRPr="00140FFB">
        <w:rPr>
          <w:rFonts w:ascii="Arial" w:eastAsia="Arial" w:hAnsi="Arial" w:cs="Arial"/>
          <w:lang w:val="es-ES_tradnl"/>
        </w:rPr>
        <w:t>, en los siguientes conceptos: C-237 del 26 de abril de 2022, C-250 del 4 de mayo de 2022, C-446 del 6 de julio de 2022, C-572 del 14 de septiembre de 2022 y C-688 de 19 de octubre de 2022,</w:t>
      </w:r>
      <w:r w:rsidRPr="00140FFB">
        <w:rPr>
          <w:rFonts w:ascii="Arial" w:hAnsi="Arial" w:cs="Arial"/>
          <w:shd w:val="clear" w:color="auto" w:fill="FFFFFF"/>
          <w:lang w:val="es-ES_tradnl"/>
        </w:rPr>
        <w:t xml:space="preserve"> </w:t>
      </w:r>
      <w:r w:rsidRPr="00140FFB">
        <w:rPr>
          <w:rFonts w:ascii="Arial" w:hAnsi="Arial" w:cs="Arial"/>
        </w:rPr>
        <w:t>entre</w:t>
      </w:r>
      <w:r w:rsidRPr="00140FFB">
        <w:rPr>
          <w:rFonts w:ascii="Arial" w:hAnsi="Arial" w:cs="Arial"/>
          <w:spacing w:val="1"/>
        </w:rPr>
        <w:t xml:space="preserve"> </w:t>
      </w:r>
      <w:r w:rsidRPr="00140FFB">
        <w:rPr>
          <w:rFonts w:ascii="Arial" w:hAnsi="Arial" w:cs="Arial"/>
        </w:rPr>
        <w:t>otros</w:t>
      </w:r>
      <w:r w:rsidRPr="00140FFB">
        <w:rPr>
          <w:rStyle w:val="Refdenotaalpie"/>
          <w:rFonts w:ascii="Arial" w:hAnsi="Arial" w:cs="Arial"/>
        </w:rPr>
        <w:footnoteReference w:id="7"/>
      </w:r>
      <w:r w:rsidRPr="00140FFB">
        <w:rPr>
          <w:rFonts w:ascii="Arial" w:hAnsi="Arial" w:cs="Arial"/>
        </w:rPr>
        <w:t>. Las tesis propuestas en tales conceptos se reiteran a continuación y se complementan en l</w:t>
      </w:r>
      <w:r w:rsidRPr="00140FFB">
        <w:rPr>
          <w:rFonts w:ascii="Arial" w:hAnsi="Arial" w:cs="Arial"/>
          <w:bCs/>
          <w:color w:val="000000" w:themeColor="text1"/>
        </w:rPr>
        <w:t>o pertinente.</w:t>
      </w:r>
    </w:p>
    <w:p w14:paraId="5E6F29F5" w14:textId="77777777" w:rsidR="0030394B" w:rsidRPr="00140FFB" w:rsidRDefault="0030394B" w:rsidP="000E5D20">
      <w:pPr>
        <w:spacing w:before="120" w:line="276" w:lineRule="auto"/>
        <w:ind w:firstLine="709"/>
        <w:jc w:val="both"/>
        <w:rPr>
          <w:rFonts w:ascii="Arial" w:hAnsi="Arial" w:cs="Arial"/>
          <w:bCs/>
          <w:color w:val="000000" w:themeColor="text1"/>
        </w:rPr>
      </w:pPr>
    </w:p>
    <w:p w14:paraId="2E002CF9" w14:textId="77777777" w:rsidR="000E5D20" w:rsidRPr="00140FFB" w:rsidRDefault="000E5D20" w:rsidP="000E5D20">
      <w:pPr>
        <w:spacing w:after="0" w:line="276" w:lineRule="auto"/>
        <w:contextualSpacing/>
        <w:jc w:val="both"/>
        <w:rPr>
          <w:rFonts w:ascii="Arial" w:eastAsia="Times New Roman" w:hAnsi="Arial" w:cs="Arial"/>
          <w:b/>
          <w:bCs/>
          <w:szCs w:val="24"/>
          <w:lang w:eastAsia="es-ES_tradnl"/>
        </w:rPr>
      </w:pPr>
      <w:bookmarkStart w:id="7" w:name="_3znysh7" w:colFirst="0" w:colLast="0"/>
      <w:bookmarkEnd w:id="7"/>
      <w:r w:rsidRPr="00140FFB">
        <w:rPr>
          <w:rFonts w:ascii="Arial" w:eastAsia="Times New Roman" w:hAnsi="Arial" w:cs="Arial"/>
          <w:b/>
          <w:bCs/>
          <w:szCs w:val="24"/>
          <w:lang w:eastAsia="es-ES_tradnl"/>
        </w:rPr>
        <w:t>2.1. Obligatoriedad, vigencia y alcance de la Circular Conjunta No. 01 del 05 de enero de 2023 en la celebración de contratos de prestación de servicios</w:t>
      </w:r>
    </w:p>
    <w:p w14:paraId="57CA24F2" w14:textId="77777777" w:rsidR="000E5D20" w:rsidRPr="00140FFB" w:rsidRDefault="000E5D20" w:rsidP="000E5D20">
      <w:pPr>
        <w:autoSpaceDE w:val="0"/>
        <w:autoSpaceDN w:val="0"/>
        <w:adjustRightInd w:val="0"/>
        <w:spacing w:after="0" w:line="276" w:lineRule="auto"/>
        <w:jc w:val="both"/>
        <w:rPr>
          <w:rFonts w:ascii="Arial" w:eastAsia="Times New Roman" w:hAnsi="Arial" w:cs="Arial"/>
          <w:color w:val="000000"/>
          <w:szCs w:val="24"/>
          <w:lang w:val="es-ES_tradnl" w:eastAsia="es-ES_tradnl"/>
        </w:rPr>
      </w:pPr>
    </w:p>
    <w:p w14:paraId="00F8459D" w14:textId="086258BF" w:rsidR="000E5D20" w:rsidRPr="00140FFB" w:rsidRDefault="000E5D20" w:rsidP="000E5D20">
      <w:pPr>
        <w:spacing w:after="0" w:line="276" w:lineRule="auto"/>
        <w:jc w:val="both"/>
        <w:rPr>
          <w:rFonts w:ascii="Arial" w:eastAsia="Arial" w:hAnsi="Arial" w:cs="Arial"/>
          <w:lang w:val="es-ES"/>
        </w:rPr>
      </w:pPr>
      <w:r w:rsidRPr="00140FFB">
        <w:rPr>
          <w:rFonts w:ascii="Arial" w:eastAsia="Calibri" w:hAnsi="Arial" w:cs="Arial"/>
          <w:color w:val="000000"/>
        </w:rPr>
        <w:t xml:space="preserve">El Departamento Administrativo de la Función Pública y la Agencia Nacional de Contratación Pública – Colombia Compra Eficiente expidieron la </w:t>
      </w:r>
      <w:r w:rsidRPr="00140FFB">
        <w:rPr>
          <w:rFonts w:ascii="Arial" w:eastAsia="Calibri" w:hAnsi="Arial" w:cs="Arial"/>
        </w:rPr>
        <w:t>Circular Conjunta No. 01 del 5 de enero de 2023, a través de</w:t>
      </w:r>
      <w:r w:rsidR="0095667E">
        <w:rPr>
          <w:rFonts w:ascii="Arial" w:eastAsia="Calibri" w:hAnsi="Arial" w:cs="Arial"/>
        </w:rPr>
        <w:t xml:space="preserve"> la</w:t>
      </w:r>
      <w:r w:rsidRPr="00140FFB">
        <w:rPr>
          <w:rFonts w:ascii="Arial" w:eastAsia="Calibri" w:hAnsi="Arial" w:cs="Arial"/>
        </w:rPr>
        <w:t xml:space="preserve"> cual se establecieron unos lineamientos </w:t>
      </w:r>
      <w:r w:rsidRPr="00140FFB">
        <w:rPr>
          <w:rFonts w:ascii="Arial" w:eastAsia="Calibri" w:hAnsi="Arial" w:cs="Arial"/>
          <w:color w:val="000000"/>
        </w:rPr>
        <w:t xml:space="preserve">para la celebración de contratos de prestación de servicios profesionales y de apoyo a la gestión </w:t>
      </w:r>
      <w:r w:rsidRPr="00140FFB">
        <w:rPr>
          <w:rFonts w:ascii="Arial" w:eastAsia="Arial" w:hAnsi="Arial" w:cs="Arial"/>
          <w:lang w:val="es-ES"/>
        </w:rPr>
        <w:t>previstos en el artículo 2, numeral 4, literal h), de la Ley 1150 de 2007</w:t>
      </w:r>
      <w:r w:rsidRPr="00140FFB">
        <w:rPr>
          <w:rFonts w:ascii="Arial" w:eastAsia="Calibri" w:hAnsi="Arial" w:cs="Arial"/>
          <w:color w:val="000000"/>
        </w:rPr>
        <w:t>, para órganos</w:t>
      </w:r>
      <w:r w:rsidR="0030394B">
        <w:rPr>
          <w:rFonts w:ascii="Arial" w:eastAsia="Calibri" w:hAnsi="Arial" w:cs="Arial"/>
          <w:color w:val="000000"/>
        </w:rPr>
        <w:t>,</w:t>
      </w:r>
      <w:r w:rsidRPr="00140FFB">
        <w:rPr>
          <w:rFonts w:ascii="Arial" w:eastAsia="Calibri" w:hAnsi="Arial" w:cs="Arial"/>
          <w:color w:val="000000"/>
        </w:rPr>
        <w:t xml:space="preserve"> organismos y entidades del sector central y descentralizado de la rama ejecutiva del orden nacional y territorial. Estas orientaciones están encaminadas a proporcionar claridad sobre la aplicación de las medidas de austeridad del gasto establecidas en el numeral 1.1 de la Directiva Presidencial No. 8 de 2022 –actualmente derogada por la Directiva 02 del 30 de marzo de 2023– y lo dispuesto en el numeral 3 de la </w:t>
      </w:r>
      <w:r w:rsidRPr="00140FFB">
        <w:rPr>
          <w:rFonts w:ascii="Arial" w:eastAsia="Calibri" w:hAnsi="Arial" w:cs="Arial"/>
        </w:rPr>
        <w:t xml:space="preserve">Circular Conjunta No. 100-005-2022 </w:t>
      </w:r>
      <w:r w:rsidRPr="00140FFB">
        <w:rPr>
          <w:rFonts w:ascii="Arial" w:eastAsia="Calibri" w:hAnsi="Arial" w:cs="Arial"/>
        </w:rPr>
        <w:lastRenderedPageBreak/>
        <w:t xml:space="preserve">expedida por el Departamento Administrativo de la Función Pública y la Escuela Superior de Administración Pública. En consideración a esto, la parte introductoria del documento </w:t>
      </w:r>
      <w:r w:rsidRPr="00140FFB">
        <w:rPr>
          <w:rFonts w:ascii="Arial" w:eastAsia="Arial" w:hAnsi="Arial" w:cs="Arial"/>
          <w:lang w:val="es-ES"/>
        </w:rPr>
        <w:t>indica que:</w:t>
      </w:r>
    </w:p>
    <w:p w14:paraId="4F934883" w14:textId="77777777" w:rsidR="000E5D20" w:rsidRPr="00140FFB" w:rsidRDefault="000E5D20" w:rsidP="000E5D20">
      <w:pPr>
        <w:widowControl w:val="0"/>
        <w:autoSpaceDE w:val="0"/>
        <w:autoSpaceDN w:val="0"/>
        <w:spacing w:after="0" w:line="276" w:lineRule="auto"/>
        <w:jc w:val="both"/>
        <w:rPr>
          <w:rFonts w:ascii="Arial" w:eastAsia="Arial" w:hAnsi="Arial" w:cs="Arial"/>
          <w:lang w:val="es-ES"/>
        </w:rPr>
      </w:pPr>
    </w:p>
    <w:p w14:paraId="6051B76F" w14:textId="77777777" w:rsidR="000E5D20" w:rsidRPr="00140FFB" w:rsidRDefault="000E5D20" w:rsidP="000E5D20">
      <w:pPr>
        <w:widowControl w:val="0"/>
        <w:autoSpaceDE w:val="0"/>
        <w:autoSpaceDN w:val="0"/>
        <w:spacing w:after="0" w:line="240" w:lineRule="auto"/>
        <w:ind w:left="709" w:right="709"/>
        <w:jc w:val="both"/>
        <w:rPr>
          <w:rFonts w:ascii="Arial" w:eastAsia="Arial" w:hAnsi="Arial" w:cs="Arial"/>
          <w:sz w:val="21"/>
          <w:szCs w:val="21"/>
          <w:lang w:val="es-ES"/>
        </w:rPr>
      </w:pPr>
      <w:r w:rsidRPr="00140FFB">
        <w:rPr>
          <w:rFonts w:ascii="Arial" w:eastAsia="Arial" w:hAnsi="Arial" w:cs="Arial"/>
          <w:sz w:val="21"/>
          <w:szCs w:val="21"/>
          <w:lang w:val="es-ES"/>
        </w:rPr>
        <w:t xml:space="preserve">“En atención a la necesaria dignificación del empleo público consagrada en el programa de gobierno “Colombia Potencia Mundial de la Vida” del Presidente de la República Dr. Gustavo </w:t>
      </w:r>
      <w:proofErr w:type="spellStart"/>
      <w:r w:rsidRPr="00140FFB">
        <w:rPr>
          <w:rFonts w:ascii="Arial" w:eastAsia="Arial" w:hAnsi="Arial" w:cs="Arial"/>
          <w:sz w:val="21"/>
          <w:szCs w:val="21"/>
          <w:lang w:val="es-ES"/>
        </w:rPr>
        <w:t>Petro</w:t>
      </w:r>
      <w:proofErr w:type="spellEnd"/>
      <w:r w:rsidRPr="00140FFB">
        <w:rPr>
          <w:rFonts w:ascii="Arial" w:eastAsia="Arial" w:hAnsi="Arial" w:cs="Arial"/>
          <w:sz w:val="21"/>
          <w:szCs w:val="21"/>
          <w:lang w:val="es-ES"/>
        </w:rPr>
        <w:t xml:space="preserve"> Urrego, teniendo en cuenta lo dispuesto en la Directiva Presidencial No. 08 de 2022 y en la Circular Conjunta No. 100-005-2022 expedida por el Departamento Administrativo de la Función Pública y la Escuela Superior de Administración Pública, se adoptan los siguientes lineamientos para la celebración de contratos de prestación de servicios profesionales y de apoyo a la gestión […].”</w:t>
      </w:r>
    </w:p>
    <w:p w14:paraId="39F70D91" w14:textId="77777777" w:rsidR="000E5D20" w:rsidRPr="00140FFB" w:rsidRDefault="000E5D20" w:rsidP="000E5D20">
      <w:pPr>
        <w:widowControl w:val="0"/>
        <w:autoSpaceDE w:val="0"/>
        <w:autoSpaceDN w:val="0"/>
        <w:spacing w:after="0" w:line="240" w:lineRule="auto"/>
        <w:ind w:left="709" w:right="709"/>
        <w:jc w:val="both"/>
        <w:rPr>
          <w:rFonts w:ascii="Arial" w:eastAsia="Arial" w:hAnsi="Arial" w:cs="Arial"/>
          <w:lang w:val="es-ES"/>
        </w:rPr>
      </w:pPr>
    </w:p>
    <w:p w14:paraId="55D05143" w14:textId="77777777" w:rsidR="000E5D20" w:rsidRPr="00140FFB" w:rsidRDefault="000E5D20" w:rsidP="000E5D20">
      <w:pPr>
        <w:spacing w:after="120" w:line="276" w:lineRule="auto"/>
        <w:ind w:firstLine="708"/>
        <w:jc w:val="both"/>
        <w:rPr>
          <w:rFonts w:ascii="Arial" w:eastAsia="Calibri" w:hAnsi="Arial" w:cs="Arial"/>
        </w:rPr>
      </w:pPr>
      <w:r w:rsidRPr="00140FFB">
        <w:rPr>
          <w:rFonts w:ascii="Arial" w:eastAsia="Calibri" w:hAnsi="Arial" w:cs="Arial"/>
          <w:lang w:val="es-MX"/>
        </w:rPr>
        <w:t xml:space="preserve">A su vez, la Circular Conjunta aclara que estas medidas “[…] han sido formulados con estricta sujeción al marco jurídico aplicable y con observancia de la jurisprudencia del Consejo de Estado y la Corte Constitucional”. </w:t>
      </w:r>
      <w:r w:rsidRPr="00140FFB">
        <w:rPr>
          <w:rFonts w:ascii="Arial" w:eastAsia="Calibri" w:hAnsi="Arial" w:cs="Arial"/>
          <w:color w:val="000000"/>
          <w:lang w:val="es-ES"/>
        </w:rPr>
        <w:t xml:space="preserve">Esta manifestación es importante porque significa que la misma fue estructurada en el marco de la </w:t>
      </w:r>
      <w:r w:rsidRPr="00140FFB">
        <w:rPr>
          <w:rFonts w:ascii="Arial" w:eastAsia="Calibri" w:hAnsi="Arial" w:cs="Arial"/>
        </w:rPr>
        <w:t xml:space="preserve">aplicación de las normas legales y reglamentarias relevantes para la celebración de contratos de prestación de servicios, a través de precisiones interpretativas sustentadas en la jurisprudencia relevante en la materia.  </w:t>
      </w:r>
      <w:r w:rsidRPr="00140FFB">
        <w:rPr>
          <w:rFonts w:ascii="Arial" w:eastAsia="Calibri" w:hAnsi="Arial" w:cs="Arial"/>
          <w:color w:val="000000"/>
          <w:lang w:val="es-ES"/>
        </w:rPr>
        <w:t xml:space="preserve">Dicho de otro modo, la Circular conjunta No. 1 de 2023 no supone la modificación de las normas superiores, sino que establece lineamientos para el cumplimiento adecuado y eficiente de aquellas. </w:t>
      </w:r>
      <w:r w:rsidRPr="00140FFB">
        <w:rPr>
          <w:rFonts w:ascii="Arial" w:eastAsia="Calibri" w:hAnsi="Arial" w:cs="Arial"/>
        </w:rPr>
        <w:t xml:space="preserve">De hecho, es posible afirmar que los lineamientos expedidos con la participación de esta Agencia buscan armonizar la implementación del </w:t>
      </w:r>
      <w:r w:rsidRPr="00140FFB">
        <w:rPr>
          <w:rFonts w:ascii="Arial" w:eastAsia="Calibri" w:hAnsi="Arial" w:cs="Arial"/>
          <w:i/>
          <w:iCs/>
        </w:rPr>
        <w:t xml:space="preserve">PLAN DE FORMALIZACIÓN DEL EMPLEO PÚBLICO EN EQUIDAD – VIGENCIA 2023 </w:t>
      </w:r>
      <w:r w:rsidRPr="00140FFB">
        <w:rPr>
          <w:rFonts w:ascii="Arial" w:eastAsia="Calibri" w:hAnsi="Arial" w:cs="Arial"/>
        </w:rPr>
        <w:t xml:space="preserve">liderado por el Departamento Administrativo de la Función Pública, con la aplicación de las medidas de austeridad del gasto adoptadas desde la Presidencia de la República en relación con la celebración de contratos de prestación de servicios de apoyo a la gestión. </w:t>
      </w:r>
      <w:r w:rsidRPr="00140FFB">
        <w:rPr>
          <w:rFonts w:ascii="Arial" w:eastAsia="Arial" w:hAnsi="Arial" w:cs="Arial"/>
          <w:lang w:val="es-ES"/>
        </w:rPr>
        <w:t>De esta forma, la Circular Conjunta No.01 de 2023 compendia varios lineamientos para lograr la finalidad señalada, de la forma que se señala a continuación:</w:t>
      </w:r>
    </w:p>
    <w:p w14:paraId="33CA4C29" w14:textId="77777777" w:rsidR="000E5D20" w:rsidRPr="00140FFB" w:rsidRDefault="000E5D20" w:rsidP="000E5D20">
      <w:pPr>
        <w:widowControl w:val="0"/>
        <w:autoSpaceDE w:val="0"/>
        <w:autoSpaceDN w:val="0"/>
        <w:spacing w:after="120" w:line="276" w:lineRule="auto"/>
        <w:ind w:firstLine="708"/>
        <w:jc w:val="both"/>
        <w:rPr>
          <w:rFonts w:ascii="Arial" w:eastAsia="Arial" w:hAnsi="Arial" w:cs="Arial"/>
          <w:lang w:val="es-ES"/>
        </w:rPr>
      </w:pPr>
      <w:r w:rsidRPr="00140FFB">
        <w:rPr>
          <w:rFonts w:ascii="Arial" w:eastAsia="Arial" w:hAnsi="Arial" w:cs="Arial"/>
          <w:lang w:val="es-ES"/>
        </w:rPr>
        <w:t xml:space="preserve">i) El numeral primero establece que los contratos de prestación de servicios y de apoyo a la gestión, solo pueden celebrarse para realizar actividades relacionadas con la administración o funcionamiento de la entidad, es decir que hagan parte del giro ordinario o quehacer cotidiano de la entidad. Al respecto, cabe destacar que la anterior definición no contradice la Ley, por el contrario, se deviene del artículo 32, numeral 3 de la Ley 80 de 1993 define los contratos de prestación de servicios como “[…] </w:t>
      </w:r>
      <w:r w:rsidRPr="00140FFB">
        <w:rPr>
          <w:rFonts w:ascii="Arial" w:hAnsi="Arial" w:cs="Arial"/>
          <w:color w:val="000000"/>
        </w:rPr>
        <w:t xml:space="preserve">los que celebren las entidades estatales para </w:t>
      </w:r>
      <w:r w:rsidRPr="00140FFB">
        <w:rPr>
          <w:rFonts w:ascii="Arial" w:hAnsi="Arial" w:cs="Arial"/>
          <w:i/>
          <w:iCs/>
          <w:color w:val="000000"/>
        </w:rPr>
        <w:t>desarrollar actividades relacionadas con la administración o funcionamiento de la entidad</w:t>
      </w:r>
      <w:r w:rsidRPr="00140FFB">
        <w:rPr>
          <w:rFonts w:ascii="Arial" w:hAnsi="Arial" w:cs="Arial"/>
          <w:color w:val="000000"/>
        </w:rPr>
        <w:t>” [Énfasis fuera de texto]. </w:t>
      </w:r>
    </w:p>
    <w:p w14:paraId="72D88C0B" w14:textId="77777777" w:rsidR="000E5D20" w:rsidRPr="00140FFB" w:rsidRDefault="000E5D20" w:rsidP="000E5D20">
      <w:pPr>
        <w:spacing w:before="120" w:after="120" w:line="276" w:lineRule="auto"/>
        <w:ind w:firstLine="709"/>
        <w:jc w:val="both"/>
        <w:rPr>
          <w:rFonts w:ascii="Arial" w:eastAsia="Calibri" w:hAnsi="Arial" w:cs="Arial"/>
          <w:color w:val="000000"/>
          <w:lang w:val="es-ES_tradnl"/>
        </w:rPr>
      </w:pPr>
      <w:r w:rsidRPr="00140FFB">
        <w:rPr>
          <w:rFonts w:ascii="Arial" w:eastAsia="Calibri" w:hAnsi="Arial" w:cs="Arial"/>
          <w:lang w:val="es-MX"/>
        </w:rPr>
        <w:t xml:space="preserve">ii) Por su parte, el numeral segundo señala que </w:t>
      </w:r>
      <w:r w:rsidRPr="00140FFB">
        <w:rPr>
          <w:rFonts w:ascii="Arial" w:eastAsia="Calibri" w:hAnsi="Arial" w:cs="Arial"/>
          <w:color w:val="000000"/>
          <w:lang w:val="es-ES_tradnl"/>
        </w:rPr>
        <w:t xml:space="preserve">los contratos de prestación de servicios profesionales y de apoyo a la gestión podrán suscribirse tanto con personas </w:t>
      </w:r>
      <w:r w:rsidRPr="00140FFB">
        <w:rPr>
          <w:rFonts w:ascii="Arial" w:eastAsia="Calibri" w:hAnsi="Arial" w:cs="Arial"/>
          <w:color w:val="000000"/>
          <w:lang w:val="es-ES_tradnl"/>
        </w:rPr>
        <w:lastRenderedPageBreak/>
        <w:t>naturales como con personas jurídicas. Y requiere que la Entidad Estatal justifique en los estudios previos que las actividades que buscan encomendarse a aquella “no puedan realizarse con personal de planta o requieran conocimientos especializados”.</w:t>
      </w:r>
      <w:r w:rsidRPr="00140FFB">
        <w:rPr>
          <w:rFonts w:ascii="Arial" w:eastAsia="Calibri" w:hAnsi="Arial" w:cs="Arial"/>
          <w:color w:val="000000"/>
          <w:vertAlign w:val="superscript"/>
          <w:lang w:val="es-ES_tradnl"/>
        </w:rPr>
        <w:footnoteReference w:id="8"/>
      </w:r>
      <w:r w:rsidRPr="00140FFB">
        <w:rPr>
          <w:rFonts w:ascii="Arial" w:eastAsia="Calibri" w:hAnsi="Arial" w:cs="Arial"/>
          <w:color w:val="000000"/>
          <w:lang w:val="es-ES_tradnl"/>
        </w:rPr>
        <w:t xml:space="preserve">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78818950" w14:textId="77777777" w:rsidR="000E5D20" w:rsidRPr="00140FFB" w:rsidRDefault="000E5D20" w:rsidP="000E5D20">
      <w:pPr>
        <w:spacing w:before="120" w:after="120" w:line="276" w:lineRule="auto"/>
        <w:ind w:firstLine="709"/>
        <w:jc w:val="both"/>
        <w:rPr>
          <w:rFonts w:ascii="Arial" w:eastAsia="Calibri" w:hAnsi="Arial" w:cs="Arial"/>
          <w:color w:val="000000"/>
          <w:lang w:val="es-ES"/>
        </w:rPr>
      </w:pPr>
      <w:r w:rsidRPr="00140FFB">
        <w:rPr>
          <w:rFonts w:ascii="Arial" w:eastAsia="Calibri" w:hAnsi="Arial" w:cs="Arial"/>
          <w:lang w:val="es-MX"/>
        </w:rPr>
        <w:t xml:space="preserve">iii) Seguidamente, el numeral tercero señala que –de acuerdo con lo dispuesto en la derogada Directiva Presidencial No. 08 del 17 de septiembre de 2022– </w:t>
      </w:r>
      <w:r w:rsidRPr="00140FFB">
        <w:rPr>
          <w:rFonts w:ascii="Arial" w:eastAsia="Calibri" w:hAnsi="Arial" w:cs="Arial"/>
          <w:color w:val="000000"/>
          <w:lang w:val="es-ES"/>
        </w:rPr>
        <w:t>las entidades públicas solo pueden justificar la celebración de contratos de prestación de servicios de apoyo a la gestión por dos razones: la carga de trabajo de su personal de planta o la necesidad de conocimientos especializados. Asimismo, la Circular dispone que la configuración de alguno de los dos motivos a los que se ha hecho referencia anteriormente –es decir, el volumen laboral o la necesidad de conocimientos especializados– debe estar bien soportado en los documentos precontractuales. O sea, los estudios previos deben contener una justificación adecuada de por qué se presenta alguna de las razones que en la Directiva se indican para celebrar el respectivo contrato de prestación de servicios de apoyo a la gestión.</w:t>
      </w:r>
    </w:p>
    <w:p w14:paraId="1C7DC411" w14:textId="77777777" w:rsidR="000E5D20" w:rsidRPr="00140FFB" w:rsidRDefault="000E5D20" w:rsidP="000E5D20">
      <w:pPr>
        <w:spacing w:before="120" w:after="120" w:line="276" w:lineRule="auto"/>
        <w:ind w:firstLine="709"/>
        <w:jc w:val="both"/>
        <w:rPr>
          <w:rFonts w:ascii="Arial" w:eastAsia="Calibri" w:hAnsi="Arial" w:cs="Arial"/>
          <w:lang w:val="es-MX"/>
        </w:rPr>
      </w:pPr>
      <w:r w:rsidRPr="00140FFB">
        <w:rPr>
          <w:rFonts w:ascii="Arial" w:eastAsia="Calibri" w:hAnsi="Arial" w:cs="Arial"/>
          <w:color w:val="000000"/>
          <w:lang w:val="es-ES"/>
        </w:rPr>
        <w:t xml:space="preserve">iv) El numeral cuarto indica que, en atención a lo dispuesto en los numerales 1.1 de la derogada </w:t>
      </w:r>
      <w:r w:rsidRPr="00140FFB">
        <w:rPr>
          <w:rFonts w:ascii="Arial" w:eastAsia="Calibri" w:hAnsi="Arial" w:cs="Arial"/>
          <w:lang w:val="es-MX"/>
        </w:rPr>
        <w:t xml:space="preserve">Directiva Presidencial No. 08 del 17 de septiembre de 2022 y 3  de la Circular Conjunta 100-005-2022, dentro de los primeros cuatro meses del 2023, las entidades deberían desarrollar las acciones necesarias para determinar, crear y promover la planta de personal temporal necesaria y suficiente para suplir las necesidades misionales y </w:t>
      </w:r>
      <w:r w:rsidRPr="00140FFB">
        <w:rPr>
          <w:rFonts w:ascii="Arial" w:eastAsia="Calibri" w:hAnsi="Arial" w:cs="Arial"/>
          <w:lang w:val="es-MX"/>
        </w:rPr>
        <w:lastRenderedPageBreak/>
        <w:t xml:space="preserve">administrativas que han sido provistas a través de contratos de prestación de servicios profesionales y de apoyo a la gestión. </w:t>
      </w:r>
    </w:p>
    <w:p w14:paraId="1FD77959" w14:textId="1D57F481" w:rsidR="000E5D20" w:rsidRPr="00140FFB" w:rsidRDefault="000E5D20" w:rsidP="000E5D20">
      <w:pPr>
        <w:spacing w:after="120" w:line="276" w:lineRule="auto"/>
        <w:ind w:firstLine="720"/>
        <w:jc w:val="both"/>
        <w:rPr>
          <w:rFonts w:ascii="Arial" w:eastAsia="Calibri" w:hAnsi="Arial" w:cs="Arial"/>
        </w:rPr>
      </w:pPr>
      <w:r w:rsidRPr="00140FFB">
        <w:rPr>
          <w:rFonts w:ascii="Arial" w:eastAsia="Calibri" w:hAnsi="Arial" w:cs="Arial"/>
          <w:lang w:val="es-MX"/>
        </w:rPr>
        <w:t xml:space="preserve">v) </w:t>
      </w:r>
      <w:r w:rsidRPr="00140FFB">
        <w:rPr>
          <w:rFonts w:ascii="Arial" w:eastAsia="Calibri" w:hAnsi="Arial" w:cs="Arial"/>
        </w:rPr>
        <w:t xml:space="preserve">En los numerales 5 y 6 de Circular Conjunta No. 01 del 5 de enero de 2023 se </w:t>
      </w:r>
      <w:r w:rsidRPr="00140FFB">
        <w:rPr>
          <w:rFonts w:ascii="Arial" w:eastAsia="Calibri" w:hAnsi="Arial" w:cs="Arial"/>
          <w:color w:val="000000"/>
        </w:rPr>
        <w:t xml:space="preserve">dio alcance a la disposición contenida en el numeral 3 de </w:t>
      </w:r>
      <w:r w:rsidRPr="00140FFB">
        <w:rPr>
          <w:rFonts w:ascii="Arial" w:eastAsia="Calibri" w:hAnsi="Arial" w:cs="Arial"/>
        </w:rPr>
        <w:t>la Circular Conjunta No. 100-005-2022</w:t>
      </w:r>
      <w:r w:rsidRPr="00140FFB">
        <w:rPr>
          <w:rFonts w:ascii="Arial" w:eastAsia="Calibri" w:hAnsi="Arial" w:cs="Arial"/>
          <w:color w:val="000000"/>
        </w:rPr>
        <w:t xml:space="preserve">, según el cual las Entidades Estatales destinatarias de la mencionada circular podrán suscribir los contratos de prestación de servicios profesionales o de apoyo a la gestión con personas naturales por un plazo </w:t>
      </w:r>
      <w:r w:rsidR="00D63A44">
        <w:rPr>
          <w:rFonts w:ascii="Arial" w:eastAsia="Calibri" w:hAnsi="Arial" w:cs="Arial"/>
          <w:color w:val="000000"/>
        </w:rPr>
        <w:t xml:space="preserve">no </w:t>
      </w:r>
      <w:r w:rsidRPr="00140FFB">
        <w:rPr>
          <w:rFonts w:ascii="Arial" w:eastAsia="Calibri" w:hAnsi="Arial" w:cs="Arial"/>
          <w:color w:val="000000"/>
        </w:rPr>
        <w:t xml:space="preserve">superior a los cuatro (4) meses señalados en el numeral 3 de la Circular Conjunta </w:t>
      </w:r>
      <w:r w:rsidRPr="00140FFB">
        <w:rPr>
          <w:rFonts w:ascii="Arial" w:eastAsia="Calibri" w:hAnsi="Arial" w:cs="Arial"/>
        </w:rPr>
        <w:t xml:space="preserve">100-005-2022, de acuerdo con lo estipulado en el artículo 32, numeral 3 de la Ley 80 de 1993. Para estos efectos se aclaró: </w:t>
      </w:r>
      <w:r w:rsidRPr="00140FFB">
        <w:rPr>
          <w:rFonts w:ascii="Arial" w:eastAsia="Calibri" w:hAnsi="Arial" w:cs="Arial"/>
          <w:i/>
          <w:iCs/>
        </w:rPr>
        <w:t>1)</w:t>
      </w:r>
      <w:r w:rsidRPr="00140FFB">
        <w:rPr>
          <w:rFonts w:ascii="Arial" w:eastAsia="Calibri" w:hAnsi="Arial" w:cs="Arial"/>
        </w:rPr>
        <w:t xml:space="preserve"> la posibilidad de adicionar y/o prorrogar los contratos que inicialmente se hayan celebrado por el término de cuatro (4) meses –numeral 5– cuando la necesidad que originó la contratación así lo requiera, </w:t>
      </w:r>
      <w:r w:rsidRPr="00140FFB">
        <w:rPr>
          <w:rFonts w:ascii="Arial" w:eastAsia="Calibri" w:hAnsi="Arial" w:cs="Arial"/>
          <w:i/>
          <w:iCs/>
        </w:rPr>
        <w:t>2)</w:t>
      </w:r>
      <w:r w:rsidRPr="00140FFB">
        <w:rPr>
          <w:rFonts w:ascii="Arial" w:eastAsia="Calibri" w:hAnsi="Arial" w:cs="Arial"/>
        </w:rPr>
        <w:t xml:space="preserve"> se indicó la posibilidad de celebrar contratos por un plazo superior en los casos en los que </w:t>
      </w:r>
      <w:r w:rsidRPr="00140FFB">
        <w:rPr>
          <w:rFonts w:ascii="Arial" w:eastAsia="Calibri" w:hAnsi="Arial" w:cs="Arial"/>
          <w:color w:val="000000"/>
        </w:rPr>
        <w:t xml:space="preserve">se requiera contar con una </w:t>
      </w:r>
      <w:r w:rsidRPr="00140FFB">
        <w:rPr>
          <w:rFonts w:ascii="Arial" w:eastAsia="Calibri" w:hAnsi="Arial" w:cs="Arial"/>
        </w:rPr>
        <w:t xml:space="preserve">experticia o conocimiento especializado en una materia determinada durante un término mayor al de cuatro (4) meses –numeral 6.1– lo anterior teniendo en cuenta únicamente el tiempo que se requiere inicialmente el servicio para satisfacer la necesidad que originó su contratación; </w:t>
      </w:r>
      <w:r w:rsidRPr="00140FFB">
        <w:rPr>
          <w:rFonts w:ascii="Arial" w:eastAsia="Calibri" w:hAnsi="Arial" w:cs="Arial"/>
          <w:i/>
          <w:iCs/>
        </w:rPr>
        <w:t>3)</w:t>
      </w:r>
      <w:r w:rsidRPr="00140FFB">
        <w:rPr>
          <w:rFonts w:ascii="Arial" w:eastAsia="Calibri" w:hAnsi="Arial" w:cs="Arial"/>
        </w:rPr>
        <w:t xml:space="preserve"> se estableció que, en </w:t>
      </w:r>
      <w:r w:rsidRPr="00140FFB">
        <w:rPr>
          <w:rFonts w:ascii="Arial" w:eastAsia="Calibri" w:hAnsi="Arial" w:cs="Arial"/>
          <w:color w:val="000000"/>
        </w:rPr>
        <w:t>aras de garantizar la estabilidad ocupacional reforzada de contratistas</w:t>
      </w:r>
      <w:r w:rsidRPr="00140FFB">
        <w:rPr>
          <w:rFonts w:ascii="Arial" w:eastAsia="Calibri" w:hAnsi="Arial" w:cs="Arial"/>
        </w:rPr>
        <w:t xml:space="preserve"> siempre que </w:t>
      </w:r>
      <w:r w:rsidRPr="00140FFB">
        <w:rPr>
          <w:rFonts w:ascii="Arial" w:eastAsia="Calibri" w:hAnsi="Arial" w:cs="Arial"/>
          <w:color w:val="000000"/>
        </w:rPr>
        <w:t xml:space="preserve">la necesidad del servicio que origine la contratación lo amerite, se celebren contratos con plazo mayor a los cuatro (4) meses –numeral 6.2–; </w:t>
      </w:r>
      <w:r w:rsidRPr="00140FFB">
        <w:rPr>
          <w:rFonts w:ascii="Arial" w:eastAsia="Calibri" w:hAnsi="Arial" w:cs="Arial"/>
          <w:i/>
          <w:iCs/>
          <w:color w:val="000000"/>
        </w:rPr>
        <w:t>4)</w:t>
      </w:r>
      <w:r w:rsidRPr="00140FFB">
        <w:rPr>
          <w:rFonts w:ascii="Arial" w:eastAsia="Calibri" w:hAnsi="Arial" w:cs="Arial"/>
          <w:color w:val="000000"/>
        </w:rPr>
        <w:t xml:space="preserve"> se mencionó que cuando se trate de contratos de prestación de servicios que se celebren para el desarrollo de actividades financiadas con recursos de proyectos de inversión, su plazo estará determinado, inicialmente, por el tiempo necesario para cumplir las actividades y entregar los productos requeridos en el marco del ciclo del correspondiente proyecto–numeral 6.3–; y </w:t>
      </w:r>
      <w:r w:rsidRPr="00140FFB">
        <w:rPr>
          <w:rFonts w:ascii="Arial" w:eastAsia="Calibri" w:hAnsi="Arial" w:cs="Arial"/>
          <w:i/>
          <w:iCs/>
          <w:color w:val="000000"/>
        </w:rPr>
        <w:t>5)</w:t>
      </w:r>
      <w:r w:rsidRPr="00140FFB">
        <w:rPr>
          <w:rFonts w:ascii="Arial" w:eastAsia="Calibri" w:hAnsi="Arial" w:cs="Arial"/>
          <w:color w:val="000000"/>
        </w:rPr>
        <w:t xml:space="preserve"> se precisó que los contratos de prestación de servicios que deban celebrarse con personas jurídicas no se encuentran cobijados por lo preceptuado en el numeral 3 de la Circular Conjunta </w:t>
      </w:r>
      <w:r w:rsidRPr="00140FFB">
        <w:rPr>
          <w:rFonts w:ascii="Arial" w:eastAsia="Calibri" w:hAnsi="Arial" w:cs="Arial"/>
        </w:rPr>
        <w:t>100-005-2022 –numeral 6.3–.</w:t>
      </w:r>
    </w:p>
    <w:p w14:paraId="28571583" w14:textId="77777777" w:rsidR="000E5D20" w:rsidRPr="00140FFB" w:rsidRDefault="000E5D20" w:rsidP="000E5D20">
      <w:pPr>
        <w:autoSpaceDE w:val="0"/>
        <w:autoSpaceDN w:val="0"/>
        <w:adjustRightInd w:val="0"/>
        <w:spacing w:after="120" w:line="276" w:lineRule="auto"/>
        <w:ind w:firstLine="709"/>
        <w:jc w:val="both"/>
        <w:rPr>
          <w:rFonts w:ascii="Arial" w:hAnsi="Arial" w:cs="Arial"/>
          <w:i/>
          <w:iCs/>
        </w:rPr>
      </w:pPr>
      <w:r w:rsidRPr="00140FFB">
        <w:rPr>
          <w:rFonts w:ascii="Arial" w:hAnsi="Arial" w:cs="Arial"/>
        </w:rPr>
        <w:t xml:space="preserve">En lo relativo al plazo de los contratos de prestación de servicios debe destacarse lo señalado en el inciso segundo del numeral 3 del artículo 32 de la Ley 80 de 1993, el cual dispone que: “Estos contratos sólo podrán celebrarse con personas naturales cuando dichas actividades no puedan realizarse con personal de planta o requieran conocimientos especializados. </w:t>
      </w:r>
      <w:r w:rsidRPr="00140FFB">
        <w:rPr>
          <w:rFonts w:ascii="Arial" w:hAnsi="Arial" w:cs="Arial"/>
          <w:i/>
          <w:iCs/>
        </w:rPr>
        <w:t xml:space="preserve">En ningún caso estos contratos generan relación laboral ni prestaciones sociales y se celebrarán por el término estrictamente indispensable” </w:t>
      </w:r>
      <w:r w:rsidRPr="00140FFB">
        <w:rPr>
          <w:rFonts w:ascii="Arial" w:hAnsi="Arial" w:cs="Arial"/>
        </w:rPr>
        <w:t>[Énfasis fuera de texto]</w:t>
      </w:r>
      <w:r w:rsidRPr="00140FFB">
        <w:rPr>
          <w:rFonts w:ascii="Arial" w:hAnsi="Arial" w:cs="Arial"/>
          <w:i/>
          <w:iCs/>
        </w:rPr>
        <w:t xml:space="preserve">. </w:t>
      </w:r>
    </w:p>
    <w:p w14:paraId="2FE115B0" w14:textId="77777777" w:rsidR="000E5D20" w:rsidRPr="00140FFB" w:rsidRDefault="000E5D20" w:rsidP="000E5D20">
      <w:pPr>
        <w:autoSpaceDE w:val="0"/>
        <w:autoSpaceDN w:val="0"/>
        <w:adjustRightInd w:val="0"/>
        <w:spacing w:after="120" w:line="276" w:lineRule="auto"/>
        <w:ind w:firstLine="709"/>
        <w:jc w:val="both"/>
        <w:rPr>
          <w:rFonts w:ascii="Arial" w:hAnsi="Arial" w:cs="Arial"/>
        </w:rPr>
      </w:pPr>
      <w:r w:rsidRPr="00140FFB">
        <w:rPr>
          <w:rFonts w:ascii="Arial" w:hAnsi="Arial" w:cs="Arial"/>
        </w:rPr>
        <w:t xml:space="preserve">En atención a lo establecido en esta norma, es claro que la temporalidad es una de las características fundamentales de los contratos de prestación de servicios, comoquiera que el plazo de los mismos deberá sujetarse al </w:t>
      </w:r>
      <w:r w:rsidRPr="00140FFB">
        <w:rPr>
          <w:rFonts w:ascii="Arial" w:hAnsi="Arial" w:cs="Arial"/>
          <w:i/>
          <w:iCs/>
        </w:rPr>
        <w:t xml:space="preserve">“término estrictamente indispensable”, </w:t>
      </w:r>
      <w:r w:rsidRPr="00140FFB">
        <w:rPr>
          <w:rFonts w:ascii="Arial" w:hAnsi="Arial" w:cs="Arial"/>
        </w:rPr>
        <w:t xml:space="preserve">el cual según lo manifestado en la Sentencia de Unificación Jurisprudencial SUJ-025-CE-S2-2021 de la Sección Segunda del Consejo de Estado es aquel que aparece expresamente estipulado en la minuta del contrato de prestación de servicios, que de acuerdo con los </w:t>
      </w:r>
      <w:r w:rsidRPr="00140FFB">
        <w:rPr>
          <w:rFonts w:ascii="Arial" w:hAnsi="Arial" w:cs="Arial"/>
        </w:rPr>
        <w:lastRenderedPageBreak/>
        <w:t>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w:t>
      </w:r>
      <w:r w:rsidRPr="00140FFB">
        <w:rPr>
          <w:rStyle w:val="Refdenotaalpie"/>
          <w:rFonts w:ascii="Arial" w:hAnsi="Arial" w:cs="Arial"/>
        </w:rPr>
        <w:footnoteReference w:id="9"/>
      </w:r>
      <w:r w:rsidRPr="00140FFB">
        <w:rPr>
          <w:rFonts w:ascii="Arial" w:hAnsi="Arial" w:cs="Arial"/>
        </w:rPr>
        <w:t>. En ese entendido, la temporalidad del contrato de prestación de servicios está determinada por el tiempo requerido para desarrollar el objeto para el que se celebra de acuerdo con lo establecido en los correspondientes estudios previos, en cumplimiento del principio de planeación, conjuntamente con la autonomía y voluntad de las partes.</w:t>
      </w:r>
    </w:p>
    <w:p w14:paraId="6909C545" w14:textId="3FF35DE5" w:rsidR="000E5D20" w:rsidRPr="00140FFB" w:rsidRDefault="000E5D20" w:rsidP="000E5D20">
      <w:pPr>
        <w:autoSpaceDE w:val="0"/>
        <w:autoSpaceDN w:val="0"/>
        <w:adjustRightInd w:val="0"/>
        <w:spacing w:after="120" w:line="276" w:lineRule="auto"/>
        <w:ind w:firstLine="708"/>
        <w:jc w:val="both"/>
        <w:rPr>
          <w:rFonts w:ascii="Arial" w:eastAsia="Calibri" w:hAnsi="Arial" w:cs="Arial"/>
        </w:rPr>
      </w:pPr>
      <w:r w:rsidRPr="00140FFB">
        <w:rPr>
          <w:rFonts w:ascii="Arial" w:hAnsi="Arial" w:cs="Arial"/>
        </w:rPr>
        <w:t xml:space="preserve">Atendiendo a este contexto normativo se formularon los numerales 5, 6, 6.1, 6.2 y 6.3 de la Circular Conjunta No. 01 del 5 de enero de 2023, a través de los cuales se establecieron unos lineamientos para la celebración de contratos de prestación de servicios profesionales y de apoyo a la gestión, encaminados a proporcionar claridad sobre la aplicación de lo dispuesto en el numeral 3° de la Circular Conjunta No. 100-005-2022 y las restricciones que en materia de contratación pública se establecieron en el numeral 1.1 la Directiva Presidencial No. 08 de 2022, </w:t>
      </w:r>
      <w:r w:rsidRPr="00140FFB">
        <w:rPr>
          <w:rFonts w:ascii="Arial" w:eastAsia="Calibri" w:hAnsi="Arial" w:cs="Arial"/>
          <w:color w:val="000000"/>
        </w:rPr>
        <w:t>actualmente derogada por la Directiva 02 del 30 de marzo de 2023</w:t>
      </w:r>
      <w:r w:rsidRPr="00140FFB">
        <w:rPr>
          <w:rFonts w:ascii="Arial" w:hAnsi="Arial" w:cs="Arial"/>
        </w:rPr>
        <w:t xml:space="preserve">. De hecho, es posible afirmar que los lineamientos expedidos con la participación de esta Agencia buscan armonizar la implementación del </w:t>
      </w:r>
      <w:r w:rsidRPr="00140FFB">
        <w:rPr>
          <w:rFonts w:ascii="Arial" w:hAnsi="Arial" w:cs="Arial"/>
          <w:i/>
          <w:iCs/>
        </w:rPr>
        <w:t xml:space="preserve">PLAN DE FORMALIZACIÓN DEL EMPLEO PÚBLICO EN EQUIDAD – VIGENCIA 2023 </w:t>
      </w:r>
      <w:r w:rsidRPr="00140FFB">
        <w:rPr>
          <w:rFonts w:ascii="Arial" w:hAnsi="Arial" w:cs="Arial"/>
        </w:rPr>
        <w:t>liderado por el Departamento Administrativo de la Función Pública, con la adecuada aplicación de las normas legales y reglamentarias relevantes para la celebración de contratos de prestación de servicios, a través de precisiones interpretativas sustentadas en la jurisprudencia relevante en la materia. Es por esto por lo que, en los numerales mencionados de Circular Conjunta No. 01 del 5 de enero de 2023 se dio alcance a la disposición contenida en el numeral 3° de la Circular Conjunta No. 100-005-2022, estableciendo, de manera enunciativa, unas situaciones en las que</w:t>
      </w:r>
      <w:r w:rsidR="00B56DC8">
        <w:rPr>
          <w:rFonts w:ascii="Arial" w:hAnsi="Arial" w:cs="Arial"/>
        </w:rPr>
        <w:t xml:space="preserve"> en</w:t>
      </w:r>
      <w:r w:rsidRPr="00140FFB">
        <w:rPr>
          <w:rFonts w:ascii="Arial" w:hAnsi="Arial" w:cs="Arial"/>
        </w:rPr>
        <w:t xml:space="preserve"> los contratos de prestación de servicios puede estipularse un plazo de ejecución superior a los cuatro (4) meses señalados en el numeral 3° de la Circular Conjunta 100-005-2022.</w:t>
      </w:r>
    </w:p>
    <w:p w14:paraId="36E1DB15" w14:textId="7665F11B" w:rsidR="000E5D20" w:rsidRPr="00140FFB" w:rsidRDefault="000E5D20" w:rsidP="000E5D20">
      <w:pPr>
        <w:spacing w:after="120" w:line="276" w:lineRule="auto"/>
        <w:ind w:firstLine="720"/>
        <w:jc w:val="both"/>
        <w:rPr>
          <w:rFonts w:ascii="Arial" w:eastAsia="Calibri" w:hAnsi="Arial" w:cs="Arial"/>
        </w:rPr>
      </w:pPr>
      <w:r w:rsidRPr="00140FFB">
        <w:rPr>
          <w:rFonts w:ascii="Arial" w:eastAsia="Calibri" w:hAnsi="Arial" w:cs="Arial"/>
        </w:rPr>
        <w:t xml:space="preserve">De acuerdo con lo anterior, en respuesta a la pregunta No. 1 de su petición, se tiene </w:t>
      </w:r>
      <w:r w:rsidR="002B5850">
        <w:rPr>
          <w:rFonts w:ascii="Arial" w:eastAsia="Calibri" w:hAnsi="Arial" w:cs="Arial"/>
        </w:rPr>
        <w:t xml:space="preserve">que </w:t>
      </w:r>
      <w:r w:rsidRPr="00140FFB">
        <w:rPr>
          <w:rFonts w:ascii="Arial" w:eastAsia="Calibri" w:hAnsi="Arial" w:cs="Arial"/>
        </w:rPr>
        <w:t>aunque en la Circular Conjunta No.</w:t>
      </w:r>
      <w:r w:rsidR="00EA57DD">
        <w:rPr>
          <w:rFonts w:ascii="Arial" w:eastAsia="Calibri" w:hAnsi="Arial" w:cs="Arial"/>
        </w:rPr>
        <w:t>01 de 2023, suscrita por</w:t>
      </w:r>
      <w:r w:rsidRPr="00140FFB">
        <w:rPr>
          <w:rFonts w:ascii="Arial" w:eastAsia="Calibri" w:hAnsi="Arial" w:cs="Arial"/>
        </w:rPr>
        <w:t xml:space="preserve"> esta Agencia, </w:t>
      </w:r>
      <w:r w:rsidRPr="00140FFB">
        <w:rPr>
          <w:rFonts w:ascii="Arial" w:eastAsia="Calibri" w:hAnsi="Arial" w:cs="Arial"/>
        </w:rPr>
        <w:lastRenderedPageBreak/>
        <w:t>conjuntamente con el Departamento Administrativo de la Función Pública sugirió el plazo de cuatro (4) meses para los contratos de prestación de servicios</w:t>
      </w:r>
      <w:r w:rsidR="00314BDA">
        <w:rPr>
          <w:rFonts w:ascii="Arial" w:eastAsia="Calibri" w:hAnsi="Arial" w:cs="Arial"/>
        </w:rPr>
        <w:t>,</w:t>
      </w:r>
      <w:r w:rsidRPr="00140FFB">
        <w:rPr>
          <w:rFonts w:ascii="Arial" w:eastAsia="Calibri" w:hAnsi="Arial" w:cs="Arial"/>
        </w:rPr>
        <w:t xml:space="preserve"> no existe en el ordenamiento jurídico Colombiano limitación frente a dicho plazo, puesto que estos contratos son una tipología contractual regulada por el numeral 3 del artículo 32 de la Ley 80 de 1993, norma que habilita su suscripción por el término estrictamente indispensable para cu</w:t>
      </w:r>
      <w:r w:rsidR="00EA57DD">
        <w:rPr>
          <w:rFonts w:ascii="Arial" w:eastAsia="Calibri" w:hAnsi="Arial" w:cs="Arial"/>
        </w:rPr>
        <w:t>mplir su objeto, y el numeral  5 de la Circular Conjunta No. 01 de 2023 y numeral 3</w:t>
      </w:r>
      <w:r w:rsidRPr="00140FFB">
        <w:rPr>
          <w:rFonts w:ascii="Arial" w:eastAsia="Calibri" w:hAnsi="Arial" w:cs="Arial"/>
        </w:rPr>
        <w:t xml:space="preserve"> de la </w:t>
      </w:r>
      <w:r w:rsidRPr="00140FFB">
        <w:rPr>
          <w:rFonts w:ascii="Arial" w:eastAsia="Calibri" w:hAnsi="Arial" w:cs="Arial"/>
          <w:color w:val="000000"/>
        </w:rPr>
        <w:t xml:space="preserve">Circular Conjunta </w:t>
      </w:r>
      <w:r w:rsidRPr="00140FFB">
        <w:rPr>
          <w:rFonts w:ascii="Arial" w:eastAsia="Calibri" w:hAnsi="Arial" w:cs="Arial"/>
        </w:rPr>
        <w:t xml:space="preserve">100-005-2022 no puede ser interpretado como una disposición que establece un plazo máximo de duración para los contratos de prestación de servicios, sino como una directriz administrativa orientadora tendiente a acompasar el proceso de creación de plantas temporales con la celebración de contratos de prestación de servicios durante la presente anualidad. En ese orden, los numerales 6, 6.1, 6.2 y 6.3 de la de Circular Conjunta No. 01 del 5 de enero de 2023 tampoco puede considerarse como normas que reglamenten la Ley 80 de 1993 o la Ley 1150 de 2007, en la medida en que constituyen lineamientos interpretativos que tienen por finalidad precisar diferentes aspectos relativos a la temporalidad de </w:t>
      </w:r>
      <w:r w:rsidR="00314BDA">
        <w:rPr>
          <w:rFonts w:ascii="Arial" w:eastAsia="Calibri" w:hAnsi="Arial" w:cs="Arial"/>
        </w:rPr>
        <w:t xml:space="preserve">los </w:t>
      </w:r>
      <w:r w:rsidRPr="00140FFB">
        <w:rPr>
          <w:rFonts w:ascii="Arial" w:eastAsia="Calibri" w:hAnsi="Arial" w:cs="Arial"/>
        </w:rPr>
        <w:t xml:space="preserve">contratos de prestación de servicios, los cuales se tornan relevantes dadas las inquietudes que suscitó el contenido del numeral 3 de la </w:t>
      </w:r>
      <w:r w:rsidRPr="00140FFB">
        <w:rPr>
          <w:rFonts w:ascii="Arial" w:eastAsia="Calibri" w:hAnsi="Arial" w:cs="Arial"/>
          <w:color w:val="000000"/>
        </w:rPr>
        <w:t xml:space="preserve">Circular Conjunta </w:t>
      </w:r>
      <w:r w:rsidRPr="00140FFB">
        <w:rPr>
          <w:rFonts w:ascii="Arial" w:eastAsia="Calibri" w:hAnsi="Arial" w:cs="Arial"/>
        </w:rPr>
        <w:t>100-005-2022.</w:t>
      </w:r>
    </w:p>
    <w:p w14:paraId="119E8781" w14:textId="3FDF8D9F" w:rsidR="000E5D20" w:rsidRPr="00140FFB" w:rsidRDefault="000E5D20" w:rsidP="000E5D20">
      <w:pPr>
        <w:spacing w:after="120" w:line="276" w:lineRule="auto"/>
        <w:ind w:firstLine="708"/>
        <w:jc w:val="both"/>
        <w:rPr>
          <w:rFonts w:ascii="Arial" w:hAnsi="Arial" w:cs="Arial"/>
        </w:rPr>
      </w:pPr>
      <w:r w:rsidRPr="00140FFB">
        <w:rPr>
          <w:rFonts w:ascii="Arial" w:hAnsi="Arial" w:cs="Arial"/>
        </w:rPr>
        <w:t>Por otra parte, debe advertirse que la Circular Conjunta No. 01 de 2023 es respetuosa de la autonomía con la que cuentan las entidades territoriales, en virtud del artículo 287 superior, para planear, programar y ejercer mediante la actividad contractual el cumplimiento de sus funciones y la prestación de servicios públicos, quedando facultadas para suscribir contratos prestación de servicios profesionales y de apoyo a la gestión con personas naturales por plazos de ejecución superiores a los cuatro meses (4) señalados en el numeral 3 de la Circular Conjunta 100-005-2022, pues los lineamientos incorporados tiene como fin principal el invitar a las entidades para planear la contratación de estos servicios durante un “término estrictamente indispensable” que procure no ser superior a los cuatro meses (04), tiempo en el cual se espera que el contratista cumpla a cabalidad el objeto del contrato y las obligaciones que de él se derivan, a la par de las acciones necesarias que deberán desarrollar las Entidades Estatales para determinar, crear y proveer la planta de personal temporal necesaria y suficiente para suplir las necesidades misionales y administrativas que han sido provistas a través de contratos de prestación de servicios profesionales y de apoyo a la gestión con personas naturales.</w:t>
      </w:r>
    </w:p>
    <w:p w14:paraId="09C10F4C" w14:textId="77777777" w:rsidR="000E5D20" w:rsidRPr="00140FFB" w:rsidRDefault="000E5D20" w:rsidP="000E5D20">
      <w:pPr>
        <w:spacing w:after="120" w:line="276" w:lineRule="auto"/>
        <w:ind w:firstLine="708"/>
        <w:jc w:val="both"/>
        <w:rPr>
          <w:rFonts w:ascii="Arial" w:hAnsi="Arial" w:cs="Arial"/>
        </w:rPr>
      </w:pPr>
      <w:r w:rsidRPr="00140FFB">
        <w:rPr>
          <w:rFonts w:ascii="Arial" w:hAnsi="Arial" w:cs="Arial"/>
        </w:rPr>
        <w:t xml:space="preserve">Lo anterior, se realizó con fundamento en el Decreto Ley 4170 de 2011, por el cual se crea la Agencia Nacional de Contratación Pública – Colombia Compra Eficiente, y determinó que esta entidad tiene como objetivo “desarrollar e impulsar políticas públicas y herramientas, orientadas a la organización y articulación, de los partícipes atendiendo a la necesidad a satisfacer y a la autonomía de la voluntad de las partes, los procesos de compras y contratación pública con el fin de lograr una mayor eficiencia, transparencia y </w:t>
      </w:r>
      <w:r w:rsidRPr="00140FFB">
        <w:rPr>
          <w:rFonts w:ascii="Arial" w:hAnsi="Arial" w:cs="Arial"/>
        </w:rPr>
        <w:lastRenderedPageBreak/>
        <w:t xml:space="preserve">optimización de los recursos del Estado”. En concordancia con dicho objetivo, los lineamientos adoptados en la Circular Conjunta No. 01 de 2023 cumplen con lo consagrado en el literal 2 del artículo 3 del mencionado Decreto que dispuso que la Agencia tendría la función de desarrollar, implementar y difundir las políticas públicas, planes, programas, normas, instrumentos y herramientas que faciliten las compras y contratación pública del Estado y </w:t>
      </w:r>
      <w:r w:rsidRPr="00140FFB">
        <w:rPr>
          <w:rFonts w:ascii="Arial" w:hAnsi="Arial" w:cs="Arial"/>
          <w:i/>
          <w:iCs/>
        </w:rPr>
        <w:t>promuevan mejores prácticas</w:t>
      </w:r>
      <w:r w:rsidRPr="00140FFB">
        <w:rPr>
          <w:rFonts w:ascii="Arial" w:hAnsi="Arial" w:cs="Arial"/>
        </w:rPr>
        <w:t>, la eficiencia, transparencia y competitividad del mismo, a fin de que se cumplan los principios y procesos generales que deben gobernar la actividad contractual de las entidades públicas.</w:t>
      </w:r>
    </w:p>
    <w:p w14:paraId="4E748943" w14:textId="7E48ED7E" w:rsidR="000E5D20" w:rsidRPr="00140FFB" w:rsidRDefault="000E5D20" w:rsidP="000E5D20">
      <w:pPr>
        <w:spacing w:after="120" w:line="276" w:lineRule="auto"/>
        <w:ind w:firstLine="708"/>
        <w:jc w:val="both"/>
        <w:rPr>
          <w:rFonts w:ascii="Arial" w:hAnsi="Arial" w:cs="Arial"/>
        </w:rPr>
      </w:pPr>
      <w:r w:rsidRPr="00140FFB">
        <w:rPr>
          <w:rFonts w:ascii="Arial" w:eastAsia="Arial" w:hAnsi="Arial" w:cs="Arial"/>
          <w:lang w:val="es-ES"/>
        </w:rPr>
        <w:t>Sobre el alcance de las circulares,</w:t>
      </w:r>
      <w:r w:rsidRPr="00140FFB">
        <w:rPr>
          <w:rFonts w:ascii="Arial" w:hAnsi="Arial" w:cs="Arial"/>
        </w:rPr>
        <w:t xml:space="preserve"> el Consejo de Estado, en sentencia del 19 de junio de 2008, precisó que estas deben entenderse de la siguie</w:t>
      </w:r>
      <w:r w:rsidR="003C3F5C">
        <w:rPr>
          <w:rFonts w:ascii="Arial" w:hAnsi="Arial" w:cs="Arial"/>
        </w:rPr>
        <w:t>nt</w:t>
      </w:r>
      <w:r w:rsidRPr="00140FFB">
        <w:rPr>
          <w:rFonts w:ascii="Arial" w:hAnsi="Arial" w:cs="Arial"/>
        </w:rPr>
        <w:t xml:space="preserve">e forma: </w:t>
      </w:r>
      <w:r w:rsidRPr="00140FFB">
        <w:rPr>
          <w:rFonts w:ascii="Arial" w:eastAsia="Arial" w:hAnsi="Arial" w:cs="Arial"/>
          <w:lang w:val="es-ES"/>
        </w:rPr>
        <w:t xml:space="preserve">“[…] </w:t>
      </w:r>
      <w:r w:rsidRPr="00140FFB">
        <w:rPr>
          <w:rFonts w:ascii="Arial" w:hAnsi="Arial" w:cs="Arial"/>
        </w:rPr>
        <w:t>la Administración utiliza el vocablo “circular” en dos de sus acepciones: como orden que una autoridad superior dirige a todos o gran parte de sus subalternos, que también puede cobijar a los particulares, cuando desarrollan actividades sujetas a la inspección y vigilancia del Estado, que es la que corresponde a circular de servicio. Y como cada una de las cartas o avisos iguales dirigidos a un determinado sector o grupo de personas públicas o privadas interesadas en el asunto informado, que es la que se denomina circular informativa</w:t>
      </w:r>
      <w:r w:rsidRPr="00140FFB">
        <w:rPr>
          <w:rFonts w:ascii="Arial" w:eastAsia="Arial" w:hAnsi="Arial" w:cs="Arial"/>
          <w:lang w:val="es-ES"/>
        </w:rPr>
        <w:t xml:space="preserve"> […]”</w:t>
      </w:r>
      <w:r w:rsidRPr="00140FFB">
        <w:rPr>
          <w:rStyle w:val="Refdenotaalpie"/>
          <w:rFonts w:ascii="Arial" w:eastAsia="Arial" w:hAnsi="Arial" w:cs="Arial"/>
          <w:lang w:val="es-ES"/>
        </w:rPr>
        <w:footnoteReference w:id="10"/>
      </w:r>
      <w:r w:rsidRPr="00140FFB">
        <w:rPr>
          <w:rFonts w:ascii="Arial" w:eastAsia="Arial" w:hAnsi="Arial" w:cs="Arial"/>
          <w:lang w:val="es-ES"/>
        </w:rPr>
        <w:t>.</w:t>
      </w:r>
    </w:p>
    <w:p w14:paraId="67C2A116" w14:textId="77777777" w:rsidR="000E5D20" w:rsidRPr="00140FFB" w:rsidRDefault="000E5D20" w:rsidP="000E5D20">
      <w:pPr>
        <w:spacing w:after="120" w:line="276" w:lineRule="auto"/>
        <w:ind w:firstLine="708"/>
        <w:jc w:val="both"/>
        <w:rPr>
          <w:rFonts w:ascii="Arial" w:eastAsia="Calibri" w:hAnsi="Arial" w:cs="Arial"/>
        </w:rPr>
      </w:pPr>
      <w:r w:rsidRPr="00140FFB">
        <w:rPr>
          <w:rFonts w:ascii="Arial" w:hAnsi="Arial" w:cs="Arial"/>
        </w:rPr>
        <w:t xml:space="preserve"> Por tanto, de lo expuesto previamente, es preciso señalar que la Circular Conjunta No.1 de 2023, se encuentra dentro de ese segundo grupo, cuyo único objetivo no es otro que comunicar expresamente </w:t>
      </w:r>
      <w:r w:rsidRPr="00140FFB">
        <w:rPr>
          <w:rFonts w:ascii="Arial" w:eastAsia="Arial" w:hAnsi="Arial" w:cs="Arial"/>
          <w:lang w:val="es-ES"/>
        </w:rPr>
        <w:t>“</w:t>
      </w:r>
      <w:r w:rsidRPr="00140FFB">
        <w:rPr>
          <w:rFonts w:ascii="Arial" w:hAnsi="Arial" w:cs="Arial"/>
        </w:rPr>
        <w:t>LINEAMIENTOS PARA LA CELEBRACIÓN DE CONTRATOS PRESTACIÓN DE SERVICIOS PREVISTOS EN EL ARTÍCULO 2, NUMERAL 4, LITERAL H, DE LA LEY 1150 DE 2007 – VIGENCIA 2023</w:t>
      </w:r>
      <w:r w:rsidRPr="00140FFB">
        <w:rPr>
          <w:rFonts w:ascii="Arial" w:hAnsi="Arial" w:cs="Arial"/>
          <w:color w:val="000000"/>
        </w:rPr>
        <w:t>”</w:t>
      </w:r>
      <w:r w:rsidRPr="00140FFB">
        <w:rPr>
          <w:rFonts w:ascii="Arial" w:hAnsi="Arial" w:cs="Arial"/>
        </w:rPr>
        <w:t xml:space="preserve">, por lo que su contenido tan sólo tiene el alcance de ser una serie de recomendaciones dirigidas a las mencionadas autoridades nacionales y territoriales, pero no comprende una decisión impositiva, de carácter general, adoptada en el marco de funciones administrativas. Por el contrario, la Circular Conjunta No. 1 de 2023 fija una serie de lineamientos para articular e interpretar armónicamente con las normas de contratación estatal y las disposiciones contenidas en la Circular Conjunta No. 100-005-2022 expedida por el Departamento Administrativo de la Función Pública y la Escuela Superior de la Administración Pública, únicamente para la vigencia 2023, atendiendo principalmente a que en este año dichas medidas se deberán acatar a la par de la implementación del </w:t>
      </w:r>
      <w:r w:rsidRPr="00140FFB">
        <w:rPr>
          <w:rFonts w:ascii="Arial" w:hAnsi="Arial" w:cs="Arial"/>
          <w:i/>
          <w:iCs/>
        </w:rPr>
        <w:t xml:space="preserve">PLAN DE FORMALIZACIÓN DEL EMPLEO PÚBLICO EN EQUIDAD – VIGENCIA 2023 </w:t>
      </w:r>
      <w:r w:rsidRPr="00140FFB">
        <w:rPr>
          <w:rFonts w:ascii="Arial" w:hAnsi="Arial" w:cs="Arial"/>
        </w:rPr>
        <w:t>liderado por el Departamento Administrativo de la Función Pública.</w:t>
      </w:r>
    </w:p>
    <w:p w14:paraId="30AAA95A" w14:textId="77777777" w:rsidR="000E5D20" w:rsidRPr="00140FFB" w:rsidRDefault="000E5D20" w:rsidP="000E5D20">
      <w:pPr>
        <w:widowControl w:val="0"/>
        <w:autoSpaceDE w:val="0"/>
        <w:autoSpaceDN w:val="0"/>
        <w:spacing w:after="0" w:line="276" w:lineRule="auto"/>
        <w:ind w:firstLine="709"/>
        <w:jc w:val="both"/>
        <w:rPr>
          <w:rFonts w:ascii="Arial" w:eastAsia="Arial" w:hAnsi="Arial" w:cs="Arial"/>
          <w:lang w:val="es-ES"/>
        </w:rPr>
      </w:pPr>
      <w:r w:rsidRPr="00140FFB">
        <w:rPr>
          <w:rFonts w:ascii="Arial" w:eastAsia="Arial" w:hAnsi="Arial" w:cs="Arial"/>
          <w:lang w:val="es-ES"/>
        </w:rPr>
        <w:t xml:space="preserve">vi) El numeral séptimo de la Circular Conjunta No. 1 de 2023 consagra que en virtud </w:t>
      </w:r>
      <w:r w:rsidRPr="00140FFB">
        <w:rPr>
          <w:rFonts w:ascii="Arial" w:eastAsia="Arial" w:hAnsi="Arial" w:cs="Arial"/>
          <w:lang w:val="es-ES"/>
        </w:rPr>
        <w:lastRenderedPageBreak/>
        <w:t xml:space="preserve">de lo señalado en el penúltimo inciso del numeral 1.1 de la derogada Directiva Presidencial No. 08 del 17 de septiembre de 2022, “las Entidades Estatales de la Rama Ejecutiva del orden nacional no podrán justificar la celebración de contratos de prestación de servicios de apoyo a la gestión cuando se pretenda contratar a personas naturales que ya tienen otros contratos de esta naturaleza con otras entidades públicas, lo que implica que no pueden suscribirlos aunque los contratos de prestación de servicios previos sean con entidades públicas que pertenezcan a otra rama u orden, o sometidas a regímenes especiales”. De esta forma, el referido numeral de la Circular Conjunta No. 01 de 2023, prácticamente </w:t>
      </w:r>
      <w:proofErr w:type="spellStart"/>
      <w:r w:rsidRPr="00140FFB">
        <w:rPr>
          <w:rFonts w:ascii="Arial" w:eastAsia="Arial" w:hAnsi="Arial" w:cs="Arial"/>
          <w:lang w:val="es-ES"/>
        </w:rPr>
        <w:t>transcrite</w:t>
      </w:r>
      <w:proofErr w:type="spellEnd"/>
      <w:r w:rsidRPr="00140FFB">
        <w:rPr>
          <w:rFonts w:ascii="Arial" w:eastAsia="Arial" w:hAnsi="Arial" w:cs="Arial"/>
          <w:lang w:val="es-ES"/>
        </w:rPr>
        <w:t xml:space="preserve"> el contenido textual del penúltimo inciso del numeral 1.1 de la Directiva Presidencial No. 08 de 2022, </w:t>
      </w:r>
      <w:r w:rsidRPr="00140FFB">
        <w:rPr>
          <w:rFonts w:ascii="Arial" w:eastAsia="Calibri" w:hAnsi="Arial" w:cs="Arial"/>
          <w:color w:val="000000"/>
        </w:rPr>
        <w:t>actualmente derogada por la Directiva 02 del 30 de marzo de 2023,</w:t>
      </w:r>
      <w:r w:rsidRPr="00140FFB">
        <w:rPr>
          <w:rFonts w:ascii="Arial" w:eastAsia="Arial" w:hAnsi="Arial" w:cs="Arial"/>
          <w:lang w:val="es-ES"/>
        </w:rPr>
        <w:t xml:space="preserve"> que disponía lo siguiente:</w:t>
      </w:r>
    </w:p>
    <w:p w14:paraId="1E2FABCD" w14:textId="77777777" w:rsidR="000E5D20" w:rsidRPr="00140FFB" w:rsidRDefault="000E5D20" w:rsidP="000E5D20">
      <w:pPr>
        <w:widowControl w:val="0"/>
        <w:autoSpaceDE w:val="0"/>
        <w:autoSpaceDN w:val="0"/>
        <w:spacing w:after="0" w:line="276" w:lineRule="auto"/>
        <w:ind w:firstLine="709"/>
        <w:jc w:val="both"/>
        <w:rPr>
          <w:rFonts w:ascii="Arial" w:eastAsia="Arial" w:hAnsi="Arial" w:cs="Arial"/>
          <w:lang w:val="es-ES"/>
        </w:rPr>
      </w:pPr>
    </w:p>
    <w:p w14:paraId="25DEA39A" w14:textId="77777777" w:rsidR="000E5D20" w:rsidRPr="00140FFB" w:rsidRDefault="000E5D20" w:rsidP="000E5D20">
      <w:pPr>
        <w:widowControl w:val="0"/>
        <w:autoSpaceDE w:val="0"/>
        <w:autoSpaceDN w:val="0"/>
        <w:spacing w:after="0" w:line="240" w:lineRule="auto"/>
        <w:ind w:left="709" w:right="709"/>
        <w:jc w:val="both"/>
        <w:rPr>
          <w:rFonts w:ascii="Arial" w:eastAsia="Arial" w:hAnsi="Arial" w:cs="Arial"/>
          <w:sz w:val="21"/>
          <w:szCs w:val="21"/>
          <w:shd w:val="clear" w:color="auto" w:fill="FFFFFF"/>
          <w:lang w:val="es-ES"/>
        </w:rPr>
      </w:pPr>
      <w:r w:rsidRPr="00140FFB">
        <w:rPr>
          <w:rFonts w:ascii="Arial" w:eastAsia="Arial" w:hAnsi="Arial" w:cs="Arial"/>
          <w:sz w:val="21"/>
          <w:szCs w:val="21"/>
          <w:shd w:val="clear" w:color="auto" w:fill="FFFFFF"/>
          <w:lang w:val="es-ES"/>
        </w:rPr>
        <w:t xml:space="preserve">“Las entidades públicas </w:t>
      </w:r>
      <w:r w:rsidRPr="00140FFB">
        <w:rPr>
          <w:rFonts w:ascii="Arial" w:eastAsia="Arial" w:hAnsi="Arial" w:cs="Arial"/>
          <w:i/>
          <w:iCs/>
          <w:sz w:val="21"/>
          <w:szCs w:val="21"/>
          <w:shd w:val="clear" w:color="auto" w:fill="FFFFFF"/>
          <w:lang w:val="es-ES"/>
        </w:rPr>
        <w:t>no podrán justificar la celebración de contratos de prestación de servicios de apoyo a la gestión por insuficiencia de personal de planta para evacuar el respectivo trabajo, si tales contratos serán suscritos con personas naturales que ya tienen otros contratos de prestación de servicios con otras entidades públicas</w:t>
      </w:r>
      <w:r w:rsidRPr="00140FFB">
        <w:rPr>
          <w:rFonts w:ascii="Arial" w:eastAsia="Arial" w:hAnsi="Arial" w:cs="Arial"/>
          <w:sz w:val="21"/>
          <w:szCs w:val="21"/>
          <w:shd w:val="clear" w:color="auto" w:fill="FFFFFF"/>
          <w:lang w:val="es-ES"/>
        </w:rPr>
        <w:t xml:space="preserve">, lo cual verificarán previamente en la plataforma del SECOP. Tampoco si en sus plantas de personal hay carpos en vacancia definitiva por más de 6 meses.” </w:t>
      </w:r>
      <w:r w:rsidRPr="00140FFB">
        <w:rPr>
          <w:rFonts w:ascii="Arial" w:eastAsia="Arial" w:hAnsi="Arial" w:cs="Arial"/>
          <w:shd w:val="clear" w:color="auto" w:fill="FFFFFF"/>
          <w:lang w:val="es-ES"/>
        </w:rPr>
        <w:t>[Énfasis fuera de texto]</w:t>
      </w:r>
    </w:p>
    <w:p w14:paraId="69371366" w14:textId="77777777" w:rsidR="000E5D20" w:rsidRPr="00140FFB" w:rsidRDefault="000E5D20" w:rsidP="000E5D20">
      <w:pPr>
        <w:widowControl w:val="0"/>
        <w:autoSpaceDE w:val="0"/>
        <w:autoSpaceDN w:val="0"/>
        <w:spacing w:after="0" w:line="276" w:lineRule="auto"/>
        <w:ind w:firstLine="708"/>
        <w:jc w:val="both"/>
        <w:rPr>
          <w:rFonts w:ascii="Arial" w:eastAsia="Arial" w:hAnsi="Arial" w:cs="Arial"/>
          <w:lang w:val="es-ES"/>
        </w:rPr>
      </w:pPr>
    </w:p>
    <w:p w14:paraId="00F022B3" w14:textId="77777777" w:rsidR="000E5D20" w:rsidRPr="00140FFB" w:rsidRDefault="000E5D20" w:rsidP="000E5D20">
      <w:pPr>
        <w:widowControl w:val="0"/>
        <w:autoSpaceDE w:val="0"/>
        <w:autoSpaceDN w:val="0"/>
        <w:spacing w:after="120" w:line="276" w:lineRule="auto"/>
        <w:jc w:val="both"/>
        <w:rPr>
          <w:rFonts w:ascii="Arial" w:eastAsia="Arial" w:hAnsi="Arial" w:cs="Arial"/>
          <w:lang w:val="es-ES"/>
        </w:rPr>
      </w:pPr>
      <w:r w:rsidRPr="00140FFB">
        <w:rPr>
          <w:rFonts w:ascii="Arial" w:eastAsia="Arial" w:hAnsi="Arial" w:cs="Arial"/>
          <w:lang w:val="es-ES"/>
        </w:rPr>
        <w:tab/>
        <w:t xml:space="preserve">Sin embargo, es necesario tener en cuenta que el aparte citado fue suspendido provisionalmente por el Auto de la Subsección A de la Sección Tercera del Consejo de Estado del 22 de febrero de 2023, con ponencia del Magistrado José Roberto </w:t>
      </w:r>
      <w:proofErr w:type="spellStart"/>
      <w:r w:rsidRPr="00140FFB">
        <w:rPr>
          <w:rFonts w:ascii="Arial" w:eastAsia="Arial" w:hAnsi="Arial" w:cs="Arial"/>
          <w:lang w:val="es-ES"/>
        </w:rPr>
        <w:t>Sáchica</w:t>
      </w:r>
      <w:proofErr w:type="spellEnd"/>
      <w:r w:rsidRPr="00140FFB">
        <w:rPr>
          <w:rFonts w:ascii="Arial" w:eastAsia="Arial" w:hAnsi="Arial" w:cs="Arial"/>
          <w:lang w:val="es-ES"/>
        </w:rPr>
        <w:t xml:space="preserve"> Méndez, por la violación a la reserva legal en la tipificación de las causales de inhabilidad e incompatibilidad para celebrar contratos con el Estado. En esta medida, conforme al artículo 9.1 de la Ley 1437 de 2011, se presenta una causal de pérdida de fuerza ejecutoria. </w:t>
      </w:r>
    </w:p>
    <w:p w14:paraId="176FDD0F" w14:textId="4ECBE7B8" w:rsidR="000E5D20" w:rsidRPr="00140FFB" w:rsidRDefault="000E5D20" w:rsidP="000E5D20">
      <w:pPr>
        <w:widowControl w:val="0"/>
        <w:autoSpaceDE w:val="0"/>
        <w:autoSpaceDN w:val="0"/>
        <w:spacing w:after="120" w:line="276" w:lineRule="auto"/>
        <w:ind w:firstLine="708"/>
        <w:jc w:val="both"/>
        <w:rPr>
          <w:rFonts w:ascii="Arial" w:eastAsia="Arial" w:hAnsi="Arial" w:cs="Arial"/>
          <w:lang w:val="es-ES"/>
        </w:rPr>
      </w:pPr>
      <w:r w:rsidRPr="00140FFB">
        <w:rPr>
          <w:rFonts w:ascii="Arial" w:eastAsia="Arial" w:hAnsi="Arial" w:cs="Arial"/>
          <w:lang w:val="es-ES"/>
        </w:rPr>
        <w:t xml:space="preserve">vii) Finalmente, el numeral octavo establece que “[…] sin perjuicio de lo establecido en el numeral 8 de la Circular Conjunta No. 100-005-2022, en la provisión de las plantas de empleos temporales las Entidades Estatales darán prioridad a las personas naturales que vienen desarrollando actividades de manera satisfactoria en el marco de contratos de prestación de servicios, que pudieran estar interesadas en vincularse a un empleo temporal, de conformidad con lo establecido en el parágrafo 2 del artículo 2.2.1.2.6 del Decreto 1083 de 2015”. </w:t>
      </w:r>
    </w:p>
    <w:p w14:paraId="39804C7C" w14:textId="77777777" w:rsidR="000E5D20" w:rsidRPr="00140FFB" w:rsidRDefault="000E5D20" w:rsidP="000E5D20">
      <w:pPr>
        <w:spacing w:after="120" w:line="276" w:lineRule="auto"/>
        <w:jc w:val="both"/>
        <w:textAlignment w:val="baseline"/>
        <w:rPr>
          <w:rFonts w:ascii="Arial" w:eastAsia="Times New Roman" w:hAnsi="Arial" w:cs="Arial"/>
          <w:szCs w:val="24"/>
          <w:lang w:eastAsia="es-CO"/>
        </w:rPr>
      </w:pPr>
      <w:r w:rsidRPr="00140FFB">
        <w:rPr>
          <w:rFonts w:ascii="Arial" w:eastAsia="Arial" w:hAnsi="Arial" w:cs="Arial"/>
          <w:lang w:val="es-ES"/>
        </w:rPr>
        <w:tab/>
        <w:t xml:space="preserve">En relación con este aspecto, </w:t>
      </w:r>
      <w:r w:rsidRPr="00140FFB">
        <w:rPr>
          <w:rFonts w:ascii="Arial" w:eastAsia="Times New Roman" w:hAnsi="Arial" w:cs="Arial"/>
          <w:szCs w:val="24"/>
          <w:lang w:eastAsia="es-CO"/>
        </w:rPr>
        <w:t xml:space="preserve">en primer lugar, es importante mencionar que esta Agencia tiene competencia únicamente para analizar la justificación normativa de políticas públicas y/o herramientas orientadas a la organización y articulación de los partícipes en los procesos de compras y contratación pública, por lo que el analizar normas sobre la provisión de empleos temporales se encuentra por fuera de dicha competencia. Sin embargo, al suscribir la Circular Conjunta 01 de 2023 con el Departamento Administrativo </w:t>
      </w:r>
      <w:r w:rsidRPr="00140FFB">
        <w:rPr>
          <w:rFonts w:ascii="Arial" w:eastAsia="Times New Roman" w:hAnsi="Arial" w:cs="Arial"/>
          <w:szCs w:val="24"/>
          <w:lang w:eastAsia="es-CO"/>
        </w:rPr>
        <w:lastRenderedPageBreak/>
        <w:t>de la Función Pública se conocen los argumentos expuestos por dicha dependencia, cuyo sentido de establecer prioridad para las personas naturales que vienen desarrollando actividades de manera satisfactoria para la provisión de empleos temporales es subsidiaria y en ningún momento sustituye al orden de prioridad para la provisión de estos empleos temporales contemplado en la Ley 909 de 2004 y el Decreto 1083 de 2015, por el contrario se contempla como criterio adicional, de conformidad con lo resuelto en las sentencias C-614 de 2009 y C-171 de 2012 proferidas por la Corte Constitucional.</w:t>
      </w:r>
    </w:p>
    <w:p w14:paraId="0A0313B2" w14:textId="77777777" w:rsidR="000E5D20" w:rsidRPr="00140FFB" w:rsidRDefault="000E5D20" w:rsidP="000E5D20">
      <w:pPr>
        <w:spacing w:after="120" w:line="276" w:lineRule="auto"/>
        <w:jc w:val="both"/>
        <w:textAlignment w:val="baseline"/>
        <w:rPr>
          <w:rFonts w:ascii="Arial" w:eastAsia="Times New Roman" w:hAnsi="Arial" w:cs="Arial"/>
          <w:lang w:eastAsia="es-CO"/>
        </w:rPr>
      </w:pPr>
      <w:r w:rsidRPr="00140FFB">
        <w:rPr>
          <w:rFonts w:ascii="Arial" w:eastAsia="Times New Roman" w:hAnsi="Arial" w:cs="Arial"/>
          <w:lang w:eastAsia="es-CO"/>
        </w:rPr>
        <w:tab/>
        <w:t xml:space="preserve">En ese sentido debe mencionarse que, el numeral 3 del artículo 21 de la Ley 909 de 2004, en lo relativo a las plantas temporales dispone que: “3. El ingreso a estos empleos se efectuará con base en las listas de elegibles vigentes para la provisión de empleos de carácter permanente, sin que dichos nombramientos ocasionen el retiro de dichas listas. De no ser posible la utilización de las listas se realizará un proceso de evaluación de las capacidades y competencias de los candidatos”. Esto a su vez fue reglamentado por el artículo 2.2.5.3.5 del Decreto 1083 de 2015, el cual establece que para la provisión de las plantas temporales debe acudirse en primera medida a las listas de elegibles que suministre la Comisión Nacional del Servicio Civil que correspondan a empleo de la misma denominación, código y asignación básica del empleo temporal a proveer. De no existir lista de elegibles esta última norma autoriza a acudir a la figura del encargo con empleados de carrera de la respectiva entidad, y en ausencia de personal en carrera, se consagra el deber de proveer el empleo temporal a través de una convocatoria con libre concurrencia que debe ser publicada en la página web de la respectiva entidad.  </w:t>
      </w:r>
    </w:p>
    <w:p w14:paraId="331738FB" w14:textId="77777777" w:rsidR="000E5D20" w:rsidRPr="00140FFB" w:rsidRDefault="000E5D20" w:rsidP="000E5D20">
      <w:pPr>
        <w:widowControl w:val="0"/>
        <w:autoSpaceDE w:val="0"/>
        <w:autoSpaceDN w:val="0"/>
        <w:spacing w:after="120" w:line="276" w:lineRule="auto"/>
        <w:jc w:val="both"/>
        <w:rPr>
          <w:rFonts w:ascii="Arial" w:eastAsia="Times New Roman" w:hAnsi="Arial" w:cs="Arial"/>
          <w:noProof/>
          <w:lang w:eastAsia="es-CO"/>
        </w:rPr>
      </w:pPr>
      <w:r w:rsidRPr="00140FFB">
        <w:rPr>
          <w:rFonts w:ascii="Arial" w:eastAsia="Calibri" w:hAnsi="Arial" w:cs="Arial"/>
        </w:rPr>
        <w:tab/>
        <w:t>Adicionalmente, el parágrafo segundo del artículo 2.2.1.2.6 del Decreto 1083 de 2015, señala: “Parágrafo 2. Para la provisión de los empleos de carácter temporal se deberá dar aplicación al procedimiento señalado en la Ley 909 de 2004. En caso de no existir lista de elegibles, el empleo deberá ser provisto, de manera preferencial, con el personal que reúna los requisitos y que esté desarrollando mediante una forma de vinculación diferente, tales funciones, actividades o proyecto”.</w:t>
      </w:r>
      <w:r w:rsidRPr="00140FFB">
        <w:rPr>
          <w:rFonts w:ascii="Arial" w:eastAsia="Calibri" w:hAnsi="Arial" w:cs="Arial"/>
          <w:shd w:val="clear" w:color="auto" w:fill="FFFFFF"/>
        </w:rPr>
        <w:t xml:space="preserve"> De esta forma, la prioridad establecida en relación con los contratistas de prestación de servicios −personas naturales− para su vinculación a los empleos temporales, respecto de otras personas −</w:t>
      </w:r>
      <w:r w:rsidRPr="00140FFB">
        <w:rPr>
          <w:rFonts w:ascii="Arial" w:eastAsia="Calibri" w:hAnsi="Arial" w:cs="Arial"/>
        </w:rPr>
        <w:t>sin perjuicio de lo establecido en el numeral 8 de la Circular Conjunta No. 100-005-2022−</w:t>
      </w:r>
      <w:r w:rsidRPr="00140FFB">
        <w:rPr>
          <w:rFonts w:ascii="Arial" w:eastAsia="Calibri" w:hAnsi="Arial" w:cs="Arial"/>
          <w:shd w:val="clear" w:color="auto" w:fill="FFFFFF"/>
        </w:rPr>
        <w:t xml:space="preserve">, se fundamenta en lo consagrado en el parágrafo 2 del artículo </w:t>
      </w:r>
      <w:r w:rsidRPr="00140FFB">
        <w:rPr>
          <w:rFonts w:ascii="Arial" w:eastAsia="Calibri" w:hAnsi="Arial" w:cs="Arial"/>
        </w:rPr>
        <w:t>2.2.1.2.6 del Decreto 1083 de 2015</w:t>
      </w:r>
      <w:bookmarkStart w:id="8" w:name="2.2.1.2.6.pt2"/>
      <w:bookmarkEnd w:id="8"/>
    </w:p>
    <w:p w14:paraId="1CF1BA32" w14:textId="4623D8B2" w:rsidR="000E5D20" w:rsidRPr="00140FFB" w:rsidRDefault="000E5D20" w:rsidP="000E5D20">
      <w:pPr>
        <w:spacing w:after="120" w:line="276" w:lineRule="auto"/>
        <w:ind w:firstLine="708"/>
        <w:jc w:val="both"/>
        <w:textAlignment w:val="baseline"/>
        <w:rPr>
          <w:rFonts w:ascii="Arial" w:eastAsia="Times New Roman" w:hAnsi="Arial" w:cs="Arial"/>
          <w:lang w:eastAsia="es-CO"/>
        </w:rPr>
      </w:pPr>
      <w:r w:rsidRPr="00140FFB">
        <w:rPr>
          <w:rFonts w:ascii="Arial" w:eastAsia="Times New Roman" w:hAnsi="Arial" w:cs="Arial"/>
          <w:lang w:eastAsia="es-CO"/>
        </w:rPr>
        <w:t xml:space="preserve">En conclusión, la Circular Conjunta No. 01 del 5 de enero de 2023 es un instrumento expedido con el fin de dar pautas orientadoras para la celebración de contratos </w:t>
      </w:r>
      <w:r w:rsidR="00181606">
        <w:rPr>
          <w:rFonts w:ascii="Arial" w:eastAsia="Times New Roman" w:hAnsi="Arial" w:cs="Arial"/>
          <w:lang w:eastAsia="es-CO"/>
        </w:rPr>
        <w:t xml:space="preserve">de </w:t>
      </w:r>
      <w:r w:rsidRPr="00140FFB">
        <w:rPr>
          <w:rFonts w:ascii="Arial" w:eastAsia="Times New Roman" w:hAnsi="Arial" w:cs="Arial"/>
          <w:lang w:eastAsia="es-CO"/>
        </w:rPr>
        <w:t>prestación de servicios profesionales y de apoyo a la gestión con personas naturales durante la vigencia 2023, el cual está particularmente enfocado en lograr una armonización en la aplicación de las medidas de austeridad del gasto dispuestas en el numeral 1.1 de la Directiva Presidencial 8 de 2022 –</w:t>
      </w:r>
      <w:r w:rsidRPr="00140FFB">
        <w:rPr>
          <w:rFonts w:ascii="Arial" w:eastAsia="Calibri" w:hAnsi="Arial" w:cs="Arial"/>
          <w:color w:val="000000"/>
        </w:rPr>
        <w:t xml:space="preserve"> actualmente derogada por la Directiva 02 del 30 de marzo de 2023–</w:t>
      </w:r>
      <w:r w:rsidRPr="00140FFB">
        <w:rPr>
          <w:rFonts w:ascii="Arial" w:eastAsia="Times New Roman" w:hAnsi="Arial" w:cs="Arial"/>
          <w:lang w:eastAsia="es-CO"/>
        </w:rPr>
        <w:t xml:space="preserve"> y lo señalado en el numeral 3 de la </w:t>
      </w:r>
      <w:r w:rsidRPr="00140FFB">
        <w:rPr>
          <w:rFonts w:ascii="Arial" w:eastAsia="Calibri" w:hAnsi="Arial" w:cs="Arial"/>
          <w:color w:val="000000"/>
          <w:lang w:eastAsia="es-CO"/>
        </w:rPr>
        <w:t xml:space="preserve">Circular Conjunta </w:t>
      </w:r>
      <w:r w:rsidRPr="00140FFB">
        <w:rPr>
          <w:rFonts w:ascii="Arial" w:eastAsia="Times New Roman" w:hAnsi="Arial" w:cs="Arial"/>
          <w:lang w:eastAsia="es-CO"/>
        </w:rPr>
        <w:t xml:space="preserve">100-005-2022 con respecto </w:t>
      </w:r>
      <w:r w:rsidRPr="00140FFB">
        <w:rPr>
          <w:rFonts w:ascii="Arial" w:eastAsia="Times New Roman" w:hAnsi="Arial" w:cs="Arial"/>
          <w:lang w:eastAsia="es-CO"/>
        </w:rPr>
        <w:lastRenderedPageBreak/>
        <w:t>al plazo de los contratos de prestación de servicios regulados en el artículo 32, numeral 3 de la Ley 80 de 1993 y el literal h) del numeral 4 de artículo 2 de la Ley 1150 de 2007, de cara a la implementación del</w:t>
      </w:r>
      <w:r w:rsidRPr="00140FFB">
        <w:rPr>
          <w:rFonts w:ascii="Arial" w:hAnsi="Arial" w:cs="Arial"/>
        </w:rPr>
        <w:t xml:space="preserve"> “P</w:t>
      </w:r>
      <w:r w:rsidRPr="00140FFB">
        <w:rPr>
          <w:rFonts w:ascii="Arial" w:eastAsia="Times New Roman" w:hAnsi="Arial" w:cs="Arial"/>
          <w:lang w:eastAsia="es-CO"/>
        </w:rPr>
        <w:t xml:space="preserve">LAN DE FORMALIZACIÓN DEL EMPLEO PÚBLICO EN EQUIDAD - VIGENCIA 2023” liderado por el Departamento Administrativo de la Función Pública. </w:t>
      </w:r>
    </w:p>
    <w:p w14:paraId="0080CECF" w14:textId="7F855BE0" w:rsidR="000E5D20" w:rsidRPr="00140FFB" w:rsidRDefault="000E5D20" w:rsidP="000E5D20">
      <w:pPr>
        <w:spacing w:after="120" w:line="276" w:lineRule="auto"/>
        <w:ind w:firstLine="709"/>
        <w:jc w:val="both"/>
        <w:rPr>
          <w:rFonts w:ascii="Arial" w:eastAsia="Times New Roman" w:hAnsi="Arial" w:cs="Arial"/>
          <w:lang w:eastAsia="es-CO"/>
        </w:rPr>
      </w:pPr>
      <w:r w:rsidRPr="00140FFB">
        <w:rPr>
          <w:rFonts w:ascii="Arial" w:eastAsia="Times New Roman" w:hAnsi="Arial" w:cs="Arial"/>
          <w:lang w:eastAsia="es-CO"/>
        </w:rPr>
        <w:t xml:space="preserve">En ese orden, la Circular Conjunta No. 01 del 5 de enero de 2023 no tiene </w:t>
      </w:r>
      <w:r w:rsidRPr="00140FFB">
        <w:rPr>
          <w:rFonts w:ascii="Arial" w:eastAsia="Times New Roman" w:hAnsi="Arial" w:cs="Arial"/>
          <w:i/>
          <w:iCs/>
          <w:lang w:eastAsia="es-CO"/>
        </w:rPr>
        <w:t xml:space="preserve">per se </w:t>
      </w:r>
      <w:r w:rsidRPr="00140FFB">
        <w:rPr>
          <w:rFonts w:ascii="Arial" w:eastAsia="Times New Roman" w:hAnsi="Arial" w:cs="Arial"/>
          <w:lang w:eastAsia="es-CO"/>
        </w:rPr>
        <w:t>una fuerza obligatoria en virtud de la cual las Entidades Estatales deban celebrar los contratos de prestación de servicios profesionales y de apoyo a la gestión que requieran con sujeción irrestricta a lo establecido en cada uno de los mencionados lineamientos, en la medida en que los mismos solo contienen pautas orientadoras. Sin embargo, además de que la Directiva Presidencial 8 de 2022 fue derogada por la</w:t>
      </w:r>
      <w:r w:rsidRPr="00140FFB">
        <w:rPr>
          <w:rFonts w:ascii="Arial" w:eastAsia="Calibri" w:hAnsi="Arial" w:cs="Arial"/>
          <w:color w:val="000000"/>
        </w:rPr>
        <w:t xml:space="preserve"> Directiva 02 del 30 de marzo de 2023 y sin perjuicio de lo decidido por la Subsección A de la Sección Tercera del Consejo de Estado mediante el precitado Auto </w:t>
      </w:r>
      <w:r w:rsidRPr="00140FFB">
        <w:rPr>
          <w:rFonts w:ascii="Arial" w:eastAsia="Arial" w:hAnsi="Arial" w:cs="Arial"/>
          <w:lang w:val="es-ES"/>
        </w:rPr>
        <w:t>del 22 de febrero de 2023</w:t>
      </w:r>
      <w:r w:rsidRPr="00140FFB">
        <w:rPr>
          <w:rFonts w:ascii="Arial" w:eastAsia="Calibri" w:hAnsi="Arial" w:cs="Arial"/>
          <w:color w:val="000000"/>
        </w:rPr>
        <w:t>,</w:t>
      </w:r>
      <w:r w:rsidRPr="00140FFB">
        <w:rPr>
          <w:rFonts w:ascii="Arial" w:eastAsia="Times New Roman" w:hAnsi="Arial" w:cs="Arial"/>
          <w:lang w:eastAsia="es-CO"/>
        </w:rPr>
        <w:t xml:space="preserve"> resulta relevante tener en cuenta</w:t>
      </w:r>
      <w:r w:rsidR="00F94989">
        <w:rPr>
          <w:rFonts w:ascii="Arial" w:eastAsia="Times New Roman" w:hAnsi="Arial" w:cs="Arial"/>
          <w:lang w:eastAsia="es-CO"/>
        </w:rPr>
        <w:t xml:space="preserve"> que</w:t>
      </w:r>
      <w:r w:rsidRPr="00140FFB">
        <w:rPr>
          <w:rFonts w:ascii="Arial" w:eastAsia="Times New Roman" w:hAnsi="Arial" w:cs="Arial"/>
          <w:lang w:eastAsia="es-CO"/>
        </w:rPr>
        <w:t xml:space="preserve"> el contenido de la mencionada circular ha sido formulado con sustento en disposiciones que hacen parte del Estatuto General de Contratación de la Administración Pública como el artículo 32, numeral 3 de la Ley 80 de 1993 y el artículo 2, numeral 4 de la Ley 1150 de 2007 que sí resultan de obligatoria observancia, al igual que en precedentes como las sentencias de unificación jurisprudencial del 2 de diciembre de 2013 expedida por la Sección Tercera del Consejo de Estado dentro del expediente 41.719 y la del 9 de septiembre de 2021 proferida por la Sección Segunda de la referida corporación dentro del expediente 1.317, que marcan el derrotero interpretativo de la tipología contractual en comento, además de resultar vinculantes para las autoridades administrativas en los términos señalados en el artículo 10 de la Ley 1437 de 2011. Dado esto, corresponde a cada Entidad Estatal determinar en cada caso la procedencia de aplicar uno u otro lineamiento, teniendo en cuenta las circunstancias particulares que incumben al contrato, al igual que el marco jurídico legal y reglamentario aplicable.</w:t>
      </w:r>
    </w:p>
    <w:p w14:paraId="688A88FA" w14:textId="323CF51E" w:rsidR="000E5D20" w:rsidRPr="00140FFB" w:rsidRDefault="000E5D20" w:rsidP="000E5D20">
      <w:pPr>
        <w:widowControl w:val="0"/>
        <w:autoSpaceDE w:val="0"/>
        <w:autoSpaceDN w:val="0"/>
        <w:spacing w:after="0" w:line="276" w:lineRule="auto"/>
        <w:ind w:firstLine="709"/>
        <w:jc w:val="both"/>
        <w:rPr>
          <w:rFonts w:ascii="Arial" w:hAnsi="Arial" w:cs="Arial"/>
        </w:rPr>
      </w:pPr>
      <w:r w:rsidRPr="00140FFB">
        <w:rPr>
          <w:rFonts w:ascii="Arial" w:eastAsia="Arial MT" w:hAnsi="Arial" w:cs="Arial"/>
          <w:lang w:val="es-ES" w:eastAsia="es-ES" w:bidi="es-ES"/>
        </w:rPr>
        <w:t>En todo caso, es necesario tener en cuenta que la</w:t>
      </w:r>
      <w:r w:rsidRPr="00140FFB">
        <w:rPr>
          <w:rFonts w:ascii="Arial" w:hAnsi="Arial" w:cs="Arial"/>
        </w:rPr>
        <w:t xml:space="preserve"> Directiva Presidencial No. 01 del 17 de enero de 2022</w:t>
      </w:r>
      <w:r w:rsidRPr="00140FFB">
        <w:rPr>
          <w:rStyle w:val="Refdenotaalpie"/>
          <w:rFonts w:ascii="Arial" w:hAnsi="Arial" w:cs="Arial"/>
        </w:rPr>
        <w:footnoteReference w:id="11"/>
      </w:r>
      <w:r w:rsidRPr="00140FFB">
        <w:rPr>
          <w:rFonts w:ascii="Arial" w:hAnsi="Arial" w:cs="Arial"/>
        </w:rPr>
        <w:t>, dirigida a ministros y directores de Departamentos Administrativos Entidades de la Rama Ejecutiva del orden nacional, contempló que antes de la suscripción de cualquier contrato de prestación de servicios profesionales o de apoyo a la gestión, se deberá verificar si el contratista</w:t>
      </w:r>
      <w:r w:rsidR="00F94989">
        <w:rPr>
          <w:rFonts w:ascii="Arial" w:hAnsi="Arial" w:cs="Arial"/>
        </w:rPr>
        <w:t xml:space="preserve"> </w:t>
      </w:r>
      <w:r w:rsidRPr="00140FFB">
        <w:rPr>
          <w:rFonts w:ascii="Arial" w:hAnsi="Arial" w:cs="Arial"/>
        </w:rPr>
        <w:t>tiene suscrito con cualquier entidad del Estado algún otro u otros contratos de la misma naturaleza, para lo cual deberá apoyarse en las plataformas tecnológicas del Estado disponibles, tales como, el Sistema Electrónico para la Contratación Pública-SECOP</w:t>
      </w:r>
      <w:r w:rsidRPr="00140FFB">
        <w:rPr>
          <w:rFonts w:ascii="Arial" w:hAnsi="Arial" w:cs="Arial"/>
        </w:rPr>
        <w:softHyphen/>
        <w:t xml:space="preserve"> (</w:t>
      </w:r>
      <w:hyperlink r:id="rId10" w:history="1">
        <w:r w:rsidRPr="00140FFB">
          <w:rPr>
            <w:rStyle w:val="Hipervnculo"/>
            <w:rFonts w:ascii="Arial" w:hAnsi="Arial" w:cs="Arial"/>
          </w:rPr>
          <w:t>https://colombiacompra.gov.co/secop/secop</w:t>
        </w:r>
      </w:hyperlink>
      <w:r w:rsidRPr="00140FFB">
        <w:rPr>
          <w:rFonts w:ascii="Arial" w:hAnsi="Arial" w:cs="Arial"/>
        </w:rPr>
        <w:t xml:space="preserve"> ) y el Portal Anticorrupción de Colombia: - PACO (</w:t>
      </w:r>
      <w:hyperlink r:id="rId11" w:history="1">
        <w:r w:rsidRPr="00140FFB">
          <w:rPr>
            <w:rStyle w:val="Hipervnculo"/>
            <w:rFonts w:ascii="Arial" w:hAnsi="Arial" w:cs="Arial"/>
          </w:rPr>
          <w:t>https://portal.paco.gov.co/</w:t>
        </w:r>
      </w:hyperlink>
      <w:r w:rsidRPr="00140FFB">
        <w:rPr>
          <w:rFonts w:ascii="Arial" w:hAnsi="Arial" w:cs="Arial"/>
        </w:rPr>
        <w:t xml:space="preserve"> ). Lo anterior con la finalidad de verificar la capacidad e idoneidad del contratista para ejecutar múltiples </w:t>
      </w:r>
      <w:r w:rsidRPr="00140FFB">
        <w:rPr>
          <w:rFonts w:ascii="Arial" w:hAnsi="Arial" w:cs="Arial"/>
        </w:rPr>
        <w:lastRenderedPageBreak/>
        <w:t>contratos de prestación de servicios profesionales o de apoyo a la gestión, que en ningún momento puede interpretarse como una inhabilidad o incompatibilidad para celebrar contratos de prestación de servicios, sino como un deber de verificación de las entidades estatales de la Rama Ejecutiva del orden nacional, en cumplimiento de la directiva en mención.</w:t>
      </w:r>
    </w:p>
    <w:p w14:paraId="25B5DE5A" w14:textId="77777777" w:rsidR="000E5D20" w:rsidRPr="00140FFB" w:rsidRDefault="000E5D20" w:rsidP="000E5D20">
      <w:pPr>
        <w:spacing w:after="120" w:line="276" w:lineRule="auto"/>
        <w:ind w:firstLine="709"/>
        <w:jc w:val="both"/>
        <w:rPr>
          <w:rFonts w:ascii="Arial" w:hAnsi="Arial" w:cs="Arial"/>
          <w:color w:val="000000" w:themeColor="text1"/>
          <w:lang w:val="es-ES_tradnl"/>
        </w:rPr>
      </w:pPr>
      <w:bookmarkStart w:id="9" w:name="OLE_LINK103"/>
      <w:bookmarkStart w:id="10" w:name="OLE_LINK104"/>
      <w:bookmarkEnd w:id="9"/>
      <w:bookmarkEnd w:id="10"/>
    </w:p>
    <w:p w14:paraId="36B2825D" w14:textId="5DDFD299" w:rsidR="009E2BA2" w:rsidRPr="00D8267C" w:rsidRDefault="000E5D20" w:rsidP="000E5D20">
      <w:pPr>
        <w:spacing w:after="120" w:line="276" w:lineRule="auto"/>
        <w:jc w:val="both"/>
        <w:rPr>
          <w:rFonts w:ascii="Arial" w:eastAsia="Arial" w:hAnsi="Arial" w:cs="Arial"/>
          <w:b/>
          <w:bCs/>
          <w:lang w:val="es-ES" w:eastAsia="es-ES" w:bidi="es-ES"/>
        </w:rPr>
      </w:pPr>
      <w:r w:rsidRPr="00140FFB">
        <w:rPr>
          <w:rFonts w:ascii="Arial" w:eastAsia="Arial" w:hAnsi="Arial" w:cs="Arial"/>
          <w:b/>
        </w:rPr>
        <w:t>2.2.</w:t>
      </w:r>
      <w:r w:rsidRPr="00140FFB">
        <w:rPr>
          <w:rFonts w:ascii="Arial" w:eastAsia="Arial" w:hAnsi="Arial" w:cs="Arial"/>
          <w:b/>
          <w:bCs/>
        </w:rPr>
        <w:t xml:space="preserve"> </w:t>
      </w:r>
      <w:r w:rsidRPr="00140FFB">
        <w:rPr>
          <w:rFonts w:ascii="Arial" w:eastAsia="Arial" w:hAnsi="Arial" w:cs="Arial"/>
          <w:b/>
          <w:bCs/>
          <w:lang w:val="es-ES" w:eastAsia="es-ES" w:bidi="es-ES"/>
        </w:rPr>
        <w:t>Aplicación del principio de planeación en la contratación directa</w:t>
      </w:r>
    </w:p>
    <w:p w14:paraId="5C0029C8" w14:textId="3D1BE92F" w:rsidR="000E5D20" w:rsidRPr="00140FFB" w:rsidRDefault="000E5D20" w:rsidP="000E5D20">
      <w:pPr>
        <w:spacing w:after="120" w:line="276" w:lineRule="auto"/>
        <w:jc w:val="both"/>
        <w:rPr>
          <w:rFonts w:ascii="Arial" w:eastAsia="Arial" w:hAnsi="Arial" w:cs="Arial"/>
        </w:rPr>
      </w:pPr>
      <w:r w:rsidRPr="00140FFB">
        <w:rPr>
          <w:rFonts w:ascii="Arial" w:eastAsia="Arial" w:hAnsi="Arial" w:cs="Arial"/>
        </w:rPr>
        <w:t xml:space="preserve">El deber de planeación que debe guiar la actividad contractual del </w:t>
      </w:r>
      <w:r w:rsidR="009E2BA2" w:rsidRPr="00140FFB">
        <w:rPr>
          <w:rFonts w:ascii="Arial" w:eastAsia="Arial" w:hAnsi="Arial" w:cs="Arial"/>
        </w:rPr>
        <w:t>Estado</w:t>
      </w:r>
      <w:r w:rsidRPr="00140FFB">
        <w:rPr>
          <w:rFonts w:ascii="Arial" w:eastAsia="Arial" w:hAnsi="Arial" w:cs="Arial"/>
        </w:rPr>
        <w:t xml:space="preserve"> también result</w:t>
      </w:r>
      <w:r w:rsidR="009E2BA2">
        <w:rPr>
          <w:rFonts w:ascii="Arial" w:eastAsia="Arial" w:hAnsi="Arial" w:cs="Arial"/>
        </w:rPr>
        <w:t>a</w:t>
      </w:r>
      <w:r w:rsidRPr="00140FFB">
        <w:rPr>
          <w:rFonts w:ascii="Arial" w:eastAsia="Arial" w:hAnsi="Arial" w:cs="Arial"/>
        </w:rPr>
        <w:t xml:space="preserve"> exigible en la contratación directa, como lo ha dejado claro esta Agencia, entre otros, en el Concepto C–418 de 2021, al indicar que la planeación contractual es una herramienta de gerencia pública, que exige estructurar el proceso contractual dedicando tiempo y esfuerzos para elaborar estudios previos, los cuales deberán ser adecuados a su alcance y complejidad. Lo anterior con la finalidad de determinar la necesidad que pretende satisfacer la entidad estatal, consultando el tipo de bienes y servicios que ofrece el mercado y sus características, especificaciones, precios, costos, riesgos, garantías, disponibilidad, oferentes, etc. </w:t>
      </w:r>
    </w:p>
    <w:p w14:paraId="0D4FBE2B" w14:textId="77777777" w:rsidR="000E5D20" w:rsidRPr="00140FFB" w:rsidRDefault="000E5D20" w:rsidP="000E5D20">
      <w:pPr>
        <w:spacing w:after="120" w:line="276" w:lineRule="auto"/>
        <w:ind w:firstLine="708"/>
        <w:jc w:val="both"/>
        <w:rPr>
          <w:rFonts w:ascii="Arial" w:eastAsia="Arial" w:hAnsi="Arial" w:cs="Arial"/>
        </w:rPr>
      </w:pPr>
      <w:r w:rsidRPr="00140FFB">
        <w:rPr>
          <w:rFonts w:ascii="Arial" w:eastAsia="Arial" w:hAnsi="Arial" w:cs="Arial"/>
        </w:rPr>
        <w:t>Así, una debida planeación debe conducir a una escogencia diligente de la mejor oferta, para beneficiar los intereses y fines públicos inmersos en la contratación de las entidades estatales, buscando siempre la correcta ejecución del contrato</w:t>
      </w:r>
      <w:r w:rsidRPr="00140FFB">
        <w:rPr>
          <w:rFonts w:ascii="Arial" w:eastAsia="Arial" w:hAnsi="Arial" w:cs="Arial"/>
          <w:vertAlign w:val="superscript"/>
        </w:rPr>
        <w:footnoteReference w:id="12"/>
      </w:r>
      <w:r w:rsidRPr="00140FFB">
        <w:rPr>
          <w:rFonts w:ascii="Arial" w:eastAsia="Arial" w:hAnsi="Arial" w:cs="Arial"/>
        </w:rPr>
        <w:t xml:space="preserve">. </w:t>
      </w:r>
    </w:p>
    <w:p w14:paraId="473F294C" w14:textId="77777777" w:rsidR="000E5D20" w:rsidRPr="00140FFB" w:rsidRDefault="000E5D20" w:rsidP="000E5D20">
      <w:pPr>
        <w:spacing w:line="276" w:lineRule="auto"/>
        <w:ind w:firstLine="708"/>
        <w:contextualSpacing/>
        <w:jc w:val="both"/>
        <w:rPr>
          <w:rFonts w:ascii="Arial" w:eastAsia="Arial" w:hAnsi="Arial" w:cs="Arial"/>
        </w:rPr>
      </w:pPr>
      <w:r w:rsidRPr="00140FFB">
        <w:rPr>
          <w:rFonts w:ascii="Arial" w:eastAsia="Arial" w:hAnsi="Arial" w:cs="Arial"/>
        </w:rPr>
        <w:lastRenderedPageBreak/>
        <w:t xml:space="preserve">El Estatuto General de Contratación de la Administración Pública contiene disposiciones que demandan de las entidades estatales el deber de planeación en la etapa precontractual. Esto con la finalidad de que los procesos de contratación satisfagan las necesidades de la Administración, cumplan sus fines, logren la continua y eficiente prestación de los servicios públicos y permitan la efectividad de los derechos e intereses de los administrados que colaboran en su consecución. En relación con el principio de economía, se tienen las siguientes reglas derivadas de su aplicación, lo cual está previsto en el artículo 25 de la Ley 80 de 1993: </w:t>
      </w:r>
    </w:p>
    <w:p w14:paraId="5D2032DB" w14:textId="77777777" w:rsidR="000E5D20" w:rsidRPr="00140FFB" w:rsidRDefault="000E5D20" w:rsidP="000E5D20">
      <w:pPr>
        <w:pStyle w:val="Sinespaciado"/>
        <w:spacing w:after="120"/>
        <w:ind w:left="709" w:right="709"/>
        <w:jc w:val="both"/>
        <w:rPr>
          <w:rFonts w:ascii="Arial" w:hAnsi="Arial" w:cs="Arial"/>
          <w:bCs/>
          <w:sz w:val="21"/>
          <w:szCs w:val="21"/>
          <w:lang w:val="es-ES"/>
        </w:rPr>
      </w:pPr>
      <w:r w:rsidRPr="00140FFB">
        <w:rPr>
          <w:rFonts w:ascii="Arial" w:hAnsi="Arial" w:cs="Arial"/>
          <w:bCs/>
          <w:sz w:val="21"/>
          <w:szCs w:val="21"/>
          <w:lang w:val="es-ES"/>
        </w:rPr>
        <w:t>7o. La conveniencia o inconveniencia del objeto a contratar y las autorizaciones y aprobaciones para ello, se analizarán o impartirán con antelación al inicio del proceso de selección del contratista o al de la firma del contrato, según el caso.</w:t>
      </w:r>
    </w:p>
    <w:p w14:paraId="374BEB21" w14:textId="77777777" w:rsidR="000E5D20" w:rsidRPr="00140FFB" w:rsidRDefault="000E5D20" w:rsidP="000E5D20">
      <w:pPr>
        <w:pStyle w:val="Sinespaciado"/>
        <w:spacing w:after="120"/>
        <w:ind w:left="709" w:right="709"/>
        <w:jc w:val="both"/>
        <w:rPr>
          <w:rFonts w:ascii="Arial" w:hAnsi="Arial" w:cs="Arial"/>
          <w:bCs/>
          <w:sz w:val="21"/>
          <w:szCs w:val="21"/>
          <w:lang w:val="es-ES"/>
        </w:rPr>
      </w:pPr>
      <w:r w:rsidRPr="00140FFB">
        <w:rPr>
          <w:rFonts w:ascii="Arial" w:hAnsi="Arial" w:cs="Arial"/>
          <w:bCs/>
          <w:sz w:val="21"/>
          <w:szCs w:val="21"/>
          <w:lang w:val="es-ES"/>
        </w:rPr>
        <w:t>[…]</w:t>
      </w:r>
    </w:p>
    <w:p w14:paraId="76881638" w14:textId="77777777" w:rsidR="000E5D20" w:rsidRPr="00140FFB" w:rsidRDefault="000E5D20" w:rsidP="000E5D20">
      <w:pPr>
        <w:pStyle w:val="Sinespaciado"/>
        <w:spacing w:after="120"/>
        <w:ind w:left="709" w:right="709"/>
        <w:jc w:val="both"/>
        <w:rPr>
          <w:rFonts w:ascii="Arial" w:hAnsi="Arial" w:cs="Arial"/>
          <w:bCs/>
          <w:sz w:val="21"/>
          <w:szCs w:val="21"/>
          <w:lang w:val="es-ES"/>
        </w:rPr>
      </w:pPr>
      <w:r w:rsidRPr="00140FFB">
        <w:rPr>
          <w:rFonts w:ascii="Arial" w:hAnsi="Arial" w:cs="Arial"/>
          <w:bCs/>
          <w:sz w:val="21"/>
          <w:szCs w:val="21"/>
          <w:lang w:val="es-ES"/>
        </w:rPr>
        <w:t>12. Previo a la apertura de un proceso de selección, o a la firma del contrato en el caso en que la modalidad de selección sea contratación directa, deberán elaborarse los estudios, diseños y proyectos requeridos, y los pliegos de condiciones, según corresponda. (Cursivas propias)</w:t>
      </w:r>
    </w:p>
    <w:p w14:paraId="5DC95C40" w14:textId="77777777" w:rsidR="000E5D20" w:rsidRPr="00140FFB" w:rsidRDefault="000E5D20" w:rsidP="000E5D20">
      <w:pPr>
        <w:spacing w:after="120" w:line="276" w:lineRule="auto"/>
        <w:ind w:firstLine="709"/>
        <w:jc w:val="both"/>
        <w:rPr>
          <w:rFonts w:ascii="Arial" w:eastAsia="Arial" w:hAnsi="Arial" w:cs="Arial"/>
        </w:rPr>
      </w:pPr>
      <w:r w:rsidRPr="00140FFB">
        <w:rPr>
          <w:rFonts w:ascii="Arial" w:eastAsia="Arial" w:hAnsi="Arial" w:cs="Arial"/>
        </w:rPr>
        <w:t xml:space="preserve">De las normas citadas se resalta que, en virtud del principio de economía, para iniciar un proceso de contratación, </w:t>
      </w:r>
      <w:r w:rsidRPr="00140FFB">
        <w:rPr>
          <w:rFonts w:ascii="Arial" w:eastAsia="Arial" w:hAnsi="Arial" w:cs="Arial"/>
          <w:i/>
        </w:rPr>
        <w:t>inclusive de contratación directa</w:t>
      </w:r>
      <w:r w:rsidRPr="00140FFB">
        <w:rPr>
          <w:rFonts w:ascii="Arial" w:eastAsia="Arial" w:hAnsi="Arial" w:cs="Arial"/>
        </w:rPr>
        <w:t xml:space="preserve">, se requieren unos estudios previos. Con ellos, se estructuran, concretan y viabilizan los aspectos esenciales del futuro contrato, dentro de los cuales se encuentran su objeto y valor estimado, entre otros elementos. </w:t>
      </w:r>
    </w:p>
    <w:p w14:paraId="10E4F179" w14:textId="77777777" w:rsidR="000E5D20" w:rsidRPr="00140FFB" w:rsidRDefault="000E5D20" w:rsidP="000E5D20">
      <w:pPr>
        <w:spacing w:after="120" w:line="276" w:lineRule="auto"/>
        <w:ind w:firstLine="708"/>
        <w:jc w:val="both"/>
        <w:rPr>
          <w:rFonts w:ascii="Arial" w:eastAsia="Arial" w:hAnsi="Arial" w:cs="Arial"/>
        </w:rPr>
      </w:pPr>
      <w:r w:rsidRPr="00140FFB">
        <w:rPr>
          <w:rFonts w:ascii="Arial" w:eastAsia="Arial" w:hAnsi="Arial" w:cs="Arial"/>
        </w:rPr>
        <w:t>Los componentes de los estudios previos que sirven de soporte para elaborar el proyecto de pliego, los pliegos de condiciones y el contrato, están previstos en el artículo 2.2.1.1.2.1.1 del Decreto 1082 de 2015. La norma exige que se determine la necesidad, el objeto a contratar con sus especificaciones, se estime el costo que implica la celebración del contrato y se justifique la modalidad de selección del contratista, incluyendo sus fundamentos jurídicos, de la siguiente manera:</w:t>
      </w:r>
    </w:p>
    <w:p w14:paraId="3A1069DA" w14:textId="77777777" w:rsidR="000E5D20" w:rsidRPr="00140FFB" w:rsidRDefault="000E5D20" w:rsidP="000E5D20">
      <w:pPr>
        <w:pStyle w:val="Sinespaciado"/>
        <w:spacing w:after="120"/>
        <w:ind w:left="709" w:right="709"/>
        <w:jc w:val="both"/>
        <w:rPr>
          <w:rFonts w:ascii="Arial" w:hAnsi="Arial" w:cs="Arial"/>
          <w:sz w:val="21"/>
          <w:szCs w:val="21"/>
        </w:rPr>
      </w:pPr>
      <w:r w:rsidRPr="00140FFB">
        <w:rPr>
          <w:rFonts w:ascii="Arial" w:hAnsi="Arial" w:cs="Arial"/>
          <w:sz w:val="21"/>
          <w:szCs w:val="21"/>
        </w:rPr>
        <w:t xml:space="preserve">1. La descripción de la necesidad que la Entidad Estatal pretende satisfacer con el Proceso de Contratación. </w:t>
      </w:r>
    </w:p>
    <w:p w14:paraId="22B9A132" w14:textId="77777777" w:rsidR="000E5D20" w:rsidRPr="00140FFB" w:rsidRDefault="000E5D20" w:rsidP="000E5D20">
      <w:pPr>
        <w:pStyle w:val="Sinespaciado"/>
        <w:spacing w:after="120"/>
        <w:ind w:left="709" w:right="709"/>
        <w:jc w:val="both"/>
        <w:rPr>
          <w:rFonts w:ascii="Arial" w:hAnsi="Arial" w:cs="Arial"/>
          <w:sz w:val="21"/>
          <w:szCs w:val="21"/>
        </w:rPr>
      </w:pPr>
      <w:r w:rsidRPr="00140FFB">
        <w:rPr>
          <w:rFonts w:ascii="Arial" w:hAnsi="Arial" w:cs="Arial"/>
          <w:sz w:val="21"/>
          <w:szCs w:val="21"/>
        </w:rPr>
        <w:lastRenderedPageBreak/>
        <w:t>2. El objeto a contratar, con sus especificaciones, las autorizaciones, permisos y licencias requeridos para su ejecución, y cuando el contrato incluye diseño y construcción, los documentos técnicos para el desarrollo del proyecto.</w:t>
      </w:r>
    </w:p>
    <w:p w14:paraId="4669BC34" w14:textId="77777777" w:rsidR="000E5D20" w:rsidRPr="00140FFB" w:rsidRDefault="000E5D20" w:rsidP="000E5D20">
      <w:pPr>
        <w:pStyle w:val="Sinespaciado"/>
        <w:spacing w:after="120"/>
        <w:ind w:left="709" w:right="709"/>
        <w:jc w:val="both"/>
        <w:rPr>
          <w:rFonts w:ascii="Arial" w:hAnsi="Arial" w:cs="Arial"/>
          <w:sz w:val="21"/>
          <w:szCs w:val="21"/>
        </w:rPr>
      </w:pPr>
      <w:r w:rsidRPr="00140FFB">
        <w:rPr>
          <w:rFonts w:ascii="Arial" w:hAnsi="Arial" w:cs="Arial"/>
          <w:sz w:val="21"/>
          <w:szCs w:val="21"/>
        </w:rPr>
        <w:t xml:space="preserve">3. La modalidad de selección del contratista y su justificación, incluyendo los fundamentos jurídicos. </w:t>
      </w:r>
    </w:p>
    <w:p w14:paraId="6165E3D7" w14:textId="77777777" w:rsidR="000E5D20" w:rsidRPr="00140FFB" w:rsidRDefault="000E5D20" w:rsidP="000E5D20">
      <w:pPr>
        <w:pStyle w:val="Sinespaciado"/>
        <w:spacing w:after="120"/>
        <w:ind w:left="709" w:right="709"/>
        <w:jc w:val="both"/>
        <w:rPr>
          <w:rFonts w:ascii="Arial" w:hAnsi="Arial" w:cs="Arial"/>
          <w:sz w:val="21"/>
          <w:szCs w:val="21"/>
        </w:rPr>
      </w:pPr>
      <w:r w:rsidRPr="00140FFB">
        <w:rPr>
          <w:rFonts w:ascii="Arial" w:hAnsi="Arial" w:cs="Arial"/>
          <w:sz w:val="21"/>
          <w:szCs w:val="21"/>
        </w:rPr>
        <w:t>4. El valor estimado del contrato y la justificación del mismo. Cuando el valor del contrato esté determinado por precios unitarios, la Entidad Estatal debe incluir la forma como los calculó y soportar sus cálculos presupuestales en la estimación de aquellos. Si el contrato es de concesión, la Entidad Estatal no debe publicar el modelo financiero utilizado en su estructuración. (subraya añadida)</w:t>
      </w:r>
    </w:p>
    <w:p w14:paraId="1CE29DDA" w14:textId="72CD7FB8" w:rsidR="000E5D20" w:rsidRPr="00140FFB" w:rsidRDefault="000E5D20" w:rsidP="000E5D20">
      <w:pPr>
        <w:spacing w:after="120" w:line="276" w:lineRule="auto"/>
        <w:ind w:firstLine="709"/>
        <w:jc w:val="both"/>
        <w:rPr>
          <w:rFonts w:ascii="Arial" w:hAnsi="Arial" w:cs="Arial"/>
        </w:rPr>
      </w:pPr>
      <w:bookmarkStart w:id="11" w:name="_Hlk101520615"/>
      <w:r w:rsidRPr="00140FFB">
        <w:rPr>
          <w:rFonts w:ascii="Arial" w:eastAsia="Arial" w:hAnsi="Arial" w:cs="Arial"/>
        </w:rPr>
        <w:t xml:space="preserve">De lo anterior se desprende que </w:t>
      </w:r>
      <w:bookmarkStart w:id="12" w:name="_Hlk102550190"/>
      <w:r w:rsidRPr="00140FFB">
        <w:rPr>
          <w:rFonts w:ascii="Arial" w:eastAsia="Arial" w:hAnsi="Arial" w:cs="Arial"/>
        </w:rPr>
        <w:t xml:space="preserve">una de las exigencias normativas, que al mismo tiempo se erige como contenido propio del deber de planeación en la contratación estatal, consiste en justificar debidamente la modalidad escogida para la selección del contratista. Lo anterior, dado que cada una de dichas modalidades, por un lado, cuenta con causales específicas y de aplicación restrictiva, como resulta suceder, por ejemplo, con la contratación directa, y, además, por cuanto ha sido intención del legislador lograr que con el diseño de cada una de dichas modalidades de selección se atienda de manera adecuada e idónea a la necesidad de la entidad contratante, a la naturaleza del objeto a contratar y a las circunstancias propias de la contratación. Por ende, la escogencia correcta del procedimiento de selección es un aspecto que no </w:t>
      </w:r>
      <w:r w:rsidR="00E118DE">
        <w:rPr>
          <w:rFonts w:ascii="Arial" w:eastAsia="Arial" w:hAnsi="Arial" w:cs="Arial"/>
        </w:rPr>
        <w:t>es</w:t>
      </w:r>
      <w:r w:rsidRPr="00140FFB">
        <w:rPr>
          <w:rFonts w:ascii="Arial" w:eastAsia="Arial" w:hAnsi="Arial" w:cs="Arial"/>
        </w:rPr>
        <w:t xml:space="preserve"> meramente formal; sino que, por el contrario, atiende y pretende la mejor y óptima aplicación de los principios que guían la función administrativa.  </w:t>
      </w:r>
    </w:p>
    <w:bookmarkEnd w:id="11"/>
    <w:p w14:paraId="3CCE7981" w14:textId="77777777" w:rsidR="000E5D20" w:rsidRPr="00140FFB" w:rsidRDefault="000E5D20" w:rsidP="000E5D20">
      <w:pPr>
        <w:spacing w:after="120" w:line="276" w:lineRule="auto"/>
        <w:ind w:firstLine="709"/>
        <w:jc w:val="both"/>
        <w:rPr>
          <w:rFonts w:ascii="Arial" w:hAnsi="Arial" w:cs="Arial"/>
        </w:rPr>
      </w:pPr>
      <w:r w:rsidRPr="00140FFB">
        <w:rPr>
          <w:rFonts w:ascii="Arial" w:eastAsia="Arial" w:hAnsi="Arial" w:cs="Arial"/>
        </w:rPr>
        <w:t xml:space="preserve">Por esta razón, el parágrafo 1 del artículo 2 de la Ley 1150 de 2007 claramente determina el deber de la entidad pública de justificar la escogencia de esta o aquella modalidad de selección, en los siguientes términos: </w:t>
      </w:r>
      <w:r w:rsidRPr="00140FFB">
        <w:rPr>
          <w:rFonts w:ascii="Arial" w:eastAsia="Arial" w:hAnsi="Arial" w:cs="Arial"/>
          <w:color w:val="000000"/>
        </w:rPr>
        <w:t xml:space="preserve">“La entidad deberá justificar de manera previa a la apertura del proceso de selección de que se trate, los fundamentos jurídicos que soportan la modalidad de selección que se propone adelantar”. De tal manera, el contenido de los pliegos de condiciones establecido en el precitado artículo </w:t>
      </w:r>
      <w:r w:rsidRPr="00140FFB">
        <w:rPr>
          <w:rFonts w:ascii="Arial" w:eastAsia="Arial" w:hAnsi="Arial" w:cs="Arial"/>
        </w:rPr>
        <w:t>2.2.1.1.2.1.1 del Decreto 1082 de 2015, no resulta ser más que una reiteración del deber de las entidades estatales dado por la Ley 1150 de 2007 y derivado, entre otros, del deber de planeación.</w:t>
      </w:r>
    </w:p>
    <w:bookmarkEnd w:id="12"/>
    <w:p w14:paraId="58182460" w14:textId="50A9B944" w:rsidR="000E5D20" w:rsidRPr="00140FFB" w:rsidRDefault="000E5D20" w:rsidP="000E5D20">
      <w:pPr>
        <w:spacing w:after="120" w:line="276" w:lineRule="auto"/>
        <w:ind w:firstLine="709"/>
        <w:jc w:val="both"/>
        <w:rPr>
          <w:rFonts w:ascii="Arial" w:eastAsia="Arial" w:hAnsi="Arial" w:cs="Arial"/>
        </w:rPr>
      </w:pPr>
      <w:r w:rsidRPr="00140FFB">
        <w:rPr>
          <w:rFonts w:ascii="Arial" w:eastAsia="Arial" w:hAnsi="Arial" w:cs="Arial"/>
        </w:rPr>
        <w:t>Si bien dicha disposición de la Ley 1150 resultaría suficiente para comprender que en todas las modalidades de selección la entidad debe justificar la escogencia de una u otra, el reglamento estableció, al tratarse de la contratación directa, el deber de emitir, por regla general, un acto administrativo de justificación de dicha modalidad, con un contenido especial. Así, en su artículo 2.2.1.2.1.4.1.</w:t>
      </w:r>
      <w:r w:rsidR="00E118DE">
        <w:rPr>
          <w:rFonts w:ascii="Arial" w:eastAsia="Arial" w:hAnsi="Arial" w:cs="Arial"/>
        </w:rPr>
        <w:t>,</w:t>
      </w:r>
      <w:r w:rsidRPr="00140FFB">
        <w:rPr>
          <w:rFonts w:ascii="Arial" w:eastAsia="Arial" w:hAnsi="Arial" w:cs="Arial"/>
        </w:rPr>
        <w:t xml:space="preserve"> el Decreto 1082 de 2015 establece que “La Entidad Estatal debe señalar en un acto administrativo la justificación para contratar bajo la modalidad de contratación directa”, el cual deberá contener:</w:t>
      </w:r>
    </w:p>
    <w:p w14:paraId="313860E6" w14:textId="77777777" w:rsidR="000E5D20" w:rsidRPr="00140FFB" w:rsidRDefault="000E5D20" w:rsidP="000E5D20">
      <w:pPr>
        <w:spacing w:after="120"/>
        <w:ind w:left="709" w:right="709"/>
        <w:jc w:val="both"/>
        <w:rPr>
          <w:rFonts w:ascii="Arial" w:eastAsia="Arial" w:hAnsi="Arial" w:cs="Arial"/>
          <w:color w:val="000000"/>
          <w:sz w:val="21"/>
          <w:szCs w:val="21"/>
        </w:rPr>
      </w:pPr>
      <w:r w:rsidRPr="00140FFB">
        <w:rPr>
          <w:rFonts w:ascii="Arial" w:eastAsia="Arial" w:hAnsi="Arial" w:cs="Arial"/>
          <w:color w:val="000000"/>
          <w:sz w:val="21"/>
          <w:szCs w:val="21"/>
        </w:rPr>
        <w:t>1. La causal que invoca para contratar directamente.</w:t>
      </w:r>
    </w:p>
    <w:p w14:paraId="5AEA3237" w14:textId="77777777" w:rsidR="000E5D20" w:rsidRPr="00140FFB" w:rsidRDefault="000E5D20" w:rsidP="000E5D20">
      <w:pPr>
        <w:spacing w:after="120"/>
        <w:ind w:left="709" w:right="709"/>
        <w:jc w:val="both"/>
        <w:rPr>
          <w:rFonts w:ascii="Arial" w:eastAsia="Arial" w:hAnsi="Arial" w:cs="Arial"/>
          <w:color w:val="000000"/>
          <w:sz w:val="21"/>
          <w:szCs w:val="21"/>
        </w:rPr>
      </w:pPr>
      <w:r w:rsidRPr="00140FFB">
        <w:rPr>
          <w:rFonts w:ascii="Arial" w:eastAsia="Arial" w:hAnsi="Arial" w:cs="Arial"/>
          <w:color w:val="000000"/>
          <w:sz w:val="21"/>
          <w:szCs w:val="21"/>
        </w:rPr>
        <w:lastRenderedPageBreak/>
        <w:t>2. El objeto del contrato.</w:t>
      </w:r>
    </w:p>
    <w:p w14:paraId="65955FF0" w14:textId="77777777" w:rsidR="000E5D20" w:rsidRPr="00140FFB" w:rsidRDefault="000E5D20" w:rsidP="000E5D20">
      <w:pPr>
        <w:spacing w:after="120"/>
        <w:ind w:left="709" w:right="709"/>
        <w:jc w:val="both"/>
        <w:rPr>
          <w:rFonts w:ascii="Arial" w:eastAsia="Arial" w:hAnsi="Arial" w:cs="Arial"/>
          <w:color w:val="000000"/>
          <w:sz w:val="21"/>
          <w:szCs w:val="21"/>
        </w:rPr>
      </w:pPr>
      <w:r w:rsidRPr="00140FFB">
        <w:rPr>
          <w:rFonts w:ascii="Arial" w:eastAsia="Arial" w:hAnsi="Arial" w:cs="Arial"/>
          <w:color w:val="000000"/>
          <w:sz w:val="21"/>
          <w:szCs w:val="21"/>
        </w:rPr>
        <w:t>3. El presupuesto para la contratación y las condiciones que exigirá al contratista.</w:t>
      </w:r>
    </w:p>
    <w:p w14:paraId="2E8E72F9" w14:textId="77777777" w:rsidR="000E5D20" w:rsidRPr="00140FFB" w:rsidRDefault="000E5D20" w:rsidP="000E5D20">
      <w:pPr>
        <w:spacing w:after="120"/>
        <w:ind w:left="709" w:right="709"/>
        <w:jc w:val="both"/>
        <w:rPr>
          <w:rFonts w:ascii="Arial" w:eastAsia="Arial" w:hAnsi="Arial" w:cs="Arial"/>
          <w:color w:val="000000"/>
          <w:sz w:val="21"/>
          <w:szCs w:val="21"/>
        </w:rPr>
      </w:pPr>
      <w:r w:rsidRPr="00140FFB">
        <w:rPr>
          <w:rFonts w:ascii="Arial" w:eastAsia="Arial" w:hAnsi="Arial" w:cs="Arial"/>
          <w:color w:val="000000"/>
          <w:sz w:val="21"/>
          <w:szCs w:val="21"/>
        </w:rPr>
        <w:t>4. El lugar en el cual los interesados pueden consultar los estudios y documentos previos.</w:t>
      </w:r>
    </w:p>
    <w:p w14:paraId="29DD8CCE" w14:textId="77777777" w:rsidR="000E5D20" w:rsidRPr="00140FFB" w:rsidRDefault="000E5D20" w:rsidP="000E5D20">
      <w:pPr>
        <w:spacing w:after="120" w:line="276" w:lineRule="auto"/>
        <w:ind w:firstLine="720"/>
        <w:jc w:val="both"/>
        <w:rPr>
          <w:rFonts w:ascii="Arial" w:hAnsi="Arial" w:cs="Arial"/>
        </w:rPr>
      </w:pPr>
      <w:r w:rsidRPr="00140FFB">
        <w:rPr>
          <w:rFonts w:ascii="Arial" w:eastAsia="Arial" w:hAnsi="Arial" w:cs="Arial"/>
        </w:rPr>
        <w:t>A su turno, el inciso segundo del mismo artículo exceptúa la emisión de dicho acto administrativo para los casos en que “el contrato a celebrar es de prestación de servicios profesionales y de apoyo a la gestión, y para los contratos de que tratan los literales (a) y (b) del artículo 2.2.1.2.1.4.3</w:t>
      </w:r>
      <w:r w:rsidRPr="00140FFB">
        <w:rPr>
          <w:rFonts w:ascii="Arial" w:eastAsia="Arial" w:hAnsi="Arial" w:cs="Arial"/>
          <w:b/>
        </w:rPr>
        <w:t> </w:t>
      </w:r>
      <w:r w:rsidRPr="00140FFB">
        <w:rPr>
          <w:rFonts w:ascii="Arial" w:eastAsia="Arial" w:hAnsi="Arial" w:cs="Arial"/>
        </w:rPr>
        <w:t>del presente decreto”, referidos, estos últimos, a la contratación de empréstitos y a la celebración de contratos interadministrativos por parte del Ministerio de Hacienda y Crédito Público y el Banco de la República</w:t>
      </w:r>
      <w:r w:rsidRPr="00140FFB">
        <w:rPr>
          <w:rStyle w:val="Refdenotaalpie"/>
          <w:rFonts w:ascii="Arial" w:eastAsia="Arial" w:hAnsi="Arial" w:cs="Arial"/>
        </w:rPr>
        <w:footnoteReference w:id="13"/>
      </w:r>
      <w:r w:rsidRPr="00140FFB">
        <w:rPr>
          <w:rFonts w:ascii="Arial" w:eastAsia="Arial" w:hAnsi="Arial" w:cs="Arial"/>
        </w:rPr>
        <w:t xml:space="preserve">. </w:t>
      </w:r>
    </w:p>
    <w:p w14:paraId="336F8637" w14:textId="20F3CD5C" w:rsidR="000E5D20" w:rsidRPr="00140FFB" w:rsidRDefault="000E5D20" w:rsidP="000E5D20">
      <w:pPr>
        <w:spacing w:after="120" w:line="276" w:lineRule="auto"/>
        <w:ind w:firstLine="720"/>
        <w:jc w:val="both"/>
        <w:rPr>
          <w:rFonts w:ascii="Arial" w:hAnsi="Arial" w:cs="Arial"/>
        </w:rPr>
      </w:pPr>
      <w:r w:rsidRPr="00140FFB">
        <w:rPr>
          <w:rFonts w:ascii="Arial" w:eastAsia="Arial" w:hAnsi="Arial" w:cs="Arial"/>
        </w:rPr>
        <w:t>Sin embargo, debe aclararse, tal y como lo ha dicho el Consejo de Estado</w:t>
      </w:r>
      <w:r w:rsidRPr="00140FFB">
        <w:rPr>
          <w:rFonts w:ascii="Arial" w:eastAsia="Arial" w:hAnsi="Arial" w:cs="Arial"/>
          <w:vertAlign w:val="superscript"/>
        </w:rPr>
        <w:footnoteReference w:id="14"/>
      </w:r>
      <w:r w:rsidRPr="00140FFB">
        <w:rPr>
          <w:rFonts w:ascii="Arial" w:eastAsia="Arial" w:hAnsi="Arial" w:cs="Arial"/>
        </w:rPr>
        <w:t>, que la no exigencia</w:t>
      </w:r>
      <w:r w:rsidR="00E118DE">
        <w:rPr>
          <w:rFonts w:ascii="Arial" w:eastAsia="Arial" w:hAnsi="Arial" w:cs="Arial"/>
        </w:rPr>
        <w:t xml:space="preserve"> para los contratos de prestación de servicios,</w:t>
      </w:r>
      <w:r w:rsidRPr="00140FFB">
        <w:rPr>
          <w:rFonts w:ascii="Arial" w:eastAsia="Arial" w:hAnsi="Arial" w:cs="Arial"/>
        </w:rPr>
        <w:t xml:space="preserve"> en cuanto a la emisión del acto administrativo de justificación de la contratación directa no exime a la respectiva entidad para que, dentro de sus estudios previos, realice el análisis suficiente y necesario para justificar la modalidad de selección escogida. Lo anterior, en aplicación de lo dispuesto por el artículo 2 de la Ley 1150 de 2007, así como de los numerales 7 y 12 del artículo 25 de la Ley 80 de 1993</w:t>
      </w:r>
      <w:r w:rsidRPr="00140FFB">
        <w:rPr>
          <w:rFonts w:ascii="Arial" w:eastAsia="Arial" w:hAnsi="Arial" w:cs="Arial"/>
          <w:vertAlign w:val="superscript"/>
        </w:rPr>
        <w:footnoteReference w:id="15"/>
      </w:r>
      <w:r w:rsidRPr="00140FFB">
        <w:rPr>
          <w:rFonts w:ascii="Arial" w:eastAsia="Arial" w:hAnsi="Arial" w:cs="Arial"/>
        </w:rPr>
        <w:t xml:space="preserve">, según se indicó arriba, por cuanto “las normas legales que integran el estatuto de contratación estatal, al regular el principio de transparencia que debe imperar en la actividad contractual, no establecen distinción alguna orientada a relevar a una o a varias entidades estatales, en ciertos eventos, del deber que les asiste justificar la </w:t>
      </w:r>
      <w:r w:rsidRPr="00140FFB">
        <w:rPr>
          <w:rFonts w:ascii="Arial" w:eastAsia="Arial" w:hAnsi="Arial" w:cs="Arial"/>
        </w:rPr>
        <w:lastRenderedPageBreak/>
        <w:t xml:space="preserve">modalidad de selección escogida </w:t>
      </w:r>
      <w:r w:rsidRPr="00140FFB">
        <w:rPr>
          <w:rFonts w:ascii="Arial" w:eastAsia="Arial" w:hAnsi="Arial" w:cs="Arial"/>
          <w:i/>
        </w:rPr>
        <w:t>previamente a su apertura y por contera a la celebración del contrato producto de la misma</w:t>
      </w:r>
      <w:r w:rsidRPr="00140FFB">
        <w:rPr>
          <w:rFonts w:ascii="Arial" w:eastAsia="Arial" w:hAnsi="Arial" w:cs="Arial"/>
        </w:rPr>
        <w:t xml:space="preserve"> […]”</w:t>
      </w:r>
      <w:r w:rsidRPr="00140FFB">
        <w:rPr>
          <w:rFonts w:ascii="Arial" w:eastAsia="Arial" w:hAnsi="Arial" w:cs="Arial"/>
          <w:vertAlign w:val="superscript"/>
        </w:rPr>
        <w:footnoteReference w:id="16"/>
      </w:r>
      <w:r w:rsidRPr="00140FFB">
        <w:rPr>
          <w:rFonts w:ascii="Arial" w:eastAsia="Arial" w:hAnsi="Arial" w:cs="Arial"/>
        </w:rPr>
        <w:t xml:space="preserve"> (cursiva añadida). </w:t>
      </w:r>
    </w:p>
    <w:p w14:paraId="587CBB7A" w14:textId="77777777" w:rsidR="000E5D20" w:rsidRPr="00140FFB" w:rsidRDefault="000E5D20" w:rsidP="000E5D20">
      <w:pPr>
        <w:spacing w:after="120" w:line="276" w:lineRule="auto"/>
        <w:ind w:firstLine="720"/>
        <w:jc w:val="both"/>
        <w:rPr>
          <w:rFonts w:ascii="Arial" w:hAnsi="Arial" w:cs="Arial"/>
        </w:rPr>
      </w:pPr>
      <w:r w:rsidRPr="00140FFB">
        <w:rPr>
          <w:rFonts w:ascii="Arial" w:eastAsia="Arial" w:hAnsi="Arial" w:cs="Arial"/>
        </w:rPr>
        <w:t>De lo anterior se destaca, por un lado, que el deber de justificar suficientemente la modalidad de selección escogida es de raigambre legal, más allá de la precisión que sobre la contratación directa haga el reglamento y, por otro, que dicha justificación, lógica y necesariamente, debe anteceder a la celebración misma del contrato respectivo.</w:t>
      </w:r>
    </w:p>
    <w:p w14:paraId="44312CCF" w14:textId="77777777" w:rsidR="000E5D20" w:rsidRPr="00140FFB" w:rsidRDefault="000E5D20" w:rsidP="000E5D20">
      <w:pPr>
        <w:spacing w:after="120" w:line="276" w:lineRule="auto"/>
        <w:ind w:firstLine="720"/>
        <w:jc w:val="both"/>
        <w:rPr>
          <w:rFonts w:ascii="Arial" w:eastAsia="Arial" w:hAnsi="Arial" w:cs="Arial"/>
        </w:rPr>
      </w:pPr>
      <w:r w:rsidRPr="00140FFB">
        <w:rPr>
          <w:rFonts w:ascii="Arial" w:eastAsia="Arial" w:hAnsi="Arial" w:cs="Arial"/>
        </w:rPr>
        <w:t xml:space="preserve">Para esta Agencia, la existencia de una norma reglamentaria especial que implique la obligación, en cabeza de la entidad contratante, de emitir un acto administrativo particular a través del cual justifique la escogencia de la contratación directa, además de acompasarse con los principios de transparencia, publicidad y selección objetiva que, como se dijo, deben aplicarse en dicho procedimiento de selección, resulta coherente con el carácter excepcional y taxativo de las causales para contratar directamente. Lo que se pretende con la exigencia de ese acto administrativo, dicho en otras palabras, es que la entidad certifique y/o verifique la causal aplicable y, por ende, la procedencia de la contratación directa, como procedimiento de selección que, por sus especiales características debilita la aplicación de ciertos principios fundamentales para la contratación del Estado, como es, por ejemplo, la libre concurrencia. </w:t>
      </w:r>
    </w:p>
    <w:p w14:paraId="2D90D3D9" w14:textId="77777777" w:rsidR="000E5D20" w:rsidRPr="00140FFB" w:rsidRDefault="000E5D20" w:rsidP="000E5D20">
      <w:pPr>
        <w:spacing w:after="120" w:line="276" w:lineRule="auto"/>
        <w:ind w:firstLine="720"/>
        <w:jc w:val="both"/>
        <w:rPr>
          <w:rFonts w:ascii="Arial" w:eastAsia="Arial" w:hAnsi="Arial" w:cs="Arial"/>
        </w:rPr>
      </w:pPr>
      <w:r w:rsidRPr="00140FFB">
        <w:rPr>
          <w:rFonts w:ascii="Arial" w:eastAsia="Arial" w:hAnsi="Arial" w:cs="Arial"/>
        </w:rPr>
        <w:t xml:space="preserve">Ahora bien, para dar una respuesta a la pregunta No. 4 de su petición, es importante poner de presente que el artículo 2.2.1.2.1.4.1. del Decreto 1082 de 2015 no expresa de manera textual la temporalidad en que debe ser expedido el acto administrativo de justificación de la contratación directa, sin embargo, esto no significa que el acto referido pueda expedirse en cualquier oportunidad, pues esta interpretación restaría efecto útil a la disposición referida. </w:t>
      </w:r>
    </w:p>
    <w:p w14:paraId="281BECB9" w14:textId="77777777" w:rsidR="000E5D20" w:rsidRPr="00140FFB" w:rsidRDefault="000E5D20" w:rsidP="000E5D20">
      <w:pPr>
        <w:spacing w:after="120" w:line="276" w:lineRule="auto"/>
        <w:ind w:firstLine="720"/>
        <w:jc w:val="both"/>
        <w:rPr>
          <w:rFonts w:ascii="Arial" w:eastAsia="Arial" w:hAnsi="Arial" w:cs="Arial"/>
        </w:rPr>
      </w:pPr>
      <w:r w:rsidRPr="00140FFB">
        <w:rPr>
          <w:rFonts w:ascii="Arial" w:eastAsia="Arial" w:hAnsi="Arial" w:cs="Arial"/>
        </w:rPr>
        <w:t xml:space="preserve">Para dar una solución al interrogante, es importante tener en cuenta que el artículo 87 del CPACA establece las reglas de firmeza de los actos administrativos en el señala que los actos quedan ejecutoriados, cuando contra ellos no proceda ningún recurso, al día siguiente al de su publicación. </w:t>
      </w:r>
    </w:p>
    <w:p w14:paraId="52553439" w14:textId="650DC38F" w:rsidR="000E5D20" w:rsidRPr="00140FFB" w:rsidRDefault="000E5D20" w:rsidP="000E5D20">
      <w:pPr>
        <w:spacing w:after="120" w:line="276" w:lineRule="auto"/>
        <w:ind w:firstLine="720"/>
        <w:jc w:val="both"/>
        <w:rPr>
          <w:rFonts w:ascii="Arial" w:eastAsia="Arial" w:hAnsi="Arial" w:cs="Arial"/>
          <w:lang w:val="es-MX"/>
        </w:rPr>
      </w:pPr>
      <w:r w:rsidRPr="00140FFB">
        <w:rPr>
          <w:rFonts w:ascii="Arial" w:eastAsia="Arial" w:hAnsi="Arial" w:cs="Arial"/>
        </w:rPr>
        <w:t>De modo que, l</w:t>
      </w:r>
      <w:r w:rsidRPr="00140FFB">
        <w:rPr>
          <w:rFonts w:ascii="Arial" w:eastAsia="Arial" w:hAnsi="Arial" w:cs="Arial"/>
          <w:lang w:val="es-MX"/>
        </w:rPr>
        <w:t>o anterior permite concluir a la Agencia que la justificación de la modalidad de selección correspondiente, así como la emisión del acto administrativo de justificación de la contratación directa cuando este proceda, en todo caso</w:t>
      </w:r>
      <w:r w:rsidR="009462A6">
        <w:rPr>
          <w:rFonts w:ascii="Arial" w:eastAsia="Arial" w:hAnsi="Arial" w:cs="Arial"/>
          <w:lang w:val="es-MX"/>
        </w:rPr>
        <w:t xml:space="preserve"> serán previos, si es del caso,</w:t>
      </w:r>
      <w:r w:rsidRPr="00140FFB">
        <w:rPr>
          <w:rFonts w:ascii="Arial" w:eastAsia="Arial" w:hAnsi="Arial" w:cs="Arial"/>
          <w:lang w:val="es-MX"/>
        </w:rPr>
        <w:t xml:space="preserve"> a la celebración del contrato mismo, como mínimo una vez se encuentre ejecutoriado el acto administrativo referido.</w:t>
      </w:r>
    </w:p>
    <w:p w14:paraId="29C13F55" w14:textId="77777777" w:rsidR="000E5D20" w:rsidRPr="00140FFB" w:rsidRDefault="000E5D20" w:rsidP="000E5D20">
      <w:pPr>
        <w:spacing w:after="120" w:line="276" w:lineRule="auto"/>
        <w:jc w:val="both"/>
        <w:rPr>
          <w:rFonts w:ascii="Arial" w:eastAsia="Arial" w:hAnsi="Arial" w:cs="Arial"/>
        </w:rPr>
      </w:pPr>
    </w:p>
    <w:p w14:paraId="7632B698" w14:textId="74763323" w:rsidR="00372708" w:rsidRPr="00140FFB" w:rsidRDefault="000E5D20" w:rsidP="000E5D20">
      <w:pPr>
        <w:spacing w:line="276" w:lineRule="auto"/>
        <w:jc w:val="both"/>
        <w:rPr>
          <w:rFonts w:ascii="Arial" w:eastAsia="Arial" w:hAnsi="Arial" w:cs="Arial"/>
          <w:b/>
        </w:rPr>
      </w:pPr>
      <w:r w:rsidRPr="00140FFB">
        <w:rPr>
          <w:rFonts w:ascii="Arial" w:eastAsia="Arial" w:hAnsi="Arial" w:cs="Arial"/>
          <w:b/>
        </w:rPr>
        <w:lastRenderedPageBreak/>
        <w:t>2.3. Vigencia, objeto y finalidad de la Ley 2069 de 2020: impacto sobre la contratación estatal</w:t>
      </w:r>
    </w:p>
    <w:p w14:paraId="31C4FE3F" w14:textId="77777777" w:rsidR="000E5D20" w:rsidRPr="00140FFB" w:rsidRDefault="000E5D20" w:rsidP="000E5D20">
      <w:pPr>
        <w:spacing w:after="120" w:line="276" w:lineRule="auto"/>
        <w:jc w:val="both"/>
        <w:rPr>
          <w:rFonts w:ascii="Arial" w:hAnsi="Arial" w:cs="Arial"/>
        </w:rPr>
      </w:pPr>
      <w:r w:rsidRPr="00140FFB">
        <w:rPr>
          <w:rFonts w:ascii="Arial" w:eastAsia="Arial" w:hAnsi="Arial" w:cs="Arial"/>
        </w:rPr>
        <w:t>El 31 de diciembre de 2020 se promulgó la Ley 2069, “Por medio de la cual se impulsa el emprendimiento en Colombia”. De acuerdo con el artículo 84 de esta Ley, su vigencia comenzó desde el momento en que fue promulgada, motivo por el cual es obligatoria para sus destinatarios desde esa fecha.</w:t>
      </w:r>
    </w:p>
    <w:p w14:paraId="6D5A7D8B" w14:textId="77777777" w:rsidR="000E5D20" w:rsidRPr="00140FFB" w:rsidRDefault="000E5D20" w:rsidP="000E5D20">
      <w:pPr>
        <w:tabs>
          <w:tab w:val="left" w:pos="426"/>
        </w:tabs>
        <w:spacing w:after="120" w:line="276" w:lineRule="auto"/>
        <w:ind w:firstLine="709"/>
        <w:jc w:val="both"/>
        <w:rPr>
          <w:rFonts w:ascii="Arial" w:hAnsi="Arial" w:cs="Arial"/>
        </w:rPr>
      </w:pPr>
      <w:r w:rsidRPr="00140FFB">
        <w:rPr>
          <w:rFonts w:ascii="Arial" w:eastAsia="Arial" w:hAnsi="Arial" w:cs="Arial"/>
        </w:rPr>
        <w:t xml:space="preserve">Conforme con lo previsto en su artículo 1, esta norma se expidió con el fin de “establecer un marco regulatorio que propicie el emprendimiento y el crecimiento, consolidación y sostenibilidad de las empresas, con el fin de aumentar el bienestar social y generar equidad”, para lo cual se deberá tener en cuenta “[…] un enfoque regionalizado de acuerdo con las realidades socioeconómicas de cada región”. </w:t>
      </w:r>
    </w:p>
    <w:p w14:paraId="438F225A" w14:textId="77777777" w:rsidR="000E5D20" w:rsidRPr="00140FFB" w:rsidRDefault="000E5D20" w:rsidP="000E5D20">
      <w:pPr>
        <w:tabs>
          <w:tab w:val="left" w:pos="426"/>
        </w:tabs>
        <w:spacing w:after="120" w:line="276" w:lineRule="auto"/>
        <w:ind w:firstLine="709"/>
        <w:jc w:val="both"/>
        <w:rPr>
          <w:rFonts w:ascii="Arial" w:hAnsi="Arial" w:cs="Arial"/>
        </w:rPr>
      </w:pPr>
      <w:r w:rsidRPr="00140FFB">
        <w:rPr>
          <w:rFonts w:ascii="Arial" w:eastAsia="Arial" w:hAnsi="Arial" w:cs="Arial"/>
        </w:rPr>
        <w:t>En ese contexto, la Ley 2069 del 2020 consagra medidas de apoyo para las micro, pequeñas y medianas empresas –</w:t>
      </w:r>
      <w:proofErr w:type="spellStart"/>
      <w:r w:rsidRPr="00140FFB">
        <w:rPr>
          <w:rFonts w:ascii="Arial" w:eastAsia="Arial" w:hAnsi="Arial" w:cs="Arial"/>
        </w:rPr>
        <w:t>Mipymes</w:t>
      </w:r>
      <w:proofErr w:type="spellEnd"/>
      <w:r w:rsidRPr="00140FFB">
        <w:rPr>
          <w:rFonts w:ascii="Arial" w:eastAsia="Arial" w:hAnsi="Arial" w:cs="Arial"/>
        </w:rPr>
        <w:t>–, mediante la racionalización y simplificación de los trámites y tarifas</w:t>
      </w:r>
      <w:r w:rsidRPr="00140FFB">
        <w:rPr>
          <w:rFonts w:ascii="Arial" w:eastAsia="Arial" w:hAnsi="Arial" w:cs="Arial"/>
          <w:vertAlign w:val="superscript"/>
        </w:rPr>
        <w:footnoteReference w:id="17"/>
      </w:r>
      <w:r w:rsidRPr="00140FFB">
        <w:rPr>
          <w:rFonts w:ascii="Arial" w:eastAsia="Arial" w:hAnsi="Arial" w:cs="Arial"/>
        </w:rPr>
        <w:t>, así como incentivos a favor de aquellas dentro del sistema de compras y contratación pública</w:t>
      </w:r>
      <w:r w:rsidRPr="00140FFB">
        <w:rPr>
          <w:rFonts w:ascii="Arial" w:eastAsia="Arial" w:hAnsi="Arial" w:cs="Arial"/>
          <w:vertAlign w:val="superscript"/>
        </w:rPr>
        <w:footnoteReference w:id="18"/>
      </w:r>
      <w:r w:rsidRPr="00140FFB">
        <w:rPr>
          <w:rFonts w:ascii="Arial" w:eastAsia="Arial" w:hAnsi="Arial" w:cs="Arial"/>
        </w:rPr>
        <w:t>. También se consagran mecanismos de acceso al financiamiento</w:t>
      </w:r>
      <w:r w:rsidRPr="00140FFB">
        <w:rPr>
          <w:rFonts w:ascii="Arial" w:eastAsia="Arial" w:hAnsi="Arial" w:cs="Arial"/>
          <w:vertAlign w:val="superscript"/>
        </w:rPr>
        <w:footnoteReference w:id="19"/>
      </w:r>
      <w:r w:rsidRPr="00140FFB">
        <w:rPr>
          <w:rFonts w:ascii="Arial" w:eastAsia="Arial" w:hAnsi="Arial" w:cs="Arial"/>
        </w:rPr>
        <w:t>, se unifican las fuentes de emprendimiento y de desarrollo empresarial, para fortalecer y promover los distintos sectores de la economía</w:t>
      </w:r>
      <w:r w:rsidRPr="00140FFB">
        <w:rPr>
          <w:rFonts w:ascii="Arial" w:eastAsia="Arial" w:hAnsi="Arial" w:cs="Arial"/>
          <w:vertAlign w:val="superscript"/>
        </w:rPr>
        <w:footnoteReference w:id="20"/>
      </w:r>
      <w:r w:rsidRPr="00140FFB">
        <w:rPr>
          <w:rFonts w:ascii="Arial" w:eastAsia="Arial" w:hAnsi="Arial" w:cs="Arial"/>
        </w:rPr>
        <w:t xml:space="preserve"> y se prevén medidas de educación para el emprendimiento y la innovación</w:t>
      </w:r>
      <w:r w:rsidRPr="00140FFB">
        <w:rPr>
          <w:rFonts w:ascii="Arial" w:eastAsia="Arial" w:hAnsi="Arial" w:cs="Arial"/>
          <w:vertAlign w:val="superscript"/>
        </w:rPr>
        <w:footnoteReference w:id="21"/>
      </w:r>
      <w:r w:rsidRPr="00140FFB">
        <w:rPr>
          <w:rFonts w:ascii="Arial" w:eastAsia="Arial" w:hAnsi="Arial" w:cs="Arial"/>
        </w:rPr>
        <w:t xml:space="preserve">. </w:t>
      </w:r>
    </w:p>
    <w:p w14:paraId="65259D0D" w14:textId="1A35569F" w:rsidR="000E5D20" w:rsidRPr="00140FFB" w:rsidRDefault="000E5D20" w:rsidP="000E5D20">
      <w:pPr>
        <w:tabs>
          <w:tab w:val="left" w:pos="426"/>
        </w:tabs>
        <w:spacing w:after="120" w:line="276" w:lineRule="auto"/>
        <w:ind w:firstLine="709"/>
        <w:jc w:val="both"/>
        <w:rPr>
          <w:rFonts w:ascii="Arial" w:hAnsi="Arial" w:cs="Arial"/>
        </w:rPr>
      </w:pPr>
      <w:r w:rsidRPr="00140FFB">
        <w:rPr>
          <w:rFonts w:ascii="Arial" w:eastAsia="Arial" w:hAnsi="Arial" w:cs="Arial"/>
        </w:rPr>
        <w:t>Sobre su propósito y el contexto que motivó su expedición, esta Agencia expuso lo siguiente en el concepto C-673 del 5 de enero del 2022</w:t>
      </w:r>
      <w:r w:rsidR="00D9178B">
        <w:rPr>
          <w:rFonts w:ascii="Arial" w:eastAsia="Arial" w:hAnsi="Arial" w:cs="Arial"/>
        </w:rPr>
        <w:t>: L</w:t>
      </w:r>
      <w:r w:rsidRPr="00140FFB">
        <w:rPr>
          <w:rFonts w:ascii="Arial" w:eastAsia="Arial" w:hAnsi="Arial" w:cs="Arial"/>
        </w:rPr>
        <w:t xml:space="preserve">a Ley 2069 de 2020 guarda congruencia con el “Pacto por el emprendimiento, la formalización y la productividad” del Plan Nacional de Desarrollo 2018-2022, pues busca impulsar el nacimiento de nuevas </w:t>
      </w:r>
      <w:r w:rsidRPr="00140FFB">
        <w:rPr>
          <w:rFonts w:ascii="Arial" w:eastAsia="Arial" w:hAnsi="Arial" w:cs="Arial"/>
        </w:rPr>
        <w:lastRenderedPageBreak/>
        <w:t>empresas que incentiven la generación de empleo en el país. En tal sentido, su finalidad principal es generar la reactivación de la economía y fomentar la actividad emprendedora, y por ello, tiene como uno de sus propósitos propiciar un entorno para ayudar al crecimiento, consolidación y sostenibilidad de esas iniciativas, generando mayor desarrollo social, creación de las empresas y mejoras tanto en la productividad como en la competitividad. De esta manera, la ley en comento también concreta la “Política de formalización empresarial” del Documento CONPES 3956 del 8 de enero de 2019</w:t>
      </w:r>
      <w:r w:rsidRPr="00140FFB">
        <w:rPr>
          <w:rFonts w:ascii="Arial" w:eastAsia="Arial" w:hAnsi="Arial" w:cs="Arial"/>
          <w:sz w:val="16"/>
          <w:szCs w:val="16"/>
          <w:vertAlign w:val="superscript"/>
        </w:rPr>
        <w:footnoteReference w:id="22"/>
      </w:r>
      <w:r w:rsidRPr="00140FFB">
        <w:rPr>
          <w:rFonts w:ascii="Arial" w:eastAsia="Arial" w:hAnsi="Arial" w:cs="Arial"/>
        </w:rPr>
        <w:t>.</w:t>
      </w:r>
    </w:p>
    <w:p w14:paraId="6F06EB10" w14:textId="0B48E157" w:rsidR="000E5D20" w:rsidRPr="00140FFB" w:rsidRDefault="000E5D20" w:rsidP="000E5D20">
      <w:pPr>
        <w:tabs>
          <w:tab w:val="left" w:pos="426"/>
        </w:tabs>
        <w:spacing w:after="120" w:line="276" w:lineRule="auto"/>
        <w:ind w:firstLine="709"/>
        <w:jc w:val="both"/>
        <w:rPr>
          <w:rFonts w:ascii="Arial" w:hAnsi="Arial" w:cs="Arial"/>
        </w:rPr>
      </w:pPr>
      <w:r w:rsidRPr="00140FFB">
        <w:rPr>
          <w:rFonts w:ascii="Arial" w:eastAsia="Arial" w:hAnsi="Arial" w:cs="Arial"/>
        </w:rPr>
        <w:t>Por ello, la ley impulsa medidas para: i) reducir cargas y trámites para los emprendedores del país, ii) facilitar su acceso al sistema de compras y contratación pública, iii) incentivar el crecimiento económico con la llegada de más actores al ecosistema de inversión y financiación, iv) focalizar esfuerzos, optimizar la gestión de recursos e incentivar una visión integral del desarrollo productivo a través del fortalecimiento institucional, v) facilitar la apropiación del emprendimiento y la cultura emprendedora en la juventud colombiana, así como vi) otorgar beneficios para emprendedores, especialmente, estableciendo un enfoque diferencial respecto a los miembros de las poblaciones más vulnerables, que les permita avanzar en su actividad y desarrollar sus iniciativas</w:t>
      </w:r>
      <w:r w:rsidRPr="00140FFB">
        <w:rPr>
          <w:rFonts w:ascii="Arial" w:eastAsia="Arial" w:hAnsi="Arial" w:cs="Arial"/>
          <w:vertAlign w:val="superscript"/>
        </w:rPr>
        <w:footnoteReference w:id="23"/>
      </w:r>
      <w:r w:rsidR="00852975">
        <w:rPr>
          <w:rFonts w:ascii="Arial" w:eastAsia="Arial" w:hAnsi="Arial" w:cs="Arial"/>
        </w:rPr>
        <w:t>.</w:t>
      </w:r>
    </w:p>
    <w:p w14:paraId="7774C1DD" w14:textId="2576526D" w:rsidR="000E5D20" w:rsidRPr="00140FFB" w:rsidRDefault="000E5D20" w:rsidP="000E5D20">
      <w:pPr>
        <w:tabs>
          <w:tab w:val="left" w:pos="426"/>
        </w:tabs>
        <w:spacing w:after="120" w:line="276" w:lineRule="auto"/>
        <w:ind w:firstLine="709"/>
        <w:jc w:val="both"/>
        <w:rPr>
          <w:rFonts w:ascii="Arial" w:hAnsi="Arial" w:cs="Arial"/>
        </w:rPr>
      </w:pPr>
      <w:r w:rsidRPr="00140FFB">
        <w:rPr>
          <w:rFonts w:ascii="Arial" w:eastAsia="Arial" w:hAnsi="Arial" w:cs="Arial"/>
        </w:rPr>
        <w:t xml:space="preserve">Además, como se indicó, parte de la Ley 2069 contiene normas que modifican algunos aspectos de la contratación estatal para promover el emprendimiento. Concretamente, aquellas se encuentran en el Capítulo III –artículos 30 al 36–. En su orden, tales artículos consagran: i) reglas sobre la participación de las </w:t>
      </w:r>
      <w:proofErr w:type="spellStart"/>
      <w:r w:rsidRPr="00140FFB">
        <w:rPr>
          <w:rFonts w:ascii="Arial" w:eastAsia="Arial" w:hAnsi="Arial" w:cs="Arial"/>
        </w:rPr>
        <w:t>MiPymes</w:t>
      </w:r>
      <w:proofErr w:type="spellEnd"/>
      <w:r w:rsidRPr="00140FFB">
        <w:rPr>
          <w:rFonts w:ascii="Arial" w:eastAsia="Arial" w:hAnsi="Arial" w:cs="Arial"/>
        </w:rPr>
        <w:t xml:space="preserve"> en el procedimiento de mínima cuantía, ii) criterios diferenciales para </w:t>
      </w:r>
      <w:proofErr w:type="spellStart"/>
      <w:r w:rsidRPr="00140FFB">
        <w:rPr>
          <w:rFonts w:ascii="Arial" w:eastAsia="Arial" w:hAnsi="Arial" w:cs="Arial"/>
        </w:rPr>
        <w:t>MiPymes</w:t>
      </w:r>
      <w:proofErr w:type="spellEnd"/>
      <w:r w:rsidRPr="00140FFB">
        <w:rPr>
          <w:rFonts w:ascii="Arial" w:eastAsia="Arial" w:hAnsi="Arial" w:cs="Arial"/>
        </w:rPr>
        <w:t xml:space="preserve"> en el sistema de </w:t>
      </w:r>
      <w:r w:rsidRPr="00140FFB">
        <w:rPr>
          <w:rFonts w:ascii="Arial" w:eastAsia="Arial" w:hAnsi="Arial" w:cs="Arial"/>
        </w:rPr>
        <w:lastRenderedPageBreak/>
        <w:t xml:space="preserve">compras públicas, iii) criterios diferenciales para emprendimientos y empresas de mujeres en el sistema de compras públicas, iv) promoción del acceso de las </w:t>
      </w:r>
      <w:proofErr w:type="spellStart"/>
      <w:r w:rsidRPr="00140FFB">
        <w:rPr>
          <w:rFonts w:ascii="Arial" w:eastAsia="Arial" w:hAnsi="Arial" w:cs="Arial"/>
        </w:rPr>
        <w:t>MiPymes</w:t>
      </w:r>
      <w:proofErr w:type="spellEnd"/>
      <w:r w:rsidRPr="00140FFB">
        <w:rPr>
          <w:rFonts w:ascii="Arial" w:eastAsia="Arial" w:hAnsi="Arial" w:cs="Arial"/>
        </w:rPr>
        <w:t xml:space="preserve"> al mercado de compras públicas, v) promoción del desarrollo en la contratación pública, vi) un nuevo régimen de factores de desempate y vi</w:t>
      </w:r>
      <w:r w:rsidR="00107949">
        <w:rPr>
          <w:rFonts w:ascii="Arial" w:eastAsia="Arial" w:hAnsi="Arial" w:cs="Arial"/>
        </w:rPr>
        <w:t>i</w:t>
      </w:r>
      <w:r w:rsidRPr="00140FFB">
        <w:rPr>
          <w:rFonts w:ascii="Arial" w:eastAsia="Arial" w:hAnsi="Arial" w:cs="Arial"/>
        </w:rPr>
        <w:t xml:space="preserve">) un llamado a las entidades estatales para que promuevan compras públicas en el marco de la tecnología y la innovación. </w:t>
      </w:r>
    </w:p>
    <w:p w14:paraId="553E41A1" w14:textId="77777777" w:rsidR="000E5D20" w:rsidRPr="00140FFB" w:rsidRDefault="000E5D20" w:rsidP="000E5D20">
      <w:pPr>
        <w:spacing w:line="276" w:lineRule="auto"/>
        <w:jc w:val="both"/>
        <w:rPr>
          <w:rFonts w:ascii="Arial" w:hAnsi="Arial" w:cs="Arial"/>
        </w:rPr>
      </w:pPr>
    </w:p>
    <w:p w14:paraId="5068B18D" w14:textId="77777777" w:rsidR="000E5D20" w:rsidRDefault="000E5D20" w:rsidP="000E5D20">
      <w:pPr>
        <w:spacing w:line="276" w:lineRule="auto"/>
        <w:jc w:val="both"/>
        <w:rPr>
          <w:rStyle w:val="normaltextrun"/>
          <w:rFonts w:ascii="Arial" w:eastAsia="Arial" w:hAnsi="Arial" w:cs="Arial"/>
          <w:b/>
          <w:bCs/>
          <w:color w:val="000000"/>
        </w:rPr>
      </w:pPr>
      <w:bookmarkStart w:id="13" w:name="_2et92p0" w:colFirst="0" w:colLast="0"/>
      <w:bookmarkEnd w:id="13"/>
      <w:r w:rsidRPr="00140FFB">
        <w:rPr>
          <w:rFonts w:ascii="Arial" w:eastAsia="Calibri" w:hAnsi="Arial" w:cs="Arial"/>
          <w:b/>
          <w:bCs/>
          <w:lang w:val="es-ES_tradnl"/>
        </w:rPr>
        <w:t xml:space="preserve">2.4. Convocatorias limitadas a </w:t>
      </w:r>
      <w:proofErr w:type="spellStart"/>
      <w:r w:rsidRPr="00140FFB">
        <w:rPr>
          <w:rFonts w:ascii="Arial" w:eastAsia="Calibri" w:hAnsi="Arial" w:cs="Arial"/>
          <w:b/>
          <w:bCs/>
          <w:lang w:val="es-ES_tradnl"/>
        </w:rPr>
        <w:t>mipymes</w:t>
      </w:r>
      <w:proofErr w:type="spellEnd"/>
      <w:r w:rsidRPr="00140FFB">
        <w:rPr>
          <w:rFonts w:ascii="Arial" w:eastAsia="Calibri" w:hAnsi="Arial" w:cs="Arial"/>
          <w:b/>
          <w:bCs/>
          <w:lang w:val="es-ES_tradnl"/>
        </w:rPr>
        <w:t xml:space="preserve"> en el ámbito </w:t>
      </w:r>
      <w:r>
        <w:rPr>
          <w:rFonts w:ascii="Arial" w:eastAsia="Calibri" w:hAnsi="Arial" w:cs="Arial"/>
          <w:b/>
          <w:bCs/>
          <w:lang w:val="es-ES_tradnl"/>
        </w:rPr>
        <w:t>nacional y</w:t>
      </w:r>
      <w:r w:rsidRPr="00140FFB">
        <w:rPr>
          <w:rFonts w:ascii="Arial" w:eastAsia="Calibri" w:hAnsi="Arial" w:cs="Arial"/>
          <w:b/>
          <w:bCs/>
          <w:lang w:val="es-ES_tradnl"/>
        </w:rPr>
        <w:t xml:space="preserve"> territorial</w:t>
      </w:r>
      <w:r w:rsidRPr="00140FFB">
        <w:rPr>
          <w:rStyle w:val="normaltextrun"/>
          <w:rFonts w:ascii="Arial" w:eastAsia="Arial" w:hAnsi="Arial" w:cs="Arial"/>
          <w:b/>
          <w:bCs/>
          <w:color w:val="000000"/>
        </w:rPr>
        <w:t xml:space="preserve"> de conformidad con el Decreto 1860 de 2021: Presupuestos mínimos para </w:t>
      </w:r>
      <w:r>
        <w:rPr>
          <w:rStyle w:val="normaltextrun"/>
          <w:rFonts w:ascii="Arial" w:eastAsia="Arial" w:hAnsi="Arial" w:cs="Arial"/>
          <w:b/>
          <w:bCs/>
          <w:color w:val="000000"/>
        </w:rPr>
        <w:t>su aplicación</w:t>
      </w:r>
    </w:p>
    <w:p w14:paraId="16BDDD7B" w14:textId="77777777" w:rsidR="00107949" w:rsidRPr="00140FFB" w:rsidRDefault="00107949" w:rsidP="000E5D20">
      <w:pPr>
        <w:spacing w:line="276" w:lineRule="auto"/>
        <w:jc w:val="both"/>
        <w:rPr>
          <w:rFonts w:ascii="Arial" w:eastAsia="Calibri" w:hAnsi="Arial" w:cs="Arial"/>
          <w:b/>
          <w:bCs/>
          <w:lang w:val="es-ES_tradnl"/>
        </w:rPr>
      </w:pPr>
    </w:p>
    <w:p w14:paraId="5B7055EC" w14:textId="77777777" w:rsidR="000E5D20" w:rsidRPr="00140FFB" w:rsidRDefault="000E5D20" w:rsidP="000E5D20">
      <w:pPr>
        <w:spacing w:line="276" w:lineRule="auto"/>
        <w:jc w:val="both"/>
        <w:rPr>
          <w:rFonts w:ascii="Arial" w:hAnsi="Arial" w:cs="Arial"/>
          <w:bCs/>
          <w:lang w:val="es-ES_tradnl" w:eastAsia="es-ES"/>
        </w:rPr>
      </w:pPr>
      <w:r w:rsidRPr="00140FFB">
        <w:rPr>
          <w:rFonts w:ascii="Arial" w:hAnsi="Arial" w:cs="Arial"/>
          <w:bCs/>
          <w:lang w:val="es-ES_tradnl" w:eastAsia="es-ES"/>
        </w:rPr>
        <w:t xml:space="preserve">En desarrollo de la Ley 2069 de 2021, el Gobierno Nacional expidió el Decreto 1860 de 2021, “Por el cual se modifica y adiciona el Decreto 1082 de 2015, Único Reglamentario del Sector Administrativo de Planeación Nacional, con el fin de reglamentar los artículos 30, 31, 32, 34 y 35 de la Ley 2069 de 2020, en lo relativo al sistema de compras públicas y se dictan otras disposiciones”. Entre los aspectos reglamentados por el decreto indicado se encuentran las convocatorias limitadas a </w:t>
      </w:r>
      <w:proofErr w:type="spellStart"/>
      <w:r w:rsidRPr="00140FFB">
        <w:rPr>
          <w:rFonts w:ascii="Arial" w:hAnsi="Arial" w:cs="Arial"/>
          <w:bCs/>
          <w:lang w:val="es-ES_tradnl" w:eastAsia="es-ES"/>
        </w:rPr>
        <w:t>Mipyme</w:t>
      </w:r>
      <w:proofErr w:type="spellEnd"/>
      <w:r w:rsidRPr="00140FFB">
        <w:rPr>
          <w:rFonts w:ascii="Arial" w:hAnsi="Arial" w:cs="Arial"/>
          <w:bCs/>
          <w:lang w:val="es-ES_tradnl" w:eastAsia="es-ES"/>
        </w:rPr>
        <w:t xml:space="preserve">. De esta manera, el artículo 5 modifica </w:t>
      </w:r>
      <w:r w:rsidRPr="00140FFB">
        <w:rPr>
          <w:rFonts w:ascii="Arial" w:hAnsi="Arial" w:cs="Arial"/>
          <w:bCs/>
          <w:lang w:eastAsia="es-ES"/>
        </w:rPr>
        <w:lastRenderedPageBreak/>
        <w:t>los artículos 2.2.1.2.4.2.2</w:t>
      </w:r>
      <w:r w:rsidRPr="00140FFB">
        <w:rPr>
          <w:rStyle w:val="Refdenotaalpie"/>
          <w:rFonts w:ascii="Arial" w:hAnsi="Arial" w:cs="Arial"/>
          <w:bCs/>
          <w:lang w:eastAsia="es-ES"/>
        </w:rPr>
        <w:footnoteReference w:id="24"/>
      </w:r>
      <w:r w:rsidRPr="00140FFB">
        <w:rPr>
          <w:rFonts w:ascii="Arial" w:hAnsi="Arial" w:cs="Arial"/>
          <w:bCs/>
          <w:lang w:eastAsia="es-ES"/>
        </w:rPr>
        <w:t>., 2.2.1.2.4.2.3</w:t>
      </w:r>
      <w:r w:rsidRPr="00140FFB">
        <w:rPr>
          <w:rStyle w:val="Refdenotaalpie"/>
          <w:rFonts w:ascii="Arial" w:hAnsi="Arial" w:cs="Arial"/>
          <w:bCs/>
          <w:lang w:eastAsia="es-ES"/>
        </w:rPr>
        <w:footnoteReference w:id="25"/>
      </w:r>
      <w:r w:rsidRPr="00140FFB">
        <w:rPr>
          <w:rFonts w:ascii="Arial" w:hAnsi="Arial" w:cs="Arial"/>
          <w:bCs/>
          <w:lang w:eastAsia="es-ES"/>
        </w:rPr>
        <w:t>. y 2.2.1.2.4.2.4</w:t>
      </w:r>
      <w:r w:rsidRPr="00140FFB">
        <w:rPr>
          <w:rStyle w:val="Refdenotaalpie"/>
          <w:rFonts w:ascii="Arial" w:hAnsi="Arial" w:cs="Arial"/>
          <w:bCs/>
          <w:lang w:eastAsia="es-ES"/>
        </w:rPr>
        <w:footnoteReference w:id="26"/>
      </w:r>
      <w:r w:rsidRPr="00140FFB">
        <w:rPr>
          <w:rFonts w:ascii="Arial" w:hAnsi="Arial" w:cs="Arial"/>
          <w:bCs/>
          <w:lang w:eastAsia="es-ES"/>
        </w:rPr>
        <w:t>. de la Subsección 2 de la Sección 4 del Capítulo 2 del Título 1 de la Parte 2 del Libro 2 del Decreto 1082 de 2015,</w:t>
      </w:r>
      <w:r w:rsidRPr="00140FFB">
        <w:rPr>
          <w:rFonts w:ascii="Arial" w:hAnsi="Arial" w:cs="Arial"/>
          <w:bCs/>
          <w:lang w:val="es-ES_tradnl" w:eastAsia="es-ES"/>
        </w:rPr>
        <w:t xml:space="preserve"> por </w:t>
      </w:r>
      <w:r w:rsidRPr="00140FFB">
        <w:rPr>
          <w:rFonts w:ascii="Arial" w:hAnsi="Arial" w:cs="Arial"/>
          <w:bCs/>
          <w:lang w:val="es-ES_tradnl" w:eastAsia="es-ES"/>
        </w:rPr>
        <w:lastRenderedPageBreak/>
        <w:t xml:space="preserve">lo que reglamenta este asunto con fundamento en lo establecido en el artículo 34 de la Ley 2069 de 2020, contemplando las convocatorias limitadas a </w:t>
      </w:r>
      <w:proofErr w:type="spellStart"/>
      <w:r w:rsidRPr="00140FFB">
        <w:rPr>
          <w:rFonts w:ascii="Arial" w:hAnsi="Arial" w:cs="Arial"/>
          <w:bCs/>
          <w:lang w:val="es-ES_tradnl" w:eastAsia="es-ES"/>
        </w:rPr>
        <w:t>mipymes</w:t>
      </w:r>
      <w:proofErr w:type="spellEnd"/>
      <w:r w:rsidRPr="00140FFB">
        <w:rPr>
          <w:rFonts w:ascii="Arial" w:hAnsi="Arial" w:cs="Arial"/>
          <w:bCs/>
          <w:lang w:val="es-ES_tradnl" w:eastAsia="es-ES"/>
        </w:rPr>
        <w:t xml:space="preserve"> nacionales y las del ámbito territorial. </w:t>
      </w:r>
    </w:p>
    <w:p w14:paraId="7F9D278E" w14:textId="2990E77F" w:rsidR="000E5D20" w:rsidRPr="00140FFB" w:rsidRDefault="000E5D20" w:rsidP="000E5D20">
      <w:pPr>
        <w:spacing w:before="120" w:line="276" w:lineRule="auto"/>
        <w:ind w:firstLine="709"/>
        <w:jc w:val="both"/>
        <w:rPr>
          <w:rFonts w:ascii="Arial" w:eastAsia="Calibri" w:hAnsi="Arial" w:cs="Arial"/>
          <w:lang w:val="es-ES_tradnl"/>
        </w:rPr>
      </w:pPr>
      <w:r w:rsidRPr="00140FFB">
        <w:rPr>
          <w:rFonts w:ascii="Arial" w:hAnsi="Arial" w:cs="Arial"/>
          <w:bCs/>
          <w:lang w:val="es-ES_tradnl" w:eastAsia="es-ES"/>
        </w:rPr>
        <w:t xml:space="preserve">Teniendo en cuenta lo anterior, esta nueva Subsección 2 contempla los siguientes aspectos: i) requisitos para limitar la convocatoria de los </w:t>
      </w:r>
      <w:r w:rsidRPr="00140FFB">
        <w:rPr>
          <w:rFonts w:ascii="Arial" w:hAnsi="Arial" w:cs="Arial"/>
          <w:bCs/>
          <w:lang w:eastAsia="es-ES"/>
        </w:rPr>
        <w:t>procesos de contratación con pluralidad de oferentes</w:t>
      </w:r>
      <w:r w:rsidRPr="00140FFB">
        <w:rPr>
          <w:rFonts w:ascii="Arial" w:hAnsi="Arial" w:cs="Arial"/>
          <w:bCs/>
          <w:lang w:val="es-ES_tradnl" w:eastAsia="es-ES"/>
        </w:rPr>
        <w:t xml:space="preserve"> a las </w:t>
      </w:r>
      <w:proofErr w:type="spellStart"/>
      <w:r w:rsidRPr="00140FFB">
        <w:rPr>
          <w:rFonts w:ascii="Arial" w:hAnsi="Arial" w:cs="Arial"/>
          <w:bCs/>
          <w:lang w:val="es-ES_tradnl" w:eastAsia="es-ES"/>
        </w:rPr>
        <w:t>Mipyme</w:t>
      </w:r>
      <w:proofErr w:type="spellEnd"/>
      <w:r w:rsidRPr="00140FFB">
        <w:rPr>
          <w:rFonts w:ascii="Arial" w:hAnsi="Arial" w:cs="Arial"/>
          <w:bCs/>
          <w:lang w:val="es-ES_tradnl" w:eastAsia="es-ES"/>
        </w:rPr>
        <w:t xml:space="preserve"> colombianas con mínimo un (1) año de existencia – artículo </w:t>
      </w:r>
      <w:r w:rsidRPr="00140FFB">
        <w:rPr>
          <w:rFonts w:ascii="Arial" w:hAnsi="Arial" w:cs="Arial"/>
          <w:bCs/>
          <w:lang w:eastAsia="es-ES"/>
        </w:rPr>
        <w:t>2.2.1.2.4.2.2</w:t>
      </w:r>
      <w:r w:rsidRPr="00140FFB">
        <w:rPr>
          <w:rFonts w:ascii="Arial" w:hAnsi="Arial" w:cs="Arial"/>
          <w:bCs/>
          <w:lang w:val="es-ES_tradnl" w:eastAsia="es-ES"/>
        </w:rPr>
        <w:t xml:space="preserve">–, ii) desarrolla las </w:t>
      </w:r>
      <w:r w:rsidRPr="00140FFB">
        <w:rPr>
          <w:rFonts w:ascii="Arial" w:hAnsi="Arial" w:cs="Arial"/>
          <w:bCs/>
          <w:lang w:eastAsia="es-ES"/>
        </w:rPr>
        <w:t xml:space="preserve">convocatorias limitadas a </w:t>
      </w:r>
      <w:proofErr w:type="spellStart"/>
      <w:r w:rsidRPr="00140FFB">
        <w:rPr>
          <w:rFonts w:ascii="Arial" w:hAnsi="Arial" w:cs="Arial"/>
          <w:bCs/>
          <w:lang w:eastAsia="es-ES"/>
        </w:rPr>
        <w:t>Mipyme</w:t>
      </w:r>
      <w:proofErr w:type="spellEnd"/>
      <w:r w:rsidRPr="00140FFB">
        <w:rPr>
          <w:rFonts w:ascii="Arial" w:hAnsi="Arial" w:cs="Arial"/>
          <w:bCs/>
          <w:lang w:eastAsia="es-ES"/>
        </w:rPr>
        <w:t xml:space="preserve"> colombianas que tengan domicilio en los departamentos o municipios en donde se va a ejecutar el contrato –artículo 2.2.1.2.4.2.3–,</w:t>
      </w:r>
      <w:r w:rsidRPr="00140FFB">
        <w:rPr>
          <w:rFonts w:ascii="Arial" w:hAnsi="Arial" w:cs="Arial"/>
          <w:bCs/>
          <w:lang w:val="es-ES_tradnl" w:eastAsia="es-ES"/>
        </w:rPr>
        <w:t xml:space="preserve"> y iii) </w:t>
      </w:r>
      <w:r w:rsidRPr="00140FFB">
        <w:rPr>
          <w:rFonts w:ascii="Arial" w:hAnsi="Arial" w:cs="Arial"/>
          <w:bCs/>
          <w:lang w:eastAsia="es-ES"/>
        </w:rPr>
        <w:t>regula la acreditación de requisitos para participar en convocatorias limitadas –artículo 2.2.1.2.4.2.4</w:t>
      </w:r>
      <w:r w:rsidRPr="00140FFB">
        <w:rPr>
          <w:rFonts w:ascii="Arial" w:hAnsi="Arial" w:cs="Arial"/>
          <w:bCs/>
          <w:lang w:val="es-ES_tradnl" w:eastAsia="es-ES"/>
        </w:rPr>
        <w:t>–.</w:t>
      </w:r>
      <w:r w:rsidR="00B70B49">
        <w:rPr>
          <w:rFonts w:ascii="Arial" w:hAnsi="Arial" w:cs="Arial"/>
          <w:bCs/>
          <w:lang w:val="es-ES_tradnl" w:eastAsia="es-ES"/>
        </w:rPr>
        <w:t xml:space="preserve"> </w:t>
      </w:r>
      <w:r w:rsidRPr="00140FFB">
        <w:rPr>
          <w:rFonts w:ascii="Arial" w:hAnsi="Arial" w:cs="Arial"/>
          <w:bCs/>
          <w:lang w:val="es-ES_tradnl" w:eastAsia="es-ES"/>
        </w:rPr>
        <w:t xml:space="preserve">De esta manera, el artículo 5 del Decreto 1860 de 2021, que modifica el Decreto 1082 de 2015 en los artículos citados, constituye la nueva reglamentación del artículo 34 de la Ley 2069 de 2020, al desarrollar las reglas aplicables a las convocatorias limitadas a </w:t>
      </w:r>
      <w:proofErr w:type="spellStart"/>
      <w:r w:rsidRPr="00140FFB">
        <w:rPr>
          <w:rFonts w:ascii="Arial" w:hAnsi="Arial" w:cs="Arial"/>
          <w:bCs/>
          <w:lang w:val="es-ES_tradnl" w:eastAsia="es-ES"/>
        </w:rPr>
        <w:t>Mipyme</w:t>
      </w:r>
      <w:proofErr w:type="spellEnd"/>
      <w:r w:rsidRPr="00140FFB">
        <w:rPr>
          <w:rFonts w:ascii="Arial" w:hAnsi="Arial" w:cs="Arial"/>
          <w:bCs/>
          <w:lang w:val="es-ES_tradnl" w:eastAsia="es-ES"/>
        </w:rPr>
        <w:t>. Esta</w:t>
      </w:r>
      <w:r w:rsidRPr="00140FFB">
        <w:rPr>
          <w:rFonts w:ascii="Arial" w:eastAsia="Calibri" w:hAnsi="Arial" w:cs="Arial"/>
          <w:lang w:val="es-ES_tradnl"/>
        </w:rPr>
        <w:t xml:space="preserve"> </w:t>
      </w:r>
      <w:r w:rsidRPr="00140FFB">
        <w:rPr>
          <w:rFonts w:ascii="Arial" w:hAnsi="Arial" w:cs="Arial"/>
          <w:bCs/>
          <w:lang w:val="es-ES_tradnl" w:eastAsia="es-ES"/>
        </w:rPr>
        <w:t xml:space="preserve">disposición entró a regir desde el pasado 24 de marzo de 2022, pues </w:t>
      </w:r>
      <w:r w:rsidRPr="00140FFB">
        <w:rPr>
          <w:rFonts w:ascii="Arial" w:eastAsia="Calibri" w:hAnsi="Arial" w:cs="Arial"/>
          <w:lang w:val="es-ES_tradnl"/>
        </w:rPr>
        <w:t>el artículo 8 de dicho decreto sometió su vigencia a un periodo de 3 meses siguientes a su expedición.</w:t>
      </w:r>
    </w:p>
    <w:p w14:paraId="4B037735" w14:textId="77777777" w:rsidR="000E5D20" w:rsidRPr="00140FFB" w:rsidRDefault="000E5D20" w:rsidP="000E5D20">
      <w:pPr>
        <w:spacing w:before="120" w:line="276" w:lineRule="auto"/>
        <w:ind w:firstLine="709"/>
        <w:jc w:val="both"/>
        <w:rPr>
          <w:rFonts w:ascii="Arial" w:hAnsi="Arial" w:cs="Arial"/>
          <w:color w:val="000000" w:themeColor="text1"/>
        </w:rPr>
      </w:pPr>
      <w:r w:rsidRPr="00140FFB">
        <w:rPr>
          <w:rFonts w:ascii="Arial" w:hAnsi="Arial" w:cs="Arial"/>
          <w:color w:val="000000" w:themeColor="text1"/>
        </w:rPr>
        <w:t xml:space="preserve">Puede decirse, entonces, que el Decreto 1082 de 2015, modificado por el Decreto 1860 de 2021, regula la limitación de convocatorias a </w:t>
      </w:r>
      <w:proofErr w:type="spellStart"/>
      <w:r w:rsidRPr="00140FFB">
        <w:rPr>
          <w:rFonts w:ascii="Arial" w:hAnsi="Arial" w:cs="Arial"/>
          <w:color w:val="000000" w:themeColor="text1"/>
        </w:rPr>
        <w:t>Mipymes</w:t>
      </w:r>
      <w:proofErr w:type="spellEnd"/>
      <w:r w:rsidRPr="00140FFB">
        <w:rPr>
          <w:rFonts w:ascii="Arial" w:hAnsi="Arial" w:cs="Arial"/>
          <w:color w:val="000000" w:themeColor="text1"/>
        </w:rPr>
        <w:t xml:space="preserve"> en dos normas distintas, las cuales, sin embargo, deben leerse conjunta y armónicamente. Por un lado, una disposición prevé los requisitos generales para que la entidad limite sus convocatorias a </w:t>
      </w:r>
      <w:proofErr w:type="spellStart"/>
      <w:r w:rsidRPr="00140FFB">
        <w:rPr>
          <w:rFonts w:ascii="Arial" w:hAnsi="Arial" w:cs="Arial"/>
          <w:color w:val="000000" w:themeColor="text1"/>
        </w:rPr>
        <w:t>Mipymes</w:t>
      </w:r>
      <w:proofErr w:type="spellEnd"/>
      <w:r w:rsidRPr="00140FFB">
        <w:rPr>
          <w:rFonts w:ascii="Arial" w:hAnsi="Arial" w:cs="Arial"/>
          <w:color w:val="000000" w:themeColor="text1"/>
        </w:rPr>
        <w:t xml:space="preserve"> nacionales “</w:t>
      </w:r>
      <w:r w:rsidRPr="00140FFB">
        <w:rPr>
          <w:rFonts w:ascii="Arial" w:hAnsi="Arial" w:cs="Arial"/>
          <w:i/>
          <w:iCs/>
          <w:color w:val="000000" w:themeColor="text1"/>
        </w:rPr>
        <w:t>infra</w:t>
      </w:r>
      <w:r w:rsidRPr="00140FFB">
        <w:rPr>
          <w:rFonts w:ascii="Arial" w:hAnsi="Arial" w:cs="Arial"/>
          <w:color w:val="000000" w:themeColor="text1"/>
        </w:rPr>
        <w:t xml:space="preserve"> literal a” y, por el otro, la otra establece la posibilidad de regular la convocatoria a </w:t>
      </w:r>
      <w:proofErr w:type="spellStart"/>
      <w:r w:rsidRPr="00140FFB">
        <w:rPr>
          <w:rFonts w:ascii="Arial" w:hAnsi="Arial" w:cs="Arial"/>
          <w:color w:val="000000" w:themeColor="text1"/>
        </w:rPr>
        <w:t>Mipymes</w:t>
      </w:r>
      <w:proofErr w:type="spellEnd"/>
      <w:r w:rsidRPr="00140FFB">
        <w:rPr>
          <w:rFonts w:ascii="Arial" w:hAnsi="Arial" w:cs="Arial"/>
          <w:color w:val="000000" w:themeColor="text1"/>
        </w:rPr>
        <w:t xml:space="preserve"> nacionales domiciliadas en los departamentos o municipios en donde se va a ejecutar el contrato “</w:t>
      </w:r>
      <w:r w:rsidRPr="00140FFB">
        <w:rPr>
          <w:rFonts w:ascii="Arial" w:hAnsi="Arial" w:cs="Arial"/>
          <w:i/>
          <w:iCs/>
          <w:color w:val="000000" w:themeColor="text1"/>
        </w:rPr>
        <w:t xml:space="preserve">infra </w:t>
      </w:r>
      <w:r w:rsidRPr="00140FFB">
        <w:rPr>
          <w:rFonts w:ascii="Arial" w:hAnsi="Arial" w:cs="Arial"/>
          <w:color w:val="000000" w:themeColor="text1"/>
        </w:rPr>
        <w:t xml:space="preserve">literal b”. </w:t>
      </w:r>
    </w:p>
    <w:p w14:paraId="5F011993" w14:textId="77777777" w:rsidR="000E5D20" w:rsidRPr="00140FFB" w:rsidRDefault="000E5D20" w:rsidP="000E5D20">
      <w:pPr>
        <w:spacing w:before="120" w:line="276" w:lineRule="auto"/>
        <w:ind w:firstLine="709"/>
        <w:jc w:val="both"/>
        <w:rPr>
          <w:rFonts w:ascii="Arial" w:hAnsi="Arial" w:cs="Arial"/>
          <w:color w:val="000000" w:themeColor="text1"/>
        </w:rPr>
      </w:pPr>
      <w:r w:rsidRPr="00140FFB">
        <w:rPr>
          <w:rFonts w:ascii="Arial" w:hAnsi="Arial" w:cs="Arial"/>
          <w:color w:val="000000" w:themeColor="text1"/>
        </w:rPr>
        <w:t xml:space="preserve">Es de resaltar que estas normas se refieren a las </w:t>
      </w:r>
      <w:proofErr w:type="spellStart"/>
      <w:r w:rsidRPr="00140FFB">
        <w:rPr>
          <w:rFonts w:ascii="Arial" w:hAnsi="Arial" w:cs="Arial"/>
          <w:color w:val="000000" w:themeColor="text1"/>
        </w:rPr>
        <w:t>Mipymes</w:t>
      </w:r>
      <w:proofErr w:type="spellEnd"/>
      <w:r w:rsidRPr="00140FFB">
        <w:rPr>
          <w:rFonts w:ascii="Arial" w:hAnsi="Arial" w:cs="Arial"/>
          <w:color w:val="000000" w:themeColor="text1"/>
        </w:rPr>
        <w:t xml:space="preserve"> nacionales genéricamente y, particularmente, a las </w:t>
      </w:r>
      <w:proofErr w:type="spellStart"/>
      <w:r w:rsidRPr="00140FFB">
        <w:rPr>
          <w:rFonts w:ascii="Arial" w:hAnsi="Arial" w:cs="Arial"/>
          <w:color w:val="000000" w:themeColor="text1"/>
        </w:rPr>
        <w:t>Mipymes</w:t>
      </w:r>
      <w:proofErr w:type="spellEnd"/>
      <w:r w:rsidRPr="00140FFB">
        <w:rPr>
          <w:rFonts w:ascii="Arial" w:hAnsi="Arial" w:cs="Arial"/>
          <w:color w:val="000000" w:themeColor="text1"/>
        </w:rPr>
        <w:t xml:space="preserve"> nacionales “domiciliadas en los departamentos o municipios en donde se va a ejecutar el contrato”. En ambos casos se refiere a </w:t>
      </w:r>
      <w:proofErr w:type="spellStart"/>
      <w:r w:rsidRPr="00140FFB">
        <w:rPr>
          <w:rFonts w:ascii="Arial" w:hAnsi="Arial" w:cs="Arial"/>
          <w:color w:val="000000" w:themeColor="text1"/>
        </w:rPr>
        <w:t>Mipymes</w:t>
      </w:r>
      <w:proofErr w:type="spellEnd"/>
      <w:r w:rsidRPr="00140FFB">
        <w:rPr>
          <w:rFonts w:ascii="Arial" w:hAnsi="Arial" w:cs="Arial"/>
          <w:color w:val="000000" w:themeColor="text1"/>
        </w:rPr>
        <w:t xml:space="preserve"> nacionales, distinguiéndolas de las empresas extranjeras. Del artículo 2.2.1.2.4.2.3. del Decreto 1082 de 2015 no se deriva que existan </w:t>
      </w:r>
      <w:proofErr w:type="spellStart"/>
      <w:r w:rsidRPr="00140FFB">
        <w:rPr>
          <w:rFonts w:ascii="Arial" w:hAnsi="Arial" w:cs="Arial"/>
          <w:color w:val="000000" w:themeColor="text1"/>
        </w:rPr>
        <w:t>Mipymes</w:t>
      </w:r>
      <w:proofErr w:type="spellEnd"/>
      <w:r w:rsidRPr="00140FFB">
        <w:rPr>
          <w:rFonts w:ascii="Arial" w:hAnsi="Arial" w:cs="Arial"/>
          <w:color w:val="000000" w:themeColor="text1"/>
        </w:rPr>
        <w:t xml:space="preserve"> del orden territorial. Esta categoría no existe en el ordenamiento jurídico. En ese sentido, toda empresa constituida bajo las leyes colombianas o que tenga su domicilio principal en el territorio colombiano y, además, cumpla los criterios previstos por la Ley 590 de 2000 y el Decreto 957 de 2019, será considerada </w:t>
      </w:r>
      <w:proofErr w:type="spellStart"/>
      <w:r w:rsidRPr="00140FFB">
        <w:rPr>
          <w:rFonts w:ascii="Arial" w:hAnsi="Arial" w:cs="Arial"/>
          <w:color w:val="000000" w:themeColor="text1"/>
        </w:rPr>
        <w:t>Mipyme</w:t>
      </w:r>
      <w:proofErr w:type="spellEnd"/>
      <w:r w:rsidRPr="00140FFB">
        <w:rPr>
          <w:rFonts w:ascii="Arial" w:hAnsi="Arial" w:cs="Arial"/>
          <w:color w:val="000000" w:themeColor="text1"/>
        </w:rPr>
        <w:t xml:space="preserve"> del orden nacional. Otra cosa es que las normas de contratación permitan que las </w:t>
      </w:r>
      <w:proofErr w:type="spellStart"/>
      <w:r w:rsidRPr="00140FFB">
        <w:rPr>
          <w:rFonts w:ascii="Arial" w:hAnsi="Arial" w:cs="Arial"/>
          <w:color w:val="000000" w:themeColor="text1"/>
        </w:rPr>
        <w:t>Mipymes</w:t>
      </w:r>
      <w:proofErr w:type="spellEnd"/>
      <w:r w:rsidRPr="00140FFB">
        <w:rPr>
          <w:rFonts w:ascii="Arial" w:hAnsi="Arial" w:cs="Arial"/>
          <w:color w:val="000000" w:themeColor="text1"/>
        </w:rPr>
        <w:t xml:space="preserve"> nacionales con “domicilio” en un </w:t>
      </w:r>
      <w:r w:rsidRPr="00140FFB">
        <w:rPr>
          <w:rFonts w:ascii="Arial" w:hAnsi="Arial" w:cs="Arial"/>
          <w:color w:val="000000" w:themeColor="text1"/>
        </w:rPr>
        <w:lastRenderedPageBreak/>
        <w:t xml:space="preserve">municipio o departamento puedan beneficiarse para ejecutar un contrato en dichos municipios o departamentos. De todos modos, las </w:t>
      </w:r>
      <w:proofErr w:type="spellStart"/>
      <w:r w:rsidRPr="00140FFB">
        <w:rPr>
          <w:rFonts w:ascii="Arial" w:hAnsi="Arial" w:cs="Arial"/>
          <w:color w:val="000000" w:themeColor="text1"/>
        </w:rPr>
        <w:t>Mipymes</w:t>
      </w:r>
      <w:proofErr w:type="spellEnd"/>
      <w:r w:rsidRPr="00140FFB">
        <w:rPr>
          <w:rFonts w:ascii="Arial" w:hAnsi="Arial" w:cs="Arial"/>
          <w:color w:val="000000" w:themeColor="text1"/>
        </w:rPr>
        <w:t xml:space="preserve"> domiciliadas en un municipio o departamento son </w:t>
      </w:r>
      <w:proofErr w:type="spellStart"/>
      <w:r w:rsidRPr="00140FFB">
        <w:rPr>
          <w:rFonts w:ascii="Arial" w:hAnsi="Arial" w:cs="Arial"/>
          <w:color w:val="000000" w:themeColor="text1"/>
        </w:rPr>
        <w:t>Mipymes</w:t>
      </w:r>
      <w:proofErr w:type="spellEnd"/>
      <w:r w:rsidRPr="00140FFB">
        <w:rPr>
          <w:rFonts w:ascii="Arial" w:hAnsi="Arial" w:cs="Arial"/>
          <w:color w:val="000000" w:themeColor="text1"/>
        </w:rPr>
        <w:t xml:space="preserve"> nacionales. En consecuencia, no es procedente distinguir entre </w:t>
      </w:r>
      <w:proofErr w:type="spellStart"/>
      <w:r w:rsidRPr="00140FFB">
        <w:rPr>
          <w:rFonts w:ascii="Arial" w:hAnsi="Arial" w:cs="Arial"/>
          <w:color w:val="000000" w:themeColor="text1"/>
        </w:rPr>
        <w:t>Mipymes</w:t>
      </w:r>
      <w:proofErr w:type="spellEnd"/>
      <w:r w:rsidRPr="00140FFB">
        <w:rPr>
          <w:rFonts w:ascii="Arial" w:hAnsi="Arial" w:cs="Arial"/>
          <w:color w:val="000000" w:themeColor="text1"/>
        </w:rPr>
        <w:t xml:space="preserve"> nacionales y </w:t>
      </w:r>
      <w:proofErr w:type="spellStart"/>
      <w:r w:rsidRPr="00140FFB">
        <w:rPr>
          <w:rFonts w:ascii="Arial" w:hAnsi="Arial" w:cs="Arial"/>
          <w:color w:val="000000" w:themeColor="text1"/>
        </w:rPr>
        <w:t>Mipymes</w:t>
      </w:r>
      <w:proofErr w:type="spellEnd"/>
      <w:r w:rsidRPr="00140FFB">
        <w:rPr>
          <w:rFonts w:ascii="Arial" w:hAnsi="Arial" w:cs="Arial"/>
          <w:color w:val="000000" w:themeColor="text1"/>
        </w:rPr>
        <w:t xml:space="preserve"> municipales o departamentales, habida cuenta que estas últimas no existen como categoría dentro del ordenamiento normativo.</w:t>
      </w:r>
    </w:p>
    <w:p w14:paraId="483EF6C4" w14:textId="77777777" w:rsidR="000E5D20" w:rsidRPr="00140FFB" w:rsidRDefault="000E5D20" w:rsidP="000E5D20">
      <w:pPr>
        <w:spacing w:before="120" w:line="276" w:lineRule="auto"/>
        <w:ind w:firstLine="709"/>
        <w:jc w:val="both"/>
        <w:rPr>
          <w:rFonts w:ascii="Arial" w:hAnsi="Arial" w:cs="Arial"/>
          <w:color w:val="000000" w:themeColor="text1"/>
        </w:rPr>
      </w:pPr>
      <w:r w:rsidRPr="00140FFB">
        <w:rPr>
          <w:rFonts w:ascii="Arial" w:hAnsi="Arial" w:cs="Arial"/>
          <w:bCs/>
          <w:color w:val="000000" w:themeColor="text1"/>
        </w:rPr>
        <w:t>a)</w:t>
      </w:r>
      <w:r w:rsidRPr="00140FFB">
        <w:rPr>
          <w:rFonts w:ascii="Arial" w:hAnsi="Arial" w:cs="Arial"/>
          <w:color w:val="000000" w:themeColor="text1"/>
        </w:rPr>
        <w:t xml:space="preserve"> El artículo 2.2.1.2.4.2.2. del Decreto 1082 de 2015 establece los requisitos que se deben acreditar en las “convocatorias limitadas a </w:t>
      </w:r>
      <w:proofErr w:type="spellStart"/>
      <w:r w:rsidRPr="00140FFB">
        <w:rPr>
          <w:rFonts w:ascii="Arial" w:hAnsi="Arial" w:cs="Arial"/>
          <w:color w:val="000000" w:themeColor="text1"/>
        </w:rPr>
        <w:t>Mipymes</w:t>
      </w:r>
      <w:proofErr w:type="spellEnd"/>
      <w:r w:rsidRPr="00140FFB">
        <w:rPr>
          <w:rFonts w:ascii="Arial" w:hAnsi="Arial" w:cs="Arial"/>
          <w:color w:val="000000" w:themeColor="text1"/>
        </w:rPr>
        <w:t>”. El primer elemento delimitador del ámbito de aplicación de esta norma deriva del primer inciso en donde se estable que “</w:t>
      </w:r>
      <w:r w:rsidRPr="00140FFB">
        <w:rPr>
          <w:rFonts w:ascii="Arial" w:hAnsi="Arial" w:cs="Arial"/>
          <w:color w:val="000000"/>
        </w:rPr>
        <w:t xml:space="preserve">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w:t>
      </w:r>
      <w:proofErr w:type="spellStart"/>
      <w:r w:rsidRPr="00140FFB">
        <w:rPr>
          <w:rFonts w:ascii="Arial" w:hAnsi="Arial" w:cs="Arial"/>
          <w:color w:val="000000"/>
        </w:rPr>
        <w:t>Mipyme</w:t>
      </w:r>
      <w:proofErr w:type="spellEnd"/>
      <w:r w:rsidRPr="00140FFB">
        <w:rPr>
          <w:rFonts w:ascii="Arial" w:hAnsi="Arial" w:cs="Arial"/>
          <w:color w:val="000000"/>
        </w:rPr>
        <w:t xml:space="preserve"> colombianas con mínimo un (1) año de existencia […]”. Esta redacción obedece a un cambio introducido por el Decreto 1860 de 2021, el cual solo permitía la limitación a </w:t>
      </w:r>
      <w:proofErr w:type="spellStart"/>
      <w:r w:rsidRPr="00140FFB">
        <w:rPr>
          <w:rFonts w:ascii="Arial" w:hAnsi="Arial" w:cs="Arial"/>
          <w:color w:val="000000"/>
        </w:rPr>
        <w:t>mipymes</w:t>
      </w:r>
      <w:proofErr w:type="spellEnd"/>
      <w:r w:rsidRPr="00140FFB">
        <w:rPr>
          <w:rFonts w:ascii="Arial" w:hAnsi="Arial" w:cs="Arial"/>
          <w:color w:val="000000"/>
        </w:rPr>
        <w:t xml:space="preserve"> nacionales en los procedimientos de licitación pública, selección abreviada y concurso de méritos.</w:t>
      </w:r>
      <w:r w:rsidRPr="00140FFB">
        <w:rPr>
          <w:rFonts w:ascii="Arial" w:hAnsi="Arial" w:cs="Arial"/>
          <w:color w:val="000000" w:themeColor="text1"/>
        </w:rPr>
        <w:t xml:space="preserve"> </w:t>
      </w:r>
    </w:p>
    <w:p w14:paraId="328D994B" w14:textId="77777777" w:rsidR="000E5D20" w:rsidRPr="00140FFB" w:rsidRDefault="000E5D20" w:rsidP="000E5D20">
      <w:pPr>
        <w:spacing w:before="120" w:line="276" w:lineRule="auto"/>
        <w:ind w:firstLine="709"/>
        <w:jc w:val="both"/>
        <w:rPr>
          <w:rFonts w:ascii="Arial" w:hAnsi="Arial" w:cs="Arial"/>
          <w:color w:val="000000" w:themeColor="text1"/>
        </w:rPr>
      </w:pPr>
      <w:r w:rsidRPr="00140FFB">
        <w:rPr>
          <w:rFonts w:ascii="Arial" w:hAnsi="Arial" w:cs="Arial"/>
          <w:color w:val="000000" w:themeColor="text1"/>
        </w:rPr>
        <w:t xml:space="preserve">El numeral primero limita cuantitativamente los procesos contractuales en los que se puede hacer esa “convocatoria limitada a </w:t>
      </w:r>
      <w:proofErr w:type="spellStart"/>
      <w:r w:rsidRPr="00140FFB">
        <w:rPr>
          <w:rFonts w:ascii="Arial" w:hAnsi="Arial" w:cs="Arial"/>
          <w:color w:val="000000" w:themeColor="text1"/>
        </w:rPr>
        <w:t>Mipymes</w:t>
      </w:r>
      <w:proofErr w:type="spellEnd"/>
      <w:r w:rsidRPr="00140FFB">
        <w:rPr>
          <w:rFonts w:ascii="Arial" w:hAnsi="Arial" w:cs="Arial"/>
          <w:color w:val="000000" w:themeColor="text1"/>
        </w:rPr>
        <w:t>”, en la medida en que el valor del proceso de contratación tendrá que ser “menor a ciento veinticinco mil dólares de los Estados Unidos de América”. Esta limitante, valga la pena aclarar, es establecida de acuerdo con la tasa que, para el efecto, determine cada dos años el Ministerio de Comercio, Industria y Turismo. Nótese que la norma no hace referencia a la tasa de cambio representativa del mercado –TRM</w:t>
      </w:r>
      <w:r w:rsidRPr="00140FFB">
        <w:rPr>
          <w:rStyle w:val="Refdenotaalpie"/>
          <w:rFonts w:ascii="Arial" w:hAnsi="Arial" w:cs="Arial"/>
          <w:color w:val="000000" w:themeColor="text1"/>
        </w:rPr>
        <w:footnoteReference w:id="27"/>
      </w:r>
      <w:r w:rsidRPr="00140FFB">
        <w:rPr>
          <w:rFonts w:ascii="Arial" w:hAnsi="Arial" w:cs="Arial"/>
          <w:color w:val="000000" w:themeColor="text1"/>
        </w:rPr>
        <w:t>–, establecida diariamente por la Superintendencia Financiera de Colombia, según lo que establece el artículo 40 de la Resolución Externa No. 1 de 2018 y la Circular Reglamentaria Externa- DODM-146, ambas expedidas por el Banco de la República.</w:t>
      </w:r>
    </w:p>
    <w:p w14:paraId="7D3E8EC9" w14:textId="77777777" w:rsidR="000E5D20" w:rsidRPr="00140FFB" w:rsidRDefault="000E5D20" w:rsidP="000E5D20">
      <w:pPr>
        <w:spacing w:before="120" w:line="276" w:lineRule="auto"/>
        <w:ind w:firstLine="709"/>
        <w:jc w:val="both"/>
        <w:rPr>
          <w:rFonts w:ascii="Arial" w:hAnsi="Arial" w:cs="Arial"/>
          <w:color w:val="000000" w:themeColor="text1"/>
        </w:rPr>
      </w:pPr>
      <w:r w:rsidRPr="00140FFB">
        <w:rPr>
          <w:rFonts w:ascii="Arial" w:hAnsi="Arial" w:cs="Arial"/>
          <w:color w:val="000000" w:themeColor="text1"/>
        </w:rPr>
        <w:t>Para establecer dicha tasa, el Ministerio toma en cuenta como parámetros, por un lado, el promedio de la TRM</w:t>
      </w:r>
      <w:r w:rsidRPr="00140FFB">
        <w:rPr>
          <w:rStyle w:val="Refdenotaalpie"/>
          <w:rFonts w:ascii="Arial" w:hAnsi="Arial" w:cs="Arial"/>
          <w:color w:val="000000" w:themeColor="text1"/>
        </w:rPr>
        <w:footnoteReference w:id="28"/>
      </w:r>
      <w:r w:rsidRPr="00140FFB">
        <w:rPr>
          <w:rFonts w:ascii="Arial" w:hAnsi="Arial" w:cs="Arial"/>
          <w:color w:val="000000" w:themeColor="text1"/>
        </w:rPr>
        <w:t xml:space="preserve"> de los dos años anteriores al periodo a calcular y, por el otro, los “veinticinco mil dólares de los Estados Unidos de América” a los que se refiere el numeral 1º del artículo 2.2.1.2.4.2.2. del Decreto 1082 de 2015. Así lo ha hecho para los </w:t>
      </w:r>
      <w:r w:rsidRPr="00140FFB">
        <w:rPr>
          <w:rFonts w:ascii="Arial" w:hAnsi="Arial" w:cs="Arial"/>
          <w:color w:val="000000" w:themeColor="text1"/>
        </w:rPr>
        <w:lastRenderedPageBreak/>
        <w:t>periodos 2015</w:t>
      </w:r>
      <w:r w:rsidRPr="00140FFB">
        <w:rPr>
          <w:rStyle w:val="Refdenotaalpie"/>
          <w:rFonts w:ascii="Arial" w:hAnsi="Arial" w:cs="Arial"/>
          <w:color w:val="000000" w:themeColor="text1"/>
        </w:rPr>
        <w:footnoteReference w:id="29"/>
      </w:r>
      <w:r w:rsidRPr="00140FFB">
        <w:rPr>
          <w:rFonts w:ascii="Arial" w:hAnsi="Arial" w:cs="Arial"/>
          <w:color w:val="000000" w:themeColor="text1"/>
        </w:rPr>
        <w:t>-2017, 2018-2019 y 2020-2021 (vigente)</w:t>
      </w:r>
      <w:r w:rsidRPr="00140FFB">
        <w:rPr>
          <w:rStyle w:val="Refdenotaalpie"/>
          <w:rFonts w:ascii="Arial" w:hAnsi="Arial" w:cs="Arial"/>
          <w:color w:val="000000" w:themeColor="text1"/>
        </w:rPr>
        <w:footnoteReference w:id="30"/>
      </w:r>
      <w:r w:rsidRPr="00140FFB">
        <w:rPr>
          <w:rFonts w:ascii="Arial" w:hAnsi="Arial" w:cs="Arial"/>
          <w:color w:val="000000" w:themeColor="text1"/>
        </w:rPr>
        <w:t xml:space="preserve">. Esta entidad, por otro lado, en ejercicio de sus competencias legales y reglamentarias, está encargada de la publicación de la información en su portal Web: </w:t>
      </w:r>
      <w:hyperlink r:id="rId12" w:history="1">
        <w:r w:rsidRPr="00140FFB">
          <w:rPr>
            <w:rStyle w:val="Hipervnculo"/>
            <w:rFonts w:ascii="Arial" w:hAnsi="Arial" w:cs="Arial"/>
          </w:rPr>
          <w:t>https://www.colombiacompra.gov.co/</w:t>
        </w:r>
      </w:hyperlink>
      <w:r w:rsidRPr="00140FFB">
        <w:rPr>
          <w:rFonts w:ascii="Arial" w:hAnsi="Arial" w:cs="Arial"/>
          <w:color w:val="000000" w:themeColor="text1"/>
        </w:rPr>
        <w:t>.</w:t>
      </w:r>
    </w:p>
    <w:p w14:paraId="63F8AC3B" w14:textId="77777777" w:rsidR="000E5D20" w:rsidRPr="00140FFB" w:rsidRDefault="000E5D20" w:rsidP="000E5D20">
      <w:pPr>
        <w:spacing w:before="120" w:line="276" w:lineRule="auto"/>
        <w:ind w:firstLine="709"/>
        <w:jc w:val="both"/>
        <w:rPr>
          <w:rFonts w:ascii="Arial" w:hAnsi="Arial" w:cs="Arial"/>
          <w:color w:val="000000" w:themeColor="text1"/>
        </w:rPr>
      </w:pPr>
      <w:r w:rsidRPr="00140FFB">
        <w:rPr>
          <w:rFonts w:ascii="Arial" w:hAnsi="Arial" w:cs="Arial"/>
          <w:color w:val="000000" w:themeColor="text1"/>
        </w:rPr>
        <w:t xml:space="preserve">El numeral segundo establece dos exigencias: por un lado, que al menos dos (2) </w:t>
      </w:r>
      <w:proofErr w:type="spellStart"/>
      <w:r w:rsidRPr="00140FFB">
        <w:rPr>
          <w:rFonts w:ascii="Arial" w:hAnsi="Arial" w:cs="Arial"/>
          <w:color w:val="000000" w:themeColor="text1"/>
        </w:rPr>
        <w:t>Mipymes</w:t>
      </w:r>
      <w:proofErr w:type="spellEnd"/>
      <w:r w:rsidRPr="00140FFB">
        <w:rPr>
          <w:rFonts w:ascii="Arial" w:hAnsi="Arial" w:cs="Arial"/>
          <w:color w:val="000000" w:themeColor="text1"/>
        </w:rPr>
        <w:t xml:space="preserve"> nacionales presenten a la entidad la solicitud formal de limitar el proceso contractual; y por el otro, que hagan la solicitud por lo menos un (1) día hábil antes de la expedición del acto administrativo de apertura, o el que haga sus veces de acuerdo con la normativa aplicable a cada Proceso de Contratación. Adicionalmente, el segundo inciso del numeral 2 de la norma indica que, tratándose de personas jurídicas, las solicitudes solo podrán realizarla las “[…] </w:t>
      </w:r>
      <w:proofErr w:type="spellStart"/>
      <w:r w:rsidRPr="00140FFB">
        <w:rPr>
          <w:rFonts w:ascii="Arial" w:hAnsi="Arial" w:cs="Arial"/>
          <w:color w:val="000000" w:themeColor="text1"/>
        </w:rPr>
        <w:t>Mipyme</w:t>
      </w:r>
      <w:proofErr w:type="spellEnd"/>
      <w:r w:rsidRPr="00140FFB">
        <w:rPr>
          <w:rFonts w:ascii="Arial" w:hAnsi="Arial" w:cs="Arial"/>
          <w:color w:val="000000" w:themeColor="text1"/>
        </w:rPr>
        <w:t>, cuyo objeto social les permita ejecutar el contrato relacionado con el proceso contractual”.</w:t>
      </w:r>
    </w:p>
    <w:p w14:paraId="55F42CF9" w14:textId="77777777" w:rsidR="000E5D20" w:rsidRPr="00140FFB" w:rsidRDefault="000E5D20" w:rsidP="000E5D20">
      <w:pPr>
        <w:spacing w:before="120" w:line="276" w:lineRule="auto"/>
        <w:ind w:firstLine="708"/>
        <w:jc w:val="both"/>
        <w:rPr>
          <w:rFonts w:ascii="Arial" w:hAnsi="Arial" w:cs="Arial"/>
          <w:color w:val="000000" w:themeColor="text1"/>
        </w:rPr>
      </w:pPr>
      <w:r w:rsidRPr="00140FFB">
        <w:rPr>
          <w:rFonts w:ascii="Arial" w:hAnsi="Arial" w:cs="Arial"/>
          <w:color w:val="000000" w:themeColor="text1"/>
        </w:rPr>
        <w:t xml:space="preserve">b) Cumplidos los dos requisitos del artículo 2.2.1.2.4.2.2. </w:t>
      </w:r>
      <w:proofErr w:type="spellStart"/>
      <w:r w:rsidRPr="00140FFB">
        <w:rPr>
          <w:rFonts w:ascii="Arial" w:hAnsi="Arial" w:cs="Arial"/>
          <w:i/>
          <w:iCs/>
          <w:color w:val="000000" w:themeColor="text1"/>
        </w:rPr>
        <w:t>ibidem</w:t>
      </w:r>
      <w:proofErr w:type="spellEnd"/>
      <w:r w:rsidRPr="00140FFB">
        <w:rPr>
          <w:rFonts w:ascii="Arial" w:hAnsi="Arial" w:cs="Arial"/>
          <w:color w:val="000000" w:themeColor="text1"/>
        </w:rPr>
        <w:t xml:space="preserve">, la entidad puede ─no tiene que─ decidir si limita la convocatoria a las </w:t>
      </w:r>
      <w:proofErr w:type="spellStart"/>
      <w:r w:rsidRPr="00140FFB">
        <w:rPr>
          <w:rFonts w:ascii="Arial" w:hAnsi="Arial" w:cs="Arial"/>
          <w:color w:val="000000" w:themeColor="text1"/>
        </w:rPr>
        <w:t>Mipymes</w:t>
      </w:r>
      <w:proofErr w:type="spellEnd"/>
      <w:r w:rsidRPr="00140FFB">
        <w:rPr>
          <w:rFonts w:ascii="Arial" w:hAnsi="Arial" w:cs="Arial"/>
          <w:color w:val="000000" w:themeColor="text1"/>
        </w:rPr>
        <w:t xml:space="preserve"> nacionales domiciliadas en el municipio o departamento en el que se ejecutará el contrato</w:t>
      </w:r>
      <w:r w:rsidRPr="00140FFB">
        <w:rPr>
          <w:rFonts w:ascii="Arial" w:hAnsi="Arial" w:cs="Arial"/>
          <w:color w:val="000000" w:themeColor="text1"/>
          <w:vertAlign w:val="superscript"/>
        </w:rPr>
        <w:footnoteReference w:id="31"/>
      </w:r>
      <w:r w:rsidRPr="00140FFB">
        <w:rPr>
          <w:rFonts w:ascii="Arial" w:hAnsi="Arial" w:cs="Arial"/>
          <w:color w:val="000000" w:themeColor="text1"/>
        </w:rPr>
        <w:t xml:space="preserve">. Esto de acuerdo con lo establecido en artículo 2.2.1.2.4.2.3. del Decreto 1082 de 2015, norma que se refiere a la facultad de la administración con el verbo infinitivo “poder”, no “deber”. En cualquier caso, </w:t>
      </w:r>
      <w:r w:rsidRPr="00140FFB">
        <w:rPr>
          <w:rFonts w:ascii="Arial" w:eastAsia="Calibri" w:hAnsi="Arial" w:cs="Arial"/>
          <w:color w:val="000000" w:themeColor="text1"/>
        </w:rPr>
        <w:t xml:space="preserve">Colombia Compra Eficiente ha sostenido que es discrecional la decisión de limitar territorialmente una convocatoria de </w:t>
      </w:r>
      <w:proofErr w:type="spellStart"/>
      <w:r w:rsidRPr="00140FFB">
        <w:rPr>
          <w:rFonts w:ascii="Arial" w:eastAsia="Calibri" w:hAnsi="Arial" w:cs="Arial"/>
          <w:color w:val="000000" w:themeColor="text1"/>
        </w:rPr>
        <w:t>Mipymes</w:t>
      </w:r>
      <w:proofErr w:type="spellEnd"/>
      <w:r w:rsidRPr="00140FFB">
        <w:rPr>
          <w:rFonts w:ascii="Arial" w:eastAsia="Calibri" w:hAnsi="Arial" w:cs="Arial"/>
          <w:color w:val="000000" w:themeColor="text1"/>
        </w:rPr>
        <w:t xml:space="preserve">, y ha precisado que, de todos modos, la decisión debe estar justificada en los correspondientes “estudios del sector”. Así lo consideró en la consulta No. 216130003241, resuelta el 30 de junio de 2016. Igualmente, en la consulta resuelta en el radicado No. 2201813000008184, del 7 de septiembre de 2018, se dijo que, de acuerdo con el </w:t>
      </w:r>
      <w:r w:rsidRPr="00140FFB">
        <w:rPr>
          <w:rFonts w:ascii="Arial" w:hAnsi="Arial" w:cs="Arial"/>
          <w:color w:val="000000" w:themeColor="text1"/>
        </w:rPr>
        <w:t>artículo 2.2.1.2.4.2.3. del Decreto 1082 de 2015,</w:t>
      </w:r>
      <w:r w:rsidRPr="00140FFB">
        <w:rPr>
          <w:rFonts w:ascii="Arial" w:eastAsia="Calibri" w:hAnsi="Arial" w:cs="Arial"/>
          <w:color w:val="000000" w:themeColor="text1"/>
        </w:rPr>
        <w:t xml:space="preserve"> las </w:t>
      </w:r>
      <w:proofErr w:type="spellStart"/>
      <w:r w:rsidRPr="00140FFB">
        <w:rPr>
          <w:rFonts w:ascii="Arial" w:eastAsia="Calibri" w:hAnsi="Arial" w:cs="Arial"/>
          <w:color w:val="000000" w:themeColor="text1"/>
        </w:rPr>
        <w:t>Mipymes</w:t>
      </w:r>
      <w:proofErr w:type="spellEnd"/>
      <w:r w:rsidRPr="00140FFB">
        <w:rPr>
          <w:rFonts w:ascii="Arial" w:eastAsia="Calibri" w:hAnsi="Arial" w:cs="Arial"/>
          <w:color w:val="000000" w:themeColor="text1"/>
        </w:rPr>
        <w:t xml:space="preserve"> beneficiadas deben tener su domicilio principal en el municipio o departamento donde se ejecutará el contrato para poder participar en una convocatoria limitada territorialmente</w:t>
      </w:r>
      <w:r w:rsidRPr="00140FFB">
        <w:rPr>
          <w:rStyle w:val="Refdenotaalpie"/>
          <w:rFonts w:ascii="Arial" w:hAnsi="Arial" w:cs="Arial"/>
          <w:color w:val="000000" w:themeColor="text1"/>
        </w:rPr>
        <w:footnoteReference w:id="32"/>
      </w:r>
      <w:r w:rsidRPr="00140FFB">
        <w:rPr>
          <w:rFonts w:ascii="Arial" w:hAnsi="Arial" w:cs="Arial"/>
          <w:color w:val="000000" w:themeColor="text1"/>
        </w:rPr>
        <w:t>.</w:t>
      </w:r>
    </w:p>
    <w:p w14:paraId="136E289F" w14:textId="1283E5FA" w:rsidR="000E5D20" w:rsidRPr="00140FFB" w:rsidRDefault="000E5D20" w:rsidP="000E5D20">
      <w:pPr>
        <w:spacing w:before="120" w:line="276" w:lineRule="auto"/>
        <w:ind w:firstLine="709"/>
        <w:jc w:val="both"/>
        <w:rPr>
          <w:rFonts w:ascii="Arial" w:eastAsia="Calibri" w:hAnsi="Arial" w:cs="Arial"/>
          <w:color w:val="000000" w:themeColor="text1"/>
        </w:rPr>
      </w:pPr>
      <w:r w:rsidRPr="00140FFB">
        <w:rPr>
          <w:rFonts w:ascii="Arial" w:eastAsia="Calibri" w:hAnsi="Arial" w:cs="Arial"/>
          <w:color w:val="000000" w:themeColor="text1"/>
        </w:rPr>
        <w:t xml:space="preserve">Conforme se mencionó antes, los artículos </w:t>
      </w:r>
      <w:r w:rsidRPr="00140FFB">
        <w:rPr>
          <w:rFonts w:ascii="Arial" w:hAnsi="Arial" w:cs="Arial"/>
          <w:color w:val="000000" w:themeColor="text1"/>
        </w:rPr>
        <w:t>2.2.1.2.4.2.2 y 2.2.1.2.4.2.3</w:t>
      </w:r>
      <w:r w:rsidRPr="00140FFB">
        <w:rPr>
          <w:rFonts w:ascii="Arial" w:eastAsia="Calibri" w:hAnsi="Arial" w:cs="Arial"/>
          <w:color w:val="000000" w:themeColor="text1"/>
        </w:rPr>
        <w:t xml:space="preserve"> deben ser interpretados de manera armónica, comoquiera que para proceder a hacer una limitación territorial es indispensable que se cumplan, no solo </w:t>
      </w:r>
      <w:r w:rsidR="00CF487D">
        <w:rPr>
          <w:rFonts w:ascii="Arial" w:eastAsia="Calibri" w:hAnsi="Arial" w:cs="Arial"/>
          <w:color w:val="000000" w:themeColor="text1"/>
        </w:rPr>
        <w:t>el</w:t>
      </w:r>
      <w:r w:rsidRPr="00140FFB">
        <w:rPr>
          <w:rFonts w:ascii="Arial" w:eastAsia="Calibri" w:hAnsi="Arial" w:cs="Arial"/>
          <w:color w:val="000000" w:themeColor="text1"/>
        </w:rPr>
        <w:t xml:space="preserve"> presupuest</w:t>
      </w:r>
      <w:r w:rsidR="00CF487D">
        <w:rPr>
          <w:rFonts w:ascii="Arial" w:eastAsia="Calibri" w:hAnsi="Arial" w:cs="Arial"/>
          <w:color w:val="000000" w:themeColor="text1"/>
        </w:rPr>
        <w:t>o</w:t>
      </w:r>
      <w:r w:rsidRPr="00140FFB">
        <w:rPr>
          <w:rFonts w:ascii="Arial" w:eastAsia="Calibri" w:hAnsi="Arial" w:cs="Arial"/>
          <w:color w:val="000000" w:themeColor="text1"/>
        </w:rPr>
        <w:t xml:space="preserve"> establecido en el artículo </w:t>
      </w:r>
      <w:r w:rsidRPr="00140FFB">
        <w:rPr>
          <w:rFonts w:ascii="Arial" w:hAnsi="Arial" w:cs="Arial"/>
          <w:color w:val="000000" w:themeColor="text1"/>
        </w:rPr>
        <w:lastRenderedPageBreak/>
        <w:t>2.2.1.2.4.2.3.–</w:t>
      </w:r>
      <w:r w:rsidRPr="00140FFB">
        <w:rPr>
          <w:rFonts w:ascii="Arial" w:hAnsi="Arial" w:cs="Arial"/>
          <w:b/>
          <w:color w:val="000000" w:themeColor="text1"/>
        </w:rPr>
        <w:t>domicilio</w:t>
      </w:r>
      <w:r w:rsidRPr="00140FFB">
        <w:rPr>
          <w:rFonts w:ascii="Arial" w:hAnsi="Arial" w:cs="Arial"/>
          <w:color w:val="000000" w:themeColor="text1"/>
        </w:rPr>
        <w:t xml:space="preserve"> en el municipio o departamento de ejecución del contrato–, sino también los establecidos en el artículo </w:t>
      </w:r>
      <w:r w:rsidRPr="00140FFB">
        <w:rPr>
          <w:rFonts w:ascii="Arial" w:eastAsia="Calibri" w:hAnsi="Arial" w:cs="Arial"/>
          <w:color w:val="000000" w:themeColor="text1"/>
        </w:rPr>
        <w:t xml:space="preserve">2.2.1.2.4.2.2 –valor del proceso de contratación en el rango indicado y solicitudes de al menos dos </w:t>
      </w:r>
      <w:proofErr w:type="spellStart"/>
      <w:r w:rsidRPr="00140FFB">
        <w:rPr>
          <w:rFonts w:ascii="Arial" w:eastAsia="Calibri" w:hAnsi="Arial" w:cs="Arial"/>
          <w:color w:val="000000" w:themeColor="text1"/>
        </w:rPr>
        <w:t>mipymes</w:t>
      </w:r>
      <w:proofErr w:type="spellEnd"/>
      <w:r w:rsidRPr="00140FFB">
        <w:rPr>
          <w:rFonts w:ascii="Arial" w:eastAsia="Calibri" w:hAnsi="Arial" w:cs="Arial"/>
          <w:color w:val="000000" w:themeColor="text1"/>
        </w:rPr>
        <w:t xml:space="preserve"> presentadas oportunamente–. En ese sentido, para que proceda la limitación territorial es necesario que se presenten al menos dos solicitudes de </w:t>
      </w:r>
      <w:proofErr w:type="spellStart"/>
      <w:r w:rsidRPr="00140FFB">
        <w:rPr>
          <w:rFonts w:ascii="Arial" w:eastAsia="Calibri" w:hAnsi="Arial" w:cs="Arial"/>
          <w:color w:val="000000" w:themeColor="text1"/>
        </w:rPr>
        <w:t>mipymes</w:t>
      </w:r>
      <w:proofErr w:type="spellEnd"/>
      <w:r w:rsidRPr="00140FFB">
        <w:rPr>
          <w:rFonts w:ascii="Arial" w:eastAsia="Calibri" w:hAnsi="Arial" w:cs="Arial"/>
          <w:color w:val="000000" w:themeColor="text1"/>
        </w:rPr>
        <w:t xml:space="preserve"> domiciliadas en el departamento o municipio en donde se va a ejecutar el contrato. Este entendimiento de la norma, sin embargo, da lugar a dos interpretaciones sobre las que se deben hacer unas precisiones.</w:t>
      </w:r>
    </w:p>
    <w:p w14:paraId="04191F47" w14:textId="77777777" w:rsidR="000E5D20" w:rsidRPr="00140FFB" w:rsidRDefault="000E5D20" w:rsidP="000E5D20">
      <w:pPr>
        <w:spacing w:before="120" w:line="276" w:lineRule="auto"/>
        <w:ind w:firstLine="709"/>
        <w:jc w:val="both"/>
        <w:rPr>
          <w:rFonts w:ascii="Arial" w:eastAsia="Calibri" w:hAnsi="Arial" w:cs="Arial"/>
          <w:color w:val="000000" w:themeColor="text1"/>
        </w:rPr>
      </w:pPr>
      <w:r w:rsidRPr="00140FFB">
        <w:rPr>
          <w:rFonts w:ascii="Arial" w:eastAsia="Calibri" w:hAnsi="Arial" w:cs="Arial"/>
          <w:color w:val="000000" w:themeColor="text1"/>
        </w:rPr>
        <w:t xml:space="preserve">Por un lado, supone que la decisión de limitar territorialmente la convocatoria opera de pleno derecho, cuando lo solicitan dos </w:t>
      </w:r>
      <w:proofErr w:type="spellStart"/>
      <w:r w:rsidRPr="00140FFB">
        <w:rPr>
          <w:rFonts w:ascii="Arial" w:eastAsia="Calibri" w:hAnsi="Arial" w:cs="Arial"/>
          <w:color w:val="000000" w:themeColor="text1"/>
        </w:rPr>
        <w:t>Mipymes</w:t>
      </w:r>
      <w:proofErr w:type="spellEnd"/>
      <w:r w:rsidRPr="00140FFB">
        <w:rPr>
          <w:rFonts w:ascii="Arial" w:eastAsia="Calibri" w:hAnsi="Arial" w:cs="Arial"/>
          <w:color w:val="000000" w:themeColor="text1"/>
        </w:rPr>
        <w:t xml:space="preserve"> nacionales domiciliadas en el municipio o en el departamento en el que se va a ejecutar el contrato. Sin embargo, se debe tener presente que lo que sucede de pleno derecho es la limitación a </w:t>
      </w:r>
      <w:proofErr w:type="spellStart"/>
      <w:r w:rsidRPr="00140FFB">
        <w:rPr>
          <w:rFonts w:ascii="Arial" w:eastAsia="Calibri" w:hAnsi="Arial" w:cs="Arial"/>
          <w:color w:val="000000" w:themeColor="text1"/>
        </w:rPr>
        <w:t>Mipymes</w:t>
      </w:r>
      <w:proofErr w:type="spellEnd"/>
      <w:r w:rsidRPr="00140FFB">
        <w:rPr>
          <w:rFonts w:ascii="Arial" w:eastAsia="Calibri" w:hAnsi="Arial" w:cs="Arial"/>
          <w:color w:val="000000" w:themeColor="text1"/>
        </w:rPr>
        <w:t xml:space="preserve"> nacionales a la que se refiere el artículo 2.2.1.2.4.2.2. del Decreto 1082 de 2015, pero no la “limitación territorial” referida en el artículo 2.2.1.2.4.2.3. </w:t>
      </w:r>
      <w:r w:rsidRPr="00140FFB">
        <w:rPr>
          <w:rFonts w:ascii="Arial" w:eastAsia="Calibri" w:hAnsi="Arial" w:cs="Arial"/>
          <w:i/>
          <w:iCs/>
          <w:color w:val="000000" w:themeColor="text1"/>
        </w:rPr>
        <w:t>ibídem</w:t>
      </w:r>
      <w:r w:rsidRPr="00140FFB">
        <w:rPr>
          <w:rFonts w:ascii="Arial" w:eastAsia="Calibri" w:hAnsi="Arial" w:cs="Arial"/>
          <w:color w:val="000000" w:themeColor="text1"/>
        </w:rPr>
        <w:t xml:space="preserve">, pues esta, como ya se dijo, es facultativa para la entidad. Las únicas exigencias son que la convocatoria esté limitada a las </w:t>
      </w:r>
      <w:proofErr w:type="spellStart"/>
      <w:r w:rsidRPr="00140FFB">
        <w:rPr>
          <w:rFonts w:ascii="Arial" w:eastAsia="Calibri" w:hAnsi="Arial" w:cs="Arial"/>
          <w:color w:val="000000" w:themeColor="text1"/>
        </w:rPr>
        <w:t>Mipyme</w:t>
      </w:r>
      <w:proofErr w:type="spellEnd"/>
      <w:r w:rsidRPr="00140FFB">
        <w:rPr>
          <w:rFonts w:ascii="Arial" w:eastAsia="Calibri" w:hAnsi="Arial" w:cs="Arial"/>
          <w:color w:val="000000" w:themeColor="text1"/>
        </w:rPr>
        <w:t xml:space="preserve"> nacionales “domiciliadas en los departamentos o municipios en donde se va a ejecutar el contrato” y que la entidad justifique su decisión en los “estudios del sector”. No es procedente, entonces, que sean las </w:t>
      </w:r>
      <w:proofErr w:type="spellStart"/>
      <w:r w:rsidRPr="00140FFB">
        <w:rPr>
          <w:rFonts w:ascii="Arial" w:eastAsia="Calibri" w:hAnsi="Arial" w:cs="Arial"/>
          <w:color w:val="000000" w:themeColor="text1"/>
        </w:rPr>
        <w:t>Mipymes</w:t>
      </w:r>
      <w:proofErr w:type="spellEnd"/>
      <w:r w:rsidRPr="00140FFB">
        <w:rPr>
          <w:rFonts w:ascii="Arial" w:eastAsia="Calibri" w:hAnsi="Arial" w:cs="Arial"/>
          <w:color w:val="000000" w:themeColor="text1"/>
        </w:rPr>
        <w:t xml:space="preserve"> las que soliciten la “limitación territorial” a la que se refiere el artículo 2.2.1.2.4.2.3. del Decreto 1082 de 2015.</w:t>
      </w:r>
    </w:p>
    <w:p w14:paraId="52D18D28" w14:textId="77777777" w:rsidR="000E5D20" w:rsidRPr="00140FFB" w:rsidRDefault="000E5D20" w:rsidP="000E5D20">
      <w:pPr>
        <w:spacing w:before="120" w:line="276" w:lineRule="auto"/>
        <w:ind w:firstLine="709"/>
        <w:jc w:val="both"/>
        <w:rPr>
          <w:rFonts w:ascii="Arial" w:eastAsia="Calibri" w:hAnsi="Arial" w:cs="Arial"/>
          <w:color w:val="000000" w:themeColor="text1"/>
        </w:rPr>
      </w:pPr>
      <w:r w:rsidRPr="00140FFB">
        <w:rPr>
          <w:rFonts w:ascii="Arial" w:eastAsia="Calibri" w:hAnsi="Arial" w:cs="Arial"/>
          <w:color w:val="000000" w:themeColor="text1"/>
        </w:rPr>
        <w:t xml:space="preserve">Es del caso insistir en que si la entidad ejerce la facultad que le confiere el artículo 2.2.1.2.4.2.3. del Decreto 1082 de 2015, tendrá que justificar dicha decisión, acudiendo a criterios técnicos y económicos, y en todo caso, explicando concretamente las razones que justifican tal determinación. También se debe reiterar que el origen de las </w:t>
      </w:r>
      <w:proofErr w:type="spellStart"/>
      <w:r w:rsidRPr="00140FFB">
        <w:rPr>
          <w:rFonts w:ascii="Arial" w:eastAsia="Calibri" w:hAnsi="Arial" w:cs="Arial"/>
          <w:color w:val="000000" w:themeColor="text1"/>
        </w:rPr>
        <w:t>Mipymes</w:t>
      </w:r>
      <w:proofErr w:type="spellEnd"/>
      <w:r w:rsidRPr="00140FFB">
        <w:rPr>
          <w:rFonts w:ascii="Arial" w:eastAsia="Calibri" w:hAnsi="Arial" w:cs="Arial"/>
          <w:color w:val="000000" w:themeColor="text1"/>
        </w:rPr>
        <w:t xml:space="preserve"> que solicitan la “limitación territorial” no es relevante frente a dicha decisión, por dos razones. Primero, porque las </w:t>
      </w:r>
      <w:proofErr w:type="spellStart"/>
      <w:r w:rsidRPr="00140FFB">
        <w:rPr>
          <w:rFonts w:ascii="Arial" w:eastAsia="Calibri" w:hAnsi="Arial" w:cs="Arial"/>
          <w:color w:val="000000" w:themeColor="text1"/>
        </w:rPr>
        <w:t>Mipymes</w:t>
      </w:r>
      <w:proofErr w:type="spellEnd"/>
      <w:r w:rsidRPr="00140FFB">
        <w:rPr>
          <w:rFonts w:ascii="Arial" w:eastAsia="Calibri" w:hAnsi="Arial" w:cs="Arial"/>
          <w:color w:val="000000" w:themeColor="text1"/>
        </w:rPr>
        <w:t xml:space="preserve"> no están habilitadas para pedir la “limitación territorial”, lo están para pedir la “convocatoria limitada a </w:t>
      </w:r>
      <w:proofErr w:type="spellStart"/>
      <w:r w:rsidRPr="00140FFB">
        <w:rPr>
          <w:rFonts w:ascii="Arial" w:eastAsia="Calibri" w:hAnsi="Arial" w:cs="Arial"/>
          <w:color w:val="000000" w:themeColor="text1"/>
        </w:rPr>
        <w:t>Mipymes</w:t>
      </w:r>
      <w:proofErr w:type="spellEnd"/>
      <w:r w:rsidRPr="00140FFB">
        <w:rPr>
          <w:rFonts w:ascii="Arial" w:eastAsia="Calibri" w:hAnsi="Arial" w:cs="Arial"/>
          <w:color w:val="000000" w:themeColor="text1"/>
        </w:rPr>
        <w:t xml:space="preserve">”, y, segundo, porque el único criterio a tener en cuenta, una vez se ha decidido justificadamente limitar territorialmente la convocatoria previamente limitada a </w:t>
      </w:r>
      <w:proofErr w:type="spellStart"/>
      <w:r w:rsidRPr="00140FFB">
        <w:rPr>
          <w:rFonts w:ascii="Arial" w:eastAsia="Calibri" w:hAnsi="Arial" w:cs="Arial"/>
          <w:color w:val="000000" w:themeColor="text1"/>
        </w:rPr>
        <w:t>Mipymes</w:t>
      </w:r>
      <w:proofErr w:type="spellEnd"/>
      <w:r w:rsidRPr="00140FFB">
        <w:rPr>
          <w:rFonts w:ascii="Arial" w:eastAsia="Calibri" w:hAnsi="Arial" w:cs="Arial"/>
          <w:color w:val="000000" w:themeColor="text1"/>
        </w:rPr>
        <w:t>, es el lugar donde se va a ejecutar el contrato.</w:t>
      </w:r>
    </w:p>
    <w:p w14:paraId="4C21115F" w14:textId="77777777" w:rsidR="000E5D20" w:rsidRPr="00140FFB" w:rsidRDefault="000E5D20" w:rsidP="000E5D20">
      <w:pPr>
        <w:spacing w:before="120" w:line="276" w:lineRule="auto"/>
        <w:ind w:firstLine="709"/>
        <w:jc w:val="both"/>
        <w:rPr>
          <w:rFonts w:ascii="Arial" w:eastAsia="Calibri" w:hAnsi="Arial" w:cs="Arial"/>
          <w:color w:val="000000" w:themeColor="text1"/>
        </w:rPr>
      </w:pPr>
      <w:r w:rsidRPr="00140FFB">
        <w:rPr>
          <w:rFonts w:ascii="Arial" w:eastAsia="Calibri" w:hAnsi="Arial" w:cs="Arial"/>
          <w:color w:val="000000" w:themeColor="text1"/>
        </w:rPr>
        <w:t xml:space="preserve">Por otro lado, supone que la decisión de la entidad únicamente puede darse si la solicitud provino de dos o más </w:t>
      </w:r>
      <w:proofErr w:type="spellStart"/>
      <w:r w:rsidRPr="00140FFB">
        <w:rPr>
          <w:rFonts w:ascii="Arial" w:eastAsia="Calibri" w:hAnsi="Arial" w:cs="Arial"/>
          <w:color w:val="000000" w:themeColor="text1"/>
        </w:rPr>
        <w:t>Mipymes</w:t>
      </w:r>
      <w:proofErr w:type="spellEnd"/>
      <w:r w:rsidRPr="00140FFB">
        <w:rPr>
          <w:rFonts w:ascii="Arial" w:eastAsia="Calibri" w:hAnsi="Arial" w:cs="Arial"/>
          <w:color w:val="000000" w:themeColor="text1"/>
        </w:rPr>
        <w:t xml:space="preserve"> domiciliadas en el municipio o departamento en donde se va a ejecutar el contrato. Sin embargo, una vez se verifican los requisitos de los numerales 1 y 2 del artículo 2.2.1.2.4.2.2. del Decreto 1082 de 2015, modificado por el Decreto 1860 de 2021, la entidad queda habilitada para decidir si limita o no la convocatoria “a </w:t>
      </w:r>
      <w:proofErr w:type="spellStart"/>
      <w:r w:rsidRPr="00140FFB">
        <w:rPr>
          <w:rFonts w:ascii="Arial" w:eastAsia="Calibri" w:hAnsi="Arial" w:cs="Arial"/>
          <w:color w:val="000000" w:themeColor="text1"/>
        </w:rPr>
        <w:t>Mipyme</w:t>
      </w:r>
      <w:proofErr w:type="spellEnd"/>
      <w:r w:rsidRPr="00140FFB">
        <w:rPr>
          <w:rFonts w:ascii="Arial" w:eastAsia="Calibri" w:hAnsi="Arial" w:cs="Arial"/>
          <w:color w:val="000000" w:themeColor="text1"/>
        </w:rPr>
        <w:t xml:space="preserve"> nacionales domiciliadas en los departamentos o municipios en donde se va a ejecutar el contrato”, sin que sea relevante el “domicilio” de las </w:t>
      </w:r>
      <w:proofErr w:type="spellStart"/>
      <w:r w:rsidRPr="00140FFB">
        <w:rPr>
          <w:rFonts w:ascii="Arial" w:eastAsia="Calibri" w:hAnsi="Arial" w:cs="Arial"/>
          <w:color w:val="000000" w:themeColor="text1"/>
        </w:rPr>
        <w:t>Mipymes</w:t>
      </w:r>
      <w:proofErr w:type="spellEnd"/>
      <w:r w:rsidRPr="00140FFB">
        <w:rPr>
          <w:rFonts w:ascii="Arial" w:eastAsia="Calibri" w:hAnsi="Arial" w:cs="Arial"/>
          <w:color w:val="000000" w:themeColor="text1"/>
        </w:rPr>
        <w:t xml:space="preserve"> nacionales que solicitaron limitar la convocatoria.</w:t>
      </w:r>
    </w:p>
    <w:p w14:paraId="2BA43B2F" w14:textId="77777777" w:rsidR="000E5D20" w:rsidRPr="00140FFB" w:rsidRDefault="000E5D20" w:rsidP="000E5D20">
      <w:pPr>
        <w:spacing w:before="120" w:line="276" w:lineRule="auto"/>
        <w:ind w:firstLine="709"/>
        <w:jc w:val="both"/>
        <w:rPr>
          <w:rFonts w:ascii="Arial" w:eastAsia="Calibri" w:hAnsi="Arial" w:cs="Arial"/>
          <w:color w:val="000000" w:themeColor="text1"/>
        </w:rPr>
      </w:pPr>
      <w:r w:rsidRPr="00140FFB">
        <w:rPr>
          <w:rFonts w:ascii="Arial" w:eastAsia="Calibri" w:hAnsi="Arial" w:cs="Arial"/>
          <w:color w:val="000000" w:themeColor="text1"/>
        </w:rPr>
        <w:t xml:space="preserve">Puede pasar, por ejemplo, que dos </w:t>
      </w:r>
      <w:proofErr w:type="spellStart"/>
      <w:r w:rsidRPr="00140FFB">
        <w:rPr>
          <w:rFonts w:ascii="Arial" w:eastAsia="Calibri" w:hAnsi="Arial" w:cs="Arial"/>
          <w:color w:val="000000" w:themeColor="text1"/>
        </w:rPr>
        <w:t>Mipymes</w:t>
      </w:r>
      <w:proofErr w:type="spellEnd"/>
      <w:r w:rsidRPr="00140FFB">
        <w:rPr>
          <w:rFonts w:ascii="Arial" w:eastAsia="Calibri" w:hAnsi="Arial" w:cs="Arial"/>
          <w:color w:val="000000" w:themeColor="text1"/>
        </w:rPr>
        <w:t xml:space="preserve"> nacionales domiciliadas en la capital de la República soliciten la limitación de un proceso contractual iniciado por el Distrito de </w:t>
      </w:r>
      <w:r w:rsidRPr="00140FFB">
        <w:rPr>
          <w:rFonts w:ascii="Arial" w:eastAsia="Calibri" w:hAnsi="Arial" w:cs="Arial"/>
          <w:color w:val="000000" w:themeColor="text1"/>
        </w:rPr>
        <w:lastRenderedPageBreak/>
        <w:t xml:space="preserve">Bogotá, para un contrato a ejecutar allí mismo. En ese caso, la entidad tendría que limitar el proceso a </w:t>
      </w:r>
      <w:proofErr w:type="spellStart"/>
      <w:r w:rsidRPr="00140FFB">
        <w:rPr>
          <w:rFonts w:ascii="Arial" w:eastAsia="Calibri" w:hAnsi="Arial" w:cs="Arial"/>
          <w:color w:val="000000" w:themeColor="text1"/>
        </w:rPr>
        <w:t>Mipymes</w:t>
      </w:r>
      <w:proofErr w:type="spellEnd"/>
      <w:r w:rsidRPr="00140FFB">
        <w:rPr>
          <w:rFonts w:ascii="Arial" w:eastAsia="Calibri" w:hAnsi="Arial" w:cs="Arial"/>
          <w:color w:val="000000" w:themeColor="text1"/>
        </w:rPr>
        <w:t xml:space="preserve"> nacionales, claro está, siempre que se cumplan los requisitos legales, pero se reservaría la posibilidad de limitar el proceso contractual a las </w:t>
      </w:r>
      <w:proofErr w:type="spellStart"/>
      <w:r w:rsidRPr="00140FFB">
        <w:rPr>
          <w:rFonts w:ascii="Arial" w:eastAsia="Calibri" w:hAnsi="Arial" w:cs="Arial"/>
          <w:color w:val="000000" w:themeColor="text1"/>
        </w:rPr>
        <w:t>Mipymes</w:t>
      </w:r>
      <w:proofErr w:type="spellEnd"/>
      <w:r w:rsidRPr="00140FFB">
        <w:rPr>
          <w:rFonts w:ascii="Arial" w:eastAsia="Calibri" w:hAnsi="Arial" w:cs="Arial"/>
          <w:color w:val="000000" w:themeColor="text1"/>
        </w:rPr>
        <w:t xml:space="preserve"> nacionales domiciliadas en Bogotá o Cundinamarca, por ser el lugar de ejecución del contrato. Pero también puede acontecer que aquellas le soliciten al municipio de Medellín que limite un trámite adelantado en esa entidad territorial. En este caso, si se cumplen las exigencias del artículo 2.2.1.2.4.2.2. del Decreto 1082 de 2015, el municipio tendrá que limitar el proceso a </w:t>
      </w:r>
      <w:proofErr w:type="spellStart"/>
      <w:r w:rsidRPr="00140FFB">
        <w:rPr>
          <w:rFonts w:ascii="Arial" w:eastAsia="Calibri" w:hAnsi="Arial" w:cs="Arial"/>
          <w:color w:val="000000" w:themeColor="text1"/>
        </w:rPr>
        <w:t>Mipymes</w:t>
      </w:r>
      <w:proofErr w:type="spellEnd"/>
      <w:r w:rsidRPr="00140FFB">
        <w:rPr>
          <w:rFonts w:ascii="Arial" w:eastAsia="Calibri" w:hAnsi="Arial" w:cs="Arial"/>
          <w:color w:val="000000" w:themeColor="text1"/>
        </w:rPr>
        <w:t xml:space="preserve"> nacionales y puede decidir si, además, lo limita territorialmente. En este último evento es irrelevante que las solicitantes tengan su domicilio en Bogotá o, incluso, que lo tuvieran en diferentes lugares del país. De todos modos, el municipio de Medellín solo podrá limitar “a </w:t>
      </w:r>
      <w:proofErr w:type="spellStart"/>
      <w:r w:rsidRPr="00140FFB">
        <w:rPr>
          <w:rFonts w:ascii="Arial" w:eastAsia="Calibri" w:hAnsi="Arial" w:cs="Arial"/>
          <w:color w:val="000000" w:themeColor="text1"/>
        </w:rPr>
        <w:t>Mipyme</w:t>
      </w:r>
      <w:proofErr w:type="spellEnd"/>
      <w:r w:rsidRPr="00140FFB">
        <w:rPr>
          <w:rFonts w:ascii="Arial" w:eastAsia="Calibri" w:hAnsi="Arial" w:cs="Arial"/>
          <w:color w:val="000000" w:themeColor="text1"/>
        </w:rPr>
        <w:t xml:space="preserve"> nacionales domiciliadas en los departamentos o municipios en donde se va a ejecutar el contrato”, esto es, para </w:t>
      </w:r>
      <w:proofErr w:type="spellStart"/>
      <w:r w:rsidRPr="00140FFB">
        <w:rPr>
          <w:rFonts w:ascii="Arial" w:eastAsia="Calibri" w:hAnsi="Arial" w:cs="Arial"/>
          <w:color w:val="000000" w:themeColor="text1"/>
        </w:rPr>
        <w:t>Mipymes</w:t>
      </w:r>
      <w:proofErr w:type="spellEnd"/>
      <w:r w:rsidRPr="00140FFB">
        <w:rPr>
          <w:rFonts w:ascii="Arial" w:eastAsia="Calibri" w:hAnsi="Arial" w:cs="Arial"/>
          <w:color w:val="000000" w:themeColor="text1"/>
        </w:rPr>
        <w:t xml:space="preserve"> nacionales cuyo domicilio sea en Medellín o en el departamento de Antioquia. A la misma conclusión habría que llegar, incluso, si la entidad contratante es del orden nacional, se itera, porque lo relevante aquí es el lugar de ejecución del contrato a limitar.</w:t>
      </w:r>
    </w:p>
    <w:p w14:paraId="567F5376" w14:textId="77777777" w:rsidR="000E5D20" w:rsidRPr="00140FFB" w:rsidRDefault="000E5D20" w:rsidP="000E5D20">
      <w:pPr>
        <w:spacing w:before="120" w:line="276" w:lineRule="auto"/>
        <w:ind w:firstLine="709"/>
        <w:jc w:val="both"/>
        <w:rPr>
          <w:rFonts w:ascii="Arial" w:eastAsia="Calibri" w:hAnsi="Arial" w:cs="Arial"/>
          <w:color w:val="000000" w:themeColor="text1"/>
        </w:rPr>
      </w:pPr>
      <w:r w:rsidRPr="00140FFB">
        <w:rPr>
          <w:rFonts w:ascii="Arial" w:eastAsia="Calibri" w:hAnsi="Arial" w:cs="Arial"/>
          <w:color w:val="000000" w:themeColor="text1"/>
        </w:rPr>
        <w:t>Ahora bien, en este último caso puede pasar que el contrato se vaya a ejecutar en varios municipios o departamentos. En estos eventos la entidad pública tendría que limitarlo a todos los municipios o departamentos en los que se vaya a ejecutar el contrato, siempre que decida ejercer la facultad de limitar territorialmente la convocatoria. Esto es así porque el ejercicio de la facultad a la que se refiere el artículo 2.2.1.2.4.2.3. del Decreto 1082 de 2015 debe hacerse dentro del ordenamiento jurídico, eso es, atendiendo la regla que, para esos efectos, establece el referido artículo, el cual, valga la pena decirlo, se refiere a “los municipios o departamentos” en plural y no a un municipio o a un departamento ─en singular─.</w:t>
      </w:r>
    </w:p>
    <w:p w14:paraId="6DB1CA74" w14:textId="77777777" w:rsidR="000E5D20" w:rsidRPr="00140FFB" w:rsidRDefault="000E5D20" w:rsidP="000E5D20">
      <w:pPr>
        <w:spacing w:before="120" w:line="276" w:lineRule="auto"/>
        <w:ind w:firstLine="709"/>
        <w:jc w:val="both"/>
        <w:rPr>
          <w:rFonts w:ascii="Arial" w:eastAsia="Calibri" w:hAnsi="Arial" w:cs="Arial"/>
          <w:color w:val="000000" w:themeColor="text1"/>
        </w:rPr>
      </w:pPr>
      <w:r w:rsidRPr="00140FFB">
        <w:rPr>
          <w:rFonts w:ascii="Arial" w:eastAsia="Calibri" w:hAnsi="Arial" w:cs="Arial"/>
          <w:color w:val="000000" w:themeColor="text1"/>
        </w:rPr>
        <w:t xml:space="preserve">Sin perjuicio de lo anterior, no puede perderse de vista que la decisión de limitar “a </w:t>
      </w:r>
      <w:proofErr w:type="spellStart"/>
      <w:r w:rsidRPr="00140FFB">
        <w:rPr>
          <w:rFonts w:ascii="Arial" w:eastAsia="Calibri" w:hAnsi="Arial" w:cs="Arial"/>
          <w:color w:val="000000" w:themeColor="text1"/>
        </w:rPr>
        <w:t>Mipyme</w:t>
      </w:r>
      <w:proofErr w:type="spellEnd"/>
      <w:r w:rsidRPr="00140FFB">
        <w:rPr>
          <w:rFonts w:ascii="Arial" w:eastAsia="Calibri" w:hAnsi="Arial" w:cs="Arial"/>
          <w:color w:val="000000" w:themeColor="text1"/>
        </w:rPr>
        <w:t xml:space="preserve"> nacionales domiciliadas en los departamentos o municipios en donde se va a ejecutar el contrato”, aunque es facultativa de la entidad, está supeditada a que se verifiquen los requisitos establecidos en los numerales 1 y 2 del artículo 2.2.1.2.4.2.2. del Decreto 1082 de 2015. En ese sentido, si la entidad no recibió las solicitudes para limitar la convocatoria a </w:t>
      </w:r>
      <w:proofErr w:type="spellStart"/>
      <w:r w:rsidRPr="00140FFB">
        <w:rPr>
          <w:rFonts w:ascii="Arial" w:eastAsia="Calibri" w:hAnsi="Arial" w:cs="Arial"/>
          <w:color w:val="000000" w:themeColor="text1"/>
        </w:rPr>
        <w:t>Mipymes</w:t>
      </w:r>
      <w:proofErr w:type="spellEnd"/>
      <w:r w:rsidRPr="00140FFB">
        <w:rPr>
          <w:rFonts w:ascii="Arial" w:eastAsia="Calibri" w:hAnsi="Arial" w:cs="Arial"/>
          <w:color w:val="000000" w:themeColor="text1"/>
        </w:rPr>
        <w:t xml:space="preserve">, no puede </w:t>
      </w:r>
      <w:r w:rsidRPr="00140FFB">
        <w:rPr>
          <w:rFonts w:ascii="Arial" w:eastAsia="Calibri" w:hAnsi="Arial" w:cs="Arial"/>
          <w:i/>
          <w:iCs/>
          <w:color w:val="000000" w:themeColor="text1"/>
        </w:rPr>
        <w:t xml:space="preserve">motu propio </w:t>
      </w:r>
      <w:r w:rsidRPr="00140FFB">
        <w:rPr>
          <w:rFonts w:ascii="Arial" w:eastAsia="Calibri" w:hAnsi="Arial" w:cs="Arial"/>
          <w:color w:val="000000" w:themeColor="text1"/>
        </w:rPr>
        <w:t xml:space="preserve">hacer la “limitación territorial” de que trata el artículo 2.2.1.2.4.2.3. del Decreto 1082 de 2015, ya que el ejercicio de esta facultad solo puede darse ante “limitación a </w:t>
      </w:r>
      <w:proofErr w:type="spellStart"/>
      <w:r w:rsidRPr="00140FFB">
        <w:rPr>
          <w:rFonts w:ascii="Arial" w:eastAsia="Calibri" w:hAnsi="Arial" w:cs="Arial"/>
          <w:color w:val="000000" w:themeColor="text1"/>
        </w:rPr>
        <w:t>Mipymes</w:t>
      </w:r>
      <w:proofErr w:type="spellEnd"/>
      <w:r w:rsidRPr="00140FFB">
        <w:rPr>
          <w:rFonts w:ascii="Arial" w:eastAsia="Calibri" w:hAnsi="Arial" w:cs="Arial"/>
          <w:color w:val="000000" w:themeColor="text1"/>
        </w:rPr>
        <w:t xml:space="preserve"> nacionales”, lo cual supone la verificación de los supuestos legales establecidos en los mencionados numerales.</w:t>
      </w:r>
    </w:p>
    <w:p w14:paraId="58B0B641" w14:textId="34247929" w:rsidR="000E5D20" w:rsidRPr="00140FFB" w:rsidRDefault="000E5D20" w:rsidP="000E5D20">
      <w:pPr>
        <w:spacing w:before="120" w:line="276" w:lineRule="auto"/>
        <w:ind w:firstLine="709"/>
        <w:jc w:val="both"/>
        <w:rPr>
          <w:rFonts w:ascii="Arial" w:eastAsia="Calibri" w:hAnsi="Arial" w:cs="Arial"/>
          <w:color w:val="000000" w:themeColor="text1"/>
        </w:rPr>
      </w:pPr>
      <w:r w:rsidRPr="00140FFB">
        <w:rPr>
          <w:rFonts w:ascii="Arial" w:eastAsia="Calibri" w:hAnsi="Arial" w:cs="Arial"/>
          <w:color w:val="000000" w:themeColor="text1"/>
        </w:rPr>
        <w:t>En suma, e</w:t>
      </w:r>
      <w:r w:rsidRPr="00140FFB">
        <w:rPr>
          <w:rFonts w:ascii="Arial" w:hAnsi="Arial" w:cs="Arial"/>
          <w:color w:val="000000" w:themeColor="text1"/>
        </w:rPr>
        <w:t xml:space="preserve">l Decreto 1082 de 2015, modificado por el Decreto 1860 de 2021 regula la limitación de convocatorias a </w:t>
      </w:r>
      <w:proofErr w:type="spellStart"/>
      <w:r w:rsidRPr="00140FFB">
        <w:rPr>
          <w:rFonts w:ascii="Arial" w:hAnsi="Arial" w:cs="Arial"/>
          <w:color w:val="000000" w:themeColor="text1"/>
        </w:rPr>
        <w:t>Mipymes</w:t>
      </w:r>
      <w:proofErr w:type="spellEnd"/>
      <w:r w:rsidRPr="00140FFB">
        <w:rPr>
          <w:rFonts w:ascii="Arial" w:hAnsi="Arial" w:cs="Arial"/>
          <w:color w:val="000000" w:themeColor="text1"/>
        </w:rPr>
        <w:t xml:space="preserve"> en dos normas distintas, cada una de las cuales establece dos modalidades de limitaciones: nacionales y territoriales. Estas normas deben leerse conjunta y armónicamente. Por un lado, el artículo </w:t>
      </w:r>
      <w:r w:rsidRPr="00140FFB">
        <w:rPr>
          <w:rFonts w:ascii="Arial" w:eastAsia="Calibri" w:hAnsi="Arial" w:cs="Arial"/>
          <w:color w:val="000000" w:themeColor="text1"/>
        </w:rPr>
        <w:t xml:space="preserve">2.2.1.2.4.2.2. </w:t>
      </w:r>
      <w:r w:rsidRPr="00140FFB">
        <w:rPr>
          <w:rFonts w:ascii="Arial" w:hAnsi="Arial" w:cs="Arial"/>
          <w:color w:val="000000" w:themeColor="text1"/>
        </w:rPr>
        <w:t xml:space="preserve">prevé los requisitos </w:t>
      </w:r>
      <w:r w:rsidRPr="00140FFB">
        <w:rPr>
          <w:rFonts w:ascii="Arial" w:hAnsi="Arial" w:cs="Arial"/>
          <w:color w:val="000000" w:themeColor="text1"/>
        </w:rPr>
        <w:lastRenderedPageBreak/>
        <w:t xml:space="preserve">generales para que la entidad limite sus convocatorias a </w:t>
      </w:r>
      <w:proofErr w:type="spellStart"/>
      <w:r w:rsidRPr="00140FFB">
        <w:rPr>
          <w:rFonts w:ascii="Arial" w:hAnsi="Arial" w:cs="Arial"/>
          <w:color w:val="000000" w:themeColor="text1"/>
        </w:rPr>
        <w:t>Mipymes</w:t>
      </w:r>
      <w:proofErr w:type="spellEnd"/>
      <w:r w:rsidRPr="00140FFB">
        <w:rPr>
          <w:rFonts w:ascii="Arial" w:hAnsi="Arial" w:cs="Arial"/>
          <w:color w:val="000000" w:themeColor="text1"/>
        </w:rPr>
        <w:t xml:space="preserve"> nacionales. Por el otro, el artículo </w:t>
      </w:r>
      <w:r w:rsidRPr="00140FFB">
        <w:rPr>
          <w:rFonts w:ascii="Arial" w:eastAsia="Calibri" w:hAnsi="Arial" w:cs="Arial"/>
          <w:color w:val="000000" w:themeColor="text1"/>
        </w:rPr>
        <w:t xml:space="preserve">2.2.1.2.4.2.3. </w:t>
      </w:r>
      <w:r w:rsidRPr="00140FFB">
        <w:rPr>
          <w:rFonts w:ascii="Arial" w:hAnsi="Arial" w:cs="Arial"/>
          <w:color w:val="000000" w:themeColor="text1"/>
        </w:rPr>
        <w:t xml:space="preserve">establece la posibilidad de limitar la convocatoria a </w:t>
      </w:r>
      <w:proofErr w:type="spellStart"/>
      <w:r w:rsidRPr="00140FFB">
        <w:rPr>
          <w:rFonts w:ascii="Arial" w:hAnsi="Arial" w:cs="Arial"/>
          <w:color w:val="000000" w:themeColor="text1"/>
        </w:rPr>
        <w:t>Mipymes</w:t>
      </w:r>
      <w:proofErr w:type="spellEnd"/>
      <w:r w:rsidRPr="00140FFB">
        <w:rPr>
          <w:rFonts w:ascii="Arial" w:hAnsi="Arial" w:cs="Arial"/>
          <w:color w:val="000000" w:themeColor="text1"/>
        </w:rPr>
        <w:t xml:space="preserve"> nacionales domiciliadas en los departamentos o municipios en donde se va a ejecutar el contrato, por supuesto, siempre que la entidad así lo decida y solo si se cumplen las exigencias del artículo </w:t>
      </w:r>
      <w:r w:rsidRPr="00140FFB">
        <w:rPr>
          <w:rFonts w:ascii="Arial" w:eastAsia="Calibri" w:hAnsi="Arial" w:cs="Arial"/>
          <w:color w:val="000000" w:themeColor="text1"/>
        </w:rPr>
        <w:t>2.2.1.2.4.2.2.</w:t>
      </w:r>
    </w:p>
    <w:p w14:paraId="0E4CCE08" w14:textId="664B5585" w:rsidR="000E5D20" w:rsidRPr="00140FFB" w:rsidRDefault="000E5D20" w:rsidP="000E5D20">
      <w:pPr>
        <w:spacing w:before="120" w:line="276" w:lineRule="auto"/>
        <w:ind w:firstLine="709"/>
        <w:jc w:val="both"/>
        <w:rPr>
          <w:rFonts w:ascii="Arial" w:eastAsia="Calibri" w:hAnsi="Arial" w:cs="Arial"/>
          <w:color w:val="000000" w:themeColor="text1"/>
        </w:rPr>
      </w:pPr>
      <w:r w:rsidRPr="00140FFB">
        <w:rPr>
          <w:rFonts w:ascii="Arial" w:eastAsia="Calibri" w:hAnsi="Arial" w:cs="Arial"/>
          <w:color w:val="000000" w:themeColor="text1"/>
        </w:rPr>
        <w:t xml:space="preserve">Entonces, teniendo en cuenta el objeto de la pregunta No. 2 de su petición, esta Agencia considera </w:t>
      </w:r>
      <w:r w:rsidR="00406C93" w:rsidRPr="00140FFB">
        <w:rPr>
          <w:rFonts w:ascii="Arial" w:eastAsia="Calibri" w:hAnsi="Arial" w:cs="Arial"/>
          <w:color w:val="000000" w:themeColor="text1"/>
        </w:rPr>
        <w:t>que,</w:t>
      </w:r>
      <w:r w:rsidRPr="00140FFB">
        <w:rPr>
          <w:rFonts w:ascii="Arial" w:eastAsia="Calibri" w:hAnsi="Arial" w:cs="Arial"/>
          <w:color w:val="000000" w:themeColor="text1"/>
        </w:rPr>
        <w:t xml:space="preserve"> de un lado, siempre que se solicite la limitación a </w:t>
      </w:r>
      <w:proofErr w:type="spellStart"/>
      <w:r w:rsidRPr="00140FFB">
        <w:rPr>
          <w:rFonts w:ascii="Arial" w:eastAsia="Calibri" w:hAnsi="Arial" w:cs="Arial"/>
          <w:color w:val="000000" w:themeColor="text1"/>
        </w:rPr>
        <w:t>mipymes</w:t>
      </w:r>
      <w:proofErr w:type="spellEnd"/>
      <w:r w:rsidRPr="00140FFB">
        <w:rPr>
          <w:rFonts w:ascii="Arial" w:eastAsia="Calibri" w:hAnsi="Arial" w:cs="Arial"/>
          <w:color w:val="000000" w:themeColor="text1"/>
        </w:rPr>
        <w:t xml:space="preserve"> nacionales y se den los supuestos consagrados en el artículo 2.2.1.2.4.2.2 del Decreto 1082 de 2015, la entidad pública deberá limitar la convocatoria a </w:t>
      </w:r>
      <w:proofErr w:type="spellStart"/>
      <w:r w:rsidRPr="00140FFB">
        <w:rPr>
          <w:rFonts w:ascii="Arial" w:eastAsia="Calibri" w:hAnsi="Arial" w:cs="Arial"/>
          <w:color w:val="000000" w:themeColor="text1"/>
        </w:rPr>
        <w:t>mipymes</w:t>
      </w:r>
      <w:proofErr w:type="spellEnd"/>
      <w:r w:rsidRPr="00140FFB">
        <w:rPr>
          <w:rFonts w:ascii="Arial" w:eastAsia="Calibri" w:hAnsi="Arial" w:cs="Arial"/>
          <w:color w:val="000000" w:themeColor="text1"/>
        </w:rPr>
        <w:t xml:space="preserve"> nacionales, en todos los procesos de contratación y sin consideración a que previamente se haya declarado</w:t>
      </w:r>
      <w:r w:rsidR="00DF46BE">
        <w:rPr>
          <w:rFonts w:ascii="Arial" w:eastAsia="Calibri" w:hAnsi="Arial" w:cs="Arial"/>
          <w:color w:val="000000" w:themeColor="text1"/>
        </w:rPr>
        <w:t xml:space="preserve"> </w:t>
      </w:r>
      <w:r w:rsidRPr="00140FFB">
        <w:rPr>
          <w:rFonts w:ascii="Arial" w:eastAsia="Calibri" w:hAnsi="Arial" w:cs="Arial"/>
          <w:color w:val="000000" w:themeColor="text1"/>
        </w:rPr>
        <w:t xml:space="preserve">desierto dicho proceso. Lo anterior, porque como viene de indicarse, el verbo rector de la norma es “deberá” de lo que nace la obligación por parte de las entidades públicas de realizar la limitación en el ámbito nacional. </w:t>
      </w:r>
    </w:p>
    <w:p w14:paraId="3388CA65" w14:textId="77777777" w:rsidR="000E5D20" w:rsidRPr="00140FFB" w:rsidRDefault="000E5D20" w:rsidP="000E5D20">
      <w:pPr>
        <w:spacing w:before="120" w:line="276" w:lineRule="auto"/>
        <w:ind w:firstLine="709"/>
        <w:jc w:val="both"/>
        <w:rPr>
          <w:rFonts w:ascii="Arial" w:eastAsia="Calibri" w:hAnsi="Arial" w:cs="Arial"/>
          <w:color w:val="000000" w:themeColor="text1"/>
        </w:rPr>
      </w:pPr>
      <w:r w:rsidRPr="00140FFB">
        <w:rPr>
          <w:rFonts w:ascii="Arial" w:eastAsia="Calibri" w:hAnsi="Arial" w:cs="Arial"/>
          <w:color w:val="000000" w:themeColor="text1"/>
        </w:rPr>
        <w:t xml:space="preserve"> De otro lado, frente a la limitación territorial, considera esta Agencia que la decisión de limitar </w:t>
      </w:r>
      <w:r w:rsidRPr="00140FFB">
        <w:rPr>
          <w:rFonts w:ascii="Arial" w:eastAsia="Calibri" w:hAnsi="Arial" w:cs="Arial"/>
          <w:i/>
          <w:iCs/>
          <w:color w:val="000000" w:themeColor="text1"/>
        </w:rPr>
        <w:t>territorialmente</w:t>
      </w:r>
      <w:r w:rsidRPr="00140FFB">
        <w:rPr>
          <w:rFonts w:ascii="Arial" w:eastAsia="Calibri" w:hAnsi="Arial" w:cs="Arial"/>
          <w:color w:val="000000" w:themeColor="text1"/>
        </w:rPr>
        <w:t xml:space="preserve"> una convocatoria a </w:t>
      </w:r>
      <w:proofErr w:type="spellStart"/>
      <w:r w:rsidRPr="00140FFB">
        <w:rPr>
          <w:rFonts w:ascii="Arial" w:eastAsia="Calibri" w:hAnsi="Arial" w:cs="Arial"/>
          <w:color w:val="000000" w:themeColor="text1"/>
        </w:rPr>
        <w:t>Mipymes</w:t>
      </w:r>
      <w:proofErr w:type="spellEnd"/>
      <w:r w:rsidRPr="00140FFB">
        <w:rPr>
          <w:rFonts w:ascii="Arial" w:eastAsia="Calibri" w:hAnsi="Arial" w:cs="Arial"/>
          <w:color w:val="000000" w:themeColor="text1"/>
        </w:rPr>
        <w:t xml:space="preserve"> es </w:t>
      </w:r>
      <w:r w:rsidRPr="00140FFB">
        <w:rPr>
          <w:rFonts w:ascii="Arial" w:eastAsia="Calibri" w:hAnsi="Arial" w:cs="Arial"/>
          <w:i/>
          <w:iCs/>
          <w:color w:val="000000" w:themeColor="text1"/>
        </w:rPr>
        <w:t>discrecional</w:t>
      </w:r>
      <w:r w:rsidRPr="00140FFB">
        <w:rPr>
          <w:rFonts w:ascii="Arial" w:eastAsia="Calibri" w:hAnsi="Arial" w:cs="Arial"/>
          <w:iCs/>
          <w:color w:val="000000" w:themeColor="text1"/>
        </w:rPr>
        <w:t xml:space="preserve"> de la Entidad</w:t>
      </w:r>
      <w:r w:rsidRPr="00140FFB">
        <w:rPr>
          <w:rFonts w:ascii="Arial" w:eastAsia="Calibri" w:hAnsi="Arial" w:cs="Arial"/>
          <w:color w:val="000000" w:themeColor="text1"/>
        </w:rPr>
        <w:t xml:space="preserve">, independientemente del “domicilio” de las </w:t>
      </w:r>
      <w:proofErr w:type="spellStart"/>
      <w:r w:rsidRPr="00140FFB">
        <w:rPr>
          <w:rFonts w:ascii="Arial" w:eastAsia="Calibri" w:hAnsi="Arial" w:cs="Arial"/>
          <w:color w:val="000000" w:themeColor="text1"/>
        </w:rPr>
        <w:t>Mipymes</w:t>
      </w:r>
      <w:proofErr w:type="spellEnd"/>
      <w:r w:rsidRPr="00140FFB">
        <w:rPr>
          <w:rFonts w:ascii="Arial" w:eastAsia="Calibri" w:hAnsi="Arial" w:cs="Arial"/>
          <w:color w:val="000000" w:themeColor="text1"/>
        </w:rPr>
        <w:t xml:space="preserve"> nacionales que solicitaron limitar la convocatoria –aunque dicha circunstancia podría servir de motivación para la limitación territorial–, y ha precisado que, de todos modos, la decisión debe estar justificada en los correspondientes “estudios del sector”, por lo cual, a diferencia del primer evento, en este último caso no será obligatorio para la entidad pública limitar la convocatoria en el ámbito territorial.</w:t>
      </w:r>
    </w:p>
    <w:p w14:paraId="21C95517" w14:textId="31D6840F" w:rsidR="000E5D20" w:rsidRPr="00140FFB" w:rsidRDefault="000E5D20" w:rsidP="000E5D20">
      <w:pPr>
        <w:spacing w:before="120" w:line="276" w:lineRule="auto"/>
        <w:ind w:firstLine="709"/>
        <w:jc w:val="both"/>
        <w:rPr>
          <w:rFonts w:ascii="Arial" w:eastAsia="Calibri" w:hAnsi="Arial" w:cs="Arial"/>
        </w:rPr>
      </w:pPr>
      <w:r w:rsidRPr="00140FFB">
        <w:rPr>
          <w:rFonts w:ascii="Arial" w:eastAsia="Calibri" w:hAnsi="Arial" w:cs="Arial"/>
        </w:rPr>
        <w:t xml:space="preserve">Sin perjuicio de lo anterior, la Agencia Nacional de Contratación Pública – Colombia Compra Eficiente considera que lo recomendable es que las entidades establezcan </w:t>
      </w:r>
      <w:r w:rsidRPr="00140FFB">
        <w:rPr>
          <w:rFonts w:ascii="Arial" w:eastAsia="Calibri" w:hAnsi="Arial" w:cs="Arial"/>
          <w:i/>
          <w:iCs/>
        </w:rPr>
        <w:t xml:space="preserve">ex ante </w:t>
      </w:r>
      <w:r w:rsidRPr="00140FFB">
        <w:rPr>
          <w:rFonts w:ascii="Arial" w:eastAsia="Calibri" w:hAnsi="Arial" w:cs="Arial"/>
        </w:rPr>
        <w:t xml:space="preserve">las condiciones en las que, eventualmente, harían la “limitación territorial”. Para tales fines, en el proyecto de pliego de condiciones podrían establecer claramente los términos de dicha limitación, los supuestos que darían lugar a su aplicación y, sobre todo, la forma como procedería la entidad si decide optar por limitar territorialmente la convocatoria en que se cumplan los presupuestos para ser limitada a </w:t>
      </w:r>
      <w:proofErr w:type="spellStart"/>
      <w:r w:rsidRPr="00140FFB">
        <w:rPr>
          <w:rFonts w:ascii="Arial" w:eastAsia="Calibri" w:hAnsi="Arial" w:cs="Arial"/>
        </w:rPr>
        <w:t>Mipymes</w:t>
      </w:r>
      <w:proofErr w:type="spellEnd"/>
      <w:r w:rsidRPr="00140FFB">
        <w:rPr>
          <w:rFonts w:ascii="Arial" w:eastAsia="Calibri" w:hAnsi="Arial" w:cs="Arial"/>
        </w:rPr>
        <w:t xml:space="preserve">, </w:t>
      </w:r>
      <w:r w:rsidR="00DF46BE" w:rsidRPr="00140FFB">
        <w:rPr>
          <w:rFonts w:ascii="Arial" w:eastAsia="Calibri" w:hAnsi="Arial" w:cs="Arial"/>
        </w:rPr>
        <w:t>como,</w:t>
      </w:r>
      <w:r w:rsidRPr="00140FFB">
        <w:rPr>
          <w:rFonts w:ascii="Arial" w:eastAsia="Calibri" w:hAnsi="Arial" w:cs="Arial"/>
        </w:rPr>
        <w:t xml:space="preserve"> por ejemplo, en relación con </w:t>
      </w:r>
      <w:r w:rsidR="00DF46BE">
        <w:rPr>
          <w:rFonts w:ascii="Arial" w:eastAsia="Calibri" w:hAnsi="Arial" w:cs="Arial"/>
        </w:rPr>
        <w:t xml:space="preserve">para </w:t>
      </w:r>
      <w:r w:rsidRPr="00140FFB">
        <w:rPr>
          <w:rFonts w:ascii="Arial" w:eastAsia="Calibri" w:hAnsi="Arial" w:cs="Arial"/>
        </w:rPr>
        <w:t xml:space="preserve">cuál o cuáles municipios o departamentos </w:t>
      </w:r>
      <w:r w:rsidR="00DF46BE">
        <w:rPr>
          <w:rFonts w:ascii="Arial" w:eastAsia="Calibri" w:hAnsi="Arial" w:cs="Arial"/>
        </w:rPr>
        <w:t xml:space="preserve">se </w:t>
      </w:r>
      <w:r w:rsidRPr="00140FFB">
        <w:rPr>
          <w:rFonts w:ascii="Arial" w:eastAsia="Calibri" w:hAnsi="Arial" w:cs="Arial"/>
        </w:rPr>
        <w:t>haría</w:t>
      </w:r>
      <w:r w:rsidR="00DF46BE">
        <w:rPr>
          <w:rFonts w:ascii="Arial" w:eastAsia="Calibri" w:hAnsi="Arial" w:cs="Arial"/>
        </w:rPr>
        <w:t xml:space="preserve"> </w:t>
      </w:r>
      <w:r w:rsidRPr="00140FFB">
        <w:rPr>
          <w:rFonts w:ascii="Arial" w:eastAsia="Calibri" w:hAnsi="Arial" w:cs="Arial"/>
        </w:rPr>
        <w:t>la limitación territorial de que trata el artículo 2.2.1.2.4.2.3. del Decreto 1082 de 2015.</w:t>
      </w:r>
    </w:p>
    <w:p w14:paraId="43D22960" w14:textId="2B28962D" w:rsidR="000E5D20" w:rsidRPr="00140FFB" w:rsidRDefault="000E5D20" w:rsidP="000E5D20">
      <w:pPr>
        <w:spacing w:before="120" w:line="276" w:lineRule="auto"/>
        <w:ind w:firstLine="709"/>
        <w:jc w:val="both"/>
        <w:rPr>
          <w:rFonts w:ascii="Arial" w:eastAsia="Arial" w:hAnsi="Arial" w:cs="Arial"/>
          <w:lang w:val="es-MX"/>
        </w:rPr>
      </w:pPr>
      <w:r w:rsidRPr="00140FFB">
        <w:rPr>
          <w:rFonts w:ascii="Arial" w:eastAsia="Arial" w:hAnsi="Arial" w:cs="Arial"/>
          <w:lang w:val="es-MX"/>
        </w:rPr>
        <w:t xml:space="preserve">De otra parte, </w:t>
      </w:r>
      <w:r w:rsidR="003847CD" w:rsidRPr="00140FFB">
        <w:rPr>
          <w:rFonts w:ascii="Arial" w:eastAsia="Arial" w:hAnsi="Arial" w:cs="Arial"/>
          <w:lang w:val="es-MX"/>
        </w:rPr>
        <w:t>hay que precisar</w:t>
      </w:r>
      <w:r w:rsidRPr="00140FFB">
        <w:rPr>
          <w:rFonts w:ascii="Arial" w:eastAsia="Arial" w:hAnsi="Arial" w:cs="Arial"/>
          <w:lang w:val="es-MX"/>
        </w:rPr>
        <w:t xml:space="preserve"> que el domicilio de la </w:t>
      </w:r>
      <w:proofErr w:type="spellStart"/>
      <w:r w:rsidRPr="00140FFB">
        <w:rPr>
          <w:rFonts w:ascii="Arial" w:eastAsia="Arial" w:hAnsi="Arial" w:cs="Arial"/>
          <w:lang w:val="es-MX"/>
        </w:rPr>
        <w:t>mipyme</w:t>
      </w:r>
      <w:proofErr w:type="spellEnd"/>
      <w:r w:rsidRPr="00140FFB">
        <w:rPr>
          <w:rFonts w:ascii="Arial" w:eastAsia="Arial" w:hAnsi="Arial" w:cs="Arial"/>
          <w:lang w:val="es-MX"/>
        </w:rPr>
        <w:t xml:space="preserve"> que quiera participar en una convocatoria limitada territorialmente se acredita con los documentos definidos en el artículo 2.2.1.2.4.2.4. del Decreto 1082 de 2015, modificado por el Decreto 1860 de 2021. En consecuencia, el requisito podrá acreditarse con una certificación acompañada, ya sea, de una copia del registro mercantil –persona natural–, del certificado de existencia y representación legal –persona jurídica– o del Registro Único de Proponentes – RUP, en donde conste el domicilio principal de la </w:t>
      </w:r>
      <w:proofErr w:type="spellStart"/>
      <w:r w:rsidRPr="00140FFB">
        <w:rPr>
          <w:rFonts w:ascii="Arial" w:eastAsia="Arial" w:hAnsi="Arial" w:cs="Arial"/>
          <w:lang w:val="es-MX"/>
        </w:rPr>
        <w:t>mipyme</w:t>
      </w:r>
      <w:proofErr w:type="spellEnd"/>
      <w:r w:rsidRPr="00140FFB">
        <w:rPr>
          <w:rFonts w:ascii="Arial" w:eastAsia="Arial" w:hAnsi="Arial" w:cs="Arial"/>
          <w:lang w:val="es-MX"/>
        </w:rPr>
        <w:t xml:space="preserve"> interesada en la limitación territorial de la </w:t>
      </w:r>
      <w:r w:rsidRPr="00140FFB">
        <w:rPr>
          <w:rFonts w:ascii="Arial" w:eastAsia="Arial" w:hAnsi="Arial" w:cs="Arial"/>
          <w:lang w:val="es-MX"/>
        </w:rPr>
        <w:lastRenderedPageBreak/>
        <w:t xml:space="preserve">convocatoria pública para celebrar el contrato, que corresponda con el lugar de ejecución del mismo, ya sea departamento o municipio.  </w:t>
      </w:r>
    </w:p>
    <w:p w14:paraId="708A0F6E" w14:textId="1B8E9A48" w:rsidR="000E5D20" w:rsidRPr="00140FFB" w:rsidRDefault="000E5D20" w:rsidP="000E5D20">
      <w:pPr>
        <w:spacing w:before="120" w:line="276" w:lineRule="auto"/>
        <w:ind w:firstLine="709"/>
        <w:jc w:val="both"/>
        <w:rPr>
          <w:rFonts w:ascii="Arial" w:eastAsia="Calibri" w:hAnsi="Arial" w:cs="Arial"/>
        </w:rPr>
      </w:pPr>
      <w:r w:rsidRPr="00140FFB">
        <w:rPr>
          <w:rFonts w:ascii="Arial" w:eastAsia="Arial" w:hAnsi="Arial" w:cs="Arial"/>
          <w:lang w:val="es-MX"/>
        </w:rPr>
        <w:t>Con todo, debe advertirse que el hecho de</w:t>
      </w:r>
      <w:r w:rsidR="00F30BFC">
        <w:rPr>
          <w:rFonts w:ascii="Arial" w:eastAsia="Arial" w:hAnsi="Arial" w:cs="Arial"/>
          <w:lang w:val="es-MX"/>
        </w:rPr>
        <w:t xml:space="preserve"> que</w:t>
      </w:r>
      <w:r w:rsidRPr="00140FFB">
        <w:rPr>
          <w:rFonts w:ascii="Arial" w:eastAsia="Arial" w:hAnsi="Arial" w:cs="Arial"/>
          <w:lang w:val="es-MX"/>
        </w:rPr>
        <w:t xml:space="preserve"> la limitación territorial opere de manera discrecional implica que la misma no debe ser de forma caprichosa o arbitrar</w:t>
      </w:r>
      <w:r w:rsidR="00AF7E4C">
        <w:rPr>
          <w:rFonts w:ascii="Arial" w:eastAsia="Arial" w:hAnsi="Arial" w:cs="Arial"/>
          <w:lang w:val="es-MX"/>
        </w:rPr>
        <w:t>i</w:t>
      </w:r>
      <w:r w:rsidRPr="00140FFB">
        <w:rPr>
          <w:rFonts w:ascii="Arial" w:eastAsia="Arial" w:hAnsi="Arial" w:cs="Arial"/>
          <w:lang w:val="es-MX"/>
        </w:rPr>
        <w:t xml:space="preserve">a o de manera que desconozca los fines de la norma. En ese sentido, es necesario tener en cuenta que la regulación establecida en el artículo </w:t>
      </w:r>
      <w:r w:rsidRPr="00140FFB">
        <w:rPr>
          <w:rFonts w:ascii="Arial" w:eastAsia="Calibri" w:hAnsi="Arial" w:cs="Arial"/>
        </w:rPr>
        <w:t>2.2.1.2.4.2.3 del Decreto 1082 de 2015 apunta a realizar una promoción de l</w:t>
      </w:r>
      <w:r w:rsidR="00AF7E4C">
        <w:rPr>
          <w:rFonts w:ascii="Arial" w:eastAsia="Calibri" w:hAnsi="Arial" w:cs="Arial"/>
        </w:rPr>
        <w:t>a</w:t>
      </w:r>
      <w:r w:rsidRPr="00140FFB">
        <w:rPr>
          <w:rFonts w:ascii="Arial" w:eastAsia="Calibri" w:hAnsi="Arial" w:cs="Arial"/>
        </w:rPr>
        <w:t xml:space="preserve">s </w:t>
      </w:r>
      <w:proofErr w:type="spellStart"/>
      <w:r w:rsidRPr="00140FFB">
        <w:rPr>
          <w:rFonts w:ascii="Arial" w:eastAsia="Calibri" w:hAnsi="Arial" w:cs="Arial"/>
        </w:rPr>
        <w:t>mipymes</w:t>
      </w:r>
      <w:proofErr w:type="spellEnd"/>
      <w:r w:rsidRPr="00140FFB">
        <w:rPr>
          <w:rFonts w:ascii="Arial" w:eastAsia="Calibri" w:hAnsi="Arial" w:cs="Arial"/>
        </w:rPr>
        <w:t xml:space="preserve">, privilegiando la participación de aquellas domiciliadas en el lugar de ejecución del contrato, de tal manera que los recursos de la contratación pública contribuyan al desarrollo empresarial en el territorio. Es claro que el fin de la norma no es el de establecer proveedores únicos en los municipios y/o departamentos sino permitir que en determinados procesos la selección de las ofertas se realice exclusivamente con la participación de tales </w:t>
      </w:r>
      <w:proofErr w:type="spellStart"/>
      <w:r w:rsidRPr="00140FFB">
        <w:rPr>
          <w:rFonts w:ascii="Arial" w:eastAsia="Calibri" w:hAnsi="Arial" w:cs="Arial"/>
        </w:rPr>
        <w:t>mipymes</w:t>
      </w:r>
      <w:proofErr w:type="spellEnd"/>
      <w:r w:rsidRPr="00140FFB">
        <w:rPr>
          <w:rFonts w:ascii="Arial" w:eastAsia="Calibri" w:hAnsi="Arial" w:cs="Arial"/>
        </w:rPr>
        <w:t xml:space="preserve">. </w:t>
      </w:r>
    </w:p>
    <w:p w14:paraId="7B7EDAB4" w14:textId="27060BA6" w:rsidR="000E5D20" w:rsidRPr="00140FFB" w:rsidRDefault="000E5D20" w:rsidP="000E5D20">
      <w:pPr>
        <w:spacing w:before="120" w:after="120" w:line="276" w:lineRule="auto"/>
        <w:ind w:firstLine="709"/>
        <w:jc w:val="both"/>
        <w:rPr>
          <w:rFonts w:ascii="Arial" w:eastAsia="Calibri" w:hAnsi="Arial" w:cs="Arial"/>
        </w:rPr>
      </w:pPr>
      <w:r w:rsidRPr="00140FFB">
        <w:rPr>
          <w:rFonts w:ascii="Arial" w:eastAsia="Calibri" w:hAnsi="Arial" w:cs="Arial"/>
        </w:rPr>
        <w:t xml:space="preserve">Conforme a esto, el debido ejercicio de la referida potestad discrecional exige que converjan unos mínimos presupuestos de adecuación, para que resulte </w:t>
      </w:r>
      <w:r w:rsidR="00201C52" w:rsidRPr="00140FFB">
        <w:rPr>
          <w:rFonts w:ascii="Arial" w:eastAsia="Calibri" w:hAnsi="Arial" w:cs="Arial"/>
        </w:rPr>
        <w:t>conveniente</w:t>
      </w:r>
      <w:r w:rsidRPr="00140FFB">
        <w:rPr>
          <w:rFonts w:ascii="Arial" w:eastAsia="Calibri" w:hAnsi="Arial" w:cs="Arial"/>
        </w:rPr>
        <w:t xml:space="preserve"> la decisión de limitar una convocatoria a la participación exclusiva de </w:t>
      </w:r>
      <w:proofErr w:type="spellStart"/>
      <w:r w:rsidRPr="00140FFB">
        <w:rPr>
          <w:rFonts w:ascii="Arial" w:eastAsia="Calibri" w:hAnsi="Arial" w:cs="Arial"/>
        </w:rPr>
        <w:t>mipymes</w:t>
      </w:r>
      <w:proofErr w:type="spellEnd"/>
      <w:r w:rsidRPr="00140FFB">
        <w:rPr>
          <w:rFonts w:ascii="Arial" w:eastAsia="Calibri" w:hAnsi="Arial" w:cs="Arial"/>
        </w:rPr>
        <w:t xml:space="preserve">. Es por esto por lo que la decisión de limitar territorialmente una convocatoria solo puede resultar razonable si la información recolectada en el marco del análisis del sector indica que en el lugar de ejecución del contrato existe un número significativo de </w:t>
      </w:r>
      <w:proofErr w:type="spellStart"/>
      <w:r w:rsidRPr="00140FFB">
        <w:rPr>
          <w:rFonts w:ascii="Arial" w:eastAsia="Calibri" w:hAnsi="Arial" w:cs="Arial"/>
        </w:rPr>
        <w:t>mipymes</w:t>
      </w:r>
      <w:proofErr w:type="spellEnd"/>
      <w:r w:rsidRPr="00140FFB">
        <w:rPr>
          <w:rFonts w:ascii="Arial" w:eastAsia="Calibri" w:hAnsi="Arial" w:cs="Arial"/>
        </w:rPr>
        <w:t xml:space="preserve"> allí domiciliadas, cuyo objeto social les permitiría desarrollar el contrato o que estén interesadas en participar en el respectivo proceso de contratación. Adicionalmente, se torna relevante determinar qu</w:t>
      </w:r>
      <w:r w:rsidR="00201C52">
        <w:rPr>
          <w:rFonts w:ascii="Arial" w:eastAsia="Calibri" w:hAnsi="Arial" w:cs="Arial"/>
        </w:rPr>
        <w:t>é</w:t>
      </w:r>
      <w:r w:rsidRPr="00140FFB">
        <w:rPr>
          <w:rFonts w:ascii="Arial" w:eastAsia="Calibri" w:hAnsi="Arial" w:cs="Arial"/>
        </w:rPr>
        <w:t xml:space="preserve"> tantas de esas </w:t>
      </w:r>
      <w:proofErr w:type="spellStart"/>
      <w:r w:rsidRPr="00140FFB">
        <w:rPr>
          <w:rFonts w:ascii="Arial" w:eastAsia="Calibri" w:hAnsi="Arial" w:cs="Arial"/>
        </w:rPr>
        <w:t>mipymes</w:t>
      </w:r>
      <w:proofErr w:type="spellEnd"/>
      <w:r w:rsidRPr="00140FFB">
        <w:rPr>
          <w:rFonts w:ascii="Arial" w:eastAsia="Calibri" w:hAnsi="Arial" w:cs="Arial"/>
        </w:rPr>
        <w:t xml:space="preserve"> tendrían la posibilidad de participar en el respectivo proceso de contratación en consideración a las aptitudes e idoneidad requerida</w:t>
      </w:r>
      <w:r w:rsidR="00201C52">
        <w:rPr>
          <w:rFonts w:ascii="Arial" w:eastAsia="Calibri" w:hAnsi="Arial" w:cs="Arial"/>
        </w:rPr>
        <w:t>s</w:t>
      </w:r>
      <w:r w:rsidRPr="00140FFB">
        <w:rPr>
          <w:rFonts w:ascii="Arial" w:eastAsia="Calibri" w:hAnsi="Arial" w:cs="Arial"/>
        </w:rPr>
        <w:t xml:space="preserve">. De acuerdo con lo anterior, difícilmente podría entenderse adecuada la decisión de limitar una convocatoria por el referido factor territorial, si dentro del estudio del sector no se identifican una pluralidad de </w:t>
      </w:r>
      <w:proofErr w:type="spellStart"/>
      <w:r w:rsidRPr="00140FFB">
        <w:rPr>
          <w:rFonts w:ascii="Arial" w:eastAsia="Calibri" w:hAnsi="Arial" w:cs="Arial"/>
        </w:rPr>
        <w:t>mipymes</w:t>
      </w:r>
      <w:proofErr w:type="spellEnd"/>
      <w:r w:rsidRPr="00140FFB">
        <w:rPr>
          <w:rFonts w:ascii="Arial" w:eastAsia="Calibri" w:hAnsi="Arial" w:cs="Arial"/>
        </w:rPr>
        <w:t xml:space="preserve"> que estén en posición de participar en el respectivo proceso.</w:t>
      </w:r>
    </w:p>
    <w:p w14:paraId="16EFEBEA" w14:textId="5ACB90F7" w:rsidR="00FD4216" w:rsidRPr="00140FFB" w:rsidRDefault="000E5D20" w:rsidP="00D8267C">
      <w:pPr>
        <w:spacing w:before="120" w:line="276" w:lineRule="auto"/>
        <w:ind w:firstLine="709"/>
        <w:jc w:val="both"/>
        <w:rPr>
          <w:rFonts w:ascii="Arial" w:eastAsia="Calibri" w:hAnsi="Arial" w:cs="Arial"/>
        </w:rPr>
      </w:pPr>
      <w:r w:rsidRPr="00140FFB">
        <w:rPr>
          <w:rFonts w:ascii="Arial" w:eastAsia="Calibri" w:hAnsi="Arial" w:cs="Arial"/>
        </w:rPr>
        <w:t xml:space="preserve">En atención a lo anterior, aunque en principio siempre que concurran los requisitos para limitar las convocatorias a </w:t>
      </w:r>
      <w:proofErr w:type="spellStart"/>
      <w:r w:rsidRPr="00140FFB">
        <w:rPr>
          <w:rFonts w:ascii="Arial" w:eastAsia="Calibri" w:hAnsi="Arial" w:cs="Arial"/>
        </w:rPr>
        <w:t>mipymes</w:t>
      </w:r>
      <w:proofErr w:type="spellEnd"/>
      <w:r w:rsidRPr="00140FFB">
        <w:rPr>
          <w:rFonts w:ascii="Arial" w:eastAsia="Calibri" w:hAnsi="Arial" w:cs="Arial"/>
        </w:rPr>
        <w:t>, las entidades están facultadas para realizar la limitación referida, es importante señala</w:t>
      </w:r>
      <w:r w:rsidR="00201C52">
        <w:rPr>
          <w:rFonts w:ascii="Arial" w:eastAsia="Calibri" w:hAnsi="Arial" w:cs="Arial"/>
        </w:rPr>
        <w:t>r</w:t>
      </w:r>
      <w:r w:rsidRPr="00140FFB">
        <w:rPr>
          <w:rFonts w:ascii="Arial" w:eastAsia="Calibri" w:hAnsi="Arial" w:cs="Arial"/>
        </w:rPr>
        <w:t xml:space="preserve"> que frente a situaciones en las que se presenta un ejercicio de la potestad de limitar a </w:t>
      </w:r>
      <w:proofErr w:type="spellStart"/>
      <w:r w:rsidRPr="00140FFB">
        <w:rPr>
          <w:rFonts w:ascii="Arial" w:eastAsia="Calibri" w:hAnsi="Arial" w:cs="Arial"/>
        </w:rPr>
        <w:t>mipymes</w:t>
      </w:r>
      <w:proofErr w:type="spellEnd"/>
      <w:r w:rsidRPr="00140FFB">
        <w:rPr>
          <w:rFonts w:ascii="Arial" w:eastAsia="Calibri" w:hAnsi="Arial" w:cs="Arial"/>
        </w:rPr>
        <w:t xml:space="preserve"> desconociendo los anteriores presupuestos mínimos, bien podrían ser cuestionadas por los proponentes, veedores y ciudadanía en general ya sea a través de observaciones, en el ejercicio del derecho fundamental de petición ante la respectiva entidad estatal</w:t>
      </w:r>
      <w:r w:rsidR="00FD4216">
        <w:rPr>
          <w:rFonts w:ascii="Arial" w:eastAsia="Calibri" w:hAnsi="Arial" w:cs="Arial"/>
        </w:rPr>
        <w:t>,</w:t>
      </w:r>
      <w:r w:rsidRPr="00140FFB">
        <w:rPr>
          <w:rFonts w:ascii="Arial" w:eastAsia="Calibri" w:hAnsi="Arial" w:cs="Arial"/>
        </w:rPr>
        <w:t xml:space="preserve"> o la presentación de denuncias ante las autoridades competentes en el caso de que se evidencien prácticas restrictivas a la competencia, o con relevancia penal o disciplinaria. Así mismo, en atención al interés general que revisten los procesos de contratación, cualquier ciudadano podría también solicitar el control judicial del respectivo pliego de condiciones –o invitación en los procesos </w:t>
      </w:r>
      <w:r w:rsidRPr="00140FFB">
        <w:rPr>
          <w:rFonts w:ascii="Arial" w:eastAsia="Calibri" w:hAnsi="Arial" w:cs="Arial"/>
        </w:rPr>
        <w:lastRenderedPageBreak/>
        <w:t xml:space="preserve">de mínima cuantía–, cuando encuentre que estos contravienen el marco legal que les aplica. </w:t>
      </w:r>
    </w:p>
    <w:p w14:paraId="6D837376" w14:textId="17B721CC" w:rsidR="00FD4216" w:rsidRPr="00D8267C" w:rsidRDefault="000E5D20" w:rsidP="000E5D20">
      <w:pPr>
        <w:spacing w:before="120" w:line="276" w:lineRule="auto"/>
        <w:jc w:val="both"/>
        <w:rPr>
          <w:rFonts w:ascii="Arial" w:eastAsia="Calibri" w:hAnsi="Arial" w:cs="Arial"/>
          <w:b/>
        </w:rPr>
      </w:pPr>
      <w:r w:rsidRPr="00140FFB">
        <w:rPr>
          <w:rFonts w:ascii="Arial" w:eastAsia="Calibri" w:hAnsi="Arial" w:cs="Arial"/>
          <w:b/>
        </w:rPr>
        <w:t xml:space="preserve">2.5. Declaratoria de desierta en los procesos de selección </w:t>
      </w:r>
    </w:p>
    <w:p w14:paraId="046A88FB" w14:textId="5A23A397" w:rsidR="000E5D20" w:rsidRPr="00140FFB" w:rsidRDefault="000E5D20" w:rsidP="000C1A02">
      <w:pPr>
        <w:spacing w:before="120" w:line="276" w:lineRule="auto"/>
        <w:jc w:val="both"/>
        <w:rPr>
          <w:rFonts w:ascii="Arial" w:eastAsia="Calibri" w:hAnsi="Arial" w:cs="Arial"/>
        </w:rPr>
      </w:pPr>
      <w:r w:rsidRPr="00140FFB">
        <w:rPr>
          <w:rFonts w:ascii="Arial" w:eastAsia="Calibri" w:hAnsi="Arial" w:cs="Arial"/>
        </w:rPr>
        <w:t xml:space="preserve">La declaratoria de desierta de un procedimiento de selección consiste en la decisión de la entidad contratante de no adjudicar el contrato, esto es, de no seleccionar al futuro contratista originado en un procedimiento de selección, por presentarse los supuestos establecidos por el legislador para dicha declaratoria. </w:t>
      </w:r>
      <w:r w:rsidR="000C1A02">
        <w:rPr>
          <w:rFonts w:ascii="Arial" w:eastAsia="Calibri" w:hAnsi="Arial" w:cs="Arial"/>
        </w:rPr>
        <w:t>E</w:t>
      </w:r>
      <w:r w:rsidRPr="00140FFB">
        <w:rPr>
          <w:rFonts w:ascii="Arial" w:eastAsia="Calibri" w:hAnsi="Arial" w:cs="Arial"/>
        </w:rPr>
        <w:t>l fundamento para esta actuación se encuentra consagrado en el numeral 18 del artículo 25 de la Ley 80 de 1993, el cual establece:</w:t>
      </w:r>
      <w:r w:rsidRPr="00140FFB">
        <w:rPr>
          <w:rFonts w:ascii="Arial" w:eastAsia="Calibri" w:hAnsi="Arial" w:cs="Arial"/>
        </w:rPr>
        <w:tab/>
      </w:r>
    </w:p>
    <w:p w14:paraId="0615C0AE" w14:textId="77777777" w:rsidR="000E5D20" w:rsidRPr="00140FFB" w:rsidRDefault="000E5D20" w:rsidP="000E5D20">
      <w:pPr>
        <w:spacing w:before="120"/>
        <w:ind w:left="709" w:right="709"/>
        <w:jc w:val="both"/>
        <w:rPr>
          <w:rFonts w:ascii="Arial" w:hAnsi="Arial" w:cs="Arial"/>
          <w:sz w:val="21"/>
          <w:szCs w:val="21"/>
        </w:rPr>
      </w:pPr>
      <w:r w:rsidRPr="00140FFB">
        <w:rPr>
          <w:rFonts w:ascii="Arial" w:hAnsi="Arial" w:cs="Arial"/>
          <w:sz w:val="21"/>
          <w:szCs w:val="21"/>
        </w:rPr>
        <w:t>Artículo 25. Del principio de economía. En virtud de este principio: […]</w:t>
      </w:r>
    </w:p>
    <w:p w14:paraId="0B8D8F3B" w14:textId="77777777" w:rsidR="000E5D20" w:rsidRPr="00140FFB" w:rsidRDefault="000E5D20" w:rsidP="000E5D20">
      <w:pPr>
        <w:spacing w:before="120"/>
        <w:ind w:left="709" w:right="709"/>
        <w:jc w:val="both"/>
        <w:rPr>
          <w:rFonts w:ascii="Arial" w:hAnsi="Arial" w:cs="Arial"/>
          <w:sz w:val="21"/>
          <w:szCs w:val="21"/>
        </w:rPr>
      </w:pPr>
      <w:r w:rsidRPr="00140FFB">
        <w:rPr>
          <w:rFonts w:ascii="Arial" w:hAnsi="Arial" w:cs="Arial"/>
          <w:sz w:val="21"/>
          <w:szCs w:val="21"/>
        </w:rPr>
        <w:t>18. La declaratoria de desierta de la licitación únicamente procederá por motivos o causas que impidan la escogencia objetiva y se declarará en acto administrativo en el que se señalarán en forma expresa y detallada las razones que han conducido a esa decisión.</w:t>
      </w:r>
    </w:p>
    <w:p w14:paraId="50BC90DE" w14:textId="4E853510" w:rsidR="000E5D20" w:rsidRPr="00140FFB" w:rsidRDefault="000E5D20" w:rsidP="000E5D20">
      <w:pPr>
        <w:spacing w:before="120" w:line="276" w:lineRule="auto"/>
        <w:ind w:firstLine="709"/>
        <w:jc w:val="both"/>
        <w:rPr>
          <w:rFonts w:ascii="Arial" w:eastAsia="Calibri" w:hAnsi="Arial" w:cs="Arial"/>
        </w:rPr>
      </w:pPr>
      <w:r w:rsidRPr="00140FFB">
        <w:rPr>
          <w:rFonts w:ascii="Arial" w:eastAsia="Calibri" w:hAnsi="Arial" w:cs="Arial"/>
        </w:rPr>
        <w:t xml:space="preserve">Si bien resulta problemático que la disposición solo aluda a la “licitación”, esta Agencia considera que su entendimiento debe ser amplio, para acoger a los demás procedimientos de selección adoptados en nuestro ordenamiento de forma posterior. </w:t>
      </w:r>
      <w:r w:rsidR="00E46E99" w:rsidRPr="00140FFB">
        <w:rPr>
          <w:rFonts w:ascii="Arial" w:eastAsia="Calibri" w:hAnsi="Arial" w:cs="Arial"/>
        </w:rPr>
        <w:t>Así,</w:t>
      </w:r>
      <w:r w:rsidRPr="00140FFB">
        <w:rPr>
          <w:rFonts w:ascii="Arial" w:eastAsia="Calibri" w:hAnsi="Arial" w:cs="Arial"/>
        </w:rPr>
        <w:t xml:space="preserve"> por ejemplo, la Ley 1150 de 2007 -posterior a la vigencia de la Ley 80 de 1993- creó nuevas modalidades de selección en su artículo 2 y, además de la licitación pública, incluyó la selección abreviada, el concurso de méritos y la mínima cuantía. De manera que estos procesos de selección también deben entenderse regidos bajo los principios de la Contratación Estatal consagrados en la Ley 80.</w:t>
      </w:r>
    </w:p>
    <w:p w14:paraId="6D0E6498" w14:textId="77777777" w:rsidR="000E5D20" w:rsidRPr="00140FFB" w:rsidRDefault="000E5D20" w:rsidP="000E5D20">
      <w:pPr>
        <w:spacing w:before="120" w:line="276" w:lineRule="auto"/>
        <w:ind w:firstLine="709"/>
        <w:jc w:val="both"/>
        <w:rPr>
          <w:rFonts w:ascii="Arial" w:eastAsia="Calibri" w:hAnsi="Arial" w:cs="Arial"/>
        </w:rPr>
      </w:pPr>
      <w:r w:rsidRPr="00140FFB">
        <w:rPr>
          <w:rFonts w:ascii="Arial" w:eastAsia="Calibri" w:hAnsi="Arial" w:cs="Arial"/>
        </w:rPr>
        <w:t>Esta interpretación además encuentra fundamento en lo establecido en el artículo 23 de la Ley 80 de 1993, cuya redacción es más amplia, al prescribir que “Las actuaciones de quienes intervengan en la contratación estatal se desarrollarán con arreglo a los principios de transparencia, economía y responsabilidad y de conformidad con los postulados que rigen la función administrativa”. En este sentido, las actuaciones de las entidades estatales deben observar el principio de economía, en los términos establecidos por el legislador en el artículo 25, resultando compatible lo establecido en el numeral 18 en relación con la modalidad de mínima cuantía, al igual que frente a las demás modalidades de selección competitivas establecidas en el artículo 2 de la Ley 1150 de 2007.</w:t>
      </w:r>
    </w:p>
    <w:p w14:paraId="5C361427" w14:textId="77777777" w:rsidR="000E5D20" w:rsidRPr="00140FFB" w:rsidRDefault="000E5D20" w:rsidP="000E5D20">
      <w:pPr>
        <w:spacing w:before="120" w:line="276" w:lineRule="auto"/>
        <w:ind w:firstLine="709"/>
        <w:jc w:val="both"/>
        <w:rPr>
          <w:rFonts w:ascii="Arial" w:eastAsia="Calibri" w:hAnsi="Arial" w:cs="Arial"/>
        </w:rPr>
      </w:pPr>
      <w:r w:rsidRPr="00140FFB">
        <w:rPr>
          <w:rFonts w:ascii="Arial" w:eastAsia="Calibri" w:hAnsi="Arial" w:cs="Arial"/>
        </w:rPr>
        <w:t xml:space="preserve">De esta manera, el artículo 25, numeral 18, de la Ley 80 expresa que la declaratoria de desierta “únicamente procederá por motivos o causas que impidan la escogencia objetiva”, lo que responde a la orientación regulativa de la Ley 80 de 1993, toda vez que bajo el régimen del Decreto-Ley 222 de 1983 se establecía una mayor cantidad de </w:t>
      </w:r>
      <w:r w:rsidRPr="00140FFB">
        <w:rPr>
          <w:rFonts w:ascii="Arial" w:eastAsia="Calibri" w:hAnsi="Arial" w:cs="Arial"/>
        </w:rPr>
        <w:lastRenderedPageBreak/>
        <w:t xml:space="preserve">supuestos. Actualmente cualquier declaratoria de desierta de un proceso contractual implica que en el acto administrativo mediante el cual se exprese las razones por las cuales considera que no es posible realizar una selección objetiva de la mejor oferta, y cómo esta circunstancia se presenta efectivamente en el procedimiento de selección. Por ejemplo, señalar que no se presentaron ofertas o que de las que se presentaron ninguna cumple con los requisitos mínimos establecidos por la entidad en los pliegos de condiciones o en la invitación. En efecto, en relación con la motivación de la declaratoria de desierta, la doctrina expresa: </w:t>
      </w:r>
    </w:p>
    <w:p w14:paraId="21AFFC9A" w14:textId="77777777" w:rsidR="000E5D20" w:rsidRPr="00140FFB" w:rsidRDefault="000E5D20" w:rsidP="000E5D20">
      <w:pPr>
        <w:spacing w:before="120"/>
        <w:ind w:left="709" w:right="709"/>
        <w:jc w:val="both"/>
        <w:rPr>
          <w:rFonts w:ascii="Arial" w:eastAsia="Calibri" w:hAnsi="Arial" w:cs="Arial"/>
          <w:sz w:val="21"/>
          <w:szCs w:val="21"/>
        </w:rPr>
      </w:pPr>
      <w:r w:rsidRPr="00140FFB">
        <w:rPr>
          <w:rFonts w:ascii="Arial" w:eastAsia="Calibri" w:hAnsi="Arial" w:cs="Arial"/>
          <w:sz w:val="21"/>
          <w:szCs w:val="21"/>
        </w:rPr>
        <w:t>Esto significa que el acto administrativo debe contener de manera detallada y completa lo siguiente:</w:t>
      </w:r>
    </w:p>
    <w:p w14:paraId="777A7104" w14:textId="77777777" w:rsidR="000E5D20" w:rsidRPr="00140FFB" w:rsidRDefault="000E5D20" w:rsidP="000E5D20">
      <w:pPr>
        <w:spacing w:before="120"/>
        <w:ind w:left="709" w:right="709"/>
        <w:jc w:val="both"/>
        <w:rPr>
          <w:rFonts w:ascii="Arial" w:eastAsia="Calibri" w:hAnsi="Arial" w:cs="Arial"/>
          <w:sz w:val="21"/>
          <w:szCs w:val="21"/>
        </w:rPr>
      </w:pPr>
      <w:r w:rsidRPr="00140FFB">
        <w:rPr>
          <w:rFonts w:ascii="Arial" w:eastAsia="Calibri" w:hAnsi="Arial" w:cs="Arial"/>
          <w:sz w:val="21"/>
          <w:szCs w:val="21"/>
        </w:rPr>
        <w:t>Señalar los hechos que según la entidad dan lugar a la declaratoria.</w:t>
      </w:r>
    </w:p>
    <w:p w14:paraId="2F4E94D3" w14:textId="2CA1B702" w:rsidR="000E5D20" w:rsidRPr="00140FFB" w:rsidRDefault="000E5D20" w:rsidP="000E5D20">
      <w:pPr>
        <w:spacing w:before="120"/>
        <w:ind w:left="709" w:right="709"/>
        <w:jc w:val="both"/>
        <w:rPr>
          <w:rFonts w:ascii="Arial" w:eastAsia="Calibri" w:hAnsi="Arial" w:cs="Arial"/>
          <w:sz w:val="21"/>
          <w:szCs w:val="21"/>
        </w:rPr>
      </w:pPr>
      <w:r w:rsidRPr="00140FFB">
        <w:rPr>
          <w:rFonts w:ascii="Arial" w:eastAsia="Calibri" w:hAnsi="Arial" w:cs="Arial"/>
          <w:sz w:val="21"/>
          <w:szCs w:val="21"/>
        </w:rPr>
        <w:t>Debe mostrar de qué modo dichos hechos son constitutivos de la causal señalada en la ley. Es decir debe mostrar de qué modo el hecho señalado impide realmente la selección objetiva del contratista</w:t>
      </w:r>
      <w:r w:rsidR="00F34067">
        <w:rPr>
          <w:rStyle w:val="Refdenotaalpie"/>
          <w:rFonts w:ascii="Arial" w:eastAsia="Calibri" w:hAnsi="Arial" w:cs="Arial"/>
          <w:sz w:val="21"/>
          <w:szCs w:val="21"/>
        </w:rPr>
        <w:footnoteReference w:id="33"/>
      </w:r>
      <w:r w:rsidRPr="00140FFB">
        <w:rPr>
          <w:rFonts w:ascii="Arial" w:eastAsia="Calibri" w:hAnsi="Arial" w:cs="Arial"/>
          <w:sz w:val="21"/>
          <w:szCs w:val="21"/>
        </w:rPr>
        <w:t xml:space="preserve"> .</w:t>
      </w:r>
    </w:p>
    <w:p w14:paraId="74B02B8E" w14:textId="77777777" w:rsidR="000E5D20" w:rsidRPr="00140FFB" w:rsidRDefault="000E5D20" w:rsidP="000E5D20">
      <w:pPr>
        <w:spacing w:before="120" w:line="276" w:lineRule="auto"/>
        <w:ind w:firstLine="709"/>
        <w:jc w:val="both"/>
        <w:rPr>
          <w:rFonts w:ascii="Arial" w:eastAsia="Calibri" w:hAnsi="Arial" w:cs="Arial"/>
        </w:rPr>
      </w:pPr>
      <w:r w:rsidRPr="00140FFB">
        <w:rPr>
          <w:rFonts w:ascii="Arial" w:eastAsia="Calibri" w:hAnsi="Arial" w:cs="Arial"/>
        </w:rPr>
        <w:t>En efecto, este instrumento normativo se limita al caso específico de que la entidad se encuentre frente a un proceso de selección en que no sea posible la selección objetiva del contratista debido a las condiciones de las ofertas presentadas o no presentadas -en caso de que no se presente ninguna-. Se evalúan las ofertas con base en las directrices y criterios establecidos en la convocatoria pública y, al no cumplir con ellos ninguna de las ofertas, se declara desierta la convocatoria.</w:t>
      </w:r>
    </w:p>
    <w:p w14:paraId="2583DCAD" w14:textId="77777777" w:rsidR="000E5D20" w:rsidRPr="00140FFB" w:rsidRDefault="000E5D20" w:rsidP="000E5D20">
      <w:pPr>
        <w:spacing w:before="120" w:line="276" w:lineRule="auto"/>
        <w:ind w:firstLine="709"/>
        <w:jc w:val="both"/>
        <w:rPr>
          <w:rFonts w:ascii="Arial" w:eastAsia="Calibri" w:hAnsi="Arial" w:cs="Arial"/>
        </w:rPr>
      </w:pPr>
      <w:r w:rsidRPr="00140FFB">
        <w:rPr>
          <w:rFonts w:ascii="Arial" w:eastAsia="Calibri" w:hAnsi="Arial" w:cs="Arial"/>
        </w:rPr>
        <w:t xml:space="preserve">Lo anterior entonces presupone la validez de la convocatoria pública en la medida en que son los criterios y directrices establecidos en esta –requisitos habilitantes, medidas geométricas como factor de evaluación, entre otros– los que usa la administración para realizar la selección objetiva del contratista y, eventualmente, argumentar la imposibilidad de elegir a alguno de los oferentes. </w:t>
      </w:r>
    </w:p>
    <w:p w14:paraId="4EB59683" w14:textId="67517EC7" w:rsidR="000E5D20" w:rsidRPr="00140FFB" w:rsidRDefault="000E5D20" w:rsidP="000E5D20">
      <w:pPr>
        <w:spacing w:before="120" w:line="276" w:lineRule="auto"/>
        <w:ind w:firstLine="709"/>
        <w:jc w:val="both"/>
        <w:rPr>
          <w:rFonts w:ascii="Arial" w:eastAsia="Calibri" w:hAnsi="Arial" w:cs="Arial"/>
        </w:rPr>
      </w:pPr>
      <w:r w:rsidRPr="00140FFB">
        <w:rPr>
          <w:rFonts w:ascii="Arial" w:eastAsia="Calibri" w:hAnsi="Arial" w:cs="Arial"/>
        </w:rPr>
        <w:t xml:space="preserve">Frente a vicios o errores de la entidad contratante en la convocatoria pública, por tratarse de una circunstancia atribuible a la Entidad Estatal que puede vulnerar el principio de igualdad y el derecho a la libre concurrencia, el mecanismo procedente no será la declaratoria de desierta sino el saneamiento de los vicios o, eventualmente, la declaratoria de nulidad. </w:t>
      </w:r>
    </w:p>
    <w:p w14:paraId="275C0C3D" w14:textId="77777777" w:rsidR="000E5D20" w:rsidRPr="00140FFB" w:rsidRDefault="000E5D20" w:rsidP="000E5D20">
      <w:pPr>
        <w:spacing w:before="120" w:line="276" w:lineRule="auto"/>
        <w:ind w:firstLine="709"/>
        <w:jc w:val="both"/>
        <w:rPr>
          <w:rFonts w:ascii="Arial" w:eastAsia="Calibri" w:hAnsi="Arial" w:cs="Arial"/>
        </w:rPr>
      </w:pPr>
      <w:r w:rsidRPr="00140FFB">
        <w:rPr>
          <w:rFonts w:ascii="Arial" w:eastAsia="Calibri" w:hAnsi="Arial" w:cs="Arial"/>
        </w:rPr>
        <w:lastRenderedPageBreak/>
        <w:t>De hecho, de corregirse los vicios o errores en la convocatoria pública, dependiendo de las circunstancias del caso concreto, se podrá afectar la validez de los actos o contratos que se celebren con posterioridad, entre ellos, el acto administrativo de aceptación de la oferta o una eventual declaratoria de desierta.</w:t>
      </w:r>
    </w:p>
    <w:p w14:paraId="114E422D" w14:textId="77777777" w:rsidR="000E5D20" w:rsidRPr="00140FFB" w:rsidRDefault="000E5D20" w:rsidP="000E5D20">
      <w:pPr>
        <w:spacing w:before="120" w:line="276" w:lineRule="auto"/>
        <w:ind w:firstLine="709"/>
        <w:jc w:val="both"/>
        <w:rPr>
          <w:rFonts w:ascii="Arial" w:eastAsia="Calibri" w:hAnsi="Arial" w:cs="Arial"/>
        </w:rPr>
      </w:pPr>
      <w:r w:rsidRPr="00140FFB">
        <w:rPr>
          <w:rFonts w:ascii="Arial" w:eastAsia="Calibri" w:hAnsi="Arial" w:cs="Arial"/>
        </w:rPr>
        <w:t>Como se mencionó, la declaratoria de desierta se ciñe al incumplimiento de los criterios de selección objetiva por parte de las ofertas, y frente al acto administrativo que la declara es indispensable acudir al artículo 77 de la Ley 80 de 1993:</w:t>
      </w:r>
    </w:p>
    <w:p w14:paraId="024D6CCD" w14:textId="77777777" w:rsidR="000E5D20" w:rsidRPr="00140FFB" w:rsidRDefault="000E5D20" w:rsidP="000E5D20">
      <w:pPr>
        <w:spacing w:before="120"/>
        <w:ind w:left="709" w:right="709"/>
        <w:jc w:val="both"/>
        <w:rPr>
          <w:rFonts w:ascii="Arial" w:eastAsia="Calibri" w:hAnsi="Arial" w:cs="Arial"/>
          <w:sz w:val="21"/>
          <w:szCs w:val="21"/>
        </w:rPr>
      </w:pPr>
      <w:r w:rsidRPr="00140FFB">
        <w:rPr>
          <w:rFonts w:ascii="Arial" w:eastAsia="Calibri" w:hAnsi="Arial" w:cs="Arial"/>
          <w:sz w:val="21"/>
          <w:szCs w:val="21"/>
        </w:rPr>
        <w:t>Artículo 77. De la normatividad aplicable en las actuaciones administrativas. En cuanto sean compatibles con la finalidad y los principios de esta ley, las normas que rigen los procedimientos y actuaciones en la función administrativa serán aplicables en las actuaciones contractuales. A falta de éstas, regirán las disposiciones del Código de Procedimiento Civil.</w:t>
      </w:r>
    </w:p>
    <w:p w14:paraId="6F53ADA4" w14:textId="77777777" w:rsidR="000E5D20" w:rsidRPr="00140FFB" w:rsidRDefault="000E5D20" w:rsidP="000E5D20">
      <w:pPr>
        <w:spacing w:before="120"/>
        <w:ind w:left="709" w:right="709"/>
        <w:jc w:val="both"/>
        <w:rPr>
          <w:rFonts w:ascii="Arial" w:eastAsia="Calibri" w:hAnsi="Arial" w:cs="Arial"/>
          <w:sz w:val="21"/>
          <w:szCs w:val="21"/>
        </w:rPr>
      </w:pPr>
      <w:r w:rsidRPr="00140FFB">
        <w:rPr>
          <w:rFonts w:ascii="Arial" w:eastAsia="Calibri" w:hAnsi="Arial" w:cs="Arial"/>
          <w:sz w:val="21"/>
          <w:szCs w:val="21"/>
        </w:rPr>
        <w:t>Los actos administrativos que se produzcan con motivo u ocasión de la actividad contractual sólo serán susceptibles de recurso de reposición y del ejercicio de la acción contractual, de acuerdo con las reglas del Código Contencioso Administrativo.</w:t>
      </w:r>
    </w:p>
    <w:p w14:paraId="78395D1F" w14:textId="77777777" w:rsidR="000E5D20" w:rsidRPr="00140FFB" w:rsidRDefault="000E5D20" w:rsidP="000E5D20">
      <w:pPr>
        <w:spacing w:before="120"/>
        <w:ind w:left="709" w:right="709"/>
        <w:jc w:val="both"/>
        <w:rPr>
          <w:rFonts w:ascii="Arial" w:eastAsia="Calibri" w:hAnsi="Arial" w:cs="Arial"/>
          <w:sz w:val="21"/>
          <w:szCs w:val="21"/>
        </w:rPr>
      </w:pPr>
      <w:r w:rsidRPr="00140FFB">
        <w:rPr>
          <w:rFonts w:ascii="Arial" w:eastAsia="Calibri" w:hAnsi="Arial" w:cs="Arial"/>
          <w:sz w:val="21"/>
          <w:szCs w:val="21"/>
        </w:rPr>
        <w:t>Parágrafo 1o. El acto de adjudicación no tendrá recursos por la vía gubernativa. Este podrá impugnarse mediante el ejercicio de la acción de nulidad y restablecimiento del derecho, según las reglas del Código Contencioso administrativo.</w:t>
      </w:r>
    </w:p>
    <w:p w14:paraId="4BB6586F" w14:textId="119015EB" w:rsidR="000E5D20" w:rsidRPr="00140FFB" w:rsidRDefault="000E5D20" w:rsidP="000E5D20">
      <w:pPr>
        <w:spacing w:before="120" w:line="276" w:lineRule="auto"/>
        <w:ind w:firstLine="709"/>
        <w:jc w:val="both"/>
        <w:rPr>
          <w:rFonts w:ascii="Arial" w:eastAsia="Calibri" w:hAnsi="Arial" w:cs="Arial"/>
        </w:rPr>
      </w:pPr>
      <w:r w:rsidRPr="00140FFB">
        <w:rPr>
          <w:rFonts w:ascii="Arial" w:eastAsia="Calibri" w:hAnsi="Arial" w:cs="Arial"/>
        </w:rPr>
        <w:t xml:space="preserve">Así las cosas, en respuesta a la pregunta No. 3 de </w:t>
      </w:r>
      <w:r w:rsidR="00197586">
        <w:rPr>
          <w:rFonts w:ascii="Arial" w:eastAsia="Calibri" w:hAnsi="Arial" w:cs="Arial"/>
        </w:rPr>
        <w:t xml:space="preserve">su consulta, se tiene que del artículo 77 de la Ley 80 de 1993 </w:t>
      </w:r>
      <w:r w:rsidRPr="00140FFB">
        <w:rPr>
          <w:rFonts w:ascii="Arial" w:eastAsia="Calibri" w:hAnsi="Arial" w:cs="Arial"/>
        </w:rPr>
        <w:t>varios aspectos relevantes para el asunto que se analiza: i) se establece que los actos administrativos que se expidan en desarrollo de la actividad contractual solo son susceptibles del recurso de reposición. ii) Se establece que frente al “acto de adjudicación” no proceden recursos. iii) El inciso primero prescribe que los vacíos en el procedimiento administrativo contractual serán llenados con las normas que “rigen los procedimientos y actuaciones en la función administrativa”, esto es, mediante el Código de Procedimiento Administrativo y de lo Contencioso Administrativo –CPACA–.</w:t>
      </w:r>
    </w:p>
    <w:p w14:paraId="2D6B8300" w14:textId="3C797B93" w:rsidR="000E5D20" w:rsidRPr="00140FFB" w:rsidRDefault="000E5D20" w:rsidP="000E5D20">
      <w:pPr>
        <w:spacing w:before="120" w:line="276" w:lineRule="auto"/>
        <w:ind w:firstLine="709"/>
        <w:jc w:val="both"/>
        <w:rPr>
          <w:rFonts w:ascii="Arial" w:eastAsia="Calibri" w:hAnsi="Arial" w:cs="Arial"/>
        </w:rPr>
      </w:pPr>
      <w:r w:rsidRPr="00140FFB">
        <w:rPr>
          <w:rFonts w:ascii="Arial" w:eastAsia="Calibri" w:hAnsi="Arial" w:cs="Arial"/>
        </w:rPr>
        <w:t xml:space="preserve">En relación con lo anterior, cabe destacar que la regla especial respecto a que frente al “acto de adjudicación” no proceden recursos, no es posible extenderla a la declaratoria de desierta, por tratarse de un acto con una naturaleza y contenido diferente, tal como se viene expresando y, además, bajo el entendido de que dicha disposición limita el ejercicio de un derecho, como sería la interposición de un recurso, por lo que su interpretación debe ser estricta. Por ello, esta Agencia considera que la declaratoria de desierta hace parte de </w:t>
      </w:r>
      <w:r w:rsidRPr="00140FFB">
        <w:rPr>
          <w:rFonts w:ascii="Arial" w:eastAsia="Calibri" w:hAnsi="Arial" w:cs="Arial"/>
        </w:rPr>
        <w:lastRenderedPageBreak/>
        <w:t>aquellos actos regulados en el inciso segundo del artículo 77</w:t>
      </w:r>
      <w:r w:rsidR="003D2638">
        <w:rPr>
          <w:rFonts w:ascii="Arial" w:eastAsia="Calibri" w:hAnsi="Arial" w:cs="Arial"/>
        </w:rPr>
        <w:t xml:space="preserve"> de la Ley 80 de 1993</w:t>
      </w:r>
      <w:r w:rsidR="003D2638">
        <w:rPr>
          <w:rStyle w:val="Refdenotaalpie"/>
          <w:rFonts w:ascii="Arial" w:eastAsia="Calibri" w:hAnsi="Arial" w:cs="Arial"/>
        </w:rPr>
        <w:footnoteReference w:id="34"/>
      </w:r>
      <w:r w:rsidRPr="00140FFB">
        <w:rPr>
          <w:rFonts w:ascii="Arial" w:eastAsia="Calibri" w:hAnsi="Arial" w:cs="Arial"/>
        </w:rPr>
        <w:t>, es decir, que frente a ella procede el recurso de reposición.</w:t>
      </w:r>
    </w:p>
    <w:p w14:paraId="108D6754" w14:textId="1B8683BB" w:rsidR="000E5D20" w:rsidRPr="00140FFB" w:rsidRDefault="000E5D20" w:rsidP="000E5D20">
      <w:pPr>
        <w:spacing w:before="120" w:line="276" w:lineRule="auto"/>
        <w:ind w:firstLine="709"/>
        <w:jc w:val="both"/>
        <w:rPr>
          <w:rFonts w:ascii="Arial" w:eastAsia="Calibri" w:hAnsi="Arial" w:cs="Arial"/>
        </w:rPr>
      </w:pPr>
      <w:r w:rsidRPr="00140FFB">
        <w:rPr>
          <w:rFonts w:ascii="Arial" w:eastAsia="Calibri" w:hAnsi="Arial" w:cs="Arial"/>
        </w:rPr>
        <w:t>En armonía con lo anterior, frente al acto que declara desierto un procedimiento de selección,</w:t>
      </w:r>
      <w:r w:rsidR="007934E3">
        <w:rPr>
          <w:rFonts w:ascii="Arial" w:eastAsia="Calibri" w:hAnsi="Arial" w:cs="Arial"/>
        </w:rPr>
        <w:t xml:space="preserve"> </w:t>
      </w:r>
      <w:r w:rsidRPr="00140FFB">
        <w:rPr>
          <w:rFonts w:ascii="Arial" w:eastAsia="Calibri" w:hAnsi="Arial" w:cs="Arial"/>
        </w:rPr>
        <w:t>procede el recurso de reposición, que podrá interponerse en los términos establecidos en el artículo 76 del CPACA</w:t>
      </w:r>
      <w:r w:rsidR="003D2638">
        <w:rPr>
          <w:rStyle w:val="Refdenotaalpie"/>
          <w:rFonts w:ascii="Arial" w:eastAsia="Calibri" w:hAnsi="Arial" w:cs="Arial"/>
        </w:rPr>
        <w:footnoteReference w:id="35"/>
      </w:r>
      <w:r w:rsidRPr="00140FFB">
        <w:rPr>
          <w:rFonts w:ascii="Arial" w:eastAsia="Calibri" w:hAnsi="Arial" w:cs="Arial"/>
        </w:rPr>
        <w:t xml:space="preserve"> . Debido a que las disposiciones no sujetan la procedencia de los recursos a los hechos o argumentos a que acuda la entidad estatal para declarar desierto el procedimiento de selección, estos procederán incluso en los eventos en que la entidad argumente no haber recibido ofertas o que estas fueron presentadas de forma extemporánea. </w:t>
      </w:r>
    </w:p>
    <w:p w14:paraId="6FAB5891" w14:textId="77777777" w:rsidR="000E5D20" w:rsidRPr="00140FFB" w:rsidRDefault="000E5D20" w:rsidP="000E5D20">
      <w:pPr>
        <w:tabs>
          <w:tab w:val="left" w:pos="284"/>
        </w:tabs>
        <w:spacing w:line="276" w:lineRule="auto"/>
        <w:jc w:val="both"/>
        <w:rPr>
          <w:rFonts w:ascii="Arial" w:eastAsia="Arial" w:hAnsi="Arial" w:cs="Arial"/>
          <w:b/>
        </w:rPr>
      </w:pPr>
      <w:r w:rsidRPr="00140FFB">
        <w:rPr>
          <w:rFonts w:ascii="Arial" w:eastAsia="Arial" w:hAnsi="Arial" w:cs="Arial"/>
          <w:b/>
        </w:rPr>
        <w:t>3. Respuesta</w:t>
      </w:r>
    </w:p>
    <w:p w14:paraId="1B719E0D" w14:textId="18B100D2" w:rsidR="000E5D20" w:rsidRPr="00140FFB" w:rsidRDefault="000E5D20" w:rsidP="000E5D20">
      <w:pPr>
        <w:ind w:left="709" w:right="709"/>
        <w:jc w:val="both"/>
        <w:rPr>
          <w:rFonts w:ascii="Arial" w:hAnsi="Arial" w:cs="Arial"/>
          <w:sz w:val="21"/>
          <w:szCs w:val="21"/>
        </w:rPr>
      </w:pPr>
      <w:r w:rsidRPr="00140FFB">
        <w:rPr>
          <w:rFonts w:ascii="Arial" w:hAnsi="Arial" w:cs="Arial"/>
          <w:sz w:val="21"/>
          <w:szCs w:val="21"/>
        </w:rPr>
        <w:t>1.</w:t>
      </w:r>
      <w:r w:rsidR="009F2741">
        <w:rPr>
          <w:rFonts w:ascii="Arial" w:hAnsi="Arial" w:cs="Arial"/>
          <w:sz w:val="21"/>
          <w:szCs w:val="21"/>
        </w:rPr>
        <w:t xml:space="preserve"> </w:t>
      </w:r>
      <w:r w:rsidRPr="00140FFB">
        <w:rPr>
          <w:rFonts w:ascii="Arial" w:hAnsi="Arial" w:cs="Arial"/>
          <w:sz w:val="21"/>
          <w:szCs w:val="21"/>
        </w:rPr>
        <w:t>¿Existe a la fecha algún limitante para que las entidades del orden nacional celebren contratos de prestación de servicios profesional o de apoyo a la gestión con persona natural, con un plazo de ejecución superior a 4 meses?</w:t>
      </w:r>
    </w:p>
    <w:p w14:paraId="3E215FFF" w14:textId="24D02AF3" w:rsidR="007B59DA" w:rsidRPr="00140FFB" w:rsidRDefault="007B59DA" w:rsidP="007E6E4D">
      <w:pPr>
        <w:autoSpaceDE w:val="0"/>
        <w:autoSpaceDN w:val="0"/>
        <w:adjustRightInd w:val="0"/>
        <w:spacing w:after="120" w:line="276" w:lineRule="auto"/>
        <w:ind w:firstLine="708"/>
        <w:jc w:val="both"/>
        <w:rPr>
          <w:rFonts w:ascii="Arial" w:eastAsia="Calibri" w:hAnsi="Arial" w:cs="Arial"/>
        </w:rPr>
      </w:pPr>
      <w:r w:rsidRPr="00140FFB">
        <w:rPr>
          <w:rFonts w:ascii="Arial" w:eastAsia="Calibri" w:hAnsi="Arial" w:cs="Arial"/>
        </w:rPr>
        <w:lastRenderedPageBreak/>
        <w:t xml:space="preserve">De acuerdo con lo anterior, en respuesta a la pregunta No. 1 de su petición, se tiene </w:t>
      </w:r>
      <w:r>
        <w:rPr>
          <w:rFonts w:ascii="Arial" w:eastAsia="Calibri" w:hAnsi="Arial" w:cs="Arial"/>
        </w:rPr>
        <w:t xml:space="preserve">que </w:t>
      </w:r>
      <w:r w:rsidRPr="00140FFB">
        <w:rPr>
          <w:rFonts w:ascii="Arial" w:eastAsia="Calibri" w:hAnsi="Arial" w:cs="Arial"/>
        </w:rPr>
        <w:t>aunque en la Circular Conjunta No.</w:t>
      </w:r>
      <w:r>
        <w:rPr>
          <w:rFonts w:ascii="Arial" w:eastAsia="Calibri" w:hAnsi="Arial" w:cs="Arial"/>
        </w:rPr>
        <w:t>01 de 2023, suscrita por</w:t>
      </w:r>
      <w:r w:rsidRPr="00140FFB">
        <w:rPr>
          <w:rFonts w:ascii="Arial" w:eastAsia="Calibri" w:hAnsi="Arial" w:cs="Arial"/>
        </w:rPr>
        <w:t xml:space="preserve"> esta Agencia, conjuntamente con el Departamento Administrativo de la Función Pública sugirió el plazo de cuatro (4) meses para los contratos de prestación de servicios</w:t>
      </w:r>
      <w:r>
        <w:rPr>
          <w:rFonts w:ascii="Arial" w:eastAsia="Calibri" w:hAnsi="Arial" w:cs="Arial"/>
        </w:rPr>
        <w:t>,</w:t>
      </w:r>
      <w:r w:rsidRPr="00140FFB">
        <w:rPr>
          <w:rFonts w:ascii="Arial" w:eastAsia="Calibri" w:hAnsi="Arial" w:cs="Arial"/>
        </w:rPr>
        <w:t xml:space="preserve"> no existe en el ordenamiento jurídico Colombiano limitación frente a dicho plazo, puesto que estos contratos son una tipología contractual regulada por el numeral 3 del artículo 32 de la Ley 80 de 1993, norma que habilita su suscripción por el término estrictamente indispensable para cu</w:t>
      </w:r>
      <w:r>
        <w:rPr>
          <w:rFonts w:ascii="Arial" w:eastAsia="Calibri" w:hAnsi="Arial" w:cs="Arial"/>
        </w:rPr>
        <w:t>mplir su objeto, y el numeral  5 de la Circular Conjunta No. 01 de 2023 y numeral 3</w:t>
      </w:r>
      <w:r w:rsidRPr="00140FFB">
        <w:rPr>
          <w:rFonts w:ascii="Arial" w:eastAsia="Calibri" w:hAnsi="Arial" w:cs="Arial"/>
        </w:rPr>
        <w:t xml:space="preserve"> de la </w:t>
      </w:r>
      <w:r w:rsidRPr="00140FFB">
        <w:rPr>
          <w:rFonts w:ascii="Arial" w:eastAsia="Calibri" w:hAnsi="Arial" w:cs="Arial"/>
          <w:color w:val="000000"/>
        </w:rPr>
        <w:t xml:space="preserve">Circular Conjunta </w:t>
      </w:r>
      <w:r w:rsidRPr="00140FFB">
        <w:rPr>
          <w:rFonts w:ascii="Arial" w:eastAsia="Calibri" w:hAnsi="Arial" w:cs="Arial"/>
        </w:rPr>
        <w:t xml:space="preserve">100-005-2022 no puede ser interpretado como una disposición que establece un plazo máximo de duración para los contratos de prestación de servicios, sino como una directriz administrativa orientadora tendiente a acompasar el proceso de creación de plantas temporales con la celebración de contratos de prestación de servicios durante la presente anualidad. En ese orden, los numerales 6, 6.1, 6.2 y 6.3 de la de Circular Conjunta No. 01 del 5 de enero de 2023 tampoco puede considerarse como normas que reglamenten la Ley 80 de 1993 o la Ley 1150 de 2007, en la medida en que constituyen lineamientos interpretativos que tienen por finalidad precisar diferentes aspectos relativos a la temporalidad de </w:t>
      </w:r>
      <w:r>
        <w:rPr>
          <w:rFonts w:ascii="Arial" w:eastAsia="Calibri" w:hAnsi="Arial" w:cs="Arial"/>
        </w:rPr>
        <w:t xml:space="preserve">los </w:t>
      </w:r>
      <w:r w:rsidRPr="00140FFB">
        <w:rPr>
          <w:rFonts w:ascii="Arial" w:eastAsia="Calibri" w:hAnsi="Arial" w:cs="Arial"/>
        </w:rPr>
        <w:t xml:space="preserve">contratos de prestación de servicios, los cuales se tornan relevantes dadas las inquietudes que suscitó el contenido del numeral 3 de la </w:t>
      </w:r>
      <w:r w:rsidRPr="00140FFB">
        <w:rPr>
          <w:rFonts w:ascii="Arial" w:eastAsia="Calibri" w:hAnsi="Arial" w:cs="Arial"/>
          <w:color w:val="000000"/>
        </w:rPr>
        <w:t xml:space="preserve">Circular Conjunta </w:t>
      </w:r>
      <w:r w:rsidRPr="00140FFB">
        <w:rPr>
          <w:rFonts w:ascii="Arial" w:eastAsia="Calibri" w:hAnsi="Arial" w:cs="Arial"/>
        </w:rPr>
        <w:t>100-005-2022.</w:t>
      </w:r>
    </w:p>
    <w:p w14:paraId="5760E317" w14:textId="610C84B1" w:rsidR="007B59DA" w:rsidRPr="00140FFB" w:rsidRDefault="000E5D20" w:rsidP="007B59DA">
      <w:pPr>
        <w:spacing w:after="120" w:line="276" w:lineRule="auto"/>
        <w:ind w:firstLine="708"/>
        <w:jc w:val="both"/>
        <w:rPr>
          <w:rFonts w:ascii="Arial" w:hAnsi="Arial" w:cs="Arial"/>
        </w:rPr>
      </w:pPr>
      <w:r w:rsidRPr="00140FFB">
        <w:rPr>
          <w:rFonts w:ascii="Arial" w:hAnsi="Arial" w:cs="Arial"/>
        </w:rPr>
        <w:t xml:space="preserve"> </w:t>
      </w:r>
      <w:r w:rsidR="007B59DA" w:rsidRPr="00140FFB">
        <w:rPr>
          <w:rFonts w:ascii="Arial" w:hAnsi="Arial" w:cs="Arial"/>
        </w:rPr>
        <w:t>Por otra parte, debe advertirse que la Circular Conjunta No. 01 de 2023 es respetuosa de la autonomía con la que cuentan las entidades territoriales, en virtud del artículo 287 superior, para planear, programar y ejercer mediante la actividad contractual el cumplimiento de sus funciones y la prestación de servicios públicos, quedando facultadas para suscribir contratos prestación de servicios profesionales y de apoyo a la gestión con personas naturales por plazos de ejecución superiores a los cuatro meses (4) señalados en el numeral 3 de la Circular Conjunta 100-005-2022, pues los lineamientos incorporados tiene como fin principal el invitar a las entidades para planear la contratación de estos servicios durante un “término estrictamente indispensable” que procure no ser superior a los cuatro meses (04), tiempo en el cual se espera que el contratista cumpla a cabalidad el objeto del contrato y las obligaciones que de él se derivan, a la par de las acciones necesarias que deberán desarrollar las Entidades Estatales para determinar, crear y proveer la planta de personal temporal necesaria y suficiente para suplir las necesidades misionales y administrativas que han sido provistas a través de contratos de prestación de servicios profesionales y de apoyo a la gestión con personas naturales.</w:t>
      </w:r>
    </w:p>
    <w:p w14:paraId="6D94FECC" w14:textId="7CA4BFD9" w:rsidR="000E5D20" w:rsidRPr="00140FFB" w:rsidRDefault="000E5D20" w:rsidP="000E5D20">
      <w:pPr>
        <w:spacing w:after="120" w:line="276" w:lineRule="auto"/>
        <w:ind w:firstLine="708"/>
        <w:jc w:val="both"/>
        <w:rPr>
          <w:rFonts w:ascii="Arial" w:hAnsi="Arial" w:cs="Arial"/>
        </w:rPr>
      </w:pPr>
    </w:p>
    <w:p w14:paraId="07FFD385" w14:textId="77777777" w:rsidR="000E5D20" w:rsidRPr="00140FFB" w:rsidRDefault="000E5D20" w:rsidP="000E5D20">
      <w:pPr>
        <w:ind w:left="709" w:right="709"/>
        <w:jc w:val="both"/>
        <w:rPr>
          <w:rFonts w:ascii="Arial" w:hAnsi="Arial" w:cs="Arial"/>
          <w:sz w:val="21"/>
          <w:szCs w:val="21"/>
        </w:rPr>
      </w:pPr>
      <w:r w:rsidRPr="00140FFB">
        <w:rPr>
          <w:rFonts w:ascii="Arial" w:hAnsi="Arial" w:cs="Arial"/>
          <w:sz w:val="21"/>
          <w:szCs w:val="21"/>
        </w:rPr>
        <w:t xml:space="preserve">2. Si una entidad pública abre un proceso de mínima cuantía que se limita solo a la partición de MYPIMES, y en dicho proceso no se presentan propuestas, y por ende, es declarado desierto, y por segunda vez dicha entidad vuelve a abrir </w:t>
      </w:r>
      <w:r w:rsidRPr="00140FFB">
        <w:rPr>
          <w:rFonts w:ascii="Arial" w:hAnsi="Arial" w:cs="Arial"/>
          <w:sz w:val="21"/>
          <w:szCs w:val="21"/>
        </w:rPr>
        <w:lastRenderedPageBreak/>
        <w:t>el proceso de mínima cuantía para idéntico objeto, se limita solo a la partición de MYPIMES, y en dicho proceso no se presentan propuestas, y por ende, nuevamente es declarado desierto, si la necesidad de contratación persiste y la entidad abre por tercera vez el proceso: ¿está obligada a permitir que el mismo sea limitado a MYPIMES?</w:t>
      </w:r>
    </w:p>
    <w:p w14:paraId="7C624F15" w14:textId="23E883E9" w:rsidR="000E5D20" w:rsidRPr="00140FFB" w:rsidRDefault="000E5D20" w:rsidP="000E5D20">
      <w:pPr>
        <w:spacing w:after="120" w:line="276" w:lineRule="auto"/>
        <w:jc w:val="both"/>
        <w:rPr>
          <w:rFonts w:ascii="Arial" w:hAnsi="Arial" w:cs="Arial"/>
          <w:lang w:val="es-ES"/>
        </w:rPr>
      </w:pPr>
      <w:r w:rsidRPr="00140FFB">
        <w:rPr>
          <w:rFonts w:ascii="Arial" w:eastAsia="Arial" w:hAnsi="Arial" w:cs="Arial"/>
        </w:rPr>
        <w:t xml:space="preserve">Conforme a lo explicado </w:t>
      </w:r>
      <w:r w:rsidRPr="00140FFB">
        <w:rPr>
          <w:rFonts w:ascii="Arial" w:eastAsia="Arial" w:hAnsi="Arial" w:cs="Arial"/>
          <w:i/>
          <w:iCs/>
        </w:rPr>
        <w:t>ut supra</w:t>
      </w:r>
      <w:r w:rsidRPr="00140FFB">
        <w:rPr>
          <w:rFonts w:ascii="Arial" w:eastAsia="Arial" w:hAnsi="Arial" w:cs="Arial"/>
        </w:rPr>
        <w:t>, en ejercicio de las competencias establecidas en los artículos 3, numeral 5° y 11, numeral 8° del Decreto 4170 de 2011, la Agencia Nacional de Contratación Pública – Colombia Compra Eficiente resuelve las consultas sobre los asuntos de su competencia, esto es, sobre las temáticas asociadas a la contratación estatal y la compra pública.</w:t>
      </w:r>
      <w:r w:rsidRPr="00140FFB">
        <w:rPr>
          <w:rFonts w:ascii="Arial" w:hAnsi="Arial" w:cs="Arial"/>
          <w:lang w:val="es-ES"/>
        </w:rPr>
        <w:t xml:space="preserve"> Dicha competencia no se extiende a la resolución de casos particulares o </w:t>
      </w:r>
      <w:r w:rsidR="00B15780">
        <w:rPr>
          <w:rFonts w:ascii="Arial" w:hAnsi="Arial" w:cs="Arial"/>
          <w:lang w:val="es-ES"/>
        </w:rPr>
        <w:t xml:space="preserve">a </w:t>
      </w:r>
      <w:r w:rsidRPr="00140FFB">
        <w:rPr>
          <w:rFonts w:ascii="Arial" w:hAnsi="Arial" w:cs="Arial"/>
          <w:lang w:val="es-ES"/>
        </w:rPr>
        <w:t>la posibilidad de que esta Agencia entre</w:t>
      </w:r>
      <w:r w:rsidR="00B15780">
        <w:rPr>
          <w:rFonts w:ascii="Arial" w:hAnsi="Arial" w:cs="Arial"/>
          <w:lang w:val="es-ES"/>
        </w:rPr>
        <w:t xml:space="preserve"> a</w:t>
      </w:r>
      <w:r w:rsidRPr="00140FFB">
        <w:rPr>
          <w:rFonts w:ascii="Arial" w:hAnsi="Arial" w:cs="Arial"/>
          <w:lang w:val="es-ES"/>
        </w:rPr>
        <w:t xml:space="preserve"> calificar actuaciones de otras Entidades Estatales en el marco de los Procesos de Contratación que adelanta</w:t>
      </w:r>
      <w:r w:rsidR="00B15780">
        <w:rPr>
          <w:rFonts w:ascii="Arial" w:hAnsi="Arial" w:cs="Arial"/>
          <w:lang w:val="es-ES"/>
        </w:rPr>
        <w:t>n</w:t>
      </w:r>
      <w:r w:rsidRPr="00140FFB">
        <w:rPr>
          <w:rFonts w:ascii="Arial" w:hAnsi="Arial" w:cs="Arial"/>
          <w:lang w:val="es-ES"/>
        </w:rPr>
        <w:t>, comoquiera que ello desborda las atribuciones asignadas por el legislador extraordinario, que no concibió a Colombia Compra Eficiente como una autoridad para solucionar problemas jurídicos particulares</w:t>
      </w:r>
      <w:r w:rsidRPr="00140FFB">
        <w:rPr>
          <w:rFonts w:ascii="Arial" w:hAnsi="Arial" w:cs="Arial"/>
          <w:bCs/>
        </w:rPr>
        <w:t xml:space="preserve"> de todos los partícipes de la contratación estatal.</w:t>
      </w:r>
    </w:p>
    <w:p w14:paraId="6280DA8E" w14:textId="384B6107" w:rsidR="000E5D20" w:rsidRPr="00140FFB" w:rsidRDefault="000E5D20" w:rsidP="000E5D20">
      <w:pPr>
        <w:spacing w:before="120" w:line="276" w:lineRule="auto"/>
        <w:ind w:firstLine="708"/>
        <w:jc w:val="both"/>
        <w:rPr>
          <w:rFonts w:ascii="Arial" w:eastAsia="Calibri" w:hAnsi="Arial" w:cs="Arial"/>
          <w:color w:val="000000" w:themeColor="text1"/>
        </w:rPr>
      </w:pPr>
      <w:r w:rsidRPr="00140FFB">
        <w:rPr>
          <w:rFonts w:ascii="Arial" w:eastAsia="Calibri" w:hAnsi="Arial" w:cs="Arial"/>
          <w:color w:val="000000" w:themeColor="text1"/>
        </w:rPr>
        <w:t>Sin perjuicio de lo anterior, de acuerdo con las consideraciones expuestas, en respuesta a su consulta resulta v</w:t>
      </w:r>
      <w:r w:rsidR="003B781D">
        <w:rPr>
          <w:rFonts w:ascii="Arial" w:eastAsia="Calibri" w:hAnsi="Arial" w:cs="Arial"/>
          <w:color w:val="000000" w:themeColor="text1"/>
        </w:rPr>
        <w:t>á</w:t>
      </w:r>
      <w:r w:rsidRPr="00140FFB">
        <w:rPr>
          <w:rFonts w:ascii="Arial" w:eastAsia="Calibri" w:hAnsi="Arial" w:cs="Arial"/>
          <w:color w:val="000000" w:themeColor="text1"/>
        </w:rPr>
        <w:t>lido afirmar que e</w:t>
      </w:r>
      <w:r w:rsidRPr="00140FFB">
        <w:rPr>
          <w:rFonts w:ascii="Arial" w:hAnsi="Arial" w:cs="Arial"/>
          <w:color w:val="000000" w:themeColor="text1"/>
        </w:rPr>
        <w:t xml:space="preserve">l artículo 34 de la Ley 2069 de 2020 y </w:t>
      </w:r>
      <w:r w:rsidR="003B781D">
        <w:rPr>
          <w:rFonts w:ascii="Arial" w:hAnsi="Arial" w:cs="Arial"/>
          <w:color w:val="000000" w:themeColor="text1"/>
        </w:rPr>
        <w:t xml:space="preserve">el </w:t>
      </w:r>
      <w:r w:rsidRPr="00140FFB">
        <w:rPr>
          <w:rFonts w:ascii="Arial" w:hAnsi="Arial" w:cs="Arial"/>
          <w:color w:val="000000" w:themeColor="text1"/>
        </w:rPr>
        <w:t xml:space="preserve">Decreto 1082 de 2015, modificado por el Decreto 1860 de 2021 regulan la limitación de convocatorias a </w:t>
      </w:r>
      <w:proofErr w:type="spellStart"/>
      <w:r w:rsidRPr="00140FFB">
        <w:rPr>
          <w:rFonts w:ascii="Arial" w:hAnsi="Arial" w:cs="Arial"/>
          <w:color w:val="000000" w:themeColor="text1"/>
        </w:rPr>
        <w:t>Mipymes</w:t>
      </w:r>
      <w:proofErr w:type="spellEnd"/>
      <w:r w:rsidRPr="00140FFB">
        <w:rPr>
          <w:rFonts w:ascii="Arial" w:hAnsi="Arial" w:cs="Arial"/>
          <w:color w:val="000000" w:themeColor="text1"/>
        </w:rPr>
        <w:t xml:space="preserve"> en dos normas distintas que deben leerse conjunta y armónicamente. Por un lado, el artículo </w:t>
      </w:r>
      <w:r w:rsidRPr="00140FFB">
        <w:rPr>
          <w:rFonts w:ascii="Arial" w:eastAsia="Calibri" w:hAnsi="Arial" w:cs="Arial"/>
          <w:color w:val="000000" w:themeColor="text1"/>
        </w:rPr>
        <w:t xml:space="preserve">2.2.1.2.4.2.2. </w:t>
      </w:r>
      <w:r w:rsidRPr="00140FFB">
        <w:rPr>
          <w:rFonts w:ascii="Arial" w:hAnsi="Arial" w:cs="Arial"/>
          <w:color w:val="000000" w:themeColor="text1"/>
        </w:rPr>
        <w:t xml:space="preserve">prevé los requisitos generales ante los cuales la entidad debe limitar sus convocatorias a </w:t>
      </w:r>
      <w:proofErr w:type="spellStart"/>
      <w:r w:rsidRPr="00140FFB">
        <w:rPr>
          <w:rFonts w:ascii="Arial" w:hAnsi="Arial" w:cs="Arial"/>
          <w:color w:val="000000" w:themeColor="text1"/>
        </w:rPr>
        <w:t>Mipymes</w:t>
      </w:r>
      <w:proofErr w:type="spellEnd"/>
      <w:r w:rsidRPr="00140FFB">
        <w:rPr>
          <w:rFonts w:ascii="Arial" w:hAnsi="Arial" w:cs="Arial"/>
          <w:color w:val="000000" w:themeColor="text1"/>
        </w:rPr>
        <w:t xml:space="preserve"> nacionales. Por el otro, el artículo </w:t>
      </w:r>
      <w:r w:rsidRPr="00140FFB">
        <w:rPr>
          <w:rFonts w:ascii="Arial" w:eastAsia="Calibri" w:hAnsi="Arial" w:cs="Arial"/>
          <w:color w:val="000000" w:themeColor="text1"/>
        </w:rPr>
        <w:t xml:space="preserve">2.2.1.2.4.2.3. </w:t>
      </w:r>
      <w:r w:rsidRPr="00140FFB">
        <w:rPr>
          <w:rFonts w:ascii="Arial" w:hAnsi="Arial" w:cs="Arial"/>
          <w:color w:val="000000" w:themeColor="text1"/>
        </w:rPr>
        <w:t xml:space="preserve">establece la posibilidad de limitar la convocatoria a </w:t>
      </w:r>
      <w:proofErr w:type="spellStart"/>
      <w:r w:rsidRPr="00140FFB">
        <w:rPr>
          <w:rFonts w:ascii="Arial" w:hAnsi="Arial" w:cs="Arial"/>
          <w:color w:val="000000" w:themeColor="text1"/>
        </w:rPr>
        <w:t>Mipymes</w:t>
      </w:r>
      <w:proofErr w:type="spellEnd"/>
      <w:r w:rsidRPr="00140FFB">
        <w:rPr>
          <w:rFonts w:ascii="Arial" w:hAnsi="Arial" w:cs="Arial"/>
          <w:color w:val="000000" w:themeColor="text1"/>
        </w:rPr>
        <w:t xml:space="preserve"> nacionales domiciliadas en los departamentos o municipios en donde se va a ejecutar el contrato, por supuesto, siempre que la entidad así lo decida y solo si se cumplen las exigencias del artículo </w:t>
      </w:r>
      <w:r w:rsidRPr="00140FFB">
        <w:rPr>
          <w:rFonts w:ascii="Arial" w:eastAsia="Calibri" w:hAnsi="Arial" w:cs="Arial"/>
          <w:color w:val="000000" w:themeColor="text1"/>
        </w:rPr>
        <w:t>2.2.1.2.4.2.2.</w:t>
      </w:r>
    </w:p>
    <w:p w14:paraId="044D523B" w14:textId="3ED62482" w:rsidR="000E5D20" w:rsidRPr="00140FFB" w:rsidRDefault="000E5D20" w:rsidP="000E5D20">
      <w:pPr>
        <w:spacing w:before="120" w:line="276" w:lineRule="auto"/>
        <w:ind w:firstLine="709"/>
        <w:jc w:val="both"/>
        <w:rPr>
          <w:rFonts w:ascii="Arial" w:eastAsia="Calibri" w:hAnsi="Arial" w:cs="Arial"/>
          <w:color w:val="000000" w:themeColor="text1"/>
        </w:rPr>
      </w:pPr>
      <w:r w:rsidRPr="00140FFB">
        <w:rPr>
          <w:rFonts w:ascii="Arial" w:eastAsia="Calibri" w:hAnsi="Arial" w:cs="Arial"/>
          <w:color w:val="000000" w:themeColor="text1"/>
        </w:rPr>
        <w:t xml:space="preserve">Entonces, teniendo en cuenta el objeto de la pregunta No. 2 de su petición, esta Agencia considera que, de un lado, siempre que se solicite la limitación a </w:t>
      </w:r>
      <w:proofErr w:type="spellStart"/>
      <w:r w:rsidRPr="00140FFB">
        <w:rPr>
          <w:rFonts w:ascii="Arial" w:eastAsia="Calibri" w:hAnsi="Arial" w:cs="Arial"/>
          <w:color w:val="000000" w:themeColor="text1"/>
        </w:rPr>
        <w:t>mipymes</w:t>
      </w:r>
      <w:proofErr w:type="spellEnd"/>
      <w:r w:rsidRPr="00140FFB">
        <w:rPr>
          <w:rFonts w:ascii="Arial" w:eastAsia="Calibri" w:hAnsi="Arial" w:cs="Arial"/>
          <w:color w:val="000000" w:themeColor="text1"/>
        </w:rPr>
        <w:t xml:space="preserve"> nacionales y se den los supuestos consagrados en el artículo 2.2.1.2.4.2.2 del Decreto 1082 de 2015, la entidad pública deberá limitar la convocatoria a </w:t>
      </w:r>
      <w:proofErr w:type="spellStart"/>
      <w:r w:rsidRPr="00140FFB">
        <w:rPr>
          <w:rFonts w:ascii="Arial" w:eastAsia="Calibri" w:hAnsi="Arial" w:cs="Arial"/>
          <w:color w:val="000000" w:themeColor="text1"/>
        </w:rPr>
        <w:t>mipymes</w:t>
      </w:r>
      <w:proofErr w:type="spellEnd"/>
      <w:r w:rsidRPr="00140FFB">
        <w:rPr>
          <w:rFonts w:ascii="Arial" w:eastAsia="Calibri" w:hAnsi="Arial" w:cs="Arial"/>
          <w:color w:val="000000" w:themeColor="text1"/>
        </w:rPr>
        <w:t xml:space="preserve"> nacionales, en todos los procesos de contratación y sin consideración a que previamente se haya declarado desierto dicho proceso. Lo anterior, porque como viene de indicarse, el verbo rector de la norma es “deberá” de lo que nace la obligación por parte de las entidades públicas de realizar la limitación en el ámbito nacional. </w:t>
      </w:r>
    </w:p>
    <w:p w14:paraId="25585057" w14:textId="77777777" w:rsidR="000E5D20" w:rsidRPr="00140FFB" w:rsidRDefault="000E5D20" w:rsidP="000E5D20">
      <w:pPr>
        <w:spacing w:before="120" w:line="276" w:lineRule="auto"/>
        <w:ind w:firstLine="709"/>
        <w:jc w:val="both"/>
        <w:rPr>
          <w:rFonts w:ascii="Arial" w:eastAsia="Calibri" w:hAnsi="Arial" w:cs="Arial"/>
          <w:color w:val="000000" w:themeColor="text1"/>
        </w:rPr>
      </w:pPr>
      <w:r w:rsidRPr="00140FFB">
        <w:rPr>
          <w:rFonts w:ascii="Arial" w:eastAsia="Calibri" w:hAnsi="Arial" w:cs="Arial"/>
          <w:color w:val="000000" w:themeColor="text1"/>
        </w:rPr>
        <w:t xml:space="preserve"> De otro lado, frente a la limitación territorial, considera esta Agencia que la decisión de limitar </w:t>
      </w:r>
      <w:r w:rsidRPr="00140FFB">
        <w:rPr>
          <w:rFonts w:ascii="Arial" w:eastAsia="Calibri" w:hAnsi="Arial" w:cs="Arial"/>
          <w:i/>
          <w:iCs/>
          <w:color w:val="000000" w:themeColor="text1"/>
        </w:rPr>
        <w:t>territorialmente</w:t>
      </w:r>
      <w:r w:rsidRPr="00140FFB">
        <w:rPr>
          <w:rFonts w:ascii="Arial" w:eastAsia="Calibri" w:hAnsi="Arial" w:cs="Arial"/>
          <w:color w:val="000000" w:themeColor="text1"/>
        </w:rPr>
        <w:t xml:space="preserve"> una convocatoria a </w:t>
      </w:r>
      <w:proofErr w:type="spellStart"/>
      <w:r w:rsidRPr="00140FFB">
        <w:rPr>
          <w:rFonts w:ascii="Arial" w:eastAsia="Calibri" w:hAnsi="Arial" w:cs="Arial"/>
          <w:color w:val="000000" w:themeColor="text1"/>
        </w:rPr>
        <w:t>Mipymes</w:t>
      </w:r>
      <w:proofErr w:type="spellEnd"/>
      <w:r w:rsidRPr="00140FFB">
        <w:rPr>
          <w:rFonts w:ascii="Arial" w:eastAsia="Calibri" w:hAnsi="Arial" w:cs="Arial"/>
          <w:color w:val="000000" w:themeColor="text1"/>
        </w:rPr>
        <w:t xml:space="preserve"> es </w:t>
      </w:r>
      <w:r w:rsidRPr="00140FFB">
        <w:rPr>
          <w:rFonts w:ascii="Arial" w:eastAsia="Calibri" w:hAnsi="Arial" w:cs="Arial"/>
          <w:i/>
          <w:iCs/>
          <w:color w:val="000000" w:themeColor="text1"/>
        </w:rPr>
        <w:t>discrecional</w:t>
      </w:r>
      <w:r w:rsidRPr="00140FFB">
        <w:rPr>
          <w:rFonts w:ascii="Arial" w:eastAsia="Calibri" w:hAnsi="Arial" w:cs="Arial"/>
          <w:iCs/>
          <w:color w:val="000000" w:themeColor="text1"/>
        </w:rPr>
        <w:t xml:space="preserve"> de la Entidad</w:t>
      </w:r>
      <w:r w:rsidRPr="00140FFB">
        <w:rPr>
          <w:rFonts w:ascii="Arial" w:eastAsia="Calibri" w:hAnsi="Arial" w:cs="Arial"/>
          <w:color w:val="000000" w:themeColor="text1"/>
        </w:rPr>
        <w:t xml:space="preserve">, independientemente del “domicilio” de las </w:t>
      </w:r>
      <w:proofErr w:type="spellStart"/>
      <w:r w:rsidRPr="00140FFB">
        <w:rPr>
          <w:rFonts w:ascii="Arial" w:eastAsia="Calibri" w:hAnsi="Arial" w:cs="Arial"/>
          <w:color w:val="000000" w:themeColor="text1"/>
        </w:rPr>
        <w:t>Mipymes</w:t>
      </w:r>
      <w:proofErr w:type="spellEnd"/>
      <w:r w:rsidRPr="00140FFB">
        <w:rPr>
          <w:rFonts w:ascii="Arial" w:eastAsia="Calibri" w:hAnsi="Arial" w:cs="Arial"/>
          <w:color w:val="000000" w:themeColor="text1"/>
        </w:rPr>
        <w:t xml:space="preserve"> nacionales que solicitaron limitar la convocatoria –aunque dicha circunstancia podría servir de motivación para la limitación </w:t>
      </w:r>
      <w:r w:rsidRPr="00140FFB">
        <w:rPr>
          <w:rFonts w:ascii="Arial" w:eastAsia="Calibri" w:hAnsi="Arial" w:cs="Arial"/>
          <w:color w:val="000000" w:themeColor="text1"/>
        </w:rPr>
        <w:lastRenderedPageBreak/>
        <w:t>territorial–, y ha precisado que, de todos modos, la decisión debe estar justificada en los correspondientes “estudios del sector”, por lo cual, a diferencia del primer evento, en este último caso no será obligatorio para la entidad pública limitar la convocatoria en el ámbito territorial.</w:t>
      </w:r>
    </w:p>
    <w:p w14:paraId="480EE835" w14:textId="77777777" w:rsidR="000E5D20" w:rsidRPr="00140FFB" w:rsidRDefault="000E5D20" w:rsidP="000E5D20">
      <w:pPr>
        <w:spacing w:before="120" w:line="276" w:lineRule="auto"/>
        <w:ind w:firstLine="708"/>
        <w:jc w:val="both"/>
        <w:rPr>
          <w:rFonts w:ascii="Arial" w:eastAsia="Calibri" w:hAnsi="Arial" w:cs="Arial"/>
          <w:color w:val="000000" w:themeColor="text1"/>
        </w:rPr>
      </w:pPr>
      <w:r w:rsidRPr="00140FFB">
        <w:rPr>
          <w:rFonts w:ascii="Arial" w:eastAsia="Calibri" w:hAnsi="Arial" w:cs="Arial"/>
          <w:color w:val="000000" w:themeColor="text1"/>
        </w:rPr>
        <w:t xml:space="preserve">Por ello, lo </w:t>
      </w:r>
      <w:r w:rsidRPr="00140FFB">
        <w:rPr>
          <w:rFonts w:ascii="Arial" w:eastAsia="Calibri" w:hAnsi="Arial" w:cs="Arial"/>
          <w:i/>
          <w:iCs/>
          <w:color w:val="000000" w:themeColor="text1"/>
        </w:rPr>
        <w:t>recomendable</w:t>
      </w:r>
      <w:r w:rsidRPr="00140FFB">
        <w:rPr>
          <w:rFonts w:ascii="Arial" w:eastAsia="Calibri" w:hAnsi="Arial" w:cs="Arial"/>
          <w:color w:val="000000" w:themeColor="text1"/>
        </w:rPr>
        <w:t xml:space="preserve"> es que las entidades establezcan </w:t>
      </w:r>
      <w:r w:rsidRPr="00140FFB">
        <w:rPr>
          <w:rFonts w:ascii="Arial" w:eastAsia="Calibri" w:hAnsi="Arial" w:cs="Arial"/>
          <w:i/>
          <w:iCs/>
          <w:color w:val="000000" w:themeColor="text1"/>
        </w:rPr>
        <w:t xml:space="preserve">ex ante </w:t>
      </w:r>
      <w:r w:rsidRPr="00140FFB">
        <w:rPr>
          <w:rFonts w:ascii="Arial" w:eastAsia="Calibri" w:hAnsi="Arial" w:cs="Arial"/>
          <w:color w:val="000000" w:themeColor="text1"/>
        </w:rPr>
        <w:t xml:space="preserve">las condiciones en las que, eventualmente, harían la “limitación territorial”. Para tales fines, en el proyecto de pliego de condiciones podrían establecer claramente los términos de dicha limitación, los supuestos que darían lugar a su aplicación y, sobre todo, la forma como procedería la entidad si decide optar por limitar territorialmente la convocatoria en que se cumplan los presupuestos para ser limitada a </w:t>
      </w:r>
      <w:proofErr w:type="spellStart"/>
      <w:r w:rsidRPr="00140FFB">
        <w:rPr>
          <w:rFonts w:ascii="Arial" w:eastAsia="Calibri" w:hAnsi="Arial" w:cs="Arial"/>
          <w:color w:val="000000" w:themeColor="text1"/>
        </w:rPr>
        <w:t>Mipymes</w:t>
      </w:r>
      <w:proofErr w:type="spellEnd"/>
      <w:r w:rsidRPr="00140FFB">
        <w:rPr>
          <w:rFonts w:ascii="Arial" w:eastAsia="Calibri" w:hAnsi="Arial" w:cs="Arial"/>
          <w:color w:val="000000" w:themeColor="text1"/>
        </w:rPr>
        <w:t>, como, por ejemplo, hacer explícito en cuál o cuáles municipios o departamentos harían la limitación territorial de que trata el artículo 2.2.1.2.4.2.3. del Decreto 1082 de 2015.</w:t>
      </w:r>
    </w:p>
    <w:p w14:paraId="7EEF017B" w14:textId="77777777" w:rsidR="000E5D20" w:rsidRPr="00140FFB" w:rsidRDefault="000E5D20" w:rsidP="000E5D20">
      <w:pPr>
        <w:spacing w:before="120" w:line="276" w:lineRule="auto"/>
        <w:ind w:firstLine="709"/>
        <w:jc w:val="both"/>
        <w:rPr>
          <w:rFonts w:ascii="Arial" w:eastAsia="Arial" w:hAnsi="Arial" w:cs="Arial"/>
          <w:color w:val="000000"/>
          <w:lang w:val="es-MX"/>
        </w:rPr>
      </w:pPr>
      <w:r w:rsidRPr="00140FFB">
        <w:rPr>
          <w:rFonts w:ascii="Arial" w:eastAsia="Calibri" w:hAnsi="Arial" w:cs="Arial"/>
        </w:rPr>
        <w:t xml:space="preserve">Sin embargo, en este último caso </w:t>
      </w:r>
      <w:r w:rsidRPr="00140FFB">
        <w:rPr>
          <w:rFonts w:ascii="Arial" w:eastAsia="Arial" w:hAnsi="Arial" w:cs="Arial"/>
          <w:color w:val="000000"/>
          <w:lang w:val="es-MX"/>
        </w:rPr>
        <w:t xml:space="preserve">la decisión de limitar procesos de contratación “a </w:t>
      </w:r>
      <w:proofErr w:type="spellStart"/>
      <w:r w:rsidRPr="00140FFB">
        <w:rPr>
          <w:rFonts w:ascii="Arial" w:eastAsia="Arial" w:hAnsi="Arial" w:cs="Arial"/>
          <w:color w:val="000000"/>
          <w:lang w:val="es-MX"/>
        </w:rPr>
        <w:t>Mipyme</w:t>
      </w:r>
      <w:proofErr w:type="spellEnd"/>
      <w:r w:rsidRPr="00140FFB">
        <w:rPr>
          <w:rFonts w:ascii="Arial" w:eastAsia="Arial" w:hAnsi="Arial" w:cs="Arial"/>
          <w:color w:val="000000"/>
          <w:lang w:val="es-MX"/>
        </w:rPr>
        <w:t xml:space="preserve"> colombianas que tengan domicilio en los departamentos o municipios en donde se va a ejecutar el contrato”, aunque es facultativa de la entidad, está supeditada a que se verifiquen los requisitos establecidos en los numerales 1 y 2 del artículo 2.2.1.2.4.2.2. del Decreto 1082 de 2015, modificado por el Decreto 1860 de 2021. En ese sentido, si la entidad no recibió las solicitudes para limitar la convocatoria a </w:t>
      </w:r>
      <w:proofErr w:type="spellStart"/>
      <w:r w:rsidRPr="00140FFB">
        <w:rPr>
          <w:rFonts w:ascii="Arial" w:eastAsia="Arial" w:hAnsi="Arial" w:cs="Arial"/>
          <w:color w:val="000000"/>
          <w:lang w:val="es-MX"/>
        </w:rPr>
        <w:t>Mipymes</w:t>
      </w:r>
      <w:proofErr w:type="spellEnd"/>
      <w:r w:rsidRPr="00140FFB">
        <w:rPr>
          <w:rFonts w:ascii="Arial" w:eastAsia="Arial" w:hAnsi="Arial" w:cs="Arial"/>
          <w:color w:val="000000"/>
          <w:lang w:val="es-MX"/>
        </w:rPr>
        <w:t xml:space="preserve">, no puede </w:t>
      </w:r>
      <w:r w:rsidRPr="00140FFB">
        <w:rPr>
          <w:rFonts w:ascii="Arial" w:eastAsia="Arial" w:hAnsi="Arial" w:cs="Arial"/>
          <w:i/>
          <w:color w:val="000000"/>
          <w:lang w:val="es-MX"/>
        </w:rPr>
        <w:t xml:space="preserve">motu propio </w:t>
      </w:r>
      <w:r w:rsidRPr="00140FFB">
        <w:rPr>
          <w:rFonts w:ascii="Arial" w:eastAsia="Arial" w:hAnsi="Arial" w:cs="Arial"/>
          <w:color w:val="000000"/>
          <w:lang w:val="es-MX"/>
        </w:rPr>
        <w:t xml:space="preserve">proceder con la “limitación territorial” de que trata el artículo 2.2.1.2.4.2.3. del Decreto 1082 de 2015. Esto debido a que el ejercicio de esta facultad solo puede darse ante la “limitación a </w:t>
      </w:r>
      <w:proofErr w:type="spellStart"/>
      <w:r w:rsidRPr="00140FFB">
        <w:rPr>
          <w:rFonts w:ascii="Arial" w:eastAsia="Arial" w:hAnsi="Arial" w:cs="Arial"/>
          <w:color w:val="000000"/>
          <w:lang w:val="es-MX"/>
        </w:rPr>
        <w:t>Mipymes</w:t>
      </w:r>
      <w:proofErr w:type="spellEnd"/>
      <w:r w:rsidRPr="00140FFB">
        <w:rPr>
          <w:rFonts w:ascii="Arial" w:eastAsia="Arial" w:hAnsi="Arial" w:cs="Arial"/>
          <w:color w:val="000000"/>
          <w:lang w:val="es-MX"/>
        </w:rPr>
        <w:t xml:space="preserve"> colombianas”, lo cual supone verificar los supuestos legales establecidos en los mencionados numerales.</w:t>
      </w:r>
    </w:p>
    <w:p w14:paraId="3218CFC9" w14:textId="77777777" w:rsidR="000E5D20" w:rsidRPr="00140FFB" w:rsidRDefault="000E5D20" w:rsidP="000E5D20">
      <w:pPr>
        <w:ind w:left="709" w:right="709"/>
        <w:jc w:val="both"/>
        <w:rPr>
          <w:rFonts w:ascii="Arial" w:hAnsi="Arial" w:cs="Arial"/>
        </w:rPr>
      </w:pPr>
      <w:r w:rsidRPr="00140FFB">
        <w:rPr>
          <w:rFonts w:ascii="Arial" w:hAnsi="Arial" w:cs="Arial"/>
          <w:sz w:val="21"/>
          <w:szCs w:val="21"/>
        </w:rPr>
        <w:t>3. Cuando un proceso de selección es declarado desierto bajo el argumento que no fueron presentadas propuestas para la hora el cierre en el SECOP II, ¿procedería algún recurso frente al acto administrativo que declare desierto el proceso de selección, o no procederían recursos contra dicho acto?</w:t>
      </w:r>
      <w:r w:rsidRPr="00140FFB">
        <w:rPr>
          <w:rFonts w:ascii="Arial" w:hAnsi="Arial" w:cs="Arial"/>
        </w:rPr>
        <w:t xml:space="preserve"> </w:t>
      </w:r>
    </w:p>
    <w:p w14:paraId="7CE80E7C" w14:textId="0042C83E" w:rsidR="000E5D20" w:rsidRPr="00140FFB" w:rsidRDefault="000E5D20" w:rsidP="000E5D20">
      <w:pPr>
        <w:spacing w:before="120" w:line="276" w:lineRule="auto"/>
        <w:jc w:val="both"/>
        <w:rPr>
          <w:rFonts w:ascii="Arial" w:eastAsia="Calibri" w:hAnsi="Arial" w:cs="Arial"/>
        </w:rPr>
      </w:pPr>
      <w:r w:rsidRPr="00140FFB">
        <w:rPr>
          <w:rFonts w:ascii="Arial" w:eastAsia="Calibri" w:hAnsi="Arial" w:cs="Arial"/>
        </w:rPr>
        <w:t>En respuesta a la pregunta No. 3</w:t>
      </w:r>
      <w:r w:rsidR="00197586">
        <w:rPr>
          <w:rFonts w:ascii="Arial" w:eastAsia="Calibri" w:hAnsi="Arial" w:cs="Arial"/>
        </w:rPr>
        <w:t xml:space="preserve"> de su consulta se tiene que del artículo 77 de la ley 80 de 1993 </w:t>
      </w:r>
      <w:r w:rsidRPr="00140FFB">
        <w:rPr>
          <w:rFonts w:ascii="Arial" w:eastAsia="Calibri" w:hAnsi="Arial" w:cs="Arial"/>
        </w:rPr>
        <w:t>se destacan varios aspectos relevantes para el asunto que se analiza: i) se establece que los actos administrativos que se expidan en desarrollo de la actividad contractual solo son susceptibles del recurso de reposición. ii) Se establece que frente al “acto de adjudicación” no proceden recursos. iii) El inciso primero prescribe que los vacíos en el procedimiento administrativo contractual serán llenados con las normas que “rigen los procedimientos y actuaciones en la función administrativa”, esto es, mediante el Código de Procedimiento Administrativo y de lo Contencioso Administrativo –CPACA–.</w:t>
      </w:r>
    </w:p>
    <w:p w14:paraId="6D809B49" w14:textId="77777777" w:rsidR="000E5D20" w:rsidRPr="00140FFB" w:rsidRDefault="000E5D20" w:rsidP="000E5D20">
      <w:pPr>
        <w:spacing w:before="120" w:line="276" w:lineRule="auto"/>
        <w:ind w:firstLine="709"/>
        <w:jc w:val="both"/>
        <w:rPr>
          <w:rFonts w:ascii="Arial" w:eastAsia="Calibri" w:hAnsi="Arial" w:cs="Arial"/>
        </w:rPr>
      </w:pPr>
      <w:r w:rsidRPr="00140FFB">
        <w:rPr>
          <w:rFonts w:ascii="Arial" w:eastAsia="Calibri" w:hAnsi="Arial" w:cs="Arial"/>
        </w:rPr>
        <w:t>En relación con lo anterior, cabe destacar que la regla especial respecto a que frente al “acto de adjudicación” no pro</w:t>
      </w:r>
      <w:r w:rsidRPr="00197586">
        <w:rPr>
          <w:rFonts w:ascii="Arial" w:eastAsia="Calibri" w:hAnsi="Arial" w:cs="Arial"/>
          <w:b/>
        </w:rPr>
        <w:t>c</w:t>
      </w:r>
      <w:r w:rsidRPr="00140FFB">
        <w:rPr>
          <w:rFonts w:ascii="Arial" w:eastAsia="Calibri" w:hAnsi="Arial" w:cs="Arial"/>
        </w:rPr>
        <w:t xml:space="preserve">eden recursos, no es posible extenderla a la declaratoria </w:t>
      </w:r>
      <w:r w:rsidRPr="00140FFB">
        <w:rPr>
          <w:rFonts w:ascii="Arial" w:eastAsia="Calibri" w:hAnsi="Arial" w:cs="Arial"/>
        </w:rPr>
        <w:lastRenderedPageBreak/>
        <w:t>de desierta, por tratarse de un acto con una naturaleza y contenido diferente, tal como se viene expresando y, además, bajo el entendido de que dicha disposición limita el ejercicio de un derecho, como sería la interposición de un recurso, por lo que su interpretación debe ser estricta. Por ello, esta Agencia considera que la declaratoria de desierta hace parte de aquellos actos regulados en el inciso segundo del artículo 77, es decir, que frente a ella procede el recurso de reposición.</w:t>
      </w:r>
    </w:p>
    <w:p w14:paraId="79D2439D" w14:textId="0A53E32F" w:rsidR="000E5D20" w:rsidRPr="00140FFB" w:rsidRDefault="000E5D20" w:rsidP="000E5D20">
      <w:pPr>
        <w:spacing w:before="120" w:line="276" w:lineRule="auto"/>
        <w:ind w:firstLine="709"/>
        <w:jc w:val="both"/>
        <w:rPr>
          <w:rFonts w:ascii="Arial" w:eastAsia="Calibri" w:hAnsi="Arial" w:cs="Arial"/>
        </w:rPr>
      </w:pPr>
      <w:r w:rsidRPr="00140FFB">
        <w:rPr>
          <w:rFonts w:ascii="Arial" w:eastAsia="Calibri" w:hAnsi="Arial" w:cs="Arial"/>
        </w:rPr>
        <w:t xml:space="preserve">En armonía con lo anterior, frente al acto que declara desierto un procedimiento de selección, procede el recurso de reposición, que podrá interponerse en los términos establecidos en el artículo 76 del CPACA. Debido a que las disposiciones no sujetan la procedencia de los recursos a los hechos o argumentos a que acuda la entidad estatal para declarar desierto el procedimiento de selección, estos procederán incluso en los eventos en que la entidad argumente no haber recibido ofertas o que estas fueron presentadas de forma extemporánea. </w:t>
      </w:r>
    </w:p>
    <w:p w14:paraId="434B8C63" w14:textId="77777777" w:rsidR="000E5D20" w:rsidRPr="00140FFB" w:rsidRDefault="000E5D20" w:rsidP="000E5D20">
      <w:pPr>
        <w:ind w:left="709" w:right="709"/>
        <w:jc w:val="both"/>
        <w:rPr>
          <w:rFonts w:ascii="Arial" w:hAnsi="Arial" w:cs="Arial"/>
          <w:sz w:val="21"/>
          <w:szCs w:val="21"/>
        </w:rPr>
      </w:pPr>
      <w:r w:rsidRPr="00140FFB">
        <w:rPr>
          <w:rFonts w:ascii="Arial" w:hAnsi="Arial" w:cs="Arial"/>
          <w:sz w:val="21"/>
          <w:szCs w:val="21"/>
        </w:rPr>
        <w:t>4. En el trámite de un proceso de contratación directa que requiere la expedición del acto administrativo de que trata el artículo 2.2.1.2.1.4.1. del Decreto 1082 de 2015; ¿se puede celebrar el contrato respectivo el mismo día en que se expide el acto administrativo en cuestión?</w:t>
      </w:r>
    </w:p>
    <w:p w14:paraId="7DA59474" w14:textId="1DD9FAA5" w:rsidR="009462A6" w:rsidRPr="00140FFB" w:rsidRDefault="009462A6" w:rsidP="009462A6">
      <w:pPr>
        <w:spacing w:after="120" w:line="276" w:lineRule="auto"/>
        <w:ind w:firstLine="720"/>
        <w:jc w:val="both"/>
        <w:rPr>
          <w:rFonts w:ascii="Arial" w:eastAsia="Arial" w:hAnsi="Arial" w:cs="Arial"/>
        </w:rPr>
      </w:pPr>
      <w:r>
        <w:rPr>
          <w:rFonts w:ascii="Arial" w:eastAsia="Arial" w:hAnsi="Arial" w:cs="Arial"/>
        </w:rPr>
        <w:t>P</w:t>
      </w:r>
      <w:r w:rsidRPr="00140FFB">
        <w:rPr>
          <w:rFonts w:ascii="Arial" w:eastAsia="Arial" w:hAnsi="Arial" w:cs="Arial"/>
        </w:rPr>
        <w:t xml:space="preserve">ara dar una respuesta a la pregunta No. 4 de su petición, es importante poner de presente que el artículo 2.2.1.2.1.4.1. del Decreto 1082 de 2015 no expresa de manera textual la temporalidad en que debe ser expedido el acto administrativo de justificación de la contratación directa, sin embargo, esto no significa que el acto referido pueda expedirse en cualquier oportunidad, pues esta interpretación restaría efecto útil a la disposición referida. </w:t>
      </w:r>
    </w:p>
    <w:p w14:paraId="543D2811" w14:textId="77777777" w:rsidR="009462A6" w:rsidRPr="00140FFB" w:rsidRDefault="009462A6" w:rsidP="009462A6">
      <w:pPr>
        <w:spacing w:after="120" w:line="276" w:lineRule="auto"/>
        <w:ind w:firstLine="720"/>
        <w:jc w:val="both"/>
        <w:rPr>
          <w:rFonts w:ascii="Arial" w:eastAsia="Arial" w:hAnsi="Arial" w:cs="Arial"/>
        </w:rPr>
      </w:pPr>
      <w:r w:rsidRPr="00140FFB">
        <w:rPr>
          <w:rFonts w:ascii="Arial" w:eastAsia="Arial" w:hAnsi="Arial" w:cs="Arial"/>
        </w:rPr>
        <w:t xml:space="preserve">Para dar una solución al interrogante, es importante tener en cuenta que el artículo 87 del CPACA establece las reglas de firmeza de los actos administrativos en el señala que los actos quedan ejecutoriados, cuando contra ellos no proceda ningún recurso, al día siguiente al de su publicación. </w:t>
      </w:r>
    </w:p>
    <w:p w14:paraId="4936ECD1" w14:textId="77777777" w:rsidR="009462A6" w:rsidRPr="00140FFB" w:rsidRDefault="009462A6" w:rsidP="009462A6">
      <w:pPr>
        <w:spacing w:after="120" w:line="276" w:lineRule="auto"/>
        <w:ind w:firstLine="720"/>
        <w:jc w:val="both"/>
        <w:rPr>
          <w:rFonts w:ascii="Arial" w:eastAsia="Arial" w:hAnsi="Arial" w:cs="Arial"/>
          <w:lang w:val="es-MX"/>
        </w:rPr>
      </w:pPr>
      <w:r w:rsidRPr="00140FFB">
        <w:rPr>
          <w:rFonts w:ascii="Arial" w:eastAsia="Arial" w:hAnsi="Arial" w:cs="Arial"/>
        </w:rPr>
        <w:t>De modo que, l</w:t>
      </w:r>
      <w:r w:rsidRPr="00140FFB">
        <w:rPr>
          <w:rFonts w:ascii="Arial" w:eastAsia="Arial" w:hAnsi="Arial" w:cs="Arial"/>
          <w:lang w:val="es-MX"/>
        </w:rPr>
        <w:t>o anterior permite concluir a la Agencia que la justificación de la modalidad de selección correspondiente, así como la emisión del acto administrativo de justificación de la contratación directa cuando este proceda, en todo caso</w:t>
      </w:r>
      <w:r>
        <w:rPr>
          <w:rFonts w:ascii="Arial" w:eastAsia="Arial" w:hAnsi="Arial" w:cs="Arial"/>
          <w:lang w:val="es-MX"/>
        </w:rPr>
        <w:t xml:space="preserve"> serán previos, si es del caso,</w:t>
      </w:r>
      <w:r w:rsidRPr="00140FFB">
        <w:rPr>
          <w:rFonts w:ascii="Arial" w:eastAsia="Arial" w:hAnsi="Arial" w:cs="Arial"/>
          <w:lang w:val="es-MX"/>
        </w:rPr>
        <w:t xml:space="preserve"> a la celebración del contrato mismo, como mínimo una vez se encuentre ejecutoriado el acto administrativo referido.</w:t>
      </w:r>
    </w:p>
    <w:p w14:paraId="3B7CB39F" w14:textId="77777777" w:rsidR="000E5D20" w:rsidRPr="009462A6" w:rsidRDefault="000E5D20" w:rsidP="000E5D20">
      <w:pPr>
        <w:spacing w:line="276" w:lineRule="auto"/>
        <w:jc w:val="both"/>
        <w:rPr>
          <w:rFonts w:ascii="Arial" w:hAnsi="Arial" w:cs="Arial"/>
          <w:lang w:val="es-MX"/>
        </w:rPr>
      </w:pPr>
    </w:p>
    <w:p w14:paraId="3A03A1A5" w14:textId="77777777" w:rsidR="000E5D20" w:rsidRPr="00140FFB" w:rsidRDefault="000E5D20" w:rsidP="000E5D20">
      <w:pPr>
        <w:spacing w:line="276" w:lineRule="auto"/>
        <w:jc w:val="both"/>
        <w:rPr>
          <w:rFonts w:ascii="Arial" w:hAnsi="Arial" w:cs="Arial"/>
          <w:lang w:val="es-ES_tradnl"/>
        </w:rPr>
      </w:pPr>
      <w:r w:rsidRPr="00140FFB">
        <w:rPr>
          <w:rFonts w:ascii="Arial" w:hAnsi="Arial" w:cs="Arial"/>
          <w:lang w:val="es-ES_tradnl"/>
        </w:rPr>
        <w:t xml:space="preserve">Este concepto tiene el alcance previsto en el artículo 28 del Código de Procedimiento Administrativo y de lo Contencioso Administrativo y las expresiones aquí utilizadas con </w:t>
      </w:r>
      <w:r w:rsidRPr="00140FFB">
        <w:rPr>
          <w:rFonts w:ascii="Arial" w:hAnsi="Arial" w:cs="Arial"/>
          <w:lang w:val="es-ES_tradnl"/>
        </w:rPr>
        <w:lastRenderedPageBreak/>
        <w:t>mayúscula inicial deben ser entendidas con el significado que les otorga el artículo 2.2.1.1.1.3.1. del Decreto 1082 de 2015.</w:t>
      </w:r>
    </w:p>
    <w:p w14:paraId="385D0A56" w14:textId="77777777" w:rsidR="000E5D20" w:rsidRPr="00140FFB" w:rsidRDefault="000E5D20" w:rsidP="000E5D20">
      <w:pPr>
        <w:pStyle w:val="NormalWeb"/>
        <w:spacing w:before="0" w:beforeAutospacing="0" w:after="0" w:afterAutospacing="0" w:line="276" w:lineRule="auto"/>
        <w:jc w:val="both"/>
        <w:rPr>
          <w:rFonts w:ascii="Arial" w:hAnsi="Arial" w:cs="Arial"/>
          <w:sz w:val="22"/>
          <w:szCs w:val="22"/>
          <w:lang w:val="es-ES_tradnl"/>
        </w:rPr>
      </w:pPr>
    </w:p>
    <w:p w14:paraId="64626573" w14:textId="77777777" w:rsidR="000E5D20" w:rsidRPr="00140FFB" w:rsidRDefault="000E5D20" w:rsidP="000E5D20">
      <w:pPr>
        <w:pStyle w:val="NormalWeb"/>
        <w:spacing w:before="0" w:beforeAutospacing="0" w:after="0" w:afterAutospacing="0" w:line="276" w:lineRule="auto"/>
        <w:jc w:val="both"/>
        <w:rPr>
          <w:rFonts w:ascii="Arial" w:hAnsi="Arial" w:cs="Arial"/>
          <w:sz w:val="22"/>
          <w:szCs w:val="22"/>
          <w:lang w:val="es-ES_tradnl"/>
        </w:rPr>
      </w:pPr>
      <w:r w:rsidRPr="00140FFB">
        <w:rPr>
          <w:rFonts w:ascii="Arial" w:hAnsi="Arial" w:cs="Arial"/>
          <w:sz w:val="22"/>
          <w:szCs w:val="22"/>
          <w:lang w:val="es-ES_tradnl"/>
        </w:rPr>
        <w:t>Atentamente,</w:t>
      </w:r>
    </w:p>
    <w:p w14:paraId="2DDACF4F" w14:textId="58CA6A0D" w:rsidR="000E5D20" w:rsidRPr="00140FFB" w:rsidRDefault="001B3BDA" w:rsidP="000E5D20">
      <w:pPr>
        <w:spacing w:before="240" w:after="120" w:line="276" w:lineRule="auto"/>
        <w:jc w:val="center"/>
        <w:rPr>
          <w:rFonts w:ascii="Arial" w:eastAsia="Calibri" w:hAnsi="Arial" w:cs="Arial"/>
        </w:rPr>
      </w:pPr>
      <w:r>
        <w:rPr>
          <w:rFonts w:ascii="Arial" w:hAnsi="Arial" w:cs="Arial"/>
          <w:noProof/>
          <w:lang w:val="en-US"/>
        </w:rPr>
        <w:drawing>
          <wp:inline distT="0" distB="0" distL="0" distR="0" wp14:anchorId="68536556" wp14:editId="626394AB">
            <wp:extent cx="3150870" cy="1209675"/>
            <wp:effectExtent l="0" t="0" r="0" b="9525"/>
            <wp:docPr id="106633725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o&#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50870" cy="1209675"/>
                    </a:xfrm>
                    <a:prstGeom prst="rect">
                      <a:avLst/>
                    </a:prstGeom>
                    <a:noFill/>
                    <a:ln>
                      <a:noFill/>
                    </a:ln>
                  </pic:spPr>
                </pic:pic>
              </a:graphicData>
            </a:graphic>
          </wp:inline>
        </w:drawing>
      </w:r>
      <w:r w:rsidR="000E5D20" w:rsidRPr="00140FFB">
        <w:rPr>
          <w:rFonts w:ascii="Arial" w:hAnsi="Arial" w:cs="Arial"/>
          <w:color w:val="000000"/>
          <w:sz w:val="18"/>
          <w:szCs w:val="18"/>
          <w:shd w:val="clear" w:color="auto" w:fill="FFFFFF"/>
        </w:rPr>
        <w:br/>
      </w:r>
    </w:p>
    <w:tbl>
      <w:tblPr>
        <w:tblStyle w:val="Tablaconcuadrcula1"/>
        <w:tblpPr w:leftFromText="141" w:rightFromText="141" w:vertAnchor="text" w:horzAnchor="margin" w:tblpY="-7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7"/>
        <w:gridCol w:w="4445"/>
      </w:tblGrid>
      <w:tr w:rsidR="000E5D20" w:rsidRPr="00140FFB" w14:paraId="097B9E7F" w14:textId="77777777" w:rsidTr="00145C33">
        <w:trPr>
          <w:trHeight w:val="286"/>
        </w:trPr>
        <w:tc>
          <w:tcPr>
            <w:tcW w:w="817" w:type="dxa"/>
            <w:vAlign w:val="center"/>
          </w:tcPr>
          <w:p w14:paraId="3E4FDE12" w14:textId="77777777" w:rsidR="000E5D20" w:rsidRPr="00140FFB" w:rsidRDefault="000E5D20" w:rsidP="00145C33">
            <w:pPr>
              <w:spacing w:line="276" w:lineRule="auto"/>
              <w:rPr>
                <w:rFonts w:ascii="Arial" w:hAnsi="Arial" w:cs="Arial"/>
                <w:sz w:val="16"/>
                <w:szCs w:val="16"/>
              </w:rPr>
            </w:pPr>
            <w:r w:rsidRPr="00140FFB">
              <w:rPr>
                <w:rFonts w:ascii="Arial" w:hAnsi="Arial" w:cs="Arial"/>
                <w:sz w:val="16"/>
                <w:szCs w:val="16"/>
              </w:rPr>
              <w:t>Elaboró:</w:t>
            </w:r>
          </w:p>
        </w:tc>
        <w:tc>
          <w:tcPr>
            <w:tcW w:w="4445" w:type="dxa"/>
            <w:tcBorders>
              <w:bottom w:val="dotted" w:sz="4" w:space="0" w:color="7F7F7F"/>
            </w:tcBorders>
            <w:vAlign w:val="center"/>
          </w:tcPr>
          <w:p w14:paraId="19072040" w14:textId="77777777" w:rsidR="000E5D20" w:rsidRPr="00140FFB" w:rsidRDefault="000E5D20" w:rsidP="00145C33">
            <w:pPr>
              <w:spacing w:line="276" w:lineRule="auto"/>
              <w:rPr>
                <w:rFonts w:ascii="Arial" w:hAnsi="Arial" w:cs="Arial"/>
                <w:sz w:val="16"/>
                <w:szCs w:val="16"/>
              </w:rPr>
            </w:pPr>
            <w:r w:rsidRPr="00140FFB">
              <w:rPr>
                <w:rFonts w:ascii="Arial" w:hAnsi="Arial" w:cs="Arial"/>
                <w:sz w:val="16"/>
                <w:szCs w:val="16"/>
              </w:rPr>
              <w:t xml:space="preserve">Nina María Padrón Ballestas </w:t>
            </w:r>
          </w:p>
          <w:p w14:paraId="416CE435" w14:textId="77777777" w:rsidR="000E5D20" w:rsidRPr="00140FFB" w:rsidRDefault="000E5D20" w:rsidP="00145C33">
            <w:pPr>
              <w:spacing w:line="276" w:lineRule="auto"/>
              <w:rPr>
                <w:rFonts w:ascii="Arial" w:hAnsi="Arial" w:cs="Arial"/>
                <w:sz w:val="16"/>
                <w:szCs w:val="16"/>
              </w:rPr>
            </w:pPr>
            <w:r w:rsidRPr="00140FFB">
              <w:rPr>
                <w:rFonts w:ascii="Arial" w:hAnsi="Arial" w:cs="Arial"/>
                <w:sz w:val="16"/>
                <w:szCs w:val="16"/>
              </w:rPr>
              <w:t>Contratista de la Subdirección de Gestión Contractual</w:t>
            </w:r>
          </w:p>
        </w:tc>
      </w:tr>
      <w:tr w:rsidR="000E5D20" w:rsidRPr="00140FFB" w14:paraId="153D1E58" w14:textId="77777777" w:rsidTr="00145C33">
        <w:trPr>
          <w:trHeight w:val="286"/>
        </w:trPr>
        <w:tc>
          <w:tcPr>
            <w:tcW w:w="817" w:type="dxa"/>
            <w:vAlign w:val="center"/>
          </w:tcPr>
          <w:p w14:paraId="667C2E6C" w14:textId="77777777" w:rsidR="000E5D20" w:rsidRPr="00140FFB" w:rsidRDefault="000E5D20" w:rsidP="00145C33">
            <w:pPr>
              <w:spacing w:line="276" w:lineRule="auto"/>
              <w:rPr>
                <w:rFonts w:ascii="Arial" w:hAnsi="Arial" w:cs="Arial"/>
                <w:sz w:val="16"/>
                <w:szCs w:val="16"/>
              </w:rPr>
            </w:pPr>
            <w:r w:rsidRPr="00140FFB">
              <w:rPr>
                <w:rFonts w:ascii="Arial" w:hAnsi="Arial" w:cs="Arial"/>
                <w:sz w:val="16"/>
                <w:szCs w:val="16"/>
              </w:rPr>
              <w:t>Revisó:</w:t>
            </w:r>
          </w:p>
        </w:tc>
        <w:tc>
          <w:tcPr>
            <w:tcW w:w="4445" w:type="dxa"/>
            <w:tcBorders>
              <w:bottom w:val="dotted" w:sz="4" w:space="0" w:color="7F7F7F"/>
            </w:tcBorders>
            <w:vAlign w:val="center"/>
          </w:tcPr>
          <w:p w14:paraId="450DDF98" w14:textId="77777777" w:rsidR="000E5D20" w:rsidRPr="00140FFB" w:rsidRDefault="000E5D20" w:rsidP="00145C33">
            <w:pPr>
              <w:spacing w:line="276" w:lineRule="auto"/>
              <w:rPr>
                <w:rFonts w:ascii="Arial" w:hAnsi="Arial" w:cs="Arial"/>
                <w:sz w:val="16"/>
                <w:szCs w:val="16"/>
              </w:rPr>
            </w:pPr>
            <w:r w:rsidRPr="00140FFB">
              <w:rPr>
                <w:rFonts w:ascii="Arial" w:hAnsi="Arial" w:cs="Arial"/>
                <w:sz w:val="16"/>
                <w:szCs w:val="16"/>
              </w:rPr>
              <w:t>Ximena Ríos López</w:t>
            </w:r>
          </w:p>
          <w:p w14:paraId="40479572" w14:textId="77777777" w:rsidR="000E5D20" w:rsidRPr="00140FFB" w:rsidRDefault="000E5D20" w:rsidP="00145C33">
            <w:pPr>
              <w:spacing w:line="276" w:lineRule="auto"/>
              <w:rPr>
                <w:rFonts w:ascii="Arial" w:hAnsi="Arial" w:cs="Arial"/>
                <w:sz w:val="16"/>
                <w:szCs w:val="16"/>
              </w:rPr>
            </w:pPr>
            <w:r w:rsidRPr="00140FFB">
              <w:rPr>
                <w:rFonts w:ascii="Arial" w:hAnsi="Arial" w:cs="Arial"/>
                <w:sz w:val="16"/>
                <w:szCs w:val="16"/>
              </w:rPr>
              <w:t>Gestor T1-11 de la Subdirección de Gestión Contractual</w:t>
            </w:r>
          </w:p>
        </w:tc>
      </w:tr>
      <w:tr w:rsidR="000E5D20" w:rsidRPr="00585BCF" w14:paraId="2776E423" w14:textId="77777777" w:rsidTr="00145C33">
        <w:trPr>
          <w:trHeight w:val="299"/>
        </w:trPr>
        <w:tc>
          <w:tcPr>
            <w:tcW w:w="817" w:type="dxa"/>
            <w:vAlign w:val="center"/>
          </w:tcPr>
          <w:p w14:paraId="64C1C6F8" w14:textId="77777777" w:rsidR="000E5D20" w:rsidRPr="00140FFB" w:rsidRDefault="000E5D20" w:rsidP="00145C33">
            <w:pPr>
              <w:spacing w:line="276" w:lineRule="auto"/>
              <w:rPr>
                <w:rFonts w:ascii="Arial" w:hAnsi="Arial" w:cs="Arial"/>
                <w:sz w:val="16"/>
                <w:szCs w:val="16"/>
              </w:rPr>
            </w:pPr>
            <w:r w:rsidRPr="00140FFB">
              <w:rPr>
                <w:rFonts w:ascii="Arial" w:hAnsi="Arial" w:cs="Arial"/>
                <w:sz w:val="16"/>
                <w:szCs w:val="16"/>
              </w:rPr>
              <w:t>Aprobó:</w:t>
            </w:r>
          </w:p>
        </w:tc>
        <w:tc>
          <w:tcPr>
            <w:tcW w:w="4445" w:type="dxa"/>
            <w:tcBorders>
              <w:top w:val="dotted" w:sz="4" w:space="0" w:color="7F7F7F"/>
              <w:bottom w:val="dotted" w:sz="4" w:space="0" w:color="7F7F7F"/>
            </w:tcBorders>
            <w:vAlign w:val="center"/>
          </w:tcPr>
          <w:p w14:paraId="78FB105A" w14:textId="77777777" w:rsidR="000E5D20" w:rsidRPr="00140FFB" w:rsidRDefault="000E5D20" w:rsidP="00145C33">
            <w:pPr>
              <w:spacing w:line="276" w:lineRule="auto"/>
              <w:rPr>
                <w:rFonts w:ascii="Arial" w:hAnsi="Arial" w:cs="Arial"/>
                <w:sz w:val="16"/>
                <w:szCs w:val="16"/>
              </w:rPr>
            </w:pPr>
            <w:proofErr w:type="spellStart"/>
            <w:r w:rsidRPr="00140FFB">
              <w:rPr>
                <w:rFonts w:ascii="Arial" w:hAnsi="Arial" w:cs="Arial"/>
                <w:sz w:val="16"/>
                <w:szCs w:val="16"/>
              </w:rPr>
              <w:t>Nohelia</w:t>
            </w:r>
            <w:proofErr w:type="spellEnd"/>
            <w:r w:rsidRPr="00140FFB">
              <w:rPr>
                <w:rFonts w:ascii="Arial" w:hAnsi="Arial" w:cs="Arial"/>
                <w:sz w:val="16"/>
                <w:szCs w:val="16"/>
              </w:rPr>
              <w:t xml:space="preserve"> Del Carmen </w:t>
            </w:r>
            <w:proofErr w:type="spellStart"/>
            <w:r w:rsidRPr="00140FFB">
              <w:rPr>
                <w:rFonts w:ascii="Arial" w:hAnsi="Arial" w:cs="Arial"/>
                <w:sz w:val="16"/>
                <w:szCs w:val="16"/>
              </w:rPr>
              <w:t>Zawady</w:t>
            </w:r>
            <w:proofErr w:type="spellEnd"/>
            <w:r w:rsidRPr="00140FFB">
              <w:rPr>
                <w:rFonts w:ascii="Arial" w:hAnsi="Arial" w:cs="Arial"/>
                <w:sz w:val="16"/>
                <w:szCs w:val="16"/>
              </w:rPr>
              <w:t xml:space="preserve"> Palacio</w:t>
            </w:r>
          </w:p>
          <w:p w14:paraId="52AF3AFD" w14:textId="77777777" w:rsidR="000E5D20" w:rsidRPr="00585BCF" w:rsidRDefault="000E5D20" w:rsidP="00145C33">
            <w:pPr>
              <w:spacing w:line="276" w:lineRule="auto"/>
              <w:rPr>
                <w:rFonts w:ascii="Arial" w:hAnsi="Arial" w:cs="Arial"/>
                <w:sz w:val="16"/>
                <w:szCs w:val="16"/>
              </w:rPr>
            </w:pPr>
            <w:r w:rsidRPr="00140FFB">
              <w:rPr>
                <w:rFonts w:ascii="Arial" w:hAnsi="Arial" w:cs="Arial"/>
                <w:sz w:val="16"/>
                <w:szCs w:val="16"/>
              </w:rPr>
              <w:t>Subdirectora de Gestión Contractual ANCP – CCE</w:t>
            </w:r>
            <w:r w:rsidRPr="00585BCF">
              <w:rPr>
                <w:rFonts w:ascii="Arial" w:hAnsi="Arial" w:cs="Arial"/>
                <w:sz w:val="16"/>
                <w:szCs w:val="16"/>
              </w:rPr>
              <w:t xml:space="preserve"> </w:t>
            </w:r>
          </w:p>
        </w:tc>
      </w:tr>
    </w:tbl>
    <w:p w14:paraId="171ADF98" w14:textId="77777777" w:rsidR="000E5D20" w:rsidRPr="00585BCF" w:rsidRDefault="000E5D20" w:rsidP="000E5D20">
      <w:pPr>
        <w:tabs>
          <w:tab w:val="left" w:pos="3795"/>
        </w:tabs>
        <w:spacing w:line="276" w:lineRule="auto"/>
        <w:jc w:val="both"/>
        <w:rPr>
          <w:rFonts w:ascii="Arial" w:hAnsi="Arial" w:cs="Arial"/>
          <w:lang w:val="es-ES_tradnl"/>
        </w:rPr>
      </w:pPr>
    </w:p>
    <w:p w14:paraId="7D008BA1" w14:textId="77777777" w:rsidR="000E5D20" w:rsidRPr="00585BCF" w:rsidRDefault="000E5D20" w:rsidP="000E5D20">
      <w:pPr>
        <w:spacing w:line="276" w:lineRule="auto"/>
        <w:jc w:val="both"/>
        <w:rPr>
          <w:rFonts w:ascii="Arial" w:hAnsi="Arial" w:cs="Arial"/>
        </w:rPr>
      </w:pPr>
    </w:p>
    <w:bookmarkEnd w:id="2"/>
    <w:p w14:paraId="18F98F49" w14:textId="77777777" w:rsidR="000E5D20" w:rsidRPr="00585BCF" w:rsidRDefault="000E5D20" w:rsidP="000E5D20">
      <w:pPr>
        <w:spacing w:line="276" w:lineRule="auto"/>
        <w:jc w:val="both"/>
        <w:rPr>
          <w:rFonts w:ascii="Arial" w:hAnsi="Arial" w:cs="Arial"/>
        </w:rPr>
      </w:pPr>
    </w:p>
    <w:p w14:paraId="38FA974C" w14:textId="77777777" w:rsidR="000E5D20" w:rsidRPr="00585BCF" w:rsidRDefault="000E5D20" w:rsidP="000E5D20">
      <w:pPr>
        <w:spacing w:line="276" w:lineRule="auto"/>
        <w:jc w:val="both"/>
        <w:rPr>
          <w:rFonts w:ascii="Arial" w:hAnsi="Arial" w:cs="Arial"/>
        </w:rPr>
      </w:pPr>
    </w:p>
    <w:p w14:paraId="008B05CC" w14:textId="77777777" w:rsidR="000E5D20" w:rsidRPr="00585BCF" w:rsidRDefault="000E5D20" w:rsidP="000E5D20">
      <w:pPr>
        <w:spacing w:after="0"/>
        <w:rPr>
          <w:rFonts w:ascii="Arial" w:hAnsi="Arial" w:cs="Arial"/>
        </w:rPr>
      </w:pPr>
    </w:p>
    <w:p w14:paraId="706A05A6" w14:textId="77777777" w:rsidR="000E5D20" w:rsidRPr="00140FFB" w:rsidRDefault="000E5D20" w:rsidP="000E5D20"/>
    <w:p w14:paraId="2E67A765" w14:textId="77777777" w:rsidR="00DB54A6" w:rsidRDefault="00DB54A6"/>
    <w:sectPr w:rsidR="00DB54A6" w:rsidSect="00923EEF">
      <w:headerReference w:type="default" r:id="rId14"/>
      <w:footerReference w:type="default" r:id="rId15"/>
      <w:pgSz w:w="12240" w:h="15840" w:code="1"/>
      <w:pgMar w:top="1418" w:right="1701" w:bottom="1418" w:left="1701" w:header="709" w:footer="340"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57FA72" w16cex:dateUtc="2023-07-11T20:57:00Z"/>
  <w16cex:commentExtensible w16cex:durableId="2857FB6E" w16cex:dateUtc="2023-07-11T21:01:00Z"/>
  <w16cex:commentExtensible w16cex:durableId="2857FB0B" w16cex:dateUtc="2023-07-11T21:00:00Z"/>
  <w16cex:commentExtensible w16cex:durableId="2857FDEF" w16cex:dateUtc="2023-07-11T21:12:00Z"/>
  <w16cex:commentExtensible w16cex:durableId="28580390" w16cex:dateUtc="2023-07-11T21:36:00Z"/>
  <w16cex:commentExtensible w16cex:durableId="28580AC5" w16cex:dateUtc="2023-07-11T22:07:00Z"/>
  <w16cex:commentExtensible w16cex:durableId="285813D9" w16cex:dateUtc="2023-07-11T22:46:00Z"/>
  <w16cex:commentExtensible w16cex:durableId="28581453" w16cex:dateUtc="2023-07-11T22:48:00Z"/>
  <w16cex:commentExtensible w16cex:durableId="2858154C" w16cex:dateUtc="2023-07-11T22:52:00Z"/>
  <w16cex:commentExtensible w16cex:durableId="28581545" w16cex:dateUtc="2023-07-11T22:52:00Z"/>
  <w16cex:commentExtensible w16cex:durableId="285815DB" w16cex:dateUtc="2023-07-11T22:54:00Z"/>
  <w16cex:commentExtensible w16cex:durableId="28581781" w16cex:dateUtc="2023-07-11T23:01:00Z"/>
  <w16cex:commentExtensible w16cex:durableId="28581819" w16cex:dateUtc="2023-07-11T23:0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8067259" w16cid:durableId="2857FA72"/>
  <w16cid:commentId w16cid:paraId="0409EC6A" w16cid:durableId="2857FB6E"/>
  <w16cid:commentId w16cid:paraId="082EE702" w16cid:durableId="2857B1EF"/>
  <w16cid:commentId w16cid:paraId="0A60EDFA" w16cid:durableId="2857B1F0"/>
  <w16cid:commentId w16cid:paraId="439656C7" w16cid:durableId="2857B1F1"/>
  <w16cid:commentId w16cid:paraId="21B1AA4D" w16cid:durableId="2857FB0B"/>
  <w16cid:commentId w16cid:paraId="5A416D51" w16cid:durableId="2857FDEF"/>
  <w16cid:commentId w16cid:paraId="798BEAA7" w16cid:durableId="2857B1F2"/>
  <w16cid:commentId w16cid:paraId="6DD560E0" w16cid:durableId="2857B1F3"/>
  <w16cid:commentId w16cid:paraId="3602B5E5" w16cid:durableId="28580390"/>
  <w16cid:commentId w16cid:paraId="1ED7B42C" w16cid:durableId="28580AC5"/>
  <w16cid:commentId w16cid:paraId="24DD898B" w16cid:durableId="285813D9"/>
  <w16cid:commentId w16cid:paraId="5E8B6482" w16cid:durableId="28581453"/>
  <w16cid:commentId w16cid:paraId="0AF9A044" w16cid:durableId="2858154C"/>
  <w16cid:commentId w16cid:paraId="44183E26" w16cid:durableId="28581545"/>
  <w16cid:commentId w16cid:paraId="606C16B1" w16cid:durableId="285815DB"/>
  <w16cid:commentId w16cid:paraId="7DE7DC55" w16cid:durableId="28581781"/>
  <w16cid:commentId w16cid:paraId="57EB3886" w16cid:durableId="28581819"/>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3CE4C7" w14:textId="77777777" w:rsidR="008E431D" w:rsidRDefault="008E431D" w:rsidP="000E5D20">
      <w:pPr>
        <w:spacing w:after="0" w:line="240" w:lineRule="auto"/>
      </w:pPr>
      <w:r>
        <w:separator/>
      </w:r>
    </w:p>
  </w:endnote>
  <w:endnote w:type="continuationSeparator" w:id="0">
    <w:p w14:paraId="75AAA51B" w14:textId="77777777" w:rsidR="008E431D" w:rsidRDefault="008E431D" w:rsidP="000E5D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57DAB8" w14:textId="77777777" w:rsidR="004A1847" w:rsidRDefault="009C12FE">
    <w:pPr>
      <w:pStyle w:val="Piedepgina"/>
    </w:pPr>
    <w:r>
      <w:rPr>
        <w:noProof/>
        <w:lang w:val="en-US"/>
      </w:rPr>
      <w:drawing>
        <wp:inline distT="0" distB="0" distL="0" distR="0" wp14:anchorId="42663AEF" wp14:editId="66EFB877">
          <wp:extent cx="5612130" cy="650240"/>
          <wp:effectExtent l="0" t="0" r="7620" b="0"/>
          <wp:docPr id="1013471023"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471023" name="Imagen 11"/>
                  <pic:cNvPicPr/>
                </pic:nvPicPr>
                <pic:blipFill>
                  <a:blip r:embed="rId1">
                    <a:extLst>
                      <a:ext uri="{28A0092B-C50C-407E-A947-70E740481C1C}">
                        <a14:useLocalDpi xmlns:a14="http://schemas.microsoft.com/office/drawing/2010/main" val="0"/>
                      </a:ext>
                    </a:extLst>
                  </a:blip>
                  <a:stretch>
                    <a:fillRect/>
                  </a:stretch>
                </pic:blipFill>
                <pic:spPr>
                  <a:xfrm>
                    <a:off x="0" y="0"/>
                    <a:ext cx="5612130" cy="650240"/>
                  </a:xfrm>
                  <a:prstGeom prst="rect">
                    <a:avLst/>
                  </a:prstGeom>
                </pic:spPr>
              </pic:pic>
            </a:graphicData>
          </a:graphic>
        </wp:inline>
      </w:drawing>
    </w:r>
    <w:r>
      <w:rPr>
        <w:rFonts w:ascii="Geomanist Bold" w:hAnsi="Geomanist Bold"/>
        <w:b/>
        <w:bCs/>
        <w:noProof/>
        <w:color w:val="002060"/>
        <w:sz w:val="24"/>
        <w:szCs w:val="24"/>
        <w:lang w:val="en-US"/>
      </w:rPr>
      <w:drawing>
        <wp:anchor distT="0" distB="0" distL="114300" distR="114300" simplePos="0" relativeHeight="251662336" behindDoc="0" locked="0" layoutInCell="1" allowOverlap="1" wp14:anchorId="15849EAD" wp14:editId="1BC8067A">
          <wp:simplePos x="0" y="0"/>
          <wp:positionH relativeFrom="leftMargin">
            <wp:posOffset>-186690</wp:posOffset>
          </wp:positionH>
          <wp:positionV relativeFrom="margin">
            <wp:posOffset>6526530</wp:posOffset>
          </wp:positionV>
          <wp:extent cx="665480" cy="3098800"/>
          <wp:effectExtent l="0" t="0" r="1270" b="6350"/>
          <wp:wrapThrough wrapText="bothSides">
            <wp:wrapPolygon edited="0">
              <wp:start x="4947" y="0"/>
              <wp:lineTo x="0" y="132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567040523" name="Imagen 1567040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tbl>
    <w:tblPr>
      <w:tblStyle w:val="Tablaconcuadrcula"/>
      <w:tblW w:w="89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2693"/>
      <w:gridCol w:w="2699"/>
      <w:gridCol w:w="2268"/>
    </w:tblGrid>
    <w:tr w:rsidR="00FC2B5D" w:rsidRPr="00080DA3" w14:paraId="6EF3E361" w14:textId="77777777" w:rsidTr="00B72CD3">
      <w:trPr>
        <w:trHeight w:val="229"/>
        <w:jc w:val="center"/>
      </w:trPr>
      <w:tc>
        <w:tcPr>
          <w:tcW w:w="1271"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006EC832" w14:textId="77777777" w:rsidR="00FC2B5D" w:rsidRPr="003F3941" w:rsidRDefault="009C12FE" w:rsidP="006219F8">
          <w:pPr>
            <w:pStyle w:val="Piedepgina"/>
            <w:jc w:val="center"/>
            <w:rPr>
              <w:rFonts w:ascii="Century Gothic" w:hAnsi="Century Gothic"/>
              <w:sz w:val="16"/>
              <w:szCs w:val="16"/>
            </w:rPr>
          </w:pPr>
          <w:r w:rsidRPr="003F3941">
            <w:rPr>
              <w:rFonts w:ascii="Century Gothic" w:hAnsi="Century Gothic"/>
              <w:sz w:val="16"/>
              <w:szCs w:val="16"/>
            </w:rPr>
            <w:t>VERSIÓN: 0</w:t>
          </w:r>
          <w:r>
            <w:rPr>
              <w:rFonts w:ascii="Century Gothic" w:hAnsi="Century Gothic"/>
              <w:sz w:val="16"/>
              <w:szCs w:val="16"/>
            </w:rPr>
            <w:t>1</w:t>
          </w:r>
        </w:p>
      </w:tc>
      <w:tc>
        <w:tcPr>
          <w:tcW w:w="2693"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3502E9AD" w14:textId="77777777" w:rsidR="00FC2B5D" w:rsidRPr="003F3941" w:rsidRDefault="009C12FE" w:rsidP="006219F8">
          <w:pPr>
            <w:pStyle w:val="Piedepgina"/>
            <w:jc w:val="center"/>
            <w:rPr>
              <w:rFonts w:ascii="Century Gothic" w:hAnsi="Century Gothic"/>
              <w:sz w:val="16"/>
              <w:szCs w:val="16"/>
            </w:rPr>
          </w:pPr>
          <w:r w:rsidRPr="003F3941">
            <w:rPr>
              <w:rFonts w:ascii="Century Gothic" w:hAnsi="Century Gothic"/>
              <w:sz w:val="16"/>
              <w:szCs w:val="16"/>
            </w:rPr>
            <w:t xml:space="preserve">CÓDIGO: </w:t>
          </w:r>
          <w:r w:rsidRPr="003F3941">
            <w:rPr>
              <w:rFonts w:ascii="Century Gothic" w:eastAsia="Geo" w:hAnsi="Century Gothic" w:cs="Geo"/>
              <w:b/>
              <w:color w:val="000000"/>
              <w:sz w:val="16"/>
              <w:szCs w:val="16"/>
              <w:lang w:eastAsia="es-CO"/>
            </w:rPr>
            <w:t>CCE-</w:t>
          </w:r>
          <w:r>
            <w:rPr>
              <w:rFonts w:ascii="Century Gothic" w:eastAsia="Geo" w:hAnsi="Century Gothic" w:cs="Geo"/>
              <w:b/>
              <w:color w:val="000000"/>
              <w:sz w:val="16"/>
              <w:szCs w:val="16"/>
              <w:lang w:eastAsia="es-CO"/>
            </w:rPr>
            <w:t>REC</w:t>
          </w:r>
          <w:r w:rsidRPr="003F3941">
            <w:rPr>
              <w:rFonts w:ascii="Century Gothic" w:eastAsia="Geo" w:hAnsi="Century Gothic" w:cs="Geo"/>
              <w:b/>
              <w:color w:val="000000"/>
              <w:sz w:val="16"/>
              <w:szCs w:val="16"/>
              <w:lang w:eastAsia="es-CO"/>
            </w:rPr>
            <w:t>-FM-</w:t>
          </w:r>
          <w:r>
            <w:rPr>
              <w:rFonts w:ascii="Century Gothic" w:eastAsia="Geo" w:hAnsi="Century Gothic" w:cs="Geo"/>
              <w:b/>
              <w:color w:val="000000"/>
              <w:sz w:val="16"/>
              <w:szCs w:val="16"/>
              <w:lang w:eastAsia="es-CO"/>
            </w:rPr>
            <w:t>13</w:t>
          </w:r>
        </w:p>
      </w:tc>
      <w:tc>
        <w:tcPr>
          <w:tcW w:w="2699"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4BCB5E93" w14:textId="77777777" w:rsidR="00FC2B5D" w:rsidRPr="003F3941" w:rsidRDefault="009C12FE" w:rsidP="00FC2B5D">
          <w:pPr>
            <w:pStyle w:val="Piedepgina"/>
            <w:rPr>
              <w:rFonts w:ascii="Century Gothic" w:hAnsi="Century Gothic"/>
              <w:sz w:val="16"/>
              <w:szCs w:val="16"/>
            </w:rPr>
          </w:pPr>
          <w:r w:rsidRPr="003F3941">
            <w:rPr>
              <w:rFonts w:ascii="Century Gothic" w:hAnsi="Century Gothic"/>
              <w:sz w:val="16"/>
              <w:szCs w:val="16"/>
            </w:rPr>
            <w:t xml:space="preserve">FECHA: </w:t>
          </w:r>
          <w:r>
            <w:rPr>
              <w:rFonts w:ascii="Century Gothic" w:hAnsi="Century Gothic"/>
              <w:sz w:val="16"/>
              <w:szCs w:val="16"/>
            </w:rPr>
            <w:t>15</w:t>
          </w:r>
          <w:r w:rsidRPr="003F3941">
            <w:rPr>
              <w:rFonts w:ascii="Century Gothic" w:hAnsi="Century Gothic"/>
              <w:sz w:val="16"/>
              <w:szCs w:val="16"/>
            </w:rPr>
            <w:t xml:space="preserve"> DE </w:t>
          </w:r>
          <w:r>
            <w:rPr>
              <w:rFonts w:ascii="Century Gothic" w:hAnsi="Century Gothic"/>
              <w:sz w:val="16"/>
              <w:szCs w:val="16"/>
            </w:rPr>
            <w:t>JUNIO</w:t>
          </w:r>
          <w:r w:rsidRPr="003F3941">
            <w:rPr>
              <w:rFonts w:ascii="Century Gothic" w:hAnsi="Century Gothic"/>
              <w:sz w:val="16"/>
              <w:szCs w:val="16"/>
            </w:rPr>
            <w:t xml:space="preserve">  2023 </w:t>
          </w:r>
        </w:p>
      </w:tc>
      <w:tc>
        <w:tcPr>
          <w:tcW w:w="2268"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53F812BE" w14:textId="5400E7D0" w:rsidR="00FC2B5D" w:rsidRPr="003F3941" w:rsidRDefault="009C12FE" w:rsidP="00820278">
          <w:pPr>
            <w:pStyle w:val="Piedepgina"/>
            <w:rPr>
              <w:rFonts w:ascii="Century Gothic" w:hAnsi="Century Gothic"/>
              <w:sz w:val="16"/>
              <w:szCs w:val="16"/>
            </w:rPr>
          </w:pPr>
          <w:r w:rsidRPr="003F3941">
            <w:rPr>
              <w:rFonts w:ascii="Century Gothic" w:hAnsi="Century Gothic"/>
              <w:sz w:val="16"/>
              <w:szCs w:val="16"/>
            </w:rPr>
            <w:t xml:space="preserve">  PÁGINA </w:t>
          </w:r>
          <w:r w:rsidRPr="003F3941">
            <w:rPr>
              <w:rFonts w:ascii="Century Gothic" w:hAnsi="Century Gothic"/>
              <w:b/>
              <w:bCs/>
              <w:sz w:val="16"/>
              <w:szCs w:val="16"/>
            </w:rPr>
            <w:fldChar w:fldCharType="begin"/>
          </w:r>
          <w:r w:rsidRPr="003F3941">
            <w:rPr>
              <w:rFonts w:ascii="Century Gothic" w:hAnsi="Century Gothic"/>
              <w:b/>
              <w:bCs/>
              <w:sz w:val="16"/>
              <w:szCs w:val="16"/>
            </w:rPr>
            <w:instrText>PAGE  \* Arabic  \* MERGEFORMAT</w:instrText>
          </w:r>
          <w:r w:rsidRPr="003F3941">
            <w:rPr>
              <w:rFonts w:ascii="Century Gothic" w:hAnsi="Century Gothic"/>
              <w:b/>
              <w:bCs/>
              <w:sz w:val="16"/>
              <w:szCs w:val="16"/>
            </w:rPr>
            <w:fldChar w:fldCharType="separate"/>
          </w:r>
          <w:r w:rsidR="00074FEF">
            <w:rPr>
              <w:rFonts w:ascii="Century Gothic" w:hAnsi="Century Gothic"/>
              <w:b/>
              <w:bCs/>
              <w:noProof/>
              <w:sz w:val="16"/>
              <w:szCs w:val="16"/>
            </w:rPr>
            <w:t>18</w:t>
          </w:r>
          <w:r w:rsidRPr="003F3941">
            <w:rPr>
              <w:rFonts w:ascii="Century Gothic" w:hAnsi="Century Gothic"/>
              <w:b/>
              <w:bCs/>
              <w:sz w:val="16"/>
              <w:szCs w:val="16"/>
            </w:rPr>
            <w:fldChar w:fldCharType="end"/>
          </w:r>
          <w:r w:rsidRPr="003F3941">
            <w:rPr>
              <w:rFonts w:ascii="Century Gothic" w:hAnsi="Century Gothic"/>
              <w:sz w:val="16"/>
              <w:szCs w:val="16"/>
            </w:rPr>
            <w:t xml:space="preserve"> DE </w:t>
          </w:r>
          <w:r w:rsidRPr="003F3941">
            <w:rPr>
              <w:rFonts w:ascii="Century Gothic" w:hAnsi="Century Gothic"/>
              <w:b/>
              <w:bCs/>
              <w:sz w:val="16"/>
              <w:szCs w:val="16"/>
            </w:rPr>
            <w:fldChar w:fldCharType="begin"/>
          </w:r>
          <w:r w:rsidRPr="003F3941">
            <w:rPr>
              <w:rFonts w:ascii="Century Gothic" w:hAnsi="Century Gothic"/>
              <w:b/>
              <w:bCs/>
              <w:sz w:val="16"/>
              <w:szCs w:val="16"/>
            </w:rPr>
            <w:instrText>NUMPAGES  \* Arabic  \* MERGEFORMAT</w:instrText>
          </w:r>
          <w:r w:rsidRPr="003F3941">
            <w:rPr>
              <w:rFonts w:ascii="Century Gothic" w:hAnsi="Century Gothic"/>
              <w:b/>
              <w:bCs/>
              <w:sz w:val="16"/>
              <w:szCs w:val="16"/>
            </w:rPr>
            <w:fldChar w:fldCharType="separate"/>
          </w:r>
          <w:r w:rsidR="00074FEF">
            <w:rPr>
              <w:rFonts w:ascii="Century Gothic" w:hAnsi="Century Gothic"/>
              <w:b/>
              <w:bCs/>
              <w:noProof/>
              <w:sz w:val="16"/>
              <w:szCs w:val="16"/>
            </w:rPr>
            <w:t>43</w:t>
          </w:r>
          <w:r w:rsidRPr="003F3941">
            <w:rPr>
              <w:rFonts w:ascii="Century Gothic" w:hAnsi="Century Gothic"/>
              <w:b/>
              <w:bCs/>
              <w:sz w:val="16"/>
              <w:szCs w:val="16"/>
            </w:rPr>
            <w:fldChar w:fldCharType="end"/>
          </w:r>
        </w:p>
      </w:tc>
    </w:tr>
  </w:tbl>
  <w:p w14:paraId="1D66F0B5" w14:textId="77777777" w:rsidR="006219F8" w:rsidRDefault="008E431D" w:rsidP="003E049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0599C29" w14:textId="77777777" w:rsidR="008E431D" w:rsidRDefault="008E431D" w:rsidP="000E5D20">
      <w:pPr>
        <w:spacing w:after="0" w:line="240" w:lineRule="auto"/>
      </w:pPr>
      <w:r>
        <w:separator/>
      </w:r>
    </w:p>
  </w:footnote>
  <w:footnote w:type="continuationSeparator" w:id="0">
    <w:p w14:paraId="0B7A98DD" w14:textId="77777777" w:rsidR="008E431D" w:rsidRDefault="008E431D" w:rsidP="000E5D20">
      <w:pPr>
        <w:spacing w:after="0" w:line="240" w:lineRule="auto"/>
      </w:pPr>
      <w:r>
        <w:continuationSeparator/>
      </w:r>
    </w:p>
  </w:footnote>
  <w:footnote w:id="1">
    <w:p w14:paraId="60D4D269" w14:textId="77777777" w:rsidR="00074FEF" w:rsidRPr="003D2638" w:rsidRDefault="00074FEF" w:rsidP="00074FEF">
      <w:pPr>
        <w:pStyle w:val="Textonotapie"/>
        <w:ind w:firstLine="708"/>
        <w:jc w:val="both"/>
        <w:rPr>
          <w:rFonts w:ascii="Arial" w:hAnsi="Arial" w:cs="Arial"/>
          <w:sz w:val="19"/>
          <w:szCs w:val="19"/>
        </w:rPr>
      </w:pPr>
      <w:r w:rsidRPr="003D2638">
        <w:rPr>
          <w:rStyle w:val="Refdenotaalpie"/>
          <w:rFonts w:ascii="Arial" w:hAnsi="Arial" w:cs="Arial"/>
          <w:sz w:val="19"/>
          <w:szCs w:val="19"/>
        </w:rPr>
        <w:footnoteRef/>
      </w:r>
      <w:r w:rsidRPr="003D2638">
        <w:rPr>
          <w:rFonts w:ascii="Arial" w:hAnsi="Arial" w:cs="Arial"/>
          <w:sz w:val="19"/>
          <w:szCs w:val="19"/>
        </w:rPr>
        <w:t xml:space="preserve"> Es el promedio ponderado por monto de las operaciones de compra y venta de dólares de los Estados Unidos de América a cambio de moneda legal colombiana, pactadas para cumplimiento en ambas monedas el mismo día de su negociación, efectuadas por los Intermediarios del Mercado Cambiario entre las 7:30 a.m. y la 1:00 p.m.</w:t>
      </w:r>
    </w:p>
    <w:p w14:paraId="5F98EA2C" w14:textId="77777777" w:rsidR="00074FEF" w:rsidRPr="003D2638" w:rsidRDefault="00074FEF" w:rsidP="00074FEF">
      <w:pPr>
        <w:pStyle w:val="Textonotapie"/>
        <w:ind w:firstLine="708"/>
        <w:jc w:val="both"/>
        <w:rPr>
          <w:rFonts w:ascii="Arial" w:hAnsi="Arial" w:cs="Arial"/>
          <w:sz w:val="19"/>
          <w:szCs w:val="19"/>
        </w:rPr>
      </w:pPr>
    </w:p>
  </w:footnote>
  <w:footnote w:id="2">
    <w:p w14:paraId="085C86A2" w14:textId="77777777" w:rsidR="00074FEF" w:rsidRPr="003D2638" w:rsidRDefault="00074FEF" w:rsidP="00074FEF">
      <w:pPr>
        <w:pStyle w:val="Textonotapie"/>
        <w:ind w:firstLine="708"/>
        <w:jc w:val="both"/>
        <w:rPr>
          <w:rFonts w:ascii="Arial" w:hAnsi="Arial" w:cs="Arial"/>
          <w:sz w:val="19"/>
          <w:szCs w:val="19"/>
        </w:rPr>
      </w:pPr>
      <w:r w:rsidRPr="003D2638">
        <w:rPr>
          <w:rStyle w:val="Refdenotaalpie"/>
          <w:rFonts w:ascii="Arial" w:hAnsi="Arial" w:cs="Arial"/>
          <w:sz w:val="19"/>
          <w:szCs w:val="19"/>
        </w:rPr>
        <w:footnoteRef/>
      </w:r>
      <w:r w:rsidRPr="003D2638">
        <w:rPr>
          <w:rFonts w:ascii="Arial" w:hAnsi="Arial" w:cs="Arial"/>
          <w:sz w:val="19"/>
          <w:szCs w:val="19"/>
        </w:rPr>
        <w:t xml:space="preserve"> La TRM diaria se puede consultar en </w:t>
      </w:r>
      <w:hyperlink r:id="rId1" w:history="1">
        <w:r w:rsidRPr="003D2638">
          <w:rPr>
            <w:rStyle w:val="Hipervnculo"/>
            <w:rFonts w:ascii="Arial" w:hAnsi="Arial" w:cs="Arial"/>
            <w:color w:val="auto"/>
            <w:sz w:val="19"/>
            <w:szCs w:val="19"/>
          </w:rPr>
          <w:t>https://www.banrep.gov.co/es/estadisticas/trm</w:t>
        </w:r>
      </w:hyperlink>
      <w:r w:rsidRPr="003D2638">
        <w:rPr>
          <w:rFonts w:ascii="Arial" w:hAnsi="Arial" w:cs="Arial"/>
          <w:sz w:val="19"/>
          <w:szCs w:val="19"/>
        </w:rPr>
        <w:t>.</w:t>
      </w:r>
    </w:p>
  </w:footnote>
  <w:footnote w:id="3">
    <w:p w14:paraId="60A5B6DD" w14:textId="77777777" w:rsidR="00074FEF" w:rsidRPr="003D2638" w:rsidRDefault="00074FEF" w:rsidP="00074FEF">
      <w:pPr>
        <w:pStyle w:val="Textonotapie"/>
        <w:ind w:firstLine="708"/>
        <w:jc w:val="both"/>
        <w:rPr>
          <w:rFonts w:ascii="Arial" w:hAnsi="Arial" w:cs="Arial"/>
          <w:sz w:val="19"/>
          <w:szCs w:val="19"/>
        </w:rPr>
      </w:pPr>
    </w:p>
    <w:p w14:paraId="50651719" w14:textId="77777777" w:rsidR="00074FEF" w:rsidRPr="003D2638" w:rsidRDefault="00074FEF" w:rsidP="00074FEF">
      <w:pPr>
        <w:pStyle w:val="Textonotapie"/>
        <w:ind w:firstLine="708"/>
        <w:jc w:val="both"/>
        <w:rPr>
          <w:rFonts w:ascii="Arial" w:hAnsi="Arial" w:cs="Arial"/>
          <w:sz w:val="19"/>
          <w:szCs w:val="19"/>
          <w:lang w:val="es-ES"/>
        </w:rPr>
      </w:pPr>
      <w:r w:rsidRPr="003D2638">
        <w:rPr>
          <w:rStyle w:val="Refdenotaalpie"/>
          <w:rFonts w:ascii="Arial" w:hAnsi="Arial" w:cs="Arial"/>
          <w:sz w:val="19"/>
          <w:szCs w:val="19"/>
        </w:rPr>
        <w:footnoteRef/>
      </w:r>
      <w:r w:rsidRPr="003D2638">
        <w:rPr>
          <w:rFonts w:ascii="Arial" w:hAnsi="Arial" w:cs="Arial"/>
          <w:sz w:val="19"/>
          <w:szCs w:val="19"/>
        </w:rPr>
        <w:t xml:space="preserve"> </w:t>
      </w:r>
      <w:r w:rsidRPr="003D2638">
        <w:rPr>
          <w:rFonts w:ascii="Arial" w:hAnsi="Arial" w:cs="Arial"/>
          <w:sz w:val="19"/>
          <w:szCs w:val="19"/>
          <w:lang w:val="es-ES"/>
        </w:rPr>
        <w:t xml:space="preserve">Fecha de expedición del Decreto 1082. </w:t>
      </w:r>
    </w:p>
  </w:footnote>
  <w:footnote w:id="4">
    <w:p w14:paraId="5133F99D" w14:textId="77777777" w:rsidR="00074FEF" w:rsidRPr="003D2638" w:rsidRDefault="00074FEF" w:rsidP="00074FEF">
      <w:pPr>
        <w:pStyle w:val="Textonotapie"/>
        <w:ind w:firstLine="708"/>
        <w:jc w:val="both"/>
        <w:rPr>
          <w:rFonts w:ascii="Arial" w:hAnsi="Arial" w:cs="Arial"/>
          <w:sz w:val="19"/>
          <w:szCs w:val="19"/>
        </w:rPr>
      </w:pPr>
    </w:p>
    <w:p w14:paraId="51FBEC94" w14:textId="77777777" w:rsidR="00074FEF" w:rsidRPr="003D2638" w:rsidRDefault="00074FEF" w:rsidP="00074FEF">
      <w:pPr>
        <w:pStyle w:val="Textonotapie"/>
        <w:ind w:firstLine="708"/>
        <w:jc w:val="both"/>
        <w:rPr>
          <w:rFonts w:ascii="Arial" w:hAnsi="Arial" w:cs="Arial"/>
          <w:sz w:val="19"/>
          <w:szCs w:val="19"/>
          <w:u w:val="single"/>
        </w:rPr>
      </w:pPr>
      <w:r w:rsidRPr="003D2638">
        <w:rPr>
          <w:rStyle w:val="Refdenotaalpie"/>
          <w:rFonts w:ascii="Arial" w:hAnsi="Arial" w:cs="Arial"/>
          <w:sz w:val="19"/>
          <w:szCs w:val="19"/>
        </w:rPr>
        <w:footnoteRef/>
      </w:r>
      <w:r w:rsidRPr="003D2638">
        <w:rPr>
          <w:rFonts w:ascii="Arial" w:hAnsi="Arial" w:cs="Arial"/>
          <w:sz w:val="19"/>
          <w:szCs w:val="19"/>
        </w:rPr>
        <w:t xml:space="preserve"> </w:t>
      </w:r>
      <w:hyperlink r:id="rId2" w:history="1">
        <w:r w:rsidRPr="003D2638">
          <w:rPr>
            <w:rFonts w:ascii="Arial" w:hAnsi="Arial" w:cs="Arial"/>
            <w:sz w:val="19"/>
            <w:szCs w:val="19"/>
            <w:lang w:val="es-ES"/>
          </w:rPr>
          <w:t>https://www.colombiacompra.gov.co/sites/cce_public/files/cce_documentos/umbrales_2020_-_2021.pdf</w:t>
        </w:r>
      </w:hyperlink>
    </w:p>
  </w:footnote>
  <w:footnote w:id="5">
    <w:p w14:paraId="63AD2F90" w14:textId="77777777" w:rsidR="000E5D20" w:rsidRPr="003D2638" w:rsidRDefault="000E5D20" w:rsidP="000E5D20">
      <w:pPr>
        <w:pBdr>
          <w:top w:val="nil"/>
          <w:left w:val="nil"/>
          <w:bottom w:val="nil"/>
          <w:right w:val="nil"/>
          <w:between w:val="nil"/>
        </w:pBdr>
        <w:ind w:firstLine="709"/>
        <w:jc w:val="both"/>
        <w:rPr>
          <w:rFonts w:ascii="Arial" w:eastAsia="Arial" w:hAnsi="Arial" w:cs="Arial"/>
          <w:sz w:val="19"/>
          <w:szCs w:val="19"/>
        </w:rPr>
      </w:pPr>
      <w:r w:rsidRPr="003D2638">
        <w:rPr>
          <w:rFonts w:ascii="Arial" w:hAnsi="Arial" w:cs="Arial"/>
          <w:sz w:val="19"/>
          <w:szCs w:val="19"/>
          <w:vertAlign w:val="superscript"/>
        </w:rPr>
        <w:footnoteRef/>
      </w:r>
      <w:r w:rsidRPr="003D2638">
        <w:rPr>
          <w:rFonts w:ascii="Arial" w:eastAsia="Arial" w:hAnsi="Arial" w:cs="Arial"/>
          <w:sz w:val="19"/>
          <w:szCs w:val="19"/>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proofErr w:type="spellStart"/>
      <w:r w:rsidRPr="003D2638">
        <w:rPr>
          <w:rFonts w:ascii="Arial" w:eastAsia="Arial" w:hAnsi="Arial" w:cs="Arial"/>
          <w:i/>
          <w:sz w:val="19"/>
          <w:szCs w:val="19"/>
        </w:rPr>
        <w:t>ibidem</w:t>
      </w:r>
      <w:proofErr w:type="spellEnd"/>
      <w:r w:rsidRPr="003D2638">
        <w:rPr>
          <w:rFonts w:ascii="Arial" w:eastAsia="Arial" w:hAnsi="Arial" w:cs="Arial"/>
          <w:i/>
          <w:sz w:val="19"/>
          <w:szCs w:val="19"/>
        </w:rPr>
        <w:t xml:space="preserve"> </w:t>
      </w:r>
      <w:r w:rsidRPr="003D2638">
        <w:rPr>
          <w:rFonts w:ascii="Arial" w:eastAsia="Arial" w:hAnsi="Arial" w:cs="Arial"/>
          <w:sz w:val="19"/>
          <w:szCs w:val="19"/>
        </w:rPr>
        <w:t>señala, de manera precisa, las funciones de Colombia Compra Eficiente. Concretamente, el numeral 5º de este artículo establece que le corresponde a esta entidad: “[a]</w:t>
      </w:r>
      <w:proofErr w:type="spellStart"/>
      <w:r w:rsidRPr="003D2638">
        <w:rPr>
          <w:rFonts w:ascii="Arial" w:eastAsia="Arial" w:hAnsi="Arial" w:cs="Arial"/>
          <w:sz w:val="19"/>
          <w:szCs w:val="19"/>
        </w:rPr>
        <w:t>bsolver</w:t>
      </w:r>
      <w:proofErr w:type="spellEnd"/>
      <w:r w:rsidRPr="003D2638">
        <w:rPr>
          <w:rFonts w:ascii="Arial" w:eastAsia="Arial" w:hAnsi="Arial" w:cs="Arial"/>
          <w:sz w:val="19"/>
          <w:szCs w:val="19"/>
        </w:rPr>
        <w:t xml:space="preserve"> consultas sobre la aplicación de normas de carácter general y expedir circulares externas en materia de compras y contratación pública”. Esta se fija con límites claros, con el objeto de evitar que la Agencia actúe como una instancia de validación de las actuaciones de las entidades sujetas a la Ley 80 de 1993 o de los demás participantes de la contratación pública.</w:t>
      </w:r>
    </w:p>
  </w:footnote>
  <w:footnote w:id="6">
    <w:p w14:paraId="06069ED4" w14:textId="77777777" w:rsidR="000E5D20" w:rsidRPr="003D2638" w:rsidRDefault="000E5D20" w:rsidP="000E5D20">
      <w:pPr>
        <w:pBdr>
          <w:top w:val="nil"/>
          <w:left w:val="nil"/>
          <w:bottom w:val="nil"/>
          <w:right w:val="nil"/>
          <w:between w:val="nil"/>
        </w:pBdr>
        <w:ind w:firstLine="709"/>
        <w:jc w:val="both"/>
        <w:rPr>
          <w:rFonts w:ascii="Arial" w:eastAsia="Arial" w:hAnsi="Arial" w:cs="Arial"/>
          <w:sz w:val="19"/>
          <w:szCs w:val="19"/>
        </w:rPr>
      </w:pPr>
      <w:r w:rsidRPr="003D2638">
        <w:rPr>
          <w:rFonts w:ascii="Arial" w:hAnsi="Arial" w:cs="Arial"/>
          <w:sz w:val="19"/>
          <w:szCs w:val="19"/>
          <w:vertAlign w:val="superscript"/>
        </w:rPr>
        <w:footnoteRef/>
      </w:r>
      <w:r w:rsidRPr="003D2638">
        <w:rPr>
          <w:rFonts w:ascii="Arial" w:eastAsia="Arial" w:hAnsi="Arial" w:cs="Arial"/>
          <w:sz w:val="19"/>
          <w:szCs w:val="19"/>
        </w:rPr>
        <w:t xml:space="preserve"> Seguidamente, el numeral 8º del artículo 11 Decreto Ley 4170 de 2011 señala que es función de la Subdirección de Gestión Contractual</w:t>
      </w:r>
      <w:proofErr w:type="gramStart"/>
      <w:r w:rsidRPr="003D2638">
        <w:rPr>
          <w:rFonts w:ascii="Arial" w:eastAsia="Arial" w:hAnsi="Arial" w:cs="Arial"/>
          <w:sz w:val="19"/>
          <w:szCs w:val="19"/>
        </w:rPr>
        <w:t>: ”</w:t>
      </w:r>
      <w:proofErr w:type="gramEnd"/>
      <w:r w:rsidRPr="003D2638">
        <w:rPr>
          <w:rFonts w:ascii="Arial" w:eastAsia="Arial" w:hAnsi="Arial" w:cs="Arial"/>
          <w:sz w:val="19"/>
          <w:szCs w:val="19"/>
        </w:rPr>
        <w:t>[a]</w:t>
      </w:r>
      <w:proofErr w:type="spellStart"/>
      <w:r w:rsidRPr="003D2638">
        <w:rPr>
          <w:rFonts w:ascii="Arial" w:eastAsia="Arial" w:hAnsi="Arial" w:cs="Arial"/>
          <w:sz w:val="19"/>
          <w:szCs w:val="19"/>
        </w:rPr>
        <w:t>bsolver</w:t>
      </w:r>
      <w:proofErr w:type="spellEnd"/>
      <w:r w:rsidRPr="003D2638">
        <w:rPr>
          <w:rFonts w:ascii="Arial" w:eastAsia="Arial" w:hAnsi="Arial" w:cs="Arial"/>
          <w:sz w:val="19"/>
          <w:szCs w:val="19"/>
        </w:rPr>
        <w:t xml:space="preserve"> consultas sobre la aplicación de normas de carácter general”. Es necesario tener en cuenta que esta entidad solo tiene competencia para responder solicitudes sobre la aplicación de normas de carácter general en materia de compras y contratación pública.</w:t>
      </w:r>
    </w:p>
  </w:footnote>
  <w:footnote w:id="7">
    <w:p w14:paraId="4707D3A0" w14:textId="77777777" w:rsidR="000E5D20" w:rsidRPr="003D2638" w:rsidRDefault="000E5D20" w:rsidP="000E5D20">
      <w:pPr>
        <w:jc w:val="both"/>
        <w:rPr>
          <w:rFonts w:ascii="Arial" w:hAnsi="Arial" w:cs="Arial"/>
          <w:sz w:val="19"/>
          <w:szCs w:val="19"/>
        </w:rPr>
      </w:pPr>
    </w:p>
    <w:p w14:paraId="124E8C33" w14:textId="77777777" w:rsidR="000E5D20" w:rsidRPr="003D2638" w:rsidRDefault="000E5D20" w:rsidP="000E5D20">
      <w:pPr>
        <w:ind w:firstLine="708"/>
        <w:jc w:val="both"/>
        <w:rPr>
          <w:rFonts w:ascii="Arial" w:hAnsi="Arial" w:cs="Arial"/>
          <w:sz w:val="19"/>
          <w:szCs w:val="19"/>
        </w:rPr>
      </w:pPr>
      <w:r w:rsidRPr="003D2638">
        <w:rPr>
          <w:rStyle w:val="Refdenotaalpie"/>
          <w:rFonts w:ascii="Arial" w:eastAsiaTheme="majorEastAsia" w:hAnsi="Arial" w:cs="Arial"/>
          <w:sz w:val="19"/>
          <w:szCs w:val="19"/>
        </w:rPr>
        <w:footnoteRef/>
      </w:r>
      <w:r w:rsidRPr="003D2638">
        <w:rPr>
          <w:rFonts w:ascii="Arial" w:hAnsi="Arial" w:cs="Arial"/>
          <w:sz w:val="19"/>
          <w:szCs w:val="19"/>
        </w:rPr>
        <w:t xml:space="preserve"> Estos</w:t>
      </w:r>
      <w:r w:rsidRPr="003D2638">
        <w:rPr>
          <w:rFonts w:ascii="Arial" w:hAnsi="Arial" w:cs="Arial"/>
          <w:sz w:val="19"/>
          <w:szCs w:val="19"/>
        </w:rPr>
        <w:tab/>
        <w:t>conceptos pueden</w:t>
      </w:r>
      <w:r w:rsidRPr="003D2638">
        <w:rPr>
          <w:rFonts w:ascii="Arial" w:hAnsi="Arial" w:cs="Arial"/>
          <w:sz w:val="19"/>
          <w:szCs w:val="19"/>
        </w:rPr>
        <w:tab/>
        <w:t>ser consultados</w:t>
      </w:r>
      <w:r w:rsidRPr="003D2638">
        <w:rPr>
          <w:rFonts w:ascii="Arial" w:hAnsi="Arial" w:cs="Arial"/>
          <w:sz w:val="19"/>
          <w:szCs w:val="19"/>
        </w:rPr>
        <w:tab/>
        <w:t>en</w:t>
      </w:r>
      <w:hyperlink r:id="rId3" w:history="1">
        <w:r w:rsidRPr="003D2638">
          <w:rPr>
            <w:rStyle w:val="Hipervnculo"/>
            <w:rFonts w:ascii="Arial" w:hAnsi="Arial" w:cs="Arial"/>
            <w:color w:val="auto"/>
            <w:sz w:val="19"/>
            <w:szCs w:val="19"/>
          </w:rPr>
          <w:t>https://relatoria.colombiacompra.gov.co/busqueda/conceptos#</w:t>
        </w:r>
      </w:hyperlink>
    </w:p>
    <w:p w14:paraId="6A6549A8" w14:textId="77777777" w:rsidR="000E5D20" w:rsidRPr="003D2638" w:rsidRDefault="000E5D20" w:rsidP="000E5D20">
      <w:pPr>
        <w:pStyle w:val="Textonotapie"/>
        <w:rPr>
          <w:rFonts w:ascii="Arial" w:hAnsi="Arial" w:cs="Arial"/>
          <w:sz w:val="19"/>
          <w:szCs w:val="19"/>
        </w:rPr>
      </w:pPr>
    </w:p>
  </w:footnote>
  <w:footnote w:id="8">
    <w:p w14:paraId="4AC796A9" w14:textId="77777777" w:rsidR="000E5D20" w:rsidRPr="003D2638" w:rsidRDefault="000E5D20" w:rsidP="000E5D20">
      <w:pPr>
        <w:pStyle w:val="Textonotapie"/>
        <w:spacing w:after="60"/>
        <w:ind w:firstLine="709"/>
        <w:jc w:val="both"/>
        <w:rPr>
          <w:rFonts w:ascii="Arial" w:hAnsi="Arial" w:cs="Arial"/>
          <w:sz w:val="19"/>
          <w:szCs w:val="19"/>
        </w:rPr>
      </w:pPr>
      <w:r w:rsidRPr="003D2638">
        <w:rPr>
          <w:rStyle w:val="Refdenotaalpie"/>
          <w:rFonts w:ascii="Arial" w:hAnsi="Arial" w:cs="Arial"/>
          <w:sz w:val="19"/>
          <w:szCs w:val="19"/>
        </w:rPr>
        <w:footnoteRef/>
      </w:r>
      <w:r w:rsidRPr="003D2638">
        <w:rPr>
          <w:rFonts w:ascii="Arial" w:hAnsi="Arial" w:cs="Arial"/>
          <w:sz w:val="19"/>
          <w:szCs w:val="19"/>
        </w:rPr>
        <w:t xml:space="preserve"> Decreto 1068 de 2015: “Artículo 2.8.4.4.5. Condiciones para contratar la prestación de servicios. Los contratos de prestación de servicios con personas naturales o jurídicas, sólo se podrán celebrar cuando no exista personal de planta con capacidad para realizar las actividades que se contratarán. </w:t>
      </w:r>
    </w:p>
    <w:p w14:paraId="65EBA90F" w14:textId="77777777" w:rsidR="000E5D20" w:rsidRPr="003D2638" w:rsidRDefault="000E5D20" w:rsidP="000E5D20">
      <w:pPr>
        <w:pStyle w:val="Textonotapie"/>
        <w:spacing w:after="60"/>
        <w:ind w:firstLine="709"/>
        <w:jc w:val="both"/>
        <w:rPr>
          <w:rFonts w:ascii="Arial" w:hAnsi="Arial" w:cs="Arial"/>
          <w:sz w:val="19"/>
          <w:szCs w:val="19"/>
        </w:rPr>
      </w:pPr>
      <w:r w:rsidRPr="003D2638">
        <w:rPr>
          <w:rFonts w:ascii="Arial" w:hAnsi="Arial" w:cs="Arial"/>
          <w:sz w:val="19"/>
          <w:szCs w:val="19"/>
        </w:rPr>
        <w:t xml:space="preserve">Se entiende que no existe personal de planta en el respectivo organismo, entidad, ente público o persona jurídica, es imposible atender la actividad con personal de planta, porque de acuerdo con los manuales específicos, no existe personal que pueda desarrollar la actividad para la cual se requiere contratar la prestación del servicio, o cuando el desarrollo de la actividad requiere un grado de especialización que implica la contratación del servicio, o cuando aun existiendo personal en la planta, éste no sea suficiente, la inexistencia de personal suficiente deberá acreditarse por el jefe del respectivo organismo. </w:t>
      </w:r>
    </w:p>
    <w:p w14:paraId="1CC19239" w14:textId="77777777" w:rsidR="000E5D20" w:rsidRPr="003D2638" w:rsidRDefault="000E5D20" w:rsidP="000E5D20">
      <w:pPr>
        <w:pStyle w:val="Textonotapie"/>
        <w:ind w:firstLine="708"/>
        <w:jc w:val="both"/>
        <w:rPr>
          <w:rFonts w:ascii="Arial" w:hAnsi="Arial" w:cs="Arial"/>
          <w:sz w:val="19"/>
          <w:szCs w:val="19"/>
        </w:rPr>
      </w:pPr>
      <w:r w:rsidRPr="003D2638">
        <w:rPr>
          <w:rFonts w:ascii="Arial" w:hAnsi="Arial" w:cs="Arial"/>
          <w:sz w:val="19"/>
          <w:szCs w:val="19"/>
        </w:rPr>
        <w:t>Tampoco se podrán celebrar estos contratos cuando existan relaciones contractuales vigentes con objeto igual al del contrato que se pretende suscribir, salvo autorización expresa del jefe del respectivo órgano, ente o entidad contratante. Esta autorización estará precedida de la sustentación sobre las especiales características y necesidades técnicas de las contrataciones a realizar”.</w:t>
      </w:r>
    </w:p>
  </w:footnote>
  <w:footnote w:id="9">
    <w:p w14:paraId="49134C27" w14:textId="77777777" w:rsidR="000E5D20" w:rsidRPr="003D2638" w:rsidRDefault="000E5D20" w:rsidP="000E5D20">
      <w:pPr>
        <w:autoSpaceDE w:val="0"/>
        <w:autoSpaceDN w:val="0"/>
        <w:adjustRightInd w:val="0"/>
        <w:spacing w:after="0" w:line="240" w:lineRule="auto"/>
        <w:ind w:firstLine="708"/>
        <w:jc w:val="both"/>
        <w:rPr>
          <w:rFonts w:ascii="Arial" w:hAnsi="Arial" w:cs="Arial"/>
          <w:sz w:val="19"/>
          <w:szCs w:val="19"/>
        </w:rPr>
      </w:pPr>
      <w:r w:rsidRPr="003D2638">
        <w:rPr>
          <w:rStyle w:val="Refdenotaalpie"/>
          <w:rFonts w:ascii="Arial" w:hAnsi="Arial" w:cs="Arial"/>
          <w:sz w:val="19"/>
          <w:szCs w:val="19"/>
        </w:rPr>
        <w:footnoteRef/>
      </w:r>
      <w:r w:rsidRPr="003D2638">
        <w:rPr>
          <w:rFonts w:ascii="Arial" w:hAnsi="Arial" w:cs="Arial"/>
          <w:sz w:val="19"/>
          <w:szCs w:val="19"/>
        </w:rPr>
        <w:t xml:space="preserve"> Consejo de Estado, Sección Segunda. Sentencia de Unificación Jurisprudencial SUJ-025-CE-S2-2021. Radicado (1317-2016). En el mismo sentido, la Corte Constitucional expresa que: “La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 (Cfr. Corte Constitucional. Sentencia C-154 de 1997. Magistrado Ponente: Hernando Herrera Vergara).</w:t>
      </w:r>
    </w:p>
  </w:footnote>
  <w:footnote w:id="10">
    <w:p w14:paraId="045D5DE5" w14:textId="77777777" w:rsidR="000E5D20" w:rsidRPr="003D2638" w:rsidRDefault="000E5D20" w:rsidP="000E5D20">
      <w:pPr>
        <w:pStyle w:val="Textonotapie"/>
        <w:ind w:firstLine="708"/>
        <w:jc w:val="both"/>
        <w:rPr>
          <w:rFonts w:ascii="Arial" w:hAnsi="Arial" w:cs="Arial"/>
          <w:sz w:val="19"/>
          <w:szCs w:val="19"/>
        </w:rPr>
      </w:pPr>
      <w:r w:rsidRPr="003D2638">
        <w:rPr>
          <w:rStyle w:val="Refdenotaalpie"/>
          <w:rFonts w:ascii="Arial" w:hAnsi="Arial" w:cs="Arial"/>
          <w:sz w:val="19"/>
          <w:szCs w:val="19"/>
        </w:rPr>
        <w:footnoteRef/>
      </w:r>
      <w:r w:rsidRPr="003D2638">
        <w:rPr>
          <w:rFonts w:ascii="Arial" w:hAnsi="Arial" w:cs="Arial"/>
          <w:sz w:val="19"/>
          <w:szCs w:val="19"/>
        </w:rPr>
        <w:t xml:space="preserve"> Consejo de Estado, Sección Segunda, sentencia del 19 de junio 19 de 2008. Consejero Ponente: Gustavo Eduardo Gómez Aranguren Rad. 1502-03. Ver también sentencias de 7 de septiembre de 2000. Sección Primera. Expediente 6152. Consejero Ponente: Juan Alberto Polo Figueroa y de 10 de marzo de 2005. Sección Quinta. Expediente ACU 750. Consejera Ponente: María Nohemí Hernández Pinzón.</w:t>
      </w:r>
    </w:p>
  </w:footnote>
  <w:footnote w:id="11">
    <w:p w14:paraId="0CE7D8FC" w14:textId="77777777" w:rsidR="000E5D20" w:rsidRPr="003D2638" w:rsidRDefault="000E5D20" w:rsidP="000E5D20">
      <w:pPr>
        <w:pStyle w:val="Textonotapie"/>
        <w:ind w:firstLine="708"/>
        <w:jc w:val="both"/>
        <w:rPr>
          <w:rFonts w:ascii="Arial" w:hAnsi="Arial" w:cs="Arial"/>
          <w:sz w:val="19"/>
          <w:szCs w:val="19"/>
          <w:lang w:val="es-CO"/>
        </w:rPr>
      </w:pPr>
      <w:r w:rsidRPr="003D2638">
        <w:rPr>
          <w:rStyle w:val="Refdenotaalpie"/>
          <w:rFonts w:ascii="Arial" w:hAnsi="Arial" w:cs="Arial"/>
          <w:sz w:val="19"/>
          <w:szCs w:val="19"/>
        </w:rPr>
        <w:footnoteRef/>
      </w:r>
      <w:r w:rsidRPr="003D2638">
        <w:rPr>
          <w:rFonts w:ascii="Arial" w:hAnsi="Arial" w:cs="Arial"/>
          <w:sz w:val="19"/>
          <w:szCs w:val="19"/>
        </w:rPr>
        <w:t xml:space="preserve"> Ver en línea: </w:t>
      </w:r>
      <w:hyperlink r:id="rId4" w:history="1">
        <w:r w:rsidRPr="003D2638">
          <w:rPr>
            <w:rStyle w:val="Hipervnculo"/>
            <w:rFonts w:ascii="Arial" w:hAnsi="Arial" w:cs="Arial"/>
            <w:color w:val="auto"/>
            <w:sz w:val="19"/>
            <w:szCs w:val="19"/>
          </w:rPr>
          <w:t>https://www.funcionpublica.gov.co/eva/gestornormativo/norma.php?i=175446</w:t>
        </w:r>
      </w:hyperlink>
      <w:r w:rsidRPr="003D2638">
        <w:rPr>
          <w:rFonts w:ascii="Arial" w:hAnsi="Arial" w:cs="Arial"/>
          <w:sz w:val="19"/>
          <w:szCs w:val="19"/>
        </w:rPr>
        <w:t xml:space="preserve"> </w:t>
      </w:r>
    </w:p>
  </w:footnote>
  <w:footnote w:id="12">
    <w:p w14:paraId="357BF744" w14:textId="77777777" w:rsidR="000E5D20" w:rsidRPr="003D2638" w:rsidRDefault="000E5D20" w:rsidP="000E5D20">
      <w:pPr>
        <w:pBdr>
          <w:top w:val="nil"/>
          <w:left w:val="nil"/>
          <w:bottom w:val="nil"/>
          <w:right w:val="nil"/>
          <w:between w:val="nil"/>
        </w:pBdr>
        <w:ind w:firstLine="707"/>
        <w:jc w:val="both"/>
        <w:rPr>
          <w:rFonts w:ascii="Arial" w:hAnsi="Arial" w:cs="Arial"/>
          <w:sz w:val="19"/>
          <w:szCs w:val="19"/>
        </w:rPr>
      </w:pPr>
      <w:r w:rsidRPr="003D2638">
        <w:rPr>
          <w:rFonts w:ascii="Arial" w:hAnsi="Arial" w:cs="Arial"/>
          <w:sz w:val="19"/>
          <w:szCs w:val="19"/>
          <w:vertAlign w:val="superscript"/>
        </w:rPr>
        <w:footnoteRef/>
      </w:r>
      <w:r w:rsidRPr="003D2638">
        <w:rPr>
          <w:rFonts w:ascii="Arial" w:eastAsia="Arial" w:hAnsi="Arial" w:cs="Arial"/>
          <w:sz w:val="19"/>
          <w:szCs w:val="19"/>
        </w:rPr>
        <w:t xml:space="preserve"> La Corte Constitucional, en Sentencia C-300 de 2012 M.P. Jorge Ignacio </w:t>
      </w:r>
      <w:proofErr w:type="spellStart"/>
      <w:r w:rsidRPr="003D2638">
        <w:rPr>
          <w:rFonts w:ascii="Arial" w:eastAsia="Arial" w:hAnsi="Arial" w:cs="Arial"/>
          <w:sz w:val="19"/>
          <w:szCs w:val="19"/>
        </w:rPr>
        <w:t>Pretel</w:t>
      </w:r>
      <w:proofErr w:type="spellEnd"/>
      <w:r w:rsidRPr="003D2638">
        <w:rPr>
          <w:rFonts w:ascii="Arial" w:eastAsia="Arial" w:hAnsi="Arial" w:cs="Arial"/>
          <w:sz w:val="19"/>
          <w:szCs w:val="19"/>
        </w:rPr>
        <w:t xml:space="preserve"> </w:t>
      </w:r>
      <w:proofErr w:type="spellStart"/>
      <w:r w:rsidRPr="003D2638">
        <w:rPr>
          <w:rFonts w:ascii="Arial" w:eastAsia="Arial" w:hAnsi="Arial" w:cs="Arial"/>
          <w:sz w:val="19"/>
          <w:szCs w:val="19"/>
        </w:rPr>
        <w:t>Chabljub</w:t>
      </w:r>
      <w:proofErr w:type="spellEnd"/>
      <w:r w:rsidRPr="003D2638">
        <w:rPr>
          <w:rFonts w:ascii="Arial" w:eastAsia="Arial" w:hAnsi="Arial" w:cs="Arial"/>
          <w:sz w:val="19"/>
          <w:szCs w:val="19"/>
        </w:rPr>
        <w:t xml:space="preserve">, consideró al respecto: «El principio de planeación hace referencia al deber de la entidad contratante de realizar estudios previos adecuados (estudios de </w:t>
      </w:r>
      <w:proofErr w:type="spellStart"/>
      <w:r w:rsidRPr="003D2638">
        <w:rPr>
          <w:rFonts w:ascii="Arial" w:eastAsia="Arial" w:hAnsi="Arial" w:cs="Arial"/>
          <w:sz w:val="19"/>
          <w:szCs w:val="19"/>
        </w:rPr>
        <w:t>prefactibilidad</w:t>
      </w:r>
      <w:proofErr w:type="spellEnd"/>
      <w:r w:rsidRPr="003D2638">
        <w:rPr>
          <w:rFonts w:ascii="Arial" w:eastAsia="Arial" w:hAnsi="Arial" w:cs="Arial"/>
          <w:sz w:val="19"/>
          <w:szCs w:val="19"/>
        </w:rPr>
        <w:t>, factibilidad, ingeniería, suelos, etc.), con el fin de precisar el objeto del contrato, las obligaciones mutuas de las partes, la distribución de los riesgos y el precio, estructurar debidamente su financiación y permitir a los interesados diseñar sus ofertas y buscar diferentes fuentes de recursos.</w:t>
      </w:r>
    </w:p>
    <w:p w14:paraId="6FC9BCA0" w14:textId="77777777" w:rsidR="000E5D20" w:rsidRPr="003D2638" w:rsidRDefault="000E5D20" w:rsidP="000E5D20">
      <w:pPr>
        <w:pBdr>
          <w:top w:val="nil"/>
          <w:left w:val="nil"/>
          <w:bottom w:val="nil"/>
          <w:right w:val="nil"/>
          <w:between w:val="nil"/>
        </w:pBdr>
        <w:ind w:firstLine="608"/>
        <w:jc w:val="both"/>
        <w:rPr>
          <w:rFonts w:ascii="Arial" w:hAnsi="Arial" w:cs="Arial"/>
          <w:sz w:val="19"/>
          <w:szCs w:val="19"/>
        </w:rPr>
      </w:pPr>
      <w:proofErr w:type="gramStart"/>
      <w:r w:rsidRPr="003D2638">
        <w:rPr>
          <w:rFonts w:ascii="Arial" w:eastAsia="Arial" w:hAnsi="Arial" w:cs="Arial"/>
          <w:sz w:val="19"/>
          <w:szCs w:val="19"/>
        </w:rPr>
        <w:t>»Este</w:t>
      </w:r>
      <w:proofErr w:type="gramEnd"/>
      <w:r w:rsidRPr="003D2638">
        <w:rPr>
          <w:rFonts w:ascii="Arial" w:eastAsia="Arial" w:hAnsi="Arial" w:cs="Arial"/>
          <w:sz w:val="19"/>
          <w:szCs w:val="19"/>
        </w:rPr>
        <w:t xml:space="preserve"> principio está entonces directamente relacionado con los de economía, eficacia, racionalidad de la intervención estatal y libre concurrencia. De un lado, se relaciona con los principios de economía y eficacia (artículo 209 superior) y racionalidad de la intervención estatal (artículo 334 superior), pues los estudios previos no son solamente necesarios para la adecuada ejecución del contrato -en términos de calidad y tiempo, sino también para evitar mayores costos a la administración fruto de modificaciones sobrevinientes imputables a la entidad y que redunden en una obligación de restablecer el equilibrio económico del contrato sin posibilidad de negociación de los precios. Ciertamente, los estudios previos determinan el retorno que pueden esperar los inversionistas, el cual, si no es obtenido por causas imputables al Estado en el marco del esquema de distribución de riesgos, puede llevar a condenas judiciales o a la necesidad de renegociaciones a favor del contratista.</w:t>
      </w:r>
    </w:p>
    <w:p w14:paraId="2956268F" w14:textId="77777777" w:rsidR="000E5D20" w:rsidRPr="003D2638" w:rsidRDefault="000E5D20" w:rsidP="000E5D20">
      <w:pPr>
        <w:pBdr>
          <w:top w:val="nil"/>
          <w:left w:val="nil"/>
          <w:bottom w:val="nil"/>
          <w:right w:val="nil"/>
          <w:between w:val="nil"/>
        </w:pBdr>
        <w:ind w:firstLine="608"/>
        <w:jc w:val="both"/>
        <w:rPr>
          <w:rFonts w:ascii="Arial" w:hAnsi="Arial" w:cs="Arial"/>
          <w:sz w:val="19"/>
          <w:szCs w:val="19"/>
        </w:rPr>
      </w:pPr>
      <w:r w:rsidRPr="003D2638">
        <w:rPr>
          <w:rFonts w:ascii="Arial" w:eastAsia="Arial" w:hAnsi="Arial" w:cs="Arial"/>
          <w:sz w:val="19"/>
          <w:szCs w:val="19"/>
        </w:rPr>
        <w:t xml:space="preserve">»De otro lado, se relaciona con el principio de libre concurrencia –manifestación de los principios constitucionales de libre competencia e igualdad, ya que permite que cualquier interesado con posibilidad de presentar una buena oferta según la información disponible, pueda participar en el respectivo proceso de selección; si la información fruto de la etapa precontractual es lejana a la realidad del negocio, posibles oferentes se abstendrán de presentar propuestas, en perjuicio de la libre competencia, y de la posibilidad de la entidad de acceder a ofertas más favorables. En este punto, vale la pena recordar </w:t>
      </w:r>
      <w:proofErr w:type="gramStart"/>
      <w:r w:rsidRPr="003D2638">
        <w:rPr>
          <w:rFonts w:ascii="Arial" w:eastAsia="Arial" w:hAnsi="Arial" w:cs="Arial"/>
          <w:sz w:val="19"/>
          <w:szCs w:val="19"/>
        </w:rPr>
        <w:t>que</w:t>
      </w:r>
      <w:proofErr w:type="gramEnd"/>
      <w:r w:rsidRPr="003D2638">
        <w:rPr>
          <w:rFonts w:ascii="Arial" w:eastAsia="Arial" w:hAnsi="Arial" w:cs="Arial"/>
          <w:sz w:val="19"/>
          <w:szCs w:val="19"/>
        </w:rPr>
        <w:t xml:space="preserve"> en los contratos de concesión, usualmente el concesionario acude a la financiación de terceros (por medio de créditos, venta de títulos, etc.), razón por la cual es indispensable contar con una imagen lo más cercana a la realidad de las dimensiones del negocio, con el fin de que los inversionistas lleven a cabo el respectivo análisis costo-beneficio y tomen decisiones sobre si participan o no en el proyecto. Sin esta información, las decisiones de financiación no podrán basarse en una previsión real de cómo obtener la mayor cantidad de servicios por el dinero invertido, elemento determinante de las decisiones de participación».</w:t>
      </w:r>
    </w:p>
  </w:footnote>
  <w:footnote w:id="13">
    <w:p w14:paraId="69120D18" w14:textId="77777777" w:rsidR="000E5D20" w:rsidRPr="003D2638" w:rsidRDefault="000E5D20" w:rsidP="000E5D20">
      <w:pPr>
        <w:ind w:firstLine="608"/>
        <w:jc w:val="both"/>
        <w:rPr>
          <w:rFonts w:ascii="Arial" w:eastAsia="Arial" w:hAnsi="Arial" w:cs="Arial"/>
          <w:sz w:val="19"/>
          <w:szCs w:val="19"/>
        </w:rPr>
      </w:pPr>
      <w:r w:rsidRPr="003D2638">
        <w:rPr>
          <w:rStyle w:val="Refdenotaalpie"/>
          <w:rFonts w:ascii="Arial" w:hAnsi="Arial" w:cs="Arial"/>
          <w:sz w:val="19"/>
          <w:szCs w:val="19"/>
        </w:rPr>
        <w:footnoteRef/>
      </w:r>
      <w:r w:rsidRPr="003D2638">
        <w:rPr>
          <w:rFonts w:ascii="Arial" w:hAnsi="Arial" w:cs="Arial"/>
          <w:sz w:val="19"/>
          <w:szCs w:val="19"/>
        </w:rPr>
        <w:t xml:space="preserve"> </w:t>
      </w:r>
      <w:r w:rsidRPr="003D2638">
        <w:rPr>
          <w:rFonts w:ascii="Arial" w:eastAsia="Arial" w:hAnsi="Arial" w:cs="Arial"/>
          <w:sz w:val="19"/>
          <w:szCs w:val="19"/>
        </w:rPr>
        <w:t>Similar excepción se establece en el artículo 2.2.1.2.1.4.2. del Decreto 1082 de 2015, donde se señala que cuando la causal de contratación directa sea la urgencia manifiesta, el acto administrativo que la declare hará las veces del acto ad</w:t>
      </w:r>
      <w:r w:rsidRPr="003D2638">
        <w:rPr>
          <w:rFonts w:ascii="Arial" w:eastAsia="Arial" w:hAnsi="Arial" w:cs="Arial"/>
          <w:sz w:val="19"/>
          <w:szCs w:val="19"/>
        </w:rPr>
        <w:softHyphen/>
        <w:t>ministrativo de justificación.</w:t>
      </w:r>
    </w:p>
  </w:footnote>
  <w:footnote w:id="14">
    <w:p w14:paraId="748D470E" w14:textId="77777777" w:rsidR="000E5D20" w:rsidRPr="003D2638" w:rsidRDefault="000E5D20" w:rsidP="000E5D20">
      <w:pPr>
        <w:ind w:firstLine="608"/>
        <w:jc w:val="both"/>
        <w:rPr>
          <w:rFonts w:ascii="Arial" w:hAnsi="Arial" w:cs="Arial"/>
          <w:sz w:val="19"/>
          <w:szCs w:val="19"/>
        </w:rPr>
      </w:pPr>
      <w:r w:rsidRPr="003D2638">
        <w:rPr>
          <w:rFonts w:ascii="Arial" w:eastAsia="Arial" w:hAnsi="Arial" w:cs="Arial"/>
          <w:sz w:val="19"/>
          <w:szCs w:val="19"/>
          <w:vertAlign w:val="superscript"/>
        </w:rPr>
        <w:footnoteRef/>
      </w:r>
      <w:r w:rsidRPr="003D2638">
        <w:rPr>
          <w:rFonts w:ascii="Arial" w:eastAsia="Arial" w:hAnsi="Arial" w:cs="Arial"/>
          <w:sz w:val="19"/>
          <w:szCs w:val="19"/>
        </w:rPr>
        <w:t xml:space="preserve"> Consejo de Estado. Sección Tercera. Subsección A. Sentencia del 24 de mayo de 2018, Rad. </w:t>
      </w:r>
      <w:r w:rsidRPr="003D2638">
        <w:rPr>
          <w:rFonts w:ascii="Arial" w:eastAsia="Arial" w:hAnsi="Arial" w:cs="Arial"/>
          <w:sz w:val="19"/>
          <w:szCs w:val="19"/>
          <w:highlight w:val="white"/>
        </w:rPr>
        <w:t>11001-03-26-000-2014-00035-00 (50222).</w:t>
      </w:r>
    </w:p>
    <w:p w14:paraId="6AEBCF28" w14:textId="77777777" w:rsidR="000E5D20" w:rsidRPr="003D2638" w:rsidRDefault="000E5D20" w:rsidP="000E5D20">
      <w:pPr>
        <w:pBdr>
          <w:top w:val="nil"/>
          <w:left w:val="nil"/>
          <w:bottom w:val="nil"/>
          <w:right w:val="nil"/>
          <w:between w:val="nil"/>
        </w:pBdr>
        <w:jc w:val="both"/>
        <w:rPr>
          <w:rFonts w:ascii="Arial" w:hAnsi="Arial" w:cs="Arial"/>
          <w:sz w:val="19"/>
          <w:szCs w:val="19"/>
        </w:rPr>
      </w:pPr>
    </w:p>
  </w:footnote>
  <w:footnote w:id="15">
    <w:p w14:paraId="73772119" w14:textId="77777777" w:rsidR="000E5D20" w:rsidRPr="003D2638" w:rsidRDefault="000E5D20" w:rsidP="000E5D20">
      <w:pPr>
        <w:ind w:firstLine="708"/>
        <w:jc w:val="both"/>
        <w:rPr>
          <w:rFonts w:ascii="Arial" w:eastAsia="Arial" w:hAnsi="Arial" w:cs="Arial"/>
          <w:sz w:val="19"/>
          <w:szCs w:val="19"/>
        </w:rPr>
      </w:pPr>
      <w:r w:rsidRPr="003D2638">
        <w:rPr>
          <w:rFonts w:ascii="Arial" w:hAnsi="Arial" w:cs="Arial"/>
          <w:sz w:val="19"/>
          <w:szCs w:val="19"/>
          <w:vertAlign w:val="superscript"/>
        </w:rPr>
        <w:footnoteRef/>
      </w:r>
      <w:r w:rsidRPr="003D2638">
        <w:rPr>
          <w:rFonts w:ascii="Arial" w:eastAsia="Arial" w:hAnsi="Arial" w:cs="Arial"/>
          <w:sz w:val="19"/>
          <w:szCs w:val="19"/>
        </w:rPr>
        <w:t xml:space="preserve"> Consejo de Estado. Sección Tercera. Sentencia del 7 de marzo de 2011. Rad. </w:t>
      </w:r>
      <w:r w:rsidRPr="003D2638">
        <w:rPr>
          <w:rFonts w:ascii="Arial" w:eastAsia="Arial" w:hAnsi="Arial" w:cs="Arial"/>
          <w:sz w:val="19"/>
          <w:szCs w:val="19"/>
          <w:highlight w:val="white"/>
        </w:rPr>
        <w:t>10010326000200900070. M.P. Enrique Gil Botero, en esta providencia se dijo: «Pues bien, </w:t>
      </w:r>
      <w:r w:rsidRPr="003D2638">
        <w:rPr>
          <w:rFonts w:ascii="Arial" w:eastAsia="Arial" w:hAnsi="Arial" w:cs="Arial"/>
          <w:sz w:val="19"/>
          <w:szCs w:val="19"/>
        </w:rPr>
        <w:t>motu proprio,</w:t>
      </w:r>
      <w:r w:rsidRPr="003D2638">
        <w:rPr>
          <w:rFonts w:ascii="Arial" w:eastAsia="Arial" w:hAnsi="Arial" w:cs="Arial"/>
          <w:sz w:val="19"/>
          <w:szCs w:val="19"/>
          <w:highlight w:val="white"/>
        </w:rPr>
        <w:t> el reglamento —Decreto 2474— estableció un requisito para la contratación directa, que guarda alguna relación, pero sólo aparente, con la apertura del proceso. Se dice aparente, porque técnicamente no es lo mismo. Se trata del “acto administrativo de justificación de la contratación directa”. Y no se trata de un acto de apertura, porque técnicamente no existe esa etapa ni en la ley ni en el reglamento. Pero sí está claro que la ley exigió justificar por qué se hace uso de esa modalidad de selección»</w:t>
      </w:r>
    </w:p>
  </w:footnote>
  <w:footnote w:id="16">
    <w:p w14:paraId="3C3DA7C1" w14:textId="77777777" w:rsidR="000E5D20" w:rsidRPr="003D2638" w:rsidRDefault="000E5D20" w:rsidP="000E5D20">
      <w:pPr>
        <w:pBdr>
          <w:top w:val="nil"/>
          <w:left w:val="nil"/>
          <w:bottom w:val="nil"/>
          <w:right w:val="nil"/>
          <w:between w:val="nil"/>
        </w:pBdr>
        <w:ind w:firstLine="708"/>
        <w:jc w:val="both"/>
        <w:rPr>
          <w:rFonts w:ascii="Arial" w:hAnsi="Arial" w:cs="Arial"/>
          <w:sz w:val="19"/>
          <w:szCs w:val="19"/>
        </w:rPr>
      </w:pPr>
      <w:r w:rsidRPr="003D2638">
        <w:rPr>
          <w:rFonts w:ascii="Arial" w:hAnsi="Arial" w:cs="Arial"/>
          <w:sz w:val="19"/>
          <w:szCs w:val="19"/>
          <w:vertAlign w:val="superscript"/>
        </w:rPr>
        <w:footnoteRef/>
      </w:r>
      <w:r w:rsidRPr="003D2638">
        <w:rPr>
          <w:rFonts w:ascii="Arial" w:eastAsia="Arial" w:hAnsi="Arial" w:cs="Arial"/>
          <w:sz w:val="19"/>
          <w:szCs w:val="19"/>
        </w:rPr>
        <w:t xml:space="preserve"> Consejo de Estado, Sección Tercera, Auto 2014-00035 del 14 de mayo de 2014, M.P. Mauricio Fajardo Gómez. </w:t>
      </w:r>
    </w:p>
  </w:footnote>
  <w:footnote w:id="17">
    <w:p w14:paraId="245971B4" w14:textId="77777777" w:rsidR="000E5D20" w:rsidRPr="003D2638" w:rsidRDefault="000E5D20" w:rsidP="000E5D20">
      <w:pPr>
        <w:pBdr>
          <w:top w:val="nil"/>
          <w:left w:val="nil"/>
          <w:bottom w:val="nil"/>
          <w:right w:val="nil"/>
          <w:between w:val="nil"/>
        </w:pBdr>
        <w:ind w:firstLine="709"/>
        <w:jc w:val="both"/>
        <w:rPr>
          <w:rFonts w:ascii="Arial" w:eastAsia="Arial" w:hAnsi="Arial" w:cs="Arial"/>
          <w:sz w:val="19"/>
          <w:szCs w:val="19"/>
        </w:rPr>
      </w:pPr>
      <w:r w:rsidRPr="003D2638">
        <w:rPr>
          <w:rFonts w:ascii="Arial" w:hAnsi="Arial" w:cs="Arial"/>
          <w:sz w:val="19"/>
          <w:szCs w:val="19"/>
          <w:vertAlign w:val="superscript"/>
        </w:rPr>
        <w:footnoteRef/>
      </w:r>
      <w:r w:rsidRPr="003D2638">
        <w:rPr>
          <w:rFonts w:ascii="Arial" w:eastAsia="Arial" w:hAnsi="Arial" w:cs="Arial"/>
          <w:sz w:val="19"/>
          <w:szCs w:val="19"/>
        </w:rPr>
        <w:t xml:space="preserve"> Artículos 2 al 29.</w:t>
      </w:r>
    </w:p>
    <w:p w14:paraId="166BD106" w14:textId="77777777" w:rsidR="000E5D20" w:rsidRPr="003D2638" w:rsidRDefault="000E5D20" w:rsidP="000E5D20">
      <w:pPr>
        <w:pBdr>
          <w:top w:val="nil"/>
          <w:left w:val="nil"/>
          <w:bottom w:val="nil"/>
          <w:right w:val="nil"/>
          <w:between w:val="nil"/>
        </w:pBdr>
        <w:ind w:firstLine="709"/>
        <w:jc w:val="both"/>
        <w:rPr>
          <w:rFonts w:ascii="Arial" w:eastAsia="Arial" w:hAnsi="Arial" w:cs="Arial"/>
          <w:sz w:val="19"/>
          <w:szCs w:val="19"/>
        </w:rPr>
      </w:pPr>
    </w:p>
  </w:footnote>
  <w:footnote w:id="18">
    <w:p w14:paraId="413E835C" w14:textId="77777777" w:rsidR="000E5D20" w:rsidRPr="003D2638" w:rsidRDefault="000E5D20" w:rsidP="000E5D20">
      <w:pPr>
        <w:pBdr>
          <w:top w:val="nil"/>
          <w:left w:val="nil"/>
          <w:bottom w:val="nil"/>
          <w:right w:val="nil"/>
          <w:between w:val="nil"/>
        </w:pBdr>
        <w:ind w:firstLine="709"/>
        <w:jc w:val="both"/>
        <w:rPr>
          <w:rFonts w:ascii="Arial" w:eastAsia="Arial" w:hAnsi="Arial" w:cs="Arial"/>
          <w:sz w:val="19"/>
          <w:szCs w:val="19"/>
        </w:rPr>
      </w:pPr>
      <w:r w:rsidRPr="003D2638">
        <w:rPr>
          <w:rFonts w:ascii="Arial" w:hAnsi="Arial" w:cs="Arial"/>
          <w:sz w:val="19"/>
          <w:szCs w:val="19"/>
          <w:vertAlign w:val="superscript"/>
        </w:rPr>
        <w:footnoteRef/>
      </w:r>
      <w:r w:rsidRPr="003D2638">
        <w:rPr>
          <w:rFonts w:ascii="Arial" w:eastAsia="Arial" w:hAnsi="Arial" w:cs="Arial"/>
          <w:sz w:val="19"/>
          <w:szCs w:val="19"/>
        </w:rPr>
        <w:t xml:space="preserve"> Artículos 30 al 36.</w:t>
      </w:r>
    </w:p>
    <w:p w14:paraId="16423265" w14:textId="77777777" w:rsidR="000E5D20" w:rsidRPr="003D2638" w:rsidRDefault="000E5D20" w:rsidP="000E5D20">
      <w:pPr>
        <w:pBdr>
          <w:top w:val="nil"/>
          <w:left w:val="nil"/>
          <w:bottom w:val="nil"/>
          <w:right w:val="nil"/>
          <w:between w:val="nil"/>
        </w:pBdr>
        <w:ind w:firstLine="709"/>
        <w:jc w:val="both"/>
        <w:rPr>
          <w:rFonts w:ascii="Arial" w:eastAsia="Arial" w:hAnsi="Arial" w:cs="Arial"/>
          <w:sz w:val="19"/>
          <w:szCs w:val="19"/>
        </w:rPr>
      </w:pPr>
    </w:p>
  </w:footnote>
  <w:footnote w:id="19">
    <w:p w14:paraId="04941B98" w14:textId="77777777" w:rsidR="000E5D20" w:rsidRPr="003D2638" w:rsidRDefault="000E5D20" w:rsidP="000E5D20">
      <w:pPr>
        <w:pBdr>
          <w:top w:val="nil"/>
          <w:left w:val="nil"/>
          <w:bottom w:val="nil"/>
          <w:right w:val="nil"/>
          <w:between w:val="nil"/>
        </w:pBdr>
        <w:ind w:firstLine="709"/>
        <w:jc w:val="both"/>
        <w:rPr>
          <w:rFonts w:ascii="Arial" w:eastAsia="Arial" w:hAnsi="Arial" w:cs="Arial"/>
          <w:sz w:val="19"/>
          <w:szCs w:val="19"/>
        </w:rPr>
      </w:pPr>
      <w:r w:rsidRPr="003D2638">
        <w:rPr>
          <w:rFonts w:ascii="Arial" w:hAnsi="Arial" w:cs="Arial"/>
          <w:sz w:val="19"/>
          <w:szCs w:val="19"/>
          <w:vertAlign w:val="superscript"/>
        </w:rPr>
        <w:footnoteRef/>
      </w:r>
      <w:r w:rsidRPr="003D2638">
        <w:rPr>
          <w:rFonts w:ascii="Arial" w:eastAsia="Arial" w:hAnsi="Arial" w:cs="Arial"/>
          <w:sz w:val="19"/>
          <w:szCs w:val="19"/>
        </w:rPr>
        <w:t xml:space="preserve"> Artículos 37 al 45.</w:t>
      </w:r>
    </w:p>
    <w:p w14:paraId="40F353F6" w14:textId="77777777" w:rsidR="000E5D20" w:rsidRPr="003D2638" w:rsidRDefault="000E5D20" w:rsidP="000E5D20">
      <w:pPr>
        <w:pBdr>
          <w:top w:val="nil"/>
          <w:left w:val="nil"/>
          <w:bottom w:val="nil"/>
          <w:right w:val="nil"/>
          <w:between w:val="nil"/>
        </w:pBdr>
        <w:ind w:firstLine="709"/>
        <w:jc w:val="both"/>
        <w:rPr>
          <w:rFonts w:ascii="Arial" w:eastAsia="Arial" w:hAnsi="Arial" w:cs="Arial"/>
          <w:sz w:val="19"/>
          <w:szCs w:val="19"/>
        </w:rPr>
      </w:pPr>
    </w:p>
  </w:footnote>
  <w:footnote w:id="20">
    <w:p w14:paraId="51E8D19E" w14:textId="77777777" w:rsidR="000E5D20" w:rsidRPr="003D2638" w:rsidRDefault="000E5D20" w:rsidP="000E5D20">
      <w:pPr>
        <w:pBdr>
          <w:top w:val="nil"/>
          <w:left w:val="nil"/>
          <w:bottom w:val="nil"/>
          <w:right w:val="nil"/>
          <w:between w:val="nil"/>
        </w:pBdr>
        <w:ind w:firstLine="709"/>
        <w:jc w:val="both"/>
        <w:rPr>
          <w:rFonts w:ascii="Arial" w:eastAsia="Arial" w:hAnsi="Arial" w:cs="Arial"/>
          <w:sz w:val="19"/>
          <w:szCs w:val="19"/>
        </w:rPr>
      </w:pPr>
      <w:r w:rsidRPr="003D2638">
        <w:rPr>
          <w:rFonts w:ascii="Arial" w:hAnsi="Arial" w:cs="Arial"/>
          <w:sz w:val="19"/>
          <w:szCs w:val="19"/>
          <w:vertAlign w:val="superscript"/>
        </w:rPr>
        <w:footnoteRef/>
      </w:r>
      <w:r w:rsidRPr="003D2638">
        <w:rPr>
          <w:rFonts w:ascii="Arial" w:eastAsia="Arial" w:hAnsi="Arial" w:cs="Arial"/>
          <w:sz w:val="19"/>
          <w:szCs w:val="19"/>
        </w:rPr>
        <w:t xml:space="preserve"> Artículos 46 al 73.</w:t>
      </w:r>
    </w:p>
    <w:p w14:paraId="6BBE7EA6" w14:textId="77777777" w:rsidR="000E5D20" w:rsidRPr="003D2638" w:rsidRDefault="000E5D20" w:rsidP="000E5D20">
      <w:pPr>
        <w:pBdr>
          <w:top w:val="nil"/>
          <w:left w:val="nil"/>
          <w:bottom w:val="nil"/>
          <w:right w:val="nil"/>
          <w:between w:val="nil"/>
        </w:pBdr>
        <w:ind w:firstLine="709"/>
        <w:jc w:val="both"/>
        <w:rPr>
          <w:rFonts w:ascii="Arial" w:eastAsia="Arial" w:hAnsi="Arial" w:cs="Arial"/>
          <w:sz w:val="19"/>
          <w:szCs w:val="19"/>
        </w:rPr>
      </w:pPr>
    </w:p>
  </w:footnote>
  <w:footnote w:id="21">
    <w:p w14:paraId="060DA7DC" w14:textId="77777777" w:rsidR="000E5D20" w:rsidRPr="003D2638" w:rsidRDefault="000E5D20" w:rsidP="000E5D20">
      <w:pPr>
        <w:pBdr>
          <w:top w:val="nil"/>
          <w:left w:val="nil"/>
          <w:bottom w:val="nil"/>
          <w:right w:val="nil"/>
          <w:between w:val="nil"/>
        </w:pBdr>
        <w:ind w:firstLine="709"/>
        <w:jc w:val="both"/>
        <w:rPr>
          <w:rFonts w:ascii="Arial" w:eastAsia="Arial" w:hAnsi="Arial" w:cs="Arial"/>
          <w:sz w:val="19"/>
          <w:szCs w:val="19"/>
        </w:rPr>
      </w:pPr>
      <w:r w:rsidRPr="003D2638">
        <w:rPr>
          <w:rFonts w:ascii="Arial" w:hAnsi="Arial" w:cs="Arial"/>
          <w:sz w:val="19"/>
          <w:szCs w:val="19"/>
          <w:vertAlign w:val="superscript"/>
        </w:rPr>
        <w:footnoteRef/>
      </w:r>
      <w:r w:rsidRPr="003D2638">
        <w:rPr>
          <w:rFonts w:ascii="Arial" w:eastAsia="Arial" w:hAnsi="Arial" w:cs="Arial"/>
          <w:sz w:val="19"/>
          <w:szCs w:val="19"/>
        </w:rPr>
        <w:t xml:space="preserve"> Artículos 74 al 83.</w:t>
      </w:r>
    </w:p>
    <w:p w14:paraId="54ED58A5" w14:textId="77777777" w:rsidR="000E5D20" w:rsidRPr="003D2638" w:rsidRDefault="000E5D20" w:rsidP="000E5D20">
      <w:pPr>
        <w:pBdr>
          <w:top w:val="nil"/>
          <w:left w:val="nil"/>
          <w:bottom w:val="nil"/>
          <w:right w:val="nil"/>
          <w:between w:val="nil"/>
        </w:pBdr>
        <w:ind w:firstLine="709"/>
        <w:jc w:val="both"/>
        <w:rPr>
          <w:rFonts w:ascii="Arial" w:eastAsia="Arial" w:hAnsi="Arial" w:cs="Arial"/>
          <w:sz w:val="19"/>
          <w:szCs w:val="19"/>
        </w:rPr>
      </w:pPr>
    </w:p>
  </w:footnote>
  <w:footnote w:id="22">
    <w:p w14:paraId="306E94D9" w14:textId="77777777" w:rsidR="000E5D20" w:rsidRPr="003D2638" w:rsidRDefault="000E5D20" w:rsidP="000E5D20">
      <w:pPr>
        <w:pBdr>
          <w:top w:val="nil"/>
          <w:left w:val="nil"/>
          <w:bottom w:val="nil"/>
          <w:right w:val="nil"/>
          <w:between w:val="nil"/>
        </w:pBdr>
        <w:ind w:firstLine="709"/>
        <w:jc w:val="both"/>
        <w:rPr>
          <w:rFonts w:ascii="Arial" w:eastAsia="Arial" w:hAnsi="Arial" w:cs="Arial"/>
          <w:sz w:val="19"/>
          <w:szCs w:val="19"/>
        </w:rPr>
      </w:pPr>
      <w:r w:rsidRPr="003D2638">
        <w:rPr>
          <w:rFonts w:ascii="Arial" w:hAnsi="Arial" w:cs="Arial"/>
          <w:sz w:val="19"/>
          <w:szCs w:val="19"/>
          <w:vertAlign w:val="superscript"/>
        </w:rPr>
        <w:footnoteRef/>
      </w:r>
      <w:r w:rsidRPr="003D2638">
        <w:rPr>
          <w:rFonts w:ascii="Arial" w:eastAsia="Arial" w:hAnsi="Arial" w:cs="Arial"/>
          <w:sz w:val="19"/>
          <w:szCs w:val="19"/>
        </w:rPr>
        <w:t xml:space="preserve"> Esta política se justifica en la medida que: “Cuando una empresa decide ser formal se generan beneficios para la sociedad más allá de los que la empresa recibe (externalidades positivas). Estos beneficios […] incluyen la inserción de más trabajadores al sistema de aseguramiento social, un mayor cumplimiento de las normas sectoriales que buscan proteger la salud de los consumidores y mayores ingresos tributarios para la inversión pública. De igual manera, cuando una empresa decide ser informal, su decisión genera costos para la sociedad más allá de los asumidos por la empresa (externalidades negativas). Algunos de estos son competencia desleal con empresas formales, ya que estas últimas asumen costos adicionales (por ejemplo, pago de registros, seguridad social e impuestos), y el aumento de la corrupción porque, en ocasiones, la manera en que empresas informales evaden el control de los requisitos de formalidad es vía pagos ilegales” (Cfr. CONSEJO NACIONAL DE POLÍTICA ECONÓMICA Y SOCIAL. Documento 3956 del 8 de enero de 2019: “Política de formalización empresarial”. Archivo consultado el 8 de febrero de 2021 en la página web </w:t>
      </w:r>
      <w:hyperlink r:id="rId5">
        <w:r w:rsidRPr="003D2638">
          <w:rPr>
            <w:rFonts w:ascii="Arial" w:eastAsia="Arial" w:hAnsi="Arial" w:cs="Arial"/>
            <w:sz w:val="19"/>
            <w:szCs w:val="19"/>
            <w:u w:val="single"/>
          </w:rPr>
          <w:t>https://colaboracion.dnp.gov.co/CDT/Conpes/Econ%C3%B3micos/3956.pdf</w:t>
        </w:r>
      </w:hyperlink>
      <w:r w:rsidRPr="003D2638">
        <w:rPr>
          <w:rFonts w:ascii="Arial" w:eastAsia="Arial" w:hAnsi="Arial" w:cs="Arial"/>
          <w:sz w:val="19"/>
          <w:szCs w:val="19"/>
        </w:rPr>
        <w:t xml:space="preserve">). </w:t>
      </w:r>
    </w:p>
    <w:p w14:paraId="1D5119AF" w14:textId="77777777" w:rsidR="000E5D20" w:rsidRPr="003D2638" w:rsidRDefault="000E5D20" w:rsidP="000E5D20">
      <w:pPr>
        <w:pBdr>
          <w:top w:val="nil"/>
          <w:left w:val="nil"/>
          <w:bottom w:val="nil"/>
          <w:right w:val="nil"/>
          <w:between w:val="nil"/>
        </w:pBdr>
        <w:ind w:firstLine="709"/>
        <w:jc w:val="both"/>
        <w:rPr>
          <w:rFonts w:ascii="Arial" w:eastAsia="Arial" w:hAnsi="Arial" w:cs="Arial"/>
          <w:sz w:val="19"/>
          <w:szCs w:val="19"/>
        </w:rPr>
      </w:pPr>
    </w:p>
  </w:footnote>
  <w:footnote w:id="23">
    <w:p w14:paraId="4B5301AD" w14:textId="77777777" w:rsidR="000E5D20" w:rsidRPr="003D2638" w:rsidRDefault="000E5D20" w:rsidP="000E5D20">
      <w:pPr>
        <w:pBdr>
          <w:top w:val="nil"/>
          <w:left w:val="nil"/>
          <w:bottom w:val="nil"/>
          <w:right w:val="nil"/>
          <w:between w:val="nil"/>
        </w:pBdr>
        <w:ind w:firstLine="709"/>
        <w:jc w:val="both"/>
        <w:rPr>
          <w:rFonts w:ascii="Arial" w:eastAsia="Arial" w:hAnsi="Arial" w:cs="Arial"/>
          <w:sz w:val="19"/>
          <w:szCs w:val="19"/>
        </w:rPr>
      </w:pPr>
      <w:r w:rsidRPr="003D2638">
        <w:rPr>
          <w:rFonts w:ascii="Arial" w:hAnsi="Arial" w:cs="Arial"/>
          <w:sz w:val="19"/>
          <w:szCs w:val="19"/>
          <w:vertAlign w:val="superscript"/>
        </w:rPr>
        <w:footnoteRef/>
      </w:r>
      <w:r w:rsidRPr="003D2638">
        <w:rPr>
          <w:rFonts w:ascii="Arial" w:eastAsia="Arial" w:hAnsi="Arial" w:cs="Arial"/>
          <w:sz w:val="19"/>
          <w:szCs w:val="19"/>
        </w:rPr>
        <w:t xml:space="preserve"> CONGRESO DE LA REPÚBLICA. Gaceta No. 670 del 11 de agosto de 2020. Exposición de motivos del Proyecto de Ley No. 122 de 2020 Cámara. p. 13. </w:t>
      </w:r>
    </w:p>
    <w:p w14:paraId="4A741F0A" w14:textId="77777777" w:rsidR="000E5D20" w:rsidRPr="003D2638" w:rsidRDefault="000E5D20" w:rsidP="000E5D20">
      <w:pPr>
        <w:pBdr>
          <w:top w:val="nil"/>
          <w:left w:val="nil"/>
          <w:bottom w:val="nil"/>
          <w:right w:val="nil"/>
          <w:between w:val="nil"/>
        </w:pBdr>
        <w:ind w:firstLine="709"/>
        <w:jc w:val="both"/>
        <w:rPr>
          <w:rFonts w:ascii="Arial" w:eastAsia="Arial" w:hAnsi="Arial" w:cs="Arial"/>
          <w:sz w:val="19"/>
          <w:szCs w:val="19"/>
        </w:rPr>
      </w:pPr>
    </w:p>
  </w:footnote>
  <w:footnote w:id="24">
    <w:p w14:paraId="63D7B0A0" w14:textId="77777777" w:rsidR="000E5D20" w:rsidRPr="003D2638" w:rsidRDefault="000E5D20" w:rsidP="000E5D20">
      <w:pPr>
        <w:pStyle w:val="Textonotapie"/>
        <w:ind w:firstLine="708"/>
        <w:jc w:val="both"/>
        <w:rPr>
          <w:rFonts w:ascii="Arial" w:hAnsi="Arial" w:cs="Arial"/>
          <w:sz w:val="19"/>
          <w:szCs w:val="19"/>
        </w:rPr>
      </w:pPr>
      <w:bookmarkStart w:id="14" w:name="1t3h5sf" w:colFirst="0" w:colLast="0"/>
      <w:bookmarkEnd w:id="14"/>
      <w:r w:rsidRPr="003D2638">
        <w:rPr>
          <w:rStyle w:val="Refdenotaalpie"/>
          <w:rFonts w:ascii="Arial" w:hAnsi="Arial" w:cs="Arial"/>
          <w:sz w:val="19"/>
          <w:szCs w:val="19"/>
        </w:rPr>
        <w:footnoteRef/>
      </w:r>
      <w:r w:rsidRPr="003D2638">
        <w:rPr>
          <w:rFonts w:ascii="Arial" w:hAnsi="Arial" w:cs="Arial"/>
          <w:sz w:val="19"/>
          <w:szCs w:val="19"/>
        </w:rPr>
        <w:t xml:space="preserve"> “Artículo 2.2.1.2.4.2.2. </w:t>
      </w:r>
      <w:proofErr w:type="spellStart"/>
      <w:r w:rsidRPr="003D2638">
        <w:rPr>
          <w:rFonts w:ascii="Arial" w:hAnsi="Arial" w:cs="Arial"/>
          <w:sz w:val="19"/>
          <w:szCs w:val="19"/>
        </w:rPr>
        <w:t>Convocatorías</w:t>
      </w:r>
      <w:proofErr w:type="spellEnd"/>
      <w:r w:rsidRPr="003D2638">
        <w:rPr>
          <w:rFonts w:ascii="Arial" w:hAnsi="Arial" w:cs="Arial"/>
          <w:sz w:val="19"/>
          <w:szCs w:val="19"/>
        </w:rPr>
        <w:t xml:space="preserve"> </w:t>
      </w:r>
      <w:proofErr w:type="spellStart"/>
      <w:r w:rsidRPr="003D2638">
        <w:rPr>
          <w:rFonts w:ascii="Arial" w:hAnsi="Arial" w:cs="Arial"/>
          <w:sz w:val="19"/>
          <w:szCs w:val="19"/>
        </w:rPr>
        <w:t>Iímítadas</w:t>
      </w:r>
      <w:proofErr w:type="spellEnd"/>
      <w:r w:rsidRPr="003D2638">
        <w:rPr>
          <w:rFonts w:ascii="Arial" w:hAnsi="Arial" w:cs="Arial"/>
          <w:sz w:val="19"/>
          <w:szCs w:val="19"/>
        </w:rPr>
        <w:t xml:space="preserve"> a </w:t>
      </w:r>
      <w:proofErr w:type="spellStart"/>
      <w:r w:rsidRPr="003D2638">
        <w:rPr>
          <w:rFonts w:ascii="Arial" w:hAnsi="Arial" w:cs="Arial"/>
          <w:sz w:val="19"/>
          <w:szCs w:val="19"/>
        </w:rPr>
        <w:t>Mípyme</w:t>
      </w:r>
      <w:proofErr w:type="spellEnd"/>
      <w:r w:rsidRPr="003D2638">
        <w:rPr>
          <w:rFonts w:ascii="Arial" w:hAnsi="Arial" w:cs="Arial"/>
          <w:sz w:val="19"/>
          <w:szCs w:val="19"/>
        </w:rPr>
        <w:t xml:space="preserv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w:t>
      </w:r>
      <w:proofErr w:type="spellStart"/>
      <w:r w:rsidRPr="003D2638">
        <w:rPr>
          <w:rFonts w:ascii="Arial" w:hAnsi="Arial" w:cs="Arial"/>
          <w:sz w:val="19"/>
          <w:szCs w:val="19"/>
        </w:rPr>
        <w:t>Mipyme</w:t>
      </w:r>
      <w:proofErr w:type="spellEnd"/>
      <w:r w:rsidRPr="003D2638">
        <w:rPr>
          <w:rFonts w:ascii="Arial" w:hAnsi="Arial" w:cs="Arial"/>
          <w:sz w:val="19"/>
          <w:szCs w:val="19"/>
        </w:rPr>
        <w:t xml:space="preserve"> colombianas con mínimo un (1) año de existencia, cuando concurran los siguientes requisitos:</w:t>
      </w:r>
    </w:p>
    <w:p w14:paraId="649FDCD7" w14:textId="77777777" w:rsidR="000E5D20" w:rsidRPr="003D2638" w:rsidRDefault="000E5D20" w:rsidP="000E5D20">
      <w:pPr>
        <w:pStyle w:val="Textonotapie"/>
        <w:ind w:firstLine="708"/>
        <w:jc w:val="both"/>
        <w:rPr>
          <w:rFonts w:ascii="Arial" w:hAnsi="Arial" w:cs="Arial"/>
          <w:sz w:val="19"/>
          <w:szCs w:val="19"/>
        </w:rPr>
      </w:pPr>
      <w:r w:rsidRPr="003D2638">
        <w:rPr>
          <w:rFonts w:ascii="Arial" w:hAnsi="Arial" w:cs="Arial"/>
          <w:sz w:val="19"/>
          <w:szCs w:val="19"/>
        </w:rPr>
        <w:t>1. El valor del Proceso de Contratación sea menor a ciento veinticinco mil dólares de los Estados Unidos de América (US$125.000), liquidados con la tasa de cambio que para el efecto determina cada dos años el Ministerio de Comercio, Industria y Turismo.</w:t>
      </w:r>
    </w:p>
    <w:p w14:paraId="63E80177" w14:textId="77777777" w:rsidR="000E5D20" w:rsidRPr="003D2638" w:rsidRDefault="000E5D20" w:rsidP="000E5D20">
      <w:pPr>
        <w:pStyle w:val="Textonotapie"/>
        <w:jc w:val="both"/>
        <w:rPr>
          <w:rFonts w:ascii="Arial" w:hAnsi="Arial" w:cs="Arial"/>
          <w:sz w:val="19"/>
          <w:szCs w:val="19"/>
        </w:rPr>
      </w:pPr>
      <w:r w:rsidRPr="003D2638">
        <w:rPr>
          <w:rFonts w:ascii="Arial" w:hAnsi="Arial" w:cs="Arial"/>
          <w:sz w:val="19"/>
          <w:szCs w:val="19"/>
        </w:rPr>
        <w:tab/>
        <w:t xml:space="preserve">2. Se hayan recibido solicitudes de por lo menos dos (2) </w:t>
      </w:r>
      <w:proofErr w:type="spellStart"/>
      <w:r w:rsidRPr="003D2638">
        <w:rPr>
          <w:rFonts w:ascii="Arial" w:hAnsi="Arial" w:cs="Arial"/>
          <w:sz w:val="19"/>
          <w:szCs w:val="19"/>
        </w:rPr>
        <w:t>Mipyme</w:t>
      </w:r>
      <w:proofErr w:type="spellEnd"/>
      <w:r w:rsidRPr="003D2638">
        <w:rPr>
          <w:rFonts w:ascii="Arial" w:hAnsi="Arial" w:cs="Arial"/>
          <w:sz w:val="19"/>
          <w:szCs w:val="19"/>
        </w:rPr>
        <w:t xml:space="preserve"> colombianas para limitar la convocatoria a </w:t>
      </w:r>
      <w:proofErr w:type="spellStart"/>
      <w:r w:rsidRPr="003D2638">
        <w:rPr>
          <w:rFonts w:ascii="Arial" w:hAnsi="Arial" w:cs="Arial"/>
          <w:sz w:val="19"/>
          <w:szCs w:val="19"/>
        </w:rPr>
        <w:t>Mipyme</w:t>
      </w:r>
      <w:proofErr w:type="spellEnd"/>
      <w:r w:rsidRPr="003D2638">
        <w:rPr>
          <w:rFonts w:ascii="Arial" w:hAnsi="Arial" w:cs="Arial"/>
          <w:sz w:val="19"/>
          <w:szCs w:val="19"/>
        </w:rPr>
        <w:t xml:space="preserv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w:t>
      </w:r>
    </w:p>
    <w:p w14:paraId="568D1882" w14:textId="77777777" w:rsidR="000E5D20" w:rsidRPr="003D2638" w:rsidRDefault="000E5D20" w:rsidP="000E5D20">
      <w:pPr>
        <w:pStyle w:val="Textonotapie"/>
        <w:ind w:firstLine="708"/>
        <w:jc w:val="both"/>
        <w:rPr>
          <w:rFonts w:ascii="Arial" w:hAnsi="Arial" w:cs="Arial"/>
          <w:sz w:val="19"/>
          <w:szCs w:val="19"/>
        </w:rPr>
      </w:pPr>
      <w:r w:rsidRPr="003D2638">
        <w:rPr>
          <w:rFonts w:ascii="Arial" w:hAnsi="Arial" w:cs="Arial"/>
          <w:sz w:val="19"/>
          <w:szCs w:val="19"/>
        </w:rPr>
        <w:t xml:space="preserve">Tratándose de personas jurídicas, las solicitudes solo las podrán realizar </w:t>
      </w:r>
      <w:proofErr w:type="spellStart"/>
      <w:r w:rsidRPr="003D2638">
        <w:rPr>
          <w:rFonts w:ascii="Arial" w:hAnsi="Arial" w:cs="Arial"/>
          <w:sz w:val="19"/>
          <w:szCs w:val="19"/>
        </w:rPr>
        <w:t>Mipyme</w:t>
      </w:r>
      <w:proofErr w:type="spellEnd"/>
      <w:r w:rsidRPr="003D2638">
        <w:rPr>
          <w:rFonts w:ascii="Arial" w:hAnsi="Arial" w:cs="Arial"/>
          <w:sz w:val="19"/>
          <w:szCs w:val="19"/>
        </w:rPr>
        <w:t>, cuyo objeto social les permita ejecutar el contrato relacionado con el proceso contractual.</w:t>
      </w:r>
    </w:p>
    <w:p w14:paraId="7DF20ABD" w14:textId="77777777" w:rsidR="000E5D20" w:rsidRPr="003D2638" w:rsidRDefault="000E5D20" w:rsidP="000E5D20">
      <w:pPr>
        <w:pStyle w:val="Textonotapie"/>
        <w:ind w:firstLine="708"/>
        <w:jc w:val="both"/>
        <w:rPr>
          <w:rFonts w:ascii="Arial" w:hAnsi="Arial" w:cs="Arial"/>
          <w:sz w:val="19"/>
          <w:szCs w:val="19"/>
        </w:rPr>
      </w:pPr>
      <w:r w:rsidRPr="003D2638">
        <w:rPr>
          <w:rFonts w:ascii="Arial" w:hAnsi="Arial" w:cs="Arial"/>
          <w:sz w:val="19"/>
          <w:szCs w:val="19"/>
        </w:rPr>
        <w:t xml:space="preserve">Parágrafo. Las cooperativas y demás entidades de economía solidaria, siempre que tengan la calidad de </w:t>
      </w:r>
      <w:proofErr w:type="spellStart"/>
      <w:r w:rsidRPr="003D2638">
        <w:rPr>
          <w:rFonts w:ascii="Arial" w:hAnsi="Arial" w:cs="Arial"/>
          <w:sz w:val="19"/>
          <w:szCs w:val="19"/>
        </w:rPr>
        <w:t>Mipyme</w:t>
      </w:r>
      <w:proofErr w:type="spellEnd"/>
      <w:r w:rsidRPr="003D2638">
        <w:rPr>
          <w:rFonts w:ascii="Arial" w:hAnsi="Arial" w:cs="Arial"/>
          <w:sz w:val="19"/>
          <w:szCs w:val="19"/>
        </w:rPr>
        <w:t>, podrán solicitar y participar en las convocatorias limitadas en las mismas condiciones dispuestas en el presente artículo”.</w:t>
      </w:r>
    </w:p>
  </w:footnote>
  <w:footnote w:id="25">
    <w:p w14:paraId="4992FADB" w14:textId="77777777" w:rsidR="000E5D20" w:rsidRPr="003D2638" w:rsidRDefault="000E5D20" w:rsidP="000E5D20">
      <w:pPr>
        <w:pStyle w:val="Textonotapie"/>
        <w:ind w:firstLine="708"/>
        <w:jc w:val="both"/>
        <w:rPr>
          <w:rFonts w:ascii="Arial" w:hAnsi="Arial" w:cs="Arial"/>
          <w:sz w:val="19"/>
          <w:szCs w:val="19"/>
        </w:rPr>
      </w:pPr>
    </w:p>
    <w:p w14:paraId="26AE89B0" w14:textId="77777777" w:rsidR="000E5D20" w:rsidRPr="003D2638" w:rsidRDefault="000E5D20" w:rsidP="000E5D20">
      <w:pPr>
        <w:pStyle w:val="Textonotapie"/>
        <w:ind w:firstLine="708"/>
        <w:jc w:val="both"/>
        <w:rPr>
          <w:rFonts w:ascii="Arial" w:hAnsi="Arial" w:cs="Arial"/>
          <w:sz w:val="19"/>
          <w:szCs w:val="19"/>
        </w:rPr>
      </w:pPr>
      <w:r w:rsidRPr="003D2638">
        <w:rPr>
          <w:rStyle w:val="Refdenotaalpie"/>
          <w:rFonts w:ascii="Arial" w:hAnsi="Arial" w:cs="Arial"/>
          <w:sz w:val="19"/>
          <w:szCs w:val="19"/>
        </w:rPr>
        <w:footnoteRef/>
      </w:r>
      <w:r w:rsidRPr="003D2638">
        <w:rPr>
          <w:rFonts w:ascii="Arial" w:hAnsi="Arial" w:cs="Arial"/>
          <w:sz w:val="19"/>
          <w:szCs w:val="19"/>
        </w:rPr>
        <w:t xml:space="preserve"> “Artículo 2.2.1.2.4.2.3. Limitaciones territoriales. De conformidad con el parágrafo 1 del artículo 12 de la Ley 1150 de 2007, las Entidades Estatales, independientemente de su régimen de contratación, los patrimonios autónomos constituidos por Entidades Estatales y los particulares que ejecuten recursos públicos, pueden realizar convocatorias limitadas a </w:t>
      </w:r>
      <w:proofErr w:type="spellStart"/>
      <w:r w:rsidRPr="003D2638">
        <w:rPr>
          <w:rFonts w:ascii="Arial" w:hAnsi="Arial" w:cs="Arial"/>
          <w:sz w:val="19"/>
          <w:szCs w:val="19"/>
        </w:rPr>
        <w:t>Mipyme</w:t>
      </w:r>
      <w:proofErr w:type="spellEnd"/>
      <w:r w:rsidRPr="003D2638">
        <w:rPr>
          <w:rFonts w:ascii="Arial" w:hAnsi="Arial" w:cs="Arial"/>
          <w:sz w:val="19"/>
          <w:szCs w:val="19"/>
        </w:rPr>
        <w:t xml:space="preserve"> colombianas que tengan domicilio en los departamentos o municipios en donde se va a ejecutar el contrato. Cada </w:t>
      </w:r>
      <w:proofErr w:type="spellStart"/>
      <w:r w:rsidRPr="003D2638">
        <w:rPr>
          <w:rFonts w:ascii="Arial" w:hAnsi="Arial" w:cs="Arial"/>
          <w:sz w:val="19"/>
          <w:szCs w:val="19"/>
        </w:rPr>
        <w:t>Mipyme</w:t>
      </w:r>
      <w:proofErr w:type="spellEnd"/>
      <w:r w:rsidRPr="003D2638">
        <w:rPr>
          <w:rFonts w:ascii="Arial" w:hAnsi="Arial" w:cs="Arial"/>
          <w:sz w:val="19"/>
          <w:szCs w:val="19"/>
        </w:rPr>
        <w:t xml:space="preserve"> deberá acreditar su domicilio con los documentos a los que se refiere el siguiente artículo”.</w:t>
      </w:r>
    </w:p>
    <w:p w14:paraId="10E4EE85" w14:textId="77777777" w:rsidR="000E5D20" w:rsidRPr="003D2638" w:rsidRDefault="000E5D20" w:rsidP="000E5D20">
      <w:pPr>
        <w:pStyle w:val="Textonotapie"/>
        <w:ind w:firstLine="708"/>
        <w:jc w:val="both"/>
        <w:rPr>
          <w:rFonts w:ascii="Arial" w:hAnsi="Arial" w:cs="Arial"/>
          <w:sz w:val="19"/>
          <w:szCs w:val="19"/>
        </w:rPr>
      </w:pPr>
    </w:p>
  </w:footnote>
  <w:footnote w:id="26">
    <w:p w14:paraId="399F2607" w14:textId="77777777" w:rsidR="000E5D20" w:rsidRPr="003D2638" w:rsidRDefault="000E5D20" w:rsidP="000E5D20">
      <w:pPr>
        <w:pStyle w:val="Textonotapie"/>
        <w:ind w:firstLine="708"/>
        <w:jc w:val="both"/>
        <w:rPr>
          <w:rFonts w:ascii="Arial" w:hAnsi="Arial" w:cs="Arial"/>
          <w:sz w:val="19"/>
          <w:szCs w:val="19"/>
        </w:rPr>
      </w:pPr>
      <w:r w:rsidRPr="003D2638">
        <w:rPr>
          <w:rStyle w:val="Refdenotaalpie"/>
          <w:rFonts w:ascii="Arial" w:hAnsi="Arial" w:cs="Arial"/>
          <w:sz w:val="19"/>
          <w:szCs w:val="19"/>
        </w:rPr>
        <w:footnoteRef/>
      </w:r>
      <w:r w:rsidRPr="003D2638">
        <w:rPr>
          <w:rFonts w:ascii="Arial" w:hAnsi="Arial" w:cs="Arial"/>
          <w:sz w:val="19"/>
          <w:szCs w:val="19"/>
        </w:rPr>
        <w:t xml:space="preserve"> “Artículo 2.2.1.2.4.2.4. Acreditación de requisitos para participar en convocatorias limitadas. La </w:t>
      </w:r>
      <w:proofErr w:type="spellStart"/>
      <w:r w:rsidRPr="003D2638">
        <w:rPr>
          <w:rFonts w:ascii="Arial" w:hAnsi="Arial" w:cs="Arial"/>
          <w:sz w:val="19"/>
          <w:szCs w:val="19"/>
        </w:rPr>
        <w:t>Mipyme</w:t>
      </w:r>
      <w:proofErr w:type="spellEnd"/>
      <w:r w:rsidRPr="003D2638">
        <w:rPr>
          <w:rFonts w:ascii="Arial" w:hAnsi="Arial" w:cs="Arial"/>
          <w:sz w:val="19"/>
          <w:szCs w:val="19"/>
        </w:rPr>
        <w:t xml:space="preserve"> colombianas deben acreditar que tiene el tamaño empresarial establecido por la ley de la siguiente manera:</w:t>
      </w:r>
    </w:p>
    <w:p w14:paraId="2982BFD9" w14:textId="77777777" w:rsidR="000E5D20" w:rsidRPr="003D2638" w:rsidRDefault="000E5D20" w:rsidP="000E5D20">
      <w:pPr>
        <w:pStyle w:val="Textonotapie"/>
        <w:ind w:firstLine="708"/>
        <w:jc w:val="both"/>
        <w:rPr>
          <w:rFonts w:ascii="Arial" w:hAnsi="Arial" w:cs="Arial"/>
          <w:sz w:val="19"/>
          <w:szCs w:val="19"/>
        </w:rPr>
      </w:pPr>
      <w:r w:rsidRPr="003D2638">
        <w:rPr>
          <w:rFonts w:ascii="Arial" w:hAnsi="Arial" w:cs="Arial"/>
          <w:sz w:val="19"/>
          <w:szCs w:val="19"/>
        </w:rPr>
        <w:t>1. Las personas naturales mediante certificación expedida por ellos y un contador público, adjuntando copia del registro mercantil.</w:t>
      </w:r>
    </w:p>
    <w:p w14:paraId="1806B17D" w14:textId="77777777" w:rsidR="000E5D20" w:rsidRPr="003D2638" w:rsidRDefault="000E5D20" w:rsidP="000E5D20">
      <w:pPr>
        <w:pStyle w:val="Textonotapie"/>
        <w:ind w:firstLine="708"/>
        <w:jc w:val="both"/>
        <w:rPr>
          <w:rFonts w:ascii="Arial" w:hAnsi="Arial" w:cs="Arial"/>
          <w:sz w:val="19"/>
          <w:szCs w:val="19"/>
        </w:rPr>
      </w:pPr>
      <w:r w:rsidRPr="003D2638">
        <w:rPr>
          <w:rFonts w:ascii="Arial" w:hAnsi="Arial" w:cs="Arial"/>
          <w:sz w:val="19"/>
          <w:szCs w:val="19"/>
        </w:rPr>
        <w:t>2. Las personas jurídicas mediante certificación expedida por el representante legal y el contador o revisor fiscal, si están obligados a tenerlo, adjuntando copia del certificado de existencia y representación legal expedido por la Cámara de Comercio o por la autoridad competente para expedir dicha certificación.</w:t>
      </w:r>
    </w:p>
    <w:p w14:paraId="53D3D117" w14:textId="77777777" w:rsidR="000E5D20" w:rsidRPr="003D2638" w:rsidRDefault="000E5D20" w:rsidP="000E5D20">
      <w:pPr>
        <w:pStyle w:val="Textonotapie"/>
        <w:ind w:firstLine="708"/>
        <w:jc w:val="both"/>
        <w:rPr>
          <w:rFonts w:ascii="Arial" w:hAnsi="Arial" w:cs="Arial"/>
          <w:sz w:val="19"/>
          <w:szCs w:val="19"/>
        </w:rPr>
      </w:pPr>
      <w:r w:rsidRPr="003D2638">
        <w:rPr>
          <w:rFonts w:ascii="Arial" w:hAnsi="Arial" w:cs="Arial"/>
          <w:sz w:val="19"/>
          <w:szCs w:val="19"/>
        </w:rPr>
        <w:t>Para la acreditación deberán observarse los rangos de clasificación empresarial establecidos de conformidad con la Ley 590 de 2000 y el Decreto 1074 de 2015, o las normas que lo modifiquen, sustituyan o complementen.</w:t>
      </w:r>
    </w:p>
    <w:p w14:paraId="0009408B" w14:textId="77777777" w:rsidR="000E5D20" w:rsidRPr="003D2638" w:rsidRDefault="000E5D20" w:rsidP="000E5D20">
      <w:pPr>
        <w:pStyle w:val="Textonotapie"/>
        <w:ind w:firstLine="708"/>
        <w:jc w:val="both"/>
        <w:rPr>
          <w:rFonts w:ascii="Arial" w:hAnsi="Arial" w:cs="Arial"/>
          <w:sz w:val="19"/>
          <w:szCs w:val="19"/>
        </w:rPr>
      </w:pPr>
      <w:r w:rsidRPr="003D2638">
        <w:rPr>
          <w:rFonts w:ascii="Arial" w:hAnsi="Arial" w:cs="Arial"/>
          <w:sz w:val="19"/>
          <w:szCs w:val="19"/>
        </w:rPr>
        <w:t xml:space="preserve">Parágrafo 1. En todo caso, las </w:t>
      </w:r>
      <w:proofErr w:type="spellStart"/>
      <w:r w:rsidRPr="003D2638">
        <w:rPr>
          <w:rFonts w:ascii="Arial" w:hAnsi="Arial" w:cs="Arial"/>
          <w:sz w:val="19"/>
          <w:szCs w:val="19"/>
        </w:rPr>
        <w:t>Mipyme</w:t>
      </w:r>
      <w:proofErr w:type="spellEnd"/>
      <w:r w:rsidRPr="003D2638">
        <w:rPr>
          <w:rFonts w:ascii="Arial" w:hAnsi="Arial" w:cs="Arial"/>
          <w:sz w:val="19"/>
          <w:szCs w:val="19"/>
        </w:rPr>
        <w:t xml:space="preserve"> también podrán acreditar esta condición con la copia del certificado del Registro Único de Proponentes, el cual deberá encontrarse vigente y en firme al momento de su presentación.</w:t>
      </w:r>
    </w:p>
    <w:p w14:paraId="7DFDB829" w14:textId="77777777" w:rsidR="000E5D20" w:rsidRPr="003D2638" w:rsidRDefault="000E5D20" w:rsidP="000E5D20">
      <w:pPr>
        <w:pStyle w:val="Textonotapie"/>
        <w:ind w:firstLine="708"/>
        <w:jc w:val="both"/>
        <w:rPr>
          <w:rFonts w:ascii="Arial" w:hAnsi="Arial" w:cs="Arial"/>
          <w:sz w:val="19"/>
          <w:szCs w:val="19"/>
        </w:rPr>
      </w:pPr>
      <w:r w:rsidRPr="003D2638">
        <w:rPr>
          <w:rFonts w:ascii="Arial" w:hAnsi="Arial" w:cs="Arial"/>
          <w:sz w:val="19"/>
          <w:szCs w:val="19"/>
        </w:rPr>
        <w:t xml:space="preserve">Parágrafo 2. Para efectos de la limitación a </w:t>
      </w:r>
      <w:proofErr w:type="spellStart"/>
      <w:r w:rsidRPr="003D2638">
        <w:rPr>
          <w:rFonts w:ascii="Arial" w:hAnsi="Arial" w:cs="Arial"/>
          <w:sz w:val="19"/>
          <w:szCs w:val="19"/>
        </w:rPr>
        <w:t>Mipyme</w:t>
      </w:r>
      <w:proofErr w:type="spellEnd"/>
      <w:r w:rsidRPr="003D2638">
        <w:rPr>
          <w:rFonts w:ascii="Arial" w:hAnsi="Arial" w:cs="Arial"/>
          <w:sz w:val="19"/>
          <w:szCs w:val="19"/>
        </w:rPr>
        <w:t>, los proponentes aportarán la copia del registro mercantil, del certificado de existencia y representación legal o del Registro Único de Proponentes, según corresponda conforme a las reglas precedentes, con una fecha de máximo sesenta (60) días calendario anteriores a la prevista en el cronograma del Proceso de Contratación para el inicio del plazo para solicitar la convocatoria limitada.</w:t>
      </w:r>
    </w:p>
    <w:p w14:paraId="098EE86C" w14:textId="77777777" w:rsidR="000E5D20" w:rsidRPr="003D2638" w:rsidRDefault="000E5D20" w:rsidP="000E5D20">
      <w:pPr>
        <w:pStyle w:val="Textonotapie"/>
        <w:ind w:firstLine="708"/>
        <w:jc w:val="both"/>
        <w:rPr>
          <w:rFonts w:ascii="Arial" w:hAnsi="Arial" w:cs="Arial"/>
          <w:sz w:val="19"/>
          <w:szCs w:val="19"/>
        </w:rPr>
      </w:pPr>
      <w:r w:rsidRPr="003D2638">
        <w:rPr>
          <w:rFonts w:ascii="Arial" w:hAnsi="Arial" w:cs="Arial"/>
          <w:sz w:val="19"/>
          <w:szCs w:val="19"/>
        </w:rPr>
        <w:t xml:space="preserve">Parágrafo 3. En las convocatorias limitadas, las Entidades Estatales independientemente de su régimen de contratación, los patrimonios autónomos constituidos por Entidades Estatales y los </w:t>
      </w:r>
      <w:proofErr w:type="spellStart"/>
      <w:r w:rsidRPr="003D2638">
        <w:rPr>
          <w:rFonts w:ascii="Arial" w:hAnsi="Arial" w:cs="Arial"/>
          <w:sz w:val="19"/>
          <w:szCs w:val="19"/>
        </w:rPr>
        <w:t>parliculares</w:t>
      </w:r>
      <w:proofErr w:type="spellEnd"/>
      <w:r w:rsidRPr="003D2638">
        <w:rPr>
          <w:rFonts w:ascii="Arial" w:hAnsi="Arial" w:cs="Arial"/>
          <w:sz w:val="19"/>
          <w:szCs w:val="19"/>
        </w:rPr>
        <w:t xml:space="preserve"> que ejecuten recursos públicos, solo deberán aceptar las ofertas de </w:t>
      </w:r>
      <w:proofErr w:type="spellStart"/>
      <w:r w:rsidRPr="003D2638">
        <w:rPr>
          <w:rFonts w:ascii="Arial" w:hAnsi="Arial" w:cs="Arial"/>
          <w:sz w:val="19"/>
          <w:szCs w:val="19"/>
        </w:rPr>
        <w:t>Mipyme</w:t>
      </w:r>
      <w:proofErr w:type="spellEnd"/>
      <w:r w:rsidRPr="003D2638">
        <w:rPr>
          <w:rFonts w:ascii="Arial" w:hAnsi="Arial" w:cs="Arial"/>
          <w:sz w:val="19"/>
          <w:szCs w:val="19"/>
        </w:rPr>
        <w:t xml:space="preserve"> o de proponentes plurales integrados únicamente por </w:t>
      </w:r>
      <w:proofErr w:type="spellStart"/>
      <w:r w:rsidRPr="003D2638">
        <w:rPr>
          <w:rFonts w:ascii="Arial" w:hAnsi="Arial" w:cs="Arial"/>
          <w:sz w:val="19"/>
          <w:szCs w:val="19"/>
        </w:rPr>
        <w:t>Mipyme</w:t>
      </w:r>
      <w:proofErr w:type="spellEnd"/>
      <w:r w:rsidRPr="003D2638">
        <w:rPr>
          <w:rFonts w:ascii="Arial" w:hAnsi="Arial" w:cs="Arial"/>
          <w:sz w:val="19"/>
          <w:szCs w:val="19"/>
        </w:rPr>
        <w:t>.</w:t>
      </w:r>
    </w:p>
    <w:p w14:paraId="4A772B29" w14:textId="77777777" w:rsidR="000E5D20" w:rsidRPr="003D2638" w:rsidRDefault="000E5D20" w:rsidP="000E5D20">
      <w:pPr>
        <w:pStyle w:val="Textonotapie"/>
        <w:ind w:firstLine="708"/>
        <w:jc w:val="both"/>
        <w:rPr>
          <w:rFonts w:ascii="Arial" w:hAnsi="Arial" w:cs="Arial"/>
          <w:sz w:val="19"/>
          <w:szCs w:val="19"/>
        </w:rPr>
      </w:pPr>
      <w:r w:rsidRPr="003D2638">
        <w:rPr>
          <w:rFonts w:ascii="Arial" w:hAnsi="Arial" w:cs="Arial"/>
          <w:sz w:val="19"/>
          <w:szCs w:val="19"/>
        </w:rPr>
        <w:t xml:space="preserve">Parágrafo 4. Los incentivos previstos en los artículos 2.2.1.2.4.2.2 y 2.2.1.2.4.2.3 de este Decreto no excluyen la aplicación de los criterios diferenciales para los emprendimientos y empresas de mujeres en el sistema de compras públicas”. </w:t>
      </w:r>
    </w:p>
  </w:footnote>
  <w:footnote w:id="27">
    <w:p w14:paraId="58BF9903" w14:textId="77777777" w:rsidR="000E5D20" w:rsidRPr="003D2638" w:rsidRDefault="000E5D20" w:rsidP="000E5D20">
      <w:pPr>
        <w:pStyle w:val="Textonotapie"/>
        <w:ind w:firstLine="708"/>
        <w:jc w:val="both"/>
        <w:rPr>
          <w:rFonts w:ascii="Arial" w:hAnsi="Arial" w:cs="Arial"/>
          <w:sz w:val="19"/>
          <w:szCs w:val="19"/>
        </w:rPr>
      </w:pPr>
      <w:r w:rsidRPr="003D2638">
        <w:rPr>
          <w:rStyle w:val="Refdenotaalpie"/>
          <w:rFonts w:ascii="Arial" w:hAnsi="Arial" w:cs="Arial"/>
          <w:sz w:val="19"/>
          <w:szCs w:val="19"/>
        </w:rPr>
        <w:footnoteRef/>
      </w:r>
      <w:r w:rsidRPr="003D2638">
        <w:rPr>
          <w:rFonts w:ascii="Arial" w:hAnsi="Arial" w:cs="Arial"/>
          <w:sz w:val="19"/>
          <w:szCs w:val="19"/>
        </w:rPr>
        <w:t xml:space="preserve"> Es el promedio ponderado por monto de las operaciones de compra y venta de dólares de los Estados Unidos de América a cambio de moneda legal colombiana, pactadas para cumplimiento en ambas monedas el mismo día de su negociación, efectuadas por los Intermediarios del Mercado Cambiario entre las 7:30 a.m. y la 1:00 p.m.</w:t>
      </w:r>
    </w:p>
    <w:p w14:paraId="495DEF1E" w14:textId="77777777" w:rsidR="000E5D20" w:rsidRPr="003D2638" w:rsidRDefault="000E5D20" w:rsidP="000E5D20">
      <w:pPr>
        <w:pStyle w:val="Textonotapie"/>
        <w:ind w:firstLine="708"/>
        <w:jc w:val="both"/>
        <w:rPr>
          <w:rFonts w:ascii="Arial" w:hAnsi="Arial" w:cs="Arial"/>
          <w:sz w:val="19"/>
          <w:szCs w:val="19"/>
        </w:rPr>
      </w:pPr>
    </w:p>
  </w:footnote>
  <w:footnote w:id="28">
    <w:p w14:paraId="33AB225F" w14:textId="77777777" w:rsidR="000E5D20" w:rsidRPr="003D2638" w:rsidRDefault="000E5D20" w:rsidP="000E5D20">
      <w:pPr>
        <w:pStyle w:val="Textonotapie"/>
        <w:ind w:firstLine="708"/>
        <w:jc w:val="both"/>
        <w:rPr>
          <w:rFonts w:ascii="Arial" w:hAnsi="Arial" w:cs="Arial"/>
          <w:sz w:val="19"/>
          <w:szCs w:val="19"/>
        </w:rPr>
      </w:pPr>
      <w:r w:rsidRPr="003D2638">
        <w:rPr>
          <w:rStyle w:val="Refdenotaalpie"/>
          <w:rFonts w:ascii="Arial" w:hAnsi="Arial" w:cs="Arial"/>
          <w:sz w:val="19"/>
          <w:szCs w:val="19"/>
        </w:rPr>
        <w:footnoteRef/>
      </w:r>
      <w:r w:rsidRPr="003D2638">
        <w:rPr>
          <w:rFonts w:ascii="Arial" w:hAnsi="Arial" w:cs="Arial"/>
          <w:sz w:val="19"/>
          <w:szCs w:val="19"/>
        </w:rPr>
        <w:t xml:space="preserve"> La TRM diaria se puede consultar en </w:t>
      </w:r>
      <w:hyperlink r:id="rId6" w:history="1">
        <w:r w:rsidRPr="003D2638">
          <w:rPr>
            <w:rStyle w:val="Hipervnculo"/>
            <w:rFonts w:ascii="Arial" w:hAnsi="Arial" w:cs="Arial"/>
            <w:color w:val="auto"/>
            <w:sz w:val="19"/>
            <w:szCs w:val="19"/>
          </w:rPr>
          <w:t>https://www.banrep.gov.co/es/estadisticas/trm</w:t>
        </w:r>
      </w:hyperlink>
      <w:r w:rsidRPr="003D2638">
        <w:rPr>
          <w:rFonts w:ascii="Arial" w:hAnsi="Arial" w:cs="Arial"/>
          <w:sz w:val="19"/>
          <w:szCs w:val="19"/>
        </w:rPr>
        <w:t>.</w:t>
      </w:r>
    </w:p>
  </w:footnote>
  <w:footnote w:id="29">
    <w:p w14:paraId="4752737F" w14:textId="77777777" w:rsidR="000E5D20" w:rsidRPr="003D2638" w:rsidRDefault="000E5D20" w:rsidP="000E5D20">
      <w:pPr>
        <w:pStyle w:val="Textonotapie"/>
        <w:ind w:firstLine="708"/>
        <w:jc w:val="both"/>
        <w:rPr>
          <w:rFonts w:ascii="Arial" w:hAnsi="Arial" w:cs="Arial"/>
          <w:sz w:val="19"/>
          <w:szCs w:val="19"/>
        </w:rPr>
      </w:pPr>
    </w:p>
    <w:p w14:paraId="4125B8F0" w14:textId="77777777" w:rsidR="000E5D20" w:rsidRPr="003D2638" w:rsidRDefault="000E5D20" w:rsidP="000E5D20">
      <w:pPr>
        <w:pStyle w:val="Textonotapie"/>
        <w:ind w:firstLine="708"/>
        <w:jc w:val="both"/>
        <w:rPr>
          <w:rFonts w:ascii="Arial" w:hAnsi="Arial" w:cs="Arial"/>
          <w:sz w:val="19"/>
          <w:szCs w:val="19"/>
          <w:lang w:val="es-ES"/>
        </w:rPr>
      </w:pPr>
      <w:r w:rsidRPr="003D2638">
        <w:rPr>
          <w:rStyle w:val="Refdenotaalpie"/>
          <w:rFonts w:ascii="Arial" w:hAnsi="Arial" w:cs="Arial"/>
          <w:sz w:val="19"/>
          <w:szCs w:val="19"/>
        </w:rPr>
        <w:footnoteRef/>
      </w:r>
      <w:r w:rsidRPr="003D2638">
        <w:rPr>
          <w:rFonts w:ascii="Arial" w:hAnsi="Arial" w:cs="Arial"/>
          <w:sz w:val="19"/>
          <w:szCs w:val="19"/>
        </w:rPr>
        <w:t xml:space="preserve"> </w:t>
      </w:r>
      <w:r w:rsidRPr="003D2638">
        <w:rPr>
          <w:rFonts w:ascii="Arial" w:hAnsi="Arial" w:cs="Arial"/>
          <w:sz w:val="19"/>
          <w:szCs w:val="19"/>
          <w:lang w:val="es-ES"/>
        </w:rPr>
        <w:t xml:space="preserve">Fecha de expedición del Decreto 1082. </w:t>
      </w:r>
    </w:p>
  </w:footnote>
  <w:footnote w:id="30">
    <w:p w14:paraId="5F3494F2" w14:textId="77777777" w:rsidR="000E5D20" w:rsidRPr="003D2638" w:rsidRDefault="000E5D20" w:rsidP="000E5D20">
      <w:pPr>
        <w:pStyle w:val="Textonotapie"/>
        <w:ind w:firstLine="708"/>
        <w:jc w:val="both"/>
        <w:rPr>
          <w:rFonts w:ascii="Arial" w:hAnsi="Arial" w:cs="Arial"/>
          <w:sz w:val="19"/>
          <w:szCs w:val="19"/>
        </w:rPr>
      </w:pPr>
    </w:p>
    <w:p w14:paraId="7F42E5DF" w14:textId="77777777" w:rsidR="000E5D20" w:rsidRPr="003D2638" w:rsidRDefault="000E5D20" w:rsidP="000E5D20">
      <w:pPr>
        <w:pStyle w:val="Textonotapie"/>
        <w:ind w:firstLine="708"/>
        <w:jc w:val="both"/>
        <w:rPr>
          <w:rFonts w:ascii="Arial" w:hAnsi="Arial" w:cs="Arial"/>
          <w:sz w:val="19"/>
          <w:szCs w:val="19"/>
          <w:u w:val="single"/>
        </w:rPr>
      </w:pPr>
      <w:r w:rsidRPr="003D2638">
        <w:rPr>
          <w:rStyle w:val="Refdenotaalpie"/>
          <w:rFonts w:ascii="Arial" w:hAnsi="Arial" w:cs="Arial"/>
          <w:sz w:val="19"/>
          <w:szCs w:val="19"/>
        </w:rPr>
        <w:footnoteRef/>
      </w:r>
      <w:r w:rsidRPr="003D2638">
        <w:rPr>
          <w:rFonts w:ascii="Arial" w:hAnsi="Arial" w:cs="Arial"/>
          <w:sz w:val="19"/>
          <w:szCs w:val="19"/>
        </w:rPr>
        <w:t xml:space="preserve"> </w:t>
      </w:r>
      <w:hyperlink r:id="rId7" w:history="1">
        <w:r w:rsidRPr="003D2638">
          <w:rPr>
            <w:rFonts w:ascii="Arial" w:hAnsi="Arial" w:cs="Arial"/>
            <w:sz w:val="19"/>
            <w:szCs w:val="19"/>
            <w:lang w:val="es-ES"/>
          </w:rPr>
          <w:t>https://www.colombiacompra.gov.co/sites/cce_public/files/cce_documentos/umbrales_2020_-_2021.pdf</w:t>
        </w:r>
      </w:hyperlink>
    </w:p>
  </w:footnote>
  <w:footnote w:id="31">
    <w:p w14:paraId="447993AC" w14:textId="77777777" w:rsidR="000E5D20" w:rsidRPr="003D2638" w:rsidRDefault="000E5D20" w:rsidP="000E5D20">
      <w:pPr>
        <w:pStyle w:val="Textonotapie"/>
        <w:ind w:firstLine="708"/>
        <w:jc w:val="both"/>
        <w:rPr>
          <w:rFonts w:ascii="Arial" w:hAnsi="Arial" w:cs="Arial"/>
          <w:sz w:val="19"/>
          <w:szCs w:val="19"/>
        </w:rPr>
      </w:pPr>
    </w:p>
    <w:p w14:paraId="07230A79" w14:textId="77777777" w:rsidR="000E5D20" w:rsidRPr="003D2638" w:rsidRDefault="000E5D20" w:rsidP="000E5D20">
      <w:pPr>
        <w:pStyle w:val="Textonotapie"/>
        <w:ind w:firstLine="708"/>
        <w:jc w:val="both"/>
        <w:rPr>
          <w:rFonts w:ascii="Arial" w:hAnsi="Arial" w:cs="Arial"/>
          <w:sz w:val="19"/>
          <w:szCs w:val="19"/>
        </w:rPr>
      </w:pPr>
      <w:r w:rsidRPr="003D2638">
        <w:rPr>
          <w:rStyle w:val="Refdenotaalpie"/>
          <w:rFonts w:ascii="Arial" w:hAnsi="Arial" w:cs="Arial"/>
          <w:sz w:val="19"/>
          <w:szCs w:val="19"/>
        </w:rPr>
        <w:footnoteRef/>
      </w:r>
      <w:r w:rsidRPr="003D2638">
        <w:rPr>
          <w:rFonts w:ascii="Arial" w:hAnsi="Arial" w:cs="Arial"/>
          <w:sz w:val="19"/>
          <w:szCs w:val="19"/>
        </w:rPr>
        <w:t xml:space="preserve">Ley 1450 de 2011: “Artículo 32. Parágrafo 1°: En los procesos de selección que se desarrollen con base en el primer inciso, las entidades podrán realizar las convocatorias limitadas que beneficien a las </w:t>
      </w:r>
      <w:proofErr w:type="spellStart"/>
      <w:r w:rsidRPr="003D2638">
        <w:rPr>
          <w:rFonts w:ascii="Arial" w:hAnsi="Arial" w:cs="Arial"/>
          <w:sz w:val="19"/>
          <w:szCs w:val="19"/>
        </w:rPr>
        <w:t>Mipymes</w:t>
      </w:r>
      <w:proofErr w:type="spellEnd"/>
      <w:r w:rsidRPr="003D2638">
        <w:rPr>
          <w:rFonts w:ascii="Arial" w:hAnsi="Arial" w:cs="Arial"/>
          <w:sz w:val="19"/>
          <w:szCs w:val="19"/>
        </w:rPr>
        <w:t xml:space="preserve"> del ámbito municipal o departamental correspondiente al de la ejecución del contrato”.</w:t>
      </w:r>
    </w:p>
    <w:p w14:paraId="66558764" w14:textId="77777777" w:rsidR="000E5D20" w:rsidRPr="003D2638" w:rsidRDefault="000E5D20" w:rsidP="000E5D20">
      <w:pPr>
        <w:pStyle w:val="Textonotapie"/>
        <w:ind w:firstLine="708"/>
        <w:jc w:val="both"/>
        <w:rPr>
          <w:rFonts w:ascii="Arial" w:hAnsi="Arial" w:cs="Arial"/>
          <w:sz w:val="19"/>
          <w:szCs w:val="19"/>
        </w:rPr>
      </w:pPr>
    </w:p>
  </w:footnote>
  <w:footnote w:id="32">
    <w:p w14:paraId="7A37F372" w14:textId="77777777" w:rsidR="000E5D20" w:rsidRPr="003D2638" w:rsidRDefault="000E5D20" w:rsidP="000E5D20">
      <w:pPr>
        <w:pStyle w:val="Textonotapie"/>
        <w:ind w:firstLine="708"/>
        <w:jc w:val="both"/>
        <w:rPr>
          <w:rFonts w:ascii="Arial" w:hAnsi="Arial" w:cs="Arial"/>
          <w:sz w:val="19"/>
          <w:szCs w:val="19"/>
        </w:rPr>
      </w:pPr>
      <w:r w:rsidRPr="003D2638">
        <w:rPr>
          <w:rStyle w:val="Refdenotaalpie"/>
          <w:rFonts w:ascii="Arial" w:hAnsi="Arial" w:cs="Arial"/>
          <w:sz w:val="19"/>
          <w:szCs w:val="19"/>
        </w:rPr>
        <w:footnoteRef/>
      </w:r>
      <w:r w:rsidRPr="003D2638">
        <w:rPr>
          <w:rFonts w:ascii="Arial" w:hAnsi="Arial" w:cs="Arial"/>
          <w:sz w:val="19"/>
          <w:szCs w:val="19"/>
        </w:rPr>
        <w:t xml:space="preserve"> Cfr. Concepto emitido en el radicado 4201913000005674, dictado el 27 de septiembre de 2019.</w:t>
      </w:r>
    </w:p>
    <w:p w14:paraId="4F8360BD" w14:textId="77777777" w:rsidR="000E5D20" w:rsidRPr="003D2638" w:rsidRDefault="000E5D20" w:rsidP="000E5D20">
      <w:pPr>
        <w:pStyle w:val="Textonotapie"/>
        <w:ind w:firstLine="708"/>
        <w:jc w:val="both"/>
        <w:rPr>
          <w:rFonts w:ascii="Arial" w:hAnsi="Arial" w:cs="Arial"/>
          <w:sz w:val="19"/>
          <w:szCs w:val="19"/>
          <w:lang w:val="es-ES"/>
        </w:rPr>
      </w:pPr>
    </w:p>
  </w:footnote>
  <w:footnote w:id="33">
    <w:p w14:paraId="1CD68118" w14:textId="77777777" w:rsidR="00F34067" w:rsidRPr="003D2638" w:rsidRDefault="00F34067" w:rsidP="00F34067">
      <w:pPr>
        <w:pStyle w:val="Textonotapie"/>
        <w:ind w:firstLine="708"/>
        <w:jc w:val="both"/>
        <w:rPr>
          <w:rFonts w:ascii="Arial" w:hAnsi="Arial" w:cs="Arial"/>
          <w:sz w:val="19"/>
          <w:szCs w:val="19"/>
        </w:rPr>
      </w:pPr>
      <w:r w:rsidRPr="003D2638">
        <w:rPr>
          <w:rStyle w:val="Refdenotaalpie"/>
          <w:rFonts w:ascii="Arial" w:hAnsi="Arial" w:cs="Arial"/>
          <w:sz w:val="19"/>
          <w:szCs w:val="19"/>
        </w:rPr>
        <w:footnoteRef/>
      </w:r>
      <w:r w:rsidRPr="003D2638">
        <w:rPr>
          <w:rFonts w:ascii="Arial" w:hAnsi="Arial" w:cs="Arial"/>
          <w:sz w:val="19"/>
          <w:szCs w:val="19"/>
        </w:rPr>
        <w:t xml:space="preserve"> Es de anotar que este autor solo da cabida a la declaratoria de desierta cuando son varios los proponentes y no contempla en su escrito para este acto la posibilidad de que el oferente sea uno y no cumpla con los requisitos.</w:t>
      </w:r>
    </w:p>
    <w:p w14:paraId="52F69CEB" w14:textId="39E2CF80" w:rsidR="00F34067" w:rsidRPr="003D2638" w:rsidRDefault="00F34067">
      <w:pPr>
        <w:pStyle w:val="Textonotapie"/>
        <w:rPr>
          <w:rFonts w:ascii="Arial" w:hAnsi="Arial" w:cs="Arial"/>
          <w:sz w:val="19"/>
          <w:szCs w:val="19"/>
        </w:rPr>
      </w:pPr>
    </w:p>
  </w:footnote>
  <w:footnote w:id="34">
    <w:p w14:paraId="543BCF65" w14:textId="60123729" w:rsidR="003D2638" w:rsidRPr="003D2638" w:rsidRDefault="003D2638" w:rsidP="003D2638">
      <w:pPr>
        <w:spacing w:after="120" w:line="240" w:lineRule="auto"/>
        <w:ind w:firstLine="720"/>
        <w:jc w:val="both"/>
        <w:rPr>
          <w:rFonts w:ascii="Arial" w:hAnsi="Arial" w:cs="Arial"/>
          <w:sz w:val="19"/>
          <w:szCs w:val="19"/>
          <w:lang w:val="es-ES"/>
        </w:rPr>
      </w:pPr>
      <w:r w:rsidRPr="003D2638">
        <w:rPr>
          <w:rStyle w:val="Refdenotaalpie"/>
          <w:rFonts w:ascii="Arial" w:hAnsi="Arial" w:cs="Arial"/>
          <w:sz w:val="19"/>
          <w:szCs w:val="19"/>
        </w:rPr>
        <w:footnoteRef/>
      </w:r>
      <w:r w:rsidRPr="003D2638">
        <w:t xml:space="preserve"> </w:t>
      </w:r>
      <w:bookmarkStart w:id="15" w:name="77"/>
      <w:r w:rsidRPr="003D2638">
        <w:rPr>
          <w:rFonts w:ascii="Arial" w:hAnsi="Arial" w:cs="Arial"/>
          <w:bCs/>
          <w:sz w:val="19"/>
          <w:szCs w:val="19"/>
        </w:rPr>
        <w:t>ARTÍCULO 77. DE LA NORMATIVIDAD APLICABLE EN LAS ACTUACIONES ADMINISTRATIVAS.</w:t>
      </w:r>
      <w:bookmarkEnd w:id="15"/>
      <w:r w:rsidRPr="003D2638">
        <w:rPr>
          <w:rFonts w:ascii="Arial" w:hAnsi="Arial" w:cs="Arial"/>
          <w:sz w:val="19"/>
          <w:szCs w:val="19"/>
        </w:rPr>
        <w:t>  En cuanto sean compatibles con la finalidad y los principios de esta ley, las normas que rigen los procedimientos y actuaciones en la función administrativa serán aplicables en las actuaciones contractuales. A falta de éstas, regirán las disposiciones del Código de Procedimiento Civil.</w:t>
      </w:r>
    </w:p>
    <w:p w14:paraId="15904078" w14:textId="77777777" w:rsidR="003D2638" w:rsidRPr="003D2638" w:rsidRDefault="003D2638" w:rsidP="003D2638">
      <w:pPr>
        <w:spacing w:after="120" w:line="240" w:lineRule="auto"/>
        <w:ind w:firstLine="720"/>
        <w:jc w:val="both"/>
        <w:rPr>
          <w:rFonts w:ascii="Arial" w:hAnsi="Arial" w:cs="Arial"/>
          <w:sz w:val="19"/>
          <w:szCs w:val="19"/>
        </w:rPr>
      </w:pPr>
      <w:r w:rsidRPr="003D2638">
        <w:rPr>
          <w:rFonts w:ascii="Arial" w:hAnsi="Arial" w:cs="Arial"/>
          <w:sz w:val="19"/>
          <w:szCs w:val="19"/>
        </w:rPr>
        <w:t xml:space="preserve">Los actos administrativos que se produzcan con motivo u ocasión de la actividad contractual sólo serán susceptibles de recurso de </w:t>
      </w:r>
      <w:proofErr w:type="gramStart"/>
      <w:r w:rsidRPr="003D2638">
        <w:rPr>
          <w:rFonts w:ascii="Arial" w:hAnsi="Arial" w:cs="Arial"/>
          <w:sz w:val="19"/>
          <w:szCs w:val="19"/>
        </w:rPr>
        <w:t>reposición  y</w:t>
      </w:r>
      <w:proofErr w:type="gramEnd"/>
      <w:r w:rsidRPr="003D2638">
        <w:rPr>
          <w:rFonts w:ascii="Arial" w:hAnsi="Arial" w:cs="Arial"/>
          <w:sz w:val="19"/>
          <w:szCs w:val="19"/>
        </w:rPr>
        <w:t xml:space="preserve"> del ejercicio de la acción contractual, de acuerdo con las reglas del Código Contencioso Administrativo.</w:t>
      </w:r>
    </w:p>
    <w:p w14:paraId="2FC2C1F2" w14:textId="6BEEEB77" w:rsidR="003D2638" w:rsidRPr="003D2638" w:rsidRDefault="003D2638" w:rsidP="003D2638">
      <w:pPr>
        <w:spacing w:after="120" w:line="240" w:lineRule="auto"/>
        <w:ind w:firstLine="720"/>
        <w:jc w:val="both"/>
        <w:rPr>
          <w:rFonts w:ascii="Arial" w:hAnsi="Arial" w:cs="Arial"/>
          <w:sz w:val="19"/>
          <w:szCs w:val="19"/>
        </w:rPr>
      </w:pPr>
      <w:r w:rsidRPr="003D2638">
        <w:rPr>
          <w:rStyle w:val="baj"/>
          <w:rFonts w:ascii="Arial" w:hAnsi="Arial" w:cs="Arial"/>
          <w:bCs/>
          <w:sz w:val="19"/>
          <w:szCs w:val="19"/>
        </w:rPr>
        <w:t xml:space="preserve">PARÁGRAFO 1º. </w:t>
      </w:r>
      <w:r w:rsidRPr="003D2638">
        <w:rPr>
          <w:rFonts w:ascii="Arial" w:hAnsi="Arial" w:cs="Arial"/>
          <w:sz w:val="19"/>
          <w:szCs w:val="19"/>
        </w:rPr>
        <w:t>El acto de adjudicación no tendrá recursos por la vía gubernativa. Este podrá impugnarse mediante el ejercicio de la acción de nulidad y restablecimiento del derecho, según las reglas del Código Contencioso administrativo.</w:t>
      </w:r>
    </w:p>
    <w:p w14:paraId="7776E6C3" w14:textId="77777777" w:rsidR="003D2638" w:rsidRPr="003D2638" w:rsidRDefault="003D2638" w:rsidP="003D2638">
      <w:pPr>
        <w:spacing w:after="120" w:line="240" w:lineRule="auto"/>
        <w:ind w:firstLine="720"/>
        <w:jc w:val="both"/>
        <w:rPr>
          <w:rFonts w:ascii="Arial" w:hAnsi="Arial" w:cs="Arial"/>
          <w:sz w:val="19"/>
          <w:szCs w:val="19"/>
        </w:rPr>
      </w:pPr>
      <w:r w:rsidRPr="003D2638">
        <w:rPr>
          <w:rStyle w:val="baj"/>
          <w:rFonts w:ascii="Arial" w:hAnsi="Arial" w:cs="Arial"/>
          <w:bCs/>
          <w:sz w:val="19"/>
          <w:szCs w:val="19"/>
        </w:rPr>
        <w:t>PARÁGRAFO 2o.</w:t>
      </w:r>
      <w:r w:rsidRPr="003D2638">
        <w:rPr>
          <w:rFonts w:ascii="Arial" w:hAnsi="Arial" w:cs="Arial"/>
          <w:sz w:val="19"/>
          <w:szCs w:val="19"/>
        </w:rPr>
        <w:t> Para el ejercicio de las acciones contra los actos administrativos de la actividad contractual no es necesario demandar el contrato que los origina.</w:t>
      </w:r>
    </w:p>
    <w:p w14:paraId="20EBAF55" w14:textId="2767E701" w:rsidR="003D2638" w:rsidRPr="003D2638" w:rsidRDefault="003D2638">
      <w:pPr>
        <w:pStyle w:val="Textonotapie"/>
        <w:rPr>
          <w:rFonts w:ascii="Arial" w:hAnsi="Arial" w:cs="Arial"/>
          <w:sz w:val="19"/>
          <w:szCs w:val="19"/>
          <w:lang w:val="es-ES"/>
        </w:rPr>
      </w:pPr>
    </w:p>
  </w:footnote>
  <w:footnote w:id="35">
    <w:p w14:paraId="13CC3093" w14:textId="77777777" w:rsidR="003D2638" w:rsidRPr="003D2638" w:rsidRDefault="003D2638" w:rsidP="003D2638">
      <w:pPr>
        <w:spacing w:after="120" w:line="240" w:lineRule="auto"/>
        <w:ind w:firstLine="720"/>
        <w:jc w:val="both"/>
        <w:rPr>
          <w:rFonts w:ascii="Arial" w:hAnsi="Arial" w:cs="Arial"/>
          <w:bCs/>
          <w:sz w:val="19"/>
          <w:szCs w:val="19"/>
        </w:rPr>
      </w:pPr>
      <w:r>
        <w:rPr>
          <w:rStyle w:val="Refdenotaalpie"/>
        </w:rPr>
        <w:footnoteRef/>
      </w:r>
      <w:r>
        <w:t xml:space="preserve"> </w:t>
      </w:r>
      <w:bookmarkStart w:id="16" w:name="76"/>
      <w:r w:rsidRPr="003D2638">
        <w:rPr>
          <w:rFonts w:ascii="Arial" w:hAnsi="Arial" w:cs="Arial"/>
          <w:bCs/>
          <w:sz w:val="19"/>
          <w:szCs w:val="19"/>
        </w:rPr>
        <w:t>ARTÍCULO 76. OPORTUNIDAD Y PRESENTACIÓN.</w:t>
      </w:r>
      <w:bookmarkEnd w:id="16"/>
      <w:r w:rsidRPr="003D2638">
        <w:rPr>
          <w:rFonts w:ascii="Arial" w:hAnsi="Arial" w:cs="Arial"/>
          <w:bCs/>
          <w:sz w:val="19"/>
          <w:szCs w:val="19"/>
        </w:rPr>
        <w:t> Los recursos de reposición y apelación deberán interponerse por escrito en la diligencia de notificación personal, o dentro de los diez (10) días siguientes a ella, o a la notificación por aviso, o al vencimiento del término de publicación, según el caso. Los recursos contra los actos presuntos podrán interponerse en cualquier tiempo, salvo en el evento en que se haya acudido ante el juez.</w:t>
      </w:r>
    </w:p>
    <w:p w14:paraId="1B703226" w14:textId="77777777" w:rsidR="003D2638" w:rsidRPr="003D2638" w:rsidRDefault="003D2638" w:rsidP="003D2638">
      <w:pPr>
        <w:spacing w:after="120" w:line="240" w:lineRule="auto"/>
        <w:ind w:firstLine="720"/>
        <w:jc w:val="both"/>
        <w:rPr>
          <w:rFonts w:ascii="Arial" w:hAnsi="Arial" w:cs="Arial"/>
          <w:bCs/>
          <w:sz w:val="19"/>
          <w:szCs w:val="19"/>
        </w:rPr>
      </w:pPr>
      <w:r w:rsidRPr="003D2638">
        <w:rPr>
          <w:rFonts w:ascii="Arial" w:hAnsi="Arial" w:cs="Arial"/>
          <w:bCs/>
          <w:sz w:val="19"/>
          <w:szCs w:val="19"/>
        </w:rPr>
        <w:t>Los recursos se presentarán ante el funcionario que dictó la decisión, salvo lo dispuesto para el de queja, y si quien fuere competente no quisiere recibirlos podrán presentarse ante el procurador regional o ante el personero municipal, para que ordene recibirlos y tramitarlos, e imponga las sanciones correspondientes, si a ello hubiere lugar.</w:t>
      </w:r>
    </w:p>
    <w:p w14:paraId="3A409EDE" w14:textId="77777777" w:rsidR="003D2638" w:rsidRPr="003D2638" w:rsidRDefault="003D2638" w:rsidP="003D2638">
      <w:pPr>
        <w:spacing w:after="120" w:line="240" w:lineRule="auto"/>
        <w:ind w:firstLine="720"/>
        <w:jc w:val="both"/>
        <w:rPr>
          <w:rFonts w:ascii="Arial" w:hAnsi="Arial" w:cs="Arial"/>
          <w:bCs/>
          <w:sz w:val="19"/>
          <w:szCs w:val="19"/>
        </w:rPr>
      </w:pPr>
      <w:r w:rsidRPr="003D2638">
        <w:rPr>
          <w:rFonts w:ascii="Arial" w:hAnsi="Arial" w:cs="Arial"/>
          <w:bCs/>
          <w:sz w:val="19"/>
          <w:szCs w:val="19"/>
        </w:rPr>
        <w:t>El recurso de apelación podrá interponerse directamente, o como subsidiario del de reposición y cuando proceda será obligatorio para acceder a la jurisdicción.</w:t>
      </w:r>
    </w:p>
    <w:p w14:paraId="5C1B73ED" w14:textId="77777777" w:rsidR="003D2638" w:rsidRPr="003D2638" w:rsidRDefault="003D2638" w:rsidP="003D2638">
      <w:pPr>
        <w:spacing w:after="120" w:line="240" w:lineRule="auto"/>
        <w:ind w:firstLine="720"/>
        <w:jc w:val="both"/>
        <w:rPr>
          <w:rFonts w:ascii="Arial" w:hAnsi="Arial" w:cs="Arial"/>
          <w:bCs/>
          <w:sz w:val="19"/>
          <w:szCs w:val="19"/>
        </w:rPr>
      </w:pPr>
      <w:r w:rsidRPr="003D2638">
        <w:rPr>
          <w:rFonts w:ascii="Arial" w:hAnsi="Arial" w:cs="Arial"/>
          <w:bCs/>
          <w:sz w:val="19"/>
          <w:szCs w:val="19"/>
        </w:rPr>
        <w:t>Los recursos de reposición y de queja no serán obligatorios.</w:t>
      </w:r>
    </w:p>
    <w:p w14:paraId="34EB235D" w14:textId="2FA15201" w:rsidR="003D2638" w:rsidRPr="003D2638" w:rsidRDefault="003D2638">
      <w:pPr>
        <w:pStyle w:val="Textonotapie"/>
        <w:rPr>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1D191B" w14:textId="77777777" w:rsidR="00756841" w:rsidRDefault="009C12FE">
    <w:pPr>
      <w:pStyle w:val="Encabezado"/>
    </w:pPr>
    <w:r>
      <w:rPr>
        <w:noProof/>
        <w:lang w:val="en-US"/>
      </w:rPr>
      <w:drawing>
        <wp:anchor distT="0" distB="0" distL="114300" distR="114300" simplePos="0" relativeHeight="251659264" behindDoc="1" locked="0" layoutInCell="1" allowOverlap="1" wp14:anchorId="4458251E" wp14:editId="0494C6AB">
          <wp:simplePos x="0" y="0"/>
          <wp:positionH relativeFrom="margin">
            <wp:align>right</wp:align>
          </wp:positionH>
          <wp:positionV relativeFrom="margin">
            <wp:posOffset>-1135380</wp:posOffset>
          </wp:positionV>
          <wp:extent cx="1757045" cy="628650"/>
          <wp:effectExtent l="0" t="0" r="0" b="0"/>
          <wp:wrapNone/>
          <wp:docPr id="864305913" name="Imagen 7"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305913" name="Imagen 7" descr="Imagen que contiene Logotip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757045" cy="628650"/>
                  </a:xfrm>
                  <a:prstGeom prst="rect">
                    <a:avLst/>
                  </a:prstGeom>
                </pic:spPr>
              </pic:pic>
            </a:graphicData>
          </a:graphic>
          <wp14:sizeRelH relativeFrom="margin">
            <wp14:pctWidth>0</wp14:pctWidth>
          </wp14:sizeRelH>
          <wp14:sizeRelV relativeFrom="margin">
            <wp14:pctHeight>0</wp14:pctHeight>
          </wp14:sizeRelV>
        </wp:anchor>
      </w:drawing>
    </w:r>
    <w:r w:rsidRPr="00852E0B">
      <w:rPr>
        <w:rFonts w:ascii="Geomanist Bold" w:hAnsi="Geomanist Bold"/>
        <w:b/>
        <w:bCs/>
        <w:noProof/>
        <w:color w:val="46589C"/>
        <w:sz w:val="24"/>
        <w:szCs w:val="24"/>
        <w:lang w:val="en-US"/>
      </w:rPr>
      <w:drawing>
        <wp:anchor distT="0" distB="0" distL="114300" distR="114300" simplePos="0" relativeHeight="251663360" behindDoc="0" locked="0" layoutInCell="1" allowOverlap="1" wp14:anchorId="5A964EA2" wp14:editId="535385C0">
          <wp:simplePos x="0" y="0"/>
          <wp:positionH relativeFrom="page">
            <wp:posOffset>7338060</wp:posOffset>
          </wp:positionH>
          <wp:positionV relativeFrom="margin">
            <wp:posOffset>-1644650</wp:posOffset>
          </wp:positionV>
          <wp:extent cx="665480" cy="3098800"/>
          <wp:effectExtent l="0" t="0" r="1270" b="6350"/>
          <wp:wrapThrough wrapText="bothSides">
            <wp:wrapPolygon edited="0">
              <wp:start x="4947" y="0"/>
              <wp:lineTo x="0" y="1328"/>
              <wp:lineTo x="0" y="1593"/>
              <wp:lineTo x="2473" y="2125"/>
              <wp:lineTo x="0" y="464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644356580" name="Imagen 1644356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1312" behindDoc="0" locked="0" layoutInCell="1" allowOverlap="1" wp14:anchorId="463EFBFA" wp14:editId="79558ED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Pr>
        <w:noProof/>
        <w:lang w:val="en-US"/>
      </w:rPr>
      <w:drawing>
        <wp:anchor distT="0" distB="0" distL="114300" distR="114300" simplePos="0" relativeHeight="251660288" behindDoc="0" locked="0" layoutInCell="1" allowOverlap="1" wp14:anchorId="6256CDD0" wp14:editId="37228572">
          <wp:simplePos x="0" y="0"/>
          <wp:positionH relativeFrom="margin">
            <wp:align>left</wp:align>
          </wp:positionH>
          <wp:positionV relativeFrom="paragraph">
            <wp:posOffset>-77470</wp:posOffset>
          </wp:positionV>
          <wp:extent cx="1399540" cy="485775"/>
          <wp:effectExtent l="0" t="0" r="0" b="0"/>
          <wp:wrapThrough wrapText="bothSides">
            <wp:wrapPolygon edited="0">
              <wp:start x="0" y="0"/>
              <wp:lineTo x="0" y="20329"/>
              <wp:lineTo x="21169" y="20329"/>
              <wp:lineTo x="21169" y="0"/>
              <wp:lineTo x="0" y="0"/>
            </wp:wrapPolygon>
          </wp:wrapThrough>
          <wp:docPr id="910553655" name="Imagen 6" descr="Un dibujo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553655" name="Imagen 6" descr="Un dibujo con letras&#10;&#10;Descripción generada automáticamente con confianza media"/>
                  <pic:cNvPicPr/>
                </pic:nvPicPr>
                <pic:blipFill>
                  <a:blip r:embed="rId3">
                    <a:extLst>
                      <a:ext uri="{28A0092B-C50C-407E-A947-70E740481C1C}">
                        <a14:useLocalDpi xmlns:a14="http://schemas.microsoft.com/office/drawing/2010/main" val="0"/>
                      </a:ext>
                    </a:extLst>
                  </a:blip>
                  <a:stretch>
                    <a:fillRect/>
                  </a:stretch>
                </pic:blipFill>
                <pic:spPr>
                  <a:xfrm>
                    <a:off x="0" y="0"/>
                    <a:ext cx="1405747" cy="487770"/>
                  </a:xfrm>
                  <a:prstGeom prst="rect">
                    <a:avLst/>
                  </a:prstGeom>
                </pic:spPr>
              </pic:pic>
            </a:graphicData>
          </a:graphic>
          <wp14:sizeRelH relativeFrom="page">
            <wp14:pctWidth>0</wp14:pctWidth>
          </wp14:sizeRelH>
          <wp14:sizeRelV relativeFrom="page">
            <wp14:pctHeight>0</wp14:pctHeight>
          </wp14:sizeRelV>
        </wp:anchor>
      </w:drawing>
    </w:r>
  </w:p>
  <w:p w14:paraId="70591060" w14:textId="77777777" w:rsidR="00756841" w:rsidRDefault="008E431D">
    <w:pPr>
      <w:pStyle w:val="Encabezado"/>
    </w:pPr>
  </w:p>
  <w:p w14:paraId="23D61E79" w14:textId="77777777" w:rsidR="00756841" w:rsidRDefault="008E431D">
    <w:pPr>
      <w:pStyle w:val="Encabezado"/>
    </w:pPr>
  </w:p>
  <w:p w14:paraId="685BDB80" w14:textId="77777777" w:rsidR="004A305D" w:rsidRPr="004A305D" w:rsidRDefault="009C12FE" w:rsidP="004A305D">
    <w:pPr>
      <w:spacing w:after="0"/>
      <w:rPr>
        <w:rFonts w:ascii="Century Gothic" w:hAnsi="Century Gothic"/>
        <w:color w:val="002060"/>
        <w:sz w:val="16"/>
        <w:szCs w:val="16"/>
      </w:rPr>
    </w:pPr>
    <w:r w:rsidRPr="004A305D">
      <w:rPr>
        <w:rFonts w:ascii="Century Gothic" w:hAnsi="Century Gothic"/>
        <w:color w:val="002060"/>
        <w:sz w:val="16"/>
        <w:szCs w:val="16"/>
      </w:rPr>
      <w:t>FORMATO PQRSD</w:t>
    </w:r>
  </w:p>
  <w:p w14:paraId="2700ABA5" w14:textId="77777777" w:rsidR="00AA5D32" w:rsidRPr="004A305D" w:rsidRDefault="009C12FE">
    <w:pPr>
      <w:rPr>
        <w:rFonts w:ascii="Century Gothic" w:eastAsia="Geo" w:hAnsi="Century Gothic" w:cs="Geo"/>
        <w:b/>
        <w:color w:val="002060"/>
        <w:sz w:val="16"/>
        <w:szCs w:val="16"/>
        <w:lang w:eastAsia="es-CO"/>
      </w:rPr>
    </w:pP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13</w:t>
    </w:r>
  </w:p>
  <w:p w14:paraId="5FC5B33A" w14:textId="77777777" w:rsidR="004A305D" w:rsidRPr="004A305D" w:rsidRDefault="009C12FE" w:rsidP="004A305D">
    <w:pPr>
      <w:spacing w:after="0"/>
      <w:rPr>
        <w:rFonts w:ascii="Century Gothic" w:eastAsia="Geo" w:hAnsi="Century Gothic" w:cs="Geo"/>
        <w:sz w:val="16"/>
        <w:szCs w:val="16"/>
        <w:lang w:eastAsia="es-CO"/>
      </w:rPr>
    </w:pP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1</w:t>
    </w:r>
    <w:r w:rsidRPr="004A305D">
      <w:rPr>
        <w:rFonts w:ascii="Century Gothic" w:eastAsia="Geo" w:hAnsi="Century Gothic" w:cs="Geo"/>
        <w:sz w:val="16"/>
        <w:szCs w:val="16"/>
        <w:lang w:eastAsia="es-CO"/>
      </w:rPr>
      <w:t xml:space="preserve"> DEL </w:t>
    </w:r>
    <w:r>
      <w:rPr>
        <w:rFonts w:ascii="Century Gothic" w:eastAsia="Geo" w:hAnsi="Century Gothic" w:cs="Geo"/>
        <w:sz w:val="16"/>
        <w:szCs w:val="16"/>
        <w:lang w:eastAsia="es-CO"/>
      </w:rPr>
      <w:t xml:space="preserve">15 </w:t>
    </w:r>
    <w:r w:rsidRPr="004A305D">
      <w:rPr>
        <w:rFonts w:ascii="Century Gothic" w:eastAsia="Geo" w:hAnsi="Century Gothic" w:cs="Geo"/>
        <w:sz w:val="16"/>
        <w:szCs w:val="16"/>
        <w:lang w:eastAsia="es-CO"/>
      </w:rPr>
      <w:t xml:space="preserve">DE </w:t>
    </w:r>
    <w:r>
      <w:rPr>
        <w:rFonts w:ascii="Century Gothic" w:eastAsia="Geo" w:hAnsi="Century Gothic" w:cs="Geo"/>
        <w:sz w:val="16"/>
        <w:szCs w:val="16"/>
        <w:lang w:eastAsia="es-CO"/>
      </w:rPr>
      <w:t>JUNIO</w:t>
    </w:r>
    <w:r w:rsidRPr="004A305D">
      <w:rPr>
        <w:rFonts w:ascii="Century Gothic" w:eastAsia="Geo" w:hAnsi="Century Gothic" w:cs="Geo"/>
        <w:sz w:val="16"/>
        <w:szCs w:val="16"/>
        <w:lang w:eastAsia="es-CO"/>
      </w:rPr>
      <w:t xml:space="preserve"> DE 202</w:t>
    </w:r>
    <w:r>
      <w:rPr>
        <w:rFonts w:ascii="Century Gothic" w:eastAsia="Geo" w:hAnsi="Century Gothic" w:cs="Geo"/>
        <w:sz w:val="16"/>
        <w:szCs w:val="16"/>
        <w:lang w:eastAsia="es-CO"/>
      </w:rPr>
      <w:t>3</w:t>
    </w:r>
  </w:p>
  <w:p w14:paraId="3E79B38D" w14:textId="77777777" w:rsidR="008A446D" w:rsidRDefault="008E431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5D20"/>
    <w:rsid w:val="0003442E"/>
    <w:rsid w:val="0005607B"/>
    <w:rsid w:val="00074FEF"/>
    <w:rsid w:val="000C1A02"/>
    <w:rsid w:val="000C6937"/>
    <w:rsid w:val="000E5D20"/>
    <w:rsid w:val="00102B17"/>
    <w:rsid w:val="00107949"/>
    <w:rsid w:val="00140140"/>
    <w:rsid w:val="00140844"/>
    <w:rsid w:val="00181606"/>
    <w:rsid w:val="001936B4"/>
    <w:rsid w:val="00197586"/>
    <w:rsid w:val="001B3BDA"/>
    <w:rsid w:val="00201C52"/>
    <w:rsid w:val="00201DDE"/>
    <w:rsid w:val="0021220A"/>
    <w:rsid w:val="0026130A"/>
    <w:rsid w:val="00281CA1"/>
    <w:rsid w:val="002829BD"/>
    <w:rsid w:val="002A480B"/>
    <w:rsid w:val="002B5850"/>
    <w:rsid w:val="002F62E7"/>
    <w:rsid w:val="0030394B"/>
    <w:rsid w:val="00314BDA"/>
    <w:rsid w:val="00337B7D"/>
    <w:rsid w:val="00372708"/>
    <w:rsid w:val="003847CD"/>
    <w:rsid w:val="003B24C6"/>
    <w:rsid w:val="003B781D"/>
    <w:rsid w:val="003C3F5C"/>
    <w:rsid w:val="003D2638"/>
    <w:rsid w:val="00406C93"/>
    <w:rsid w:val="004229F0"/>
    <w:rsid w:val="00441F44"/>
    <w:rsid w:val="00454D36"/>
    <w:rsid w:val="00535C97"/>
    <w:rsid w:val="005B51A5"/>
    <w:rsid w:val="006419AF"/>
    <w:rsid w:val="00644342"/>
    <w:rsid w:val="00697299"/>
    <w:rsid w:val="006B2AA3"/>
    <w:rsid w:val="006B6C74"/>
    <w:rsid w:val="00727CBE"/>
    <w:rsid w:val="00792CFA"/>
    <w:rsid w:val="007934E3"/>
    <w:rsid w:val="007A2D44"/>
    <w:rsid w:val="007B59DA"/>
    <w:rsid w:val="007E6E4D"/>
    <w:rsid w:val="007F1D33"/>
    <w:rsid w:val="00824EBE"/>
    <w:rsid w:val="00852975"/>
    <w:rsid w:val="008E431D"/>
    <w:rsid w:val="009462A6"/>
    <w:rsid w:val="0095667E"/>
    <w:rsid w:val="0099135B"/>
    <w:rsid w:val="009C12FE"/>
    <w:rsid w:val="009E2BA2"/>
    <w:rsid w:val="009F2741"/>
    <w:rsid w:val="00A27563"/>
    <w:rsid w:val="00A436A1"/>
    <w:rsid w:val="00A84855"/>
    <w:rsid w:val="00AA1E86"/>
    <w:rsid w:val="00AD65C1"/>
    <w:rsid w:val="00AF7E4C"/>
    <w:rsid w:val="00B15780"/>
    <w:rsid w:val="00B56DC8"/>
    <w:rsid w:val="00B70B49"/>
    <w:rsid w:val="00BC7244"/>
    <w:rsid w:val="00BE2D8F"/>
    <w:rsid w:val="00C53BD3"/>
    <w:rsid w:val="00C81453"/>
    <w:rsid w:val="00C8660A"/>
    <w:rsid w:val="00C9124A"/>
    <w:rsid w:val="00CA75BA"/>
    <w:rsid w:val="00CD4C5D"/>
    <w:rsid w:val="00CF2CBB"/>
    <w:rsid w:val="00CF487D"/>
    <w:rsid w:val="00D0034E"/>
    <w:rsid w:val="00D311AB"/>
    <w:rsid w:val="00D366E1"/>
    <w:rsid w:val="00D63A44"/>
    <w:rsid w:val="00D653F0"/>
    <w:rsid w:val="00D8267C"/>
    <w:rsid w:val="00D9178B"/>
    <w:rsid w:val="00DA0CA9"/>
    <w:rsid w:val="00DB54A6"/>
    <w:rsid w:val="00DE47B6"/>
    <w:rsid w:val="00DF46BE"/>
    <w:rsid w:val="00E109CC"/>
    <w:rsid w:val="00E118DE"/>
    <w:rsid w:val="00E46E99"/>
    <w:rsid w:val="00E954E2"/>
    <w:rsid w:val="00EA57DD"/>
    <w:rsid w:val="00EF0EDC"/>
    <w:rsid w:val="00F30BFC"/>
    <w:rsid w:val="00F34067"/>
    <w:rsid w:val="00F94989"/>
    <w:rsid w:val="00F9561E"/>
    <w:rsid w:val="00FA09A1"/>
    <w:rsid w:val="00FB3D43"/>
    <w:rsid w:val="00FD4216"/>
    <w:rsid w:val="00FF35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4EBB45"/>
  <w15:chartTrackingRefBased/>
  <w15:docId w15:val="{55166A6D-4D35-4BB2-8C30-AB75269031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5D20"/>
    <w:rPr>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E5D2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E5D20"/>
    <w:rPr>
      <w:lang w:val="es-CO"/>
    </w:rPr>
  </w:style>
  <w:style w:type="paragraph" w:styleId="Piedepgina">
    <w:name w:val="footer"/>
    <w:basedOn w:val="Normal"/>
    <w:link w:val="PiedepginaCar"/>
    <w:uiPriority w:val="99"/>
    <w:unhideWhenUsed/>
    <w:rsid w:val="000E5D2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E5D20"/>
    <w:rPr>
      <w:lang w:val="es-CO"/>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0E5D20"/>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0E5D20"/>
    <w:pPr>
      <w:spacing w:after="0" w:line="240" w:lineRule="auto"/>
    </w:pPr>
    <w:rPr>
      <w:sz w:val="20"/>
      <w:szCs w:val="20"/>
      <w:lang w:val="es-MX"/>
    </w:rPr>
  </w:style>
  <w:style w:type="character" w:customStyle="1" w:styleId="TextonotapieCar1">
    <w:name w:val="Texto nota pie Car1"/>
    <w:basedOn w:val="Fuentedeprrafopredeter"/>
    <w:uiPriority w:val="99"/>
    <w:semiHidden/>
    <w:rsid w:val="000E5D20"/>
    <w:rPr>
      <w:sz w:val="20"/>
      <w:szCs w:val="20"/>
      <w:lang w:val="es-CO"/>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0E5D20"/>
    <w:rPr>
      <w:vertAlign w:val="superscript"/>
    </w:rPr>
  </w:style>
  <w:style w:type="character" w:customStyle="1" w:styleId="normaltextrun">
    <w:name w:val="normaltextrun"/>
    <w:basedOn w:val="Fuentedeprrafopredeter"/>
    <w:rsid w:val="000E5D20"/>
  </w:style>
  <w:style w:type="table" w:styleId="Tablaconcuadrcula">
    <w:name w:val="Table Grid"/>
    <w:basedOn w:val="Tablanormal"/>
    <w:uiPriority w:val="59"/>
    <w:qFormat/>
    <w:rsid w:val="000E5D20"/>
    <w:pPr>
      <w:spacing w:after="0" w:line="240" w:lineRule="auto"/>
    </w:pPr>
    <w:rPr>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E5D20"/>
    <w:pPr>
      <w:ind w:left="720"/>
      <w:contextualSpacing/>
    </w:pPr>
    <w:rPr>
      <w:rFonts w:ascii="Geomanist Light" w:hAnsi="Geomanist Light"/>
      <w:lang w:val="es-ES"/>
    </w:rPr>
  </w:style>
  <w:style w:type="character" w:styleId="Hipervnculo">
    <w:name w:val="Hyperlink"/>
    <w:basedOn w:val="Fuentedeprrafopredeter"/>
    <w:uiPriority w:val="99"/>
    <w:unhideWhenUsed/>
    <w:rsid w:val="000E5D20"/>
    <w:rPr>
      <w:color w:val="0563C1" w:themeColor="hyperlink"/>
      <w:u w:val="single"/>
    </w:rPr>
  </w:style>
  <w:style w:type="paragraph" w:styleId="NormalWeb">
    <w:name w:val="Normal (Web)"/>
    <w:basedOn w:val="Normal"/>
    <w:link w:val="NormalWebCar"/>
    <w:uiPriority w:val="99"/>
    <w:unhideWhenUsed/>
    <w:rsid w:val="000E5D20"/>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E5D20"/>
    <w:rPr>
      <w:rFonts w:ascii="Geomanist Light" w:hAnsi="Geomanist Light"/>
      <w:lang w:val="es-ES"/>
    </w:rPr>
  </w:style>
  <w:style w:type="table" w:customStyle="1" w:styleId="Tablaconcuadrcula1">
    <w:name w:val="Tabla con cuadrícula1"/>
    <w:basedOn w:val="Tablanormal"/>
    <w:next w:val="Tablaconcuadrcula"/>
    <w:uiPriority w:val="59"/>
    <w:rsid w:val="000E5D20"/>
    <w:pPr>
      <w:spacing w:after="0" w:line="240" w:lineRule="auto"/>
      <w:jc w:val="both"/>
    </w:pPr>
    <w:rPr>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E5D20"/>
    <w:pPr>
      <w:spacing w:line="240" w:lineRule="exact"/>
    </w:pPr>
    <w:rPr>
      <w:vertAlign w:val="superscript"/>
      <w:lang w:val="en-US"/>
    </w:rPr>
  </w:style>
  <w:style w:type="character" w:customStyle="1" w:styleId="NormalWebCar">
    <w:name w:val="Normal (Web) Car"/>
    <w:link w:val="NormalWeb"/>
    <w:uiPriority w:val="99"/>
    <w:rsid w:val="000E5D20"/>
    <w:rPr>
      <w:rFonts w:ascii="Times New Roman" w:eastAsia="Times New Roman" w:hAnsi="Times New Roman" w:cs="Times New Roman"/>
      <w:sz w:val="24"/>
      <w:szCs w:val="24"/>
      <w:lang w:val="es-CO" w:eastAsia="es-CO"/>
    </w:rPr>
  </w:style>
  <w:style w:type="paragraph" w:styleId="Sinespaciado">
    <w:name w:val="No Spacing"/>
    <w:aliases w:val="No Indent"/>
    <w:link w:val="SinespaciadoCar"/>
    <w:uiPriority w:val="3"/>
    <w:qFormat/>
    <w:rsid w:val="000E5D20"/>
    <w:pPr>
      <w:spacing w:after="0" w:line="240" w:lineRule="auto"/>
    </w:pPr>
    <w:rPr>
      <w:sz w:val="24"/>
      <w:lang w:val="es-MX"/>
    </w:rPr>
  </w:style>
  <w:style w:type="character" w:customStyle="1" w:styleId="SinespaciadoCar">
    <w:name w:val="Sin espaciado Car"/>
    <w:aliases w:val="No Indent Car"/>
    <w:link w:val="Sinespaciado"/>
    <w:uiPriority w:val="3"/>
    <w:rsid w:val="000E5D20"/>
    <w:rPr>
      <w:sz w:val="24"/>
      <w:lang w:val="es-MX"/>
    </w:rPr>
  </w:style>
  <w:style w:type="character" w:styleId="Refdecomentario">
    <w:name w:val="annotation reference"/>
    <w:basedOn w:val="Fuentedeprrafopredeter"/>
    <w:uiPriority w:val="99"/>
    <w:semiHidden/>
    <w:unhideWhenUsed/>
    <w:rsid w:val="000E5D20"/>
    <w:rPr>
      <w:sz w:val="16"/>
      <w:szCs w:val="16"/>
    </w:rPr>
  </w:style>
  <w:style w:type="paragraph" w:styleId="Textocomentario">
    <w:name w:val="annotation text"/>
    <w:basedOn w:val="Normal"/>
    <w:link w:val="TextocomentarioCar"/>
    <w:uiPriority w:val="99"/>
    <w:unhideWhenUsed/>
    <w:rsid w:val="000E5D20"/>
    <w:pPr>
      <w:spacing w:line="240" w:lineRule="auto"/>
    </w:pPr>
    <w:rPr>
      <w:sz w:val="20"/>
      <w:szCs w:val="20"/>
    </w:rPr>
  </w:style>
  <w:style w:type="character" w:customStyle="1" w:styleId="TextocomentarioCar">
    <w:name w:val="Texto comentario Car"/>
    <w:basedOn w:val="Fuentedeprrafopredeter"/>
    <w:link w:val="Textocomentario"/>
    <w:uiPriority w:val="99"/>
    <w:rsid w:val="000E5D20"/>
    <w:rPr>
      <w:sz w:val="20"/>
      <w:szCs w:val="20"/>
      <w:lang w:val="es-CO"/>
    </w:rPr>
  </w:style>
  <w:style w:type="paragraph" w:styleId="Textodeglobo">
    <w:name w:val="Balloon Text"/>
    <w:basedOn w:val="Normal"/>
    <w:link w:val="TextodegloboCar"/>
    <w:uiPriority w:val="99"/>
    <w:semiHidden/>
    <w:unhideWhenUsed/>
    <w:rsid w:val="000E5D2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E5D20"/>
    <w:rPr>
      <w:rFonts w:ascii="Segoe UI" w:hAnsi="Segoe UI" w:cs="Segoe UI"/>
      <w:sz w:val="18"/>
      <w:szCs w:val="18"/>
      <w:lang w:val="es-CO"/>
    </w:rPr>
  </w:style>
  <w:style w:type="paragraph" w:styleId="Revisin">
    <w:name w:val="Revision"/>
    <w:hidden/>
    <w:uiPriority w:val="99"/>
    <w:semiHidden/>
    <w:rsid w:val="00FB3D43"/>
    <w:pPr>
      <w:spacing w:after="0" w:line="240" w:lineRule="auto"/>
    </w:pPr>
    <w:rPr>
      <w:lang w:val="es-CO"/>
    </w:rPr>
  </w:style>
  <w:style w:type="paragraph" w:styleId="Asuntodelcomentario">
    <w:name w:val="annotation subject"/>
    <w:basedOn w:val="Textocomentario"/>
    <w:next w:val="Textocomentario"/>
    <w:link w:val="AsuntodelcomentarioCar"/>
    <w:uiPriority w:val="99"/>
    <w:semiHidden/>
    <w:unhideWhenUsed/>
    <w:rsid w:val="00FF35F5"/>
    <w:rPr>
      <w:b/>
      <w:bCs/>
    </w:rPr>
  </w:style>
  <w:style w:type="character" w:customStyle="1" w:styleId="AsuntodelcomentarioCar">
    <w:name w:val="Asunto del comentario Car"/>
    <w:basedOn w:val="TextocomentarioCar"/>
    <w:link w:val="Asuntodelcomentario"/>
    <w:uiPriority w:val="99"/>
    <w:semiHidden/>
    <w:rsid w:val="00FF35F5"/>
    <w:rPr>
      <w:b/>
      <w:bCs/>
      <w:sz w:val="20"/>
      <w:szCs w:val="20"/>
      <w:lang w:val="es-CO"/>
    </w:rPr>
  </w:style>
  <w:style w:type="character" w:customStyle="1" w:styleId="baj">
    <w:name w:val="b_aj"/>
    <w:basedOn w:val="Fuentedeprrafopredeter"/>
    <w:rsid w:val="003D26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437333">
      <w:bodyDiv w:val="1"/>
      <w:marLeft w:val="0"/>
      <w:marRight w:val="0"/>
      <w:marTop w:val="0"/>
      <w:marBottom w:val="0"/>
      <w:divBdr>
        <w:top w:val="none" w:sz="0" w:space="0" w:color="auto"/>
        <w:left w:val="none" w:sz="0" w:space="0" w:color="auto"/>
        <w:bottom w:val="none" w:sz="0" w:space="0" w:color="auto"/>
        <w:right w:val="none" w:sz="0" w:space="0" w:color="auto"/>
      </w:divBdr>
    </w:div>
    <w:div w:id="381564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lombiacompra.gov.co/" TargetMode="External"/><Relationship Id="rId13" Type="http://schemas.openxmlformats.org/officeDocument/2006/relationships/image" Target="media/image2.png"/><Relationship Id="rId18" Type="http://schemas.microsoft.com/office/2018/08/relationships/commentsExtensible" Target="commentsExtensi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hyperlink" Target="https://www.colombiacompra.gov.co/"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ortal.paco.gov.co/"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colombiacompra.gov.co/secop/secop" TargetMode="External"/><Relationship Id="rId19" Type="http://schemas.microsoft.com/office/2016/09/relationships/commentsIds" Target="commentsIds.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eader" Target="header1.xml"/><Relationship Id="rId22" Type="http://schemas.openxmlformats.org/officeDocument/2006/relationships/customXml" Target="../customXml/item4.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6.png"/></Relationships>
</file>

<file path=word/_rels/footnotes.xml.rels><?xml version="1.0" encoding="UTF-8" standalone="yes"?>
<Relationships xmlns="http://schemas.openxmlformats.org/package/2006/relationships"><Relationship Id="rId3" Type="http://schemas.openxmlformats.org/officeDocument/2006/relationships/hyperlink" Target="https://relatoria.colombiacompra.gov.co/busqueda/conceptos" TargetMode="External"/><Relationship Id="rId7" Type="http://schemas.openxmlformats.org/officeDocument/2006/relationships/hyperlink" Target="https://www.colombiacompra.gov.co/sites/cce_public/files/cce_documentos/umbrales_2020_-_2021.pdf" TargetMode="External"/><Relationship Id="rId2" Type="http://schemas.openxmlformats.org/officeDocument/2006/relationships/hyperlink" Target="https://www.colombiacompra.gov.co/sites/cce_public/files/cce_documentos/umbrales_2020_-_2021.pdf" TargetMode="External"/><Relationship Id="rId1" Type="http://schemas.openxmlformats.org/officeDocument/2006/relationships/hyperlink" Target="https://www.banrep.gov.co/es/estadisticas/trm" TargetMode="External"/><Relationship Id="rId6" Type="http://schemas.openxmlformats.org/officeDocument/2006/relationships/hyperlink" Target="https://www.banrep.gov.co/es/estadisticas/trm" TargetMode="External"/><Relationship Id="rId5" Type="http://schemas.openxmlformats.org/officeDocument/2006/relationships/hyperlink" Target="https://colaboracion.dnp.gov.co/CDT/Conpes/Econ%C3%B3micos/3956.pdf" TargetMode="External"/><Relationship Id="rId4" Type="http://schemas.openxmlformats.org/officeDocument/2006/relationships/hyperlink" Target="https://www.funcionpublica.gov.co/eva/gestornormativo/norma.php?i=175446"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7" ma:contentTypeDescription="Crear nuevo documento." ma:contentTypeScope="" ma:versionID="a34407833354fcfc312bad70d6c3459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b353d508bfaf3d48e66d044e463fff7"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7B27EC6-FBAD-4A29-81CA-502AAE3D24E8}">
  <ds:schemaRefs>
    <ds:schemaRef ds:uri="http://schemas.openxmlformats.org/officeDocument/2006/bibliography"/>
  </ds:schemaRefs>
</ds:datastoreItem>
</file>

<file path=customXml/itemProps2.xml><?xml version="1.0" encoding="utf-8"?>
<ds:datastoreItem xmlns:ds="http://schemas.openxmlformats.org/officeDocument/2006/customXml" ds:itemID="{83C6AF83-B362-4EE7-813A-375845D6F8EC}"/>
</file>

<file path=customXml/itemProps3.xml><?xml version="1.0" encoding="utf-8"?>
<ds:datastoreItem xmlns:ds="http://schemas.openxmlformats.org/officeDocument/2006/customXml" ds:itemID="{2C1F8284-0F0A-4A22-8F94-A03FDCE1EF09}"/>
</file>

<file path=customXml/itemProps4.xml><?xml version="1.0" encoding="utf-8"?>
<ds:datastoreItem xmlns:ds="http://schemas.openxmlformats.org/officeDocument/2006/customXml" ds:itemID="{5071EF1F-60F7-4116-8E5D-BC4EA69C889C}"/>
</file>

<file path=docProps/app.xml><?xml version="1.0" encoding="utf-8"?>
<Properties xmlns="http://schemas.openxmlformats.org/officeDocument/2006/extended-properties" xmlns:vt="http://schemas.openxmlformats.org/officeDocument/2006/docPropsVTypes">
  <Template>Normal</Template>
  <TotalTime>72</TotalTime>
  <Pages>43</Pages>
  <Words>15927</Words>
  <Characters>90784</Characters>
  <Application>Microsoft Office Word</Application>
  <DocSecurity>0</DocSecurity>
  <Lines>756</Lines>
  <Paragraphs>212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106499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Nina Padron</dc:creator>
  <cp:keywords/>
  <dc:description/>
  <cp:lastModifiedBy>Nina Padron</cp:lastModifiedBy>
  <cp:revision>27</cp:revision>
  <cp:lastPrinted>2023-07-12T02:36:00Z</cp:lastPrinted>
  <dcterms:created xsi:type="dcterms:W3CDTF">2023-07-12T00:05:00Z</dcterms:created>
  <dcterms:modified xsi:type="dcterms:W3CDTF">2023-10-04T14:35:00Z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