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FF71C" w14:textId="77777777" w:rsidR="00DB3070" w:rsidRPr="00A67248" w:rsidRDefault="00DB3070" w:rsidP="00A67248">
      <w:pPr>
        <w:spacing w:after="120" w:line="240" w:lineRule="auto"/>
        <w:contextualSpacing/>
        <w:jc w:val="both"/>
        <w:rPr>
          <w:rFonts w:ascii="Century Gothic" w:eastAsia="Calibri" w:hAnsi="Century Gothic" w:cs="Arial"/>
          <w:b/>
          <w:sz w:val="20"/>
          <w:szCs w:val="20"/>
          <w:lang w:val="es-MX" w:eastAsia="es-ES_tradnl"/>
        </w:rPr>
      </w:pPr>
      <w:r w:rsidRPr="00A67248">
        <w:rPr>
          <w:rFonts w:ascii="Century Gothic" w:eastAsia="Calibri" w:hAnsi="Century Gothic" w:cs="Arial"/>
          <w:b/>
          <w:sz w:val="20"/>
          <w:szCs w:val="20"/>
          <w:lang w:val="es-MX" w:eastAsia="es-ES_tradnl"/>
        </w:rPr>
        <w:t>EMPRESAS Y EMPRENDIMIENTOS DE MUJERES – Cargos directivos</w:t>
      </w:r>
    </w:p>
    <w:p w14:paraId="2C947839" w14:textId="77777777" w:rsidR="003E280B" w:rsidRPr="00A67248" w:rsidRDefault="003E280B" w:rsidP="00A67248">
      <w:pPr>
        <w:spacing w:after="120" w:line="240" w:lineRule="auto"/>
        <w:contextualSpacing/>
        <w:jc w:val="both"/>
        <w:rPr>
          <w:rFonts w:ascii="Century Gothic" w:eastAsia="Calibri" w:hAnsi="Century Gothic" w:cs="Arial"/>
          <w:b/>
          <w:sz w:val="20"/>
          <w:szCs w:val="20"/>
          <w:lang w:val="es-MX" w:eastAsia="es-ES_tradnl"/>
        </w:rPr>
      </w:pPr>
    </w:p>
    <w:p w14:paraId="377BD8E3" w14:textId="552FFD22" w:rsidR="003E280B" w:rsidRPr="00A67248" w:rsidRDefault="003E280B"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Los “empleos del nivel directivo” a los que se refiere la norma son aquellos relacionados con la dirección de áreas misionales y las decisiones de nivel estratégico de la respectiva persona jurídica. De esta manera, los cargos directivos deben identificarse de acuerdo con la definición que para el efecto estableció el Decreto 1082 de 2015, adicionado por el Decreto 1860 de 2021.En ese sentido, independientemente de la denominación del cargo, su naturaleza será directiva bien porque se encuentra en un nivel especial de mando o porque, de acuerdo con su jerarquía, representan al empleador en los términos del artículo 32 del Código Sustantivo del Trabajo.</w:t>
      </w:r>
    </w:p>
    <w:p w14:paraId="2D3E0102" w14:textId="77777777" w:rsidR="003E280B" w:rsidRPr="00A67248" w:rsidRDefault="003E280B" w:rsidP="00A67248">
      <w:pPr>
        <w:spacing w:after="120" w:line="240" w:lineRule="auto"/>
        <w:contextualSpacing/>
        <w:jc w:val="both"/>
        <w:rPr>
          <w:rFonts w:ascii="Century Gothic" w:eastAsia="Calibri" w:hAnsi="Century Gothic" w:cs="Arial"/>
          <w:bCs/>
          <w:sz w:val="20"/>
          <w:szCs w:val="20"/>
          <w:lang w:val="es-MX" w:eastAsia="es-ES_tradnl"/>
        </w:rPr>
      </w:pPr>
    </w:p>
    <w:p w14:paraId="253C5A21" w14:textId="77777777" w:rsidR="003E280B" w:rsidRPr="00A67248" w:rsidRDefault="003E280B"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Para la acreditación de este requisito, la norma establece que deben entenderse</w:t>
      </w:r>
    </w:p>
    <w:p w14:paraId="751D757F" w14:textId="2BB607CA" w:rsidR="003E280B" w:rsidRPr="00A67248" w:rsidRDefault="003E280B"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 xml:space="preserve">como empleos del nivel directivo aquellos relacionados con la dirección de áreas misionales y la toma de decisiones estratégicas. Además, que también lo serán aquellos que se encuentran ubicados en un nivel de mando o los que por su jerarquía desempeñan cargos encaminados al cumplimiento de funciones orientadas a representar al empleador. </w:t>
      </w:r>
    </w:p>
    <w:p w14:paraId="4B0C056F" w14:textId="77777777" w:rsidR="003E280B" w:rsidRPr="00A67248" w:rsidRDefault="003E280B" w:rsidP="00A67248">
      <w:pPr>
        <w:spacing w:after="120" w:line="240" w:lineRule="auto"/>
        <w:contextualSpacing/>
        <w:jc w:val="both"/>
        <w:rPr>
          <w:rFonts w:ascii="Century Gothic" w:eastAsia="Calibri" w:hAnsi="Century Gothic" w:cs="Arial"/>
          <w:b/>
          <w:sz w:val="20"/>
          <w:szCs w:val="20"/>
          <w:lang w:val="es-MX" w:eastAsia="es-ES_tradnl"/>
        </w:rPr>
      </w:pPr>
    </w:p>
    <w:p w14:paraId="674613BB" w14:textId="77777777" w:rsidR="00DB3070" w:rsidRPr="00A67248" w:rsidRDefault="00DB3070" w:rsidP="00A67248">
      <w:pPr>
        <w:spacing w:after="120" w:line="240" w:lineRule="auto"/>
        <w:contextualSpacing/>
        <w:jc w:val="both"/>
        <w:rPr>
          <w:rFonts w:ascii="Century Gothic" w:eastAsia="Calibri" w:hAnsi="Century Gothic" w:cs="Arial"/>
          <w:b/>
          <w:sz w:val="20"/>
          <w:szCs w:val="20"/>
          <w:lang w:val="es-MX" w:eastAsia="es-ES_tradnl"/>
        </w:rPr>
      </w:pPr>
      <w:r w:rsidRPr="00A67248">
        <w:rPr>
          <w:rFonts w:ascii="Century Gothic" w:eastAsia="Calibri" w:hAnsi="Century Gothic" w:cs="Arial"/>
          <w:b/>
          <w:sz w:val="20"/>
          <w:szCs w:val="20"/>
          <w:lang w:val="es-MX" w:eastAsia="es-ES_tradnl"/>
        </w:rPr>
        <w:t>DOCUMENTO TIPO - Criterios diferenciales</w:t>
      </w:r>
    </w:p>
    <w:p w14:paraId="44153F19" w14:textId="77777777" w:rsidR="00EA5639" w:rsidRPr="00A67248" w:rsidRDefault="00EA5639" w:rsidP="00A67248">
      <w:pPr>
        <w:spacing w:after="120" w:line="240" w:lineRule="auto"/>
        <w:contextualSpacing/>
        <w:jc w:val="both"/>
        <w:rPr>
          <w:rFonts w:ascii="Century Gothic" w:eastAsia="Calibri" w:hAnsi="Century Gothic" w:cs="Arial"/>
          <w:b/>
          <w:sz w:val="20"/>
          <w:szCs w:val="20"/>
          <w:lang w:val="es-MX" w:eastAsia="es-ES_tradnl"/>
        </w:rPr>
      </w:pPr>
    </w:p>
    <w:p w14:paraId="11D550B1" w14:textId="29A3A17E" w:rsidR="00EA5639" w:rsidRPr="00A67248" w:rsidRDefault="00EA5639"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Como se explicó ut supra,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Selección. Sin embargo, en la medida que los hombres no son destinatarios de las condiciones habilitantes y de los puntajes adicionales del artículo 2.2.1.2.4.2.15 del Decreto 1082 de 2015, es indiferente la forma y el tiempo de vinculación.</w:t>
      </w:r>
    </w:p>
    <w:p w14:paraId="363E836F" w14:textId="77777777" w:rsidR="00A67248" w:rsidRPr="00A67248" w:rsidRDefault="00A67248" w:rsidP="00A67248">
      <w:pPr>
        <w:spacing w:after="120" w:line="240" w:lineRule="auto"/>
        <w:contextualSpacing/>
        <w:jc w:val="both"/>
        <w:rPr>
          <w:rFonts w:ascii="Century Gothic" w:eastAsia="Calibri" w:hAnsi="Century Gothic" w:cs="Arial"/>
          <w:bCs/>
          <w:sz w:val="20"/>
          <w:szCs w:val="20"/>
          <w:lang w:val="es-MX" w:eastAsia="es-ES_tradnl"/>
        </w:rPr>
      </w:pPr>
    </w:p>
    <w:p w14:paraId="2F42113E" w14:textId="192F893E" w:rsidR="00EA5639" w:rsidRPr="00A67248" w:rsidRDefault="00EA5639"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Por tanto, siempre que “[…] por lo menos el cincuenta por ciento (50%) de los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empleos del nivel directivo de la persona jurídica sean ejercidos por mujeres y éstas hayan</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estado vinculadas laboralmente a la empresa durante al menos el último año anterior a la</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fecha de cierre del Proceso de Selección en el mismo cargo u otro del mismo nivel […]”</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habrá lugar a los incentivos para el proponente. Lo anterior al margen de que los cargos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ejercidos minoritariamente por hombres sean contratados a través de prestación de</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servicios u otra modalidades de contratación. En esta perspectiva, los documentos tipo</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recogen de manera armónica lo previsto en el Decreto 1082 del 2015, modificado por el</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Decreto 1860 de 2021</w:t>
      </w:r>
      <w:r w:rsidR="00A67248" w:rsidRPr="00A67248">
        <w:rPr>
          <w:rFonts w:ascii="Century Gothic" w:eastAsia="Calibri" w:hAnsi="Century Gothic" w:cs="Arial"/>
          <w:bCs/>
          <w:sz w:val="20"/>
          <w:szCs w:val="20"/>
          <w:lang w:val="es-MX" w:eastAsia="es-ES_tradnl"/>
        </w:rPr>
        <w:t>.</w:t>
      </w:r>
    </w:p>
    <w:p w14:paraId="5ECA84F1" w14:textId="77777777" w:rsidR="003E280B" w:rsidRPr="00A67248" w:rsidRDefault="003E280B" w:rsidP="00A67248">
      <w:pPr>
        <w:spacing w:after="120" w:line="240" w:lineRule="auto"/>
        <w:contextualSpacing/>
        <w:jc w:val="both"/>
        <w:rPr>
          <w:rFonts w:ascii="Century Gothic" w:eastAsia="Calibri" w:hAnsi="Century Gothic" w:cs="Arial"/>
          <w:b/>
          <w:sz w:val="20"/>
          <w:szCs w:val="20"/>
          <w:lang w:val="es-MX" w:eastAsia="es-ES_tradnl"/>
        </w:rPr>
      </w:pPr>
    </w:p>
    <w:p w14:paraId="4E9D56F4" w14:textId="63484917" w:rsidR="00DB3070" w:rsidRPr="00A67248" w:rsidRDefault="00DB3070" w:rsidP="00A67248">
      <w:pPr>
        <w:spacing w:after="120" w:line="240" w:lineRule="auto"/>
        <w:contextualSpacing/>
        <w:jc w:val="both"/>
        <w:rPr>
          <w:rFonts w:ascii="Century Gothic" w:eastAsia="Calibri" w:hAnsi="Century Gothic" w:cs="Arial"/>
          <w:b/>
          <w:sz w:val="20"/>
          <w:szCs w:val="20"/>
          <w:lang w:val="es-MX" w:eastAsia="es-ES_tradnl"/>
        </w:rPr>
      </w:pPr>
      <w:r w:rsidRPr="00A67248">
        <w:rPr>
          <w:rFonts w:ascii="Century Gothic" w:eastAsia="Calibri" w:hAnsi="Century Gothic" w:cs="Arial"/>
          <w:b/>
          <w:sz w:val="20"/>
          <w:szCs w:val="20"/>
          <w:lang w:val="es-MX" w:eastAsia="es-ES_tradnl"/>
        </w:rPr>
        <w:t xml:space="preserve">DOCUMENTO TIPO - Formato 12 – Acreditación emprendimiento y empresa de mujeres” – Diligenciamiento </w:t>
      </w:r>
    </w:p>
    <w:p w14:paraId="5C49D322" w14:textId="77777777" w:rsidR="00D67EF4" w:rsidRPr="00A67248" w:rsidRDefault="00D67EF4" w:rsidP="00A67248">
      <w:pPr>
        <w:spacing w:after="120" w:line="240" w:lineRule="auto"/>
        <w:contextualSpacing/>
        <w:jc w:val="both"/>
        <w:rPr>
          <w:rFonts w:ascii="Century Gothic" w:eastAsia="Calibri" w:hAnsi="Century Gothic" w:cs="Arial"/>
          <w:b/>
          <w:sz w:val="20"/>
          <w:szCs w:val="20"/>
          <w:lang w:val="es-MX" w:eastAsia="es-ES_tradnl"/>
        </w:rPr>
      </w:pPr>
    </w:p>
    <w:p w14:paraId="657B0F45" w14:textId="1A3FDFD8" w:rsidR="00EA5639" w:rsidRPr="00A67248" w:rsidRDefault="00EA5639"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Tratándose del “Formato 12 – Acreditación emprendimiento y empresa de mujeres” de los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documentos tipo, la opción 2 indica que “En el siguiente cuadro señalamos de forma</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detallada la denominación de los cargos directivos que existen dentro de la persona jurídica,</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la identificación de las personas que ocuparon o ejercen los cargos del nivel directivo del</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Proponente y el tiempo de vinculación”.</w:t>
      </w:r>
    </w:p>
    <w:p w14:paraId="53886F6D" w14:textId="77777777" w:rsidR="00A67248" w:rsidRPr="00A67248" w:rsidRDefault="00A67248" w:rsidP="00A67248">
      <w:pPr>
        <w:spacing w:after="120" w:line="240" w:lineRule="auto"/>
        <w:contextualSpacing/>
        <w:jc w:val="both"/>
        <w:rPr>
          <w:rFonts w:ascii="Century Gothic" w:eastAsia="Calibri" w:hAnsi="Century Gothic" w:cs="Arial"/>
          <w:bCs/>
          <w:sz w:val="20"/>
          <w:szCs w:val="20"/>
          <w:lang w:val="es-MX" w:eastAsia="es-ES_tradnl"/>
        </w:rPr>
      </w:pPr>
    </w:p>
    <w:p w14:paraId="45B2CA18" w14:textId="4973A1D3" w:rsidR="00EA5639" w:rsidRPr="00A67248" w:rsidRDefault="00EA5639"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lastRenderedPageBreak/>
        <w:t>A continuación, señala lo siguiente: “Conforme a lo anterior, manifestamos bajo la</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gravedad del juramento que por lo menos el cincuenta por ciento (50 %) de los empleos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del nivel directivo de la persona jurídica han sido ejercidos por mujeres y estas han estado</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vinculadas laboralmente a la empresa durante al menos el último año anterior a la fecha de</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cierre del Proceso de Contratación en el mismo cargo u otro del mismo nivel”.</w:t>
      </w:r>
    </w:p>
    <w:p w14:paraId="3BEEBDC2" w14:textId="77777777" w:rsidR="00A67248" w:rsidRPr="00A67248" w:rsidRDefault="00A67248" w:rsidP="00A67248">
      <w:pPr>
        <w:spacing w:after="120" w:line="240" w:lineRule="auto"/>
        <w:contextualSpacing/>
        <w:jc w:val="both"/>
        <w:rPr>
          <w:rFonts w:ascii="Century Gothic" w:eastAsia="Calibri" w:hAnsi="Century Gothic" w:cs="Arial"/>
          <w:bCs/>
          <w:sz w:val="20"/>
          <w:szCs w:val="20"/>
          <w:lang w:val="es-MX" w:eastAsia="es-ES_tradnl"/>
        </w:rPr>
      </w:pPr>
    </w:p>
    <w:p w14:paraId="0598C29E" w14:textId="146A1687" w:rsidR="00EA5639" w:rsidRPr="00A67248" w:rsidRDefault="00EA5639"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El cuadro debe diligenciarse respecto a las personas que, independientemente de</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su sexo, tienen cargos del nivel directivo. Esto es importante para determinar si el</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porcentaje mayoritario es ocupado por mujeres. Por lo demás, el formato también señala</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que “Como soporte de esta declaración se anexa copia de (i) los respectivos documentos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 xml:space="preserve">de identidad, (ii) los contratos de trabajo o certificación laboral con las funciones y </w:t>
      </w:r>
      <w:proofErr w:type="gramStart"/>
      <w:r w:rsidRPr="00A67248">
        <w:rPr>
          <w:rFonts w:ascii="Century Gothic" w:eastAsia="Calibri" w:hAnsi="Century Gothic" w:cs="Arial"/>
          <w:bCs/>
          <w:sz w:val="20"/>
          <w:szCs w:val="20"/>
          <w:lang w:val="es-MX" w:eastAsia="es-ES_tradnl"/>
        </w:rPr>
        <w:t>( iii</w:t>
      </w:r>
      <w:proofErr w:type="gramEnd"/>
      <w:r w:rsidRPr="00A67248">
        <w:rPr>
          <w:rFonts w:ascii="Century Gothic" w:eastAsia="Calibri" w:hAnsi="Century Gothic" w:cs="Arial"/>
          <w:bCs/>
          <w:sz w:val="20"/>
          <w:szCs w:val="20"/>
          <w:lang w:val="es-MX" w:eastAsia="es-ES_tradnl"/>
        </w:rPr>
        <w:t>) el</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certificado de aportes al Sistema de Seguridad Social del último año en el que se</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demuestren los pagos realizados por el empleador, en relación con cada una de las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personas que conforman el nivel directivo del Proponente”.</w:t>
      </w:r>
    </w:p>
    <w:p w14:paraId="38DA66C1" w14:textId="2ECA027D" w:rsidR="00D67EF4" w:rsidRPr="00A67248" w:rsidRDefault="00D67EF4"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w:t>
      </w:r>
    </w:p>
    <w:p w14:paraId="7E1D6027" w14:textId="3A68C64B" w:rsidR="00D67EF4" w:rsidRPr="00A67248" w:rsidRDefault="00D67EF4" w:rsidP="00A67248">
      <w:pPr>
        <w:spacing w:after="120" w:line="240" w:lineRule="auto"/>
        <w:contextualSpacing/>
        <w:jc w:val="both"/>
        <w:rPr>
          <w:rFonts w:ascii="Century Gothic" w:eastAsia="Calibri" w:hAnsi="Century Gothic" w:cs="Arial"/>
          <w:bCs/>
          <w:sz w:val="20"/>
          <w:szCs w:val="20"/>
          <w:lang w:val="es-MX" w:eastAsia="es-ES_tradnl"/>
        </w:rPr>
      </w:pPr>
      <w:r w:rsidRPr="00A67248">
        <w:rPr>
          <w:rFonts w:ascii="Century Gothic" w:eastAsia="Calibri" w:hAnsi="Century Gothic" w:cs="Arial"/>
          <w:bCs/>
          <w:sz w:val="20"/>
          <w:szCs w:val="20"/>
          <w:lang w:val="es-MX" w:eastAsia="es-ES_tradnl"/>
        </w:rPr>
        <w:t>Finalmente, se concluye que el análisis de la aplicación de la norma estudiada se</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realiza en función de las mujeres vinculadas a un cargo del nivel directivo, mas no de los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hombres que ocupan este tipo de cargos dentro de una persona jurídica. En ese sentido,</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el número de hombres solo será relevante para determinar si se cumplen los porcentajes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requeridos por la norma frente a las mujeres, pero no constituye per se un criterio en favor</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del cual se otorguen incentivos, ya que se trata de criterios diferenciales para</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emprendimientos y empresas constituidas por mujeres en los términos y porcentajes</w:t>
      </w:r>
      <w:r w:rsidR="00A67248" w:rsidRPr="00A67248">
        <w:rPr>
          <w:rFonts w:ascii="Century Gothic" w:eastAsia="Calibri" w:hAnsi="Century Gothic" w:cs="Arial"/>
          <w:bCs/>
          <w:sz w:val="20"/>
          <w:szCs w:val="20"/>
          <w:lang w:val="es-MX" w:eastAsia="es-ES_tradnl"/>
        </w:rPr>
        <w:t xml:space="preserve"> </w:t>
      </w:r>
      <w:r w:rsidRPr="00A67248">
        <w:rPr>
          <w:rFonts w:ascii="Century Gothic" w:eastAsia="Calibri" w:hAnsi="Century Gothic" w:cs="Arial"/>
          <w:bCs/>
          <w:sz w:val="20"/>
          <w:szCs w:val="20"/>
          <w:lang w:val="es-MX" w:eastAsia="es-ES_tradnl"/>
        </w:rPr>
        <w:t>previamente explicados.</w:t>
      </w:r>
    </w:p>
    <w:p w14:paraId="47008C8E" w14:textId="4A47D056" w:rsidR="00DB3070" w:rsidRDefault="00DB3070">
      <w:pPr>
        <w:rPr>
          <w:rFonts w:ascii="Century Gothic" w:hAnsi="Century Gothic"/>
        </w:rPr>
      </w:pPr>
      <w:r>
        <w:rPr>
          <w:rFonts w:ascii="Century Gothic" w:hAnsi="Century Gothic"/>
        </w:rPr>
        <w:br w:type="page"/>
      </w:r>
    </w:p>
    <w:p w14:paraId="3FE2184B" w14:textId="65A35BAB" w:rsidR="00E245AB" w:rsidRPr="00E77F0B" w:rsidRDefault="00DB3070" w:rsidP="00E245AB">
      <w:pPr>
        <w:spacing w:after="0"/>
        <w:rPr>
          <w:rFonts w:ascii="Century Gothic" w:hAnsi="Century Gothic"/>
        </w:rPr>
      </w:pPr>
      <w:r w:rsidRPr="00DB3070">
        <w:rPr>
          <w:rFonts w:ascii="Century Gothic" w:hAnsi="Century Gothic"/>
          <w:noProof/>
        </w:rPr>
        <w:lastRenderedPageBreak/>
        <w:drawing>
          <wp:anchor distT="0" distB="0" distL="114300" distR="114300" simplePos="0" relativeHeight="251658240" behindDoc="1" locked="0" layoutInCell="1" allowOverlap="1" wp14:anchorId="7EECEA5E" wp14:editId="26E41B32">
            <wp:simplePos x="0" y="0"/>
            <wp:positionH relativeFrom="margin">
              <wp:align>right</wp:align>
            </wp:positionH>
            <wp:positionV relativeFrom="paragraph">
              <wp:posOffset>7620</wp:posOffset>
            </wp:positionV>
            <wp:extent cx="2197100" cy="628650"/>
            <wp:effectExtent l="0" t="0" r="0" b="0"/>
            <wp:wrapNone/>
            <wp:docPr id="144758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5850" name=""/>
                    <pic:cNvPicPr/>
                  </pic:nvPicPr>
                  <pic:blipFill>
                    <a:blip r:embed="rId11">
                      <a:extLst>
                        <a:ext uri="{28A0092B-C50C-407E-A947-70E740481C1C}">
                          <a14:useLocalDpi xmlns:a14="http://schemas.microsoft.com/office/drawing/2010/main" val="0"/>
                        </a:ext>
                      </a:extLst>
                    </a:blip>
                    <a:stretch>
                      <a:fillRect/>
                    </a:stretch>
                  </pic:blipFill>
                  <pic:spPr>
                    <a:xfrm>
                      <a:off x="0" y="0"/>
                      <a:ext cx="2197100" cy="628650"/>
                    </a:xfrm>
                    <a:prstGeom prst="rect">
                      <a:avLst/>
                    </a:prstGeom>
                  </pic:spPr>
                </pic:pic>
              </a:graphicData>
            </a:graphic>
          </wp:anchor>
        </w:drawing>
      </w:r>
      <w:r w:rsidR="00E245AB" w:rsidRPr="00E77F0B">
        <w:rPr>
          <w:rFonts w:ascii="Century Gothic" w:hAnsi="Century Gothic"/>
        </w:rPr>
        <w:t xml:space="preserve">Bogotá D.C., </w:t>
      </w:r>
      <w:r>
        <w:rPr>
          <w:rFonts w:ascii="Century Gothic" w:hAnsi="Century Gothic"/>
        </w:rPr>
        <w:t>14 de julio de 2023</w:t>
      </w:r>
    </w:p>
    <w:p w14:paraId="5FCADBF9" w14:textId="42150B4B" w:rsidR="00E245AB" w:rsidRPr="00E77F0B" w:rsidRDefault="00E245AB" w:rsidP="00E245AB">
      <w:pPr>
        <w:spacing w:after="0"/>
        <w:rPr>
          <w:rFonts w:ascii="Century Gothic" w:hAnsi="Century Gothic"/>
        </w:rPr>
      </w:pPr>
    </w:p>
    <w:p w14:paraId="0465BA6D" w14:textId="77777777" w:rsidR="00E245AB" w:rsidRPr="00E77F0B" w:rsidRDefault="00E245AB" w:rsidP="00E245AB">
      <w:pPr>
        <w:spacing w:after="0"/>
        <w:rPr>
          <w:rFonts w:ascii="Century Gothic" w:hAnsi="Century Gothic"/>
        </w:rPr>
      </w:pPr>
    </w:p>
    <w:p w14:paraId="1052B214" w14:textId="77777777" w:rsidR="00676BCD" w:rsidRPr="00E77F0B" w:rsidRDefault="00676BCD" w:rsidP="00676BCD">
      <w:pPr>
        <w:contextualSpacing/>
        <w:jc w:val="both"/>
        <w:rPr>
          <w:rFonts w:ascii="Century Gothic" w:eastAsia="Calibri" w:hAnsi="Century Gothic" w:cs="Arial"/>
          <w:lang w:eastAsia="es-ES_tradnl"/>
        </w:rPr>
      </w:pPr>
      <w:r w:rsidRPr="00E77F0B">
        <w:rPr>
          <w:rFonts w:ascii="Century Gothic" w:eastAsia="Calibri" w:hAnsi="Century Gothic" w:cs="Arial"/>
          <w:lang w:eastAsia="es-ES_tradnl"/>
        </w:rPr>
        <w:t>Señor</w:t>
      </w:r>
    </w:p>
    <w:p w14:paraId="4F866BA7" w14:textId="00272C0D" w:rsidR="00676BCD" w:rsidRPr="00E77F0B" w:rsidRDefault="00B77795" w:rsidP="00676BCD">
      <w:pPr>
        <w:contextualSpacing/>
        <w:jc w:val="both"/>
        <w:rPr>
          <w:rFonts w:ascii="Century Gothic" w:eastAsia="Calibri" w:hAnsi="Century Gothic" w:cs="Arial"/>
          <w:bCs/>
          <w:lang w:eastAsia="es-ES_tradnl"/>
        </w:rPr>
      </w:pPr>
      <w:r w:rsidRPr="00E77F0B">
        <w:rPr>
          <w:rFonts w:ascii="Century Gothic" w:eastAsia="Calibri" w:hAnsi="Century Gothic" w:cs="Arial"/>
          <w:bCs/>
          <w:lang w:eastAsia="es-ES_tradnl"/>
        </w:rPr>
        <w:t>Raúl Camilo Quintero Blanco</w:t>
      </w:r>
    </w:p>
    <w:p w14:paraId="72DCBCF5" w14:textId="72C95B08" w:rsidR="00676BCD" w:rsidRPr="00E77F0B" w:rsidRDefault="00D0124D" w:rsidP="00676BCD">
      <w:pPr>
        <w:contextualSpacing/>
        <w:jc w:val="both"/>
        <w:rPr>
          <w:rFonts w:ascii="Century Gothic" w:eastAsia="Calibri" w:hAnsi="Century Gothic" w:cs="Arial"/>
          <w:bCs/>
          <w:lang w:eastAsia="es-ES_tradnl"/>
        </w:rPr>
      </w:pPr>
      <w:r w:rsidRPr="00E77F0B">
        <w:rPr>
          <w:rFonts w:ascii="Century Gothic" w:eastAsia="Calibri" w:hAnsi="Century Gothic" w:cs="Arial"/>
          <w:bCs/>
          <w:lang w:eastAsia="es-ES_tradnl"/>
        </w:rPr>
        <w:t>Tunja</w:t>
      </w:r>
      <w:r w:rsidR="00676BCD" w:rsidRPr="00E77F0B">
        <w:rPr>
          <w:rFonts w:ascii="Century Gothic" w:eastAsia="Calibri" w:hAnsi="Century Gothic" w:cs="Arial"/>
          <w:bCs/>
          <w:lang w:eastAsia="es-ES_tradnl"/>
        </w:rPr>
        <w:t xml:space="preserve">, </w:t>
      </w:r>
      <w:r w:rsidRPr="00E77F0B">
        <w:rPr>
          <w:rFonts w:ascii="Century Gothic" w:eastAsia="Calibri" w:hAnsi="Century Gothic" w:cs="Arial"/>
          <w:bCs/>
          <w:lang w:eastAsia="es-ES_tradnl"/>
        </w:rPr>
        <w:t>Boyacá</w:t>
      </w:r>
    </w:p>
    <w:p w14:paraId="1949F44C" w14:textId="77777777" w:rsidR="00676BCD" w:rsidRPr="00E77F0B" w:rsidRDefault="00676BCD" w:rsidP="00676BCD">
      <w:pPr>
        <w:contextualSpacing/>
        <w:jc w:val="both"/>
        <w:rPr>
          <w:rFonts w:ascii="Century Gothic" w:eastAsia="Calibri" w:hAnsi="Century Gothic" w:cs="Arial"/>
          <w:lang w:val="es-ES_tradnl" w:eastAsia="es-ES_tradnl"/>
        </w:rPr>
      </w:pPr>
    </w:p>
    <w:p w14:paraId="0A1DE240" w14:textId="5CDCEA08" w:rsidR="00676BCD" w:rsidRPr="00E77F0B" w:rsidRDefault="00676BCD" w:rsidP="00676BCD">
      <w:pPr>
        <w:ind w:left="2124" w:firstLine="570"/>
        <w:contextualSpacing/>
        <w:rPr>
          <w:rFonts w:ascii="Century Gothic" w:eastAsia="Calibri" w:hAnsi="Century Gothic" w:cs="Arial"/>
          <w:b/>
          <w:bCs/>
          <w:lang w:val="es-ES_tradnl" w:eastAsia="es-ES_tradnl"/>
        </w:rPr>
      </w:pPr>
      <w:r w:rsidRPr="00E77F0B">
        <w:rPr>
          <w:rFonts w:ascii="Century Gothic" w:eastAsia="Calibri" w:hAnsi="Century Gothic" w:cs="Arial"/>
          <w:b/>
          <w:bCs/>
          <w:lang w:val="es-ES_tradnl" w:eastAsia="es-ES_tradnl"/>
        </w:rPr>
        <w:t>Concepto C – 2</w:t>
      </w:r>
      <w:r w:rsidR="00DE3911" w:rsidRPr="00E77F0B">
        <w:rPr>
          <w:rFonts w:ascii="Century Gothic" w:eastAsia="Calibri" w:hAnsi="Century Gothic" w:cs="Arial"/>
          <w:b/>
          <w:bCs/>
          <w:lang w:val="es-ES_tradnl" w:eastAsia="es-ES_tradnl"/>
        </w:rPr>
        <w:t>74</w:t>
      </w:r>
      <w:r w:rsidRPr="00E77F0B">
        <w:rPr>
          <w:rFonts w:ascii="Century Gothic" w:eastAsia="Calibri" w:hAnsi="Century Gothic" w:cs="Arial"/>
          <w:b/>
          <w:bCs/>
          <w:lang w:val="es-ES_tradnl" w:eastAsia="es-ES_tradnl"/>
        </w:rPr>
        <w:t xml:space="preserve"> de 2023</w:t>
      </w:r>
    </w:p>
    <w:p w14:paraId="377D5B49" w14:textId="77777777" w:rsidR="00676BCD" w:rsidRPr="00E77F0B" w:rsidRDefault="00676BCD" w:rsidP="00676BCD">
      <w:pPr>
        <w:contextualSpacing/>
        <w:jc w:val="both"/>
        <w:rPr>
          <w:rFonts w:ascii="Century Gothic" w:eastAsia="Calibri" w:hAnsi="Century Gothic"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76BCD" w:rsidRPr="00E77F0B" w14:paraId="02506036" w14:textId="77777777" w:rsidTr="00CE0C03">
        <w:tc>
          <w:tcPr>
            <w:tcW w:w="2689" w:type="dxa"/>
          </w:tcPr>
          <w:p w14:paraId="5F23D589" w14:textId="77777777" w:rsidR="00676BCD" w:rsidRPr="00E77F0B" w:rsidRDefault="00676BCD" w:rsidP="00CE0C03">
            <w:pPr>
              <w:contextualSpacing/>
              <w:jc w:val="both"/>
              <w:rPr>
                <w:rFonts w:ascii="Century Gothic" w:eastAsia="Calibri" w:hAnsi="Century Gothic" w:cs="Arial"/>
                <w:lang w:val="es-ES_tradnl" w:eastAsia="es-ES_tradnl"/>
              </w:rPr>
            </w:pPr>
            <w:r w:rsidRPr="00E77F0B">
              <w:rPr>
                <w:rFonts w:ascii="Century Gothic" w:eastAsia="Calibri" w:hAnsi="Century Gothic" w:cs="Arial"/>
                <w:b/>
                <w:lang w:val="es-ES_tradnl" w:eastAsia="es-ES_tradnl"/>
              </w:rPr>
              <w:t>Temas:</w:t>
            </w:r>
            <w:r w:rsidRPr="00E77F0B">
              <w:rPr>
                <w:rFonts w:ascii="Century Gothic" w:eastAsia="Calibri" w:hAnsi="Century Gothic" w:cs="Arial"/>
                <w:lang w:val="es-ES_tradnl" w:eastAsia="es-ES_tradnl"/>
              </w:rPr>
              <w:t xml:space="preserve">                                      </w:t>
            </w:r>
          </w:p>
        </w:tc>
        <w:tc>
          <w:tcPr>
            <w:tcW w:w="6237" w:type="dxa"/>
          </w:tcPr>
          <w:p w14:paraId="7CC3D6B0" w14:textId="41960A92" w:rsidR="00676BCD" w:rsidRPr="00E77F0B" w:rsidRDefault="00676BCD" w:rsidP="00CE0C03">
            <w:pPr>
              <w:spacing w:after="120"/>
              <w:contextualSpacing/>
              <w:jc w:val="both"/>
              <w:rPr>
                <w:rFonts w:ascii="Century Gothic" w:eastAsia="Calibri" w:hAnsi="Century Gothic" w:cs="Arial"/>
                <w:bCs/>
                <w:lang w:val="es-MX" w:eastAsia="es-ES_tradnl"/>
              </w:rPr>
            </w:pPr>
            <w:r w:rsidRPr="00E77F0B">
              <w:rPr>
                <w:rFonts w:ascii="Century Gothic" w:eastAsia="Calibri" w:hAnsi="Century Gothic" w:cs="Arial"/>
                <w:bCs/>
                <w:lang w:val="es-MX" w:eastAsia="es-ES_tradnl"/>
              </w:rPr>
              <w:t>EMPRESAS Y EMPRENDIMIENTOS DE MUJERES – Cargos directivos</w:t>
            </w:r>
            <w:r w:rsidR="00F66E23" w:rsidRPr="00E77F0B">
              <w:rPr>
                <w:rFonts w:ascii="Century Gothic" w:eastAsia="Calibri" w:hAnsi="Century Gothic" w:cs="Arial"/>
                <w:bCs/>
                <w:lang w:val="es-MX" w:eastAsia="es-ES_tradnl"/>
              </w:rPr>
              <w:t>/ DOCUMENTO TIPO</w:t>
            </w:r>
            <w:r w:rsidR="00FD0A79" w:rsidRPr="00E77F0B">
              <w:rPr>
                <w:rFonts w:ascii="Century Gothic" w:eastAsia="Calibri" w:hAnsi="Century Gothic" w:cs="Arial"/>
                <w:bCs/>
                <w:lang w:val="es-MX" w:eastAsia="es-ES_tradnl"/>
              </w:rPr>
              <w:t xml:space="preserve"> - </w:t>
            </w:r>
            <w:r w:rsidRPr="00E77F0B">
              <w:rPr>
                <w:rFonts w:ascii="Century Gothic" w:eastAsia="Calibri" w:hAnsi="Century Gothic" w:cs="Arial"/>
                <w:bCs/>
                <w:lang w:val="es-MX" w:eastAsia="es-ES_tradnl"/>
              </w:rPr>
              <w:t xml:space="preserve">Criterios diferenciales – </w:t>
            </w:r>
            <w:r w:rsidR="00B90895" w:rsidRPr="00B90895">
              <w:rPr>
                <w:rFonts w:ascii="Century Gothic" w:eastAsia="Calibri" w:hAnsi="Century Gothic" w:cs="Arial"/>
                <w:bCs/>
                <w:lang w:val="es-MX" w:eastAsia="es-ES_tradnl"/>
              </w:rPr>
              <w:t xml:space="preserve">Formato 12 – Acreditación emprendimiento y empresa de mujeres” </w:t>
            </w:r>
            <w:r w:rsidRPr="00E77F0B">
              <w:rPr>
                <w:rFonts w:ascii="Century Gothic" w:eastAsia="Calibri" w:hAnsi="Century Gothic" w:cs="Arial"/>
                <w:bCs/>
                <w:lang w:val="es-MX" w:eastAsia="es-ES_tradnl"/>
              </w:rPr>
              <w:t xml:space="preserve">– Diligenciamiento </w:t>
            </w:r>
          </w:p>
          <w:p w14:paraId="001009B0" w14:textId="77777777" w:rsidR="00676BCD" w:rsidRPr="00E77F0B" w:rsidRDefault="00676BCD" w:rsidP="00CE0C03">
            <w:pPr>
              <w:spacing w:after="120"/>
              <w:contextualSpacing/>
              <w:jc w:val="both"/>
              <w:rPr>
                <w:rFonts w:ascii="Century Gothic" w:eastAsia="Calibri" w:hAnsi="Century Gothic" w:cs="Arial"/>
                <w:bCs/>
                <w:sz w:val="12"/>
                <w:szCs w:val="12"/>
                <w:lang w:val="es-ES_tradnl" w:eastAsia="es-ES_tradnl"/>
              </w:rPr>
            </w:pPr>
          </w:p>
        </w:tc>
      </w:tr>
      <w:tr w:rsidR="00676BCD" w:rsidRPr="00E77F0B" w14:paraId="573C3B2B" w14:textId="77777777" w:rsidTr="00CE0C03">
        <w:trPr>
          <w:trHeight w:val="227"/>
        </w:trPr>
        <w:tc>
          <w:tcPr>
            <w:tcW w:w="2689" w:type="dxa"/>
          </w:tcPr>
          <w:p w14:paraId="60879EBB" w14:textId="77777777" w:rsidR="00676BCD" w:rsidRPr="00E77F0B" w:rsidRDefault="00676BCD" w:rsidP="00CE0C03">
            <w:pPr>
              <w:contextualSpacing/>
              <w:jc w:val="both"/>
              <w:rPr>
                <w:rFonts w:ascii="Century Gothic" w:eastAsia="Calibri" w:hAnsi="Century Gothic" w:cs="Arial"/>
                <w:b/>
                <w:lang w:val="es-ES_tradnl" w:eastAsia="es-ES_tradnl"/>
              </w:rPr>
            </w:pPr>
            <w:r w:rsidRPr="00E77F0B">
              <w:rPr>
                <w:rFonts w:ascii="Century Gothic" w:eastAsia="Calibri" w:hAnsi="Century Gothic" w:cs="Arial"/>
                <w:b/>
                <w:lang w:val="es-ES_tradnl" w:eastAsia="es-ES_tradnl"/>
              </w:rPr>
              <w:t>Radicación:</w:t>
            </w:r>
            <w:r w:rsidRPr="00E77F0B">
              <w:rPr>
                <w:rFonts w:ascii="Century Gothic" w:eastAsia="Calibri" w:hAnsi="Century Gothic" w:cs="Arial"/>
                <w:lang w:val="es-ES_tradnl" w:eastAsia="es-ES_tradnl"/>
              </w:rPr>
              <w:t xml:space="preserve">                             </w:t>
            </w:r>
          </w:p>
        </w:tc>
        <w:tc>
          <w:tcPr>
            <w:tcW w:w="6237" w:type="dxa"/>
          </w:tcPr>
          <w:p w14:paraId="4DE14C62" w14:textId="3DD7780B" w:rsidR="00676BCD" w:rsidRPr="00E77F0B" w:rsidRDefault="00676BCD" w:rsidP="00CE0C03">
            <w:pPr>
              <w:contextualSpacing/>
              <w:jc w:val="both"/>
              <w:rPr>
                <w:rFonts w:ascii="Century Gothic" w:eastAsia="Calibri" w:hAnsi="Century Gothic" w:cs="Arial"/>
                <w:lang w:val="es-ES_tradnl" w:eastAsia="es-ES_tradnl"/>
              </w:rPr>
            </w:pPr>
            <w:r w:rsidRPr="00E77F0B">
              <w:rPr>
                <w:rFonts w:ascii="Century Gothic" w:eastAsia="Calibri" w:hAnsi="Century Gothic" w:cs="Arial"/>
                <w:lang w:val="es-ES_tradnl" w:eastAsia="es-ES_tradnl"/>
              </w:rPr>
              <w:t>Respuesta a consulta P20230</w:t>
            </w:r>
            <w:r w:rsidR="00787FEF" w:rsidRPr="00E77F0B">
              <w:rPr>
                <w:rFonts w:ascii="Century Gothic" w:eastAsia="Calibri" w:hAnsi="Century Gothic" w:cs="Arial"/>
                <w:lang w:val="es-ES_tradnl" w:eastAsia="es-ES_tradnl"/>
              </w:rPr>
              <w:t>531011828</w:t>
            </w:r>
          </w:p>
        </w:tc>
      </w:tr>
    </w:tbl>
    <w:p w14:paraId="3CB6CC38" w14:textId="77777777" w:rsidR="00676BCD" w:rsidRPr="00E77F0B" w:rsidRDefault="00676BCD" w:rsidP="00676BCD">
      <w:pPr>
        <w:contextualSpacing/>
        <w:jc w:val="both"/>
        <w:rPr>
          <w:rFonts w:ascii="Century Gothic" w:eastAsia="Calibri" w:hAnsi="Century Gothic" w:cs="Arial"/>
          <w:lang w:val="es-ES_tradnl" w:eastAsia="es-ES_tradnl"/>
        </w:rPr>
      </w:pPr>
    </w:p>
    <w:p w14:paraId="4BC553E3" w14:textId="77777777" w:rsidR="00676BCD" w:rsidRPr="00E77F0B" w:rsidRDefault="00676BCD" w:rsidP="00676BCD">
      <w:pPr>
        <w:contextualSpacing/>
        <w:jc w:val="both"/>
        <w:rPr>
          <w:rFonts w:ascii="Century Gothic" w:eastAsia="Calibri" w:hAnsi="Century Gothic" w:cs="Arial"/>
          <w:lang w:val="es-ES_tradnl" w:eastAsia="es-ES_tradnl"/>
        </w:rPr>
      </w:pPr>
    </w:p>
    <w:p w14:paraId="0C534FF7" w14:textId="3E7FAFA6" w:rsidR="00676BCD" w:rsidRPr="00E77F0B" w:rsidRDefault="00676BCD" w:rsidP="00787FEF">
      <w:pPr>
        <w:contextualSpacing/>
        <w:jc w:val="both"/>
        <w:rPr>
          <w:rFonts w:ascii="Century Gothic" w:eastAsia="Times New Roman" w:hAnsi="Century Gothic" w:cs="Arial"/>
          <w:lang w:eastAsia="es-ES"/>
        </w:rPr>
      </w:pPr>
      <w:r w:rsidRPr="00E77F0B">
        <w:rPr>
          <w:rFonts w:ascii="Century Gothic" w:eastAsia="Calibri" w:hAnsi="Century Gothic" w:cs="Arial"/>
          <w:lang w:val="es-ES" w:eastAsia="es-ES"/>
        </w:rPr>
        <w:t xml:space="preserve">Respetado señor </w:t>
      </w:r>
      <w:r w:rsidR="00787FEF" w:rsidRPr="00E77F0B">
        <w:rPr>
          <w:rFonts w:ascii="Century Gothic" w:eastAsia="Times New Roman" w:hAnsi="Century Gothic" w:cs="Arial"/>
          <w:lang w:eastAsia="es-ES"/>
        </w:rPr>
        <w:t xml:space="preserve">Quintero, </w:t>
      </w:r>
    </w:p>
    <w:p w14:paraId="772CE940" w14:textId="77777777" w:rsidR="00787FEF" w:rsidRPr="00E77F0B" w:rsidRDefault="00787FEF" w:rsidP="00787FEF">
      <w:pPr>
        <w:contextualSpacing/>
        <w:jc w:val="both"/>
        <w:rPr>
          <w:rFonts w:ascii="Century Gothic" w:eastAsia="Calibri" w:hAnsi="Century Gothic" w:cs="Arial"/>
          <w:szCs w:val="24"/>
          <w:lang w:val="es-ES_tradnl" w:eastAsia="es-ES_tradnl"/>
        </w:rPr>
      </w:pPr>
    </w:p>
    <w:p w14:paraId="732F658F" w14:textId="63859034" w:rsidR="00676BCD" w:rsidRPr="00E77F0B" w:rsidRDefault="00676BCD" w:rsidP="00676BCD">
      <w:pPr>
        <w:spacing w:after="0" w:line="276" w:lineRule="auto"/>
        <w:jc w:val="both"/>
        <w:rPr>
          <w:rFonts w:ascii="Century Gothic" w:eastAsia="Calibri" w:hAnsi="Century Gothic" w:cs="Arial"/>
          <w:color w:val="000000" w:themeColor="text1"/>
          <w:lang w:val="es-ES_tradnl"/>
        </w:rPr>
      </w:pPr>
      <w:r w:rsidRPr="00E77F0B">
        <w:rPr>
          <w:rFonts w:ascii="Century Gothic" w:eastAsia="Calibri" w:hAnsi="Century Gothic" w:cs="Arial"/>
          <w:color w:val="000000" w:themeColor="text1"/>
          <w:lang w:val="es-ES_tradnl"/>
        </w:rPr>
        <w:t>En ejercicio de la competencia otorgada por el numeral 8 del artículo 11 y el numeral 5 del artículo 3 del Decreto Ley 4170 de 2011</w:t>
      </w:r>
      <w:bookmarkStart w:id="0" w:name="_Hlk99120496"/>
      <w:r w:rsidRPr="00E77F0B">
        <w:rPr>
          <w:rFonts w:ascii="Century Gothic" w:eastAsia="Arial MT" w:hAnsi="Century Gothic" w:cs="Arial MT"/>
          <w:lang w:val="es-ES"/>
        </w:rPr>
        <w:t xml:space="preserve">, </w:t>
      </w:r>
      <w:bookmarkEnd w:id="0"/>
      <w:r w:rsidRPr="00E77F0B">
        <w:rPr>
          <w:rFonts w:ascii="Century Gothic" w:eastAsia="Calibri" w:hAnsi="Century Gothic" w:cs="Arial"/>
          <w:color w:val="000000" w:themeColor="text1"/>
          <w:lang w:val="es-ES_tradnl"/>
        </w:rPr>
        <w:t xml:space="preserve">la Agencia Nacional de Contratación Pública – Colombia Compra Eficiente responde la consulta radicada el </w:t>
      </w:r>
      <w:r w:rsidR="00FD3FFC" w:rsidRPr="00E77F0B">
        <w:rPr>
          <w:rFonts w:ascii="Century Gothic" w:eastAsia="Calibri" w:hAnsi="Century Gothic" w:cs="Arial"/>
          <w:color w:val="000000" w:themeColor="text1"/>
          <w:lang w:val="es-ES_tradnl"/>
        </w:rPr>
        <w:t>30</w:t>
      </w:r>
      <w:r w:rsidRPr="00E77F0B">
        <w:rPr>
          <w:rFonts w:ascii="Century Gothic" w:eastAsia="Calibri" w:hAnsi="Century Gothic" w:cs="Arial"/>
          <w:color w:val="000000" w:themeColor="text1"/>
          <w:lang w:val="es-ES_tradnl"/>
        </w:rPr>
        <w:t xml:space="preserve"> de </w:t>
      </w:r>
      <w:r w:rsidR="00FD3FFC" w:rsidRPr="00E77F0B">
        <w:rPr>
          <w:rFonts w:ascii="Century Gothic" w:eastAsia="Calibri" w:hAnsi="Century Gothic" w:cs="Arial"/>
          <w:color w:val="000000" w:themeColor="text1"/>
          <w:lang w:val="es-ES_tradnl"/>
        </w:rPr>
        <w:t>may</w:t>
      </w:r>
      <w:r w:rsidRPr="00E77F0B">
        <w:rPr>
          <w:rFonts w:ascii="Century Gothic" w:eastAsia="Calibri" w:hAnsi="Century Gothic" w:cs="Arial"/>
          <w:color w:val="000000" w:themeColor="text1"/>
          <w:lang w:val="es-ES_tradnl"/>
        </w:rPr>
        <w:t>o de 2023.</w:t>
      </w:r>
    </w:p>
    <w:p w14:paraId="7C580CF1" w14:textId="77777777" w:rsidR="00676BCD" w:rsidRPr="00E77F0B" w:rsidRDefault="00676BCD" w:rsidP="00676BCD">
      <w:pPr>
        <w:spacing w:after="0" w:line="276" w:lineRule="auto"/>
        <w:jc w:val="both"/>
        <w:rPr>
          <w:rFonts w:ascii="Century Gothic" w:eastAsia="Calibri" w:hAnsi="Century Gothic" w:cs="Arial"/>
          <w:b/>
          <w:color w:val="000000" w:themeColor="text1"/>
          <w:lang w:val="es-ES_tradnl"/>
        </w:rPr>
      </w:pPr>
    </w:p>
    <w:p w14:paraId="58F56C44" w14:textId="77777777" w:rsidR="00676BCD" w:rsidRPr="00E77F0B" w:rsidRDefault="00676BCD" w:rsidP="00676BCD">
      <w:pPr>
        <w:pStyle w:val="Prrafodelista"/>
        <w:numPr>
          <w:ilvl w:val="0"/>
          <w:numId w:val="6"/>
        </w:numPr>
        <w:tabs>
          <w:tab w:val="left" w:pos="0"/>
          <w:tab w:val="left" w:pos="142"/>
          <w:tab w:val="left" w:pos="284"/>
        </w:tabs>
        <w:spacing w:after="0" w:line="276" w:lineRule="auto"/>
        <w:ind w:left="0" w:firstLine="0"/>
        <w:jc w:val="both"/>
        <w:rPr>
          <w:rFonts w:ascii="Century Gothic" w:eastAsia="Calibri" w:hAnsi="Century Gothic" w:cs="Arial"/>
          <w:b/>
          <w:color w:val="000000" w:themeColor="text1"/>
          <w:lang w:val="es-ES_tradnl"/>
        </w:rPr>
      </w:pPr>
      <w:r w:rsidRPr="00E77F0B">
        <w:rPr>
          <w:rFonts w:ascii="Century Gothic" w:eastAsia="Calibri" w:hAnsi="Century Gothic" w:cs="Arial"/>
          <w:b/>
          <w:color w:val="000000" w:themeColor="text1"/>
          <w:lang w:val="es-ES_tradnl"/>
        </w:rPr>
        <w:t xml:space="preserve">Problemas planteados </w:t>
      </w:r>
    </w:p>
    <w:p w14:paraId="5A474A23" w14:textId="77777777" w:rsidR="00676BCD" w:rsidRPr="00E77F0B" w:rsidRDefault="00676BCD" w:rsidP="00676BCD">
      <w:pPr>
        <w:tabs>
          <w:tab w:val="left" w:pos="426"/>
        </w:tabs>
        <w:spacing w:after="0" w:line="276" w:lineRule="auto"/>
        <w:jc w:val="both"/>
        <w:rPr>
          <w:rFonts w:ascii="Century Gothic" w:eastAsia="Calibri" w:hAnsi="Century Gothic" w:cs="Arial"/>
          <w:b/>
          <w:color w:val="000000" w:themeColor="text1"/>
          <w:lang w:val="es-ES_tradnl"/>
        </w:rPr>
      </w:pPr>
    </w:p>
    <w:p w14:paraId="501F9AD5" w14:textId="77777777" w:rsidR="00F4791C" w:rsidRPr="00E77F0B" w:rsidRDefault="00676BCD" w:rsidP="00676BCD">
      <w:pPr>
        <w:spacing w:after="0" w:line="276" w:lineRule="auto"/>
        <w:jc w:val="both"/>
        <w:rPr>
          <w:rFonts w:ascii="Century Gothic" w:hAnsi="Century Gothic" w:cs="Arial"/>
          <w:color w:val="000000" w:themeColor="text1"/>
          <w:lang w:val="es-ES_tradnl"/>
        </w:rPr>
      </w:pPr>
      <w:r w:rsidRPr="00E77F0B">
        <w:rPr>
          <w:rFonts w:ascii="Century Gothic" w:hAnsi="Century Gothic" w:cs="Arial"/>
          <w:color w:val="000000" w:themeColor="text1"/>
          <w:lang w:val="es-ES_tradnl"/>
        </w:rPr>
        <w:t xml:space="preserve">Usted realiza las siguientes preguntas: </w:t>
      </w:r>
    </w:p>
    <w:p w14:paraId="43C24963" w14:textId="77777777" w:rsidR="00F4791C" w:rsidRPr="00E77F0B" w:rsidRDefault="00F4791C" w:rsidP="00676BCD">
      <w:pPr>
        <w:spacing w:after="0" w:line="276" w:lineRule="auto"/>
        <w:jc w:val="both"/>
        <w:rPr>
          <w:rFonts w:ascii="Century Gothic" w:hAnsi="Century Gothic" w:cs="Arial"/>
          <w:color w:val="000000" w:themeColor="text1"/>
          <w:lang w:val="es-ES_tradnl"/>
        </w:rPr>
      </w:pPr>
    </w:p>
    <w:p w14:paraId="315DFF46" w14:textId="0BC0A83B" w:rsidR="00A15321" w:rsidRPr="00E77F0B" w:rsidRDefault="00A15321" w:rsidP="00540F7C">
      <w:pPr>
        <w:spacing w:after="0" w:line="240" w:lineRule="auto"/>
        <w:ind w:left="709" w:right="709"/>
        <w:jc w:val="both"/>
        <w:rPr>
          <w:rFonts w:ascii="Century Gothic" w:hAnsi="Century Gothic" w:cs="Arial"/>
          <w:color w:val="000000" w:themeColor="text1"/>
          <w:sz w:val="21"/>
          <w:szCs w:val="21"/>
          <w:lang w:val="es-ES_tradnl"/>
        </w:rPr>
      </w:pPr>
      <w:bookmarkStart w:id="1" w:name="_Hlk139901654"/>
      <w:r w:rsidRPr="00E77F0B">
        <w:rPr>
          <w:rFonts w:ascii="Century Gothic" w:hAnsi="Century Gothic" w:cs="Arial"/>
          <w:color w:val="000000" w:themeColor="text1"/>
          <w:sz w:val="21"/>
          <w:szCs w:val="21"/>
          <w:lang w:val="es-ES_tradnl"/>
        </w:rPr>
        <w:t>“En cuanto a la opción 2 acreditar este puntaje con cargos directivos, Colombia compra anteriormente había dicho que para este formato solo se debía colocar los cargos directivos que tuvieran contrato laboral, la pregunta según este aparte es la siguiente:</w:t>
      </w:r>
    </w:p>
    <w:p w14:paraId="24051CC7" w14:textId="77777777" w:rsidR="00A15321" w:rsidRPr="00E77F0B" w:rsidRDefault="00A15321" w:rsidP="00540F7C">
      <w:pPr>
        <w:spacing w:after="0" w:line="240" w:lineRule="auto"/>
        <w:ind w:left="709" w:right="709"/>
        <w:jc w:val="both"/>
        <w:rPr>
          <w:rFonts w:ascii="Century Gothic" w:hAnsi="Century Gothic" w:cs="Arial"/>
          <w:color w:val="000000" w:themeColor="text1"/>
          <w:sz w:val="21"/>
          <w:szCs w:val="21"/>
          <w:lang w:val="es-ES_tradnl"/>
        </w:rPr>
      </w:pPr>
    </w:p>
    <w:p w14:paraId="7BF40DF5" w14:textId="23476140" w:rsidR="00676BCD" w:rsidRPr="00E77F0B" w:rsidRDefault="00A15321" w:rsidP="00540F7C">
      <w:pPr>
        <w:spacing w:after="0" w:line="240" w:lineRule="auto"/>
        <w:ind w:left="709" w:right="709"/>
        <w:jc w:val="both"/>
        <w:rPr>
          <w:rFonts w:ascii="Century Gothic" w:hAnsi="Century Gothic" w:cs="Arial"/>
          <w:color w:val="000000" w:themeColor="text1"/>
          <w:sz w:val="21"/>
          <w:szCs w:val="21"/>
          <w:lang w:val="es-ES_tradnl"/>
        </w:rPr>
      </w:pPr>
      <w:r w:rsidRPr="00E77F0B">
        <w:rPr>
          <w:rFonts w:ascii="Century Gothic" w:hAnsi="Century Gothic" w:cs="Arial"/>
          <w:color w:val="000000" w:themeColor="text1"/>
          <w:sz w:val="21"/>
          <w:szCs w:val="21"/>
          <w:lang w:val="es-ES_tradnl"/>
        </w:rPr>
        <w:t>En el caso que el REPRESENTANTE LEGAL sea socio de la PERSONA JURIDICA, pero no tenga relación o contrato laboral con la empresa, pero pues se supone que la</w:t>
      </w:r>
      <w:r w:rsidR="00540F7C" w:rsidRPr="00E77F0B">
        <w:rPr>
          <w:rFonts w:ascii="Century Gothic" w:hAnsi="Century Gothic" w:cs="Arial"/>
          <w:color w:val="000000" w:themeColor="text1"/>
          <w:sz w:val="21"/>
          <w:szCs w:val="21"/>
          <w:lang w:val="es-ES_tradnl"/>
        </w:rPr>
        <w:t xml:space="preserve"> </w:t>
      </w:r>
      <w:r w:rsidRPr="00E77F0B">
        <w:rPr>
          <w:rFonts w:ascii="Century Gothic" w:hAnsi="Century Gothic" w:cs="Arial"/>
          <w:color w:val="000000" w:themeColor="text1"/>
          <w:sz w:val="21"/>
          <w:szCs w:val="21"/>
          <w:lang w:val="es-ES_tradnl"/>
        </w:rPr>
        <w:t>representación legal es un cargo directivo, ¿¿debo colocar al representante legal en este formato ?? o al no tener contrato laboral con la empresa no lo debo adjuntar</w:t>
      </w:r>
      <w:r w:rsidR="00676BCD" w:rsidRPr="00E77F0B">
        <w:rPr>
          <w:rFonts w:ascii="Century Gothic" w:hAnsi="Century Gothic" w:cs="Arial"/>
          <w:color w:val="000000" w:themeColor="text1"/>
          <w:sz w:val="21"/>
          <w:szCs w:val="21"/>
          <w:lang w:val="es-ES_tradnl"/>
        </w:rPr>
        <w:t>”</w:t>
      </w:r>
      <w:bookmarkEnd w:id="1"/>
      <w:r w:rsidR="00676BCD" w:rsidRPr="00E77F0B">
        <w:rPr>
          <w:rFonts w:ascii="Century Gothic" w:hAnsi="Century Gothic" w:cs="Arial"/>
          <w:color w:val="000000" w:themeColor="text1"/>
          <w:sz w:val="21"/>
          <w:szCs w:val="21"/>
          <w:lang w:val="es-ES_tradnl"/>
        </w:rPr>
        <w:t>.</w:t>
      </w:r>
      <w:r w:rsidRPr="00E77F0B">
        <w:rPr>
          <w:rFonts w:ascii="Century Gothic" w:hAnsi="Century Gothic" w:cs="Arial"/>
          <w:color w:val="000000" w:themeColor="text1"/>
          <w:sz w:val="21"/>
          <w:szCs w:val="21"/>
          <w:lang w:val="es-ES_tradnl"/>
        </w:rPr>
        <w:t xml:space="preserve"> (sic).</w:t>
      </w:r>
    </w:p>
    <w:p w14:paraId="5CC869C3" w14:textId="77777777" w:rsidR="00676BCD" w:rsidRPr="00E77F0B" w:rsidRDefault="00676BCD" w:rsidP="00676BCD">
      <w:pPr>
        <w:spacing w:after="0" w:line="276" w:lineRule="auto"/>
        <w:ind w:right="709"/>
        <w:jc w:val="both"/>
        <w:rPr>
          <w:rFonts w:ascii="Century Gothic" w:hAnsi="Century Gothic" w:cs="Arial"/>
          <w:color w:val="000000" w:themeColor="text1"/>
        </w:rPr>
      </w:pPr>
    </w:p>
    <w:p w14:paraId="0F8E3E20" w14:textId="77777777" w:rsidR="00676BCD" w:rsidRPr="00E77F0B" w:rsidRDefault="00676BCD" w:rsidP="00676BCD">
      <w:pPr>
        <w:pStyle w:val="Prrafodelista"/>
        <w:numPr>
          <w:ilvl w:val="0"/>
          <w:numId w:val="6"/>
        </w:numPr>
        <w:tabs>
          <w:tab w:val="left" w:pos="0"/>
          <w:tab w:val="left" w:pos="284"/>
        </w:tabs>
        <w:spacing w:after="0" w:line="240" w:lineRule="auto"/>
        <w:ind w:left="0" w:firstLine="0"/>
        <w:jc w:val="both"/>
        <w:rPr>
          <w:rFonts w:ascii="Century Gothic" w:eastAsia="Calibri" w:hAnsi="Century Gothic" w:cs="Arial"/>
          <w:b/>
          <w:color w:val="000000" w:themeColor="text1"/>
          <w:lang w:val="es-ES_tradnl"/>
        </w:rPr>
      </w:pPr>
      <w:r w:rsidRPr="00E77F0B">
        <w:rPr>
          <w:rFonts w:ascii="Century Gothic" w:eastAsia="Calibri" w:hAnsi="Century Gothic" w:cs="Arial"/>
          <w:b/>
          <w:color w:val="000000" w:themeColor="text1"/>
          <w:lang w:val="es-ES_tradnl"/>
        </w:rPr>
        <w:t>Consideraciones</w:t>
      </w:r>
    </w:p>
    <w:p w14:paraId="5EF214C2" w14:textId="77777777" w:rsidR="00676BCD" w:rsidRPr="00E77F0B" w:rsidRDefault="00676BCD" w:rsidP="00676BCD">
      <w:pPr>
        <w:spacing w:after="0" w:line="276" w:lineRule="auto"/>
        <w:jc w:val="both"/>
        <w:rPr>
          <w:rFonts w:ascii="Century Gothic" w:eastAsia="Calibri" w:hAnsi="Century Gothic" w:cs="Arial"/>
          <w:color w:val="000000" w:themeColor="text1"/>
          <w:lang w:val="es-ES"/>
        </w:rPr>
      </w:pPr>
    </w:p>
    <w:p w14:paraId="3F4BCC36" w14:textId="1AE987E4" w:rsidR="00CA09B0" w:rsidRPr="00E77F0B" w:rsidRDefault="00676BCD" w:rsidP="00CA09B0">
      <w:pPr>
        <w:spacing w:line="276" w:lineRule="auto"/>
        <w:jc w:val="both"/>
        <w:rPr>
          <w:rFonts w:ascii="Century Gothic" w:hAnsi="Century Gothic" w:cs="Arial"/>
          <w:color w:val="000000" w:themeColor="text1"/>
          <w:lang w:val="es-ES"/>
        </w:rPr>
      </w:pPr>
      <w:r w:rsidRPr="00E77F0B">
        <w:rPr>
          <w:rFonts w:ascii="Century Gothic" w:eastAsia="Calibri" w:hAnsi="Century Gothic" w:cs="Arial"/>
        </w:rPr>
        <w:lastRenderedPageBreak/>
        <w:t xml:space="preserve">Dentro de los límites de sus atribuciones, </w:t>
      </w:r>
      <w:r w:rsidRPr="00E77F0B">
        <w:rPr>
          <w:rFonts w:ascii="Century Gothic" w:eastAsia="Calibri" w:hAnsi="Century Gothic" w:cs="Arial"/>
          <w:lang w:val="es-ES"/>
        </w:rPr>
        <w:t>la Agencia resolverá la consulta conforme a las normas generales del sistema de compras públicas. Con este objetivo</w:t>
      </w:r>
      <w:r w:rsidRPr="00E77F0B">
        <w:rPr>
          <w:rFonts w:ascii="Century Gothic" w:eastAsia="Calibri" w:hAnsi="Century Gothic" w:cs="Arial"/>
          <w:color w:val="000000" w:themeColor="text1"/>
        </w:rPr>
        <w:t xml:space="preserve"> </w:t>
      </w:r>
      <w:r w:rsidRPr="00E77F0B">
        <w:rPr>
          <w:rFonts w:ascii="Century Gothic" w:eastAsia="Calibri" w:hAnsi="Century Gothic" w:cs="Arial"/>
          <w:color w:val="000000" w:themeColor="text1"/>
          <w:lang w:val="es-ES"/>
        </w:rPr>
        <w:t>se abordarán los siguientes temas</w:t>
      </w:r>
      <w:r w:rsidRPr="00E77F0B">
        <w:rPr>
          <w:rFonts w:ascii="Century Gothic" w:hAnsi="Century Gothic" w:cs="Arial"/>
          <w:color w:val="000000" w:themeColor="text1"/>
          <w:lang w:val="es-ES"/>
        </w:rPr>
        <w:t>: i) incentivos para empresas y emprendimientos de mujeres en el sistema de compras y contratación pública</w:t>
      </w:r>
      <w:r w:rsidR="001B2066" w:rsidRPr="00E77F0B">
        <w:rPr>
          <w:rFonts w:ascii="Century Gothic" w:hAnsi="Century Gothic" w:cs="Arial"/>
          <w:color w:val="000000" w:themeColor="text1"/>
          <w:lang w:val="es-ES"/>
        </w:rPr>
        <w:t>;</w:t>
      </w:r>
      <w:r w:rsidRPr="00E77F0B">
        <w:rPr>
          <w:rFonts w:ascii="Century Gothic" w:hAnsi="Century Gothic" w:cs="Arial"/>
          <w:color w:val="000000" w:themeColor="text1"/>
          <w:lang w:val="es-ES"/>
        </w:rPr>
        <w:t xml:space="preserve"> y</w:t>
      </w:r>
      <w:r w:rsidR="001B2066" w:rsidRPr="00E77F0B">
        <w:rPr>
          <w:rFonts w:ascii="Century Gothic" w:hAnsi="Century Gothic" w:cs="Arial"/>
          <w:color w:val="000000" w:themeColor="text1"/>
          <w:lang w:val="es-ES"/>
        </w:rPr>
        <w:t>,</w:t>
      </w:r>
      <w:r w:rsidRPr="00E77F0B">
        <w:rPr>
          <w:rFonts w:ascii="Century Gothic" w:hAnsi="Century Gothic" w:cs="Arial"/>
          <w:color w:val="000000" w:themeColor="text1"/>
          <w:lang w:val="es-ES"/>
        </w:rPr>
        <w:t xml:space="preserve"> ii) </w:t>
      </w:r>
      <w:r w:rsidR="00083BE5">
        <w:rPr>
          <w:rFonts w:ascii="Century Gothic" w:hAnsi="Century Gothic" w:cs="Arial"/>
          <w:color w:val="000000" w:themeColor="text1"/>
          <w:lang w:val="es-ES"/>
        </w:rPr>
        <w:t>d</w:t>
      </w:r>
      <w:r w:rsidR="00CA09B0" w:rsidRPr="00E77F0B">
        <w:rPr>
          <w:rFonts w:ascii="Century Gothic" w:hAnsi="Century Gothic" w:cs="Arial"/>
          <w:color w:val="000000" w:themeColor="text1"/>
          <w:lang w:val="es-ES"/>
        </w:rPr>
        <w:t xml:space="preserve">iligenciamiento del </w:t>
      </w:r>
      <w:r w:rsidR="00CA09B0" w:rsidRPr="00E77F0B">
        <w:rPr>
          <w:rFonts w:ascii="Century Gothic" w:eastAsia="Calibri" w:hAnsi="Century Gothic" w:cs="Arial"/>
          <w:color w:val="000000" w:themeColor="text1"/>
        </w:rPr>
        <w:t xml:space="preserve">“Formato 12 – Acreditación emprendimiento y empresa de mujeres” de </w:t>
      </w:r>
      <w:r w:rsidR="00C94D17">
        <w:rPr>
          <w:rFonts w:ascii="Century Gothic" w:hAnsi="Century Gothic" w:cs="Arial"/>
          <w:color w:val="000000" w:themeColor="text1"/>
        </w:rPr>
        <w:t xml:space="preserve">Documentos </w:t>
      </w:r>
      <w:r w:rsidR="00CA09B0" w:rsidRPr="00E77F0B">
        <w:rPr>
          <w:rFonts w:ascii="Century Gothic" w:hAnsi="Century Gothic" w:cs="Arial"/>
          <w:color w:val="000000" w:themeColor="text1"/>
          <w:lang w:val="es-ES"/>
        </w:rPr>
        <w:t xml:space="preserve">Tipo. </w:t>
      </w:r>
    </w:p>
    <w:p w14:paraId="0D87C30C" w14:textId="48E2C927" w:rsidR="00676BCD" w:rsidRPr="00E77F0B" w:rsidRDefault="00676BCD" w:rsidP="00CA09B0">
      <w:pPr>
        <w:spacing w:line="276" w:lineRule="auto"/>
        <w:ind w:firstLine="708"/>
        <w:jc w:val="both"/>
        <w:rPr>
          <w:rFonts w:ascii="Century Gothic" w:eastAsia="Calibri" w:hAnsi="Century Gothic" w:cs="Arial"/>
          <w:color w:val="000000" w:themeColor="text1"/>
          <w:lang w:val="es-ES"/>
        </w:rPr>
      </w:pPr>
      <w:r w:rsidRPr="00E77F0B">
        <w:rPr>
          <w:rFonts w:ascii="Century Gothic" w:hAnsi="Century Gothic" w:cs="Arial"/>
          <w:lang w:val="es-MX"/>
        </w:rPr>
        <w:t xml:space="preserve">La Agencia Nacional de Contratación Pública – Colombia Compra Eficiente, en los </w:t>
      </w:r>
      <w:r w:rsidR="00AF797F" w:rsidRPr="00E77F0B">
        <w:rPr>
          <w:rFonts w:ascii="Century Gothic" w:eastAsia="Calibri" w:hAnsi="Century Gothic" w:cs="Arial"/>
          <w:lang w:val="es-ES_tradnl" w:eastAsia="es-ES_tradnl"/>
        </w:rPr>
        <w:t xml:space="preserve">conceptos </w:t>
      </w:r>
      <w:r w:rsidR="00AF797F" w:rsidRPr="00E77F0B">
        <w:rPr>
          <w:rFonts w:ascii="Century Gothic" w:eastAsia="Times New Roman" w:hAnsi="Century Gothic" w:cs="Arial"/>
          <w:shd w:val="clear" w:color="auto" w:fill="FFFFFF"/>
          <w:lang w:eastAsia="es-ES_tradnl"/>
        </w:rPr>
        <w:t xml:space="preserve">C-029 de 21 de febrero de 2021, C-037 del 26 de febrero de 2021, C-141 del 8 de abril de 2021, C-114 del 13 de abril de 2015, C-031 del 1 de marzo de 2022, C-217 del 21 de abril de 2022, C-476 del 21 de junio de 2022, C-429 del 18 de julio de 2022, </w:t>
      </w:r>
      <w:r w:rsidR="00AF797F" w:rsidRPr="00E77F0B">
        <w:rPr>
          <w:rFonts w:ascii="Century Gothic" w:hAnsi="Century Gothic" w:cs="Arial"/>
          <w:shd w:val="clear" w:color="auto" w:fill="FFFFFF"/>
        </w:rPr>
        <w:t>C-438 del 11 de julio de 2022, C-454 del 13 de julio de 2022, C-476 del 21 de junio de 2022, C-479 del 26 de julio de 2022, C-504 del 8 de agosto de 2022, C-509 de 8 de agosto de 2022, C-522 del 16 de agosto de 2022, C-533 de 25 de agosto de 2022, C-587 del 21 de septiembre de 2022, C-650 de 6 de octubre de 2022, C-698 de 24 de octubre de 2022, C-715 del 4 de noviembre de 2022, C-752 del 21 de diciembre de 2022, C-048 del 12 de abril de 2023 y C-058 del 10 de mayo de 2023</w:t>
      </w:r>
      <w:r w:rsidR="009C6576" w:rsidRPr="00E77F0B">
        <w:rPr>
          <w:rStyle w:val="Refdenotaalpie"/>
          <w:rFonts w:ascii="Century Gothic" w:eastAsia="Calibri" w:hAnsi="Century Gothic" w:cs="Arial"/>
        </w:rPr>
        <w:footnoteReference w:id="1"/>
      </w:r>
      <w:r w:rsidR="00BF3B65" w:rsidRPr="00E77F0B">
        <w:rPr>
          <w:rFonts w:ascii="Century Gothic" w:hAnsi="Century Gothic" w:cs="Arial"/>
          <w:shd w:val="clear" w:color="auto" w:fill="FFFFFF"/>
        </w:rPr>
        <w:t xml:space="preserve">, </w:t>
      </w:r>
      <w:r w:rsidRPr="00E77F0B">
        <w:rPr>
          <w:rFonts w:ascii="Century Gothic" w:hAnsi="Century Gothic" w:cs="Arial"/>
          <w:lang w:val="es-MX"/>
        </w:rPr>
        <w:t xml:space="preserve">se ha pronunciado sobre </w:t>
      </w:r>
      <w:r w:rsidRPr="00E77F0B">
        <w:rPr>
          <w:rFonts w:ascii="Century Gothic" w:eastAsia="Calibri" w:hAnsi="Century Gothic" w:cs="Arial"/>
          <w:lang w:val="es-ES_tradnl" w:eastAsia="es-ES_tradnl"/>
        </w:rPr>
        <w:t xml:space="preserve">lo dispuesto en el artículo 32 de la Ley </w:t>
      </w:r>
      <w:r w:rsidR="009C6576" w:rsidRPr="00E77F0B">
        <w:rPr>
          <w:rFonts w:ascii="Century Gothic" w:eastAsia="Calibri" w:hAnsi="Century Gothic" w:cs="Arial"/>
          <w:lang w:val="es-ES_tradnl" w:eastAsia="es-ES_tradnl"/>
        </w:rPr>
        <w:t>2069 de 2020</w:t>
      </w:r>
      <w:r w:rsidRPr="00E77F0B">
        <w:rPr>
          <w:rFonts w:ascii="Century Gothic" w:eastAsia="Calibri" w:hAnsi="Century Gothic" w:cs="Arial"/>
          <w:lang w:val="es-ES_tradnl" w:eastAsia="es-ES_tradnl"/>
        </w:rPr>
        <w:t>, alusivo a los criterios diferenciales para emprendimientos y empresas de mujeres</w:t>
      </w:r>
      <w:r w:rsidRPr="00E77F0B">
        <w:rPr>
          <w:rFonts w:ascii="Century Gothic" w:eastAsia="Calibri" w:hAnsi="Century Gothic" w:cs="Arial"/>
          <w:color w:val="000000" w:themeColor="text1"/>
          <w:lang w:val="es-ES"/>
        </w:rPr>
        <w:t xml:space="preserve">. </w:t>
      </w:r>
      <w:r w:rsidRPr="00E77F0B">
        <w:rPr>
          <w:rFonts w:ascii="Century Gothic" w:eastAsia="Calibri" w:hAnsi="Century Gothic" w:cs="Arial"/>
          <w:color w:val="000000" w:themeColor="text1"/>
          <w:lang w:val="es-ES_tradnl"/>
        </w:rPr>
        <w:t xml:space="preserve">La tesis propuesta en estos conceptos se reitera a continuación y se complementa en lo pertinente de acuerdo con las preguntas realizadas. </w:t>
      </w:r>
    </w:p>
    <w:p w14:paraId="26B408CF" w14:textId="144DB73F" w:rsidR="00676BCD" w:rsidRPr="00E77F0B" w:rsidRDefault="00676BCD" w:rsidP="00C924B9">
      <w:pPr>
        <w:spacing w:after="0" w:line="276" w:lineRule="auto"/>
        <w:contextualSpacing/>
        <w:jc w:val="both"/>
        <w:rPr>
          <w:rFonts w:ascii="Century Gothic" w:hAnsi="Century Gothic" w:cs="Arial"/>
          <w:b/>
        </w:rPr>
      </w:pPr>
      <w:bookmarkStart w:id="2" w:name="_Hlk73970609"/>
      <w:r w:rsidRPr="00E77F0B">
        <w:rPr>
          <w:rFonts w:ascii="Century Gothic" w:eastAsia="Arial" w:hAnsi="Century Gothic" w:cs="Arial"/>
          <w:b/>
          <w:bCs/>
          <w:lang w:val="es-ES_tradnl" w:eastAsia="es-ES_tradnl"/>
        </w:rPr>
        <w:t>2.1.</w:t>
      </w:r>
      <w:bookmarkStart w:id="3" w:name="_Hlk139902297"/>
      <w:r w:rsidR="00C924B9" w:rsidRPr="00E77F0B">
        <w:rPr>
          <w:rFonts w:ascii="Century Gothic" w:eastAsia="Arial" w:hAnsi="Century Gothic" w:cs="Arial"/>
          <w:b/>
          <w:bCs/>
          <w:lang w:val="es-ES_tradnl" w:eastAsia="es-ES_tradnl"/>
        </w:rPr>
        <w:tab/>
      </w:r>
      <w:r w:rsidRPr="00E77F0B">
        <w:rPr>
          <w:rFonts w:ascii="Century Gothic" w:hAnsi="Century Gothic" w:cs="Arial"/>
          <w:b/>
        </w:rPr>
        <w:t>Incentivos para empresas y emprendimientos de mujeres en el sistema de compras y contratación pública</w:t>
      </w:r>
      <w:bookmarkEnd w:id="3"/>
      <w:r w:rsidRPr="00E77F0B">
        <w:rPr>
          <w:rFonts w:ascii="Century Gothic" w:hAnsi="Century Gothic" w:cs="Arial"/>
          <w:b/>
        </w:rPr>
        <w:t xml:space="preserve"> </w:t>
      </w:r>
      <w:bookmarkEnd w:id="2"/>
    </w:p>
    <w:p w14:paraId="63C2C636" w14:textId="77777777" w:rsidR="00676BCD" w:rsidRPr="00E77F0B" w:rsidRDefault="00676BCD" w:rsidP="00676BCD">
      <w:pPr>
        <w:pStyle w:val="Sinespaciado"/>
        <w:spacing w:line="276" w:lineRule="auto"/>
        <w:jc w:val="both"/>
        <w:rPr>
          <w:rFonts w:ascii="Century Gothic" w:hAnsi="Century Gothic" w:cs="Arial"/>
          <w:sz w:val="22"/>
        </w:rPr>
      </w:pPr>
    </w:p>
    <w:p w14:paraId="7DC492E0" w14:textId="4946EF62" w:rsidR="00676BCD" w:rsidRPr="00E77F0B" w:rsidRDefault="002D069D" w:rsidP="00676BCD">
      <w:pPr>
        <w:tabs>
          <w:tab w:val="left" w:pos="709"/>
        </w:tabs>
        <w:spacing w:after="120" w:line="276" w:lineRule="auto"/>
        <w:jc w:val="both"/>
        <w:rPr>
          <w:rFonts w:ascii="Century Gothic" w:eastAsia="Calibri" w:hAnsi="Century Gothic" w:cs="Arial"/>
          <w:bCs/>
        </w:rPr>
      </w:pPr>
      <w:bookmarkStart w:id="4" w:name="_Hlk63848566"/>
      <w:r w:rsidRPr="00E77F0B">
        <w:rPr>
          <w:rFonts w:ascii="Century Gothic" w:eastAsia="Calibri" w:hAnsi="Century Gothic" w:cs="Arial"/>
          <w:bCs/>
        </w:rPr>
        <w:t>L</w:t>
      </w:r>
      <w:r w:rsidR="00676BCD" w:rsidRPr="00E77F0B">
        <w:rPr>
          <w:rFonts w:ascii="Century Gothic" w:eastAsia="Calibri" w:hAnsi="Century Gothic" w:cs="Arial"/>
          <w:bCs/>
        </w:rPr>
        <w:t>os artículos 31 y 32 de la Ley 2069 de 2020</w:t>
      </w:r>
      <w:bookmarkEnd w:id="4"/>
      <w:r w:rsidR="00676BCD" w:rsidRPr="00E77F0B">
        <w:rPr>
          <w:rFonts w:ascii="Century Gothic" w:eastAsia="Calibri" w:hAnsi="Century Gothic" w:cs="Arial"/>
          <w:bCs/>
        </w:rPr>
        <w:t xml:space="preserve">, crean una serie de incentivos para las personas interesadas en celebrar contratos con el Estado. </w:t>
      </w:r>
      <w:r w:rsidR="00676BCD" w:rsidRPr="00E77F0B">
        <w:rPr>
          <w:rFonts w:ascii="Century Gothic" w:eastAsia="Calibri" w:hAnsi="Century Gothic" w:cs="Arial"/>
          <w:bCs/>
          <w:lang w:val="es-ES_tradnl"/>
        </w:rPr>
        <w:t xml:space="preserve">Por un lado, el artículo 31 </w:t>
      </w:r>
      <w:r w:rsidR="00676BCD" w:rsidRPr="00E77F0B">
        <w:rPr>
          <w:rFonts w:ascii="Century Gothic" w:eastAsia="Calibri" w:hAnsi="Century Gothic" w:cs="Arial"/>
          <w:bCs/>
        </w:rPr>
        <w:t xml:space="preserve">introduce criterios diferenciales para el acceso de las </w:t>
      </w:r>
      <w:r w:rsidR="006F2C58" w:rsidRPr="00E77F0B">
        <w:rPr>
          <w:rFonts w:ascii="Century Gothic" w:eastAsia="Calibri" w:hAnsi="Century Gothic" w:cs="Arial"/>
          <w:bCs/>
        </w:rPr>
        <w:t>MiPyme</w:t>
      </w:r>
      <w:r w:rsidR="00676BCD" w:rsidRPr="00E77F0B">
        <w:rPr>
          <w:rFonts w:ascii="Century Gothic" w:eastAsia="Calibri" w:hAnsi="Century Gothic" w:cs="Arial"/>
          <w:bCs/>
        </w:rPr>
        <w:t xml:space="preserve"> al sistema de compras y contratación pública, estableciendo que “Las Entidades Estatales de acuerdo con el análisis de Sector podrán incluir, en los Documentos del Proceso, requisitos diferenciales y puntajes adicionales, en función del tamaño empresarial para la promoción del acceso de las MIPYMES al mercado de Compras Públicas”.  </w:t>
      </w:r>
    </w:p>
    <w:p w14:paraId="79439129" w14:textId="77777777" w:rsidR="00676BCD" w:rsidRPr="00E77F0B" w:rsidRDefault="00676BCD" w:rsidP="00676BCD">
      <w:pPr>
        <w:tabs>
          <w:tab w:val="left" w:pos="709"/>
        </w:tabs>
        <w:spacing w:after="120" w:line="276" w:lineRule="auto"/>
        <w:jc w:val="both"/>
        <w:rPr>
          <w:rFonts w:ascii="Century Gothic" w:eastAsia="Calibri" w:hAnsi="Century Gothic" w:cs="Arial"/>
          <w:bCs/>
        </w:rPr>
      </w:pPr>
      <w:r w:rsidRPr="00E77F0B">
        <w:rPr>
          <w:rFonts w:ascii="Century Gothic" w:eastAsia="Calibri" w:hAnsi="Century Gothic" w:cs="Arial"/>
          <w:bCs/>
        </w:rPr>
        <w:tab/>
        <w:t xml:space="preserve">Además, el inciso segundo y el parágrafo del </w:t>
      </w:r>
      <w:r w:rsidRPr="00E77F0B">
        <w:rPr>
          <w:rFonts w:ascii="Century Gothic" w:eastAsia="Calibri" w:hAnsi="Century Gothic" w:cs="Arial"/>
          <w:bCs/>
          <w:lang w:val="es-ES_tradnl"/>
        </w:rPr>
        <w:t xml:space="preserve">artículo 31 </w:t>
      </w:r>
      <w:r w:rsidRPr="00E77F0B">
        <w:rPr>
          <w:rFonts w:ascii="Century Gothic" w:eastAsia="Calibri" w:hAnsi="Century Gothic" w:cs="Arial"/>
          <w:bCs/>
        </w:rPr>
        <w:t xml:space="preserve">de la Ley 2069 de 2020 disponen, respectivamente, que “El Gobierno Nacional reglamentará la </w:t>
      </w:r>
      <w:r w:rsidRPr="00E77F0B">
        <w:rPr>
          <w:rFonts w:ascii="Century Gothic" w:eastAsia="Calibri" w:hAnsi="Century Gothic" w:cs="Arial"/>
          <w:bCs/>
        </w:rPr>
        <w:lastRenderedPageBreak/>
        <w:t>definición de los criterios diferenciales, sobre reglas objetivas [relacionadas con “requisitos diferenciales” y “puntajes adicionales”] que podrán implementar las Entidades Estatales” (Corchetes fuera de texto) y que “Dentro de los criterios diferenciales que reglamente el Gobierno Nacional se dará prioridad a la contratación de producción nacional sin perjuicio de los compromisos comerciales adquiridos con otros Estados”. Es decir, esta norma requiere el desarrollo reglamentario como una condición previa para su aplicación.</w:t>
      </w:r>
    </w:p>
    <w:p w14:paraId="3024C06A" w14:textId="77777777" w:rsidR="00676BCD" w:rsidRPr="00E77F0B" w:rsidRDefault="00676BCD" w:rsidP="00676BCD">
      <w:pPr>
        <w:tabs>
          <w:tab w:val="left" w:pos="709"/>
        </w:tabs>
        <w:spacing w:after="0" w:line="276" w:lineRule="auto"/>
        <w:jc w:val="both"/>
        <w:rPr>
          <w:rFonts w:ascii="Century Gothic" w:eastAsia="Calibri" w:hAnsi="Century Gothic" w:cs="Arial"/>
          <w:bCs/>
        </w:rPr>
      </w:pPr>
      <w:r w:rsidRPr="00E77F0B">
        <w:rPr>
          <w:rFonts w:ascii="Century Gothic" w:eastAsia="Calibri" w:hAnsi="Century Gothic" w:cs="Arial"/>
          <w:bCs/>
        </w:rPr>
        <w:tab/>
        <w:t xml:space="preserve">Por otra parte, el artículo 32 de la Ley 2069 de 2020 regula criterios diferenciales para los “emprendimientos y empresas de mujeres” en el sistema de compras y contratación pública. En relación con este aspecto, el inciso primero de la norma citada prescribe lo siguiente: </w:t>
      </w:r>
    </w:p>
    <w:p w14:paraId="0CF6795A" w14:textId="77777777" w:rsidR="00676BCD" w:rsidRPr="00E77F0B" w:rsidRDefault="00676BCD" w:rsidP="00676BCD">
      <w:pPr>
        <w:tabs>
          <w:tab w:val="left" w:pos="709"/>
        </w:tabs>
        <w:spacing w:after="0" w:line="276" w:lineRule="auto"/>
        <w:jc w:val="both"/>
        <w:rPr>
          <w:rFonts w:ascii="Century Gothic" w:eastAsia="Calibri" w:hAnsi="Century Gothic" w:cs="Arial"/>
          <w:bCs/>
        </w:rPr>
      </w:pPr>
    </w:p>
    <w:p w14:paraId="669A392D" w14:textId="32B0904A" w:rsidR="00676BCD" w:rsidRPr="00E77F0B" w:rsidRDefault="00F719DA" w:rsidP="00676BCD">
      <w:pPr>
        <w:tabs>
          <w:tab w:val="left" w:pos="709"/>
        </w:tabs>
        <w:spacing w:after="0" w:line="240" w:lineRule="auto"/>
        <w:ind w:left="709" w:right="709"/>
        <w:jc w:val="both"/>
        <w:rPr>
          <w:rFonts w:ascii="Century Gothic" w:eastAsia="Calibri" w:hAnsi="Century Gothic" w:cs="Arial"/>
          <w:bCs/>
          <w:sz w:val="21"/>
          <w:szCs w:val="21"/>
        </w:rPr>
      </w:pPr>
      <w:r w:rsidRPr="00E77F0B">
        <w:rPr>
          <w:rFonts w:ascii="Century Gothic" w:eastAsia="Calibri" w:hAnsi="Century Gothic" w:cs="Arial"/>
          <w:bCs/>
          <w:sz w:val="21"/>
          <w:szCs w:val="21"/>
        </w:rPr>
        <w:t>“</w:t>
      </w:r>
      <w:r w:rsidR="00676BCD" w:rsidRPr="00E77F0B">
        <w:rPr>
          <w:rFonts w:ascii="Century Gothic" w:eastAsia="Calibri" w:hAnsi="Century Gothic" w:cs="Arial"/>
          <w:bCs/>
          <w:sz w:val="21"/>
          <w:szCs w:val="21"/>
        </w:rPr>
        <w:t>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r w:rsidRPr="00E77F0B">
        <w:rPr>
          <w:rFonts w:ascii="Century Gothic" w:eastAsia="Calibri" w:hAnsi="Century Gothic" w:cs="Arial"/>
          <w:bCs/>
          <w:sz w:val="21"/>
          <w:szCs w:val="21"/>
        </w:rPr>
        <w:t>”</w:t>
      </w:r>
    </w:p>
    <w:p w14:paraId="45905820" w14:textId="77777777" w:rsidR="00676BCD" w:rsidRPr="00E77F0B" w:rsidRDefault="00676BCD" w:rsidP="00676BCD">
      <w:pPr>
        <w:tabs>
          <w:tab w:val="left" w:pos="709"/>
        </w:tabs>
        <w:spacing w:after="0"/>
        <w:ind w:left="709" w:right="709"/>
        <w:jc w:val="both"/>
        <w:rPr>
          <w:rFonts w:ascii="Century Gothic" w:eastAsia="Calibri" w:hAnsi="Century Gothic" w:cs="Arial"/>
          <w:bCs/>
        </w:rPr>
      </w:pPr>
    </w:p>
    <w:p w14:paraId="4D91A93A" w14:textId="520DA6DF" w:rsidR="00676BCD" w:rsidRPr="00E77F0B" w:rsidRDefault="00676BCD" w:rsidP="00676BCD">
      <w:pPr>
        <w:tabs>
          <w:tab w:val="left" w:pos="709"/>
        </w:tabs>
        <w:spacing w:after="120" w:line="276" w:lineRule="auto"/>
        <w:jc w:val="both"/>
        <w:rPr>
          <w:rFonts w:ascii="Century Gothic" w:eastAsia="Calibri" w:hAnsi="Century Gothic" w:cs="Arial"/>
          <w:bCs/>
        </w:rPr>
      </w:pPr>
      <w:r w:rsidRPr="00E77F0B">
        <w:rPr>
          <w:rFonts w:ascii="Century Gothic" w:eastAsia="Calibri" w:hAnsi="Century Gothic" w:cs="Arial"/>
          <w:bCs/>
        </w:rPr>
        <w:tab/>
        <w:t xml:space="preserve">El contraste con la norma analizada anteriormente salta a la vista. Por un lado, a diferencia del artículo 31 de la Ley de Emprendimiento, los “criterios diferenciales” del artículo 32 </w:t>
      </w:r>
      <w:proofErr w:type="spellStart"/>
      <w:r w:rsidRPr="00E77F0B">
        <w:rPr>
          <w:rFonts w:ascii="Century Gothic" w:eastAsia="Calibri" w:hAnsi="Century Gothic" w:cs="Arial"/>
          <w:bCs/>
          <w:i/>
          <w:iCs/>
        </w:rPr>
        <w:t>ibídem</w:t>
      </w:r>
      <w:proofErr w:type="spellEnd"/>
      <w:r w:rsidRPr="00E77F0B">
        <w:rPr>
          <w:rFonts w:ascii="Century Gothic" w:eastAsia="Calibri" w:hAnsi="Century Gothic" w:cs="Arial"/>
          <w:bCs/>
        </w:rPr>
        <w:t xml:space="preserve"> –que incluyen tanto los “requisitos diferenciales” como los “puntajes adicionales”– aplican a “[…] los procesos de licitación pública, selección abreviada de menor cuantía y concurso de méritos […]”, excluyendo las demás modalidades de selección del artículo 2 de la Ley 1150 de 2007. Por otra parte, sin distinciones ulteriores, la norma en comento también se extiende a todos los procedimientos competitivos que realicen las entidades estatales excluidas de la Ley 80 de 1993. </w:t>
      </w:r>
    </w:p>
    <w:p w14:paraId="6815FB99" w14:textId="77777777" w:rsidR="00676BCD" w:rsidRPr="00E77F0B" w:rsidRDefault="00676BCD" w:rsidP="00676BCD">
      <w:pPr>
        <w:spacing w:after="120" w:line="276" w:lineRule="auto"/>
        <w:ind w:firstLine="709"/>
        <w:jc w:val="both"/>
        <w:rPr>
          <w:rFonts w:ascii="Century Gothic" w:eastAsia="Calibri" w:hAnsi="Century Gothic" w:cs="Arial"/>
          <w:lang w:val="es-ES_tradnl"/>
        </w:rPr>
      </w:pPr>
      <w:r w:rsidRPr="00E77F0B">
        <w:rPr>
          <w:rFonts w:ascii="Century Gothic" w:eastAsia="Calibri" w:hAnsi="Century Gothic" w:cs="Arial"/>
          <w:bCs/>
        </w:rPr>
        <w:t xml:space="preserve">No obstante, el artículo 32 de la Ley 2069 de 2020 –al igual que el artículo 31– también alude a la necesidad del desarrollo normativo posterior. Al respecto, el parágrafo dispone que “La definición de emprendimientos y empresas de mujeres se reglamentará por el gobierno nacional”. En ese sentido, la aplicación de criterios diferenciales en favor de mujeres y emprendimientos de mujeres está condicionada por el ejercicio de potestad reglamentaria, en orden de establecer </w:t>
      </w:r>
      <w:r w:rsidRPr="00E77F0B">
        <w:rPr>
          <w:rFonts w:ascii="Century Gothic" w:eastAsia="Calibri" w:hAnsi="Century Gothic" w:cs="Arial"/>
          <w:bCs/>
        </w:rPr>
        <w:lastRenderedPageBreak/>
        <w:t xml:space="preserve">la regulación en marco de la cual las Entidades Estatales deben aplicar los criterios diferenciales del artículo 32 de la Ley 2069 de 2020. </w:t>
      </w:r>
    </w:p>
    <w:p w14:paraId="2E61FB25" w14:textId="77777777" w:rsidR="00676BCD" w:rsidRPr="00E77F0B" w:rsidRDefault="00676BCD" w:rsidP="00676BCD">
      <w:pPr>
        <w:spacing w:after="120" w:line="276" w:lineRule="auto"/>
        <w:jc w:val="both"/>
        <w:rPr>
          <w:rFonts w:ascii="Century Gothic" w:eastAsia="Calibri" w:hAnsi="Century Gothic" w:cs="Arial"/>
          <w:lang w:val="es-ES_tradnl"/>
        </w:rPr>
      </w:pPr>
      <w:r w:rsidRPr="00E77F0B">
        <w:rPr>
          <w:rFonts w:ascii="Century Gothic" w:eastAsia="Calibri" w:hAnsi="Century Gothic" w:cs="Arial"/>
          <w:b/>
          <w:bCs/>
          <w:lang w:val="es-ES_tradnl"/>
        </w:rPr>
        <w:tab/>
      </w:r>
      <w:r w:rsidRPr="00E77F0B">
        <w:rPr>
          <w:rFonts w:ascii="Century Gothic" w:eastAsia="Calibri" w:hAnsi="Century Gothic" w:cs="Arial"/>
          <w:lang w:val="es-ES_tradnl"/>
        </w:rPr>
        <w:t>En este contexto, el Gobierno nacional expidió el Decreto 1860 del 24 de diciembre de 2021,</w:t>
      </w:r>
      <w:r w:rsidRPr="00E77F0B">
        <w:rPr>
          <w:rFonts w:ascii="Century Gothic" w:hAnsi="Century Gothic"/>
        </w:rPr>
        <w:t xml:space="preserve"> </w:t>
      </w:r>
      <w:r w:rsidRPr="00E77F0B">
        <w:rPr>
          <w:rFonts w:ascii="Century Gothic" w:eastAsia="Calibri" w:hAnsi="Century Gothic" w:cs="Arial"/>
          <w:lang w:val="es-ES_tradnl"/>
        </w:rPr>
        <w:t>“Por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de 2020 –con excepción de los artículos 33 y 36–, realizando las adecuaciones requeridas para aplicar estas disposiciones, como indica el artículo 1 del Decreto 1860 de 2021</w:t>
      </w:r>
      <w:r w:rsidRPr="00E77F0B">
        <w:rPr>
          <w:rStyle w:val="Refdenotaalpie"/>
          <w:rFonts w:ascii="Century Gothic" w:eastAsia="Calibri" w:hAnsi="Century Gothic" w:cs="Arial"/>
          <w:lang w:val="es-ES_tradnl"/>
        </w:rPr>
        <w:footnoteReference w:id="2"/>
      </w:r>
      <w:r w:rsidRPr="00E77F0B">
        <w:rPr>
          <w:rFonts w:ascii="Century Gothic" w:eastAsia="Calibri" w:hAnsi="Century Gothic" w:cs="Arial"/>
          <w:lang w:val="es-ES_tradnl"/>
        </w:rPr>
        <w:t xml:space="preserve">.  </w:t>
      </w:r>
    </w:p>
    <w:p w14:paraId="7FEC76C1" w14:textId="77777777" w:rsidR="00676BCD" w:rsidRPr="00E77F0B" w:rsidRDefault="00676BCD" w:rsidP="00676BCD">
      <w:pPr>
        <w:spacing w:after="0" w:line="276" w:lineRule="auto"/>
        <w:ind w:firstLine="708"/>
        <w:jc w:val="both"/>
        <w:rPr>
          <w:rFonts w:ascii="Century Gothic" w:eastAsia="Calibri" w:hAnsi="Century Gothic" w:cs="Arial"/>
          <w:color w:val="000000" w:themeColor="text1"/>
          <w:lang w:val="es-ES_tradnl"/>
        </w:rPr>
      </w:pPr>
      <w:r w:rsidRPr="00E77F0B">
        <w:rPr>
          <w:rFonts w:ascii="Century Gothic" w:eastAsia="Calibri" w:hAnsi="Century Gothic" w:cs="Arial"/>
          <w:lang w:val="es-ES_tradnl"/>
        </w:rPr>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 Para la consulta es relevante el numeral 2, cuyo tenor indica lo siguiente:   </w:t>
      </w:r>
      <w:r w:rsidRPr="00E77F0B">
        <w:rPr>
          <w:rFonts w:ascii="Century Gothic" w:eastAsia="Calibri" w:hAnsi="Century Gothic" w:cs="Arial"/>
          <w:color w:val="000000" w:themeColor="text1"/>
          <w:lang w:val="es-ES_tradnl"/>
        </w:rPr>
        <w:t xml:space="preserve">  </w:t>
      </w:r>
    </w:p>
    <w:p w14:paraId="2D94D2C9" w14:textId="77777777" w:rsidR="00676BCD" w:rsidRPr="00E77F0B" w:rsidRDefault="00676BCD" w:rsidP="00676BCD">
      <w:pPr>
        <w:spacing w:after="0" w:line="276" w:lineRule="auto"/>
        <w:jc w:val="both"/>
        <w:rPr>
          <w:rFonts w:ascii="Century Gothic" w:eastAsia="Calibri" w:hAnsi="Century Gothic" w:cs="Arial"/>
          <w:color w:val="000000" w:themeColor="text1"/>
          <w:lang w:val="es-ES_tradnl"/>
        </w:rPr>
      </w:pPr>
    </w:p>
    <w:p w14:paraId="4167287C" w14:textId="119EEFF5" w:rsidR="00676BCD" w:rsidRPr="00E77F0B" w:rsidRDefault="00EF41B8" w:rsidP="00676BCD">
      <w:pPr>
        <w:shd w:val="clear" w:color="auto" w:fill="FFFFFF"/>
        <w:spacing w:after="0" w:line="240" w:lineRule="auto"/>
        <w:ind w:left="709" w:right="709"/>
        <w:jc w:val="both"/>
        <w:textAlignment w:val="baseline"/>
        <w:rPr>
          <w:rFonts w:ascii="Century Gothic" w:hAnsi="Century Gothic" w:cs="Arial"/>
          <w:color w:val="000000" w:themeColor="text1"/>
          <w:sz w:val="21"/>
          <w:szCs w:val="21"/>
          <w:lang w:eastAsia="es-CO"/>
        </w:rPr>
      </w:pPr>
      <w:r w:rsidRPr="00E77F0B">
        <w:rPr>
          <w:rFonts w:ascii="Century Gothic" w:hAnsi="Century Gothic" w:cs="Arial"/>
          <w:color w:val="000000" w:themeColor="text1"/>
          <w:sz w:val="21"/>
          <w:szCs w:val="21"/>
          <w:lang w:eastAsia="es-CO"/>
        </w:rPr>
        <w:t>“</w:t>
      </w:r>
      <w:r w:rsidR="00676BCD" w:rsidRPr="00E77F0B">
        <w:rPr>
          <w:rFonts w:ascii="Century Gothic" w:hAnsi="Century Gothic" w:cs="Arial"/>
          <w:color w:val="000000" w:themeColor="text1"/>
          <w:sz w:val="21"/>
          <w:szCs w:val="21"/>
          <w:lang w:eastAsia="es-CO"/>
        </w:rPr>
        <w:t>Artículo 2.2.1.2.4.2.14. Definición de emprendimientos y empresas de mujeres.</w:t>
      </w:r>
      <w:r w:rsidR="00676BCD" w:rsidRPr="00E77F0B">
        <w:rPr>
          <w:rFonts w:ascii="Arial" w:hAnsi="Arial" w:cs="Arial"/>
          <w:color w:val="000000" w:themeColor="text1"/>
          <w:sz w:val="21"/>
          <w:szCs w:val="21"/>
          <w:lang w:eastAsia="es-CO"/>
        </w:rPr>
        <w:t> </w:t>
      </w:r>
      <w:r w:rsidR="00676BCD" w:rsidRPr="00E77F0B">
        <w:rPr>
          <w:rFonts w:ascii="Century Gothic" w:hAnsi="Century Gothic" w:cs="Arial"/>
          <w:color w:val="000000" w:themeColor="text1"/>
          <w:sz w:val="21"/>
          <w:szCs w:val="21"/>
          <w:lang w:eastAsia="es-CO"/>
        </w:rPr>
        <w:t>Con el prop</w:t>
      </w:r>
      <w:r w:rsidR="00676BCD" w:rsidRPr="00E77F0B">
        <w:rPr>
          <w:rFonts w:ascii="Century Gothic" w:hAnsi="Century Gothic" w:cs="Century Gothic"/>
          <w:color w:val="000000" w:themeColor="text1"/>
          <w:sz w:val="21"/>
          <w:szCs w:val="21"/>
          <w:lang w:eastAsia="es-CO"/>
        </w:rPr>
        <w:t>ó</w:t>
      </w:r>
      <w:r w:rsidR="00676BCD" w:rsidRPr="00E77F0B">
        <w:rPr>
          <w:rFonts w:ascii="Century Gothic" w:hAnsi="Century Gothic" w:cs="Arial"/>
          <w:color w:val="000000" w:themeColor="text1"/>
          <w:sz w:val="21"/>
          <w:szCs w:val="21"/>
          <w:lang w:eastAsia="es-CO"/>
        </w:rPr>
        <w:t>sito de adoptar medidas afirmativas que incentiven la participación de las mujeres en el sistema de compras públicas, se entenderán como emprendimientos y empresas de mujeres aquellas que cumplan con alguna de las siguientes condiciones: </w:t>
      </w:r>
    </w:p>
    <w:p w14:paraId="2D88F11E" w14:textId="77777777" w:rsidR="00676BCD" w:rsidRPr="00E77F0B" w:rsidRDefault="00676BCD" w:rsidP="00676BCD">
      <w:pPr>
        <w:shd w:val="clear" w:color="auto" w:fill="FFFFFF"/>
        <w:spacing w:after="120" w:line="240" w:lineRule="auto"/>
        <w:ind w:left="709" w:right="709"/>
        <w:jc w:val="both"/>
        <w:textAlignment w:val="baseline"/>
        <w:rPr>
          <w:rFonts w:ascii="Century Gothic" w:hAnsi="Century Gothic" w:cs="Arial"/>
          <w:color w:val="000000" w:themeColor="text1"/>
          <w:sz w:val="21"/>
          <w:szCs w:val="21"/>
          <w:lang w:eastAsia="es-CO"/>
        </w:rPr>
      </w:pPr>
      <w:r w:rsidRPr="00E77F0B">
        <w:rPr>
          <w:rFonts w:ascii="Century Gothic" w:hAnsi="Century Gothic" w:cs="Arial"/>
          <w:color w:val="000000" w:themeColor="text1"/>
          <w:sz w:val="21"/>
          <w:szCs w:val="21"/>
          <w:lang w:eastAsia="es-CO"/>
        </w:rPr>
        <w:t>[…]</w:t>
      </w:r>
    </w:p>
    <w:p w14:paraId="7996DE17" w14:textId="77777777" w:rsidR="00676BCD" w:rsidRPr="00E77F0B" w:rsidRDefault="00676BCD" w:rsidP="00676BCD">
      <w:pPr>
        <w:shd w:val="clear" w:color="auto" w:fill="FFFFFF"/>
        <w:spacing w:after="120" w:line="240" w:lineRule="auto"/>
        <w:ind w:left="709" w:right="709"/>
        <w:jc w:val="both"/>
        <w:textAlignment w:val="baseline"/>
        <w:rPr>
          <w:rFonts w:ascii="Century Gothic" w:hAnsi="Century Gothic" w:cs="Arial"/>
          <w:color w:val="000000" w:themeColor="text1"/>
          <w:sz w:val="21"/>
          <w:szCs w:val="21"/>
          <w:lang w:eastAsia="es-CO"/>
        </w:rPr>
      </w:pPr>
      <w:r w:rsidRPr="00E77F0B">
        <w:rPr>
          <w:rFonts w:ascii="Century Gothic" w:hAnsi="Century Gothic" w:cs="Arial"/>
          <w:color w:val="000000" w:themeColor="text1"/>
          <w:sz w:val="21"/>
          <w:szCs w:val="21"/>
          <w:lang w:eastAsia="es-CO"/>
        </w:rPr>
        <w:t xml:space="preserve">Cuando </w:t>
      </w:r>
      <w:bookmarkStart w:id="5" w:name="_Hlk139875505"/>
      <w:r w:rsidRPr="00E77F0B">
        <w:rPr>
          <w:rFonts w:ascii="Century Gothic" w:hAnsi="Century Gothic" w:cs="Arial"/>
          <w:color w:val="000000" w:themeColor="text1"/>
          <w:sz w:val="21"/>
          <w:szCs w:val="21"/>
          <w:lang w:eastAsia="es-CO"/>
        </w:rPr>
        <w:t xml:space="preserve">por lo menos el cincuenta por ciento (50%) de los empleos del nivel directivo de la persona jurídica sean ejercidos por </w:t>
      </w:r>
      <w:r w:rsidRPr="00E77F0B">
        <w:rPr>
          <w:rFonts w:ascii="Century Gothic" w:hAnsi="Century Gothic" w:cs="Arial"/>
          <w:i/>
          <w:iCs/>
          <w:color w:val="000000" w:themeColor="text1"/>
          <w:sz w:val="21"/>
          <w:szCs w:val="21"/>
          <w:u w:val="single"/>
          <w:lang w:eastAsia="es-CO"/>
        </w:rPr>
        <w:t>mujeres</w:t>
      </w:r>
      <w:r w:rsidRPr="00E77F0B">
        <w:rPr>
          <w:rFonts w:ascii="Century Gothic" w:hAnsi="Century Gothic" w:cs="Arial"/>
          <w:color w:val="000000" w:themeColor="text1"/>
          <w:sz w:val="21"/>
          <w:szCs w:val="21"/>
          <w:lang w:eastAsia="es-CO"/>
        </w:rPr>
        <w:t xml:space="preserve"> y éstas hayan estado </w:t>
      </w:r>
      <w:r w:rsidRPr="00E77F0B">
        <w:rPr>
          <w:rFonts w:ascii="Century Gothic" w:hAnsi="Century Gothic" w:cs="Arial"/>
          <w:i/>
          <w:iCs/>
          <w:color w:val="000000" w:themeColor="text1"/>
          <w:sz w:val="21"/>
          <w:szCs w:val="21"/>
          <w:u w:val="single"/>
          <w:lang w:eastAsia="es-CO"/>
        </w:rPr>
        <w:t>vinculadas laboralmente</w:t>
      </w:r>
      <w:r w:rsidRPr="00E77F0B">
        <w:rPr>
          <w:rFonts w:ascii="Century Gothic" w:hAnsi="Century Gothic" w:cs="Arial"/>
          <w:color w:val="000000" w:themeColor="text1"/>
          <w:sz w:val="21"/>
          <w:szCs w:val="21"/>
          <w:lang w:eastAsia="es-CO"/>
        </w:rPr>
        <w:t xml:space="preserve"> a la empresa durante al menos </w:t>
      </w:r>
      <w:r w:rsidRPr="00E77F0B">
        <w:rPr>
          <w:rFonts w:ascii="Century Gothic" w:hAnsi="Century Gothic" w:cs="Arial"/>
          <w:color w:val="000000" w:themeColor="text1"/>
          <w:sz w:val="21"/>
          <w:szCs w:val="21"/>
          <w:lang w:eastAsia="es-CO"/>
        </w:rPr>
        <w:lastRenderedPageBreak/>
        <w:t>el último año anterior a la fecha de cierre del Proceso de Selección en el mismo cargo u otro del mismo nivel</w:t>
      </w:r>
      <w:bookmarkEnd w:id="5"/>
      <w:r w:rsidRPr="00E77F0B">
        <w:rPr>
          <w:rFonts w:ascii="Century Gothic" w:hAnsi="Century Gothic" w:cs="Arial"/>
          <w:color w:val="000000" w:themeColor="text1"/>
          <w:sz w:val="21"/>
          <w:szCs w:val="21"/>
          <w:lang w:eastAsia="es-CO"/>
        </w:rPr>
        <w:t xml:space="preserve">. </w:t>
      </w:r>
    </w:p>
    <w:p w14:paraId="2BD32286" w14:textId="77777777" w:rsidR="00676BCD" w:rsidRPr="00E77F0B" w:rsidRDefault="00676BCD" w:rsidP="00676BCD">
      <w:pPr>
        <w:shd w:val="clear" w:color="auto" w:fill="FFFFFF"/>
        <w:spacing w:after="120" w:line="240" w:lineRule="auto"/>
        <w:ind w:left="709" w:right="709"/>
        <w:jc w:val="both"/>
        <w:textAlignment w:val="baseline"/>
        <w:rPr>
          <w:rFonts w:ascii="Century Gothic" w:hAnsi="Century Gothic" w:cs="Arial"/>
          <w:color w:val="000000" w:themeColor="text1"/>
          <w:sz w:val="21"/>
          <w:szCs w:val="21"/>
          <w:lang w:eastAsia="es-CO"/>
        </w:rPr>
      </w:pPr>
      <w:r w:rsidRPr="00E77F0B">
        <w:rPr>
          <w:rFonts w:ascii="Century Gothic" w:hAnsi="Century Gothic" w:cs="Arial"/>
          <w:color w:val="000000" w:themeColor="text1"/>
          <w:sz w:val="21"/>
          <w:szCs w:val="21"/>
          <w:lang w:eastAsia="es-CO"/>
        </w:rPr>
        <w:t xml:space="preserve">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 </w:t>
      </w:r>
    </w:p>
    <w:p w14:paraId="5DE0466B" w14:textId="77777777" w:rsidR="00676BCD" w:rsidRPr="00E77F0B" w:rsidRDefault="00676BCD" w:rsidP="00676BCD">
      <w:pPr>
        <w:shd w:val="clear" w:color="auto" w:fill="FFFFFF"/>
        <w:spacing w:after="120" w:line="240" w:lineRule="auto"/>
        <w:ind w:left="709" w:right="709"/>
        <w:jc w:val="both"/>
        <w:textAlignment w:val="baseline"/>
        <w:rPr>
          <w:rFonts w:ascii="Century Gothic" w:hAnsi="Century Gothic" w:cs="Arial"/>
          <w:color w:val="000000" w:themeColor="text1"/>
          <w:sz w:val="21"/>
          <w:szCs w:val="21"/>
          <w:lang w:eastAsia="es-CO"/>
        </w:rPr>
      </w:pPr>
      <w:r w:rsidRPr="00E77F0B">
        <w:rPr>
          <w:rFonts w:ascii="Century Gothic" w:hAnsi="Century Gothic" w:cs="Arial"/>
          <w:color w:val="000000" w:themeColor="text1"/>
          <w:sz w:val="21"/>
          <w:szCs w:val="21"/>
          <w:lang w:eastAsia="es-CO"/>
        </w:rPr>
        <w:t xml:space="preserve">Esta circunstancia se acreditará mediante </w:t>
      </w:r>
      <w:bookmarkStart w:id="6" w:name="_Hlk139879186"/>
      <w:r w:rsidRPr="00E77F0B">
        <w:rPr>
          <w:rFonts w:ascii="Century Gothic" w:hAnsi="Century Gothic" w:cs="Arial"/>
          <w:color w:val="000000" w:themeColor="text1"/>
          <w:sz w:val="21"/>
          <w:szCs w:val="21"/>
          <w:lang w:eastAsia="es-CO"/>
        </w:rPr>
        <w:t>certificación expedida por el representante legal y el revisor fiscal, cuando exista de acuerdo con los requerimientos de ley, o el contador</w:t>
      </w:r>
      <w:bookmarkEnd w:id="6"/>
      <w:r w:rsidRPr="00E77F0B">
        <w:rPr>
          <w:rFonts w:ascii="Century Gothic" w:hAnsi="Century Gothic" w:cs="Arial"/>
          <w:color w:val="000000" w:themeColor="text1"/>
          <w:sz w:val="21"/>
          <w:szCs w:val="21"/>
          <w:lang w:eastAsia="es-CO"/>
        </w:rPr>
        <w:t xml:space="preserve">, donde se señale de manera detallada todas las personas que conforman los cargos de nivel directivo del proponente, el número de mujeres y el tiempo de vinculación. </w:t>
      </w:r>
    </w:p>
    <w:p w14:paraId="7FFA6B9B" w14:textId="6062753A" w:rsidR="00676BCD" w:rsidRPr="00E77F0B" w:rsidRDefault="00676BCD" w:rsidP="00676BCD">
      <w:pPr>
        <w:shd w:val="clear" w:color="auto" w:fill="FFFFFF"/>
        <w:spacing w:after="0" w:line="240" w:lineRule="auto"/>
        <w:ind w:left="709" w:right="709"/>
        <w:jc w:val="both"/>
        <w:textAlignment w:val="baseline"/>
        <w:rPr>
          <w:rFonts w:ascii="Century Gothic" w:hAnsi="Century Gothic" w:cs="Arial"/>
          <w:color w:val="000000" w:themeColor="text1"/>
          <w:sz w:val="21"/>
          <w:szCs w:val="21"/>
          <w:lang w:eastAsia="es-CO"/>
        </w:rPr>
      </w:pPr>
      <w:r w:rsidRPr="00E77F0B">
        <w:rPr>
          <w:rFonts w:ascii="Century Gothic" w:hAnsi="Century Gothic" w:cs="Arial"/>
          <w:color w:val="000000" w:themeColor="text1"/>
          <w:sz w:val="21"/>
          <w:szCs w:val="21"/>
          <w:lang w:eastAsia="es-CO"/>
        </w:rPr>
        <w:t xml:space="preserve">La certificación deberá relacionar el nombre completo y el número de documento de identidad de cada una de las personas que conforman el nivel directivo del proponente. Como soporte, </w:t>
      </w:r>
      <w:bookmarkStart w:id="7" w:name="_Hlk139875803"/>
      <w:r w:rsidRPr="00E77F0B">
        <w:rPr>
          <w:rFonts w:ascii="Century Gothic" w:hAnsi="Century Gothic" w:cs="Arial"/>
          <w:color w:val="000000" w:themeColor="text1"/>
          <w:sz w:val="21"/>
          <w:szCs w:val="21"/>
          <w:lang w:eastAsia="es-CO"/>
        </w:rPr>
        <w:t>se anexará copia de los respectivos documentos de identidad, copia de los contratos de trabajo o certificación laboral con las funciones, así como el certificado de aportes a seguridad social del último año en el que se demuestren los pagos realizados por el empleador</w:t>
      </w:r>
      <w:bookmarkEnd w:id="7"/>
      <w:r w:rsidRPr="00E77F0B">
        <w:rPr>
          <w:rFonts w:ascii="Century Gothic" w:hAnsi="Century Gothic" w:cs="Arial"/>
          <w:color w:val="000000" w:themeColor="text1"/>
          <w:sz w:val="21"/>
          <w:szCs w:val="21"/>
          <w:lang w:eastAsia="es-CO"/>
        </w:rPr>
        <w:t>.</w:t>
      </w:r>
      <w:r w:rsidR="00EF41B8" w:rsidRPr="00E77F0B">
        <w:rPr>
          <w:rFonts w:ascii="Century Gothic" w:hAnsi="Century Gothic" w:cs="Arial"/>
          <w:color w:val="000000" w:themeColor="text1"/>
          <w:sz w:val="21"/>
          <w:szCs w:val="21"/>
          <w:lang w:eastAsia="es-CO"/>
        </w:rPr>
        <w:t>”</w:t>
      </w:r>
      <w:r w:rsidRPr="00E77F0B">
        <w:rPr>
          <w:rFonts w:ascii="Century Gothic" w:hAnsi="Century Gothic" w:cs="Arial"/>
          <w:color w:val="000000" w:themeColor="text1"/>
          <w:sz w:val="21"/>
          <w:szCs w:val="21"/>
          <w:lang w:eastAsia="es-CO"/>
        </w:rPr>
        <w:t xml:space="preserve"> (Énfasis fuera de texto)</w:t>
      </w:r>
    </w:p>
    <w:p w14:paraId="44FF195C" w14:textId="77777777" w:rsidR="00676BCD" w:rsidRPr="00E77F0B" w:rsidRDefault="00676BCD" w:rsidP="00676BCD">
      <w:pPr>
        <w:shd w:val="clear" w:color="auto" w:fill="FFFFFF"/>
        <w:spacing w:after="0" w:line="276" w:lineRule="auto"/>
        <w:ind w:left="709" w:right="709"/>
        <w:jc w:val="both"/>
        <w:textAlignment w:val="baseline"/>
        <w:rPr>
          <w:rFonts w:ascii="Century Gothic" w:hAnsi="Century Gothic" w:cs="Arial"/>
          <w:color w:val="000000" w:themeColor="text1"/>
          <w:lang w:eastAsia="es-CO"/>
        </w:rPr>
      </w:pPr>
    </w:p>
    <w:p w14:paraId="192A48CC" w14:textId="3A4930C9" w:rsidR="00E77F0B" w:rsidRDefault="003D7FA1" w:rsidP="003D7FA1">
      <w:pPr>
        <w:spacing w:after="0" w:line="276" w:lineRule="auto"/>
        <w:ind w:firstLine="708"/>
        <w:jc w:val="both"/>
        <w:rPr>
          <w:rFonts w:ascii="Century Gothic" w:hAnsi="Century Gothic"/>
        </w:rPr>
      </w:pPr>
      <w:r w:rsidRPr="00E77F0B">
        <w:rPr>
          <w:rFonts w:ascii="Century Gothic" w:eastAsia="Calibri" w:hAnsi="Century Gothic" w:cs="Arial"/>
          <w:lang w:val="es-ES_tradnl"/>
        </w:rPr>
        <w:t xml:space="preserve">Los </w:t>
      </w:r>
      <w:r w:rsidR="00E77F0B" w:rsidRPr="00E77F0B">
        <w:rPr>
          <w:rFonts w:ascii="Century Gothic" w:eastAsia="Calibri" w:hAnsi="Century Gothic" w:cs="Arial"/>
          <w:lang w:val="es-ES_tradnl"/>
        </w:rPr>
        <w:t>“</w:t>
      </w:r>
      <w:r w:rsidRPr="00E77F0B">
        <w:rPr>
          <w:rFonts w:ascii="Century Gothic" w:eastAsia="Calibri" w:hAnsi="Century Gothic" w:cs="Arial"/>
          <w:lang w:val="es-ES_tradnl"/>
        </w:rPr>
        <w:t>empleos del nivel directivo</w:t>
      </w:r>
      <w:r w:rsidR="00E77F0B" w:rsidRPr="00E77F0B">
        <w:rPr>
          <w:rFonts w:ascii="Century Gothic" w:eastAsia="Calibri" w:hAnsi="Century Gothic" w:cs="Arial"/>
          <w:lang w:val="es-ES_tradnl"/>
        </w:rPr>
        <w:t>”</w:t>
      </w:r>
      <w:r w:rsidRPr="00E77F0B">
        <w:rPr>
          <w:rFonts w:ascii="Century Gothic" w:eastAsia="Calibri" w:hAnsi="Century Gothic" w:cs="Arial"/>
          <w:lang w:val="es-ES_tradnl"/>
        </w:rPr>
        <w:t xml:space="preserve"> a los que se refiere la norma son aquellos relacionados</w:t>
      </w:r>
      <w:r w:rsidR="00E77F0B" w:rsidRPr="00E77F0B">
        <w:rPr>
          <w:rFonts w:ascii="Century Gothic" w:eastAsia="Calibri" w:hAnsi="Century Gothic" w:cs="Arial"/>
          <w:lang w:val="es-ES_tradnl"/>
        </w:rPr>
        <w:t xml:space="preserve"> </w:t>
      </w:r>
      <w:r w:rsidRPr="00E77F0B">
        <w:rPr>
          <w:rFonts w:ascii="Century Gothic" w:eastAsia="Calibri" w:hAnsi="Century Gothic" w:cs="Arial"/>
          <w:lang w:val="es-ES_tradnl"/>
        </w:rPr>
        <w:t>con la dirección de áreas misionales y las decisiones de nivel estratégico de la respectiva persona</w:t>
      </w:r>
      <w:r w:rsidR="00E77F0B" w:rsidRPr="00E77F0B">
        <w:rPr>
          <w:rFonts w:ascii="Century Gothic" w:eastAsia="Calibri" w:hAnsi="Century Gothic" w:cs="Arial"/>
          <w:lang w:val="es-ES_tradnl"/>
        </w:rPr>
        <w:t xml:space="preserve"> </w:t>
      </w:r>
      <w:r w:rsidRPr="00E77F0B">
        <w:rPr>
          <w:rFonts w:ascii="Century Gothic" w:eastAsia="Calibri" w:hAnsi="Century Gothic" w:cs="Arial"/>
          <w:lang w:val="es-ES_tradnl"/>
        </w:rPr>
        <w:t>jurídica. De esta manera, los cargos directivos deben identificarse de acuerdo con la definición</w:t>
      </w:r>
      <w:r w:rsidR="00E77F0B" w:rsidRPr="00E77F0B">
        <w:rPr>
          <w:rFonts w:ascii="Century Gothic" w:eastAsia="Calibri" w:hAnsi="Century Gothic" w:cs="Arial"/>
          <w:lang w:val="es-ES_tradnl"/>
        </w:rPr>
        <w:t xml:space="preserve"> </w:t>
      </w:r>
      <w:r w:rsidRPr="00E77F0B">
        <w:rPr>
          <w:rFonts w:ascii="Century Gothic" w:eastAsia="Calibri" w:hAnsi="Century Gothic" w:cs="Arial"/>
          <w:lang w:val="es-ES_tradnl"/>
        </w:rPr>
        <w:t>que para el efecto estableció el Decreto 1082 de 2015, adicionado por el Decreto 1860 de 2021.En ese sentido, independientemente de la denominación del cargo, su naturaleza será directiva</w:t>
      </w:r>
      <w:r w:rsidR="00E77F0B" w:rsidRPr="00E77F0B">
        <w:rPr>
          <w:rFonts w:ascii="Century Gothic" w:eastAsia="Calibri" w:hAnsi="Century Gothic" w:cs="Arial"/>
          <w:lang w:val="es-ES_tradnl"/>
        </w:rPr>
        <w:t xml:space="preserve"> </w:t>
      </w:r>
      <w:r w:rsidR="00A630EB" w:rsidRPr="00E77F0B">
        <w:rPr>
          <w:rFonts w:ascii="Century Gothic" w:hAnsi="Century Gothic"/>
        </w:rPr>
        <w:t xml:space="preserve">bien porque se encuentra en un nivel especial de mando o porque, </w:t>
      </w:r>
      <w:r w:rsidR="00E77F0B" w:rsidRPr="00E77F0B">
        <w:rPr>
          <w:rFonts w:ascii="Century Gothic" w:hAnsi="Century Gothic"/>
        </w:rPr>
        <w:t>de acuerdo con</w:t>
      </w:r>
      <w:r w:rsidR="00A630EB" w:rsidRPr="00E77F0B">
        <w:rPr>
          <w:rFonts w:ascii="Century Gothic" w:hAnsi="Century Gothic"/>
        </w:rPr>
        <w:t xml:space="preserve"> su jerarquía, representan al empleador en los términos del artículo 32 del Código Sustantivo del Trabajo</w:t>
      </w:r>
      <w:r w:rsidR="00A630EB" w:rsidRPr="00E77F0B">
        <w:rPr>
          <w:rStyle w:val="Refdenotaalpie"/>
          <w:rFonts w:ascii="Century Gothic" w:hAnsi="Century Gothic"/>
        </w:rPr>
        <w:footnoteReference w:id="3"/>
      </w:r>
      <w:r w:rsidR="00A630EB" w:rsidRPr="00E77F0B">
        <w:rPr>
          <w:rFonts w:ascii="Century Gothic" w:hAnsi="Century Gothic"/>
        </w:rPr>
        <w:t xml:space="preserve"> . </w:t>
      </w:r>
    </w:p>
    <w:p w14:paraId="17D2C0E6" w14:textId="77777777" w:rsidR="00E77F0B" w:rsidRDefault="00E77F0B" w:rsidP="003D7FA1">
      <w:pPr>
        <w:spacing w:after="0" w:line="276" w:lineRule="auto"/>
        <w:ind w:firstLine="708"/>
        <w:jc w:val="both"/>
        <w:rPr>
          <w:rFonts w:ascii="Century Gothic" w:hAnsi="Century Gothic"/>
        </w:rPr>
      </w:pPr>
    </w:p>
    <w:p w14:paraId="4187A517" w14:textId="06377010" w:rsidR="00A74215" w:rsidRDefault="00A630EB" w:rsidP="003D7FA1">
      <w:pPr>
        <w:spacing w:after="0" w:line="276" w:lineRule="auto"/>
        <w:ind w:firstLine="708"/>
        <w:jc w:val="both"/>
        <w:rPr>
          <w:rFonts w:ascii="Century Gothic" w:hAnsi="Century Gothic"/>
        </w:rPr>
      </w:pPr>
      <w:r w:rsidRPr="00E77F0B">
        <w:rPr>
          <w:rFonts w:ascii="Century Gothic" w:hAnsi="Century Gothic"/>
        </w:rPr>
        <w:lastRenderedPageBreak/>
        <w:t xml:space="preserve">Para la acreditación de este requisito, la norma establece que deben entenderse como empleos del nivel directivo aquellos relacionados con la dirección de áreas misionales y la toma de decisiones estratégicas. Además, que también lo serán aquellos que se encuentran ubicados en un nivel de mando o los que por su jerarquía desempeñan cargos encaminados al cumplimiento de funciones orientadas a representar al empleador. En relación con lo anterior, el artículo 196 del Código de Comercio establece que </w:t>
      </w:r>
      <w:r w:rsidR="00E77F0B" w:rsidRPr="00E77F0B">
        <w:rPr>
          <w:rFonts w:ascii="Century Gothic" w:hAnsi="Century Gothic"/>
        </w:rPr>
        <w:t>“</w:t>
      </w:r>
      <w:r w:rsidRPr="00E77F0B">
        <w:rPr>
          <w:rFonts w:ascii="Century Gothic" w:hAnsi="Century Gothic"/>
        </w:rPr>
        <w:t>[L]a representación de la sociedad y la administración de sus bienes y negocios se ajustarán a las estipulaciones del contrato social, conforme al régimen de cada tipo de sociedad […]</w:t>
      </w:r>
      <w:r w:rsidR="00E77F0B" w:rsidRPr="00E77F0B">
        <w:rPr>
          <w:rFonts w:ascii="Century Gothic" w:hAnsi="Century Gothic"/>
        </w:rPr>
        <w:t>”</w:t>
      </w:r>
      <w:r w:rsidRPr="00E77F0B">
        <w:rPr>
          <w:rFonts w:ascii="Century Gothic" w:hAnsi="Century Gothic"/>
        </w:rPr>
        <w:t xml:space="preserve">. En ese orden, el contrato social indica cuáles son los cargos mediante los que se ejerce la dirección, administración y control de la empresa. No obstante, con respecto a la administración, la Ley 222 de 1995 establece en su artículo 22 que son administradores </w:t>
      </w:r>
      <w:r w:rsidR="00E77F0B" w:rsidRPr="00E77F0B">
        <w:rPr>
          <w:rFonts w:ascii="Century Gothic" w:hAnsi="Century Gothic"/>
        </w:rPr>
        <w:t>“</w:t>
      </w:r>
      <w:r w:rsidRPr="00E77F0B">
        <w:rPr>
          <w:rFonts w:ascii="Century Gothic" w:hAnsi="Century Gothic"/>
        </w:rPr>
        <w:t>el representante legal, el liquidador, el factor, los miembros de juntas o consejos directivos y quienes de acuerdo con los estatutos ejerzan o detenten esas funciones</w:t>
      </w:r>
      <w:r w:rsidR="00E77F0B" w:rsidRPr="00E77F0B">
        <w:rPr>
          <w:rFonts w:ascii="Century Gothic" w:hAnsi="Century Gothic"/>
        </w:rPr>
        <w:t>”</w:t>
      </w:r>
      <w:r w:rsidRPr="00E77F0B">
        <w:rPr>
          <w:rFonts w:ascii="Century Gothic" w:hAnsi="Century Gothic"/>
        </w:rPr>
        <w:t xml:space="preserve">. </w:t>
      </w:r>
    </w:p>
    <w:p w14:paraId="383B1651" w14:textId="77777777" w:rsidR="00E77F0B" w:rsidRPr="00E77F0B" w:rsidRDefault="00E77F0B" w:rsidP="003D7FA1">
      <w:pPr>
        <w:spacing w:after="0" w:line="276" w:lineRule="auto"/>
        <w:ind w:firstLine="708"/>
        <w:jc w:val="both"/>
        <w:rPr>
          <w:rFonts w:ascii="Century Gothic" w:hAnsi="Century Gothic"/>
        </w:rPr>
      </w:pPr>
    </w:p>
    <w:p w14:paraId="0305D635" w14:textId="08DB6735" w:rsidR="00A630EB" w:rsidRDefault="00A630EB" w:rsidP="003D7FA1">
      <w:pPr>
        <w:spacing w:after="0" w:line="276" w:lineRule="auto"/>
        <w:ind w:firstLine="708"/>
        <w:jc w:val="both"/>
        <w:rPr>
          <w:rFonts w:ascii="Century Gothic" w:hAnsi="Century Gothic"/>
        </w:rPr>
      </w:pPr>
      <w:r w:rsidRPr="00E77F0B">
        <w:rPr>
          <w:rFonts w:ascii="Century Gothic" w:hAnsi="Century Gothic"/>
        </w:rPr>
        <w:t>Usualmente, la junta directiva es el primer órgano directivo con miras a la adopción de decisiones estratégicas que permitan la orientación gerencial de la actividad económica, la generación de valor y la gestión de sus riesgos a largo plazo</w:t>
      </w:r>
      <w:r w:rsidR="007D386F" w:rsidRPr="00E77F0B">
        <w:rPr>
          <w:rStyle w:val="Refdenotaalpie"/>
          <w:rFonts w:ascii="Century Gothic" w:hAnsi="Century Gothic"/>
        </w:rPr>
        <w:footnoteReference w:id="4"/>
      </w:r>
      <w:r w:rsidRPr="00E77F0B">
        <w:rPr>
          <w:rFonts w:ascii="Century Gothic" w:hAnsi="Century Gothic"/>
        </w:rPr>
        <w:t xml:space="preserve"> . La junta o comisión directiva se encarga entonces, entre otros asuntos, de la designación, evaluación y remoción del personal directivo; la definición, aprobación y seguimiento del plan estratégico, de los objetivos de gestión y presupuesto anual; y de la aprobación de inversiones o desinversiones materiales o estratégicas</w:t>
      </w:r>
      <w:r w:rsidR="007D386F" w:rsidRPr="00E77F0B">
        <w:rPr>
          <w:rStyle w:val="Refdenotaalpie"/>
          <w:rFonts w:ascii="Century Gothic" w:hAnsi="Century Gothic"/>
        </w:rPr>
        <w:footnoteReference w:id="5"/>
      </w:r>
    </w:p>
    <w:p w14:paraId="405305D0" w14:textId="77777777" w:rsidR="00294ADD" w:rsidRPr="00E77F0B" w:rsidRDefault="00294ADD" w:rsidP="003D7FA1">
      <w:pPr>
        <w:spacing w:after="0" w:line="276" w:lineRule="auto"/>
        <w:ind w:firstLine="708"/>
        <w:jc w:val="both"/>
        <w:rPr>
          <w:rFonts w:ascii="Century Gothic" w:hAnsi="Century Gothic"/>
        </w:rPr>
      </w:pPr>
    </w:p>
    <w:p w14:paraId="6EF3D9B4" w14:textId="77777777" w:rsidR="00AB096C" w:rsidRDefault="009E3F7C" w:rsidP="003D7FA1">
      <w:pPr>
        <w:spacing w:after="0" w:line="276" w:lineRule="auto"/>
        <w:ind w:firstLine="708"/>
        <w:jc w:val="both"/>
        <w:rPr>
          <w:rFonts w:ascii="Century Gothic" w:hAnsi="Century Gothic"/>
        </w:rPr>
      </w:pPr>
      <w:r w:rsidRPr="00E77F0B">
        <w:rPr>
          <w:rFonts w:ascii="Century Gothic" w:hAnsi="Century Gothic"/>
        </w:rPr>
        <w:t xml:space="preserve">También ejercerán actividades de dirección, según lo establece el Decreto 1860 de 2021, quienes lideren áreas misionales y quienes lideren procesos operativos que resulten claves para la actividad de la persona jurídica de cara a su desempeño y rentabilidad, tales como la dirección jurídica o la dirección financiera </w:t>
      </w:r>
      <w:r w:rsidRPr="00E77F0B">
        <w:rPr>
          <w:rFonts w:ascii="Century Gothic" w:hAnsi="Century Gothic"/>
        </w:rPr>
        <w:lastRenderedPageBreak/>
        <w:t>de la empresa. Estos se diseñan y adaptan al tamaño de la persona jurídica, requerimientos del mercado, a la entrada de insumos y recursos, y a la</w:t>
      </w:r>
      <w:r w:rsidR="00936808" w:rsidRPr="00E77F0B">
        <w:rPr>
          <w:rFonts w:ascii="Century Gothic" w:hAnsi="Century Gothic"/>
        </w:rPr>
        <w:t xml:space="preserve"> producción de los bienes o servicios específicos, de manera que pueden resultar diferentes e incluso dinámicos. En este sentido, corresponderá a cada proponente, atendiendo a sus circunstancias particulares, señalar cuáles son sus cargos del nivel directivo. </w:t>
      </w:r>
    </w:p>
    <w:p w14:paraId="722FBBA3" w14:textId="77777777" w:rsidR="00AB096C" w:rsidRDefault="00AB096C" w:rsidP="003D7FA1">
      <w:pPr>
        <w:spacing w:after="0" w:line="276" w:lineRule="auto"/>
        <w:ind w:firstLine="708"/>
        <w:jc w:val="both"/>
        <w:rPr>
          <w:rFonts w:ascii="Century Gothic" w:hAnsi="Century Gothic"/>
        </w:rPr>
      </w:pPr>
    </w:p>
    <w:p w14:paraId="6DAEBA96" w14:textId="77777777" w:rsidR="00AB096C" w:rsidRDefault="00936808" w:rsidP="003D7FA1">
      <w:pPr>
        <w:spacing w:after="0" w:line="276" w:lineRule="auto"/>
        <w:ind w:firstLine="708"/>
        <w:jc w:val="both"/>
        <w:rPr>
          <w:rFonts w:ascii="Century Gothic" w:hAnsi="Century Gothic"/>
        </w:rPr>
      </w:pPr>
      <w:r w:rsidRPr="00E77F0B">
        <w:rPr>
          <w:rFonts w:ascii="Century Gothic" w:hAnsi="Century Gothic"/>
        </w:rPr>
        <w:t xml:space="preserve">Así las cosas, para la aplicación de la definición en comento debe tenerse en cuenta únicamente a los empleos del nivel directivo, lo que excluye a los demás empleos de la planta de personal, como por ejemplo los operativos. Así mismo, se excluyen las personas vinculadas mediante figuras jurídicas diferentes a un contrato de trabajo, como es el caso de los contratos de prestación de servicios. Al respecto, debe precisarse que la disposición materia de estudio indica que la vinculación de las mujeres en los cargos directivos de la persona jurídica debe ser de índole laboral, al establecer de forma expresa: </w:t>
      </w:r>
      <w:r w:rsidR="00E77F0B" w:rsidRPr="00E77F0B">
        <w:rPr>
          <w:rFonts w:ascii="Century Gothic" w:hAnsi="Century Gothic"/>
        </w:rPr>
        <w:t>“</w:t>
      </w:r>
      <w:r w:rsidRPr="00E77F0B">
        <w:rPr>
          <w:rFonts w:ascii="Century Gothic" w:hAnsi="Century Gothic"/>
        </w:rPr>
        <w:t>[…] hayan estado vinculadas laboralmente […]</w:t>
      </w:r>
      <w:r w:rsidR="00E77F0B" w:rsidRPr="00E77F0B">
        <w:rPr>
          <w:rFonts w:ascii="Century Gothic" w:hAnsi="Century Gothic"/>
        </w:rPr>
        <w:t>”</w:t>
      </w:r>
    </w:p>
    <w:p w14:paraId="1C95126A" w14:textId="77777777" w:rsidR="00AB096C" w:rsidRDefault="00AB096C" w:rsidP="003D7FA1">
      <w:pPr>
        <w:spacing w:after="0" w:line="276" w:lineRule="auto"/>
        <w:ind w:firstLine="708"/>
        <w:jc w:val="both"/>
        <w:rPr>
          <w:rFonts w:ascii="Century Gothic" w:hAnsi="Century Gothic"/>
        </w:rPr>
      </w:pPr>
    </w:p>
    <w:p w14:paraId="662A321F" w14:textId="77777777" w:rsidR="00346C27" w:rsidRDefault="00936808" w:rsidP="003D7FA1">
      <w:pPr>
        <w:spacing w:after="0" w:line="276" w:lineRule="auto"/>
        <w:ind w:firstLine="708"/>
        <w:jc w:val="both"/>
        <w:rPr>
          <w:rFonts w:ascii="Century Gothic" w:hAnsi="Century Gothic"/>
        </w:rPr>
      </w:pPr>
      <w:r w:rsidRPr="00E77F0B">
        <w:rPr>
          <w:rFonts w:ascii="Century Gothic" w:hAnsi="Century Gothic"/>
        </w:rPr>
        <w:t xml:space="preserve"> Al igual que lo establecido en el numeral primero, no basta con que los cargos directivos en una sociedad sean mayoritariamente de mujeres para que sea considerada como un emprendimiento o empresa a las que se refiere la norma, sino que además es necesario que dicha vinculación mayoritaria de mujeres en los empleos del nivel directivo de la persona jurídica se haya mantenido como mínimo durante el periodo de un [1] año, contado a partir de la fecha de cierre del proceso de selección. De esta manera, el criterio establecido en la norma para definir los emprendimientos y empresas de mujeres deja por fuera de dicha categoría a aquellas sociedades que, a pesar de contar con la participación mayoritaria de mujeres en el nivel directivo, no cuenten con el requerimiento del tiempo mínimo de un [1] año. </w:t>
      </w:r>
    </w:p>
    <w:p w14:paraId="3750C519" w14:textId="77777777" w:rsidR="00346C27" w:rsidRDefault="00346C27" w:rsidP="003D7FA1">
      <w:pPr>
        <w:spacing w:after="0" w:line="276" w:lineRule="auto"/>
        <w:ind w:firstLine="708"/>
        <w:jc w:val="both"/>
        <w:rPr>
          <w:rFonts w:ascii="Century Gothic" w:hAnsi="Century Gothic"/>
        </w:rPr>
      </w:pPr>
    </w:p>
    <w:p w14:paraId="215B556A" w14:textId="7BD1B66F" w:rsidR="009E3F7C" w:rsidRPr="00E77F0B" w:rsidRDefault="00936808" w:rsidP="003D7FA1">
      <w:pPr>
        <w:spacing w:after="0" w:line="276" w:lineRule="auto"/>
        <w:ind w:firstLine="708"/>
        <w:jc w:val="both"/>
        <w:rPr>
          <w:rFonts w:ascii="Century Gothic" w:hAnsi="Century Gothic"/>
        </w:rPr>
      </w:pPr>
      <w:r w:rsidRPr="00E77F0B">
        <w:rPr>
          <w:rFonts w:ascii="Century Gothic" w:hAnsi="Century Gothic"/>
        </w:rPr>
        <w:t xml:space="preserve">Al respecto, resulta necesario precisar que el tiempo mínimo de permanencia en el cargo directivo se predica únicamente frente a las mujeres que la integran y no respecto de todos los miembros, es decir, que son solo las mujeres que hacen parte del nivel directivo quienes cumplir con el requisito del tiempo mínimo establecido en la norma objeto de análisis. Esto es en la medida que, es respecto a la participación de las mujeres que se aplican los criterios diferenciales de que trata el artículo 32. Si bien, dentro de la certificación que exige la norma para acreditar la condición de emprendimiento y empresa de mujeres, como se explicará más adelante, se exige la relación de todas las personas que integran el nivel directivo, lo cierto es que los requisitos de que trata el artículo solo se pueden </w:t>
      </w:r>
      <w:r w:rsidRPr="00E77F0B">
        <w:rPr>
          <w:rFonts w:ascii="Century Gothic" w:hAnsi="Century Gothic"/>
        </w:rPr>
        <w:lastRenderedPageBreak/>
        <w:t>predicar respecto a las mujeres por ser el grupo al cual van dirigidas las acciones afirmativas que pretenden estimular su participación en el sistema de compras públicas</w:t>
      </w:r>
      <w:r w:rsidR="00630BB9" w:rsidRPr="00E77F0B">
        <w:rPr>
          <w:rFonts w:ascii="Century Gothic" w:hAnsi="Century Gothic"/>
        </w:rPr>
        <w:t>.</w:t>
      </w:r>
    </w:p>
    <w:p w14:paraId="0BFB4098" w14:textId="77777777" w:rsidR="00630BB9" w:rsidRPr="00E77F0B" w:rsidRDefault="00630BB9" w:rsidP="003D7FA1">
      <w:pPr>
        <w:spacing w:after="0" w:line="276" w:lineRule="auto"/>
        <w:ind w:firstLine="708"/>
        <w:jc w:val="both"/>
        <w:rPr>
          <w:rFonts w:ascii="Century Gothic" w:hAnsi="Century Gothic"/>
        </w:rPr>
      </w:pPr>
    </w:p>
    <w:p w14:paraId="62087B4D" w14:textId="77777777" w:rsidR="000E245B" w:rsidRDefault="00630BB9" w:rsidP="003D7FA1">
      <w:pPr>
        <w:spacing w:after="0" w:line="276" w:lineRule="auto"/>
        <w:ind w:firstLine="708"/>
        <w:jc w:val="both"/>
        <w:rPr>
          <w:rFonts w:ascii="Century Gothic" w:hAnsi="Century Gothic"/>
        </w:rPr>
      </w:pPr>
      <w:r w:rsidRPr="00E77F0B">
        <w:rPr>
          <w:rFonts w:ascii="Century Gothic" w:hAnsi="Century Gothic"/>
        </w:rPr>
        <w:t>Como medio para la acreditación de la condición en comento, la disposición en cita establece una certificación expedida por el representante legal y el revisor fiscal en la que 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En este punto, en relación con la consulta formulada, debe señalarse que la certificación debe contener el listado de todas las personas que conforman el nivel directivo, incluidos los hombres y mujeres. Esto con el fin de corroborar el número de</w:t>
      </w:r>
      <w:r w:rsidR="00BB2D72" w:rsidRPr="00E77F0B">
        <w:rPr>
          <w:rFonts w:ascii="Century Gothic" w:hAnsi="Century Gothic"/>
        </w:rPr>
        <w:t xml:space="preserve"> personas total que conforma el nivel directivo y en qué porcentaje está compuesto por mujeres. Adicionalmente, la norma dispone que la mencionada certificación debe presentarse acompañada de copia de los respectivos documentos de identidad, copia de los contratos de trabajo o certificación laboral con funciones, así como el certificado de aportes a seguridad social del último año en el que se demuestren los pagos realizados por el empleador.</w:t>
      </w:r>
    </w:p>
    <w:p w14:paraId="12EF3EB4" w14:textId="77777777" w:rsidR="000E245B" w:rsidRDefault="000E245B" w:rsidP="003D7FA1">
      <w:pPr>
        <w:spacing w:after="0" w:line="276" w:lineRule="auto"/>
        <w:ind w:firstLine="708"/>
        <w:jc w:val="both"/>
        <w:rPr>
          <w:rFonts w:ascii="Century Gothic" w:hAnsi="Century Gothic"/>
        </w:rPr>
      </w:pPr>
    </w:p>
    <w:p w14:paraId="196B5B19" w14:textId="692B3C79" w:rsidR="00175C03" w:rsidRDefault="00BB2D72" w:rsidP="003D7FA1">
      <w:pPr>
        <w:spacing w:after="0" w:line="276" w:lineRule="auto"/>
        <w:ind w:firstLine="708"/>
        <w:jc w:val="both"/>
        <w:rPr>
          <w:rFonts w:ascii="Century Gothic" w:hAnsi="Century Gothic"/>
        </w:rPr>
      </w:pPr>
      <w:r w:rsidRPr="00E77F0B">
        <w:rPr>
          <w:rFonts w:ascii="Century Gothic" w:hAnsi="Century Gothic"/>
        </w:rPr>
        <w:t xml:space="preserve"> De este modo</w:t>
      </w:r>
      <w:r w:rsidR="008E2AA6">
        <w:rPr>
          <w:rFonts w:ascii="Century Gothic" w:hAnsi="Century Gothic"/>
        </w:rPr>
        <w:t xml:space="preserve">, los documentos anteriormente referenciados </w:t>
      </w:r>
      <w:r w:rsidRPr="00E77F0B">
        <w:rPr>
          <w:rFonts w:ascii="Century Gothic" w:hAnsi="Century Gothic"/>
        </w:rPr>
        <w:t xml:space="preserve">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los numerales primero y segundo del artículo 2.2.1.2.4.2.14, les corresponde presentar la mencionada certificación con sus respectivos soportes. </w:t>
      </w:r>
    </w:p>
    <w:p w14:paraId="7F0DCAC5" w14:textId="77777777" w:rsidR="00175C03" w:rsidRDefault="00175C03" w:rsidP="003D7FA1">
      <w:pPr>
        <w:spacing w:after="0" w:line="276" w:lineRule="auto"/>
        <w:ind w:firstLine="708"/>
        <w:jc w:val="both"/>
        <w:rPr>
          <w:rFonts w:ascii="Century Gothic" w:hAnsi="Century Gothic"/>
        </w:rPr>
      </w:pPr>
    </w:p>
    <w:p w14:paraId="097CC899" w14:textId="671F0002" w:rsidR="00676BCD" w:rsidRPr="00E77F0B" w:rsidRDefault="00BB2D72" w:rsidP="003668FA">
      <w:pPr>
        <w:spacing w:after="0" w:line="276" w:lineRule="auto"/>
        <w:ind w:firstLine="708"/>
        <w:jc w:val="both"/>
        <w:rPr>
          <w:rFonts w:ascii="Century Gothic" w:eastAsia="Calibri" w:hAnsi="Century Gothic" w:cs="Arial"/>
          <w:lang w:val="es-ES_tradnl"/>
        </w:rPr>
      </w:pPr>
      <w:r w:rsidRPr="00E77F0B">
        <w:rPr>
          <w:rFonts w:ascii="Century Gothic" w:hAnsi="Century Gothic"/>
        </w:rPr>
        <w:t>Lo anterior, se refiere a que, adicionalmente, a la presentación de la certificación, esta debe acompañarse de las copias de los documentos de identidad, de los contratos de trabajo o certificación laboral con funciones, así como el certificado de aportes a seguridad social del último año en el que se demuestren los pagos realizados por el empleador</w:t>
      </w:r>
      <w:r w:rsidR="00743454">
        <w:rPr>
          <w:rFonts w:ascii="Century Gothic" w:hAnsi="Century Gothic"/>
        </w:rPr>
        <w:t xml:space="preserve">, pero </w:t>
      </w:r>
      <w:r w:rsidR="00E919A5">
        <w:rPr>
          <w:rFonts w:ascii="Century Gothic" w:hAnsi="Century Gothic"/>
        </w:rPr>
        <w:t xml:space="preserve">la carga </w:t>
      </w:r>
      <w:r w:rsidR="003668FA">
        <w:rPr>
          <w:rFonts w:ascii="Century Gothic" w:hAnsi="Century Gothic"/>
        </w:rPr>
        <w:t xml:space="preserve">del proponente </w:t>
      </w:r>
      <w:r w:rsidR="00E919A5">
        <w:rPr>
          <w:rFonts w:ascii="Century Gothic" w:hAnsi="Century Gothic"/>
        </w:rPr>
        <w:t xml:space="preserve">de presentar dichos soportes, a criterio de esta Agencia, sólo se predica </w:t>
      </w:r>
      <w:r w:rsidR="00743454">
        <w:rPr>
          <w:rFonts w:ascii="Century Gothic" w:hAnsi="Century Gothic"/>
        </w:rPr>
        <w:t xml:space="preserve">de </w:t>
      </w:r>
      <w:r w:rsidR="005429AB">
        <w:rPr>
          <w:rFonts w:ascii="Century Gothic" w:hAnsi="Century Gothic"/>
        </w:rPr>
        <w:t xml:space="preserve">los </w:t>
      </w:r>
      <w:r w:rsidR="005429AB" w:rsidRPr="00E77F0B">
        <w:rPr>
          <w:rFonts w:ascii="Century Gothic" w:eastAsia="Calibri" w:hAnsi="Century Gothic" w:cs="Arial"/>
          <w:lang w:val="es-ES_tradnl"/>
        </w:rPr>
        <w:t>empleos</w:t>
      </w:r>
      <w:r w:rsidR="00676BCD" w:rsidRPr="00E77F0B">
        <w:rPr>
          <w:rFonts w:ascii="Century Gothic" w:eastAsia="Calibri" w:hAnsi="Century Gothic" w:cs="Arial"/>
          <w:lang w:val="es-ES_tradnl"/>
        </w:rPr>
        <w:t xml:space="preserve"> del nivel directivo de la persona </w:t>
      </w:r>
      <w:r w:rsidR="00743454">
        <w:rPr>
          <w:rFonts w:ascii="Century Gothic" w:eastAsia="Calibri" w:hAnsi="Century Gothic" w:cs="Arial"/>
          <w:lang w:val="es-ES_tradnl"/>
        </w:rPr>
        <w:t>ocupados por</w:t>
      </w:r>
      <w:r w:rsidR="00676BCD" w:rsidRPr="00E77F0B">
        <w:rPr>
          <w:rFonts w:ascii="Century Gothic" w:eastAsia="Calibri" w:hAnsi="Century Gothic" w:cs="Arial"/>
          <w:lang w:val="es-ES_tradnl"/>
        </w:rPr>
        <w:t xml:space="preserve"> </w:t>
      </w:r>
      <w:r w:rsidR="00676BCD" w:rsidRPr="00E77F0B">
        <w:rPr>
          <w:rFonts w:ascii="Century Gothic" w:eastAsia="Calibri" w:hAnsi="Century Gothic" w:cs="Arial"/>
          <w:i/>
          <w:iCs/>
          <w:lang w:val="es-ES_tradnl"/>
        </w:rPr>
        <w:t>mujeres</w:t>
      </w:r>
      <w:r w:rsidR="003668FA">
        <w:rPr>
          <w:rFonts w:ascii="Century Gothic" w:eastAsia="Calibri" w:hAnsi="Century Gothic" w:cs="Arial"/>
          <w:lang w:val="es-ES_tradnl"/>
        </w:rPr>
        <w:t>, dado a que el</w:t>
      </w:r>
      <w:r w:rsidR="00676BCD" w:rsidRPr="00E77F0B">
        <w:rPr>
          <w:rFonts w:ascii="Century Gothic" w:eastAsia="Calibri" w:hAnsi="Century Gothic" w:cs="Arial"/>
          <w:lang w:val="es-ES_tradnl"/>
        </w:rPr>
        <w:t xml:space="preserve"> </w:t>
      </w:r>
      <w:r w:rsidR="00676BCD" w:rsidRPr="00E77F0B">
        <w:rPr>
          <w:rFonts w:ascii="Century Gothic" w:eastAsia="Calibri" w:hAnsi="Century Gothic" w:cs="Arial"/>
          <w:lang w:val="es-ES_tradnl"/>
        </w:rPr>
        <w:lastRenderedPageBreak/>
        <w:t xml:space="preserve">numeral 2 del artículo 2.2.1.2.4.2.14 del Decreto 1082 de 2015 </w:t>
      </w:r>
      <w:r w:rsidR="003668FA">
        <w:rPr>
          <w:rFonts w:ascii="Century Gothic" w:eastAsia="Calibri" w:hAnsi="Century Gothic" w:cs="Arial"/>
          <w:lang w:val="es-ES_tradnl"/>
        </w:rPr>
        <w:t xml:space="preserve">establece un </w:t>
      </w:r>
      <w:r w:rsidR="006D14F3">
        <w:rPr>
          <w:rFonts w:ascii="Century Gothic" w:eastAsia="Calibri" w:hAnsi="Century Gothic" w:cs="Arial"/>
          <w:lang w:val="es-ES_tradnl"/>
        </w:rPr>
        <w:t>criterio diferencial única y</w:t>
      </w:r>
      <w:r w:rsidR="00676BCD" w:rsidRPr="00E77F0B">
        <w:rPr>
          <w:rFonts w:ascii="Century Gothic" w:eastAsia="Calibri" w:hAnsi="Century Gothic" w:cs="Arial"/>
          <w:lang w:val="es-ES_tradnl"/>
        </w:rPr>
        <w:t xml:space="preserve"> </w:t>
      </w:r>
      <w:r w:rsidR="00B7537F" w:rsidRPr="00E77F0B">
        <w:rPr>
          <w:rFonts w:ascii="Century Gothic" w:eastAsia="Calibri" w:hAnsi="Century Gothic" w:cs="Arial"/>
          <w:lang w:val="es-ES_tradnl"/>
        </w:rPr>
        <w:t xml:space="preserve">exclusivamente </w:t>
      </w:r>
      <w:r w:rsidR="006D14F3">
        <w:rPr>
          <w:rFonts w:ascii="Century Gothic" w:eastAsia="Calibri" w:hAnsi="Century Gothic" w:cs="Arial"/>
          <w:lang w:val="es-ES_tradnl"/>
        </w:rPr>
        <w:t xml:space="preserve">para </w:t>
      </w:r>
      <w:r w:rsidR="00B7537F" w:rsidRPr="006D14F3">
        <w:rPr>
          <w:rFonts w:ascii="Century Gothic" w:eastAsia="Calibri" w:hAnsi="Century Gothic" w:cs="Arial"/>
          <w:i/>
          <w:iCs/>
          <w:lang w:val="es-ES_tradnl"/>
        </w:rPr>
        <w:t>mujeres</w:t>
      </w:r>
      <w:r w:rsidR="00676BCD" w:rsidRPr="00E77F0B">
        <w:rPr>
          <w:rFonts w:ascii="Century Gothic" w:eastAsia="Calibri" w:hAnsi="Century Gothic" w:cs="Arial"/>
          <w:lang w:val="es-ES_tradnl"/>
        </w:rPr>
        <w:t xml:space="preserve">. En este contexto, las </w:t>
      </w:r>
      <w:r w:rsidR="00676BCD" w:rsidRPr="00E77F0B">
        <w:rPr>
          <w:rFonts w:ascii="Century Gothic" w:eastAsia="Calibri" w:hAnsi="Century Gothic" w:cs="Arial"/>
          <w:i/>
          <w:iCs/>
          <w:lang w:val="es-ES_tradnl"/>
        </w:rPr>
        <w:t>personas naturales del género masculino</w:t>
      </w:r>
      <w:r w:rsidR="00676BCD" w:rsidRPr="00E77F0B">
        <w:rPr>
          <w:rFonts w:ascii="Century Gothic" w:eastAsia="Calibri" w:hAnsi="Century Gothic" w:cs="Arial"/>
          <w:lang w:val="es-ES_tradnl"/>
        </w:rPr>
        <w:t xml:space="preserve"> no son destinatarios de los criterios diferenciales para empresas y emprendimientos de mujeres en el sistema de compras públicas. Para estos efectos, en el Concepto C-048 del 12 de abril de 2023, la Agencia estima que:</w:t>
      </w:r>
    </w:p>
    <w:p w14:paraId="132857D2" w14:textId="77777777" w:rsidR="00676BCD" w:rsidRPr="00E77F0B" w:rsidRDefault="00676BCD" w:rsidP="00676BCD">
      <w:pPr>
        <w:spacing w:after="0" w:line="276" w:lineRule="auto"/>
        <w:ind w:firstLine="708"/>
        <w:jc w:val="both"/>
        <w:rPr>
          <w:rFonts w:ascii="Century Gothic" w:eastAsia="Calibri" w:hAnsi="Century Gothic" w:cs="Arial"/>
          <w:lang w:val="es-ES_tradnl"/>
        </w:rPr>
      </w:pPr>
    </w:p>
    <w:p w14:paraId="0DBDDCA6" w14:textId="73F0A9A5" w:rsidR="00676BCD" w:rsidRPr="00E77F0B" w:rsidRDefault="003C0E3B" w:rsidP="00676BCD">
      <w:pPr>
        <w:spacing w:after="0" w:line="240" w:lineRule="auto"/>
        <w:ind w:left="709" w:right="709"/>
        <w:jc w:val="both"/>
        <w:rPr>
          <w:rFonts w:ascii="Century Gothic" w:hAnsi="Century Gothic" w:cs="Arial"/>
          <w:sz w:val="21"/>
          <w:szCs w:val="21"/>
        </w:rPr>
      </w:pPr>
      <w:r w:rsidRPr="00E77F0B">
        <w:rPr>
          <w:rFonts w:ascii="Century Gothic" w:hAnsi="Century Gothic" w:cs="Arial"/>
          <w:sz w:val="21"/>
          <w:szCs w:val="21"/>
        </w:rPr>
        <w:t>“</w:t>
      </w:r>
      <w:r w:rsidR="00676BCD" w:rsidRPr="00E77F0B">
        <w:rPr>
          <w:rFonts w:ascii="Century Gothic" w:hAnsi="Century Gothic" w:cs="Arial"/>
          <w:sz w:val="21"/>
          <w:szCs w:val="21"/>
        </w:rPr>
        <w:t xml:space="preserve">[…] partiendo de la concepción de la </w:t>
      </w:r>
      <w:r w:rsidR="00676BCD" w:rsidRPr="00E77F0B">
        <w:rPr>
          <w:rFonts w:ascii="Century Gothic" w:hAnsi="Century Gothic" w:cs="Arial"/>
          <w:i/>
          <w:sz w:val="21"/>
          <w:szCs w:val="21"/>
        </w:rPr>
        <w:t>identidad de género</w:t>
      </w:r>
      <w:r w:rsidR="00676BCD" w:rsidRPr="00E77F0B">
        <w:rPr>
          <w:rFonts w:ascii="Century Gothic" w:hAnsi="Century Gothic" w:cs="Arial"/>
          <w:sz w:val="21"/>
          <w:szCs w:val="21"/>
        </w:rPr>
        <w:t xml:space="preserve"> como una construcción individual, se precisa entonces que el componente </w:t>
      </w:r>
      <w:r w:rsidR="00676BCD" w:rsidRPr="00E77F0B">
        <w:rPr>
          <w:rFonts w:ascii="Century Gothic" w:hAnsi="Century Gothic" w:cs="Arial"/>
          <w:i/>
          <w:sz w:val="21"/>
          <w:szCs w:val="21"/>
        </w:rPr>
        <w:t>“sexo”</w:t>
      </w:r>
      <w:r w:rsidR="00676BCD" w:rsidRPr="00E77F0B">
        <w:rPr>
          <w:rFonts w:ascii="Century Gothic" w:hAnsi="Century Gothic" w:cs="Arial"/>
          <w:sz w:val="21"/>
          <w:szCs w:val="21"/>
        </w:rPr>
        <w:t xml:space="preserve"> que registra en la identificación de las personas, evolucionó en tal medida que la información consignada en este campo o ítem, por decirlo de alguna manera, debe entenderse como una decisión personal y no como una asignación ligada al sexo con el que se nace. Es por ello </w:t>
      </w:r>
      <w:proofErr w:type="gramStart"/>
      <w:r w:rsidR="00676BCD" w:rsidRPr="00E77F0B">
        <w:rPr>
          <w:rFonts w:ascii="Century Gothic" w:hAnsi="Century Gothic" w:cs="Arial"/>
          <w:sz w:val="21"/>
          <w:szCs w:val="21"/>
        </w:rPr>
        <w:t>que</w:t>
      </w:r>
      <w:proofErr w:type="gramEnd"/>
      <w:r w:rsidR="00676BCD" w:rsidRPr="00E77F0B">
        <w:rPr>
          <w:rFonts w:ascii="Century Gothic" w:hAnsi="Century Gothic" w:cs="Arial"/>
          <w:sz w:val="21"/>
          <w:szCs w:val="21"/>
        </w:rPr>
        <w:t xml:space="preserve"> las personas tienen la potestad de modificar su marcador de </w:t>
      </w:r>
      <w:r w:rsidR="00676BCD" w:rsidRPr="00E77F0B">
        <w:rPr>
          <w:rFonts w:ascii="Century Gothic" w:hAnsi="Century Gothic" w:cs="Arial"/>
          <w:i/>
          <w:iCs/>
          <w:sz w:val="21"/>
          <w:szCs w:val="21"/>
        </w:rPr>
        <w:t>“</w:t>
      </w:r>
      <w:r w:rsidR="00676BCD" w:rsidRPr="00E77F0B">
        <w:rPr>
          <w:rFonts w:ascii="Century Gothic" w:hAnsi="Century Gothic" w:cs="Arial"/>
          <w:i/>
          <w:sz w:val="21"/>
          <w:szCs w:val="21"/>
        </w:rPr>
        <w:t>sexo</w:t>
      </w:r>
      <w:r w:rsidR="00676BCD" w:rsidRPr="00E77F0B">
        <w:rPr>
          <w:rFonts w:ascii="Century Gothic" w:hAnsi="Century Gothic" w:cs="Arial"/>
          <w:i/>
          <w:iCs/>
          <w:sz w:val="21"/>
          <w:szCs w:val="21"/>
        </w:rPr>
        <w:t>”</w:t>
      </w:r>
      <w:r w:rsidR="00676BCD" w:rsidRPr="00E77F0B">
        <w:rPr>
          <w:rFonts w:ascii="Century Gothic" w:hAnsi="Century Gothic" w:cs="Arial"/>
          <w:sz w:val="21"/>
          <w:szCs w:val="21"/>
        </w:rPr>
        <w:t xml:space="preserve"> para que coincida con su identidad, en caso de que requiera hacer el tránsito formal hacia otro género. Sobre el particular se ha indicado de manera reiterada que las personas con orientaciones de género diversas tienen derecho a adecuar sus documentos de identificación para que reflejen la identidad que les singulariza, de modo que sean tratadas socialmente en la forma en que se auto reconocen.</w:t>
      </w:r>
    </w:p>
    <w:p w14:paraId="47C6791D" w14:textId="27FB2CA2" w:rsidR="00676BCD" w:rsidRPr="00E77F0B" w:rsidRDefault="00676BCD" w:rsidP="00676BCD">
      <w:pPr>
        <w:spacing w:before="120" w:after="0" w:line="240" w:lineRule="auto"/>
        <w:ind w:left="709" w:right="709"/>
        <w:jc w:val="both"/>
        <w:rPr>
          <w:rFonts w:ascii="Century Gothic" w:eastAsia="Calibri" w:hAnsi="Century Gothic" w:cs="Arial"/>
          <w:color w:val="000000" w:themeColor="text1"/>
          <w:sz w:val="21"/>
          <w:szCs w:val="21"/>
        </w:rPr>
      </w:pPr>
      <w:r w:rsidRPr="00E77F0B">
        <w:rPr>
          <w:rFonts w:ascii="Century Gothic" w:eastAsia="Calibri" w:hAnsi="Century Gothic" w:cs="Arial"/>
          <w:color w:val="000000" w:themeColor="text1"/>
          <w:sz w:val="21"/>
          <w:szCs w:val="21"/>
        </w:rPr>
        <w:t xml:space="preserve">En línea con lo anterior, se resalta la importancia de la </w:t>
      </w:r>
      <w:r w:rsidRPr="00E77F0B">
        <w:rPr>
          <w:rFonts w:ascii="Century Gothic" w:eastAsia="Calibri" w:hAnsi="Century Gothic" w:cs="Arial"/>
          <w:i/>
          <w:color w:val="000000" w:themeColor="text1"/>
          <w:sz w:val="21"/>
          <w:szCs w:val="21"/>
        </w:rPr>
        <w:t>identidad de género</w:t>
      </w:r>
      <w:r w:rsidRPr="00E77F0B">
        <w:rPr>
          <w:rFonts w:ascii="Century Gothic" w:eastAsia="Calibri" w:hAnsi="Century Gothic" w:cs="Arial"/>
          <w:color w:val="000000" w:themeColor="text1"/>
          <w:sz w:val="21"/>
          <w:szCs w:val="21"/>
        </w:rPr>
        <w:t xml:space="preserve"> como derecho en virtud del cual las personas pueden identificarse conforme a sus propias consideraciones. Sin embargo, la acreditación de la condición de </w:t>
      </w:r>
      <w:r w:rsidRPr="00E77F0B">
        <w:rPr>
          <w:rFonts w:ascii="Century Gothic" w:eastAsia="Calibri" w:hAnsi="Century Gothic" w:cs="Arial"/>
          <w:i/>
          <w:iCs/>
          <w:color w:val="000000" w:themeColor="text1"/>
          <w:sz w:val="21"/>
          <w:szCs w:val="21"/>
        </w:rPr>
        <w:t>“</w:t>
      </w:r>
      <w:r w:rsidRPr="00E77F0B">
        <w:rPr>
          <w:rFonts w:ascii="Century Gothic" w:eastAsia="Calibri" w:hAnsi="Century Gothic" w:cs="Arial"/>
          <w:i/>
          <w:color w:val="000000" w:themeColor="text1"/>
          <w:sz w:val="21"/>
          <w:szCs w:val="21"/>
        </w:rPr>
        <w:t>mujer</w:t>
      </w:r>
      <w:r w:rsidRPr="00E77F0B">
        <w:rPr>
          <w:rFonts w:ascii="Century Gothic" w:eastAsia="Calibri" w:hAnsi="Century Gothic" w:cs="Arial"/>
          <w:i/>
          <w:iCs/>
          <w:color w:val="000000" w:themeColor="text1"/>
          <w:sz w:val="21"/>
          <w:szCs w:val="21"/>
        </w:rPr>
        <w:t>”</w:t>
      </w:r>
      <w:r w:rsidRPr="00E77F0B">
        <w:rPr>
          <w:rFonts w:ascii="Century Gothic" w:eastAsia="Calibri" w:hAnsi="Century Gothic" w:cs="Arial"/>
          <w:color w:val="000000" w:themeColor="text1"/>
          <w:sz w:val="21"/>
          <w:szCs w:val="21"/>
        </w:rPr>
        <w:t xml:space="preserve">, para efectos de ser tenidas en cuenta como emprendimientos y empresas de mujeres, se realiza en atención a la identidad de género que se desprende de lo indicado en el marcador </w:t>
      </w:r>
      <w:r w:rsidRPr="00E77F0B">
        <w:rPr>
          <w:rFonts w:ascii="Century Gothic" w:eastAsia="Calibri" w:hAnsi="Century Gothic" w:cs="Arial"/>
          <w:i/>
          <w:iCs/>
          <w:color w:val="000000" w:themeColor="text1"/>
          <w:sz w:val="21"/>
          <w:szCs w:val="21"/>
        </w:rPr>
        <w:t>“</w:t>
      </w:r>
      <w:r w:rsidRPr="00E77F0B">
        <w:rPr>
          <w:rFonts w:ascii="Century Gothic" w:eastAsia="Calibri" w:hAnsi="Century Gothic" w:cs="Arial"/>
          <w:i/>
          <w:color w:val="000000" w:themeColor="text1"/>
          <w:sz w:val="21"/>
          <w:szCs w:val="21"/>
        </w:rPr>
        <w:t>sexo</w:t>
      </w:r>
      <w:r w:rsidRPr="00E77F0B">
        <w:rPr>
          <w:rFonts w:ascii="Century Gothic" w:eastAsia="Calibri" w:hAnsi="Century Gothic" w:cs="Arial"/>
          <w:i/>
          <w:iCs/>
          <w:color w:val="000000" w:themeColor="text1"/>
          <w:sz w:val="21"/>
          <w:szCs w:val="21"/>
        </w:rPr>
        <w:t>”</w:t>
      </w:r>
      <w:r w:rsidRPr="00E77F0B">
        <w:rPr>
          <w:rFonts w:ascii="Century Gothic" w:eastAsia="Calibri" w:hAnsi="Century Gothic" w:cs="Arial"/>
          <w:color w:val="000000" w:themeColor="text1"/>
          <w:sz w:val="21"/>
          <w:szCs w:val="21"/>
        </w:rPr>
        <w:t xml:space="preserve"> establecido en los respectivos documentos de identificación de las personas, de conformidad con el artículo 2.2.1.2.4.2.14 del Decreto 1082 de 2015, introducido por el Decreto 1860 de 2021. De esta manera para acceder a tales criterios diferenciales se precisa no solo identificarse con el género femenino, sino que se requiere que dicha identidad de género coincida con lo indicado en el marcador de “sexo” del documento de identidad, el cual constituye una tarifa legal para efectos de acreditar las condiciones establecidas en el artículo 2.2.1.2.4.2.14.</w:t>
      </w:r>
      <w:r w:rsidR="003C0E3B" w:rsidRPr="00E77F0B">
        <w:rPr>
          <w:rFonts w:ascii="Century Gothic" w:eastAsia="Calibri" w:hAnsi="Century Gothic" w:cs="Arial"/>
          <w:color w:val="000000" w:themeColor="text1"/>
          <w:sz w:val="21"/>
          <w:szCs w:val="21"/>
        </w:rPr>
        <w:t>”</w:t>
      </w:r>
    </w:p>
    <w:p w14:paraId="242118D7" w14:textId="77777777" w:rsidR="00676BCD" w:rsidRPr="00E77F0B" w:rsidRDefault="00676BCD" w:rsidP="00676BCD">
      <w:pPr>
        <w:spacing w:after="0" w:line="276" w:lineRule="auto"/>
        <w:jc w:val="both"/>
        <w:rPr>
          <w:rFonts w:ascii="Century Gothic" w:eastAsia="Calibri" w:hAnsi="Century Gothic" w:cs="Arial"/>
          <w:color w:val="000000" w:themeColor="text1"/>
        </w:rPr>
      </w:pPr>
    </w:p>
    <w:p w14:paraId="24C2B8A3" w14:textId="67AE3713" w:rsidR="00676BCD" w:rsidRPr="00E77F0B" w:rsidRDefault="00676BCD" w:rsidP="00676BCD">
      <w:pPr>
        <w:spacing w:after="120" w:line="276" w:lineRule="auto"/>
        <w:jc w:val="both"/>
        <w:rPr>
          <w:rFonts w:ascii="Century Gothic" w:eastAsia="Calibri" w:hAnsi="Century Gothic" w:cs="Arial"/>
          <w:bCs/>
          <w:color w:val="000000"/>
        </w:rPr>
      </w:pPr>
      <w:r w:rsidRPr="00E77F0B">
        <w:rPr>
          <w:rFonts w:ascii="Century Gothic" w:eastAsia="Calibri" w:hAnsi="Century Gothic" w:cs="Arial"/>
          <w:color w:val="000000" w:themeColor="text1"/>
        </w:rPr>
        <w:tab/>
        <w:t xml:space="preserve">En resumen, </w:t>
      </w:r>
      <w:r w:rsidRPr="00E77F0B">
        <w:rPr>
          <w:rFonts w:ascii="Century Gothic" w:eastAsia="Calibri" w:hAnsi="Century Gothic" w:cs="Arial"/>
          <w:lang w:val="es-ES_tradnl"/>
        </w:rPr>
        <w:t>el numeral 2 del artículo 2.2.1.2.4.2.14 del Decreto 1082 de 2015 requiere que</w:t>
      </w:r>
      <w:r w:rsidRPr="00E77F0B">
        <w:rPr>
          <w:rFonts w:ascii="Century Gothic" w:eastAsia="Calibri" w:hAnsi="Century Gothic" w:cs="Arial"/>
          <w:color w:val="000000" w:themeColor="text1"/>
        </w:rPr>
        <w:t xml:space="preserv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w:t>
      </w:r>
      <w:r w:rsidRPr="00E77F0B">
        <w:rPr>
          <w:rFonts w:ascii="Century Gothic" w:eastAsia="Calibri" w:hAnsi="Century Gothic" w:cs="Arial"/>
          <w:color w:val="000000" w:themeColor="text1"/>
        </w:rPr>
        <w:lastRenderedPageBreak/>
        <w:t xml:space="preserve">mismo nivel […]”. Esta norma sólo aplica cuando los empleos del nivel mencionado están ocupados mayoritariamente por </w:t>
      </w:r>
      <w:r w:rsidR="005C248C" w:rsidRPr="00E77F0B">
        <w:rPr>
          <w:rFonts w:ascii="Century Gothic" w:eastAsia="Calibri" w:hAnsi="Century Gothic" w:cs="Arial"/>
          <w:i/>
          <w:iCs/>
        </w:rPr>
        <w:t>mujeres</w:t>
      </w:r>
      <w:r w:rsidRPr="00E77F0B">
        <w:rPr>
          <w:rFonts w:ascii="Century Gothic" w:eastAsia="Calibri" w:hAnsi="Century Gothic" w:cs="Arial"/>
          <w:lang w:val="es-ES_tradnl"/>
        </w:rPr>
        <w:t>, siempre que estén en marco de una relación laboral por el tiempo definido en el reglamento. Para estos efectos, la norma dispone que la certificación expedida por el representante legal y el revisor fiscal, cuando exista de acuerdo con los requerimientos de ley, o el contador, “[…] se anexará copia de los respectivos documentos de identidad, copia de los contratos de trabajo o certificación laboral con las funciones, así como el certificado de aportes a seguridad social del último año en el que se demuestren los pagos realizados por el empleador”.</w:t>
      </w:r>
      <w:r w:rsidRPr="00E77F0B">
        <w:rPr>
          <w:rFonts w:ascii="Century Gothic" w:eastAsia="Calibri" w:hAnsi="Century Gothic" w:cs="Arial"/>
          <w:color w:val="000000" w:themeColor="text1"/>
        </w:rPr>
        <w:t xml:space="preserve"> </w:t>
      </w:r>
    </w:p>
    <w:p w14:paraId="5D321875" w14:textId="3FA61C78" w:rsidR="00676BCD" w:rsidRPr="00E77F0B"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ab/>
        <w:t xml:space="preserve">Por tanto, los incentivos para empresas y emprendimientos de mujeres no son aplicables para las personas jurídicas donde el más del 50% de los cargos del nivel directivo </w:t>
      </w:r>
      <w:r w:rsidR="0002190C" w:rsidRPr="00E77F0B">
        <w:rPr>
          <w:rFonts w:ascii="Century Gothic" w:eastAsia="Calibri" w:hAnsi="Century Gothic" w:cs="Arial"/>
          <w:color w:val="000000" w:themeColor="text1"/>
        </w:rPr>
        <w:t xml:space="preserve">no </w:t>
      </w:r>
      <w:r w:rsidRPr="00E77F0B">
        <w:rPr>
          <w:rFonts w:ascii="Century Gothic" w:eastAsia="Calibri" w:hAnsi="Century Gothic" w:cs="Arial"/>
          <w:color w:val="000000" w:themeColor="text1"/>
        </w:rPr>
        <w:t>pertenezcan a</w:t>
      </w:r>
      <w:r w:rsidR="0002190C" w:rsidRPr="00E77F0B">
        <w:rPr>
          <w:rFonts w:ascii="Century Gothic" w:eastAsia="Calibri" w:hAnsi="Century Gothic" w:cs="Arial"/>
          <w:color w:val="000000" w:themeColor="text1"/>
        </w:rPr>
        <w:t xml:space="preserve"> mujeres</w:t>
      </w:r>
      <w:r w:rsidRPr="00E77F0B">
        <w:rPr>
          <w:rFonts w:ascii="Century Gothic" w:eastAsia="Calibri" w:hAnsi="Century Gothic" w:cs="Arial"/>
          <w:lang w:val="es-ES_tradnl"/>
        </w:rPr>
        <w:t xml:space="preserve">. En este caso, es irrelevante que tengan o no una relación laboral o el tiempo en el cargo, pues no se cumpliría con una de las condiciones exigidas en el numeral 2 del artículo 2.2.1.2.4.2.14 del Decreto 1082 de 2015. </w:t>
      </w:r>
    </w:p>
    <w:p w14:paraId="56C9A42F" w14:textId="4F0A4DA4" w:rsidR="00CA09B0" w:rsidRPr="00343260" w:rsidRDefault="003924EF" w:rsidP="00CA09B0">
      <w:pPr>
        <w:spacing w:line="276" w:lineRule="auto"/>
        <w:jc w:val="both"/>
        <w:rPr>
          <w:rFonts w:ascii="Century Gothic" w:hAnsi="Century Gothic" w:cs="Arial"/>
          <w:b/>
          <w:bCs/>
          <w:color w:val="000000" w:themeColor="text1"/>
          <w:lang w:val="es-ES"/>
        </w:rPr>
      </w:pPr>
      <w:r w:rsidRPr="00343260">
        <w:rPr>
          <w:rFonts w:ascii="Century Gothic" w:eastAsia="Calibri" w:hAnsi="Century Gothic" w:cs="Arial"/>
          <w:b/>
          <w:bCs/>
          <w:color w:val="000000" w:themeColor="text1"/>
        </w:rPr>
        <w:t xml:space="preserve">2.2. </w:t>
      </w:r>
      <w:r w:rsidR="00CA09B0" w:rsidRPr="00343260">
        <w:rPr>
          <w:rFonts w:ascii="Century Gothic" w:eastAsia="Calibri" w:hAnsi="Century Gothic" w:cs="Arial"/>
          <w:b/>
          <w:bCs/>
          <w:color w:val="000000" w:themeColor="text1"/>
        </w:rPr>
        <w:tab/>
      </w:r>
      <w:r w:rsidR="00CA09B0" w:rsidRPr="00343260">
        <w:rPr>
          <w:rFonts w:ascii="Century Gothic" w:hAnsi="Century Gothic" w:cs="Arial"/>
          <w:b/>
          <w:bCs/>
          <w:color w:val="000000" w:themeColor="text1"/>
          <w:lang w:val="es-ES"/>
        </w:rPr>
        <w:t xml:space="preserve">Diligenciamiento del </w:t>
      </w:r>
      <w:r w:rsidR="00CA09B0" w:rsidRPr="00343260">
        <w:rPr>
          <w:rFonts w:ascii="Century Gothic" w:eastAsia="Calibri" w:hAnsi="Century Gothic" w:cs="Arial"/>
          <w:b/>
          <w:bCs/>
          <w:color w:val="000000" w:themeColor="text1"/>
        </w:rPr>
        <w:t xml:space="preserve">“Formato 12 – Acreditación emprendimiento y empresa de mujeres” de </w:t>
      </w:r>
      <w:r w:rsidR="00060C65">
        <w:rPr>
          <w:rFonts w:ascii="Century Gothic" w:hAnsi="Century Gothic" w:cs="Arial"/>
          <w:b/>
          <w:bCs/>
          <w:color w:val="000000" w:themeColor="text1"/>
        </w:rPr>
        <w:t xml:space="preserve">Documentos </w:t>
      </w:r>
      <w:r w:rsidR="00CA09B0" w:rsidRPr="00343260">
        <w:rPr>
          <w:rFonts w:ascii="Century Gothic" w:hAnsi="Century Gothic" w:cs="Arial"/>
          <w:b/>
          <w:bCs/>
          <w:color w:val="000000" w:themeColor="text1"/>
          <w:lang w:val="es-ES"/>
        </w:rPr>
        <w:t xml:space="preserve">Tipo. </w:t>
      </w:r>
    </w:p>
    <w:p w14:paraId="3480E827" w14:textId="7956A203" w:rsidR="00343260"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 xml:space="preserve">Tratándose del “Formato 12 – Acreditación emprendimiento y empresa de mujeres” de los documentos tipo, la opción 2 indica que “En el siguiente cuadro señalamos de forma detallada la denominación de los cargos directivos que existen dentro de la persona jurídica, la identificación de las personas que ocuparon o ejercen los cargos del nivel directivo del Proponente y el tiempo de vinculación”. </w:t>
      </w:r>
    </w:p>
    <w:p w14:paraId="65E13923" w14:textId="7EF5E133" w:rsidR="00676BCD" w:rsidRPr="00E77F0B" w:rsidRDefault="00676BCD" w:rsidP="00343260">
      <w:pPr>
        <w:spacing w:after="120" w:line="276" w:lineRule="auto"/>
        <w:ind w:firstLine="708"/>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 xml:space="preserve">A </w:t>
      </w:r>
      <w:r w:rsidR="00F843E3" w:rsidRPr="00E77F0B">
        <w:rPr>
          <w:rFonts w:ascii="Century Gothic" w:eastAsia="Calibri" w:hAnsi="Century Gothic" w:cs="Arial"/>
          <w:color w:val="000000" w:themeColor="text1"/>
        </w:rPr>
        <w:t>continuación,</w:t>
      </w:r>
      <w:r w:rsidRPr="00E77F0B">
        <w:rPr>
          <w:rFonts w:ascii="Century Gothic" w:eastAsia="Calibri" w:hAnsi="Century Gothic" w:cs="Arial"/>
          <w:color w:val="000000" w:themeColor="text1"/>
        </w:rPr>
        <w:t xml:space="preserve"> señala lo siguiente: “Conforme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0C59DE7E" w14:textId="77777777" w:rsidR="00676BCD" w:rsidRPr="00E77F0B"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ab/>
        <w:t xml:space="preserve">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w:t>
      </w:r>
      <w:r w:rsidRPr="00E77F0B">
        <w:rPr>
          <w:rFonts w:ascii="Century Gothic" w:eastAsia="Calibri" w:hAnsi="Century Gothic" w:cs="Arial"/>
          <w:color w:val="000000" w:themeColor="text1"/>
        </w:rPr>
        <w:lastRenderedPageBreak/>
        <w:t>realizados por el empleador, en relación con cada una de las personas que conforman el nivel directivo del Proponente”.</w:t>
      </w:r>
    </w:p>
    <w:p w14:paraId="6EB93507" w14:textId="77777777" w:rsidR="00676BCD" w:rsidRPr="00E77F0B"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ab/>
        <w:t xml:space="preserve">Como se explicó </w:t>
      </w:r>
      <w:r w:rsidRPr="00E77F0B">
        <w:rPr>
          <w:rFonts w:ascii="Century Gothic" w:eastAsia="Calibri" w:hAnsi="Century Gothic" w:cs="Arial"/>
          <w:i/>
          <w:iCs/>
          <w:color w:val="000000" w:themeColor="text1"/>
        </w:rPr>
        <w:t>ut supra</w:t>
      </w:r>
      <w:r w:rsidRPr="00E77F0B">
        <w:rPr>
          <w:rFonts w:ascii="Century Gothic" w:eastAsia="Calibri" w:hAnsi="Century Gothic" w:cs="Arial"/>
          <w:color w:val="000000" w:themeColor="text1"/>
        </w:rPr>
        <w:t xml:space="preserve">,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Selección. Sin embargo, en la medida que los hombres no son destinatarios de las condiciones habilitantes y de los puntajes adicionales del artículo 2.2.1.2.4.2.15 del Decreto 1082 de 2015, es indiferente la forma y el tiempo de vinculación. </w:t>
      </w:r>
    </w:p>
    <w:p w14:paraId="523442A8" w14:textId="04C4FDD4" w:rsidR="00676BCD" w:rsidRPr="00E77F0B" w:rsidRDefault="00676BCD" w:rsidP="00602762">
      <w:pPr>
        <w:spacing w:line="276" w:lineRule="auto"/>
        <w:ind w:firstLine="708"/>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 xml:space="preserve">Por tanto, </w:t>
      </w:r>
      <w:r w:rsidRPr="00E77F0B">
        <w:rPr>
          <w:rFonts w:ascii="Century Gothic" w:eastAsia="Calibri" w:hAnsi="Century Gothic" w:cs="Arial"/>
          <w:lang w:val="es-ES_tradnl"/>
        </w:rPr>
        <w:t>siempre que</w:t>
      </w:r>
      <w:r w:rsidRPr="00E77F0B">
        <w:rPr>
          <w:rFonts w:ascii="Century Gothic" w:eastAsia="Calibri" w:hAnsi="Century Gothic" w:cs="Arial"/>
          <w:color w:val="000000" w:themeColor="text1"/>
        </w:rPr>
        <w:t xml:space="preserv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habrá lugar a los incentivos para el proponente. Lo anterior al margen de que los cargos ejercidos minoritariamente por hombres sean contratados a través de prestación de servicios</w:t>
      </w:r>
      <w:r w:rsidR="00341234">
        <w:rPr>
          <w:rFonts w:ascii="Century Gothic" w:eastAsia="Calibri" w:hAnsi="Century Gothic" w:cs="Arial"/>
          <w:color w:val="000000" w:themeColor="text1"/>
        </w:rPr>
        <w:t xml:space="preserve"> u otra modalidades de contratación</w:t>
      </w:r>
      <w:r w:rsidRPr="00E77F0B">
        <w:rPr>
          <w:rFonts w:ascii="Century Gothic" w:eastAsia="Calibri" w:hAnsi="Century Gothic" w:cs="Arial"/>
          <w:color w:val="000000" w:themeColor="text1"/>
        </w:rPr>
        <w:t>. En esta perspectiva, los documentos tipo recogen de manera armónica lo previsto en el Decreto 1082 del 2015, modificado por el Decreto 1860 de 2021.</w:t>
      </w:r>
    </w:p>
    <w:p w14:paraId="58A912F9" w14:textId="77777777" w:rsidR="00602762" w:rsidRDefault="00CA09B0" w:rsidP="00602762">
      <w:pPr>
        <w:spacing w:line="276" w:lineRule="auto"/>
        <w:ind w:firstLine="708"/>
        <w:jc w:val="both"/>
        <w:rPr>
          <w:rFonts w:ascii="Century Gothic" w:hAnsi="Century Gothic"/>
        </w:rPr>
      </w:pPr>
      <w:r w:rsidRPr="00E77F0B">
        <w:rPr>
          <w:rFonts w:ascii="Century Gothic" w:hAnsi="Century Gothic"/>
        </w:rPr>
        <w:t>Conforme a lo anterior, en el evento en que un proponente presente la referida certificación con los respectivos soportes, pero se encuentre que los mismos no acreditan las condiciones descritas en el numeral segundo del artículo 2.2.1.2.4.2.14,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menos el año anterior a la fecha de cierre del proceso de selección, no sería viable aplicar la mencionada definición. La misma consecuencia aplica al supuesto en el que se determine que las funciones de las trabajadoras presuntamente vinculadas a empleos del nivel directivo no corresponden con las atribuidas a ese tipo de cargos de conformidad con lo señalado en la norma.</w:t>
      </w:r>
    </w:p>
    <w:p w14:paraId="54B1700E" w14:textId="77777777" w:rsidR="00F843E3" w:rsidRDefault="00CA09B0" w:rsidP="00602762">
      <w:pPr>
        <w:spacing w:line="276" w:lineRule="auto"/>
        <w:ind w:firstLine="708"/>
        <w:jc w:val="both"/>
        <w:rPr>
          <w:rFonts w:ascii="Century Gothic" w:hAnsi="Century Gothic"/>
        </w:rPr>
      </w:pPr>
      <w:r w:rsidRPr="00E77F0B">
        <w:rPr>
          <w:rFonts w:ascii="Century Gothic" w:hAnsi="Century Gothic"/>
        </w:rPr>
        <w:lastRenderedPageBreak/>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a efectos de determinar si cada uno de ellos puede ser considerado del nivel directivo en virtud de las funciones que tenga asignadas. </w:t>
      </w:r>
    </w:p>
    <w:p w14:paraId="16FF188C" w14:textId="65267DF3" w:rsidR="00CA09B0" w:rsidRPr="00E77F0B" w:rsidRDefault="00CA09B0" w:rsidP="00602762">
      <w:pPr>
        <w:spacing w:line="276" w:lineRule="auto"/>
        <w:ind w:firstLine="708"/>
        <w:jc w:val="both"/>
        <w:rPr>
          <w:rFonts w:ascii="Century Gothic" w:eastAsia="Calibri" w:hAnsi="Century Gothic" w:cs="Arial"/>
          <w:color w:val="000000" w:themeColor="text1"/>
        </w:rPr>
      </w:pPr>
      <w:r w:rsidRPr="00E77F0B">
        <w:rPr>
          <w:rFonts w:ascii="Century Gothic" w:hAnsi="Century Gothic"/>
        </w:rPr>
        <w:t xml:space="preserve">Finalmente, se concluye que el análisis de la aplicación de la norma estudiada se realiza en función de las mujeres vinculadas a un cargo del nivel directivo, mas no de </w:t>
      </w:r>
      <w:r w:rsidR="009F4C1D">
        <w:rPr>
          <w:rFonts w:ascii="Century Gothic" w:hAnsi="Century Gothic"/>
        </w:rPr>
        <w:t xml:space="preserve">los </w:t>
      </w:r>
      <w:r w:rsidRPr="00E77F0B">
        <w:rPr>
          <w:rFonts w:ascii="Century Gothic" w:hAnsi="Century Gothic"/>
        </w:rPr>
        <w:t>hombres que ocupan este tipo de cargos dentro de una persona jurídica. En ese sentido, el número de hombres solo será relevante para determinar si se cumplen los porcentajes requeridos por la norma frente a las mujeres, pero no constituye per se un criterio en favor del cual se otorguen incentivos, ya que se trata de criterios diferenciales para emprendimientos y empresas constituidas por mujeres en los términos y porcentajes previamente explicados.</w:t>
      </w:r>
    </w:p>
    <w:p w14:paraId="4A64E506" w14:textId="7B53B360" w:rsidR="00676BCD" w:rsidRPr="00F843E3" w:rsidRDefault="00F843E3" w:rsidP="00F843E3">
      <w:pPr>
        <w:spacing w:after="0" w:line="276" w:lineRule="auto"/>
        <w:jc w:val="both"/>
        <w:rPr>
          <w:rFonts w:ascii="Century Gothic" w:eastAsia="Calibri" w:hAnsi="Century Gothic" w:cs="Arial"/>
          <w:b/>
          <w:color w:val="000000" w:themeColor="text1"/>
          <w:lang w:val="es-ES_tradnl"/>
        </w:rPr>
      </w:pPr>
      <w:r>
        <w:rPr>
          <w:rFonts w:ascii="Century Gothic" w:eastAsia="Calibri" w:hAnsi="Century Gothic" w:cs="Arial"/>
          <w:b/>
          <w:color w:val="000000" w:themeColor="text1"/>
          <w:lang w:val="es-ES_tradnl"/>
        </w:rPr>
        <w:t xml:space="preserve">3. </w:t>
      </w:r>
      <w:r w:rsidR="00676BCD" w:rsidRPr="00F843E3">
        <w:rPr>
          <w:rFonts w:ascii="Century Gothic" w:eastAsia="Calibri" w:hAnsi="Century Gothic" w:cs="Arial"/>
          <w:b/>
          <w:color w:val="000000" w:themeColor="text1"/>
          <w:lang w:val="es-ES_tradnl"/>
        </w:rPr>
        <w:t xml:space="preserve"> Respuestas</w:t>
      </w:r>
    </w:p>
    <w:p w14:paraId="38D71F9D" w14:textId="33ABAE45" w:rsidR="00676BCD" w:rsidRDefault="00676BCD" w:rsidP="00676BCD">
      <w:pPr>
        <w:spacing w:after="0" w:line="276" w:lineRule="auto"/>
        <w:jc w:val="both"/>
        <w:rPr>
          <w:rFonts w:ascii="Century Gothic" w:hAnsi="Century Gothic" w:cs="Arial"/>
          <w:color w:val="000000" w:themeColor="text1"/>
        </w:rPr>
      </w:pPr>
    </w:p>
    <w:p w14:paraId="09C2935D" w14:textId="77777777" w:rsidR="00991AA4" w:rsidRPr="00E77F0B" w:rsidRDefault="00991AA4" w:rsidP="00991AA4">
      <w:pPr>
        <w:spacing w:after="0" w:line="240" w:lineRule="auto"/>
        <w:ind w:left="709" w:right="709"/>
        <w:jc w:val="both"/>
        <w:rPr>
          <w:rFonts w:ascii="Century Gothic" w:hAnsi="Century Gothic" w:cs="Arial"/>
          <w:color w:val="000000" w:themeColor="text1"/>
          <w:sz w:val="21"/>
          <w:szCs w:val="21"/>
          <w:lang w:val="es-ES_tradnl"/>
        </w:rPr>
      </w:pPr>
      <w:r w:rsidRPr="00E77F0B">
        <w:rPr>
          <w:rFonts w:ascii="Century Gothic" w:hAnsi="Century Gothic" w:cs="Arial"/>
          <w:color w:val="000000" w:themeColor="text1"/>
          <w:sz w:val="21"/>
          <w:szCs w:val="21"/>
          <w:lang w:val="es-ES_tradnl"/>
        </w:rPr>
        <w:t>“En cuanto a la opción 2 acreditar este puntaje con cargos directivos, Colombia compra anteriormente había dicho que para este formato solo se debía colocar los cargos directivos que tuvieran contrato laboral, la pregunta según este aparte es la siguiente:</w:t>
      </w:r>
    </w:p>
    <w:p w14:paraId="089C08C4" w14:textId="77777777" w:rsidR="00991AA4" w:rsidRPr="00E77F0B" w:rsidRDefault="00991AA4" w:rsidP="00991AA4">
      <w:pPr>
        <w:spacing w:after="0" w:line="240" w:lineRule="auto"/>
        <w:ind w:left="709" w:right="709"/>
        <w:jc w:val="both"/>
        <w:rPr>
          <w:rFonts w:ascii="Century Gothic" w:hAnsi="Century Gothic" w:cs="Arial"/>
          <w:color w:val="000000" w:themeColor="text1"/>
          <w:sz w:val="21"/>
          <w:szCs w:val="21"/>
          <w:lang w:val="es-ES_tradnl"/>
        </w:rPr>
      </w:pPr>
    </w:p>
    <w:p w14:paraId="65090099" w14:textId="77777777" w:rsidR="00991AA4" w:rsidRPr="00E77F0B" w:rsidRDefault="00991AA4" w:rsidP="00991AA4">
      <w:pPr>
        <w:spacing w:after="0" w:line="240" w:lineRule="auto"/>
        <w:ind w:left="709" w:right="709"/>
        <w:jc w:val="both"/>
        <w:rPr>
          <w:rFonts w:ascii="Century Gothic" w:hAnsi="Century Gothic" w:cs="Arial"/>
          <w:color w:val="000000" w:themeColor="text1"/>
          <w:sz w:val="21"/>
          <w:szCs w:val="21"/>
          <w:lang w:val="es-ES_tradnl"/>
        </w:rPr>
      </w:pPr>
      <w:r w:rsidRPr="00E77F0B">
        <w:rPr>
          <w:rFonts w:ascii="Century Gothic" w:hAnsi="Century Gothic" w:cs="Arial"/>
          <w:color w:val="000000" w:themeColor="text1"/>
          <w:sz w:val="21"/>
          <w:szCs w:val="21"/>
          <w:lang w:val="es-ES_tradnl"/>
        </w:rPr>
        <w:t>En el caso que el REPRESENTANTE LEGAL sea socio de la PERSONA JURIDICA, pero no tenga relación o contrato laboral con la empresa, pero pues se supone que la representación legal es un cargo directivo, ¿¿debo colocar al representante legal en este formato ?? o al no tener contrato laboral con la empresa no lo debo adjuntar”. (sic).</w:t>
      </w:r>
    </w:p>
    <w:p w14:paraId="75383E7F" w14:textId="77777777" w:rsidR="00991AA4" w:rsidRPr="00E77F0B" w:rsidRDefault="00991AA4" w:rsidP="00676BCD">
      <w:pPr>
        <w:spacing w:after="0" w:line="276" w:lineRule="auto"/>
        <w:jc w:val="both"/>
        <w:rPr>
          <w:rFonts w:ascii="Century Gothic" w:hAnsi="Century Gothic" w:cs="Arial"/>
          <w:color w:val="000000" w:themeColor="text1"/>
        </w:rPr>
      </w:pPr>
    </w:p>
    <w:p w14:paraId="2FE49078" w14:textId="1C2AA228" w:rsidR="00676BCD" w:rsidRPr="00E77F0B" w:rsidRDefault="00676BCD" w:rsidP="00676BCD">
      <w:pPr>
        <w:spacing w:after="120" w:line="276" w:lineRule="auto"/>
        <w:jc w:val="both"/>
        <w:rPr>
          <w:rFonts w:ascii="Century Gothic" w:eastAsia="Calibri" w:hAnsi="Century Gothic" w:cs="Arial"/>
          <w:bCs/>
          <w:color w:val="000000"/>
        </w:rPr>
      </w:pPr>
      <w:bookmarkStart w:id="8" w:name="_Hlk139908424"/>
      <w:r w:rsidRPr="00E77F0B">
        <w:rPr>
          <w:rFonts w:ascii="Century Gothic" w:eastAsia="Calibri" w:hAnsi="Century Gothic" w:cs="Arial"/>
          <w:color w:val="000000" w:themeColor="text1"/>
          <w:lang w:val="es-ES"/>
        </w:rPr>
        <w:t xml:space="preserve">De acuerdo con la interpretación general de las normas del sistema de compras públicas, </w:t>
      </w:r>
      <w:r w:rsidRPr="00E77F0B">
        <w:rPr>
          <w:rFonts w:ascii="Century Gothic" w:eastAsia="Calibri" w:hAnsi="Century Gothic" w:cs="Arial"/>
          <w:lang w:val="es-ES_tradnl"/>
        </w:rPr>
        <w:t>el numeral 2 del artículo 2.2.1.2.4.2.14 del Decreto 1082 de 2015 requiere que</w:t>
      </w:r>
      <w:r w:rsidRPr="00E77F0B">
        <w:rPr>
          <w:rFonts w:ascii="Century Gothic" w:eastAsia="Calibri" w:hAnsi="Century Gothic" w:cs="Arial"/>
          <w:color w:val="000000" w:themeColor="text1"/>
        </w:rPr>
        <w:t xml:space="preserv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Esta norma sólo aplica cuando los empleos del nivel mencionado están ocupados mayoritariamente por </w:t>
      </w:r>
      <w:r w:rsidR="00991AA4">
        <w:rPr>
          <w:rFonts w:ascii="Century Gothic" w:eastAsia="Calibri" w:hAnsi="Century Gothic" w:cs="Arial"/>
          <w:i/>
          <w:iCs/>
          <w:lang w:val="es-ES_tradnl"/>
        </w:rPr>
        <w:t>mujeres</w:t>
      </w:r>
      <w:r w:rsidRPr="00E77F0B">
        <w:rPr>
          <w:rFonts w:ascii="Century Gothic" w:eastAsia="Calibri" w:hAnsi="Century Gothic" w:cs="Arial"/>
          <w:lang w:val="es-ES_tradnl"/>
        </w:rPr>
        <w:t xml:space="preserve">, siempre que estén en marco de una relación laboral por el tiempo definido en el reglamento. Para estos efectos, la </w:t>
      </w:r>
      <w:r w:rsidRPr="00E77F0B">
        <w:rPr>
          <w:rFonts w:ascii="Century Gothic" w:eastAsia="Calibri" w:hAnsi="Century Gothic" w:cs="Arial"/>
          <w:lang w:val="es-ES_tradnl"/>
        </w:rPr>
        <w:lastRenderedPageBreak/>
        <w:t xml:space="preserve">norma dispone </w:t>
      </w:r>
      <w:r w:rsidR="00F843E3" w:rsidRPr="00E77F0B">
        <w:rPr>
          <w:rFonts w:ascii="Century Gothic" w:eastAsia="Calibri" w:hAnsi="Century Gothic" w:cs="Arial"/>
          <w:lang w:val="es-ES_tradnl"/>
        </w:rPr>
        <w:t>que,</w:t>
      </w:r>
      <w:r w:rsidRPr="00E77F0B">
        <w:rPr>
          <w:rFonts w:ascii="Century Gothic" w:eastAsia="Calibri" w:hAnsi="Century Gothic" w:cs="Arial"/>
          <w:lang w:val="es-ES_tradnl"/>
        </w:rPr>
        <w:t xml:space="preserve"> a la certificación expedida por el representante legal y el revisor fiscal, cuando exista de acuerdo con los requerimientos de ley, o el contador, “[…] se anexará copia de los respectivos documentos de identidad, copia de los contratos de trabajo o certificación laboral con las funciones, así como el certificado de aportes a seguridad social del último año en el que se demuestren los pagos realizados por el empleador”.</w:t>
      </w:r>
      <w:r w:rsidRPr="00E77F0B">
        <w:rPr>
          <w:rFonts w:ascii="Century Gothic" w:eastAsia="Calibri" w:hAnsi="Century Gothic" w:cs="Arial"/>
          <w:color w:val="000000" w:themeColor="text1"/>
        </w:rPr>
        <w:t xml:space="preserve"> </w:t>
      </w:r>
    </w:p>
    <w:p w14:paraId="6E871B8A" w14:textId="344110B5" w:rsidR="00676BCD" w:rsidRPr="00E77F0B"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ab/>
        <w:t xml:space="preserve">Por tanto, los incentivos para empresas y emprendimientos de mujeres no son aplicables para las personas jurídicas donde el más del 50% de los cargos del nivel directivo pertenezcan a </w:t>
      </w:r>
      <w:r w:rsidRPr="00E77F0B">
        <w:rPr>
          <w:rFonts w:ascii="Century Gothic" w:eastAsia="Calibri" w:hAnsi="Century Gothic" w:cs="Arial"/>
          <w:i/>
          <w:iCs/>
          <w:lang w:val="es-ES_tradnl"/>
        </w:rPr>
        <w:t>personas naturales del género masculino</w:t>
      </w:r>
      <w:r w:rsidRPr="00E77F0B">
        <w:rPr>
          <w:rFonts w:ascii="Century Gothic" w:eastAsia="Calibri" w:hAnsi="Century Gothic" w:cs="Arial"/>
          <w:lang w:val="es-ES_tradnl"/>
        </w:rPr>
        <w:t xml:space="preserve">. En este caso, es irrelevante que tengan o no una relación laboral o el tiempo en el cargo, pues no se cumpliría con una de las condiciones exigidas en el numeral 2 del artículo 2.2.1.2.4.2.14 del Decreto 1082 de 2015. </w:t>
      </w:r>
    </w:p>
    <w:p w14:paraId="21164A9C" w14:textId="0BCCB388" w:rsidR="00676BCD" w:rsidRPr="00E77F0B"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ab/>
      </w:r>
      <w:r w:rsidR="003A6271">
        <w:rPr>
          <w:rFonts w:ascii="Century Gothic" w:eastAsia="Calibri" w:hAnsi="Century Gothic" w:cs="Arial"/>
          <w:color w:val="000000" w:themeColor="text1"/>
        </w:rPr>
        <w:t>En ese orden de ideas, t</w:t>
      </w:r>
      <w:r w:rsidRPr="00E77F0B">
        <w:rPr>
          <w:rFonts w:ascii="Century Gothic" w:eastAsia="Calibri" w:hAnsi="Century Gothic" w:cs="Arial"/>
          <w:color w:val="000000" w:themeColor="text1"/>
        </w:rPr>
        <w:t>ratándose del “Formato 12 – Acreditación emprendimiento y empresa de mujeres” de los documentos tipo</w:t>
      </w:r>
      <w:r w:rsidR="003A6271">
        <w:rPr>
          <w:rFonts w:ascii="Century Gothic" w:eastAsia="Calibri" w:hAnsi="Century Gothic" w:cs="Arial"/>
          <w:color w:val="000000" w:themeColor="text1"/>
        </w:rPr>
        <w:t>, e</w:t>
      </w:r>
      <w:r w:rsidRPr="00E77F0B">
        <w:rPr>
          <w:rFonts w:ascii="Century Gothic" w:eastAsia="Calibri" w:hAnsi="Century Gothic" w:cs="Arial"/>
          <w:color w:val="000000" w:themeColor="text1"/>
        </w:rPr>
        <w:t xml:space="preserve">l cuadro debe diligenciarse respecto </w:t>
      </w:r>
      <w:r w:rsidR="000A6EE5">
        <w:rPr>
          <w:rFonts w:ascii="Century Gothic" w:eastAsia="Calibri" w:hAnsi="Century Gothic" w:cs="Arial"/>
          <w:color w:val="000000" w:themeColor="text1"/>
        </w:rPr>
        <w:t xml:space="preserve">de todas </w:t>
      </w:r>
      <w:r w:rsidRPr="00E77F0B">
        <w:rPr>
          <w:rFonts w:ascii="Century Gothic" w:eastAsia="Calibri" w:hAnsi="Century Gothic" w:cs="Arial"/>
          <w:color w:val="000000" w:themeColor="text1"/>
        </w:rPr>
        <w:t>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6F3913BE" w14:textId="77777777" w:rsidR="00676BCD" w:rsidRPr="00E77F0B" w:rsidRDefault="00676BCD" w:rsidP="00676BCD">
      <w:pPr>
        <w:spacing w:after="120" w:line="276" w:lineRule="auto"/>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ab/>
        <w:t xml:space="preserve">Como se explicó </w:t>
      </w:r>
      <w:r w:rsidRPr="00E77F0B">
        <w:rPr>
          <w:rFonts w:ascii="Century Gothic" w:eastAsia="Calibri" w:hAnsi="Century Gothic" w:cs="Arial"/>
          <w:i/>
          <w:iCs/>
          <w:color w:val="000000" w:themeColor="text1"/>
        </w:rPr>
        <w:t>ut supra</w:t>
      </w:r>
      <w:r w:rsidRPr="00E77F0B">
        <w:rPr>
          <w:rFonts w:ascii="Century Gothic" w:eastAsia="Calibri" w:hAnsi="Century Gothic" w:cs="Arial"/>
          <w:color w:val="000000" w:themeColor="text1"/>
        </w:rPr>
        <w:t xml:space="preserve">,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Selección. Sin embargo, en la medida que los hombres no son destinatarios de las condiciones habilitantes y de los puntajes adicionales del artículo 2.2.1.2.4.2.15 del Decreto 1082 de 2015, es indiferente la forma y el tiempo de vinculación. </w:t>
      </w:r>
    </w:p>
    <w:p w14:paraId="7BB74E64" w14:textId="77B3A6EC" w:rsidR="00676BCD" w:rsidRPr="00E77F0B" w:rsidRDefault="00676BCD" w:rsidP="00676BCD">
      <w:pPr>
        <w:spacing w:after="0" w:line="276" w:lineRule="auto"/>
        <w:ind w:firstLine="708"/>
        <w:jc w:val="both"/>
        <w:rPr>
          <w:rFonts w:ascii="Century Gothic" w:eastAsia="Calibri" w:hAnsi="Century Gothic" w:cs="Arial"/>
          <w:color w:val="000000" w:themeColor="text1"/>
        </w:rPr>
      </w:pPr>
      <w:r w:rsidRPr="00E77F0B">
        <w:rPr>
          <w:rFonts w:ascii="Century Gothic" w:eastAsia="Calibri" w:hAnsi="Century Gothic" w:cs="Arial"/>
          <w:color w:val="000000" w:themeColor="text1"/>
        </w:rPr>
        <w:t xml:space="preserve">Por tanto, </w:t>
      </w:r>
      <w:r w:rsidRPr="00E77F0B">
        <w:rPr>
          <w:rFonts w:ascii="Century Gothic" w:eastAsia="Calibri" w:hAnsi="Century Gothic" w:cs="Arial"/>
          <w:lang w:val="es-ES_tradnl"/>
        </w:rPr>
        <w:t>siempre que</w:t>
      </w:r>
      <w:r w:rsidRPr="00E77F0B">
        <w:rPr>
          <w:rFonts w:ascii="Century Gothic" w:eastAsia="Calibri" w:hAnsi="Century Gothic" w:cs="Arial"/>
          <w:color w:val="000000" w:themeColor="text1"/>
        </w:rPr>
        <w:t xml:space="preserve"> “[…] por lo menos el cincuenta por ciento (50%) de los empleos del nivel directivo de la persona jurídica sean ejercidos por mujeres y éstas hayan estado vinculadas laboralmente a la empresa durante al menos el </w:t>
      </w:r>
      <w:r w:rsidRPr="00E77F0B">
        <w:rPr>
          <w:rFonts w:ascii="Century Gothic" w:eastAsia="Calibri" w:hAnsi="Century Gothic" w:cs="Arial"/>
          <w:color w:val="000000" w:themeColor="text1"/>
        </w:rPr>
        <w:lastRenderedPageBreak/>
        <w:t xml:space="preserve">último año anterior a la fecha de cierre del Proceso de Selección en el mismo cargo u otro del mismo nivel […]” habrá lugar a los incentivos para el proponente. </w:t>
      </w:r>
    </w:p>
    <w:bookmarkEnd w:id="8"/>
    <w:p w14:paraId="42474199" w14:textId="77777777" w:rsidR="00676BCD" w:rsidRPr="00E77F0B" w:rsidRDefault="00676BCD" w:rsidP="00676BCD">
      <w:pPr>
        <w:spacing w:after="0" w:line="276" w:lineRule="auto"/>
        <w:jc w:val="both"/>
        <w:rPr>
          <w:rFonts w:ascii="Century Gothic" w:hAnsi="Century Gothic" w:cs="Arial"/>
          <w:color w:val="000000" w:themeColor="text1"/>
          <w:lang w:val="es-ES_tradnl"/>
        </w:rPr>
      </w:pPr>
    </w:p>
    <w:p w14:paraId="6F8669EE" w14:textId="77777777" w:rsidR="00AB2050" w:rsidRPr="00E77F0B" w:rsidRDefault="00AB2050" w:rsidP="00AB2050">
      <w:pPr>
        <w:shd w:val="clear" w:color="auto" w:fill="FFFFFF" w:themeFill="background1"/>
        <w:spacing w:after="0" w:line="276" w:lineRule="auto"/>
        <w:ind w:firstLine="708"/>
        <w:jc w:val="both"/>
        <w:textAlignment w:val="baseline"/>
        <w:rPr>
          <w:rFonts w:ascii="Century Gothic" w:hAnsi="Century Gothic" w:cs="Arial"/>
          <w:color w:val="000000" w:themeColor="text1"/>
          <w:lang w:eastAsia="es-MX"/>
        </w:rPr>
      </w:pPr>
      <w:r w:rsidRPr="00E77F0B">
        <w:rPr>
          <w:rFonts w:ascii="Century Gothic" w:hAnsi="Century Gothic" w:cs="Arial"/>
          <w:color w:val="000000" w:themeColor="text1"/>
          <w:lang w:eastAsia="es-MX"/>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23A476" w14:textId="77777777" w:rsidR="00676BCD" w:rsidRPr="00E77F0B" w:rsidRDefault="00676BCD" w:rsidP="00676BCD">
      <w:pPr>
        <w:widowControl w:val="0"/>
        <w:autoSpaceDE w:val="0"/>
        <w:autoSpaceDN w:val="0"/>
        <w:spacing w:after="0" w:line="276" w:lineRule="auto"/>
        <w:jc w:val="both"/>
        <w:rPr>
          <w:rFonts w:ascii="Century Gothic" w:hAnsi="Century Gothic" w:cs="Arial"/>
          <w:color w:val="000000" w:themeColor="text1"/>
          <w:lang w:bidi="es-ES"/>
        </w:rPr>
      </w:pPr>
    </w:p>
    <w:p w14:paraId="116913A5" w14:textId="77777777" w:rsidR="00676BCD" w:rsidRPr="00E77F0B" w:rsidRDefault="00676BCD" w:rsidP="00676BCD">
      <w:pPr>
        <w:tabs>
          <w:tab w:val="left" w:pos="426"/>
        </w:tabs>
        <w:spacing w:line="276" w:lineRule="auto"/>
        <w:jc w:val="both"/>
        <w:rPr>
          <w:rFonts w:ascii="Century Gothic" w:eastAsia="Times New Roman" w:hAnsi="Century Gothic" w:cs="Arial"/>
          <w:color w:val="000000" w:themeColor="text1"/>
        </w:rPr>
      </w:pPr>
      <w:r w:rsidRPr="00E77F0B">
        <w:rPr>
          <w:rFonts w:ascii="Century Gothic" w:eastAsia="Times New Roman" w:hAnsi="Century Gothic" w:cs="Arial"/>
          <w:color w:val="000000" w:themeColor="text1"/>
        </w:rPr>
        <w:t>Atentamente,</w:t>
      </w:r>
    </w:p>
    <w:p w14:paraId="07234D14" w14:textId="457AF782" w:rsidR="00676BCD" w:rsidRPr="00E77F0B" w:rsidRDefault="00DB3070" w:rsidP="00676BCD">
      <w:pPr>
        <w:jc w:val="center"/>
        <w:rPr>
          <w:rFonts w:ascii="Century Gothic" w:eastAsia="Times New Roman" w:hAnsi="Century Gothic" w:cs="Arial"/>
          <w:lang w:eastAsia="es-CO"/>
        </w:rPr>
      </w:pPr>
      <w:r>
        <w:rPr>
          <w:noProof/>
        </w:rPr>
        <w:drawing>
          <wp:inline distT="0" distB="0" distL="0" distR="0" wp14:anchorId="19760C9F" wp14:editId="60CEF3CC">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76BCD" w:rsidRPr="00E77F0B" w14:paraId="6C73B4C3" w14:textId="77777777" w:rsidTr="00CE0C03">
        <w:trPr>
          <w:trHeight w:val="409"/>
        </w:trPr>
        <w:tc>
          <w:tcPr>
            <w:tcW w:w="817" w:type="dxa"/>
            <w:tcBorders>
              <w:top w:val="nil"/>
              <w:left w:val="nil"/>
              <w:bottom w:val="nil"/>
              <w:right w:val="nil"/>
            </w:tcBorders>
            <w:vAlign w:val="center"/>
            <w:hideMark/>
          </w:tcPr>
          <w:p w14:paraId="7050AB37" w14:textId="77777777" w:rsidR="00676BCD" w:rsidRPr="00E77F0B" w:rsidRDefault="00676BCD"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61C54A99" w14:textId="28AF99F3" w:rsidR="00676BCD" w:rsidRPr="00E77F0B" w:rsidRDefault="008F58AC"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Any Alejandra Tovar Castillo</w:t>
            </w:r>
          </w:p>
          <w:p w14:paraId="68CBC5E4" w14:textId="77777777" w:rsidR="00676BCD" w:rsidRPr="00E77F0B" w:rsidRDefault="00676BCD"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Contratista de la Subdirección de Gestión Contractual</w:t>
            </w:r>
          </w:p>
        </w:tc>
      </w:tr>
      <w:tr w:rsidR="00676BCD" w:rsidRPr="00E77F0B" w14:paraId="6BCCD853" w14:textId="77777777" w:rsidTr="00CE0C03">
        <w:trPr>
          <w:trHeight w:val="409"/>
        </w:trPr>
        <w:tc>
          <w:tcPr>
            <w:tcW w:w="817" w:type="dxa"/>
            <w:tcBorders>
              <w:top w:val="nil"/>
              <w:left w:val="nil"/>
              <w:right w:val="nil"/>
            </w:tcBorders>
            <w:vAlign w:val="center"/>
          </w:tcPr>
          <w:p w14:paraId="2DEA7D20" w14:textId="77777777" w:rsidR="00676BCD" w:rsidRPr="00E77F0B" w:rsidRDefault="00676BCD" w:rsidP="00CE0C03">
            <w:pPr>
              <w:jc w:val="both"/>
              <w:rPr>
                <w:rFonts w:ascii="Century Gothic" w:hAnsi="Century Gothic" w:cs="Arial"/>
                <w:sz w:val="16"/>
                <w:szCs w:val="16"/>
              </w:rPr>
            </w:pPr>
            <w:r w:rsidRPr="00E77F0B">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17CEF7D7" w14:textId="156C4919" w:rsidR="00676BCD" w:rsidRPr="00E77F0B" w:rsidRDefault="008F58AC"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Juan David Cárdenas Cabeza</w:t>
            </w:r>
          </w:p>
          <w:p w14:paraId="7A06A3F5" w14:textId="77777777" w:rsidR="00676BCD" w:rsidRPr="00E77F0B" w:rsidRDefault="00676BCD"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Contratista de la Subdirección de Gestión Contractual</w:t>
            </w:r>
          </w:p>
        </w:tc>
      </w:tr>
      <w:tr w:rsidR="00676BCD" w:rsidRPr="00E77F0B" w14:paraId="51B72D50" w14:textId="77777777" w:rsidTr="00CE0C03">
        <w:trPr>
          <w:trHeight w:val="389"/>
        </w:trPr>
        <w:tc>
          <w:tcPr>
            <w:tcW w:w="817" w:type="dxa"/>
            <w:tcBorders>
              <w:top w:val="nil"/>
              <w:left w:val="nil"/>
              <w:bottom w:val="nil"/>
              <w:right w:val="nil"/>
            </w:tcBorders>
            <w:vAlign w:val="center"/>
            <w:hideMark/>
          </w:tcPr>
          <w:p w14:paraId="2C93DEC4" w14:textId="77777777" w:rsidR="00676BCD" w:rsidRPr="00E77F0B" w:rsidRDefault="00676BCD"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FD5CD5C" w14:textId="77777777" w:rsidR="00676BCD" w:rsidRPr="00E77F0B" w:rsidRDefault="00676BCD"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Nohelia del Carmen Zawady Palacio</w:t>
            </w:r>
          </w:p>
          <w:p w14:paraId="08341931" w14:textId="77777777" w:rsidR="00676BCD" w:rsidRPr="00E77F0B" w:rsidRDefault="00676BCD" w:rsidP="00CE0C03">
            <w:pPr>
              <w:spacing w:after="0" w:line="240" w:lineRule="auto"/>
              <w:jc w:val="both"/>
              <w:rPr>
                <w:rFonts w:ascii="Century Gothic" w:hAnsi="Century Gothic" w:cs="Arial"/>
                <w:sz w:val="16"/>
                <w:szCs w:val="16"/>
              </w:rPr>
            </w:pPr>
            <w:r w:rsidRPr="00E77F0B">
              <w:rPr>
                <w:rFonts w:ascii="Century Gothic" w:hAnsi="Century Gothic" w:cs="Arial"/>
                <w:sz w:val="16"/>
                <w:szCs w:val="16"/>
              </w:rPr>
              <w:t>Subdirectora de Gestión Contractual ANCP - CCE</w:t>
            </w:r>
          </w:p>
        </w:tc>
      </w:tr>
    </w:tbl>
    <w:p w14:paraId="0F293BF4" w14:textId="729845AB" w:rsidR="00127233" w:rsidRPr="00E77F0B" w:rsidRDefault="00127233" w:rsidP="00676BCD">
      <w:pPr>
        <w:spacing w:after="0"/>
        <w:rPr>
          <w:rFonts w:ascii="Century Gothic" w:hAnsi="Century Gothic"/>
        </w:rPr>
      </w:pPr>
    </w:p>
    <w:sectPr w:rsidR="00127233" w:rsidRPr="00E77F0B" w:rsidSect="00923EEF">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B8604" w14:textId="77777777" w:rsidR="00C11E97" w:rsidRDefault="00C11E97" w:rsidP="004A1847">
      <w:pPr>
        <w:spacing w:after="0" w:line="240" w:lineRule="auto"/>
      </w:pPr>
      <w:r>
        <w:separator/>
      </w:r>
    </w:p>
  </w:endnote>
  <w:endnote w:type="continuationSeparator" w:id="0">
    <w:p w14:paraId="4813D6ED" w14:textId="77777777" w:rsidR="00C11E97" w:rsidRDefault="00C11E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5408"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62368336"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3F78C75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E0DB946"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D285E" w14:textId="77777777" w:rsidR="00C11E97" w:rsidRDefault="00C11E97" w:rsidP="004A1847">
      <w:pPr>
        <w:spacing w:after="0" w:line="240" w:lineRule="auto"/>
      </w:pPr>
      <w:r>
        <w:separator/>
      </w:r>
    </w:p>
  </w:footnote>
  <w:footnote w:type="continuationSeparator" w:id="0">
    <w:p w14:paraId="049B18BA" w14:textId="77777777" w:rsidR="00C11E97" w:rsidRDefault="00C11E97" w:rsidP="004A1847">
      <w:pPr>
        <w:spacing w:after="0" w:line="240" w:lineRule="auto"/>
      </w:pPr>
      <w:r>
        <w:continuationSeparator/>
      </w:r>
    </w:p>
  </w:footnote>
  <w:footnote w:id="1">
    <w:p w14:paraId="18B89E9C" w14:textId="77777777" w:rsidR="009C6576" w:rsidRPr="00E77F0B" w:rsidRDefault="009C6576" w:rsidP="00E77F0B">
      <w:pPr>
        <w:pStyle w:val="Textonotapie"/>
        <w:ind w:firstLine="709"/>
        <w:jc w:val="both"/>
        <w:rPr>
          <w:rFonts w:ascii="Century Gothic" w:hAnsi="Century Gothic" w:cs="Arial"/>
          <w:sz w:val="18"/>
          <w:szCs w:val="18"/>
          <w:shd w:val="clear" w:color="auto" w:fill="E6E6E6"/>
        </w:rPr>
      </w:pPr>
      <w:r w:rsidRPr="00E77F0B">
        <w:rPr>
          <w:rStyle w:val="Refdenotaalpie"/>
          <w:rFonts w:ascii="Century Gothic" w:hAnsi="Century Gothic" w:cs="Arial"/>
          <w:sz w:val="18"/>
          <w:szCs w:val="18"/>
        </w:rPr>
        <w:footnoteRef/>
      </w:r>
      <w:r w:rsidRPr="00E77F0B">
        <w:rPr>
          <w:rFonts w:ascii="Century Gothic" w:hAnsi="Century Gothic" w:cs="Arial"/>
          <w:sz w:val="18"/>
          <w:szCs w:val="18"/>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E77F0B">
          <w:rPr>
            <w:rStyle w:val="Hipervnculo"/>
            <w:rFonts w:ascii="Century Gothic" w:hAnsi="Century Gothic" w:cs="Arial"/>
            <w:sz w:val="18"/>
            <w:szCs w:val="18"/>
          </w:rPr>
          <w:t>https://relatoria.colombiacompra.gov.co/busqueda/conceptos</w:t>
        </w:r>
      </w:hyperlink>
      <w:r w:rsidRPr="00E77F0B">
        <w:rPr>
          <w:rStyle w:val="Hipervnculo"/>
          <w:rFonts w:ascii="Century Gothic" w:hAnsi="Century Gothic" w:cs="Arial"/>
          <w:sz w:val="18"/>
          <w:szCs w:val="18"/>
        </w:rPr>
        <w:t xml:space="preserve">. </w:t>
      </w:r>
      <w:r w:rsidRPr="00E77F0B">
        <w:rPr>
          <w:rFonts w:ascii="Century Gothic" w:hAnsi="Century Gothic" w:cs="Arial"/>
          <w:sz w:val="18"/>
          <w:szCs w:val="18"/>
          <w:shd w:val="clear" w:color="auto" w:fill="E6E6E6"/>
        </w:rPr>
        <w:t xml:space="preserve"> </w:t>
      </w:r>
    </w:p>
  </w:footnote>
  <w:footnote w:id="2">
    <w:p w14:paraId="55C0453D" w14:textId="77777777" w:rsidR="00676BCD" w:rsidRPr="00E77F0B" w:rsidRDefault="00676BCD" w:rsidP="00E77F0B">
      <w:pPr>
        <w:pStyle w:val="Textonotapie"/>
        <w:ind w:firstLine="709"/>
        <w:jc w:val="both"/>
        <w:rPr>
          <w:rFonts w:ascii="Century Gothic" w:hAnsi="Century Gothic" w:cs="Arial"/>
          <w:sz w:val="18"/>
          <w:szCs w:val="18"/>
        </w:rPr>
      </w:pPr>
      <w:r w:rsidRPr="00E77F0B">
        <w:rPr>
          <w:rStyle w:val="Refdenotaalpie"/>
          <w:rFonts w:ascii="Century Gothic" w:hAnsi="Century Gothic" w:cs="Arial"/>
          <w:sz w:val="18"/>
          <w:szCs w:val="18"/>
        </w:rPr>
        <w:footnoteRef/>
      </w:r>
      <w:r w:rsidRPr="00E77F0B">
        <w:rPr>
          <w:rFonts w:ascii="Century Gothic" w:hAnsi="Century Gothic" w:cs="Arial"/>
          <w:sz w:val="18"/>
          <w:szCs w:val="18"/>
        </w:rPr>
        <w:t xml:space="preserve"> Decreto 1860 de 2021. “Artículo 1. Objeto. El presente Decreto tiene como propósito reglamentar los artículos 30, 31, 32,34 y 35 de la Ley 2069 de 2020, en relación con: el procedimiento de mínima cuantía, incluyendo disposiciones particulares que se refieren a la contratación con Mipyme y grandes almacenes; los criterios diferenciales para Mipyme, y la definición y los criterios diferenciales para los emprendimientos y empresas de mujeres; las convocatorias limitadas a Mipyme;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footnote>
  <w:footnote w:id="3">
    <w:p w14:paraId="0102D9DA" w14:textId="77777777" w:rsidR="00E77F0B" w:rsidRDefault="00A630EB" w:rsidP="00E77F0B">
      <w:pPr>
        <w:pStyle w:val="Textonotapie"/>
        <w:ind w:firstLine="708"/>
        <w:jc w:val="both"/>
        <w:rPr>
          <w:rFonts w:ascii="Century Gothic" w:hAnsi="Century Gothic"/>
          <w:sz w:val="18"/>
          <w:szCs w:val="18"/>
        </w:rPr>
      </w:pPr>
      <w:r w:rsidRPr="00E77F0B">
        <w:rPr>
          <w:rStyle w:val="Refdenotaalpie"/>
          <w:rFonts w:ascii="Century Gothic" w:hAnsi="Century Gothic"/>
          <w:sz w:val="18"/>
          <w:szCs w:val="18"/>
        </w:rPr>
        <w:footnoteRef/>
      </w:r>
      <w:r w:rsidRPr="00E77F0B">
        <w:rPr>
          <w:rFonts w:ascii="Century Gothic" w:hAnsi="Century Gothic"/>
          <w:sz w:val="18"/>
          <w:szCs w:val="18"/>
        </w:rPr>
        <w:t xml:space="preserve"> </w:t>
      </w:r>
      <w:r w:rsidR="00A74215" w:rsidRPr="00E77F0B">
        <w:rPr>
          <w:rFonts w:ascii="Century Gothic" w:hAnsi="Century Gothic"/>
          <w:sz w:val="18"/>
          <w:szCs w:val="18"/>
        </w:rPr>
        <w:t xml:space="preserve">Decreto Ley 2663 del 5 de agosto de 1950, Código Sustantivo del Trabajo: «Son representantes del {empleador} y como tales lo obligan frente a sus trabajadores además de quienes tienen ese carácter según la ley, la convención o el reglamento de trabajo, las siguientes personas: </w:t>
      </w:r>
    </w:p>
    <w:p w14:paraId="70961E3E" w14:textId="77777777" w:rsidR="00E77F0B" w:rsidRDefault="00A74215" w:rsidP="00E77F0B">
      <w:pPr>
        <w:pStyle w:val="Textonotapie"/>
        <w:ind w:firstLine="708"/>
        <w:jc w:val="both"/>
        <w:rPr>
          <w:rFonts w:ascii="Century Gothic" w:hAnsi="Century Gothic"/>
          <w:sz w:val="18"/>
          <w:szCs w:val="18"/>
        </w:rPr>
      </w:pPr>
      <w:r w:rsidRPr="00E77F0B">
        <w:rPr>
          <w:rFonts w:ascii="Century Gothic" w:hAnsi="Century Gothic"/>
          <w:sz w:val="18"/>
          <w:szCs w:val="18"/>
        </w:rPr>
        <w:t xml:space="preserve">a) Las que ejerzan funciones de dirección o administración, tales como directores, gerentes, administradores, síndicos o liquidadores, mayordomos y capitanes de barco, y quienes ejercitan actos de representación con la aquiescencia expresa o tácita del {empleador}; </w:t>
      </w:r>
    </w:p>
    <w:p w14:paraId="740A6F00" w14:textId="5C332F32" w:rsidR="00A630EB" w:rsidRPr="00E77F0B" w:rsidRDefault="00A74215" w:rsidP="00E77F0B">
      <w:pPr>
        <w:pStyle w:val="Textonotapie"/>
        <w:ind w:firstLine="708"/>
        <w:jc w:val="both"/>
        <w:rPr>
          <w:rFonts w:ascii="Century Gothic" w:hAnsi="Century Gothic"/>
          <w:sz w:val="18"/>
          <w:szCs w:val="18"/>
          <w:lang w:val="es-CO"/>
        </w:rPr>
      </w:pPr>
      <w:r w:rsidRPr="00E77F0B">
        <w:rPr>
          <w:rFonts w:ascii="Century Gothic" w:hAnsi="Century Gothic"/>
          <w:sz w:val="18"/>
          <w:szCs w:val="18"/>
        </w:rPr>
        <w:t>b) Los intermediarios</w:t>
      </w:r>
      <w:r w:rsidR="00E77F0B">
        <w:rPr>
          <w:rFonts w:ascii="Century Gothic" w:hAnsi="Century Gothic"/>
          <w:sz w:val="18"/>
          <w:szCs w:val="18"/>
        </w:rPr>
        <w:t>”</w:t>
      </w:r>
      <w:r w:rsidRPr="00E77F0B">
        <w:rPr>
          <w:rFonts w:ascii="Century Gothic" w:hAnsi="Century Gothic"/>
          <w:sz w:val="18"/>
          <w:szCs w:val="18"/>
        </w:rPr>
        <w:t>.</w:t>
      </w:r>
    </w:p>
  </w:footnote>
  <w:footnote w:id="4">
    <w:p w14:paraId="7105FB12" w14:textId="20162EB2" w:rsidR="007D386F" w:rsidRPr="00E77F0B" w:rsidRDefault="007D386F" w:rsidP="004E6811">
      <w:pPr>
        <w:pStyle w:val="Textonotapie"/>
        <w:ind w:firstLine="708"/>
        <w:jc w:val="both"/>
        <w:rPr>
          <w:rFonts w:ascii="Century Gothic" w:hAnsi="Century Gothic"/>
          <w:sz w:val="18"/>
          <w:szCs w:val="18"/>
          <w:lang w:val="es-CO"/>
        </w:rPr>
      </w:pPr>
      <w:r w:rsidRPr="00E77F0B">
        <w:rPr>
          <w:rStyle w:val="Refdenotaalpie"/>
          <w:rFonts w:ascii="Century Gothic" w:hAnsi="Century Gothic"/>
          <w:sz w:val="18"/>
          <w:szCs w:val="18"/>
        </w:rPr>
        <w:footnoteRef/>
      </w:r>
      <w:r w:rsidRPr="00E77F0B">
        <w:rPr>
          <w:rFonts w:ascii="Century Gothic" w:hAnsi="Century Gothic"/>
          <w:sz w:val="18"/>
          <w:szCs w:val="18"/>
        </w:rPr>
        <w:t xml:space="preserve"> Código País. Código de mejores prácticas corporativas. ANDI, Asobancaria, Asofiduciarias, Asofondos, Bolsa de Valores de Colombia, Confecámaras, Fasecolda, Comité de Emisores de la Bolsa de Valores de Colombia, CAF y Superintendencia Financiera de Colombia. 2014. (En línea). Disponible en: </w:t>
      </w:r>
      <w:hyperlink r:id="rId2" w:history="1">
        <w:r w:rsidRPr="00E77F0B">
          <w:rPr>
            <w:rStyle w:val="Hipervnculo"/>
            <w:rFonts w:ascii="Century Gothic" w:hAnsi="Century Gothic"/>
            <w:sz w:val="18"/>
            <w:szCs w:val="18"/>
          </w:rPr>
          <w:t>https://www.superfinanciera.gov.co/inicio/industrias-supervisadas/gobierno-corporativo/codigo-pais-6116</w:t>
        </w:r>
      </w:hyperlink>
    </w:p>
  </w:footnote>
  <w:footnote w:id="5">
    <w:p w14:paraId="6413119A" w14:textId="5639B357" w:rsidR="007D386F" w:rsidRPr="00E77F0B" w:rsidRDefault="007D386F" w:rsidP="004E6811">
      <w:pPr>
        <w:pStyle w:val="Textonotapie"/>
        <w:ind w:firstLine="708"/>
        <w:jc w:val="both"/>
        <w:rPr>
          <w:rFonts w:ascii="Century Gothic" w:hAnsi="Century Gothic"/>
          <w:sz w:val="18"/>
          <w:szCs w:val="18"/>
          <w:lang w:val="es-CO"/>
        </w:rPr>
      </w:pPr>
      <w:r w:rsidRPr="00E77F0B">
        <w:rPr>
          <w:rStyle w:val="Refdenotaalpie"/>
          <w:rFonts w:ascii="Century Gothic" w:hAnsi="Century Gothic"/>
          <w:sz w:val="18"/>
          <w:szCs w:val="18"/>
        </w:rPr>
        <w:footnoteRef/>
      </w:r>
      <w:r w:rsidRPr="00E77F0B">
        <w:rPr>
          <w:rFonts w:ascii="Century Gothic" w:hAnsi="Century Gothic"/>
          <w:sz w:val="18"/>
          <w:szCs w:val="18"/>
        </w:rPr>
        <w:t xml:space="preserve"> </w:t>
      </w:r>
      <w:r w:rsidR="0087608B" w:rsidRPr="00E77F0B">
        <w:rPr>
          <w:rFonts w:ascii="Century Gothic" w:hAnsi="Century Gothic"/>
          <w:sz w:val="18"/>
          <w:szCs w:val="18"/>
        </w:rPr>
        <w:t xml:space="preserve">Guía de Buenas Prácticas de Gobierno Corporativo para Empresas Competitivas, Productivas y Perdurables. Cámara de Comercio de Bogotá, Confederación Colombiana de Cámaras de Comercio y Superintendencia de Sociedades. 2020. (En línea). Disponible en: https://www.supersociedades.gov.co/Noticias/Publicaciones/Revistas/2020/GUIA-GOBIERNO-CORPORATIVO2020.pdf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9264"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67456"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61312"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7E5E717"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13</w:t>
    </w:r>
  </w:p>
  <w:p w14:paraId="5E18350A" w14:textId="3833E343"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CB6357">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sidR="00CB6357">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sidR="00961B09">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1372263768">
    <w:abstractNumId w:val="0"/>
  </w:num>
  <w:num w:numId="7" w16cid:durableId="3077063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EBE"/>
    <w:rsid w:val="0002190C"/>
    <w:rsid w:val="00060C65"/>
    <w:rsid w:val="000710C3"/>
    <w:rsid w:val="00083BE5"/>
    <w:rsid w:val="000A683E"/>
    <w:rsid w:val="000A6EE5"/>
    <w:rsid w:val="000B19B9"/>
    <w:rsid w:val="000D0334"/>
    <w:rsid w:val="000E245B"/>
    <w:rsid w:val="000F6486"/>
    <w:rsid w:val="00125105"/>
    <w:rsid w:val="00127233"/>
    <w:rsid w:val="00175C03"/>
    <w:rsid w:val="00187116"/>
    <w:rsid w:val="001B2066"/>
    <w:rsid w:val="001E4177"/>
    <w:rsid w:val="001F7154"/>
    <w:rsid w:val="00294ADD"/>
    <w:rsid w:val="002951A0"/>
    <w:rsid w:val="002962BC"/>
    <w:rsid w:val="002A093D"/>
    <w:rsid w:val="002A49AC"/>
    <w:rsid w:val="002A64FD"/>
    <w:rsid w:val="002C7A84"/>
    <w:rsid w:val="002D069D"/>
    <w:rsid w:val="00341234"/>
    <w:rsid w:val="00343260"/>
    <w:rsid w:val="003448F4"/>
    <w:rsid w:val="00346C27"/>
    <w:rsid w:val="003668FA"/>
    <w:rsid w:val="003924EF"/>
    <w:rsid w:val="003A6271"/>
    <w:rsid w:val="003A779E"/>
    <w:rsid w:val="003C0E3B"/>
    <w:rsid w:val="003D0F4D"/>
    <w:rsid w:val="003D7FA1"/>
    <w:rsid w:val="003E0499"/>
    <w:rsid w:val="003E280B"/>
    <w:rsid w:val="003F3941"/>
    <w:rsid w:val="00400548"/>
    <w:rsid w:val="00464FC3"/>
    <w:rsid w:val="004A1847"/>
    <w:rsid w:val="004A305D"/>
    <w:rsid w:val="004E6811"/>
    <w:rsid w:val="004F21C4"/>
    <w:rsid w:val="004F685F"/>
    <w:rsid w:val="005039DB"/>
    <w:rsid w:val="005311FC"/>
    <w:rsid w:val="00540F7C"/>
    <w:rsid w:val="005429AB"/>
    <w:rsid w:val="005523AB"/>
    <w:rsid w:val="005566E8"/>
    <w:rsid w:val="00574867"/>
    <w:rsid w:val="005C248C"/>
    <w:rsid w:val="005C5CDC"/>
    <w:rsid w:val="005D476C"/>
    <w:rsid w:val="00602762"/>
    <w:rsid w:val="006219F8"/>
    <w:rsid w:val="00630BB9"/>
    <w:rsid w:val="00665D70"/>
    <w:rsid w:val="00676BCD"/>
    <w:rsid w:val="006D14F3"/>
    <w:rsid w:val="006F2C58"/>
    <w:rsid w:val="00706C16"/>
    <w:rsid w:val="00743454"/>
    <w:rsid w:val="00756841"/>
    <w:rsid w:val="007649AB"/>
    <w:rsid w:val="007833AC"/>
    <w:rsid w:val="00787FEF"/>
    <w:rsid w:val="007B7171"/>
    <w:rsid w:val="007C3DC2"/>
    <w:rsid w:val="007D386F"/>
    <w:rsid w:val="007E5497"/>
    <w:rsid w:val="00806F5F"/>
    <w:rsid w:val="00820278"/>
    <w:rsid w:val="0087608B"/>
    <w:rsid w:val="008843B6"/>
    <w:rsid w:val="00891928"/>
    <w:rsid w:val="008A446D"/>
    <w:rsid w:val="008E2AA6"/>
    <w:rsid w:val="008F0EA7"/>
    <w:rsid w:val="008F58AC"/>
    <w:rsid w:val="0092370C"/>
    <w:rsid w:val="00923EEF"/>
    <w:rsid w:val="00936808"/>
    <w:rsid w:val="009419F9"/>
    <w:rsid w:val="00961B09"/>
    <w:rsid w:val="00965334"/>
    <w:rsid w:val="00967D56"/>
    <w:rsid w:val="0097093E"/>
    <w:rsid w:val="00976EB4"/>
    <w:rsid w:val="00991AA4"/>
    <w:rsid w:val="009C6576"/>
    <w:rsid w:val="009C71FA"/>
    <w:rsid w:val="009C72E7"/>
    <w:rsid w:val="009E3F7C"/>
    <w:rsid w:val="009F4C1D"/>
    <w:rsid w:val="00A15321"/>
    <w:rsid w:val="00A17D16"/>
    <w:rsid w:val="00A17F13"/>
    <w:rsid w:val="00A20739"/>
    <w:rsid w:val="00A33C78"/>
    <w:rsid w:val="00A630EB"/>
    <w:rsid w:val="00A67248"/>
    <w:rsid w:val="00A74215"/>
    <w:rsid w:val="00AB096C"/>
    <w:rsid w:val="00AB0ADB"/>
    <w:rsid w:val="00AB2050"/>
    <w:rsid w:val="00AC0529"/>
    <w:rsid w:val="00AD113D"/>
    <w:rsid w:val="00AF797F"/>
    <w:rsid w:val="00B72CD3"/>
    <w:rsid w:val="00B72FFF"/>
    <w:rsid w:val="00B7537F"/>
    <w:rsid w:val="00B77795"/>
    <w:rsid w:val="00B90895"/>
    <w:rsid w:val="00BB2D72"/>
    <w:rsid w:val="00BD7F72"/>
    <w:rsid w:val="00BF3B65"/>
    <w:rsid w:val="00BF7B3B"/>
    <w:rsid w:val="00C04FB3"/>
    <w:rsid w:val="00C11E97"/>
    <w:rsid w:val="00C330EB"/>
    <w:rsid w:val="00C65DE2"/>
    <w:rsid w:val="00C754BE"/>
    <w:rsid w:val="00C924B9"/>
    <w:rsid w:val="00C94D17"/>
    <w:rsid w:val="00CA09B0"/>
    <w:rsid w:val="00CB6357"/>
    <w:rsid w:val="00CC1B26"/>
    <w:rsid w:val="00CF77CD"/>
    <w:rsid w:val="00D0124D"/>
    <w:rsid w:val="00D423A2"/>
    <w:rsid w:val="00D63AC2"/>
    <w:rsid w:val="00D67EF4"/>
    <w:rsid w:val="00D7383B"/>
    <w:rsid w:val="00DA231B"/>
    <w:rsid w:val="00DB3070"/>
    <w:rsid w:val="00DC4B11"/>
    <w:rsid w:val="00DE3911"/>
    <w:rsid w:val="00E16408"/>
    <w:rsid w:val="00E20894"/>
    <w:rsid w:val="00E22FCC"/>
    <w:rsid w:val="00E245AB"/>
    <w:rsid w:val="00E31CE7"/>
    <w:rsid w:val="00E50AFE"/>
    <w:rsid w:val="00E771DC"/>
    <w:rsid w:val="00E77F0B"/>
    <w:rsid w:val="00E8772A"/>
    <w:rsid w:val="00E90F6B"/>
    <w:rsid w:val="00E919A5"/>
    <w:rsid w:val="00E92C27"/>
    <w:rsid w:val="00EA0E3D"/>
    <w:rsid w:val="00EA54F5"/>
    <w:rsid w:val="00EA5639"/>
    <w:rsid w:val="00EE1AA8"/>
    <w:rsid w:val="00EF41B8"/>
    <w:rsid w:val="00F145E6"/>
    <w:rsid w:val="00F204AB"/>
    <w:rsid w:val="00F31EDC"/>
    <w:rsid w:val="00F4791C"/>
    <w:rsid w:val="00F5664F"/>
    <w:rsid w:val="00F66E23"/>
    <w:rsid w:val="00F719DA"/>
    <w:rsid w:val="00F76AFC"/>
    <w:rsid w:val="00F843E3"/>
    <w:rsid w:val="00FB5DD1"/>
    <w:rsid w:val="00FC2B5D"/>
    <w:rsid w:val="00FD0A79"/>
    <w:rsid w:val="00FD3FFC"/>
    <w:rsid w:val="00FF1449"/>
    <w:rsid w:val="5411EC76"/>
    <w:rsid w:val="7BE23E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Appelnotedebasde">
    <w:name w:val="Appel note de bas de..."/>
    <w:basedOn w:val="Normal"/>
    <w:link w:val="Refdenotaalpie"/>
    <w:uiPriority w:val="99"/>
    <w:rsid w:val="00676BCD"/>
    <w:pPr>
      <w:spacing w:line="240" w:lineRule="exact"/>
    </w:pPr>
    <w:rPr>
      <w:vertAlign w:val="superscript"/>
    </w:rPr>
  </w:style>
  <w:style w:type="paragraph" w:styleId="Sinespaciado">
    <w:name w:val="No Spacing"/>
    <w:aliases w:val="No Indent"/>
    <w:uiPriority w:val="3"/>
    <w:qFormat/>
    <w:rsid w:val="00676BCD"/>
    <w:pPr>
      <w:spacing w:after="0" w:line="240" w:lineRule="auto"/>
    </w:pPr>
    <w:rPr>
      <w:sz w:val="24"/>
      <w:lang w:val="es-MX"/>
    </w:rPr>
  </w:style>
  <w:style w:type="paragraph" w:styleId="NormalWeb">
    <w:name w:val="Normal (Web)"/>
    <w:basedOn w:val="Normal"/>
    <w:link w:val="NormalWebCar"/>
    <w:uiPriority w:val="99"/>
    <w:unhideWhenUsed/>
    <w:rsid w:val="00676BC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676BCD"/>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76BCD"/>
    <w:rPr>
      <w:rFonts w:ascii="Geomanist Light" w:hAnsi="Geomanist Light"/>
      <w:lang w:val="es-ES"/>
    </w:rPr>
  </w:style>
  <w:style w:type="paragraph" w:styleId="Textoindependiente">
    <w:name w:val="Body Text"/>
    <w:basedOn w:val="Normal"/>
    <w:link w:val="TextoindependienteCar"/>
    <w:uiPriority w:val="99"/>
    <w:unhideWhenUsed/>
    <w:rsid w:val="00676BCD"/>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76BCD"/>
    <w:rPr>
      <w:rFonts w:eastAsiaTheme="minorEastAsia"/>
      <w:lang w:eastAsia="es-CO"/>
    </w:rPr>
  </w:style>
  <w:style w:type="character" w:customStyle="1" w:styleId="Hipervnculo1">
    <w:name w:val="Hipervínculo1"/>
    <w:basedOn w:val="Fuentedeprrafopredeter"/>
    <w:uiPriority w:val="99"/>
    <w:unhideWhenUsed/>
    <w:rsid w:val="00676BCD"/>
    <w:rPr>
      <w:color w:val="F2F2F2"/>
      <w:u w:val="single"/>
    </w:rPr>
  </w:style>
  <w:style w:type="character" w:styleId="Mencinsinresolver">
    <w:name w:val="Unresolved Mention"/>
    <w:basedOn w:val="Fuentedeprrafopredeter"/>
    <w:uiPriority w:val="99"/>
    <w:semiHidden/>
    <w:unhideWhenUsed/>
    <w:rsid w:val="00A742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2" Type="http://schemas.openxmlformats.org/officeDocument/2006/relationships/hyperlink" Target="https://www.superfinanciera.gov.co/inicio/industrias-supervisadas/gobierno-corporativo/codigo-pais-6116"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DD2ABAC-6689-4827-8406-49A91BA29578}">
  <ds:schemaRefs>
    <ds:schemaRef ds:uri="http://schemas.openxmlformats.org/officeDocument/2006/bibliography"/>
  </ds:schemaRefs>
</ds:datastoreItem>
</file>

<file path=customXml/itemProps3.xml><?xml version="1.0" encoding="utf-8"?>
<ds:datastoreItem xmlns:ds="http://schemas.openxmlformats.org/officeDocument/2006/customXml" ds:itemID="{86638E61-0E25-4505-AA4B-4027A909D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5512</Words>
  <Characters>30319</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2023-11-14T22:16:00Z</dcterms:created>
  <dcterms:modified xsi:type="dcterms:W3CDTF">2023-11-14T22:16:00Z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