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1984F" w14:textId="1DDB5121" w:rsidR="00CC5AB1" w:rsidRDefault="00523836" w:rsidP="230E2696">
      <w:pPr>
        <w:spacing w:line="240" w:lineRule="auto"/>
        <w:jc w:val="both"/>
        <w:rPr>
          <w:rFonts w:ascii="Century Gothic" w:hAnsi="Century Gothic"/>
          <w:b/>
          <w:bCs/>
          <w:sz w:val="20"/>
          <w:szCs w:val="20"/>
        </w:rPr>
      </w:pPr>
      <w:r w:rsidRPr="230E2696">
        <w:rPr>
          <w:rFonts w:ascii="Century Gothic" w:hAnsi="Century Gothic"/>
          <w:b/>
          <w:bCs/>
          <w:sz w:val="20"/>
          <w:szCs w:val="20"/>
        </w:rPr>
        <w:t>REGISTRO NACIONAL</w:t>
      </w:r>
      <w:r w:rsidRPr="230E2696">
        <w:rPr>
          <w:rFonts w:ascii="Century Gothic" w:hAnsi="Century Gothic"/>
          <w:b/>
          <w:bCs/>
          <w:spacing w:val="-5"/>
          <w:sz w:val="20"/>
          <w:szCs w:val="20"/>
        </w:rPr>
        <w:t xml:space="preserve"> </w:t>
      </w:r>
      <w:r w:rsidRPr="230E2696">
        <w:rPr>
          <w:rFonts w:ascii="Century Gothic" w:hAnsi="Century Gothic"/>
          <w:b/>
          <w:bCs/>
          <w:sz w:val="20"/>
          <w:szCs w:val="20"/>
        </w:rPr>
        <w:t>DE</w:t>
      </w:r>
      <w:r w:rsidRPr="230E2696">
        <w:rPr>
          <w:rFonts w:ascii="Century Gothic" w:hAnsi="Century Gothic"/>
          <w:b/>
          <w:bCs/>
          <w:spacing w:val="-5"/>
          <w:sz w:val="20"/>
          <w:szCs w:val="20"/>
        </w:rPr>
        <w:t xml:space="preserve"> </w:t>
      </w:r>
      <w:r w:rsidRPr="230E2696">
        <w:rPr>
          <w:rFonts w:ascii="Century Gothic" w:hAnsi="Century Gothic"/>
          <w:b/>
          <w:bCs/>
          <w:sz w:val="20"/>
          <w:szCs w:val="20"/>
        </w:rPr>
        <w:t>OBRAS</w:t>
      </w:r>
      <w:r w:rsidRPr="230E2696">
        <w:rPr>
          <w:rFonts w:ascii="Century Gothic" w:hAnsi="Century Gothic"/>
          <w:b/>
          <w:bCs/>
          <w:spacing w:val="-5"/>
          <w:sz w:val="20"/>
          <w:szCs w:val="20"/>
        </w:rPr>
        <w:t xml:space="preserve"> </w:t>
      </w:r>
      <w:r w:rsidRPr="230E2696">
        <w:rPr>
          <w:rFonts w:ascii="Century Gothic" w:hAnsi="Century Gothic"/>
          <w:b/>
          <w:bCs/>
          <w:sz w:val="20"/>
          <w:szCs w:val="20"/>
        </w:rPr>
        <w:t>CIVILES</w:t>
      </w:r>
      <w:r w:rsidRPr="230E2696">
        <w:rPr>
          <w:rFonts w:ascii="Century Gothic" w:hAnsi="Century Gothic"/>
          <w:b/>
          <w:bCs/>
          <w:spacing w:val="-5"/>
          <w:sz w:val="20"/>
          <w:szCs w:val="20"/>
        </w:rPr>
        <w:t xml:space="preserve"> </w:t>
      </w:r>
      <w:r w:rsidRPr="230E2696">
        <w:rPr>
          <w:rFonts w:ascii="Century Gothic" w:hAnsi="Century Gothic"/>
          <w:b/>
          <w:bCs/>
          <w:sz w:val="20"/>
          <w:szCs w:val="20"/>
        </w:rPr>
        <w:t>INCONCLUSAS</w:t>
      </w:r>
      <w:r w:rsidRPr="230E2696">
        <w:rPr>
          <w:rFonts w:ascii="Century Gothic" w:hAnsi="Century Gothic"/>
          <w:b/>
          <w:bCs/>
          <w:spacing w:val="-5"/>
          <w:sz w:val="20"/>
          <w:szCs w:val="20"/>
        </w:rPr>
        <w:t xml:space="preserve"> </w:t>
      </w:r>
      <w:r w:rsidRPr="230E2696">
        <w:rPr>
          <w:rFonts w:ascii="Century Gothic" w:hAnsi="Century Gothic"/>
          <w:b/>
          <w:bCs/>
          <w:sz w:val="20"/>
          <w:szCs w:val="20"/>
        </w:rPr>
        <w:t>–</w:t>
      </w:r>
      <w:r w:rsidRPr="230E2696">
        <w:rPr>
          <w:rFonts w:ascii="Century Gothic" w:hAnsi="Century Gothic"/>
          <w:b/>
          <w:bCs/>
          <w:spacing w:val="-5"/>
          <w:sz w:val="20"/>
          <w:szCs w:val="20"/>
        </w:rPr>
        <w:t xml:space="preserve"> </w:t>
      </w:r>
      <w:r w:rsidRPr="230E2696">
        <w:rPr>
          <w:rFonts w:ascii="Century Gothic" w:hAnsi="Century Gothic"/>
          <w:b/>
          <w:bCs/>
          <w:sz w:val="20"/>
          <w:szCs w:val="20"/>
        </w:rPr>
        <w:t>Concepto</w:t>
      </w:r>
      <w:r w:rsidRPr="230E2696">
        <w:rPr>
          <w:rFonts w:ascii="Century Gothic" w:hAnsi="Century Gothic"/>
          <w:b/>
          <w:bCs/>
          <w:spacing w:val="-4"/>
          <w:sz w:val="20"/>
          <w:szCs w:val="20"/>
        </w:rPr>
        <w:t xml:space="preserve"> </w:t>
      </w:r>
      <w:r w:rsidRPr="230E2696">
        <w:rPr>
          <w:rFonts w:ascii="Century Gothic" w:hAnsi="Century Gothic"/>
          <w:b/>
          <w:bCs/>
          <w:spacing w:val="-10"/>
          <w:sz w:val="20"/>
          <w:szCs w:val="20"/>
        </w:rPr>
        <w:t>–</w:t>
      </w:r>
      <w:r w:rsidRPr="230E2696">
        <w:rPr>
          <w:rFonts w:ascii="Century Gothic" w:hAnsi="Century Gothic"/>
          <w:b/>
          <w:bCs/>
          <w:sz w:val="20"/>
          <w:szCs w:val="20"/>
        </w:rPr>
        <w:t>Ley</w:t>
      </w:r>
      <w:r w:rsidRPr="230E2696">
        <w:rPr>
          <w:rFonts w:ascii="Century Gothic" w:hAnsi="Century Gothic"/>
          <w:b/>
          <w:bCs/>
          <w:spacing w:val="-2"/>
          <w:sz w:val="20"/>
          <w:szCs w:val="20"/>
        </w:rPr>
        <w:t xml:space="preserve"> </w:t>
      </w:r>
      <w:r w:rsidRPr="230E2696">
        <w:rPr>
          <w:rFonts w:ascii="Century Gothic" w:hAnsi="Century Gothic"/>
          <w:b/>
          <w:bCs/>
          <w:sz w:val="20"/>
          <w:szCs w:val="20"/>
        </w:rPr>
        <w:t>2020</w:t>
      </w:r>
      <w:r w:rsidRPr="230E2696">
        <w:rPr>
          <w:rFonts w:ascii="Century Gothic" w:hAnsi="Century Gothic"/>
          <w:b/>
          <w:bCs/>
          <w:spacing w:val="-2"/>
          <w:sz w:val="20"/>
          <w:szCs w:val="20"/>
        </w:rPr>
        <w:t xml:space="preserve"> </w:t>
      </w:r>
      <w:r w:rsidRPr="230E2696">
        <w:rPr>
          <w:rFonts w:ascii="Century Gothic" w:hAnsi="Century Gothic"/>
          <w:b/>
          <w:bCs/>
          <w:sz w:val="20"/>
          <w:szCs w:val="20"/>
        </w:rPr>
        <w:t>de</w:t>
      </w:r>
      <w:r w:rsidRPr="230E2696">
        <w:rPr>
          <w:rFonts w:ascii="Century Gothic" w:hAnsi="Century Gothic"/>
          <w:b/>
          <w:bCs/>
          <w:spacing w:val="-2"/>
          <w:sz w:val="20"/>
          <w:szCs w:val="20"/>
        </w:rPr>
        <w:t xml:space="preserve"> </w:t>
      </w:r>
      <w:r w:rsidRPr="230E2696">
        <w:rPr>
          <w:rFonts w:ascii="Century Gothic" w:hAnsi="Century Gothic"/>
          <w:b/>
          <w:bCs/>
          <w:sz w:val="20"/>
          <w:szCs w:val="20"/>
        </w:rPr>
        <w:t>2020</w:t>
      </w:r>
    </w:p>
    <w:p w14:paraId="5B3BA2EF" w14:textId="1F03CCA5" w:rsidR="00CC5AB1" w:rsidRPr="005472C9" w:rsidRDefault="005472C9" w:rsidP="230E2696">
      <w:pPr>
        <w:spacing w:line="240" w:lineRule="auto"/>
        <w:jc w:val="both"/>
        <w:rPr>
          <w:rFonts w:ascii="Century Gothic" w:hAnsi="Century Gothic"/>
          <w:sz w:val="20"/>
          <w:szCs w:val="20"/>
        </w:rPr>
      </w:pPr>
      <w:r w:rsidRPr="230E2696">
        <w:rPr>
          <w:rFonts w:ascii="Century Gothic" w:hAnsi="Century Gothic"/>
          <w:sz w:val="20"/>
          <w:szCs w:val="20"/>
        </w:rPr>
        <w:t>Sistema que permite identificar el estado de ejecución o terminación de las obras financiadas total o parcialmente con recursos públicos, para concretar su estimación definitiva. Según el inciso primero del literal a) del artículo 2 de esta ley, se entiende por obra civil inconclusa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w:t>
      </w:r>
    </w:p>
    <w:p w14:paraId="0559F76B" w14:textId="5244382A" w:rsidR="00BC29D2" w:rsidRDefault="00523836" w:rsidP="230E2696">
      <w:pPr>
        <w:spacing w:line="240" w:lineRule="auto"/>
        <w:jc w:val="both"/>
        <w:rPr>
          <w:rFonts w:ascii="Century Gothic" w:hAnsi="Century Gothic"/>
          <w:b/>
          <w:bCs/>
          <w:sz w:val="20"/>
          <w:szCs w:val="20"/>
        </w:rPr>
      </w:pPr>
      <w:r w:rsidRPr="230E2696">
        <w:rPr>
          <w:rFonts w:ascii="Century Gothic" w:hAnsi="Century Gothic"/>
          <w:b/>
          <w:bCs/>
          <w:sz w:val="20"/>
          <w:szCs w:val="20"/>
        </w:rPr>
        <w:t>OBRA</w:t>
      </w:r>
      <w:r w:rsidRPr="230E2696">
        <w:rPr>
          <w:rFonts w:ascii="Century Gothic" w:hAnsi="Century Gothic"/>
          <w:b/>
          <w:bCs/>
          <w:spacing w:val="-2"/>
          <w:sz w:val="20"/>
          <w:szCs w:val="20"/>
        </w:rPr>
        <w:t xml:space="preserve"> </w:t>
      </w:r>
      <w:r w:rsidRPr="230E2696">
        <w:rPr>
          <w:rFonts w:ascii="Century Gothic" w:hAnsi="Century Gothic"/>
          <w:b/>
          <w:bCs/>
          <w:sz w:val="20"/>
          <w:szCs w:val="20"/>
        </w:rPr>
        <w:t>CIVIL</w:t>
      </w:r>
      <w:r w:rsidRPr="230E2696">
        <w:rPr>
          <w:rFonts w:ascii="Century Gothic" w:hAnsi="Century Gothic"/>
          <w:b/>
          <w:bCs/>
          <w:spacing w:val="-2"/>
          <w:sz w:val="20"/>
          <w:szCs w:val="20"/>
        </w:rPr>
        <w:t xml:space="preserve"> </w:t>
      </w:r>
      <w:r w:rsidRPr="230E2696">
        <w:rPr>
          <w:rFonts w:ascii="Century Gothic" w:hAnsi="Century Gothic"/>
          <w:b/>
          <w:bCs/>
          <w:sz w:val="20"/>
          <w:szCs w:val="20"/>
        </w:rPr>
        <w:t>INCONCLUSA</w:t>
      </w:r>
      <w:r w:rsidRPr="230E2696">
        <w:rPr>
          <w:rFonts w:ascii="Century Gothic" w:hAnsi="Century Gothic"/>
          <w:b/>
          <w:bCs/>
          <w:spacing w:val="-1"/>
          <w:sz w:val="20"/>
          <w:szCs w:val="20"/>
        </w:rPr>
        <w:t xml:space="preserve"> </w:t>
      </w:r>
      <w:r w:rsidRPr="230E2696">
        <w:rPr>
          <w:rFonts w:ascii="Century Gothic" w:hAnsi="Century Gothic"/>
          <w:b/>
          <w:bCs/>
          <w:sz w:val="20"/>
          <w:szCs w:val="20"/>
        </w:rPr>
        <w:t>–</w:t>
      </w:r>
      <w:r w:rsidRPr="230E2696">
        <w:rPr>
          <w:rFonts w:ascii="Century Gothic" w:hAnsi="Century Gothic"/>
          <w:b/>
          <w:bCs/>
          <w:spacing w:val="-2"/>
          <w:sz w:val="20"/>
          <w:szCs w:val="20"/>
        </w:rPr>
        <w:t xml:space="preserve"> </w:t>
      </w:r>
      <w:r w:rsidR="00BC29D2" w:rsidRPr="230E2696">
        <w:rPr>
          <w:rFonts w:ascii="Century Gothic" w:hAnsi="Century Gothic"/>
          <w:b/>
          <w:bCs/>
          <w:sz w:val="20"/>
          <w:szCs w:val="20"/>
        </w:rPr>
        <w:t>Definición</w:t>
      </w:r>
      <w:r w:rsidR="00BC29D2" w:rsidRPr="230E2696">
        <w:rPr>
          <w:rFonts w:ascii="Century Gothic" w:hAnsi="Century Gothic"/>
          <w:b/>
          <w:bCs/>
          <w:spacing w:val="-2"/>
          <w:sz w:val="20"/>
          <w:szCs w:val="20"/>
        </w:rPr>
        <w:t xml:space="preserve"> –</w:t>
      </w:r>
      <w:r w:rsidRPr="230E2696">
        <w:rPr>
          <w:rFonts w:ascii="Century Gothic" w:hAnsi="Century Gothic"/>
          <w:b/>
          <w:bCs/>
          <w:sz w:val="20"/>
          <w:szCs w:val="20"/>
        </w:rPr>
        <w:t xml:space="preserve"> Alcance</w:t>
      </w:r>
    </w:p>
    <w:p w14:paraId="1FFFDEA5" w14:textId="265F9511" w:rsidR="00A5375D" w:rsidRPr="00A5375D" w:rsidRDefault="00A5375D" w:rsidP="230E2696">
      <w:pPr>
        <w:spacing w:line="240" w:lineRule="auto"/>
        <w:jc w:val="both"/>
        <w:rPr>
          <w:rFonts w:ascii="Century Gothic" w:hAnsi="Century Gothic"/>
          <w:sz w:val="20"/>
          <w:szCs w:val="20"/>
        </w:rPr>
      </w:pPr>
      <w:r w:rsidRPr="230E2696">
        <w:rPr>
          <w:rFonts w:ascii="Century Gothic" w:hAnsi="Century Gothic"/>
          <w:sz w:val="20"/>
          <w:szCs w:val="20"/>
        </w:rPr>
        <w:t>De la definición del artículo 2 de la Ley 2020 de 2020 se resalta lo siguiente. Por un lado, cuando la obra civil cumpla con los elementos establecidos en el inciso primero literal a) del artículo 2, deberá catalogarse como obra civil inconclusa. Es decir, si el trabajo material sobre el bien inmueble no ha concluido de manera satisfactoria o no está prestando el servicio para el que se contrató y ha transcurrido un año o más desde que se venció el término de liquidación contractual, se considera obra civil inconclusa. Por otra parte, cuando la obra civil cumple los presupuestos anteriores, pero no concluyó por causas no imputables al contratista, la entidad contratante será la encargada de determinar si la misma se define como obra civil inconclusa, previa valoración de un comité técnico designado por el representante legal de la entidad contratante.</w:t>
      </w:r>
    </w:p>
    <w:p w14:paraId="044E6690" w14:textId="343CB738" w:rsidR="00BC29D2" w:rsidRDefault="00BC29D2" w:rsidP="230E2696">
      <w:pPr>
        <w:spacing w:line="240" w:lineRule="auto"/>
        <w:jc w:val="both"/>
        <w:rPr>
          <w:rFonts w:ascii="Century Gothic" w:hAnsi="Century Gothic"/>
          <w:b/>
          <w:bCs/>
          <w:sz w:val="20"/>
          <w:szCs w:val="20"/>
        </w:rPr>
      </w:pPr>
      <w:r w:rsidRPr="230E2696">
        <w:rPr>
          <w:rFonts w:ascii="Century Gothic" w:hAnsi="Century Gothic"/>
          <w:b/>
          <w:bCs/>
          <w:sz w:val="20"/>
          <w:szCs w:val="20"/>
        </w:rPr>
        <w:t>OBRA</w:t>
      </w:r>
      <w:r w:rsidRPr="230E2696">
        <w:rPr>
          <w:rFonts w:ascii="Century Gothic" w:hAnsi="Century Gothic"/>
          <w:b/>
          <w:bCs/>
          <w:spacing w:val="-2"/>
          <w:sz w:val="20"/>
          <w:szCs w:val="20"/>
        </w:rPr>
        <w:t xml:space="preserve"> </w:t>
      </w:r>
      <w:r w:rsidRPr="230E2696">
        <w:rPr>
          <w:rFonts w:ascii="Century Gothic" w:hAnsi="Century Gothic"/>
          <w:b/>
          <w:bCs/>
          <w:sz w:val="20"/>
          <w:szCs w:val="20"/>
        </w:rPr>
        <w:t>CIVIL</w:t>
      </w:r>
      <w:r w:rsidRPr="230E2696">
        <w:rPr>
          <w:rFonts w:ascii="Century Gothic" w:hAnsi="Century Gothic"/>
          <w:b/>
          <w:bCs/>
          <w:spacing w:val="-2"/>
          <w:sz w:val="20"/>
          <w:szCs w:val="20"/>
        </w:rPr>
        <w:t xml:space="preserve"> </w:t>
      </w:r>
      <w:r w:rsidRPr="230E2696">
        <w:rPr>
          <w:rFonts w:ascii="Century Gothic" w:hAnsi="Century Gothic"/>
          <w:b/>
          <w:bCs/>
          <w:sz w:val="20"/>
          <w:szCs w:val="20"/>
        </w:rPr>
        <w:t>INCONCLUSA - C</w:t>
      </w:r>
      <w:r w:rsidR="00523836" w:rsidRPr="230E2696">
        <w:rPr>
          <w:rFonts w:ascii="Century Gothic" w:hAnsi="Century Gothic"/>
          <w:b/>
          <w:bCs/>
          <w:sz w:val="20"/>
          <w:szCs w:val="20"/>
        </w:rPr>
        <w:t xml:space="preserve">onsulta y análisis de anotaciones al momento de evaluar factores de ponderación </w:t>
      </w:r>
    </w:p>
    <w:p w14:paraId="57367818" w14:textId="50543051" w:rsidR="007717F3" w:rsidRPr="00431718" w:rsidRDefault="00ED00EC" w:rsidP="230E2696">
      <w:pPr>
        <w:spacing w:line="240" w:lineRule="auto"/>
        <w:jc w:val="both"/>
        <w:rPr>
          <w:rFonts w:ascii="Century Gothic" w:hAnsi="Century Gothic"/>
          <w:sz w:val="20"/>
          <w:szCs w:val="20"/>
        </w:rPr>
      </w:pPr>
      <w:r w:rsidRPr="230E2696">
        <w:rPr>
          <w:rFonts w:ascii="Century Gothic" w:hAnsi="Century Gothic"/>
          <w:sz w:val="20"/>
          <w:szCs w:val="20"/>
        </w:rPr>
        <w:t>E</w:t>
      </w:r>
      <w:r w:rsidR="007717F3" w:rsidRPr="230E2696">
        <w:rPr>
          <w:rFonts w:ascii="Century Gothic" w:hAnsi="Century Gothic"/>
          <w:sz w:val="20"/>
          <w:szCs w:val="20"/>
        </w:rPr>
        <w:t>l artículo 6 de la Ley 2020 de 2020 establece que</w:t>
      </w:r>
      <w:r w:rsidRPr="230E2696">
        <w:rPr>
          <w:rFonts w:ascii="Century Gothic" w:hAnsi="Century Gothic"/>
          <w:sz w:val="20"/>
          <w:szCs w:val="20"/>
        </w:rPr>
        <w:t xml:space="preserve"> </w:t>
      </w:r>
      <w:r w:rsidR="007717F3" w:rsidRPr="230E2696">
        <w:rPr>
          <w:rFonts w:ascii="Century Gothic" w:hAnsi="Century Gothic"/>
          <w:sz w:val="20"/>
          <w:szCs w:val="20"/>
        </w:rPr>
        <w:t>“Durante los procesos de selección objetiva para contratistas de obra o interventores, se</w:t>
      </w:r>
      <w:r w:rsidRPr="230E2696">
        <w:rPr>
          <w:rFonts w:ascii="Century Gothic" w:hAnsi="Century Gothic"/>
          <w:sz w:val="20"/>
          <w:szCs w:val="20"/>
        </w:rPr>
        <w:t xml:space="preserve"> </w:t>
      </w:r>
      <w:r w:rsidR="007717F3" w:rsidRPr="230E2696">
        <w:rPr>
          <w:rFonts w:ascii="Century Gothic" w:hAnsi="Century Gothic"/>
          <w:sz w:val="20"/>
          <w:szCs w:val="20"/>
        </w:rPr>
        <w:t>tendrán en cuenta las anotaciones vigentes en el Registro Nacional de Obras Civiles</w:t>
      </w:r>
      <w:r w:rsidRPr="230E2696">
        <w:rPr>
          <w:rFonts w:ascii="Century Gothic" w:hAnsi="Century Gothic"/>
          <w:sz w:val="20"/>
          <w:szCs w:val="20"/>
        </w:rPr>
        <w:t xml:space="preserve"> </w:t>
      </w:r>
      <w:r w:rsidR="007717F3" w:rsidRPr="230E2696">
        <w:rPr>
          <w:rFonts w:ascii="Century Gothic" w:hAnsi="Century Gothic"/>
          <w:sz w:val="20"/>
          <w:szCs w:val="20"/>
        </w:rPr>
        <w:t>Inconclusas al momento de evaluar los factores de ponderación de calidad, establecidos en</w:t>
      </w:r>
      <w:r w:rsidRPr="230E2696">
        <w:rPr>
          <w:rFonts w:ascii="Century Gothic" w:hAnsi="Century Gothic"/>
          <w:sz w:val="20"/>
          <w:szCs w:val="20"/>
        </w:rPr>
        <w:t xml:space="preserve"> </w:t>
      </w:r>
      <w:r w:rsidR="007717F3" w:rsidRPr="230E2696">
        <w:rPr>
          <w:rFonts w:ascii="Century Gothic" w:hAnsi="Century Gothic"/>
          <w:sz w:val="20"/>
          <w:szCs w:val="20"/>
        </w:rPr>
        <w:t>el literal a) del artículo 5o de la Ley 1150 de 2007 o la norma que la modifique”. De lo</w:t>
      </w:r>
      <w:r w:rsidRPr="230E2696">
        <w:rPr>
          <w:rFonts w:ascii="Century Gothic" w:hAnsi="Century Gothic"/>
          <w:sz w:val="20"/>
          <w:szCs w:val="20"/>
        </w:rPr>
        <w:t xml:space="preserve"> </w:t>
      </w:r>
      <w:r w:rsidR="007717F3" w:rsidRPr="230E2696">
        <w:rPr>
          <w:rFonts w:ascii="Century Gothic" w:hAnsi="Century Gothic"/>
          <w:sz w:val="20"/>
          <w:szCs w:val="20"/>
        </w:rPr>
        <w:t>prescrito en la disposición precitada, se deriva que el deber de consultar y analizar</w:t>
      </w:r>
      <w:r w:rsidR="000615E8" w:rsidRPr="230E2696">
        <w:rPr>
          <w:rFonts w:ascii="Century Gothic" w:hAnsi="Century Gothic"/>
          <w:sz w:val="20"/>
          <w:szCs w:val="20"/>
        </w:rPr>
        <w:t xml:space="preserve"> </w:t>
      </w:r>
      <w:r w:rsidR="007717F3" w:rsidRPr="230E2696">
        <w:rPr>
          <w:rFonts w:ascii="Century Gothic" w:hAnsi="Century Gothic"/>
          <w:sz w:val="20"/>
          <w:szCs w:val="20"/>
        </w:rPr>
        <w:t>solamente aplica a las tipologías contractuales de obra pública y de interventoría, y no a los</w:t>
      </w:r>
      <w:r w:rsidR="000615E8" w:rsidRPr="230E2696">
        <w:rPr>
          <w:rFonts w:ascii="Century Gothic" w:hAnsi="Century Gothic"/>
          <w:sz w:val="20"/>
          <w:szCs w:val="20"/>
        </w:rPr>
        <w:t xml:space="preserve"> </w:t>
      </w:r>
      <w:r w:rsidR="007717F3" w:rsidRPr="230E2696">
        <w:rPr>
          <w:rFonts w:ascii="Century Gothic" w:hAnsi="Century Gothic"/>
          <w:sz w:val="20"/>
          <w:szCs w:val="20"/>
        </w:rPr>
        <w:t>demás contratos de consultoría. Esto por cuanto, si bien el contrato de interventoría es de</w:t>
      </w:r>
      <w:r w:rsidR="000615E8" w:rsidRPr="230E2696">
        <w:rPr>
          <w:rFonts w:ascii="Century Gothic" w:hAnsi="Century Gothic"/>
          <w:sz w:val="20"/>
          <w:szCs w:val="20"/>
        </w:rPr>
        <w:t xml:space="preserve"> </w:t>
      </w:r>
      <w:r w:rsidR="007717F3" w:rsidRPr="230E2696">
        <w:rPr>
          <w:rFonts w:ascii="Century Gothic" w:hAnsi="Century Gothic"/>
          <w:sz w:val="20"/>
          <w:szCs w:val="20"/>
        </w:rPr>
        <w:t>consultoría, no todo contrato de consultoría tiene por objeto una interventoría. Así se</w:t>
      </w:r>
      <w:r w:rsidR="000615E8" w:rsidRPr="230E2696">
        <w:rPr>
          <w:rFonts w:ascii="Century Gothic" w:hAnsi="Century Gothic"/>
          <w:sz w:val="20"/>
          <w:szCs w:val="20"/>
        </w:rPr>
        <w:t xml:space="preserve"> </w:t>
      </w:r>
      <w:r w:rsidR="007717F3" w:rsidRPr="230E2696">
        <w:rPr>
          <w:rFonts w:ascii="Century Gothic" w:hAnsi="Century Gothic"/>
          <w:sz w:val="20"/>
          <w:szCs w:val="20"/>
        </w:rPr>
        <w:t>desprende del artículo 32, numeral 2, de la Ley 80 de 1993.</w:t>
      </w:r>
    </w:p>
    <w:p w14:paraId="3F26CC70" w14:textId="6AD801B8" w:rsidR="005032DA" w:rsidRPr="00431718" w:rsidRDefault="007717F3" w:rsidP="230E2696">
      <w:pPr>
        <w:spacing w:line="240" w:lineRule="auto"/>
        <w:jc w:val="both"/>
        <w:rPr>
          <w:rFonts w:ascii="Century Gothic" w:hAnsi="Century Gothic"/>
          <w:sz w:val="20"/>
          <w:szCs w:val="20"/>
        </w:rPr>
      </w:pPr>
      <w:r w:rsidRPr="230E2696">
        <w:rPr>
          <w:rFonts w:ascii="Century Gothic" w:hAnsi="Century Gothic"/>
          <w:sz w:val="20"/>
          <w:szCs w:val="20"/>
        </w:rPr>
        <w:t>Para los contratos de obra pública y de interventoría, lo anterior significa que, al</w:t>
      </w:r>
      <w:r w:rsidR="000615E8" w:rsidRPr="230E2696">
        <w:rPr>
          <w:rFonts w:ascii="Century Gothic" w:hAnsi="Century Gothic"/>
          <w:sz w:val="20"/>
          <w:szCs w:val="20"/>
        </w:rPr>
        <w:t xml:space="preserve"> </w:t>
      </w:r>
      <w:r w:rsidRPr="230E2696">
        <w:rPr>
          <w:rFonts w:ascii="Century Gothic" w:hAnsi="Century Gothic"/>
          <w:sz w:val="20"/>
          <w:szCs w:val="20"/>
        </w:rPr>
        <w:t>aplicar dichos criterios de calificación con puntos dentro del procedimiento contractual, las</w:t>
      </w:r>
      <w:r w:rsidR="009B0837" w:rsidRPr="230E2696">
        <w:rPr>
          <w:rFonts w:ascii="Century Gothic" w:hAnsi="Century Gothic"/>
          <w:sz w:val="20"/>
          <w:szCs w:val="20"/>
        </w:rPr>
        <w:t xml:space="preserve"> </w:t>
      </w:r>
      <w:r w:rsidRPr="230E2696">
        <w:rPr>
          <w:rFonts w:ascii="Century Gothic" w:hAnsi="Century Gothic"/>
          <w:sz w:val="20"/>
          <w:szCs w:val="20"/>
        </w:rPr>
        <w:t>entidades estatales deben servirse de la información contenida en el Registro Nacional de</w:t>
      </w:r>
      <w:r w:rsidR="009B0837" w:rsidRPr="230E2696">
        <w:rPr>
          <w:rFonts w:ascii="Century Gothic" w:hAnsi="Century Gothic"/>
          <w:sz w:val="20"/>
          <w:szCs w:val="20"/>
        </w:rPr>
        <w:t xml:space="preserve"> </w:t>
      </w:r>
      <w:r w:rsidRPr="230E2696">
        <w:rPr>
          <w:rFonts w:ascii="Century Gothic" w:hAnsi="Century Gothic"/>
          <w:sz w:val="20"/>
          <w:szCs w:val="20"/>
        </w:rPr>
        <w:t>Obras Civiles Inconclusas y de las actualizaciones de dicha información que se reporten</w:t>
      </w:r>
      <w:r w:rsidR="009B0837" w:rsidRPr="230E2696">
        <w:rPr>
          <w:rFonts w:ascii="Century Gothic" w:hAnsi="Century Gothic"/>
          <w:sz w:val="20"/>
          <w:szCs w:val="20"/>
        </w:rPr>
        <w:t xml:space="preserve"> </w:t>
      </w:r>
      <w:r w:rsidRPr="230E2696">
        <w:rPr>
          <w:rFonts w:ascii="Century Gothic" w:hAnsi="Century Gothic"/>
          <w:sz w:val="20"/>
          <w:szCs w:val="20"/>
        </w:rPr>
        <w:t>por parte de la Contraloría General de la República y de las entidades estatales, conforme</w:t>
      </w:r>
      <w:r w:rsidR="009B0837" w:rsidRPr="230E2696">
        <w:rPr>
          <w:rFonts w:ascii="Century Gothic" w:hAnsi="Century Gothic"/>
          <w:sz w:val="20"/>
          <w:szCs w:val="20"/>
        </w:rPr>
        <w:t xml:space="preserve"> </w:t>
      </w:r>
      <w:r w:rsidRPr="230E2696">
        <w:rPr>
          <w:rFonts w:ascii="Century Gothic" w:hAnsi="Century Gothic"/>
          <w:sz w:val="20"/>
          <w:szCs w:val="20"/>
        </w:rPr>
        <w:t>lo establece el artículo 3 de la Ley 2020 de 2020. En este contexto, las entidades deberán</w:t>
      </w:r>
      <w:r w:rsidR="009B0837" w:rsidRPr="230E2696">
        <w:rPr>
          <w:rFonts w:ascii="Century Gothic" w:hAnsi="Century Gothic"/>
          <w:sz w:val="20"/>
          <w:szCs w:val="20"/>
        </w:rPr>
        <w:t xml:space="preserve"> </w:t>
      </w:r>
      <w:r w:rsidR="005032DA" w:rsidRPr="230E2696">
        <w:rPr>
          <w:rFonts w:ascii="Century Gothic" w:hAnsi="Century Gothic"/>
          <w:sz w:val="20"/>
          <w:szCs w:val="20"/>
        </w:rPr>
        <w:t>examinar la particularidad de la anotación y determinar si esta afectará la ponderación al</w:t>
      </w:r>
      <w:r w:rsidR="009B0837" w:rsidRPr="230E2696">
        <w:rPr>
          <w:rFonts w:ascii="Century Gothic" w:hAnsi="Century Gothic"/>
          <w:sz w:val="20"/>
          <w:szCs w:val="20"/>
        </w:rPr>
        <w:t xml:space="preserve"> </w:t>
      </w:r>
      <w:r w:rsidR="005032DA" w:rsidRPr="230E2696">
        <w:rPr>
          <w:rFonts w:ascii="Century Gothic" w:hAnsi="Century Gothic"/>
          <w:sz w:val="20"/>
          <w:szCs w:val="20"/>
        </w:rPr>
        <w:t>momento de realizar la respectiva evaluación.</w:t>
      </w:r>
    </w:p>
    <w:p w14:paraId="34EFA85A" w14:textId="329516D2" w:rsidR="005032DA" w:rsidRPr="00431718" w:rsidRDefault="005032DA" w:rsidP="230E2696">
      <w:pPr>
        <w:spacing w:line="240" w:lineRule="auto"/>
        <w:jc w:val="both"/>
        <w:rPr>
          <w:rFonts w:ascii="Century Gothic" w:hAnsi="Century Gothic"/>
          <w:sz w:val="20"/>
          <w:szCs w:val="20"/>
        </w:rPr>
      </w:pPr>
      <w:r w:rsidRPr="230E2696">
        <w:rPr>
          <w:rFonts w:ascii="Century Gothic" w:hAnsi="Century Gothic"/>
          <w:sz w:val="20"/>
          <w:szCs w:val="20"/>
        </w:rPr>
        <w:t>De esta manera, como las entidades estatales cuentan con discrecionalidad para</w:t>
      </w:r>
      <w:r w:rsidR="00B5721A" w:rsidRPr="230E2696">
        <w:rPr>
          <w:rFonts w:ascii="Century Gothic" w:hAnsi="Century Gothic"/>
          <w:sz w:val="20"/>
          <w:szCs w:val="20"/>
        </w:rPr>
        <w:t xml:space="preserve"> </w:t>
      </w:r>
      <w:r w:rsidRPr="230E2696">
        <w:rPr>
          <w:rFonts w:ascii="Century Gothic" w:hAnsi="Century Gothic"/>
          <w:sz w:val="20"/>
          <w:szCs w:val="20"/>
        </w:rPr>
        <w:t>determinar los criterios de calificación, corresponde a estas definir, en los pliegos de</w:t>
      </w:r>
      <w:r w:rsidR="00B5721A" w:rsidRPr="230E2696">
        <w:rPr>
          <w:rFonts w:ascii="Century Gothic" w:hAnsi="Century Gothic"/>
          <w:sz w:val="20"/>
          <w:szCs w:val="20"/>
        </w:rPr>
        <w:t xml:space="preserve"> </w:t>
      </w:r>
      <w:r w:rsidRPr="230E2696">
        <w:rPr>
          <w:rFonts w:ascii="Century Gothic" w:hAnsi="Century Gothic"/>
          <w:sz w:val="20"/>
          <w:szCs w:val="20"/>
        </w:rPr>
        <w:lastRenderedPageBreak/>
        <w:t>condiciones, los factores de asignación de puntaje y la forma en que se realizará la</w:t>
      </w:r>
      <w:r w:rsidR="00B5721A" w:rsidRPr="230E2696">
        <w:rPr>
          <w:rFonts w:ascii="Century Gothic" w:hAnsi="Century Gothic"/>
          <w:sz w:val="20"/>
          <w:szCs w:val="20"/>
        </w:rPr>
        <w:t xml:space="preserve"> </w:t>
      </w:r>
      <w:r w:rsidRPr="230E2696">
        <w:rPr>
          <w:rFonts w:ascii="Century Gothic" w:hAnsi="Century Gothic"/>
          <w:sz w:val="20"/>
          <w:szCs w:val="20"/>
        </w:rPr>
        <w:t>valoración de las anotaciones vigentes en el Registro Nacional de Obras Civiles Inconclusas</w:t>
      </w:r>
      <w:r w:rsidR="00B5721A" w:rsidRPr="230E2696">
        <w:rPr>
          <w:rFonts w:ascii="Century Gothic" w:hAnsi="Century Gothic"/>
          <w:sz w:val="20"/>
          <w:szCs w:val="20"/>
        </w:rPr>
        <w:t xml:space="preserve"> </w:t>
      </w:r>
      <w:r w:rsidRPr="230E2696">
        <w:rPr>
          <w:rFonts w:ascii="Century Gothic" w:hAnsi="Century Gothic"/>
          <w:sz w:val="20"/>
          <w:szCs w:val="20"/>
        </w:rPr>
        <w:t>al momento de evaluar las ofertas, conforme a los parámetros del artículo 6 de la Ley 2020</w:t>
      </w:r>
      <w:r w:rsidR="00B5721A" w:rsidRPr="230E2696">
        <w:rPr>
          <w:rFonts w:ascii="Century Gothic" w:hAnsi="Century Gothic"/>
          <w:sz w:val="20"/>
          <w:szCs w:val="20"/>
        </w:rPr>
        <w:t xml:space="preserve"> </w:t>
      </w:r>
      <w:r w:rsidRPr="230E2696">
        <w:rPr>
          <w:rFonts w:ascii="Century Gothic" w:hAnsi="Century Gothic"/>
          <w:sz w:val="20"/>
          <w:szCs w:val="20"/>
        </w:rPr>
        <w:t>de 2020. Lo anterior, teniendo en cuenta que la norma no restringió a una metodología</w:t>
      </w:r>
      <w:r w:rsidR="00B5721A" w:rsidRPr="230E2696">
        <w:rPr>
          <w:rFonts w:ascii="Century Gothic" w:hAnsi="Century Gothic"/>
          <w:sz w:val="20"/>
          <w:szCs w:val="20"/>
        </w:rPr>
        <w:t xml:space="preserve"> </w:t>
      </w:r>
      <w:r w:rsidRPr="230E2696">
        <w:rPr>
          <w:rFonts w:ascii="Century Gothic" w:hAnsi="Century Gothic"/>
          <w:sz w:val="20"/>
          <w:szCs w:val="20"/>
        </w:rPr>
        <w:t>específica el análisis y la valoración de estas anotaciones.</w:t>
      </w:r>
      <w:r w:rsidR="00B5721A" w:rsidRPr="230E2696">
        <w:rPr>
          <w:rFonts w:ascii="Century Gothic" w:hAnsi="Century Gothic"/>
          <w:sz w:val="20"/>
          <w:szCs w:val="20"/>
        </w:rPr>
        <w:t xml:space="preserve"> </w:t>
      </w:r>
      <w:r w:rsidRPr="230E2696">
        <w:rPr>
          <w:rFonts w:ascii="Century Gothic" w:hAnsi="Century Gothic"/>
          <w:sz w:val="20"/>
          <w:szCs w:val="20"/>
        </w:rPr>
        <w:t>Sin embargo, debe precisarse que la sola inclusión en el Registro Nacional de Obras</w:t>
      </w:r>
      <w:r w:rsidR="00B5721A" w:rsidRPr="230E2696">
        <w:rPr>
          <w:rFonts w:ascii="Century Gothic" w:hAnsi="Century Gothic"/>
          <w:sz w:val="20"/>
          <w:szCs w:val="20"/>
        </w:rPr>
        <w:t xml:space="preserve"> </w:t>
      </w:r>
      <w:r w:rsidRPr="230E2696">
        <w:rPr>
          <w:rFonts w:ascii="Century Gothic" w:hAnsi="Century Gothic"/>
          <w:sz w:val="20"/>
          <w:szCs w:val="20"/>
        </w:rPr>
        <w:t>Civiles Inconclusas no puede entenderse como suficiente para afectar la ponderación del</w:t>
      </w:r>
      <w:r w:rsidR="00B5721A" w:rsidRPr="230E2696">
        <w:rPr>
          <w:rFonts w:ascii="Century Gothic" w:hAnsi="Century Gothic"/>
          <w:sz w:val="20"/>
          <w:szCs w:val="20"/>
        </w:rPr>
        <w:t xml:space="preserve"> </w:t>
      </w:r>
      <w:r w:rsidRPr="230E2696">
        <w:rPr>
          <w:rFonts w:ascii="Century Gothic" w:hAnsi="Century Gothic"/>
          <w:sz w:val="20"/>
          <w:szCs w:val="20"/>
        </w:rPr>
        <w:t>factor de calidad del proponente, puesto que la norma establece el deber de la entidad de</w:t>
      </w:r>
      <w:r w:rsidR="00B5721A" w:rsidRPr="230E2696">
        <w:rPr>
          <w:rFonts w:ascii="Century Gothic" w:hAnsi="Century Gothic"/>
          <w:sz w:val="20"/>
          <w:szCs w:val="20"/>
        </w:rPr>
        <w:t xml:space="preserve"> </w:t>
      </w:r>
      <w:r w:rsidRPr="230E2696">
        <w:rPr>
          <w:rFonts w:ascii="Century Gothic" w:hAnsi="Century Gothic"/>
          <w:sz w:val="20"/>
          <w:szCs w:val="20"/>
        </w:rPr>
        <w:t>realizar la consulta y el análisis de la anotación</w:t>
      </w:r>
    </w:p>
    <w:p w14:paraId="21742ED2" w14:textId="523F0DFA" w:rsidR="00BC29D2" w:rsidRDefault="00BC29D2" w:rsidP="230E2696">
      <w:pPr>
        <w:spacing w:line="240" w:lineRule="auto"/>
        <w:jc w:val="both"/>
        <w:rPr>
          <w:rFonts w:ascii="Century Gothic" w:hAnsi="Century Gothic"/>
          <w:b/>
          <w:bCs/>
          <w:sz w:val="20"/>
          <w:szCs w:val="20"/>
        </w:rPr>
      </w:pPr>
      <w:r w:rsidRPr="230E2696">
        <w:rPr>
          <w:rFonts w:ascii="Century Gothic" w:hAnsi="Century Gothic"/>
          <w:b/>
          <w:bCs/>
          <w:sz w:val="20"/>
          <w:szCs w:val="20"/>
        </w:rPr>
        <w:t>OBRA</w:t>
      </w:r>
      <w:r w:rsidRPr="230E2696">
        <w:rPr>
          <w:rFonts w:ascii="Century Gothic" w:hAnsi="Century Gothic"/>
          <w:b/>
          <w:bCs/>
          <w:spacing w:val="-2"/>
          <w:sz w:val="20"/>
          <w:szCs w:val="20"/>
        </w:rPr>
        <w:t xml:space="preserve"> </w:t>
      </w:r>
      <w:r w:rsidRPr="230E2696">
        <w:rPr>
          <w:rFonts w:ascii="Century Gothic" w:hAnsi="Century Gothic"/>
          <w:b/>
          <w:bCs/>
          <w:sz w:val="20"/>
          <w:szCs w:val="20"/>
        </w:rPr>
        <w:t>CIVIL</w:t>
      </w:r>
      <w:r w:rsidRPr="230E2696">
        <w:rPr>
          <w:rFonts w:ascii="Century Gothic" w:hAnsi="Century Gothic"/>
          <w:b/>
          <w:bCs/>
          <w:spacing w:val="-2"/>
          <w:sz w:val="20"/>
          <w:szCs w:val="20"/>
        </w:rPr>
        <w:t xml:space="preserve"> </w:t>
      </w:r>
      <w:r w:rsidRPr="230E2696">
        <w:rPr>
          <w:rFonts w:ascii="Century Gothic" w:hAnsi="Century Gothic"/>
          <w:b/>
          <w:bCs/>
          <w:sz w:val="20"/>
          <w:szCs w:val="20"/>
        </w:rPr>
        <w:t>INCONCLUSA - Proponentes</w:t>
      </w:r>
      <w:r w:rsidR="00523836" w:rsidRPr="230E2696">
        <w:rPr>
          <w:rFonts w:ascii="Century Gothic" w:hAnsi="Century Gothic"/>
          <w:b/>
          <w:bCs/>
          <w:sz w:val="20"/>
          <w:szCs w:val="20"/>
        </w:rPr>
        <w:t xml:space="preserve"> plurales</w:t>
      </w:r>
    </w:p>
    <w:p w14:paraId="455F9796" w14:textId="7B6D4A8D" w:rsidR="005A5D39" w:rsidRPr="00431718" w:rsidRDefault="00431718" w:rsidP="230E2696">
      <w:pPr>
        <w:spacing w:line="240" w:lineRule="auto"/>
        <w:jc w:val="both"/>
        <w:rPr>
          <w:rFonts w:ascii="Century Gothic" w:hAnsi="Century Gothic"/>
          <w:sz w:val="20"/>
          <w:szCs w:val="20"/>
        </w:rPr>
      </w:pPr>
      <w:r w:rsidRPr="230E2696">
        <w:rPr>
          <w:rFonts w:ascii="Century Gothic" w:hAnsi="Century Gothic"/>
          <w:sz w:val="20"/>
          <w:szCs w:val="20"/>
        </w:rPr>
        <w:t>E</w:t>
      </w:r>
      <w:r w:rsidR="005A5D39" w:rsidRPr="230E2696">
        <w:rPr>
          <w:rFonts w:ascii="Century Gothic" w:hAnsi="Century Gothic"/>
          <w:sz w:val="20"/>
          <w:szCs w:val="20"/>
        </w:rPr>
        <w:t>s importante indicar que en los documentos pliego tipo se dispone que</w:t>
      </w:r>
      <w:r w:rsidRPr="230E2696">
        <w:rPr>
          <w:rFonts w:ascii="Century Gothic" w:hAnsi="Century Gothic"/>
          <w:sz w:val="20"/>
          <w:szCs w:val="20"/>
        </w:rPr>
        <w:t xml:space="preserve"> </w:t>
      </w:r>
      <w:r w:rsidR="005A5D39" w:rsidRPr="230E2696">
        <w:rPr>
          <w:rFonts w:ascii="Century Gothic" w:hAnsi="Century Gothic"/>
          <w:sz w:val="20"/>
          <w:szCs w:val="20"/>
        </w:rPr>
        <w:t>el anterior descuento se predicará de aquellos proponentes “personas naturales o jurídicas,</w:t>
      </w:r>
      <w:r w:rsidRPr="230E2696">
        <w:rPr>
          <w:rFonts w:ascii="Century Gothic" w:hAnsi="Century Gothic"/>
          <w:sz w:val="20"/>
          <w:szCs w:val="20"/>
        </w:rPr>
        <w:t xml:space="preserve"> </w:t>
      </w:r>
      <w:r w:rsidR="005A5D39" w:rsidRPr="230E2696">
        <w:rPr>
          <w:rFonts w:ascii="Century Gothic" w:hAnsi="Century Gothic"/>
          <w:sz w:val="20"/>
          <w:szCs w:val="20"/>
        </w:rPr>
        <w:t>nacionales o extranjeras domiciliadas o con sucursal en Colombia, o integrantes de</w:t>
      </w:r>
      <w:r w:rsidRPr="230E2696">
        <w:rPr>
          <w:rFonts w:ascii="Century Gothic" w:hAnsi="Century Gothic"/>
          <w:sz w:val="20"/>
          <w:szCs w:val="20"/>
        </w:rPr>
        <w:t xml:space="preserve"> </w:t>
      </w:r>
      <w:r w:rsidR="005A5D39" w:rsidRPr="230E2696">
        <w:rPr>
          <w:rFonts w:ascii="Century Gothic" w:hAnsi="Century Gothic"/>
          <w:sz w:val="20"/>
          <w:szCs w:val="20"/>
        </w:rPr>
        <w:t>proponentes plurales”. Por lo tanto, las entidades estatales al momento de evaluar las</w:t>
      </w:r>
      <w:r w:rsidRPr="230E2696">
        <w:rPr>
          <w:rFonts w:ascii="Century Gothic" w:hAnsi="Century Gothic"/>
          <w:sz w:val="20"/>
          <w:szCs w:val="20"/>
        </w:rPr>
        <w:t xml:space="preserve"> </w:t>
      </w:r>
      <w:r w:rsidR="005A5D39" w:rsidRPr="230E2696">
        <w:rPr>
          <w:rFonts w:ascii="Century Gothic" w:hAnsi="Century Gothic"/>
          <w:sz w:val="20"/>
          <w:szCs w:val="20"/>
        </w:rPr>
        <w:t>propuestas presentadas por los proponentes plurales deberán consultar dicha anotación</w:t>
      </w:r>
      <w:r w:rsidRPr="230E2696">
        <w:rPr>
          <w:rFonts w:ascii="Century Gothic" w:hAnsi="Century Gothic"/>
          <w:sz w:val="20"/>
          <w:szCs w:val="20"/>
        </w:rPr>
        <w:t xml:space="preserve"> </w:t>
      </w:r>
      <w:r w:rsidR="005A5D39" w:rsidRPr="230E2696">
        <w:rPr>
          <w:rFonts w:ascii="Century Gothic" w:hAnsi="Century Gothic"/>
          <w:sz w:val="20"/>
          <w:szCs w:val="20"/>
        </w:rPr>
        <w:t>únicamente de sus integrantes, esto es, personas naturales o jurídicas, y en caso tal de</w:t>
      </w:r>
      <w:r w:rsidRPr="230E2696">
        <w:rPr>
          <w:rFonts w:ascii="Century Gothic" w:hAnsi="Century Gothic"/>
          <w:sz w:val="20"/>
          <w:szCs w:val="20"/>
        </w:rPr>
        <w:t xml:space="preserve"> </w:t>
      </w:r>
      <w:r w:rsidR="005A5D39" w:rsidRPr="230E2696">
        <w:rPr>
          <w:rFonts w:ascii="Century Gothic" w:hAnsi="Century Gothic"/>
          <w:sz w:val="20"/>
          <w:szCs w:val="20"/>
        </w:rPr>
        <w:t>que se encuentren incluidos en el Registro Nacional de Obras Civiles Inconclusas, deberán</w:t>
      </w:r>
      <w:r w:rsidRPr="230E2696">
        <w:rPr>
          <w:rFonts w:ascii="Century Gothic" w:hAnsi="Century Gothic"/>
          <w:sz w:val="20"/>
          <w:szCs w:val="20"/>
        </w:rPr>
        <w:t xml:space="preserve"> </w:t>
      </w:r>
      <w:r w:rsidR="005A5D39" w:rsidRPr="230E2696">
        <w:rPr>
          <w:rFonts w:ascii="Century Gothic" w:hAnsi="Century Gothic"/>
          <w:sz w:val="20"/>
          <w:szCs w:val="20"/>
        </w:rPr>
        <w:t>verificar si aquella corresponde a una anotación por incumplimiento, en el caso de que así</w:t>
      </w:r>
      <w:r w:rsidRPr="230E2696">
        <w:rPr>
          <w:rFonts w:ascii="Century Gothic" w:hAnsi="Century Gothic"/>
          <w:sz w:val="20"/>
          <w:szCs w:val="20"/>
        </w:rPr>
        <w:t xml:space="preserve"> </w:t>
      </w:r>
      <w:r w:rsidR="005A5D39" w:rsidRPr="230E2696">
        <w:rPr>
          <w:rFonts w:ascii="Century Gothic" w:hAnsi="Century Gothic"/>
          <w:sz w:val="20"/>
          <w:szCs w:val="20"/>
        </w:rPr>
        <w:t>sea, se aplicará el descuento contemplado</w:t>
      </w:r>
    </w:p>
    <w:p w14:paraId="1908467D" w14:textId="696B21BA" w:rsidR="005A5D39" w:rsidRPr="00431718" w:rsidRDefault="005A5D39" w:rsidP="230E2696">
      <w:pPr>
        <w:spacing w:line="240" w:lineRule="auto"/>
        <w:jc w:val="both"/>
        <w:rPr>
          <w:rFonts w:ascii="Century Gothic" w:hAnsi="Century Gothic"/>
          <w:sz w:val="20"/>
          <w:szCs w:val="20"/>
        </w:rPr>
      </w:pPr>
      <w:r w:rsidRPr="230E2696">
        <w:rPr>
          <w:rFonts w:ascii="Century Gothic" w:hAnsi="Century Gothic"/>
          <w:sz w:val="20"/>
          <w:szCs w:val="20"/>
        </w:rPr>
        <w:t>En todo caso, si se presenta alguna discrepancia en relación con la información</w:t>
      </w:r>
      <w:r w:rsidR="00431718" w:rsidRPr="230E2696">
        <w:rPr>
          <w:rFonts w:ascii="Century Gothic" w:hAnsi="Century Gothic"/>
          <w:sz w:val="20"/>
          <w:szCs w:val="20"/>
        </w:rPr>
        <w:t xml:space="preserve"> </w:t>
      </w:r>
      <w:r w:rsidRPr="230E2696">
        <w:rPr>
          <w:rFonts w:ascii="Century Gothic" w:hAnsi="Century Gothic"/>
          <w:sz w:val="20"/>
          <w:szCs w:val="20"/>
        </w:rPr>
        <w:t>reportada en el Registro por la entidad contratante, el artículo 6 dispuso que tal controversia</w:t>
      </w:r>
      <w:r w:rsidR="00431718" w:rsidRPr="230E2696">
        <w:rPr>
          <w:rFonts w:ascii="Century Gothic" w:hAnsi="Century Gothic"/>
          <w:sz w:val="20"/>
          <w:szCs w:val="20"/>
        </w:rPr>
        <w:t xml:space="preserve"> </w:t>
      </w:r>
      <w:r w:rsidRPr="230E2696">
        <w:rPr>
          <w:rFonts w:ascii="Century Gothic" w:hAnsi="Century Gothic"/>
          <w:sz w:val="20"/>
          <w:szCs w:val="20"/>
        </w:rPr>
        <w:t>o solicitud será resuelta por la entidad contratante que suministró dicha información. En</w:t>
      </w:r>
      <w:r w:rsidR="00431718" w:rsidRPr="230E2696">
        <w:rPr>
          <w:rFonts w:ascii="Century Gothic" w:hAnsi="Century Gothic"/>
          <w:sz w:val="20"/>
          <w:szCs w:val="20"/>
        </w:rPr>
        <w:t xml:space="preserve"> </w:t>
      </w:r>
      <w:r w:rsidRPr="230E2696">
        <w:rPr>
          <w:rFonts w:ascii="Century Gothic" w:hAnsi="Century Gothic"/>
          <w:sz w:val="20"/>
          <w:szCs w:val="20"/>
        </w:rPr>
        <w:t>consecuencia, el contratista deberá manifestar su inconformidad directamente ante la</w:t>
      </w:r>
      <w:r w:rsidR="00431718" w:rsidRPr="230E2696">
        <w:rPr>
          <w:rFonts w:ascii="Century Gothic" w:hAnsi="Century Gothic"/>
          <w:sz w:val="20"/>
          <w:szCs w:val="20"/>
        </w:rPr>
        <w:t xml:space="preserve"> </w:t>
      </w:r>
      <w:r w:rsidRPr="230E2696">
        <w:rPr>
          <w:rFonts w:ascii="Century Gothic" w:hAnsi="Century Gothic"/>
          <w:sz w:val="20"/>
          <w:szCs w:val="20"/>
        </w:rPr>
        <w:t>entidad contratante que realizó la anotación, la cual deberá atenderla teniendo en cuenta</w:t>
      </w:r>
      <w:r w:rsidR="00431718" w:rsidRPr="230E2696">
        <w:rPr>
          <w:rFonts w:ascii="Century Gothic" w:hAnsi="Century Gothic"/>
          <w:sz w:val="20"/>
          <w:szCs w:val="20"/>
        </w:rPr>
        <w:t xml:space="preserve"> </w:t>
      </w:r>
      <w:r w:rsidRPr="230E2696">
        <w:rPr>
          <w:rFonts w:ascii="Century Gothic" w:hAnsi="Century Gothic"/>
          <w:sz w:val="20"/>
          <w:szCs w:val="20"/>
        </w:rPr>
        <w:t>los principios y disposiciones establecidas en la normatividad vigente.</w:t>
      </w:r>
    </w:p>
    <w:p w14:paraId="07F4E992" w14:textId="1535B4D0" w:rsidR="00BC29D2" w:rsidRDefault="00D670A2" w:rsidP="230E2696">
      <w:pPr>
        <w:spacing w:line="240" w:lineRule="auto"/>
        <w:jc w:val="both"/>
        <w:rPr>
          <w:rFonts w:ascii="Century Gothic" w:hAnsi="Century Gothic"/>
          <w:b/>
          <w:bCs/>
          <w:sz w:val="20"/>
          <w:szCs w:val="20"/>
        </w:rPr>
      </w:pPr>
      <w:r w:rsidRPr="230E2696">
        <w:rPr>
          <w:rFonts w:ascii="Century Gothic" w:hAnsi="Century Gothic"/>
          <w:b/>
          <w:bCs/>
          <w:sz w:val="20"/>
          <w:szCs w:val="20"/>
        </w:rPr>
        <w:t>REGISTRO NACIONAL</w:t>
      </w:r>
      <w:r w:rsidRPr="230E2696">
        <w:rPr>
          <w:rFonts w:ascii="Century Gothic" w:hAnsi="Century Gothic"/>
          <w:b/>
          <w:bCs/>
          <w:spacing w:val="-5"/>
          <w:sz w:val="20"/>
          <w:szCs w:val="20"/>
        </w:rPr>
        <w:t xml:space="preserve"> </w:t>
      </w:r>
      <w:r w:rsidRPr="230E2696">
        <w:rPr>
          <w:rFonts w:ascii="Century Gothic" w:hAnsi="Century Gothic"/>
          <w:b/>
          <w:bCs/>
          <w:sz w:val="20"/>
          <w:szCs w:val="20"/>
        </w:rPr>
        <w:t>DE</w:t>
      </w:r>
      <w:r w:rsidRPr="230E2696">
        <w:rPr>
          <w:rFonts w:ascii="Century Gothic" w:hAnsi="Century Gothic"/>
          <w:b/>
          <w:bCs/>
          <w:spacing w:val="-5"/>
          <w:sz w:val="20"/>
          <w:szCs w:val="20"/>
        </w:rPr>
        <w:t xml:space="preserve"> </w:t>
      </w:r>
      <w:r w:rsidRPr="230E2696">
        <w:rPr>
          <w:rFonts w:ascii="Century Gothic" w:hAnsi="Century Gothic"/>
          <w:b/>
          <w:bCs/>
          <w:sz w:val="20"/>
          <w:szCs w:val="20"/>
        </w:rPr>
        <w:t>OBRAS</w:t>
      </w:r>
      <w:r w:rsidRPr="230E2696">
        <w:rPr>
          <w:rFonts w:ascii="Century Gothic" w:hAnsi="Century Gothic"/>
          <w:b/>
          <w:bCs/>
          <w:spacing w:val="-5"/>
          <w:sz w:val="20"/>
          <w:szCs w:val="20"/>
        </w:rPr>
        <w:t xml:space="preserve"> </w:t>
      </w:r>
      <w:r w:rsidRPr="230E2696">
        <w:rPr>
          <w:rFonts w:ascii="Century Gothic" w:hAnsi="Century Gothic"/>
          <w:b/>
          <w:bCs/>
          <w:sz w:val="20"/>
          <w:szCs w:val="20"/>
        </w:rPr>
        <w:t>CIVILES</w:t>
      </w:r>
      <w:r w:rsidRPr="230E2696">
        <w:rPr>
          <w:rFonts w:ascii="Century Gothic" w:hAnsi="Century Gothic"/>
          <w:b/>
          <w:bCs/>
          <w:spacing w:val="-5"/>
          <w:sz w:val="20"/>
          <w:szCs w:val="20"/>
        </w:rPr>
        <w:t xml:space="preserve"> </w:t>
      </w:r>
      <w:r w:rsidRPr="230E2696">
        <w:rPr>
          <w:rFonts w:ascii="Century Gothic" w:hAnsi="Century Gothic"/>
          <w:b/>
          <w:bCs/>
          <w:sz w:val="20"/>
          <w:szCs w:val="20"/>
        </w:rPr>
        <w:t>INCONCLUSAS</w:t>
      </w:r>
      <w:r w:rsidRPr="230E2696">
        <w:rPr>
          <w:rFonts w:ascii="Century Gothic" w:hAnsi="Century Gothic"/>
          <w:b/>
          <w:bCs/>
          <w:spacing w:val="-5"/>
          <w:sz w:val="20"/>
          <w:szCs w:val="20"/>
        </w:rPr>
        <w:t xml:space="preserve"> </w:t>
      </w:r>
      <w:r w:rsidR="00BC29D2" w:rsidRPr="230E2696">
        <w:rPr>
          <w:rFonts w:ascii="Century Gothic" w:hAnsi="Century Gothic"/>
          <w:b/>
          <w:bCs/>
          <w:sz w:val="20"/>
          <w:szCs w:val="20"/>
        </w:rPr>
        <w:t>- C</w:t>
      </w:r>
      <w:r w:rsidR="00523836" w:rsidRPr="230E2696">
        <w:rPr>
          <w:rFonts w:ascii="Century Gothic" w:hAnsi="Century Gothic"/>
          <w:b/>
          <w:bCs/>
          <w:sz w:val="20"/>
          <w:szCs w:val="20"/>
        </w:rPr>
        <w:t>ancelación del registro</w:t>
      </w:r>
    </w:p>
    <w:p w14:paraId="06BC61CC" w14:textId="66F904C8" w:rsidR="004D789D" w:rsidRPr="00C905A9" w:rsidRDefault="00B02EE7" w:rsidP="230E2696">
      <w:pPr>
        <w:spacing w:line="240" w:lineRule="auto"/>
        <w:jc w:val="both"/>
        <w:rPr>
          <w:rFonts w:ascii="Century Gothic" w:hAnsi="Century Gothic"/>
          <w:sz w:val="20"/>
          <w:szCs w:val="20"/>
        </w:rPr>
      </w:pPr>
      <w:r w:rsidRPr="230E2696">
        <w:rPr>
          <w:rFonts w:ascii="Century Gothic" w:hAnsi="Century Gothic"/>
          <w:sz w:val="20"/>
          <w:szCs w:val="20"/>
        </w:rPr>
        <w:t>A</w:t>
      </w:r>
      <w:r w:rsidR="004D789D" w:rsidRPr="230E2696">
        <w:rPr>
          <w:rFonts w:ascii="Century Gothic" w:hAnsi="Century Gothic"/>
          <w:sz w:val="20"/>
          <w:szCs w:val="20"/>
        </w:rPr>
        <w:t xml:space="preserve"> criterio interpretativo de esta Agencia, la vigencia de la</w:t>
      </w:r>
      <w:r w:rsidRPr="230E2696">
        <w:rPr>
          <w:rFonts w:ascii="Century Gothic" w:hAnsi="Century Gothic"/>
          <w:sz w:val="20"/>
          <w:szCs w:val="20"/>
        </w:rPr>
        <w:t xml:space="preserve"> </w:t>
      </w:r>
      <w:r w:rsidR="004D789D" w:rsidRPr="230E2696">
        <w:rPr>
          <w:rFonts w:ascii="Century Gothic" w:hAnsi="Century Gothic"/>
          <w:sz w:val="20"/>
          <w:szCs w:val="20"/>
        </w:rPr>
        <w:t>anotación en el Registro Nacional de Obras Civiles Inconclusas corresponderá hasta su</w:t>
      </w:r>
      <w:r w:rsidRPr="230E2696">
        <w:rPr>
          <w:rFonts w:ascii="Century Gothic" w:hAnsi="Century Gothic"/>
          <w:sz w:val="20"/>
          <w:szCs w:val="20"/>
        </w:rPr>
        <w:t xml:space="preserve"> </w:t>
      </w:r>
      <w:r w:rsidR="004D789D" w:rsidRPr="230E2696">
        <w:rPr>
          <w:rFonts w:ascii="Century Gothic" w:hAnsi="Century Gothic"/>
          <w:sz w:val="20"/>
          <w:szCs w:val="20"/>
        </w:rPr>
        <w:t>cancelación en el mencionado registro, la cual sólo se dará una vez se constate por la</w:t>
      </w:r>
      <w:r w:rsidRPr="230E2696">
        <w:rPr>
          <w:rFonts w:ascii="Century Gothic" w:hAnsi="Century Gothic"/>
          <w:sz w:val="20"/>
          <w:szCs w:val="20"/>
        </w:rPr>
        <w:t xml:space="preserve"> </w:t>
      </w:r>
      <w:r w:rsidR="004D789D" w:rsidRPr="230E2696">
        <w:rPr>
          <w:rFonts w:ascii="Century Gothic" w:hAnsi="Century Gothic"/>
          <w:sz w:val="20"/>
          <w:szCs w:val="20"/>
        </w:rPr>
        <w:t>Contraloría General de la República, que la obra ha sido demolida o finalizada</w:t>
      </w:r>
      <w:r w:rsidRPr="230E2696">
        <w:rPr>
          <w:rFonts w:ascii="Century Gothic" w:hAnsi="Century Gothic"/>
          <w:sz w:val="20"/>
          <w:szCs w:val="20"/>
        </w:rPr>
        <w:t xml:space="preserve"> </w:t>
      </w:r>
      <w:r w:rsidR="004D789D" w:rsidRPr="230E2696">
        <w:rPr>
          <w:rFonts w:ascii="Century Gothic" w:hAnsi="Century Gothic"/>
          <w:sz w:val="20"/>
          <w:szCs w:val="20"/>
        </w:rPr>
        <w:t>exitosamente.</w:t>
      </w:r>
    </w:p>
    <w:p w14:paraId="29477683" w14:textId="6697DB8C" w:rsidR="004D789D" w:rsidRPr="00C905A9" w:rsidRDefault="004D789D" w:rsidP="230E2696">
      <w:pPr>
        <w:spacing w:line="240" w:lineRule="auto"/>
        <w:jc w:val="both"/>
        <w:rPr>
          <w:rFonts w:ascii="Century Gothic" w:hAnsi="Century Gothic"/>
          <w:sz w:val="20"/>
          <w:szCs w:val="20"/>
        </w:rPr>
      </w:pPr>
      <w:r w:rsidRPr="230E2696">
        <w:rPr>
          <w:rFonts w:ascii="Century Gothic" w:hAnsi="Century Gothic"/>
          <w:sz w:val="20"/>
          <w:szCs w:val="20"/>
        </w:rPr>
        <w:t>Asimismo, es importante reiterar que la obra reportada como Inconclusa es</w:t>
      </w:r>
      <w:r w:rsidR="00C905A9" w:rsidRPr="230E2696">
        <w:rPr>
          <w:rFonts w:ascii="Century Gothic" w:hAnsi="Century Gothic"/>
          <w:sz w:val="20"/>
          <w:szCs w:val="20"/>
        </w:rPr>
        <w:t xml:space="preserve"> </w:t>
      </w:r>
      <w:r w:rsidRPr="230E2696">
        <w:rPr>
          <w:rFonts w:ascii="Century Gothic" w:hAnsi="Century Gothic"/>
          <w:sz w:val="20"/>
          <w:szCs w:val="20"/>
        </w:rPr>
        <w:t>responsabilidad de la Entidad Estatal, por ello en caso de que sea necesario presentar la</w:t>
      </w:r>
      <w:r w:rsidR="00C905A9" w:rsidRPr="230E2696">
        <w:rPr>
          <w:rFonts w:ascii="Century Gothic" w:hAnsi="Century Gothic"/>
          <w:sz w:val="20"/>
          <w:szCs w:val="20"/>
        </w:rPr>
        <w:t xml:space="preserve"> </w:t>
      </w:r>
      <w:r w:rsidRPr="230E2696">
        <w:rPr>
          <w:rFonts w:ascii="Century Gothic" w:hAnsi="Century Gothic"/>
          <w:sz w:val="20"/>
          <w:szCs w:val="20"/>
        </w:rPr>
        <w:t>cancelación de dicho reporte, será aquella quien debe adelantar los trámites</w:t>
      </w:r>
      <w:r w:rsidR="00C905A9" w:rsidRPr="230E2696">
        <w:rPr>
          <w:rFonts w:ascii="Century Gothic" w:hAnsi="Century Gothic"/>
          <w:sz w:val="20"/>
          <w:szCs w:val="20"/>
        </w:rPr>
        <w:t xml:space="preserve"> </w:t>
      </w:r>
      <w:r w:rsidRPr="230E2696">
        <w:rPr>
          <w:rFonts w:ascii="Century Gothic" w:hAnsi="Century Gothic"/>
          <w:sz w:val="20"/>
          <w:szCs w:val="20"/>
        </w:rPr>
        <w:t>correspondientes, ante la Contraloría General de la República, y aportar los documentos</w:t>
      </w:r>
      <w:r w:rsidR="00C905A9" w:rsidRPr="230E2696">
        <w:rPr>
          <w:rFonts w:ascii="Century Gothic" w:hAnsi="Century Gothic"/>
          <w:sz w:val="20"/>
          <w:szCs w:val="20"/>
        </w:rPr>
        <w:t xml:space="preserve"> </w:t>
      </w:r>
      <w:r w:rsidRPr="230E2696">
        <w:rPr>
          <w:rFonts w:ascii="Century Gothic" w:hAnsi="Century Gothic"/>
          <w:sz w:val="20"/>
          <w:szCs w:val="20"/>
        </w:rPr>
        <w:t>necesarios para la exclusión de dicho Registro.</w:t>
      </w:r>
    </w:p>
    <w:p w14:paraId="14803711" w14:textId="7ED67866" w:rsidR="004D789D" w:rsidRPr="00C905A9" w:rsidRDefault="004D789D" w:rsidP="230E2696">
      <w:pPr>
        <w:spacing w:line="240" w:lineRule="auto"/>
        <w:jc w:val="both"/>
        <w:rPr>
          <w:rFonts w:ascii="Century Gothic" w:hAnsi="Century Gothic"/>
          <w:sz w:val="20"/>
          <w:szCs w:val="20"/>
        </w:rPr>
      </w:pPr>
      <w:r w:rsidRPr="230E2696">
        <w:rPr>
          <w:rFonts w:ascii="Century Gothic" w:hAnsi="Century Gothic"/>
          <w:sz w:val="20"/>
          <w:szCs w:val="20"/>
        </w:rPr>
        <w:t>Ahora bien, los contratistas de obra o interventores que se encuentran con</w:t>
      </w:r>
      <w:r w:rsidR="00C905A9" w:rsidRPr="230E2696">
        <w:rPr>
          <w:rFonts w:ascii="Century Gothic" w:hAnsi="Century Gothic"/>
          <w:sz w:val="20"/>
          <w:szCs w:val="20"/>
        </w:rPr>
        <w:t xml:space="preserve"> </w:t>
      </w:r>
      <w:r w:rsidRPr="230E2696">
        <w:rPr>
          <w:rFonts w:ascii="Century Gothic" w:hAnsi="Century Gothic"/>
          <w:sz w:val="20"/>
          <w:szCs w:val="20"/>
        </w:rPr>
        <w:t>anotaciones en el Registro Nacional de Obras Civiles Inconclusas deberán, conforme lo</w:t>
      </w:r>
      <w:r w:rsidR="00C905A9" w:rsidRPr="230E2696">
        <w:rPr>
          <w:rFonts w:ascii="Century Gothic" w:hAnsi="Century Gothic"/>
          <w:sz w:val="20"/>
          <w:szCs w:val="20"/>
        </w:rPr>
        <w:t xml:space="preserve"> </w:t>
      </w:r>
      <w:r w:rsidRPr="230E2696">
        <w:rPr>
          <w:rFonts w:ascii="Century Gothic" w:hAnsi="Century Gothic"/>
          <w:sz w:val="20"/>
          <w:szCs w:val="20"/>
        </w:rPr>
        <w:t>expuesto en el artículo 6 de la Ley 2020 de 2020, en caso de que la obra ha sido demolida</w:t>
      </w:r>
      <w:r w:rsidR="00C905A9" w:rsidRPr="230E2696">
        <w:rPr>
          <w:rFonts w:ascii="Century Gothic" w:hAnsi="Century Gothic"/>
          <w:sz w:val="20"/>
          <w:szCs w:val="20"/>
        </w:rPr>
        <w:t xml:space="preserve"> </w:t>
      </w:r>
      <w:r w:rsidRPr="230E2696">
        <w:rPr>
          <w:rFonts w:ascii="Century Gothic" w:hAnsi="Century Gothic"/>
          <w:sz w:val="20"/>
          <w:szCs w:val="20"/>
        </w:rPr>
        <w:t>o finalizada exitosamente, o que de dicha anotación sea necesaria su cancelación, deberá</w:t>
      </w:r>
      <w:r w:rsidR="00C905A9" w:rsidRPr="230E2696">
        <w:rPr>
          <w:rFonts w:ascii="Century Gothic" w:hAnsi="Century Gothic"/>
          <w:sz w:val="20"/>
          <w:szCs w:val="20"/>
        </w:rPr>
        <w:t xml:space="preserve"> </w:t>
      </w:r>
      <w:r w:rsidRPr="230E2696">
        <w:rPr>
          <w:rFonts w:ascii="Century Gothic" w:hAnsi="Century Gothic"/>
          <w:sz w:val="20"/>
          <w:szCs w:val="20"/>
        </w:rPr>
        <w:t>presentar dicha solicitud ante la entidad contratante, y esta a su vez, deberá resolver dichas</w:t>
      </w:r>
      <w:r w:rsidR="00C905A9" w:rsidRPr="230E2696">
        <w:rPr>
          <w:rFonts w:ascii="Century Gothic" w:hAnsi="Century Gothic"/>
          <w:sz w:val="20"/>
          <w:szCs w:val="20"/>
        </w:rPr>
        <w:t xml:space="preserve"> </w:t>
      </w:r>
      <w:r w:rsidRPr="230E2696">
        <w:rPr>
          <w:rFonts w:ascii="Century Gothic" w:hAnsi="Century Gothic"/>
          <w:sz w:val="20"/>
          <w:szCs w:val="20"/>
        </w:rPr>
        <w:t>solicitudes, atendiendo principios y disposiciones establecidos en la normatividad vigente.</w:t>
      </w:r>
    </w:p>
    <w:p w14:paraId="43657A0B" w14:textId="7919C720" w:rsidR="004D789D" w:rsidRPr="00C905A9" w:rsidRDefault="004D789D" w:rsidP="230E2696">
      <w:pPr>
        <w:spacing w:line="240" w:lineRule="auto"/>
        <w:jc w:val="both"/>
        <w:rPr>
          <w:rFonts w:ascii="Century Gothic" w:hAnsi="Century Gothic"/>
          <w:sz w:val="20"/>
          <w:szCs w:val="20"/>
        </w:rPr>
      </w:pPr>
      <w:r w:rsidRPr="230E2696">
        <w:rPr>
          <w:rFonts w:ascii="Century Gothic" w:hAnsi="Century Gothic"/>
          <w:sz w:val="20"/>
          <w:szCs w:val="20"/>
        </w:rPr>
        <w:t>Dicha interpretación es compartida por la Contraloría General de la República, quien</w:t>
      </w:r>
      <w:r w:rsidR="00C905A9" w:rsidRPr="230E2696">
        <w:rPr>
          <w:rFonts w:ascii="Century Gothic" w:hAnsi="Century Gothic"/>
          <w:sz w:val="20"/>
          <w:szCs w:val="20"/>
        </w:rPr>
        <w:t xml:space="preserve"> </w:t>
      </w:r>
      <w:r w:rsidRPr="230E2696">
        <w:rPr>
          <w:rFonts w:ascii="Century Gothic" w:hAnsi="Century Gothic"/>
          <w:sz w:val="20"/>
          <w:szCs w:val="20"/>
        </w:rPr>
        <w:t>en concepto 175 de 202214, indicó que “El término de la anotación en el Registro Nacional</w:t>
      </w:r>
      <w:r w:rsidR="00C905A9" w:rsidRPr="230E2696">
        <w:rPr>
          <w:rFonts w:ascii="Century Gothic" w:hAnsi="Century Gothic"/>
          <w:sz w:val="20"/>
          <w:szCs w:val="20"/>
        </w:rPr>
        <w:t xml:space="preserve"> </w:t>
      </w:r>
      <w:r w:rsidRPr="230E2696">
        <w:rPr>
          <w:rFonts w:ascii="Century Gothic" w:hAnsi="Century Gothic"/>
          <w:sz w:val="20"/>
          <w:szCs w:val="20"/>
        </w:rPr>
        <w:t>de Obras Civiles Inconclusas, depende de la entidad estatal que lo reporta, pues</w:t>
      </w:r>
      <w:r w:rsidR="00C905A9" w:rsidRPr="230E2696">
        <w:rPr>
          <w:rFonts w:ascii="Century Gothic" w:hAnsi="Century Gothic"/>
          <w:sz w:val="20"/>
          <w:szCs w:val="20"/>
        </w:rPr>
        <w:t xml:space="preserve"> </w:t>
      </w:r>
      <w:r w:rsidRPr="230E2696">
        <w:rPr>
          <w:rFonts w:ascii="Century Gothic" w:hAnsi="Century Gothic"/>
          <w:sz w:val="20"/>
          <w:szCs w:val="20"/>
        </w:rPr>
        <w:t>corresponde a esta adelantar las actuaciones tendientes a realizar el retiro del mencionado</w:t>
      </w:r>
    </w:p>
    <w:p w14:paraId="2017C3EC" w14:textId="2C7D22DD" w:rsidR="00523836" w:rsidRDefault="00523836" w:rsidP="230E2696">
      <w:pPr>
        <w:spacing w:line="240" w:lineRule="auto"/>
        <w:jc w:val="both"/>
        <w:rPr>
          <w:rFonts w:ascii="Century Gothic" w:hAnsi="Century Gothic"/>
          <w:b/>
          <w:bCs/>
          <w:sz w:val="20"/>
          <w:szCs w:val="20"/>
        </w:rPr>
      </w:pPr>
      <w:r w:rsidRPr="230E2696">
        <w:rPr>
          <w:rFonts w:ascii="Century Gothic" w:hAnsi="Century Gothic"/>
          <w:b/>
          <w:bCs/>
          <w:sz w:val="20"/>
          <w:szCs w:val="20"/>
        </w:rPr>
        <w:t xml:space="preserve">OBSERVACIONES - </w:t>
      </w:r>
      <w:r w:rsidR="00C905A9" w:rsidRPr="230E2696">
        <w:rPr>
          <w:rFonts w:ascii="Century Gothic" w:hAnsi="Century Gothic"/>
          <w:b/>
          <w:bCs/>
          <w:sz w:val="20"/>
          <w:szCs w:val="20"/>
        </w:rPr>
        <w:t>E</w:t>
      </w:r>
      <w:r w:rsidRPr="230E2696">
        <w:rPr>
          <w:rFonts w:ascii="Century Gothic" w:hAnsi="Century Gothic"/>
          <w:b/>
          <w:bCs/>
          <w:sz w:val="20"/>
          <w:szCs w:val="20"/>
        </w:rPr>
        <w:t>xtemporáneas.</w:t>
      </w:r>
    </w:p>
    <w:p w14:paraId="016AD30D" w14:textId="5B20B3B1" w:rsidR="00E25F20" w:rsidRPr="00C905A9" w:rsidRDefault="00E25F20" w:rsidP="230E2696">
      <w:pPr>
        <w:spacing w:line="240" w:lineRule="auto"/>
        <w:jc w:val="both"/>
        <w:rPr>
          <w:rFonts w:ascii="Century Gothic" w:hAnsi="Century Gothic"/>
          <w:sz w:val="20"/>
          <w:szCs w:val="20"/>
        </w:rPr>
      </w:pPr>
      <w:r w:rsidRPr="230E2696">
        <w:rPr>
          <w:rFonts w:ascii="Century Gothic" w:hAnsi="Century Gothic"/>
          <w:sz w:val="20"/>
          <w:szCs w:val="20"/>
        </w:rPr>
        <w:t>Conforme a lo expuesto, en virtud del principio de transparencia se garantiza la</w:t>
      </w:r>
      <w:r w:rsidR="00C905A9" w:rsidRPr="230E2696">
        <w:rPr>
          <w:rFonts w:ascii="Century Gothic" w:hAnsi="Century Gothic"/>
          <w:sz w:val="20"/>
          <w:szCs w:val="20"/>
        </w:rPr>
        <w:t xml:space="preserve"> </w:t>
      </w:r>
      <w:r w:rsidRPr="230E2696">
        <w:rPr>
          <w:rFonts w:ascii="Century Gothic" w:hAnsi="Century Gothic"/>
          <w:sz w:val="20"/>
          <w:szCs w:val="20"/>
        </w:rPr>
        <w:t>participación tanto de los interesados como de la ciudadanía en general, en las</w:t>
      </w:r>
      <w:r w:rsidR="00C905A9" w:rsidRPr="230E2696">
        <w:rPr>
          <w:rFonts w:ascii="Century Gothic" w:hAnsi="Century Gothic"/>
          <w:sz w:val="20"/>
          <w:szCs w:val="20"/>
        </w:rPr>
        <w:t xml:space="preserve"> </w:t>
      </w:r>
      <w:r w:rsidRPr="230E2696">
        <w:rPr>
          <w:rFonts w:ascii="Century Gothic" w:hAnsi="Century Gothic"/>
          <w:sz w:val="20"/>
          <w:szCs w:val="20"/>
        </w:rPr>
        <w:t>actuaciones contractuales adelantadas por las entidades estatales, participación que se</w:t>
      </w:r>
      <w:r w:rsidR="00C905A9" w:rsidRPr="230E2696">
        <w:rPr>
          <w:rFonts w:ascii="Century Gothic" w:hAnsi="Century Gothic"/>
          <w:sz w:val="20"/>
          <w:szCs w:val="20"/>
        </w:rPr>
        <w:t xml:space="preserve"> </w:t>
      </w:r>
      <w:r w:rsidRPr="230E2696">
        <w:rPr>
          <w:rFonts w:ascii="Century Gothic" w:hAnsi="Century Gothic"/>
          <w:sz w:val="20"/>
          <w:szCs w:val="20"/>
        </w:rPr>
        <w:t>materializa en la oportunidad que se concede a aquellos para presentar observaciones en</w:t>
      </w:r>
      <w:r w:rsidR="00C905A9" w:rsidRPr="230E2696">
        <w:rPr>
          <w:rFonts w:ascii="Century Gothic" w:hAnsi="Century Gothic"/>
          <w:sz w:val="20"/>
          <w:szCs w:val="20"/>
        </w:rPr>
        <w:t xml:space="preserve"> </w:t>
      </w:r>
      <w:r w:rsidRPr="230E2696">
        <w:rPr>
          <w:rFonts w:ascii="Century Gothic" w:hAnsi="Century Gothic"/>
          <w:sz w:val="20"/>
          <w:szCs w:val="20"/>
        </w:rPr>
        <w:t xml:space="preserve">las distintas etapas o fases del proceso que culmina con la celebración del contrato </w:t>
      </w:r>
      <w:r w:rsidR="00620994" w:rsidRPr="230E2696">
        <w:rPr>
          <w:rFonts w:ascii="Century Gothic" w:hAnsi="Century Gothic"/>
          <w:sz w:val="20"/>
          <w:szCs w:val="20"/>
        </w:rPr>
        <w:t>estatal.</w:t>
      </w:r>
    </w:p>
    <w:p w14:paraId="448716B1" w14:textId="47157151" w:rsidR="00620994" w:rsidRPr="00C905A9" w:rsidRDefault="00620994" w:rsidP="230E2696">
      <w:pPr>
        <w:spacing w:line="240" w:lineRule="auto"/>
        <w:jc w:val="both"/>
        <w:rPr>
          <w:rFonts w:ascii="Century Gothic" w:hAnsi="Century Gothic"/>
          <w:sz w:val="20"/>
          <w:szCs w:val="20"/>
        </w:rPr>
      </w:pPr>
      <w:r w:rsidRPr="230E2696">
        <w:rPr>
          <w:rFonts w:ascii="Century Gothic" w:hAnsi="Century Gothic"/>
          <w:sz w:val="20"/>
          <w:szCs w:val="20"/>
        </w:rPr>
        <w:t>(…)</w:t>
      </w:r>
    </w:p>
    <w:p w14:paraId="481E1977" w14:textId="3A3B7824" w:rsidR="006F6833" w:rsidRPr="00C905A9" w:rsidRDefault="003F56B8" w:rsidP="230E2696">
      <w:pPr>
        <w:spacing w:line="240" w:lineRule="auto"/>
        <w:jc w:val="both"/>
        <w:rPr>
          <w:rFonts w:ascii="Century Gothic" w:hAnsi="Century Gothic"/>
          <w:sz w:val="20"/>
          <w:szCs w:val="20"/>
        </w:rPr>
      </w:pPr>
      <w:r w:rsidRPr="230E2696">
        <w:rPr>
          <w:rFonts w:ascii="Century Gothic" w:hAnsi="Century Gothic"/>
          <w:sz w:val="20"/>
          <w:szCs w:val="20"/>
        </w:rPr>
        <w:t>En ese sentido, en relación con los términos o plazos con que cuentan las entidades</w:t>
      </w:r>
      <w:r w:rsidR="00C905A9" w:rsidRPr="230E2696">
        <w:rPr>
          <w:rFonts w:ascii="Century Gothic" w:hAnsi="Century Gothic"/>
          <w:sz w:val="20"/>
          <w:szCs w:val="20"/>
        </w:rPr>
        <w:t xml:space="preserve"> </w:t>
      </w:r>
      <w:r w:rsidRPr="230E2696">
        <w:rPr>
          <w:rFonts w:ascii="Century Gothic" w:hAnsi="Century Gothic"/>
          <w:sz w:val="20"/>
          <w:szCs w:val="20"/>
        </w:rPr>
        <w:t>estatales para responder las observaciones y/o solicitudes de aclaraciones presentadas en</w:t>
      </w:r>
      <w:r w:rsidR="00C905A9" w:rsidRPr="230E2696">
        <w:rPr>
          <w:rFonts w:ascii="Century Gothic" w:hAnsi="Century Gothic"/>
          <w:sz w:val="20"/>
          <w:szCs w:val="20"/>
        </w:rPr>
        <w:t xml:space="preserve"> </w:t>
      </w:r>
      <w:r w:rsidRPr="230E2696">
        <w:rPr>
          <w:rFonts w:ascii="Century Gothic" w:hAnsi="Century Gothic"/>
          <w:sz w:val="20"/>
          <w:szCs w:val="20"/>
        </w:rPr>
        <w:t>el proceso de contratación, se precisa que si bien el ordenamiento jurídico no contempló de</w:t>
      </w:r>
      <w:r w:rsidR="00C905A9" w:rsidRPr="230E2696">
        <w:rPr>
          <w:rFonts w:ascii="Century Gothic" w:hAnsi="Century Gothic"/>
          <w:sz w:val="20"/>
          <w:szCs w:val="20"/>
        </w:rPr>
        <w:t xml:space="preserve"> </w:t>
      </w:r>
      <w:r w:rsidRPr="230E2696">
        <w:rPr>
          <w:rFonts w:ascii="Century Gothic" w:hAnsi="Century Gothic"/>
          <w:sz w:val="20"/>
          <w:szCs w:val="20"/>
        </w:rPr>
        <w:t>manera expresa ese plazo, el mismo se encuentra establecido de forma tácita, en tanto que,</w:t>
      </w:r>
      <w:r w:rsidR="00C905A9" w:rsidRPr="230E2696">
        <w:rPr>
          <w:rFonts w:ascii="Century Gothic" w:hAnsi="Century Gothic"/>
          <w:sz w:val="20"/>
          <w:szCs w:val="20"/>
        </w:rPr>
        <w:t xml:space="preserve"> </w:t>
      </w:r>
      <w:r w:rsidRPr="230E2696">
        <w:rPr>
          <w:rFonts w:ascii="Century Gothic" w:hAnsi="Century Gothic"/>
          <w:sz w:val="20"/>
          <w:szCs w:val="20"/>
        </w:rPr>
        <w:t>no es posible avanzar en las fases o etapas del proceso de contratación, si la Entidad</w:t>
      </w:r>
      <w:r w:rsidR="00C905A9" w:rsidRPr="230E2696">
        <w:rPr>
          <w:rFonts w:ascii="Century Gothic" w:hAnsi="Century Gothic"/>
          <w:sz w:val="20"/>
          <w:szCs w:val="20"/>
        </w:rPr>
        <w:t xml:space="preserve"> </w:t>
      </w:r>
      <w:r w:rsidRPr="230E2696">
        <w:rPr>
          <w:rFonts w:ascii="Century Gothic" w:hAnsi="Century Gothic"/>
          <w:sz w:val="20"/>
          <w:szCs w:val="20"/>
        </w:rPr>
        <w:t>Estatal, previamente, no ha resuelto las observaciones presentadas y/o solicitudes de</w:t>
      </w:r>
      <w:r w:rsidR="00C905A9" w:rsidRPr="230E2696">
        <w:rPr>
          <w:rFonts w:ascii="Century Gothic" w:hAnsi="Century Gothic"/>
          <w:sz w:val="20"/>
          <w:szCs w:val="20"/>
        </w:rPr>
        <w:t xml:space="preserve"> </w:t>
      </w:r>
      <w:r w:rsidRPr="230E2696">
        <w:rPr>
          <w:rFonts w:ascii="Century Gothic" w:hAnsi="Century Gothic"/>
          <w:sz w:val="20"/>
          <w:szCs w:val="20"/>
        </w:rPr>
        <w:t>aclaraciones realizadas en cada etapa</w:t>
      </w:r>
      <w:r w:rsidR="00DB6D8D" w:rsidRPr="230E2696">
        <w:rPr>
          <w:rFonts w:ascii="Century Gothic" w:hAnsi="Century Gothic"/>
          <w:sz w:val="20"/>
          <w:szCs w:val="20"/>
        </w:rPr>
        <w:t xml:space="preserve"> (…).</w:t>
      </w:r>
    </w:p>
    <w:p w14:paraId="5787C629" w14:textId="3A9BF518" w:rsidR="00D8049C" w:rsidRPr="00C905A9" w:rsidRDefault="00D8049C" w:rsidP="230E2696">
      <w:pPr>
        <w:spacing w:line="240" w:lineRule="auto"/>
        <w:jc w:val="both"/>
        <w:rPr>
          <w:rFonts w:ascii="Century Gothic" w:hAnsi="Century Gothic"/>
          <w:sz w:val="20"/>
          <w:szCs w:val="20"/>
        </w:rPr>
      </w:pPr>
      <w:r w:rsidRPr="230E2696">
        <w:rPr>
          <w:rFonts w:ascii="Century Gothic" w:hAnsi="Century Gothic"/>
          <w:sz w:val="20"/>
          <w:szCs w:val="20"/>
        </w:rPr>
        <w:t>Cuando ocurre que los interesados en un proceso de contratación presenten</w:t>
      </w:r>
      <w:r w:rsidR="00C905A9" w:rsidRPr="230E2696">
        <w:rPr>
          <w:rFonts w:ascii="Century Gothic" w:hAnsi="Century Gothic"/>
          <w:sz w:val="20"/>
          <w:szCs w:val="20"/>
        </w:rPr>
        <w:t xml:space="preserve"> </w:t>
      </w:r>
      <w:r w:rsidRPr="230E2696">
        <w:rPr>
          <w:rFonts w:ascii="Century Gothic" w:hAnsi="Century Gothic"/>
          <w:sz w:val="20"/>
          <w:szCs w:val="20"/>
        </w:rPr>
        <w:t>observaciones y/o solicitudes al informe de evaluación de las ofertas, fuera de los plazos</w:t>
      </w:r>
      <w:r w:rsidR="00C905A9" w:rsidRPr="230E2696">
        <w:rPr>
          <w:rFonts w:ascii="Century Gothic" w:hAnsi="Century Gothic"/>
          <w:sz w:val="20"/>
          <w:szCs w:val="20"/>
        </w:rPr>
        <w:t xml:space="preserve"> </w:t>
      </w:r>
      <w:r w:rsidRPr="230E2696">
        <w:rPr>
          <w:rFonts w:ascii="Century Gothic" w:hAnsi="Century Gothic"/>
          <w:sz w:val="20"/>
          <w:szCs w:val="20"/>
        </w:rPr>
        <w:t>establecidos por el ordenamiento jurídico, se está en presencia de una observación es</w:t>
      </w:r>
      <w:r w:rsidR="00C905A9" w:rsidRPr="230E2696">
        <w:rPr>
          <w:rFonts w:ascii="Century Gothic" w:hAnsi="Century Gothic"/>
          <w:sz w:val="20"/>
          <w:szCs w:val="20"/>
        </w:rPr>
        <w:t xml:space="preserve"> </w:t>
      </w:r>
      <w:r w:rsidRPr="230E2696">
        <w:rPr>
          <w:rFonts w:ascii="Century Gothic" w:hAnsi="Century Gothic"/>
          <w:sz w:val="20"/>
          <w:szCs w:val="20"/>
        </w:rPr>
        <w:t>extemporánea, que a criterio de esta Agencia, se ha indicado, que si bien la Entidad Estatal</w:t>
      </w:r>
      <w:r w:rsidR="00C905A9" w:rsidRPr="230E2696">
        <w:rPr>
          <w:rFonts w:ascii="Century Gothic" w:hAnsi="Century Gothic"/>
          <w:sz w:val="20"/>
          <w:szCs w:val="20"/>
        </w:rPr>
        <w:t xml:space="preserve"> </w:t>
      </w:r>
      <w:r w:rsidRPr="230E2696">
        <w:rPr>
          <w:rFonts w:ascii="Century Gothic" w:hAnsi="Century Gothic"/>
          <w:sz w:val="20"/>
          <w:szCs w:val="20"/>
        </w:rPr>
        <w:t>que adelanta un proceso de contratación está en la obligación de responder las</w:t>
      </w:r>
      <w:r w:rsidR="00C905A9" w:rsidRPr="230E2696">
        <w:rPr>
          <w:rFonts w:ascii="Century Gothic" w:hAnsi="Century Gothic"/>
          <w:sz w:val="20"/>
          <w:szCs w:val="20"/>
        </w:rPr>
        <w:t xml:space="preserve"> </w:t>
      </w:r>
      <w:r w:rsidRPr="230E2696">
        <w:rPr>
          <w:rFonts w:ascii="Century Gothic" w:hAnsi="Century Gothic"/>
          <w:sz w:val="20"/>
          <w:szCs w:val="20"/>
        </w:rPr>
        <w:t>observaciones extemporáneas, no lo es menos que esa respuesta debe consistir o limitarse</w:t>
      </w:r>
      <w:r w:rsidR="00C905A9" w:rsidRPr="230E2696">
        <w:rPr>
          <w:rFonts w:ascii="Century Gothic" w:hAnsi="Century Gothic"/>
          <w:sz w:val="20"/>
          <w:szCs w:val="20"/>
        </w:rPr>
        <w:t xml:space="preserve"> </w:t>
      </w:r>
      <w:r w:rsidRPr="230E2696">
        <w:rPr>
          <w:rFonts w:ascii="Century Gothic" w:hAnsi="Century Gothic"/>
          <w:sz w:val="20"/>
          <w:szCs w:val="20"/>
        </w:rPr>
        <w:t>al rechazo de la observación, precisamente, por ser extemporánea. Respuesta por demás,</w:t>
      </w:r>
      <w:r w:rsidR="00C905A9" w:rsidRPr="230E2696">
        <w:rPr>
          <w:rFonts w:ascii="Century Gothic" w:hAnsi="Century Gothic"/>
          <w:sz w:val="20"/>
          <w:szCs w:val="20"/>
        </w:rPr>
        <w:t xml:space="preserve"> </w:t>
      </w:r>
      <w:r w:rsidRPr="230E2696">
        <w:rPr>
          <w:rFonts w:ascii="Century Gothic" w:hAnsi="Century Gothic"/>
          <w:sz w:val="20"/>
          <w:szCs w:val="20"/>
        </w:rPr>
        <w:t>que debe proferirse antes de que inicie la siguiente etapa o fase del proceso contractual.</w:t>
      </w:r>
    </w:p>
    <w:p w14:paraId="2BA88C75" w14:textId="77777777" w:rsidR="00C905A9" w:rsidRPr="00C905A9" w:rsidRDefault="00C905A9" w:rsidP="230E2696">
      <w:pPr>
        <w:spacing w:line="240" w:lineRule="auto"/>
        <w:jc w:val="both"/>
        <w:rPr>
          <w:rFonts w:ascii="Century Gothic" w:hAnsi="Century Gothic"/>
          <w:sz w:val="20"/>
          <w:szCs w:val="20"/>
        </w:rPr>
      </w:pPr>
      <w:r w:rsidRPr="230E2696">
        <w:rPr>
          <w:rFonts w:ascii="Century Gothic" w:hAnsi="Century Gothic"/>
          <w:sz w:val="20"/>
          <w:szCs w:val="20"/>
        </w:rPr>
        <w:t>(…)</w:t>
      </w:r>
    </w:p>
    <w:p w14:paraId="101C0200" w14:textId="135A88A7" w:rsidR="00D8049C" w:rsidRPr="00C905A9" w:rsidRDefault="00D8049C" w:rsidP="230E2696">
      <w:pPr>
        <w:spacing w:line="240" w:lineRule="auto"/>
        <w:jc w:val="both"/>
        <w:rPr>
          <w:rFonts w:ascii="Century Gothic" w:hAnsi="Century Gothic"/>
          <w:sz w:val="20"/>
          <w:szCs w:val="20"/>
        </w:rPr>
      </w:pPr>
      <w:r w:rsidRPr="230E2696">
        <w:rPr>
          <w:rFonts w:ascii="Century Gothic" w:hAnsi="Century Gothic"/>
          <w:sz w:val="20"/>
          <w:szCs w:val="20"/>
        </w:rPr>
        <w:t>Lo afirmado encuentra fundamento en el principio de económica que rige los procesos</w:t>
      </w:r>
      <w:r w:rsidR="00C905A9" w:rsidRPr="230E2696">
        <w:rPr>
          <w:rFonts w:ascii="Century Gothic" w:hAnsi="Century Gothic"/>
          <w:sz w:val="20"/>
          <w:szCs w:val="20"/>
        </w:rPr>
        <w:t xml:space="preserve"> </w:t>
      </w:r>
      <w:r w:rsidRPr="230E2696">
        <w:rPr>
          <w:rFonts w:ascii="Century Gothic" w:hAnsi="Century Gothic"/>
          <w:sz w:val="20"/>
          <w:szCs w:val="20"/>
        </w:rPr>
        <w:t>de contratación, especialmente, en el numeral 1º del artículo 25 de la Ley 80 de 199320 que</w:t>
      </w:r>
      <w:r w:rsidR="00C905A9" w:rsidRPr="230E2696">
        <w:rPr>
          <w:rFonts w:ascii="Century Gothic" w:hAnsi="Century Gothic"/>
          <w:sz w:val="20"/>
          <w:szCs w:val="20"/>
        </w:rPr>
        <w:t xml:space="preserve"> </w:t>
      </w:r>
      <w:r w:rsidRPr="230E2696">
        <w:rPr>
          <w:rFonts w:ascii="Century Gothic" w:hAnsi="Century Gothic"/>
          <w:sz w:val="20"/>
          <w:szCs w:val="20"/>
        </w:rPr>
        <w:t>dispuso, que los términos o plazos para la etapas o fases del proceso de selección son</w:t>
      </w:r>
      <w:r w:rsidR="00C905A9" w:rsidRPr="230E2696">
        <w:rPr>
          <w:rFonts w:ascii="Century Gothic" w:hAnsi="Century Gothic"/>
          <w:sz w:val="20"/>
          <w:szCs w:val="20"/>
        </w:rPr>
        <w:t xml:space="preserve"> </w:t>
      </w:r>
      <w:r w:rsidRPr="230E2696">
        <w:rPr>
          <w:rFonts w:ascii="Century Gothic" w:hAnsi="Century Gothic"/>
          <w:sz w:val="20"/>
          <w:szCs w:val="20"/>
        </w:rPr>
        <w:t>preclusivos y perentorios.</w:t>
      </w:r>
    </w:p>
    <w:p w14:paraId="389FA8FA" w14:textId="602254B0" w:rsidR="00523836" w:rsidRDefault="00523836">
      <w:pPr>
        <w:rPr>
          <w:rFonts w:ascii="Century Gothic" w:hAnsi="Century Gothic"/>
        </w:rPr>
      </w:pPr>
      <w:r>
        <w:rPr>
          <w:rFonts w:ascii="Century Gothic" w:hAnsi="Century Gothic"/>
        </w:rPr>
        <w:br w:type="page"/>
      </w:r>
    </w:p>
    <w:p w14:paraId="24A88D10" w14:textId="224127C6" w:rsidR="00643058" w:rsidRDefault="00580B2C" w:rsidP="00E245AB">
      <w:pPr>
        <w:spacing w:after="0"/>
        <w:rPr>
          <w:rFonts w:ascii="Century Gothic" w:hAnsi="Century Gothic"/>
        </w:rPr>
      </w:pPr>
      <w:r w:rsidRPr="00580B2C">
        <w:rPr>
          <w:rFonts w:ascii="Century Gothic" w:hAnsi="Century Gothic"/>
          <w:noProof/>
        </w:rPr>
        <w:drawing>
          <wp:anchor distT="0" distB="0" distL="114300" distR="114300" simplePos="0" relativeHeight="251659264" behindDoc="1" locked="0" layoutInCell="1" allowOverlap="1" wp14:anchorId="5DCEBAFF" wp14:editId="77E5587F">
            <wp:simplePos x="0" y="0"/>
            <wp:positionH relativeFrom="margin">
              <wp:align>right</wp:align>
            </wp:positionH>
            <wp:positionV relativeFrom="paragraph">
              <wp:posOffset>6681</wp:posOffset>
            </wp:positionV>
            <wp:extent cx="2882900" cy="8255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882900" cy="825500"/>
                    </a:xfrm>
                    <a:prstGeom prst="rect">
                      <a:avLst/>
                    </a:prstGeom>
                  </pic:spPr>
                </pic:pic>
              </a:graphicData>
            </a:graphic>
          </wp:anchor>
        </w:drawing>
      </w:r>
    </w:p>
    <w:p w14:paraId="3FE2184B" w14:textId="1012FD91" w:rsidR="00E245AB" w:rsidRPr="00910B9D" w:rsidRDefault="00E245AB" w:rsidP="00E245AB">
      <w:pPr>
        <w:spacing w:after="0"/>
        <w:rPr>
          <w:rFonts w:ascii="Century Gothic" w:hAnsi="Century Gothic"/>
        </w:rPr>
      </w:pPr>
      <w:r w:rsidRPr="00910B9D">
        <w:rPr>
          <w:rFonts w:ascii="Century Gothic" w:hAnsi="Century Gothic"/>
        </w:rPr>
        <w:t xml:space="preserve">Bogotá D.C., </w:t>
      </w:r>
      <w:r w:rsidR="00B82C7E">
        <w:rPr>
          <w:rFonts w:ascii="Century Gothic" w:hAnsi="Century Gothic"/>
        </w:rPr>
        <w:t>10 de julio de 2023</w:t>
      </w:r>
      <w:r w:rsidR="00580B2C">
        <w:rPr>
          <w:rFonts w:ascii="Century Gothic" w:hAnsi="Century Gothic"/>
        </w:rPr>
        <w:t xml:space="preserve"> </w:t>
      </w:r>
    </w:p>
    <w:p w14:paraId="5FCADBF9" w14:textId="77777777" w:rsidR="00E245AB" w:rsidRPr="00910B9D" w:rsidRDefault="00E245AB" w:rsidP="00E245AB">
      <w:pPr>
        <w:spacing w:after="0"/>
        <w:rPr>
          <w:rFonts w:ascii="Century Gothic" w:hAnsi="Century Gothic"/>
        </w:rPr>
      </w:pPr>
    </w:p>
    <w:p w14:paraId="0465BA6D" w14:textId="77777777" w:rsidR="00E245AB" w:rsidRPr="00910B9D" w:rsidRDefault="00E245AB" w:rsidP="00E245AB">
      <w:pPr>
        <w:spacing w:after="0"/>
        <w:rPr>
          <w:rFonts w:ascii="Century Gothic" w:hAnsi="Century Gothic"/>
        </w:rPr>
      </w:pPr>
    </w:p>
    <w:p w14:paraId="08EB91B3" w14:textId="216AE7F9" w:rsidR="004624B1" w:rsidRPr="00910B9D" w:rsidRDefault="004624B1" w:rsidP="004624B1">
      <w:pPr>
        <w:pStyle w:val="Sinespaciado"/>
        <w:rPr>
          <w:rFonts w:ascii="Century Gothic" w:hAnsi="Century Gothic" w:cs="Arial"/>
          <w:color w:val="000000"/>
          <w:spacing w:val="-2"/>
        </w:rPr>
      </w:pPr>
      <w:r w:rsidRPr="00910B9D">
        <w:rPr>
          <w:rFonts w:ascii="Century Gothic" w:hAnsi="Century Gothic" w:cs="Arial"/>
          <w:color w:val="000000"/>
          <w:spacing w:val="-2"/>
        </w:rPr>
        <w:t>Señor</w:t>
      </w:r>
    </w:p>
    <w:p w14:paraId="504137EC" w14:textId="141D0208" w:rsidR="004624B1" w:rsidRPr="00910B9D" w:rsidRDefault="00DC25C5" w:rsidP="004624B1">
      <w:pPr>
        <w:pStyle w:val="Sinespaciado"/>
        <w:rPr>
          <w:rFonts w:ascii="Century Gothic" w:hAnsi="Century Gothic" w:cs="Arial"/>
          <w:b/>
          <w:color w:val="000000"/>
          <w:spacing w:val="-2"/>
        </w:rPr>
      </w:pPr>
      <w:r w:rsidRPr="00910B9D">
        <w:rPr>
          <w:rFonts w:ascii="Century Gothic" w:hAnsi="Century Gothic" w:cs="Arial"/>
          <w:b/>
          <w:color w:val="000000"/>
          <w:spacing w:val="-2"/>
        </w:rPr>
        <w:t>Henry</w:t>
      </w:r>
      <w:r w:rsidR="009A4430" w:rsidRPr="00910B9D">
        <w:rPr>
          <w:rFonts w:ascii="Century Gothic" w:hAnsi="Century Gothic" w:cs="Arial"/>
          <w:b/>
          <w:color w:val="000000"/>
          <w:spacing w:val="-2"/>
        </w:rPr>
        <w:t xml:space="preserve"> Santiago Suta Toca</w:t>
      </w:r>
    </w:p>
    <w:p w14:paraId="710B45E7" w14:textId="784207EC" w:rsidR="004624B1" w:rsidRPr="00910B9D" w:rsidRDefault="009A4430" w:rsidP="004624B1">
      <w:pPr>
        <w:pStyle w:val="Sinespaciado"/>
        <w:rPr>
          <w:rFonts w:ascii="Century Gothic" w:hAnsi="Century Gothic" w:cs="Arial"/>
          <w:spacing w:val="-2"/>
        </w:rPr>
      </w:pPr>
      <w:r w:rsidRPr="00910B9D">
        <w:rPr>
          <w:rFonts w:ascii="Century Gothic" w:hAnsi="Century Gothic" w:cs="Arial"/>
        </w:rPr>
        <w:t>Sotaquirá</w:t>
      </w:r>
      <w:r w:rsidR="004624B1" w:rsidRPr="00910B9D">
        <w:rPr>
          <w:rFonts w:ascii="Century Gothic" w:hAnsi="Century Gothic" w:cs="Arial"/>
        </w:rPr>
        <w:t xml:space="preserve">, Boyacá </w:t>
      </w:r>
    </w:p>
    <w:p w14:paraId="5885A1B5" w14:textId="77777777" w:rsidR="004624B1" w:rsidRPr="00910B9D" w:rsidRDefault="004624B1" w:rsidP="004624B1">
      <w:pPr>
        <w:pStyle w:val="Textoindependiente"/>
        <w:kinsoku w:val="0"/>
        <w:overflowPunct w:val="0"/>
        <w:rPr>
          <w:rFonts w:ascii="Century Gothic" w:hAnsi="Century Gothic"/>
          <w:sz w:val="24"/>
          <w:szCs w:val="24"/>
        </w:rPr>
      </w:pPr>
    </w:p>
    <w:p w14:paraId="19998116" w14:textId="77777777" w:rsidR="004624B1" w:rsidRPr="00910B9D" w:rsidRDefault="004624B1" w:rsidP="004624B1">
      <w:pPr>
        <w:pStyle w:val="Textoindependiente"/>
        <w:kinsoku w:val="0"/>
        <w:overflowPunct w:val="0"/>
        <w:rPr>
          <w:rFonts w:ascii="Century Gothic" w:hAnsi="Century Gothic"/>
          <w:sz w:val="20"/>
          <w:szCs w:val="20"/>
        </w:rPr>
      </w:pPr>
    </w:p>
    <w:p w14:paraId="30F9E4C9" w14:textId="6DBA24ED" w:rsidR="004624B1" w:rsidRPr="00910B9D" w:rsidRDefault="004624B1" w:rsidP="004624B1">
      <w:pPr>
        <w:pStyle w:val="Ttulo1"/>
        <w:kinsoku w:val="0"/>
        <w:overflowPunct w:val="0"/>
        <w:ind w:left="2799" w:firstLine="0"/>
        <w:rPr>
          <w:rFonts w:ascii="Century Gothic" w:hAnsi="Century Gothic"/>
          <w:spacing w:val="-4"/>
        </w:rPr>
      </w:pPr>
      <w:r w:rsidRPr="00910B9D">
        <w:rPr>
          <w:rFonts w:ascii="Century Gothic" w:hAnsi="Century Gothic"/>
        </w:rPr>
        <w:t>Concepto</w:t>
      </w:r>
      <w:r w:rsidRPr="00910B9D">
        <w:rPr>
          <w:rFonts w:ascii="Century Gothic" w:hAnsi="Century Gothic"/>
          <w:spacing w:val="-3"/>
        </w:rPr>
        <w:t xml:space="preserve"> </w:t>
      </w:r>
      <w:r w:rsidRPr="00910B9D">
        <w:rPr>
          <w:rFonts w:ascii="Century Gothic" w:hAnsi="Century Gothic"/>
        </w:rPr>
        <w:t>C</w:t>
      </w:r>
      <w:r w:rsidRPr="00910B9D">
        <w:rPr>
          <w:rFonts w:ascii="Century Gothic" w:hAnsi="Century Gothic"/>
          <w:spacing w:val="5"/>
        </w:rPr>
        <w:t xml:space="preserve"> </w:t>
      </w:r>
      <w:r w:rsidRPr="00910B9D">
        <w:t>‒</w:t>
      </w:r>
      <w:r w:rsidRPr="00910B9D">
        <w:rPr>
          <w:rFonts w:ascii="Century Gothic" w:hAnsi="Century Gothic"/>
          <w:spacing w:val="-3"/>
        </w:rPr>
        <w:t xml:space="preserve"> </w:t>
      </w:r>
      <w:r w:rsidRPr="00910B9D">
        <w:rPr>
          <w:rFonts w:ascii="Century Gothic" w:hAnsi="Century Gothic"/>
        </w:rPr>
        <w:t>24</w:t>
      </w:r>
      <w:r w:rsidR="00ED6A9D" w:rsidRPr="00910B9D">
        <w:rPr>
          <w:rFonts w:ascii="Century Gothic" w:hAnsi="Century Gothic"/>
        </w:rPr>
        <w:t>9</w:t>
      </w:r>
      <w:r w:rsidRPr="00910B9D">
        <w:rPr>
          <w:rFonts w:ascii="Century Gothic" w:hAnsi="Century Gothic"/>
        </w:rPr>
        <w:t xml:space="preserve"> de 2023</w:t>
      </w:r>
    </w:p>
    <w:p w14:paraId="7DCACAE8" w14:textId="77777777" w:rsidR="004624B1" w:rsidRPr="00910B9D" w:rsidRDefault="004624B1" w:rsidP="004624B1">
      <w:pPr>
        <w:pStyle w:val="Textoindependiente"/>
        <w:kinsoku w:val="0"/>
        <w:overflowPunct w:val="0"/>
        <w:spacing w:before="11"/>
        <w:rPr>
          <w:rFonts w:ascii="Century Gothic" w:hAnsi="Century Gothic"/>
          <w:b/>
          <w:bCs/>
          <w:sz w:val="13"/>
          <w:szCs w:val="13"/>
        </w:rPr>
      </w:pPr>
    </w:p>
    <w:p w14:paraId="67D728F4" w14:textId="26909081" w:rsidR="004624B1" w:rsidRPr="00910B9D" w:rsidRDefault="004624B1" w:rsidP="004624B1">
      <w:pPr>
        <w:pStyle w:val="Textoindependiente"/>
        <w:tabs>
          <w:tab w:val="left" w:pos="2806"/>
        </w:tabs>
        <w:kinsoku w:val="0"/>
        <w:overflowPunct w:val="0"/>
        <w:spacing w:before="93"/>
        <w:ind w:left="2807" w:right="643" w:hanging="2689"/>
        <w:jc w:val="both"/>
        <w:rPr>
          <w:rFonts w:ascii="Century Gothic" w:hAnsi="Century Gothic"/>
          <w:spacing w:val="-10"/>
        </w:rPr>
      </w:pPr>
      <w:r w:rsidRPr="00910B9D">
        <w:rPr>
          <w:rFonts w:ascii="Century Gothic" w:hAnsi="Century Gothic"/>
          <w:b/>
          <w:bCs/>
          <w:spacing w:val="-2"/>
        </w:rPr>
        <w:t>Temas:</w:t>
      </w:r>
      <w:r w:rsidRPr="00910B9D">
        <w:rPr>
          <w:rFonts w:ascii="Century Gothic" w:hAnsi="Century Gothic"/>
          <w:b/>
          <w:bCs/>
        </w:rPr>
        <w:tab/>
      </w:r>
      <w:r w:rsidRPr="00910B9D">
        <w:rPr>
          <w:rFonts w:ascii="Century Gothic" w:hAnsi="Century Gothic"/>
        </w:rPr>
        <w:t>REGISTRO NACIONAL</w:t>
      </w:r>
      <w:r w:rsidRPr="00910B9D">
        <w:rPr>
          <w:rFonts w:ascii="Century Gothic" w:hAnsi="Century Gothic"/>
          <w:spacing w:val="-5"/>
        </w:rPr>
        <w:t xml:space="preserve"> </w:t>
      </w:r>
      <w:r w:rsidRPr="00910B9D">
        <w:rPr>
          <w:rFonts w:ascii="Century Gothic" w:hAnsi="Century Gothic"/>
        </w:rPr>
        <w:t>DE</w:t>
      </w:r>
      <w:r w:rsidRPr="00910B9D">
        <w:rPr>
          <w:rFonts w:ascii="Century Gothic" w:hAnsi="Century Gothic"/>
          <w:spacing w:val="-5"/>
        </w:rPr>
        <w:t xml:space="preserve"> </w:t>
      </w:r>
      <w:r w:rsidRPr="00910B9D">
        <w:rPr>
          <w:rFonts w:ascii="Century Gothic" w:hAnsi="Century Gothic"/>
        </w:rPr>
        <w:t>OBRAS</w:t>
      </w:r>
      <w:r w:rsidRPr="00910B9D">
        <w:rPr>
          <w:rFonts w:ascii="Century Gothic" w:hAnsi="Century Gothic"/>
          <w:spacing w:val="-5"/>
        </w:rPr>
        <w:t xml:space="preserve"> </w:t>
      </w:r>
      <w:r w:rsidRPr="00910B9D">
        <w:rPr>
          <w:rFonts w:ascii="Century Gothic" w:hAnsi="Century Gothic"/>
        </w:rPr>
        <w:t>CIVILES</w:t>
      </w:r>
      <w:r w:rsidRPr="00910B9D">
        <w:rPr>
          <w:rFonts w:ascii="Century Gothic" w:hAnsi="Century Gothic"/>
          <w:spacing w:val="-5"/>
        </w:rPr>
        <w:t xml:space="preserve"> </w:t>
      </w:r>
      <w:r w:rsidRPr="00910B9D">
        <w:rPr>
          <w:rFonts w:ascii="Century Gothic" w:hAnsi="Century Gothic"/>
        </w:rPr>
        <w:t>INCONCLUSAS</w:t>
      </w:r>
      <w:r w:rsidRPr="00910B9D">
        <w:rPr>
          <w:rFonts w:ascii="Century Gothic" w:hAnsi="Century Gothic"/>
          <w:spacing w:val="-5"/>
        </w:rPr>
        <w:t xml:space="preserve"> </w:t>
      </w:r>
      <w:r w:rsidRPr="00910B9D">
        <w:rPr>
          <w:rFonts w:ascii="Century Gothic" w:hAnsi="Century Gothic"/>
        </w:rPr>
        <w:t>–</w:t>
      </w:r>
      <w:r w:rsidRPr="00910B9D">
        <w:rPr>
          <w:rFonts w:ascii="Century Gothic" w:hAnsi="Century Gothic"/>
          <w:spacing w:val="-5"/>
        </w:rPr>
        <w:t xml:space="preserve"> </w:t>
      </w:r>
      <w:r w:rsidRPr="00910B9D">
        <w:rPr>
          <w:rFonts w:ascii="Century Gothic" w:hAnsi="Century Gothic"/>
        </w:rPr>
        <w:t>Concepto</w:t>
      </w:r>
      <w:r w:rsidRPr="00910B9D">
        <w:rPr>
          <w:rFonts w:ascii="Century Gothic" w:hAnsi="Century Gothic"/>
          <w:spacing w:val="-4"/>
        </w:rPr>
        <w:t xml:space="preserve"> </w:t>
      </w:r>
      <w:r w:rsidRPr="00910B9D">
        <w:rPr>
          <w:rFonts w:ascii="Century Gothic" w:hAnsi="Century Gothic"/>
          <w:spacing w:val="-10"/>
        </w:rPr>
        <w:t>–</w:t>
      </w:r>
      <w:r w:rsidRPr="00910B9D">
        <w:rPr>
          <w:rFonts w:ascii="Century Gothic" w:hAnsi="Century Gothic"/>
        </w:rPr>
        <w:t>Ley</w:t>
      </w:r>
      <w:r w:rsidRPr="00910B9D">
        <w:rPr>
          <w:rFonts w:ascii="Century Gothic" w:hAnsi="Century Gothic"/>
          <w:spacing w:val="-2"/>
        </w:rPr>
        <w:t xml:space="preserve"> </w:t>
      </w:r>
      <w:r w:rsidRPr="00910B9D">
        <w:rPr>
          <w:rFonts w:ascii="Century Gothic" w:hAnsi="Century Gothic"/>
        </w:rPr>
        <w:t>2020</w:t>
      </w:r>
      <w:r w:rsidRPr="00910B9D">
        <w:rPr>
          <w:rFonts w:ascii="Century Gothic" w:hAnsi="Century Gothic"/>
          <w:spacing w:val="-2"/>
        </w:rPr>
        <w:t xml:space="preserve"> </w:t>
      </w:r>
      <w:r w:rsidRPr="00910B9D">
        <w:rPr>
          <w:rFonts w:ascii="Century Gothic" w:hAnsi="Century Gothic"/>
        </w:rPr>
        <w:t>de</w:t>
      </w:r>
      <w:r w:rsidRPr="00910B9D">
        <w:rPr>
          <w:rFonts w:ascii="Century Gothic" w:hAnsi="Century Gothic"/>
          <w:spacing w:val="-2"/>
        </w:rPr>
        <w:t xml:space="preserve"> </w:t>
      </w:r>
      <w:r w:rsidRPr="00910B9D">
        <w:rPr>
          <w:rFonts w:ascii="Century Gothic" w:hAnsi="Century Gothic"/>
        </w:rPr>
        <w:t>2020</w:t>
      </w:r>
      <w:r w:rsidRPr="00910B9D">
        <w:rPr>
          <w:rFonts w:ascii="Century Gothic" w:hAnsi="Century Gothic"/>
          <w:spacing w:val="-2"/>
        </w:rPr>
        <w:t xml:space="preserve"> </w:t>
      </w:r>
      <w:r w:rsidRPr="00910B9D">
        <w:rPr>
          <w:rFonts w:ascii="Century Gothic" w:hAnsi="Century Gothic"/>
        </w:rPr>
        <w:t>/</w:t>
      </w:r>
      <w:r w:rsidRPr="00910B9D">
        <w:rPr>
          <w:rFonts w:ascii="Century Gothic" w:hAnsi="Century Gothic"/>
          <w:spacing w:val="-2"/>
        </w:rPr>
        <w:t xml:space="preserve"> </w:t>
      </w:r>
      <w:bookmarkStart w:id="0" w:name="_Hlk132197997"/>
      <w:r w:rsidRPr="00910B9D">
        <w:rPr>
          <w:rFonts w:ascii="Century Gothic" w:hAnsi="Century Gothic"/>
        </w:rPr>
        <w:t>OBRA</w:t>
      </w:r>
      <w:r w:rsidRPr="00910B9D">
        <w:rPr>
          <w:rFonts w:ascii="Century Gothic" w:hAnsi="Century Gothic"/>
          <w:spacing w:val="-2"/>
        </w:rPr>
        <w:t xml:space="preserve"> </w:t>
      </w:r>
      <w:r w:rsidRPr="00910B9D">
        <w:rPr>
          <w:rFonts w:ascii="Century Gothic" w:hAnsi="Century Gothic"/>
        </w:rPr>
        <w:t>CIVIL</w:t>
      </w:r>
      <w:r w:rsidRPr="00910B9D">
        <w:rPr>
          <w:rFonts w:ascii="Century Gothic" w:hAnsi="Century Gothic"/>
          <w:spacing w:val="-2"/>
        </w:rPr>
        <w:t xml:space="preserve"> </w:t>
      </w:r>
      <w:r w:rsidRPr="00910B9D">
        <w:rPr>
          <w:rFonts w:ascii="Century Gothic" w:hAnsi="Century Gothic"/>
        </w:rPr>
        <w:t>INCONCLUSA</w:t>
      </w:r>
      <w:r w:rsidRPr="00910B9D">
        <w:rPr>
          <w:rFonts w:ascii="Century Gothic" w:hAnsi="Century Gothic"/>
          <w:spacing w:val="-1"/>
        </w:rPr>
        <w:t xml:space="preserve"> </w:t>
      </w:r>
      <w:r w:rsidRPr="00910B9D">
        <w:rPr>
          <w:rFonts w:ascii="Century Gothic" w:hAnsi="Century Gothic"/>
        </w:rPr>
        <w:t>–</w:t>
      </w:r>
      <w:r w:rsidRPr="00910B9D">
        <w:rPr>
          <w:rFonts w:ascii="Century Gothic" w:hAnsi="Century Gothic"/>
          <w:spacing w:val="-2"/>
        </w:rPr>
        <w:t xml:space="preserve"> </w:t>
      </w:r>
      <w:r w:rsidRPr="00910B9D">
        <w:rPr>
          <w:rFonts w:ascii="Century Gothic" w:hAnsi="Century Gothic"/>
        </w:rPr>
        <w:t>Definición</w:t>
      </w:r>
      <w:r w:rsidRPr="00910B9D">
        <w:rPr>
          <w:rFonts w:ascii="Century Gothic" w:hAnsi="Century Gothic"/>
          <w:spacing w:val="-2"/>
        </w:rPr>
        <w:t xml:space="preserve"> </w:t>
      </w:r>
      <w:r w:rsidRPr="00910B9D">
        <w:rPr>
          <w:rFonts w:ascii="Century Gothic" w:hAnsi="Century Gothic"/>
        </w:rPr>
        <w:t>-</w:t>
      </w:r>
      <w:r w:rsidRPr="00910B9D">
        <w:rPr>
          <w:rFonts w:ascii="Century Gothic" w:hAnsi="Century Gothic"/>
          <w:spacing w:val="-2"/>
        </w:rPr>
        <w:t xml:space="preserve"> </w:t>
      </w:r>
      <w:r w:rsidRPr="00910B9D">
        <w:rPr>
          <w:rFonts w:ascii="Century Gothic" w:hAnsi="Century Gothic"/>
        </w:rPr>
        <w:t xml:space="preserve">– Alcance </w:t>
      </w:r>
      <w:bookmarkEnd w:id="0"/>
      <w:r w:rsidR="00BD33C7" w:rsidRPr="00910B9D">
        <w:rPr>
          <w:rFonts w:ascii="Century Gothic" w:hAnsi="Century Gothic"/>
        </w:rPr>
        <w:t>–</w:t>
      </w:r>
      <w:r w:rsidR="008F2E7F" w:rsidRPr="00910B9D">
        <w:rPr>
          <w:rFonts w:ascii="Century Gothic" w:hAnsi="Century Gothic"/>
        </w:rPr>
        <w:t xml:space="preserve"> </w:t>
      </w:r>
      <w:r w:rsidR="00BD33C7" w:rsidRPr="00910B9D">
        <w:rPr>
          <w:rFonts w:ascii="Century Gothic" w:hAnsi="Century Gothic"/>
        </w:rPr>
        <w:t>consulta y análisis de anotaciones</w:t>
      </w:r>
      <w:r w:rsidR="007E7F09" w:rsidRPr="00910B9D">
        <w:rPr>
          <w:rFonts w:ascii="Century Gothic" w:hAnsi="Century Gothic"/>
        </w:rPr>
        <w:t xml:space="preserve"> al momento de evaluar factores de ponderación</w:t>
      </w:r>
      <w:r w:rsidR="00B848C9" w:rsidRPr="00910B9D">
        <w:rPr>
          <w:rFonts w:ascii="Century Gothic" w:hAnsi="Century Gothic"/>
        </w:rPr>
        <w:t xml:space="preserve"> </w:t>
      </w:r>
      <w:r w:rsidR="00D670A2" w:rsidRPr="00910B9D">
        <w:rPr>
          <w:rFonts w:ascii="Century Gothic" w:hAnsi="Century Gothic"/>
        </w:rPr>
        <w:t>– proponentes</w:t>
      </w:r>
      <w:r w:rsidR="00B848C9" w:rsidRPr="00910B9D">
        <w:rPr>
          <w:rFonts w:ascii="Century Gothic" w:hAnsi="Century Gothic"/>
        </w:rPr>
        <w:t xml:space="preserve"> plurales - </w:t>
      </w:r>
      <w:r w:rsidR="007E7F09" w:rsidRPr="00910B9D">
        <w:rPr>
          <w:rFonts w:ascii="Century Gothic" w:hAnsi="Century Gothic"/>
        </w:rPr>
        <w:t>cancelación del registro</w:t>
      </w:r>
      <w:r w:rsidR="00887F5F" w:rsidRPr="00910B9D">
        <w:rPr>
          <w:rFonts w:ascii="Century Gothic" w:hAnsi="Century Gothic"/>
        </w:rPr>
        <w:t xml:space="preserve">/OBSERVACIONES - </w:t>
      </w:r>
      <w:r w:rsidR="00523836" w:rsidRPr="00910B9D">
        <w:rPr>
          <w:rFonts w:ascii="Century Gothic" w:hAnsi="Century Gothic"/>
        </w:rPr>
        <w:t>extemporáneas</w:t>
      </w:r>
      <w:r w:rsidR="00887F5F" w:rsidRPr="00910B9D">
        <w:rPr>
          <w:rFonts w:ascii="Century Gothic" w:hAnsi="Century Gothic"/>
        </w:rPr>
        <w:t>.</w:t>
      </w:r>
    </w:p>
    <w:p w14:paraId="444B1073" w14:textId="3891E6A1" w:rsidR="004624B1" w:rsidRPr="00910B9D" w:rsidRDefault="004624B1" w:rsidP="004624B1">
      <w:pPr>
        <w:pStyle w:val="Textoindependiente"/>
        <w:tabs>
          <w:tab w:val="left" w:pos="2806"/>
        </w:tabs>
        <w:kinsoku w:val="0"/>
        <w:overflowPunct w:val="0"/>
        <w:spacing w:before="130"/>
        <w:ind w:left="118"/>
        <w:rPr>
          <w:rFonts w:ascii="Century Gothic" w:hAnsi="Century Gothic"/>
          <w:spacing w:val="-2"/>
        </w:rPr>
      </w:pPr>
      <w:r w:rsidRPr="00910B9D">
        <w:rPr>
          <w:rFonts w:ascii="Century Gothic" w:hAnsi="Century Gothic"/>
          <w:b/>
          <w:bCs/>
          <w:spacing w:val="-2"/>
        </w:rPr>
        <w:t>Radicación:</w:t>
      </w:r>
      <w:r w:rsidRPr="00910B9D">
        <w:rPr>
          <w:rFonts w:ascii="Century Gothic" w:hAnsi="Century Gothic"/>
          <w:b/>
          <w:bCs/>
        </w:rPr>
        <w:tab/>
      </w:r>
      <w:r w:rsidRPr="00910B9D">
        <w:rPr>
          <w:rFonts w:ascii="Century Gothic" w:hAnsi="Century Gothic"/>
        </w:rPr>
        <w:t>Respuesta</w:t>
      </w:r>
      <w:r w:rsidRPr="00910B9D">
        <w:rPr>
          <w:rFonts w:ascii="Century Gothic" w:hAnsi="Century Gothic"/>
          <w:spacing w:val="-4"/>
        </w:rPr>
        <w:t xml:space="preserve"> </w:t>
      </w:r>
      <w:r w:rsidRPr="00910B9D">
        <w:rPr>
          <w:rFonts w:ascii="Century Gothic" w:hAnsi="Century Gothic"/>
        </w:rPr>
        <w:t>a</w:t>
      </w:r>
      <w:r w:rsidRPr="00910B9D">
        <w:rPr>
          <w:rFonts w:ascii="Century Gothic" w:hAnsi="Century Gothic"/>
          <w:spacing w:val="-4"/>
        </w:rPr>
        <w:t xml:space="preserve"> </w:t>
      </w:r>
      <w:r w:rsidRPr="00910B9D">
        <w:rPr>
          <w:rFonts w:ascii="Century Gothic" w:hAnsi="Century Gothic"/>
        </w:rPr>
        <w:t>consulta</w:t>
      </w:r>
      <w:r w:rsidRPr="00910B9D">
        <w:rPr>
          <w:rFonts w:ascii="Century Gothic" w:hAnsi="Century Gothic"/>
          <w:spacing w:val="-3"/>
        </w:rPr>
        <w:t xml:space="preserve"> </w:t>
      </w:r>
      <w:r w:rsidR="002B7DB1" w:rsidRPr="00910B9D">
        <w:rPr>
          <w:rFonts w:ascii="Century Gothic" w:hAnsi="Century Gothic"/>
          <w:spacing w:val="-3"/>
        </w:rPr>
        <w:t>P20230524011594</w:t>
      </w:r>
    </w:p>
    <w:p w14:paraId="0EC2F6A1" w14:textId="77777777" w:rsidR="004624B1" w:rsidRPr="00910B9D" w:rsidRDefault="004624B1" w:rsidP="004624B1">
      <w:pPr>
        <w:pStyle w:val="Textoindependiente"/>
        <w:kinsoku w:val="0"/>
        <w:overflowPunct w:val="0"/>
        <w:rPr>
          <w:rFonts w:ascii="Century Gothic" w:hAnsi="Century Gothic"/>
          <w:sz w:val="24"/>
          <w:szCs w:val="24"/>
        </w:rPr>
      </w:pPr>
    </w:p>
    <w:p w14:paraId="687C32B6" w14:textId="77777777" w:rsidR="004624B1" w:rsidRPr="00910B9D" w:rsidRDefault="004624B1" w:rsidP="004624B1">
      <w:pPr>
        <w:pStyle w:val="Textoindependiente"/>
        <w:kinsoku w:val="0"/>
        <w:overflowPunct w:val="0"/>
        <w:spacing w:before="10"/>
        <w:rPr>
          <w:rFonts w:ascii="Century Gothic" w:hAnsi="Century Gothic"/>
          <w:sz w:val="20"/>
          <w:szCs w:val="20"/>
        </w:rPr>
      </w:pPr>
    </w:p>
    <w:p w14:paraId="4B334F87" w14:textId="10BEC103" w:rsidR="004624B1" w:rsidRPr="00910B9D" w:rsidRDefault="004624B1" w:rsidP="004624B1">
      <w:pPr>
        <w:pStyle w:val="Textoindependiente"/>
        <w:kinsoku w:val="0"/>
        <w:overflowPunct w:val="0"/>
        <w:rPr>
          <w:rFonts w:ascii="Century Gothic" w:hAnsi="Century Gothic"/>
          <w:spacing w:val="-2"/>
        </w:rPr>
      </w:pPr>
      <w:r w:rsidRPr="00910B9D">
        <w:rPr>
          <w:rFonts w:ascii="Century Gothic" w:hAnsi="Century Gothic"/>
        </w:rPr>
        <w:t>Estimad</w:t>
      </w:r>
      <w:r w:rsidR="002B7DB1" w:rsidRPr="00910B9D">
        <w:rPr>
          <w:rFonts w:ascii="Century Gothic" w:hAnsi="Century Gothic"/>
        </w:rPr>
        <w:t>o</w:t>
      </w:r>
      <w:r w:rsidRPr="00910B9D">
        <w:rPr>
          <w:rFonts w:ascii="Century Gothic" w:hAnsi="Century Gothic"/>
        </w:rPr>
        <w:t xml:space="preserve"> señor </w:t>
      </w:r>
      <w:r w:rsidR="009C2E85" w:rsidRPr="00910B9D">
        <w:rPr>
          <w:rFonts w:ascii="Century Gothic" w:hAnsi="Century Gothic"/>
        </w:rPr>
        <w:t>Suta</w:t>
      </w:r>
      <w:r w:rsidRPr="00910B9D">
        <w:rPr>
          <w:rFonts w:ascii="Century Gothic" w:hAnsi="Century Gothic"/>
        </w:rPr>
        <w:t xml:space="preserve">: </w:t>
      </w:r>
    </w:p>
    <w:p w14:paraId="0A7EC3FD" w14:textId="77777777" w:rsidR="004624B1" w:rsidRPr="00910B9D" w:rsidRDefault="004624B1" w:rsidP="004624B1">
      <w:pPr>
        <w:pStyle w:val="Textoindependiente"/>
        <w:kinsoku w:val="0"/>
        <w:overflowPunct w:val="0"/>
        <w:rPr>
          <w:rFonts w:ascii="Century Gothic" w:hAnsi="Century Gothic"/>
        </w:rPr>
      </w:pPr>
    </w:p>
    <w:p w14:paraId="3C318180" w14:textId="5E6225BB" w:rsidR="004624B1" w:rsidRPr="00910B9D" w:rsidRDefault="004624B1" w:rsidP="004624B1">
      <w:pPr>
        <w:pStyle w:val="Textoindependiente"/>
        <w:kinsoku w:val="0"/>
        <w:overflowPunct w:val="0"/>
        <w:spacing w:line="276" w:lineRule="auto"/>
        <w:ind w:right="176"/>
        <w:jc w:val="both"/>
        <w:rPr>
          <w:rFonts w:ascii="Century Gothic" w:hAnsi="Century Gothic"/>
        </w:rPr>
      </w:pPr>
      <w:r w:rsidRPr="00910B9D">
        <w:rPr>
          <w:rFonts w:ascii="Century Gothic" w:hAnsi="Century Gothic"/>
        </w:rPr>
        <w:t>En</w:t>
      </w:r>
      <w:r w:rsidRPr="00910B9D">
        <w:rPr>
          <w:rFonts w:ascii="Century Gothic" w:hAnsi="Century Gothic"/>
          <w:spacing w:val="-12"/>
        </w:rPr>
        <w:t xml:space="preserve"> </w:t>
      </w:r>
      <w:r w:rsidRPr="00910B9D">
        <w:rPr>
          <w:rFonts w:ascii="Century Gothic" w:hAnsi="Century Gothic"/>
        </w:rPr>
        <w:t>ejercicio</w:t>
      </w:r>
      <w:r w:rsidRPr="00910B9D">
        <w:rPr>
          <w:rFonts w:ascii="Century Gothic" w:hAnsi="Century Gothic"/>
          <w:spacing w:val="-12"/>
        </w:rPr>
        <w:t xml:space="preserve"> </w:t>
      </w:r>
      <w:r w:rsidRPr="00910B9D">
        <w:rPr>
          <w:rFonts w:ascii="Century Gothic" w:hAnsi="Century Gothic"/>
        </w:rPr>
        <w:t>de</w:t>
      </w:r>
      <w:r w:rsidRPr="00910B9D">
        <w:rPr>
          <w:rFonts w:ascii="Century Gothic" w:hAnsi="Century Gothic"/>
          <w:spacing w:val="-13"/>
        </w:rPr>
        <w:t xml:space="preserve"> </w:t>
      </w:r>
      <w:r w:rsidRPr="00910B9D">
        <w:rPr>
          <w:rFonts w:ascii="Century Gothic" w:hAnsi="Century Gothic"/>
        </w:rPr>
        <w:t>la</w:t>
      </w:r>
      <w:r w:rsidRPr="00910B9D">
        <w:rPr>
          <w:rFonts w:ascii="Century Gothic" w:hAnsi="Century Gothic"/>
          <w:spacing w:val="-13"/>
        </w:rPr>
        <w:t xml:space="preserve"> </w:t>
      </w:r>
      <w:r w:rsidRPr="00910B9D">
        <w:rPr>
          <w:rFonts w:ascii="Century Gothic" w:hAnsi="Century Gothic"/>
        </w:rPr>
        <w:t>competencia</w:t>
      </w:r>
      <w:r w:rsidRPr="00910B9D">
        <w:rPr>
          <w:rFonts w:ascii="Century Gothic" w:hAnsi="Century Gothic"/>
          <w:spacing w:val="-13"/>
        </w:rPr>
        <w:t xml:space="preserve"> </w:t>
      </w:r>
      <w:r w:rsidRPr="00910B9D">
        <w:rPr>
          <w:rFonts w:ascii="Century Gothic" w:hAnsi="Century Gothic"/>
        </w:rPr>
        <w:t>otorgada</w:t>
      </w:r>
      <w:r w:rsidRPr="00910B9D">
        <w:rPr>
          <w:rFonts w:ascii="Century Gothic" w:hAnsi="Century Gothic"/>
          <w:spacing w:val="-12"/>
        </w:rPr>
        <w:t xml:space="preserve"> </w:t>
      </w:r>
      <w:r w:rsidRPr="00910B9D">
        <w:rPr>
          <w:rFonts w:ascii="Century Gothic" w:hAnsi="Century Gothic"/>
        </w:rPr>
        <w:t>por</w:t>
      </w:r>
      <w:r w:rsidRPr="00910B9D">
        <w:rPr>
          <w:rFonts w:ascii="Century Gothic" w:hAnsi="Century Gothic"/>
          <w:spacing w:val="-13"/>
        </w:rPr>
        <w:t xml:space="preserve"> </w:t>
      </w:r>
      <w:r w:rsidRPr="00910B9D">
        <w:rPr>
          <w:rFonts w:ascii="Century Gothic" w:hAnsi="Century Gothic"/>
        </w:rPr>
        <w:t>el</w:t>
      </w:r>
      <w:r w:rsidRPr="00910B9D">
        <w:rPr>
          <w:rFonts w:ascii="Century Gothic" w:hAnsi="Century Gothic"/>
          <w:spacing w:val="-13"/>
        </w:rPr>
        <w:t xml:space="preserve"> </w:t>
      </w:r>
      <w:r w:rsidRPr="00910B9D">
        <w:rPr>
          <w:rFonts w:ascii="Century Gothic" w:hAnsi="Century Gothic"/>
        </w:rPr>
        <w:t>numeral</w:t>
      </w:r>
      <w:r w:rsidRPr="00910B9D">
        <w:rPr>
          <w:rFonts w:ascii="Century Gothic" w:hAnsi="Century Gothic"/>
          <w:spacing w:val="-12"/>
        </w:rPr>
        <w:t xml:space="preserve"> </w:t>
      </w:r>
      <w:r w:rsidRPr="00910B9D">
        <w:rPr>
          <w:rFonts w:ascii="Century Gothic" w:hAnsi="Century Gothic"/>
        </w:rPr>
        <w:t>8</w:t>
      </w:r>
      <w:r w:rsidRPr="00910B9D">
        <w:rPr>
          <w:rFonts w:ascii="Century Gothic" w:hAnsi="Century Gothic"/>
          <w:spacing w:val="-13"/>
        </w:rPr>
        <w:t xml:space="preserve"> </w:t>
      </w:r>
      <w:r w:rsidRPr="00910B9D">
        <w:rPr>
          <w:rFonts w:ascii="Century Gothic" w:hAnsi="Century Gothic"/>
        </w:rPr>
        <w:t>del</w:t>
      </w:r>
      <w:r w:rsidRPr="00910B9D">
        <w:rPr>
          <w:rFonts w:ascii="Century Gothic" w:hAnsi="Century Gothic"/>
          <w:spacing w:val="-13"/>
        </w:rPr>
        <w:t xml:space="preserve"> </w:t>
      </w:r>
      <w:r w:rsidRPr="00910B9D">
        <w:rPr>
          <w:rFonts w:ascii="Century Gothic" w:hAnsi="Century Gothic"/>
        </w:rPr>
        <w:t>artículo</w:t>
      </w:r>
      <w:r w:rsidRPr="00910B9D">
        <w:rPr>
          <w:rFonts w:ascii="Century Gothic" w:hAnsi="Century Gothic"/>
          <w:spacing w:val="-12"/>
        </w:rPr>
        <w:t xml:space="preserve"> </w:t>
      </w:r>
      <w:r w:rsidRPr="00910B9D">
        <w:rPr>
          <w:rFonts w:ascii="Century Gothic" w:hAnsi="Century Gothic"/>
        </w:rPr>
        <w:t>11</w:t>
      </w:r>
      <w:r w:rsidRPr="00910B9D">
        <w:rPr>
          <w:rFonts w:ascii="Century Gothic" w:hAnsi="Century Gothic"/>
          <w:spacing w:val="-13"/>
        </w:rPr>
        <w:t xml:space="preserve"> </w:t>
      </w:r>
      <w:r w:rsidRPr="00910B9D">
        <w:rPr>
          <w:rFonts w:ascii="Century Gothic" w:hAnsi="Century Gothic"/>
        </w:rPr>
        <w:t>y</w:t>
      </w:r>
      <w:r w:rsidRPr="00910B9D">
        <w:rPr>
          <w:rFonts w:ascii="Century Gothic" w:hAnsi="Century Gothic"/>
          <w:spacing w:val="-13"/>
        </w:rPr>
        <w:t xml:space="preserve"> </w:t>
      </w:r>
      <w:r w:rsidRPr="00910B9D">
        <w:rPr>
          <w:rFonts w:ascii="Century Gothic" w:hAnsi="Century Gothic"/>
        </w:rPr>
        <w:t>el</w:t>
      </w:r>
      <w:r w:rsidRPr="00910B9D">
        <w:rPr>
          <w:rFonts w:ascii="Century Gothic" w:hAnsi="Century Gothic"/>
          <w:spacing w:val="-13"/>
        </w:rPr>
        <w:t xml:space="preserve"> </w:t>
      </w:r>
      <w:r w:rsidRPr="00910B9D">
        <w:rPr>
          <w:rFonts w:ascii="Century Gothic" w:hAnsi="Century Gothic"/>
        </w:rPr>
        <w:t>numeral</w:t>
      </w:r>
      <w:r w:rsidRPr="00910B9D">
        <w:rPr>
          <w:rFonts w:ascii="Century Gothic" w:hAnsi="Century Gothic"/>
          <w:spacing w:val="-12"/>
        </w:rPr>
        <w:t xml:space="preserve"> </w:t>
      </w:r>
      <w:r w:rsidRPr="00910B9D">
        <w:rPr>
          <w:rFonts w:ascii="Century Gothic" w:hAnsi="Century Gothic"/>
        </w:rPr>
        <w:t>5</w:t>
      </w:r>
      <w:r w:rsidRPr="00910B9D">
        <w:rPr>
          <w:rFonts w:ascii="Century Gothic" w:hAnsi="Century Gothic"/>
          <w:spacing w:val="-13"/>
        </w:rPr>
        <w:t xml:space="preserve"> </w:t>
      </w:r>
      <w:r w:rsidRPr="00910B9D">
        <w:rPr>
          <w:rFonts w:ascii="Century Gothic" w:hAnsi="Century Gothic"/>
        </w:rPr>
        <w:t>del</w:t>
      </w:r>
      <w:r w:rsidRPr="00910B9D">
        <w:rPr>
          <w:rFonts w:ascii="Century Gothic" w:hAnsi="Century Gothic"/>
          <w:spacing w:val="-13"/>
        </w:rPr>
        <w:t xml:space="preserve"> </w:t>
      </w:r>
      <w:r w:rsidRPr="00910B9D">
        <w:rPr>
          <w:rFonts w:ascii="Century Gothic" w:hAnsi="Century Gothic"/>
        </w:rPr>
        <w:t>artículo 3</w:t>
      </w:r>
      <w:r w:rsidRPr="00910B9D">
        <w:rPr>
          <w:rFonts w:ascii="Century Gothic" w:hAnsi="Century Gothic"/>
          <w:spacing w:val="-16"/>
        </w:rPr>
        <w:t xml:space="preserve"> </w:t>
      </w:r>
      <w:r w:rsidRPr="00910B9D">
        <w:rPr>
          <w:rFonts w:ascii="Century Gothic" w:hAnsi="Century Gothic"/>
        </w:rPr>
        <w:t>del</w:t>
      </w:r>
      <w:r w:rsidRPr="00910B9D">
        <w:rPr>
          <w:rFonts w:ascii="Century Gothic" w:hAnsi="Century Gothic"/>
          <w:spacing w:val="-15"/>
        </w:rPr>
        <w:t xml:space="preserve"> </w:t>
      </w:r>
      <w:r w:rsidRPr="00910B9D">
        <w:rPr>
          <w:rFonts w:ascii="Century Gothic" w:hAnsi="Century Gothic"/>
        </w:rPr>
        <w:t>Decreto</w:t>
      </w:r>
      <w:r w:rsidRPr="00910B9D">
        <w:rPr>
          <w:rFonts w:ascii="Century Gothic" w:hAnsi="Century Gothic"/>
          <w:spacing w:val="-15"/>
        </w:rPr>
        <w:t xml:space="preserve"> </w:t>
      </w:r>
      <w:r w:rsidRPr="00910B9D">
        <w:rPr>
          <w:rFonts w:ascii="Century Gothic" w:hAnsi="Century Gothic"/>
        </w:rPr>
        <w:t>Ley</w:t>
      </w:r>
      <w:r w:rsidRPr="00910B9D">
        <w:rPr>
          <w:rFonts w:ascii="Century Gothic" w:hAnsi="Century Gothic"/>
          <w:spacing w:val="-16"/>
        </w:rPr>
        <w:t xml:space="preserve"> </w:t>
      </w:r>
      <w:r w:rsidRPr="00910B9D">
        <w:rPr>
          <w:rFonts w:ascii="Century Gothic" w:hAnsi="Century Gothic"/>
        </w:rPr>
        <w:t>4170</w:t>
      </w:r>
      <w:r w:rsidRPr="00910B9D">
        <w:rPr>
          <w:rFonts w:ascii="Century Gothic" w:hAnsi="Century Gothic"/>
          <w:spacing w:val="-15"/>
        </w:rPr>
        <w:t xml:space="preserve"> </w:t>
      </w:r>
      <w:r w:rsidRPr="00910B9D">
        <w:rPr>
          <w:rFonts w:ascii="Century Gothic" w:hAnsi="Century Gothic"/>
        </w:rPr>
        <w:t>de</w:t>
      </w:r>
      <w:r w:rsidRPr="00910B9D">
        <w:rPr>
          <w:rFonts w:ascii="Century Gothic" w:hAnsi="Century Gothic"/>
          <w:spacing w:val="-15"/>
        </w:rPr>
        <w:t xml:space="preserve"> </w:t>
      </w:r>
      <w:r w:rsidRPr="00910B9D">
        <w:rPr>
          <w:rFonts w:ascii="Century Gothic" w:hAnsi="Century Gothic"/>
        </w:rPr>
        <w:t>2011,</w:t>
      </w:r>
      <w:r w:rsidRPr="00910B9D">
        <w:rPr>
          <w:rFonts w:ascii="Century Gothic" w:hAnsi="Century Gothic"/>
          <w:spacing w:val="-15"/>
        </w:rPr>
        <w:t xml:space="preserve"> </w:t>
      </w:r>
      <w:r w:rsidRPr="00910B9D">
        <w:rPr>
          <w:rFonts w:ascii="Century Gothic" w:hAnsi="Century Gothic"/>
        </w:rPr>
        <w:t>la</w:t>
      </w:r>
      <w:r w:rsidRPr="00910B9D">
        <w:rPr>
          <w:rFonts w:ascii="Century Gothic" w:hAnsi="Century Gothic"/>
          <w:spacing w:val="-16"/>
        </w:rPr>
        <w:t xml:space="preserve"> </w:t>
      </w:r>
      <w:r w:rsidRPr="00910B9D">
        <w:rPr>
          <w:rFonts w:ascii="Century Gothic" w:hAnsi="Century Gothic"/>
        </w:rPr>
        <w:t>Agencia</w:t>
      </w:r>
      <w:r w:rsidRPr="00910B9D">
        <w:rPr>
          <w:rFonts w:ascii="Century Gothic" w:hAnsi="Century Gothic"/>
          <w:spacing w:val="-15"/>
        </w:rPr>
        <w:t xml:space="preserve"> </w:t>
      </w:r>
      <w:r w:rsidRPr="00910B9D">
        <w:rPr>
          <w:rFonts w:ascii="Century Gothic" w:hAnsi="Century Gothic"/>
        </w:rPr>
        <w:t>Nacional</w:t>
      </w:r>
      <w:r w:rsidRPr="00910B9D">
        <w:rPr>
          <w:rFonts w:ascii="Century Gothic" w:hAnsi="Century Gothic"/>
          <w:spacing w:val="-15"/>
        </w:rPr>
        <w:t xml:space="preserve"> </w:t>
      </w:r>
      <w:r w:rsidRPr="00910B9D">
        <w:rPr>
          <w:rFonts w:ascii="Century Gothic" w:hAnsi="Century Gothic"/>
        </w:rPr>
        <w:t>de</w:t>
      </w:r>
      <w:r w:rsidRPr="00910B9D">
        <w:rPr>
          <w:rFonts w:ascii="Century Gothic" w:hAnsi="Century Gothic"/>
          <w:spacing w:val="-16"/>
        </w:rPr>
        <w:t xml:space="preserve"> </w:t>
      </w:r>
      <w:r w:rsidRPr="00910B9D">
        <w:rPr>
          <w:rFonts w:ascii="Century Gothic" w:hAnsi="Century Gothic"/>
        </w:rPr>
        <w:t>Contratación</w:t>
      </w:r>
      <w:r w:rsidRPr="00910B9D">
        <w:rPr>
          <w:rFonts w:ascii="Century Gothic" w:hAnsi="Century Gothic"/>
          <w:spacing w:val="-15"/>
        </w:rPr>
        <w:t xml:space="preserve"> </w:t>
      </w:r>
      <w:r w:rsidRPr="00910B9D">
        <w:rPr>
          <w:rFonts w:ascii="Century Gothic" w:hAnsi="Century Gothic"/>
        </w:rPr>
        <w:t>Pública</w:t>
      </w:r>
      <w:r w:rsidRPr="00910B9D">
        <w:rPr>
          <w:rFonts w:ascii="Century Gothic" w:hAnsi="Century Gothic"/>
          <w:spacing w:val="-15"/>
        </w:rPr>
        <w:t xml:space="preserve"> </w:t>
      </w:r>
      <w:r w:rsidRPr="00910B9D">
        <w:rPr>
          <w:rFonts w:ascii="Century Gothic" w:hAnsi="Century Gothic"/>
        </w:rPr>
        <w:t>−</w:t>
      </w:r>
      <w:r w:rsidRPr="00910B9D">
        <w:rPr>
          <w:rFonts w:ascii="Century Gothic" w:hAnsi="Century Gothic"/>
          <w:spacing w:val="-15"/>
        </w:rPr>
        <w:t xml:space="preserve"> </w:t>
      </w:r>
      <w:r w:rsidRPr="00910B9D">
        <w:rPr>
          <w:rFonts w:ascii="Century Gothic" w:hAnsi="Century Gothic"/>
        </w:rPr>
        <w:t>Colombia</w:t>
      </w:r>
      <w:r w:rsidRPr="00910B9D">
        <w:rPr>
          <w:rFonts w:ascii="Century Gothic" w:hAnsi="Century Gothic"/>
          <w:spacing w:val="-16"/>
        </w:rPr>
        <w:t xml:space="preserve"> </w:t>
      </w:r>
      <w:r w:rsidRPr="00910B9D">
        <w:rPr>
          <w:rFonts w:ascii="Century Gothic" w:hAnsi="Century Gothic"/>
        </w:rPr>
        <w:t>Compra Eficiente responde su consulta del 2</w:t>
      </w:r>
      <w:r w:rsidR="002B7DB1" w:rsidRPr="00910B9D">
        <w:rPr>
          <w:rFonts w:ascii="Century Gothic" w:hAnsi="Century Gothic"/>
        </w:rPr>
        <w:t>4</w:t>
      </w:r>
      <w:r w:rsidRPr="00910B9D">
        <w:rPr>
          <w:rFonts w:ascii="Century Gothic" w:hAnsi="Century Gothic"/>
        </w:rPr>
        <w:t xml:space="preserve"> de mayo de 2023. </w:t>
      </w:r>
    </w:p>
    <w:p w14:paraId="5241D501" w14:textId="77777777" w:rsidR="004624B1" w:rsidRPr="00910B9D" w:rsidRDefault="004624B1" w:rsidP="004624B1">
      <w:pPr>
        <w:pStyle w:val="Textoindependiente"/>
        <w:kinsoku w:val="0"/>
        <w:overflowPunct w:val="0"/>
        <w:spacing w:before="3"/>
        <w:rPr>
          <w:rFonts w:ascii="Century Gothic" w:hAnsi="Century Gothic"/>
          <w:sz w:val="25"/>
          <w:szCs w:val="25"/>
        </w:rPr>
      </w:pPr>
    </w:p>
    <w:p w14:paraId="42956878" w14:textId="77777777" w:rsidR="004624B1" w:rsidRPr="00910B9D" w:rsidRDefault="004624B1" w:rsidP="004624B1">
      <w:pPr>
        <w:pStyle w:val="Ttulo1"/>
        <w:numPr>
          <w:ilvl w:val="0"/>
          <w:numId w:val="6"/>
        </w:numPr>
        <w:tabs>
          <w:tab w:val="num" w:pos="360"/>
          <w:tab w:val="left" w:pos="402"/>
        </w:tabs>
        <w:kinsoku w:val="0"/>
        <w:overflowPunct w:val="0"/>
        <w:ind w:left="284"/>
        <w:rPr>
          <w:rFonts w:ascii="Century Gothic" w:hAnsi="Century Gothic"/>
          <w:spacing w:val="-2"/>
        </w:rPr>
      </w:pPr>
      <w:r w:rsidRPr="00910B9D">
        <w:rPr>
          <w:rFonts w:ascii="Century Gothic" w:hAnsi="Century Gothic"/>
        </w:rPr>
        <w:t>Problemas</w:t>
      </w:r>
      <w:r w:rsidRPr="00910B9D">
        <w:rPr>
          <w:rFonts w:ascii="Century Gothic" w:hAnsi="Century Gothic"/>
          <w:spacing w:val="-9"/>
        </w:rPr>
        <w:t xml:space="preserve"> </w:t>
      </w:r>
      <w:r w:rsidRPr="00910B9D">
        <w:rPr>
          <w:rFonts w:ascii="Century Gothic" w:hAnsi="Century Gothic"/>
          <w:spacing w:val="-2"/>
        </w:rPr>
        <w:t>planteados</w:t>
      </w:r>
    </w:p>
    <w:p w14:paraId="78D5AD04" w14:textId="77777777" w:rsidR="004624B1" w:rsidRPr="00910B9D" w:rsidRDefault="004624B1" w:rsidP="004624B1">
      <w:pPr>
        <w:pStyle w:val="Textoindependiente"/>
        <w:kinsoku w:val="0"/>
        <w:overflowPunct w:val="0"/>
        <w:spacing w:before="7"/>
        <w:rPr>
          <w:rFonts w:ascii="Century Gothic" w:hAnsi="Century Gothic"/>
          <w:b/>
          <w:bCs/>
          <w:sz w:val="28"/>
          <w:szCs w:val="28"/>
        </w:rPr>
      </w:pPr>
    </w:p>
    <w:p w14:paraId="7441A059" w14:textId="328E5139" w:rsidR="00AA1C21" w:rsidRPr="00910B9D" w:rsidRDefault="004624B1" w:rsidP="00A50145">
      <w:pPr>
        <w:pStyle w:val="Textoindependiente"/>
        <w:kinsoku w:val="0"/>
        <w:overflowPunct w:val="0"/>
        <w:spacing w:line="276" w:lineRule="auto"/>
        <w:rPr>
          <w:rFonts w:ascii="Century Gothic" w:hAnsi="Century Gothic"/>
        </w:rPr>
      </w:pPr>
      <w:r w:rsidRPr="00910B9D">
        <w:rPr>
          <w:rFonts w:ascii="Century Gothic" w:hAnsi="Century Gothic"/>
        </w:rPr>
        <w:t>Usted</w:t>
      </w:r>
      <w:r w:rsidRPr="00910B9D">
        <w:rPr>
          <w:rFonts w:ascii="Century Gothic" w:hAnsi="Century Gothic"/>
          <w:spacing w:val="-4"/>
        </w:rPr>
        <w:t xml:space="preserve"> </w:t>
      </w:r>
      <w:r w:rsidRPr="00910B9D">
        <w:rPr>
          <w:rFonts w:ascii="Century Gothic" w:hAnsi="Century Gothic"/>
        </w:rPr>
        <w:t>formula</w:t>
      </w:r>
      <w:r w:rsidRPr="00910B9D">
        <w:rPr>
          <w:rFonts w:ascii="Century Gothic" w:hAnsi="Century Gothic"/>
          <w:spacing w:val="-4"/>
        </w:rPr>
        <w:t xml:space="preserve"> </w:t>
      </w:r>
      <w:r w:rsidR="009F7241" w:rsidRPr="00910B9D">
        <w:rPr>
          <w:rFonts w:ascii="Century Gothic" w:hAnsi="Century Gothic"/>
        </w:rPr>
        <w:t>varias preguntas</w:t>
      </w:r>
      <w:r w:rsidR="00AA1C21" w:rsidRPr="00910B9D">
        <w:rPr>
          <w:rFonts w:ascii="Century Gothic" w:hAnsi="Century Gothic"/>
        </w:rPr>
        <w:t xml:space="preserve">: </w:t>
      </w:r>
    </w:p>
    <w:p w14:paraId="5BB7B94F" w14:textId="77777777" w:rsidR="00E6536A" w:rsidRPr="00910B9D" w:rsidRDefault="00E6536A" w:rsidP="00213435">
      <w:pPr>
        <w:pStyle w:val="Textoindependiente"/>
        <w:kinsoku w:val="0"/>
        <w:overflowPunct w:val="0"/>
        <w:spacing w:line="276" w:lineRule="auto"/>
        <w:jc w:val="both"/>
        <w:rPr>
          <w:rFonts w:ascii="Century Gothic" w:hAnsi="Century Gothic"/>
        </w:rPr>
      </w:pPr>
    </w:p>
    <w:p w14:paraId="400A7678" w14:textId="249B549F" w:rsidR="00213435" w:rsidRPr="00910B9D" w:rsidRDefault="005034EF" w:rsidP="00D35C55">
      <w:pPr>
        <w:pStyle w:val="Textoindependiente"/>
        <w:kinsoku w:val="0"/>
        <w:overflowPunct w:val="0"/>
        <w:ind w:left="709" w:right="709"/>
        <w:jc w:val="both"/>
        <w:rPr>
          <w:rFonts w:ascii="Century Gothic" w:hAnsi="Century Gothic"/>
          <w:spacing w:val="-2"/>
          <w:sz w:val="21"/>
          <w:szCs w:val="21"/>
        </w:rPr>
      </w:pPr>
      <w:r>
        <w:rPr>
          <w:rFonts w:ascii="Century Gothic" w:hAnsi="Century Gothic"/>
          <w:spacing w:val="-2"/>
          <w:sz w:val="21"/>
          <w:szCs w:val="21"/>
        </w:rPr>
        <w:t xml:space="preserve">“1. </w:t>
      </w:r>
      <w:r w:rsidR="00213435" w:rsidRPr="00910B9D">
        <w:rPr>
          <w:rFonts w:ascii="Century Gothic" w:hAnsi="Century Gothic"/>
          <w:spacing w:val="-2"/>
          <w:sz w:val="21"/>
          <w:szCs w:val="21"/>
        </w:rPr>
        <w:t>¿se le debe descontar un (1) punto del factor de calidad, teniendo en cuenta que el representante legal de una de las personas jurídicas que</w:t>
      </w:r>
      <w:r w:rsidR="004E1A5D" w:rsidRPr="00910B9D">
        <w:rPr>
          <w:rFonts w:ascii="Century Gothic" w:hAnsi="Century Gothic"/>
          <w:spacing w:val="-2"/>
          <w:sz w:val="21"/>
          <w:szCs w:val="21"/>
        </w:rPr>
        <w:t xml:space="preserve"> </w:t>
      </w:r>
      <w:r w:rsidR="00213435" w:rsidRPr="00910B9D">
        <w:rPr>
          <w:rFonts w:ascii="Century Gothic" w:hAnsi="Century Gothic"/>
          <w:spacing w:val="-2"/>
          <w:sz w:val="21"/>
          <w:szCs w:val="21"/>
        </w:rPr>
        <w:t>integra el consorcio esta reportado en el registro nacional de obras inconclusas de la Contraloría General de la República.</w:t>
      </w:r>
    </w:p>
    <w:p w14:paraId="15548EB7" w14:textId="6C2BE6C9" w:rsidR="00213435" w:rsidRPr="00910B9D" w:rsidRDefault="00213435" w:rsidP="00D35C55">
      <w:pPr>
        <w:pStyle w:val="Textoindependiente"/>
        <w:kinsoku w:val="0"/>
        <w:overflowPunct w:val="0"/>
        <w:ind w:left="709" w:right="709"/>
        <w:jc w:val="both"/>
        <w:rPr>
          <w:rFonts w:ascii="Century Gothic" w:hAnsi="Century Gothic"/>
          <w:spacing w:val="-2"/>
          <w:sz w:val="21"/>
          <w:szCs w:val="21"/>
        </w:rPr>
      </w:pPr>
      <w:r w:rsidRPr="00910B9D">
        <w:rPr>
          <w:rFonts w:ascii="Century Gothic" w:hAnsi="Century Gothic"/>
          <w:spacing w:val="-2"/>
          <w:sz w:val="21"/>
          <w:szCs w:val="21"/>
        </w:rPr>
        <w:t>2. ¿cuál es la vigencia del reporte en el registro nacional de obras inconclusas de la Contraloría General de la República?</w:t>
      </w:r>
    </w:p>
    <w:p w14:paraId="0A0DCB45" w14:textId="7A27E620" w:rsidR="00213435" w:rsidRPr="00910B9D" w:rsidRDefault="00213435" w:rsidP="00D35C55">
      <w:pPr>
        <w:pStyle w:val="Textoindependiente"/>
        <w:kinsoku w:val="0"/>
        <w:overflowPunct w:val="0"/>
        <w:ind w:left="709" w:right="709"/>
        <w:jc w:val="both"/>
        <w:rPr>
          <w:rFonts w:ascii="Century Gothic" w:hAnsi="Century Gothic"/>
          <w:spacing w:val="-2"/>
          <w:sz w:val="21"/>
          <w:szCs w:val="21"/>
        </w:rPr>
      </w:pPr>
      <w:r w:rsidRPr="00910B9D">
        <w:rPr>
          <w:rFonts w:ascii="Century Gothic" w:hAnsi="Century Gothic"/>
          <w:spacing w:val="-2"/>
          <w:sz w:val="21"/>
          <w:szCs w:val="21"/>
        </w:rPr>
        <w:t>3. ¿puede desmejorarse la calificación del oferente (consorcio) cuando este se conforma es por personas jurídicas, las cuales no están reportadas en obras inconclusas, pero uno de sus representantes legales y/o accionistas si lo está?</w:t>
      </w:r>
    </w:p>
    <w:p w14:paraId="6484E420" w14:textId="2016A086" w:rsidR="00213435" w:rsidRPr="00910B9D" w:rsidRDefault="00213435" w:rsidP="00D35C55">
      <w:pPr>
        <w:pStyle w:val="Textoindependiente"/>
        <w:kinsoku w:val="0"/>
        <w:overflowPunct w:val="0"/>
        <w:ind w:left="709" w:right="709"/>
        <w:jc w:val="both"/>
        <w:rPr>
          <w:rFonts w:ascii="Century Gothic" w:hAnsi="Century Gothic"/>
          <w:spacing w:val="-2"/>
          <w:sz w:val="21"/>
          <w:szCs w:val="21"/>
        </w:rPr>
      </w:pPr>
      <w:r w:rsidRPr="00910B9D">
        <w:rPr>
          <w:rFonts w:ascii="Century Gothic" w:hAnsi="Century Gothic"/>
          <w:spacing w:val="-2"/>
          <w:sz w:val="21"/>
          <w:szCs w:val="21"/>
        </w:rPr>
        <w:t>4. ¿es válido tener en cuenta la observación de descalificación de uno de los oferentes en contra de otro oferente en una etapa posterior al traslado del informe de evaluación?</w:t>
      </w:r>
    </w:p>
    <w:p w14:paraId="37D54C2F" w14:textId="4A4BC043" w:rsidR="00213435" w:rsidRPr="00910B9D" w:rsidRDefault="00213435" w:rsidP="00D35C55">
      <w:pPr>
        <w:pStyle w:val="Textoindependiente"/>
        <w:kinsoku w:val="0"/>
        <w:overflowPunct w:val="0"/>
        <w:ind w:left="709" w:right="709"/>
        <w:jc w:val="both"/>
        <w:rPr>
          <w:rFonts w:ascii="Century Gothic" w:hAnsi="Century Gothic"/>
          <w:spacing w:val="-2"/>
          <w:sz w:val="21"/>
          <w:szCs w:val="21"/>
        </w:rPr>
      </w:pPr>
      <w:r w:rsidRPr="00910B9D">
        <w:rPr>
          <w:rFonts w:ascii="Century Gothic" w:hAnsi="Century Gothic"/>
          <w:spacing w:val="-2"/>
          <w:sz w:val="21"/>
          <w:szCs w:val="21"/>
        </w:rPr>
        <w:t>5. ¿la entidad estatal al realizar la apertura de sobres solo corre traslado a los proponentes habilitados SOLO para revisión de aspectos económicos?</w:t>
      </w:r>
    </w:p>
    <w:p w14:paraId="385B6219" w14:textId="0DF16371" w:rsidR="004624B1" w:rsidRPr="00910B9D" w:rsidRDefault="00213435" w:rsidP="00D35C55">
      <w:pPr>
        <w:pStyle w:val="Textoindependiente"/>
        <w:kinsoku w:val="0"/>
        <w:overflowPunct w:val="0"/>
        <w:ind w:left="709" w:right="709"/>
        <w:jc w:val="both"/>
        <w:rPr>
          <w:rFonts w:ascii="Century Gothic" w:hAnsi="Century Gothic"/>
          <w:spacing w:val="-2"/>
          <w:sz w:val="21"/>
          <w:szCs w:val="21"/>
        </w:rPr>
      </w:pPr>
      <w:r w:rsidRPr="00910B9D">
        <w:rPr>
          <w:rFonts w:ascii="Century Gothic" w:hAnsi="Century Gothic"/>
          <w:spacing w:val="-2"/>
          <w:sz w:val="21"/>
          <w:szCs w:val="21"/>
        </w:rPr>
        <w:t>6. ¿Para calificar el reporte en el registro nacional de obras inconclusas, debe tenerse en cuenta cual fue el objeto o tipo de contrato por el cual se reportó, y descartar si este no es de la misma clase de contrato que el que se está evaluando?</w:t>
      </w:r>
      <w:r w:rsidR="004624B1" w:rsidRPr="00910B9D">
        <w:rPr>
          <w:rFonts w:ascii="Century Gothic" w:hAnsi="Century Gothic"/>
          <w:spacing w:val="-2"/>
          <w:sz w:val="21"/>
          <w:szCs w:val="21"/>
        </w:rPr>
        <w:t>”</w:t>
      </w:r>
      <w:r w:rsidR="005034EF">
        <w:rPr>
          <w:rFonts w:ascii="Century Gothic" w:hAnsi="Century Gothic"/>
          <w:spacing w:val="-2"/>
          <w:sz w:val="21"/>
          <w:szCs w:val="21"/>
        </w:rPr>
        <w:t xml:space="preserve"> </w:t>
      </w:r>
      <w:r w:rsidR="00A50145">
        <w:rPr>
          <w:rFonts w:ascii="Century Gothic" w:hAnsi="Century Gothic"/>
          <w:spacing w:val="-2"/>
          <w:sz w:val="21"/>
          <w:szCs w:val="21"/>
        </w:rPr>
        <w:t>(Sic).</w:t>
      </w:r>
    </w:p>
    <w:p w14:paraId="24CF2570" w14:textId="77777777" w:rsidR="004624B1" w:rsidRPr="00910B9D" w:rsidRDefault="004624B1" w:rsidP="004624B1">
      <w:pPr>
        <w:pStyle w:val="Textoindependiente"/>
        <w:kinsoku w:val="0"/>
        <w:overflowPunct w:val="0"/>
        <w:spacing w:before="5"/>
        <w:rPr>
          <w:rFonts w:ascii="Century Gothic" w:hAnsi="Century Gothic"/>
          <w:sz w:val="31"/>
          <w:szCs w:val="31"/>
        </w:rPr>
      </w:pPr>
    </w:p>
    <w:p w14:paraId="39DBF0B0" w14:textId="77777777" w:rsidR="004624B1" w:rsidRPr="00910B9D" w:rsidRDefault="004624B1" w:rsidP="004624B1">
      <w:pPr>
        <w:pStyle w:val="Ttulo1"/>
        <w:numPr>
          <w:ilvl w:val="0"/>
          <w:numId w:val="6"/>
        </w:numPr>
        <w:tabs>
          <w:tab w:val="num" w:pos="360"/>
          <w:tab w:val="left" w:pos="402"/>
        </w:tabs>
        <w:kinsoku w:val="0"/>
        <w:overflowPunct w:val="0"/>
        <w:ind w:left="426" w:hanging="491"/>
        <w:rPr>
          <w:rFonts w:ascii="Century Gothic" w:hAnsi="Century Gothic"/>
          <w:spacing w:val="-2"/>
        </w:rPr>
      </w:pPr>
      <w:r w:rsidRPr="00910B9D">
        <w:rPr>
          <w:rFonts w:ascii="Century Gothic" w:hAnsi="Century Gothic"/>
          <w:spacing w:val="-2"/>
        </w:rPr>
        <w:t>Consideraciones</w:t>
      </w:r>
    </w:p>
    <w:p w14:paraId="45AD4FDA" w14:textId="77777777" w:rsidR="004624B1" w:rsidRPr="00910B9D" w:rsidRDefault="004624B1" w:rsidP="004624B1">
      <w:pPr>
        <w:pStyle w:val="Ttulo1"/>
        <w:tabs>
          <w:tab w:val="left" w:pos="402"/>
        </w:tabs>
        <w:kinsoku w:val="0"/>
        <w:overflowPunct w:val="0"/>
        <w:ind w:left="1080" w:firstLine="0"/>
        <w:rPr>
          <w:rFonts w:ascii="Century Gothic" w:hAnsi="Century Gothic"/>
          <w:spacing w:val="-2"/>
        </w:rPr>
      </w:pPr>
    </w:p>
    <w:p w14:paraId="7A887FD8" w14:textId="77777777" w:rsidR="00BF5F95" w:rsidRPr="00BF5F95" w:rsidRDefault="00BF5F95" w:rsidP="00BF5F95">
      <w:pPr>
        <w:spacing w:line="276" w:lineRule="auto"/>
        <w:jc w:val="both"/>
        <w:rPr>
          <w:rFonts w:ascii="Century Gothic" w:hAnsi="Century Gothic" w:cs="Arial"/>
          <w:lang w:val="es-ES"/>
        </w:rPr>
      </w:pPr>
      <w:r w:rsidRPr="00BF5F95">
        <w:rPr>
          <w:rFonts w:ascii="Century Gothic" w:hAnsi="Century Gothic" w:cs="Arial"/>
          <w:bCs/>
        </w:rPr>
        <w:t xml:space="preserve">La Agencia Nacional de Contratación Pública – Colombia Compra Eficiente resuelve consultas sobre </w:t>
      </w:r>
      <w:r w:rsidRPr="00BF5F95">
        <w:rPr>
          <w:rFonts w:ascii="Century Gothic" w:hAnsi="Century Gothic" w:cs="Arial"/>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BF5F95">
        <w:rPr>
          <w:rFonts w:ascii="Century Gothic" w:hAnsi="Century Gothic" w:cs="Arial"/>
          <w:bCs/>
        </w:rPr>
        <w:t xml:space="preserve"> de todos los partícipes de la contratación estatal ni para interpretar el alcance de cualquier norma vigente en el ordenamiento jurídico.</w:t>
      </w:r>
    </w:p>
    <w:p w14:paraId="556266F3" w14:textId="77777777" w:rsidR="004624B1" w:rsidRPr="00910B9D" w:rsidRDefault="004624B1" w:rsidP="004624B1">
      <w:pPr>
        <w:spacing w:after="120" w:line="276" w:lineRule="auto"/>
        <w:ind w:firstLine="708"/>
        <w:jc w:val="both"/>
        <w:rPr>
          <w:rFonts w:ascii="Century Gothic" w:eastAsia="Calibri" w:hAnsi="Century Gothic" w:cs="Arial"/>
          <w:lang w:val="es-ES_tradnl"/>
        </w:rPr>
      </w:pPr>
      <w:r w:rsidRPr="00910B9D">
        <w:rPr>
          <w:rFonts w:ascii="Century Gothic" w:eastAsia="Calibri" w:hAnsi="Century Gothic" w:cs="Arial"/>
          <w:lang w:val="es-ES_tradnl"/>
        </w:rPr>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mucho menos pronunciarse por la presunta responsabilidad en que se puede derivar de las actuaciones adelantadas en los procesos de contratación estatal dado que este último aspecto es de competencia restrictiva de la rama judicial y de los entes de control, según corresponda. </w:t>
      </w:r>
    </w:p>
    <w:p w14:paraId="3B145E55" w14:textId="6873C8B0" w:rsidR="004624B1" w:rsidRPr="00910B9D" w:rsidRDefault="004624B1" w:rsidP="004624B1">
      <w:pPr>
        <w:spacing w:after="120" w:line="276" w:lineRule="auto"/>
        <w:ind w:firstLine="708"/>
        <w:jc w:val="both"/>
        <w:rPr>
          <w:rFonts w:ascii="Century Gothic" w:eastAsia="Calibri" w:hAnsi="Century Gothic" w:cs="Arial"/>
          <w:lang w:val="es-ES_tradnl"/>
        </w:rPr>
      </w:pPr>
      <w:r w:rsidRPr="00910B9D">
        <w:rPr>
          <w:rFonts w:ascii="Century Gothic" w:eastAsia="Calibri" w:hAnsi="Century Gothic" w:cs="Arial"/>
        </w:rPr>
        <w:t xml:space="preserve">Así las cosas, </w:t>
      </w:r>
      <w:r w:rsidRPr="00910B9D">
        <w:rPr>
          <w:rFonts w:ascii="Century Gothic" w:eastAsia="Calibri" w:hAnsi="Century Gothic" w:cs="Arial"/>
          <w:lang w:val="es-ES"/>
        </w:rPr>
        <w:t xml:space="preserve">la Agencia –dentro de los límites de sus atribuciones, esto es, </w:t>
      </w:r>
      <w:bookmarkStart w:id="1" w:name="_Hlk61025408"/>
      <w:r w:rsidRPr="00910B9D">
        <w:rPr>
          <w:rFonts w:ascii="Century Gothic" w:eastAsia="Calibri" w:hAnsi="Century Gothic" w:cs="Arial"/>
          <w:lang w:val="es-ES"/>
        </w:rPr>
        <w:t>haciendo abstracción del caso particular expuesto</w:t>
      </w:r>
      <w:bookmarkEnd w:id="1"/>
      <w:r w:rsidRPr="00910B9D">
        <w:rPr>
          <w:rFonts w:ascii="Century Gothic" w:eastAsia="Calibri" w:hAnsi="Century Gothic" w:cs="Arial"/>
          <w:lang w:val="es-ES"/>
        </w:rPr>
        <w:t xml:space="preserve">–, resolverá la consulta conforme a las normas generales en materia de contratación estatal. </w:t>
      </w:r>
      <w:r w:rsidRPr="00910B9D">
        <w:rPr>
          <w:rFonts w:ascii="Century Gothic" w:eastAsia="Calibri" w:hAnsi="Century Gothic" w:cs="Arial"/>
          <w:color w:val="000000"/>
          <w:lang w:eastAsia="es-ES_tradnl"/>
        </w:rPr>
        <w:t xml:space="preserve">Para responder sus interrogantes, </w:t>
      </w:r>
      <w:r w:rsidRPr="00910B9D">
        <w:rPr>
          <w:rFonts w:ascii="Century Gothic" w:eastAsia="Calibri" w:hAnsi="Century Gothic" w:cs="Arial"/>
          <w:color w:val="000000"/>
          <w:szCs w:val="24"/>
          <w:lang w:val="es-ES" w:eastAsia="es-ES_tradnl"/>
        </w:rPr>
        <w:t>se analizarán los siguientes temas</w:t>
      </w:r>
      <w:r w:rsidRPr="00910B9D">
        <w:rPr>
          <w:rFonts w:ascii="Century Gothic" w:eastAsia="Calibri" w:hAnsi="Century Gothic" w:cs="Arial"/>
          <w:bCs/>
          <w:color w:val="000000"/>
          <w:szCs w:val="24"/>
          <w:lang w:eastAsia="es-ES_tradnl"/>
        </w:rPr>
        <w:t xml:space="preserve">: </w:t>
      </w:r>
      <w:r w:rsidRPr="00910B9D">
        <w:rPr>
          <w:rFonts w:ascii="Century Gothic" w:eastAsia="Times New Roman" w:hAnsi="Century Gothic" w:cs="Arial"/>
          <w:szCs w:val="24"/>
          <w:lang w:val="es-ES_tradnl" w:eastAsia="es-ES_tradnl"/>
        </w:rPr>
        <w:t>i)</w:t>
      </w:r>
      <w:r w:rsidRPr="00910B9D">
        <w:rPr>
          <w:rFonts w:ascii="Century Gothic" w:eastAsia="Times New Roman" w:hAnsi="Century Gothic" w:cs="Arial"/>
          <w:color w:val="000000"/>
          <w:szCs w:val="24"/>
          <w:lang w:val="es-ES_tradnl" w:eastAsia="es-ES_tradnl"/>
        </w:rPr>
        <w:t xml:space="preserve"> el Registro Nacional de Obras Civiles Inconclusas y ii) el </w:t>
      </w:r>
      <w:r w:rsidRPr="00910B9D">
        <w:rPr>
          <w:rFonts w:ascii="Century Gothic" w:eastAsia="Calibri" w:hAnsi="Century Gothic" w:cs="Arial"/>
          <w:color w:val="000000"/>
          <w:szCs w:val="24"/>
          <w:lang w:val="es-ES_tradnl" w:eastAsia="en-GB"/>
        </w:rPr>
        <w:t xml:space="preserve">deber de </w:t>
      </w:r>
      <w:r w:rsidR="00E9424F">
        <w:rPr>
          <w:rFonts w:ascii="Century Gothic" w:eastAsia="Calibri" w:hAnsi="Century Gothic" w:cs="Arial"/>
          <w:color w:val="000000"/>
          <w:szCs w:val="24"/>
          <w:lang w:val="es-ES_tradnl" w:eastAsia="en-GB"/>
        </w:rPr>
        <w:t xml:space="preserve">consultar </w:t>
      </w:r>
      <w:r w:rsidRPr="00910B9D">
        <w:rPr>
          <w:rFonts w:ascii="Century Gothic" w:eastAsia="Calibri" w:hAnsi="Century Gothic" w:cs="Arial"/>
          <w:color w:val="000000"/>
          <w:szCs w:val="24"/>
          <w:lang w:val="es-ES_tradnl" w:eastAsia="en-GB"/>
        </w:rPr>
        <w:t>el Registro Nacional de Obras Civiles Inconclusas en la evaluación de factores de calidad para la selección de contratistas de obra o interventores</w:t>
      </w:r>
      <w:r w:rsidRPr="00910B9D">
        <w:rPr>
          <w:rFonts w:ascii="Century Gothic" w:eastAsia="Times New Roman" w:hAnsi="Century Gothic" w:cs="Arial"/>
          <w:bCs/>
          <w:iCs/>
          <w:color w:val="000000"/>
          <w:szCs w:val="24"/>
          <w:lang w:val="es-ES_tradnl" w:eastAsia="es-ES_tradnl"/>
        </w:rPr>
        <w:t xml:space="preserve">; iii) </w:t>
      </w:r>
      <w:r w:rsidRPr="00910B9D">
        <w:rPr>
          <w:rFonts w:ascii="Century Gothic" w:eastAsia="Times New Roman" w:hAnsi="Century Gothic" w:cs="Arial"/>
          <w:color w:val="000000"/>
          <w:szCs w:val="24"/>
          <w:lang w:eastAsia="es-ES_tradnl"/>
        </w:rPr>
        <w:t>análisis de las anotaciones del Registro Nacional de Obras Civiles Inconclusas en los documentos tipo</w:t>
      </w:r>
      <w:r w:rsidR="00AC3279">
        <w:rPr>
          <w:rFonts w:ascii="Century Gothic" w:eastAsia="Times New Roman" w:hAnsi="Century Gothic" w:cs="Arial"/>
          <w:color w:val="000000"/>
          <w:szCs w:val="24"/>
          <w:lang w:eastAsia="es-ES_tradnl"/>
        </w:rPr>
        <w:t xml:space="preserve"> adoptados por la Agencia</w:t>
      </w:r>
      <w:r w:rsidR="005F3694">
        <w:rPr>
          <w:rFonts w:ascii="Century Gothic" w:eastAsia="Times New Roman" w:hAnsi="Century Gothic" w:cs="Arial"/>
          <w:color w:val="000000"/>
          <w:szCs w:val="24"/>
          <w:lang w:eastAsia="es-ES_tradnl"/>
        </w:rPr>
        <w:t>; iv)</w:t>
      </w:r>
      <w:r w:rsidR="00F703F9" w:rsidRPr="00F703F9">
        <w:rPr>
          <w:rFonts w:ascii="Century Gothic" w:eastAsia="Times New Roman" w:hAnsi="Century Gothic" w:cs="Arial"/>
          <w:color w:val="000000"/>
          <w:szCs w:val="24"/>
          <w:lang w:val="es-ES_tradnl" w:eastAsia="es-ES_tradnl"/>
        </w:rPr>
        <w:t xml:space="preserve"> </w:t>
      </w:r>
      <w:r w:rsidR="00CB0734">
        <w:rPr>
          <w:rFonts w:ascii="Century Gothic" w:eastAsia="Times New Roman" w:hAnsi="Century Gothic" w:cs="Arial"/>
          <w:color w:val="000000"/>
          <w:szCs w:val="24"/>
          <w:lang w:eastAsia="es-ES_tradnl"/>
        </w:rPr>
        <w:t xml:space="preserve">vigencia de la anotación en el </w:t>
      </w:r>
      <w:r w:rsidR="00F703F9" w:rsidRPr="00910B9D">
        <w:rPr>
          <w:rFonts w:ascii="Century Gothic" w:eastAsia="Times New Roman" w:hAnsi="Century Gothic" w:cs="Arial"/>
          <w:color w:val="000000"/>
          <w:szCs w:val="24"/>
          <w:lang w:val="es-ES_tradnl" w:eastAsia="es-ES_tradnl"/>
        </w:rPr>
        <w:t>Registro Nacional de Obras Civiles Inconclusas</w:t>
      </w:r>
      <w:r w:rsidR="00CB0734">
        <w:rPr>
          <w:rFonts w:ascii="Century Gothic" w:eastAsia="Times New Roman" w:hAnsi="Century Gothic" w:cs="Arial"/>
          <w:color w:val="000000"/>
          <w:szCs w:val="24"/>
          <w:lang w:val="es-ES_tradnl" w:eastAsia="es-ES_tradnl"/>
        </w:rPr>
        <w:t>; y,</w:t>
      </w:r>
      <w:r w:rsidR="005B3712">
        <w:rPr>
          <w:rFonts w:ascii="Century Gothic" w:eastAsia="Times New Roman" w:hAnsi="Century Gothic" w:cs="Arial"/>
          <w:color w:val="000000"/>
          <w:szCs w:val="24"/>
          <w:lang w:val="es-ES_tradnl" w:eastAsia="es-ES_tradnl"/>
        </w:rPr>
        <w:t xml:space="preserve"> </w:t>
      </w:r>
      <w:r w:rsidR="00CB0734">
        <w:rPr>
          <w:rFonts w:ascii="Century Gothic" w:eastAsia="Times New Roman" w:hAnsi="Century Gothic" w:cs="Arial"/>
          <w:color w:val="000000"/>
          <w:szCs w:val="24"/>
          <w:lang w:val="es-ES_tradnl" w:eastAsia="es-ES_tradnl"/>
        </w:rPr>
        <w:t>v)</w:t>
      </w:r>
      <w:r w:rsidR="00F703F9" w:rsidRPr="00910B9D">
        <w:rPr>
          <w:rFonts w:ascii="Century Gothic" w:eastAsia="Times New Roman" w:hAnsi="Century Gothic" w:cs="Arial"/>
          <w:color w:val="000000"/>
          <w:szCs w:val="24"/>
          <w:lang w:val="es-ES_tradnl" w:eastAsia="es-ES_tradnl"/>
        </w:rPr>
        <w:t xml:space="preserve"> </w:t>
      </w:r>
      <w:r w:rsidR="00F703F9">
        <w:rPr>
          <w:rFonts w:ascii="Century Gothic" w:eastAsia="Times New Roman" w:hAnsi="Century Gothic" w:cs="Arial"/>
          <w:color w:val="000000"/>
          <w:szCs w:val="24"/>
          <w:lang w:eastAsia="es-ES_tradnl"/>
        </w:rPr>
        <w:t>el plazo para presentar y resolver observaciones</w:t>
      </w:r>
      <w:r w:rsidRPr="00910B9D">
        <w:rPr>
          <w:rFonts w:ascii="Century Gothic" w:eastAsia="Times New Roman" w:hAnsi="Century Gothic" w:cs="Arial"/>
          <w:color w:val="000000"/>
          <w:szCs w:val="24"/>
          <w:lang w:eastAsia="es-ES_tradnl"/>
        </w:rPr>
        <w:t>.</w:t>
      </w:r>
    </w:p>
    <w:p w14:paraId="27FBC8A1" w14:textId="77777777" w:rsidR="00680380" w:rsidRDefault="004624B1" w:rsidP="004624B1">
      <w:pPr>
        <w:spacing w:before="120" w:after="0" w:line="276" w:lineRule="auto"/>
        <w:ind w:firstLine="709"/>
        <w:jc w:val="both"/>
        <w:rPr>
          <w:rFonts w:ascii="Century Gothic" w:eastAsia="Times New Roman" w:hAnsi="Century Gothic" w:cs="Arial"/>
          <w:szCs w:val="24"/>
          <w:lang w:val="es-ES_tradnl" w:eastAsia="es-ES_tradnl"/>
        </w:rPr>
      </w:pPr>
      <w:r w:rsidRPr="00910B9D">
        <w:rPr>
          <w:rFonts w:ascii="Century Gothic" w:eastAsia="Times New Roman" w:hAnsi="Century Gothic" w:cs="Arial"/>
          <w:szCs w:val="24"/>
          <w:lang w:val="es-ES_tradnl" w:eastAsia="es-ES_tradnl"/>
        </w:rPr>
        <w:t xml:space="preserve">La Agencia Nacional de Contratación Pública – Colombia Compra Eficiente, en los conceptos </w:t>
      </w:r>
      <w:r w:rsidRPr="00910B9D">
        <w:rPr>
          <w:rFonts w:ascii="Century Gothic" w:eastAsia="Times New Roman" w:hAnsi="Century Gothic" w:cs="Arial"/>
          <w:color w:val="000000"/>
          <w:szCs w:val="24"/>
          <w:lang w:val="es-ES_tradnl" w:eastAsia="es-ES_tradnl"/>
        </w:rPr>
        <w:t>C-712 del 28 de diciembre de 2020, C-088 del 17 de marzo de 2021, C-110 del 29 de marzo de 2021, C-203 del 3 de mayo de 2021, C-333 del 9 de julio de 2021, C-551 del 30 de septiembre de 2021, C-571 del 13 de octubre de 2021, C-591 del 21 de octubre de 2021, C-600 del 26 de octubre de 2021, C-626 del 9 de noviembre de 2021</w:t>
      </w:r>
      <w:r w:rsidR="00924414">
        <w:rPr>
          <w:rFonts w:ascii="Century Gothic" w:eastAsia="Times New Roman" w:hAnsi="Century Gothic" w:cs="Arial"/>
          <w:color w:val="000000"/>
          <w:szCs w:val="24"/>
          <w:lang w:val="es-ES_tradnl" w:eastAsia="es-ES_tradnl"/>
        </w:rPr>
        <w:t xml:space="preserve">, </w:t>
      </w:r>
      <w:r w:rsidRPr="00910B9D">
        <w:rPr>
          <w:rFonts w:ascii="Century Gothic" w:eastAsia="Times New Roman" w:hAnsi="Century Gothic" w:cs="Arial"/>
          <w:color w:val="000000"/>
          <w:szCs w:val="24"/>
          <w:lang w:val="es-ES_tradnl" w:eastAsia="es-ES_tradnl"/>
        </w:rPr>
        <w:t>C-747 de 4 de febrero de 2022, C-194 del 12 de abril de 2022, C – 391 de 9 de agosto de 2022, C- 525 de 16 de agosto de 2022, C-632 de 30 de agosto de 2022, C-924 de 28 de diciembre de 2022</w:t>
      </w:r>
      <w:r w:rsidR="00924414">
        <w:rPr>
          <w:rFonts w:ascii="Century Gothic" w:eastAsia="Times New Roman" w:hAnsi="Century Gothic" w:cs="Arial"/>
          <w:color w:val="000000"/>
          <w:szCs w:val="24"/>
          <w:lang w:val="es-ES_tradnl" w:eastAsia="es-ES_tradnl"/>
        </w:rPr>
        <w:t xml:space="preserve"> y C</w:t>
      </w:r>
      <w:r w:rsidR="00491CB6">
        <w:rPr>
          <w:rFonts w:ascii="Century Gothic" w:eastAsia="Times New Roman" w:hAnsi="Century Gothic" w:cs="Arial"/>
          <w:color w:val="000000"/>
          <w:szCs w:val="24"/>
          <w:lang w:val="es-ES_tradnl" w:eastAsia="es-ES_tradnl"/>
        </w:rPr>
        <w:t xml:space="preserve">- </w:t>
      </w:r>
      <w:r w:rsidR="00B16B20">
        <w:rPr>
          <w:rFonts w:ascii="Century Gothic" w:eastAsia="Times New Roman" w:hAnsi="Century Gothic" w:cs="Arial"/>
          <w:color w:val="000000"/>
          <w:szCs w:val="24"/>
          <w:lang w:val="es-ES_tradnl" w:eastAsia="es-ES_tradnl"/>
        </w:rPr>
        <w:t>246</w:t>
      </w:r>
      <w:r w:rsidR="00491CB6">
        <w:rPr>
          <w:rFonts w:ascii="Century Gothic" w:eastAsia="Times New Roman" w:hAnsi="Century Gothic" w:cs="Arial"/>
          <w:color w:val="000000"/>
          <w:szCs w:val="24"/>
          <w:lang w:val="es-ES_tradnl" w:eastAsia="es-ES_tradnl"/>
        </w:rPr>
        <w:t xml:space="preserve"> del 4 de julio de 2023</w:t>
      </w:r>
      <w:r w:rsidR="00263185">
        <w:rPr>
          <w:rStyle w:val="Refdenotaalpie"/>
          <w:rFonts w:ascii="Century Gothic" w:eastAsia="Times New Roman" w:hAnsi="Century Gothic" w:cs="Arial"/>
          <w:color w:val="000000"/>
          <w:szCs w:val="24"/>
          <w:lang w:val="es-ES_tradnl" w:eastAsia="es-ES_tradnl"/>
        </w:rPr>
        <w:footnoteReference w:id="2"/>
      </w:r>
      <w:r w:rsidRPr="00910B9D">
        <w:rPr>
          <w:rFonts w:ascii="Century Gothic" w:eastAsia="Times New Roman" w:hAnsi="Century Gothic" w:cs="Arial"/>
          <w:color w:val="000000"/>
          <w:szCs w:val="24"/>
          <w:lang w:val="es-ES_tradnl" w:eastAsia="es-ES_tradnl"/>
        </w:rPr>
        <w:t>, entre otros, se pronunció sobre el Registro Nacional de Obras Civiles Inconclusas.</w:t>
      </w:r>
      <w:r w:rsidRPr="00910B9D">
        <w:rPr>
          <w:rFonts w:ascii="Century Gothic" w:eastAsia="Times New Roman" w:hAnsi="Century Gothic" w:cs="Arial"/>
          <w:szCs w:val="24"/>
          <w:lang w:val="es-ES_tradnl" w:eastAsia="es-ES_tradnl"/>
        </w:rPr>
        <w:t xml:space="preserve"> </w:t>
      </w:r>
    </w:p>
    <w:p w14:paraId="1773A57E" w14:textId="5C5BF8FB" w:rsidR="004624B1" w:rsidRPr="00910B9D" w:rsidRDefault="00C554D6" w:rsidP="004624B1">
      <w:pPr>
        <w:spacing w:before="120" w:after="0" w:line="276" w:lineRule="auto"/>
        <w:ind w:firstLine="709"/>
        <w:jc w:val="both"/>
        <w:rPr>
          <w:rFonts w:ascii="Century Gothic" w:eastAsia="Times New Roman" w:hAnsi="Century Gothic" w:cs="Arial"/>
          <w:szCs w:val="24"/>
          <w:lang w:val="es-ES_tradnl" w:eastAsia="es-ES_tradnl"/>
        </w:rPr>
      </w:pPr>
      <w:r>
        <w:rPr>
          <w:rFonts w:ascii="Century Gothic" w:eastAsia="Times New Roman" w:hAnsi="Century Gothic" w:cs="Arial"/>
          <w:szCs w:val="24"/>
          <w:lang w:val="es-ES_tradnl" w:eastAsia="es-ES_tradnl"/>
        </w:rPr>
        <w:t xml:space="preserve">Por su parte, </w:t>
      </w:r>
      <w:r w:rsidRPr="00C554D6">
        <w:rPr>
          <w:rFonts w:ascii="Century Gothic" w:eastAsia="Times New Roman" w:hAnsi="Century Gothic" w:cs="Arial"/>
          <w:szCs w:val="24"/>
          <w:lang w:val="es-ES_tradnl" w:eastAsia="es-ES_tradnl"/>
        </w:rPr>
        <w:t>en los conceptos con radicados números 4201614000005342 del 8 de noviembre de 2016, 4201714000002354 del 5 de junio de 2017, 4201714000006628 del 17 de enero de 2018, 4201713000007273 del 5 de febrero de 2018, 4201814000001007 del 20 de marzo de 2018, 4201814000006367 del 27 de agosto de 2018, 4201912000002664 del 5 de junio de 2019, C-201 del 13 de abril de 2020, C-323 del 4 de junio de 2020, C-418 del 12 de agosto de 2021 y C- 513 del 23 de septiembre de 2021</w:t>
      </w:r>
      <w:r>
        <w:rPr>
          <w:rFonts w:ascii="Century Gothic" w:eastAsia="Times New Roman" w:hAnsi="Century Gothic" w:cs="Arial"/>
          <w:szCs w:val="24"/>
          <w:lang w:val="es-ES_tradnl" w:eastAsia="es-ES_tradnl"/>
        </w:rPr>
        <w:t xml:space="preserve">y C-310 de </w:t>
      </w:r>
      <w:r w:rsidR="00D33AC1">
        <w:rPr>
          <w:rFonts w:ascii="Century Gothic" w:eastAsia="Times New Roman" w:hAnsi="Century Gothic" w:cs="Arial"/>
          <w:szCs w:val="24"/>
          <w:lang w:val="es-ES_tradnl" w:eastAsia="es-ES_tradnl"/>
        </w:rPr>
        <w:t>16 de mayo de 2022</w:t>
      </w:r>
      <w:r w:rsidRPr="00C554D6">
        <w:rPr>
          <w:rFonts w:ascii="Century Gothic" w:eastAsia="Times New Roman" w:hAnsi="Century Gothic" w:cs="Arial"/>
          <w:szCs w:val="24"/>
          <w:lang w:val="es-ES_tradnl" w:eastAsia="es-ES_tradnl"/>
        </w:rPr>
        <w:t xml:space="preserve">, </w:t>
      </w:r>
      <w:r w:rsidR="00D33AC1">
        <w:rPr>
          <w:rFonts w:ascii="Century Gothic" w:eastAsia="Times New Roman" w:hAnsi="Century Gothic" w:cs="Arial"/>
          <w:szCs w:val="24"/>
          <w:lang w:val="es-ES_tradnl" w:eastAsia="es-ES_tradnl"/>
        </w:rPr>
        <w:t xml:space="preserve">se </w:t>
      </w:r>
      <w:r w:rsidRPr="00C554D6">
        <w:rPr>
          <w:rFonts w:ascii="Century Gothic" w:eastAsia="Times New Roman" w:hAnsi="Century Gothic" w:cs="Arial"/>
          <w:szCs w:val="24"/>
          <w:lang w:val="es-ES_tradnl" w:eastAsia="es-ES_tradnl"/>
        </w:rPr>
        <w:t>estudió el deber de las entidades estatales de responder las observaciones realizadas de manera extemporánea, en los procesos de contratación</w:t>
      </w:r>
      <w:r w:rsidR="00D33AC1">
        <w:rPr>
          <w:rFonts w:ascii="Century Gothic" w:eastAsia="Times New Roman" w:hAnsi="Century Gothic" w:cs="Arial"/>
          <w:szCs w:val="24"/>
          <w:lang w:val="es-ES_tradnl" w:eastAsia="es-ES_tradnl"/>
        </w:rPr>
        <w:t xml:space="preserve">. </w:t>
      </w:r>
      <w:r w:rsidR="004624B1" w:rsidRPr="00910B9D">
        <w:rPr>
          <w:rFonts w:ascii="Century Gothic" w:eastAsia="Times New Roman" w:hAnsi="Century Gothic" w:cs="Arial"/>
          <w:szCs w:val="24"/>
          <w:lang w:val="es-ES_tradnl" w:eastAsia="es-ES_tradnl"/>
        </w:rPr>
        <w:t xml:space="preserve">Las ideas expuestas en dichas oportunidades se reiteran a continuación, y se complementan en lo pertinente para resolver las inquietudes de la consulta. </w:t>
      </w:r>
    </w:p>
    <w:p w14:paraId="4AA0989B" w14:textId="77777777" w:rsidR="004624B1" w:rsidRPr="00910B9D" w:rsidRDefault="004624B1" w:rsidP="004624B1">
      <w:pPr>
        <w:spacing w:after="0" w:line="276" w:lineRule="auto"/>
        <w:jc w:val="both"/>
        <w:rPr>
          <w:rFonts w:ascii="Century Gothic" w:eastAsia="Times New Roman" w:hAnsi="Century Gothic" w:cs="Arial"/>
          <w:noProof/>
          <w:szCs w:val="24"/>
          <w:lang w:val="es-ES_tradnl" w:eastAsia="es-ES_tradnl"/>
        </w:rPr>
      </w:pPr>
    </w:p>
    <w:p w14:paraId="0E0B573E" w14:textId="77777777" w:rsidR="004624B1" w:rsidRPr="00910B9D" w:rsidRDefault="004624B1" w:rsidP="004624B1">
      <w:pPr>
        <w:spacing w:after="0" w:line="276" w:lineRule="auto"/>
        <w:jc w:val="both"/>
        <w:rPr>
          <w:rFonts w:ascii="Century Gothic" w:eastAsia="Calibri" w:hAnsi="Century Gothic" w:cs="Arial"/>
          <w:color w:val="000000"/>
          <w:lang w:val="es-ES_tradnl" w:eastAsia="es-ES_tradnl"/>
        </w:rPr>
      </w:pPr>
      <w:r w:rsidRPr="00910B9D">
        <w:rPr>
          <w:rFonts w:ascii="Century Gothic" w:eastAsia="Calibri" w:hAnsi="Century Gothic" w:cs="Arial"/>
          <w:b/>
          <w:bCs/>
          <w:color w:val="000000"/>
          <w:szCs w:val="24"/>
          <w:lang w:val="es-ES_tradnl" w:eastAsia="es-ES_tradnl"/>
        </w:rPr>
        <w:t>2.1.</w:t>
      </w:r>
      <w:r w:rsidRPr="00910B9D">
        <w:rPr>
          <w:rFonts w:ascii="Century Gothic" w:eastAsia="Calibri" w:hAnsi="Century Gothic" w:cs="Arial"/>
          <w:b/>
          <w:bCs/>
          <w:color w:val="000000"/>
          <w:szCs w:val="24"/>
          <w:lang w:val="pt-BR" w:eastAsia="en-GB"/>
        </w:rPr>
        <w:t xml:space="preserve"> Registro Nacional de Obras Civiles Inconclusas</w:t>
      </w:r>
    </w:p>
    <w:p w14:paraId="641E8C56" w14:textId="77777777" w:rsidR="004624B1" w:rsidRPr="00910B9D" w:rsidRDefault="004624B1" w:rsidP="004624B1">
      <w:pPr>
        <w:tabs>
          <w:tab w:val="left" w:pos="0"/>
        </w:tabs>
        <w:spacing w:after="0" w:line="276" w:lineRule="auto"/>
        <w:jc w:val="both"/>
        <w:rPr>
          <w:rFonts w:ascii="Century Gothic" w:eastAsia="Calibri" w:hAnsi="Century Gothic" w:cs="Arial"/>
          <w:b/>
          <w:color w:val="000000"/>
          <w:szCs w:val="24"/>
          <w:lang w:val="pt-BR" w:eastAsia="es-ES_tradnl"/>
        </w:rPr>
      </w:pPr>
    </w:p>
    <w:p w14:paraId="02FA9C88" w14:textId="6E0D0042" w:rsidR="004624B1" w:rsidRPr="00910B9D" w:rsidRDefault="004624B1" w:rsidP="004624B1">
      <w:pPr>
        <w:tabs>
          <w:tab w:val="left" w:pos="0"/>
        </w:tabs>
        <w:spacing w:after="0" w:line="276" w:lineRule="auto"/>
        <w:jc w:val="both"/>
        <w:rPr>
          <w:rFonts w:ascii="Century Gothic" w:eastAsia="Calibri" w:hAnsi="Century Gothic" w:cs="Arial"/>
          <w:color w:val="000000"/>
          <w:szCs w:val="24"/>
          <w:lang w:val="es-ES_tradnl" w:eastAsia="en-GB"/>
        </w:rPr>
      </w:pPr>
      <w:r w:rsidRPr="00910B9D">
        <w:rPr>
          <w:rFonts w:ascii="Century Gothic" w:eastAsia="Calibri" w:hAnsi="Century Gothic" w:cs="Arial"/>
          <w:bCs/>
          <w:color w:val="000000"/>
          <w:szCs w:val="24"/>
          <w:lang w:val="es-ES_tradnl" w:eastAsia="es-ES_tradnl"/>
        </w:rPr>
        <w:t xml:space="preserve">La Ley 2020 de 2020 creó el </w:t>
      </w:r>
      <w:r w:rsidRPr="00910B9D">
        <w:rPr>
          <w:rFonts w:ascii="Century Gothic" w:eastAsia="Calibri" w:hAnsi="Century Gothic" w:cs="Arial"/>
          <w:color w:val="000000"/>
          <w:szCs w:val="24"/>
          <w:lang w:val="es-ES_tradnl" w:eastAsia="en-GB"/>
        </w:rPr>
        <w:t xml:space="preserve">Registro Nacional de Obras Civiles Inconclusas. Se trata de un sistema que permite identificar el estado de ejecución o terminación de las obras financiadas total o parcialmente con recursos públicos, para concretar su destinación definitiva. </w:t>
      </w:r>
      <w:bookmarkStart w:id="2" w:name="_Hlk71184857"/>
      <w:r w:rsidRPr="00910B9D">
        <w:rPr>
          <w:rFonts w:ascii="Century Gothic" w:eastAsia="Calibri" w:hAnsi="Century Gothic" w:cs="Arial"/>
          <w:color w:val="000000"/>
          <w:szCs w:val="24"/>
          <w:lang w:val="es-ES_tradnl" w:eastAsia="en-GB"/>
        </w:rPr>
        <w:t xml:space="preserve">Según el inciso primero del literal a) del artículo 2 de esta ley, se entiende por </w:t>
      </w:r>
      <w:r w:rsidRPr="00910B9D">
        <w:rPr>
          <w:rFonts w:ascii="Century Gothic" w:eastAsia="Calibri" w:hAnsi="Century Gothic" w:cs="Arial"/>
          <w:i/>
          <w:iCs/>
          <w:color w:val="000000"/>
          <w:szCs w:val="24"/>
          <w:lang w:val="es-ES_tradnl" w:eastAsia="en-GB"/>
        </w:rPr>
        <w:t>obra civil inconclusa</w:t>
      </w:r>
      <w:r w:rsidRPr="00910B9D">
        <w:rPr>
          <w:rFonts w:ascii="Century Gothic" w:eastAsia="Calibri" w:hAnsi="Century Gothic" w:cs="Arial"/>
          <w:color w:val="000000"/>
          <w:szCs w:val="24"/>
          <w:lang w:val="es-ES_tradnl"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w:t>
      </w:r>
      <w:r w:rsidR="007C7926">
        <w:rPr>
          <w:rFonts w:ascii="Century Gothic" w:eastAsia="Calibri" w:hAnsi="Century Gothic" w:cs="Arial"/>
          <w:color w:val="000000"/>
          <w:szCs w:val="24"/>
          <w:lang w:val="es-ES_tradnl" w:eastAsia="en-GB"/>
        </w:rPr>
        <w:t>Entidad Estatal</w:t>
      </w:r>
      <w:r w:rsidRPr="00910B9D">
        <w:rPr>
          <w:rFonts w:ascii="Century Gothic" w:eastAsia="Calibri" w:hAnsi="Century Gothic" w:cs="Arial"/>
          <w:color w:val="000000"/>
          <w:szCs w:val="24"/>
          <w:lang w:val="es-ES_tradnl" w:eastAsia="en-GB"/>
        </w:rPr>
        <w:t xml:space="preserve"> contratante, o no esté prestando el servicio para el cual fue contratada”. </w:t>
      </w:r>
      <w:bookmarkEnd w:id="2"/>
    </w:p>
    <w:p w14:paraId="6353C65A" w14:textId="77777777"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En otras palabras, el concepto de obra civil inconclusa es armónico con la definición del contrato de obra, prevista en el artículo 32 de la Ley 80 de 1993, según el cual “Son contratos de obra los que celebren las entidades estatales para la construcción, mantenimiento, instalación y, en general, para la realización de cualquier otro trabajo material sobre bienes inmuebles, cualquiera que sea la modalidad de ejecución y pago”. Por tanto, cuando el trabajo material sobre el bien inmueble no ha finalizado satisfactoriamente o no se adecua a la función para la cual fue contratada la obra, esto se puede constatar en el registro creado por el artículo 3 de la Ley 2020 de 2020.</w:t>
      </w:r>
    </w:p>
    <w:p w14:paraId="1FED4656" w14:textId="77777777"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Por su parte, el inciso segundo del literal a) del artículo 2 de dicha Ley establece la hipótesis en la que no se haya concluido satisfactoriamente la obra civil por causas no imputables al contratista. A este respecto, señala que “Cuando la obra civil no haya concluido de manera satisfactoria por causas que no sean imputables al contratista, un comité técnico, designado por el representante legal de la entidad contratante, definirá si efectivamente corresponde a una obra civil inconclusa”.</w:t>
      </w:r>
    </w:p>
    <w:p w14:paraId="6CB02157" w14:textId="77777777"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 xml:space="preserve">De la definición del artículo 2 de la Ley 2020 de 2020 se resalta lo siguiente. Por un lado, cuando la obra civil cumpla con los elementos establecidos en el inciso primero literal a) del artículo 2, deberá catalogarse como obra civil inconclusa. Es decir, si el trabajo material sobre el bien inmueble no ha concluido de manera satisfactoria o no está prestando el servicio para el que se contrató y ha transcurrido un año o más desde que se venció el término de liquidación contractual, se considera obra civil inconclusa. Por otra parte, cuando la obra civil cumple los presupuestos anteriores, pero no concluyó por causas no imputables al contratista, la entidad contratante será la encargada de determinar si la misma se define como obra civil inconclusa, previa valoración de un comité técnico designado por el representante legal de la entidad contratante. </w:t>
      </w:r>
    </w:p>
    <w:p w14:paraId="3BFBE71D" w14:textId="77777777"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Esta última precisión es importante, debido a que el propósito del literal a) del artículo 2 de la Ley 2020 de 2020 es definir el concepto de obra civil inconclusa, sin desconocer que durante la ejecución de un contrato pueden presentarse situaciones ajenas y exógenas al contratista que impiden la culminación de la obra. En esta hipótesis, lo que pretende el legislador es que sea un órgano o una autoridad determinada, la que analice las circunstancias particulares del caso y las razones técnicas por las cuales la obra civil quedó en estado incompleto</w:t>
      </w:r>
      <w:r w:rsidRPr="00910B9D">
        <w:rPr>
          <w:rFonts w:ascii="Century Gothic" w:eastAsia="Calibri" w:hAnsi="Century Gothic" w:cs="Arial"/>
          <w:color w:val="000000"/>
          <w:szCs w:val="24"/>
          <w:vertAlign w:val="superscript"/>
          <w:lang w:val="es-ES_tradnl" w:eastAsia="en-GB"/>
        </w:rPr>
        <w:footnoteReference w:id="3"/>
      </w:r>
      <w:r w:rsidRPr="00910B9D">
        <w:rPr>
          <w:rFonts w:ascii="Century Gothic" w:eastAsia="Calibri" w:hAnsi="Century Gothic" w:cs="Arial"/>
          <w:color w:val="000000"/>
          <w:szCs w:val="24"/>
          <w:lang w:val="es-ES_tradnl" w:eastAsia="en-GB"/>
        </w:rPr>
        <w:t xml:space="preserve">. De esta manera, en el evento en que se defina por parte de este comité técnico que la obra civil es catalogada como inconclusa, pero por causas no imputables al contratista, deberá incluir en el Registro Nacional de Obras Civiles Inconclusas los datos correspondientes que den cuenta de esta situación.  </w:t>
      </w:r>
    </w:p>
    <w:p w14:paraId="49DE1B93" w14:textId="77777777"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Sobre el espíritu de la ley, la exposición de motivos explica que el proyecto “[…] pretende establecer medidas para la detección y valoración de las obras públicas que no se hayan concluido de acuerdo con lo planeado por la entidad estatal a su cargo, para someterlas a evaluación técnica y financiera, dirigida a establecer si se concluyen o se procede a su demolición. Como fin esencial del proyecto se señala el de “salvaguardar las vidas como derecho fundamental”, que se entienden amenazadas por los efectos desfavorables de las obras inconclusas”</w:t>
      </w:r>
      <w:r w:rsidRPr="00910B9D">
        <w:rPr>
          <w:rFonts w:ascii="Century Gothic" w:eastAsia="Calibri" w:hAnsi="Century Gothic" w:cs="Arial"/>
          <w:color w:val="000000"/>
          <w:szCs w:val="24"/>
          <w:vertAlign w:val="superscript"/>
          <w:lang w:val="es-ES_tradnl" w:eastAsia="en-GB"/>
        </w:rPr>
        <w:footnoteReference w:id="4"/>
      </w:r>
      <w:r w:rsidRPr="00910B9D">
        <w:rPr>
          <w:rFonts w:ascii="Century Gothic" w:eastAsia="Calibri" w:hAnsi="Century Gothic" w:cs="Arial"/>
          <w:color w:val="000000"/>
          <w:szCs w:val="24"/>
          <w:lang w:val="es-ES_tradnl" w:eastAsia="en-GB"/>
        </w:rPr>
        <w:t xml:space="preserve">. En esta medida, el propósito de la norma es no solo </w:t>
      </w:r>
      <w:bookmarkStart w:id="3" w:name="_Hlk84667055"/>
      <w:r w:rsidRPr="00910B9D">
        <w:rPr>
          <w:rFonts w:ascii="Century Gothic" w:eastAsia="Calibri" w:hAnsi="Century Gothic" w:cs="Arial"/>
          <w:color w:val="000000"/>
          <w:szCs w:val="24"/>
          <w:lang w:val="es-ES_tradnl" w:eastAsia="en-GB"/>
        </w:rPr>
        <w:t>estructurar un sistema de registro, sino también identificar el estado real de la infraestructura de obra en cada entidad pública, con miras a elaborar un diagnóstico sobre la viabilidad técnica, financiera y jurídica de terminar o demoler la obra, asegurando que pueda realizar una inversión de sus recursos para la intervención de esta.</w:t>
      </w:r>
    </w:p>
    <w:bookmarkEnd w:id="3"/>
    <w:p w14:paraId="68D4C0A6" w14:textId="56A8AA88"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 xml:space="preserve"> Por ello los artículos 5 y 13 </w:t>
      </w:r>
      <w:r w:rsidRPr="00910B9D">
        <w:rPr>
          <w:rFonts w:ascii="Century Gothic" w:eastAsia="Calibri" w:hAnsi="Century Gothic" w:cs="Arial"/>
          <w:i/>
          <w:color w:val="000000"/>
          <w:szCs w:val="24"/>
          <w:lang w:val="es-ES_tradnl" w:eastAsia="en-GB"/>
        </w:rPr>
        <w:t>ibídem</w:t>
      </w:r>
      <w:r w:rsidRPr="00910B9D">
        <w:rPr>
          <w:rFonts w:ascii="Century Gothic" w:eastAsia="Calibri" w:hAnsi="Century Gothic" w:cs="Arial"/>
          <w:color w:val="000000"/>
          <w:szCs w:val="24"/>
          <w:lang w:val="es-ES_tradnl" w:eastAsia="en-GB"/>
        </w:rPr>
        <w:t xml:space="preserve"> disponen que la </w:t>
      </w:r>
      <w:r w:rsidR="007C7926">
        <w:rPr>
          <w:rFonts w:ascii="Century Gothic" w:eastAsia="Calibri" w:hAnsi="Century Gothic" w:cs="Arial"/>
          <w:color w:val="000000"/>
          <w:szCs w:val="24"/>
          <w:lang w:val="es-ES_tradnl" w:eastAsia="en-GB"/>
        </w:rPr>
        <w:t>Entidad Estatal</w:t>
      </w:r>
      <w:r w:rsidRPr="00910B9D">
        <w:rPr>
          <w:rFonts w:ascii="Century Gothic" w:eastAsia="Calibri" w:hAnsi="Century Gothic" w:cs="Arial"/>
          <w:color w:val="000000"/>
          <w:szCs w:val="24"/>
          <w:lang w:val="es-ES_tradnl" w:eastAsia="en-GB"/>
        </w:rPr>
        <w:t xml:space="preserve"> contratante decidirá sobre la intervención física de terminación o demolición de la obra civil inconclusa, para lo cual podrá disponer de las partidas necesarias, 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r w:rsidRPr="00910B9D">
        <w:rPr>
          <w:rFonts w:ascii="Century Gothic" w:eastAsia="Calibri" w:hAnsi="Century Gothic" w:cs="Arial"/>
          <w:color w:val="000000"/>
          <w:szCs w:val="24"/>
          <w:vertAlign w:val="superscript"/>
          <w:lang w:val="es-ES_tradnl" w:eastAsia="en-GB"/>
        </w:rPr>
        <w:footnoteReference w:id="5"/>
      </w:r>
      <w:r w:rsidRPr="00910B9D">
        <w:rPr>
          <w:rFonts w:ascii="Century Gothic" w:eastAsia="Calibri" w:hAnsi="Century Gothic" w:cs="Arial"/>
          <w:color w:val="000000"/>
          <w:szCs w:val="24"/>
          <w:lang w:val="es-ES_tradnl" w:eastAsia="en-GB"/>
        </w:rPr>
        <w:t xml:space="preserve">. </w:t>
      </w:r>
    </w:p>
    <w:p w14:paraId="44EF8FDF" w14:textId="49C3581A"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 xml:space="preserve">En tal sentido, esta ley busca que la </w:t>
      </w:r>
      <w:r w:rsidR="007C7926">
        <w:rPr>
          <w:rFonts w:ascii="Century Gothic" w:eastAsia="Calibri" w:hAnsi="Century Gothic" w:cs="Arial"/>
          <w:color w:val="000000"/>
          <w:szCs w:val="24"/>
          <w:lang w:val="es-ES_tradnl" w:eastAsia="en-GB"/>
        </w:rPr>
        <w:t>Entidad Estatal</w:t>
      </w:r>
      <w:r w:rsidRPr="00910B9D">
        <w:rPr>
          <w:rFonts w:ascii="Century Gothic" w:eastAsia="Calibri" w:hAnsi="Century Gothic" w:cs="Arial"/>
          <w:color w:val="000000"/>
          <w:szCs w:val="24"/>
          <w:lang w:val="es-ES_tradnl" w:eastAsia="en-GB"/>
        </w:rPr>
        <w:t xml:space="preserve"> determine el destino definitivo de la obra, a través del concepto jurídico, técnico y financiero que emitan las áreas de la entidad cuyas funciones y competencias se encuentran relacionadas con la obra inconclusa, observando, en todo caso, el deber de apropiar las partidas presupuestales correspondientes. De todas formas, si se opta por la demolición, esta decisión deberá adoptarse mediante acto administrativo expedido por el representante legal de la entidad a cargo de la obra, y solo podrá ordenarse en casos de ruina o grave amenaza a los derechos fundamentales o colectivos, debidamente evaluada. </w:t>
      </w:r>
    </w:p>
    <w:p w14:paraId="356F499C" w14:textId="77777777"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De conformidad con el artículo 3 de la Ley 2020 de 2020</w:t>
      </w:r>
      <w:r w:rsidRPr="00910B9D">
        <w:rPr>
          <w:rFonts w:ascii="Century Gothic" w:eastAsia="Calibri" w:hAnsi="Century Gothic" w:cs="Arial"/>
          <w:color w:val="000000"/>
          <w:szCs w:val="24"/>
          <w:vertAlign w:val="superscript"/>
          <w:lang w:val="es-ES_tradnl" w:eastAsia="en-GB"/>
        </w:rPr>
        <w:footnoteReference w:id="6"/>
      </w:r>
      <w:r w:rsidRPr="00910B9D">
        <w:rPr>
          <w:rFonts w:ascii="Century Gothic" w:eastAsia="Calibri" w:hAnsi="Century Gothic" w:cs="Arial"/>
          <w:color w:val="000000"/>
          <w:szCs w:val="24"/>
          <w:lang w:val="es-ES_tradnl" w:eastAsia="en-GB"/>
        </w:rPr>
        <w:t>, el Registro Nacional de Obras Civiles Inconclusas es un sistema administrado por la Contraloría General de la República</w:t>
      </w:r>
      <w:r w:rsidRPr="00910B9D">
        <w:rPr>
          <w:rFonts w:ascii="Century Gothic" w:eastAsia="Calibri" w:hAnsi="Century Gothic" w:cs="Arial"/>
          <w:color w:val="000000"/>
          <w:szCs w:val="24"/>
          <w:vertAlign w:val="superscript"/>
          <w:lang w:val="es-ES_tradnl" w:eastAsia="en-GB"/>
        </w:rPr>
        <w:footnoteReference w:id="7"/>
      </w:r>
      <w:r w:rsidRPr="00910B9D">
        <w:rPr>
          <w:rFonts w:ascii="Century Gothic" w:eastAsia="Calibri" w:hAnsi="Century Gothic" w:cs="Arial"/>
          <w:color w:val="000000"/>
          <w:szCs w:val="24"/>
          <w:lang w:val="es-ES_tradnl" w:eastAsia="en-GB"/>
        </w:rPr>
        <w:t xml:space="preserve">, construido a partir de la información remitida por las entidades estatales en los distintos niveles o los datos obtenidos por dicho órgano de control fiscal, sobre las obras inconclusas del país. El artículo 2, literal b) de la Ley 2020 de 2020 complementa esta noción, indicando que el Registro Nacional de Obras Civiles Inconclusas “Es un sistema que contiene los datos sobre obras inconclusas en todo el territorio nacional. El inventario de obras civiles inconclusas reportado por las entidades estatales hará parte integral del banco de proyectos de la respectiva entidad”. </w:t>
      </w:r>
    </w:p>
    <w:p w14:paraId="0967B938" w14:textId="77777777" w:rsidR="004624B1" w:rsidRPr="00910B9D" w:rsidRDefault="004624B1" w:rsidP="004624B1">
      <w:pPr>
        <w:tabs>
          <w:tab w:val="left" w:pos="0"/>
        </w:tabs>
        <w:spacing w:before="120" w:after="0" w:line="276" w:lineRule="auto"/>
        <w:ind w:firstLine="709"/>
        <w:jc w:val="both"/>
        <w:rPr>
          <w:rFonts w:ascii="Century Gothic" w:eastAsia="Times New Roman" w:hAnsi="Century Gothic" w:cs="Arial"/>
          <w:color w:val="000000"/>
          <w:szCs w:val="24"/>
          <w:lang w:eastAsia="es-ES_tradnl"/>
        </w:rPr>
      </w:pPr>
      <w:r w:rsidRPr="00910B9D">
        <w:rPr>
          <w:rFonts w:ascii="Century Gothic" w:eastAsia="Calibri" w:hAnsi="Century Gothic" w:cs="Arial"/>
          <w:color w:val="000000"/>
          <w:szCs w:val="24"/>
          <w:lang w:val="es-ES_tradnl" w:eastAsia="en-GB"/>
        </w:rPr>
        <w:t>Asimismo, la información de este</w:t>
      </w:r>
      <w:r w:rsidRPr="00910B9D">
        <w:rPr>
          <w:rFonts w:ascii="Century Gothic" w:eastAsia="Times New Roman" w:hAnsi="Century Gothic" w:cs="Arial"/>
          <w:color w:val="000000"/>
          <w:szCs w:val="24"/>
          <w:lang w:eastAsia="es-ES_tradnl"/>
        </w:rPr>
        <w:t xml:space="preserve"> registro debe actualizarse permanentemente. La Contraloría General de la República y las entidades estatales deberán realizar el seguimiento y actualización del Registro Nacional de Obras Civiles Inconclusas, con el fin de establecer la realidad respecto de la condición técnica, física y financiera de aquellas. Además, las entidades estatales deberán garantizar la actualización permanente del Registro Nacional de Obras Civiles Inconclusas en los términos y condiciones que disponga la Contraloría General de la República</w:t>
      </w:r>
      <w:r w:rsidRPr="00910B9D">
        <w:rPr>
          <w:rFonts w:ascii="Century Gothic" w:eastAsia="Calibri" w:hAnsi="Century Gothic" w:cs="Arial"/>
          <w:color w:val="000000"/>
          <w:szCs w:val="24"/>
          <w:vertAlign w:val="superscript"/>
          <w:lang w:val="es-ES_tradnl" w:eastAsia="en-GB"/>
        </w:rPr>
        <w:footnoteReference w:id="8"/>
      </w:r>
      <w:r w:rsidRPr="00910B9D">
        <w:rPr>
          <w:rFonts w:ascii="Century Gothic" w:eastAsia="Times New Roman" w:hAnsi="Century Gothic" w:cs="Arial"/>
          <w:color w:val="000000"/>
          <w:szCs w:val="24"/>
          <w:lang w:eastAsia="es-ES_tradnl"/>
        </w:rPr>
        <w:t>.</w:t>
      </w:r>
    </w:p>
    <w:p w14:paraId="6B39611F" w14:textId="77777777"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eastAsia="en-GB"/>
        </w:rPr>
      </w:pPr>
      <w:r w:rsidRPr="00910B9D">
        <w:rPr>
          <w:rFonts w:ascii="Century Gothic" w:eastAsia="Calibri" w:hAnsi="Century Gothic" w:cs="Arial"/>
          <w:color w:val="000000"/>
          <w:szCs w:val="24"/>
          <w:lang w:val="es-ES_tradnl" w:eastAsia="en-GB"/>
        </w:rPr>
        <w:t xml:space="preserve">De esta manera, la </w:t>
      </w:r>
      <w:r w:rsidRPr="00910B9D">
        <w:rPr>
          <w:rFonts w:ascii="Century Gothic" w:eastAsia="Times New Roman" w:hAnsi="Century Gothic" w:cs="Arial"/>
          <w:color w:val="000000"/>
          <w:szCs w:val="24"/>
          <w:lang w:eastAsia="es-ES_tradnl"/>
        </w:rPr>
        <w:t xml:space="preserve">Contraloría General de la República, a través de la Dirección de Información, Análisis y Reacción Inmediata, es la encargada de dirigir y coordinar </w:t>
      </w:r>
      <w:r w:rsidRPr="00910B9D">
        <w:rPr>
          <w:rFonts w:ascii="Century Gothic" w:eastAsia="Calibri" w:hAnsi="Century Gothic" w:cs="Arial"/>
          <w:color w:val="000000"/>
          <w:szCs w:val="24"/>
          <w:lang w:val="es-ES_tradnl" w:eastAsia="en-GB"/>
        </w:rPr>
        <w:t xml:space="preserve">el Registro Nacional de Obras Civiles Inconclusas y realizar el seguimiento y actualización de este. Por ello, </w:t>
      </w:r>
      <w:r w:rsidRPr="00910B9D">
        <w:rPr>
          <w:rFonts w:ascii="Century Gothic" w:eastAsia="Calibri" w:hAnsi="Century Gothic" w:cs="Arial"/>
          <w:color w:val="000000"/>
          <w:szCs w:val="24"/>
          <w:lang w:eastAsia="en-GB"/>
        </w:rPr>
        <w:t>mediante la Resolución No. REG-ORD-0042-2020 del 25 de agosto de 2020</w:t>
      </w:r>
      <w:r w:rsidRPr="00910B9D">
        <w:rPr>
          <w:rFonts w:ascii="Century Gothic" w:eastAsia="Calibri" w:hAnsi="Century Gothic" w:cs="Arial"/>
          <w:color w:val="000000"/>
          <w:szCs w:val="24"/>
          <w:vertAlign w:val="superscript"/>
          <w:lang w:eastAsia="en-GB"/>
        </w:rPr>
        <w:footnoteReference w:id="9"/>
      </w:r>
      <w:r w:rsidRPr="00910B9D">
        <w:rPr>
          <w:rFonts w:ascii="Century Gothic" w:eastAsia="Calibri" w:hAnsi="Century Gothic" w:cs="Arial"/>
          <w:color w:val="000000"/>
          <w:szCs w:val="24"/>
          <w:lang w:eastAsia="en-GB"/>
        </w:rPr>
        <w:t xml:space="preserve">, expedida por </w:t>
      </w:r>
      <w:r w:rsidRPr="00910B9D">
        <w:rPr>
          <w:rFonts w:ascii="Century Gothic" w:eastAsia="Calibri" w:hAnsi="Century Gothic" w:cs="Arial"/>
          <w:color w:val="000000"/>
          <w:szCs w:val="24"/>
          <w:lang w:val="es-ES_tradnl" w:eastAsia="en-GB"/>
        </w:rPr>
        <w:t xml:space="preserve">la </w:t>
      </w:r>
      <w:r w:rsidRPr="00910B9D">
        <w:rPr>
          <w:rFonts w:ascii="Century Gothic" w:eastAsia="Times New Roman" w:hAnsi="Century Gothic" w:cs="Arial"/>
          <w:color w:val="000000"/>
          <w:szCs w:val="24"/>
          <w:lang w:eastAsia="es-ES_tradnl"/>
        </w:rPr>
        <w:t>Contraloría General de la República,</w:t>
      </w:r>
      <w:r w:rsidRPr="00910B9D">
        <w:rPr>
          <w:rFonts w:ascii="Century Gothic" w:eastAsia="Calibri" w:hAnsi="Century Gothic" w:cs="Arial"/>
          <w:color w:val="000000"/>
          <w:szCs w:val="24"/>
          <w:lang w:eastAsia="en-GB"/>
        </w:rPr>
        <w:t xml:space="preserve"> se estableció que la información concerniente al Registro Nacional de Obras Civiles Inconclusas se rendiría a través del SIRECI, conforme al Capítulo II </w:t>
      </w:r>
      <w:r w:rsidRPr="00910B9D">
        <w:rPr>
          <w:rFonts w:ascii="Century Gothic" w:eastAsia="Calibri" w:hAnsi="Century Gothic" w:cs="Arial"/>
          <w:color w:val="000000"/>
          <w:szCs w:val="24"/>
          <w:lang w:val="es-ES_tradnl" w:eastAsia="en-GB"/>
        </w:rPr>
        <w:t>“</w:t>
      </w:r>
      <w:r w:rsidRPr="00910B9D">
        <w:rPr>
          <w:rFonts w:ascii="Century Gothic" w:eastAsia="Calibri" w:hAnsi="Century Gothic" w:cs="Arial"/>
          <w:color w:val="000000"/>
          <w:szCs w:val="24"/>
          <w:lang w:eastAsia="en-GB"/>
        </w:rPr>
        <w:t>Información de Obras Inconclusas</w:t>
      </w:r>
      <w:r w:rsidRPr="00910B9D">
        <w:rPr>
          <w:rFonts w:ascii="Century Gothic" w:eastAsia="Calibri" w:hAnsi="Century Gothic" w:cs="Arial"/>
          <w:color w:val="000000"/>
          <w:szCs w:val="24"/>
          <w:lang w:val="es-ES_tradnl" w:eastAsia="en-GB"/>
        </w:rPr>
        <w:t>”</w:t>
      </w:r>
      <w:r w:rsidRPr="00910B9D">
        <w:rPr>
          <w:rFonts w:ascii="Century Gothic" w:eastAsia="Calibri" w:hAnsi="Century Gothic" w:cs="Arial"/>
          <w:color w:val="000000"/>
          <w:szCs w:val="24"/>
          <w:lang w:eastAsia="en-GB"/>
        </w:rPr>
        <w:t xml:space="preserve"> del Título III </w:t>
      </w:r>
      <w:r w:rsidRPr="00910B9D">
        <w:rPr>
          <w:rFonts w:ascii="Century Gothic" w:eastAsia="Calibri" w:hAnsi="Century Gothic" w:cs="Arial"/>
          <w:color w:val="000000"/>
          <w:szCs w:val="24"/>
          <w:lang w:val="es-ES_tradnl" w:eastAsia="en-GB"/>
        </w:rPr>
        <w:t>“</w:t>
      </w:r>
      <w:r w:rsidRPr="00910B9D">
        <w:rPr>
          <w:rFonts w:ascii="Century Gothic" w:eastAsia="Calibri" w:hAnsi="Century Gothic" w:cs="Arial"/>
          <w:color w:val="000000"/>
          <w:szCs w:val="24"/>
          <w:lang w:eastAsia="en-GB"/>
        </w:rPr>
        <w:t>Rendición de Otra Información</w:t>
      </w:r>
      <w:r w:rsidRPr="00910B9D">
        <w:rPr>
          <w:rFonts w:ascii="Century Gothic" w:eastAsia="Calibri" w:hAnsi="Century Gothic" w:cs="Arial"/>
          <w:color w:val="000000"/>
          <w:szCs w:val="24"/>
          <w:lang w:val="es-ES_tradnl" w:eastAsia="en-GB"/>
        </w:rPr>
        <w:t>”</w:t>
      </w:r>
      <w:r w:rsidRPr="00910B9D">
        <w:rPr>
          <w:rFonts w:ascii="Century Gothic" w:eastAsia="Calibri" w:hAnsi="Century Gothic" w:cs="Arial"/>
          <w:color w:val="000000"/>
          <w:szCs w:val="24"/>
          <w:lang w:eastAsia="en-GB"/>
        </w:rPr>
        <w:t xml:space="preserve">. De acuerdo con el artículo 51 de dicha Resolución, el contenido de la información es la requerida en el Sistema de Rendición Electrónico de la Cuenta e Informe y Otra Información –SIRECI–, sobre la información que debe incorporarse en la relación de obras civiles inconclusas, de conformidad con la ley. </w:t>
      </w:r>
    </w:p>
    <w:p w14:paraId="134FE2EB" w14:textId="77777777"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 xml:space="preserve">Respecto al contenido del Registro Nacional de Obras Civiles Inconclusas, </w:t>
      </w:r>
      <w:bookmarkStart w:id="4" w:name="_Hlk71184896"/>
      <w:r w:rsidRPr="00910B9D">
        <w:rPr>
          <w:rFonts w:ascii="Century Gothic" w:eastAsia="Calibri" w:hAnsi="Century Gothic" w:cs="Arial"/>
          <w:color w:val="000000"/>
          <w:szCs w:val="24"/>
          <w:lang w:val="es-ES_tradnl" w:eastAsia="en-GB"/>
        </w:rPr>
        <w:t xml:space="preserve">el artículo 4 de la Ley 2020 de 2020 determina la información mínima que debe reportarse por las entidades públicas. Entre otros, deberá contener datos sobre la identificación del contratista, consultores, interventores y demás personas naturales y/o jurídicas que intervinieron en la planeación y ejecución del proyecto; las razones técnicas y/o jurídicas por las cuales la obra civil quedó inconclusa; los pagos efectuados; los procesos en curso y/o fallos que hayan declarado responsabilidades penales, fiscales, civiles y disciplinarias derivadas de la obra inconclusa; los actos administrativos que declaren el incumplimiento de los contratistas o caducidad de los contratos, así como el </w:t>
      </w:r>
      <w:r w:rsidRPr="00910B9D">
        <w:rPr>
          <w:rFonts w:ascii="Century Gothic" w:eastAsia="Calibri" w:hAnsi="Century Gothic" w:cs="Arial"/>
        </w:rPr>
        <w:t>informe final presentado por el interventor del proyecto y la demás información que establezca la Contraloría General de la República.</w:t>
      </w:r>
      <w:r w:rsidRPr="00910B9D">
        <w:rPr>
          <w:rFonts w:ascii="Century Gothic" w:eastAsia="Calibri" w:hAnsi="Century Gothic" w:cs="Arial"/>
          <w:color w:val="000000"/>
          <w:szCs w:val="24"/>
          <w:lang w:val="es-ES_tradnl" w:eastAsia="en-GB"/>
        </w:rPr>
        <w:t xml:space="preserve"> </w:t>
      </w:r>
    </w:p>
    <w:p w14:paraId="7AC10033" w14:textId="77777777"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 xml:space="preserve">Igualmente, conforme al artículo 15 </w:t>
      </w:r>
      <w:r w:rsidRPr="00910B9D">
        <w:rPr>
          <w:rFonts w:ascii="Century Gothic" w:eastAsia="Calibri" w:hAnsi="Century Gothic" w:cs="Arial"/>
          <w:i/>
          <w:iCs/>
          <w:color w:val="000000"/>
          <w:szCs w:val="24"/>
          <w:lang w:val="es-ES_tradnl" w:eastAsia="en-GB"/>
        </w:rPr>
        <w:t>ibídem</w:t>
      </w:r>
      <w:r w:rsidRPr="00910B9D">
        <w:rPr>
          <w:rFonts w:ascii="Century Gothic" w:eastAsia="Calibri" w:hAnsi="Century Gothic" w:cs="Arial"/>
          <w:color w:val="000000"/>
          <w:szCs w:val="24"/>
          <w:lang w:val="es-ES_tradnl" w:eastAsia="en-GB"/>
        </w:rPr>
        <w:t xml:space="preserve">, se incluirán en </w:t>
      </w:r>
      <w:r w:rsidRPr="00910B9D">
        <w:rPr>
          <w:rFonts w:ascii="Century Gothic" w:eastAsia="Calibri" w:hAnsi="Century Gothic" w:cs="Arial"/>
          <w:color w:val="000000"/>
          <w:szCs w:val="24"/>
          <w:lang w:eastAsia="en-GB"/>
        </w:rPr>
        <w:t xml:space="preserve">el Registro Nacional de Obras Civiles Inconclusas las obras civiles ya terminadas que no se encuentren en funcionamiento. Para tales efectos, la Contraloría General de la República establecerá los criterios y el término para su incorporación. </w:t>
      </w:r>
    </w:p>
    <w:p w14:paraId="59319285" w14:textId="511029E5" w:rsidR="004624B1" w:rsidRPr="00910B9D" w:rsidRDefault="004624B1" w:rsidP="004624B1">
      <w:pPr>
        <w:spacing w:before="120" w:after="0" w:line="276" w:lineRule="auto"/>
        <w:ind w:firstLine="567"/>
        <w:jc w:val="both"/>
        <w:rPr>
          <w:rFonts w:ascii="Century Gothic" w:eastAsia="Times New Roman" w:hAnsi="Century Gothic" w:cs="Arial"/>
          <w:bCs/>
          <w:color w:val="000000"/>
          <w:lang w:eastAsia="es-ES_tradnl"/>
        </w:rPr>
      </w:pPr>
      <w:r w:rsidRPr="00910B9D">
        <w:rPr>
          <w:rFonts w:ascii="Century Gothic" w:eastAsia="Calibri" w:hAnsi="Century Gothic" w:cs="Arial"/>
          <w:lang w:val="es-ES_tradnl"/>
        </w:rPr>
        <w:t xml:space="preserve">En este contexto, las obras civiles inconclusas que deben incluirse en el Registro </w:t>
      </w:r>
      <w:r w:rsidRPr="00910B9D">
        <w:rPr>
          <w:rFonts w:ascii="Century Gothic" w:eastAsia="Calibri" w:hAnsi="Century Gothic" w:cs="Arial"/>
          <w:color w:val="000000"/>
          <w:lang w:val="es-ES_tradnl" w:eastAsia="en-GB"/>
        </w:rPr>
        <w:t>Nacional de Obras Civiles Inconclusas están determinadas por la Ley 2020 de 2020, cuya administración es competencia de la Contraloría General de la República</w:t>
      </w:r>
      <w:r w:rsidRPr="00910B9D">
        <w:rPr>
          <w:rFonts w:ascii="Century Gothic" w:eastAsia="Calibri" w:hAnsi="Century Gothic" w:cs="Arial"/>
          <w:lang w:val="es-ES_tradnl"/>
        </w:rPr>
        <w:t xml:space="preserve">. Por tanto, la </w:t>
      </w:r>
      <w:r w:rsidR="007C7926">
        <w:rPr>
          <w:rFonts w:ascii="Century Gothic" w:eastAsia="Calibri" w:hAnsi="Century Gothic" w:cs="Arial"/>
          <w:lang w:val="es-ES_tradnl"/>
        </w:rPr>
        <w:t>Entidad Estatal</w:t>
      </w:r>
      <w:r w:rsidRPr="00910B9D">
        <w:rPr>
          <w:rFonts w:ascii="Century Gothic" w:eastAsia="Calibri" w:hAnsi="Century Gothic" w:cs="Arial"/>
          <w:lang w:val="es-ES_tradnl"/>
        </w:rPr>
        <w:t xml:space="preserve"> responsable tiene la obligación de reportar la información que exige </w:t>
      </w:r>
      <w:r w:rsidRPr="00910B9D">
        <w:rPr>
          <w:rFonts w:ascii="Century Gothic" w:eastAsia="Times New Roman" w:hAnsi="Century Gothic" w:cs="Arial"/>
          <w:bCs/>
          <w:color w:val="000000"/>
          <w:lang w:eastAsia="es-ES_tradnl"/>
        </w:rPr>
        <w:t xml:space="preserve">el artículo 2 de dicha Ley, de acuerdo con los presupuestos allí descritos, en concordancia con lo dispuesto en el artículo 4 sobre la información mínima que debe incorporar en el Registro, </w:t>
      </w:r>
      <w:r w:rsidRPr="00910B9D">
        <w:rPr>
          <w:rFonts w:ascii="Century Gothic" w:eastAsia="Calibri" w:hAnsi="Century Gothic" w:cs="Arial"/>
          <w:lang w:val="es-ES_tradnl"/>
        </w:rPr>
        <w:t xml:space="preserve">así como toda aquella información que establezca </w:t>
      </w:r>
      <w:r w:rsidRPr="00910B9D">
        <w:rPr>
          <w:rFonts w:ascii="Century Gothic" w:eastAsia="Calibri" w:hAnsi="Century Gothic" w:cs="Arial"/>
          <w:color w:val="000000"/>
          <w:szCs w:val="24"/>
          <w:lang w:val="es-ES_tradnl" w:eastAsia="en-GB"/>
        </w:rPr>
        <w:t xml:space="preserve">la Contraloría General de la </w:t>
      </w:r>
      <w:r w:rsidRPr="00910B9D">
        <w:rPr>
          <w:rFonts w:ascii="Century Gothic" w:eastAsia="Calibri" w:hAnsi="Century Gothic" w:cs="Arial"/>
          <w:color w:val="000000"/>
          <w:lang w:val="es-ES_tradnl" w:eastAsia="en-GB"/>
        </w:rPr>
        <w:t>República en el marco de sus competencias</w:t>
      </w:r>
      <w:r w:rsidRPr="00910B9D">
        <w:rPr>
          <w:rFonts w:ascii="Century Gothic" w:eastAsia="Times New Roman" w:hAnsi="Century Gothic" w:cs="Arial"/>
          <w:bCs/>
          <w:color w:val="000000"/>
          <w:lang w:eastAsia="es-ES_tradnl"/>
        </w:rPr>
        <w:t xml:space="preserve">. </w:t>
      </w:r>
    </w:p>
    <w:p w14:paraId="5DCEEB08" w14:textId="77777777" w:rsidR="004624B1" w:rsidRPr="00910B9D" w:rsidRDefault="004624B1" w:rsidP="004624B1">
      <w:pPr>
        <w:spacing w:before="120" w:after="0" w:line="276" w:lineRule="auto"/>
        <w:ind w:firstLine="567"/>
        <w:jc w:val="both"/>
        <w:rPr>
          <w:rFonts w:ascii="Century Gothic" w:eastAsia="Calibri" w:hAnsi="Century Gothic" w:cs="Arial"/>
          <w:lang w:val="es-ES_tradnl"/>
        </w:rPr>
      </w:pPr>
      <w:r w:rsidRPr="00910B9D">
        <w:rPr>
          <w:rFonts w:ascii="Century Gothic" w:eastAsia="Times New Roman" w:hAnsi="Century Gothic" w:cs="Arial"/>
          <w:bCs/>
          <w:color w:val="000000"/>
          <w:lang w:eastAsia="es-ES_tradnl"/>
        </w:rPr>
        <w:t xml:space="preserve">El Registro Nacional de Obras Civiles Inconclusas contendrá el inventario actualizado de obras civiles inconclusas, compuesto por la información reportada por las entidades estatales sobre las obras civiles inconclusas de su jurisdicción, o la información obtenida por la Contraloría General de la República sobre el particular. Igualmente, deberá incluirse en el Registro </w:t>
      </w:r>
      <w:r w:rsidRPr="00910B9D">
        <w:rPr>
          <w:rFonts w:ascii="Century Gothic" w:eastAsia="Calibri" w:hAnsi="Century Gothic" w:cs="Arial"/>
          <w:color w:val="000000"/>
          <w:szCs w:val="24"/>
          <w:lang w:eastAsia="en-GB"/>
        </w:rPr>
        <w:t>las obras civiles ya terminadas que no se encuentren en funcionamiento</w:t>
      </w:r>
      <w:r w:rsidRPr="00910B9D">
        <w:rPr>
          <w:rFonts w:ascii="Century Gothic" w:eastAsia="Times New Roman" w:hAnsi="Century Gothic" w:cs="Arial"/>
          <w:bCs/>
          <w:color w:val="000000"/>
          <w:lang w:eastAsia="es-ES_tradnl"/>
        </w:rPr>
        <w:t xml:space="preserve"> de acuerdo con los criterios y el término para su incorporación que establezca la Contraloría General de la República. </w:t>
      </w:r>
    </w:p>
    <w:bookmarkEnd w:id="4"/>
    <w:p w14:paraId="661B6F44" w14:textId="77777777"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 xml:space="preserve">Según artículo 9 de la Ley 2020 de 2020, la obligación de reportar esta información recae en </w:t>
      </w:r>
      <w:r w:rsidRPr="00910B9D">
        <w:rPr>
          <w:rFonts w:ascii="Century Gothic" w:eastAsia="Calibri" w:hAnsi="Century Gothic" w:cs="Arial"/>
          <w:color w:val="000000"/>
          <w:szCs w:val="24"/>
          <w:lang w:eastAsia="en-GB"/>
        </w:rPr>
        <w:t>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w:t>
      </w:r>
      <w:r w:rsidRPr="00910B9D">
        <w:rPr>
          <w:rFonts w:ascii="Century Gothic" w:eastAsia="Calibri" w:hAnsi="Century Gothic" w:cs="Arial"/>
          <w:color w:val="000000"/>
          <w:szCs w:val="24"/>
          <w:lang w:val="es-ES_tradnl" w:eastAsia="en-GB"/>
        </w:rPr>
        <w:t xml:space="preserve"> y su incumplimiento genera las sanciones respectivas conforme a la normativa vigente</w:t>
      </w:r>
      <w:r w:rsidRPr="00910B9D">
        <w:rPr>
          <w:rFonts w:ascii="Century Gothic" w:eastAsia="Calibri" w:hAnsi="Century Gothic" w:cs="Arial"/>
          <w:color w:val="000000"/>
          <w:szCs w:val="24"/>
          <w:vertAlign w:val="superscript"/>
          <w:lang w:val="es-ES_tradnl" w:eastAsia="en-GB"/>
        </w:rPr>
        <w:footnoteReference w:id="10"/>
      </w:r>
      <w:r w:rsidRPr="00910B9D">
        <w:rPr>
          <w:rFonts w:ascii="Century Gothic" w:eastAsia="Calibri" w:hAnsi="Century Gothic" w:cs="Arial"/>
          <w:color w:val="000000"/>
          <w:szCs w:val="24"/>
          <w:lang w:val="es-ES_tradnl" w:eastAsia="en-GB"/>
        </w:rPr>
        <w:t xml:space="preserve">. En todo caso, la información que consta en el Registro podrá tenerse en cuenta por los entes de control o por las entidades públicas sometidas al Estatuto General de Contratación de la Administración Pública en los procesos fiscales, disciplinarios o sancionatorios que se adelanten en razón de la obra civil inconclusa. Igualmente, el acto administrativo que declare el incumplimiento, caducidad y/o terminación unilateral del contrato de obra, tendrá en cuenta en la parte motiva, la documentación que repose en el registro. </w:t>
      </w:r>
    </w:p>
    <w:p w14:paraId="458869FB" w14:textId="0404DF09"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 xml:space="preserve">De esta manera, debido al carácter público de la información del registro, podrá </w:t>
      </w:r>
      <w:bookmarkStart w:id="5" w:name="_Hlk85120931"/>
      <w:r w:rsidRPr="00910B9D">
        <w:rPr>
          <w:rFonts w:ascii="Century Gothic" w:eastAsia="Calibri" w:hAnsi="Century Gothic" w:cs="Arial"/>
          <w:color w:val="000000"/>
          <w:szCs w:val="24"/>
          <w:lang w:val="es-ES_tradnl" w:eastAsia="en-GB"/>
        </w:rPr>
        <w:t>verificarse en el sistema dispuesto por la Contraloría General de la Nación el motivo por el cual la obra civil quedó inconclusa, así como las situaciones de incumplimiento del contratista y en general el estado jurídico, técnico y financiero de la obra</w:t>
      </w:r>
      <w:bookmarkEnd w:id="5"/>
      <w:r w:rsidRPr="00910B9D">
        <w:rPr>
          <w:rFonts w:ascii="Century Gothic" w:eastAsia="Calibri" w:hAnsi="Century Gothic" w:cs="Arial"/>
          <w:color w:val="000000"/>
          <w:szCs w:val="24"/>
          <w:lang w:val="es-ES_tradnl" w:eastAsia="en-GB"/>
        </w:rPr>
        <w:t xml:space="preserve">. Si se presenta alguna controversia respecto de la información suministrada por la </w:t>
      </w:r>
      <w:r w:rsidR="007C7926">
        <w:rPr>
          <w:rFonts w:ascii="Century Gothic" w:eastAsia="Calibri" w:hAnsi="Century Gothic" w:cs="Arial"/>
          <w:color w:val="000000"/>
          <w:szCs w:val="24"/>
          <w:lang w:val="es-ES_tradnl" w:eastAsia="en-GB"/>
        </w:rPr>
        <w:t>Entidad Estatal</w:t>
      </w:r>
      <w:r w:rsidRPr="00910B9D">
        <w:rPr>
          <w:rFonts w:ascii="Century Gothic" w:eastAsia="Calibri" w:hAnsi="Century Gothic" w:cs="Arial"/>
          <w:color w:val="000000"/>
          <w:szCs w:val="24"/>
          <w:lang w:val="es-ES_tradnl" w:eastAsia="en-GB"/>
        </w:rPr>
        <w:t xml:space="preserve">, esta será la encargada de resolverla atendiendo los principios y disposiciones establecidos en la normativa vigente. </w:t>
      </w:r>
    </w:p>
    <w:p w14:paraId="1D5699B4" w14:textId="77777777" w:rsidR="004624B1" w:rsidRPr="00910B9D" w:rsidRDefault="004624B1" w:rsidP="004624B1">
      <w:pPr>
        <w:tabs>
          <w:tab w:val="left" w:pos="0"/>
        </w:tabs>
        <w:spacing w:after="0" w:line="276" w:lineRule="auto"/>
        <w:ind w:firstLine="709"/>
        <w:jc w:val="both"/>
        <w:rPr>
          <w:rFonts w:ascii="Century Gothic" w:eastAsia="Calibri" w:hAnsi="Century Gothic" w:cs="Arial"/>
          <w:color w:val="000000"/>
          <w:szCs w:val="24"/>
          <w:lang w:val="es-ES_tradnl" w:eastAsia="en-GB"/>
        </w:rPr>
      </w:pPr>
    </w:p>
    <w:p w14:paraId="1E5347DD" w14:textId="77777777" w:rsidR="004624B1" w:rsidRPr="00910B9D" w:rsidRDefault="004624B1" w:rsidP="004624B1">
      <w:pPr>
        <w:tabs>
          <w:tab w:val="left" w:pos="0"/>
        </w:tabs>
        <w:spacing w:after="0" w:line="276" w:lineRule="auto"/>
        <w:jc w:val="both"/>
        <w:rPr>
          <w:rFonts w:ascii="Century Gothic" w:eastAsia="Calibri" w:hAnsi="Century Gothic" w:cs="Arial"/>
          <w:b/>
          <w:bCs/>
          <w:color w:val="000000"/>
          <w:szCs w:val="24"/>
          <w:lang w:val="es-ES_tradnl" w:eastAsia="en-GB"/>
        </w:rPr>
      </w:pPr>
      <w:r w:rsidRPr="00910B9D">
        <w:rPr>
          <w:rFonts w:ascii="Century Gothic" w:eastAsia="Calibri" w:hAnsi="Century Gothic" w:cs="Arial"/>
          <w:b/>
          <w:bCs/>
          <w:color w:val="000000"/>
          <w:szCs w:val="24"/>
          <w:lang w:val="es-ES_tradnl" w:eastAsia="en-GB"/>
        </w:rPr>
        <w:t>2.2. Deber de verificación del Registro Nacional de Obras Civiles Inconclusas en la evaluación de las ofertas para la selección de contratistas de obra o interventores</w:t>
      </w:r>
    </w:p>
    <w:p w14:paraId="7BF8A8F9" w14:textId="77777777" w:rsidR="004624B1" w:rsidRPr="00910B9D" w:rsidRDefault="004624B1" w:rsidP="004624B1">
      <w:pPr>
        <w:tabs>
          <w:tab w:val="left" w:pos="0"/>
        </w:tabs>
        <w:spacing w:after="0" w:line="276" w:lineRule="auto"/>
        <w:jc w:val="both"/>
        <w:rPr>
          <w:rFonts w:ascii="Century Gothic" w:eastAsia="Calibri" w:hAnsi="Century Gothic" w:cs="Arial"/>
          <w:color w:val="000000"/>
          <w:szCs w:val="24"/>
          <w:lang w:val="es-ES_tradnl" w:eastAsia="en-GB"/>
        </w:rPr>
      </w:pPr>
    </w:p>
    <w:p w14:paraId="0D77416F" w14:textId="77777777" w:rsidR="004624B1" w:rsidRPr="00910B9D" w:rsidRDefault="004624B1" w:rsidP="004624B1">
      <w:pPr>
        <w:tabs>
          <w:tab w:val="left" w:pos="0"/>
        </w:tabs>
        <w:spacing w:after="0" w:line="276" w:lineRule="auto"/>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 xml:space="preserve">El artículo 6 de la Ley 2020 de 2020 establece un deber a cargo de las entidades estatales dentro de los procedimientos que adelanten para la contratación de obras públicas. Consiste en la obligación de </w:t>
      </w:r>
      <w:r w:rsidRPr="00910B9D">
        <w:rPr>
          <w:rFonts w:ascii="Century Gothic" w:eastAsia="Calibri" w:hAnsi="Century Gothic" w:cs="Arial"/>
          <w:i/>
          <w:iCs/>
          <w:color w:val="000000"/>
          <w:szCs w:val="24"/>
          <w:lang w:val="es-ES_tradnl" w:eastAsia="en-GB"/>
        </w:rPr>
        <w:t>consultar</w:t>
      </w:r>
      <w:r w:rsidRPr="00910B9D">
        <w:rPr>
          <w:rFonts w:ascii="Century Gothic" w:eastAsia="Calibri" w:hAnsi="Century Gothic" w:cs="Arial"/>
          <w:color w:val="000000"/>
          <w:szCs w:val="24"/>
          <w:lang w:val="es-ES_tradnl" w:eastAsia="en-GB"/>
        </w:rPr>
        <w:t xml:space="preserve"> y </w:t>
      </w:r>
      <w:r w:rsidRPr="00910B9D">
        <w:rPr>
          <w:rFonts w:ascii="Century Gothic" w:eastAsia="Calibri" w:hAnsi="Century Gothic" w:cs="Arial"/>
          <w:i/>
          <w:iCs/>
          <w:color w:val="000000"/>
          <w:szCs w:val="24"/>
          <w:lang w:val="es-ES_tradnl" w:eastAsia="en-GB"/>
        </w:rPr>
        <w:t>analizar</w:t>
      </w:r>
      <w:r w:rsidRPr="00910B9D">
        <w:rPr>
          <w:rFonts w:ascii="Century Gothic" w:eastAsia="Calibri" w:hAnsi="Century Gothic" w:cs="Arial"/>
          <w:color w:val="000000"/>
          <w:szCs w:val="24"/>
          <w:lang w:val="es-ES_tradnl" w:eastAsia="en-GB"/>
        </w:rPr>
        <w:t xml:space="preserve"> la información contenida en el Registro Nacional de Obras Civiles Inconclusas. Además, dispone que en los procesos de selección de contratistas de obra e interventores han de considerarse las anotaciones del registro en la evaluación de las ofertas. La norma prescribe lo siguiente:</w:t>
      </w:r>
    </w:p>
    <w:p w14:paraId="3316053C" w14:textId="77777777" w:rsidR="004624B1" w:rsidRPr="00910B9D" w:rsidRDefault="004624B1" w:rsidP="004624B1">
      <w:pPr>
        <w:tabs>
          <w:tab w:val="left" w:pos="0"/>
        </w:tabs>
        <w:spacing w:after="0" w:line="240" w:lineRule="auto"/>
        <w:ind w:left="709" w:right="709"/>
        <w:jc w:val="both"/>
        <w:rPr>
          <w:rFonts w:ascii="Century Gothic" w:eastAsia="Calibri" w:hAnsi="Century Gothic" w:cs="Arial"/>
          <w:color w:val="000000"/>
          <w:sz w:val="21"/>
          <w:szCs w:val="21"/>
          <w:lang w:val="es-ES_tradnl" w:eastAsia="en-GB"/>
        </w:rPr>
      </w:pPr>
    </w:p>
    <w:p w14:paraId="6ED39454" w14:textId="18D33D15" w:rsidR="004624B1" w:rsidRPr="00910B9D" w:rsidRDefault="007C7926" w:rsidP="007C7926">
      <w:pPr>
        <w:tabs>
          <w:tab w:val="left" w:pos="0"/>
        </w:tabs>
        <w:spacing w:after="120" w:line="240" w:lineRule="auto"/>
        <w:ind w:left="709" w:right="709"/>
        <w:jc w:val="both"/>
        <w:rPr>
          <w:rFonts w:ascii="Century Gothic" w:eastAsia="Calibri" w:hAnsi="Century Gothic" w:cs="Arial"/>
          <w:color w:val="000000"/>
          <w:sz w:val="21"/>
          <w:szCs w:val="21"/>
          <w:lang w:val="es-ES_tradnl" w:eastAsia="en-GB"/>
        </w:rPr>
      </w:pPr>
      <w:r>
        <w:rPr>
          <w:rFonts w:ascii="Century Gothic" w:eastAsia="Calibri" w:hAnsi="Century Gothic" w:cs="Arial"/>
          <w:color w:val="000000"/>
          <w:sz w:val="21"/>
          <w:szCs w:val="21"/>
          <w:lang w:val="es-ES_tradnl" w:eastAsia="en-GB"/>
        </w:rPr>
        <w:t>“</w:t>
      </w:r>
      <w:r w:rsidR="004624B1" w:rsidRPr="00910B9D">
        <w:rPr>
          <w:rFonts w:ascii="Century Gothic" w:eastAsia="Calibri" w:hAnsi="Century Gothic" w:cs="Arial"/>
          <w:color w:val="000000"/>
          <w:sz w:val="21"/>
          <w:szCs w:val="21"/>
          <w:lang w:val="es-ES_tradnl" w:eastAsia="en-GB"/>
        </w:rPr>
        <w:t>En los procesos de contratación de obras públicas que adelanten las entidades estatales contratantes, sin importar la cuantía, deberán consultar y analizar las anotaciones vigentes que presenten las personas naturales o jurídicas, nacionales o extranjeras domiciliadas o con sucursal en Colombia, en el Registro Nacional de Obras Civiles Inconclusas.</w:t>
      </w:r>
    </w:p>
    <w:p w14:paraId="45EE49EF" w14:textId="77777777" w:rsidR="004624B1" w:rsidRPr="00910B9D" w:rsidRDefault="004624B1" w:rsidP="007C7926">
      <w:pPr>
        <w:tabs>
          <w:tab w:val="left" w:pos="0"/>
        </w:tabs>
        <w:spacing w:after="120" w:line="240" w:lineRule="auto"/>
        <w:ind w:left="709" w:right="709"/>
        <w:jc w:val="both"/>
        <w:rPr>
          <w:rFonts w:ascii="Century Gothic" w:eastAsia="Calibri" w:hAnsi="Century Gothic" w:cs="Arial"/>
          <w:color w:val="000000"/>
          <w:sz w:val="21"/>
          <w:szCs w:val="21"/>
          <w:lang w:val="es-ES_tradnl" w:eastAsia="en-GB"/>
        </w:rPr>
      </w:pPr>
      <w:r w:rsidRPr="00910B9D">
        <w:rPr>
          <w:rFonts w:ascii="Century Gothic" w:eastAsia="Calibri" w:hAnsi="Century Gothic" w:cs="Arial"/>
          <w:i/>
          <w:color w:val="000000"/>
          <w:sz w:val="21"/>
          <w:szCs w:val="21"/>
          <w:lang w:val="es-ES_tradnl" w:eastAsia="en-GB"/>
        </w:rPr>
        <w:t>Durante los procesos de selección objetiva para contratistas de obra o interventores</w:t>
      </w:r>
      <w:r w:rsidRPr="00910B9D">
        <w:rPr>
          <w:rFonts w:ascii="Century Gothic" w:eastAsia="Calibri" w:hAnsi="Century Gothic" w:cs="Arial"/>
          <w:color w:val="000000"/>
          <w:sz w:val="21"/>
          <w:szCs w:val="21"/>
          <w:lang w:val="es-ES_tradnl" w:eastAsia="en-GB"/>
        </w:rPr>
        <w:t>, se tendrán en cuenta las anotaciones vigentes en el Registro Nacional de Obras Civiles Inconclusas al momento de evaluar los factores de ponderación de calidad, establecidos en el literal a) del artículo 5o de la Ley 1150 de 2007 o la norma que la modifique.</w:t>
      </w:r>
    </w:p>
    <w:p w14:paraId="6197338F" w14:textId="1026E061" w:rsidR="004624B1" w:rsidRPr="00910B9D" w:rsidRDefault="004624B1" w:rsidP="007C7926">
      <w:pPr>
        <w:tabs>
          <w:tab w:val="left" w:pos="0"/>
        </w:tabs>
        <w:spacing w:after="0" w:line="240" w:lineRule="auto"/>
        <w:ind w:left="709" w:right="709"/>
        <w:jc w:val="both"/>
        <w:rPr>
          <w:rFonts w:ascii="Century Gothic" w:eastAsia="Calibri" w:hAnsi="Century Gothic" w:cs="Arial"/>
          <w:color w:val="000000"/>
          <w:sz w:val="21"/>
          <w:szCs w:val="21"/>
          <w:lang w:val="es-ES_tradnl" w:eastAsia="en-GB"/>
        </w:rPr>
      </w:pPr>
      <w:r w:rsidRPr="00910B9D">
        <w:rPr>
          <w:rFonts w:ascii="Century Gothic" w:eastAsia="Calibri" w:hAnsi="Century Gothic" w:cs="Arial"/>
          <w:color w:val="000000"/>
          <w:sz w:val="21"/>
          <w:szCs w:val="21"/>
          <w:lang w:val="es-ES_tradnl" w:eastAsia="en-GB"/>
        </w:rPr>
        <w:t>Cualquier controversia o solicitud que surja en relación con los reportes de información que suministre la entidad contratante, serán resueltos por esta, atendiendo los principios y disposiciones establecidos en la normatividad vigente</w:t>
      </w:r>
      <w:r w:rsidR="007C7926">
        <w:rPr>
          <w:rFonts w:ascii="Century Gothic" w:eastAsia="Calibri" w:hAnsi="Century Gothic" w:cs="Arial"/>
          <w:color w:val="000000"/>
          <w:sz w:val="21"/>
          <w:szCs w:val="21"/>
          <w:lang w:val="es-ES_tradnl" w:eastAsia="en-GB"/>
        </w:rPr>
        <w:t>.”</w:t>
      </w:r>
      <w:r w:rsidRPr="00910B9D">
        <w:rPr>
          <w:rFonts w:ascii="Century Gothic" w:eastAsia="Calibri" w:hAnsi="Century Gothic" w:cs="Arial"/>
          <w:color w:val="000000"/>
          <w:sz w:val="21"/>
          <w:szCs w:val="21"/>
          <w:lang w:val="es-ES_tradnl" w:eastAsia="en-GB"/>
        </w:rPr>
        <w:t xml:space="preserve"> [énfasis fuera de texto]</w:t>
      </w:r>
    </w:p>
    <w:p w14:paraId="00A1D7B5" w14:textId="77777777" w:rsidR="004624B1" w:rsidRPr="00910B9D" w:rsidRDefault="004624B1" w:rsidP="004624B1">
      <w:pPr>
        <w:tabs>
          <w:tab w:val="left" w:pos="0"/>
        </w:tabs>
        <w:spacing w:after="0" w:line="276" w:lineRule="auto"/>
        <w:jc w:val="both"/>
        <w:rPr>
          <w:rFonts w:ascii="Century Gothic" w:eastAsia="Calibri" w:hAnsi="Century Gothic" w:cs="Arial"/>
          <w:color w:val="000000"/>
          <w:szCs w:val="24"/>
          <w:lang w:val="es-ES_tradnl" w:eastAsia="en-GB"/>
        </w:rPr>
      </w:pPr>
    </w:p>
    <w:p w14:paraId="5BDCFDAA" w14:textId="77777777" w:rsidR="004624B1" w:rsidRPr="00910B9D" w:rsidRDefault="004624B1" w:rsidP="004624B1">
      <w:pPr>
        <w:tabs>
          <w:tab w:val="left" w:pos="0"/>
        </w:tabs>
        <w:spacing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 xml:space="preserve">Como se observa, el artículo citado prescribe que las entidades estatales deben revisar “[…] las anotaciones vigentes en el Registro Nacional de Obras Civiles Inconclusas al momento de evaluar los factores de ponderación de calidad, establecidos en el literal a) del artículo 5o de la Ley 1150 de 2007 o la norma que la modifique”. Teniendo en cuenta que el artículo 6 de la Ley 2020 de 2020 se remite al literal a) del artículo 5 de la Ley 1150 de 2007, conviene recordar lo señalado en dicho enunciado normativo. Este consagra los criterios para garantizar la </w:t>
      </w:r>
      <w:r w:rsidRPr="00910B9D">
        <w:rPr>
          <w:rFonts w:ascii="Century Gothic" w:eastAsia="Calibri" w:hAnsi="Century Gothic" w:cs="Arial"/>
          <w:i/>
          <w:iCs/>
          <w:color w:val="000000"/>
          <w:szCs w:val="24"/>
          <w:lang w:val="es-ES_tradnl" w:eastAsia="en-GB"/>
        </w:rPr>
        <w:t>selección objetiva</w:t>
      </w:r>
      <w:r w:rsidRPr="00910B9D">
        <w:rPr>
          <w:rFonts w:ascii="Century Gothic" w:eastAsia="Calibri" w:hAnsi="Century Gothic" w:cs="Arial"/>
          <w:color w:val="000000"/>
          <w:szCs w:val="24"/>
          <w:lang w:val="es-ES_tradnl" w:eastAsia="en-GB"/>
        </w:rPr>
        <w:t xml:space="preserve"> en los procedimientos contractuales, precisando la metodología con la cual pueden establecerse tanto los requisitos habilitantes como los criterios de evaluación. En lo pertinente, la norma dispone:</w:t>
      </w:r>
    </w:p>
    <w:p w14:paraId="47FC4477" w14:textId="77777777" w:rsidR="004624B1" w:rsidRPr="00910B9D" w:rsidRDefault="004624B1" w:rsidP="004624B1">
      <w:pPr>
        <w:tabs>
          <w:tab w:val="left" w:pos="0"/>
        </w:tabs>
        <w:spacing w:after="0" w:line="276" w:lineRule="auto"/>
        <w:ind w:right="709"/>
        <w:jc w:val="both"/>
        <w:rPr>
          <w:rFonts w:ascii="Century Gothic" w:eastAsia="Calibri" w:hAnsi="Century Gothic" w:cs="Arial"/>
          <w:color w:val="000000"/>
          <w:lang w:val="es-ES_tradnl" w:eastAsia="en-GB"/>
        </w:rPr>
      </w:pPr>
    </w:p>
    <w:p w14:paraId="33DB6924" w14:textId="78CB0E47" w:rsidR="004624B1" w:rsidRPr="00910B9D" w:rsidRDefault="007C7926" w:rsidP="004624B1">
      <w:pPr>
        <w:tabs>
          <w:tab w:val="left" w:pos="0"/>
        </w:tabs>
        <w:spacing w:after="120" w:line="240" w:lineRule="auto"/>
        <w:ind w:left="709" w:right="709"/>
        <w:jc w:val="both"/>
        <w:rPr>
          <w:rFonts w:ascii="Century Gothic" w:eastAsia="Calibri" w:hAnsi="Century Gothic" w:cs="Arial"/>
          <w:color w:val="000000"/>
          <w:sz w:val="21"/>
          <w:szCs w:val="21"/>
          <w:lang w:val="es-ES_tradnl" w:eastAsia="en-GB"/>
        </w:rPr>
      </w:pPr>
      <w:r>
        <w:rPr>
          <w:rFonts w:ascii="Century Gothic" w:eastAsia="Calibri" w:hAnsi="Century Gothic" w:cs="Arial"/>
          <w:color w:val="000000"/>
          <w:sz w:val="21"/>
          <w:szCs w:val="21"/>
          <w:lang w:val="es-ES_tradnl" w:eastAsia="en-GB"/>
        </w:rPr>
        <w:t>“</w:t>
      </w:r>
      <w:r w:rsidR="004624B1" w:rsidRPr="00910B9D">
        <w:rPr>
          <w:rFonts w:ascii="Century Gothic" w:eastAsia="Calibri" w:hAnsi="Century Gothic" w:cs="Arial"/>
          <w:color w:val="000000"/>
          <w:sz w:val="21"/>
          <w:szCs w:val="21"/>
          <w:lang w:val="es-ES_tradnl" w:eastAsia="en-GB"/>
        </w:rPr>
        <w: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035D50BD" w14:textId="77777777" w:rsidR="004624B1" w:rsidRPr="00910B9D" w:rsidRDefault="004624B1" w:rsidP="004624B1">
      <w:pPr>
        <w:tabs>
          <w:tab w:val="left" w:pos="0"/>
        </w:tabs>
        <w:spacing w:after="120" w:line="240" w:lineRule="auto"/>
        <w:ind w:left="709" w:right="709"/>
        <w:jc w:val="both"/>
        <w:rPr>
          <w:rFonts w:ascii="Century Gothic" w:eastAsia="Calibri" w:hAnsi="Century Gothic" w:cs="Arial"/>
          <w:color w:val="000000"/>
          <w:sz w:val="21"/>
          <w:szCs w:val="21"/>
          <w:lang w:val="es-ES_tradnl" w:eastAsia="en-GB"/>
        </w:rPr>
      </w:pPr>
      <w:r w:rsidRPr="00910B9D">
        <w:rPr>
          <w:rFonts w:ascii="Century Gothic" w:eastAsia="Calibri" w:hAnsi="Century Gothic" w:cs="Arial"/>
          <w:color w:val="000000"/>
          <w:sz w:val="21"/>
          <w:szCs w:val="21"/>
          <w:lang w:val="es-ES_tradnl" w:eastAsia="en-GB"/>
        </w:rPr>
        <w:t>En los procesos de selección en los que se tenga en cuenta los factores técnicos y económicos, la oferta más ventajosa será la que resulte de aplicar alguna de las siguientes alternativas:</w:t>
      </w:r>
    </w:p>
    <w:p w14:paraId="2DEF2127" w14:textId="77777777" w:rsidR="004624B1" w:rsidRPr="00910B9D" w:rsidRDefault="004624B1" w:rsidP="004624B1">
      <w:pPr>
        <w:tabs>
          <w:tab w:val="left" w:pos="0"/>
        </w:tabs>
        <w:spacing w:after="120" w:line="240" w:lineRule="auto"/>
        <w:ind w:left="709" w:right="709"/>
        <w:jc w:val="both"/>
        <w:rPr>
          <w:rFonts w:ascii="Century Gothic" w:eastAsia="Calibri" w:hAnsi="Century Gothic" w:cs="Arial"/>
          <w:color w:val="000000"/>
          <w:sz w:val="21"/>
          <w:szCs w:val="21"/>
          <w:lang w:val="es-ES_tradnl" w:eastAsia="en-GB"/>
        </w:rPr>
      </w:pPr>
      <w:r w:rsidRPr="00910B9D">
        <w:rPr>
          <w:rFonts w:ascii="Century Gothic" w:eastAsia="Calibri" w:hAnsi="Century Gothic" w:cs="Arial"/>
          <w:i/>
          <w:iCs/>
          <w:color w:val="000000"/>
          <w:sz w:val="21"/>
          <w:szCs w:val="21"/>
          <w:lang w:val="es-ES_tradnl" w:eastAsia="en-GB"/>
        </w:rPr>
        <w:t>a) La ponderación de los elementos de calidad y precio soportados en puntajes o fórmulas señaladas en el pliego de condiciones; o</w:t>
      </w:r>
    </w:p>
    <w:p w14:paraId="49D79B60" w14:textId="6DEA11CE" w:rsidR="004624B1" w:rsidRPr="00910B9D" w:rsidRDefault="004624B1" w:rsidP="004624B1">
      <w:pPr>
        <w:tabs>
          <w:tab w:val="left" w:pos="0"/>
        </w:tabs>
        <w:spacing w:after="0" w:line="240" w:lineRule="auto"/>
        <w:ind w:left="709" w:right="709"/>
        <w:jc w:val="both"/>
        <w:rPr>
          <w:rFonts w:ascii="Century Gothic" w:eastAsia="Calibri" w:hAnsi="Century Gothic" w:cs="Arial"/>
          <w:color w:val="000000"/>
          <w:sz w:val="21"/>
          <w:szCs w:val="21"/>
          <w:lang w:val="es-ES_tradnl" w:eastAsia="en-GB"/>
        </w:rPr>
      </w:pPr>
      <w:r w:rsidRPr="00910B9D">
        <w:rPr>
          <w:rFonts w:ascii="Century Gothic" w:eastAsia="Calibri" w:hAnsi="Century Gothic" w:cs="Arial"/>
          <w:color w:val="000000"/>
          <w:sz w:val="21"/>
          <w:szCs w:val="21"/>
          <w:lang w:val="es-ES_tradnl" w:eastAsia="en-GB"/>
        </w:rPr>
        <w:t>b) La ponderación de los elementos de calidad y precio que representen la mejor relación de costo-beneficio para la entidad.</w:t>
      </w:r>
      <w:r w:rsidR="007C7926">
        <w:rPr>
          <w:rFonts w:ascii="Century Gothic" w:eastAsia="Calibri" w:hAnsi="Century Gothic" w:cs="Arial"/>
          <w:color w:val="000000"/>
          <w:sz w:val="21"/>
          <w:szCs w:val="21"/>
          <w:lang w:val="es-ES_tradnl" w:eastAsia="en-GB"/>
        </w:rPr>
        <w:t>”</w:t>
      </w:r>
      <w:r w:rsidRPr="00910B9D">
        <w:rPr>
          <w:rFonts w:ascii="Century Gothic" w:eastAsia="Calibri" w:hAnsi="Century Gothic" w:cs="Arial"/>
          <w:color w:val="000000"/>
          <w:sz w:val="21"/>
          <w:szCs w:val="21"/>
          <w:lang w:val="es-ES_tradnl" w:eastAsia="en-GB"/>
        </w:rPr>
        <w:t xml:space="preserve"> (Énfasis fuera de texto)</w:t>
      </w:r>
    </w:p>
    <w:p w14:paraId="6F709347" w14:textId="77777777" w:rsidR="004624B1" w:rsidRPr="00910B9D" w:rsidRDefault="004624B1" w:rsidP="004624B1">
      <w:pPr>
        <w:tabs>
          <w:tab w:val="left" w:pos="0"/>
        </w:tabs>
        <w:spacing w:after="0" w:line="276" w:lineRule="auto"/>
        <w:ind w:left="709" w:right="709"/>
        <w:jc w:val="both"/>
        <w:rPr>
          <w:rFonts w:ascii="Century Gothic" w:eastAsia="Calibri" w:hAnsi="Century Gothic" w:cs="Arial"/>
          <w:color w:val="000000"/>
          <w:lang w:val="es-ES_tradnl" w:eastAsia="en-GB"/>
        </w:rPr>
      </w:pPr>
    </w:p>
    <w:p w14:paraId="4CCF1017" w14:textId="4582AF0A" w:rsidR="004624B1" w:rsidRPr="00910B9D" w:rsidRDefault="00682EE0" w:rsidP="004624B1">
      <w:pPr>
        <w:tabs>
          <w:tab w:val="left" w:pos="0"/>
        </w:tabs>
        <w:spacing w:after="0" w:line="276" w:lineRule="auto"/>
        <w:ind w:firstLine="709"/>
        <w:jc w:val="both"/>
        <w:rPr>
          <w:rFonts w:ascii="Century Gothic" w:eastAsia="Calibri" w:hAnsi="Century Gothic" w:cs="Arial"/>
          <w:color w:val="000000"/>
          <w:szCs w:val="24"/>
          <w:lang w:val="es-ES_tradnl" w:eastAsia="en-GB"/>
        </w:rPr>
      </w:pPr>
      <w:r>
        <w:rPr>
          <w:rFonts w:ascii="Century Gothic" w:eastAsia="Calibri" w:hAnsi="Century Gothic" w:cs="Arial"/>
          <w:color w:val="000000"/>
          <w:szCs w:val="24"/>
          <w:lang w:val="es-ES_tradnl" w:eastAsia="en-GB"/>
        </w:rPr>
        <w:t>De esta manera</w:t>
      </w:r>
      <w:r w:rsidR="004624B1" w:rsidRPr="00910B9D">
        <w:rPr>
          <w:rFonts w:ascii="Century Gothic" w:eastAsia="Calibri" w:hAnsi="Century Gothic" w:cs="Arial"/>
          <w:color w:val="000000"/>
          <w:szCs w:val="24"/>
          <w:lang w:val="es-ES_tradnl" w:eastAsia="en-GB"/>
        </w:rPr>
        <w:t xml:space="preserve">, para interpretar el apartado del artículo 6 de la Ley 2020 de 2020 –referido a la evaluación de los factores de ponderación de calidad, previo análisis de las anotaciones del Registro Nacional de Obras Civiles Inconclusas– debe resaltarse que el artículo 5 de la Ley 1150 de 2007 </w:t>
      </w:r>
      <w:r w:rsidR="004624B1" w:rsidRPr="00910B9D">
        <w:rPr>
          <w:rFonts w:ascii="Century Gothic" w:eastAsia="Calibri" w:hAnsi="Century Gothic" w:cs="Arial"/>
          <w:iCs/>
          <w:color w:val="000000"/>
          <w:szCs w:val="24"/>
          <w:lang w:val="es-ES_tradnl" w:eastAsia="en-GB"/>
        </w:rPr>
        <w:t>no</w:t>
      </w:r>
      <w:r w:rsidR="004624B1" w:rsidRPr="00910B9D">
        <w:rPr>
          <w:rFonts w:ascii="Century Gothic" w:eastAsia="Calibri" w:hAnsi="Century Gothic" w:cs="Arial"/>
          <w:color w:val="000000"/>
          <w:szCs w:val="24"/>
          <w:lang w:val="es-ES_tradnl" w:eastAsia="en-GB"/>
        </w:rPr>
        <w:t xml:space="preserve"> los define, sino que se limita a mencionarlos de manera genérica. En efecto, el literal a) de dicho artículo está precedido por un inciso que establece: “En los procesos de selección en los que se tenga en cuenta los factores técnicos y económicos, la oferta más ventajosa será la que resulte de aplicar alguna de las siguientes alternativas”; y, a renglón seguido, dentro de las “alternativas”, el legislador incorpora la siguiente: “a) La ponderación de los elementos de calidad y precio soportados en puntajes o fórmulas señaladas en el pliego de condiciones”.</w:t>
      </w:r>
    </w:p>
    <w:p w14:paraId="3EA92197" w14:textId="25D67900" w:rsidR="004624B1" w:rsidRPr="00910B9D" w:rsidRDefault="004624B1" w:rsidP="004624B1">
      <w:pPr>
        <w:tabs>
          <w:tab w:val="left" w:pos="0"/>
        </w:tabs>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Como puede apreciarse, el Congreso de la República optó por conceder a las entidades estatales un margen de discrecionalidad administrativa para determinar en los procedimientos de selección que realicen cuáles serán los elementos de calidad y precio que tendrán en cuenta en la calificación o ponderació</w:t>
      </w:r>
      <w:r w:rsidRPr="00910B9D">
        <w:rPr>
          <w:rFonts w:ascii="Century Gothic" w:eastAsia="Calibri" w:hAnsi="Century Gothic" w:cs="Arial"/>
          <w:color w:val="000000" w:themeColor="text1"/>
          <w:szCs w:val="24"/>
          <w:lang w:val="es-ES_tradnl" w:eastAsia="en-GB"/>
        </w:rPr>
        <w:t xml:space="preserve">n. </w:t>
      </w:r>
      <w:r w:rsidRPr="00910B9D">
        <w:rPr>
          <w:rFonts w:ascii="Century Gothic" w:eastAsia="Calibri" w:hAnsi="Century Gothic" w:cs="Arial"/>
          <w:color w:val="000000"/>
          <w:szCs w:val="24"/>
          <w:lang w:val="es-ES_tradnl" w:eastAsia="en-GB"/>
        </w:rPr>
        <w:t xml:space="preserve">De igual forma, el legislador no estableció una fórmula o metodología específica para realizar esta ponderación, sino que también lo dejó librado a la apreciación de las entidades </w:t>
      </w:r>
      <w:r w:rsidR="00A801A0">
        <w:rPr>
          <w:rFonts w:ascii="Century Gothic" w:eastAsia="Calibri" w:hAnsi="Century Gothic" w:cs="Arial"/>
          <w:color w:val="000000"/>
          <w:szCs w:val="24"/>
          <w:lang w:val="es-ES_tradnl" w:eastAsia="en-GB"/>
        </w:rPr>
        <w:t>e</w:t>
      </w:r>
      <w:r w:rsidR="00055225">
        <w:rPr>
          <w:rFonts w:ascii="Century Gothic" w:eastAsia="Calibri" w:hAnsi="Century Gothic" w:cs="Arial"/>
          <w:color w:val="000000"/>
          <w:szCs w:val="24"/>
          <w:lang w:val="es-ES_tradnl" w:eastAsia="en-GB"/>
        </w:rPr>
        <w:t>statales</w:t>
      </w:r>
      <w:r w:rsidRPr="00910B9D">
        <w:rPr>
          <w:rFonts w:ascii="Century Gothic" w:eastAsia="Calibri" w:hAnsi="Century Gothic" w:cs="Arial"/>
          <w:color w:val="000000"/>
          <w:szCs w:val="24"/>
          <w:lang w:val="es-ES_tradnl" w:eastAsia="en-GB"/>
        </w:rPr>
        <w:t xml:space="preserve"> interesadas en contratar.</w:t>
      </w:r>
    </w:p>
    <w:p w14:paraId="797A7285" w14:textId="77777777" w:rsidR="004624B1" w:rsidRPr="00910B9D" w:rsidRDefault="004624B1" w:rsidP="004624B1">
      <w:pPr>
        <w:tabs>
          <w:tab w:val="left" w:pos="0"/>
        </w:tabs>
        <w:spacing w:before="120" w:after="0" w:line="276" w:lineRule="auto"/>
        <w:ind w:firstLine="709"/>
        <w:jc w:val="both"/>
        <w:rPr>
          <w:rFonts w:ascii="Century Gothic" w:eastAsia="Times New Roman" w:hAnsi="Century Gothic" w:cs="Arial"/>
          <w:color w:val="000000"/>
          <w:szCs w:val="24"/>
          <w:lang w:eastAsia="es-ES_tradnl"/>
        </w:rPr>
      </w:pPr>
      <w:r w:rsidRPr="00910B9D">
        <w:rPr>
          <w:rFonts w:ascii="Century Gothic" w:eastAsia="Calibri" w:hAnsi="Century Gothic" w:cs="Arial"/>
          <w:color w:val="000000"/>
          <w:szCs w:val="24"/>
          <w:lang w:val="es-ES_tradnl" w:eastAsia="en-GB"/>
        </w:rPr>
        <w:t xml:space="preserve">Esta Subdirección se pronunció sobre el reconocimiento de la discrecionalidad administrativa como modelo de asignación de potestades en la contratación estatal. Por ejemplo, en el Concepto C-120 del 3 de marzo de 2020 señaló que si bien la discrecionalidad implica un margen de libertad para las entidades estales, en todo caso, al hacer uso de ella, deben observar el artículo 44 de la Ley 1437 de 2011, según el cual </w:t>
      </w:r>
      <w:r w:rsidRPr="00910B9D">
        <w:rPr>
          <w:rFonts w:ascii="Century Gothic" w:eastAsia="Times New Roman" w:hAnsi="Century Gothic" w:cs="Arial"/>
          <w:color w:val="000000"/>
          <w:szCs w:val="24"/>
          <w:lang w:eastAsia="es-ES_tradnl"/>
        </w:rPr>
        <w:t>la decisión debe ser adecuada y proporcional al trámite y a los hechos que lo motivaron</w:t>
      </w:r>
      <w:r w:rsidRPr="00910B9D">
        <w:rPr>
          <w:rFonts w:ascii="Century Gothic" w:eastAsia="Times New Roman" w:hAnsi="Century Gothic" w:cs="Arial"/>
          <w:color w:val="000000"/>
          <w:szCs w:val="24"/>
          <w:vertAlign w:val="superscript"/>
          <w:lang w:eastAsia="es-ES_tradnl"/>
        </w:rPr>
        <w:footnoteReference w:id="11"/>
      </w:r>
      <w:r w:rsidRPr="00910B9D">
        <w:rPr>
          <w:rFonts w:ascii="Century Gothic" w:eastAsia="Times New Roman" w:hAnsi="Century Gothic" w:cs="Arial"/>
          <w:color w:val="000000"/>
          <w:szCs w:val="24"/>
          <w:lang w:eastAsia="es-ES_tradnl"/>
        </w:rPr>
        <w:t>. Este también ha sido el entendimiento de la doctrina, que ha considerado que el ejercicio de la discrecionalidad administrativa debe respetar el principio de proporcionalidad</w:t>
      </w:r>
      <w:r w:rsidRPr="00910B9D">
        <w:rPr>
          <w:rFonts w:ascii="Century Gothic" w:eastAsia="Times New Roman" w:hAnsi="Century Gothic" w:cs="Arial"/>
          <w:color w:val="000000"/>
          <w:szCs w:val="24"/>
          <w:vertAlign w:val="superscript"/>
          <w:lang w:eastAsia="es-ES_tradnl"/>
        </w:rPr>
        <w:footnoteReference w:id="12"/>
      </w:r>
      <w:r w:rsidRPr="00910B9D">
        <w:rPr>
          <w:rFonts w:ascii="Century Gothic" w:eastAsia="Times New Roman" w:hAnsi="Century Gothic" w:cs="Arial"/>
          <w:color w:val="000000"/>
          <w:szCs w:val="24"/>
          <w:lang w:eastAsia="es-ES_tradnl"/>
        </w:rPr>
        <w:t>.</w:t>
      </w:r>
    </w:p>
    <w:p w14:paraId="69886242" w14:textId="77777777" w:rsidR="004624B1" w:rsidRPr="00910B9D" w:rsidRDefault="004624B1" w:rsidP="004624B1">
      <w:pPr>
        <w:tabs>
          <w:tab w:val="left" w:pos="0"/>
        </w:tabs>
        <w:spacing w:before="120" w:after="0" w:line="276" w:lineRule="auto"/>
        <w:ind w:firstLine="709"/>
        <w:jc w:val="both"/>
        <w:rPr>
          <w:rFonts w:ascii="Century Gothic" w:eastAsia="Times New Roman" w:hAnsi="Century Gothic" w:cs="Arial"/>
          <w:color w:val="000000"/>
          <w:szCs w:val="24"/>
          <w:lang w:eastAsia="es-ES_tradnl"/>
        </w:rPr>
      </w:pPr>
      <w:r w:rsidRPr="00910B9D">
        <w:rPr>
          <w:rFonts w:ascii="Century Gothic" w:eastAsia="Times New Roman" w:hAnsi="Century Gothic" w:cs="Arial"/>
          <w:color w:val="000000"/>
          <w:szCs w:val="24"/>
          <w:lang w:eastAsia="es-ES_tradnl"/>
        </w:rPr>
        <w:t xml:space="preserve">Esta discrecionalidad también se encuentra presente al momento de elaborar el pliego de condiciones y específicamente, al definir los criterios de calificación con puntos. Entre estos criterios se encuentran los elementos de calidad y precio indicados en el artículo 5, numeral 2, literal a), de la Ley 1150 de 2007. Por ello, la Sección Tercera del Consejo de Estado considera: </w:t>
      </w:r>
    </w:p>
    <w:p w14:paraId="302E6741" w14:textId="77777777" w:rsidR="004624B1" w:rsidRPr="00910B9D" w:rsidRDefault="004624B1" w:rsidP="004624B1">
      <w:pPr>
        <w:tabs>
          <w:tab w:val="left" w:pos="0"/>
        </w:tabs>
        <w:spacing w:after="0" w:line="276" w:lineRule="auto"/>
        <w:ind w:left="709" w:right="709"/>
        <w:jc w:val="both"/>
        <w:rPr>
          <w:rFonts w:ascii="Century Gothic" w:eastAsia="Calibri" w:hAnsi="Century Gothic" w:cs="Arial"/>
          <w:color w:val="000000"/>
          <w:lang w:eastAsia="en-GB"/>
        </w:rPr>
      </w:pPr>
    </w:p>
    <w:p w14:paraId="7F3BE3F4" w14:textId="793951BB" w:rsidR="004624B1" w:rsidRPr="00910B9D" w:rsidRDefault="002B4915" w:rsidP="004624B1">
      <w:pPr>
        <w:tabs>
          <w:tab w:val="left" w:pos="0"/>
        </w:tabs>
        <w:spacing w:after="0" w:line="240" w:lineRule="auto"/>
        <w:ind w:left="709" w:right="709"/>
        <w:jc w:val="both"/>
        <w:rPr>
          <w:rFonts w:ascii="Century Gothic" w:eastAsia="Calibri" w:hAnsi="Century Gothic" w:cs="Arial"/>
          <w:color w:val="000000"/>
          <w:sz w:val="21"/>
          <w:szCs w:val="21"/>
          <w:lang w:val="es-ES_tradnl" w:eastAsia="en-GB"/>
        </w:rPr>
      </w:pPr>
      <w:r>
        <w:rPr>
          <w:rFonts w:ascii="Century Gothic" w:eastAsia="Calibri" w:hAnsi="Century Gothic" w:cs="Arial"/>
          <w:color w:val="000000"/>
          <w:sz w:val="21"/>
          <w:szCs w:val="21"/>
          <w:lang w:val="es-ES_tradnl" w:eastAsia="en-GB"/>
        </w:rPr>
        <w:t>“</w:t>
      </w:r>
      <w:r w:rsidR="004624B1" w:rsidRPr="00910B9D">
        <w:rPr>
          <w:rFonts w:ascii="Century Gothic" w:eastAsia="Calibri" w:hAnsi="Century Gothic" w:cs="Arial"/>
          <w:color w:val="000000"/>
          <w:sz w:val="21"/>
          <w:szCs w:val="21"/>
          <w:lang w:val="es-ES_tradnl" w:eastAsia="en-GB"/>
        </w:rPr>
        <w:t>Bajo esta premisa debe entenderse el deber de selección objetiva consagrado en el artículo 5 de la Ley 1150 de 2007, disposición que otorga discrecionalidad a las diversas entidades estatales para que establezcan en los pliegos de condiciones los diferentes factores de escogencia y calificación. Por ende, es cierto, como se desprende del libelo de la demanda, que el legislador otorgó a la Administración una libertad de elección de los distintos criterios de ponderación para asegurar que se contratará con la mejor oferta, esto es, aquella que se ajuste mejor a las finalidades de interés general</w:t>
      </w:r>
      <w:r>
        <w:rPr>
          <w:rFonts w:ascii="Century Gothic" w:eastAsia="Calibri" w:hAnsi="Century Gothic" w:cs="Arial"/>
          <w:color w:val="000000"/>
          <w:sz w:val="21"/>
          <w:szCs w:val="21"/>
          <w:lang w:val="es-ES_tradnl" w:eastAsia="en-GB"/>
        </w:rPr>
        <w:t>.”</w:t>
      </w:r>
      <w:r w:rsidR="004624B1" w:rsidRPr="00910B9D">
        <w:rPr>
          <w:rFonts w:ascii="Century Gothic" w:eastAsia="Calibri" w:hAnsi="Century Gothic" w:cs="Arial"/>
          <w:color w:val="000000"/>
          <w:sz w:val="21"/>
          <w:szCs w:val="21"/>
          <w:vertAlign w:val="superscript"/>
          <w:lang w:val="es-ES_tradnl" w:eastAsia="en-GB"/>
        </w:rPr>
        <w:footnoteReference w:id="13"/>
      </w:r>
    </w:p>
    <w:p w14:paraId="37A50273" w14:textId="77777777" w:rsidR="004624B1" w:rsidRPr="00910B9D" w:rsidRDefault="004624B1" w:rsidP="004624B1">
      <w:pPr>
        <w:tabs>
          <w:tab w:val="left" w:pos="0"/>
        </w:tabs>
        <w:spacing w:after="0" w:line="276" w:lineRule="auto"/>
        <w:ind w:firstLine="709"/>
        <w:jc w:val="both"/>
        <w:rPr>
          <w:rFonts w:ascii="Century Gothic" w:eastAsia="Times New Roman" w:hAnsi="Century Gothic" w:cs="Arial"/>
          <w:color w:val="000000"/>
          <w:szCs w:val="24"/>
          <w:lang w:eastAsia="es-ES_tradnl"/>
        </w:rPr>
      </w:pPr>
    </w:p>
    <w:p w14:paraId="505BC487" w14:textId="77777777" w:rsidR="004624B1" w:rsidRPr="00910B9D" w:rsidRDefault="004624B1" w:rsidP="004624B1">
      <w:pPr>
        <w:spacing w:after="120" w:line="276" w:lineRule="auto"/>
        <w:ind w:firstLine="709"/>
        <w:jc w:val="both"/>
        <w:rPr>
          <w:rFonts w:ascii="Century Gothic" w:eastAsia="Times New Roman" w:hAnsi="Century Gothic" w:cs="Arial"/>
          <w:color w:val="000000"/>
          <w:szCs w:val="24"/>
          <w:lang w:eastAsia="es-ES_tradnl"/>
        </w:rPr>
      </w:pPr>
      <w:r w:rsidRPr="00910B9D">
        <w:rPr>
          <w:rFonts w:ascii="Century Gothic" w:eastAsia="Times New Roman" w:hAnsi="Century Gothic" w:cs="Arial"/>
          <w:color w:val="000000"/>
          <w:szCs w:val="24"/>
          <w:lang w:eastAsia="es-ES_tradnl"/>
        </w:rPr>
        <w:t>Por lo tanto, como se indicó, el artículo 6 de la Ley 2020 de 2020 establece que “Durante los procesos de selección objetiva para contratistas de obra o interventores, se tendrán en cuenta las anotaciones vigentes en el Registro Nacional de Obras Civiles Inconclusas al momento de evaluar los factores de ponderación de calidad, establecidos en el literal a) del artículo 5</w:t>
      </w:r>
      <w:r w:rsidRPr="00910B9D">
        <w:rPr>
          <w:rFonts w:ascii="Century Gothic" w:eastAsia="Times New Roman" w:hAnsi="Century Gothic" w:cs="Arial"/>
          <w:color w:val="000000"/>
          <w:szCs w:val="24"/>
          <w:vertAlign w:val="superscript"/>
          <w:lang w:eastAsia="es-ES_tradnl"/>
        </w:rPr>
        <w:t>o</w:t>
      </w:r>
      <w:r w:rsidRPr="00910B9D">
        <w:rPr>
          <w:rFonts w:ascii="Century Gothic" w:eastAsia="Times New Roman" w:hAnsi="Century Gothic" w:cs="Arial"/>
          <w:color w:val="000000"/>
          <w:szCs w:val="24"/>
          <w:lang w:eastAsia="es-ES_tradnl"/>
        </w:rPr>
        <w:t xml:space="preserve"> de la Ley 1150 de 2007 o la norma que la modifique”. De lo prescrito en la disposición precitada, se deriva que el deber de consultar y analizar solamente aplica a las tipologías contractuales de obra pública y de interventoría, y no a los demás contratos de consultoría. Esto por cuanto, si bien el contrato de interventoría es de consultoría, no todo contrato de consultoría tiene por objeto una interventoría. Así se desprende del artículo 32, numeral 2, de la Ley 80 de 1993</w:t>
      </w:r>
      <w:r w:rsidRPr="00910B9D">
        <w:rPr>
          <w:rStyle w:val="Refdenotaalpie"/>
          <w:rFonts w:ascii="Century Gothic" w:eastAsia="Times New Roman" w:hAnsi="Century Gothic" w:cs="Arial"/>
          <w:color w:val="000000"/>
          <w:szCs w:val="24"/>
          <w:lang w:eastAsia="es-ES_tradnl"/>
        </w:rPr>
        <w:footnoteReference w:id="14"/>
      </w:r>
      <w:r w:rsidRPr="00910B9D">
        <w:rPr>
          <w:rFonts w:ascii="Century Gothic" w:eastAsia="Times New Roman" w:hAnsi="Century Gothic" w:cs="Arial"/>
          <w:color w:val="000000"/>
          <w:szCs w:val="24"/>
          <w:lang w:eastAsia="es-ES_tradnl"/>
        </w:rPr>
        <w:t>.</w:t>
      </w:r>
    </w:p>
    <w:p w14:paraId="6B8F4535" w14:textId="1FF3D1EE" w:rsidR="004624B1" w:rsidRPr="00910B9D" w:rsidRDefault="004624B1" w:rsidP="004624B1">
      <w:pPr>
        <w:spacing w:after="0" w:line="276" w:lineRule="auto"/>
        <w:ind w:firstLine="709"/>
        <w:jc w:val="both"/>
        <w:rPr>
          <w:rFonts w:ascii="Century Gothic" w:eastAsia="Times New Roman" w:hAnsi="Century Gothic" w:cs="Arial"/>
          <w:color w:val="000000"/>
          <w:szCs w:val="24"/>
          <w:lang w:eastAsia="es-ES_tradnl"/>
        </w:rPr>
      </w:pPr>
      <w:r w:rsidRPr="00910B9D">
        <w:rPr>
          <w:rFonts w:ascii="Century Gothic" w:eastAsia="Times New Roman" w:hAnsi="Century Gothic" w:cs="Arial"/>
          <w:color w:val="000000"/>
          <w:szCs w:val="24"/>
          <w:lang w:eastAsia="es-ES_tradnl"/>
        </w:rPr>
        <w:t xml:space="preserve">Para los contratos de obra pública y de interventoría, lo anterior significa que, al aplicar dichos criterios de calificación con puntos dentro del procedimiento contractual, las entidades estatales deben servirse de la información contenida en el Registro </w:t>
      </w:r>
      <w:r w:rsidR="009E26B0" w:rsidRPr="00910B9D">
        <w:rPr>
          <w:rFonts w:ascii="Century Gothic" w:eastAsia="Times New Roman" w:hAnsi="Century Gothic" w:cs="Arial"/>
          <w:color w:val="000000"/>
          <w:szCs w:val="24"/>
          <w:lang w:eastAsia="es-ES_tradnl"/>
        </w:rPr>
        <w:t xml:space="preserve">Nacional de Obras Civiles Inconclusas </w:t>
      </w:r>
      <w:r w:rsidRPr="00910B9D">
        <w:rPr>
          <w:rFonts w:ascii="Century Gothic" w:eastAsia="Times New Roman" w:hAnsi="Century Gothic" w:cs="Arial"/>
          <w:color w:val="000000"/>
          <w:szCs w:val="24"/>
          <w:lang w:eastAsia="es-ES_tradnl"/>
        </w:rPr>
        <w:t xml:space="preserve">y de las actualizaciones de dicha información que se reporten por parte de la Contraloría General de la República y de las entidades estatales, conforme lo establece el artículo 3 de la Ley 2020 de 2020. </w:t>
      </w:r>
      <w:r w:rsidRPr="00910B9D">
        <w:rPr>
          <w:rFonts w:ascii="Century Gothic" w:eastAsia="Calibri" w:hAnsi="Century Gothic" w:cs="Arial"/>
          <w:lang w:val="es-MX"/>
        </w:rPr>
        <w:t>En este contexto, las entidades deberán examinar la particularidad de la anotación y determinar si esta afectará la ponderación al momento de realizar la respectiva evaluación.</w:t>
      </w:r>
    </w:p>
    <w:p w14:paraId="725EFE1C" w14:textId="77777777" w:rsidR="004624B1" w:rsidRPr="00910B9D" w:rsidRDefault="004624B1" w:rsidP="004624B1">
      <w:pPr>
        <w:spacing w:before="120" w:after="0" w:line="276" w:lineRule="auto"/>
        <w:ind w:firstLine="709"/>
        <w:jc w:val="both"/>
        <w:rPr>
          <w:rFonts w:ascii="Century Gothic" w:eastAsia="Times New Roman" w:hAnsi="Century Gothic" w:cs="Arial"/>
          <w:color w:val="000000"/>
          <w:szCs w:val="24"/>
          <w:lang w:val="es-MX" w:eastAsia="es-ES_tradnl"/>
        </w:rPr>
      </w:pPr>
      <w:r w:rsidRPr="00910B9D">
        <w:rPr>
          <w:rFonts w:ascii="Century Gothic" w:eastAsia="Times New Roman" w:hAnsi="Century Gothic" w:cs="Arial"/>
          <w:color w:val="000000"/>
          <w:szCs w:val="24"/>
          <w:lang w:eastAsia="es-ES_tradnl"/>
        </w:rPr>
        <w:t>De esta manera, como las entidades estatales cuentan con discrecionalidad para determinar los criterios de calificación, corresponde a estas definir, en los pliegos de condiciones, los factores de asignación de puntaje y</w:t>
      </w:r>
      <w:r w:rsidRPr="00910B9D">
        <w:rPr>
          <w:rFonts w:ascii="Century Gothic" w:eastAsia="Times New Roman" w:hAnsi="Century Gothic" w:cs="Arial"/>
          <w:color w:val="000000"/>
          <w:szCs w:val="24"/>
          <w:lang w:val="es-ES_tradnl" w:eastAsia="es-ES_tradnl"/>
        </w:rPr>
        <w:t xml:space="preserve"> la forma en que se realizará la valoración de las anotaciones vigentes en el Registro Nacional de Obras Civiles Inconclusas al momento de evaluar las ofertas, conforme a los parámetros del artículo 6 de la Ley 2020 de 2020</w:t>
      </w:r>
      <w:r w:rsidRPr="00910B9D">
        <w:rPr>
          <w:rFonts w:ascii="Century Gothic" w:eastAsia="Times New Roman" w:hAnsi="Century Gothic" w:cs="Arial"/>
          <w:color w:val="000000"/>
          <w:szCs w:val="24"/>
          <w:lang w:eastAsia="es-ES_tradnl"/>
        </w:rPr>
        <w:t xml:space="preserve">. Lo anterior, teniendo en cuenta que </w:t>
      </w:r>
      <w:r w:rsidRPr="00910B9D">
        <w:rPr>
          <w:rFonts w:ascii="Century Gothic" w:eastAsia="Times New Roman" w:hAnsi="Century Gothic" w:cs="Arial"/>
          <w:color w:val="000000"/>
          <w:szCs w:val="24"/>
          <w:lang w:val="es-MX" w:eastAsia="es-ES_tradnl"/>
        </w:rPr>
        <w:t xml:space="preserve">la norma no restringió a una metodología específica el análisis y la valoración de estas anotaciones. </w:t>
      </w:r>
    </w:p>
    <w:p w14:paraId="41475BC0" w14:textId="77777777" w:rsidR="004624B1" w:rsidRPr="00910B9D" w:rsidRDefault="004624B1" w:rsidP="004624B1">
      <w:pPr>
        <w:spacing w:before="120" w:after="0" w:line="276" w:lineRule="auto"/>
        <w:ind w:firstLine="709"/>
        <w:jc w:val="both"/>
        <w:rPr>
          <w:rFonts w:ascii="Century Gothic" w:eastAsia="Calibri" w:hAnsi="Century Gothic" w:cs="Arial"/>
          <w:color w:val="000000"/>
          <w:lang w:val="es-ES_tradnl" w:eastAsia="en-GB"/>
        </w:rPr>
      </w:pPr>
      <w:r w:rsidRPr="00910B9D">
        <w:rPr>
          <w:rFonts w:ascii="Century Gothic" w:eastAsia="Times New Roman" w:hAnsi="Century Gothic" w:cs="Arial"/>
          <w:color w:val="000000"/>
          <w:szCs w:val="24"/>
          <w:lang w:eastAsia="es-ES_tradnl"/>
        </w:rPr>
        <w:t>Sin embargo, debe precisarse que l</w:t>
      </w:r>
      <w:r w:rsidRPr="00910B9D">
        <w:rPr>
          <w:rFonts w:ascii="Century Gothic" w:eastAsia="Calibri" w:hAnsi="Century Gothic" w:cs="Arial"/>
          <w:color w:val="000000"/>
          <w:szCs w:val="24"/>
          <w:lang w:val="es-ES_tradnl" w:eastAsia="en-GB"/>
        </w:rPr>
        <w:t>a sola inclusión en el Registro Nacional de Obras Civiles Inconclusas no puede entenderse como suficiente para</w:t>
      </w:r>
      <w:r w:rsidRPr="00910B9D">
        <w:rPr>
          <w:rFonts w:ascii="Century Gothic" w:eastAsia="Times New Roman" w:hAnsi="Century Gothic" w:cs="Arial"/>
          <w:color w:val="000000"/>
          <w:szCs w:val="24"/>
          <w:lang w:eastAsia="es-ES_tradnl"/>
        </w:rPr>
        <w:t xml:space="preserve"> afectar la ponderación del factor de calidad del proponente, puesto que la norma establece el deber de la entidad de realizar la consulta y el análisis de la anotación. </w:t>
      </w:r>
      <w:r w:rsidRPr="00910B9D">
        <w:rPr>
          <w:rFonts w:ascii="Century Gothic" w:eastAsia="Calibri" w:hAnsi="Century Gothic" w:cs="Arial"/>
          <w:color w:val="000000"/>
          <w:szCs w:val="24"/>
          <w:lang w:val="es-ES_tradnl" w:eastAsia="en-GB"/>
        </w:rPr>
        <w:t xml:space="preserve">Además, como se expuso, el Registro Nacional de Obras Civiles Inconclusas es un sistema </w:t>
      </w:r>
      <w:r w:rsidRPr="00910B9D">
        <w:rPr>
          <w:rFonts w:ascii="Century Gothic" w:eastAsia="Calibri" w:hAnsi="Century Gothic" w:cs="Arial"/>
          <w:color w:val="000000"/>
          <w:szCs w:val="24"/>
          <w:lang w:eastAsia="en-GB"/>
        </w:rPr>
        <w:t xml:space="preserve">que contiene los datos sobre obras inconclusas en todo el territorio nacional, compuesto por la información reportada por las entidades estatales o la información obtenida por la Contraloría General de la República. </w:t>
      </w:r>
      <w:r w:rsidRPr="00910B9D">
        <w:rPr>
          <w:rFonts w:ascii="Century Gothic" w:eastAsia="Calibri" w:hAnsi="Century Gothic" w:cs="Arial"/>
          <w:color w:val="000000"/>
          <w:szCs w:val="24"/>
          <w:lang w:val="es-ES_tradnl" w:eastAsia="en-GB"/>
        </w:rPr>
        <w:t xml:space="preserve">Esto significa que el Registro contiene toda la información necesaria que permita verificar el estado real de dicha obra, entre ellos, datos sobre la identificación del contratista, consultores, interventores y demás personas naturales y/o jurídicas que intervinieron en la planeación y ejecución del proyecto, entre otros. En este sentido, no puede entenderse que la sola inclusión de dicha información tenga incidencia </w:t>
      </w:r>
      <w:r w:rsidRPr="00910B9D">
        <w:rPr>
          <w:rFonts w:ascii="Century Gothic" w:eastAsia="Calibri" w:hAnsi="Century Gothic" w:cs="Arial"/>
          <w:i/>
          <w:iCs/>
          <w:color w:val="000000"/>
          <w:szCs w:val="24"/>
          <w:lang w:val="es-ES_tradnl" w:eastAsia="en-GB"/>
        </w:rPr>
        <w:t>automática</w:t>
      </w:r>
      <w:r w:rsidRPr="00910B9D">
        <w:rPr>
          <w:rFonts w:ascii="Century Gothic" w:eastAsia="Calibri" w:hAnsi="Century Gothic" w:cs="Arial"/>
          <w:color w:val="000000"/>
          <w:szCs w:val="24"/>
          <w:lang w:val="es-ES_tradnl" w:eastAsia="en-GB"/>
        </w:rPr>
        <w:t xml:space="preserve"> </w:t>
      </w:r>
      <w:r w:rsidRPr="00910B9D">
        <w:rPr>
          <w:rFonts w:ascii="Century Gothic" w:eastAsia="Calibri" w:hAnsi="Century Gothic" w:cs="Arial"/>
          <w:color w:val="000000"/>
          <w:lang w:val="es-ES_tradnl" w:eastAsia="en-GB"/>
        </w:rPr>
        <w:t xml:space="preserve">al momento de evaluar los factores de ponderación. Por ello, el artículo 6 dispuso expresamente que las entidades estatales contratantes </w:t>
      </w:r>
      <w:r w:rsidRPr="00910B9D">
        <w:rPr>
          <w:rFonts w:ascii="Century Gothic" w:eastAsia="Times New Roman" w:hAnsi="Century Gothic" w:cs="Arial"/>
          <w:color w:val="000000"/>
          <w:lang w:eastAsia="es-ES_tradnl"/>
        </w:rPr>
        <w:t>“</w:t>
      </w:r>
      <w:r w:rsidRPr="00910B9D">
        <w:rPr>
          <w:rFonts w:ascii="Century Gothic" w:eastAsia="Calibri" w:hAnsi="Century Gothic" w:cs="Arial"/>
          <w:color w:val="000000"/>
          <w:lang w:val="es-ES_tradnl" w:eastAsia="en-GB"/>
        </w:rPr>
        <w:t>deberán consultar y analizar las anotaciones vigentes que presenten las personas naturales o jurídicas, nacionales o extranjeras domiciliadas o con sucursal en Colombia, en el Registro Nacional de Obras Civiles Inconclusas</w:t>
      </w:r>
      <w:r w:rsidRPr="00910B9D">
        <w:rPr>
          <w:rFonts w:ascii="Century Gothic" w:eastAsia="Times New Roman" w:hAnsi="Century Gothic" w:cs="Arial"/>
          <w:color w:val="000000"/>
          <w:lang w:eastAsia="es-ES_tradnl"/>
        </w:rPr>
        <w:t>”</w:t>
      </w:r>
      <w:r w:rsidRPr="00910B9D">
        <w:rPr>
          <w:rFonts w:ascii="Century Gothic" w:eastAsia="Calibri" w:hAnsi="Century Gothic" w:cs="Arial"/>
          <w:color w:val="000000"/>
          <w:lang w:val="es-ES_tradnl" w:eastAsia="en-GB"/>
        </w:rPr>
        <w:t>.</w:t>
      </w:r>
    </w:p>
    <w:p w14:paraId="36AE633C" w14:textId="77777777" w:rsidR="0030454D" w:rsidRDefault="0030454D" w:rsidP="004624B1">
      <w:pPr>
        <w:spacing w:before="120" w:after="0" w:line="276" w:lineRule="auto"/>
        <w:ind w:firstLine="709"/>
        <w:jc w:val="both"/>
        <w:rPr>
          <w:rFonts w:ascii="Century Gothic" w:eastAsia="Calibri" w:hAnsi="Century Gothic" w:cs="Arial"/>
          <w:color w:val="000000"/>
          <w:lang w:val="es-ES_tradnl" w:eastAsia="en-GB"/>
        </w:rPr>
      </w:pPr>
    </w:p>
    <w:p w14:paraId="3BE70A8B" w14:textId="5F92D428" w:rsidR="0030454D" w:rsidRPr="00350080" w:rsidRDefault="00682EE0" w:rsidP="000706C9">
      <w:pPr>
        <w:spacing w:before="120" w:after="0" w:line="276" w:lineRule="auto"/>
        <w:jc w:val="both"/>
        <w:rPr>
          <w:rFonts w:ascii="Century Gothic" w:eastAsia="Calibri" w:hAnsi="Century Gothic" w:cs="Arial"/>
          <w:b/>
          <w:color w:val="000000"/>
          <w:lang w:val="es-ES_tradnl" w:eastAsia="en-GB"/>
        </w:rPr>
      </w:pPr>
      <w:r w:rsidRPr="00682EE0">
        <w:rPr>
          <w:rFonts w:ascii="Century Gothic" w:eastAsia="Times New Roman" w:hAnsi="Century Gothic" w:cs="Arial"/>
          <w:b/>
          <w:bCs/>
          <w:color w:val="000000"/>
          <w:szCs w:val="24"/>
          <w:lang w:eastAsia="es-ES_tradnl"/>
        </w:rPr>
        <w:t>2.</w:t>
      </w:r>
      <w:r>
        <w:rPr>
          <w:rFonts w:ascii="Century Gothic" w:eastAsia="Times New Roman" w:hAnsi="Century Gothic" w:cs="Arial"/>
          <w:b/>
          <w:bCs/>
          <w:color w:val="000000"/>
          <w:szCs w:val="24"/>
          <w:lang w:eastAsia="es-ES_tradnl"/>
        </w:rPr>
        <w:t xml:space="preserve">3. </w:t>
      </w:r>
      <w:r w:rsidR="0030454D" w:rsidRPr="00350080">
        <w:rPr>
          <w:rFonts w:ascii="Century Gothic" w:eastAsia="Times New Roman" w:hAnsi="Century Gothic" w:cs="Arial"/>
          <w:b/>
          <w:color w:val="000000"/>
          <w:szCs w:val="24"/>
          <w:lang w:eastAsia="es-ES_tradnl"/>
        </w:rPr>
        <w:t>Análisis de las anotaciones del Registro Nacional de Obras Civiles Inconclusas en los documentos tipo adoptados por la Agencia</w:t>
      </w:r>
    </w:p>
    <w:p w14:paraId="46B56E8B" w14:textId="77777777" w:rsidR="00AF4152" w:rsidRDefault="00DC10A4" w:rsidP="00915341">
      <w:pPr>
        <w:spacing w:before="120" w:after="0" w:line="276" w:lineRule="auto"/>
        <w:jc w:val="both"/>
        <w:rPr>
          <w:rFonts w:ascii="Century Gothic" w:eastAsia="Calibri" w:hAnsi="Century Gothic" w:cs="Arial"/>
          <w:bCs/>
          <w:lang w:eastAsia="es-ES_tradnl"/>
        </w:rPr>
      </w:pPr>
      <w:r>
        <w:rPr>
          <w:rFonts w:ascii="Century Gothic" w:eastAsia="Calibri" w:hAnsi="Century Gothic" w:cs="Arial"/>
          <w:color w:val="000000"/>
          <w:lang w:val="es-ES_tradnl" w:eastAsia="en-GB"/>
        </w:rPr>
        <w:t>Teniendo en cuenta el caso expuesto en su consulta</w:t>
      </w:r>
      <w:r w:rsidR="004624B1" w:rsidRPr="00910B9D">
        <w:rPr>
          <w:rFonts w:ascii="Century Gothic" w:eastAsia="Calibri" w:hAnsi="Century Gothic" w:cs="Arial"/>
          <w:color w:val="000000"/>
          <w:lang w:val="es-ES_tradnl" w:eastAsia="en-GB"/>
        </w:rPr>
        <w:t xml:space="preserve">, </w:t>
      </w:r>
      <w:r w:rsidR="004624B1" w:rsidRPr="00910B9D">
        <w:rPr>
          <w:rFonts w:ascii="Century Gothic" w:eastAsia="Calibri" w:hAnsi="Century Gothic" w:cs="Arial"/>
          <w:bCs/>
          <w:lang w:eastAsia="es-ES_tradnl"/>
        </w:rPr>
        <w:t xml:space="preserve">la Agencia Nacional de Contratación Pública – Colombia Compra Eficiente ha expedido las Resoluciones respectivas, mediante las cuales implementa y desarrolla, entre otros, los Documentos Tipo aplicables a los procesos de obra pública de infraestructura de transporte, en las modalidades de licitación pública, selección abreviada de menor cuantía, mínima cuantía e interventoría, así como los Documentos Tipo para los procesos de licitación de obra pública de infraestructura de agua potable y saneamiento básico y los de obra pública de infraestructura social. De acuerdo con el “Documento Base” de dichos procesos, con excepción de la mínima cuantía, en el numeral 4.2 “Factor de Calidad” se contempló que: </w:t>
      </w:r>
    </w:p>
    <w:p w14:paraId="6997BE06" w14:textId="6E5ED244" w:rsidR="004624B1" w:rsidRPr="008045F2" w:rsidRDefault="00AF4152" w:rsidP="008045F2">
      <w:pPr>
        <w:spacing w:before="120" w:after="0" w:line="240" w:lineRule="auto"/>
        <w:ind w:left="709" w:right="709"/>
        <w:jc w:val="both"/>
        <w:rPr>
          <w:rFonts w:ascii="Century Gothic" w:eastAsia="Calibri" w:hAnsi="Century Gothic" w:cs="Arial"/>
          <w:color w:val="000000"/>
          <w:sz w:val="21"/>
          <w:szCs w:val="21"/>
          <w:lang w:val="es-ES_tradnl" w:eastAsia="en-GB"/>
        </w:rPr>
      </w:pPr>
      <w:r w:rsidRPr="008045F2">
        <w:rPr>
          <w:rFonts w:ascii="Century Gothic" w:eastAsia="Calibri" w:hAnsi="Century Gothic" w:cs="Arial"/>
          <w:bCs/>
          <w:sz w:val="21"/>
          <w:szCs w:val="21"/>
          <w:lang w:eastAsia="es-ES_tradnl"/>
        </w:rPr>
        <w:t>“</w:t>
      </w:r>
      <w:r w:rsidR="004624B1" w:rsidRPr="008045F2">
        <w:rPr>
          <w:rFonts w:ascii="Century Gothic" w:eastAsia="Calibri" w:hAnsi="Century Gothic" w:cs="Arial"/>
          <w:bCs/>
          <w:sz w:val="21"/>
          <w:szCs w:val="21"/>
          <w:lang w:val="es-ES_tradnl" w:eastAsia="es-ES_tradnl"/>
        </w:rPr>
        <w:t xml:space="preserve">Las entidades estatales deben </w:t>
      </w:r>
      <w:r w:rsidR="004624B1" w:rsidRPr="008045F2">
        <w:rPr>
          <w:rFonts w:ascii="Century Gothic" w:eastAsia="Calibri" w:hAnsi="Century Gothic" w:cs="Arial"/>
          <w:bCs/>
          <w:i/>
          <w:iCs/>
          <w:sz w:val="21"/>
          <w:szCs w:val="21"/>
          <w:lang w:val="es-ES_tradnl" w:eastAsia="es-ES_tradnl"/>
        </w:rPr>
        <w:t>consultar</w:t>
      </w:r>
      <w:r w:rsidR="004624B1" w:rsidRPr="008045F2">
        <w:rPr>
          <w:rFonts w:ascii="Century Gothic" w:eastAsia="Calibri" w:hAnsi="Century Gothic" w:cs="Arial"/>
          <w:bCs/>
          <w:sz w:val="21"/>
          <w:szCs w:val="21"/>
          <w:lang w:val="es-ES_tradnl" w:eastAsia="es-ES_tradnl"/>
        </w:rPr>
        <w:t xml:space="preserve"> y </w:t>
      </w:r>
      <w:r w:rsidR="004624B1" w:rsidRPr="008045F2">
        <w:rPr>
          <w:rFonts w:ascii="Century Gothic" w:eastAsia="Calibri" w:hAnsi="Century Gothic" w:cs="Arial"/>
          <w:bCs/>
          <w:i/>
          <w:iCs/>
          <w:sz w:val="21"/>
          <w:szCs w:val="21"/>
          <w:lang w:val="es-ES_tradnl" w:eastAsia="es-ES_tradnl"/>
        </w:rPr>
        <w:t>analizar</w:t>
      </w:r>
      <w:r w:rsidR="004624B1" w:rsidRPr="008045F2">
        <w:rPr>
          <w:rFonts w:ascii="Century Gothic" w:eastAsia="Calibri" w:hAnsi="Century Gothic" w:cs="Arial"/>
          <w:bCs/>
          <w:sz w:val="21"/>
          <w:szCs w:val="21"/>
          <w:lang w:val="es-ES_tradnl" w:eastAsia="es-ES_tradnl"/>
        </w:rPr>
        <w:t xml:space="preserve"> las anotaciones vigentes que reposen en el Registro Nacional de Obras Civiles Inconclusas, de que trata la Ley 2020 de 2020. En el evento que las personas naturales o jurídicas, nacionales o extranjeras domiciliadas o con sucursal en Colombia, o integrantes de proponentes plurales, cuenten con alguna anotación vigente de obra civil inconclusa, en el mencionado registro, se descontará un (1) punto de la sumatoria obtenida en relación con el factor de calidad.</w:t>
      </w:r>
      <w:r w:rsidRPr="008045F2">
        <w:rPr>
          <w:rFonts w:ascii="Century Gothic" w:eastAsia="Calibri" w:hAnsi="Century Gothic" w:cs="Arial"/>
          <w:bCs/>
          <w:sz w:val="21"/>
          <w:szCs w:val="21"/>
          <w:lang w:val="es-ES_tradnl" w:eastAsia="es-ES_tradnl"/>
        </w:rPr>
        <w:t>”</w:t>
      </w:r>
      <w:r w:rsidR="004624B1" w:rsidRPr="008045F2">
        <w:rPr>
          <w:rFonts w:ascii="Century Gothic" w:eastAsia="Calibri" w:hAnsi="Century Gothic" w:cs="Arial"/>
          <w:bCs/>
          <w:sz w:val="21"/>
          <w:szCs w:val="21"/>
          <w:lang w:val="es-ES_tradnl" w:eastAsia="es-ES_tradnl"/>
        </w:rPr>
        <w:t xml:space="preserve"> </w:t>
      </w:r>
    </w:p>
    <w:p w14:paraId="7D61CDE2" w14:textId="05030E19" w:rsidR="004624B1" w:rsidRPr="00910B9D" w:rsidRDefault="004624B1" w:rsidP="004624B1">
      <w:pPr>
        <w:spacing w:before="120" w:after="0" w:line="276" w:lineRule="auto"/>
        <w:ind w:firstLine="709"/>
        <w:jc w:val="both"/>
        <w:rPr>
          <w:rFonts w:ascii="Century Gothic" w:eastAsia="Calibri" w:hAnsi="Century Gothic" w:cs="Arial"/>
          <w:color w:val="000000"/>
          <w:lang w:val="es-ES_tradnl" w:eastAsia="en-GB"/>
        </w:rPr>
      </w:pPr>
      <w:r w:rsidRPr="00910B9D">
        <w:rPr>
          <w:rFonts w:ascii="Century Gothic" w:eastAsia="Calibri" w:hAnsi="Century Gothic" w:cs="Arial"/>
          <w:color w:val="000000"/>
          <w:lang w:val="es-ES_tradnl" w:eastAsia="en-GB"/>
        </w:rPr>
        <w:t xml:space="preserve">Entonces, atendiendo </w:t>
      </w:r>
      <w:r w:rsidR="00320EFD">
        <w:rPr>
          <w:rFonts w:ascii="Century Gothic" w:eastAsia="Calibri" w:hAnsi="Century Gothic" w:cs="Arial"/>
          <w:color w:val="000000"/>
          <w:lang w:val="es-ES_tradnl" w:eastAsia="en-GB"/>
        </w:rPr>
        <w:t>a lo expuesto previamente,</w:t>
      </w:r>
      <w:r w:rsidRPr="00910B9D">
        <w:rPr>
          <w:rFonts w:ascii="Century Gothic" w:eastAsia="Calibri" w:hAnsi="Century Gothic" w:cs="Arial"/>
          <w:color w:val="000000"/>
          <w:lang w:val="es-ES_tradnl" w:eastAsia="en-GB"/>
        </w:rPr>
        <w:t xml:space="preserve"> se precisa que el descuento del punto de la sumatoria obtenida en relación con el factor de calidad, del que trata el texto de los documentos base adoptados por la Agencia Nacional de Contratación Pública – Colombia Compra Eficiente, deberá efectuarse una vez la entidad realice la consulta y el análisis de las anotaciones vigentes en el Registro Nacional de Obras Civiles Inconclusas y determine </w:t>
      </w:r>
      <w:r w:rsidRPr="00910B9D">
        <w:rPr>
          <w:rFonts w:ascii="Century Gothic" w:eastAsia="Calibri" w:hAnsi="Century Gothic" w:cs="Arial"/>
          <w:color w:val="000000"/>
          <w:lang w:val="es-MX" w:eastAsia="en-GB"/>
        </w:rPr>
        <w:t xml:space="preserve">si esa anotación se dio por un incumplimiento del contratista, por lo que, dependiendo del supuesto, la entidad descontará el punto. </w:t>
      </w:r>
    </w:p>
    <w:p w14:paraId="77911B44" w14:textId="32DE954F" w:rsidR="004D54EF" w:rsidRDefault="00DF3606" w:rsidP="004624B1">
      <w:pPr>
        <w:spacing w:before="120" w:after="0" w:line="276" w:lineRule="auto"/>
        <w:ind w:firstLine="709"/>
        <w:jc w:val="both"/>
        <w:rPr>
          <w:rFonts w:ascii="Century Gothic" w:eastAsia="Calibri" w:hAnsi="Century Gothic" w:cs="Arial"/>
          <w:color w:val="000000"/>
          <w:lang w:val="es-ES_tradnl" w:eastAsia="en-GB"/>
        </w:rPr>
      </w:pPr>
      <w:r>
        <w:rPr>
          <w:rFonts w:ascii="Century Gothic" w:eastAsia="Times New Roman" w:hAnsi="Century Gothic" w:cs="Arial"/>
          <w:color w:val="000000"/>
          <w:szCs w:val="24"/>
          <w:lang w:eastAsia="es-ES_tradnl"/>
        </w:rPr>
        <w:t>En ese orden de ideas</w:t>
      </w:r>
      <w:r w:rsidR="004624B1" w:rsidRPr="00910B9D">
        <w:rPr>
          <w:rFonts w:ascii="Century Gothic" w:eastAsia="Times New Roman" w:hAnsi="Century Gothic" w:cs="Arial"/>
          <w:color w:val="000000"/>
          <w:szCs w:val="24"/>
          <w:lang w:eastAsia="es-ES_tradnl"/>
        </w:rPr>
        <w:t xml:space="preserve">, </w:t>
      </w:r>
      <w:r w:rsidR="00560ADC">
        <w:rPr>
          <w:rFonts w:ascii="Century Gothic" w:eastAsia="Times New Roman" w:hAnsi="Century Gothic" w:cs="Arial"/>
          <w:color w:val="000000"/>
          <w:szCs w:val="24"/>
          <w:lang w:eastAsia="es-ES_tradnl"/>
        </w:rPr>
        <w:t xml:space="preserve">en los </w:t>
      </w:r>
      <w:r w:rsidR="00560ADC">
        <w:rPr>
          <w:rFonts w:ascii="Century Gothic" w:eastAsia="Calibri" w:hAnsi="Century Gothic" w:cs="Arial"/>
          <w:color w:val="000000"/>
          <w:lang w:val="es-ES_tradnl" w:eastAsia="en-GB"/>
        </w:rPr>
        <w:t>procesos de selección adelantados bajo documentos pliego tipo</w:t>
      </w:r>
      <w:r w:rsidR="00103752">
        <w:rPr>
          <w:rFonts w:ascii="Century Gothic" w:eastAsia="Calibri" w:hAnsi="Century Gothic" w:cs="Arial"/>
          <w:color w:val="000000"/>
          <w:lang w:val="es-ES_tradnl" w:eastAsia="en-GB"/>
        </w:rPr>
        <w:t>, se debe tener en cuenta que</w:t>
      </w:r>
      <w:r w:rsidR="004624B1" w:rsidRPr="00910B9D">
        <w:rPr>
          <w:rFonts w:ascii="Century Gothic" w:eastAsia="Times New Roman" w:hAnsi="Century Gothic" w:cs="Arial"/>
          <w:color w:val="000000"/>
          <w:szCs w:val="24"/>
          <w:lang w:eastAsia="es-ES_tradnl"/>
        </w:rPr>
        <w:t xml:space="preserve"> el hecho de que </w:t>
      </w:r>
      <w:r w:rsidR="00C017BB">
        <w:rPr>
          <w:rFonts w:ascii="Century Gothic" w:eastAsia="Times New Roman" w:hAnsi="Century Gothic" w:cs="Arial"/>
          <w:color w:val="000000"/>
          <w:szCs w:val="24"/>
          <w:lang w:eastAsia="es-ES_tradnl"/>
        </w:rPr>
        <w:t xml:space="preserve">un </w:t>
      </w:r>
      <w:r w:rsidR="004624B1" w:rsidRPr="00910B9D">
        <w:rPr>
          <w:rFonts w:ascii="Century Gothic" w:eastAsia="Times New Roman" w:hAnsi="Century Gothic" w:cs="Arial"/>
          <w:color w:val="000000"/>
          <w:szCs w:val="24"/>
          <w:lang w:eastAsia="es-ES_tradnl"/>
        </w:rPr>
        <w:t xml:space="preserve">contratista de obra o interventor se encuentre incluido en dicho </w:t>
      </w:r>
      <w:r w:rsidR="00D95780" w:rsidRPr="00910B9D">
        <w:rPr>
          <w:rFonts w:ascii="Century Gothic" w:eastAsia="Calibri" w:hAnsi="Century Gothic" w:cs="Arial"/>
          <w:color w:val="000000"/>
          <w:lang w:val="es-ES_tradnl" w:eastAsia="en-GB"/>
        </w:rPr>
        <w:t>Registro Nacional de Obras Civiles Inconclusas</w:t>
      </w:r>
      <w:r w:rsidR="004624B1" w:rsidRPr="00910B9D">
        <w:rPr>
          <w:rFonts w:ascii="Century Gothic" w:eastAsia="Times New Roman" w:hAnsi="Century Gothic" w:cs="Arial"/>
          <w:color w:val="000000"/>
          <w:szCs w:val="24"/>
          <w:lang w:eastAsia="es-ES_tradnl"/>
        </w:rPr>
        <w:t xml:space="preserve"> </w:t>
      </w:r>
      <w:r w:rsidR="00103752">
        <w:rPr>
          <w:rFonts w:ascii="Century Gothic" w:eastAsia="Times New Roman" w:hAnsi="Century Gothic" w:cs="Arial"/>
          <w:color w:val="000000"/>
          <w:szCs w:val="24"/>
          <w:lang w:eastAsia="es-ES_tradnl"/>
        </w:rPr>
        <w:t xml:space="preserve">no </w:t>
      </w:r>
      <w:r w:rsidR="004624B1" w:rsidRPr="00910B9D">
        <w:rPr>
          <w:rFonts w:ascii="Century Gothic" w:eastAsia="Times New Roman" w:hAnsi="Century Gothic" w:cs="Arial"/>
          <w:color w:val="000000"/>
          <w:szCs w:val="24"/>
          <w:lang w:eastAsia="es-ES_tradnl"/>
        </w:rPr>
        <w:t xml:space="preserve">genera automáticamente una consecuencia en la ponderación de los criterios de evaluación, pues la </w:t>
      </w:r>
      <w:r w:rsidR="004116B8">
        <w:rPr>
          <w:rFonts w:ascii="Century Gothic" w:eastAsia="Times New Roman" w:hAnsi="Century Gothic" w:cs="Arial"/>
          <w:color w:val="000000"/>
          <w:szCs w:val="24"/>
          <w:lang w:eastAsia="es-ES_tradnl"/>
        </w:rPr>
        <w:t>E</w:t>
      </w:r>
      <w:r w:rsidR="004624B1" w:rsidRPr="00910B9D">
        <w:rPr>
          <w:rFonts w:ascii="Century Gothic" w:eastAsia="Times New Roman" w:hAnsi="Century Gothic" w:cs="Arial"/>
          <w:color w:val="000000"/>
          <w:szCs w:val="24"/>
          <w:lang w:eastAsia="es-ES_tradnl"/>
        </w:rPr>
        <w:t xml:space="preserve">ntidad </w:t>
      </w:r>
      <w:r w:rsidR="004116B8">
        <w:rPr>
          <w:rFonts w:ascii="Century Gothic" w:eastAsia="Times New Roman" w:hAnsi="Century Gothic" w:cs="Arial"/>
          <w:color w:val="000000"/>
          <w:szCs w:val="24"/>
          <w:lang w:eastAsia="es-ES_tradnl"/>
        </w:rPr>
        <w:t xml:space="preserve">Estatal </w:t>
      </w:r>
      <w:r w:rsidR="004624B1" w:rsidRPr="00910B9D">
        <w:rPr>
          <w:rFonts w:ascii="Century Gothic" w:eastAsia="Times New Roman" w:hAnsi="Century Gothic" w:cs="Arial"/>
          <w:color w:val="000000"/>
          <w:szCs w:val="24"/>
          <w:lang w:eastAsia="es-ES_tradnl"/>
        </w:rPr>
        <w:t xml:space="preserve">tiene el deber de </w:t>
      </w:r>
      <w:r w:rsidR="004624B1" w:rsidRPr="00910B9D">
        <w:rPr>
          <w:rFonts w:ascii="Century Gothic" w:eastAsia="Calibri" w:hAnsi="Century Gothic" w:cs="Arial"/>
          <w:color w:val="000000"/>
          <w:lang w:val="es-ES_tradnl" w:eastAsia="en-GB"/>
        </w:rPr>
        <w:t>consultar</w:t>
      </w:r>
      <w:r w:rsidR="00B81FEE">
        <w:rPr>
          <w:rFonts w:ascii="Century Gothic" w:eastAsia="Calibri" w:hAnsi="Century Gothic" w:cs="Arial"/>
          <w:color w:val="000000"/>
          <w:lang w:val="es-ES_tradnl" w:eastAsia="en-GB"/>
        </w:rPr>
        <w:t xml:space="preserve">, </w:t>
      </w:r>
      <w:r w:rsidR="004624B1" w:rsidRPr="00910B9D">
        <w:rPr>
          <w:rFonts w:ascii="Century Gothic" w:eastAsia="Calibri" w:hAnsi="Century Gothic" w:cs="Arial"/>
          <w:color w:val="000000"/>
          <w:lang w:val="es-ES_tradnl" w:eastAsia="en-GB"/>
        </w:rPr>
        <w:t>analizar</w:t>
      </w:r>
      <w:r w:rsidR="00B81FEE">
        <w:rPr>
          <w:rFonts w:ascii="Century Gothic" w:eastAsia="Calibri" w:hAnsi="Century Gothic" w:cs="Arial"/>
          <w:color w:val="000000"/>
          <w:lang w:val="es-ES_tradnl" w:eastAsia="en-GB"/>
        </w:rPr>
        <w:t xml:space="preserve"> y valorar</w:t>
      </w:r>
      <w:r w:rsidR="004624B1" w:rsidRPr="00910B9D">
        <w:rPr>
          <w:rFonts w:ascii="Century Gothic" w:eastAsia="Calibri" w:hAnsi="Century Gothic" w:cs="Arial"/>
          <w:color w:val="000000"/>
          <w:lang w:val="es-ES_tradnl" w:eastAsia="en-GB"/>
        </w:rPr>
        <w:t xml:space="preserve"> las anotaciones vigentes</w:t>
      </w:r>
      <w:r w:rsidR="00B81FEE">
        <w:rPr>
          <w:rFonts w:ascii="Century Gothic" w:eastAsia="Calibri" w:hAnsi="Century Gothic" w:cs="Arial"/>
          <w:color w:val="000000"/>
          <w:lang w:val="es-ES_tradnl" w:eastAsia="en-GB"/>
        </w:rPr>
        <w:t xml:space="preserve">, con el fin de </w:t>
      </w:r>
      <w:r w:rsidR="004D54EF">
        <w:rPr>
          <w:rFonts w:ascii="Century Gothic" w:eastAsia="Calibri" w:hAnsi="Century Gothic" w:cs="Arial"/>
          <w:color w:val="000000"/>
          <w:lang w:val="es-ES_tradnl" w:eastAsia="en-GB"/>
        </w:rPr>
        <w:t>verificar si la misma corresponde a incumplimiento</w:t>
      </w:r>
      <w:r w:rsidR="00A564FF">
        <w:rPr>
          <w:rFonts w:ascii="Century Gothic" w:eastAsia="Calibri" w:hAnsi="Century Gothic" w:cs="Arial"/>
          <w:color w:val="000000"/>
          <w:lang w:val="es-ES_tradnl" w:eastAsia="en-GB"/>
        </w:rPr>
        <w:t xml:space="preserve"> del </w:t>
      </w:r>
      <w:r w:rsidR="00BA1686">
        <w:rPr>
          <w:rFonts w:ascii="Century Gothic" w:eastAsia="Calibri" w:hAnsi="Century Gothic" w:cs="Arial"/>
          <w:color w:val="000000"/>
          <w:lang w:val="es-ES_tradnl" w:eastAsia="en-GB"/>
        </w:rPr>
        <w:t>proponente</w:t>
      </w:r>
      <w:r w:rsidR="00A564FF">
        <w:rPr>
          <w:rFonts w:ascii="Century Gothic" w:eastAsia="Calibri" w:hAnsi="Century Gothic" w:cs="Arial"/>
          <w:color w:val="000000"/>
          <w:lang w:val="es-ES_tradnl" w:eastAsia="en-GB"/>
        </w:rPr>
        <w:t xml:space="preserve">, </w:t>
      </w:r>
      <w:r w:rsidR="004D54EF">
        <w:rPr>
          <w:rFonts w:ascii="Century Gothic" w:eastAsia="Calibri" w:hAnsi="Century Gothic" w:cs="Arial"/>
          <w:color w:val="000000"/>
          <w:lang w:val="es-ES_tradnl" w:eastAsia="en-GB"/>
        </w:rPr>
        <w:t>en el caso de</w:t>
      </w:r>
      <w:r w:rsidR="00A564FF">
        <w:rPr>
          <w:rFonts w:ascii="Century Gothic" w:eastAsia="Calibri" w:hAnsi="Century Gothic" w:cs="Arial"/>
          <w:color w:val="000000"/>
          <w:lang w:val="es-ES_tradnl" w:eastAsia="en-GB"/>
        </w:rPr>
        <w:t xml:space="preserve"> que así </w:t>
      </w:r>
      <w:r w:rsidR="00FE669C">
        <w:rPr>
          <w:rFonts w:ascii="Century Gothic" w:eastAsia="Calibri" w:hAnsi="Century Gothic" w:cs="Arial"/>
          <w:color w:val="000000"/>
          <w:lang w:val="es-ES_tradnl" w:eastAsia="en-GB"/>
        </w:rPr>
        <w:t>sea se aplicará el descuento contemplado</w:t>
      </w:r>
      <w:r w:rsidR="00914264">
        <w:rPr>
          <w:rFonts w:ascii="Century Gothic" w:eastAsia="Calibri" w:hAnsi="Century Gothic" w:cs="Arial"/>
          <w:color w:val="000000"/>
          <w:lang w:val="es-ES_tradnl" w:eastAsia="en-GB"/>
        </w:rPr>
        <w:t>.</w:t>
      </w:r>
    </w:p>
    <w:p w14:paraId="591F31EB" w14:textId="56431940" w:rsidR="00B60431" w:rsidRDefault="00B60431" w:rsidP="00B60431">
      <w:pPr>
        <w:spacing w:before="120" w:after="0" w:line="276" w:lineRule="auto"/>
        <w:ind w:firstLine="709"/>
        <w:jc w:val="both"/>
        <w:rPr>
          <w:rFonts w:ascii="Century Gothic" w:eastAsia="Calibri" w:hAnsi="Century Gothic" w:cs="Arial"/>
          <w:color w:val="000000"/>
          <w:lang w:val="es-ES_tradnl" w:eastAsia="en-GB"/>
        </w:rPr>
      </w:pPr>
      <w:r>
        <w:rPr>
          <w:rFonts w:ascii="Century Gothic" w:eastAsia="Calibri" w:hAnsi="Century Gothic" w:cs="Arial"/>
          <w:color w:val="000000"/>
          <w:lang w:val="es-ES_tradnl" w:eastAsia="en-GB"/>
        </w:rPr>
        <w:t xml:space="preserve">Asimismo, es importante indicar que en los documentos </w:t>
      </w:r>
      <w:r w:rsidR="00326981">
        <w:rPr>
          <w:rFonts w:ascii="Century Gothic" w:eastAsia="Calibri" w:hAnsi="Century Gothic" w:cs="Arial"/>
          <w:color w:val="000000"/>
          <w:lang w:val="es-ES_tradnl" w:eastAsia="en-GB"/>
        </w:rPr>
        <w:t xml:space="preserve">pliego </w:t>
      </w:r>
      <w:r>
        <w:rPr>
          <w:rFonts w:ascii="Century Gothic" w:eastAsia="Calibri" w:hAnsi="Century Gothic" w:cs="Arial"/>
          <w:color w:val="000000"/>
          <w:lang w:val="es-ES_tradnl" w:eastAsia="en-GB"/>
        </w:rPr>
        <w:t>tipo</w:t>
      </w:r>
      <w:r w:rsidR="0047110B">
        <w:rPr>
          <w:rFonts w:ascii="Century Gothic" w:eastAsia="Calibri" w:hAnsi="Century Gothic" w:cs="Arial"/>
          <w:color w:val="000000"/>
          <w:lang w:val="es-ES_tradnl" w:eastAsia="en-GB"/>
        </w:rPr>
        <w:t xml:space="preserve"> </w:t>
      </w:r>
      <w:r>
        <w:rPr>
          <w:rFonts w:ascii="Century Gothic" w:eastAsia="Calibri" w:hAnsi="Century Gothic" w:cs="Arial"/>
          <w:color w:val="000000"/>
          <w:lang w:val="es-ES_tradnl" w:eastAsia="en-GB"/>
        </w:rPr>
        <w:t xml:space="preserve">se dispone que </w:t>
      </w:r>
      <w:r w:rsidR="0047110B">
        <w:rPr>
          <w:rFonts w:ascii="Century Gothic" w:eastAsia="Calibri" w:hAnsi="Century Gothic" w:cs="Arial"/>
          <w:color w:val="000000"/>
          <w:lang w:val="es-ES_tradnl" w:eastAsia="en-GB"/>
        </w:rPr>
        <w:t>el anterior</w:t>
      </w:r>
      <w:r>
        <w:rPr>
          <w:rFonts w:ascii="Century Gothic" w:eastAsia="Calibri" w:hAnsi="Century Gothic" w:cs="Arial"/>
          <w:color w:val="000000"/>
          <w:lang w:val="es-ES_tradnl" w:eastAsia="en-GB"/>
        </w:rPr>
        <w:t xml:space="preserve"> descuento se predicará de aquellos proponentes </w:t>
      </w:r>
      <w:r w:rsidRPr="00B60431">
        <w:rPr>
          <w:rFonts w:ascii="Century Gothic" w:eastAsia="Calibri" w:hAnsi="Century Gothic" w:cs="Arial"/>
          <w:i/>
          <w:iCs/>
          <w:color w:val="000000"/>
          <w:lang w:val="es-ES_tradnl" w:eastAsia="en-GB"/>
        </w:rPr>
        <w:t>“</w:t>
      </w:r>
      <w:r w:rsidRPr="00B60431">
        <w:rPr>
          <w:rFonts w:ascii="Century Gothic" w:eastAsia="Calibri" w:hAnsi="Century Gothic" w:cs="Arial"/>
          <w:bCs/>
          <w:i/>
          <w:iCs/>
          <w:lang w:val="es-ES_tradnl" w:eastAsia="es-ES_tradnl"/>
        </w:rPr>
        <w:t>personas naturales o jurídicas, nacionales o extranjeras domiciliadas o con sucursal en Colombia, o integrantes de proponentes plurales</w:t>
      </w:r>
      <w:r>
        <w:rPr>
          <w:rFonts w:ascii="Century Gothic" w:eastAsia="Calibri" w:hAnsi="Century Gothic" w:cs="Arial"/>
          <w:color w:val="000000"/>
          <w:lang w:val="es-ES_tradnl" w:eastAsia="en-GB"/>
        </w:rPr>
        <w:t>”</w:t>
      </w:r>
      <w:r w:rsidR="005741A4">
        <w:rPr>
          <w:rFonts w:ascii="Century Gothic" w:eastAsia="Calibri" w:hAnsi="Century Gothic" w:cs="Arial"/>
          <w:color w:val="000000"/>
          <w:lang w:val="es-ES_tradnl" w:eastAsia="en-GB"/>
        </w:rPr>
        <w:t>. Por lo tanto,</w:t>
      </w:r>
      <w:r w:rsidR="0013279A">
        <w:rPr>
          <w:rFonts w:ascii="Century Gothic" w:eastAsia="Calibri" w:hAnsi="Century Gothic" w:cs="Arial"/>
          <w:color w:val="000000"/>
          <w:lang w:val="es-ES_tradnl" w:eastAsia="en-GB"/>
        </w:rPr>
        <w:t xml:space="preserve"> las entidades estatales al momento de evaluar las propuestas presentadas por los proponentes </w:t>
      </w:r>
      <w:r w:rsidR="0038681A">
        <w:rPr>
          <w:rFonts w:ascii="Century Gothic" w:eastAsia="Calibri" w:hAnsi="Century Gothic" w:cs="Arial"/>
          <w:color w:val="000000"/>
          <w:lang w:val="es-ES_tradnl" w:eastAsia="en-GB"/>
        </w:rPr>
        <w:t xml:space="preserve">plurales deberán </w:t>
      </w:r>
      <w:r w:rsidR="00C451F3">
        <w:rPr>
          <w:rFonts w:ascii="Century Gothic" w:eastAsia="Calibri" w:hAnsi="Century Gothic" w:cs="Arial"/>
          <w:color w:val="000000"/>
          <w:lang w:val="es-ES_tradnl" w:eastAsia="en-GB"/>
        </w:rPr>
        <w:t>consultar</w:t>
      </w:r>
      <w:r w:rsidR="0038681A">
        <w:rPr>
          <w:rFonts w:ascii="Century Gothic" w:eastAsia="Calibri" w:hAnsi="Century Gothic" w:cs="Arial"/>
          <w:color w:val="000000"/>
          <w:lang w:val="es-ES_tradnl" w:eastAsia="en-GB"/>
        </w:rPr>
        <w:t xml:space="preserve"> </w:t>
      </w:r>
      <w:r w:rsidR="00220650">
        <w:rPr>
          <w:rFonts w:ascii="Century Gothic" w:eastAsia="Calibri" w:hAnsi="Century Gothic" w:cs="Arial"/>
          <w:color w:val="000000"/>
          <w:lang w:val="es-ES_tradnl" w:eastAsia="en-GB"/>
        </w:rPr>
        <w:t xml:space="preserve">dicha anotación </w:t>
      </w:r>
      <w:r w:rsidR="00C451F3">
        <w:rPr>
          <w:rFonts w:ascii="Century Gothic" w:eastAsia="Calibri" w:hAnsi="Century Gothic" w:cs="Arial"/>
          <w:color w:val="000000"/>
          <w:lang w:val="es-ES_tradnl" w:eastAsia="en-GB"/>
        </w:rPr>
        <w:t xml:space="preserve">únicamente </w:t>
      </w:r>
      <w:r w:rsidR="00220650">
        <w:rPr>
          <w:rFonts w:ascii="Century Gothic" w:eastAsia="Calibri" w:hAnsi="Century Gothic" w:cs="Arial"/>
          <w:color w:val="000000"/>
          <w:lang w:val="es-ES_tradnl" w:eastAsia="en-GB"/>
        </w:rPr>
        <w:t xml:space="preserve">de </w:t>
      </w:r>
      <w:r w:rsidR="00D95780">
        <w:rPr>
          <w:rFonts w:ascii="Century Gothic" w:eastAsia="Calibri" w:hAnsi="Century Gothic" w:cs="Arial"/>
          <w:color w:val="000000"/>
          <w:lang w:val="es-ES_tradnl" w:eastAsia="en-GB"/>
        </w:rPr>
        <w:t xml:space="preserve">sus integrantes, </w:t>
      </w:r>
      <w:r w:rsidR="00A32F41">
        <w:rPr>
          <w:rFonts w:ascii="Century Gothic" w:eastAsia="Calibri" w:hAnsi="Century Gothic" w:cs="Arial"/>
          <w:color w:val="000000"/>
          <w:lang w:val="es-ES_tradnl" w:eastAsia="en-GB"/>
        </w:rPr>
        <w:t xml:space="preserve">esto es, </w:t>
      </w:r>
      <w:r w:rsidR="00D95780">
        <w:rPr>
          <w:rFonts w:ascii="Century Gothic" w:eastAsia="Calibri" w:hAnsi="Century Gothic" w:cs="Arial"/>
          <w:color w:val="000000"/>
          <w:lang w:val="es-ES_tradnl" w:eastAsia="en-GB"/>
        </w:rPr>
        <w:t xml:space="preserve">personas naturales o jurídicas, </w:t>
      </w:r>
      <w:r w:rsidR="00C451F3">
        <w:rPr>
          <w:rFonts w:ascii="Century Gothic" w:eastAsia="Calibri" w:hAnsi="Century Gothic" w:cs="Arial"/>
          <w:color w:val="000000"/>
          <w:lang w:val="es-ES_tradnl" w:eastAsia="en-GB"/>
        </w:rPr>
        <w:t xml:space="preserve">y en caso tal </w:t>
      </w:r>
      <w:r w:rsidR="004D536F">
        <w:rPr>
          <w:rFonts w:ascii="Century Gothic" w:eastAsia="Calibri" w:hAnsi="Century Gothic" w:cs="Arial"/>
          <w:color w:val="000000"/>
          <w:lang w:val="es-ES_tradnl" w:eastAsia="en-GB"/>
        </w:rPr>
        <w:t xml:space="preserve">de que </w:t>
      </w:r>
      <w:r w:rsidR="00D95780">
        <w:rPr>
          <w:rFonts w:ascii="Century Gothic" w:eastAsia="Times New Roman" w:hAnsi="Century Gothic" w:cs="Arial"/>
          <w:color w:val="000000"/>
          <w:szCs w:val="24"/>
          <w:lang w:eastAsia="es-ES_tradnl"/>
        </w:rPr>
        <w:t>se encuentr</w:t>
      </w:r>
      <w:r w:rsidR="004D536F">
        <w:rPr>
          <w:rFonts w:ascii="Century Gothic" w:eastAsia="Times New Roman" w:hAnsi="Century Gothic" w:cs="Arial"/>
          <w:color w:val="000000"/>
          <w:szCs w:val="24"/>
          <w:lang w:eastAsia="es-ES_tradnl"/>
        </w:rPr>
        <w:t>en</w:t>
      </w:r>
      <w:r w:rsidR="0038681A" w:rsidRPr="00910B9D">
        <w:rPr>
          <w:rFonts w:ascii="Century Gothic" w:eastAsia="Times New Roman" w:hAnsi="Century Gothic" w:cs="Arial"/>
          <w:color w:val="000000"/>
          <w:szCs w:val="24"/>
          <w:lang w:eastAsia="es-ES_tradnl"/>
        </w:rPr>
        <w:t xml:space="preserve"> incluido</w:t>
      </w:r>
      <w:r w:rsidR="00D95780">
        <w:rPr>
          <w:rFonts w:ascii="Century Gothic" w:eastAsia="Times New Roman" w:hAnsi="Century Gothic" w:cs="Arial"/>
          <w:color w:val="000000"/>
          <w:szCs w:val="24"/>
          <w:lang w:eastAsia="es-ES_tradnl"/>
        </w:rPr>
        <w:t>s</w:t>
      </w:r>
      <w:r w:rsidR="0038681A" w:rsidRPr="00910B9D">
        <w:rPr>
          <w:rFonts w:ascii="Century Gothic" w:eastAsia="Times New Roman" w:hAnsi="Century Gothic" w:cs="Arial"/>
          <w:color w:val="000000"/>
          <w:szCs w:val="24"/>
          <w:lang w:eastAsia="es-ES_tradnl"/>
        </w:rPr>
        <w:t xml:space="preserve"> </w:t>
      </w:r>
      <w:r w:rsidR="00AF4607">
        <w:rPr>
          <w:rFonts w:ascii="Century Gothic" w:eastAsia="Times New Roman" w:hAnsi="Century Gothic" w:cs="Arial"/>
          <w:color w:val="000000"/>
          <w:szCs w:val="24"/>
          <w:lang w:eastAsia="es-ES_tradnl"/>
        </w:rPr>
        <w:t xml:space="preserve">en el </w:t>
      </w:r>
      <w:r w:rsidR="00AF4607" w:rsidRPr="00910B9D">
        <w:rPr>
          <w:rFonts w:ascii="Century Gothic" w:eastAsia="Calibri" w:hAnsi="Century Gothic" w:cs="Arial"/>
          <w:color w:val="000000"/>
          <w:lang w:val="es-ES_tradnl" w:eastAsia="en-GB"/>
        </w:rPr>
        <w:t>Registro Nacional de Obras Civiles Inconclusas</w:t>
      </w:r>
      <w:r w:rsidR="00405074">
        <w:rPr>
          <w:rFonts w:ascii="Century Gothic" w:eastAsia="Times New Roman" w:hAnsi="Century Gothic" w:cs="Arial"/>
          <w:color w:val="000000"/>
          <w:szCs w:val="24"/>
          <w:lang w:val="es-ES_tradnl" w:eastAsia="es-ES_tradnl"/>
        </w:rPr>
        <w:t xml:space="preserve">, </w:t>
      </w:r>
      <w:r w:rsidR="004D536F">
        <w:rPr>
          <w:rFonts w:ascii="Century Gothic" w:eastAsia="Calibri" w:hAnsi="Century Gothic" w:cs="Arial"/>
          <w:color w:val="000000"/>
          <w:lang w:val="es-ES_tradnl" w:eastAsia="en-GB"/>
        </w:rPr>
        <w:t>deberán</w:t>
      </w:r>
      <w:r w:rsidR="0038681A">
        <w:rPr>
          <w:rFonts w:ascii="Century Gothic" w:eastAsia="Calibri" w:hAnsi="Century Gothic" w:cs="Arial"/>
          <w:color w:val="000000"/>
          <w:lang w:val="es-ES_tradnl" w:eastAsia="en-GB"/>
        </w:rPr>
        <w:t xml:space="preserve"> verificar si </w:t>
      </w:r>
      <w:r w:rsidR="004D536F">
        <w:rPr>
          <w:rFonts w:ascii="Century Gothic" w:eastAsia="Calibri" w:hAnsi="Century Gothic" w:cs="Arial"/>
          <w:color w:val="000000"/>
          <w:lang w:val="es-ES_tradnl" w:eastAsia="en-GB"/>
        </w:rPr>
        <w:t>aquella</w:t>
      </w:r>
      <w:r w:rsidR="0038681A">
        <w:rPr>
          <w:rFonts w:ascii="Century Gothic" w:eastAsia="Calibri" w:hAnsi="Century Gothic" w:cs="Arial"/>
          <w:color w:val="000000"/>
          <w:lang w:val="es-ES_tradnl" w:eastAsia="en-GB"/>
        </w:rPr>
        <w:t xml:space="preserve"> corresponde </w:t>
      </w:r>
      <w:r w:rsidR="00A32F41">
        <w:rPr>
          <w:rFonts w:ascii="Century Gothic" w:eastAsia="Calibri" w:hAnsi="Century Gothic" w:cs="Arial"/>
          <w:color w:val="000000"/>
          <w:lang w:val="es-ES_tradnl" w:eastAsia="en-GB"/>
        </w:rPr>
        <w:t>a una anotación por</w:t>
      </w:r>
      <w:r w:rsidR="0038681A">
        <w:rPr>
          <w:rFonts w:ascii="Century Gothic" w:eastAsia="Calibri" w:hAnsi="Century Gothic" w:cs="Arial"/>
          <w:color w:val="000000"/>
          <w:lang w:val="es-ES_tradnl" w:eastAsia="en-GB"/>
        </w:rPr>
        <w:t xml:space="preserve"> incumplimiento, en el caso de que así sea</w:t>
      </w:r>
      <w:r w:rsidR="00A32F41">
        <w:rPr>
          <w:rFonts w:ascii="Century Gothic" w:eastAsia="Calibri" w:hAnsi="Century Gothic" w:cs="Arial"/>
          <w:color w:val="000000"/>
          <w:lang w:val="es-ES_tradnl" w:eastAsia="en-GB"/>
        </w:rPr>
        <w:t>,</w:t>
      </w:r>
      <w:r w:rsidR="0038681A">
        <w:rPr>
          <w:rFonts w:ascii="Century Gothic" w:eastAsia="Calibri" w:hAnsi="Century Gothic" w:cs="Arial"/>
          <w:color w:val="000000"/>
          <w:lang w:val="es-ES_tradnl" w:eastAsia="en-GB"/>
        </w:rPr>
        <w:t xml:space="preserve"> se aplicará el descuento contemplado</w:t>
      </w:r>
      <w:r w:rsidR="00426C80">
        <w:rPr>
          <w:rFonts w:ascii="Century Gothic" w:eastAsia="Calibri" w:hAnsi="Century Gothic" w:cs="Arial"/>
          <w:color w:val="000000"/>
          <w:lang w:val="es-ES_tradnl" w:eastAsia="en-GB"/>
        </w:rPr>
        <w:t xml:space="preserve"> </w:t>
      </w:r>
    </w:p>
    <w:p w14:paraId="2C2451E9" w14:textId="7B7CBAFE" w:rsidR="004624B1" w:rsidRPr="00910B9D" w:rsidRDefault="004624B1" w:rsidP="004624B1">
      <w:pPr>
        <w:spacing w:before="120" w:after="0" w:line="276" w:lineRule="auto"/>
        <w:ind w:firstLine="709"/>
        <w:jc w:val="both"/>
        <w:rPr>
          <w:rFonts w:ascii="Century Gothic" w:eastAsia="Calibri" w:hAnsi="Century Gothic" w:cs="Arial"/>
          <w:color w:val="000000"/>
          <w:lang w:val="es-ES_tradnl" w:eastAsia="en-GB"/>
        </w:rPr>
      </w:pPr>
      <w:r w:rsidRPr="00910B9D">
        <w:rPr>
          <w:rFonts w:ascii="Century Gothic" w:eastAsia="Calibri" w:hAnsi="Century Gothic" w:cs="Arial"/>
          <w:color w:val="000000"/>
          <w:lang w:val="es-ES_tradnl" w:eastAsia="en-GB"/>
        </w:rPr>
        <w:t>En todo caso, si se presenta alguna discrepancia en relación con la información reportada en el Registro por la entidad contratante, el artículo 6 dispuso que tal controversia o solicitud será resuelta por la entidad contratante que suministró dicha información. En consecuencia, el contratista deberá manifestar su inconformidad directamente ante la entidad contratante que realizó la anotación, la cual deberá atenderla teniendo en cuenta los principios y disposiciones establecidas en la normatividad vigente.</w:t>
      </w:r>
    </w:p>
    <w:p w14:paraId="6FE20DF9" w14:textId="6658A674" w:rsidR="000674B8" w:rsidRPr="00350080" w:rsidRDefault="00682EE0" w:rsidP="000706C9">
      <w:pPr>
        <w:spacing w:before="120" w:after="0" w:line="276" w:lineRule="auto"/>
        <w:jc w:val="both"/>
        <w:rPr>
          <w:rFonts w:ascii="Century Gothic" w:eastAsia="Calibri" w:hAnsi="Century Gothic" w:cs="Arial"/>
          <w:b/>
          <w:color w:val="000000"/>
          <w:lang w:val="es-ES_tradnl" w:eastAsia="en-GB"/>
        </w:rPr>
      </w:pPr>
      <w:r>
        <w:rPr>
          <w:rFonts w:ascii="Century Gothic" w:eastAsia="Times New Roman" w:hAnsi="Century Gothic" w:cs="Arial"/>
          <w:b/>
          <w:bCs/>
          <w:color w:val="000000"/>
          <w:szCs w:val="24"/>
          <w:lang w:eastAsia="es-ES_tradnl"/>
        </w:rPr>
        <w:t xml:space="preserve">2.4. </w:t>
      </w:r>
      <w:r w:rsidR="00A436C0" w:rsidRPr="00350080">
        <w:rPr>
          <w:rFonts w:ascii="Century Gothic" w:eastAsia="Times New Roman" w:hAnsi="Century Gothic" w:cs="Arial"/>
          <w:b/>
          <w:color w:val="000000"/>
          <w:szCs w:val="24"/>
          <w:lang w:eastAsia="es-ES_tradnl"/>
        </w:rPr>
        <w:t>V</w:t>
      </w:r>
      <w:r w:rsidR="00372224" w:rsidRPr="00350080">
        <w:rPr>
          <w:rFonts w:ascii="Century Gothic" w:eastAsia="Times New Roman" w:hAnsi="Century Gothic" w:cs="Arial"/>
          <w:b/>
          <w:color w:val="000000"/>
          <w:szCs w:val="24"/>
          <w:lang w:eastAsia="es-ES_tradnl"/>
        </w:rPr>
        <w:t xml:space="preserve">igencia de la anotación en el </w:t>
      </w:r>
      <w:r w:rsidR="00372224" w:rsidRPr="00350080">
        <w:rPr>
          <w:rFonts w:ascii="Century Gothic" w:eastAsia="Times New Roman" w:hAnsi="Century Gothic" w:cs="Arial"/>
          <w:b/>
          <w:color w:val="000000"/>
          <w:szCs w:val="24"/>
          <w:lang w:val="es-ES_tradnl" w:eastAsia="es-ES_tradnl"/>
        </w:rPr>
        <w:t>Registro Nacional de Obras Civiles Inconclusas</w:t>
      </w:r>
    </w:p>
    <w:p w14:paraId="0194B068" w14:textId="77777777" w:rsidR="00650B68" w:rsidRDefault="00650B68" w:rsidP="007C4974">
      <w:pPr>
        <w:pStyle w:val="Textoindependiente"/>
        <w:spacing w:line="276" w:lineRule="auto"/>
        <w:jc w:val="both"/>
        <w:rPr>
          <w:rFonts w:ascii="Century Gothic" w:hAnsi="Century Gothic"/>
        </w:rPr>
      </w:pPr>
    </w:p>
    <w:p w14:paraId="479B37E3" w14:textId="5623C1E2" w:rsidR="007C4974" w:rsidRDefault="007C4974" w:rsidP="007C4974">
      <w:pPr>
        <w:pStyle w:val="Textoindependiente"/>
        <w:spacing w:line="276" w:lineRule="auto"/>
        <w:jc w:val="both"/>
        <w:rPr>
          <w:rFonts w:ascii="Century Gothic" w:hAnsi="Century Gothic"/>
        </w:rPr>
      </w:pPr>
      <w:r w:rsidRPr="007C4974">
        <w:rPr>
          <w:rFonts w:ascii="Century Gothic" w:hAnsi="Century Gothic"/>
        </w:rPr>
        <w:t>En cuanto a</w:t>
      </w:r>
      <w:r w:rsidR="005B7ED1">
        <w:rPr>
          <w:rFonts w:ascii="Century Gothic" w:hAnsi="Century Gothic"/>
        </w:rPr>
        <w:t xml:space="preserve"> la vigencia de la anotación en el Registro Nacional de Obras Civiles Inconclusas</w:t>
      </w:r>
      <w:r w:rsidR="00AC6F7E">
        <w:rPr>
          <w:rFonts w:ascii="Century Gothic" w:hAnsi="Century Gothic"/>
        </w:rPr>
        <w:t>,</w:t>
      </w:r>
      <w:r w:rsidR="005B7ED1">
        <w:rPr>
          <w:rFonts w:ascii="Century Gothic" w:hAnsi="Century Gothic"/>
        </w:rPr>
        <w:t xml:space="preserve"> la Ley 2020 de 2020 no contempl</w:t>
      </w:r>
      <w:r w:rsidR="00636146">
        <w:rPr>
          <w:rFonts w:ascii="Century Gothic" w:hAnsi="Century Gothic"/>
        </w:rPr>
        <w:t>ó</w:t>
      </w:r>
      <w:r w:rsidR="005B7ED1">
        <w:rPr>
          <w:rFonts w:ascii="Century Gothic" w:hAnsi="Century Gothic"/>
        </w:rPr>
        <w:t xml:space="preserve"> un término</w:t>
      </w:r>
      <w:r w:rsidR="00AC6F7E">
        <w:rPr>
          <w:rFonts w:ascii="Century Gothic" w:hAnsi="Century Gothic"/>
        </w:rPr>
        <w:t xml:space="preserve"> para ello, sin embargo,</w:t>
      </w:r>
      <w:r w:rsidRPr="007C4974">
        <w:rPr>
          <w:rFonts w:ascii="Century Gothic" w:hAnsi="Century Gothic"/>
        </w:rPr>
        <w:t xml:space="preserve"> </w:t>
      </w:r>
      <w:r w:rsidR="00AC6F7E">
        <w:rPr>
          <w:rFonts w:ascii="Century Gothic" w:hAnsi="Century Gothic"/>
        </w:rPr>
        <w:t>de la lectura de la Ley se evidencia que esta contempl</w:t>
      </w:r>
      <w:r w:rsidR="00997DF6">
        <w:rPr>
          <w:rFonts w:ascii="Century Gothic" w:hAnsi="Century Gothic"/>
        </w:rPr>
        <w:t>ó</w:t>
      </w:r>
      <w:r w:rsidR="00AC6F7E">
        <w:rPr>
          <w:rFonts w:ascii="Century Gothic" w:hAnsi="Century Gothic"/>
        </w:rPr>
        <w:t xml:space="preserve"> el </w:t>
      </w:r>
      <w:r w:rsidRPr="007C4974">
        <w:rPr>
          <w:rFonts w:ascii="Century Gothic" w:hAnsi="Century Gothic"/>
        </w:rPr>
        <w:t>procedimiento para el retiro de anotación en el Registro</w:t>
      </w:r>
      <w:r w:rsidR="00AC6F7E">
        <w:rPr>
          <w:rFonts w:ascii="Century Gothic" w:hAnsi="Century Gothic"/>
        </w:rPr>
        <w:t xml:space="preserve">, indicando que </w:t>
      </w:r>
      <w:r w:rsidRPr="007C4974">
        <w:rPr>
          <w:rFonts w:ascii="Century Gothic" w:hAnsi="Century Gothic"/>
        </w:rPr>
        <w:t>aquellas personas naturales o jurídicas incluidas en el</w:t>
      </w:r>
      <w:r w:rsidR="00AC6F7E">
        <w:rPr>
          <w:rFonts w:ascii="Century Gothic" w:hAnsi="Century Gothic"/>
        </w:rPr>
        <w:t xml:space="preserve"> </w:t>
      </w:r>
      <w:r w:rsidRPr="007C4974">
        <w:rPr>
          <w:rFonts w:ascii="Century Gothic" w:hAnsi="Century Gothic"/>
        </w:rPr>
        <w:t>Registro Nacional de Obras Civiles Inconclusas, como entidades contratistas deberán</w:t>
      </w:r>
      <w:r w:rsidR="00AC6F7E">
        <w:rPr>
          <w:rFonts w:ascii="Century Gothic" w:hAnsi="Century Gothic"/>
        </w:rPr>
        <w:t xml:space="preserve">, </w:t>
      </w:r>
      <w:r w:rsidRPr="007C4974">
        <w:rPr>
          <w:rFonts w:ascii="Century Gothic" w:hAnsi="Century Gothic"/>
        </w:rPr>
        <w:t>en conjunto con las entidades contratantes</w:t>
      </w:r>
      <w:r w:rsidR="00A5584D">
        <w:rPr>
          <w:rFonts w:ascii="Century Gothic" w:hAnsi="Century Gothic"/>
        </w:rPr>
        <w:t xml:space="preserve"> responsables del reporte en virtud de lo contemplado en el artículo 9 de la Ley 2020 de 2020, a</w:t>
      </w:r>
      <w:r w:rsidRPr="007C4974">
        <w:rPr>
          <w:rFonts w:ascii="Century Gothic" w:hAnsi="Century Gothic"/>
        </w:rPr>
        <w:t>delantar las acciones administrativas</w:t>
      </w:r>
      <w:r w:rsidR="00A5584D">
        <w:rPr>
          <w:rFonts w:ascii="Century Gothic" w:hAnsi="Century Gothic"/>
        </w:rPr>
        <w:t xml:space="preserve"> </w:t>
      </w:r>
      <w:r w:rsidRPr="007C4974">
        <w:rPr>
          <w:rFonts w:ascii="Century Gothic" w:hAnsi="Century Gothic"/>
        </w:rPr>
        <w:t>necesarias para realizar el retiro del Registro</w:t>
      </w:r>
      <w:r w:rsidR="00CE13E2">
        <w:rPr>
          <w:rFonts w:ascii="Century Gothic" w:hAnsi="Century Gothic"/>
        </w:rPr>
        <w:t>,</w:t>
      </w:r>
      <w:r w:rsidRPr="007C4974">
        <w:rPr>
          <w:rFonts w:ascii="Century Gothic" w:hAnsi="Century Gothic"/>
        </w:rPr>
        <w:t xml:space="preserve"> previo el cumplimiento de los requisitos</w:t>
      </w:r>
      <w:r w:rsidR="007C6E05">
        <w:rPr>
          <w:rFonts w:ascii="Century Gothic" w:hAnsi="Century Gothic"/>
        </w:rPr>
        <w:t xml:space="preserve"> </w:t>
      </w:r>
      <w:r w:rsidRPr="007C4974">
        <w:rPr>
          <w:rFonts w:ascii="Century Gothic" w:hAnsi="Century Gothic"/>
        </w:rPr>
        <w:t>exigidos en la ley para tal efecto</w:t>
      </w:r>
      <w:r w:rsidR="0048530E">
        <w:rPr>
          <w:rFonts w:ascii="Century Gothic" w:hAnsi="Century Gothic"/>
        </w:rPr>
        <w:t>, así:</w:t>
      </w:r>
    </w:p>
    <w:p w14:paraId="6AB3380B" w14:textId="77777777" w:rsidR="0048530E" w:rsidRDefault="0048530E" w:rsidP="007C4974">
      <w:pPr>
        <w:pStyle w:val="Textoindependiente"/>
        <w:spacing w:line="276" w:lineRule="auto"/>
        <w:jc w:val="both"/>
        <w:rPr>
          <w:rFonts w:ascii="Century Gothic" w:hAnsi="Century Gothic"/>
        </w:rPr>
      </w:pPr>
    </w:p>
    <w:p w14:paraId="78E9356A" w14:textId="439FB74A" w:rsidR="0048530E" w:rsidRPr="0048530E" w:rsidRDefault="0048530E" w:rsidP="0048530E">
      <w:pPr>
        <w:pStyle w:val="Textoindependiente"/>
        <w:ind w:left="709" w:right="709"/>
        <w:jc w:val="both"/>
        <w:rPr>
          <w:rFonts w:ascii="Century Gothic" w:hAnsi="Century Gothic"/>
          <w:sz w:val="21"/>
          <w:szCs w:val="21"/>
        </w:rPr>
      </w:pPr>
      <w:r>
        <w:rPr>
          <w:rFonts w:ascii="Century Gothic" w:hAnsi="Century Gothic"/>
          <w:sz w:val="21"/>
          <w:szCs w:val="21"/>
        </w:rPr>
        <w:t>“</w:t>
      </w:r>
      <w:r w:rsidRPr="0048530E">
        <w:rPr>
          <w:rFonts w:ascii="Century Gothic" w:hAnsi="Century Gothic"/>
          <w:sz w:val="21"/>
          <w:szCs w:val="21"/>
        </w:rPr>
        <w:t xml:space="preserve">ARTÍCULO 12. Cancelación del registro. La cancelación de la anotación de la obra respectiva en el Registro Nacional de Obras Civiles Inconclusas, operará a solicitud de la entidad contratante en donde conste que </w:t>
      </w:r>
      <w:r w:rsidRPr="00761BF1">
        <w:rPr>
          <w:rFonts w:ascii="Century Gothic" w:hAnsi="Century Gothic"/>
          <w:i/>
          <w:iCs/>
          <w:sz w:val="21"/>
          <w:szCs w:val="21"/>
        </w:rPr>
        <w:t>ha sido demolida o finalizada exitosamente</w:t>
      </w:r>
      <w:r w:rsidRPr="0048530E">
        <w:rPr>
          <w:rFonts w:ascii="Century Gothic" w:hAnsi="Century Gothic"/>
          <w:sz w:val="21"/>
          <w:szCs w:val="21"/>
        </w:rPr>
        <w:t xml:space="preserve"> con los soportes correspondientes</w:t>
      </w:r>
      <w:proofErr w:type="gramStart"/>
      <w:r w:rsidRPr="0048530E">
        <w:rPr>
          <w:rFonts w:ascii="Century Gothic" w:hAnsi="Century Gothic"/>
          <w:sz w:val="21"/>
          <w:szCs w:val="21"/>
        </w:rPr>
        <w:t>.</w:t>
      </w:r>
      <w:r>
        <w:rPr>
          <w:rFonts w:ascii="Century Gothic" w:hAnsi="Century Gothic"/>
          <w:sz w:val="21"/>
          <w:szCs w:val="21"/>
        </w:rPr>
        <w:t>”</w:t>
      </w:r>
      <w:r w:rsidR="00761BF1">
        <w:rPr>
          <w:rFonts w:ascii="Century Gothic" w:hAnsi="Century Gothic"/>
          <w:sz w:val="21"/>
          <w:szCs w:val="21"/>
        </w:rPr>
        <w:t>(</w:t>
      </w:r>
      <w:proofErr w:type="gramEnd"/>
      <w:r w:rsidR="00761BF1">
        <w:rPr>
          <w:rFonts w:ascii="Century Gothic" w:hAnsi="Century Gothic"/>
          <w:sz w:val="21"/>
          <w:szCs w:val="21"/>
        </w:rPr>
        <w:t>énfasis fuera de texto)</w:t>
      </w:r>
    </w:p>
    <w:p w14:paraId="718C7F7F" w14:textId="77777777" w:rsidR="00CE13E2" w:rsidRDefault="00CE13E2" w:rsidP="007C4974">
      <w:pPr>
        <w:pStyle w:val="Textoindependiente"/>
        <w:spacing w:line="276" w:lineRule="auto"/>
        <w:jc w:val="both"/>
        <w:rPr>
          <w:rFonts w:ascii="Century Gothic" w:hAnsi="Century Gothic"/>
        </w:rPr>
      </w:pPr>
    </w:p>
    <w:p w14:paraId="10CE60D0" w14:textId="63CC412D" w:rsidR="007C6E05" w:rsidRDefault="004B708A" w:rsidP="004B708A">
      <w:pPr>
        <w:pStyle w:val="Textoindependiente"/>
        <w:spacing w:line="276" w:lineRule="auto"/>
        <w:ind w:firstLine="708"/>
        <w:jc w:val="both"/>
        <w:rPr>
          <w:rFonts w:ascii="Century Gothic" w:hAnsi="Century Gothic"/>
        </w:rPr>
      </w:pPr>
      <w:r>
        <w:rPr>
          <w:rFonts w:ascii="Century Gothic" w:hAnsi="Century Gothic"/>
        </w:rPr>
        <w:t xml:space="preserve">En ese orden de ideas, a criterio </w:t>
      </w:r>
      <w:r w:rsidR="00D22A80">
        <w:rPr>
          <w:rFonts w:ascii="Century Gothic" w:hAnsi="Century Gothic"/>
        </w:rPr>
        <w:t xml:space="preserve">interpretativo </w:t>
      </w:r>
      <w:r>
        <w:rPr>
          <w:rFonts w:ascii="Century Gothic" w:hAnsi="Century Gothic"/>
        </w:rPr>
        <w:t xml:space="preserve">de esta Agencia, la vigencia de la anotación en el Registro Nacional de Obras Civiles </w:t>
      </w:r>
      <w:r w:rsidR="00187F67">
        <w:rPr>
          <w:rFonts w:ascii="Century Gothic" w:hAnsi="Century Gothic"/>
        </w:rPr>
        <w:t xml:space="preserve">Inconclusas corresponderá hasta su cancelación en el mencionado registro, la cual sólo se dará una vez se </w:t>
      </w:r>
      <w:r w:rsidR="00187F67" w:rsidRPr="00187F67">
        <w:rPr>
          <w:rFonts w:ascii="Century Gothic" w:hAnsi="Century Gothic"/>
        </w:rPr>
        <w:t>const</w:t>
      </w:r>
      <w:r w:rsidR="00187F67">
        <w:rPr>
          <w:rFonts w:ascii="Century Gothic" w:hAnsi="Century Gothic"/>
        </w:rPr>
        <w:t>ate</w:t>
      </w:r>
      <w:r w:rsidR="00187F67" w:rsidRPr="00187F67">
        <w:rPr>
          <w:rFonts w:ascii="Century Gothic" w:hAnsi="Century Gothic"/>
        </w:rPr>
        <w:t xml:space="preserve"> </w:t>
      </w:r>
      <w:r w:rsidR="00E1784B">
        <w:rPr>
          <w:rFonts w:ascii="Century Gothic" w:hAnsi="Century Gothic"/>
        </w:rPr>
        <w:t>por la Contraloría</w:t>
      </w:r>
      <w:r w:rsidR="007540C4">
        <w:rPr>
          <w:rFonts w:ascii="Century Gothic" w:hAnsi="Century Gothic"/>
        </w:rPr>
        <w:t xml:space="preserve"> General de la República</w:t>
      </w:r>
      <w:r w:rsidR="00E1784B">
        <w:rPr>
          <w:rFonts w:ascii="Century Gothic" w:hAnsi="Century Gothic"/>
        </w:rPr>
        <w:t xml:space="preserve">, </w:t>
      </w:r>
      <w:r w:rsidR="00187F67" w:rsidRPr="00187F67">
        <w:rPr>
          <w:rFonts w:ascii="Century Gothic" w:hAnsi="Century Gothic"/>
        </w:rPr>
        <w:t xml:space="preserve">que </w:t>
      </w:r>
      <w:r w:rsidR="00187F67">
        <w:rPr>
          <w:rFonts w:ascii="Century Gothic" w:hAnsi="Century Gothic"/>
        </w:rPr>
        <w:t xml:space="preserve">la obra </w:t>
      </w:r>
      <w:r w:rsidR="00187F67" w:rsidRPr="00187F67">
        <w:rPr>
          <w:rFonts w:ascii="Century Gothic" w:hAnsi="Century Gothic"/>
        </w:rPr>
        <w:t>ha sido demolida o finalizada exitosamente</w:t>
      </w:r>
      <w:r w:rsidR="00E1784B">
        <w:rPr>
          <w:rFonts w:ascii="Century Gothic" w:hAnsi="Century Gothic"/>
        </w:rPr>
        <w:t>.</w:t>
      </w:r>
    </w:p>
    <w:p w14:paraId="22E07788" w14:textId="77777777" w:rsidR="00E1784B" w:rsidRPr="007C4974" w:rsidRDefault="00E1784B" w:rsidP="004B708A">
      <w:pPr>
        <w:pStyle w:val="Textoindependiente"/>
        <w:spacing w:line="276" w:lineRule="auto"/>
        <w:ind w:firstLine="708"/>
        <w:jc w:val="both"/>
        <w:rPr>
          <w:rFonts w:ascii="Century Gothic" w:hAnsi="Century Gothic"/>
        </w:rPr>
      </w:pPr>
    </w:p>
    <w:p w14:paraId="733A1524" w14:textId="4CEC6D1E" w:rsidR="007C4974" w:rsidRPr="007C4974" w:rsidRDefault="00506FCD" w:rsidP="001C106A">
      <w:pPr>
        <w:pStyle w:val="Textoindependiente"/>
        <w:spacing w:line="276" w:lineRule="auto"/>
        <w:ind w:firstLine="708"/>
        <w:jc w:val="both"/>
        <w:rPr>
          <w:rFonts w:ascii="Century Gothic" w:hAnsi="Century Gothic"/>
        </w:rPr>
      </w:pPr>
      <w:r>
        <w:rPr>
          <w:rFonts w:ascii="Century Gothic" w:hAnsi="Century Gothic"/>
        </w:rPr>
        <w:t xml:space="preserve">Asimismo, </w:t>
      </w:r>
      <w:r w:rsidR="007C4974" w:rsidRPr="007C4974">
        <w:rPr>
          <w:rFonts w:ascii="Century Gothic" w:hAnsi="Century Gothic"/>
        </w:rPr>
        <w:t xml:space="preserve">es </w:t>
      </w:r>
      <w:r>
        <w:rPr>
          <w:rFonts w:ascii="Century Gothic" w:hAnsi="Century Gothic"/>
        </w:rPr>
        <w:t>importante</w:t>
      </w:r>
      <w:r w:rsidR="00874181">
        <w:rPr>
          <w:rFonts w:ascii="Century Gothic" w:hAnsi="Century Gothic"/>
        </w:rPr>
        <w:t xml:space="preserve"> reiterar</w:t>
      </w:r>
      <w:r w:rsidR="007C4974" w:rsidRPr="007C4974">
        <w:rPr>
          <w:rFonts w:ascii="Century Gothic" w:hAnsi="Century Gothic"/>
        </w:rPr>
        <w:t xml:space="preserve"> que la </w:t>
      </w:r>
      <w:r w:rsidR="001364E9">
        <w:rPr>
          <w:rFonts w:ascii="Century Gothic" w:hAnsi="Century Gothic"/>
        </w:rPr>
        <w:t>o</w:t>
      </w:r>
      <w:r w:rsidR="007C4974" w:rsidRPr="007C4974">
        <w:rPr>
          <w:rFonts w:ascii="Century Gothic" w:hAnsi="Century Gothic"/>
        </w:rPr>
        <w:t>bra reportada como Inconclusa es</w:t>
      </w:r>
      <w:r w:rsidR="007F7625">
        <w:rPr>
          <w:rFonts w:ascii="Century Gothic" w:hAnsi="Century Gothic"/>
        </w:rPr>
        <w:t xml:space="preserve"> </w:t>
      </w:r>
      <w:r w:rsidR="007C4974" w:rsidRPr="007C4974">
        <w:rPr>
          <w:rFonts w:ascii="Century Gothic" w:hAnsi="Century Gothic"/>
        </w:rPr>
        <w:t xml:space="preserve">responsabilidad de la </w:t>
      </w:r>
      <w:r w:rsidR="00874181">
        <w:rPr>
          <w:rFonts w:ascii="Century Gothic" w:hAnsi="Century Gothic"/>
        </w:rPr>
        <w:t>E</w:t>
      </w:r>
      <w:r w:rsidR="007C4974" w:rsidRPr="007C4974">
        <w:rPr>
          <w:rFonts w:ascii="Century Gothic" w:hAnsi="Century Gothic"/>
        </w:rPr>
        <w:t>ntidad</w:t>
      </w:r>
      <w:r w:rsidR="00874181">
        <w:rPr>
          <w:rFonts w:ascii="Century Gothic" w:hAnsi="Century Gothic"/>
        </w:rPr>
        <w:t xml:space="preserve"> E</w:t>
      </w:r>
      <w:r w:rsidR="007C4974" w:rsidRPr="007C4974">
        <w:rPr>
          <w:rFonts w:ascii="Century Gothic" w:hAnsi="Century Gothic"/>
        </w:rPr>
        <w:t xml:space="preserve">statal, por ello en caso de </w:t>
      </w:r>
      <w:r w:rsidR="003E4CD4">
        <w:rPr>
          <w:rFonts w:ascii="Century Gothic" w:hAnsi="Century Gothic"/>
        </w:rPr>
        <w:t>que sea necesario presentar la cancelación de dicho</w:t>
      </w:r>
      <w:r w:rsidR="001C106A">
        <w:rPr>
          <w:rFonts w:ascii="Century Gothic" w:hAnsi="Century Gothic"/>
        </w:rPr>
        <w:t xml:space="preserve"> </w:t>
      </w:r>
      <w:r w:rsidR="007C4974" w:rsidRPr="007C4974">
        <w:rPr>
          <w:rFonts w:ascii="Century Gothic" w:hAnsi="Century Gothic"/>
        </w:rPr>
        <w:t xml:space="preserve">reporte, será </w:t>
      </w:r>
      <w:r w:rsidR="001C106A">
        <w:rPr>
          <w:rFonts w:ascii="Century Gothic" w:hAnsi="Century Gothic"/>
        </w:rPr>
        <w:t>aquella</w:t>
      </w:r>
      <w:r w:rsidR="007C4974" w:rsidRPr="007C4974">
        <w:rPr>
          <w:rFonts w:ascii="Century Gothic" w:hAnsi="Century Gothic"/>
        </w:rPr>
        <w:t xml:space="preserve"> quien debe adelantar los trámites correspondientes</w:t>
      </w:r>
      <w:r w:rsidR="001C106A">
        <w:rPr>
          <w:rFonts w:ascii="Century Gothic" w:hAnsi="Century Gothic"/>
        </w:rPr>
        <w:t xml:space="preserve">, </w:t>
      </w:r>
      <w:r w:rsidR="007C4974" w:rsidRPr="007C4974">
        <w:rPr>
          <w:rFonts w:ascii="Century Gothic" w:hAnsi="Century Gothic"/>
        </w:rPr>
        <w:t>ante la Contraloría General de la República</w:t>
      </w:r>
      <w:r w:rsidR="001C106A">
        <w:rPr>
          <w:rFonts w:ascii="Century Gothic" w:hAnsi="Century Gothic"/>
        </w:rPr>
        <w:t>, y</w:t>
      </w:r>
      <w:r w:rsidR="007C4974" w:rsidRPr="007C4974">
        <w:rPr>
          <w:rFonts w:ascii="Century Gothic" w:hAnsi="Century Gothic"/>
        </w:rPr>
        <w:t xml:space="preserve"> aportar los documentos necesarios para</w:t>
      </w:r>
      <w:r w:rsidR="001C106A">
        <w:rPr>
          <w:rFonts w:ascii="Century Gothic" w:hAnsi="Century Gothic"/>
        </w:rPr>
        <w:t xml:space="preserve"> </w:t>
      </w:r>
      <w:r w:rsidR="007C4974" w:rsidRPr="007C4974">
        <w:rPr>
          <w:rFonts w:ascii="Century Gothic" w:hAnsi="Century Gothic"/>
        </w:rPr>
        <w:t>la exclusión de dicho Registro.</w:t>
      </w:r>
    </w:p>
    <w:p w14:paraId="62718EF0" w14:textId="77777777" w:rsidR="003E4CD4" w:rsidRDefault="003E4CD4" w:rsidP="007C4974">
      <w:pPr>
        <w:pStyle w:val="Textoindependiente"/>
        <w:spacing w:line="276" w:lineRule="auto"/>
        <w:jc w:val="both"/>
        <w:rPr>
          <w:rFonts w:ascii="Century Gothic" w:hAnsi="Century Gothic"/>
        </w:rPr>
      </w:pPr>
    </w:p>
    <w:p w14:paraId="67D3022B" w14:textId="0CA819DC" w:rsidR="007C4974" w:rsidRPr="007C4974" w:rsidRDefault="003E4CD4" w:rsidP="00154DF4">
      <w:pPr>
        <w:pStyle w:val="Textoindependiente"/>
        <w:spacing w:line="276" w:lineRule="auto"/>
        <w:ind w:firstLine="708"/>
        <w:jc w:val="both"/>
        <w:rPr>
          <w:rFonts w:ascii="Century Gothic" w:hAnsi="Century Gothic"/>
        </w:rPr>
      </w:pPr>
      <w:r>
        <w:rPr>
          <w:rFonts w:ascii="Century Gothic" w:hAnsi="Century Gothic"/>
        </w:rPr>
        <w:t xml:space="preserve">Ahora bien, </w:t>
      </w:r>
      <w:r w:rsidR="000E7258">
        <w:rPr>
          <w:rFonts w:ascii="Century Gothic" w:hAnsi="Century Gothic"/>
        </w:rPr>
        <w:t>los</w:t>
      </w:r>
      <w:r w:rsidR="000E7258" w:rsidRPr="000E7258">
        <w:rPr>
          <w:rFonts w:ascii="Century Gothic" w:hAnsi="Century Gothic"/>
        </w:rPr>
        <w:t xml:space="preserve"> </w:t>
      </w:r>
      <w:r w:rsidR="000E7258" w:rsidRPr="007C4974">
        <w:rPr>
          <w:rFonts w:ascii="Century Gothic" w:hAnsi="Century Gothic"/>
        </w:rPr>
        <w:t xml:space="preserve">contratistas de obra o interventores que </w:t>
      </w:r>
      <w:r w:rsidR="000E7258">
        <w:rPr>
          <w:rFonts w:ascii="Century Gothic" w:hAnsi="Century Gothic"/>
        </w:rPr>
        <w:t>se encuentran con</w:t>
      </w:r>
      <w:r w:rsidR="007C4974" w:rsidRPr="007C4974">
        <w:rPr>
          <w:rFonts w:ascii="Century Gothic" w:hAnsi="Century Gothic"/>
        </w:rPr>
        <w:t xml:space="preserve"> anotaciones en el Registro Nacional de Obras Civiles Inconclusas</w:t>
      </w:r>
      <w:r w:rsidR="00BD2910">
        <w:rPr>
          <w:rFonts w:ascii="Century Gothic" w:hAnsi="Century Gothic"/>
        </w:rPr>
        <w:t xml:space="preserve"> deberán, conforme lo expuesto en el artículo 6 de la Ley 2020 de 2020,</w:t>
      </w:r>
      <w:r w:rsidR="00AF2280">
        <w:rPr>
          <w:rFonts w:ascii="Century Gothic" w:hAnsi="Century Gothic"/>
        </w:rPr>
        <w:t xml:space="preserve"> en caso de</w:t>
      </w:r>
      <w:r w:rsidR="00BD2910">
        <w:rPr>
          <w:rFonts w:ascii="Century Gothic" w:hAnsi="Century Gothic"/>
        </w:rPr>
        <w:t xml:space="preserve"> </w:t>
      </w:r>
      <w:r w:rsidR="00AF2280" w:rsidRPr="00187F67">
        <w:rPr>
          <w:rFonts w:ascii="Century Gothic" w:hAnsi="Century Gothic"/>
        </w:rPr>
        <w:t xml:space="preserve">que </w:t>
      </w:r>
      <w:r w:rsidR="00AF2280">
        <w:rPr>
          <w:rFonts w:ascii="Century Gothic" w:hAnsi="Century Gothic"/>
        </w:rPr>
        <w:t xml:space="preserve">la obra </w:t>
      </w:r>
      <w:r w:rsidR="00AF2280" w:rsidRPr="00187F67">
        <w:rPr>
          <w:rFonts w:ascii="Century Gothic" w:hAnsi="Century Gothic"/>
        </w:rPr>
        <w:t>ha sido demolida o finalizada exitosamente</w:t>
      </w:r>
      <w:r w:rsidR="00E0681B">
        <w:rPr>
          <w:rFonts w:ascii="Century Gothic" w:hAnsi="Century Gothic"/>
        </w:rPr>
        <w:t xml:space="preserve">, o </w:t>
      </w:r>
      <w:r w:rsidR="00757AA1">
        <w:rPr>
          <w:rFonts w:ascii="Century Gothic" w:hAnsi="Century Gothic"/>
        </w:rPr>
        <w:t xml:space="preserve">que </w:t>
      </w:r>
      <w:r w:rsidR="00E0681B">
        <w:rPr>
          <w:rFonts w:ascii="Century Gothic" w:hAnsi="Century Gothic"/>
        </w:rPr>
        <w:t xml:space="preserve">de dicha </w:t>
      </w:r>
      <w:r w:rsidR="00757AA1">
        <w:rPr>
          <w:rFonts w:ascii="Century Gothic" w:hAnsi="Century Gothic"/>
        </w:rPr>
        <w:t>a</w:t>
      </w:r>
      <w:r w:rsidR="00E0681B">
        <w:rPr>
          <w:rFonts w:ascii="Century Gothic" w:hAnsi="Century Gothic"/>
        </w:rPr>
        <w:t xml:space="preserve">notación </w:t>
      </w:r>
      <w:r w:rsidR="00757AA1">
        <w:rPr>
          <w:rFonts w:ascii="Century Gothic" w:hAnsi="Century Gothic"/>
        </w:rPr>
        <w:t>sea necesaria su cancelación, deberá presentar</w:t>
      </w:r>
      <w:r w:rsidR="00B12BAC">
        <w:rPr>
          <w:rFonts w:ascii="Century Gothic" w:hAnsi="Century Gothic"/>
        </w:rPr>
        <w:t xml:space="preserve"> dicha solicitud </w:t>
      </w:r>
      <w:r w:rsidR="00154DF4">
        <w:rPr>
          <w:rFonts w:ascii="Century Gothic" w:hAnsi="Century Gothic"/>
        </w:rPr>
        <w:t xml:space="preserve">ante la entidad contratante, y </w:t>
      </w:r>
      <w:r w:rsidR="00B12BAC">
        <w:rPr>
          <w:rFonts w:ascii="Century Gothic" w:hAnsi="Century Gothic"/>
        </w:rPr>
        <w:t xml:space="preserve">esta a su vez, </w:t>
      </w:r>
      <w:r w:rsidR="00154DF4">
        <w:rPr>
          <w:rFonts w:ascii="Century Gothic" w:hAnsi="Century Gothic"/>
        </w:rPr>
        <w:t xml:space="preserve">deberá resolver dichas solicitudes, atendiendo </w:t>
      </w:r>
      <w:r w:rsidR="007C4974" w:rsidRPr="007C4974">
        <w:rPr>
          <w:rFonts w:ascii="Century Gothic" w:hAnsi="Century Gothic"/>
        </w:rPr>
        <w:t>principios y disposiciones establecidos en la normatividad</w:t>
      </w:r>
      <w:r w:rsidR="00154DF4">
        <w:rPr>
          <w:rFonts w:ascii="Century Gothic" w:hAnsi="Century Gothic"/>
        </w:rPr>
        <w:t xml:space="preserve"> </w:t>
      </w:r>
      <w:r w:rsidR="007C4974" w:rsidRPr="007C4974">
        <w:rPr>
          <w:rFonts w:ascii="Century Gothic" w:hAnsi="Century Gothic"/>
        </w:rPr>
        <w:t>vigente.</w:t>
      </w:r>
    </w:p>
    <w:p w14:paraId="309C63C2" w14:textId="77777777" w:rsidR="00BD2910" w:rsidRDefault="00BD2910" w:rsidP="00650B68">
      <w:pPr>
        <w:pStyle w:val="Textoindependiente"/>
        <w:spacing w:line="276" w:lineRule="auto"/>
        <w:jc w:val="both"/>
        <w:rPr>
          <w:rFonts w:ascii="Century Gothic" w:hAnsi="Century Gothic"/>
        </w:rPr>
      </w:pPr>
    </w:p>
    <w:p w14:paraId="114F73D2" w14:textId="18D2306F" w:rsidR="00650B68" w:rsidRDefault="00B12BAC" w:rsidP="00B25C17">
      <w:pPr>
        <w:pStyle w:val="Textoindependiente"/>
        <w:spacing w:line="276" w:lineRule="auto"/>
        <w:ind w:firstLine="708"/>
        <w:jc w:val="both"/>
        <w:rPr>
          <w:rFonts w:ascii="Century Gothic" w:hAnsi="Century Gothic"/>
        </w:rPr>
      </w:pPr>
      <w:r>
        <w:rPr>
          <w:rFonts w:ascii="Century Gothic" w:hAnsi="Century Gothic"/>
        </w:rPr>
        <w:t xml:space="preserve">Dicha interpretación es compartida por la </w:t>
      </w:r>
      <w:r w:rsidR="003612C9">
        <w:rPr>
          <w:rFonts w:ascii="Century Gothic" w:hAnsi="Century Gothic"/>
        </w:rPr>
        <w:t>Contralorí</w:t>
      </w:r>
      <w:r w:rsidR="003612C9" w:rsidRPr="00650B68">
        <w:rPr>
          <w:rFonts w:ascii="Century Gothic" w:hAnsi="Century Gothic"/>
        </w:rPr>
        <w:t>a</w:t>
      </w:r>
      <w:r w:rsidR="00650B68" w:rsidRPr="00650B68">
        <w:rPr>
          <w:rFonts w:ascii="Century Gothic" w:hAnsi="Century Gothic"/>
        </w:rPr>
        <w:t xml:space="preserve"> </w:t>
      </w:r>
      <w:r w:rsidR="003612C9">
        <w:rPr>
          <w:rFonts w:ascii="Century Gothic" w:hAnsi="Century Gothic"/>
        </w:rPr>
        <w:t>General de la República, quien en concepto 175 de 2022</w:t>
      </w:r>
      <w:r w:rsidR="00F96F74">
        <w:rPr>
          <w:rStyle w:val="Refdenotaalpie"/>
          <w:rFonts w:ascii="Century Gothic" w:hAnsi="Century Gothic"/>
        </w:rPr>
        <w:footnoteReference w:id="15"/>
      </w:r>
      <w:r w:rsidR="003612C9">
        <w:rPr>
          <w:rFonts w:ascii="Century Gothic" w:hAnsi="Century Gothic"/>
        </w:rPr>
        <w:t xml:space="preserve">, indicó </w:t>
      </w:r>
      <w:r w:rsidR="00F96F74">
        <w:rPr>
          <w:rFonts w:ascii="Century Gothic" w:hAnsi="Century Gothic"/>
        </w:rPr>
        <w:t>que</w:t>
      </w:r>
      <w:r w:rsidR="00B25C17">
        <w:rPr>
          <w:rFonts w:ascii="Century Gothic" w:hAnsi="Century Gothic"/>
        </w:rPr>
        <w:t xml:space="preserve"> “</w:t>
      </w:r>
      <w:r w:rsidR="00650B68" w:rsidRPr="00650B68">
        <w:rPr>
          <w:rFonts w:ascii="Century Gothic" w:hAnsi="Century Gothic"/>
        </w:rPr>
        <w:t>El término de la anotación en el Registro Nacional de Obras Civiles Inconclusas,</w:t>
      </w:r>
      <w:r w:rsidR="00B25C17">
        <w:rPr>
          <w:rFonts w:ascii="Century Gothic" w:hAnsi="Century Gothic"/>
        </w:rPr>
        <w:t xml:space="preserve"> </w:t>
      </w:r>
      <w:r w:rsidR="00650B68" w:rsidRPr="00650B68">
        <w:rPr>
          <w:rFonts w:ascii="Century Gothic" w:hAnsi="Century Gothic"/>
        </w:rPr>
        <w:t>depende de la entidad estatal que lo reporta, pues corresponde a esta adelantar las</w:t>
      </w:r>
      <w:r w:rsidR="00B25C17">
        <w:rPr>
          <w:rFonts w:ascii="Century Gothic" w:hAnsi="Century Gothic"/>
        </w:rPr>
        <w:t xml:space="preserve"> </w:t>
      </w:r>
      <w:r w:rsidR="00650B68" w:rsidRPr="00650B68">
        <w:rPr>
          <w:rFonts w:ascii="Century Gothic" w:hAnsi="Century Gothic"/>
        </w:rPr>
        <w:t>actuaciones tendientes a realizar el retiro del mencionado Registro</w:t>
      </w:r>
      <w:r w:rsidR="00B25C17">
        <w:rPr>
          <w:rFonts w:ascii="Century Gothic" w:hAnsi="Century Gothic"/>
        </w:rPr>
        <w:t>”.</w:t>
      </w:r>
    </w:p>
    <w:p w14:paraId="4906055C" w14:textId="77777777" w:rsidR="00B25C17" w:rsidRDefault="00B25C17" w:rsidP="00B25C17">
      <w:pPr>
        <w:pStyle w:val="Textoindependiente"/>
        <w:spacing w:line="276" w:lineRule="auto"/>
        <w:ind w:firstLine="708"/>
        <w:jc w:val="both"/>
        <w:rPr>
          <w:rFonts w:ascii="Century Gothic" w:hAnsi="Century Gothic"/>
        </w:rPr>
      </w:pPr>
    </w:p>
    <w:p w14:paraId="5E6710B9" w14:textId="29E2C501" w:rsidR="005942CF" w:rsidRPr="00DD6EDE" w:rsidRDefault="00682EE0" w:rsidP="000706C9">
      <w:pPr>
        <w:pStyle w:val="Textoindependiente"/>
        <w:spacing w:line="276" w:lineRule="auto"/>
        <w:jc w:val="both"/>
        <w:rPr>
          <w:rFonts w:ascii="Century Gothic" w:hAnsi="Century Gothic"/>
          <w:b/>
          <w:bCs/>
        </w:rPr>
      </w:pPr>
      <w:r>
        <w:rPr>
          <w:rFonts w:ascii="Century Gothic" w:eastAsia="Times New Roman" w:hAnsi="Century Gothic"/>
          <w:b/>
          <w:bCs/>
          <w:color w:val="000000"/>
          <w:szCs w:val="24"/>
          <w:lang w:eastAsia="es-ES_tradnl"/>
        </w:rPr>
        <w:t xml:space="preserve">2.5. </w:t>
      </w:r>
      <w:r w:rsidR="00DD6EDE" w:rsidRPr="00DD6EDE">
        <w:rPr>
          <w:rFonts w:ascii="Century Gothic" w:eastAsia="Times New Roman" w:hAnsi="Century Gothic"/>
          <w:b/>
          <w:bCs/>
          <w:color w:val="000000"/>
          <w:szCs w:val="24"/>
          <w:lang w:eastAsia="es-ES_tradnl"/>
        </w:rPr>
        <w:t>El</w:t>
      </w:r>
      <w:r w:rsidR="00B25C17" w:rsidRPr="00DD6EDE">
        <w:rPr>
          <w:rFonts w:ascii="Century Gothic" w:eastAsia="Times New Roman" w:hAnsi="Century Gothic"/>
          <w:b/>
          <w:bCs/>
          <w:color w:val="000000"/>
          <w:szCs w:val="24"/>
          <w:lang w:eastAsia="es-ES_tradnl"/>
        </w:rPr>
        <w:t xml:space="preserve"> plazo para presentar y resolver observaciones</w:t>
      </w:r>
    </w:p>
    <w:p w14:paraId="7FECE30E" w14:textId="77777777" w:rsidR="00DD6EDE" w:rsidRPr="00DD6EDE" w:rsidRDefault="00DD6EDE" w:rsidP="00DD6EDE">
      <w:pPr>
        <w:pStyle w:val="Textoindependiente"/>
        <w:spacing w:line="276" w:lineRule="auto"/>
        <w:ind w:left="360"/>
        <w:jc w:val="both"/>
        <w:rPr>
          <w:rFonts w:ascii="Century Gothic" w:hAnsi="Century Gothic"/>
          <w:b/>
          <w:bCs/>
        </w:rPr>
      </w:pPr>
    </w:p>
    <w:p w14:paraId="14C35AD2" w14:textId="77777777" w:rsidR="00A50145" w:rsidRPr="00205F92" w:rsidRDefault="00A50145" w:rsidP="000706C9">
      <w:pPr>
        <w:spacing w:after="120" w:line="276" w:lineRule="auto"/>
        <w:jc w:val="both"/>
        <w:rPr>
          <w:rFonts w:ascii="Century Gothic" w:eastAsia="Calibri" w:hAnsi="Century Gothic" w:cs="Arial"/>
          <w:color w:val="000000" w:themeColor="text1"/>
        </w:rPr>
      </w:pPr>
      <w:r w:rsidRPr="00205F92">
        <w:rPr>
          <w:rFonts w:ascii="Century Gothic" w:eastAsia="Calibri" w:hAnsi="Century Gothic" w:cs="Arial"/>
          <w:color w:val="000000" w:themeColor="text1"/>
        </w:rPr>
        <w:t>El artículo 23 de la Ley 80 de 1993 regula los principios aplicables a las actuaciones contractuales adelantadas por las entidades estatales</w:t>
      </w:r>
      <w:r w:rsidRPr="00910B9D">
        <w:rPr>
          <w:rStyle w:val="Refdenotaalpie"/>
          <w:rFonts w:ascii="Century Gothic" w:eastAsia="Calibri" w:hAnsi="Century Gothic" w:cs="Arial"/>
          <w:color w:val="000000" w:themeColor="text1"/>
        </w:rPr>
        <w:footnoteReference w:id="16"/>
      </w:r>
      <w:r w:rsidRPr="00205F92">
        <w:rPr>
          <w:rFonts w:ascii="Century Gothic" w:eastAsia="Calibri" w:hAnsi="Century Gothic" w:cs="Arial"/>
          <w:color w:val="000000" w:themeColor="text1"/>
        </w:rPr>
        <w:t>. Entre otros, allí se estableció el principio de transparencia de la actividad contractual, objeto de regulación expresa en el artículo 24 del citado cuerpo normativo. Este principio guarda estrecha relación con el de publicidad, que rige el ejercicio de la función administrativa, según el artículo 209 constitucional. Por eso en los numerales 2º y 3º del citado artículo 24 se estableció la facultad de los interesados para realizar y/o presentar observaciones, como un mecanismo para controvertir algunas de las decisiones adoptadas por las entidades estatales en el marco de sus actuaciones públicas, en particular en los procesos contractuales, así:</w:t>
      </w:r>
    </w:p>
    <w:p w14:paraId="257FEAF4" w14:textId="77777777" w:rsidR="00A50145" w:rsidRPr="00910B9D" w:rsidRDefault="00A50145" w:rsidP="00A50145">
      <w:pPr>
        <w:pStyle w:val="Prrafodelista"/>
        <w:ind w:left="463" w:right="709"/>
        <w:jc w:val="both"/>
        <w:rPr>
          <w:rFonts w:ascii="Century Gothic" w:eastAsia="Calibri" w:hAnsi="Century Gothic" w:cs="Arial"/>
          <w:color w:val="000000" w:themeColor="text1"/>
        </w:rPr>
      </w:pPr>
    </w:p>
    <w:p w14:paraId="3765631D" w14:textId="77777777" w:rsidR="00A50145" w:rsidRPr="00910B9D" w:rsidRDefault="00A50145" w:rsidP="00A50145">
      <w:pPr>
        <w:pStyle w:val="Prrafodelista"/>
        <w:ind w:left="463" w:right="709"/>
        <w:jc w:val="both"/>
        <w:rPr>
          <w:rFonts w:ascii="Century Gothic" w:eastAsia="Calibri" w:hAnsi="Century Gothic" w:cs="Arial"/>
          <w:sz w:val="21"/>
          <w:szCs w:val="21"/>
        </w:rPr>
      </w:pPr>
      <w:r>
        <w:rPr>
          <w:rFonts w:ascii="Century Gothic" w:hAnsi="Century Gothic" w:cs="Arial"/>
          <w:sz w:val="21"/>
          <w:szCs w:val="21"/>
        </w:rPr>
        <w:t>“</w:t>
      </w:r>
      <w:r w:rsidRPr="00910B9D">
        <w:rPr>
          <w:rFonts w:ascii="Century Gothic" w:eastAsia="Calibri" w:hAnsi="Century Gothic" w:cs="Arial"/>
          <w:sz w:val="21"/>
          <w:szCs w:val="21"/>
        </w:rPr>
        <w:t>Artículo 24. Del principio de transparencia. En virtud de este principio:</w:t>
      </w:r>
    </w:p>
    <w:p w14:paraId="47982C85" w14:textId="77777777" w:rsidR="00A50145" w:rsidRPr="00910B9D" w:rsidRDefault="00A50145" w:rsidP="00A50145">
      <w:pPr>
        <w:pStyle w:val="Prrafodelista"/>
        <w:spacing w:after="120"/>
        <w:ind w:left="463" w:right="709"/>
        <w:jc w:val="both"/>
        <w:rPr>
          <w:rFonts w:ascii="Century Gothic" w:eastAsia="Calibri" w:hAnsi="Century Gothic" w:cs="Arial"/>
          <w:sz w:val="21"/>
          <w:szCs w:val="21"/>
        </w:rPr>
      </w:pPr>
      <w:r w:rsidRPr="00910B9D">
        <w:rPr>
          <w:rFonts w:ascii="Century Gothic" w:eastAsia="Calibri" w:hAnsi="Century Gothic" w:cs="Arial"/>
          <w:sz w:val="21"/>
          <w:szCs w:val="21"/>
        </w:rPr>
        <w:t>[…]</w:t>
      </w:r>
    </w:p>
    <w:p w14:paraId="33F0D41E" w14:textId="77777777" w:rsidR="00A50145" w:rsidRPr="00910B9D" w:rsidRDefault="00A50145" w:rsidP="00A50145">
      <w:pPr>
        <w:pStyle w:val="Prrafodelista"/>
        <w:spacing w:after="120"/>
        <w:ind w:left="463" w:right="709"/>
        <w:jc w:val="both"/>
        <w:rPr>
          <w:rFonts w:ascii="Century Gothic" w:eastAsia="Calibri" w:hAnsi="Century Gothic" w:cs="Arial"/>
          <w:sz w:val="21"/>
          <w:szCs w:val="21"/>
        </w:rPr>
      </w:pPr>
      <w:r w:rsidRPr="00910B9D">
        <w:rPr>
          <w:rFonts w:ascii="Century Gothic" w:eastAsia="Calibri" w:hAnsi="Century Gothic" w:cs="Arial"/>
          <w:sz w:val="21"/>
          <w:szCs w:val="21"/>
        </w:rPr>
        <w:t>2o.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w:t>
      </w:r>
    </w:p>
    <w:p w14:paraId="390648A8" w14:textId="77777777" w:rsidR="00A50145" w:rsidRPr="00910B9D" w:rsidRDefault="00A50145" w:rsidP="00A50145">
      <w:pPr>
        <w:pStyle w:val="Prrafodelista"/>
        <w:ind w:left="463" w:right="709"/>
        <w:jc w:val="both"/>
        <w:rPr>
          <w:rFonts w:ascii="Century Gothic" w:eastAsia="Calibri" w:hAnsi="Century Gothic" w:cs="Arial"/>
        </w:rPr>
      </w:pPr>
      <w:r w:rsidRPr="00910B9D">
        <w:rPr>
          <w:rFonts w:ascii="Century Gothic" w:eastAsia="Calibri" w:hAnsi="Century Gothic" w:cs="Arial"/>
          <w:sz w:val="21"/>
          <w:szCs w:val="21"/>
        </w:rPr>
        <w:t>3o. Las actuaciones de las autoridades serán públicas y los expedientes que las contengan estarán abiertos al público, permitiendo en el caso de licitación el ejercicio del derecho de que trata el artículo 273 de la Constitución Política.</w:t>
      </w:r>
      <w:r>
        <w:rPr>
          <w:rFonts w:ascii="Century Gothic" w:eastAsia="Calibri" w:hAnsi="Century Gothic" w:cs="Arial"/>
          <w:sz w:val="21"/>
          <w:szCs w:val="21"/>
        </w:rPr>
        <w:t>”</w:t>
      </w:r>
    </w:p>
    <w:p w14:paraId="411E32FE" w14:textId="77777777" w:rsidR="00A50145" w:rsidRPr="00910B9D" w:rsidRDefault="00A50145" w:rsidP="00A50145">
      <w:pPr>
        <w:pStyle w:val="Prrafodelista"/>
        <w:ind w:left="463"/>
        <w:jc w:val="both"/>
        <w:rPr>
          <w:rFonts w:ascii="Century Gothic" w:eastAsia="Calibri" w:hAnsi="Century Gothic" w:cs="Arial"/>
          <w:color w:val="000000" w:themeColor="text1"/>
        </w:rPr>
      </w:pPr>
    </w:p>
    <w:p w14:paraId="3E970B92" w14:textId="77777777" w:rsidR="00A50145" w:rsidRPr="00A50145" w:rsidRDefault="00A50145" w:rsidP="000706C9">
      <w:pPr>
        <w:spacing w:after="120" w:line="276" w:lineRule="auto"/>
        <w:ind w:firstLine="463"/>
        <w:jc w:val="both"/>
        <w:rPr>
          <w:rFonts w:ascii="Century Gothic" w:hAnsi="Century Gothic" w:cs="Arial"/>
          <w:color w:val="000000" w:themeColor="text1"/>
        </w:rPr>
      </w:pPr>
      <w:r w:rsidRPr="00A50145">
        <w:rPr>
          <w:rFonts w:ascii="Century Gothic" w:hAnsi="Century Gothic" w:cs="Arial"/>
          <w:color w:val="000000" w:themeColor="text1"/>
        </w:rPr>
        <w:t xml:space="preserve">En desarrollo del principio de transparencia, el artículo 30 de la Ley 80 de 1993 que regula la estructura de los procedimientos de selección del contratista, estableció ciertas reglas en el inciso final del numeral </w:t>
      </w:r>
      <w:r w:rsidRPr="00A50145">
        <w:rPr>
          <w:rFonts w:ascii="Century Gothic" w:hAnsi="Century Gothic" w:cs="Arial"/>
        </w:rPr>
        <w:t>4º</w:t>
      </w:r>
      <w:r w:rsidRPr="00A50145">
        <w:rPr>
          <w:rFonts w:ascii="Century Gothic" w:hAnsi="Century Gothic" w:cs="Arial"/>
          <w:color w:val="000000" w:themeColor="text1"/>
        </w:rPr>
        <w:t xml:space="preserve">, relacionadas con la </w:t>
      </w:r>
      <w:r w:rsidRPr="00A50145">
        <w:rPr>
          <w:rFonts w:ascii="Century Gothic" w:hAnsi="Century Gothic" w:cs="Arial"/>
        </w:rPr>
        <w:t>audiencia para precisar el contenido y alcance de los pliegos de condiciones y asignación de riesgos. De esta manera</w:t>
      </w:r>
      <w:r w:rsidRPr="00A50145">
        <w:rPr>
          <w:rFonts w:ascii="Century Gothic" w:hAnsi="Century Gothic" w:cs="Arial"/>
          <w:color w:val="000000" w:themeColor="text1"/>
        </w:rPr>
        <w:t xml:space="preserve">, se señaló que como resultado de lo debatido en la audiencia se realizarán las modificaciones a que haya lugar frente a los pliegos de condiciones, circunstancia que </w:t>
      </w:r>
      <w:r w:rsidRPr="00A50145">
        <w:rPr>
          <w:rFonts w:ascii="Century Gothic" w:hAnsi="Century Gothic" w:cs="Arial"/>
          <w:i/>
          <w:iCs/>
        </w:rPr>
        <w:t>“[…] no impide que dentro del plazo de la licitación, cualquier interesado pueda solicitar aclaraciones adicionales que la entidad contratante responderá mediante comunicación escrita, la cual remitirá al interesado y publicará en el SECOP para conocimiento público”</w:t>
      </w:r>
      <w:r w:rsidRPr="00A50145">
        <w:rPr>
          <w:rFonts w:ascii="Century Gothic" w:hAnsi="Century Gothic" w:cs="Arial"/>
        </w:rPr>
        <w:t>. De otro lado, el numeral 8º del mismo artículo, respecto de los informes de evaluación de las propuestas, estableció que los mismos “[…] permanecerán en la secretaría de la entidad por un término de cinco (5) días hábiles para que los oferentes presenten las observaciones que estimen pertinentes. […]”.</w:t>
      </w:r>
    </w:p>
    <w:p w14:paraId="43A3BCF3" w14:textId="77777777" w:rsidR="00A50145" w:rsidRPr="00A50145" w:rsidRDefault="00A50145" w:rsidP="00A50145">
      <w:pPr>
        <w:spacing w:before="120" w:line="276" w:lineRule="auto"/>
        <w:ind w:firstLine="708"/>
        <w:jc w:val="both"/>
        <w:rPr>
          <w:rFonts w:ascii="Century Gothic" w:hAnsi="Century Gothic" w:cs="Arial"/>
          <w:color w:val="000000" w:themeColor="text1"/>
        </w:rPr>
      </w:pPr>
      <w:r w:rsidRPr="00A50145">
        <w:rPr>
          <w:rFonts w:ascii="Century Gothic" w:hAnsi="Century Gothic" w:cs="Arial"/>
          <w:color w:val="000000" w:themeColor="text1"/>
        </w:rPr>
        <w:t>Las disposiciones del ordenamiento jurídico mencionadas fueron objeto de desarrollo en el Decreto 1082 de 2015; cuerpo normativo de carácter reglamentario en el cual se establecieron, en principio, los plazos dentro de los cuales los interesados podrán realizar observaciones en la actuaciones adelantadas a instancia de las entidades estatales en sus procesos de contratación, plazos que podrán ser ampliados, mas no restringidos por aquellas, dependiendo de la modalidad o mecanismo de selección del contratista usado en el respectivo procedimiento contractual. En cuanto a la importancia del principio de transparencia, que rige las actuaciones contractuales de las entidades estatales, la Sección Tercera del Consejo de Estado señaló</w:t>
      </w:r>
      <w:r w:rsidRPr="00910B9D">
        <w:rPr>
          <w:rStyle w:val="Refdenotaalpie"/>
          <w:rFonts w:ascii="Century Gothic" w:hAnsi="Century Gothic" w:cs="Arial"/>
          <w:color w:val="000000" w:themeColor="text1"/>
        </w:rPr>
        <w:footnoteReference w:id="17"/>
      </w:r>
      <w:r w:rsidRPr="00A50145">
        <w:rPr>
          <w:rFonts w:ascii="Century Gothic" w:hAnsi="Century Gothic" w:cs="Arial"/>
          <w:color w:val="000000" w:themeColor="text1"/>
        </w:rPr>
        <w:t>:</w:t>
      </w:r>
    </w:p>
    <w:p w14:paraId="7B94991B" w14:textId="77777777" w:rsidR="00A50145" w:rsidRPr="00910B9D" w:rsidRDefault="00A50145" w:rsidP="00A50145">
      <w:pPr>
        <w:pStyle w:val="Prrafodelista"/>
        <w:ind w:left="463" w:right="709"/>
        <w:jc w:val="both"/>
        <w:rPr>
          <w:rFonts w:ascii="Century Gothic" w:hAnsi="Century Gothic" w:cs="Arial"/>
          <w:color w:val="000000" w:themeColor="text1"/>
          <w:sz w:val="21"/>
          <w:szCs w:val="21"/>
        </w:rPr>
      </w:pPr>
      <w:r>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 xml:space="preserve">El principio de transparencia persigue la garantía que en la formación del contrato, con plena publicidad de las bases del proceso de selección y en igualdad de oportunidades de quienes en él participen, se escoja la oferta más favorable para los intereses de la administración, de suerte que la actuación administrativa de la contratación sea imparcial, alejada de todo favoritismo y, por ende, extraña a cualquier factor político, económico o familiar. </w:t>
      </w:r>
    </w:p>
    <w:p w14:paraId="0EC2910E" w14:textId="77777777" w:rsidR="00A50145" w:rsidRPr="00910B9D" w:rsidRDefault="00A50145" w:rsidP="00A50145">
      <w:pPr>
        <w:pStyle w:val="Prrafodelista"/>
        <w:ind w:left="463" w:right="709"/>
        <w:jc w:val="both"/>
        <w:rPr>
          <w:rFonts w:ascii="Century Gothic" w:hAnsi="Century Gothic" w:cs="Arial"/>
          <w:color w:val="000000" w:themeColor="text1"/>
          <w:sz w:val="21"/>
          <w:szCs w:val="21"/>
        </w:rPr>
      </w:pPr>
    </w:p>
    <w:p w14:paraId="59437D75" w14:textId="77777777" w:rsidR="00A50145" w:rsidRPr="00910B9D" w:rsidRDefault="00A50145" w:rsidP="00A50145">
      <w:pPr>
        <w:pStyle w:val="Prrafodelista"/>
        <w:ind w:left="463" w:right="709"/>
        <w:jc w:val="both"/>
        <w:rPr>
          <w:rFonts w:ascii="Century Gothic" w:hAnsi="Century Gothic" w:cs="Arial"/>
          <w:color w:val="000000" w:themeColor="text1"/>
          <w:sz w:val="21"/>
          <w:szCs w:val="21"/>
        </w:rPr>
      </w:pPr>
      <w:r w:rsidRPr="00910B9D">
        <w:rPr>
          <w:rFonts w:ascii="Century Gothic" w:hAnsi="Century Gothic" w:cs="Arial"/>
          <w:color w:val="000000" w:themeColor="text1"/>
          <w:sz w:val="21"/>
          <w:szCs w:val="21"/>
        </w:rPr>
        <w:t>En palabras de la Corte Suprema de Justicia:</w:t>
      </w:r>
    </w:p>
    <w:p w14:paraId="0D30D443" w14:textId="77777777" w:rsidR="00A50145" w:rsidRPr="00910B9D" w:rsidRDefault="00A50145" w:rsidP="00A50145">
      <w:pPr>
        <w:pStyle w:val="Prrafodelista"/>
        <w:ind w:left="463" w:right="709"/>
        <w:jc w:val="both"/>
        <w:rPr>
          <w:rFonts w:ascii="Century Gothic" w:hAnsi="Century Gothic" w:cs="Arial"/>
          <w:color w:val="000000" w:themeColor="text1"/>
          <w:sz w:val="21"/>
          <w:szCs w:val="21"/>
        </w:rPr>
      </w:pPr>
    </w:p>
    <w:p w14:paraId="254BD141" w14:textId="77777777" w:rsidR="00A50145" w:rsidRPr="00910B9D" w:rsidRDefault="00A50145" w:rsidP="00A50145">
      <w:pPr>
        <w:pStyle w:val="Prrafodelista"/>
        <w:ind w:left="463" w:right="709"/>
        <w:jc w:val="both"/>
        <w:rPr>
          <w:rFonts w:ascii="Century Gothic" w:hAnsi="Century Gothic" w:cs="Arial"/>
          <w:color w:val="000000" w:themeColor="text1"/>
          <w:sz w:val="21"/>
          <w:szCs w:val="21"/>
        </w:rPr>
      </w:pPr>
      <w:r>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Mediante la transparencia se garantiza la igualdad y el ejercicio del poder con acatamiento de la imparcialidad y la publicidad. (…) Transparencia quiere decir claridad, diafanidad, nitidez, pureza, translucidez. Significa que algo debe ser visible, que puede verse, para evitar la oscuridad, la opacidad, lo turbio y lo nebuloso.  Así, la actuación administrativa contractual, debe ser perspicua, tersa y cristalina (…). Se trata de un postulado que pretende combatir la corrupción en la contratación estatal, que en sus grandes líneas desarrolla también los principios constitucionales de igualdad, moralidad, eficiencia, imparcialidad y publicidad aplicados a la función administrativa (art. 209. C.N)</w:t>
      </w:r>
      <w:r>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 xml:space="preserve">. </w:t>
      </w:r>
    </w:p>
    <w:p w14:paraId="68A765F4" w14:textId="77777777" w:rsidR="00A50145" w:rsidRPr="00A50145" w:rsidRDefault="00A50145" w:rsidP="00A50145">
      <w:pPr>
        <w:ind w:firstLine="463"/>
        <w:jc w:val="both"/>
        <w:rPr>
          <w:rFonts w:ascii="Century Gothic" w:hAnsi="Century Gothic" w:cs="Arial"/>
          <w:color w:val="000000" w:themeColor="text1"/>
          <w:sz w:val="21"/>
          <w:szCs w:val="21"/>
        </w:rPr>
      </w:pPr>
      <w:r w:rsidRPr="00A50145">
        <w:rPr>
          <w:rFonts w:ascii="Century Gothic" w:hAnsi="Century Gothic" w:cs="Arial"/>
          <w:color w:val="000000" w:themeColor="text1"/>
          <w:sz w:val="21"/>
          <w:szCs w:val="21"/>
        </w:rPr>
        <w:t xml:space="preserve">Por consiguiente, este principio aplicado a la contratación pública, excluye una actividad oculta, secreta, oscura y arbitraria en la actividad contractual y, al contrario, propende por una selección objetiva de la propuesta y del contratista del Estado para el logro de los fines de la contratación y la satisfacción de los intereses colectivos, en los términos del artículo 29 de la Ley 80 de 1993, en forma clara, limpia, pulcra, sana, ajena a consideraciones subjetivas, libre de presiones indebidas y en especial de cualquier sospecha de corrupción por parte de los administradores y de los particulares que participan en los procesos de selección contractual del Estado.  </w:t>
      </w:r>
    </w:p>
    <w:p w14:paraId="78FF3C72" w14:textId="77777777" w:rsidR="00A50145" w:rsidRPr="00A50145" w:rsidRDefault="00A50145" w:rsidP="00A50145">
      <w:pPr>
        <w:spacing w:line="276" w:lineRule="auto"/>
        <w:ind w:firstLine="463"/>
        <w:jc w:val="both"/>
        <w:rPr>
          <w:rFonts w:ascii="Century Gothic" w:hAnsi="Century Gothic" w:cs="Arial"/>
          <w:color w:val="000000" w:themeColor="text1"/>
        </w:rPr>
      </w:pPr>
      <w:r w:rsidRPr="00A50145">
        <w:rPr>
          <w:rFonts w:ascii="Century Gothic" w:hAnsi="Century Gothic" w:cs="Arial"/>
          <w:color w:val="000000" w:themeColor="text1"/>
        </w:rPr>
        <w:t>Conforme a lo expuesto, en virtud del principio de transparencia se garantiza la participación tanto de los interesados como de la ciudadanía en general</w:t>
      </w:r>
      <w:r w:rsidRPr="00910B9D">
        <w:rPr>
          <w:rStyle w:val="Refdenotaalpie"/>
          <w:rFonts w:ascii="Century Gothic" w:hAnsi="Century Gothic" w:cs="Arial"/>
          <w:color w:val="000000" w:themeColor="text1"/>
        </w:rPr>
        <w:footnoteReference w:id="18"/>
      </w:r>
      <w:r w:rsidRPr="00A50145">
        <w:rPr>
          <w:rFonts w:ascii="Century Gothic" w:hAnsi="Century Gothic" w:cs="Arial"/>
          <w:color w:val="000000" w:themeColor="text1"/>
        </w:rPr>
        <w:t>, en las actuaciones contractuales adelantadas por las entidades estatales, participación que se materializa en la oportunidad que se concede a aquellos para presentar observaciones en las distintas etapas o fases del proceso que culmina con la celebración del contrato estatal.</w:t>
      </w:r>
    </w:p>
    <w:p w14:paraId="74A5A964" w14:textId="4DBC6D97" w:rsidR="000674B8" w:rsidRPr="00910B9D" w:rsidRDefault="00A50145" w:rsidP="00A50145">
      <w:pPr>
        <w:spacing w:after="120" w:line="276" w:lineRule="auto"/>
        <w:ind w:firstLine="463"/>
        <w:jc w:val="both"/>
        <w:rPr>
          <w:rFonts w:ascii="Century Gothic" w:hAnsi="Century Gothic"/>
        </w:rPr>
      </w:pPr>
      <w:r w:rsidRPr="00A50145">
        <w:rPr>
          <w:rFonts w:ascii="Century Gothic" w:hAnsi="Century Gothic" w:cs="Arial"/>
          <w:color w:val="000000" w:themeColor="text1"/>
        </w:rPr>
        <w:t>Con el fin de responder a su pregunta, se deben distinguir las etapas o fases del proceso contractual, a efectos de establecer el término o plazo para presentar observaciones por parte de los interesados y el plazo para responderlas por parte de las entidades estatales</w:t>
      </w:r>
      <w:r>
        <w:rPr>
          <w:rFonts w:ascii="Century Gothic" w:hAnsi="Century Gothic" w:cs="Arial"/>
          <w:color w:val="000000" w:themeColor="text1"/>
        </w:rPr>
        <w:t>. Para ello, es necesario analizar el procedimiento de selección de l</w:t>
      </w:r>
      <w:r w:rsidR="000674B8" w:rsidRPr="00A50145">
        <w:rPr>
          <w:rFonts w:ascii="Century Gothic" w:hAnsi="Century Gothic"/>
        </w:rPr>
        <w:t>a licitación pública</w:t>
      </w:r>
      <w:r w:rsidR="000674B8" w:rsidRPr="00A50145">
        <w:rPr>
          <w:rStyle w:val="Refdenotaalpie"/>
          <w:rFonts w:ascii="Century Gothic" w:hAnsi="Century Gothic"/>
        </w:rPr>
        <w:footnoteReference w:id="19"/>
      </w:r>
      <w:r w:rsidR="000674B8" w:rsidRPr="00A50145">
        <w:rPr>
          <w:rFonts w:ascii="Century Gothic" w:hAnsi="Century Gothic"/>
        </w:rPr>
        <w:t>, procedimiento de selección que se estableció como regla general en el Estatuto</w:t>
      </w:r>
      <w:r w:rsidR="000674B8" w:rsidRPr="00910B9D">
        <w:rPr>
          <w:rFonts w:ascii="Century Gothic" w:hAnsi="Century Gothic"/>
        </w:rPr>
        <w:t xml:space="preserve"> General de la Contratación Estatal para la escogencia del contratista y en el que sus etapas se desarrollan mediante convocatoria pública en igualdad de condiciones, con libre concurrencia y orientadas a seleccionar objetivamente la oferta de bienes, obras o servicios más favorable para la entidad. Esta modalidad de selección se encuentra reglada por el artículo 30 de la Ley 80 de 1993, además de lo dispuesto en los artículos 2 y 5 de la Ley 1150 de 2007.</w:t>
      </w:r>
    </w:p>
    <w:p w14:paraId="126055B2" w14:textId="76F81497" w:rsidR="000674B8" w:rsidRPr="00910B9D" w:rsidRDefault="004E77C0" w:rsidP="000674B8">
      <w:pPr>
        <w:pStyle w:val="Textoindependiente"/>
        <w:spacing w:before="93" w:after="240" w:line="276" w:lineRule="auto"/>
        <w:ind w:right="113" w:firstLine="708"/>
        <w:jc w:val="both"/>
        <w:rPr>
          <w:rFonts w:ascii="Century Gothic" w:hAnsi="Century Gothic"/>
        </w:rPr>
      </w:pPr>
      <w:r>
        <w:rPr>
          <w:rFonts w:ascii="Century Gothic" w:hAnsi="Century Gothic"/>
        </w:rPr>
        <w:t xml:space="preserve">El </w:t>
      </w:r>
      <w:r w:rsidR="000674B8" w:rsidRPr="00910B9D">
        <w:rPr>
          <w:rFonts w:ascii="Century Gothic" w:hAnsi="Century Gothic"/>
        </w:rPr>
        <w:t>artículo 1° de la Ley 1882 de 2018 adicionó dos parágrafos al artículo 30 de la Ley 80 de 1993 en el siguiente sentido:</w:t>
      </w:r>
    </w:p>
    <w:p w14:paraId="14C44497" w14:textId="77777777" w:rsidR="000674B8" w:rsidRPr="00910B9D" w:rsidRDefault="000674B8" w:rsidP="000674B8">
      <w:pPr>
        <w:pStyle w:val="Textoindependiente"/>
        <w:spacing w:after="240"/>
        <w:ind w:left="709" w:right="709"/>
        <w:rPr>
          <w:rFonts w:ascii="Century Gothic" w:hAnsi="Century Gothic"/>
          <w:sz w:val="21"/>
          <w:szCs w:val="21"/>
        </w:rPr>
      </w:pPr>
      <w:r w:rsidRPr="00910B9D">
        <w:rPr>
          <w:rFonts w:ascii="Century Gothic" w:hAnsi="Century Gothic"/>
          <w:sz w:val="21"/>
          <w:szCs w:val="21"/>
        </w:rPr>
        <w:t>“Artículo 1. Adiciónense los parágrafos 2° y 3° del artículo 30 de la Ley 80 de 1993:</w:t>
      </w:r>
    </w:p>
    <w:p w14:paraId="48880DCD" w14:textId="77777777" w:rsidR="000674B8" w:rsidRPr="00910B9D" w:rsidRDefault="000674B8" w:rsidP="000674B8">
      <w:pPr>
        <w:pStyle w:val="Textoindependiente"/>
        <w:ind w:left="709" w:right="709"/>
        <w:rPr>
          <w:rFonts w:ascii="Century Gothic" w:hAnsi="Century Gothic"/>
          <w:sz w:val="21"/>
          <w:szCs w:val="21"/>
        </w:rPr>
      </w:pPr>
      <w:r w:rsidRPr="00910B9D">
        <w:rPr>
          <w:rFonts w:ascii="Century Gothic" w:hAnsi="Century Gothic"/>
          <w:sz w:val="21"/>
          <w:szCs w:val="21"/>
        </w:rPr>
        <w:t>(…)</w:t>
      </w:r>
    </w:p>
    <w:p w14:paraId="26864D1D" w14:textId="77777777" w:rsidR="000674B8" w:rsidRPr="00910B9D" w:rsidRDefault="000674B8" w:rsidP="000674B8">
      <w:pPr>
        <w:pStyle w:val="Textoindependiente"/>
        <w:ind w:left="709" w:right="709"/>
        <w:jc w:val="both"/>
        <w:rPr>
          <w:rFonts w:ascii="Century Gothic" w:hAnsi="Century Gothic"/>
          <w:sz w:val="21"/>
          <w:szCs w:val="21"/>
        </w:rPr>
      </w:pPr>
      <w:r w:rsidRPr="00910B9D">
        <w:rPr>
          <w:rFonts w:ascii="Century Gothic" w:hAnsi="Century Gothic"/>
          <w:sz w:val="21"/>
          <w:szCs w:val="21"/>
        </w:rPr>
        <w:t xml:space="preserve">Parágrafo 2°. En los procesos de licitación pública para seleccionar contratistas de obra, </w:t>
      </w:r>
      <w:r w:rsidRPr="00910B9D">
        <w:rPr>
          <w:rFonts w:ascii="Century Gothic" w:hAnsi="Century Gothic"/>
          <w:i/>
          <w:iCs/>
          <w:sz w:val="21"/>
          <w:szCs w:val="21"/>
        </w:rPr>
        <w:t>la oferta estará conformada por dos sobres</w:t>
      </w:r>
      <w:r w:rsidRPr="00910B9D">
        <w:rPr>
          <w:rFonts w:ascii="Century Gothic" w:hAnsi="Century Gothic"/>
          <w:sz w:val="21"/>
          <w:szCs w:val="21"/>
        </w:rPr>
        <w:t xml:space="preserve">, un primer sobre en el cual se deberán incluir los documentos relacionados con el cumplimiento de los requisitos habilitantes, así como los requisitos y documentos a los que se les asigne </w:t>
      </w:r>
      <w:proofErr w:type="gramStart"/>
      <w:r w:rsidRPr="00910B9D">
        <w:rPr>
          <w:rFonts w:ascii="Century Gothic" w:hAnsi="Century Gothic"/>
          <w:sz w:val="21"/>
          <w:szCs w:val="21"/>
        </w:rPr>
        <w:t>puntaje diferentes</w:t>
      </w:r>
      <w:proofErr w:type="gramEnd"/>
      <w:r w:rsidRPr="00910B9D">
        <w:rPr>
          <w:rFonts w:ascii="Century Gothic" w:hAnsi="Century Gothic"/>
          <w:sz w:val="21"/>
          <w:szCs w:val="21"/>
        </w:rPr>
        <w:t xml:space="preserve"> a la oferta económica.</w:t>
      </w:r>
    </w:p>
    <w:p w14:paraId="09490AA2" w14:textId="77777777" w:rsidR="000674B8" w:rsidRPr="00910B9D" w:rsidRDefault="000674B8" w:rsidP="000674B8">
      <w:pPr>
        <w:pStyle w:val="Textoindependiente"/>
        <w:ind w:left="709" w:right="709"/>
        <w:rPr>
          <w:rFonts w:ascii="Century Gothic" w:hAnsi="Century Gothic"/>
          <w:sz w:val="21"/>
          <w:szCs w:val="21"/>
        </w:rPr>
      </w:pPr>
    </w:p>
    <w:p w14:paraId="5229AC10" w14:textId="77777777" w:rsidR="000674B8" w:rsidRPr="00910B9D" w:rsidRDefault="000674B8" w:rsidP="000674B8">
      <w:pPr>
        <w:pStyle w:val="Textoindependiente"/>
        <w:ind w:left="709" w:right="709"/>
        <w:jc w:val="both"/>
        <w:rPr>
          <w:rFonts w:ascii="Century Gothic" w:hAnsi="Century Gothic"/>
          <w:sz w:val="21"/>
          <w:szCs w:val="21"/>
        </w:rPr>
      </w:pPr>
      <w:r w:rsidRPr="00910B9D">
        <w:rPr>
          <w:rFonts w:ascii="Century Gothic" w:hAnsi="Century Gothic"/>
          <w:sz w:val="21"/>
          <w:szCs w:val="21"/>
        </w:rPr>
        <w:t>El segundo sobre deberá incluir únicamente la propuesta económica de conformidad con todos los requisitos exigidos en el pliego de condiciones.</w:t>
      </w:r>
    </w:p>
    <w:p w14:paraId="23BAB908" w14:textId="77777777" w:rsidR="000674B8" w:rsidRPr="00910B9D" w:rsidRDefault="000674B8" w:rsidP="000674B8">
      <w:pPr>
        <w:pStyle w:val="Textoindependiente"/>
        <w:spacing w:before="7"/>
        <w:ind w:left="709" w:right="709"/>
        <w:rPr>
          <w:rFonts w:ascii="Century Gothic" w:hAnsi="Century Gothic"/>
          <w:sz w:val="21"/>
          <w:szCs w:val="21"/>
        </w:rPr>
      </w:pPr>
    </w:p>
    <w:p w14:paraId="4D592BDE" w14:textId="77777777" w:rsidR="000674B8" w:rsidRPr="00910B9D" w:rsidRDefault="000674B8" w:rsidP="000674B8">
      <w:pPr>
        <w:pStyle w:val="Textoindependiente"/>
        <w:spacing w:before="1"/>
        <w:ind w:left="709" w:right="709"/>
        <w:jc w:val="both"/>
        <w:rPr>
          <w:rFonts w:ascii="Century Gothic" w:hAnsi="Century Gothic"/>
          <w:sz w:val="21"/>
          <w:szCs w:val="21"/>
        </w:rPr>
      </w:pPr>
      <w:r w:rsidRPr="00910B9D">
        <w:rPr>
          <w:rFonts w:ascii="Century Gothic" w:hAnsi="Century Gothic"/>
          <w:sz w:val="21"/>
          <w:szCs w:val="21"/>
        </w:rPr>
        <w:t>Parágrafo 3°. En los procesos de licitación pública para seleccionar contratistas de obra pública, las entidades estatales deberán publicar el informe de evaluación relacionado con los documentos de los requisitos habilitantes y los requisitos que sean objeto de puntuación diferente a la oferta económica incluida en el primer sobre, dentro del plazo establecido en el pliego de condiciones.</w:t>
      </w:r>
    </w:p>
    <w:p w14:paraId="70F4B3D2" w14:textId="77777777" w:rsidR="000674B8" w:rsidRPr="00910B9D" w:rsidRDefault="000674B8" w:rsidP="000674B8">
      <w:pPr>
        <w:pStyle w:val="Textoindependiente"/>
        <w:spacing w:before="11"/>
        <w:ind w:left="709" w:right="709"/>
        <w:rPr>
          <w:rFonts w:ascii="Century Gothic" w:hAnsi="Century Gothic"/>
          <w:sz w:val="21"/>
          <w:szCs w:val="21"/>
        </w:rPr>
      </w:pPr>
    </w:p>
    <w:p w14:paraId="76A366C3" w14:textId="77777777" w:rsidR="000674B8" w:rsidRPr="00910B9D" w:rsidRDefault="000674B8" w:rsidP="000674B8">
      <w:pPr>
        <w:pStyle w:val="Textoindependiente"/>
        <w:ind w:left="709" w:right="709"/>
        <w:jc w:val="both"/>
        <w:rPr>
          <w:rFonts w:ascii="Century Gothic" w:hAnsi="Century Gothic"/>
          <w:sz w:val="21"/>
          <w:szCs w:val="21"/>
        </w:rPr>
      </w:pPr>
      <w:r w:rsidRPr="00910B9D">
        <w:rPr>
          <w:rFonts w:ascii="Century Gothic" w:hAnsi="Century Gothic"/>
          <w:sz w:val="21"/>
          <w:szCs w:val="21"/>
        </w:rPr>
        <w:t>En estos procesos el informe permanecerá publicado en el Secop durante cinco (5) días hábiles, término hasta el cual los proponentes podrán hacer las observaciones que consideren y entregar los documentos y la información solicitada por la entidad estatal. Al finalizar este plazo, la entidad estatal se pronunciará sobre las observaciones y publicará el informe final de evaluación de los requisitos habilitantes y los requisitos objeto de puntuación distintos a la oferta</w:t>
      </w:r>
      <w:r w:rsidRPr="00910B9D">
        <w:rPr>
          <w:rFonts w:ascii="Century Gothic" w:hAnsi="Century Gothic"/>
          <w:spacing w:val="-2"/>
          <w:sz w:val="21"/>
          <w:szCs w:val="21"/>
        </w:rPr>
        <w:t xml:space="preserve"> </w:t>
      </w:r>
      <w:r w:rsidRPr="00910B9D">
        <w:rPr>
          <w:rFonts w:ascii="Century Gothic" w:hAnsi="Century Gothic"/>
          <w:sz w:val="21"/>
          <w:szCs w:val="21"/>
        </w:rPr>
        <w:t>económica.</w:t>
      </w:r>
    </w:p>
    <w:p w14:paraId="75AA4132" w14:textId="77777777" w:rsidR="000674B8" w:rsidRPr="00910B9D" w:rsidRDefault="000674B8" w:rsidP="000674B8">
      <w:pPr>
        <w:pStyle w:val="Textoindependiente"/>
        <w:spacing w:before="1"/>
        <w:ind w:left="709" w:right="709"/>
        <w:rPr>
          <w:rFonts w:ascii="Century Gothic" w:hAnsi="Century Gothic"/>
          <w:sz w:val="21"/>
          <w:szCs w:val="21"/>
        </w:rPr>
      </w:pPr>
    </w:p>
    <w:p w14:paraId="1F940CD5" w14:textId="77777777" w:rsidR="000674B8" w:rsidRPr="00910B9D" w:rsidRDefault="000674B8" w:rsidP="000674B8">
      <w:pPr>
        <w:pStyle w:val="Textoindependiente"/>
        <w:ind w:left="709" w:right="709"/>
        <w:jc w:val="both"/>
        <w:rPr>
          <w:rFonts w:ascii="Century Gothic" w:hAnsi="Century Gothic"/>
          <w:sz w:val="21"/>
          <w:szCs w:val="21"/>
        </w:rPr>
      </w:pPr>
      <w:r w:rsidRPr="00910B9D">
        <w:rPr>
          <w:rFonts w:ascii="Century Gothic" w:hAnsi="Century Gothic"/>
          <w:sz w:val="21"/>
          <w:szCs w:val="21"/>
        </w:rPr>
        <w:t xml:space="preserve">Para estos procesos, </w:t>
      </w:r>
      <w:r w:rsidRPr="00910B9D">
        <w:rPr>
          <w:rFonts w:ascii="Century Gothic" w:hAnsi="Century Gothic"/>
          <w:i/>
          <w:iCs/>
          <w:sz w:val="21"/>
          <w:szCs w:val="21"/>
        </w:rPr>
        <w:t>el segundo sobre, que contiene la oferta económica, se mantendrá cerrado hasta la audiencia efectiva de adjudicación</w:t>
      </w:r>
      <w:r w:rsidRPr="00910B9D">
        <w:rPr>
          <w:rFonts w:ascii="Century Gothic" w:hAnsi="Century Gothic"/>
          <w:sz w:val="21"/>
          <w:szCs w:val="21"/>
        </w:rPr>
        <w:t>, momento en el cual se podrán hacer observaciones al informe de evaluación. las cuales se decidirán en la misma. Durante esta audiencia se dará apertura al sobre, se evaluará la oferta económica a través del mecanismo escogido mediante el método aleatorio que se establezca en los pliegos de condiciones, corriendo traslado a los proponentes habilitados en la misma diligencia solo para la revisión del aspecto económico y se establecerá el orden de elegibilidad.” (énfasis fuera de texto).</w:t>
      </w:r>
    </w:p>
    <w:p w14:paraId="0DBD0FFD" w14:textId="77777777" w:rsidR="000674B8" w:rsidRPr="00910B9D" w:rsidRDefault="000674B8" w:rsidP="000674B8">
      <w:pPr>
        <w:pStyle w:val="Textoindependiente"/>
        <w:ind w:left="709" w:right="709"/>
        <w:jc w:val="both"/>
        <w:rPr>
          <w:rFonts w:ascii="Century Gothic" w:hAnsi="Century Gothic"/>
          <w:sz w:val="21"/>
          <w:szCs w:val="21"/>
        </w:rPr>
      </w:pPr>
    </w:p>
    <w:p w14:paraId="0E5ED6FE" w14:textId="0BCC26F1" w:rsidR="000674B8" w:rsidRPr="00910B9D" w:rsidRDefault="000674B8" w:rsidP="000674B8">
      <w:pPr>
        <w:pStyle w:val="Textoindependiente"/>
        <w:spacing w:after="240" w:line="276" w:lineRule="auto"/>
        <w:ind w:firstLine="708"/>
        <w:jc w:val="both"/>
        <w:rPr>
          <w:rFonts w:ascii="Century Gothic" w:hAnsi="Century Gothic"/>
        </w:rPr>
      </w:pPr>
      <w:r w:rsidRPr="00910B9D">
        <w:rPr>
          <w:rFonts w:ascii="Century Gothic" w:hAnsi="Century Gothic"/>
        </w:rPr>
        <w:t xml:space="preserve">El </w:t>
      </w:r>
      <w:r w:rsidR="00797133">
        <w:rPr>
          <w:rFonts w:ascii="Century Gothic" w:hAnsi="Century Gothic"/>
        </w:rPr>
        <w:t>segundo</w:t>
      </w:r>
      <w:r w:rsidRPr="00910B9D">
        <w:rPr>
          <w:rFonts w:ascii="Century Gothic" w:hAnsi="Century Gothic"/>
        </w:rPr>
        <w:t xml:space="preserve"> parágrafo adicionado </w:t>
      </w:r>
      <w:r w:rsidR="00797133">
        <w:rPr>
          <w:rFonts w:ascii="Century Gothic" w:hAnsi="Century Gothic"/>
        </w:rPr>
        <w:t>dispuso</w:t>
      </w:r>
      <w:r w:rsidRPr="00910B9D">
        <w:rPr>
          <w:rFonts w:ascii="Century Gothic" w:hAnsi="Century Gothic"/>
        </w:rPr>
        <w:t xml:space="preserve"> el proceder de la </w:t>
      </w:r>
      <w:r w:rsidR="00797133">
        <w:rPr>
          <w:rFonts w:ascii="Century Gothic" w:hAnsi="Century Gothic"/>
        </w:rPr>
        <w:t>E</w:t>
      </w:r>
      <w:r w:rsidRPr="00910B9D">
        <w:rPr>
          <w:rFonts w:ascii="Century Gothic" w:hAnsi="Century Gothic"/>
        </w:rPr>
        <w:t xml:space="preserve">ntidad </w:t>
      </w:r>
      <w:r w:rsidR="00797133">
        <w:rPr>
          <w:rFonts w:ascii="Century Gothic" w:hAnsi="Century Gothic"/>
        </w:rPr>
        <w:t>Estatal</w:t>
      </w:r>
      <w:r w:rsidR="00797133" w:rsidRPr="00910B9D">
        <w:rPr>
          <w:rFonts w:ascii="Century Gothic" w:hAnsi="Century Gothic"/>
        </w:rPr>
        <w:t xml:space="preserve"> al</w:t>
      </w:r>
      <w:r w:rsidRPr="00910B9D">
        <w:rPr>
          <w:rFonts w:ascii="Century Gothic" w:hAnsi="Century Gothic"/>
        </w:rPr>
        <w:t xml:space="preserve"> </w:t>
      </w:r>
      <w:r w:rsidR="00797133">
        <w:rPr>
          <w:rFonts w:ascii="Century Gothic" w:hAnsi="Century Gothic"/>
        </w:rPr>
        <w:t xml:space="preserve">momento de </w:t>
      </w:r>
      <w:r w:rsidRPr="00910B9D">
        <w:rPr>
          <w:rFonts w:ascii="Century Gothic" w:hAnsi="Century Gothic"/>
        </w:rPr>
        <w:t>evaluar las ofertas presentadas en los procesos de licitación pública para seleccionar contratistas de obra, de la siguiente manera:</w:t>
      </w:r>
    </w:p>
    <w:p w14:paraId="676A930E" w14:textId="77777777" w:rsidR="000674B8" w:rsidRPr="00910B9D" w:rsidRDefault="000674B8" w:rsidP="000674B8">
      <w:pPr>
        <w:pStyle w:val="Prrafodelista"/>
        <w:widowControl w:val="0"/>
        <w:numPr>
          <w:ilvl w:val="2"/>
          <w:numId w:val="7"/>
        </w:numPr>
        <w:tabs>
          <w:tab w:val="left" w:pos="941"/>
        </w:tabs>
        <w:autoSpaceDE w:val="0"/>
        <w:autoSpaceDN w:val="0"/>
        <w:spacing w:line="276" w:lineRule="auto"/>
        <w:contextualSpacing w:val="0"/>
        <w:jc w:val="both"/>
        <w:rPr>
          <w:rFonts w:ascii="Century Gothic" w:hAnsi="Century Gothic"/>
        </w:rPr>
      </w:pPr>
      <w:r w:rsidRPr="00910B9D">
        <w:rPr>
          <w:rFonts w:ascii="Century Gothic" w:hAnsi="Century Gothic"/>
        </w:rPr>
        <w:t>Primero se evalúa el contenido del primer sobre -requisitos habilitantes de los oferentes y requisitos de la propuesta que sean objeto de puntuación, distintos a la oferta económica- y se publica el informe de evaluación dentro del plazo previsto en el pliego de</w:t>
      </w:r>
      <w:r w:rsidRPr="00910B9D">
        <w:rPr>
          <w:rFonts w:ascii="Century Gothic" w:hAnsi="Century Gothic"/>
          <w:spacing w:val="-4"/>
        </w:rPr>
        <w:t xml:space="preserve"> </w:t>
      </w:r>
      <w:r w:rsidRPr="00910B9D">
        <w:rPr>
          <w:rFonts w:ascii="Century Gothic" w:hAnsi="Century Gothic"/>
        </w:rPr>
        <w:t>condiciones.</w:t>
      </w:r>
    </w:p>
    <w:p w14:paraId="7E98768B" w14:textId="77777777" w:rsidR="000674B8" w:rsidRPr="00910B9D" w:rsidRDefault="000674B8" w:rsidP="000674B8">
      <w:pPr>
        <w:pStyle w:val="Prrafodelista"/>
        <w:widowControl w:val="0"/>
        <w:numPr>
          <w:ilvl w:val="2"/>
          <w:numId w:val="7"/>
        </w:numPr>
        <w:tabs>
          <w:tab w:val="left" w:pos="941"/>
        </w:tabs>
        <w:autoSpaceDE w:val="0"/>
        <w:autoSpaceDN w:val="0"/>
        <w:spacing w:line="276" w:lineRule="auto"/>
        <w:contextualSpacing w:val="0"/>
        <w:jc w:val="both"/>
        <w:rPr>
          <w:rFonts w:ascii="Century Gothic" w:hAnsi="Century Gothic"/>
        </w:rPr>
      </w:pPr>
      <w:r w:rsidRPr="00910B9D">
        <w:rPr>
          <w:rFonts w:ascii="Century Gothic" w:hAnsi="Century Gothic"/>
        </w:rPr>
        <w:t>El informe de evaluación permanecerá publicado por 5 días hábiles, término que sirve para presentar observaciones y entregar documentos requeridos por la</w:t>
      </w:r>
      <w:r w:rsidRPr="00910B9D">
        <w:rPr>
          <w:rFonts w:ascii="Century Gothic" w:hAnsi="Century Gothic"/>
          <w:spacing w:val="-4"/>
        </w:rPr>
        <w:t xml:space="preserve"> </w:t>
      </w:r>
      <w:r w:rsidRPr="00910B9D">
        <w:rPr>
          <w:rFonts w:ascii="Century Gothic" w:hAnsi="Century Gothic"/>
        </w:rPr>
        <w:t>entidad.</w:t>
      </w:r>
    </w:p>
    <w:p w14:paraId="3A08B95E" w14:textId="77777777" w:rsidR="000674B8" w:rsidRPr="00910B9D" w:rsidRDefault="000674B8" w:rsidP="000674B8">
      <w:pPr>
        <w:pStyle w:val="Prrafodelista"/>
        <w:widowControl w:val="0"/>
        <w:numPr>
          <w:ilvl w:val="2"/>
          <w:numId w:val="7"/>
        </w:numPr>
        <w:tabs>
          <w:tab w:val="left" w:pos="941"/>
        </w:tabs>
        <w:autoSpaceDE w:val="0"/>
        <w:autoSpaceDN w:val="0"/>
        <w:spacing w:line="276" w:lineRule="auto"/>
        <w:contextualSpacing w:val="0"/>
        <w:jc w:val="both"/>
        <w:rPr>
          <w:rFonts w:ascii="Century Gothic" w:hAnsi="Century Gothic"/>
        </w:rPr>
      </w:pPr>
      <w:r w:rsidRPr="00910B9D">
        <w:rPr>
          <w:rFonts w:ascii="Century Gothic" w:hAnsi="Century Gothic"/>
        </w:rPr>
        <w:t>Vencido el término anterior, la entidad publicará el informe final de evaluación del primer sobre de las</w:t>
      </w:r>
      <w:r w:rsidRPr="00910B9D">
        <w:rPr>
          <w:rFonts w:ascii="Century Gothic" w:hAnsi="Century Gothic"/>
          <w:spacing w:val="-7"/>
        </w:rPr>
        <w:t xml:space="preserve"> </w:t>
      </w:r>
      <w:r w:rsidRPr="00910B9D">
        <w:rPr>
          <w:rFonts w:ascii="Century Gothic" w:hAnsi="Century Gothic"/>
        </w:rPr>
        <w:t>ofertas.</w:t>
      </w:r>
    </w:p>
    <w:p w14:paraId="7BBC2330" w14:textId="77777777" w:rsidR="000674B8" w:rsidRPr="00910B9D" w:rsidRDefault="000674B8" w:rsidP="000674B8">
      <w:pPr>
        <w:pStyle w:val="Prrafodelista"/>
        <w:widowControl w:val="0"/>
        <w:numPr>
          <w:ilvl w:val="2"/>
          <w:numId w:val="7"/>
        </w:numPr>
        <w:tabs>
          <w:tab w:val="left" w:pos="941"/>
        </w:tabs>
        <w:autoSpaceDE w:val="0"/>
        <w:autoSpaceDN w:val="0"/>
        <w:spacing w:before="1" w:line="276" w:lineRule="auto"/>
        <w:contextualSpacing w:val="0"/>
        <w:jc w:val="both"/>
        <w:rPr>
          <w:rFonts w:ascii="Century Gothic" w:hAnsi="Century Gothic"/>
        </w:rPr>
      </w:pPr>
      <w:r w:rsidRPr="00910B9D">
        <w:rPr>
          <w:rFonts w:ascii="Century Gothic" w:hAnsi="Century Gothic"/>
        </w:rPr>
        <w:t>Luego vendrá la realización de la audiencia pública de adjudicación, escenario que también admite observaciones al informe de evaluación que deberán decidirse en la misma</w:t>
      </w:r>
      <w:r w:rsidRPr="00910B9D">
        <w:rPr>
          <w:rFonts w:ascii="Century Gothic" w:hAnsi="Century Gothic"/>
          <w:spacing w:val="-2"/>
        </w:rPr>
        <w:t xml:space="preserve"> </w:t>
      </w:r>
      <w:r w:rsidRPr="00910B9D">
        <w:rPr>
          <w:rFonts w:ascii="Century Gothic" w:hAnsi="Century Gothic"/>
        </w:rPr>
        <w:t>audiencia.</w:t>
      </w:r>
    </w:p>
    <w:p w14:paraId="7B9ED2AF" w14:textId="77777777" w:rsidR="000674B8" w:rsidRPr="00910B9D" w:rsidRDefault="000674B8" w:rsidP="000674B8">
      <w:pPr>
        <w:pStyle w:val="Prrafodelista"/>
        <w:widowControl w:val="0"/>
        <w:numPr>
          <w:ilvl w:val="2"/>
          <w:numId w:val="7"/>
        </w:numPr>
        <w:tabs>
          <w:tab w:val="left" w:pos="941"/>
        </w:tabs>
        <w:autoSpaceDE w:val="0"/>
        <w:autoSpaceDN w:val="0"/>
        <w:spacing w:line="276" w:lineRule="auto"/>
        <w:contextualSpacing w:val="0"/>
        <w:jc w:val="both"/>
        <w:rPr>
          <w:rFonts w:ascii="Century Gothic" w:hAnsi="Century Gothic"/>
        </w:rPr>
      </w:pPr>
      <w:r w:rsidRPr="00910B9D">
        <w:rPr>
          <w:rFonts w:ascii="Century Gothic" w:hAnsi="Century Gothic"/>
        </w:rPr>
        <w:t>Durante la audiencia se abrirá el segundo sobre de las ofertas económicas, se las evaluará según el método aleatorio estipulado en el pliego de condiciones y se correrá traslado del resultado a los proponentes habilitados sólo para revisiones del aspecto</w:t>
      </w:r>
      <w:r w:rsidRPr="00910B9D">
        <w:rPr>
          <w:rFonts w:ascii="Century Gothic" w:hAnsi="Century Gothic"/>
          <w:spacing w:val="-3"/>
        </w:rPr>
        <w:t xml:space="preserve"> </w:t>
      </w:r>
      <w:r w:rsidRPr="00910B9D">
        <w:rPr>
          <w:rFonts w:ascii="Century Gothic" w:hAnsi="Century Gothic"/>
        </w:rPr>
        <w:t>económico.</w:t>
      </w:r>
    </w:p>
    <w:p w14:paraId="1705734C" w14:textId="77777777" w:rsidR="000674B8" w:rsidRPr="00910B9D" w:rsidRDefault="000674B8" w:rsidP="003A5BBE">
      <w:pPr>
        <w:pStyle w:val="Prrafodelista"/>
        <w:widowControl w:val="0"/>
        <w:numPr>
          <w:ilvl w:val="2"/>
          <w:numId w:val="7"/>
        </w:numPr>
        <w:tabs>
          <w:tab w:val="left" w:pos="941"/>
        </w:tabs>
        <w:autoSpaceDE w:val="0"/>
        <w:autoSpaceDN w:val="0"/>
        <w:spacing w:after="0" w:line="240" w:lineRule="auto"/>
        <w:contextualSpacing w:val="0"/>
        <w:rPr>
          <w:rFonts w:ascii="Century Gothic" w:hAnsi="Century Gothic"/>
        </w:rPr>
      </w:pPr>
      <w:r w:rsidRPr="00910B9D">
        <w:rPr>
          <w:rFonts w:ascii="Century Gothic" w:hAnsi="Century Gothic"/>
        </w:rPr>
        <w:t>Finalmente se establecerá el orden de elegibilidad de las</w:t>
      </w:r>
      <w:r w:rsidRPr="00910B9D">
        <w:rPr>
          <w:rFonts w:ascii="Century Gothic" w:hAnsi="Century Gothic"/>
          <w:spacing w:val="-20"/>
        </w:rPr>
        <w:t xml:space="preserve"> </w:t>
      </w:r>
      <w:r w:rsidRPr="00910B9D">
        <w:rPr>
          <w:rFonts w:ascii="Century Gothic" w:hAnsi="Century Gothic"/>
        </w:rPr>
        <w:t>ofertas.</w:t>
      </w:r>
    </w:p>
    <w:p w14:paraId="782D3124" w14:textId="77777777" w:rsidR="003A5BBE" w:rsidRDefault="003A5BBE" w:rsidP="003A5BBE">
      <w:pPr>
        <w:spacing w:after="0" w:line="276" w:lineRule="auto"/>
        <w:ind w:left="220"/>
        <w:jc w:val="both"/>
        <w:rPr>
          <w:rFonts w:ascii="Century Gothic" w:hAnsi="Century Gothic"/>
        </w:rPr>
      </w:pPr>
    </w:p>
    <w:p w14:paraId="3B551BB9" w14:textId="4BB13131" w:rsidR="00A50145" w:rsidRPr="00A50145" w:rsidRDefault="003A5BBE" w:rsidP="00A50145">
      <w:pPr>
        <w:spacing w:before="120" w:after="120" w:line="276" w:lineRule="auto"/>
        <w:ind w:firstLine="580"/>
        <w:jc w:val="both"/>
        <w:rPr>
          <w:rStyle w:val="Textoennegrita"/>
          <w:rFonts w:ascii="Century Gothic" w:hAnsi="Century Gothic" w:cs="Arial"/>
          <w:b w:val="0"/>
          <w:bCs w:val="0"/>
          <w:color w:val="000000" w:themeColor="text1"/>
        </w:rPr>
      </w:pPr>
      <w:r w:rsidRPr="00A50145">
        <w:rPr>
          <w:rFonts w:ascii="Century Gothic" w:hAnsi="Century Gothic"/>
        </w:rPr>
        <w:t>En ese orden de ideas</w:t>
      </w:r>
      <w:r w:rsidRPr="00A50145">
        <w:rPr>
          <w:rFonts w:ascii="Century Gothic" w:hAnsi="Century Gothic"/>
          <w:b/>
          <w:bCs/>
        </w:rPr>
        <w:t xml:space="preserve">, </w:t>
      </w:r>
      <w:r w:rsidR="00A50145">
        <w:rPr>
          <w:rStyle w:val="Textoennegrita"/>
          <w:rFonts w:ascii="Century Gothic" w:hAnsi="Century Gothic" w:cs="Arial"/>
          <w:b w:val="0"/>
          <w:bCs w:val="0"/>
          <w:color w:val="000000" w:themeColor="text1"/>
        </w:rPr>
        <w:t>se puede observar que el</w:t>
      </w:r>
      <w:r w:rsidR="00A50145" w:rsidRPr="00A50145">
        <w:rPr>
          <w:rStyle w:val="Textoennegrita"/>
          <w:rFonts w:ascii="Century Gothic" w:hAnsi="Century Gothic" w:cs="Arial"/>
          <w:b w:val="0"/>
          <w:bCs w:val="0"/>
          <w:color w:val="000000" w:themeColor="text1"/>
        </w:rPr>
        <w:t xml:space="preserve"> propósito de la publicidad del informe de evaluación de las propuestas es que los oferentes puedan realizar las observaciones que a su juicio consideren pertinentes. No obstante, el ordenamiento jurídico no contempló de manera expresa un término para que las entidades estatales se pronuncien sobre las observaciones presentadas al informe de evaluación. Sin embargo, </w:t>
      </w:r>
      <w:r w:rsidR="00A50145">
        <w:rPr>
          <w:rStyle w:val="Textoennegrita"/>
          <w:rFonts w:ascii="Century Gothic" w:hAnsi="Century Gothic" w:cs="Arial"/>
          <w:b w:val="0"/>
          <w:bCs w:val="0"/>
          <w:color w:val="000000" w:themeColor="text1"/>
        </w:rPr>
        <w:t xml:space="preserve">de la norma en cita si se puede determinar </w:t>
      </w:r>
      <w:r w:rsidR="00A50145" w:rsidRPr="00A50145">
        <w:rPr>
          <w:rStyle w:val="Textoennegrita"/>
          <w:rFonts w:ascii="Century Gothic" w:hAnsi="Century Gothic" w:cs="Arial"/>
          <w:b w:val="0"/>
          <w:bCs w:val="0"/>
          <w:color w:val="000000" w:themeColor="text1"/>
        </w:rPr>
        <w:t xml:space="preserve">un momento límite para responder esas observaciones, el cual está determinado por el acto de adjudicación del respectivo contrato, es decir, la Entidad Estatal contratante antes de proferir su decisión de adjudicación del contrato, está en la obligación de responder las observaciones presentadas al informe de evaluación de las propuestas, como condición previa para la expedición del acto de adjudicación. </w:t>
      </w:r>
    </w:p>
    <w:p w14:paraId="6B79CFC1" w14:textId="4181DE50" w:rsidR="00A50145" w:rsidRPr="00A50145" w:rsidRDefault="00425983" w:rsidP="00A50145">
      <w:pPr>
        <w:spacing w:before="120" w:after="120" w:line="276" w:lineRule="auto"/>
        <w:ind w:firstLine="580"/>
        <w:jc w:val="both"/>
        <w:rPr>
          <w:rFonts w:ascii="Century Gothic" w:hAnsi="Century Gothic" w:cs="Arial"/>
          <w:color w:val="000000" w:themeColor="text1"/>
        </w:rPr>
      </w:pPr>
      <w:r>
        <w:rPr>
          <w:rStyle w:val="Textoennegrita"/>
          <w:rFonts w:ascii="Century Gothic" w:hAnsi="Century Gothic" w:cs="Arial"/>
          <w:b w:val="0"/>
          <w:bCs w:val="0"/>
          <w:color w:val="000000" w:themeColor="text1"/>
        </w:rPr>
        <w:t>De acuerdo a lo anterior</w:t>
      </w:r>
      <w:r w:rsidR="00A50145" w:rsidRPr="00A50145">
        <w:rPr>
          <w:rStyle w:val="Textoennegrita"/>
          <w:rFonts w:ascii="Century Gothic" w:hAnsi="Century Gothic" w:cs="Arial"/>
          <w:b w:val="0"/>
          <w:bCs w:val="0"/>
          <w:color w:val="000000" w:themeColor="text1"/>
        </w:rPr>
        <w:t xml:space="preserve">, en los procesos de licitación, la respuesta a las observaciones presentadas al informe de evaluación deberá efectuarse antes de </w:t>
      </w:r>
      <w:r w:rsidR="00A50145">
        <w:rPr>
          <w:rStyle w:val="Textoennegrita"/>
          <w:rFonts w:ascii="Century Gothic" w:hAnsi="Century Gothic" w:cs="Arial"/>
          <w:b w:val="0"/>
          <w:bCs w:val="0"/>
          <w:color w:val="000000" w:themeColor="text1"/>
        </w:rPr>
        <w:t xml:space="preserve">que se emita el respectivo acto administrativo de </w:t>
      </w:r>
      <w:r w:rsidR="00A50145" w:rsidRPr="00A50145">
        <w:rPr>
          <w:rStyle w:val="Textoennegrita"/>
          <w:rFonts w:ascii="Century Gothic" w:hAnsi="Century Gothic" w:cs="Arial"/>
          <w:b w:val="0"/>
          <w:bCs w:val="0"/>
          <w:color w:val="000000" w:themeColor="text1"/>
        </w:rPr>
        <w:t xml:space="preserve">adjudicación, puesto que </w:t>
      </w:r>
      <w:r w:rsidR="00A50145">
        <w:rPr>
          <w:rStyle w:val="Textoennegrita"/>
          <w:rFonts w:ascii="Century Gothic" w:hAnsi="Century Gothic" w:cs="Arial"/>
          <w:b w:val="0"/>
          <w:bCs w:val="0"/>
          <w:color w:val="000000" w:themeColor="text1"/>
        </w:rPr>
        <w:t>en la audiencia de adjudicación</w:t>
      </w:r>
      <w:r w:rsidR="00A50145" w:rsidRPr="00A50145">
        <w:rPr>
          <w:rStyle w:val="Textoennegrita"/>
          <w:rFonts w:ascii="Century Gothic" w:hAnsi="Century Gothic" w:cs="Arial"/>
          <w:b w:val="0"/>
          <w:bCs w:val="0"/>
          <w:color w:val="000000" w:themeColor="text1"/>
        </w:rPr>
        <w:t xml:space="preserve"> “</w:t>
      </w:r>
      <w:r w:rsidR="00A50145" w:rsidRPr="00A50145">
        <w:rPr>
          <w:rFonts w:ascii="Century Gothic" w:hAnsi="Century Gothic" w:cs="Arial"/>
          <w:color w:val="000000" w:themeColor="text1"/>
        </w:rPr>
        <w:t>los oferentes pueden pronunciarse sobre las respuestas dadas por la Entidad Estatal a las observaciones presentadas respecto del informe de evaluación”</w:t>
      </w:r>
      <w:r w:rsidR="00A50145" w:rsidRPr="00910B9D">
        <w:rPr>
          <w:rStyle w:val="Refdenotaalpie"/>
          <w:rFonts w:ascii="Century Gothic" w:hAnsi="Century Gothic" w:cs="Arial"/>
          <w:color w:val="000000" w:themeColor="text1"/>
        </w:rPr>
        <w:footnoteReference w:id="20"/>
      </w:r>
      <w:r w:rsidR="00A50145" w:rsidRPr="00A50145">
        <w:rPr>
          <w:rFonts w:ascii="Century Gothic" w:hAnsi="Century Gothic" w:cs="Arial"/>
          <w:color w:val="000000" w:themeColor="text1"/>
        </w:rPr>
        <w:t>.</w:t>
      </w:r>
    </w:p>
    <w:p w14:paraId="6912F1E4" w14:textId="2E3A6813" w:rsidR="00205F92" w:rsidRDefault="00A50145" w:rsidP="00A50145">
      <w:pPr>
        <w:spacing w:before="120" w:after="120" w:line="276" w:lineRule="auto"/>
        <w:ind w:firstLine="580"/>
        <w:jc w:val="both"/>
        <w:rPr>
          <w:rFonts w:ascii="Century Gothic" w:hAnsi="Century Gothic"/>
        </w:rPr>
      </w:pPr>
      <w:r>
        <w:rPr>
          <w:rFonts w:ascii="Century Gothic" w:hAnsi="Century Gothic" w:cs="Arial"/>
          <w:color w:val="000000" w:themeColor="text1"/>
        </w:rPr>
        <w:t xml:space="preserve">En ese sentido, en </w:t>
      </w:r>
      <w:r w:rsidRPr="00A50145">
        <w:rPr>
          <w:rFonts w:ascii="Century Gothic" w:hAnsi="Century Gothic" w:cs="Arial"/>
          <w:color w:val="000000" w:themeColor="text1"/>
        </w:rPr>
        <w:t xml:space="preserve">relación con los términos o plazos con que cuentan las entidades estatales para responder las observaciones y/o solicitudes de aclaraciones </w:t>
      </w:r>
      <w:r>
        <w:rPr>
          <w:rFonts w:ascii="Century Gothic" w:hAnsi="Century Gothic" w:cs="Arial"/>
          <w:color w:val="000000" w:themeColor="text1"/>
        </w:rPr>
        <w:t>presentadas en el</w:t>
      </w:r>
      <w:r w:rsidRPr="00A50145">
        <w:rPr>
          <w:rFonts w:ascii="Century Gothic" w:hAnsi="Century Gothic" w:cs="Arial"/>
          <w:color w:val="000000" w:themeColor="text1"/>
        </w:rPr>
        <w:t xml:space="preserve"> proceso de contratación, se precisa que si bien el ordenamiento jurídico no contempló de manera expresa ese plazo, el mismo se encuentra establecido de forma tácita, en tanto que, no es posible avanzar en las fases o etapas del proceso de contratación, si la Entidad Estatal, previamente, no ha resuelto las observaciones presentadas y/o solicitudes de aclaraciones realizadas</w:t>
      </w:r>
      <w:r>
        <w:rPr>
          <w:rFonts w:ascii="Century Gothic" w:hAnsi="Century Gothic" w:cs="Arial"/>
          <w:color w:val="000000" w:themeColor="text1"/>
        </w:rPr>
        <w:t xml:space="preserve"> en cada etapa, concluyéndose que en los procesos de licitación pública, </w:t>
      </w:r>
      <w:r w:rsidR="00A54AAB">
        <w:rPr>
          <w:rFonts w:ascii="Century Gothic" w:hAnsi="Century Gothic"/>
        </w:rPr>
        <w:t xml:space="preserve">una vez </w:t>
      </w:r>
      <w:r w:rsidR="0063796F">
        <w:rPr>
          <w:rFonts w:ascii="Century Gothic" w:hAnsi="Century Gothic"/>
        </w:rPr>
        <w:t xml:space="preserve">abierto </w:t>
      </w:r>
      <w:r w:rsidR="00A54AAB">
        <w:rPr>
          <w:rFonts w:ascii="Century Gothic" w:hAnsi="Century Gothic"/>
        </w:rPr>
        <w:t>el</w:t>
      </w:r>
      <w:r w:rsidR="003A5BBE" w:rsidRPr="00910B9D">
        <w:rPr>
          <w:rFonts w:ascii="Century Gothic" w:hAnsi="Century Gothic"/>
        </w:rPr>
        <w:t xml:space="preserve"> segundo sobre de las ofertas económicas, </w:t>
      </w:r>
      <w:r w:rsidR="00A54AAB">
        <w:rPr>
          <w:rFonts w:ascii="Century Gothic" w:hAnsi="Century Gothic"/>
        </w:rPr>
        <w:t>sólo</w:t>
      </w:r>
      <w:r w:rsidR="003A5BBE" w:rsidRPr="00910B9D">
        <w:rPr>
          <w:rFonts w:ascii="Century Gothic" w:hAnsi="Century Gothic"/>
        </w:rPr>
        <w:t xml:space="preserve"> se correrá traslado </w:t>
      </w:r>
      <w:r w:rsidR="007544C0">
        <w:rPr>
          <w:rFonts w:ascii="Century Gothic" w:hAnsi="Century Gothic"/>
        </w:rPr>
        <w:t xml:space="preserve">a los proponentes habilitados </w:t>
      </w:r>
      <w:r w:rsidR="003A5BBE" w:rsidRPr="00910B9D">
        <w:rPr>
          <w:rFonts w:ascii="Century Gothic" w:hAnsi="Century Gothic"/>
        </w:rPr>
        <w:t>sólo para revisiones del aspecto</w:t>
      </w:r>
      <w:r w:rsidR="003A5BBE" w:rsidRPr="00910B9D">
        <w:rPr>
          <w:rFonts w:ascii="Century Gothic" w:hAnsi="Century Gothic"/>
          <w:spacing w:val="-3"/>
        </w:rPr>
        <w:t xml:space="preserve"> </w:t>
      </w:r>
      <w:r w:rsidR="003A5BBE" w:rsidRPr="00910B9D">
        <w:rPr>
          <w:rFonts w:ascii="Century Gothic" w:hAnsi="Century Gothic"/>
        </w:rPr>
        <w:t>económico</w:t>
      </w:r>
      <w:r>
        <w:rPr>
          <w:rFonts w:ascii="Century Gothic" w:hAnsi="Century Gothic"/>
        </w:rPr>
        <w:t>, por lo que se deberá presentar y resolver observaciones exclusivamente de dicho tema.</w:t>
      </w:r>
    </w:p>
    <w:p w14:paraId="250CF113" w14:textId="11B75F8C" w:rsidR="00A50145" w:rsidRDefault="00A50145" w:rsidP="00A50145">
      <w:pPr>
        <w:spacing w:before="120" w:after="120" w:line="276" w:lineRule="auto"/>
        <w:ind w:firstLine="463"/>
        <w:jc w:val="both"/>
        <w:rPr>
          <w:rFonts w:ascii="Century Gothic" w:hAnsi="Century Gothic" w:cs="Arial"/>
          <w:color w:val="000000" w:themeColor="text1"/>
        </w:rPr>
      </w:pPr>
      <w:r>
        <w:rPr>
          <w:rFonts w:ascii="Century Gothic" w:hAnsi="Century Gothic" w:cs="Arial"/>
          <w:color w:val="000000" w:themeColor="text1"/>
        </w:rPr>
        <w:t xml:space="preserve">Cuando </w:t>
      </w:r>
      <w:r w:rsidR="00320207" w:rsidRPr="00A50145">
        <w:rPr>
          <w:rFonts w:ascii="Century Gothic" w:hAnsi="Century Gothic" w:cs="Arial"/>
          <w:color w:val="000000" w:themeColor="text1"/>
        </w:rPr>
        <w:t>ocurre que los interesados en un proceso de contratación presenten observaciones y/o solicitudes al informe de evaluación de las ofertas, fuera de los plazos establecidos por el ordenamiento jurídico</w:t>
      </w:r>
      <w:r>
        <w:rPr>
          <w:rFonts w:ascii="Century Gothic" w:hAnsi="Century Gothic" w:cs="Arial"/>
          <w:color w:val="000000" w:themeColor="text1"/>
        </w:rPr>
        <w:t xml:space="preserve">, se está en presencia de una </w:t>
      </w:r>
      <w:r w:rsidR="00320207" w:rsidRPr="00A50145">
        <w:rPr>
          <w:rFonts w:ascii="Century Gothic" w:hAnsi="Century Gothic" w:cs="Arial"/>
          <w:color w:val="000000" w:themeColor="text1"/>
        </w:rPr>
        <w:t>observación es extemporánea</w:t>
      </w:r>
      <w:r>
        <w:rPr>
          <w:rFonts w:ascii="Century Gothic" w:hAnsi="Century Gothic" w:cs="Arial"/>
          <w:color w:val="000000" w:themeColor="text1"/>
        </w:rPr>
        <w:t>, que a criterio de esta Agencia, se ha indicado, que s</w:t>
      </w:r>
      <w:r w:rsidR="00320207" w:rsidRPr="00910B9D">
        <w:rPr>
          <w:rFonts w:ascii="Century Gothic" w:hAnsi="Century Gothic" w:cs="Arial"/>
          <w:color w:val="000000" w:themeColor="text1"/>
        </w:rPr>
        <w:t xml:space="preserve">i bien la </w:t>
      </w:r>
      <w:r w:rsidR="007C7926">
        <w:rPr>
          <w:rFonts w:ascii="Century Gothic" w:hAnsi="Century Gothic" w:cs="Arial"/>
          <w:color w:val="000000" w:themeColor="text1"/>
        </w:rPr>
        <w:t>Entidad Estatal</w:t>
      </w:r>
      <w:r w:rsidR="00320207" w:rsidRPr="00910B9D">
        <w:rPr>
          <w:rFonts w:ascii="Century Gothic" w:hAnsi="Century Gothic" w:cs="Arial"/>
          <w:color w:val="000000" w:themeColor="text1"/>
        </w:rPr>
        <w:t xml:space="preserve"> que adelanta un proceso de contratación está en la obligación de responder las observaciones extemporáneas, no lo es menos que esa respuesta debe consistir o limitarse al rechazo de la observación, precisamente, por ser extemporánea. Respuesta por demás, que debe proferirse antes de que inicie la siguiente etapa o fase del proceso contractual. Esto significa que, si la observación extemporánea </w:t>
      </w:r>
      <w:r>
        <w:rPr>
          <w:rFonts w:ascii="Century Gothic" w:hAnsi="Century Gothic" w:cs="Arial"/>
          <w:color w:val="000000" w:themeColor="text1"/>
        </w:rPr>
        <w:t xml:space="preserve">una vez </w:t>
      </w:r>
      <w:r w:rsidR="0063796F">
        <w:rPr>
          <w:rFonts w:ascii="Century Gothic" w:hAnsi="Century Gothic" w:cs="Arial"/>
          <w:color w:val="000000" w:themeColor="text1"/>
        </w:rPr>
        <w:t xml:space="preserve">abiertos </w:t>
      </w:r>
      <w:r>
        <w:rPr>
          <w:rFonts w:ascii="Century Gothic" w:hAnsi="Century Gothic" w:cs="Arial"/>
          <w:color w:val="000000" w:themeColor="text1"/>
        </w:rPr>
        <w:t xml:space="preserve">los sobres económicos, obedece a asuntos </w:t>
      </w:r>
      <w:r>
        <w:rPr>
          <w:rFonts w:ascii="Century Gothic" w:hAnsi="Century Gothic"/>
        </w:rPr>
        <w:t xml:space="preserve">diferentes a </w:t>
      </w:r>
      <w:r w:rsidRPr="00910B9D">
        <w:rPr>
          <w:rFonts w:ascii="Century Gothic" w:hAnsi="Century Gothic"/>
        </w:rPr>
        <w:t>revisiones del aspecto</w:t>
      </w:r>
      <w:r w:rsidRPr="00910B9D">
        <w:rPr>
          <w:rFonts w:ascii="Century Gothic" w:hAnsi="Century Gothic"/>
          <w:spacing w:val="-3"/>
        </w:rPr>
        <w:t xml:space="preserve"> </w:t>
      </w:r>
      <w:r w:rsidRPr="00910B9D">
        <w:rPr>
          <w:rFonts w:ascii="Century Gothic" w:hAnsi="Century Gothic"/>
        </w:rPr>
        <w:t>económico</w:t>
      </w:r>
      <w:r>
        <w:rPr>
          <w:rFonts w:ascii="Century Gothic" w:hAnsi="Century Gothic"/>
        </w:rPr>
        <w:t xml:space="preserve">, </w:t>
      </w:r>
      <w:r w:rsidR="00320207" w:rsidRPr="00910B9D">
        <w:rPr>
          <w:rFonts w:ascii="Century Gothic" w:hAnsi="Century Gothic" w:cs="Arial"/>
          <w:color w:val="000000" w:themeColor="text1"/>
        </w:rPr>
        <w:t xml:space="preserve">el pronunciamiento </w:t>
      </w:r>
      <w:r>
        <w:rPr>
          <w:rFonts w:ascii="Century Gothic" w:hAnsi="Century Gothic" w:cs="Arial"/>
          <w:color w:val="000000" w:themeColor="text1"/>
        </w:rPr>
        <w:t xml:space="preserve">de la Entidad Estatal </w:t>
      </w:r>
      <w:r w:rsidR="00320207" w:rsidRPr="00910B9D">
        <w:rPr>
          <w:rFonts w:ascii="Century Gothic" w:hAnsi="Century Gothic" w:cs="Arial"/>
          <w:color w:val="000000" w:themeColor="text1"/>
        </w:rPr>
        <w:t xml:space="preserve">debe realizarse </w:t>
      </w:r>
      <w:r>
        <w:rPr>
          <w:rFonts w:ascii="Century Gothic" w:hAnsi="Century Gothic" w:cs="Arial"/>
          <w:color w:val="000000" w:themeColor="text1"/>
        </w:rPr>
        <w:t>indicando que aquella es extemporánea.</w:t>
      </w:r>
    </w:p>
    <w:p w14:paraId="50A1E2CF" w14:textId="5BF01971" w:rsidR="00320207" w:rsidRPr="00910B9D" w:rsidRDefault="00320207" w:rsidP="00A50145">
      <w:pPr>
        <w:spacing w:before="120" w:after="120" w:line="276" w:lineRule="auto"/>
        <w:ind w:firstLine="463"/>
        <w:jc w:val="both"/>
        <w:rPr>
          <w:rFonts w:ascii="Century Gothic" w:hAnsi="Century Gothic" w:cs="Arial"/>
          <w:color w:val="000000" w:themeColor="text1"/>
        </w:rPr>
      </w:pPr>
      <w:r w:rsidRPr="00910B9D">
        <w:rPr>
          <w:rFonts w:ascii="Century Gothic" w:hAnsi="Century Gothic" w:cs="Arial"/>
          <w:color w:val="000000" w:themeColor="text1"/>
        </w:rPr>
        <w:t>Lo afirmado encuentra fundamento en el principio de económica que rige los procesos de contratación, especialmente, en el numeral 1º del artículo 25 de la Ley 80 de 1993</w:t>
      </w:r>
      <w:r w:rsidRPr="00910B9D">
        <w:rPr>
          <w:rStyle w:val="Refdenotaalpie"/>
          <w:rFonts w:ascii="Century Gothic" w:hAnsi="Century Gothic" w:cs="Arial"/>
          <w:color w:val="000000" w:themeColor="text1"/>
        </w:rPr>
        <w:footnoteReference w:id="21"/>
      </w:r>
      <w:r w:rsidRPr="00910B9D">
        <w:rPr>
          <w:rFonts w:ascii="Century Gothic" w:hAnsi="Century Gothic" w:cs="Arial"/>
          <w:color w:val="000000" w:themeColor="text1"/>
        </w:rPr>
        <w:t xml:space="preserve"> que dispuso, que los términos o plazos para la etapas o fases del proceso de selección son preclusivos y perentorios. Sobre este asunto, la Sección Tercera del Consejo de Estado, sostuvo:</w:t>
      </w:r>
    </w:p>
    <w:p w14:paraId="6F85555C" w14:textId="51DC6396" w:rsidR="00320207" w:rsidRPr="00910B9D" w:rsidRDefault="00A50145" w:rsidP="00A50145">
      <w:pPr>
        <w:pStyle w:val="Prrafodelista"/>
        <w:spacing w:line="240" w:lineRule="auto"/>
        <w:ind w:left="463" w:right="709"/>
        <w:jc w:val="both"/>
        <w:rPr>
          <w:rFonts w:ascii="Century Gothic" w:hAnsi="Century Gothic" w:cs="Arial"/>
          <w:color w:val="000000" w:themeColor="text1"/>
          <w:sz w:val="21"/>
          <w:szCs w:val="21"/>
        </w:rPr>
      </w:pPr>
      <w:r>
        <w:rPr>
          <w:rFonts w:ascii="Century Gothic" w:hAnsi="Century Gothic" w:cs="Arial"/>
          <w:color w:val="000000" w:themeColor="text1"/>
          <w:sz w:val="21"/>
          <w:szCs w:val="21"/>
        </w:rPr>
        <w:t>“</w:t>
      </w:r>
      <w:r w:rsidR="00320207" w:rsidRPr="00910B9D">
        <w:rPr>
          <w:rFonts w:ascii="Century Gothic" w:hAnsi="Century Gothic" w:cs="Arial"/>
          <w:color w:val="000000" w:themeColor="text1"/>
          <w:sz w:val="21"/>
          <w:szCs w:val="21"/>
        </w:rPr>
        <w:t xml:space="preserve">Estos plazos, que corresponden a las distintas etapas del proceso de selección, son, como lo consagra el numeral 1º del artículo 25 del Estatuto Contractual, perentorios y preclusivos. </w:t>
      </w:r>
    </w:p>
    <w:p w14:paraId="6928A77A" w14:textId="77777777" w:rsidR="00320207" w:rsidRPr="00910B9D" w:rsidRDefault="00320207" w:rsidP="00A50145">
      <w:pPr>
        <w:pStyle w:val="Prrafodelista"/>
        <w:spacing w:line="240" w:lineRule="auto"/>
        <w:ind w:left="463" w:right="709"/>
        <w:jc w:val="both"/>
        <w:rPr>
          <w:rFonts w:ascii="Century Gothic" w:hAnsi="Century Gothic" w:cs="Arial"/>
          <w:color w:val="000000" w:themeColor="text1"/>
          <w:sz w:val="21"/>
          <w:szCs w:val="21"/>
        </w:rPr>
      </w:pPr>
    </w:p>
    <w:p w14:paraId="57ADD34D" w14:textId="3AF7AC52" w:rsidR="00320207" w:rsidRPr="00910B9D" w:rsidRDefault="00320207" w:rsidP="00A50145">
      <w:pPr>
        <w:pStyle w:val="Prrafodelista"/>
        <w:spacing w:line="240" w:lineRule="auto"/>
        <w:ind w:left="463" w:right="709"/>
        <w:jc w:val="both"/>
        <w:rPr>
          <w:rFonts w:ascii="Century Gothic" w:hAnsi="Century Gothic" w:cs="Arial"/>
          <w:color w:val="000000" w:themeColor="text1"/>
          <w:sz w:val="21"/>
          <w:szCs w:val="21"/>
        </w:rPr>
      </w:pPr>
      <w:r w:rsidRPr="00910B9D">
        <w:rPr>
          <w:rFonts w:ascii="Century Gothic" w:hAnsi="Century Gothic" w:cs="Arial"/>
          <w:color w:val="000000" w:themeColor="text1"/>
          <w:sz w:val="21"/>
          <w:szCs w:val="21"/>
        </w:rPr>
        <w:t xml:space="preserve">Perentorio, significa </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Decisivo o concluyente</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 xml:space="preserve">; según el Diccionario de la Real Academia de la Lengua Española: </w:t>
      </w:r>
    </w:p>
    <w:p w14:paraId="429024F6" w14:textId="77777777" w:rsidR="00320207" w:rsidRPr="00910B9D" w:rsidRDefault="00320207" w:rsidP="00A50145">
      <w:pPr>
        <w:pStyle w:val="Prrafodelista"/>
        <w:spacing w:line="240" w:lineRule="auto"/>
        <w:ind w:left="463" w:right="709"/>
        <w:jc w:val="both"/>
        <w:rPr>
          <w:rFonts w:ascii="Century Gothic" w:hAnsi="Century Gothic" w:cs="Arial"/>
          <w:color w:val="000000" w:themeColor="text1"/>
          <w:sz w:val="21"/>
          <w:szCs w:val="21"/>
        </w:rPr>
      </w:pPr>
    </w:p>
    <w:p w14:paraId="2EE6D21A" w14:textId="21DC2DEB" w:rsidR="00320207" w:rsidRPr="00910B9D" w:rsidRDefault="00A50145" w:rsidP="00A50145">
      <w:pPr>
        <w:pStyle w:val="Prrafodelista"/>
        <w:spacing w:line="240" w:lineRule="auto"/>
        <w:ind w:left="463" w:right="709"/>
        <w:jc w:val="both"/>
        <w:rPr>
          <w:rFonts w:ascii="Century Gothic" w:hAnsi="Century Gothic" w:cs="Arial"/>
          <w:color w:val="000000" w:themeColor="text1"/>
          <w:sz w:val="21"/>
          <w:szCs w:val="21"/>
        </w:rPr>
      </w:pPr>
      <w:r>
        <w:rPr>
          <w:rFonts w:ascii="Century Gothic" w:hAnsi="Century Gothic" w:cs="Arial"/>
          <w:color w:val="000000" w:themeColor="text1"/>
          <w:sz w:val="21"/>
          <w:szCs w:val="21"/>
        </w:rPr>
        <w:t>“</w:t>
      </w:r>
      <w:r w:rsidR="00320207" w:rsidRPr="00910B9D">
        <w:rPr>
          <w:rFonts w:ascii="Century Gothic" w:hAnsi="Century Gothic" w:cs="Arial"/>
          <w:color w:val="000000" w:themeColor="text1"/>
          <w:sz w:val="21"/>
          <w:szCs w:val="21"/>
        </w:rPr>
        <w:t>1. adj. Se dice del último plazo que se concede, o de la resolución final que se toma en cualquier asunto.</w:t>
      </w:r>
    </w:p>
    <w:p w14:paraId="6816F607" w14:textId="77777777" w:rsidR="00320207" w:rsidRPr="00910B9D" w:rsidRDefault="00320207" w:rsidP="00A50145">
      <w:pPr>
        <w:pStyle w:val="Prrafodelista"/>
        <w:spacing w:line="240" w:lineRule="auto"/>
        <w:ind w:left="463" w:right="709"/>
        <w:jc w:val="both"/>
        <w:rPr>
          <w:rFonts w:ascii="Century Gothic" w:hAnsi="Century Gothic" w:cs="Arial"/>
          <w:color w:val="000000" w:themeColor="text1"/>
          <w:sz w:val="21"/>
          <w:szCs w:val="21"/>
        </w:rPr>
      </w:pPr>
      <w:r w:rsidRPr="00910B9D">
        <w:rPr>
          <w:rFonts w:ascii="Century Gothic" w:hAnsi="Century Gothic" w:cs="Arial"/>
          <w:color w:val="000000" w:themeColor="text1"/>
          <w:sz w:val="21"/>
          <w:szCs w:val="21"/>
        </w:rPr>
        <w:t>2. adj. Concluyente, decisivo, determinante.</w:t>
      </w:r>
    </w:p>
    <w:p w14:paraId="53E9486D" w14:textId="25921BB3" w:rsidR="00320207" w:rsidRPr="00910B9D" w:rsidRDefault="00320207" w:rsidP="00A50145">
      <w:pPr>
        <w:pStyle w:val="Prrafodelista"/>
        <w:spacing w:line="240" w:lineRule="auto"/>
        <w:ind w:left="463" w:right="709"/>
        <w:jc w:val="both"/>
        <w:rPr>
          <w:rFonts w:ascii="Century Gothic" w:hAnsi="Century Gothic" w:cs="Arial"/>
          <w:color w:val="000000" w:themeColor="text1"/>
          <w:sz w:val="21"/>
          <w:szCs w:val="21"/>
        </w:rPr>
      </w:pPr>
      <w:r w:rsidRPr="00910B9D">
        <w:rPr>
          <w:rFonts w:ascii="Century Gothic" w:hAnsi="Century Gothic" w:cs="Arial"/>
          <w:color w:val="000000" w:themeColor="text1"/>
          <w:sz w:val="21"/>
          <w:szCs w:val="21"/>
        </w:rPr>
        <w:t>3. adj. Urgente, apremiante</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w:t>
      </w:r>
    </w:p>
    <w:p w14:paraId="378C6E4A" w14:textId="77777777" w:rsidR="00320207" w:rsidRPr="00910B9D" w:rsidRDefault="00320207" w:rsidP="00A50145">
      <w:pPr>
        <w:pStyle w:val="Prrafodelista"/>
        <w:spacing w:line="240" w:lineRule="auto"/>
        <w:ind w:left="463" w:right="709"/>
        <w:jc w:val="both"/>
        <w:rPr>
          <w:rFonts w:ascii="Century Gothic" w:hAnsi="Century Gothic" w:cs="Arial"/>
          <w:color w:val="000000" w:themeColor="text1"/>
          <w:sz w:val="21"/>
          <w:szCs w:val="21"/>
        </w:rPr>
      </w:pPr>
      <w:r w:rsidRPr="00910B9D">
        <w:rPr>
          <w:rFonts w:ascii="Century Gothic" w:hAnsi="Century Gothic" w:cs="Arial"/>
          <w:color w:val="000000" w:themeColor="text1"/>
          <w:sz w:val="21"/>
          <w:szCs w:val="21"/>
        </w:rPr>
        <w:t xml:space="preserve">   </w:t>
      </w:r>
    </w:p>
    <w:p w14:paraId="216FEDEB" w14:textId="1525D6AE" w:rsidR="00320207" w:rsidRPr="00910B9D" w:rsidRDefault="00320207" w:rsidP="00A50145">
      <w:pPr>
        <w:pStyle w:val="Prrafodelista"/>
        <w:spacing w:line="240" w:lineRule="auto"/>
        <w:ind w:left="463" w:right="709"/>
        <w:jc w:val="both"/>
        <w:rPr>
          <w:rFonts w:ascii="Century Gothic" w:hAnsi="Century Gothic" w:cs="Arial"/>
          <w:color w:val="000000" w:themeColor="text1"/>
          <w:sz w:val="21"/>
          <w:szCs w:val="21"/>
        </w:rPr>
      </w:pPr>
      <w:r w:rsidRPr="00910B9D">
        <w:rPr>
          <w:rFonts w:ascii="Century Gothic" w:hAnsi="Century Gothic" w:cs="Arial"/>
          <w:color w:val="000000" w:themeColor="text1"/>
          <w:sz w:val="21"/>
          <w:szCs w:val="21"/>
        </w:rPr>
        <w:t xml:space="preserve">Y el </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término perentorio</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 xml:space="preserve">, significa </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El improrrogable, cuyo transcurso extingue o cancela la facultad o el derecho que durante él no se ejercitó</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 xml:space="preserve">. </w:t>
      </w:r>
    </w:p>
    <w:p w14:paraId="5E070C76" w14:textId="77777777" w:rsidR="00320207" w:rsidRPr="00910B9D" w:rsidRDefault="00320207" w:rsidP="00A50145">
      <w:pPr>
        <w:pStyle w:val="Prrafodelista"/>
        <w:spacing w:line="240" w:lineRule="auto"/>
        <w:ind w:left="463" w:right="709"/>
        <w:jc w:val="both"/>
        <w:rPr>
          <w:rFonts w:ascii="Century Gothic" w:hAnsi="Century Gothic" w:cs="Arial"/>
          <w:color w:val="000000" w:themeColor="text1"/>
          <w:sz w:val="21"/>
          <w:szCs w:val="21"/>
        </w:rPr>
      </w:pPr>
    </w:p>
    <w:p w14:paraId="4F75FEA1" w14:textId="2B015E82" w:rsidR="00320207" w:rsidRPr="00910B9D" w:rsidRDefault="00320207" w:rsidP="00A50145">
      <w:pPr>
        <w:pStyle w:val="Prrafodelista"/>
        <w:spacing w:line="240" w:lineRule="auto"/>
        <w:ind w:left="463" w:right="709"/>
        <w:jc w:val="both"/>
        <w:rPr>
          <w:rFonts w:ascii="Century Gothic" w:hAnsi="Century Gothic" w:cs="Arial"/>
          <w:color w:val="000000" w:themeColor="text1"/>
          <w:sz w:val="21"/>
          <w:szCs w:val="21"/>
        </w:rPr>
      </w:pPr>
      <w:r w:rsidRPr="00910B9D">
        <w:rPr>
          <w:rFonts w:ascii="Century Gothic" w:hAnsi="Century Gothic" w:cs="Arial"/>
          <w:color w:val="000000" w:themeColor="text1"/>
          <w:sz w:val="21"/>
          <w:szCs w:val="21"/>
        </w:rPr>
        <w:t xml:space="preserve">Por su parte, preclusivo significa, según el mismo diccionario, </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Que causa o determina preclusión</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 xml:space="preserve">; y a su vez, preclusión, es definido como </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Carácter del proceso, según el cual el juicio se divide en etapas, cada una de las cuales clausura la anterior sin posibilidad de replantear lo ya decidido en ella</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w:t>
      </w:r>
    </w:p>
    <w:p w14:paraId="7CB658AD" w14:textId="0EE55274" w:rsidR="00320207" w:rsidRPr="00910B9D" w:rsidRDefault="00320207" w:rsidP="00A50145">
      <w:pPr>
        <w:pStyle w:val="Prrafodelista"/>
        <w:spacing w:line="240" w:lineRule="auto"/>
        <w:ind w:left="463" w:right="709"/>
        <w:jc w:val="both"/>
        <w:rPr>
          <w:rFonts w:ascii="Century Gothic" w:hAnsi="Century Gothic" w:cs="Arial"/>
          <w:color w:val="000000" w:themeColor="text1"/>
          <w:sz w:val="21"/>
          <w:szCs w:val="21"/>
        </w:rPr>
      </w:pPr>
    </w:p>
    <w:p w14:paraId="7A74DE27" w14:textId="262243AF" w:rsidR="00320207" w:rsidRPr="00910B9D" w:rsidRDefault="00320207" w:rsidP="00A50145">
      <w:pPr>
        <w:pStyle w:val="Prrafodelista"/>
        <w:spacing w:line="240" w:lineRule="auto"/>
        <w:ind w:left="463" w:right="709"/>
        <w:jc w:val="both"/>
        <w:rPr>
          <w:rFonts w:ascii="Century Gothic" w:hAnsi="Century Gothic" w:cs="Arial"/>
          <w:color w:val="000000" w:themeColor="text1"/>
          <w:sz w:val="21"/>
          <w:szCs w:val="21"/>
        </w:rPr>
      </w:pPr>
      <w:r w:rsidRPr="00910B9D">
        <w:rPr>
          <w:rFonts w:ascii="Century Gothic" w:hAnsi="Century Gothic" w:cs="Arial"/>
          <w:color w:val="000000" w:themeColor="text1"/>
          <w:sz w:val="21"/>
          <w:szCs w:val="21"/>
        </w:rPr>
        <w:t>Preclusión: Extinción, clausura, caducidad; acción y efecto de extinguirse el derecho a realizar un acto procesal, sea por prohibición de la ley, por haberse dejado pasar la oportunidad de verificarlo o por haberse realizado otro incompatible con aquel (Couture). // Principio procesal según el cual el juicio se divide en etapas, cada una de las cuales supone la clausura de la anterior, sin posibilidad de renovarla (Couture). Esta segunda definición coincide con la de Chiovenda cuando afirma que el proceso avanza cerrando estadios precedentes y no puede retroceder</w:t>
      </w:r>
      <w:r w:rsidR="00A50145">
        <w:rPr>
          <w:rFonts w:ascii="Century Gothic" w:hAnsi="Century Gothic" w:cs="Arial"/>
          <w:color w:val="000000" w:themeColor="text1"/>
          <w:sz w:val="21"/>
          <w:szCs w:val="21"/>
        </w:rPr>
        <w:t>”</w:t>
      </w:r>
      <w:r w:rsidRPr="00910B9D">
        <w:rPr>
          <w:rFonts w:ascii="Century Gothic" w:hAnsi="Century Gothic" w:cs="Arial"/>
          <w:color w:val="000000" w:themeColor="text1"/>
          <w:sz w:val="21"/>
          <w:szCs w:val="21"/>
        </w:rPr>
        <w:t>.</w:t>
      </w:r>
    </w:p>
    <w:p w14:paraId="707B815D" w14:textId="7BD7D4B2" w:rsidR="00320207" w:rsidRPr="00910B9D" w:rsidRDefault="00A50145" w:rsidP="00A50145">
      <w:pPr>
        <w:pStyle w:val="Prrafodelista"/>
        <w:spacing w:line="240" w:lineRule="auto"/>
        <w:ind w:left="463" w:right="709"/>
        <w:jc w:val="both"/>
        <w:rPr>
          <w:rFonts w:ascii="Century Gothic" w:hAnsi="Century Gothic" w:cs="Arial"/>
          <w:color w:val="000000" w:themeColor="text1"/>
          <w:sz w:val="21"/>
          <w:szCs w:val="21"/>
        </w:rPr>
      </w:pPr>
      <w:r>
        <w:rPr>
          <w:rFonts w:ascii="Century Gothic" w:hAnsi="Century Gothic" w:cs="Arial"/>
          <w:color w:val="000000" w:themeColor="text1"/>
          <w:sz w:val="21"/>
          <w:szCs w:val="21"/>
        </w:rPr>
        <w:t>“</w:t>
      </w:r>
      <w:r w:rsidR="00320207" w:rsidRPr="00910B9D">
        <w:rPr>
          <w:rFonts w:ascii="Century Gothic" w:hAnsi="Century Gothic" w:cs="Arial"/>
          <w:color w:val="000000" w:themeColor="text1"/>
          <w:sz w:val="21"/>
          <w:szCs w:val="21"/>
        </w:rPr>
        <w:t>preclusión. Efecto del transcurso de los plazos y de la finalización de los términos consistente en hacer imposible o completamente ineficaces los actos correspondientes. (…)</w:t>
      </w:r>
      <w:r>
        <w:rPr>
          <w:rFonts w:ascii="Century Gothic" w:hAnsi="Century Gothic" w:cs="Arial"/>
          <w:color w:val="000000" w:themeColor="text1"/>
          <w:sz w:val="21"/>
          <w:szCs w:val="21"/>
        </w:rPr>
        <w:t>”</w:t>
      </w:r>
      <w:r w:rsidR="00320207" w:rsidRPr="00910B9D">
        <w:rPr>
          <w:rFonts w:ascii="Century Gothic" w:hAnsi="Century Gothic" w:cs="Arial"/>
          <w:color w:val="000000" w:themeColor="text1"/>
          <w:sz w:val="21"/>
          <w:szCs w:val="21"/>
        </w:rPr>
        <w:t>.</w:t>
      </w:r>
      <w:r w:rsidR="00320207" w:rsidRPr="00910B9D">
        <w:rPr>
          <w:rStyle w:val="Refdenotaalpie"/>
          <w:rFonts w:ascii="Century Gothic" w:hAnsi="Century Gothic" w:cs="Arial"/>
          <w:color w:val="000000" w:themeColor="text1"/>
          <w:sz w:val="21"/>
          <w:szCs w:val="21"/>
        </w:rPr>
        <w:footnoteReference w:id="22"/>
      </w:r>
    </w:p>
    <w:p w14:paraId="4D1ECF16" w14:textId="77777777" w:rsidR="00320207" w:rsidRPr="00910B9D" w:rsidRDefault="00320207" w:rsidP="000706C9">
      <w:pPr>
        <w:pStyle w:val="Prrafodelista"/>
        <w:spacing w:after="0" w:line="240" w:lineRule="auto"/>
        <w:ind w:left="463"/>
        <w:jc w:val="both"/>
        <w:rPr>
          <w:rFonts w:ascii="Century Gothic" w:hAnsi="Century Gothic" w:cs="Arial"/>
          <w:color w:val="000000" w:themeColor="text1"/>
        </w:rPr>
      </w:pPr>
    </w:p>
    <w:p w14:paraId="31FB5409" w14:textId="4DF169D7" w:rsidR="00320207" w:rsidRPr="00A50145" w:rsidRDefault="00320207" w:rsidP="00A50145">
      <w:pPr>
        <w:spacing w:line="276" w:lineRule="auto"/>
        <w:ind w:firstLine="463"/>
        <w:jc w:val="both"/>
        <w:rPr>
          <w:rFonts w:ascii="Century Gothic" w:hAnsi="Century Gothic" w:cs="Arial"/>
          <w:color w:val="000000" w:themeColor="text1"/>
        </w:rPr>
      </w:pPr>
      <w:r w:rsidRPr="00A50145">
        <w:rPr>
          <w:rFonts w:ascii="Century Gothic" w:hAnsi="Century Gothic" w:cs="Arial"/>
          <w:color w:val="000000" w:themeColor="text1"/>
        </w:rPr>
        <w:t xml:space="preserve">En conclusión y en virtud del principio de economía, si bien tanto a los interesados como a la ciudadanía en general les asiste el derecho a realizar observaciones, este derecho debe ejercerse dentro de los plazos establecidos por el ordenamiento jurídico y por el cronograma del proceso de contratación, so pena de perder tal facultad por la preclusividad y perentoriedad de los términos que rigen las fases o etapas del proceso de contratación, máxime teniendo en cuenta que una vez agotada una fase del proceso de contratación la </w:t>
      </w:r>
      <w:r w:rsidR="007C7926" w:rsidRPr="00A50145">
        <w:rPr>
          <w:rFonts w:ascii="Century Gothic" w:hAnsi="Century Gothic" w:cs="Arial"/>
          <w:color w:val="000000" w:themeColor="text1"/>
        </w:rPr>
        <w:t>Entidad Estatal</w:t>
      </w:r>
      <w:r w:rsidRPr="00A50145">
        <w:rPr>
          <w:rFonts w:ascii="Century Gothic" w:hAnsi="Century Gothic" w:cs="Arial"/>
          <w:color w:val="000000" w:themeColor="text1"/>
        </w:rPr>
        <w:t>, en principio, no puede volver sobre esa etapa del proceso de selección.</w:t>
      </w:r>
    </w:p>
    <w:p w14:paraId="7838C6DB" w14:textId="77777777" w:rsidR="004624B1" w:rsidRPr="00910B9D" w:rsidRDefault="004624B1" w:rsidP="004624B1">
      <w:pPr>
        <w:tabs>
          <w:tab w:val="left" w:pos="0"/>
        </w:tabs>
        <w:spacing w:after="0" w:line="240" w:lineRule="auto"/>
        <w:jc w:val="both"/>
        <w:rPr>
          <w:rFonts w:ascii="Century Gothic" w:eastAsia="Calibri" w:hAnsi="Century Gothic" w:cs="Arial"/>
          <w:b/>
          <w:color w:val="000000"/>
          <w:szCs w:val="24"/>
          <w:lang w:val="es-ES_tradnl" w:eastAsia="es-ES_tradnl"/>
        </w:rPr>
      </w:pPr>
      <w:r w:rsidRPr="00910B9D">
        <w:rPr>
          <w:rFonts w:ascii="Century Gothic" w:eastAsia="Calibri" w:hAnsi="Century Gothic" w:cs="Arial"/>
          <w:b/>
          <w:color w:val="000000"/>
          <w:szCs w:val="24"/>
          <w:lang w:val="es-ES_tradnl" w:eastAsia="es-ES_tradnl"/>
        </w:rPr>
        <w:t>3. Respuesta</w:t>
      </w:r>
    </w:p>
    <w:p w14:paraId="3531BB6B" w14:textId="77777777" w:rsidR="004624B1" w:rsidRPr="00910B9D" w:rsidRDefault="004624B1" w:rsidP="004624B1">
      <w:pPr>
        <w:spacing w:after="0" w:line="276" w:lineRule="auto"/>
        <w:jc w:val="both"/>
        <w:rPr>
          <w:rFonts w:ascii="Century Gothic" w:eastAsia="Times New Roman" w:hAnsi="Century Gothic" w:cs="Arial"/>
          <w:lang w:eastAsia="es-ES_tradnl"/>
        </w:rPr>
      </w:pPr>
    </w:p>
    <w:p w14:paraId="373854C9" w14:textId="7AB95F3F" w:rsidR="00A50145" w:rsidRDefault="00A50145" w:rsidP="00A50145">
      <w:pPr>
        <w:pStyle w:val="Textoindependiente"/>
        <w:kinsoku w:val="0"/>
        <w:overflowPunct w:val="0"/>
        <w:ind w:left="709" w:right="709"/>
        <w:jc w:val="both"/>
        <w:rPr>
          <w:rFonts w:ascii="Century Gothic" w:hAnsi="Century Gothic"/>
          <w:spacing w:val="-2"/>
          <w:sz w:val="21"/>
          <w:szCs w:val="21"/>
        </w:rPr>
      </w:pPr>
      <w:r>
        <w:rPr>
          <w:rFonts w:ascii="Century Gothic" w:hAnsi="Century Gothic"/>
          <w:spacing w:val="-2"/>
          <w:sz w:val="21"/>
          <w:szCs w:val="21"/>
        </w:rPr>
        <w:t>“</w:t>
      </w:r>
      <w:r w:rsidRPr="00910B9D">
        <w:rPr>
          <w:rFonts w:ascii="Century Gothic" w:hAnsi="Century Gothic"/>
          <w:spacing w:val="-2"/>
          <w:sz w:val="21"/>
          <w:szCs w:val="21"/>
        </w:rPr>
        <w:t>¿</w:t>
      </w:r>
      <w:r>
        <w:rPr>
          <w:rFonts w:ascii="Century Gothic" w:hAnsi="Century Gothic"/>
          <w:spacing w:val="-2"/>
          <w:sz w:val="21"/>
          <w:szCs w:val="21"/>
        </w:rPr>
        <w:t>1.</w:t>
      </w:r>
      <w:r w:rsidRPr="00910B9D">
        <w:rPr>
          <w:rFonts w:ascii="Century Gothic" w:hAnsi="Century Gothic"/>
          <w:spacing w:val="-2"/>
          <w:sz w:val="21"/>
          <w:szCs w:val="21"/>
        </w:rPr>
        <w:t>se le debe descontar un (1) punto del factor de calidad, teniendo en cuenta que el representante legal de una de las personas jurídicas que integra el consorcio esta reportado en el registro nacional de obras inconclusas de la Contraloría General de la República.</w:t>
      </w:r>
      <w:r>
        <w:rPr>
          <w:rFonts w:ascii="Century Gothic" w:hAnsi="Century Gothic"/>
          <w:spacing w:val="-2"/>
          <w:sz w:val="21"/>
          <w:szCs w:val="21"/>
        </w:rPr>
        <w:t>?</w:t>
      </w:r>
    </w:p>
    <w:p w14:paraId="6ABBB2B0" w14:textId="58143AE0" w:rsidR="00A50145" w:rsidRDefault="00A50145" w:rsidP="00A50145">
      <w:pPr>
        <w:pStyle w:val="Textoindependiente"/>
        <w:kinsoku w:val="0"/>
        <w:overflowPunct w:val="0"/>
        <w:ind w:left="709" w:right="709"/>
        <w:jc w:val="both"/>
        <w:rPr>
          <w:rFonts w:ascii="Century Gothic" w:hAnsi="Century Gothic"/>
          <w:spacing w:val="-2"/>
          <w:sz w:val="21"/>
          <w:szCs w:val="21"/>
        </w:rPr>
      </w:pPr>
      <w:r>
        <w:rPr>
          <w:rFonts w:ascii="Century Gothic" w:hAnsi="Century Gothic"/>
          <w:spacing w:val="-2"/>
          <w:sz w:val="21"/>
          <w:szCs w:val="21"/>
        </w:rPr>
        <w:t>(…)</w:t>
      </w:r>
    </w:p>
    <w:p w14:paraId="34EF7A10" w14:textId="771603F9" w:rsidR="00A50145" w:rsidRPr="00910B9D" w:rsidRDefault="00A50145" w:rsidP="00A50145">
      <w:pPr>
        <w:pStyle w:val="Textoindependiente"/>
        <w:kinsoku w:val="0"/>
        <w:overflowPunct w:val="0"/>
        <w:ind w:left="709" w:right="709"/>
        <w:jc w:val="both"/>
        <w:rPr>
          <w:rFonts w:ascii="Century Gothic" w:hAnsi="Century Gothic"/>
          <w:spacing w:val="-2"/>
          <w:sz w:val="21"/>
          <w:szCs w:val="21"/>
        </w:rPr>
      </w:pPr>
      <w:r w:rsidRPr="00910B9D">
        <w:rPr>
          <w:rFonts w:ascii="Century Gothic" w:hAnsi="Century Gothic"/>
          <w:spacing w:val="-2"/>
          <w:sz w:val="21"/>
          <w:szCs w:val="21"/>
        </w:rPr>
        <w:t>3. ¿puede desmejorarse la calificación del oferente (consorcio) cuando este se conforma es por personas jurídicas, las cuales no están reportadas en obras inconclusas, pero uno de sus representantes legales y/o accionistas si lo está?</w:t>
      </w:r>
      <w:r>
        <w:rPr>
          <w:rFonts w:ascii="Century Gothic" w:hAnsi="Century Gothic"/>
          <w:spacing w:val="-2"/>
          <w:sz w:val="21"/>
          <w:szCs w:val="21"/>
        </w:rPr>
        <w:t>” (sic)</w:t>
      </w:r>
    </w:p>
    <w:p w14:paraId="6F5FF987" w14:textId="77777777" w:rsidR="00860DB7" w:rsidRPr="00910B9D" w:rsidRDefault="00860DB7" w:rsidP="00A50145">
      <w:pPr>
        <w:pStyle w:val="Textoindependiente"/>
        <w:kinsoku w:val="0"/>
        <w:overflowPunct w:val="0"/>
        <w:ind w:left="709" w:right="709"/>
        <w:jc w:val="both"/>
        <w:rPr>
          <w:rFonts w:ascii="Century Gothic" w:hAnsi="Century Gothic"/>
          <w:spacing w:val="-2"/>
          <w:sz w:val="21"/>
          <w:szCs w:val="21"/>
        </w:rPr>
      </w:pPr>
    </w:p>
    <w:p w14:paraId="58C96A15" w14:textId="5F3E66CB" w:rsidR="00A50145" w:rsidRPr="00910B9D" w:rsidRDefault="00A50145" w:rsidP="000706C9">
      <w:pPr>
        <w:spacing w:after="0" w:line="276" w:lineRule="auto"/>
        <w:jc w:val="both"/>
        <w:rPr>
          <w:rFonts w:ascii="Century Gothic" w:eastAsia="Calibri" w:hAnsi="Century Gothic" w:cs="Arial"/>
          <w:color w:val="000000"/>
          <w:lang w:val="es-ES_tradnl" w:eastAsia="en-GB"/>
        </w:rPr>
      </w:pPr>
      <w:r>
        <w:rPr>
          <w:rFonts w:ascii="Century Gothic" w:eastAsia="Calibri" w:hAnsi="Century Gothic" w:cs="Arial"/>
          <w:color w:val="000000"/>
          <w:lang w:val="es-ES_tradnl" w:eastAsia="en-GB"/>
        </w:rPr>
        <w:t>De conformidad con lo expuesto previamente,</w:t>
      </w:r>
      <w:r w:rsidRPr="00910B9D">
        <w:rPr>
          <w:rFonts w:ascii="Century Gothic" w:eastAsia="Calibri" w:hAnsi="Century Gothic" w:cs="Arial"/>
          <w:color w:val="000000"/>
          <w:lang w:val="es-ES_tradnl" w:eastAsia="en-GB"/>
        </w:rPr>
        <w:t xml:space="preserve"> se precisa que el descuento del punto de la sumatoria obtenida en relación con el factor de calidad, del que trata el texto de los documentos base adoptados por la Agencia Nacional de Contratación Pública – Colombia Compra Eficiente,</w:t>
      </w:r>
      <w:r>
        <w:rPr>
          <w:rFonts w:ascii="Century Gothic" w:eastAsia="Calibri" w:hAnsi="Century Gothic" w:cs="Arial"/>
          <w:color w:val="000000"/>
          <w:lang w:val="es-ES_tradnl" w:eastAsia="en-GB"/>
        </w:rPr>
        <w:t xml:space="preserve"> en el documento pliego tipo para licitación pública,</w:t>
      </w:r>
      <w:r w:rsidRPr="00910B9D">
        <w:rPr>
          <w:rFonts w:ascii="Century Gothic" w:eastAsia="Calibri" w:hAnsi="Century Gothic" w:cs="Arial"/>
          <w:color w:val="000000"/>
          <w:lang w:val="es-ES_tradnl" w:eastAsia="en-GB"/>
        </w:rPr>
        <w:t xml:space="preserve"> deberá efectuarse </w:t>
      </w:r>
      <w:r>
        <w:rPr>
          <w:rFonts w:ascii="Century Gothic" w:eastAsia="Calibri" w:hAnsi="Century Gothic" w:cs="Arial"/>
          <w:color w:val="000000"/>
          <w:lang w:val="es-ES_tradnl" w:eastAsia="en-GB"/>
        </w:rPr>
        <w:t xml:space="preserve">sólo si </w:t>
      </w:r>
      <w:r w:rsidRPr="00910B9D">
        <w:rPr>
          <w:rFonts w:ascii="Century Gothic" w:eastAsia="Calibri" w:hAnsi="Century Gothic" w:cs="Arial"/>
          <w:color w:val="000000"/>
          <w:lang w:val="es-ES_tradnl" w:eastAsia="en-GB"/>
        </w:rPr>
        <w:t xml:space="preserve">una vez </w:t>
      </w:r>
      <w:r>
        <w:rPr>
          <w:rFonts w:ascii="Century Gothic" w:eastAsia="Calibri" w:hAnsi="Century Gothic" w:cs="Arial"/>
          <w:color w:val="000000"/>
          <w:lang w:val="es-ES_tradnl" w:eastAsia="en-GB"/>
        </w:rPr>
        <w:t>realizada</w:t>
      </w:r>
      <w:r w:rsidRPr="00910B9D">
        <w:rPr>
          <w:rFonts w:ascii="Century Gothic" w:eastAsia="Calibri" w:hAnsi="Century Gothic" w:cs="Arial"/>
          <w:color w:val="000000"/>
          <w:lang w:val="es-ES_tradnl" w:eastAsia="en-GB"/>
        </w:rPr>
        <w:t xml:space="preserve"> la consulta y el análisis de </w:t>
      </w:r>
      <w:r>
        <w:rPr>
          <w:rFonts w:ascii="Century Gothic" w:eastAsia="Calibri" w:hAnsi="Century Gothic" w:cs="Arial"/>
          <w:color w:val="000000"/>
          <w:lang w:val="es-ES_tradnl" w:eastAsia="en-GB"/>
        </w:rPr>
        <w:t xml:space="preserve">la Entidad Estatal sobre </w:t>
      </w:r>
      <w:r w:rsidRPr="00910B9D">
        <w:rPr>
          <w:rFonts w:ascii="Century Gothic" w:eastAsia="Calibri" w:hAnsi="Century Gothic" w:cs="Arial"/>
          <w:color w:val="000000"/>
          <w:lang w:val="es-ES_tradnl" w:eastAsia="en-GB"/>
        </w:rPr>
        <w:t>las anotaciones vigentes en el Registro Nacional de Obras Civiles Inconclusa</w:t>
      </w:r>
      <w:r>
        <w:rPr>
          <w:rFonts w:ascii="Century Gothic" w:eastAsia="Calibri" w:hAnsi="Century Gothic" w:cs="Arial"/>
          <w:color w:val="000000"/>
          <w:lang w:val="es-ES_tradnl" w:eastAsia="en-GB"/>
        </w:rPr>
        <w:t xml:space="preserve">, se </w:t>
      </w:r>
      <w:r w:rsidRPr="00910B9D">
        <w:rPr>
          <w:rFonts w:ascii="Century Gothic" w:eastAsia="Calibri" w:hAnsi="Century Gothic" w:cs="Arial"/>
          <w:color w:val="000000"/>
          <w:lang w:val="es-ES_tradnl" w:eastAsia="en-GB"/>
        </w:rPr>
        <w:t>determin</w:t>
      </w:r>
      <w:r>
        <w:rPr>
          <w:rFonts w:ascii="Century Gothic" w:eastAsia="Calibri" w:hAnsi="Century Gothic" w:cs="Arial"/>
          <w:color w:val="000000"/>
          <w:lang w:val="es-ES_tradnl" w:eastAsia="en-GB"/>
        </w:rPr>
        <w:t xml:space="preserve">a que esa </w:t>
      </w:r>
      <w:r w:rsidRPr="00910B9D">
        <w:rPr>
          <w:rFonts w:ascii="Century Gothic" w:eastAsia="Calibri" w:hAnsi="Century Gothic" w:cs="Arial"/>
          <w:color w:val="000000"/>
          <w:lang w:val="es-MX" w:eastAsia="en-GB"/>
        </w:rPr>
        <w:t xml:space="preserve">anotación se dio por un incumplimiento del contratista, por lo que, dependiendo del supuesto, la entidad descontará el punto. </w:t>
      </w:r>
    </w:p>
    <w:p w14:paraId="41F78690" w14:textId="77FA5A53" w:rsidR="00A50145" w:rsidRDefault="00A50145" w:rsidP="00A50145">
      <w:pPr>
        <w:spacing w:before="120" w:after="0" w:line="276" w:lineRule="auto"/>
        <w:ind w:firstLine="709"/>
        <w:jc w:val="both"/>
        <w:rPr>
          <w:rFonts w:ascii="Century Gothic" w:eastAsia="Calibri" w:hAnsi="Century Gothic" w:cs="Arial"/>
          <w:color w:val="000000"/>
          <w:lang w:val="es-ES_tradnl" w:eastAsia="en-GB"/>
        </w:rPr>
      </w:pPr>
      <w:r>
        <w:rPr>
          <w:rFonts w:ascii="Century Gothic" w:eastAsia="Times New Roman" w:hAnsi="Century Gothic" w:cs="Arial"/>
          <w:color w:val="000000"/>
          <w:szCs w:val="24"/>
          <w:lang w:eastAsia="es-ES_tradnl"/>
        </w:rPr>
        <w:t>En ese orden de ideas</w:t>
      </w:r>
      <w:r w:rsidRPr="00910B9D">
        <w:rPr>
          <w:rFonts w:ascii="Century Gothic" w:eastAsia="Times New Roman" w:hAnsi="Century Gothic" w:cs="Arial"/>
          <w:color w:val="000000"/>
          <w:szCs w:val="24"/>
          <w:lang w:eastAsia="es-ES_tradnl"/>
        </w:rPr>
        <w:t xml:space="preserve">, </w:t>
      </w:r>
      <w:r>
        <w:rPr>
          <w:rFonts w:ascii="Century Gothic" w:eastAsia="Calibri" w:hAnsi="Century Gothic" w:cs="Arial"/>
          <w:color w:val="000000"/>
          <w:lang w:val="es-ES_tradnl" w:eastAsia="en-GB"/>
        </w:rPr>
        <w:t>se debe tener en cuenta que</w:t>
      </w:r>
      <w:r w:rsidRPr="00910B9D">
        <w:rPr>
          <w:rFonts w:ascii="Century Gothic" w:eastAsia="Times New Roman" w:hAnsi="Century Gothic" w:cs="Arial"/>
          <w:color w:val="000000"/>
          <w:szCs w:val="24"/>
          <w:lang w:eastAsia="es-ES_tradnl"/>
        </w:rPr>
        <w:t xml:space="preserve"> el hecho de que </w:t>
      </w:r>
      <w:r>
        <w:rPr>
          <w:rFonts w:ascii="Century Gothic" w:eastAsia="Times New Roman" w:hAnsi="Century Gothic" w:cs="Arial"/>
          <w:color w:val="000000"/>
          <w:szCs w:val="24"/>
          <w:lang w:eastAsia="es-ES_tradnl"/>
        </w:rPr>
        <w:t xml:space="preserve">un </w:t>
      </w:r>
      <w:r w:rsidRPr="00910B9D">
        <w:rPr>
          <w:rFonts w:ascii="Century Gothic" w:eastAsia="Times New Roman" w:hAnsi="Century Gothic" w:cs="Arial"/>
          <w:color w:val="000000"/>
          <w:szCs w:val="24"/>
          <w:lang w:eastAsia="es-ES_tradnl"/>
        </w:rPr>
        <w:t xml:space="preserve">contratista de obra o interventor se encuentre incluido en dicho </w:t>
      </w:r>
      <w:r w:rsidRPr="00910B9D">
        <w:rPr>
          <w:rFonts w:ascii="Century Gothic" w:eastAsia="Calibri" w:hAnsi="Century Gothic" w:cs="Arial"/>
          <w:color w:val="000000"/>
          <w:lang w:val="es-ES_tradnl" w:eastAsia="en-GB"/>
        </w:rPr>
        <w:t>Registro Nacional de Obras Civiles Inconclusas</w:t>
      </w:r>
      <w:r w:rsidRPr="00910B9D">
        <w:rPr>
          <w:rFonts w:ascii="Century Gothic" w:eastAsia="Times New Roman" w:hAnsi="Century Gothic" w:cs="Arial"/>
          <w:color w:val="000000"/>
          <w:szCs w:val="24"/>
          <w:lang w:eastAsia="es-ES_tradnl"/>
        </w:rPr>
        <w:t xml:space="preserve"> </w:t>
      </w:r>
      <w:r>
        <w:rPr>
          <w:rFonts w:ascii="Century Gothic" w:eastAsia="Times New Roman" w:hAnsi="Century Gothic" w:cs="Arial"/>
          <w:color w:val="000000"/>
          <w:szCs w:val="24"/>
          <w:lang w:eastAsia="es-ES_tradnl"/>
        </w:rPr>
        <w:t xml:space="preserve">no </w:t>
      </w:r>
      <w:r w:rsidRPr="00910B9D">
        <w:rPr>
          <w:rFonts w:ascii="Century Gothic" w:eastAsia="Times New Roman" w:hAnsi="Century Gothic" w:cs="Arial"/>
          <w:color w:val="000000"/>
          <w:szCs w:val="24"/>
          <w:lang w:eastAsia="es-ES_tradnl"/>
        </w:rPr>
        <w:t xml:space="preserve">genera automáticamente una consecuencia en la ponderación de los criterios de evaluación, pues la </w:t>
      </w:r>
      <w:r>
        <w:rPr>
          <w:rFonts w:ascii="Century Gothic" w:eastAsia="Times New Roman" w:hAnsi="Century Gothic" w:cs="Arial"/>
          <w:color w:val="000000"/>
          <w:szCs w:val="24"/>
          <w:lang w:eastAsia="es-ES_tradnl"/>
        </w:rPr>
        <w:t>E</w:t>
      </w:r>
      <w:r w:rsidRPr="00910B9D">
        <w:rPr>
          <w:rFonts w:ascii="Century Gothic" w:eastAsia="Times New Roman" w:hAnsi="Century Gothic" w:cs="Arial"/>
          <w:color w:val="000000"/>
          <w:szCs w:val="24"/>
          <w:lang w:eastAsia="es-ES_tradnl"/>
        </w:rPr>
        <w:t xml:space="preserve">ntidad </w:t>
      </w:r>
      <w:r>
        <w:rPr>
          <w:rFonts w:ascii="Century Gothic" w:eastAsia="Times New Roman" w:hAnsi="Century Gothic" w:cs="Arial"/>
          <w:color w:val="000000"/>
          <w:szCs w:val="24"/>
          <w:lang w:eastAsia="es-ES_tradnl"/>
        </w:rPr>
        <w:t xml:space="preserve">Estatal </w:t>
      </w:r>
      <w:r w:rsidRPr="00910B9D">
        <w:rPr>
          <w:rFonts w:ascii="Century Gothic" w:eastAsia="Times New Roman" w:hAnsi="Century Gothic" w:cs="Arial"/>
          <w:color w:val="000000"/>
          <w:szCs w:val="24"/>
          <w:lang w:eastAsia="es-ES_tradnl"/>
        </w:rPr>
        <w:t xml:space="preserve">tiene el deber de </w:t>
      </w:r>
      <w:r w:rsidRPr="00910B9D">
        <w:rPr>
          <w:rFonts w:ascii="Century Gothic" w:eastAsia="Calibri" w:hAnsi="Century Gothic" w:cs="Arial"/>
          <w:color w:val="000000"/>
          <w:lang w:val="es-ES_tradnl" w:eastAsia="en-GB"/>
        </w:rPr>
        <w:t>consultar</w:t>
      </w:r>
      <w:r>
        <w:rPr>
          <w:rFonts w:ascii="Century Gothic" w:eastAsia="Calibri" w:hAnsi="Century Gothic" w:cs="Arial"/>
          <w:color w:val="000000"/>
          <w:lang w:val="es-ES_tradnl" w:eastAsia="en-GB"/>
        </w:rPr>
        <w:t xml:space="preserve">, </w:t>
      </w:r>
      <w:r w:rsidRPr="00910B9D">
        <w:rPr>
          <w:rFonts w:ascii="Century Gothic" w:eastAsia="Calibri" w:hAnsi="Century Gothic" w:cs="Arial"/>
          <w:color w:val="000000"/>
          <w:lang w:val="es-ES_tradnl" w:eastAsia="en-GB"/>
        </w:rPr>
        <w:t>analizar</w:t>
      </w:r>
      <w:r>
        <w:rPr>
          <w:rFonts w:ascii="Century Gothic" w:eastAsia="Calibri" w:hAnsi="Century Gothic" w:cs="Arial"/>
          <w:color w:val="000000"/>
          <w:lang w:val="es-ES_tradnl" w:eastAsia="en-GB"/>
        </w:rPr>
        <w:t xml:space="preserve"> y valorar</w:t>
      </w:r>
      <w:r w:rsidRPr="00910B9D">
        <w:rPr>
          <w:rFonts w:ascii="Century Gothic" w:eastAsia="Calibri" w:hAnsi="Century Gothic" w:cs="Arial"/>
          <w:color w:val="000000"/>
          <w:lang w:val="es-ES_tradnl" w:eastAsia="en-GB"/>
        </w:rPr>
        <w:t xml:space="preserve"> las anotaciones vigentes</w:t>
      </w:r>
      <w:r>
        <w:rPr>
          <w:rFonts w:ascii="Century Gothic" w:eastAsia="Calibri" w:hAnsi="Century Gothic" w:cs="Arial"/>
          <w:color w:val="000000"/>
          <w:lang w:val="es-ES_tradnl" w:eastAsia="en-GB"/>
        </w:rPr>
        <w:t>, con el fin de verificar si la misma corresponde a incumplimiento del proponente, en el caso de que así sea se aplicará el descuento contemplado.</w:t>
      </w:r>
    </w:p>
    <w:p w14:paraId="4FF22179" w14:textId="1193054B" w:rsidR="00A50145" w:rsidRDefault="00A50145" w:rsidP="00A50145">
      <w:pPr>
        <w:spacing w:before="120" w:after="0" w:line="276" w:lineRule="auto"/>
        <w:ind w:firstLine="709"/>
        <w:jc w:val="both"/>
        <w:rPr>
          <w:rFonts w:ascii="Century Gothic" w:eastAsia="Calibri" w:hAnsi="Century Gothic" w:cs="Arial"/>
          <w:color w:val="000000"/>
          <w:lang w:val="es-ES_tradnl" w:eastAsia="en-GB"/>
        </w:rPr>
      </w:pPr>
      <w:r>
        <w:rPr>
          <w:rFonts w:ascii="Century Gothic" w:eastAsia="Calibri" w:hAnsi="Century Gothic" w:cs="Arial"/>
          <w:color w:val="000000"/>
          <w:lang w:val="es-ES_tradnl" w:eastAsia="en-GB"/>
        </w:rPr>
        <w:t xml:space="preserve">Asimismo, es importante indicar que en el caso de propuestas presentadas por los proponentes plurales, a la Entidad Estatal le asiste el deber de consultar en el </w:t>
      </w:r>
      <w:r w:rsidRPr="00910B9D">
        <w:rPr>
          <w:rFonts w:ascii="Century Gothic" w:eastAsia="Calibri" w:hAnsi="Century Gothic" w:cs="Arial"/>
          <w:color w:val="000000"/>
          <w:lang w:val="es-ES_tradnl" w:eastAsia="en-GB"/>
        </w:rPr>
        <w:t>Registro Nacional de Obras Civiles Inconclusas</w:t>
      </w:r>
      <w:r>
        <w:rPr>
          <w:rFonts w:ascii="Century Gothic" w:eastAsia="Calibri" w:hAnsi="Century Gothic" w:cs="Arial"/>
          <w:color w:val="000000"/>
          <w:lang w:val="es-ES_tradnl" w:eastAsia="en-GB"/>
        </w:rPr>
        <w:t xml:space="preserve"> las anotación que al respecto existan únicamente de sus integrantes, esto es, personas naturales o jurídicas, y en caso tal de que </w:t>
      </w:r>
      <w:r>
        <w:rPr>
          <w:rFonts w:ascii="Century Gothic" w:eastAsia="Times New Roman" w:hAnsi="Century Gothic" w:cs="Arial"/>
          <w:color w:val="000000"/>
          <w:szCs w:val="24"/>
          <w:lang w:eastAsia="es-ES_tradnl"/>
        </w:rPr>
        <w:t>se encuentren</w:t>
      </w:r>
      <w:r w:rsidRPr="00910B9D">
        <w:rPr>
          <w:rFonts w:ascii="Century Gothic" w:eastAsia="Times New Roman" w:hAnsi="Century Gothic" w:cs="Arial"/>
          <w:color w:val="000000"/>
          <w:szCs w:val="24"/>
          <w:lang w:eastAsia="es-ES_tradnl"/>
        </w:rPr>
        <w:t xml:space="preserve"> incluido</w:t>
      </w:r>
      <w:r>
        <w:rPr>
          <w:rFonts w:ascii="Century Gothic" w:eastAsia="Times New Roman" w:hAnsi="Century Gothic" w:cs="Arial"/>
          <w:color w:val="000000"/>
          <w:szCs w:val="24"/>
          <w:lang w:eastAsia="es-ES_tradnl"/>
        </w:rPr>
        <w:t>s</w:t>
      </w:r>
      <w:r w:rsidRPr="00910B9D">
        <w:rPr>
          <w:rFonts w:ascii="Century Gothic" w:eastAsia="Times New Roman" w:hAnsi="Century Gothic" w:cs="Arial"/>
          <w:color w:val="000000"/>
          <w:szCs w:val="24"/>
          <w:lang w:eastAsia="es-ES_tradnl"/>
        </w:rPr>
        <w:t xml:space="preserve"> </w:t>
      </w:r>
      <w:r>
        <w:rPr>
          <w:rFonts w:ascii="Century Gothic" w:eastAsia="Times New Roman" w:hAnsi="Century Gothic" w:cs="Arial"/>
          <w:color w:val="000000"/>
          <w:szCs w:val="24"/>
          <w:lang w:eastAsia="es-ES_tradnl"/>
        </w:rPr>
        <w:t>en dicho registro</w:t>
      </w:r>
      <w:r>
        <w:rPr>
          <w:rFonts w:ascii="Century Gothic" w:eastAsia="Times New Roman" w:hAnsi="Century Gothic" w:cs="Arial"/>
          <w:color w:val="000000"/>
          <w:szCs w:val="24"/>
          <w:lang w:val="es-ES_tradnl" w:eastAsia="es-ES_tradnl"/>
        </w:rPr>
        <w:t xml:space="preserve">, </w:t>
      </w:r>
      <w:r>
        <w:rPr>
          <w:rFonts w:ascii="Century Gothic" w:eastAsia="Calibri" w:hAnsi="Century Gothic" w:cs="Arial"/>
          <w:color w:val="000000"/>
          <w:lang w:val="es-ES_tradnl" w:eastAsia="en-GB"/>
        </w:rPr>
        <w:t xml:space="preserve">deberán verificar si aquella corresponde a una anotación por incumplimiento, en el caso de que así sea, se aplicará el descuento contemplado </w:t>
      </w:r>
    </w:p>
    <w:p w14:paraId="757E3490" w14:textId="77777777" w:rsidR="00A50145" w:rsidRPr="00910B9D" w:rsidRDefault="00A50145" w:rsidP="00A50145">
      <w:pPr>
        <w:pStyle w:val="Textoindependiente"/>
        <w:kinsoku w:val="0"/>
        <w:overflowPunct w:val="0"/>
        <w:ind w:left="709" w:right="709"/>
        <w:jc w:val="both"/>
        <w:rPr>
          <w:rFonts w:ascii="Century Gothic" w:hAnsi="Century Gothic"/>
          <w:spacing w:val="-2"/>
          <w:sz w:val="21"/>
          <w:szCs w:val="21"/>
        </w:rPr>
      </w:pPr>
    </w:p>
    <w:p w14:paraId="071976F1" w14:textId="3CCEEDBF" w:rsidR="00A50145" w:rsidRDefault="00A50145" w:rsidP="00A50145">
      <w:pPr>
        <w:pStyle w:val="Textoindependiente"/>
        <w:kinsoku w:val="0"/>
        <w:overflowPunct w:val="0"/>
        <w:ind w:left="709" w:right="709"/>
        <w:jc w:val="both"/>
        <w:rPr>
          <w:rFonts w:ascii="Century Gothic" w:hAnsi="Century Gothic"/>
          <w:spacing w:val="-2"/>
          <w:sz w:val="21"/>
          <w:szCs w:val="21"/>
        </w:rPr>
      </w:pPr>
      <w:r>
        <w:rPr>
          <w:rFonts w:ascii="Century Gothic" w:hAnsi="Century Gothic"/>
          <w:spacing w:val="-2"/>
          <w:sz w:val="21"/>
          <w:szCs w:val="21"/>
        </w:rPr>
        <w:t>“</w:t>
      </w:r>
      <w:r w:rsidRPr="00910B9D">
        <w:rPr>
          <w:rFonts w:ascii="Century Gothic" w:hAnsi="Century Gothic"/>
          <w:spacing w:val="-2"/>
          <w:sz w:val="21"/>
          <w:szCs w:val="21"/>
        </w:rPr>
        <w:t>2. ¿cuál es la vigencia del reporte en el registro nacional de obras inconclusas de la Contraloría General de la República?</w:t>
      </w:r>
      <w:r>
        <w:rPr>
          <w:rFonts w:ascii="Century Gothic" w:hAnsi="Century Gothic"/>
          <w:spacing w:val="-2"/>
          <w:sz w:val="21"/>
          <w:szCs w:val="21"/>
        </w:rPr>
        <w:t>” (sic)</w:t>
      </w:r>
    </w:p>
    <w:p w14:paraId="7072203C" w14:textId="77777777" w:rsidR="00A50145" w:rsidRDefault="00A50145" w:rsidP="00A50145">
      <w:pPr>
        <w:pStyle w:val="Textoindependiente"/>
        <w:kinsoku w:val="0"/>
        <w:overflowPunct w:val="0"/>
        <w:ind w:right="709"/>
        <w:jc w:val="both"/>
        <w:rPr>
          <w:rFonts w:ascii="Century Gothic" w:hAnsi="Century Gothic"/>
          <w:spacing w:val="-2"/>
          <w:sz w:val="21"/>
          <w:szCs w:val="21"/>
        </w:rPr>
      </w:pPr>
    </w:p>
    <w:p w14:paraId="1322979B" w14:textId="582BE0C4" w:rsidR="00A50145" w:rsidRDefault="00A50145" w:rsidP="000706C9">
      <w:pPr>
        <w:pStyle w:val="Textoindependiente"/>
        <w:spacing w:after="120" w:line="276" w:lineRule="auto"/>
        <w:ind w:firstLine="709"/>
        <w:jc w:val="both"/>
        <w:rPr>
          <w:rFonts w:ascii="Century Gothic" w:hAnsi="Century Gothic"/>
        </w:rPr>
      </w:pPr>
      <w:r w:rsidRPr="007C4974">
        <w:rPr>
          <w:rFonts w:ascii="Century Gothic" w:hAnsi="Century Gothic"/>
        </w:rPr>
        <w:t>En cuanto a</w:t>
      </w:r>
      <w:r>
        <w:rPr>
          <w:rFonts w:ascii="Century Gothic" w:hAnsi="Century Gothic"/>
        </w:rPr>
        <w:t xml:space="preserve"> la vigencia de la anotación en el Registro Nacional de Obras Civiles Inconclusas, tanto la Contraloría General de la República y esta Agencia ha contemplado que dicho término corresponderá hasta que se dé el </w:t>
      </w:r>
      <w:r w:rsidRPr="007C4974">
        <w:rPr>
          <w:rFonts w:ascii="Century Gothic" w:hAnsi="Century Gothic"/>
        </w:rPr>
        <w:t xml:space="preserve">retiro </w:t>
      </w:r>
      <w:r>
        <w:rPr>
          <w:rFonts w:ascii="Century Gothic" w:hAnsi="Century Gothic"/>
        </w:rPr>
        <w:t xml:space="preserve">o cancelación </w:t>
      </w:r>
      <w:r w:rsidRPr="007C4974">
        <w:rPr>
          <w:rFonts w:ascii="Century Gothic" w:hAnsi="Century Gothic"/>
        </w:rPr>
        <w:t>de</w:t>
      </w:r>
      <w:r>
        <w:rPr>
          <w:rFonts w:ascii="Century Gothic" w:hAnsi="Century Gothic"/>
        </w:rPr>
        <w:t xml:space="preserve"> dicha anotación en el mencionado registro, el cual sólo procede si se cumplen los supuestos establecidos en el artículo 12 de la Ley 2020 de 2020, esto es, </w:t>
      </w:r>
      <w:r w:rsidRPr="00187F67">
        <w:rPr>
          <w:rFonts w:ascii="Century Gothic" w:hAnsi="Century Gothic"/>
        </w:rPr>
        <w:t xml:space="preserve">que </w:t>
      </w:r>
      <w:r>
        <w:rPr>
          <w:rFonts w:ascii="Century Gothic" w:hAnsi="Century Gothic"/>
        </w:rPr>
        <w:t xml:space="preserve">la obra </w:t>
      </w:r>
      <w:r w:rsidRPr="00187F67">
        <w:rPr>
          <w:rFonts w:ascii="Century Gothic" w:hAnsi="Century Gothic"/>
        </w:rPr>
        <w:t>ha sido demolida o finalizada exitosamente</w:t>
      </w:r>
      <w:r>
        <w:rPr>
          <w:rFonts w:ascii="Century Gothic" w:hAnsi="Century Gothic"/>
        </w:rPr>
        <w:t>.</w:t>
      </w:r>
    </w:p>
    <w:p w14:paraId="091FE99F" w14:textId="77777777" w:rsidR="00A50145" w:rsidRPr="007C4974" w:rsidRDefault="00A50145" w:rsidP="00A50145">
      <w:pPr>
        <w:pStyle w:val="Textoindependiente"/>
        <w:spacing w:line="276" w:lineRule="auto"/>
        <w:ind w:firstLine="708"/>
        <w:jc w:val="both"/>
        <w:rPr>
          <w:rFonts w:ascii="Century Gothic" w:hAnsi="Century Gothic"/>
        </w:rPr>
      </w:pPr>
      <w:r>
        <w:rPr>
          <w:rFonts w:ascii="Century Gothic" w:hAnsi="Century Gothic"/>
        </w:rPr>
        <w:t xml:space="preserve">Asimismo, </w:t>
      </w:r>
      <w:r w:rsidRPr="007C4974">
        <w:rPr>
          <w:rFonts w:ascii="Century Gothic" w:hAnsi="Century Gothic"/>
        </w:rPr>
        <w:t xml:space="preserve">es </w:t>
      </w:r>
      <w:r>
        <w:rPr>
          <w:rFonts w:ascii="Century Gothic" w:hAnsi="Century Gothic"/>
        </w:rPr>
        <w:t>importante reiterar</w:t>
      </w:r>
      <w:r w:rsidRPr="007C4974">
        <w:rPr>
          <w:rFonts w:ascii="Century Gothic" w:hAnsi="Century Gothic"/>
        </w:rPr>
        <w:t xml:space="preserve"> que la </w:t>
      </w:r>
      <w:r>
        <w:rPr>
          <w:rFonts w:ascii="Century Gothic" w:hAnsi="Century Gothic"/>
        </w:rPr>
        <w:t>o</w:t>
      </w:r>
      <w:r w:rsidRPr="007C4974">
        <w:rPr>
          <w:rFonts w:ascii="Century Gothic" w:hAnsi="Century Gothic"/>
        </w:rPr>
        <w:t>bra reportada como Inconclusa es</w:t>
      </w:r>
      <w:r>
        <w:rPr>
          <w:rFonts w:ascii="Century Gothic" w:hAnsi="Century Gothic"/>
        </w:rPr>
        <w:t xml:space="preserve"> </w:t>
      </w:r>
      <w:r w:rsidRPr="007C4974">
        <w:rPr>
          <w:rFonts w:ascii="Century Gothic" w:hAnsi="Century Gothic"/>
        </w:rPr>
        <w:t xml:space="preserve">responsabilidad de la </w:t>
      </w:r>
      <w:r>
        <w:rPr>
          <w:rFonts w:ascii="Century Gothic" w:hAnsi="Century Gothic"/>
        </w:rPr>
        <w:t>E</w:t>
      </w:r>
      <w:r w:rsidRPr="007C4974">
        <w:rPr>
          <w:rFonts w:ascii="Century Gothic" w:hAnsi="Century Gothic"/>
        </w:rPr>
        <w:t>ntidad</w:t>
      </w:r>
      <w:r>
        <w:rPr>
          <w:rFonts w:ascii="Century Gothic" w:hAnsi="Century Gothic"/>
        </w:rPr>
        <w:t xml:space="preserve"> E</w:t>
      </w:r>
      <w:r w:rsidRPr="007C4974">
        <w:rPr>
          <w:rFonts w:ascii="Century Gothic" w:hAnsi="Century Gothic"/>
        </w:rPr>
        <w:t xml:space="preserve">statal, por ello en caso de </w:t>
      </w:r>
      <w:r>
        <w:rPr>
          <w:rFonts w:ascii="Century Gothic" w:hAnsi="Century Gothic"/>
        </w:rPr>
        <w:t xml:space="preserve">que sea necesario presentar la cancelación de dicho </w:t>
      </w:r>
      <w:r w:rsidRPr="007C4974">
        <w:rPr>
          <w:rFonts w:ascii="Century Gothic" w:hAnsi="Century Gothic"/>
        </w:rPr>
        <w:t xml:space="preserve">reporte, será </w:t>
      </w:r>
      <w:r>
        <w:rPr>
          <w:rFonts w:ascii="Century Gothic" w:hAnsi="Century Gothic"/>
        </w:rPr>
        <w:t>aquella</w:t>
      </w:r>
      <w:r w:rsidRPr="007C4974">
        <w:rPr>
          <w:rFonts w:ascii="Century Gothic" w:hAnsi="Century Gothic"/>
        </w:rPr>
        <w:t xml:space="preserve"> quien debe adelantar los trámites correspondientes</w:t>
      </w:r>
      <w:r>
        <w:rPr>
          <w:rFonts w:ascii="Century Gothic" w:hAnsi="Century Gothic"/>
        </w:rPr>
        <w:t xml:space="preserve">, </w:t>
      </w:r>
      <w:r w:rsidRPr="007C4974">
        <w:rPr>
          <w:rFonts w:ascii="Century Gothic" w:hAnsi="Century Gothic"/>
        </w:rPr>
        <w:t>ante la Contraloría General de la República</w:t>
      </w:r>
      <w:r>
        <w:rPr>
          <w:rFonts w:ascii="Century Gothic" w:hAnsi="Century Gothic"/>
        </w:rPr>
        <w:t>, y</w:t>
      </w:r>
      <w:r w:rsidRPr="007C4974">
        <w:rPr>
          <w:rFonts w:ascii="Century Gothic" w:hAnsi="Century Gothic"/>
        </w:rPr>
        <w:t xml:space="preserve"> aportar los documentos necesarios para</w:t>
      </w:r>
      <w:r>
        <w:rPr>
          <w:rFonts w:ascii="Century Gothic" w:hAnsi="Century Gothic"/>
        </w:rPr>
        <w:t xml:space="preserve"> </w:t>
      </w:r>
      <w:r w:rsidRPr="007C4974">
        <w:rPr>
          <w:rFonts w:ascii="Century Gothic" w:hAnsi="Century Gothic"/>
        </w:rPr>
        <w:t>la exclusión de dicho Registro.</w:t>
      </w:r>
    </w:p>
    <w:p w14:paraId="285227E5" w14:textId="77777777" w:rsidR="00A50145" w:rsidRDefault="00A50145" w:rsidP="00A50145">
      <w:pPr>
        <w:pStyle w:val="Textoindependiente"/>
        <w:spacing w:line="276" w:lineRule="auto"/>
        <w:jc w:val="both"/>
        <w:rPr>
          <w:rFonts w:ascii="Century Gothic" w:hAnsi="Century Gothic"/>
        </w:rPr>
      </w:pPr>
    </w:p>
    <w:p w14:paraId="6DA73E24" w14:textId="448FEB99" w:rsidR="00A50145" w:rsidRPr="00910B9D" w:rsidRDefault="00A50145" w:rsidP="00A50145">
      <w:pPr>
        <w:pStyle w:val="Textoindependiente"/>
        <w:kinsoku w:val="0"/>
        <w:overflowPunct w:val="0"/>
        <w:ind w:left="709" w:right="709"/>
        <w:jc w:val="both"/>
        <w:rPr>
          <w:rFonts w:ascii="Century Gothic" w:hAnsi="Century Gothic"/>
          <w:spacing w:val="-2"/>
          <w:sz w:val="21"/>
          <w:szCs w:val="21"/>
        </w:rPr>
      </w:pPr>
      <w:r>
        <w:rPr>
          <w:rFonts w:ascii="Century Gothic" w:hAnsi="Century Gothic"/>
          <w:spacing w:val="-2"/>
          <w:sz w:val="21"/>
          <w:szCs w:val="21"/>
        </w:rPr>
        <w:t>“</w:t>
      </w:r>
      <w:r w:rsidRPr="00910B9D">
        <w:rPr>
          <w:rFonts w:ascii="Century Gothic" w:hAnsi="Century Gothic"/>
          <w:spacing w:val="-2"/>
          <w:sz w:val="21"/>
          <w:szCs w:val="21"/>
        </w:rPr>
        <w:t>6. ¿Para calificar el reporte en el registro nacional de obras inconclusas, debe tenerse en cuenta cual fue el objeto o tipo de contrato por el cual se reportó, y descartar si este no es de la misma clase de contrato que el que se está evaluando?</w:t>
      </w:r>
      <w:proofErr w:type="gramStart"/>
      <w:r w:rsidRPr="00910B9D">
        <w:rPr>
          <w:rFonts w:ascii="Century Gothic" w:hAnsi="Century Gothic"/>
          <w:spacing w:val="-2"/>
          <w:sz w:val="21"/>
          <w:szCs w:val="21"/>
        </w:rPr>
        <w:t>”.</w:t>
      </w:r>
      <w:r>
        <w:rPr>
          <w:rFonts w:ascii="Century Gothic" w:hAnsi="Century Gothic"/>
          <w:spacing w:val="-2"/>
          <w:sz w:val="21"/>
          <w:szCs w:val="21"/>
        </w:rPr>
        <w:t>(</w:t>
      </w:r>
      <w:proofErr w:type="gramEnd"/>
      <w:r>
        <w:rPr>
          <w:rFonts w:ascii="Century Gothic" w:hAnsi="Century Gothic"/>
          <w:spacing w:val="-2"/>
          <w:sz w:val="21"/>
          <w:szCs w:val="21"/>
        </w:rPr>
        <w:t>sic)</w:t>
      </w:r>
    </w:p>
    <w:p w14:paraId="5CE1FBBF" w14:textId="2873FC37" w:rsidR="00A50145" w:rsidRPr="00910B9D" w:rsidRDefault="00A50145" w:rsidP="000706C9">
      <w:pPr>
        <w:spacing w:before="120" w:after="0" w:line="276" w:lineRule="auto"/>
        <w:ind w:firstLine="708"/>
        <w:jc w:val="both"/>
        <w:rPr>
          <w:rFonts w:ascii="Century Gothic" w:eastAsia="Times New Roman" w:hAnsi="Century Gothic" w:cs="Arial"/>
          <w:color w:val="000000"/>
          <w:szCs w:val="24"/>
          <w:lang w:val="es-MX" w:eastAsia="es-ES_tradnl"/>
        </w:rPr>
      </w:pPr>
      <w:r>
        <w:rPr>
          <w:rFonts w:ascii="Century Gothic" w:eastAsia="Times New Roman" w:hAnsi="Century Gothic" w:cs="Arial"/>
          <w:color w:val="000000"/>
          <w:szCs w:val="24"/>
          <w:lang w:eastAsia="es-ES_tradnl"/>
        </w:rPr>
        <w:t xml:space="preserve">Cuando las entidades estatales adelanten procesos de contratación cuya aplicación de documentos pliego tipo no sea obligatoria, </w:t>
      </w:r>
      <w:r w:rsidRPr="00910B9D">
        <w:rPr>
          <w:rFonts w:ascii="Century Gothic" w:eastAsia="Times New Roman" w:hAnsi="Century Gothic" w:cs="Arial"/>
          <w:color w:val="000000"/>
          <w:szCs w:val="24"/>
          <w:lang w:eastAsia="es-ES_tradnl"/>
        </w:rPr>
        <w:t>cuentan con discrecionalidad para determinar los criterios de calificación, corresponde a estas definir, en los pliegos de condiciones, los factores de asignación de puntaje y</w:t>
      </w:r>
      <w:r w:rsidRPr="00910B9D">
        <w:rPr>
          <w:rFonts w:ascii="Century Gothic" w:eastAsia="Times New Roman" w:hAnsi="Century Gothic" w:cs="Arial"/>
          <w:color w:val="000000"/>
          <w:szCs w:val="24"/>
          <w:lang w:val="es-ES_tradnl" w:eastAsia="es-ES_tradnl"/>
        </w:rPr>
        <w:t xml:space="preserve"> la forma en que se realizará la valoración de las anotaciones vigentes en el Registro Nacional de Obras Civiles Inconclusas al momento de evaluar las ofertas, conforme a los parámetros del artículo 6 de la Ley 2020 de 2020</w:t>
      </w:r>
      <w:r w:rsidRPr="00910B9D">
        <w:rPr>
          <w:rFonts w:ascii="Century Gothic" w:eastAsia="Times New Roman" w:hAnsi="Century Gothic" w:cs="Arial"/>
          <w:color w:val="000000"/>
          <w:szCs w:val="24"/>
          <w:lang w:eastAsia="es-ES_tradnl"/>
        </w:rPr>
        <w:t xml:space="preserve">. Lo anterior, teniendo en cuenta que </w:t>
      </w:r>
      <w:r w:rsidRPr="00910B9D">
        <w:rPr>
          <w:rFonts w:ascii="Century Gothic" w:eastAsia="Times New Roman" w:hAnsi="Century Gothic" w:cs="Arial"/>
          <w:color w:val="000000"/>
          <w:szCs w:val="24"/>
          <w:lang w:val="es-MX" w:eastAsia="es-ES_tradnl"/>
        </w:rPr>
        <w:t xml:space="preserve">la norma no restringió a una metodología específica el análisis y la valoración de estas anotaciones. </w:t>
      </w:r>
    </w:p>
    <w:p w14:paraId="7620FD39" w14:textId="77777777" w:rsidR="00A50145" w:rsidRDefault="00A50145" w:rsidP="00A50145">
      <w:pPr>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Times New Roman" w:hAnsi="Century Gothic" w:cs="Arial"/>
          <w:color w:val="000000"/>
          <w:szCs w:val="24"/>
          <w:lang w:eastAsia="es-ES_tradnl"/>
        </w:rPr>
        <w:t>Sin embargo, debe precisarse que l</w:t>
      </w:r>
      <w:r w:rsidRPr="00910B9D">
        <w:rPr>
          <w:rFonts w:ascii="Century Gothic" w:eastAsia="Calibri" w:hAnsi="Century Gothic" w:cs="Arial"/>
          <w:color w:val="000000"/>
          <w:szCs w:val="24"/>
          <w:lang w:val="es-ES_tradnl" w:eastAsia="en-GB"/>
        </w:rPr>
        <w:t>a sola inclusión en el Registro Nacional de Obras Civiles Inconclusas no puede entenderse como suficiente para</w:t>
      </w:r>
      <w:r w:rsidRPr="00910B9D">
        <w:rPr>
          <w:rFonts w:ascii="Century Gothic" w:eastAsia="Times New Roman" w:hAnsi="Century Gothic" w:cs="Arial"/>
          <w:color w:val="000000"/>
          <w:szCs w:val="24"/>
          <w:lang w:eastAsia="es-ES_tradnl"/>
        </w:rPr>
        <w:t xml:space="preserve"> afectar la ponderación del factor de calidad del proponente, puesto que la norma establece el deber de la entidad de realizar la consulta y el análisis de la anotación. </w:t>
      </w:r>
      <w:r w:rsidRPr="00910B9D">
        <w:rPr>
          <w:rFonts w:ascii="Century Gothic" w:eastAsia="Calibri" w:hAnsi="Century Gothic" w:cs="Arial"/>
          <w:color w:val="000000"/>
          <w:szCs w:val="24"/>
          <w:lang w:val="es-ES_tradnl" w:eastAsia="en-GB"/>
        </w:rPr>
        <w:t xml:space="preserve">Además, como se expuso, el Registro Nacional de Obras Civiles Inconclusas es un sistema </w:t>
      </w:r>
      <w:r w:rsidRPr="00910B9D">
        <w:rPr>
          <w:rFonts w:ascii="Century Gothic" w:eastAsia="Calibri" w:hAnsi="Century Gothic" w:cs="Arial"/>
          <w:color w:val="000000"/>
          <w:szCs w:val="24"/>
          <w:lang w:eastAsia="en-GB"/>
        </w:rPr>
        <w:t xml:space="preserve">que contiene los datos sobre obras inconclusas en todo el territorio nacional, compuesto por la información reportada por las entidades estatales o la información obtenida por la Contraloría General de la República. </w:t>
      </w:r>
      <w:r w:rsidRPr="00910B9D">
        <w:rPr>
          <w:rFonts w:ascii="Century Gothic" w:eastAsia="Calibri" w:hAnsi="Century Gothic" w:cs="Arial"/>
          <w:color w:val="000000"/>
          <w:szCs w:val="24"/>
          <w:lang w:val="es-ES_tradnl" w:eastAsia="en-GB"/>
        </w:rPr>
        <w:t xml:space="preserve">Esto significa que el Registro contiene toda la información necesaria que permita verificar el estado real de dicha obra, entre ellos, datos sobre la identificación del contratista, consultores, interventores y demás personas naturales y/o jurídicas que intervinieron en la planeación y ejecución del proyecto, entre otros. </w:t>
      </w:r>
    </w:p>
    <w:p w14:paraId="6483BF74" w14:textId="049F80E8" w:rsidR="00A50145" w:rsidRPr="00910B9D" w:rsidRDefault="00A50145" w:rsidP="00A50145">
      <w:pPr>
        <w:spacing w:before="120" w:after="0" w:line="276" w:lineRule="auto"/>
        <w:ind w:firstLine="709"/>
        <w:jc w:val="both"/>
        <w:rPr>
          <w:rFonts w:ascii="Century Gothic" w:eastAsia="Calibri" w:hAnsi="Century Gothic" w:cs="Arial"/>
          <w:color w:val="000000"/>
          <w:szCs w:val="24"/>
          <w:lang w:val="es-ES_tradnl" w:eastAsia="en-GB"/>
        </w:rPr>
      </w:pPr>
      <w:r w:rsidRPr="00910B9D">
        <w:rPr>
          <w:rFonts w:ascii="Century Gothic" w:eastAsia="Calibri" w:hAnsi="Century Gothic" w:cs="Arial"/>
          <w:color w:val="000000"/>
          <w:szCs w:val="24"/>
          <w:lang w:val="es-ES_tradnl" w:eastAsia="en-GB"/>
        </w:rPr>
        <w:t xml:space="preserve">En este sentido, no puede entenderse que la sola inclusión de dicha información tenga incidencia </w:t>
      </w:r>
      <w:r w:rsidRPr="00910B9D">
        <w:rPr>
          <w:rFonts w:ascii="Century Gothic" w:eastAsia="Calibri" w:hAnsi="Century Gothic" w:cs="Arial"/>
          <w:i/>
          <w:iCs/>
          <w:color w:val="000000"/>
          <w:szCs w:val="24"/>
          <w:lang w:val="es-ES_tradnl" w:eastAsia="en-GB"/>
        </w:rPr>
        <w:t>automática</w:t>
      </w:r>
      <w:r w:rsidRPr="00910B9D">
        <w:rPr>
          <w:rFonts w:ascii="Century Gothic" w:eastAsia="Calibri" w:hAnsi="Century Gothic" w:cs="Arial"/>
          <w:color w:val="000000"/>
          <w:szCs w:val="24"/>
          <w:lang w:val="es-ES_tradnl" w:eastAsia="en-GB"/>
        </w:rPr>
        <w:t xml:space="preserve"> </w:t>
      </w:r>
      <w:r w:rsidRPr="00910B9D">
        <w:rPr>
          <w:rFonts w:ascii="Century Gothic" w:eastAsia="Calibri" w:hAnsi="Century Gothic" w:cs="Arial"/>
          <w:color w:val="000000"/>
          <w:lang w:val="es-ES_tradnl" w:eastAsia="en-GB"/>
        </w:rPr>
        <w:t xml:space="preserve">al momento de evaluar los factores de ponderación. Por ello, el artículo 6 dispuso expresamente que las entidades estatales contratantes </w:t>
      </w:r>
      <w:r w:rsidRPr="00910B9D">
        <w:rPr>
          <w:rFonts w:ascii="Century Gothic" w:eastAsia="Times New Roman" w:hAnsi="Century Gothic" w:cs="Arial"/>
          <w:color w:val="000000"/>
          <w:lang w:eastAsia="es-ES_tradnl"/>
        </w:rPr>
        <w:t>“</w:t>
      </w:r>
      <w:r w:rsidRPr="00910B9D">
        <w:rPr>
          <w:rFonts w:ascii="Century Gothic" w:eastAsia="Calibri" w:hAnsi="Century Gothic" w:cs="Arial"/>
          <w:color w:val="000000"/>
          <w:lang w:val="es-ES_tradnl" w:eastAsia="en-GB"/>
        </w:rPr>
        <w:t>deberán consultar y analizar las anotaciones vigentes que presenten las personas naturales o jurídicas, nacionales o extranjeras domiciliadas o con sucursal en Colombia, en el Registro Nacional de Obras Civiles Inconclusas</w:t>
      </w:r>
      <w:r w:rsidRPr="00910B9D">
        <w:rPr>
          <w:rFonts w:ascii="Century Gothic" w:eastAsia="Times New Roman" w:hAnsi="Century Gothic" w:cs="Arial"/>
          <w:color w:val="000000"/>
          <w:lang w:eastAsia="es-ES_tradnl"/>
        </w:rPr>
        <w:t>”</w:t>
      </w:r>
      <w:r w:rsidRPr="00910B9D">
        <w:rPr>
          <w:rFonts w:ascii="Century Gothic" w:eastAsia="Calibri" w:hAnsi="Century Gothic" w:cs="Arial"/>
          <w:color w:val="000000"/>
          <w:lang w:val="es-ES_tradnl" w:eastAsia="en-GB"/>
        </w:rPr>
        <w:t>.</w:t>
      </w:r>
    </w:p>
    <w:p w14:paraId="50E11499" w14:textId="77777777" w:rsidR="00A50145" w:rsidRPr="00910B9D" w:rsidRDefault="00A50145" w:rsidP="00A50145">
      <w:pPr>
        <w:pStyle w:val="Textoindependiente"/>
        <w:kinsoku w:val="0"/>
        <w:overflowPunct w:val="0"/>
        <w:ind w:left="709" w:right="709"/>
        <w:jc w:val="both"/>
        <w:rPr>
          <w:rFonts w:ascii="Century Gothic" w:hAnsi="Century Gothic"/>
          <w:spacing w:val="-2"/>
          <w:sz w:val="21"/>
          <w:szCs w:val="21"/>
        </w:rPr>
      </w:pPr>
    </w:p>
    <w:p w14:paraId="266F543F" w14:textId="508911EC" w:rsidR="00A50145" w:rsidRPr="00910B9D" w:rsidRDefault="00A50145" w:rsidP="00A50145">
      <w:pPr>
        <w:pStyle w:val="Textoindependiente"/>
        <w:kinsoku w:val="0"/>
        <w:overflowPunct w:val="0"/>
        <w:ind w:left="709" w:right="709"/>
        <w:jc w:val="both"/>
        <w:rPr>
          <w:rFonts w:ascii="Century Gothic" w:hAnsi="Century Gothic"/>
          <w:spacing w:val="-2"/>
          <w:sz w:val="21"/>
          <w:szCs w:val="21"/>
        </w:rPr>
      </w:pPr>
      <w:r>
        <w:rPr>
          <w:rFonts w:ascii="Century Gothic" w:hAnsi="Century Gothic"/>
          <w:spacing w:val="-2"/>
          <w:sz w:val="21"/>
          <w:szCs w:val="21"/>
        </w:rPr>
        <w:t>“</w:t>
      </w:r>
      <w:r w:rsidRPr="00910B9D">
        <w:rPr>
          <w:rFonts w:ascii="Century Gothic" w:hAnsi="Century Gothic"/>
          <w:spacing w:val="-2"/>
          <w:sz w:val="21"/>
          <w:szCs w:val="21"/>
        </w:rPr>
        <w:t>4. ¿es válido tener en cuenta la observación de descalificación de uno de los oferentes en contra de otro oferente en una etapa posterior al traslado del informe de evaluación?</w:t>
      </w:r>
    </w:p>
    <w:p w14:paraId="17FFCC08" w14:textId="55B82FB9" w:rsidR="00A50145" w:rsidRPr="00910B9D" w:rsidRDefault="00A50145" w:rsidP="00A50145">
      <w:pPr>
        <w:pStyle w:val="Textoindependiente"/>
        <w:kinsoku w:val="0"/>
        <w:overflowPunct w:val="0"/>
        <w:ind w:left="709" w:right="709"/>
        <w:jc w:val="both"/>
        <w:rPr>
          <w:rFonts w:ascii="Century Gothic" w:hAnsi="Century Gothic"/>
          <w:spacing w:val="-2"/>
          <w:sz w:val="21"/>
          <w:szCs w:val="21"/>
        </w:rPr>
      </w:pPr>
      <w:r w:rsidRPr="00910B9D">
        <w:rPr>
          <w:rFonts w:ascii="Century Gothic" w:hAnsi="Century Gothic"/>
          <w:spacing w:val="-2"/>
          <w:sz w:val="21"/>
          <w:szCs w:val="21"/>
        </w:rPr>
        <w:t>5. ¿la entidad estatal al realizar la apertura de sobres solo corre traslado a los proponentes habilitados SOLO para revisión de aspectos económicos?</w:t>
      </w:r>
      <w:r>
        <w:rPr>
          <w:rFonts w:ascii="Century Gothic" w:hAnsi="Century Gothic"/>
          <w:spacing w:val="-2"/>
          <w:sz w:val="21"/>
          <w:szCs w:val="21"/>
        </w:rPr>
        <w:t>” (sic).</w:t>
      </w:r>
    </w:p>
    <w:p w14:paraId="4DBF7127" w14:textId="77777777" w:rsidR="00F364A3" w:rsidRDefault="00F364A3" w:rsidP="00B21D0E">
      <w:pPr>
        <w:widowControl w:val="0"/>
        <w:autoSpaceDE w:val="0"/>
        <w:autoSpaceDN w:val="0"/>
        <w:spacing w:after="0" w:line="276" w:lineRule="auto"/>
        <w:jc w:val="both"/>
        <w:rPr>
          <w:rFonts w:ascii="Century Gothic" w:eastAsia="Times New Roman" w:hAnsi="Century Gothic" w:cs="Arial"/>
          <w:color w:val="000000"/>
          <w:lang w:eastAsia="es-ES_tradnl"/>
        </w:rPr>
      </w:pPr>
    </w:p>
    <w:p w14:paraId="6AB8E6CD" w14:textId="3B0D720A" w:rsidR="00B21D0E" w:rsidRPr="00B21D0E" w:rsidRDefault="00F364A3" w:rsidP="000706C9">
      <w:pPr>
        <w:widowControl w:val="0"/>
        <w:autoSpaceDE w:val="0"/>
        <w:autoSpaceDN w:val="0"/>
        <w:spacing w:after="120" w:line="276" w:lineRule="auto"/>
        <w:ind w:firstLine="578"/>
        <w:jc w:val="both"/>
        <w:rPr>
          <w:rFonts w:ascii="Century Gothic" w:eastAsia="Times New Roman" w:hAnsi="Century Gothic" w:cs="Arial"/>
          <w:color w:val="000000"/>
          <w:lang w:eastAsia="es-ES_tradnl"/>
        </w:rPr>
      </w:pPr>
      <w:r>
        <w:rPr>
          <w:rFonts w:ascii="Century Gothic" w:eastAsia="Times New Roman" w:hAnsi="Century Gothic" w:cs="Arial"/>
          <w:color w:val="000000"/>
          <w:lang w:eastAsia="es-ES_tradnl"/>
        </w:rPr>
        <w:t>En</w:t>
      </w:r>
      <w:r w:rsidR="00B21D0E" w:rsidRPr="00B21D0E">
        <w:rPr>
          <w:rFonts w:ascii="Century Gothic" w:eastAsia="Times New Roman" w:hAnsi="Century Gothic" w:cs="Arial"/>
          <w:color w:val="000000"/>
          <w:lang w:eastAsia="es-ES_tradnl"/>
        </w:rPr>
        <w:t xml:space="preserve"> virtud de los principios de economía y transparencia, los procesos de contratación se rigen particularmente, por la preclusividad y perentoriedad de los términos que rigen las etapas del proceso de selección del contratista. De manera que, cuando los interesados en un proceso de contratación presenten observaciones y/o solicitudes de aclaraciones al informe de evaluación de las ofertas, fuera de los plazos establecidos por el ordenamiento jurídico y por el cronograma del respectivo proceso de contratación pública, según el caso; dicha circunstancia implica </w:t>
      </w:r>
      <w:r w:rsidR="00B21D0E" w:rsidRPr="00D429B1">
        <w:rPr>
          <w:rFonts w:ascii="Century Gothic" w:eastAsia="Times New Roman" w:hAnsi="Century Gothic" w:cs="Arial"/>
          <w:i/>
          <w:iCs/>
          <w:color w:val="000000"/>
          <w:lang w:eastAsia="es-ES_tradnl"/>
        </w:rPr>
        <w:t>per se</w:t>
      </w:r>
      <w:r w:rsidR="00B21D0E" w:rsidRPr="00B21D0E">
        <w:rPr>
          <w:rFonts w:ascii="Century Gothic" w:eastAsia="Times New Roman" w:hAnsi="Century Gothic" w:cs="Arial"/>
          <w:color w:val="000000"/>
          <w:lang w:eastAsia="es-ES_tradnl"/>
        </w:rPr>
        <w:t xml:space="preserve"> que la observación es extemporánea.</w:t>
      </w:r>
    </w:p>
    <w:p w14:paraId="0498B7BE" w14:textId="2031776E" w:rsidR="00B21D0E" w:rsidRDefault="00B21D0E" w:rsidP="00D429B1">
      <w:pPr>
        <w:widowControl w:val="0"/>
        <w:autoSpaceDE w:val="0"/>
        <w:autoSpaceDN w:val="0"/>
        <w:spacing w:after="0" w:line="276" w:lineRule="auto"/>
        <w:ind w:firstLine="580"/>
        <w:jc w:val="both"/>
        <w:rPr>
          <w:rFonts w:ascii="Century Gothic" w:hAnsi="Century Gothic"/>
        </w:rPr>
      </w:pPr>
      <w:r w:rsidRPr="00B21D0E">
        <w:rPr>
          <w:rFonts w:ascii="Century Gothic" w:eastAsia="Times New Roman" w:hAnsi="Century Gothic" w:cs="Arial"/>
          <w:color w:val="000000"/>
          <w:lang w:eastAsia="es-ES_tradnl"/>
        </w:rPr>
        <w:t xml:space="preserve">Por lo cual, si bien la entidad estatal que adelanta un proceso de contratación está en la obligación de responder las observaciones extemporáneas, esa respuesta debe consistir o limitarse al rechazo de la observación, precisamente, por ser extemporánea. Respuesta por demás, que debe proferirse antes de que inicie la siguiente etapa o fase del proceso contractual. En este sentido, </w:t>
      </w:r>
      <w:r>
        <w:rPr>
          <w:rFonts w:ascii="Century Gothic" w:hAnsi="Century Gothic" w:cs="Arial"/>
          <w:color w:val="000000" w:themeColor="text1"/>
        </w:rPr>
        <w:t>en los procesos de</w:t>
      </w:r>
      <w:r w:rsidR="00A3443D">
        <w:rPr>
          <w:rFonts w:ascii="Century Gothic" w:hAnsi="Century Gothic" w:cs="Arial"/>
          <w:color w:val="000000" w:themeColor="text1"/>
        </w:rPr>
        <w:t xml:space="preserve"> selección de</w:t>
      </w:r>
      <w:r>
        <w:rPr>
          <w:rFonts w:ascii="Century Gothic" w:hAnsi="Century Gothic" w:cs="Arial"/>
          <w:color w:val="000000" w:themeColor="text1"/>
        </w:rPr>
        <w:t xml:space="preserve"> licitación pública, </w:t>
      </w:r>
      <w:r>
        <w:rPr>
          <w:rFonts w:ascii="Century Gothic" w:hAnsi="Century Gothic"/>
        </w:rPr>
        <w:t xml:space="preserve">una vez </w:t>
      </w:r>
      <w:r w:rsidR="00A3443D">
        <w:rPr>
          <w:rFonts w:ascii="Century Gothic" w:hAnsi="Century Gothic"/>
        </w:rPr>
        <w:t xml:space="preserve">se dé la </w:t>
      </w:r>
      <w:r w:rsidR="00F17A57">
        <w:rPr>
          <w:rFonts w:ascii="Century Gothic" w:hAnsi="Century Gothic"/>
        </w:rPr>
        <w:t>apertura del</w:t>
      </w:r>
      <w:r w:rsidRPr="00910B9D">
        <w:rPr>
          <w:rFonts w:ascii="Century Gothic" w:hAnsi="Century Gothic"/>
        </w:rPr>
        <w:t xml:space="preserve"> segundo sobre </w:t>
      </w:r>
      <w:r w:rsidR="00F17A57">
        <w:rPr>
          <w:rFonts w:ascii="Century Gothic" w:hAnsi="Century Gothic"/>
        </w:rPr>
        <w:t xml:space="preserve">que contiene </w:t>
      </w:r>
      <w:r w:rsidRPr="00910B9D">
        <w:rPr>
          <w:rFonts w:ascii="Century Gothic" w:hAnsi="Century Gothic"/>
        </w:rPr>
        <w:t xml:space="preserve">las ofertas económicas, </w:t>
      </w:r>
      <w:r>
        <w:rPr>
          <w:rFonts w:ascii="Century Gothic" w:hAnsi="Century Gothic"/>
        </w:rPr>
        <w:t>sólo</w:t>
      </w:r>
      <w:r w:rsidRPr="00910B9D">
        <w:rPr>
          <w:rFonts w:ascii="Century Gothic" w:hAnsi="Century Gothic"/>
        </w:rPr>
        <w:t xml:space="preserve"> se correrá traslado </w:t>
      </w:r>
      <w:r>
        <w:rPr>
          <w:rFonts w:ascii="Century Gothic" w:hAnsi="Century Gothic"/>
        </w:rPr>
        <w:t xml:space="preserve">a los proponentes habilitados </w:t>
      </w:r>
      <w:r w:rsidRPr="00910B9D">
        <w:rPr>
          <w:rFonts w:ascii="Century Gothic" w:hAnsi="Century Gothic"/>
        </w:rPr>
        <w:t>para revisiones del aspecto</w:t>
      </w:r>
      <w:r w:rsidRPr="00910B9D">
        <w:rPr>
          <w:rFonts w:ascii="Century Gothic" w:hAnsi="Century Gothic"/>
          <w:spacing w:val="-3"/>
        </w:rPr>
        <w:t xml:space="preserve"> </w:t>
      </w:r>
      <w:r w:rsidRPr="00910B9D">
        <w:rPr>
          <w:rFonts w:ascii="Century Gothic" w:hAnsi="Century Gothic"/>
        </w:rPr>
        <w:t>económico</w:t>
      </w:r>
      <w:r>
        <w:rPr>
          <w:rFonts w:ascii="Century Gothic" w:hAnsi="Century Gothic"/>
        </w:rPr>
        <w:t>, por lo que se deberá presentar y resolver observaciones exclusivamente de dicho tema.</w:t>
      </w:r>
    </w:p>
    <w:p w14:paraId="47E54B58" w14:textId="77777777" w:rsidR="00F17A57" w:rsidRDefault="00F17A57" w:rsidP="00D429B1">
      <w:pPr>
        <w:widowControl w:val="0"/>
        <w:autoSpaceDE w:val="0"/>
        <w:autoSpaceDN w:val="0"/>
        <w:spacing w:after="0" w:line="276" w:lineRule="auto"/>
        <w:ind w:firstLine="580"/>
        <w:jc w:val="both"/>
        <w:rPr>
          <w:rFonts w:ascii="Century Gothic" w:hAnsi="Century Gothic"/>
        </w:rPr>
      </w:pPr>
    </w:p>
    <w:p w14:paraId="46AD6216" w14:textId="31D78256" w:rsidR="00B21D0E" w:rsidRPr="00B21D0E" w:rsidRDefault="00F364A3" w:rsidP="00B21D0E">
      <w:pPr>
        <w:widowControl w:val="0"/>
        <w:autoSpaceDE w:val="0"/>
        <w:autoSpaceDN w:val="0"/>
        <w:spacing w:after="0" w:line="276" w:lineRule="auto"/>
        <w:jc w:val="both"/>
        <w:rPr>
          <w:rFonts w:ascii="Century Gothic" w:eastAsia="Times New Roman" w:hAnsi="Century Gothic" w:cs="Arial"/>
          <w:color w:val="000000"/>
          <w:lang w:eastAsia="es-ES_tradnl"/>
        </w:rPr>
      </w:pPr>
      <w:r w:rsidRPr="00F364A3">
        <w:rPr>
          <w:rFonts w:ascii="Century Gothic" w:eastAsia="Times New Roman" w:hAnsi="Century Gothic" w:cs="Arial"/>
          <w:color w:val="000000"/>
          <w:lang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9EF82B5" w14:textId="77777777" w:rsidR="004624B1" w:rsidRPr="00910B9D" w:rsidRDefault="004624B1" w:rsidP="004624B1">
      <w:pPr>
        <w:widowControl w:val="0"/>
        <w:autoSpaceDE w:val="0"/>
        <w:autoSpaceDN w:val="0"/>
        <w:spacing w:after="0" w:line="276" w:lineRule="auto"/>
        <w:jc w:val="both"/>
        <w:rPr>
          <w:rFonts w:ascii="Century Gothic" w:eastAsia="Times New Roman" w:hAnsi="Century Gothic" w:cs="Arial"/>
          <w:color w:val="000000"/>
          <w:szCs w:val="24"/>
          <w:lang w:val="es-ES_tradnl" w:eastAsia="es-ES_tradnl"/>
        </w:rPr>
      </w:pPr>
    </w:p>
    <w:p w14:paraId="2476511E" w14:textId="77777777" w:rsidR="004624B1" w:rsidRPr="00910B9D" w:rsidRDefault="004624B1" w:rsidP="230E2696">
      <w:pPr>
        <w:widowControl w:val="0"/>
        <w:autoSpaceDE w:val="0"/>
        <w:autoSpaceDN w:val="0"/>
        <w:spacing w:after="0" w:line="276" w:lineRule="auto"/>
        <w:jc w:val="both"/>
        <w:rPr>
          <w:rFonts w:ascii="Century Gothic" w:eastAsia="Times New Roman" w:hAnsi="Century Gothic" w:cs="Arial"/>
          <w:lang w:val="es-ES" w:eastAsia="es-ES" w:bidi="es-ES"/>
        </w:rPr>
      </w:pPr>
      <w:r w:rsidRPr="230E2696">
        <w:rPr>
          <w:rFonts w:ascii="Century Gothic" w:eastAsia="Times New Roman" w:hAnsi="Century Gothic" w:cs="Arial"/>
          <w:color w:val="000000"/>
          <w:lang w:val="es-ES" w:eastAsia="es-ES"/>
        </w:rPr>
        <w:t>Atentamente,</w:t>
      </w:r>
      <w:r w:rsidRPr="00910B9D">
        <w:rPr>
          <w:rFonts w:ascii="Century Gothic" w:hAnsi="Century Gothic"/>
          <w:noProof/>
          <w:lang w:val="en-US"/>
        </w:rPr>
        <mc:AlternateContent>
          <mc:Choice Requires="wps">
            <w:drawing>
              <wp:anchor distT="0" distB="0" distL="0" distR="0" simplePos="0" relativeHeight="251658240" behindDoc="0" locked="0" layoutInCell="0" allowOverlap="1" wp14:anchorId="04673EE3" wp14:editId="07E432EE">
                <wp:simplePos x="0" y="0"/>
                <wp:positionH relativeFrom="page">
                  <wp:posOffset>2636520</wp:posOffset>
                </wp:positionH>
                <wp:positionV relativeFrom="paragraph">
                  <wp:posOffset>189865</wp:posOffset>
                </wp:positionV>
                <wp:extent cx="2578100" cy="800100"/>
                <wp:effectExtent l="0" t="3175" r="0" b="0"/>
                <wp:wrapTopAndBottom/>
                <wp:docPr id="519088876" name="Rectángulo 5190888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0"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F4CD4E" w14:textId="4D1E71EE" w:rsidR="004624B1" w:rsidRDefault="000617EA" w:rsidP="004624B1">
                            <w:pPr>
                              <w:spacing w:line="1260" w:lineRule="atLeast"/>
                              <w:rPr>
                                <w:rFonts w:ascii="Times New Roman" w:hAnsi="Times New Roman" w:cs="Times New Roman"/>
                                <w:sz w:val="24"/>
                                <w:szCs w:val="24"/>
                              </w:rPr>
                            </w:pPr>
                            <w:r>
                              <w:rPr>
                                <w:noProof/>
                              </w:rPr>
                              <w:drawing>
                                <wp:inline distT="0" distB="0" distL="0" distR="0" wp14:anchorId="24059BA4" wp14:editId="6B6B13E1">
                                  <wp:extent cx="2578100" cy="988763"/>
                                  <wp:effectExtent l="0" t="0" r="0" b="1905"/>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578100" cy="988763"/>
                                          </a:xfrm>
                                          <a:prstGeom prst="rect">
                                            <a:avLst/>
                                          </a:prstGeom>
                                        </pic:spPr>
                                      </pic:pic>
                                    </a:graphicData>
                                  </a:graphic>
                                </wp:inline>
                              </w:drawing>
                            </w:r>
                          </w:p>
                          <w:p w14:paraId="70752590" w14:textId="77777777" w:rsidR="004624B1" w:rsidRDefault="004624B1" w:rsidP="004624B1">
                            <w:pPr>
                              <w:rPr>
                                <w:rFonts w:ascii="Times New Roman" w:hAnsi="Times New Roman" w:cs="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673EE3" id="Rectángulo 519088876" o:spid="_x0000_s1026" style="position:absolute;left:0;text-align:left;margin-left:207.6pt;margin-top:14.95pt;width:203pt;height:63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" o:allowincell="f" filled="f" stroked="f">
                <v:textbox inset="0,0,0,0">
                  <w:txbxContent>
                    <w:p w14:paraId="5EF4CD4E" w14:textId="4D1E71EE" w:rsidR="004624B1" w:rsidRDefault="000617EA" w:rsidP="004624B1">
                      <w:pPr>
                        <w:spacing w:line="1260" w:lineRule="atLeast"/>
                        <w:rPr>
                          <w:rFonts w:ascii="Times New Roman" w:hAnsi="Times New Roman" w:cs="Times New Roman"/>
                          <w:sz w:val="24"/>
                          <w:szCs w:val="24"/>
                        </w:rPr>
                      </w:pPr>
                      <w:r>
                        <w:rPr>
                          <w:noProof/>
                        </w:rPr>
                        <w:drawing>
                          <wp:inline distT="0" distB="0" distL="0" distR="0" wp14:anchorId="24059BA4" wp14:editId="6B6B13E1">
                            <wp:extent cx="2578100" cy="988763"/>
                            <wp:effectExtent l="0" t="0" r="0" b="1905"/>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578100" cy="988763"/>
                                    </a:xfrm>
                                    <a:prstGeom prst="rect">
                                      <a:avLst/>
                                    </a:prstGeom>
                                  </pic:spPr>
                                </pic:pic>
                              </a:graphicData>
                            </a:graphic>
                          </wp:inline>
                        </w:drawing>
                      </w:r>
                    </w:p>
                    <w:p w14:paraId="70752590" w14:textId="77777777" w:rsidR="004624B1" w:rsidRDefault="004624B1" w:rsidP="004624B1">
                      <w:pPr>
                        <w:rPr>
                          <w:rFonts w:ascii="Times New Roman" w:hAnsi="Times New Roman" w:cs="Times New Roman"/>
                          <w:sz w:val="24"/>
                          <w:szCs w:val="24"/>
                        </w:rPr>
                      </w:pPr>
                    </w:p>
                  </w:txbxContent>
                </v:textbox>
                <w10:wrap type="topAndBottom" anchorx="page"/>
              </v:rect>
            </w:pict>
          </mc:Fallback>
        </mc:AlternateContent>
      </w:r>
    </w:p>
    <w:p w14:paraId="15359D6B" w14:textId="1C70B89C" w:rsidR="230E2696" w:rsidRDefault="230E2696" w:rsidP="230E2696">
      <w:pPr>
        <w:widowControl w:val="0"/>
        <w:spacing w:after="0" w:line="276" w:lineRule="auto"/>
        <w:jc w:val="both"/>
        <w:rPr>
          <w:rFonts w:ascii="Century Gothic" w:eastAsia="Times New Roman" w:hAnsi="Century Gothic" w:cs="Arial"/>
          <w:color w:val="000000" w:themeColor="text1"/>
          <w:lang w:val="es-ES" w:eastAsia="es-ES"/>
        </w:rPr>
      </w:pPr>
    </w:p>
    <w:p w14:paraId="6A12ACEF" w14:textId="77777777" w:rsidR="004624B1" w:rsidRPr="00910B9D" w:rsidRDefault="004624B1" w:rsidP="004624B1">
      <w:pPr>
        <w:pStyle w:val="Textoindependiente"/>
        <w:kinsoku w:val="0"/>
        <w:overflowPunct w:val="0"/>
        <w:spacing w:before="119" w:line="276" w:lineRule="auto"/>
        <w:ind w:right="176"/>
        <w:jc w:val="both"/>
        <w:rPr>
          <w:rFonts w:ascii="Century Gothic" w:hAnsi="Century Gothic"/>
        </w:rPr>
      </w:pPr>
    </w:p>
    <w:tbl>
      <w:tblPr>
        <w:tblStyle w:val="Tablaconcuadrcula"/>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6"/>
        <w:gridCol w:w="5100"/>
      </w:tblGrid>
      <w:tr w:rsidR="004624B1" w:rsidRPr="00910B9D" w14:paraId="036051DD" w14:textId="77777777" w:rsidTr="004624B1">
        <w:trPr>
          <w:trHeight w:val="309"/>
        </w:trPr>
        <w:tc>
          <w:tcPr>
            <w:tcW w:w="1016" w:type="dxa"/>
            <w:vAlign w:val="center"/>
            <w:hideMark/>
          </w:tcPr>
          <w:p w14:paraId="69814023" w14:textId="77777777" w:rsidR="004624B1" w:rsidRPr="00910B9D" w:rsidRDefault="004624B1" w:rsidP="00A868BD">
            <w:pPr>
              <w:rPr>
                <w:rFonts w:ascii="Century Gothic" w:eastAsia="Times New Roman" w:hAnsi="Century Gothic" w:cs="Arial"/>
                <w:color w:val="000000"/>
                <w:sz w:val="16"/>
                <w:szCs w:val="16"/>
                <w:lang w:eastAsia="es-ES"/>
              </w:rPr>
            </w:pPr>
            <w:r w:rsidRPr="00910B9D">
              <w:rPr>
                <w:rFonts w:ascii="Century Gothic" w:eastAsia="Times New Roman" w:hAnsi="Century Gothic" w:cs="Arial"/>
                <w:color w:val="000000"/>
                <w:sz w:val="16"/>
                <w:szCs w:val="16"/>
                <w:lang w:eastAsia="es-ES"/>
              </w:rPr>
              <w:t>Elaboró:</w:t>
            </w:r>
          </w:p>
        </w:tc>
        <w:tc>
          <w:tcPr>
            <w:tcW w:w="5100" w:type="dxa"/>
            <w:tcBorders>
              <w:top w:val="nil"/>
              <w:left w:val="nil"/>
              <w:bottom w:val="dotted" w:sz="4" w:space="0" w:color="7F7F7F" w:themeColor="text1" w:themeTint="80"/>
              <w:right w:val="nil"/>
            </w:tcBorders>
            <w:vAlign w:val="center"/>
            <w:hideMark/>
          </w:tcPr>
          <w:p w14:paraId="1E866D76" w14:textId="449D6AB2" w:rsidR="004624B1" w:rsidRPr="00910B9D" w:rsidRDefault="00D26066" w:rsidP="00A868BD">
            <w:pPr>
              <w:rPr>
                <w:rFonts w:ascii="Century Gothic" w:hAnsi="Century Gothic" w:cs="Arial"/>
                <w:sz w:val="16"/>
                <w:szCs w:val="16"/>
                <w:lang w:eastAsia="es-ES"/>
              </w:rPr>
            </w:pPr>
            <w:r w:rsidRPr="00910B9D">
              <w:rPr>
                <w:rFonts w:ascii="Century Gothic" w:hAnsi="Century Gothic" w:cs="Arial"/>
                <w:sz w:val="16"/>
                <w:szCs w:val="16"/>
                <w:lang w:eastAsia="es-ES"/>
              </w:rPr>
              <w:t>Any Alejandra Tovar Castillo</w:t>
            </w:r>
          </w:p>
          <w:p w14:paraId="26220D2E" w14:textId="77777777" w:rsidR="004624B1" w:rsidRPr="00910B9D" w:rsidRDefault="004624B1" w:rsidP="00A868BD">
            <w:pPr>
              <w:rPr>
                <w:rFonts w:ascii="Century Gothic" w:eastAsia="Times New Roman" w:hAnsi="Century Gothic" w:cs="Arial"/>
                <w:color w:val="000000"/>
                <w:sz w:val="16"/>
                <w:szCs w:val="16"/>
                <w:lang w:eastAsia="es-ES"/>
              </w:rPr>
            </w:pPr>
            <w:r w:rsidRPr="00910B9D">
              <w:rPr>
                <w:rFonts w:ascii="Century Gothic" w:hAnsi="Century Gothic" w:cs="Arial"/>
                <w:sz w:val="16"/>
                <w:szCs w:val="16"/>
                <w:lang w:eastAsia="es-ES"/>
              </w:rPr>
              <w:t>Contratista de la Subdirección de Gestión Contractual</w:t>
            </w:r>
            <w:r w:rsidRPr="00910B9D" w:rsidDel="004628B9">
              <w:rPr>
                <w:rFonts w:ascii="Century Gothic" w:eastAsia="Times New Roman" w:hAnsi="Century Gothic" w:cs="Arial"/>
                <w:color w:val="000000"/>
                <w:sz w:val="16"/>
                <w:szCs w:val="16"/>
                <w:lang w:eastAsia="es-ES"/>
              </w:rPr>
              <w:t xml:space="preserve"> </w:t>
            </w:r>
          </w:p>
        </w:tc>
      </w:tr>
      <w:tr w:rsidR="004624B1" w:rsidRPr="00910B9D" w14:paraId="72260115" w14:textId="77777777" w:rsidTr="004624B1">
        <w:trPr>
          <w:trHeight w:val="323"/>
        </w:trPr>
        <w:tc>
          <w:tcPr>
            <w:tcW w:w="1016" w:type="dxa"/>
            <w:vAlign w:val="center"/>
            <w:hideMark/>
          </w:tcPr>
          <w:p w14:paraId="21314EF3" w14:textId="77777777" w:rsidR="004624B1" w:rsidRPr="00910B9D" w:rsidRDefault="004624B1" w:rsidP="00A868BD">
            <w:pPr>
              <w:rPr>
                <w:rFonts w:ascii="Century Gothic" w:eastAsia="Times New Roman" w:hAnsi="Century Gothic" w:cs="Arial"/>
                <w:color w:val="000000"/>
                <w:sz w:val="16"/>
                <w:szCs w:val="16"/>
                <w:lang w:eastAsia="es-ES"/>
              </w:rPr>
            </w:pPr>
            <w:r w:rsidRPr="00910B9D">
              <w:rPr>
                <w:rFonts w:ascii="Century Gothic" w:eastAsia="Times New Roman" w:hAnsi="Century Gothic" w:cs="Arial"/>
                <w:color w:val="000000"/>
                <w:sz w:val="16"/>
                <w:szCs w:val="16"/>
                <w:lang w:eastAsia="es-ES"/>
              </w:rPr>
              <w:t>Revisó:</w:t>
            </w:r>
          </w:p>
        </w:tc>
        <w:tc>
          <w:tcPr>
            <w:tcW w:w="5100" w:type="dxa"/>
            <w:tcBorders>
              <w:top w:val="dotted" w:sz="4" w:space="0" w:color="7F7F7F" w:themeColor="text1" w:themeTint="80"/>
              <w:left w:val="nil"/>
              <w:bottom w:val="dotted" w:sz="4" w:space="0" w:color="7F7F7F" w:themeColor="text1" w:themeTint="80"/>
              <w:right w:val="nil"/>
            </w:tcBorders>
            <w:vAlign w:val="center"/>
            <w:hideMark/>
          </w:tcPr>
          <w:p w14:paraId="7BAE7493" w14:textId="77777777" w:rsidR="004624B1" w:rsidRPr="00910B9D" w:rsidRDefault="004624B1" w:rsidP="00A868BD">
            <w:pPr>
              <w:rPr>
                <w:rFonts w:ascii="Century Gothic" w:eastAsia="Times New Roman" w:hAnsi="Century Gothic" w:cs="Arial"/>
                <w:color w:val="000000"/>
                <w:sz w:val="16"/>
                <w:szCs w:val="16"/>
                <w:lang w:eastAsia="es-ES"/>
              </w:rPr>
            </w:pPr>
            <w:r w:rsidRPr="00910B9D">
              <w:rPr>
                <w:rFonts w:ascii="Century Gothic" w:eastAsia="Times New Roman" w:hAnsi="Century Gothic" w:cs="Arial"/>
                <w:color w:val="000000"/>
                <w:sz w:val="16"/>
                <w:szCs w:val="16"/>
                <w:lang w:eastAsia="es-ES"/>
              </w:rPr>
              <w:t>Alejandro Sarmiento Cantillo</w:t>
            </w:r>
          </w:p>
          <w:p w14:paraId="2361988C" w14:textId="655BEF10" w:rsidR="004624B1" w:rsidRPr="00910B9D" w:rsidRDefault="004624B1" w:rsidP="00A868BD">
            <w:pPr>
              <w:rPr>
                <w:rFonts w:ascii="Century Gothic" w:eastAsia="Times New Roman" w:hAnsi="Century Gothic" w:cs="Arial"/>
                <w:color w:val="000000" w:themeColor="text1"/>
                <w:sz w:val="16"/>
                <w:szCs w:val="16"/>
                <w:lang w:eastAsia="es-ES"/>
              </w:rPr>
            </w:pPr>
            <w:r w:rsidRPr="00910B9D">
              <w:rPr>
                <w:rFonts w:ascii="Century Gothic" w:eastAsia="Times New Roman" w:hAnsi="Century Gothic" w:cs="Arial"/>
                <w:color w:val="000000" w:themeColor="text1"/>
                <w:sz w:val="16"/>
                <w:szCs w:val="16"/>
                <w:lang w:eastAsia="es-ES"/>
              </w:rPr>
              <w:t>Gestor T1-15 de la Subdirección de Gestión Contractual</w:t>
            </w:r>
          </w:p>
        </w:tc>
      </w:tr>
      <w:tr w:rsidR="004624B1" w:rsidRPr="00910B9D" w14:paraId="4344B588" w14:textId="77777777" w:rsidTr="004624B1">
        <w:trPr>
          <w:trHeight w:val="294"/>
        </w:trPr>
        <w:tc>
          <w:tcPr>
            <w:tcW w:w="1016" w:type="dxa"/>
            <w:vAlign w:val="center"/>
            <w:hideMark/>
          </w:tcPr>
          <w:p w14:paraId="370474BF" w14:textId="77777777" w:rsidR="004624B1" w:rsidRPr="00910B9D" w:rsidRDefault="004624B1" w:rsidP="00A868BD">
            <w:pPr>
              <w:rPr>
                <w:rFonts w:ascii="Century Gothic" w:eastAsia="Times New Roman" w:hAnsi="Century Gothic" w:cs="Arial"/>
                <w:color w:val="000000"/>
                <w:sz w:val="16"/>
                <w:szCs w:val="16"/>
                <w:lang w:eastAsia="es-ES"/>
              </w:rPr>
            </w:pPr>
            <w:r w:rsidRPr="00910B9D">
              <w:rPr>
                <w:rFonts w:ascii="Century Gothic" w:eastAsia="Times New Roman" w:hAnsi="Century Gothic" w:cs="Arial"/>
                <w:color w:val="000000"/>
                <w:sz w:val="16"/>
                <w:szCs w:val="16"/>
                <w:lang w:eastAsia="es-ES"/>
              </w:rPr>
              <w:t>Aprobó:</w:t>
            </w:r>
          </w:p>
        </w:tc>
        <w:tc>
          <w:tcPr>
            <w:tcW w:w="5100" w:type="dxa"/>
            <w:tcBorders>
              <w:top w:val="dotted" w:sz="4" w:space="0" w:color="7F7F7F" w:themeColor="text1" w:themeTint="80"/>
              <w:left w:val="nil"/>
              <w:bottom w:val="dotted" w:sz="4" w:space="0" w:color="7F7F7F" w:themeColor="text1" w:themeTint="80"/>
              <w:right w:val="nil"/>
            </w:tcBorders>
            <w:vAlign w:val="center"/>
            <w:hideMark/>
          </w:tcPr>
          <w:p w14:paraId="40FF8F70" w14:textId="77777777" w:rsidR="004624B1" w:rsidRPr="00910B9D" w:rsidRDefault="004624B1" w:rsidP="00A868BD">
            <w:pPr>
              <w:rPr>
                <w:rFonts w:ascii="Century Gothic" w:hAnsi="Century Gothic"/>
              </w:rPr>
            </w:pPr>
            <w:r w:rsidRPr="00910B9D">
              <w:rPr>
                <w:rFonts w:ascii="Century Gothic" w:eastAsia="Arial" w:hAnsi="Century Gothic" w:cs="Arial"/>
                <w:color w:val="000000"/>
                <w:sz w:val="16"/>
                <w:szCs w:val="16"/>
              </w:rPr>
              <w:t>Nohelia del Carmen Zawady Palacio</w:t>
            </w:r>
          </w:p>
          <w:p w14:paraId="272EA38A" w14:textId="77777777" w:rsidR="004624B1" w:rsidRPr="00910B9D" w:rsidRDefault="004624B1" w:rsidP="00A868BD">
            <w:pPr>
              <w:rPr>
                <w:rFonts w:ascii="Century Gothic" w:eastAsia="Times New Roman" w:hAnsi="Century Gothic" w:cs="Arial"/>
                <w:color w:val="000000"/>
                <w:sz w:val="16"/>
                <w:szCs w:val="16"/>
                <w:lang w:eastAsia="es-ES"/>
              </w:rPr>
            </w:pPr>
            <w:r w:rsidRPr="00910B9D">
              <w:rPr>
                <w:rFonts w:ascii="Century Gothic" w:eastAsia="Arial" w:hAnsi="Century Gothic" w:cs="Arial"/>
                <w:color w:val="000000"/>
                <w:sz w:val="16"/>
                <w:szCs w:val="16"/>
              </w:rPr>
              <w:t xml:space="preserve">Subdirector de Gestión Contractual </w:t>
            </w:r>
          </w:p>
        </w:tc>
      </w:tr>
    </w:tbl>
    <w:p w14:paraId="3DF4F86D" w14:textId="77777777" w:rsidR="004624B1" w:rsidRPr="00910B9D" w:rsidRDefault="004624B1" w:rsidP="004624B1">
      <w:pPr>
        <w:spacing w:after="200" w:line="276" w:lineRule="auto"/>
        <w:jc w:val="center"/>
        <w:rPr>
          <w:rFonts w:ascii="Century Gothic" w:hAnsi="Century Gothic"/>
        </w:rPr>
      </w:pPr>
    </w:p>
    <w:p w14:paraId="79EB3527" w14:textId="77777777" w:rsidR="004624B1" w:rsidRPr="00910B9D" w:rsidRDefault="004624B1" w:rsidP="004624B1">
      <w:pPr>
        <w:spacing w:after="0" w:line="240" w:lineRule="auto"/>
        <w:rPr>
          <w:rFonts w:ascii="Century Gothic" w:hAnsi="Century Gothic"/>
          <w:lang w:val="es-MX"/>
        </w:rPr>
      </w:pPr>
    </w:p>
    <w:p w14:paraId="4F6304EA" w14:textId="77777777" w:rsidR="004624B1" w:rsidRPr="00910B9D" w:rsidRDefault="004624B1" w:rsidP="004624B1">
      <w:pPr>
        <w:pStyle w:val="Textoindependiente"/>
        <w:kinsoku w:val="0"/>
        <w:overflowPunct w:val="0"/>
        <w:spacing w:before="119" w:line="276" w:lineRule="auto"/>
        <w:ind w:right="176"/>
        <w:jc w:val="both"/>
        <w:rPr>
          <w:rFonts w:ascii="Century Gothic" w:hAnsi="Century Gothic"/>
          <w:lang w:val="es-MX"/>
        </w:rPr>
      </w:pPr>
    </w:p>
    <w:p w14:paraId="24C066A4" w14:textId="77777777" w:rsidR="004624B1" w:rsidRPr="00910B9D" w:rsidRDefault="004624B1" w:rsidP="004624B1">
      <w:pPr>
        <w:spacing w:after="0"/>
        <w:rPr>
          <w:rFonts w:ascii="Century Gothic" w:hAnsi="Century Gothic"/>
          <w:lang w:val="es-MX"/>
        </w:rPr>
      </w:pPr>
    </w:p>
    <w:p w14:paraId="042E6F0F" w14:textId="77777777" w:rsidR="004624B1" w:rsidRPr="00910B9D" w:rsidRDefault="004624B1" w:rsidP="004624B1">
      <w:pPr>
        <w:rPr>
          <w:rFonts w:ascii="Century Gothic" w:hAnsi="Century Gothic"/>
          <w:lang w:val="es-MX"/>
        </w:rPr>
      </w:pPr>
    </w:p>
    <w:p w14:paraId="0FD4057A" w14:textId="77777777" w:rsidR="00C330EB" w:rsidRPr="00910B9D" w:rsidRDefault="00C330EB" w:rsidP="004624B1">
      <w:pPr>
        <w:spacing w:after="0"/>
        <w:rPr>
          <w:rFonts w:ascii="Century Gothic" w:hAnsi="Century Gothic"/>
          <w:b/>
          <w:color w:val="002060"/>
          <w:lang w:val="es-MX"/>
        </w:rPr>
      </w:pPr>
    </w:p>
    <w:sectPr w:rsidR="00C330EB" w:rsidRPr="00910B9D" w:rsidSect="00923EEF">
      <w:headerReference w:type="default" r:id="rId13"/>
      <w:footerReference w:type="default" r:id="rId14"/>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783EA" w14:textId="77777777" w:rsidR="00790BD1" w:rsidRDefault="00790BD1" w:rsidP="004A1847">
      <w:pPr>
        <w:spacing w:after="0" w:line="240" w:lineRule="auto"/>
      </w:pPr>
      <w:r>
        <w:separator/>
      </w:r>
    </w:p>
  </w:endnote>
  <w:endnote w:type="continuationSeparator" w:id="0">
    <w:p w14:paraId="6125D448" w14:textId="77777777" w:rsidR="00790BD1" w:rsidRDefault="00790BD1" w:rsidP="004A1847">
      <w:pPr>
        <w:spacing w:after="0" w:line="240" w:lineRule="auto"/>
      </w:pPr>
      <w:r>
        <w:continuationSeparator/>
      </w:r>
    </w:p>
  </w:endnote>
  <w:endnote w:type="continuationNotice" w:id="1">
    <w:p w14:paraId="563287CC" w14:textId="77777777" w:rsidR="00790BD1" w:rsidRDefault="00790B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3BA5BB2D" w:rsidR="004A1847" w:rsidRDefault="009419F9">
    <w:pPr>
      <w:pStyle w:val="Piedepgina"/>
    </w:pPr>
    <w:r>
      <w:rPr>
        <w:noProof/>
      </w:rPr>
      <w:drawing>
        <wp:inline distT="0" distB="0" distL="0" distR="0" wp14:anchorId="600A8696" wp14:editId="357635FE">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62368336"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VERSIÓN: 0</w:t>
          </w:r>
          <w:r w:rsidR="00B72CD3">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3F78C758"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5E0DB946"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961B09">
            <w:rPr>
              <w:rFonts w:ascii="Century Gothic" w:hAnsi="Century Gothic"/>
              <w:sz w:val="16"/>
              <w:szCs w:val="16"/>
            </w:rPr>
            <w:t>15</w:t>
          </w:r>
          <w:r w:rsidRPr="003F3941">
            <w:rPr>
              <w:rFonts w:ascii="Century Gothic" w:hAnsi="Century Gothic"/>
              <w:sz w:val="16"/>
              <w:szCs w:val="16"/>
            </w:rPr>
            <w:t xml:space="preserve"> DE </w:t>
          </w:r>
          <w:r w:rsidR="00961B09">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039C9C7"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1</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4CA6DC" w14:textId="77777777" w:rsidR="00790BD1" w:rsidRDefault="00790BD1" w:rsidP="004A1847">
      <w:pPr>
        <w:spacing w:after="0" w:line="240" w:lineRule="auto"/>
      </w:pPr>
      <w:r>
        <w:separator/>
      </w:r>
    </w:p>
  </w:footnote>
  <w:footnote w:type="continuationSeparator" w:id="0">
    <w:p w14:paraId="0D205915" w14:textId="77777777" w:rsidR="00790BD1" w:rsidRDefault="00790BD1" w:rsidP="004A1847">
      <w:pPr>
        <w:spacing w:after="0" w:line="240" w:lineRule="auto"/>
      </w:pPr>
      <w:r>
        <w:continuationSeparator/>
      </w:r>
    </w:p>
  </w:footnote>
  <w:footnote w:type="continuationNotice" w:id="1">
    <w:p w14:paraId="6456CE9F" w14:textId="77777777" w:rsidR="00790BD1" w:rsidRDefault="00790BD1">
      <w:pPr>
        <w:spacing w:after="0" w:line="240" w:lineRule="auto"/>
      </w:pPr>
    </w:p>
  </w:footnote>
  <w:footnote w:id="2">
    <w:p w14:paraId="44DA4546" w14:textId="1B150F45" w:rsidR="00263185" w:rsidRPr="0071721F" w:rsidRDefault="00263185" w:rsidP="0071721F">
      <w:pPr>
        <w:pStyle w:val="Textonotapie"/>
        <w:ind w:firstLine="708"/>
        <w:jc w:val="both"/>
        <w:rPr>
          <w:rFonts w:ascii="Century Gothic" w:hAnsi="Century Gothic"/>
          <w:sz w:val="18"/>
          <w:szCs w:val="18"/>
          <w:lang w:val="es-CO"/>
        </w:rPr>
      </w:pPr>
      <w:r w:rsidRPr="0071721F">
        <w:rPr>
          <w:rStyle w:val="Refdenotaalpie"/>
          <w:rFonts w:ascii="Century Gothic" w:hAnsi="Century Gothic"/>
          <w:sz w:val="18"/>
          <w:szCs w:val="18"/>
        </w:rPr>
        <w:footnoteRef/>
      </w:r>
      <w:r w:rsidRPr="0071721F">
        <w:rPr>
          <w:rFonts w:ascii="Century Gothic" w:hAnsi="Century Gothic"/>
          <w:sz w:val="18"/>
          <w:szCs w:val="18"/>
        </w:rPr>
        <w:t xml:space="preserve"> </w:t>
      </w:r>
      <w:r w:rsidRPr="0071721F">
        <w:rPr>
          <w:rFonts w:ascii="Century Gothic" w:hAnsi="Century Gothic" w:cs="Arial"/>
          <w:sz w:val="18"/>
          <w:szCs w:val="18"/>
        </w:rPr>
        <w:t xml:space="preserve">Estos conceptos pueden ser consultados en la relatoría de Colombia Compra Eficiente en el siguiente enlace:  </w:t>
      </w:r>
      <w:hyperlink r:id="rId1" w:history="1">
        <w:r w:rsidRPr="0071721F">
          <w:rPr>
            <w:rStyle w:val="Hipervnculo"/>
            <w:rFonts w:ascii="Century Gothic" w:hAnsi="Century Gothic" w:cs="Arial"/>
            <w:sz w:val="18"/>
            <w:szCs w:val="18"/>
          </w:rPr>
          <w:t>http://relatoria.colombiacompra.gov.co/busqueda/conceptos</w:t>
        </w:r>
      </w:hyperlink>
    </w:p>
  </w:footnote>
  <w:footnote w:id="3">
    <w:p w14:paraId="66DB2C35" w14:textId="47A83D43" w:rsidR="004624B1" w:rsidRPr="0071721F" w:rsidRDefault="004624B1" w:rsidP="0071721F">
      <w:pPr>
        <w:pStyle w:val="Textonotapie"/>
        <w:ind w:firstLine="709"/>
        <w:jc w:val="both"/>
        <w:rPr>
          <w:rFonts w:ascii="Century Gothic" w:hAnsi="Century Gothic" w:cs="Arial"/>
          <w:sz w:val="18"/>
          <w:szCs w:val="18"/>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w:t>
      </w:r>
      <w:r w:rsidRPr="0071721F">
        <w:rPr>
          <w:rFonts w:ascii="Century Gothic" w:hAnsi="Century Gothic" w:cs="Arial"/>
          <w:sz w:val="18"/>
          <w:szCs w:val="18"/>
          <w:lang w:val="es-ES"/>
        </w:rPr>
        <w:t xml:space="preserve">Sobre el particular, se puede consultar la Gaceta 158 del cuarto debate en el Senado. Disponible en: </w:t>
      </w:r>
      <w:hyperlink r:id="rId2" w:history="1">
        <w:r w:rsidRPr="0071721F">
          <w:rPr>
            <w:rFonts w:ascii="Century Gothic" w:hAnsi="Century Gothic" w:cs="Arial"/>
            <w:sz w:val="18"/>
            <w:szCs w:val="18"/>
            <w:lang w:val="es-ES"/>
          </w:rPr>
          <w:t>http://svrpubindc.imprenta.gov.co/senado/index.xhtml;jsessionid=b3ba7213a248bacd37376ffcedca</w:t>
        </w:r>
      </w:hyperlink>
    </w:p>
  </w:footnote>
  <w:footnote w:id="4">
    <w:p w14:paraId="29551076" w14:textId="77777777" w:rsidR="00055225" w:rsidRPr="0071721F" w:rsidRDefault="00055225" w:rsidP="0071721F">
      <w:pPr>
        <w:pStyle w:val="Textonotapie"/>
        <w:ind w:firstLine="709"/>
        <w:jc w:val="both"/>
        <w:rPr>
          <w:rFonts w:ascii="Century Gothic" w:hAnsi="Century Gothic" w:cs="Arial"/>
          <w:sz w:val="18"/>
          <w:szCs w:val="18"/>
        </w:rPr>
      </w:pPr>
    </w:p>
    <w:p w14:paraId="6646557A" w14:textId="2FECC52D" w:rsidR="004624B1" w:rsidRPr="0071721F" w:rsidRDefault="004624B1" w:rsidP="0071721F">
      <w:pPr>
        <w:pStyle w:val="Textonotapie"/>
        <w:ind w:firstLine="709"/>
        <w:jc w:val="both"/>
        <w:rPr>
          <w:rFonts w:ascii="Century Gothic" w:hAnsi="Century Gothic" w:cs="Arial"/>
          <w:sz w:val="18"/>
          <w:szCs w:val="18"/>
          <w:lang w:val="es-ES"/>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w:t>
      </w:r>
      <w:r w:rsidRPr="0071721F">
        <w:rPr>
          <w:rFonts w:ascii="Century Gothic" w:hAnsi="Century Gothic" w:cs="Arial"/>
          <w:sz w:val="18"/>
          <w:szCs w:val="18"/>
          <w:lang w:val="es-ES"/>
        </w:rPr>
        <w:t>Exposición de motivos del Proyecto de Ley No. 025 de 2018 Cámara. Disponible en: http://leyes.senado.gov.co/proyectos/images/documentos/Textos%20Radicados/Ponencias/2018/gaceta_563.pdf</w:t>
      </w:r>
    </w:p>
  </w:footnote>
  <w:footnote w:id="5">
    <w:p w14:paraId="2D25D3A5" w14:textId="77777777" w:rsidR="00055225" w:rsidRPr="0071721F" w:rsidRDefault="00055225" w:rsidP="0071721F">
      <w:pPr>
        <w:pStyle w:val="Textonotapie"/>
        <w:ind w:firstLine="709"/>
        <w:jc w:val="both"/>
        <w:rPr>
          <w:rFonts w:ascii="Century Gothic" w:hAnsi="Century Gothic" w:cs="Arial"/>
          <w:sz w:val="18"/>
          <w:szCs w:val="18"/>
        </w:rPr>
      </w:pPr>
    </w:p>
    <w:p w14:paraId="3EF9CD6C" w14:textId="3F6552CA" w:rsidR="004624B1" w:rsidRPr="0071721F" w:rsidRDefault="004624B1" w:rsidP="0071721F">
      <w:pPr>
        <w:pStyle w:val="Textonotapie"/>
        <w:ind w:firstLine="709"/>
        <w:jc w:val="both"/>
        <w:rPr>
          <w:rFonts w:ascii="Century Gothic" w:hAnsi="Century Gothic" w:cs="Arial"/>
          <w:sz w:val="18"/>
          <w:szCs w:val="18"/>
          <w:lang w:val="es-ES"/>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w:t>
      </w:r>
      <w:r w:rsidRPr="0071721F">
        <w:rPr>
          <w:rFonts w:ascii="Century Gothic" w:hAnsi="Century Gothic" w:cs="Arial"/>
          <w:sz w:val="18"/>
          <w:szCs w:val="18"/>
          <w:lang w:val="es-ES"/>
        </w:rPr>
        <w:t>“Artículo 11. Planeación. La secretaría, departamento u oficina de planeación o quien haga sus veces podrá presentar en el plan nacional, departamental, distrital o municipal de desarrollo, según sea el caso, una estrategia o medida de atención para determinar la intervención física de terminación o demolición de aquellas obras que figuren en el Registro Nacional de Obras Civiles Inconclusas durante la vigencia del plan, dando énfasis a las obras que más tiempo llevan en el informe sin ser intervenidas, de acuerdo a la disponibilidad de recursos con que cuente en cada vigencia”.</w:t>
      </w:r>
    </w:p>
    <w:p w14:paraId="104A76D6" w14:textId="77777777" w:rsidR="004624B1" w:rsidRPr="0071721F" w:rsidRDefault="004624B1" w:rsidP="0071721F">
      <w:pPr>
        <w:pStyle w:val="Textonotapie"/>
        <w:ind w:firstLine="709"/>
        <w:jc w:val="both"/>
        <w:rPr>
          <w:rFonts w:ascii="Century Gothic" w:hAnsi="Century Gothic" w:cs="Arial"/>
          <w:sz w:val="18"/>
          <w:szCs w:val="18"/>
          <w:lang w:val="es-CO"/>
        </w:rPr>
      </w:pPr>
    </w:p>
  </w:footnote>
  <w:footnote w:id="6">
    <w:p w14:paraId="13BDB7FA" w14:textId="77777777" w:rsidR="004624B1" w:rsidRPr="0071721F" w:rsidRDefault="004624B1" w:rsidP="0071721F">
      <w:pPr>
        <w:pStyle w:val="Textonotapie"/>
        <w:ind w:firstLine="709"/>
        <w:jc w:val="both"/>
        <w:rPr>
          <w:rFonts w:ascii="Century Gothic" w:hAnsi="Century Gothic" w:cs="Arial"/>
          <w:sz w:val="18"/>
          <w:szCs w:val="18"/>
          <w:lang w:val="es-ES"/>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w:t>
      </w:r>
      <w:r w:rsidRPr="0071721F">
        <w:rPr>
          <w:rFonts w:ascii="Century Gothic" w:hAnsi="Century Gothic" w:cs="Arial"/>
          <w:sz w:val="18"/>
          <w:szCs w:val="18"/>
          <w:lang w:val="es-ES"/>
        </w:rPr>
        <w:t>Dicho artículo establece: “Créese el Registro Nacional de Obras Civiles Inconclusas, bajo la dirección y coordinación de la Dirección de Información, Análisis y Reacción Inmediata de la Contraloría General de la República, el cual contendrá el inventario actualizado de obras civiles inconclusas y estará compuesto por la información reportada por las entidades estatales del orden nacional, departamental, municipal, distrital y demás órdenes institucionales, sobre las obras civiles inconclusas de su jurisdicción, o la información obtenida por la Contraloría General de la República sobre el particular.</w:t>
      </w:r>
    </w:p>
    <w:p w14:paraId="7047A931" w14:textId="77777777" w:rsidR="004624B1" w:rsidRPr="0071721F" w:rsidRDefault="004624B1" w:rsidP="0071721F">
      <w:pPr>
        <w:pStyle w:val="Textonotapie"/>
        <w:ind w:firstLine="709"/>
        <w:jc w:val="both"/>
        <w:rPr>
          <w:rFonts w:ascii="Century Gothic" w:hAnsi="Century Gothic" w:cs="Arial"/>
          <w:sz w:val="18"/>
          <w:szCs w:val="18"/>
          <w:lang w:val="es-ES"/>
        </w:rPr>
      </w:pPr>
      <w:r w:rsidRPr="0071721F">
        <w:rPr>
          <w:rFonts w:ascii="Century Gothic" w:hAnsi="Century Gothic" w:cs="Arial"/>
          <w:sz w:val="18"/>
          <w:szCs w:val="18"/>
          <w:lang w:val="es-ES"/>
        </w:rPr>
        <w:t>“La Contraloría General de la República y las entidades estatales deberán realizar el seguimiento y actualización del Registro Nacional de Obras Civiles Inconclusas con el fin de establecer la realidad respecto de la condición técnica, física y financiera de aquellas. […]”.</w:t>
      </w:r>
    </w:p>
    <w:p w14:paraId="08329F8F" w14:textId="77777777" w:rsidR="004624B1" w:rsidRPr="0071721F" w:rsidRDefault="004624B1" w:rsidP="0071721F">
      <w:pPr>
        <w:pStyle w:val="Textonotapie"/>
        <w:ind w:firstLine="709"/>
        <w:jc w:val="both"/>
        <w:rPr>
          <w:rFonts w:ascii="Century Gothic" w:hAnsi="Century Gothic" w:cs="Arial"/>
          <w:sz w:val="18"/>
          <w:szCs w:val="18"/>
          <w:lang w:val="es-ES"/>
        </w:rPr>
      </w:pPr>
    </w:p>
  </w:footnote>
  <w:footnote w:id="7">
    <w:p w14:paraId="191FF403" w14:textId="77777777" w:rsidR="004624B1" w:rsidRPr="0071721F" w:rsidRDefault="004624B1" w:rsidP="0071721F">
      <w:pPr>
        <w:pStyle w:val="Textonotapie"/>
        <w:ind w:firstLine="709"/>
        <w:jc w:val="both"/>
        <w:rPr>
          <w:rFonts w:ascii="Century Gothic" w:hAnsi="Century Gothic" w:cs="Arial"/>
          <w:sz w:val="18"/>
          <w:szCs w:val="18"/>
          <w:lang w:val="es-ES"/>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w:t>
      </w:r>
      <w:r w:rsidRPr="0071721F">
        <w:rPr>
          <w:rFonts w:ascii="Century Gothic" w:hAnsi="Century Gothic" w:cs="Arial"/>
          <w:sz w:val="18"/>
          <w:szCs w:val="18"/>
          <w:lang w:val="es-ES"/>
        </w:rPr>
        <w:t xml:space="preserve">Sobre la competencia de la Contraloría General de la República respecto de la administración del Registro Nacional de Obras Civiles Inconclusas, puede consultarse la circular con radicado No. 2020EE0096013 del 28 de agosto de 2020, en el siguiente enlace: </w:t>
      </w:r>
      <w:hyperlink r:id="rId3" w:history="1">
        <w:r w:rsidRPr="0071721F">
          <w:rPr>
            <w:rStyle w:val="Hipervnculo1"/>
            <w:rFonts w:ascii="Century Gothic" w:hAnsi="Century Gothic" w:cs="Arial"/>
            <w:color w:val="auto"/>
            <w:sz w:val="18"/>
            <w:szCs w:val="18"/>
          </w:rPr>
          <w:t>https://www.contraloria.gov.co/documents/20181/1776254/CIRCULAR_2020EE0096013_REGISTRO_NACIONAL_OBRAS_INCONCLUSAS.PDF/785952d4-4b41-48cb-916b-4881c3b4a095</w:t>
        </w:r>
      </w:hyperlink>
    </w:p>
    <w:p w14:paraId="79E0E05E" w14:textId="77777777" w:rsidR="004624B1" w:rsidRPr="0071721F" w:rsidRDefault="004624B1" w:rsidP="0071721F">
      <w:pPr>
        <w:pStyle w:val="Textonotapie"/>
        <w:ind w:firstLine="709"/>
        <w:jc w:val="both"/>
        <w:rPr>
          <w:rFonts w:ascii="Century Gothic" w:hAnsi="Century Gothic" w:cs="Arial"/>
          <w:sz w:val="18"/>
          <w:szCs w:val="18"/>
          <w:lang w:val="es-ES"/>
        </w:rPr>
      </w:pPr>
    </w:p>
  </w:footnote>
  <w:footnote w:id="8">
    <w:p w14:paraId="430C68B7" w14:textId="77777777" w:rsidR="004624B1" w:rsidRPr="0071721F" w:rsidRDefault="004624B1" w:rsidP="0071721F">
      <w:pPr>
        <w:pStyle w:val="Textonotapie"/>
        <w:ind w:firstLine="709"/>
        <w:jc w:val="both"/>
        <w:rPr>
          <w:rFonts w:ascii="Century Gothic" w:hAnsi="Century Gothic" w:cs="Arial"/>
          <w:sz w:val="18"/>
          <w:szCs w:val="18"/>
        </w:rPr>
      </w:pPr>
    </w:p>
    <w:p w14:paraId="4E1A03FB" w14:textId="77777777" w:rsidR="004624B1" w:rsidRPr="0071721F" w:rsidRDefault="004624B1" w:rsidP="0071721F">
      <w:pPr>
        <w:pStyle w:val="Textonotapie"/>
        <w:ind w:firstLine="709"/>
        <w:jc w:val="both"/>
        <w:rPr>
          <w:rFonts w:ascii="Century Gothic" w:eastAsia="Calibri" w:hAnsi="Century Gothic" w:cs="Arial"/>
          <w:sz w:val="18"/>
          <w:szCs w:val="18"/>
          <w:lang w:val="es-ES_tradnl" w:eastAsia="en-GB"/>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w:t>
      </w:r>
      <w:r w:rsidRPr="0071721F">
        <w:rPr>
          <w:rFonts w:ascii="Century Gothic" w:hAnsi="Century Gothic" w:cs="Arial"/>
          <w:sz w:val="18"/>
          <w:szCs w:val="18"/>
          <w:lang w:val="es-CO"/>
        </w:rPr>
        <w:t xml:space="preserve">Al respecto, el parágrafo 3 </w:t>
      </w:r>
      <w:r w:rsidRPr="0071721F">
        <w:rPr>
          <w:rFonts w:ascii="Century Gothic" w:eastAsia="Calibri" w:hAnsi="Century Gothic" w:cs="Arial"/>
          <w:sz w:val="18"/>
          <w:szCs w:val="18"/>
          <w:lang w:val="es-ES_tradnl" w:eastAsia="en-GB"/>
        </w:rPr>
        <w:t xml:space="preserve">del artículo 3 de la Ley 2020 de 2020 establece lo siguiente: </w:t>
      </w:r>
      <w:r w:rsidRPr="0071721F">
        <w:rPr>
          <w:rFonts w:ascii="Century Gothic" w:hAnsi="Century Gothic" w:cs="Arial"/>
          <w:sz w:val="18"/>
          <w:szCs w:val="18"/>
          <w:lang w:val="es-ES"/>
        </w:rPr>
        <w:t>“</w:t>
      </w:r>
      <w:r w:rsidRPr="0071721F">
        <w:rPr>
          <w:rFonts w:ascii="Century Gothic" w:eastAsia="Calibri" w:hAnsi="Century Gothic" w:cs="Arial"/>
          <w:sz w:val="18"/>
          <w:szCs w:val="18"/>
          <w:lang w:val="es-ES_tradnl" w:eastAsia="en-GB"/>
        </w:rPr>
        <w:t>PARÁGRAFO 3°. Las entidades estatales deberán garantizar la actualización permanente del Registro Nacional de Obras Civiles Inconclusas, en los términos y condiciones que al respecto establezca la Contraloría General de la República, a través de la Dirección de Información, Análisis y Reacción Inmediata.</w:t>
      </w:r>
    </w:p>
    <w:p w14:paraId="5717834F" w14:textId="77777777" w:rsidR="004624B1" w:rsidRPr="0071721F" w:rsidRDefault="004624B1" w:rsidP="0071721F">
      <w:pPr>
        <w:pStyle w:val="Textonotapie"/>
        <w:ind w:firstLine="709"/>
        <w:jc w:val="both"/>
        <w:rPr>
          <w:rFonts w:ascii="Century Gothic" w:hAnsi="Century Gothic" w:cs="Arial"/>
          <w:sz w:val="18"/>
          <w:szCs w:val="18"/>
          <w:lang w:val="es-CO"/>
        </w:rPr>
      </w:pPr>
      <w:r w:rsidRPr="0071721F">
        <w:rPr>
          <w:rFonts w:ascii="Century Gothic" w:hAnsi="Century Gothic" w:cs="Arial"/>
          <w:sz w:val="18"/>
          <w:szCs w:val="18"/>
          <w:lang w:val="es-ES"/>
        </w:rPr>
        <w:t>“</w:t>
      </w:r>
      <w:r w:rsidRPr="0071721F">
        <w:rPr>
          <w:rFonts w:ascii="Century Gothic" w:eastAsia="Calibri" w:hAnsi="Century Gothic" w:cs="Arial"/>
          <w:sz w:val="18"/>
          <w:szCs w:val="18"/>
          <w:lang w:val="es-ES_tradnl" w:eastAsia="en-GB"/>
        </w:rPr>
        <w:t>Así mismo, las entidades estatales deben garantizar el acceso y suministro de la información en tiempo real, sobre la ejecución de los proyectos o contratos de obras civiles. Para tales efectos, podrán exigir las condiciones necesarias a sus futuros contratistas</w:t>
      </w:r>
      <w:r w:rsidRPr="0071721F">
        <w:rPr>
          <w:rFonts w:ascii="Century Gothic" w:hAnsi="Century Gothic" w:cs="Arial"/>
          <w:sz w:val="18"/>
          <w:szCs w:val="18"/>
          <w:lang w:val="es-ES"/>
        </w:rPr>
        <w:t>”.</w:t>
      </w:r>
    </w:p>
  </w:footnote>
  <w:footnote w:id="9">
    <w:p w14:paraId="3C154058" w14:textId="77777777" w:rsidR="004624B1" w:rsidRPr="0071721F" w:rsidRDefault="004624B1" w:rsidP="0071721F">
      <w:pPr>
        <w:pStyle w:val="Textonotapie"/>
        <w:ind w:firstLine="709"/>
        <w:jc w:val="both"/>
        <w:rPr>
          <w:rFonts w:ascii="Century Gothic" w:hAnsi="Century Gothic" w:cs="Arial"/>
          <w:sz w:val="18"/>
          <w:szCs w:val="18"/>
        </w:rPr>
      </w:pPr>
    </w:p>
    <w:p w14:paraId="16525739" w14:textId="77777777" w:rsidR="004624B1" w:rsidRPr="0071721F" w:rsidRDefault="004624B1" w:rsidP="0071721F">
      <w:pPr>
        <w:pStyle w:val="Textonotapie"/>
        <w:ind w:firstLine="709"/>
        <w:jc w:val="both"/>
        <w:rPr>
          <w:rFonts w:ascii="Century Gothic" w:hAnsi="Century Gothic" w:cs="Arial"/>
          <w:sz w:val="18"/>
          <w:szCs w:val="18"/>
          <w:lang w:val="es-CO"/>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Puede ser consultada en: </w:t>
      </w:r>
      <w:hyperlink r:id="rId4" w:history="1">
        <w:r w:rsidRPr="0071721F">
          <w:rPr>
            <w:rStyle w:val="Hipervnculo1"/>
            <w:rFonts w:ascii="Century Gothic" w:hAnsi="Century Gothic" w:cs="Arial"/>
            <w:color w:val="auto"/>
            <w:sz w:val="18"/>
            <w:szCs w:val="18"/>
          </w:rPr>
          <w:t>https://www.contraloria.gov.co/web/relatoria/normatividad-y-relatoria</w:t>
        </w:r>
      </w:hyperlink>
      <w:r w:rsidRPr="0071721F">
        <w:rPr>
          <w:rStyle w:val="Hipervnculo1"/>
          <w:rFonts w:ascii="Century Gothic" w:hAnsi="Century Gothic" w:cs="Arial"/>
          <w:color w:val="auto"/>
          <w:sz w:val="18"/>
          <w:szCs w:val="18"/>
        </w:rPr>
        <w:t xml:space="preserve"> </w:t>
      </w:r>
      <w:r w:rsidRPr="0071721F">
        <w:rPr>
          <w:rFonts w:ascii="Century Gothic" w:hAnsi="Century Gothic" w:cs="Arial"/>
          <w:sz w:val="18"/>
          <w:szCs w:val="18"/>
        </w:rPr>
        <w:t xml:space="preserve"> </w:t>
      </w:r>
      <w:r w:rsidRPr="0071721F">
        <w:rPr>
          <w:rFonts w:ascii="Century Gothic" w:hAnsi="Century Gothic" w:cs="Arial"/>
          <w:sz w:val="18"/>
          <w:szCs w:val="18"/>
        </w:rPr>
        <w:tab/>
      </w:r>
    </w:p>
  </w:footnote>
  <w:footnote w:id="10">
    <w:p w14:paraId="6FE8E4B8" w14:textId="77777777" w:rsidR="004624B1" w:rsidRPr="0071721F" w:rsidRDefault="004624B1" w:rsidP="0071721F">
      <w:pPr>
        <w:pStyle w:val="Textonotapie"/>
        <w:ind w:firstLine="709"/>
        <w:jc w:val="both"/>
        <w:rPr>
          <w:rFonts w:ascii="Century Gothic" w:hAnsi="Century Gothic" w:cs="Arial"/>
          <w:sz w:val="18"/>
          <w:szCs w:val="18"/>
          <w:lang w:val="es-CO"/>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w:t>
      </w:r>
      <w:r w:rsidRPr="0071721F">
        <w:rPr>
          <w:rFonts w:ascii="Century Gothic" w:hAnsi="Century Gothic" w:cs="Arial"/>
          <w:sz w:val="18"/>
          <w:szCs w:val="18"/>
          <w:lang w:val="es-ES"/>
        </w:rPr>
        <w:t>“Artículo 9. Responsables. Los responsables de hacer el inventario de obras inconclusas, serán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w:t>
      </w:r>
    </w:p>
  </w:footnote>
  <w:footnote w:id="11">
    <w:p w14:paraId="549B5DD4" w14:textId="77777777" w:rsidR="004624B1" w:rsidRPr="0071721F" w:rsidRDefault="004624B1" w:rsidP="0071721F">
      <w:pPr>
        <w:pStyle w:val="Textonotapie"/>
        <w:ind w:firstLine="709"/>
        <w:jc w:val="both"/>
        <w:rPr>
          <w:rFonts w:ascii="Century Gothic" w:hAnsi="Century Gothic" w:cs="Arial"/>
          <w:sz w:val="18"/>
          <w:szCs w:val="18"/>
        </w:rPr>
      </w:pPr>
    </w:p>
    <w:p w14:paraId="676B78F0" w14:textId="77777777" w:rsidR="004624B1" w:rsidRPr="0071721F" w:rsidRDefault="004624B1" w:rsidP="0071721F">
      <w:pPr>
        <w:pStyle w:val="Textonotapie"/>
        <w:ind w:firstLine="709"/>
        <w:jc w:val="both"/>
        <w:rPr>
          <w:rFonts w:ascii="Century Gothic" w:hAnsi="Century Gothic" w:cs="Arial"/>
          <w:sz w:val="18"/>
          <w:szCs w:val="18"/>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w:t>
      </w:r>
      <w:r w:rsidRPr="0071721F">
        <w:rPr>
          <w:rFonts w:ascii="Century Gothic" w:hAnsi="Century Gothic" w:cs="Arial"/>
          <w:sz w:val="18"/>
          <w:szCs w:val="18"/>
          <w:lang w:eastAsia="es-CO"/>
        </w:rPr>
        <w:t>Ley 1437 de 2011:</w:t>
      </w:r>
      <w:r w:rsidRPr="0071721F">
        <w:rPr>
          <w:rFonts w:ascii="Century Gothic" w:hAnsi="Century Gothic" w:cs="Arial"/>
          <w:sz w:val="18"/>
          <w:szCs w:val="18"/>
        </w:rPr>
        <w:t xml:space="preserve"> “Artículo 44. Decisiones discrecionales. En la medida en que el contenido de una decisión de carácter general o particular sea discrecional, debe ser adecuada a los fines de la norma que la autoriza, y proporcional a los hechos que le sirven de causa</w:t>
      </w:r>
      <w:r w:rsidRPr="0071721F">
        <w:rPr>
          <w:rFonts w:ascii="Century Gothic" w:hAnsi="Century Gothic" w:cs="Arial"/>
          <w:sz w:val="18"/>
          <w:szCs w:val="18"/>
          <w:lang w:eastAsia="es-CO"/>
        </w:rPr>
        <w:t>”</w:t>
      </w:r>
      <w:r w:rsidRPr="0071721F">
        <w:rPr>
          <w:rFonts w:ascii="Century Gothic" w:hAnsi="Century Gothic" w:cs="Arial"/>
          <w:sz w:val="18"/>
          <w:szCs w:val="18"/>
        </w:rPr>
        <w:t>.</w:t>
      </w:r>
    </w:p>
    <w:p w14:paraId="210B70BF" w14:textId="77777777" w:rsidR="004624B1" w:rsidRPr="0071721F" w:rsidRDefault="004624B1" w:rsidP="0071721F">
      <w:pPr>
        <w:pStyle w:val="Textonotapie"/>
        <w:ind w:firstLine="709"/>
        <w:jc w:val="both"/>
        <w:rPr>
          <w:rFonts w:ascii="Century Gothic" w:hAnsi="Century Gothic" w:cs="Arial"/>
          <w:sz w:val="18"/>
          <w:szCs w:val="18"/>
          <w:lang w:val="es-ES"/>
        </w:rPr>
      </w:pPr>
    </w:p>
  </w:footnote>
  <w:footnote w:id="12">
    <w:p w14:paraId="4EF115E5" w14:textId="77777777" w:rsidR="004624B1" w:rsidRPr="0071721F" w:rsidRDefault="004624B1" w:rsidP="0071721F">
      <w:pPr>
        <w:pStyle w:val="Textonotapie"/>
        <w:ind w:firstLine="709"/>
        <w:jc w:val="both"/>
        <w:rPr>
          <w:rFonts w:ascii="Century Gothic" w:hAnsi="Century Gothic" w:cs="Arial"/>
          <w:sz w:val="18"/>
          <w:szCs w:val="18"/>
          <w:lang w:val="es-ES"/>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w:t>
      </w:r>
      <w:r w:rsidRPr="0071721F">
        <w:rPr>
          <w:rFonts w:ascii="Century Gothic" w:hAnsi="Century Gothic" w:cs="Arial"/>
          <w:sz w:val="18"/>
          <w:szCs w:val="18"/>
          <w:lang w:val="es-ES"/>
        </w:rPr>
        <w:t xml:space="preserve">Principio que se compone a su vez de “tres subprincipios, etapas o mandatos parciales: el </w:t>
      </w:r>
      <w:r w:rsidRPr="0071721F">
        <w:rPr>
          <w:rFonts w:ascii="Century Gothic" w:hAnsi="Century Gothic" w:cs="Arial"/>
          <w:i/>
          <w:iCs/>
          <w:sz w:val="18"/>
          <w:szCs w:val="18"/>
          <w:lang w:val="es-ES"/>
        </w:rPr>
        <w:t>subprincipio o mandato de adecuación, de idoneidad o de congruencia</w:t>
      </w:r>
      <w:r w:rsidRPr="0071721F">
        <w:rPr>
          <w:rFonts w:ascii="Century Gothic" w:hAnsi="Century Gothic" w:cs="Arial"/>
          <w:sz w:val="18"/>
          <w:szCs w:val="18"/>
          <w:lang w:val="es-ES"/>
        </w:rPr>
        <w:t xml:space="preserve">, por virtud del cual la medida limitadora de los derechos o intereses del administrado debe ser útil, apropiada o idónea para obtener el fin buscado, esto es, que el abanico de posibles medidas que ha de adoptar la Administración se limita a las que resulten congruentes con el entramado fáctico del caso y aptas para la consecución del cometido fijado por el ordenamiento jurídico al atribuir la potestad correspondiente a la Administración; el </w:t>
      </w:r>
      <w:r w:rsidRPr="0071721F">
        <w:rPr>
          <w:rFonts w:ascii="Century Gothic" w:hAnsi="Century Gothic" w:cs="Arial"/>
          <w:i/>
          <w:iCs/>
          <w:sz w:val="18"/>
          <w:szCs w:val="18"/>
          <w:lang w:val="es-ES"/>
        </w:rPr>
        <w:t>subprincipio o mandato de necesidad, intervención mínima o menor lesividad</w:t>
      </w:r>
      <w:r w:rsidRPr="0071721F">
        <w:rPr>
          <w:rFonts w:ascii="Century Gothic" w:hAnsi="Century Gothic" w:cs="Arial"/>
          <w:sz w:val="18"/>
          <w:szCs w:val="18"/>
          <w:lang w:val="es-ES"/>
        </w:rPr>
        <w:t xml:space="preserve">, de acuerdo con el cual la adopción de la medida elegida debe ser indispensable, dada la inexistencia de una alternativa distinta que sea tan eficaz para satisfacer el fin de interés público al cual apunta, pero menos limitativa del otro u otros principios, derechos o intereses en tensión; y en tercer lugar, </w:t>
      </w:r>
      <w:r w:rsidRPr="0071721F">
        <w:rPr>
          <w:rFonts w:ascii="Century Gothic" w:hAnsi="Century Gothic" w:cs="Arial"/>
          <w:i/>
          <w:iCs/>
          <w:sz w:val="18"/>
          <w:szCs w:val="18"/>
          <w:lang w:val="es-ES"/>
        </w:rPr>
        <w:t>el subprincipio o mandato de proporcionalidad en sentido estricto</w:t>
      </w:r>
      <w:r w:rsidRPr="0071721F">
        <w:rPr>
          <w:rFonts w:ascii="Century Gothic" w:hAnsi="Century Gothic" w:cs="Arial"/>
          <w:sz w:val="18"/>
          <w:szCs w:val="18"/>
          <w:lang w:val="es-ES"/>
        </w:rPr>
        <w:t>, de acuerdo con el cual debe producirse un equilibrio entre el perjuicio irrogado al derecho o interés que se limita y el beneficio que de ello se deriva para el bien jurídico que la medida prohíja” (MARÍN HERNÁNDEZ, Hugo Alberto. El principio de proporcionalidad en el derecho administrativo colombiano. Bogotá: Universidad Externado de Colombia, 2018. p. 34).</w:t>
      </w:r>
    </w:p>
    <w:p w14:paraId="11E1C91D" w14:textId="77777777" w:rsidR="004624B1" w:rsidRPr="0071721F" w:rsidRDefault="004624B1" w:rsidP="0071721F">
      <w:pPr>
        <w:pStyle w:val="Textonotapie"/>
        <w:ind w:firstLine="709"/>
        <w:jc w:val="both"/>
        <w:rPr>
          <w:rFonts w:ascii="Century Gothic" w:hAnsi="Century Gothic" w:cs="Arial"/>
          <w:sz w:val="18"/>
          <w:szCs w:val="18"/>
          <w:lang w:val="es-ES"/>
        </w:rPr>
      </w:pPr>
    </w:p>
  </w:footnote>
  <w:footnote w:id="13">
    <w:p w14:paraId="1DED05A0" w14:textId="77777777" w:rsidR="004624B1" w:rsidRPr="0071721F" w:rsidRDefault="004624B1" w:rsidP="0071721F">
      <w:pPr>
        <w:spacing w:after="0" w:line="240" w:lineRule="auto"/>
        <w:ind w:firstLine="709"/>
        <w:jc w:val="both"/>
        <w:rPr>
          <w:rFonts w:ascii="Century Gothic" w:hAnsi="Century Gothic" w:cs="Arial"/>
          <w:sz w:val="18"/>
          <w:szCs w:val="18"/>
          <w:lang w:val="es-ES"/>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w:t>
      </w:r>
      <w:r w:rsidRPr="0071721F">
        <w:rPr>
          <w:rFonts w:ascii="Century Gothic" w:hAnsi="Century Gothic" w:cs="Arial"/>
          <w:sz w:val="18"/>
          <w:szCs w:val="18"/>
          <w:lang w:val="es-ES"/>
        </w:rPr>
        <w:t>Consejo de Estado. Sección Tercera. Sentencia del 14 de abril de 2010. Consejero Ponente: Enrique Gil Botero. Radicación número: 11001-03-26-000-2008-00101-00(36054).</w:t>
      </w:r>
    </w:p>
    <w:p w14:paraId="28FD856C" w14:textId="77777777" w:rsidR="004624B1" w:rsidRPr="0071721F" w:rsidRDefault="004624B1" w:rsidP="0071721F">
      <w:pPr>
        <w:pStyle w:val="Textonotapie"/>
        <w:ind w:firstLine="709"/>
        <w:jc w:val="both"/>
        <w:rPr>
          <w:rFonts w:ascii="Century Gothic" w:hAnsi="Century Gothic" w:cs="Arial"/>
          <w:sz w:val="18"/>
          <w:szCs w:val="18"/>
          <w:lang w:val="es-ES"/>
        </w:rPr>
      </w:pPr>
    </w:p>
  </w:footnote>
  <w:footnote w:id="14">
    <w:p w14:paraId="20F43FDA" w14:textId="77777777" w:rsidR="004624B1" w:rsidRPr="0071721F" w:rsidRDefault="004624B1" w:rsidP="0071721F">
      <w:pPr>
        <w:pStyle w:val="Textonotapie"/>
        <w:ind w:firstLine="709"/>
        <w:jc w:val="both"/>
        <w:rPr>
          <w:rFonts w:ascii="Century Gothic" w:hAnsi="Century Gothic" w:cs="Arial"/>
          <w:sz w:val="18"/>
          <w:szCs w:val="18"/>
          <w:lang w:val="es-ES"/>
        </w:rPr>
      </w:pPr>
      <w:r w:rsidRPr="0071721F">
        <w:rPr>
          <w:rStyle w:val="Refdenotaalpie"/>
          <w:rFonts w:ascii="Century Gothic" w:hAnsi="Century Gothic" w:cs="Arial"/>
          <w:sz w:val="18"/>
          <w:szCs w:val="18"/>
        </w:rPr>
        <w:footnoteRef/>
      </w:r>
      <w:r w:rsidRPr="0071721F">
        <w:rPr>
          <w:rFonts w:ascii="Century Gothic" w:hAnsi="Century Gothic" w:cs="Arial"/>
          <w:sz w:val="18"/>
          <w:szCs w:val="18"/>
        </w:rPr>
        <w:t xml:space="preserve"> Esta norma establece: </w:t>
      </w:r>
      <w:r w:rsidRPr="0071721F">
        <w:rPr>
          <w:rFonts w:ascii="Century Gothic" w:hAnsi="Century Gothic" w:cs="Arial"/>
          <w:sz w:val="18"/>
          <w:szCs w:val="18"/>
          <w:lang w:val="es-ES"/>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54249D6" w14:textId="77777777" w:rsidR="004624B1" w:rsidRPr="0071721F" w:rsidRDefault="004624B1" w:rsidP="0071721F">
      <w:pPr>
        <w:pStyle w:val="Textonotapie"/>
        <w:ind w:firstLine="709"/>
        <w:jc w:val="both"/>
        <w:rPr>
          <w:rFonts w:ascii="Century Gothic" w:hAnsi="Century Gothic" w:cs="Arial"/>
          <w:sz w:val="18"/>
          <w:szCs w:val="18"/>
          <w:lang w:val="es-ES"/>
        </w:rPr>
      </w:pPr>
      <w:r w:rsidRPr="0071721F">
        <w:rPr>
          <w:rFonts w:ascii="Century Gothic" w:hAnsi="Century Gothic" w:cs="Arial"/>
          <w:sz w:val="18"/>
          <w:szCs w:val="18"/>
          <w:lang w:val="es-ES"/>
        </w:rPr>
        <w:t>“Son también contratos de consultoría los que tienen por objeto la interventoría, asesoría, gerencia de obra o de proyectos, dirección, programación y la ejecución de diseños, planos, anteproyectos y proyectos.</w:t>
      </w:r>
    </w:p>
    <w:p w14:paraId="6B17870F" w14:textId="77777777" w:rsidR="004624B1" w:rsidRPr="0071721F" w:rsidRDefault="004624B1" w:rsidP="0071721F">
      <w:pPr>
        <w:pStyle w:val="Textonotapie"/>
        <w:ind w:firstLine="709"/>
        <w:jc w:val="both"/>
        <w:rPr>
          <w:rFonts w:ascii="Century Gothic" w:hAnsi="Century Gothic" w:cs="Arial"/>
          <w:sz w:val="18"/>
          <w:szCs w:val="18"/>
          <w:lang w:val="es-ES"/>
        </w:rPr>
      </w:pPr>
      <w:r w:rsidRPr="0071721F">
        <w:rPr>
          <w:rFonts w:ascii="Century Gothic" w:hAnsi="Century Gothic" w:cs="Arial"/>
          <w:sz w:val="18"/>
          <w:szCs w:val="18"/>
          <w:lang w:val="es-ES"/>
        </w:rPr>
        <w:t>“Ninguna orden del interventor de una obra podrá darse verbalmente. Es obligatorio para el interventor entregar por escrito sus órdenes o sugerencias y ellas deben enmarcarse dentro de los términos del respectivo contrato”.</w:t>
      </w:r>
    </w:p>
  </w:footnote>
  <w:footnote w:id="15">
    <w:p w14:paraId="229DC450" w14:textId="2D0B6BCA" w:rsidR="00F96F74" w:rsidRPr="0071721F" w:rsidRDefault="00F96F74" w:rsidP="0071721F">
      <w:pPr>
        <w:pStyle w:val="Textonotapie"/>
        <w:ind w:firstLine="708"/>
        <w:jc w:val="both"/>
        <w:rPr>
          <w:rFonts w:ascii="Century Gothic" w:hAnsi="Century Gothic"/>
          <w:sz w:val="18"/>
          <w:szCs w:val="18"/>
        </w:rPr>
      </w:pPr>
      <w:r w:rsidRPr="0071721F">
        <w:rPr>
          <w:rStyle w:val="Refdenotaalpie"/>
          <w:rFonts w:ascii="Century Gothic" w:hAnsi="Century Gothic"/>
          <w:sz w:val="18"/>
          <w:szCs w:val="18"/>
        </w:rPr>
        <w:footnoteRef/>
      </w:r>
      <w:r w:rsidRPr="0071721F">
        <w:rPr>
          <w:rFonts w:ascii="Century Gothic" w:hAnsi="Century Gothic"/>
          <w:sz w:val="18"/>
          <w:szCs w:val="18"/>
        </w:rPr>
        <w:t xml:space="preserve">  </w:t>
      </w:r>
      <w:r w:rsidR="0071721F" w:rsidRPr="0071721F">
        <w:rPr>
          <w:rFonts w:ascii="Century Gothic" w:hAnsi="Century Gothic"/>
          <w:sz w:val="18"/>
          <w:szCs w:val="18"/>
        </w:rPr>
        <w:t>Contraloría</w:t>
      </w:r>
      <w:r w:rsidRPr="0071721F">
        <w:rPr>
          <w:rFonts w:ascii="Century Gothic" w:hAnsi="Century Gothic"/>
          <w:sz w:val="18"/>
          <w:szCs w:val="18"/>
        </w:rPr>
        <w:t xml:space="preserve"> General de la República Concepto CG</w:t>
      </w:r>
      <w:r w:rsidR="0071721F" w:rsidRPr="0071721F">
        <w:rPr>
          <w:rFonts w:ascii="Century Gothic" w:hAnsi="Century Gothic"/>
          <w:sz w:val="18"/>
          <w:szCs w:val="18"/>
        </w:rPr>
        <w:t>R-OJ-175 de 2022 número de radicado 2022E168766</w:t>
      </w:r>
    </w:p>
  </w:footnote>
  <w:footnote w:id="16">
    <w:p w14:paraId="72BED673" w14:textId="5A165919" w:rsidR="00A50145" w:rsidRPr="0071721F" w:rsidRDefault="00A50145" w:rsidP="00A50145">
      <w:pPr>
        <w:pStyle w:val="Textonotapie"/>
        <w:ind w:firstLine="709"/>
        <w:jc w:val="both"/>
        <w:rPr>
          <w:rFonts w:ascii="Century Gothic" w:hAnsi="Century Gothic" w:cs="Arial"/>
          <w:color w:val="000000" w:themeColor="text1"/>
          <w:sz w:val="18"/>
          <w:szCs w:val="18"/>
          <w:lang w:val="es-CO"/>
        </w:rPr>
      </w:pPr>
      <w:r w:rsidRPr="0071721F">
        <w:rPr>
          <w:rStyle w:val="Refdenotaalpie"/>
          <w:rFonts w:ascii="Century Gothic" w:hAnsi="Century Gothic" w:cs="Arial"/>
          <w:color w:val="000000" w:themeColor="text1"/>
          <w:sz w:val="18"/>
          <w:szCs w:val="18"/>
        </w:rPr>
        <w:footnoteRef/>
      </w:r>
      <w:r w:rsidRPr="0071721F">
        <w:rPr>
          <w:rFonts w:ascii="Century Gothic" w:hAnsi="Century Gothic" w:cs="Arial"/>
          <w:color w:val="000000" w:themeColor="text1"/>
          <w:sz w:val="18"/>
          <w:szCs w:val="18"/>
        </w:rPr>
        <w:t xml:space="preserve"> Ley 80 de 1993: «Artículo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r w:rsidR="00B4665C">
        <w:rPr>
          <w:rFonts w:ascii="Century Gothic" w:hAnsi="Century Gothic" w:cs="Arial"/>
          <w:color w:val="000000" w:themeColor="text1"/>
          <w:sz w:val="18"/>
          <w:szCs w:val="18"/>
        </w:rPr>
        <w:t>”</w:t>
      </w:r>
      <w:r w:rsidRPr="0071721F">
        <w:rPr>
          <w:rFonts w:ascii="Century Gothic" w:hAnsi="Century Gothic" w:cs="Arial"/>
          <w:color w:val="000000" w:themeColor="text1"/>
          <w:sz w:val="18"/>
          <w:szCs w:val="18"/>
        </w:rPr>
        <w:t>.</w:t>
      </w:r>
    </w:p>
  </w:footnote>
  <w:footnote w:id="17">
    <w:p w14:paraId="1E35EF7E" w14:textId="77777777" w:rsidR="00A50145" w:rsidRPr="0071721F" w:rsidRDefault="00A50145" w:rsidP="00A50145">
      <w:pPr>
        <w:pStyle w:val="Textonotapie"/>
        <w:ind w:firstLine="709"/>
        <w:jc w:val="both"/>
        <w:rPr>
          <w:rFonts w:ascii="Century Gothic" w:hAnsi="Century Gothic" w:cs="Arial"/>
          <w:color w:val="000000" w:themeColor="text1"/>
          <w:sz w:val="18"/>
          <w:szCs w:val="18"/>
        </w:rPr>
      </w:pPr>
      <w:r w:rsidRPr="0071721F">
        <w:rPr>
          <w:rStyle w:val="Refdenotaalpie"/>
          <w:rFonts w:ascii="Century Gothic" w:hAnsi="Century Gothic" w:cs="Arial"/>
          <w:color w:val="000000" w:themeColor="text1"/>
          <w:sz w:val="18"/>
          <w:szCs w:val="18"/>
        </w:rPr>
        <w:footnoteRef/>
      </w:r>
      <w:r w:rsidRPr="0071721F">
        <w:rPr>
          <w:rFonts w:ascii="Century Gothic" w:hAnsi="Century Gothic" w:cs="Arial"/>
          <w:color w:val="000000" w:themeColor="text1"/>
          <w:sz w:val="18"/>
          <w:szCs w:val="18"/>
        </w:rPr>
        <w:t xml:space="preserve"> Consejo de Estado. Sección Tercera. Sentencia del 3 de diciembre de 2007. Exp. 24.715. Consejera Ponente: Ruth Stella Correa Palacio.</w:t>
      </w:r>
    </w:p>
    <w:p w14:paraId="1631760A" w14:textId="77777777" w:rsidR="00A50145" w:rsidRPr="0071721F" w:rsidRDefault="00A50145" w:rsidP="00A50145">
      <w:pPr>
        <w:pStyle w:val="Textonotapie"/>
        <w:ind w:firstLine="709"/>
        <w:jc w:val="both"/>
        <w:rPr>
          <w:rFonts w:ascii="Century Gothic" w:hAnsi="Century Gothic" w:cs="Arial"/>
          <w:color w:val="000000" w:themeColor="text1"/>
          <w:sz w:val="18"/>
          <w:szCs w:val="18"/>
          <w:lang w:val="es-CO"/>
        </w:rPr>
      </w:pPr>
    </w:p>
  </w:footnote>
  <w:footnote w:id="18">
    <w:p w14:paraId="028A1921" w14:textId="0B1370DF" w:rsidR="00A50145" w:rsidRPr="0071721F" w:rsidRDefault="00A50145" w:rsidP="00A50145">
      <w:pPr>
        <w:pStyle w:val="Textonotapie"/>
        <w:ind w:firstLine="709"/>
        <w:jc w:val="both"/>
        <w:rPr>
          <w:rFonts w:ascii="Century Gothic" w:hAnsi="Century Gothic" w:cs="Arial"/>
          <w:color w:val="000000" w:themeColor="text1"/>
          <w:sz w:val="18"/>
          <w:szCs w:val="18"/>
        </w:rPr>
      </w:pPr>
      <w:r w:rsidRPr="0071721F">
        <w:rPr>
          <w:rStyle w:val="Refdenotaalpie"/>
          <w:rFonts w:ascii="Century Gothic" w:hAnsi="Century Gothic" w:cs="Arial"/>
          <w:color w:val="000000" w:themeColor="text1"/>
          <w:sz w:val="18"/>
          <w:szCs w:val="18"/>
        </w:rPr>
        <w:footnoteRef/>
      </w:r>
      <w:r w:rsidRPr="0071721F">
        <w:rPr>
          <w:rFonts w:ascii="Century Gothic" w:hAnsi="Century Gothic" w:cs="Arial"/>
          <w:color w:val="000000" w:themeColor="text1"/>
          <w:sz w:val="18"/>
          <w:szCs w:val="18"/>
        </w:rPr>
        <w:t xml:space="preserve"> Concepto con radicado número 4201912000006639 del 29 de noviembre de 2019 «Tipo de asunto consultado: Sujetos que pueden hacer observaciones al informe de evaluación en un procedimiento contractual mediante la modalidad de licitación pública</w:t>
      </w:r>
      <w:r w:rsidR="00B4665C">
        <w:rPr>
          <w:rFonts w:ascii="Century Gothic" w:hAnsi="Century Gothic" w:cs="Arial"/>
          <w:color w:val="000000" w:themeColor="text1"/>
          <w:sz w:val="18"/>
          <w:szCs w:val="18"/>
        </w:rPr>
        <w:t>”</w:t>
      </w:r>
      <w:r w:rsidRPr="0071721F">
        <w:rPr>
          <w:rFonts w:ascii="Century Gothic" w:hAnsi="Century Gothic" w:cs="Arial"/>
          <w:color w:val="000000" w:themeColor="text1"/>
          <w:sz w:val="18"/>
          <w:szCs w:val="18"/>
        </w:rPr>
        <w:t>.</w:t>
      </w:r>
    </w:p>
    <w:p w14:paraId="06F2C302" w14:textId="77777777" w:rsidR="00A50145" w:rsidRPr="0071721F" w:rsidRDefault="00A50145" w:rsidP="00A50145">
      <w:pPr>
        <w:pStyle w:val="Textonotapie"/>
        <w:ind w:firstLine="709"/>
        <w:jc w:val="both"/>
        <w:rPr>
          <w:rFonts w:ascii="Century Gothic" w:hAnsi="Century Gothic" w:cs="Arial"/>
          <w:color w:val="000000" w:themeColor="text1"/>
          <w:sz w:val="18"/>
          <w:szCs w:val="18"/>
          <w:lang w:val="es-CO"/>
        </w:rPr>
      </w:pPr>
    </w:p>
  </w:footnote>
  <w:footnote w:id="19">
    <w:p w14:paraId="4724D77E" w14:textId="77777777" w:rsidR="000674B8" w:rsidRPr="0071721F" w:rsidRDefault="000674B8" w:rsidP="0071721F">
      <w:pPr>
        <w:pStyle w:val="Textonotapie"/>
        <w:ind w:firstLine="708"/>
        <w:jc w:val="both"/>
        <w:rPr>
          <w:rFonts w:ascii="Century Gothic" w:hAnsi="Century Gothic"/>
          <w:sz w:val="18"/>
          <w:szCs w:val="18"/>
        </w:rPr>
      </w:pPr>
      <w:r w:rsidRPr="0071721F">
        <w:rPr>
          <w:rStyle w:val="Refdenotaalpie"/>
          <w:rFonts w:ascii="Century Gothic" w:hAnsi="Century Gothic"/>
          <w:sz w:val="18"/>
          <w:szCs w:val="18"/>
        </w:rPr>
        <w:footnoteRef/>
      </w:r>
      <w:r w:rsidRPr="0071721F">
        <w:rPr>
          <w:rFonts w:ascii="Century Gothic" w:hAnsi="Century Gothic"/>
          <w:sz w:val="18"/>
          <w:szCs w:val="18"/>
        </w:rPr>
        <w:t xml:space="preserve"> BENAVIDES, José L. y SANTOFIMIO Jaime O, comps. Contrato estatal. Estudios sobre la reforma del estatuto contractual Ley 1150 de 2007. Universidad Externado de Colombia, 2009,</w:t>
      </w:r>
      <w:r w:rsidRPr="0071721F">
        <w:rPr>
          <w:rFonts w:ascii="Century Gothic" w:hAnsi="Century Gothic"/>
          <w:spacing w:val="-21"/>
          <w:sz w:val="18"/>
          <w:szCs w:val="18"/>
        </w:rPr>
        <w:t xml:space="preserve"> </w:t>
      </w:r>
      <w:r w:rsidRPr="0071721F">
        <w:rPr>
          <w:rFonts w:ascii="Century Gothic" w:hAnsi="Century Gothic"/>
          <w:sz w:val="18"/>
          <w:szCs w:val="18"/>
        </w:rPr>
        <w:t>p.165.</w:t>
      </w:r>
    </w:p>
    <w:p w14:paraId="6B6BCF0B" w14:textId="77777777" w:rsidR="000674B8" w:rsidRPr="0071721F" w:rsidRDefault="000674B8" w:rsidP="0071721F">
      <w:pPr>
        <w:pStyle w:val="Textonotapie"/>
        <w:jc w:val="both"/>
        <w:rPr>
          <w:rFonts w:ascii="Century Gothic" w:hAnsi="Century Gothic"/>
          <w:sz w:val="18"/>
          <w:szCs w:val="18"/>
          <w:lang w:val="es-CO"/>
        </w:rPr>
      </w:pPr>
    </w:p>
  </w:footnote>
  <w:footnote w:id="20">
    <w:p w14:paraId="3B2412A7" w14:textId="77777777" w:rsidR="00A50145" w:rsidRPr="0071721F" w:rsidRDefault="00A50145" w:rsidP="00A50145">
      <w:pPr>
        <w:pStyle w:val="Textonotapie"/>
        <w:ind w:firstLine="709"/>
        <w:jc w:val="both"/>
        <w:rPr>
          <w:rFonts w:ascii="Century Gothic" w:hAnsi="Century Gothic" w:cs="Arial"/>
          <w:color w:val="000000" w:themeColor="text1"/>
          <w:sz w:val="18"/>
          <w:szCs w:val="18"/>
        </w:rPr>
      </w:pPr>
      <w:r w:rsidRPr="0071721F">
        <w:rPr>
          <w:rStyle w:val="Refdenotaalpie"/>
          <w:rFonts w:ascii="Century Gothic" w:hAnsi="Century Gothic" w:cs="Arial"/>
          <w:color w:val="000000" w:themeColor="text1"/>
          <w:sz w:val="18"/>
          <w:szCs w:val="18"/>
        </w:rPr>
        <w:footnoteRef/>
      </w:r>
      <w:r w:rsidRPr="0071721F">
        <w:rPr>
          <w:rFonts w:ascii="Century Gothic" w:hAnsi="Century Gothic" w:cs="Arial"/>
          <w:color w:val="000000" w:themeColor="text1"/>
          <w:sz w:val="18"/>
          <w:szCs w:val="18"/>
        </w:rPr>
        <w:t xml:space="preserve"> Decreto 1082 de 2015: «Artículo 2.2.1.2.1.1.2. Audiencias en la licitación.</w:t>
      </w:r>
    </w:p>
    <w:p w14:paraId="71EC6E1A" w14:textId="77777777" w:rsidR="00A50145" w:rsidRPr="0071721F" w:rsidRDefault="00A50145" w:rsidP="00A50145">
      <w:pPr>
        <w:pStyle w:val="Textonotapie"/>
        <w:ind w:firstLine="709"/>
        <w:jc w:val="both"/>
        <w:rPr>
          <w:rFonts w:ascii="Century Gothic" w:hAnsi="Century Gothic" w:cs="Arial"/>
          <w:color w:val="000000" w:themeColor="text1"/>
          <w:sz w:val="18"/>
          <w:szCs w:val="18"/>
        </w:rPr>
      </w:pPr>
      <w:r w:rsidRPr="0071721F">
        <w:rPr>
          <w:rFonts w:ascii="Century Gothic" w:hAnsi="Century Gothic" w:cs="Arial"/>
          <w:color w:val="000000" w:themeColor="text1"/>
          <w:sz w:val="18"/>
          <w:szCs w:val="18"/>
        </w:rPr>
        <w:t>[…]</w:t>
      </w:r>
    </w:p>
    <w:p w14:paraId="1648C8B2" w14:textId="39A454D6" w:rsidR="00A50145" w:rsidRPr="0071721F" w:rsidRDefault="00B4665C" w:rsidP="00A50145">
      <w:pPr>
        <w:pStyle w:val="Textonotapie"/>
        <w:ind w:firstLine="709"/>
        <w:jc w:val="both"/>
        <w:rPr>
          <w:rFonts w:ascii="Century Gothic" w:hAnsi="Century Gothic" w:cs="Arial"/>
          <w:color w:val="000000" w:themeColor="text1"/>
          <w:sz w:val="18"/>
          <w:szCs w:val="18"/>
        </w:rPr>
      </w:pPr>
      <w:r>
        <w:rPr>
          <w:rFonts w:ascii="Century Gothic" w:hAnsi="Century Gothic" w:cs="Arial"/>
          <w:color w:val="000000" w:themeColor="text1"/>
          <w:sz w:val="18"/>
          <w:szCs w:val="18"/>
        </w:rPr>
        <w:t>“</w:t>
      </w:r>
      <w:r w:rsidR="00A50145" w:rsidRPr="0071721F">
        <w:rPr>
          <w:rFonts w:ascii="Century Gothic" w:hAnsi="Century Gothic" w:cs="Arial"/>
          <w:color w:val="000000" w:themeColor="text1"/>
          <w:sz w:val="18"/>
          <w:szCs w:val="18"/>
        </w:rPr>
        <w:t>La Entidad Estatal debe realizar la audiencia de adjudicación en la fecha y hora establecida en el Cronograma, la cual se realizará de acuerdo con las reglas establecidas para el efecto en los mismos y las siguientes consideraciones:</w:t>
      </w:r>
    </w:p>
    <w:p w14:paraId="014801DA" w14:textId="40D6B97B" w:rsidR="00A50145" w:rsidRPr="0071721F" w:rsidRDefault="00A50145" w:rsidP="00A50145">
      <w:pPr>
        <w:pStyle w:val="Textonotapie"/>
        <w:ind w:firstLine="709"/>
        <w:jc w:val="both"/>
        <w:rPr>
          <w:rFonts w:ascii="Century Gothic" w:hAnsi="Century Gothic" w:cs="Arial"/>
          <w:color w:val="000000" w:themeColor="text1"/>
          <w:sz w:val="18"/>
          <w:szCs w:val="18"/>
        </w:rPr>
      </w:pPr>
      <w:r w:rsidRPr="0071721F">
        <w:rPr>
          <w:rFonts w:ascii="Century Gothic" w:hAnsi="Century Gothic" w:cs="Arial"/>
          <w:color w:val="000000" w:themeColor="text1"/>
          <w:sz w:val="18"/>
          <w:szCs w:val="18"/>
        </w:rPr>
        <w:t>1. En la audiencia los oferentes pueden pronunciarse sobre las respuestas dadas por la Entidad Estatal a las observaciones presentadas respecto del informe de evaluación, lo cual no implica una nueva oportunidad para mejorar o modificar la oferta.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w:t>
      </w:r>
      <w:r w:rsidR="00B4665C">
        <w:rPr>
          <w:rFonts w:ascii="Century Gothic" w:hAnsi="Century Gothic" w:cs="Arial"/>
          <w:color w:val="000000" w:themeColor="text1"/>
          <w:sz w:val="18"/>
          <w:szCs w:val="18"/>
        </w:rPr>
        <w:t>”</w:t>
      </w:r>
      <w:r w:rsidRPr="0071721F">
        <w:rPr>
          <w:rFonts w:ascii="Century Gothic" w:hAnsi="Century Gothic" w:cs="Arial"/>
          <w:color w:val="000000" w:themeColor="text1"/>
          <w:sz w:val="18"/>
          <w:szCs w:val="18"/>
        </w:rPr>
        <w:t>.</w:t>
      </w:r>
    </w:p>
    <w:p w14:paraId="427BA99D" w14:textId="77777777" w:rsidR="00A50145" w:rsidRPr="0071721F" w:rsidRDefault="00A50145" w:rsidP="00A50145">
      <w:pPr>
        <w:pStyle w:val="Textonotapie"/>
        <w:ind w:firstLine="709"/>
        <w:jc w:val="both"/>
        <w:rPr>
          <w:rFonts w:ascii="Century Gothic" w:hAnsi="Century Gothic" w:cs="Arial"/>
          <w:color w:val="000000" w:themeColor="text1"/>
          <w:sz w:val="18"/>
          <w:szCs w:val="18"/>
          <w:lang w:val="es-CO"/>
        </w:rPr>
      </w:pPr>
    </w:p>
  </w:footnote>
  <w:footnote w:id="21">
    <w:p w14:paraId="0AF50876" w14:textId="77777777" w:rsidR="00320207" w:rsidRPr="0071721F" w:rsidRDefault="00320207" w:rsidP="0071721F">
      <w:pPr>
        <w:pStyle w:val="Textonotapie"/>
        <w:ind w:firstLine="709"/>
        <w:jc w:val="both"/>
        <w:rPr>
          <w:rFonts w:ascii="Century Gothic" w:hAnsi="Century Gothic" w:cs="Arial"/>
          <w:color w:val="000000" w:themeColor="text1"/>
          <w:sz w:val="18"/>
          <w:szCs w:val="18"/>
        </w:rPr>
      </w:pPr>
      <w:r w:rsidRPr="0071721F">
        <w:rPr>
          <w:rStyle w:val="Refdenotaalpie"/>
          <w:rFonts w:ascii="Century Gothic" w:hAnsi="Century Gothic" w:cs="Arial"/>
          <w:color w:val="000000" w:themeColor="text1"/>
          <w:sz w:val="18"/>
          <w:szCs w:val="18"/>
        </w:rPr>
        <w:footnoteRef/>
      </w:r>
      <w:r w:rsidRPr="0071721F">
        <w:rPr>
          <w:rFonts w:ascii="Century Gothic" w:hAnsi="Century Gothic" w:cs="Arial"/>
          <w:color w:val="000000" w:themeColor="text1"/>
          <w:sz w:val="18"/>
          <w:szCs w:val="18"/>
        </w:rPr>
        <w:t xml:space="preserve"> Ley 80 de 1993: «Artículo 25. Del principio de economía. En virtud de este principio:</w:t>
      </w:r>
    </w:p>
    <w:p w14:paraId="75524219" w14:textId="53354B96" w:rsidR="00320207" w:rsidRPr="0071721F" w:rsidRDefault="00B4665C" w:rsidP="0071721F">
      <w:pPr>
        <w:pStyle w:val="Textonotapie"/>
        <w:ind w:firstLine="709"/>
        <w:jc w:val="both"/>
        <w:rPr>
          <w:rFonts w:ascii="Century Gothic" w:hAnsi="Century Gothic" w:cs="Arial"/>
          <w:color w:val="000000" w:themeColor="text1"/>
          <w:sz w:val="18"/>
          <w:szCs w:val="18"/>
        </w:rPr>
      </w:pPr>
      <w:r>
        <w:rPr>
          <w:rFonts w:ascii="Century Gothic" w:hAnsi="Century Gothic" w:cs="Arial"/>
          <w:color w:val="000000" w:themeColor="text1"/>
          <w:sz w:val="18"/>
          <w:szCs w:val="18"/>
        </w:rPr>
        <w:t>“</w:t>
      </w:r>
      <w:r w:rsidR="00320207" w:rsidRPr="0071721F">
        <w:rPr>
          <w:rFonts w:ascii="Century Gothic" w:hAnsi="Century Gothic" w:cs="Arial"/>
          <w:color w:val="000000" w:themeColor="text1"/>
          <w:sz w:val="18"/>
          <w:szCs w:val="18"/>
        </w:rPr>
        <w:t>1º.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r>
        <w:rPr>
          <w:rFonts w:ascii="Century Gothic" w:hAnsi="Century Gothic" w:cs="Arial"/>
          <w:color w:val="000000" w:themeColor="text1"/>
          <w:sz w:val="18"/>
          <w:szCs w:val="18"/>
        </w:rPr>
        <w:t>”</w:t>
      </w:r>
      <w:r w:rsidR="00320207" w:rsidRPr="0071721F">
        <w:rPr>
          <w:rFonts w:ascii="Century Gothic" w:hAnsi="Century Gothic" w:cs="Arial"/>
          <w:color w:val="000000" w:themeColor="text1"/>
          <w:sz w:val="18"/>
          <w:szCs w:val="18"/>
        </w:rPr>
        <w:t>.</w:t>
      </w:r>
    </w:p>
    <w:p w14:paraId="6FBEB1DD" w14:textId="77777777" w:rsidR="00320207" w:rsidRPr="0071721F" w:rsidRDefault="00320207" w:rsidP="0071721F">
      <w:pPr>
        <w:pStyle w:val="Textonotapie"/>
        <w:ind w:firstLine="709"/>
        <w:jc w:val="both"/>
        <w:rPr>
          <w:rFonts w:ascii="Century Gothic" w:hAnsi="Century Gothic" w:cs="Arial"/>
          <w:color w:val="000000" w:themeColor="text1"/>
          <w:sz w:val="18"/>
          <w:szCs w:val="18"/>
          <w:lang w:val="es-ES"/>
        </w:rPr>
      </w:pPr>
    </w:p>
  </w:footnote>
  <w:footnote w:id="22">
    <w:p w14:paraId="01BA6400" w14:textId="77777777" w:rsidR="00320207" w:rsidRPr="0071721F" w:rsidRDefault="00320207" w:rsidP="0071721F">
      <w:pPr>
        <w:pStyle w:val="Textonotapie"/>
        <w:ind w:firstLine="709"/>
        <w:jc w:val="both"/>
        <w:rPr>
          <w:rFonts w:ascii="Century Gothic" w:hAnsi="Century Gothic" w:cs="Arial"/>
          <w:color w:val="000000" w:themeColor="text1"/>
          <w:sz w:val="18"/>
          <w:szCs w:val="18"/>
          <w:lang w:val="es-ES"/>
        </w:rPr>
      </w:pPr>
      <w:r w:rsidRPr="0071721F">
        <w:rPr>
          <w:rStyle w:val="Refdenotaalpie"/>
          <w:rFonts w:ascii="Century Gothic" w:hAnsi="Century Gothic" w:cs="Arial"/>
          <w:color w:val="000000" w:themeColor="text1"/>
          <w:sz w:val="18"/>
          <w:szCs w:val="18"/>
        </w:rPr>
        <w:footnoteRef/>
      </w:r>
      <w:r w:rsidRPr="0071721F">
        <w:rPr>
          <w:rFonts w:ascii="Century Gothic" w:hAnsi="Century Gothic" w:cs="Arial"/>
          <w:color w:val="000000" w:themeColor="text1"/>
          <w:sz w:val="18"/>
          <w:szCs w:val="18"/>
        </w:rPr>
        <w:t xml:space="preserve"> Consejo de Estado. Sección Tercera. Sentencia del 3 de mayo 2007. Exp. 16.209. Consejero Ponente: Ramiro Saavedra Becerra.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154" w14:textId="43B6B0B6" w:rsidR="00756841" w:rsidRDefault="00961B09">
    <w:pPr>
      <w:pStyle w:val="Encabezado"/>
    </w:pPr>
    <w:r>
      <w:rPr>
        <w:noProof/>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67DABC48"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7E5E717" w:rsidR="004A305D" w:rsidRPr="004A305D" w:rsidRDefault="004A305D"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13</w:t>
    </w:r>
  </w:p>
  <w:p w14:paraId="5E18350A" w14:textId="3833E343" w:rsidR="004A305D" w:rsidRPr="004A305D" w:rsidRDefault="004A305D"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sidR="00CB6357">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sidR="00CB6357">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sidR="00961B09">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sidR="00961B09">
      <w:rPr>
        <w:rFonts w:ascii="Century Gothic" w:eastAsia="Geo" w:hAnsi="Century Gothic" w:cs="Geo"/>
        <w:sz w:val="16"/>
        <w:szCs w:val="16"/>
        <w:lang w:eastAsia="es-CO"/>
      </w:rPr>
      <w:t>3</w:t>
    </w:r>
  </w:p>
  <w:p w14:paraId="1FD1C243" w14:textId="6D74A3CF" w:rsidR="008A446D" w:rsidRDefault="008A446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D6B52"/>
    <w:multiLevelType w:val="multilevel"/>
    <w:tmpl w:val="F7F6205E"/>
    <w:lvl w:ilvl="0">
      <w:start w:val="1"/>
      <w:numFmt w:val="decimal"/>
      <w:lvlText w:val="%1."/>
      <w:lvlJc w:val="left"/>
      <w:pPr>
        <w:ind w:left="463" w:hanging="243"/>
      </w:pPr>
      <w:rPr>
        <w:rFonts w:ascii="Arial" w:eastAsia="Arial" w:hAnsi="Arial" w:cs="Arial" w:hint="default"/>
        <w:b/>
        <w:bCs/>
        <w:color w:val="4E4D4D"/>
        <w:spacing w:val="-1"/>
        <w:w w:val="100"/>
        <w:sz w:val="22"/>
        <w:szCs w:val="22"/>
        <w:lang w:val="es-ES" w:eastAsia="en-US" w:bidi="ar-SA"/>
      </w:rPr>
    </w:lvl>
    <w:lvl w:ilvl="1">
      <w:start w:val="1"/>
      <w:numFmt w:val="decimal"/>
      <w:lvlText w:val="%1.%2."/>
      <w:lvlJc w:val="left"/>
      <w:pPr>
        <w:ind w:left="645" w:hanging="426"/>
      </w:pPr>
      <w:rPr>
        <w:rFonts w:ascii="Arial" w:eastAsia="Arial" w:hAnsi="Arial" w:cs="Arial" w:hint="default"/>
        <w:b/>
        <w:bCs/>
        <w:color w:val="4E4D4D"/>
        <w:spacing w:val="-1"/>
        <w:w w:val="100"/>
        <w:sz w:val="22"/>
        <w:szCs w:val="22"/>
        <w:lang w:val="es-ES" w:eastAsia="en-US" w:bidi="ar-SA"/>
      </w:rPr>
    </w:lvl>
    <w:lvl w:ilvl="2">
      <w:start w:val="1"/>
      <w:numFmt w:val="decimal"/>
      <w:lvlText w:val="%3."/>
      <w:lvlJc w:val="left"/>
      <w:pPr>
        <w:ind w:left="940" w:hanging="360"/>
      </w:pPr>
      <w:rPr>
        <w:rFonts w:ascii="Arial" w:eastAsia="Arial" w:hAnsi="Arial" w:cs="Arial" w:hint="default"/>
        <w:color w:val="4E4D4D"/>
        <w:spacing w:val="-15"/>
        <w:w w:val="100"/>
        <w:sz w:val="22"/>
        <w:szCs w:val="22"/>
        <w:lang w:val="es-ES" w:eastAsia="en-US" w:bidi="ar-SA"/>
      </w:rPr>
    </w:lvl>
    <w:lvl w:ilvl="3">
      <w:numFmt w:val="bullet"/>
      <w:lvlText w:val="•"/>
      <w:lvlJc w:val="left"/>
      <w:pPr>
        <w:ind w:left="940" w:hanging="360"/>
      </w:pPr>
      <w:rPr>
        <w:rFonts w:hint="default"/>
        <w:lang w:val="es-ES" w:eastAsia="en-US" w:bidi="ar-SA"/>
      </w:rPr>
    </w:lvl>
    <w:lvl w:ilvl="4">
      <w:numFmt w:val="bullet"/>
      <w:lvlText w:val="•"/>
      <w:lvlJc w:val="left"/>
      <w:pPr>
        <w:ind w:left="2128" w:hanging="360"/>
      </w:pPr>
      <w:rPr>
        <w:rFonts w:hint="default"/>
        <w:lang w:val="es-ES" w:eastAsia="en-US" w:bidi="ar-SA"/>
      </w:rPr>
    </w:lvl>
    <w:lvl w:ilvl="5">
      <w:numFmt w:val="bullet"/>
      <w:lvlText w:val="•"/>
      <w:lvlJc w:val="left"/>
      <w:pPr>
        <w:ind w:left="3317" w:hanging="360"/>
      </w:pPr>
      <w:rPr>
        <w:rFonts w:hint="default"/>
        <w:lang w:val="es-ES" w:eastAsia="en-US" w:bidi="ar-SA"/>
      </w:rPr>
    </w:lvl>
    <w:lvl w:ilvl="6">
      <w:numFmt w:val="bullet"/>
      <w:lvlText w:val="•"/>
      <w:lvlJc w:val="left"/>
      <w:pPr>
        <w:ind w:left="4505" w:hanging="360"/>
      </w:pPr>
      <w:rPr>
        <w:rFonts w:hint="default"/>
        <w:lang w:val="es-ES" w:eastAsia="en-US" w:bidi="ar-SA"/>
      </w:rPr>
    </w:lvl>
    <w:lvl w:ilvl="7">
      <w:numFmt w:val="bullet"/>
      <w:lvlText w:val="•"/>
      <w:lvlJc w:val="left"/>
      <w:pPr>
        <w:ind w:left="5694" w:hanging="360"/>
      </w:pPr>
      <w:rPr>
        <w:rFonts w:hint="default"/>
        <w:lang w:val="es-ES" w:eastAsia="en-US" w:bidi="ar-SA"/>
      </w:rPr>
    </w:lvl>
    <w:lvl w:ilvl="8">
      <w:numFmt w:val="bullet"/>
      <w:lvlText w:val="•"/>
      <w:lvlJc w:val="left"/>
      <w:pPr>
        <w:ind w:left="6882" w:hanging="360"/>
      </w:pPr>
      <w:rPr>
        <w:rFonts w:hint="default"/>
        <w:lang w:val="es-ES" w:eastAsia="en-US" w:bidi="ar-SA"/>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12661AD"/>
    <w:multiLevelType w:val="multilevel"/>
    <w:tmpl w:val="F98E7AA8"/>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eastAsia="Times New Roman" w:hint="default"/>
      </w:rPr>
    </w:lvl>
    <w:lvl w:ilvl="2">
      <w:start w:val="1"/>
      <w:numFmt w:val="decimal"/>
      <w:isLgl/>
      <w:lvlText w:val="%1.%2.%3."/>
      <w:lvlJc w:val="left"/>
      <w:pPr>
        <w:ind w:left="1080" w:hanging="720"/>
      </w:pPr>
      <w:rPr>
        <w:rFonts w:eastAsia="Times New Roman" w:hint="default"/>
      </w:rPr>
    </w:lvl>
    <w:lvl w:ilvl="3">
      <w:start w:val="1"/>
      <w:numFmt w:val="decimal"/>
      <w:isLgl/>
      <w:lvlText w:val="%1.%2.%3.%4."/>
      <w:lvlJc w:val="left"/>
      <w:pPr>
        <w:ind w:left="1440" w:hanging="1080"/>
      </w:pPr>
      <w:rPr>
        <w:rFonts w:eastAsia="Times New Roman" w:hint="default"/>
      </w:rPr>
    </w:lvl>
    <w:lvl w:ilvl="4">
      <w:start w:val="1"/>
      <w:numFmt w:val="decimal"/>
      <w:isLgl/>
      <w:lvlText w:val="%1.%2.%3.%4.%5."/>
      <w:lvlJc w:val="left"/>
      <w:pPr>
        <w:ind w:left="1800" w:hanging="1440"/>
      </w:pPr>
      <w:rPr>
        <w:rFonts w:eastAsia="Times New Roman" w:hint="default"/>
      </w:rPr>
    </w:lvl>
    <w:lvl w:ilvl="5">
      <w:start w:val="1"/>
      <w:numFmt w:val="decimal"/>
      <w:isLgl/>
      <w:lvlText w:val="%1.%2.%3.%4.%5.%6."/>
      <w:lvlJc w:val="left"/>
      <w:pPr>
        <w:ind w:left="1800" w:hanging="1440"/>
      </w:pPr>
      <w:rPr>
        <w:rFonts w:eastAsia="Times New Roman" w:hint="default"/>
      </w:rPr>
    </w:lvl>
    <w:lvl w:ilvl="6">
      <w:start w:val="1"/>
      <w:numFmt w:val="decimal"/>
      <w:isLgl/>
      <w:lvlText w:val="%1.%2.%3.%4.%5.%6.%7."/>
      <w:lvlJc w:val="left"/>
      <w:pPr>
        <w:ind w:left="2160" w:hanging="1800"/>
      </w:pPr>
      <w:rPr>
        <w:rFonts w:eastAsia="Times New Roman" w:hint="default"/>
      </w:rPr>
    </w:lvl>
    <w:lvl w:ilvl="7">
      <w:start w:val="1"/>
      <w:numFmt w:val="decimal"/>
      <w:isLgl/>
      <w:lvlText w:val="%1.%2.%3.%4.%5.%6.%7.%8."/>
      <w:lvlJc w:val="left"/>
      <w:pPr>
        <w:ind w:left="2160" w:hanging="1800"/>
      </w:pPr>
      <w:rPr>
        <w:rFonts w:eastAsia="Times New Roman" w:hint="default"/>
      </w:rPr>
    </w:lvl>
    <w:lvl w:ilvl="8">
      <w:start w:val="1"/>
      <w:numFmt w:val="decimal"/>
      <w:isLgl/>
      <w:lvlText w:val="%1.%2.%3.%4.%5.%6.%7.%8.%9."/>
      <w:lvlJc w:val="left"/>
      <w:pPr>
        <w:ind w:left="2520" w:hanging="2160"/>
      </w:pPr>
      <w:rPr>
        <w:rFonts w:eastAsia="Times New Roman" w:hint="default"/>
      </w:r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48779781">
    <w:abstractNumId w:val="4"/>
  </w:num>
  <w:num w:numId="2" w16cid:durableId="19822139">
    <w:abstractNumId w:val="1"/>
  </w:num>
  <w:num w:numId="3" w16cid:durableId="876742304">
    <w:abstractNumId w:val="3"/>
  </w:num>
  <w:num w:numId="4" w16cid:durableId="2451864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216859629">
    <w:abstractNumId w:val="2"/>
  </w:num>
  <w:num w:numId="7" w16cid:durableId="13822446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grammar="clean"/>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45B9C"/>
    <w:rsid w:val="00055225"/>
    <w:rsid w:val="000615E8"/>
    <w:rsid w:val="000617EA"/>
    <w:rsid w:val="000674B8"/>
    <w:rsid w:val="000706C9"/>
    <w:rsid w:val="000A683E"/>
    <w:rsid w:val="000B19B9"/>
    <w:rsid w:val="000D0334"/>
    <w:rsid w:val="000E7258"/>
    <w:rsid w:val="000F6486"/>
    <w:rsid w:val="00103752"/>
    <w:rsid w:val="00127233"/>
    <w:rsid w:val="00131DD6"/>
    <w:rsid w:val="0013279A"/>
    <w:rsid w:val="001364E9"/>
    <w:rsid w:val="00154DF4"/>
    <w:rsid w:val="001571F2"/>
    <w:rsid w:val="00187F67"/>
    <w:rsid w:val="001910CF"/>
    <w:rsid w:val="00195220"/>
    <w:rsid w:val="001B06F1"/>
    <w:rsid w:val="001C106A"/>
    <w:rsid w:val="001E4177"/>
    <w:rsid w:val="00205F92"/>
    <w:rsid w:val="00213435"/>
    <w:rsid w:val="00220650"/>
    <w:rsid w:val="00263185"/>
    <w:rsid w:val="00276336"/>
    <w:rsid w:val="002951A0"/>
    <w:rsid w:val="002962BC"/>
    <w:rsid w:val="002A49AC"/>
    <w:rsid w:val="002A64FD"/>
    <w:rsid w:val="002B4915"/>
    <w:rsid w:val="002B7DB1"/>
    <w:rsid w:val="002C7A84"/>
    <w:rsid w:val="0030454D"/>
    <w:rsid w:val="00320207"/>
    <w:rsid w:val="00320EFD"/>
    <w:rsid w:val="00326981"/>
    <w:rsid w:val="00350080"/>
    <w:rsid w:val="003612C9"/>
    <w:rsid w:val="00372224"/>
    <w:rsid w:val="00382EC9"/>
    <w:rsid w:val="0038681A"/>
    <w:rsid w:val="00394943"/>
    <w:rsid w:val="003A5BBE"/>
    <w:rsid w:val="003A779E"/>
    <w:rsid w:val="003D0F4D"/>
    <w:rsid w:val="003E0499"/>
    <w:rsid w:val="003E4CD4"/>
    <w:rsid w:val="003F3941"/>
    <w:rsid w:val="003F56B8"/>
    <w:rsid w:val="00405074"/>
    <w:rsid w:val="004116B8"/>
    <w:rsid w:val="00425048"/>
    <w:rsid w:val="00425983"/>
    <w:rsid w:val="00426C80"/>
    <w:rsid w:val="00431718"/>
    <w:rsid w:val="004624B1"/>
    <w:rsid w:val="0047110B"/>
    <w:rsid w:val="0048530E"/>
    <w:rsid w:val="00491CB6"/>
    <w:rsid w:val="004A1847"/>
    <w:rsid w:val="004A305D"/>
    <w:rsid w:val="004B708A"/>
    <w:rsid w:val="004D536F"/>
    <w:rsid w:val="004D54EF"/>
    <w:rsid w:val="004D789D"/>
    <w:rsid w:val="004E15C0"/>
    <w:rsid w:val="004E1A5D"/>
    <w:rsid w:val="004E724C"/>
    <w:rsid w:val="004E77C0"/>
    <w:rsid w:val="004F21C4"/>
    <w:rsid w:val="004F685F"/>
    <w:rsid w:val="005032DA"/>
    <w:rsid w:val="005034EF"/>
    <w:rsid w:val="00506FCD"/>
    <w:rsid w:val="00523836"/>
    <w:rsid w:val="005472C9"/>
    <w:rsid w:val="005566E8"/>
    <w:rsid w:val="00560ADC"/>
    <w:rsid w:val="005741A4"/>
    <w:rsid w:val="00574867"/>
    <w:rsid w:val="00580B2C"/>
    <w:rsid w:val="005942CF"/>
    <w:rsid w:val="005A4232"/>
    <w:rsid w:val="005A5D39"/>
    <w:rsid w:val="005B3712"/>
    <w:rsid w:val="005B7ED1"/>
    <w:rsid w:val="005C5CDC"/>
    <w:rsid w:val="005D476C"/>
    <w:rsid w:val="005F3694"/>
    <w:rsid w:val="00606FB6"/>
    <w:rsid w:val="00620994"/>
    <w:rsid w:val="006219F8"/>
    <w:rsid w:val="00636146"/>
    <w:rsid w:val="0063796F"/>
    <w:rsid w:val="00643058"/>
    <w:rsid w:val="00650B68"/>
    <w:rsid w:val="00665D70"/>
    <w:rsid w:val="00680380"/>
    <w:rsid w:val="00682EE0"/>
    <w:rsid w:val="006E072D"/>
    <w:rsid w:val="006F6833"/>
    <w:rsid w:val="00706C16"/>
    <w:rsid w:val="0071303D"/>
    <w:rsid w:val="0071721F"/>
    <w:rsid w:val="00735A38"/>
    <w:rsid w:val="007540C4"/>
    <w:rsid w:val="007544C0"/>
    <w:rsid w:val="00756841"/>
    <w:rsid w:val="00757AA1"/>
    <w:rsid w:val="00761BF1"/>
    <w:rsid w:val="007649AB"/>
    <w:rsid w:val="007717F3"/>
    <w:rsid w:val="007833AC"/>
    <w:rsid w:val="00790BD1"/>
    <w:rsid w:val="00797133"/>
    <w:rsid w:val="007C3DC2"/>
    <w:rsid w:val="007C4974"/>
    <w:rsid w:val="007C6E05"/>
    <w:rsid w:val="007C7926"/>
    <w:rsid w:val="007E5497"/>
    <w:rsid w:val="007E7F09"/>
    <w:rsid w:val="007F7625"/>
    <w:rsid w:val="008045F2"/>
    <w:rsid w:val="00806F5F"/>
    <w:rsid w:val="0081133E"/>
    <w:rsid w:val="00820278"/>
    <w:rsid w:val="00831232"/>
    <w:rsid w:val="00860DB7"/>
    <w:rsid w:val="00874181"/>
    <w:rsid w:val="008843B6"/>
    <w:rsid w:val="00887F5F"/>
    <w:rsid w:val="00891928"/>
    <w:rsid w:val="008A0774"/>
    <w:rsid w:val="008A38B5"/>
    <w:rsid w:val="008A446D"/>
    <w:rsid w:val="008F0EA7"/>
    <w:rsid w:val="008F2E7F"/>
    <w:rsid w:val="008F4268"/>
    <w:rsid w:val="00910B9D"/>
    <w:rsid w:val="00914264"/>
    <w:rsid w:val="00915341"/>
    <w:rsid w:val="00923EEF"/>
    <w:rsid w:val="00924414"/>
    <w:rsid w:val="009419F9"/>
    <w:rsid w:val="00961B09"/>
    <w:rsid w:val="009630B3"/>
    <w:rsid w:val="00965334"/>
    <w:rsid w:val="0097093E"/>
    <w:rsid w:val="00997DF6"/>
    <w:rsid w:val="009A4430"/>
    <w:rsid w:val="009B0837"/>
    <w:rsid w:val="009C2E85"/>
    <w:rsid w:val="009C71FA"/>
    <w:rsid w:val="009C72E7"/>
    <w:rsid w:val="009D385F"/>
    <w:rsid w:val="009E26B0"/>
    <w:rsid w:val="009F7241"/>
    <w:rsid w:val="00A06451"/>
    <w:rsid w:val="00A17F13"/>
    <w:rsid w:val="00A20739"/>
    <w:rsid w:val="00A32F41"/>
    <w:rsid w:val="00A33C78"/>
    <w:rsid w:val="00A3443D"/>
    <w:rsid w:val="00A436C0"/>
    <w:rsid w:val="00A50145"/>
    <w:rsid w:val="00A5375D"/>
    <w:rsid w:val="00A54AAB"/>
    <w:rsid w:val="00A5584D"/>
    <w:rsid w:val="00A564FF"/>
    <w:rsid w:val="00A801A0"/>
    <w:rsid w:val="00A943FB"/>
    <w:rsid w:val="00AA1C21"/>
    <w:rsid w:val="00AA37F7"/>
    <w:rsid w:val="00AB0ADB"/>
    <w:rsid w:val="00AC3279"/>
    <w:rsid w:val="00AC4742"/>
    <w:rsid w:val="00AC6F7E"/>
    <w:rsid w:val="00AE5061"/>
    <w:rsid w:val="00AF2280"/>
    <w:rsid w:val="00AF4152"/>
    <w:rsid w:val="00AF4607"/>
    <w:rsid w:val="00AF5483"/>
    <w:rsid w:val="00AF6B70"/>
    <w:rsid w:val="00B00806"/>
    <w:rsid w:val="00B02EE7"/>
    <w:rsid w:val="00B12BAC"/>
    <w:rsid w:val="00B16B20"/>
    <w:rsid w:val="00B203EE"/>
    <w:rsid w:val="00B21D0E"/>
    <w:rsid w:val="00B25C17"/>
    <w:rsid w:val="00B4665C"/>
    <w:rsid w:val="00B5721A"/>
    <w:rsid w:val="00B60431"/>
    <w:rsid w:val="00B72CD3"/>
    <w:rsid w:val="00B72FFF"/>
    <w:rsid w:val="00B81FEE"/>
    <w:rsid w:val="00B82C7E"/>
    <w:rsid w:val="00B848C9"/>
    <w:rsid w:val="00BA1686"/>
    <w:rsid w:val="00BC29D2"/>
    <w:rsid w:val="00BD2910"/>
    <w:rsid w:val="00BD33C7"/>
    <w:rsid w:val="00BD7F72"/>
    <w:rsid w:val="00BF5F95"/>
    <w:rsid w:val="00C017BB"/>
    <w:rsid w:val="00C330EB"/>
    <w:rsid w:val="00C451F3"/>
    <w:rsid w:val="00C554D6"/>
    <w:rsid w:val="00C750CE"/>
    <w:rsid w:val="00C754BE"/>
    <w:rsid w:val="00C905A9"/>
    <w:rsid w:val="00CB0734"/>
    <w:rsid w:val="00CB6357"/>
    <w:rsid w:val="00CC1B26"/>
    <w:rsid w:val="00CC5AB1"/>
    <w:rsid w:val="00CE13E2"/>
    <w:rsid w:val="00D22A80"/>
    <w:rsid w:val="00D26066"/>
    <w:rsid w:val="00D33AC1"/>
    <w:rsid w:val="00D35C55"/>
    <w:rsid w:val="00D423A2"/>
    <w:rsid w:val="00D429B1"/>
    <w:rsid w:val="00D63AC2"/>
    <w:rsid w:val="00D670A2"/>
    <w:rsid w:val="00D7383B"/>
    <w:rsid w:val="00D8049C"/>
    <w:rsid w:val="00D95780"/>
    <w:rsid w:val="00DB6D8D"/>
    <w:rsid w:val="00DC10A4"/>
    <w:rsid w:val="00DC25C5"/>
    <w:rsid w:val="00DD6EDE"/>
    <w:rsid w:val="00DF3606"/>
    <w:rsid w:val="00E0681B"/>
    <w:rsid w:val="00E16408"/>
    <w:rsid w:val="00E1784B"/>
    <w:rsid w:val="00E20894"/>
    <w:rsid w:val="00E245AB"/>
    <w:rsid w:val="00E25F20"/>
    <w:rsid w:val="00E50AFE"/>
    <w:rsid w:val="00E6459C"/>
    <w:rsid w:val="00E6536A"/>
    <w:rsid w:val="00E771DC"/>
    <w:rsid w:val="00E8772A"/>
    <w:rsid w:val="00E90F6B"/>
    <w:rsid w:val="00E92C27"/>
    <w:rsid w:val="00E9424F"/>
    <w:rsid w:val="00EA0E3D"/>
    <w:rsid w:val="00ED00EC"/>
    <w:rsid w:val="00ED6A9D"/>
    <w:rsid w:val="00EE1AA8"/>
    <w:rsid w:val="00F17A57"/>
    <w:rsid w:val="00F24D4D"/>
    <w:rsid w:val="00F31EDC"/>
    <w:rsid w:val="00F364A3"/>
    <w:rsid w:val="00F5664F"/>
    <w:rsid w:val="00F703F9"/>
    <w:rsid w:val="00F7550C"/>
    <w:rsid w:val="00F76AFC"/>
    <w:rsid w:val="00F91BCD"/>
    <w:rsid w:val="00F96F74"/>
    <w:rsid w:val="00FB5DD1"/>
    <w:rsid w:val="00FC2B5D"/>
    <w:rsid w:val="00FE669C"/>
    <w:rsid w:val="00FF1449"/>
    <w:rsid w:val="230E269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link w:val="Ttulo1Car"/>
    <w:uiPriority w:val="9"/>
    <w:qFormat/>
    <w:rsid w:val="004624B1"/>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4624B1"/>
    <w:rPr>
      <w:rFonts w:ascii="Arial" w:eastAsia="Arial" w:hAnsi="Arial" w:cs="Arial"/>
      <w:b/>
      <w:bCs/>
      <w:lang w:val="es-ES"/>
    </w:rPr>
  </w:style>
  <w:style w:type="paragraph" w:customStyle="1" w:styleId="Appelnotedebasde">
    <w:name w:val="Appel note de bas de..."/>
    <w:basedOn w:val="Normal"/>
    <w:link w:val="Refdenotaalpie"/>
    <w:uiPriority w:val="99"/>
    <w:rsid w:val="004624B1"/>
    <w:pPr>
      <w:spacing w:after="0" w:line="240" w:lineRule="exact"/>
    </w:pPr>
    <w:rPr>
      <w:vertAlign w:val="superscript"/>
    </w:rPr>
  </w:style>
  <w:style w:type="paragraph" w:styleId="Textoindependiente">
    <w:name w:val="Body Text"/>
    <w:basedOn w:val="Normal"/>
    <w:link w:val="TextoindependienteCar"/>
    <w:uiPriority w:val="1"/>
    <w:qFormat/>
    <w:rsid w:val="004624B1"/>
    <w:pPr>
      <w:widowControl w:val="0"/>
      <w:autoSpaceDE w:val="0"/>
      <w:autoSpaceDN w:val="0"/>
      <w:adjustRightInd w:val="0"/>
      <w:spacing w:after="0" w:line="240" w:lineRule="auto"/>
    </w:pPr>
    <w:rPr>
      <w:rFonts w:ascii="Arial" w:eastAsiaTheme="minorEastAsia" w:hAnsi="Arial" w:cs="Arial"/>
      <w:lang w:eastAsia="es-CO"/>
    </w:rPr>
  </w:style>
  <w:style w:type="character" w:customStyle="1" w:styleId="TextoindependienteCar">
    <w:name w:val="Texto independiente Car"/>
    <w:basedOn w:val="Fuentedeprrafopredeter"/>
    <w:link w:val="Textoindependiente"/>
    <w:uiPriority w:val="1"/>
    <w:rsid w:val="004624B1"/>
    <w:rPr>
      <w:rFonts w:ascii="Arial" w:eastAsiaTheme="minorEastAsia" w:hAnsi="Arial" w:cs="Arial"/>
      <w:lang w:eastAsia="es-CO"/>
    </w:rPr>
  </w:style>
  <w:style w:type="paragraph" w:styleId="Sinespaciado">
    <w:name w:val="No Spacing"/>
    <w:aliases w:val="No Indent"/>
    <w:uiPriority w:val="3"/>
    <w:qFormat/>
    <w:rsid w:val="004624B1"/>
    <w:pPr>
      <w:spacing w:after="0" w:line="240" w:lineRule="auto"/>
    </w:pPr>
  </w:style>
  <w:style w:type="character" w:customStyle="1" w:styleId="Hipervnculo1">
    <w:name w:val="Hipervínculo1"/>
    <w:basedOn w:val="Fuentedeprrafopredeter"/>
    <w:uiPriority w:val="99"/>
    <w:unhideWhenUsed/>
    <w:rsid w:val="004624B1"/>
    <w:rPr>
      <w:color w:val="F2F2F2"/>
      <w:u w:val="single"/>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674B8"/>
    <w:rPr>
      <w:rFonts w:ascii="Geomanist Light" w:hAnsi="Geomanist Light"/>
      <w:lang w:val="es-ES"/>
    </w:rPr>
  </w:style>
  <w:style w:type="character" w:styleId="Textoennegrita">
    <w:name w:val="Strong"/>
    <w:basedOn w:val="Fuentedeprrafopredeter"/>
    <w:uiPriority w:val="22"/>
    <w:qFormat/>
    <w:rsid w:val="00320207"/>
    <w:rPr>
      <w:b/>
      <w:bCs/>
    </w:rPr>
  </w:style>
  <w:style w:type="character" w:styleId="Hipervnculo">
    <w:name w:val="Hyperlink"/>
    <w:basedOn w:val="Fuentedeprrafopredeter"/>
    <w:uiPriority w:val="99"/>
    <w:semiHidden/>
    <w:unhideWhenUsed/>
    <w:rsid w:val="00263185"/>
    <w:rPr>
      <w:color w:val="0563C1" w:themeColor="hyperlink"/>
      <w:u w:val="single"/>
    </w:rPr>
  </w:style>
  <w:style w:type="paragraph" w:styleId="Revisin">
    <w:name w:val="Revision"/>
    <w:hidden/>
    <w:uiPriority w:val="99"/>
    <w:semiHidden/>
    <w:rsid w:val="0035008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426759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3" Type="http://schemas.openxmlformats.org/officeDocument/2006/relationships/hyperlink" Target="https://www.contraloria.gov.co/documents/20181/1776254/CIRCULAR_2020EE0096013_REGISTRO_NACIONAL_OBRAS_INCONCLUSAS.PDF/785952d4-4b41-48cb-916b-4881c3b4a095" TargetMode="External"/><Relationship Id="rId2" Type="http://schemas.openxmlformats.org/officeDocument/2006/relationships/hyperlink" Target="http://svrpubindc.imprenta.gov.co/senado/index.xhtml;jsessionid=b3ba7213a248bacd37376ffcedca" TargetMode="External"/><Relationship Id="rId1" Type="http://schemas.openxmlformats.org/officeDocument/2006/relationships/hyperlink" Target="http://relatoria.colombiacompra.gov.co/busqueda/conceptos" TargetMode="External"/><Relationship Id="rId4" Type="http://schemas.openxmlformats.org/officeDocument/2006/relationships/hyperlink" Target="https://www.contraloria.gov.co/web/relatoria/normatividad-y-relatoria"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F5C09F2-F58B-4360-9CD2-DA196E6F69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CD0EC338-C3AD-4452-B14C-6F811910C562}">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10387</Words>
  <Characters>57134</Characters>
  <Application>Microsoft Office Word</Application>
  <DocSecurity>0</DocSecurity>
  <Lines>476</Lines>
  <Paragraphs>134</Paragraphs>
  <ScaleCrop>false</ScaleCrop>
  <Company/>
  <LinksUpToDate>false</LinksUpToDate>
  <CharactersWithSpaces>67387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2024-01-03T20:10:00Z</dcterms:created>
  <dcterms:modified xsi:type="dcterms:W3CDTF">2024-01-03T20:10:00Z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