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D946B" w14:textId="1ED8D20B" w:rsidR="00A72A29" w:rsidRPr="00A72A29" w:rsidRDefault="00A72A29" w:rsidP="00A72A29">
      <w:pPr>
        <w:tabs>
          <w:tab w:val="left" w:pos="709"/>
        </w:tabs>
        <w:spacing w:after="0" w:line="240" w:lineRule="auto"/>
        <w:jc w:val="both"/>
        <w:rPr>
          <w:rFonts w:ascii="Arial" w:eastAsia="Calibri" w:hAnsi="Arial" w:cs="Arial"/>
          <w:b/>
          <w:color w:val="000000"/>
          <w:lang w:val="es-MX"/>
        </w:rPr>
      </w:pPr>
      <w:r w:rsidRPr="00A72A29">
        <w:rPr>
          <w:rFonts w:ascii="Arial" w:eastAsia="Calibri" w:hAnsi="Arial" w:cs="Arial"/>
          <w:b/>
          <w:bCs/>
          <w:color w:val="000000"/>
          <w:lang w:val="es-ES_tradnl"/>
        </w:rPr>
        <w:t xml:space="preserve">SECOP II </w:t>
      </w:r>
      <w:r w:rsidRPr="00A72A29">
        <w:rPr>
          <w:rFonts w:ascii="Arial" w:eastAsia="Calibri" w:hAnsi="Arial" w:cs="Arial"/>
          <w:b/>
          <w:color w:val="000000"/>
          <w:lang w:val="es-MX"/>
        </w:rPr>
        <w:t>– Generalidades – Plataforma transaccional – Publicidad</w:t>
      </w:r>
    </w:p>
    <w:p w14:paraId="56938EF5" w14:textId="77777777" w:rsidR="00A72A29" w:rsidRPr="00A72A29" w:rsidRDefault="00A72A29" w:rsidP="00A72A29">
      <w:pPr>
        <w:tabs>
          <w:tab w:val="left" w:pos="709"/>
        </w:tabs>
        <w:spacing w:after="0" w:line="240" w:lineRule="auto"/>
        <w:jc w:val="both"/>
        <w:rPr>
          <w:rFonts w:ascii="Arial" w:eastAsia="Calibri" w:hAnsi="Arial" w:cs="Arial"/>
          <w:b/>
          <w:color w:val="000000"/>
          <w:lang w:val="es-MX"/>
        </w:rPr>
      </w:pPr>
    </w:p>
    <w:p w14:paraId="75E02EC8" w14:textId="58D5BF5F" w:rsidR="00A72A29" w:rsidRPr="00A72A29" w:rsidRDefault="00061BDD" w:rsidP="00A72A29">
      <w:pPr>
        <w:tabs>
          <w:tab w:val="left" w:pos="709"/>
        </w:tabs>
        <w:spacing w:after="0" w:line="240" w:lineRule="auto"/>
        <w:jc w:val="both"/>
        <w:rPr>
          <w:rFonts w:ascii="Arial" w:eastAsia="Calibri" w:hAnsi="Arial" w:cs="Arial"/>
          <w:color w:val="000000" w:themeColor="text1"/>
          <w:sz w:val="20"/>
          <w:szCs w:val="20"/>
          <w:lang w:val="es-ES_tradnl"/>
        </w:rPr>
      </w:pPr>
      <w:r w:rsidRPr="00061BDD">
        <w:rPr>
          <w:rFonts w:ascii="Arial" w:eastAsia="Calibri" w:hAnsi="Arial" w:cs="Arial"/>
          <w:color w:val="000000" w:themeColor="text1"/>
          <w:sz w:val="20"/>
          <w:szCs w:val="20"/>
          <w:lang w:val="es-ES_tradnl"/>
        </w:rPr>
        <w:t>El SECOP II es una plataforma transaccional, que permite gestionar en línea los procedimientos de contratación, con cuentas y usuarios asociados a estas, para las entidades y los proveedores, y otorga una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346FB06F" w14:textId="77777777" w:rsidR="00A72A29" w:rsidRPr="00A72A29" w:rsidRDefault="00A72A29" w:rsidP="00A72A29">
      <w:pPr>
        <w:tabs>
          <w:tab w:val="left" w:pos="709"/>
        </w:tabs>
        <w:spacing w:after="0" w:line="240" w:lineRule="auto"/>
        <w:jc w:val="both"/>
        <w:rPr>
          <w:rFonts w:ascii="Arial" w:eastAsia="Calibri" w:hAnsi="Arial" w:cs="Arial"/>
          <w:color w:val="000000" w:themeColor="text1"/>
          <w:sz w:val="20"/>
          <w:szCs w:val="20"/>
          <w:lang w:val="es-ES_tradnl"/>
        </w:rPr>
      </w:pPr>
      <w:r w:rsidRPr="00A72A29">
        <w:rPr>
          <w:rFonts w:ascii="Arial" w:eastAsia="Calibri" w:hAnsi="Arial" w:cs="Arial"/>
          <w:color w:val="000000" w:themeColor="text1"/>
          <w:sz w:val="20"/>
          <w:szCs w:val="20"/>
          <w:lang w:val="es-ES_tradnl"/>
        </w:rPr>
        <w:t>[…]</w:t>
      </w:r>
    </w:p>
    <w:p w14:paraId="3BD05CE1" w14:textId="6409DC64" w:rsidR="00A72A29" w:rsidRPr="00A72A29" w:rsidRDefault="00D51CE5" w:rsidP="00A72A29">
      <w:pPr>
        <w:tabs>
          <w:tab w:val="left" w:pos="709"/>
        </w:tabs>
        <w:spacing w:after="0" w:line="240" w:lineRule="auto"/>
        <w:jc w:val="both"/>
        <w:rPr>
          <w:rFonts w:ascii="Arial" w:eastAsia="Calibri" w:hAnsi="Arial" w:cs="Arial"/>
          <w:color w:val="000000" w:themeColor="text1"/>
          <w:sz w:val="20"/>
          <w:szCs w:val="20"/>
          <w:lang w:val="es-ES_tradnl"/>
        </w:rPr>
      </w:pPr>
      <w:r w:rsidRPr="00D51CE5">
        <w:rPr>
          <w:rFonts w:ascii="Arial" w:eastAsia="Calibri" w:hAnsi="Arial" w:cs="Arial"/>
          <w:color w:val="000000" w:themeColor="text1"/>
          <w:sz w:val="20"/>
          <w:szCs w:val="20"/>
          <w:lang w:val="es-ES_tradnl"/>
        </w:rPr>
        <w:t>Si bien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comoquiera que tales documentos son creados o expedidos mediante la propia plataforma, razón por la que una vez estos se aprueban quedan inmediatamente publicados, sin que transcurra el referido término.</w:t>
      </w:r>
    </w:p>
    <w:p w14:paraId="4387F350" w14:textId="77777777" w:rsidR="00A72A29" w:rsidRPr="00A72A29" w:rsidRDefault="00A72A29" w:rsidP="00A72A29">
      <w:pPr>
        <w:tabs>
          <w:tab w:val="left" w:pos="709"/>
        </w:tabs>
        <w:spacing w:after="0" w:line="240" w:lineRule="auto"/>
        <w:jc w:val="both"/>
        <w:rPr>
          <w:rFonts w:ascii="Arial" w:eastAsia="Calibri" w:hAnsi="Arial" w:cs="Arial"/>
          <w:color w:val="000000" w:themeColor="text1"/>
          <w:lang w:val="es-ES_tradnl"/>
        </w:rPr>
      </w:pPr>
    </w:p>
    <w:p w14:paraId="518E1A28" w14:textId="77777777" w:rsidR="00A72A29" w:rsidRPr="00A72A29" w:rsidRDefault="00A72A29" w:rsidP="00A72A29">
      <w:pPr>
        <w:spacing w:after="0"/>
        <w:jc w:val="both"/>
        <w:rPr>
          <w:rFonts w:ascii="Arial" w:eastAsia="Times New Roman" w:hAnsi="Arial" w:cs="Arial"/>
          <w:b/>
          <w:lang w:val="es-MX" w:eastAsia="es-CO"/>
        </w:rPr>
      </w:pPr>
      <w:r w:rsidRPr="00A72A29">
        <w:rPr>
          <w:rFonts w:ascii="Arial" w:eastAsia="Times New Roman" w:hAnsi="Arial" w:cs="Arial"/>
          <w:b/>
          <w:lang w:val="es-MX" w:eastAsia="es-CO"/>
        </w:rPr>
        <w:t>FIRMAS – Firma manuscrita – Firma electrónica – Firma digital – Concepto</w:t>
      </w:r>
    </w:p>
    <w:p w14:paraId="538E3F0E" w14:textId="77777777" w:rsidR="00A72A29" w:rsidRPr="00A72A29" w:rsidRDefault="00A72A29" w:rsidP="00A72A29">
      <w:pPr>
        <w:spacing w:after="0"/>
        <w:rPr>
          <w:rFonts w:ascii="Arial" w:eastAsia="Times New Roman" w:hAnsi="Arial" w:cs="Arial"/>
          <w:b/>
          <w:lang w:val="es-MX" w:eastAsia="es-CO"/>
        </w:rPr>
      </w:pPr>
    </w:p>
    <w:p w14:paraId="1FA3FF68" w14:textId="0D1C4040" w:rsidR="00D86802" w:rsidRDefault="00A72A29" w:rsidP="00D86802">
      <w:pPr>
        <w:spacing w:after="0" w:line="240" w:lineRule="auto"/>
        <w:jc w:val="both"/>
        <w:rPr>
          <w:rFonts w:ascii="Arial" w:eastAsia="Calibri" w:hAnsi="Arial" w:cs="Arial"/>
          <w:sz w:val="20"/>
          <w:szCs w:val="20"/>
        </w:rPr>
      </w:pPr>
      <w:r w:rsidRPr="00D86802">
        <w:rPr>
          <w:rFonts w:ascii="Arial" w:eastAsia="Times New Roman" w:hAnsi="Arial" w:cs="Arial"/>
          <w:bCs/>
          <w:sz w:val="20"/>
          <w:szCs w:val="20"/>
          <w:lang w:val="es-MX" w:eastAsia="es-CO"/>
        </w:rPr>
        <w:t xml:space="preserve">[…] </w:t>
      </w:r>
      <w:r w:rsidR="00D86802" w:rsidRPr="00D86802">
        <w:rPr>
          <w:rFonts w:ascii="Arial" w:eastAsia="Calibri" w:hAnsi="Arial" w:cs="Arial"/>
          <w:sz w:val="20"/>
          <w:szCs w:val="20"/>
          <w:lang w:val="es-ES_tradnl"/>
        </w:rPr>
        <w:t xml:space="preserve">Dentro del concepto general, la </w:t>
      </w:r>
      <w:r w:rsidR="00D86802" w:rsidRPr="00D86802">
        <w:rPr>
          <w:rFonts w:ascii="Arial" w:eastAsia="Calibri" w:hAnsi="Arial" w:cs="Arial"/>
          <w:i/>
          <w:iCs/>
          <w:sz w:val="20"/>
          <w:szCs w:val="20"/>
          <w:lang w:val="es-ES_tradnl"/>
        </w:rPr>
        <w:t>firma manuscrita</w:t>
      </w:r>
      <w:r w:rsidR="00D86802" w:rsidRPr="00D86802">
        <w:rPr>
          <w:rFonts w:ascii="Arial" w:eastAsia="Calibri" w:hAnsi="Arial" w:cs="Arial"/>
          <w:sz w:val="20"/>
          <w:szCs w:val="20"/>
          <w:lang w:val="es-ES_tradnl"/>
        </w:rPr>
        <w:t xml:space="preserve"> </w:t>
      </w:r>
      <w:r w:rsidR="00D86802" w:rsidRPr="00D86802">
        <w:rPr>
          <w:rFonts w:ascii="Arial" w:eastAsia="Calibri" w:hAnsi="Arial" w:cs="Arial"/>
          <w:sz w:val="20"/>
          <w:szCs w:val="20"/>
        </w:rPr>
        <w:t xml:space="preserve">es “[…] un rasgo o signo impuesto del puño y letra de una persona, con el cual, de forma general y reiterada, se compromete con el contenido de los documentos que la consignan, o da fe de que lo allí registrado obedece a la realidad”. </w:t>
      </w:r>
    </w:p>
    <w:p w14:paraId="3CC64E4B" w14:textId="77777777" w:rsidR="00D86802" w:rsidRPr="00D86802" w:rsidRDefault="00D86802" w:rsidP="00D86802">
      <w:pPr>
        <w:spacing w:after="0" w:line="240" w:lineRule="auto"/>
        <w:jc w:val="both"/>
        <w:rPr>
          <w:rFonts w:ascii="Arial" w:eastAsia="Calibri" w:hAnsi="Arial" w:cs="Arial"/>
          <w:sz w:val="20"/>
          <w:szCs w:val="20"/>
          <w:lang w:val="es-ES_tradnl"/>
        </w:rPr>
      </w:pPr>
    </w:p>
    <w:p w14:paraId="7189EB5B" w14:textId="77777777" w:rsidR="00D86802" w:rsidRDefault="00D86802" w:rsidP="00D86802">
      <w:pPr>
        <w:spacing w:after="0" w:line="240" w:lineRule="auto"/>
        <w:jc w:val="both"/>
        <w:rPr>
          <w:rFonts w:ascii="Arial" w:eastAsia="Calibri" w:hAnsi="Arial" w:cs="Arial"/>
          <w:sz w:val="20"/>
          <w:szCs w:val="20"/>
        </w:rPr>
      </w:pPr>
      <w:r w:rsidRPr="00D86802">
        <w:rPr>
          <w:rFonts w:ascii="Arial" w:eastAsia="Calibri" w:hAnsi="Arial" w:cs="Arial"/>
          <w:sz w:val="20"/>
          <w:szCs w:val="20"/>
        </w:rPr>
        <w:t xml:space="preserve">Por otra parte, frente a la </w:t>
      </w:r>
      <w:r w:rsidRPr="00D86802">
        <w:rPr>
          <w:rFonts w:ascii="Arial" w:eastAsia="Calibri" w:hAnsi="Arial" w:cs="Arial"/>
          <w:i/>
          <w:iCs/>
          <w:sz w:val="20"/>
          <w:szCs w:val="20"/>
        </w:rPr>
        <w:t>firma electrónica</w:t>
      </w:r>
      <w:r w:rsidRPr="00D86802">
        <w:rPr>
          <w:rFonts w:ascii="Arial" w:eastAsia="Calibri" w:hAnsi="Arial" w:cs="Arial"/>
          <w:sz w:val="20"/>
          <w:szCs w:val="20"/>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556FEE97" w14:textId="77777777" w:rsidR="00D86802" w:rsidRPr="00D86802" w:rsidRDefault="00D86802" w:rsidP="00D86802">
      <w:pPr>
        <w:spacing w:after="0" w:line="240" w:lineRule="auto"/>
        <w:jc w:val="both"/>
        <w:rPr>
          <w:rFonts w:ascii="Arial" w:eastAsia="Calibri" w:hAnsi="Arial" w:cs="Arial"/>
          <w:sz w:val="20"/>
          <w:szCs w:val="20"/>
        </w:rPr>
      </w:pPr>
    </w:p>
    <w:p w14:paraId="5316F333" w14:textId="26B4B2D2" w:rsidR="00D86802" w:rsidRPr="00D86802" w:rsidRDefault="00D86802" w:rsidP="00D86802">
      <w:pPr>
        <w:spacing w:after="0" w:line="240" w:lineRule="auto"/>
        <w:jc w:val="both"/>
        <w:rPr>
          <w:rFonts w:ascii="Arial" w:eastAsia="Calibri" w:hAnsi="Arial" w:cs="Arial"/>
          <w:sz w:val="20"/>
          <w:szCs w:val="20"/>
        </w:rPr>
      </w:pPr>
      <w:r w:rsidRPr="00D86802">
        <w:rPr>
          <w:rFonts w:ascii="Arial" w:eastAsia="Calibri" w:hAnsi="Arial" w:cs="Arial"/>
          <w:sz w:val="20"/>
          <w:szCs w:val="20"/>
        </w:rPr>
        <w:t xml:space="preserve">Finalmente, el artículo 2 de la Ley 527 de 1999 define la </w:t>
      </w:r>
      <w:r w:rsidRPr="00D86802">
        <w:rPr>
          <w:rFonts w:ascii="Arial" w:eastAsia="Calibri" w:hAnsi="Arial" w:cs="Arial"/>
          <w:i/>
          <w:iCs/>
          <w:sz w:val="20"/>
          <w:szCs w:val="20"/>
        </w:rPr>
        <w:t>firma digital</w:t>
      </w:r>
      <w:r w:rsidRPr="00D86802">
        <w:rPr>
          <w:rFonts w:ascii="Arial" w:eastAsia="Calibri" w:hAnsi="Arial" w:cs="Arial"/>
          <w:sz w:val="20"/>
          <w:szCs w:val="20"/>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 </w:t>
      </w:r>
    </w:p>
    <w:p w14:paraId="2F432434" w14:textId="77777777" w:rsidR="00A72A29" w:rsidRPr="00D86802" w:rsidRDefault="00A72A29" w:rsidP="00A72A29">
      <w:pPr>
        <w:spacing w:after="0" w:line="240" w:lineRule="auto"/>
        <w:jc w:val="both"/>
        <w:rPr>
          <w:rFonts w:ascii="Arial" w:eastAsia="Times New Roman" w:hAnsi="Arial" w:cs="Arial"/>
          <w:bCs/>
          <w:lang w:val="es-MX" w:eastAsia="es-CO"/>
        </w:rPr>
      </w:pPr>
    </w:p>
    <w:p w14:paraId="3DD098D0" w14:textId="77777777" w:rsidR="00A72A29" w:rsidRPr="00A72A29" w:rsidRDefault="00A72A29" w:rsidP="00A72A29">
      <w:pPr>
        <w:spacing w:after="0"/>
        <w:jc w:val="both"/>
        <w:rPr>
          <w:rFonts w:ascii="Arial" w:eastAsia="Times New Roman" w:hAnsi="Arial" w:cs="Arial"/>
          <w:b/>
          <w:lang w:val="es-MX" w:eastAsia="es-CO"/>
        </w:rPr>
      </w:pPr>
      <w:r w:rsidRPr="00A72A29">
        <w:rPr>
          <w:rFonts w:ascii="Arial" w:eastAsia="Times New Roman" w:hAnsi="Arial" w:cs="Arial"/>
          <w:b/>
          <w:lang w:val="es-MX" w:eastAsia="es-CO"/>
        </w:rPr>
        <w:t>FIRMAS – Mensaje de datos – Firma electrónica – Firma digital – Validez</w:t>
      </w:r>
    </w:p>
    <w:p w14:paraId="068326B4" w14:textId="77777777" w:rsidR="00A72A29" w:rsidRPr="00A72A29" w:rsidRDefault="00A72A29" w:rsidP="00A72A29">
      <w:pPr>
        <w:spacing w:after="0"/>
        <w:rPr>
          <w:rFonts w:ascii="Arial" w:eastAsia="Times New Roman" w:hAnsi="Arial" w:cs="Arial"/>
          <w:b/>
          <w:lang w:val="es-MX" w:eastAsia="es-CO"/>
        </w:rPr>
      </w:pPr>
    </w:p>
    <w:p w14:paraId="58CC2E89" w14:textId="5E183E18" w:rsidR="00C6234A" w:rsidRDefault="00C6234A" w:rsidP="00C6234A">
      <w:pPr>
        <w:spacing w:after="0" w:line="240" w:lineRule="auto"/>
        <w:jc w:val="both"/>
        <w:rPr>
          <w:rFonts w:ascii="Arial" w:eastAsia="Calibri" w:hAnsi="Arial" w:cs="Arial"/>
          <w:sz w:val="20"/>
          <w:szCs w:val="20"/>
        </w:rPr>
      </w:pPr>
      <w:r w:rsidRPr="00C6234A">
        <w:rPr>
          <w:rFonts w:ascii="Arial" w:eastAsia="Calibri" w:hAnsi="Arial" w:cs="Arial"/>
          <w:sz w:val="20"/>
          <w:szCs w:val="20"/>
        </w:rPr>
        <w:lastRenderedPageBreak/>
        <w:t xml:space="preserve">Por ello, en relación con las firmas que se realizan por un mensaje de datos, el artículo 7 de la Ley 527 de 1999 señala que se deben cumplir los siguientes requisitos: i) se ha utilizado un método que permita identificar el iniciador de un mensaje de datos y para indicar que el contenido cuenta con su aprobación, y ii) el método es tanto confiable como apropiado para el propósito por el cual el mensaje fue generado o comunicado. Debido a que la firma electrónica se genera por un mensaje de datos deberá cumplir los requisitos explicados anteriormente. Dentro de este marco, es necesario distinguir dos (2) situaciones: i) el documento original tiene la firma manuscrita y luego se escaneó para enviarlo a la entidad estatal por correo electrónico y ii) el documento tiene una imagen con la firma y se adjunta como archivo para enviarlo a la entidad. </w:t>
      </w:r>
    </w:p>
    <w:p w14:paraId="73745C1D" w14:textId="77777777" w:rsidR="00C6234A" w:rsidRPr="00C6234A" w:rsidRDefault="00C6234A" w:rsidP="00C6234A">
      <w:pPr>
        <w:spacing w:after="0" w:line="240" w:lineRule="auto"/>
        <w:jc w:val="both"/>
        <w:rPr>
          <w:rFonts w:ascii="Arial" w:eastAsia="Calibri" w:hAnsi="Arial" w:cs="Arial"/>
          <w:sz w:val="20"/>
          <w:szCs w:val="20"/>
        </w:rPr>
      </w:pPr>
    </w:p>
    <w:p w14:paraId="2C2230B6" w14:textId="304BE3F2" w:rsidR="00C6234A" w:rsidRDefault="00C6234A" w:rsidP="00C6234A">
      <w:pPr>
        <w:spacing w:after="0" w:line="240" w:lineRule="auto"/>
        <w:jc w:val="both"/>
        <w:rPr>
          <w:rFonts w:ascii="Arial" w:eastAsia="Calibri" w:hAnsi="Arial" w:cs="Arial"/>
          <w:sz w:val="20"/>
          <w:szCs w:val="20"/>
        </w:rPr>
      </w:pPr>
      <w:r w:rsidRPr="00C6234A">
        <w:rPr>
          <w:rFonts w:ascii="Arial" w:eastAsia="Calibri" w:hAnsi="Arial" w:cs="Arial"/>
          <w:sz w:val="20"/>
          <w:szCs w:val="20"/>
        </w:rPr>
        <w:t xml:space="preserve">En el </w:t>
      </w:r>
      <w:r w:rsidRPr="00C6234A">
        <w:rPr>
          <w:rFonts w:ascii="Arial" w:eastAsia="Calibri" w:hAnsi="Arial" w:cs="Arial"/>
          <w:i/>
          <w:iCs/>
          <w:sz w:val="20"/>
          <w:szCs w:val="20"/>
        </w:rPr>
        <w:t>primer supuesto</w:t>
      </w:r>
      <w:r w:rsidRPr="00C6234A">
        <w:rPr>
          <w:rFonts w:ascii="Arial" w:eastAsia="Calibri" w:hAnsi="Arial" w:cs="Arial"/>
          <w:sz w:val="20"/>
          <w:szCs w:val="20"/>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 Conforme a lo anterior, si el oferente envía el documento con firma manuscrita y luego lo escanea para enviarlo, este será válido, toda vez que la normativa no exige que se tenga que enviar el documento en original sino solo que tenga la firma de quien lo suscribe.</w:t>
      </w:r>
    </w:p>
    <w:p w14:paraId="65AFEB19" w14:textId="77777777" w:rsidR="00C6234A" w:rsidRPr="00C6234A" w:rsidRDefault="00C6234A" w:rsidP="00C6234A">
      <w:pPr>
        <w:spacing w:after="0" w:line="240" w:lineRule="auto"/>
        <w:jc w:val="both"/>
        <w:rPr>
          <w:rFonts w:ascii="Arial" w:eastAsia="Calibri" w:hAnsi="Arial" w:cs="Arial"/>
          <w:sz w:val="20"/>
          <w:szCs w:val="20"/>
        </w:rPr>
      </w:pPr>
    </w:p>
    <w:p w14:paraId="36B38205" w14:textId="77777777" w:rsidR="00C6234A" w:rsidRPr="00C6234A" w:rsidRDefault="00C6234A" w:rsidP="00C6234A">
      <w:pPr>
        <w:spacing w:after="0" w:line="240" w:lineRule="auto"/>
        <w:jc w:val="both"/>
        <w:rPr>
          <w:rFonts w:ascii="Arial" w:eastAsia="Calibri" w:hAnsi="Arial" w:cs="Arial"/>
          <w:sz w:val="20"/>
          <w:szCs w:val="20"/>
        </w:rPr>
      </w:pPr>
      <w:r w:rsidRPr="00C6234A">
        <w:rPr>
          <w:rFonts w:ascii="Arial" w:eastAsia="Calibri" w:hAnsi="Arial" w:cs="Arial"/>
          <w:sz w:val="20"/>
          <w:szCs w:val="20"/>
        </w:rPr>
        <w:t xml:space="preserve">En el </w:t>
      </w:r>
      <w:r w:rsidRPr="00C6234A">
        <w:rPr>
          <w:rFonts w:ascii="Arial" w:eastAsia="Calibri" w:hAnsi="Arial" w:cs="Arial"/>
          <w:i/>
          <w:iCs/>
          <w:sz w:val="20"/>
          <w:szCs w:val="20"/>
        </w:rPr>
        <w:t>segundo supuesto</w:t>
      </w:r>
      <w:r w:rsidRPr="00C6234A">
        <w:rPr>
          <w:rFonts w:ascii="Arial" w:eastAsia="Calibri" w:hAnsi="Arial" w:cs="Arial"/>
          <w:sz w:val="20"/>
          <w:szCs w:val="20"/>
        </w:rPr>
        <w:t xml:space="preserve">, el documento tiene una imagen con la firma y se adjunta como archivo para enviarlo al correo electrónico, y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5479147D" w14:textId="1F8FD3BC" w:rsidR="00A72A29" w:rsidRPr="00A72A29" w:rsidRDefault="00A72A29" w:rsidP="00C6234A">
      <w:pPr>
        <w:spacing w:after="0" w:line="240" w:lineRule="auto"/>
        <w:jc w:val="both"/>
        <w:rPr>
          <w:rFonts w:ascii="Arial" w:eastAsia="Times New Roman" w:hAnsi="Arial" w:cs="Arial"/>
          <w:bCs/>
          <w:sz w:val="20"/>
          <w:szCs w:val="20"/>
          <w:lang w:val="es-MX" w:eastAsia="es-CO"/>
        </w:rPr>
      </w:pPr>
    </w:p>
    <w:p w14:paraId="4413E8FC" w14:textId="77777777" w:rsidR="00A72A29" w:rsidRPr="00A72A29" w:rsidRDefault="00A72A29" w:rsidP="00A72A29">
      <w:pPr>
        <w:rPr>
          <w:rFonts w:ascii="Arial" w:eastAsia="Times New Roman" w:hAnsi="Arial" w:cs="Arial"/>
          <w:b/>
          <w:lang w:val="es-MX" w:eastAsia="es-CO"/>
        </w:rPr>
      </w:pPr>
    </w:p>
    <w:p w14:paraId="4ADDE2C3" w14:textId="77777777" w:rsidR="00A72A29" w:rsidRPr="00A72A29" w:rsidRDefault="00A72A29" w:rsidP="00A72A29">
      <w:pPr>
        <w:rPr>
          <w:rFonts w:ascii="Arial" w:eastAsia="Times New Roman" w:hAnsi="Arial" w:cs="Arial"/>
          <w:b/>
          <w:lang w:val="es-MX" w:eastAsia="es-CO"/>
        </w:rPr>
      </w:pPr>
    </w:p>
    <w:p w14:paraId="3D513D2A" w14:textId="77777777" w:rsidR="00A72A29" w:rsidRPr="00A72A29" w:rsidRDefault="00A72A29" w:rsidP="00A72A29">
      <w:pPr>
        <w:rPr>
          <w:rFonts w:ascii="Arial" w:eastAsia="Times New Roman" w:hAnsi="Arial" w:cs="Arial"/>
          <w:b/>
          <w:lang w:val="es-MX" w:eastAsia="es-CO"/>
        </w:rPr>
      </w:pPr>
    </w:p>
    <w:p w14:paraId="70A4446E" w14:textId="77777777" w:rsidR="00A72A29" w:rsidRPr="00A72A29" w:rsidRDefault="00A72A29" w:rsidP="00A72A29">
      <w:pPr>
        <w:rPr>
          <w:rFonts w:ascii="Arial" w:eastAsia="Times New Roman" w:hAnsi="Arial" w:cs="Arial"/>
          <w:b/>
          <w:lang w:val="es-MX" w:eastAsia="es-CO"/>
        </w:rPr>
      </w:pPr>
    </w:p>
    <w:p w14:paraId="68E2176F" w14:textId="77777777" w:rsidR="00A72A29" w:rsidRPr="00A72A29" w:rsidRDefault="00A72A29" w:rsidP="00A72A29">
      <w:pPr>
        <w:rPr>
          <w:rFonts w:ascii="Arial" w:eastAsia="Times New Roman" w:hAnsi="Arial" w:cs="Arial"/>
          <w:b/>
          <w:lang w:val="es-MX" w:eastAsia="es-CO"/>
        </w:rPr>
      </w:pPr>
    </w:p>
    <w:p w14:paraId="44A9F7AF" w14:textId="77777777" w:rsidR="00A72A29" w:rsidRPr="00A72A29" w:rsidRDefault="00A72A29" w:rsidP="00A72A29">
      <w:pPr>
        <w:rPr>
          <w:rFonts w:ascii="Arial" w:eastAsia="Times New Roman" w:hAnsi="Arial" w:cs="Arial"/>
          <w:b/>
          <w:lang w:val="es-MX" w:eastAsia="es-CO"/>
        </w:rPr>
      </w:pPr>
    </w:p>
    <w:p w14:paraId="28BFC8D6" w14:textId="77777777" w:rsidR="00A72A29" w:rsidRDefault="00A72A29" w:rsidP="00A72A29">
      <w:pPr>
        <w:rPr>
          <w:rFonts w:ascii="Arial" w:eastAsia="Times New Roman" w:hAnsi="Arial" w:cs="Arial"/>
          <w:b/>
          <w:lang w:val="es-MX" w:eastAsia="es-CO"/>
        </w:rPr>
      </w:pPr>
    </w:p>
    <w:p w14:paraId="7A11FCE3" w14:textId="77777777" w:rsidR="00147B60" w:rsidRPr="00A72A29" w:rsidRDefault="00147B60" w:rsidP="00A72A29">
      <w:pPr>
        <w:rPr>
          <w:rFonts w:ascii="Arial" w:eastAsia="Times New Roman" w:hAnsi="Arial" w:cs="Arial"/>
          <w:b/>
          <w:lang w:val="es-MX" w:eastAsia="es-CO"/>
        </w:rPr>
      </w:pPr>
    </w:p>
    <w:p w14:paraId="3FA351AD" w14:textId="77777777" w:rsidR="00A72A29" w:rsidRPr="00A72A29" w:rsidRDefault="00A72A29" w:rsidP="00A72A29">
      <w:pPr>
        <w:spacing w:after="0"/>
        <w:rPr>
          <w:rFonts w:ascii="Arial" w:eastAsia="Geomanist Light" w:hAnsi="Arial" w:cs="Arial"/>
          <w:color w:val="201F1E"/>
          <w:lang w:val="es-MX"/>
        </w:rPr>
      </w:pPr>
    </w:p>
    <w:p w14:paraId="07A796A2" w14:textId="5A4895AE" w:rsidR="00200749" w:rsidRDefault="00FA6627" w:rsidP="00FA6627">
      <w:pPr>
        <w:spacing w:after="0" w:line="240" w:lineRule="auto"/>
        <w:jc w:val="right"/>
        <w:rPr>
          <w:rFonts w:ascii="Arial" w:eastAsia="Calibri" w:hAnsi="Arial" w:cs="Arial"/>
        </w:rPr>
      </w:pPr>
      <w:r>
        <w:rPr>
          <w:rFonts w:ascii="Arial" w:eastAsia="Calibri" w:hAnsi="Arial" w:cs="Arial"/>
          <w:noProof/>
        </w:rPr>
        <w:drawing>
          <wp:inline distT="0" distB="0" distL="0" distR="0" wp14:anchorId="2DA31399" wp14:editId="030DBE3B">
            <wp:extent cx="3248025" cy="935491"/>
            <wp:effectExtent l="0" t="0" r="0" b="0"/>
            <wp:docPr id="55509895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098952"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257234" cy="938143"/>
                    </a:xfrm>
                    <a:prstGeom prst="rect">
                      <a:avLst/>
                    </a:prstGeom>
                  </pic:spPr>
                </pic:pic>
              </a:graphicData>
            </a:graphic>
          </wp:inline>
        </w:drawing>
      </w:r>
    </w:p>
    <w:p w14:paraId="1A1C8A05" w14:textId="77777777" w:rsidR="00200749" w:rsidRDefault="00200749" w:rsidP="00A72A29">
      <w:pPr>
        <w:spacing w:after="0" w:line="240" w:lineRule="auto"/>
        <w:jc w:val="both"/>
        <w:rPr>
          <w:rFonts w:ascii="Arial" w:eastAsia="Calibri" w:hAnsi="Arial" w:cs="Arial"/>
        </w:rPr>
      </w:pPr>
    </w:p>
    <w:p w14:paraId="77813FBF" w14:textId="4147A298" w:rsidR="00A72A29" w:rsidRPr="00A72A29" w:rsidRDefault="00A72A29" w:rsidP="00A72A29">
      <w:pPr>
        <w:spacing w:after="0" w:line="240" w:lineRule="auto"/>
        <w:jc w:val="both"/>
        <w:rPr>
          <w:rFonts w:ascii="Arial" w:eastAsia="Calibri" w:hAnsi="Arial" w:cs="Arial"/>
        </w:rPr>
      </w:pPr>
      <w:r w:rsidRPr="00A72A29">
        <w:rPr>
          <w:rFonts w:ascii="Arial" w:eastAsia="Calibri" w:hAnsi="Arial" w:cs="Arial"/>
        </w:rPr>
        <w:t>Señora</w:t>
      </w:r>
    </w:p>
    <w:p w14:paraId="347783CA" w14:textId="77777777" w:rsidR="00A72A29" w:rsidRPr="00A72A29" w:rsidRDefault="00A72A29" w:rsidP="00A72A29">
      <w:pPr>
        <w:spacing w:after="0" w:line="240" w:lineRule="auto"/>
        <w:jc w:val="both"/>
        <w:rPr>
          <w:rFonts w:ascii="Arial" w:eastAsia="Calibri" w:hAnsi="Arial" w:cs="Arial"/>
          <w:b/>
        </w:rPr>
      </w:pPr>
      <w:r w:rsidRPr="00A72A29">
        <w:rPr>
          <w:rFonts w:ascii="Arial" w:eastAsia="Calibri" w:hAnsi="Arial" w:cs="Arial"/>
          <w:b/>
        </w:rPr>
        <w:t xml:space="preserve">Yajaira Combariza Hernández </w:t>
      </w:r>
    </w:p>
    <w:p w14:paraId="6807AA88" w14:textId="77777777" w:rsidR="00A72A29" w:rsidRPr="00A72A29" w:rsidRDefault="003745FA" w:rsidP="00A72A29">
      <w:pPr>
        <w:spacing w:after="0" w:line="240" w:lineRule="auto"/>
        <w:jc w:val="both"/>
        <w:rPr>
          <w:rFonts w:ascii="Arial" w:eastAsia="Calibri" w:hAnsi="Arial" w:cs="Arial"/>
          <w:bCs/>
        </w:rPr>
      </w:pPr>
      <w:hyperlink r:id="rId11" w:history="1">
        <w:r w:rsidR="00A72A29" w:rsidRPr="00A72A29">
          <w:rPr>
            <w:rFonts w:ascii="Arial" w:hAnsi="Arial" w:cs="Arial"/>
            <w:color w:val="0563C1" w:themeColor="hyperlink"/>
            <w:u w:val="single"/>
          </w:rPr>
          <w:t>yajairacohe@hotmail.com</w:t>
        </w:r>
      </w:hyperlink>
      <w:r w:rsidR="00A72A29" w:rsidRPr="00A72A29">
        <w:rPr>
          <w:rFonts w:ascii="Arial" w:hAnsi="Arial" w:cs="Arial"/>
        </w:rPr>
        <w:t xml:space="preserve"> </w:t>
      </w:r>
    </w:p>
    <w:p w14:paraId="09260E8F" w14:textId="77777777" w:rsidR="00A72A29" w:rsidRPr="00A72A29" w:rsidRDefault="00A72A29" w:rsidP="00A72A29">
      <w:pPr>
        <w:tabs>
          <w:tab w:val="left" w:pos="3374"/>
        </w:tabs>
        <w:spacing w:after="0" w:line="240" w:lineRule="auto"/>
        <w:jc w:val="both"/>
        <w:rPr>
          <w:rFonts w:ascii="Arial" w:eastAsia="Calibri" w:hAnsi="Arial" w:cs="Arial"/>
          <w:noProof/>
          <w:lang w:val="es-ES_tradnl"/>
        </w:rPr>
      </w:pPr>
      <w:r w:rsidRPr="00A72A29">
        <w:rPr>
          <w:rFonts w:ascii="Arial" w:hAnsi="Arial" w:cs="Arial"/>
          <w:lang w:val="es-ES_tradnl"/>
        </w:rPr>
        <w:t>Bogotá, D.C.</w:t>
      </w:r>
    </w:p>
    <w:p w14:paraId="14092DB0" w14:textId="77777777" w:rsidR="00A72A29" w:rsidRPr="00A72A29" w:rsidRDefault="00A72A29" w:rsidP="00A72A29">
      <w:pPr>
        <w:spacing w:after="0" w:line="240" w:lineRule="auto"/>
        <w:jc w:val="both"/>
        <w:rPr>
          <w:rFonts w:ascii="Arial" w:eastAsia="Calibri" w:hAnsi="Arial" w:cs="Arial"/>
        </w:rPr>
      </w:pPr>
    </w:p>
    <w:p w14:paraId="3F2A7315" w14:textId="77777777" w:rsidR="00A72A29" w:rsidRPr="00A72A29" w:rsidRDefault="00A72A29" w:rsidP="00A72A29">
      <w:pPr>
        <w:spacing w:after="0" w:line="240" w:lineRule="auto"/>
        <w:jc w:val="both"/>
        <w:rPr>
          <w:rFonts w:ascii="Arial" w:eastAsia="Calibri" w:hAnsi="Arial" w:cs="Arial"/>
        </w:rPr>
      </w:pPr>
    </w:p>
    <w:p w14:paraId="5A8DC4AB" w14:textId="77777777" w:rsidR="00A72A29" w:rsidRPr="00A72A29" w:rsidRDefault="00A72A29" w:rsidP="00A72A29">
      <w:pPr>
        <w:spacing w:after="0" w:line="240" w:lineRule="auto"/>
        <w:jc w:val="both"/>
        <w:rPr>
          <w:rFonts w:ascii="Arial" w:hAnsi="Arial" w:cs="Arial"/>
        </w:rPr>
      </w:pPr>
      <w:r w:rsidRPr="00A72A29">
        <w:rPr>
          <w:rFonts w:ascii="Arial" w:eastAsia="Calibri" w:hAnsi="Arial" w:cs="Arial"/>
          <w:b/>
        </w:rPr>
        <w:t xml:space="preserve">                                       Concepto C – 416 de 2023</w:t>
      </w:r>
    </w:p>
    <w:p w14:paraId="0BBEBE5F" w14:textId="77777777" w:rsidR="00A72A29" w:rsidRPr="00A72A29" w:rsidRDefault="00A72A29" w:rsidP="00A72A29">
      <w:pPr>
        <w:spacing w:after="0" w:line="240" w:lineRule="auto"/>
        <w:jc w:val="both"/>
        <w:rPr>
          <w:rFonts w:ascii="Arial" w:eastAsia="Calibri" w:hAnsi="Arial" w:cs="Arial"/>
          <w:bCs/>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516"/>
      </w:tblGrid>
      <w:tr w:rsidR="00A72A29" w:rsidRPr="00A72A29" w14:paraId="44D96DD0" w14:textId="77777777" w:rsidTr="00D41779">
        <w:trPr>
          <w:trHeight w:val="1038"/>
        </w:trPr>
        <w:tc>
          <w:tcPr>
            <w:tcW w:w="2410" w:type="dxa"/>
            <w:hideMark/>
          </w:tcPr>
          <w:p w14:paraId="2F9A0BB8" w14:textId="77777777" w:rsidR="00A72A29" w:rsidRPr="00A72A29" w:rsidRDefault="00A72A29" w:rsidP="00A72A29">
            <w:pPr>
              <w:spacing w:after="200"/>
              <w:contextualSpacing/>
              <w:jc w:val="both"/>
              <w:rPr>
                <w:rFonts w:ascii="Arial" w:hAnsi="Arial" w:cs="Arial"/>
                <w:noProof/>
                <w:lang w:val="es-ES_tradnl"/>
              </w:rPr>
            </w:pPr>
            <w:r w:rsidRPr="00A72A29">
              <w:rPr>
                <w:rFonts w:ascii="Arial" w:hAnsi="Arial" w:cs="Arial"/>
                <w:b/>
                <w:noProof/>
                <w:lang w:val="es-ES_tradnl"/>
              </w:rPr>
              <w:t>Temas:</w:t>
            </w:r>
            <w:r w:rsidRPr="00A72A29">
              <w:rPr>
                <w:rFonts w:ascii="Arial" w:hAnsi="Arial" w:cs="Arial"/>
                <w:noProof/>
                <w:lang w:val="es-ES_tradnl"/>
              </w:rPr>
              <w:t xml:space="preserve"> </w:t>
            </w:r>
          </w:p>
        </w:tc>
        <w:tc>
          <w:tcPr>
            <w:tcW w:w="6516" w:type="dxa"/>
            <w:hideMark/>
          </w:tcPr>
          <w:p w14:paraId="43C05714" w14:textId="77777777" w:rsidR="00A72A29" w:rsidRPr="00A72A29" w:rsidRDefault="00A72A29" w:rsidP="00A72A29">
            <w:pPr>
              <w:tabs>
                <w:tab w:val="left" w:pos="3374"/>
              </w:tabs>
              <w:spacing w:after="120"/>
              <w:jc w:val="both"/>
              <w:rPr>
                <w:rFonts w:ascii="Arial" w:hAnsi="Arial" w:cs="Arial"/>
                <w:bCs/>
                <w:highlight w:val="yellow"/>
                <w:lang w:val="es-MX"/>
              </w:rPr>
            </w:pPr>
            <w:r w:rsidRPr="00A72A29">
              <w:rPr>
                <w:rFonts w:ascii="Arial" w:hAnsi="Arial" w:cs="Arial"/>
                <w:color w:val="000000"/>
                <w:shd w:val="clear" w:color="auto" w:fill="FFFFFF"/>
                <w:lang w:val="es-MX"/>
              </w:rPr>
              <w:t>SECOP II – Generalidades – Plataforma transaccional – Publicidad / FIRMAS – Firma manuscrita – Firma electrónica – Firma digital – Concepto / FIRMAS – Mensaje de datos – Firma electrónica – Firma digital – Validez</w:t>
            </w:r>
          </w:p>
        </w:tc>
      </w:tr>
      <w:tr w:rsidR="00A72A29" w:rsidRPr="00A72A29" w14:paraId="72584718" w14:textId="77777777" w:rsidTr="00D41779">
        <w:trPr>
          <w:trHeight w:val="198"/>
        </w:trPr>
        <w:tc>
          <w:tcPr>
            <w:tcW w:w="2410" w:type="dxa"/>
          </w:tcPr>
          <w:p w14:paraId="64568C58" w14:textId="77777777" w:rsidR="00A72A29" w:rsidRPr="00A72A29" w:rsidRDefault="00A72A29" w:rsidP="00A72A29">
            <w:pPr>
              <w:jc w:val="both"/>
              <w:rPr>
                <w:rFonts w:ascii="Arial" w:hAnsi="Arial" w:cs="Arial"/>
                <w:b/>
                <w:noProof/>
                <w:lang w:val="es-ES_tradnl"/>
              </w:rPr>
            </w:pPr>
            <w:r w:rsidRPr="00A72A29">
              <w:rPr>
                <w:rFonts w:ascii="Arial" w:hAnsi="Arial" w:cs="Arial"/>
                <w:b/>
                <w:noProof/>
                <w:lang w:val="es-ES_tradnl"/>
              </w:rPr>
              <w:t>Radicación:</w:t>
            </w:r>
            <w:r w:rsidRPr="00A72A29">
              <w:rPr>
                <w:rFonts w:ascii="Arial" w:hAnsi="Arial" w:cs="Arial"/>
                <w:noProof/>
                <w:lang w:val="es-ES_tradnl"/>
              </w:rPr>
              <w:t xml:space="preserve"> </w:t>
            </w:r>
          </w:p>
        </w:tc>
        <w:tc>
          <w:tcPr>
            <w:tcW w:w="6516" w:type="dxa"/>
          </w:tcPr>
          <w:p w14:paraId="6752E641" w14:textId="77777777" w:rsidR="00A72A29" w:rsidRPr="00A72A29" w:rsidRDefault="00A72A29" w:rsidP="00A72A29">
            <w:pPr>
              <w:ind w:right="136"/>
              <w:contextualSpacing/>
              <w:jc w:val="both"/>
              <w:rPr>
                <w:rFonts w:ascii="Arial" w:hAnsi="Arial" w:cs="Arial"/>
                <w:noProof/>
                <w:lang w:val="es-ES_tradnl"/>
              </w:rPr>
            </w:pPr>
            <w:r w:rsidRPr="00A72A29">
              <w:rPr>
                <w:rFonts w:ascii="Arial" w:hAnsi="Arial" w:cs="Arial"/>
                <w:noProof/>
                <w:lang w:val="es-ES_tradnl"/>
              </w:rPr>
              <w:t>Respuesta a consulta P20230921015350</w:t>
            </w:r>
          </w:p>
        </w:tc>
      </w:tr>
    </w:tbl>
    <w:p w14:paraId="3FAC4ABF" w14:textId="77777777" w:rsidR="00A72A29" w:rsidRPr="00A72A29" w:rsidRDefault="00A72A29" w:rsidP="00A72A29">
      <w:pPr>
        <w:spacing w:after="0" w:line="240" w:lineRule="auto"/>
        <w:jc w:val="both"/>
        <w:rPr>
          <w:rFonts w:ascii="Arial" w:eastAsia="Calibri" w:hAnsi="Arial" w:cs="Arial"/>
        </w:rPr>
      </w:pPr>
    </w:p>
    <w:p w14:paraId="4FBC51EF" w14:textId="77777777" w:rsidR="00A72A29" w:rsidRPr="00A72A29" w:rsidRDefault="00A72A29" w:rsidP="00A72A29">
      <w:pPr>
        <w:spacing w:after="0" w:line="240" w:lineRule="auto"/>
        <w:jc w:val="both"/>
        <w:rPr>
          <w:rFonts w:ascii="Arial" w:eastAsia="Calibri" w:hAnsi="Arial" w:cs="Arial"/>
        </w:rPr>
      </w:pPr>
    </w:p>
    <w:p w14:paraId="06A021C8" w14:textId="77777777" w:rsidR="00A72A29" w:rsidRPr="00A72A29" w:rsidRDefault="00A72A29" w:rsidP="00A72A29">
      <w:pPr>
        <w:spacing w:after="0" w:line="276" w:lineRule="auto"/>
        <w:jc w:val="both"/>
        <w:rPr>
          <w:rFonts w:ascii="Arial" w:eastAsia="Calibri" w:hAnsi="Arial" w:cs="Arial"/>
        </w:rPr>
      </w:pPr>
      <w:r w:rsidRPr="00A72A29">
        <w:rPr>
          <w:rFonts w:ascii="Arial" w:eastAsia="Calibri" w:hAnsi="Arial" w:cs="Arial"/>
        </w:rPr>
        <w:t>Estimada señora Combariza Hernández:</w:t>
      </w:r>
    </w:p>
    <w:p w14:paraId="483CB4F8" w14:textId="77777777" w:rsidR="00A72A29" w:rsidRPr="00A72A29" w:rsidRDefault="00A72A29" w:rsidP="00A72A29">
      <w:pPr>
        <w:spacing w:after="0" w:line="276" w:lineRule="auto"/>
        <w:ind w:firstLine="709"/>
        <w:jc w:val="both"/>
        <w:rPr>
          <w:rFonts w:ascii="Arial" w:eastAsia="Calibri" w:hAnsi="Arial" w:cs="Arial"/>
        </w:rPr>
      </w:pPr>
    </w:p>
    <w:p w14:paraId="5BF77A97" w14:textId="77777777" w:rsidR="00A72A29" w:rsidRPr="00A72A29" w:rsidRDefault="00A72A29" w:rsidP="00A72A29">
      <w:pPr>
        <w:spacing w:after="0" w:line="276" w:lineRule="auto"/>
        <w:jc w:val="both"/>
        <w:rPr>
          <w:rFonts w:ascii="Arial" w:eastAsia="Calibri" w:hAnsi="Arial" w:cs="Arial"/>
        </w:rPr>
      </w:pPr>
      <w:r w:rsidRPr="00A72A29">
        <w:rPr>
          <w:rFonts w:ascii="Arial" w:eastAsia="Calibri" w:hAnsi="Arial" w:cs="Arial"/>
        </w:rPr>
        <w:t>En ejercicio de la competencia otorgada por el numeral 8 del artículo 11 y el numeral 5 del artículo 3 del Decreto Ley 4170 de 2011, la Agencia Nacional de Contratación Pública – Colombia Compra Eficiente responde su consulta del 21 de septiembre de 2023</w:t>
      </w:r>
    </w:p>
    <w:p w14:paraId="4026CD4B" w14:textId="77777777" w:rsidR="00A72A29" w:rsidRPr="00A72A29" w:rsidRDefault="00A72A29" w:rsidP="00A72A29">
      <w:pPr>
        <w:spacing w:after="0" w:line="276" w:lineRule="auto"/>
        <w:jc w:val="both"/>
        <w:rPr>
          <w:rFonts w:ascii="Arial" w:eastAsia="Calibri" w:hAnsi="Arial" w:cs="Arial"/>
        </w:rPr>
      </w:pPr>
    </w:p>
    <w:p w14:paraId="2B9E994E" w14:textId="77777777" w:rsidR="00A72A29" w:rsidRPr="00A72A29" w:rsidRDefault="00A72A29" w:rsidP="00A72A29">
      <w:pPr>
        <w:tabs>
          <w:tab w:val="left" w:pos="284"/>
        </w:tabs>
        <w:spacing w:after="0" w:line="276" w:lineRule="auto"/>
        <w:jc w:val="both"/>
        <w:rPr>
          <w:rFonts w:ascii="Arial" w:eastAsia="Calibri" w:hAnsi="Arial" w:cs="Arial"/>
          <w:b/>
        </w:rPr>
      </w:pPr>
      <w:r w:rsidRPr="00A72A29">
        <w:rPr>
          <w:rFonts w:ascii="Arial" w:eastAsia="Calibri" w:hAnsi="Arial" w:cs="Arial"/>
          <w:b/>
        </w:rPr>
        <w:t>1. Problema planteado</w:t>
      </w:r>
      <w:bookmarkStart w:id="0" w:name="_Hlk78213421"/>
      <w:bookmarkStart w:id="1" w:name="_Hlk78192084"/>
      <w:bookmarkStart w:id="2" w:name="_Hlk58917991"/>
      <w:bookmarkStart w:id="3" w:name="_Hlk56103000"/>
    </w:p>
    <w:p w14:paraId="7E6BFDC1" w14:textId="77777777" w:rsidR="00A72A29" w:rsidRPr="00A72A29" w:rsidRDefault="00A72A29" w:rsidP="00A72A29">
      <w:pPr>
        <w:tabs>
          <w:tab w:val="left" w:pos="284"/>
        </w:tabs>
        <w:spacing w:after="0" w:line="276" w:lineRule="auto"/>
        <w:jc w:val="both"/>
        <w:rPr>
          <w:rFonts w:ascii="Arial" w:eastAsia="Calibri" w:hAnsi="Arial" w:cs="Arial"/>
          <w:b/>
        </w:rPr>
      </w:pPr>
    </w:p>
    <w:bookmarkEnd w:id="0"/>
    <w:bookmarkEnd w:id="1"/>
    <w:p w14:paraId="0FF2CCB4" w14:textId="77777777" w:rsidR="00A72A29" w:rsidRPr="00A72A29" w:rsidRDefault="00A72A29" w:rsidP="00A72A29">
      <w:pPr>
        <w:spacing w:after="0" w:line="276" w:lineRule="auto"/>
        <w:jc w:val="both"/>
        <w:rPr>
          <w:rFonts w:ascii="Arial" w:eastAsia="Times New Roman" w:hAnsi="Arial" w:cs="Arial"/>
          <w:szCs w:val="24"/>
          <w:lang w:eastAsia="es-CO"/>
        </w:rPr>
      </w:pPr>
      <w:r w:rsidRPr="00A72A29">
        <w:rPr>
          <w:rFonts w:ascii="Arial" w:eastAsia="Times New Roman" w:hAnsi="Arial" w:cs="Arial"/>
          <w:szCs w:val="24"/>
          <w:lang w:eastAsia="es-CO"/>
        </w:rPr>
        <w:t xml:space="preserve">En relación con los procesos de contratación adelantados a través del SECOP II, usted realiza las siguientes preguntas: </w:t>
      </w:r>
    </w:p>
    <w:p w14:paraId="70A3C4F8" w14:textId="77777777" w:rsidR="00A72A29" w:rsidRPr="00A72A29" w:rsidRDefault="00A72A29" w:rsidP="00A72A29">
      <w:pPr>
        <w:spacing w:after="0" w:line="276" w:lineRule="auto"/>
        <w:jc w:val="both"/>
        <w:rPr>
          <w:rFonts w:ascii="Arial" w:eastAsia="Times New Roman" w:hAnsi="Arial" w:cs="Arial"/>
          <w:szCs w:val="24"/>
          <w:lang w:eastAsia="es-CO"/>
        </w:rPr>
      </w:pPr>
    </w:p>
    <w:p w14:paraId="55C8450B" w14:textId="77777777" w:rsidR="00A72A29" w:rsidRPr="00A72A29" w:rsidRDefault="00A72A29" w:rsidP="00A72A29">
      <w:pPr>
        <w:spacing w:after="0" w:line="240" w:lineRule="auto"/>
        <w:ind w:left="709" w:right="709"/>
        <w:jc w:val="both"/>
        <w:rPr>
          <w:rFonts w:ascii="Arial" w:hAnsi="Arial" w:cs="Arial"/>
          <w:sz w:val="21"/>
          <w:szCs w:val="21"/>
          <w:lang w:val="es-ES_tradnl"/>
        </w:rPr>
      </w:pPr>
      <w:r w:rsidRPr="00A72A29">
        <w:rPr>
          <w:rFonts w:ascii="Arial" w:hAnsi="Arial" w:cs="Arial"/>
          <w:sz w:val="21"/>
          <w:szCs w:val="21"/>
          <w:lang w:val="es-ES_tradnl"/>
        </w:rPr>
        <w:t>“1. Al surtir todo el trámite de contratación conforme al documento “20170803_guia_gestion_contractual”, en el momento de la expedición del contrato electrónico y la normatividad actual, ¿este contrato debería tener firmas manuscritas?</w:t>
      </w:r>
    </w:p>
    <w:p w14:paraId="7F0DA703" w14:textId="77777777" w:rsidR="00A72A29" w:rsidRPr="00A72A29" w:rsidRDefault="00A72A29" w:rsidP="00A72A29">
      <w:pPr>
        <w:spacing w:after="0" w:line="240" w:lineRule="auto"/>
        <w:ind w:left="709" w:right="709"/>
        <w:jc w:val="both"/>
        <w:rPr>
          <w:rFonts w:ascii="Arial" w:hAnsi="Arial" w:cs="Arial"/>
          <w:sz w:val="21"/>
          <w:szCs w:val="21"/>
          <w:lang w:val="es-ES_tradnl"/>
        </w:rPr>
      </w:pPr>
    </w:p>
    <w:p w14:paraId="49CD0D22" w14:textId="77777777" w:rsidR="00A72A29" w:rsidRPr="00A72A29" w:rsidRDefault="00A72A29" w:rsidP="00A72A29">
      <w:pPr>
        <w:spacing w:after="0" w:line="240" w:lineRule="auto"/>
        <w:ind w:left="709" w:right="709"/>
        <w:jc w:val="both"/>
        <w:rPr>
          <w:rFonts w:ascii="Arial" w:hAnsi="Arial" w:cs="Arial"/>
          <w:sz w:val="21"/>
          <w:szCs w:val="21"/>
          <w:lang w:val="es-ES_tradnl"/>
        </w:rPr>
      </w:pPr>
      <w:r w:rsidRPr="00A72A29">
        <w:rPr>
          <w:rFonts w:ascii="Arial" w:hAnsi="Arial" w:cs="Arial"/>
          <w:sz w:val="21"/>
          <w:szCs w:val="21"/>
          <w:lang w:val="es-ES_tradnl"/>
        </w:rPr>
        <w:t>2. En su defecto, un documento que contenga el paquete de datos y las aprobaciones del proveedor y la entidad estatal como el del ejemplo, que además se encuentra en ejecución, ¿tiene validez jurídica como los contratos celebrados tradicionalmente como un documento impreso y firma manuscrita?”</w:t>
      </w:r>
    </w:p>
    <w:p w14:paraId="5A7DB2AF" w14:textId="77777777" w:rsidR="00A72A29" w:rsidRPr="00A72A29" w:rsidRDefault="00A72A29" w:rsidP="00A72A29">
      <w:pPr>
        <w:spacing w:after="0" w:line="240" w:lineRule="auto"/>
        <w:ind w:left="567" w:right="788"/>
        <w:contextualSpacing/>
        <w:jc w:val="both"/>
        <w:rPr>
          <w:rFonts w:ascii="Arial" w:hAnsi="Arial" w:cs="Arial"/>
          <w:lang w:val="es-ES_tradnl"/>
        </w:rPr>
      </w:pPr>
    </w:p>
    <w:bookmarkEnd w:id="2"/>
    <w:bookmarkEnd w:id="3"/>
    <w:p w14:paraId="233CBB8B" w14:textId="77777777" w:rsidR="00A72A29" w:rsidRPr="00A72A29" w:rsidRDefault="00A72A29" w:rsidP="00A72A29">
      <w:pPr>
        <w:spacing w:after="0" w:line="276" w:lineRule="auto"/>
        <w:jc w:val="both"/>
        <w:rPr>
          <w:rFonts w:ascii="Arial" w:eastAsia="Calibri" w:hAnsi="Arial" w:cs="Arial"/>
          <w:b/>
          <w:szCs w:val="24"/>
          <w:lang w:eastAsia="es-CO"/>
        </w:rPr>
      </w:pPr>
      <w:r w:rsidRPr="00A72A29">
        <w:rPr>
          <w:rFonts w:ascii="Arial" w:eastAsia="Calibri" w:hAnsi="Arial" w:cs="Arial"/>
          <w:b/>
          <w:szCs w:val="24"/>
          <w:lang w:eastAsia="es-CO"/>
        </w:rPr>
        <w:lastRenderedPageBreak/>
        <w:t>2. Consideraciones</w:t>
      </w:r>
      <w:bookmarkStart w:id="4" w:name="_Hlk79772899"/>
    </w:p>
    <w:p w14:paraId="6BF38069" w14:textId="77777777" w:rsidR="00A72A29" w:rsidRPr="00A72A29" w:rsidRDefault="00A72A29" w:rsidP="00A72A29">
      <w:pPr>
        <w:spacing w:after="0" w:line="276" w:lineRule="auto"/>
        <w:jc w:val="both"/>
        <w:rPr>
          <w:rFonts w:ascii="Arial" w:eastAsia="Calibri" w:hAnsi="Arial" w:cs="Arial"/>
          <w:b/>
          <w:szCs w:val="24"/>
          <w:lang w:eastAsia="es-CO"/>
        </w:rPr>
      </w:pPr>
    </w:p>
    <w:p w14:paraId="77922FD5" w14:textId="77777777" w:rsidR="00A72A29" w:rsidRPr="00A72A29" w:rsidRDefault="00A72A29" w:rsidP="00A72A29">
      <w:pPr>
        <w:spacing w:after="120" w:line="276" w:lineRule="auto"/>
        <w:jc w:val="both"/>
        <w:rPr>
          <w:rFonts w:ascii="Arial" w:hAnsi="Arial" w:cs="Arial"/>
          <w:lang w:val="es-ES"/>
        </w:rPr>
      </w:pPr>
      <w:r w:rsidRPr="00A72A29">
        <w:rPr>
          <w:rFonts w:ascii="Arial" w:hAnsi="Arial" w:cs="Arial"/>
          <w:bCs/>
        </w:rPr>
        <w:t xml:space="preserve">La Agencia Nacional de Contratación Pública – Colombia Compra Eficiente resuelve consultas sobre </w:t>
      </w:r>
      <w:r w:rsidRPr="00A72A29">
        <w:rPr>
          <w:rFonts w:ascii="Arial" w:hAnsi="Arial" w:cs="Arial"/>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A72A29">
        <w:rPr>
          <w:rFonts w:ascii="Arial" w:hAnsi="Arial" w:cs="Arial"/>
          <w:bCs/>
        </w:rPr>
        <w:t xml:space="preserve"> de todos los partícipes de la contratación estatal ni para interpretar el alcance de cualquier norma vigente en el ordenamiento jurídico.</w:t>
      </w:r>
    </w:p>
    <w:p w14:paraId="3E41E99A" w14:textId="77777777" w:rsidR="00A72A29" w:rsidRPr="00A72A29" w:rsidRDefault="00A72A29" w:rsidP="00A72A29">
      <w:pPr>
        <w:spacing w:after="120" w:line="276" w:lineRule="auto"/>
        <w:ind w:firstLine="708"/>
        <w:jc w:val="both"/>
        <w:rPr>
          <w:rFonts w:ascii="Arial" w:hAnsi="Arial" w:cs="Arial"/>
          <w:lang w:val="es-ES"/>
        </w:rPr>
      </w:pPr>
      <w:r w:rsidRPr="00A72A29">
        <w:rPr>
          <w:rFonts w:ascii="Arial"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A72A29">
        <w:rPr>
          <w:rFonts w:ascii="Arial" w:hAnsi="Arial" w:cs="Arial"/>
          <w:vertAlign w:val="superscript"/>
        </w:rPr>
        <w:footnoteReference w:id="1"/>
      </w:r>
      <w:r w:rsidRPr="00A72A29">
        <w:rPr>
          <w:rFonts w:ascii="Arial" w:hAnsi="Arial" w:cs="Arial"/>
          <w:lang w:val="es-ES"/>
        </w:rPr>
        <w:t xml:space="preserve">. Esta competencia de interpretación de normas generales, por definición, no puede extenderse a la resolución de controversias, brindar asesorías sobre casos puntuales ni interpretar normas ajenas al sistema de compras públicas. </w:t>
      </w:r>
    </w:p>
    <w:p w14:paraId="01AB9017" w14:textId="77777777" w:rsidR="00A72A29" w:rsidRPr="00A72A29" w:rsidRDefault="00A72A29" w:rsidP="00A72A29">
      <w:pPr>
        <w:tabs>
          <w:tab w:val="left" w:pos="426"/>
        </w:tabs>
        <w:spacing w:after="120" w:line="276" w:lineRule="auto"/>
        <w:jc w:val="both"/>
        <w:rPr>
          <w:rFonts w:ascii="Arial" w:eastAsia="Calibri" w:hAnsi="Arial" w:cs="Arial"/>
          <w:lang w:eastAsia="es-ES_tradnl"/>
        </w:rPr>
      </w:pPr>
      <w:r w:rsidRPr="00A72A29">
        <w:rPr>
          <w:rFonts w:ascii="Arial" w:hAnsi="Arial" w:cs="Arial"/>
          <w:lang w:val="es-ES"/>
        </w:rPr>
        <w:tab/>
      </w:r>
      <w:r w:rsidRPr="00A72A29">
        <w:rPr>
          <w:rFonts w:ascii="Arial" w:hAnsi="Arial" w:cs="Arial"/>
          <w:lang w:val="es-ES"/>
        </w:rPr>
        <w:tab/>
        <w:t>En este contexto, l</w:t>
      </w:r>
      <w:r w:rsidRPr="00A72A29">
        <w:rPr>
          <w:rFonts w:ascii="Arial" w:eastAsia="Calibri" w:hAnsi="Arial" w:cs="Arial"/>
          <w:color w:val="000000" w:themeColor="text1"/>
          <w:lang w:val="es-ES"/>
        </w:rPr>
        <w:t xml:space="preserve">a </w:t>
      </w:r>
      <w:r w:rsidRPr="00A72A29">
        <w:rPr>
          <w:rFonts w:ascii="Arial" w:eastAsia="Calibri" w:hAnsi="Arial" w:cs="Arial"/>
          <w:color w:val="000000" w:themeColor="text1"/>
          <w:lang w:val="es-ES_tradnl"/>
        </w:rPr>
        <w:t xml:space="preserve">Agencia Nacional de Contratación Pública – Colombia Compra Eficiente, </w:t>
      </w:r>
      <w:r w:rsidRPr="00A72A29">
        <w:rPr>
          <w:rFonts w:ascii="Arial" w:eastAsia="Calibri" w:hAnsi="Arial" w:cs="Arial"/>
          <w:color w:val="000000" w:themeColor="text1"/>
          <w:lang w:val="es-ES"/>
        </w:rPr>
        <w:t>dentro de los límites de sus atribuciones,</w:t>
      </w:r>
      <w:r w:rsidRPr="00A72A29">
        <w:rPr>
          <w:rFonts w:ascii="Arial" w:eastAsia="Calibri" w:hAnsi="Arial" w:cs="Arial"/>
          <w:lang w:val="es-ES" w:eastAsia="es-ES_tradnl"/>
        </w:rPr>
        <w:t xml:space="preserve"> </w:t>
      </w:r>
      <w:r w:rsidRPr="00A72A29">
        <w:rPr>
          <w:rFonts w:ascii="Arial" w:eastAsia="Calibri" w:hAnsi="Arial" w:cs="Arial"/>
          <w:color w:val="000000"/>
          <w:lang w:val="es-ES" w:eastAsia="es-ES_tradnl"/>
        </w:rPr>
        <w:t>resolverá la consulta conforme a las normas generales en materia de contratación estatal. Con este objetivo se analizará el siguiente tema: SECOP II, uso de la firma manuscrita, electrónica y digital en la contratación estatal.</w:t>
      </w:r>
    </w:p>
    <w:p w14:paraId="2DC37F59" w14:textId="77777777" w:rsidR="00A72A29" w:rsidRPr="00A72A29" w:rsidRDefault="00A72A29" w:rsidP="00A72A29">
      <w:pPr>
        <w:tabs>
          <w:tab w:val="left" w:pos="426"/>
        </w:tabs>
        <w:spacing w:after="0" w:line="276" w:lineRule="auto"/>
        <w:ind w:firstLine="425"/>
        <w:jc w:val="both"/>
        <w:rPr>
          <w:rFonts w:ascii="Century Gothic" w:eastAsia="Calibri" w:hAnsi="Century Gothic" w:cs="Arial"/>
          <w:lang w:eastAsia="es-ES_tradnl"/>
        </w:rPr>
      </w:pPr>
      <w:r w:rsidRPr="00A72A29">
        <w:rPr>
          <w:rFonts w:ascii="Arial" w:eastAsia="Calibri" w:hAnsi="Arial" w:cs="Arial"/>
          <w:bCs/>
          <w:color w:val="000000" w:themeColor="text1"/>
          <w:lang w:val="es-ES_tradnl"/>
        </w:rPr>
        <w:t xml:space="preserve">La Agencia Nacional de Contratación Pública – Colombia Compra Eficiente, </w:t>
      </w:r>
      <w:r w:rsidRPr="00A72A29">
        <w:rPr>
          <w:rFonts w:ascii="Arial" w:hAnsi="Arial" w:cs="Arial"/>
          <w:lang w:val="es-ES_tradnl"/>
        </w:rPr>
        <w:t xml:space="preserve">en los conceptos con radicado No. </w:t>
      </w:r>
      <w:r w:rsidRPr="00A72A29">
        <w:rPr>
          <w:rFonts w:ascii="Arial" w:eastAsia="Calibri" w:hAnsi="Arial" w:cs="Arial"/>
          <w:lang w:val="es-ES_tradnl"/>
        </w:rPr>
        <w:t xml:space="preserve">4201912000005683 del 12 de septiembre de 2019, C-044 del 24 de marzo de 2020, </w:t>
      </w:r>
      <w:r w:rsidRPr="00A72A29">
        <w:rPr>
          <w:rFonts w:ascii="Arial" w:hAnsi="Arial" w:cs="Arial"/>
        </w:rPr>
        <w:t>C-017 del 27 de abril de 2020, C-295 del 30 de abril de 2020, C-366 del 16 de junio de 2020</w:t>
      </w:r>
      <w:r w:rsidRPr="00A72A29">
        <w:rPr>
          <w:rFonts w:ascii="Arial" w:eastAsia="Calibri" w:hAnsi="Arial" w:cs="Arial"/>
        </w:rPr>
        <w:t>,</w:t>
      </w:r>
      <w:r w:rsidRPr="00A72A29">
        <w:rPr>
          <w:rFonts w:ascii="Arial" w:eastAsia="Calibri" w:hAnsi="Arial" w:cs="Arial"/>
          <w:lang w:val="es-ES_tradnl"/>
        </w:rPr>
        <w:t xml:space="preserve"> C-655 del 29 de octubre de 2020, C-737 del 14 de diciembre de 2020, </w:t>
      </w:r>
      <w:r w:rsidRPr="00A72A29">
        <w:rPr>
          <w:rFonts w:ascii="Arial" w:hAnsi="Arial" w:cs="Arial"/>
        </w:rPr>
        <w:t>C-754 de 23 de diciembre de 2020, C-812 de 9 de febrero de 2021, C-193 del 3 de mayo de 2021, C-518 del 1 de septiembre de 2022 y C-123 del 12 de mayo de 2023,</w:t>
      </w:r>
      <w:r w:rsidRPr="00A72A29">
        <w:rPr>
          <w:rFonts w:ascii="Arial" w:eastAsia="Calibri" w:hAnsi="Arial" w:cs="Arial"/>
          <w:lang w:val="es-ES_tradnl"/>
        </w:rPr>
        <w:t xml:space="preserve"> se refirió a las firmas manuscritas, electrónicas y digitales.</w:t>
      </w:r>
      <w:r w:rsidRPr="00A72A29">
        <w:rPr>
          <w:rFonts w:ascii="Arial" w:hAnsi="Arial" w:cs="Arial"/>
          <w:lang w:val="es-ES"/>
        </w:rPr>
        <w:t xml:space="preserve"> Las tesis desarrolladas en estos conceptos se reiteran en lo pertinente y complementan a continuación. </w:t>
      </w:r>
    </w:p>
    <w:p w14:paraId="3FF94DA1" w14:textId="77777777" w:rsidR="00A72A29" w:rsidRPr="00A72A29" w:rsidRDefault="00A72A29" w:rsidP="00A72A29">
      <w:pPr>
        <w:tabs>
          <w:tab w:val="left" w:pos="426"/>
        </w:tabs>
        <w:spacing w:after="0" w:line="276" w:lineRule="auto"/>
        <w:ind w:firstLine="425"/>
        <w:jc w:val="both"/>
        <w:rPr>
          <w:rFonts w:ascii="Century Gothic" w:eastAsia="Calibri" w:hAnsi="Century Gothic" w:cs="Arial"/>
          <w:lang w:eastAsia="es-ES_tradnl"/>
        </w:rPr>
      </w:pPr>
    </w:p>
    <w:p w14:paraId="5A23F13A" w14:textId="77777777" w:rsidR="00A72A29" w:rsidRPr="00A72A29" w:rsidRDefault="00A72A29" w:rsidP="00A72A29">
      <w:pPr>
        <w:spacing w:after="0" w:line="276" w:lineRule="auto"/>
        <w:jc w:val="both"/>
        <w:rPr>
          <w:rFonts w:ascii="Arial" w:eastAsia="Calibri" w:hAnsi="Arial" w:cs="Arial"/>
          <w:b/>
          <w:bCs/>
          <w:lang w:val="es-ES_tradnl"/>
        </w:rPr>
      </w:pPr>
      <w:r w:rsidRPr="00A72A29">
        <w:rPr>
          <w:rFonts w:ascii="Arial" w:eastAsia="Calibri" w:hAnsi="Arial" w:cs="Arial"/>
          <w:b/>
          <w:bCs/>
          <w:lang w:val="es-ES_tradnl"/>
        </w:rPr>
        <w:lastRenderedPageBreak/>
        <w:t>2.1. SECOP II, uso de la firma manuscrita, electrónica y digital en la contratación estatal</w:t>
      </w:r>
    </w:p>
    <w:p w14:paraId="2FEA32CF" w14:textId="77777777" w:rsidR="00A72A29" w:rsidRPr="00A72A29" w:rsidRDefault="00A72A29" w:rsidP="00A72A29">
      <w:pPr>
        <w:spacing w:after="0" w:line="276" w:lineRule="auto"/>
        <w:jc w:val="both"/>
        <w:rPr>
          <w:rFonts w:ascii="Arial" w:eastAsia="Calibri" w:hAnsi="Arial" w:cs="Arial"/>
          <w:b/>
          <w:bCs/>
          <w:lang w:val="es-ES_tradnl"/>
        </w:rPr>
      </w:pPr>
      <w:r w:rsidRPr="00A72A29">
        <w:rPr>
          <w:rFonts w:ascii="Arial" w:eastAsia="Calibri" w:hAnsi="Arial" w:cs="Arial"/>
          <w:b/>
          <w:bCs/>
          <w:lang w:val="es-ES_tradnl"/>
        </w:rPr>
        <w:t xml:space="preserve"> </w:t>
      </w:r>
    </w:p>
    <w:p w14:paraId="46AC08E3" w14:textId="77777777" w:rsidR="00A72A29" w:rsidRPr="00A72A29" w:rsidRDefault="00A72A29" w:rsidP="00A72A29">
      <w:pPr>
        <w:spacing w:after="120" w:line="276" w:lineRule="auto"/>
        <w:jc w:val="both"/>
        <w:rPr>
          <w:rFonts w:ascii="Arial" w:eastAsia="Calibri" w:hAnsi="Arial" w:cs="Arial"/>
          <w:lang w:val="es-ES_tradnl"/>
        </w:rPr>
      </w:pPr>
      <w:r w:rsidRPr="00A72A29">
        <w:rPr>
          <w:rFonts w:ascii="Arial" w:eastAsia="Calibri" w:hAnsi="Arial" w:cs="Arial"/>
          <w:lang w:val="es-ES_tradnl"/>
        </w:rPr>
        <w:t>El SECOP II es una plataforma transaccional, que permite gestionar en línea los procedimientos de contratación, con cuentas y usuarios asociados a estas, para las entidades y los proveedores, y otorga una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50DDD690" w14:textId="77777777" w:rsidR="00A72A29" w:rsidRPr="00A72A29" w:rsidRDefault="00A72A29" w:rsidP="00A72A29">
      <w:pPr>
        <w:spacing w:after="120" w:line="276" w:lineRule="auto"/>
        <w:ind w:firstLine="708"/>
        <w:jc w:val="both"/>
        <w:rPr>
          <w:rFonts w:ascii="Arial" w:eastAsia="Calibri" w:hAnsi="Arial" w:cs="Arial"/>
          <w:szCs w:val="24"/>
          <w:lang w:val="es-ES" w:eastAsia="es-ES_tradnl"/>
        </w:rPr>
      </w:pPr>
      <w:r w:rsidRPr="00A72A29">
        <w:rPr>
          <w:rFonts w:ascii="Arial" w:eastAsia="Calibri" w:hAnsi="Arial" w:cs="Arial"/>
          <w:szCs w:val="24"/>
          <w:lang w:val="es-ES" w:eastAsia="es-ES_tradnl"/>
        </w:rPr>
        <w:t xml:space="preserve">Sobre la utilización de SECOP II, es necesario aclarar que el procedimiento contractual se desarrolla en línea y dentro de la plataforma, conformándose un expediente electrónico, lo cual denota una diferencia con el SECOP I, donde el procedimiento es físico, esto es, con documentos escritos y físicos que se publican para cumplir las obligaciones de las entidades antes señaladas conforme al artículo 2.2.1.1.1.7.1 del Decreto 1082 de 2015. Al existir esa diferencia entre las dos versiones del SECOP, el cumplimiento del deber de </w:t>
      </w:r>
      <w:r w:rsidRPr="00A72A29">
        <w:rPr>
          <w:rFonts w:ascii="Arial" w:eastAsia="Calibri" w:hAnsi="Arial" w:cs="Arial"/>
          <w:szCs w:val="24"/>
          <w:u w:val="single"/>
          <w:lang w:val="es-ES" w:eastAsia="es-ES_tradnl"/>
        </w:rPr>
        <w:t>publicidad de las actuaciones contractuales</w:t>
      </w:r>
      <w:r w:rsidRPr="00A72A29">
        <w:rPr>
          <w:rFonts w:ascii="Arial" w:eastAsia="Calibri" w:hAnsi="Arial" w:cs="Arial"/>
          <w:szCs w:val="24"/>
          <w:lang w:val="es-ES" w:eastAsia="es-ES_tradnl"/>
        </w:rPr>
        <w:t xml:space="preserve"> en SECOP II tiene ciertas particularidades.</w:t>
      </w:r>
    </w:p>
    <w:p w14:paraId="697D33F1" w14:textId="77777777" w:rsidR="00A72A29" w:rsidRPr="00A72A29" w:rsidRDefault="00A72A29" w:rsidP="00A72A29">
      <w:pPr>
        <w:spacing w:before="120" w:after="120" w:line="276" w:lineRule="auto"/>
        <w:ind w:firstLine="709"/>
        <w:jc w:val="both"/>
        <w:rPr>
          <w:rFonts w:ascii="Arial" w:eastAsia="Calibri" w:hAnsi="Arial" w:cs="Arial"/>
          <w:szCs w:val="24"/>
          <w:lang w:val="es-ES" w:eastAsia="es-ES_tradnl"/>
        </w:rPr>
      </w:pPr>
      <w:r w:rsidRPr="00A72A29">
        <w:rPr>
          <w:rFonts w:ascii="Arial" w:eastAsia="Calibri" w:hAnsi="Arial" w:cs="Arial"/>
          <w:szCs w:val="24"/>
          <w:lang w:val="es-ES" w:eastAsia="es-ES_tradnl"/>
        </w:rPr>
        <w:t>Si bien los documentos</w:t>
      </w:r>
      <w:r w:rsidRPr="00A72A29">
        <w:rPr>
          <w:rFonts w:ascii="Arial" w:eastAsia="Calibri" w:hAnsi="Arial" w:cs="Arial"/>
          <w:i/>
          <w:iCs/>
          <w:szCs w:val="24"/>
          <w:lang w:val="es-ES" w:eastAsia="es-ES_tradnl"/>
        </w:rPr>
        <w:t xml:space="preserve"> </w:t>
      </w:r>
      <w:r w:rsidRPr="00A72A29">
        <w:rPr>
          <w:rFonts w:ascii="Arial" w:eastAsia="Calibri" w:hAnsi="Arial" w:cs="Arial"/>
          <w:szCs w:val="24"/>
          <w:lang w:val="es-ES" w:eastAsia="es-ES_tradnl"/>
        </w:rPr>
        <w:t xml:space="preserve">que deben publicarse en el SECOP II corresponden a los mismos que deben publicarse en el SECOP I, esto es, todos los expedidos con ocasión el </w:t>
      </w:r>
      <w:r w:rsidRPr="00A72A29">
        <w:rPr>
          <w:rFonts w:ascii="Arial" w:eastAsia="Calibri" w:hAnsi="Arial" w:cs="Arial"/>
          <w:i/>
          <w:iCs/>
          <w:szCs w:val="24"/>
          <w:lang w:val="es-ES" w:eastAsia="es-ES_tradnl"/>
        </w:rPr>
        <w:t xml:space="preserve">Proceso de Contratación </w:t>
      </w:r>
      <w:r w:rsidRPr="00A72A29">
        <w:rPr>
          <w:rFonts w:ascii="Arial" w:eastAsia="Calibri" w:hAnsi="Arial" w:cs="Arial"/>
          <w:szCs w:val="24"/>
          <w:lang w:val="es-ES" w:eastAsia="es-ES_tradnl"/>
        </w:rPr>
        <w:t xml:space="preserve">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comoquiera que tales documentos son creados o expedidos mediante la propia plataforma, razón por la que una vez estos se aprueban quedan inmediatamente publicados, sin que transcurra el referido término. </w:t>
      </w:r>
    </w:p>
    <w:p w14:paraId="033E9865" w14:textId="77777777" w:rsidR="00A72A29" w:rsidRPr="00A72A29" w:rsidRDefault="00A72A29" w:rsidP="00A72A29">
      <w:pPr>
        <w:spacing w:after="120" w:line="276" w:lineRule="auto"/>
        <w:ind w:firstLine="708"/>
        <w:jc w:val="both"/>
        <w:rPr>
          <w:rFonts w:ascii="Arial" w:eastAsia="Calibri" w:hAnsi="Arial" w:cs="Arial"/>
          <w:lang w:val="es-ES_tradnl"/>
        </w:rPr>
      </w:pPr>
      <w:r w:rsidRPr="00A72A29">
        <w:rPr>
          <w:rFonts w:ascii="Arial" w:eastAsia="Calibri" w:hAnsi="Arial" w:cs="Arial"/>
          <w:lang w:val="es-ES_tradnl"/>
        </w:rPr>
        <w:t xml:space="preserve">Ahora bien, es conveniente abordar el tema de la firma digital y electrónica. Para ello, el artículo 826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5" w:name="_Hlk35441008"/>
      <w:r w:rsidRPr="00A72A29">
        <w:rPr>
          <w:rFonts w:ascii="Arial" w:eastAsia="Calibri" w:hAnsi="Arial" w:cs="Arial"/>
          <w:lang w:val="es-ES_tradnl"/>
        </w:rPr>
        <w:t xml:space="preserve">Dentro del concepto general, la </w:t>
      </w:r>
      <w:r w:rsidRPr="00A72A29">
        <w:rPr>
          <w:rFonts w:ascii="Arial" w:eastAsia="Calibri" w:hAnsi="Arial" w:cs="Arial"/>
          <w:i/>
          <w:iCs/>
          <w:lang w:val="es-ES_tradnl"/>
        </w:rPr>
        <w:t>firma manuscrita</w:t>
      </w:r>
      <w:r w:rsidRPr="00A72A29">
        <w:rPr>
          <w:rFonts w:ascii="Arial" w:eastAsia="Calibri" w:hAnsi="Arial" w:cs="Arial"/>
          <w:lang w:val="es-ES_tradnl"/>
        </w:rPr>
        <w:t xml:space="preserve"> </w:t>
      </w:r>
      <w:r w:rsidRPr="00A72A29">
        <w:rPr>
          <w:rFonts w:ascii="Arial" w:eastAsia="Calibri" w:hAnsi="Arial" w:cs="Arial"/>
        </w:rPr>
        <w:t xml:space="preserve">es “[…] un rasgo o signo impuesto del puño y letra de una </w:t>
      </w:r>
      <w:r w:rsidRPr="00A72A29">
        <w:rPr>
          <w:rFonts w:ascii="Arial" w:eastAsia="Calibri" w:hAnsi="Arial" w:cs="Arial"/>
        </w:rPr>
        <w:lastRenderedPageBreak/>
        <w:t>persona, con el cual, de forma general y reiterada, se compromete con el contenido de los documentos que la consignan, o da fe de que lo allí registrado obedece a la realidad”</w:t>
      </w:r>
      <w:r w:rsidRPr="00A72A29">
        <w:rPr>
          <w:rFonts w:ascii="Arial" w:eastAsia="Calibri" w:hAnsi="Arial" w:cs="Arial"/>
          <w:vertAlign w:val="superscript"/>
        </w:rPr>
        <w:footnoteReference w:id="2"/>
      </w:r>
      <w:r w:rsidRPr="00A72A29">
        <w:rPr>
          <w:rFonts w:ascii="Arial" w:eastAsia="Calibri" w:hAnsi="Arial" w:cs="Arial"/>
        </w:rPr>
        <w:t xml:space="preserve">. </w:t>
      </w:r>
    </w:p>
    <w:p w14:paraId="13690720"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Por otra parte, frente a la </w:t>
      </w:r>
      <w:r w:rsidRPr="00A72A29">
        <w:rPr>
          <w:rFonts w:ascii="Arial" w:eastAsia="Calibri" w:hAnsi="Arial" w:cs="Arial"/>
          <w:i/>
          <w:iCs/>
        </w:rPr>
        <w:t>firma electrónica</w:t>
      </w:r>
      <w:r w:rsidRPr="00A72A29">
        <w:rPr>
          <w:rFonts w:ascii="Arial" w:eastAsia="Calibri" w:hAnsi="Arial"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3F432574" w14:textId="77777777" w:rsidR="00A72A29" w:rsidRPr="00A72A29" w:rsidRDefault="00A72A29" w:rsidP="00A72A29">
      <w:pPr>
        <w:spacing w:after="120" w:line="276" w:lineRule="auto"/>
        <w:ind w:firstLine="708"/>
        <w:jc w:val="both"/>
        <w:rPr>
          <w:rFonts w:ascii="Arial" w:eastAsia="Calibri" w:hAnsi="Arial" w:cs="Arial"/>
        </w:rPr>
      </w:pPr>
      <w:bookmarkStart w:id="6" w:name="_Hlk150349582"/>
      <w:r w:rsidRPr="00A72A29">
        <w:rPr>
          <w:rFonts w:ascii="Arial" w:eastAsia="Calibri" w:hAnsi="Arial" w:cs="Arial"/>
        </w:rPr>
        <w:t xml:space="preserve">Finalmente, el artículo 2 de la Ley 527 de 1999 define la </w:t>
      </w:r>
      <w:r w:rsidRPr="00A72A29">
        <w:rPr>
          <w:rFonts w:ascii="Arial" w:eastAsia="Calibri" w:hAnsi="Arial" w:cs="Arial"/>
          <w:i/>
          <w:iCs/>
        </w:rPr>
        <w:t>firma digital</w:t>
      </w:r>
      <w:r w:rsidRPr="00A72A29">
        <w:rPr>
          <w:rFonts w:ascii="Arial" w:eastAsia="Calibri" w:hAnsi="Arial"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A72A29">
        <w:rPr>
          <w:rFonts w:ascii="Arial" w:eastAsia="Calibri" w:hAnsi="Arial" w:cs="Arial"/>
          <w:vertAlign w:val="superscript"/>
        </w:rPr>
        <w:footnoteReference w:id="3"/>
      </w:r>
      <w:r w:rsidRPr="00A72A29">
        <w:rPr>
          <w:rFonts w:ascii="Arial" w:eastAsia="Calibri" w:hAnsi="Arial" w:cs="Arial"/>
        </w:rPr>
        <w:t xml:space="preserve">. </w:t>
      </w:r>
      <w:bookmarkEnd w:id="6"/>
      <w:r w:rsidRPr="00A72A29">
        <w:rPr>
          <w:rFonts w:ascii="Arial" w:eastAsia="Calibri" w:hAnsi="Arial" w:cs="Arial"/>
        </w:rPr>
        <w:t>Además, esta normativa prevé que podrán emitir certificados en relación con las firmas digitales las entidades de certificación</w:t>
      </w:r>
      <w:r w:rsidRPr="00A72A29">
        <w:rPr>
          <w:rFonts w:ascii="Arial" w:eastAsia="Calibri" w:hAnsi="Arial" w:cs="Arial"/>
          <w:vertAlign w:val="superscript"/>
        </w:rPr>
        <w:footnoteReference w:id="4"/>
      </w:r>
      <w:r w:rsidRPr="00A72A29">
        <w:rPr>
          <w:rFonts w:ascii="Arial" w:eastAsia="Calibri" w:hAnsi="Arial" w:cs="Arial"/>
        </w:rPr>
        <w:t xml:space="preserve">. </w:t>
      </w:r>
    </w:p>
    <w:bookmarkEnd w:id="5"/>
    <w:p w14:paraId="0E00A0EB"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w:t>
      </w:r>
    </w:p>
    <w:p w14:paraId="492A1FAD"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Por ello, en relación con las firmas que se realizan por un mensaje de datos, el artículo 7 de la Ley 527 de 1999 señala que se deben cumplir los siguientes requisitos: i) </w:t>
      </w:r>
      <w:r w:rsidRPr="00A72A29">
        <w:rPr>
          <w:rFonts w:ascii="Arial" w:eastAsia="Calibri" w:hAnsi="Arial" w:cs="Arial"/>
        </w:rPr>
        <w:lastRenderedPageBreak/>
        <w:t xml:space="preserve">se ha utilizado un método que permita identificar el iniciador de un mensaje de datos y para indicar que el contenido cuenta con su aprobación, y ii) el método es tanto confiable como apropiado para el propósito por el cual el mensaje fue generado o comunicado. Debido a que la firma electrónica se genera por un mensaje de datos deberá cumplir los requisitos explicados anteriormente. Dentro de este marco, es necesario distinguir dos (2) situaciones: i) el documento original tiene la firma manuscrita y luego se escaneó para enviarlo a la entidad estatal por correo electrónico y ii) </w:t>
      </w:r>
      <w:bookmarkStart w:id="7" w:name="_Hlk35438181"/>
      <w:r w:rsidRPr="00A72A29">
        <w:rPr>
          <w:rFonts w:ascii="Arial" w:eastAsia="Calibri" w:hAnsi="Arial" w:cs="Arial"/>
        </w:rPr>
        <w:t>el documento tiene una imagen con la firma y se adjunta como archivo para enviarlo a la entidad</w:t>
      </w:r>
      <w:bookmarkEnd w:id="7"/>
      <w:r w:rsidRPr="00A72A29">
        <w:rPr>
          <w:rFonts w:ascii="Arial" w:eastAsia="Calibri" w:hAnsi="Arial" w:cs="Arial"/>
        </w:rPr>
        <w:t xml:space="preserve">. </w:t>
      </w:r>
    </w:p>
    <w:p w14:paraId="700E148C"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En el </w:t>
      </w:r>
      <w:r w:rsidRPr="00A72A29">
        <w:rPr>
          <w:rFonts w:ascii="Arial" w:eastAsia="Calibri" w:hAnsi="Arial" w:cs="Arial"/>
          <w:i/>
          <w:iCs/>
        </w:rPr>
        <w:t>primer supuesto</w:t>
      </w:r>
      <w:r w:rsidRPr="00A72A29">
        <w:rPr>
          <w:rFonts w:ascii="Arial" w:eastAsia="Calibri" w:hAnsi="Arial"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A72A29">
        <w:rPr>
          <w:rFonts w:ascii="Arial" w:eastAsia="Calibri" w:hAnsi="Arial" w:cs="Arial"/>
          <w:vertAlign w:val="superscript"/>
        </w:rPr>
        <w:footnoteReference w:id="5"/>
      </w:r>
      <w:r w:rsidRPr="00A72A29">
        <w:rPr>
          <w:rFonts w:ascii="Arial" w:eastAsia="Calibri" w:hAnsi="Arial" w:cs="Arial"/>
        </w:rPr>
        <w:t>. Conforme a lo anterior, si el oferente envía el documento con firma manuscrita y luego lo escanea para enviarlo, este será válido, toda vez que la normativa no exige que se tenga que enviar el documento en original sino solo que tenga la firma de quien lo suscribe.</w:t>
      </w:r>
    </w:p>
    <w:p w14:paraId="673743DB"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En el </w:t>
      </w:r>
      <w:r w:rsidRPr="00A72A29">
        <w:rPr>
          <w:rFonts w:ascii="Arial" w:eastAsia="Calibri" w:hAnsi="Arial" w:cs="Arial"/>
          <w:i/>
          <w:iCs/>
        </w:rPr>
        <w:t>segundo supuesto</w:t>
      </w:r>
      <w:r w:rsidRPr="00A72A29">
        <w:rPr>
          <w:rFonts w:ascii="Arial" w:eastAsia="Calibri" w:hAnsi="Arial" w:cs="Arial"/>
        </w:rPr>
        <w:t xml:space="preserve">, el documento tiene una imagen con la firma y se adjunta como archivo para enviarlo al correo electrónico, y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4E331248"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En materia probatoria, tanto la firma electrónica como la firma digital pueden producir los mismos efectos jurídicos como mecanismos de autenticación, pero su diferencia tiene </w:t>
      </w:r>
      <w:r w:rsidRPr="00A72A29">
        <w:rPr>
          <w:rFonts w:ascii="Arial" w:eastAsia="Calibri" w:hAnsi="Arial" w:cs="Arial"/>
        </w:rPr>
        <w:lastRenderedPageBreak/>
        <w:t>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el demostrar que se trata el mecanismo confiable y apropiable.</w:t>
      </w:r>
    </w:p>
    <w:p w14:paraId="18513950" w14:textId="77777777" w:rsidR="00A72A29" w:rsidRPr="00A72A29" w:rsidRDefault="00A72A29" w:rsidP="00A72A29">
      <w:pPr>
        <w:spacing w:after="0" w:line="276" w:lineRule="auto"/>
        <w:ind w:firstLine="709"/>
        <w:jc w:val="both"/>
        <w:rPr>
          <w:rFonts w:ascii="Arial" w:eastAsia="Calibri" w:hAnsi="Arial" w:cs="Arial"/>
        </w:rPr>
      </w:pPr>
      <w:r w:rsidRPr="00A72A29">
        <w:rPr>
          <w:rFonts w:ascii="Arial" w:eastAsia="Calibri" w:hAnsi="Arial" w:cs="Arial"/>
        </w:rPr>
        <w:t xml:space="preserve">En conclusión, </w:t>
      </w:r>
      <w:bookmarkStart w:id="8" w:name="_Hlk35440381"/>
      <w:bookmarkStart w:id="9" w:name="_Hlk35440547"/>
      <w:r w:rsidRPr="00A72A29">
        <w:rPr>
          <w:rFonts w:ascii="Arial" w:eastAsia="Calibri" w:hAnsi="Arial" w:cs="Arial"/>
        </w:rPr>
        <w:t xml:space="preserve">para que un documento con la imagen de una firma sea válido, se deberá determinar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w:t>
      </w:r>
      <w:bookmarkStart w:id="10" w:name="_Hlk53085782"/>
      <w:r w:rsidRPr="00A72A29">
        <w:rPr>
          <w:rFonts w:ascii="Arial" w:eastAsia="Calibri" w:hAnsi="Arial" w:cs="Arial"/>
        </w:rPr>
        <w:t>son una copia simple del original y tienen validez, salvo que una norma expresa imponga la entrega del original</w:t>
      </w:r>
      <w:bookmarkEnd w:id="10"/>
      <w:r w:rsidRPr="00A72A29">
        <w:rPr>
          <w:rFonts w:ascii="Arial" w:eastAsia="Calibri" w:hAnsi="Arial" w:cs="Arial"/>
        </w:rPr>
        <w:t xml:space="preserve">. </w:t>
      </w:r>
      <w:bookmarkEnd w:id="8"/>
      <w:bookmarkEnd w:id="9"/>
    </w:p>
    <w:p w14:paraId="7F106DC7" w14:textId="77777777" w:rsidR="00A72A29" w:rsidRPr="00A72A29" w:rsidRDefault="00A72A29" w:rsidP="00A72A29">
      <w:pPr>
        <w:tabs>
          <w:tab w:val="left" w:pos="709"/>
        </w:tabs>
        <w:spacing w:after="0" w:line="276" w:lineRule="auto"/>
        <w:jc w:val="both"/>
        <w:rPr>
          <w:rFonts w:ascii="Arial" w:eastAsia="Calibri" w:hAnsi="Arial" w:cs="Arial"/>
          <w:color w:val="000000" w:themeColor="text1"/>
          <w:lang w:val="es-MX"/>
        </w:rPr>
      </w:pPr>
    </w:p>
    <w:bookmarkEnd w:id="4"/>
    <w:p w14:paraId="34506294" w14:textId="77777777" w:rsidR="00A72A29" w:rsidRPr="00A72A29" w:rsidRDefault="00A72A29" w:rsidP="00A72A29">
      <w:pPr>
        <w:tabs>
          <w:tab w:val="left" w:pos="284"/>
          <w:tab w:val="left" w:pos="7938"/>
        </w:tabs>
        <w:spacing w:after="0" w:line="276" w:lineRule="auto"/>
        <w:jc w:val="both"/>
        <w:rPr>
          <w:rFonts w:ascii="Arial" w:eastAsia="Calibri" w:hAnsi="Arial" w:cs="Arial"/>
          <w:b/>
        </w:rPr>
      </w:pPr>
      <w:r w:rsidRPr="00A72A29">
        <w:rPr>
          <w:rFonts w:ascii="Arial" w:eastAsia="Calibri" w:hAnsi="Arial" w:cs="Arial"/>
          <w:b/>
        </w:rPr>
        <w:t>3. Respuesta</w:t>
      </w:r>
    </w:p>
    <w:p w14:paraId="0AE2A834" w14:textId="77777777" w:rsidR="00A72A29" w:rsidRPr="00A72A29" w:rsidRDefault="00A72A29" w:rsidP="00A72A29">
      <w:pPr>
        <w:spacing w:after="0" w:line="276" w:lineRule="auto"/>
        <w:jc w:val="both"/>
        <w:rPr>
          <w:rFonts w:ascii="ArialMT" w:eastAsia="Times New Roman" w:hAnsi="ArialMT" w:cs="Times New Roman"/>
          <w:sz w:val="23"/>
          <w:lang w:eastAsia="es-ES_tradnl"/>
        </w:rPr>
      </w:pPr>
    </w:p>
    <w:p w14:paraId="345B7D9A" w14:textId="77777777" w:rsidR="00A72A29" w:rsidRPr="00A72A29" w:rsidRDefault="00A72A29" w:rsidP="00A72A29">
      <w:pPr>
        <w:spacing w:after="0" w:line="240" w:lineRule="auto"/>
        <w:ind w:left="709" w:right="709"/>
        <w:jc w:val="both"/>
        <w:rPr>
          <w:rFonts w:ascii="Arial" w:hAnsi="Arial" w:cs="Arial"/>
          <w:sz w:val="21"/>
          <w:szCs w:val="21"/>
          <w:lang w:val="es-ES_tradnl"/>
        </w:rPr>
      </w:pPr>
      <w:r w:rsidRPr="00A72A29">
        <w:rPr>
          <w:rFonts w:ascii="Arial" w:hAnsi="Arial" w:cs="Arial"/>
          <w:sz w:val="21"/>
          <w:szCs w:val="21"/>
          <w:lang w:val="es-ES_tradnl"/>
        </w:rPr>
        <w:t>“1. Al surtir todo el trámite de contratación conforme al documento “20170803_guia_gestion_contractual”, en el momento de la expedición del contrato electrónico y la normatividad actual, ¿este contrato debería tener firmas manuscritas?</w:t>
      </w:r>
    </w:p>
    <w:p w14:paraId="34EE44F4" w14:textId="77777777" w:rsidR="00A72A29" w:rsidRPr="00A72A29" w:rsidRDefault="00A72A29" w:rsidP="00A72A29">
      <w:pPr>
        <w:spacing w:after="0" w:line="240" w:lineRule="auto"/>
        <w:ind w:left="709" w:right="709"/>
        <w:jc w:val="both"/>
        <w:rPr>
          <w:rFonts w:ascii="Arial" w:hAnsi="Arial" w:cs="Arial"/>
          <w:sz w:val="21"/>
          <w:szCs w:val="21"/>
          <w:lang w:val="es-ES_tradnl"/>
        </w:rPr>
      </w:pPr>
    </w:p>
    <w:p w14:paraId="33D80D79" w14:textId="77777777" w:rsidR="00A72A29" w:rsidRPr="00A72A29" w:rsidRDefault="00A72A29" w:rsidP="00A72A29">
      <w:pPr>
        <w:spacing w:after="0" w:line="240" w:lineRule="auto"/>
        <w:ind w:left="709" w:right="709"/>
        <w:jc w:val="both"/>
        <w:rPr>
          <w:rFonts w:ascii="Arial" w:hAnsi="Arial" w:cs="Arial"/>
          <w:sz w:val="21"/>
          <w:szCs w:val="21"/>
          <w:lang w:val="es-ES_tradnl"/>
        </w:rPr>
      </w:pPr>
      <w:r w:rsidRPr="00A72A29">
        <w:rPr>
          <w:rFonts w:ascii="Arial" w:hAnsi="Arial" w:cs="Arial"/>
          <w:sz w:val="21"/>
          <w:szCs w:val="21"/>
          <w:lang w:val="es-ES_tradnl"/>
        </w:rPr>
        <w:t>2. En su defecto, un documento que contenga el paquete de datos y las aprobaciones del proveedor y la entidad estatal como el del ejemplo, que además se encuentra en ejecución, ¿tiene validez jurídica como los contratos celebrados tradicionalmente como un documento impreso y firma manuscrita?”</w:t>
      </w:r>
    </w:p>
    <w:p w14:paraId="0289A3B7" w14:textId="77777777" w:rsidR="00A72A29" w:rsidRPr="00A72A29" w:rsidRDefault="00A72A29" w:rsidP="00A72A29">
      <w:pPr>
        <w:spacing w:after="0" w:line="240" w:lineRule="auto"/>
        <w:ind w:left="709" w:right="709"/>
        <w:jc w:val="both"/>
        <w:rPr>
          <w:rFonts w:ascii="Arial" w:hAnsi="Arial" w:cs="Arial"/>
          <w:lang w:val="es-ES_tradnl"/>
        </w:rPr>
      </w:pPr>
    </w:p>
    <w:p w14:paraId="755A6544" w14:textId="77777777" w:rsidR="00A72A29" w:rsidRPr="00A72A29" w:rsidRDefault="00A72A29" w:rsidP="00A72A29">
      <w:pPr>
        <w:spacing w:after="120" w:line="276" w:lineRule="auto"/>
        <w:jc w:val="both"/>
        <w:rPr>
          <w:rFonts w:ascii="Arial" w:eastAsia="Calibri" w:hAnsi="Arial" w:cs="Arial"/>
          <w:lang w:val="es-ES_tradnl"/>
        </w:rPr>
      </w:pPr>
      <w:r w:rsidRPr="00A72A29">
        <w:rPr>
          <w:rFonts w:ascii="Arial" w:eastAsia="Calibri" w:hAnsi="Arial" w:cs="Arial"/>
          <w:lang w:val="es-ES_tradnl"/>
        </w:rPr>
        <w:t xml:space="preserve">El SECOP II es una plataforma transaccional, que permite gestionar en línea los procedimientos de contratación, con cuentas y usuarios asociados a estas, para las entidades y los proveedores, y otorga una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 A través de este, el procedimiento contractual se desarrolla en línea y dentro de la plataforma, conformándose un expediente electrónico. </w:t>
      </w:r>
    </w:p>
    <w:p w14:paraId="27EBCDFB" w14:textId="77777777" w:rsidR="00A72A29" w:rsidRPr="00A72A29" w:rsidRDefault="00A72A29" w:rsidP="00A72A29">
      <w:pPr>
        <w:spacing w:after="120" w:line="276" w:lineRule="auto"/>
        <w:ind w:firstLine="708"/>
        <w:jc w:val="both"/>
        <w:rPr>
          <w:rFonts w:ascii="Arial" w:eastAsia="Calibri" w:hAnsi="Arial" w:cs="Arial"/>
          <w:lang w:val="es-ES_tradnl"/>
        </w:rPr>
      </w:pPr>
      <w:r w:rsidRPr="00A72A29">
        <w:rPr>
          <w:rFonts w:ascii="Arial" w:eastAsia="Calibri" w:hAnsi="Arial" w:cs="Arial"/>
          <w:lang w:val="es-ES_tradnl"/>
        </w:rPr>
        <w:t xml:space="preserve">Ahora bien, dentro del concepto general, la </w:t>
      </w:r>
      <w:r w:rsidRPr="00A72A29">
        <w:rPr>
          <w:rFonts w:ascii="Arial" w:eastAsia="Calibri" w:hAnsi="Arial" w:cs="Arial"/>
          <w:i/>
          <w:iCs/>
          <w:lang w:val="es-ES_tradnl"/>
        </w:rPr>
        <w:t>firma manuscrita</w:t>
      </w:r>
      <w:r w:rsidRPr="00A72A29">
        <w:rPr>
          <w:rFonts w:ascii="Arial" w:eastAsia="Calibri" w:hAnsi="Arial" w:cs="Arial"/>
          <w:lang w:val="es-ES_tradnl"/>
        </w:rPr>
        <w:t xml:space="preserve"> </w:t>
      </w:r>
      <w:r w:rsidRPr="00A72A29">
        <w:rPr>
          <w:rFonts w:ascii="Arial" w:eastAsia="Calibri" w:hAnsi="Arial" w:cs="Arial"/>
        </w:rPr>
        <w:t xml:space="preserve">es “[…] un rasgo o signo impuesto del puño y letra de una persona, con el cual, de forma general y reiterada, se compromete con el contenido de los documentos que la consignan, o da fe de que lo allí registrado obedece a la realidad”. Por otra parte, frente a la </w:t>
      </w:r>
      <w:r w:rsidRPr="00A72A29">
        <w:rPr>
          <w:rFonts w:ascii="Arial" w:eastAsia="Calibri" w:hAnsi="Arial" w:cs="Arial"/>
          <w:i/>
          <w:iCs/>
        </w:rPr>
        <w:t>firma electrónica</w:t>
      </w:r>
      <w:r w:rsidRPr="00A72A29">
        <w:rPr>
          <w:rFonts w:ascii="Arial" w:eastAsia="Calibri" w:hAnsi="Arial"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w:t>
      </w:r>
      <w:r w:rsidRPr="00A72A29">
        <w:rPr>
          <w:rFonts w:ascii="Arial" w:eastAsia="Calibri" w:hAnsi="Arial" w:cs="Arial"/>
        </w:rPr>
        <w:lastRenderedPageBreak/>
        <w:t xml:space="preserve">atendidas todas las circunstancias del caso, así como cualquier acuerdo pertinente”. Finalmente, el artículo 2 de la Ley 527 de 1999 define la </w:t>
      </w:r>
      <w:r w:rsidRPr="00A72A29">
        <w:rPr>
          <w:rFonts w:ascii="Arial" w:eastAsia="Calibri" w:hAnsi="Arial" w:cs="Arial"/>
          <w:i/>
          <w:iCs/>
        </w:rPr>
        <w:t>firma digital</w:t>
      </w:r>
      <w:r w:rsidRPr="00A72A29">
        <w:rPr>
          <w:rFonts w:ascii="Arial" w:eastAsia="Calibri" w:hAnsi="Arial"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p>
    <w:p w14:paraId="1C49CC5C"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En relación con las firmas que se realizan por un mensaje de datos, el artículo 7 de la Ley 527 de 1999 señala que se deben cumplir los siguientes requisitos: i) se ha utilizado un método que permita identificar el iniciador de un mensaje de datos y para indicar que el contenido cuenta con su aprobación, y ii) el método es tanto confiable como apropiado para el propósito por el cual el mensaje fue generado o comunicado. Debido a que la firma electrónica se genera por un mensaje de datos deberá cumplir los requisitos explicados anteriormente. Dentro de este marco, es necesario distinguir dos (2) situaciones: i) el documento original tiene la firma manuscrita y luego se escaneó para enviarlo a la entidad estatal por correo electrónico y ii) el documento tiene una imagen con la firma y se adjunta como archivo para enviarlo a la entidad. </w:t>
      </w:r>
    </w:p>
    <w:p w14:paraId="5631A569"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En el </w:t>
      </w:r>
      <w:r w:rsidRPr="00A72A29">
        <w:rPr>
          <w:rFonts w:ascii="Arial" w:eastAsia="Calibri" w:hAnsi="Arial" w:cs="Arial"/>
          <w:i/>
          <w:iCs/>
        </w:rPr>
        <w:t>primer supuesto</w:t>
      </w:r>
      <w:r w:rsidRPr="00A72A29">
        <w:rPr>
          <w:rFonts w:ascii="Arial" w:eastAsia="Calibri" w:hAnsi="Arial" w:cs="Arial"/>
        </w:rPr>
        <w:t xml:space="preserve">,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w:t>
      </w:r>
    </w:p>
    <w:p w14:paraId="49A38BA1" w14:textId="77777777" w:rsidR="00A72A29" w:rsidRPr="00A72A29" w:rsidRDefault="00A72A29" w:rsidP="00A72A29">
      <w:pPr>
        <w:spacing w:after="120" w:line="276" w:lineRule="auto"/>
        <w:ind w:firstLine="708"/>
        <w:jc w:val="both"/>
        <w:rPr>
          <w:rFonts w:ascii="Arial" w:eastAsia="Calibri" w:hAnsi="Arial" w:cs="Arial"/>
        </w:rPr>
      </w:pPr>
      <w:r w:rsidRPr="00A72A29">
        <w:rPr>
          <w:rFonts w:ascii="Arial" w:eastAsia="Calibri" w:hAnsi="Arial" w:cs="Arial"/>
        </w:rPr>
        <w:t xml:space="preserve">En el </w:t>
      </w:r>
      <w:r w:rsidRPr="00A72A29">
        <w:rPr>
          <w:rFonts w:ascii="Arial" w:eastAsia="Calibri" w:hAnsi="Arial" w:cs="Arial"/>
          <w:i/>
          <w:iCs/>
        </w:rPr>
        <w:t>segundo supuesto</w:t>
      </w:r>
      <w:r w:rsidRPr="00A72A29">
        <w:rPr>
          <w:rFonts w:ascii="Arial" w:eastAsia="Calibri" w:hAnsi="Arial" w:cs="Arial"/>
        </w:rPr>
        <w:t xml:space="preserve">, el documento tiene una imagen con la firma y se adjunta como archivo para enviarlo al correo electrónico, y la entidad verificará si el archivo cumple con los requisitos de la firma digital o electrónica.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22307B34" w14:textId="77777777" w:rsidR="00A72A29" w:rsidRPr="00A72A29" w:rsidRDefault="00A72A29" w:rsidP="00A72A29">
      <w:pPr>
        <w:spacing w:after="0" w:line="276" w:lineRule="auto"/>
        <w:ind w:firstLine="709"/>
        <w:jc w:val="both"/>
        <w:rPr>
          <w:rFonts w:ascii="Arial" w:eastAsia="Calibri" w:hAnsi="Arial" w:cs="Arial"/>
        </w:rPr>
      </w:pPr>
      <w:r w:rsidRPr="00A72A29">
        <w:rPr>
          <w:rFonts w:ascii="Arial" w:eastAsia="Calibri" w:hAnsi="Arial" w:cs="Arial"/>
        </w:rPr>
        <w:t xml:space="preserve">En virtud de lo expuesto, para que un documento con la imagen de una firma sea válido, se deberá determinar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38F339F4" w14:textId="77777777" w:rsidR="00A72A29" w:rsidRPr="00A72A29" w:rsidRDefault="00A72A29" w:rsidP="00A72A29">
      <w:pPr>
        <w:spacing w:after="0" w:line="276" w:lineRule="auto"/>
        <w:ind w:firstLine="709"/>
        <w:jc w:val="both"/>
        <w:rPr>
          <w:rFonts w:ascii="Arial" w:eastAsia="Calibri" w:hAnsi="Arial" w:cs="Arial"/>
        </w:rPr>
      </w:pPr>
    </w:p>
    <w:p w14:paraId="66032B17" w14:textId="77777777" w:rsidR="00A72A29" w:rsidRPr="00A72A29" w:rsidRDefault="00A72A29" w:rsidP="00A72A29">
      <w:pPr>
        <w:spacing w:after="0" w:line="276" w:lineRule="auto"/>
        <w:contextualSpacing/>
        <w:jc w:val="both"/>
        <w:rPr>
          <w:rFonts w:ascii="Arial" w:eastAsia="Times New Roman" w:hAnsi="Arial" w:cs="Arial"/>
          <w:color w:val="000000"/>
          <w:lang w:val="es-ES_tradnl" w:eastAsia="es-ES_tradnl"/>
        </w:rPr>
      </w:pPr>
      <w:r w:rsidRPr="00A72A29">
        <w:rPr>
          <w:rFonts w:ascii="Arial" w:eastAsia="Times New Roman" w:hAnsi="Arial" w:cs="Arial"/>
          <w:color w:val="000000"/>
          <w:lang w:val="es-ES_tradnl" w:eastAsia="es-ES_tradnl"/>
        </w:rPr>
        <w:t xml:space="preserve">Este concepto tiene el alcance previsto en el artículo 28 del Código de Procedimiento Administrativo y de lo Contencioso Administrativo, y las expresiones aquí utilizadas con </w:t>
      </w:r>
      <w:r w:rsidRPr="00A72A29">
        <w:rPr>
          <w:rFonts w:ascii="Arial" w:eastAsia="Times New Roman" w:hAnsi="Arial" w:cs="Arial"/>
          <w:color w:val="000000"/>
          <w:lang w:val="es-ES_tradnl" w:eastAsia="es-ES_tradnl"/>
        </w:rPr>
        <w:lastRenderedPageBreak/>
        <w:t xml:space="preserve">mayúscula inicial deben ser entendidas con el significado que les otorga el artículo </w:t>
      </w:r>
      <w:r w:rsidRPr="00A72A29">
        <w:rPr>
          <w:rFonts w:ascii="Arial" w:hAnsi="Arial" w:cs="Arial"/>
        </w:rPr>
        <w:t>2.2.1.1.1.3.1. del Decreto 1082 de 2015.</w:t>
      </w:r>
    </w:p>
    <w:p w14:paraId="22990F50" w14:textId="77777777" w:rsidR="00A72A29" w:rsidRPr="00A72A29" w:rsidRDefault="00A72A29" w:rsidP="00A72A29">
      <w:pPr>
        <w:spacing w:after="0" w:line="276" w:lineRule="auto"/>
        <w:rPr>
          <w:rFonts w:ascii="Arial" w:eastAsia="Times New Roman" w:hAnsi="Arial" w:cs="Arial"/>
          <w:lang w:eastAsia="es-CO"/>
        </w:rPr>
      </w:pPr>
    </w:p>
    <w:p w14:paraId="64ED3080" w14:textId="77777777" w:rsidR="00A72A29" w:rsidRPr="00A72A29" w:rsidRDefault="00A72A29" w:rsidP="00A72A29">
      <w:pPr>
        <w:spacing w:after="0" w:line="276" w:lineRule="auto"/>
        <w:rPr>
          <w:rFonts w:ascii="Arial" w:eastAsia="Times New Roman" w:hAnsi="Arial" w:cs="Arial"/>
          <w:lang w:eastAsia="es-CO"/>
        </w:rPr>
      </w:pPr>
      <w:r w:rsidRPr="00A72A29">
        <w:rPr>
          <w:rFonts w:ascii="Arial" w:eastAsia="Times New Roman" w:hAnsi="Arial" w:cs="Arial"/>
          <w:lang w:eastAsia="es-CO"/>
        </w:rPr>
        <w:t>Atentamente,</w:t>
      </w:r>
    </w:p>
    <w:p w14:paraId="7A6A806E" w14:textId="77777777" w:rsidR="00A72A29" w:rsidRPr="00A72A29" w:rsidRDefault="00A72A29" w:rsidP="00A72A29">
      <w:pPr>
        <w:spacing w:after="0" w:line="276" w:lineRule="auto"/>
        <w:rPr>
          <w:rFonts w:ascii="Arial" w:eastAsia="Times New Roman" w:hAnsi="Arial" w:cs="Arial"/>
          <w:lang w:eastAsia="es-CO"/>
        </w:rPr>
      </w:pPr>
    </w:p>
    <w:p w14:paraId="62CDE54F" w14:textId="1636B48E" w:rsidR="00A72A29" w:rsidRPr="00A72A29" w:rsidRDefault="003745FA" w:rsidP="00A72A29">
      <w:pPr>
        <w:spacing w:after="0" w:line="276" w:lineRule="auto"/>
        <w:jc w:val="center"/>
        <w:rPr>
          <w:rFonts w:ascii="Arial" w:eastAsia="Times New Roman" w:hAnsi="Arial" w:cs="Arial"/>
          <w:sz w:val="18"/>
          <w:szCs w:val="20"/>
          <w:lang w:eastAsia="es-CO"/>
        </w:rPr>
      </w:pPr>
      <w:r>
        <w:rPr>
          <w:rFonts w:ascii="Arial" w:hAnsi="Arial" w:cs="Arial"/>
          <w:noProof/>
          <w:color w:val="000000"/>
          <w:lang w:val="es-ES_tradnl"/>
        </w:rPr>
        <w:drawing>
          <wp:inline distT="0" distB="0" distL="0" distR="0" wp14:anchorId="4BB970D2" wp14:editId="2429FBD6">
            <wp:extent cx="3057525" cy="1170521"/>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0752" cy="1171756"/>
                    </a:xfrm>
                    <a:prstGeom prst="rect">
                      <a:avLst/>
                    </a:prstGeom>
                    <a:noFill/>
                    <a:ln>
                      <a:noFill/>
                    </a:ln>
                  </pic:spPr>
                </pic:pic>
              </a:graphicData>
            </a:graphic>
          </wp:inline>
        </w:drawing>
      </w:r>
    </w:p>
    <w:p w14:paraId="0FE2F087" w14:textId="77777777" w:rsidR="00A72A29" w:rsidRPr="00A72A29" w:rsidRDefault="00A72A29" w:rsidP="00A72A29">
      <w:pPr>
        <w:spacing w:after="0" w:line="276" w:lineRule="auto"/>
        <w:jc w:val="center"/>
        <w:rPr>
          <w:rFonts w:ascii="Arial" w:eastAsia="Times New Roman" w:hAnsi="Arial" w:cs="Arial"/>
          <w:sz w:val="18"/>
          <w:szCs w:val="20"/>
          <w:lang w:eastAsia="es-CO"/>
        </w:rPr>
      </w:pPr>
    </w:p>
    <w:tbl>
      <w:tblPr>
        <w:tblStyle w:val="Tablaconcuadrcul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5085"/>
      </w:tblGrid>
      <w:tr w:rsidR="00A72A29" w:rsidRPr="00A72A29" w14:paraId="75353828" w14:textId="77777777" w:rsidTr="31564CDB">
        <w:trPr>
          <w:trHeight w:val="139"/>
        </w:trPr>
        <w:tc>
          <w:tcPr>
            <w:tcW w:w="1022" w:type="dxa"/>
            <w:vAlign w:val="center"/>
            <w:hideMark/>
          </w:tcPr>
          <w:p w14:paraId="103222F1" w14:textId="77777777" w:rsidR="00A72A29" w:rsidRPr="00A72A29" w:rsidRDefault="00A72A29" w:rsidP="00A72A29">
            <w:pPr>
              <w:spacing w:line="276" w:lineRule="auto"/>
              <w:jc w:val="both"/>
              <w:rPr>
                <w:rFonts w:ascii="Arial" w:hAnsi="Arial" w:cs="Arial"/>
                <w:color w:val="000000" w:themeColor="text1"/>
                <w:sz w:val="16"/>
                <w:szCs w:val="16"/>
                <w:lang w:val="es-ES_tradnl" w:eastAsia="es-ES"/>
              </w:rPr>
            </w:pPr>
            <w:r w:rsidRPr="00A72A29">
              <w:rPr>
                <w:rFonts w:ascii="Arial" w:hAnsi="Arial" w:cs="Arial"/>
                <w:color w:val="000000" w:themeColor="text1"/>
                <w:sz w:val="16"/>
                <w:szCs w:val="16"/>
                <w:lang w:val="es-ES_tradnl" w:eastAsia="es-ES"/>
              </w:rPr>
              <w:t>Elaboró:</w:t>
            </w:r>
          </w:p>
        </w:tc>
        <w:tc>
          <w:tcPr>
            <w:tcW w:w="5085" w:type="dxa"/>
            <w:tcBorders>
              <w:top w:val="nil"/>
              <w:left w:val="nil"/>
              <w:bottom w:val="dotted" w:sz="4" w:space="0" w:color="7F7F7F" w:themeColor="text1" w:themeTint="80"/>
              <w:right w:val="nil"/>
            </w:tcBorders>
            <w:vAlign w:val="center"/>
            <w:hideMark/>
          </w:tcPr>
          <w:p w14:paraId="6E733E5B" w14:textId="77777777" w:rsidR="00A72A29" w:rsidRPr="00A72A29" w:rsidRDefault="00A72A29" w:rsidP="00A72A29">
            <w:pPr>
              <w:spacing w:line="276" w:lineRule="auto"/>
              <w:jc w:val="both"/>
              <w:rPr>
                <w:rFonts w:ascii="Arial" w:hAnsi="Arial" w:cs="Arial"/>
                <w:color w:val="000000" w:themeColor="text1"/>
                <w:sz w:val="16"/>
                <w:szCs w:val="16"/>
                <w:lang w:val="es-ES_tradnl" w:eastAsia="es-ES"/>
              </w:rPr>
            </w:pPr>
            <w:r w:rsidRPr="00A72A29">
              <w:rPr>
                <w:rFonts w:ascii="Arial" w:hAnsi="Arial" w:cs="Arial"/>
                <w:color w:val="000000" w:themeColor="text1"/>
                <w:sz w:val="16"/>
                <w:szCs w:val="16"/>
                <w:lang w:val="es-ES_tradnl" w:eastAsia="es-ES"/>
              </w:rPr>
              <w:t>Kevin Arlid Herrera Santa</w:t>
            </w:r>
          </w:p>
          <w:p w14:paraId="562C1BD9" w14:textId="77777777" w:rsidR="00A72A29" w:rsidRPr="00A72A29" w:rsidRDefault="00A72A29" w:rsidP="00A72A29">
            <w:pPr>
              <w:spacing w:line="276" w:lineRule="auto"/>
              <w:jc w:val="both"/>
              <w:rPr>
                <w:rFonts w:ascii="Arial" w:hAnsi="Arial" w:cs="Arial"/>
                <w:color w:val="000000" w:themeColor="text1"/>
                <w:sz w:val="16"/>
                <w:szCs w:val="16"/>
                <w:lang w:val="es-ES_tradnl" w:eastAsia="es-ES"/>
              </w:rPr>
            </w:pPr>
            <w:r w:rsidRPr="00A72A29">
              <w:rPr>
                <w:rFonts w:ascii="Arial" w:hAnsi="Arial" w:cs="Arial"/>
                <w:color w:val="000000" w:themeColor="text1"/>
                <w:sz w:val="16"/>
                <w:szCs w:val="16"/>
                <w:lang w:val="es-ES_tradnl" w:eastAsia="es-ES"/>
              </w:rPr>
              <w:t>Contratista de la Subdirección de Gestión Contractual</w:t>
            </w:r>
          </w:p>
        </w:tc>
      </w:tr>
      <w:tr w:rsidR="00A72A29" w:rsidRPr="00A72A29" w14:paraId="5E21678F" w14:textId="77777777" w:rsidTr="31564CDB">
        <w:trPr>
          <w:trHeight w:val="287"/>
        </w:trPr>
        <w:tc>
          <w:tcPr>
            <w:tcW w:w="1022" w:type="dxa"/>
            <w:vAlign w:val="center"/>
            <w:hideMark/>
          </w:tcPr>
          <w:p w14:paraId="15B85F0E" w14:textId="77777777" w:rsidR="00A72A29" w:rsidRPr="00A72A29" w:rsidRDefault="00A72A29" w:rsidP="00A72A29">
            <w:pPr>
              <w:spacing w:line="276" w:lineRule="auto"/>
              <w:jc w:val="both"/>
              <w:rPr>
                <w:rFonts w:ascii="Arial" w:hAnsi="Arial" w:cs="Arial"/>
                <w:color w:val="000000" w:themeColor="text1"/>
                <w:sz w:val="16"/>
                <w:szCs w:val="16"/>
                <w:lang w:val="es-ES_tradnl" w:eastAsia="es-ES"/>
              </w:rPr>
            </w:pPr>
            <w:r w:rsidRPr="00A72A29">
              <w:rPr>
                <w:rFonts w:ascii="Arial" w:hAnsi="Arial" w:cs="Arial"/>
                <w:color w:val="000000" w:themeColor="text1"/>
                <w:sz w:val="16"/>
                <w:szCs w:val="16"/>
                <w:lang w:val="es-ES_tradnl" w:eastAsia="es-ES"/>
              </w:rPr>
              <w:t>Revisó:</w:t>
            </w:r>
          </w:p>
        </w:tc>
        <w:tc>
          <w:tcPr>
            <w:tcW w:w="5085" w:type="dxa"/>
            <w:tcBorders>
              <w:top w:val="dotted" w:sz="4" w:space="0" w:color="7F7F7F" w:themeColor="text1" w:themeTint="80"/>
              <w:left w:val="nil"/>
              <w:bottom w:val="dotted" w:sz="4" w:space="0" w:color="7F7F7F" w:themeColor="text1" w:themeTint="80"/>
              <w:right w:val="nil"/>
            </w:tcBorders>
            <w:vAlign w:val="center"/>
            <w:hideMark/>
          </w:tcPr>
          <w:p w14:paraId="5D234DC3" w14:textId="77777777" w:rsidR="00A72A29" w:rsidRPr="00A72A29" w:rsidRDefault="00A72A29" w:rsidP="00A72A29">
            <w:pPr>
              <w:spacing w:line="276" w:lineRule="auto"/>
              <w:jc w:val="both"/>
              <w:rPr>
                <w:rFonts w:ascii="Arial" w:hAnsi="Arial" w:cs="Arial"/>
                <w:color w:val="000000" w:themeColor="text1"/>
                <w:sz w:val="16"/>
                <w:szCs w:val="16"/>
                <w:lang w:eastAsia="es-ES"/>
              </w:rPr>
            </w:pPr>
            <w:r w:rsidRPr="00A72A29">
              <w:rPr>
                <w:rFonts w:ascii="Arial" w:hAnsi="Arial" w:cs="Arial"/>
                <w:color w:val="000000" w:themeColor="text1"/>
                <w:sz w:val="16"/>
                <w:szCs w:val="16"/>
                <w:lang w:eastAsia="es-ES"/>
              </w:rPr>
              <w:t>Juan David Cárdenas Cabeza</w:t>
            </w:r>
          </w:p>
          <w:p w14:paraId="669EAFD4" w14:textId="05643402" w:rsidR="00A72A29" w:rsidRPr="00A72A29" w:rsidRDefault="00A72A29" w:rsidP="31564CDB">
            <w:pPr>
              <w:spacing w:line="276" w:lineRule="auto"/>
              <w:jc w:val="both"/>
              <w:rPr>
                <w:rFonts w:ascii="Arial" w:hAnsi="Arial" w:cs="Arial"/>
                <w:color w:val="000000" w:themeColor="text1"/>
                <w:sz w:val="16"/>
                <w:szCs w:val="16"/>
                <w:lang w:eastAsia="es-ES"/>
              </w:rPr>
            </w:pPr>
            <w:r w:rsidRPr="31564CDB">
              <w:rPr>
                <w:rFonts w:ascii="Arial" w:hAnsi="Arial" w:cs="Arial"/>
                <w:color w:val="000000" w:themeColor="text1"/>
                <w:sz w:val="16"/>
                <w:szCs w:val="16"/>
                <w:lang w:eastAsia="es-ES"/>
              </w:rPr>
              <w:t>Contratista de la Subdirección de Gestión Contractual</w:t>
            </w:r>
          </w:p>
          <w:p w14:paraId="271AC236" w14:textId="44D4C9F7" w:rsidR="00A72A29" w:rsidRPr="00A72A29" w:rsidRDefault="4C40EA10" w:rsidP="31564CDB">
            <w:pPr>
              <w:spacing w:line="276" w:lineRule="auto"/>
              <w:jc w:val="both"/>
              <w:rPr>
                <w:rFonts w:ascii="Arial" w:hAnsi="Arial" w:cs="Arial"/>
                <w:color w:val="000000" w:themeColor="text1"/>
                <w:sz w:val="16"/>
                <w:szCs w:val="16"/>
                <w:lang w:eastAsia="es-ES"/>
              </w:rPr>
            </w:pPr>
            <w:r w:rsidRPr="31564CDB">
              <w:rPr>
                <w:rFonts w:ascii="Arial" w:hAnsi="Arial" w:cs="Arial"/>
                <w:color w:val="000000" w:themeColor="text1"/>
                <w:sz w:val="16"/>
                <w:szCs w:val="16"/>
                <w:lang w:eastAsia="es-ES"/>
              </w:rPr>
              <w:t>Gabriel Mendoza</w:t>
            </w:r>
          </w:p>
          <w:p w14:paraId="2E6B1C17" w14:textId="56B0A64F" w:rsidR="00A72A29" w:rsidRPr="00A72A29" w:rsidRDefault="4C40EA10" w:rsidP="31564CDB">
            <w:pPr>
              <w:spacing w:line="276" w:lineRule="auto"/>
              <w:jc w:val="both"/>
              <w:rPr>
                <w:rFonts w:ascii="Arial" w:hAnsi="Arial" w:cs="Arial"/>
                <w:color w:val="000000" w:themeColor="text1"/>
                <w:sz w:val="16"/>
                <w:szCs w:val="16"/>
                <w:lang w:eastAsia="es-ES"/>
              </w:rPr>
            </w:pPr>
            <w:r w:rsidRPr="31564CDB">
              <w:rPr>
                <w:rFonts w:ascii="Arial" w:hAnsi="Arial" w:cs="Arial"/>
                <w:color w:val="000000" w:themeColor="text1"/>
                <w:sz w:val="16"/>
                <w:szCs w:val="16"/>
                <w:lang w:eastAsia="es-ES"/>
              </w:rPr>
              <w:t>Contratista de la Subdirección de Gestión Contractual</w:t>
            </w:r>
          </w:p>
        </w:tc>
      </w:tr>
      <w:tr w:rsidR="00A72A29" w:rsidRPr="00A72A29" w14:paraId="00C8C9C1" w14:textId="77777777" w:rsidTr="31564CDB">
        <w:trPr>
          <w:trHeight w:val="261"/>
        </w:trPr>
        <w:tc>
          <w:tcPr>
            <w:tcW w:w="1022" w:type="dxa"/>
            <w:vAlign w:val="center"/>
            <w:hideMark/>
          </w:tcPr>
          <w:p w14:paraId="428EC48C" w14:textId="77777777" w:rsidR="00A72A29" w:rsidRPr="00A72A29" w:rsidRDefault="00A72A29" w:rsidP="00A72A29">
            <w:pPr>
              <w:spacing w:line="276" w:lineRule="auto"/>
              <w:jc w:val="both"/>
              <w:rPr>
                <w:rFonts w:ascii="Arial" w:hAnsi="Arial" w:cs="Arial"/>
                <w:color w:val="000000" w:themeColor="text1"/>
                <w:sz w:val="16"/>
                <w:szCs w:val="16"/>
                <w:lang w:val="es-ES_tradnl" w:eastAsia="es-ES"/>
              </w:rPr>
            </w:pPr>
            <w:r w:rsidRPr="00A72A29">
              <w:rPr>
                <w:rFonts w:ascii="Arial" w:hAnsi="Arial" w:cs="Arial"/>
                <w:color w:val="000000" w:themeColor="text1"/>
                <w:sz w:val="16"/>
                <w:szCs w:val="16"/>
                <w:lang w:val="es-ES_tradnl" w:eastAsia="es-ES"/>
              </w:rPr>
              <w:t>Aprobó:</w:t>
            </w:r>
          </w:p>
        </w:tc>
        <w:tc>
          <w:tcPr>
            <w:tcW w:w="5085" w:type="dxa"/>
            <w:tcBorders>
              <w:top w:val="dotted" w:sz="4" w:space="0" w:color="7F7F7F" w:themeColor="text1" w:themeTint="80"/>
              <w:left w:val="nil"/>
              <w:bottom w:val="dotted" w:sz="4" w:space="0" w:color="7F7F7F" w:themeColor="text1" w:themeTint="80"/>
              <w:right w:val="nil"/>
            </w:tcBorders>
            <w:vAlign w:val="center"/>
            <w:hideMark/>
          </w:tcPr>
          <w:p w14:paraId="7A170267" w14:textId="77777777" w:rsidR="00A72A29" w:rsidRPr="00A72A29" w:rsidRDefault="00A72A29" w:rsidP="00A72A29">
            <w:pPr>
              <w:spacing w:line="276" w:lineRule="auto"/>
              <w:jc w:val="both"/>
              <w:rPr>
                <w:rFonts w:ascii="Arial" w:hAnsi="Arial" w:cs="Arial"/>
                <w:sz w:val="16"/>
                <w:szCs w:val="16"/>
              </w:rPr>
            </w:pPr>
            <w:r w:rsidRPr="00A72A29">
              <w:rPr>
                <w:rFonts w:ascii="Arial" w:hAnsi="Arial" w:cs="Arial"/>
                <w:color w:val="000000"/>
                <w:sz w:val="16"/>
                <w:szCs w:val="16"/>
              </w:rPr>
              <w:t>Nohelia del Carmen Zawady Palacio</w:t>
            </w:r>
          </w:p>
          <w:p w14:paraId="5FC41790" w14:textId="7DD0D904" w:rsidR="00A72A29" w:rsidRPr="00A72A29" w:rsidRDefault="00A72A29" w:rsidP="00A72A29">
            <w:pPr>
              <w:spacing w:line="276" w:lineRule="auto"/>
              <w:jc w:val="both"/>
              <w:rPr>
                <w:rFonts w:ascii="Arial" w:hAnsi="Arial" w:cs="Arial"/>
                <w:color w:val="000000"/>
                <w:sz w:val="16"/>
                <w:szCs w:val="16"/>
              </w:rPr>
            </w:pPr>
            <w:r w:rsidRPr="1E19E00C">
              <w:rPr>
                <w:rFonts w:ascii="Arial" w:hAnsi="Arial" w:cs="Arial"/>
                <w:color w:val="000000" w:themeColor="text1"/>
                <w:sz w:val="16"/>
                <w:szCs w:val="16"/>
              </w:rPr>
              <w:t xml:space="preserve">Subdirectora de Gestión Contractual </w:t>
            </w:r>
            <w:r w:rsidR="7FABBD02" w:rsidRPr="1E19E00C">
              <w:rPr>
                <w:rFonts w:ascii="Arial" w:hAnsi="Arial" w:cs="Arial"/>
                <w:color w:val="000000" w:themeColor="text1"/>
                <w:sz w:val="16"/>
                <w:szCs w:val="16"/>
              </w:rPr>
              <w:t>ANCP – CCE</w:t>
            </w:r>
          </w:p>
        </w:tc>
      </w:tr>
    </w:tbl>
    <w:p w14:paraId="31F0ADCE" w14:textId="77777777" w:rsidR="00A72A29" w:rsidRPr="00A72A29" w:rsidRDefault="00A72A29" w:rsidP="00A72A29">
      <w:pPr>
        <w:rPr>
          <w:lang w:val="es-MX"/>
        </w:rPr>
      </w:pPr>
    </w:p>
    <w:p w14:paraId="2B16A3E9" w14:textId="7948969E" w:rsidR="00322A85" w:rsidRPr="00322A85" w:rsidRDefault="00322A85" w:rsidP="00AB02C6">
      <w:pPr>
        <w:spacing w:after="0" w:line="240" w:lineRule="auto"/>
        <w:jc w:val="both"/>
        <w:textAlignment w:val="baseline"/>
        <w:rPr>
          <w:rFonts w:ascii="Century Gothic" w:eastAsia="Times New Roman" w:hAnsi="Century Gothic" w:cs="Segoe UI"/>
          <w:color w:val="000000"/>
          <w:sz w:val="18"/>
          <w:szCs w:val="18"/>
          <w:lang w:eastAsia="es-CO"/>
        </w:rPr>
      </w:pPr>
    </w:p>
    <w:p w14:paraId="1E9AF1F8" w14:textId="77777777" w:rsidR="00322A85" w:rsidRPr="00322A85" w:rsidRDefault="00322A85" w:rsidP="00322A85">
      <w:pPr>
        <w:spacing w:after="0" w:line="240" w:lineRule="auto"/>
        <w:jc w:val="both"/>
        <w:textAlignment w:val="baseline"/>
        <w:rPr>
          <w:rFonts w:ascii="Century Gothic" w:eastAsia="Times New Roman" w:hAnsi="Century Gothic" w:cs="Segoe UI"/>
          <w:sz w:val="18"/>
          <w:szCs w:val="18"/>
          <w:lang w:eastAsia="es-CO"/>
        </w:rPr>
      </w:pPr>
      <w:r w:rsidRPr="00322A85">
        <w:rPr>
          <w:rFonts w:ascii="Century Gothic" w:eastAsia="Times New Roman" w:hAnsi="Century Gothic" w:cs="Segoe UI"/>
          <w:lang w:eastAsia="es-CO"/>
        </w:rPr>
        <w:t> </w:t>
      </w:r>
    </w:p>
    <w:p w14:paraId="39418625" w14:textId="77777777" w:rsidR="00322A85" w:rsidRPr="00322A85" w:rsidRDefault="00322A85" w:rsidP="00322A85">
      <w:pPr>
        <w:spacing w:after="0" w:line="240" w:lineRule="auto"/>
        <w:jc w:val="both"/>
        <w:textAlignment w:val="baseline"/>
        <w:rPr>
          <w:rFonts w:ascii="Century Gothic" w:eastAsia="Times New Roman" w:hAnsi="Century Gothic" w:cs="Segoe UI"/>
          <w:sz w:val="18"/>
          <w:szCs w:val="18"/>
          <w:lang w:eastAsia="es-CO"/>
        </w:rPr>
      </w:pPr>
      <w:r w:rsidRPr="00322A85">
        <w:rPr>
          <w:rFonts w:ascii="Century Gothic" w:eastAsia="Times New Roman" w:hAnsi="Century Gothic" w:cs="Segoe UI"/>
          <w:lang w:eastAsia="es-CO"/>
        </w:rPr>
        <w:t> </w:t>
      </w:r>
    </w:p>
    <w:p w14:paraId="21C4051F" w14:textId="77777777" w:rsidR="00322A85" w:rsidRPr="00322A85" w:rsidRDefault="00322A85" w:rsidP="00322A85">
      <w:pPr>
        <w:spacing w:after="0" w:line="240" w:lineRule="auto"/>
        <w:jc w:val="both"/>
        <w:textAlignment w:val="baseline"/>
        <w:rPr>
          <w:rFonts w:ascii="Century Gothic" w:eastAsia="Times New Roman" w:hAnsi="Century Gothic" w:cs="Segoe UI"/>
          <w:sz w:val="18"/>
          <w:szCs w:val="18"/>
          <w:lang w:eastAsia="es-CO"/>
        </w:rPr>
      </w:pPr>
      <w:r w:rsidRPr="00322A85">
        <w:rPr>
          <w:rFonts w:ascii="Century Gothic" w:eastAsia="Times New Roman" w:hAnsi="Century Gothic" w:cs="Segoe UI"/>
          <w:lang w:eastAsia="es-CO"/>
        </w:rPr>
        <w:t> </w:t>
      </w:r>
    </w:p>
    <w:p w14:paraId="78053B45" w14:textId="77777777" w:rsidR="00322A85" w:rsidRPr="00322A85" w:rsidRDefault="00322A85" w:rsidP="00322A85">
      <w:pPr>
        <w:spacing w:after="0" w:line="240" w:lineRule="auto"/>
        <w:jc w:val="both"/>
        <w:textAlignment w:val="baseline"/>
        <w:rPr>
          <w:rFonts w:ascii="Century Gothic" w:eastAsia="Times New Roman" w:hAnsi="Century Gothic" w:cs="Segoe UI"/>
          <w:sz w:val="18"/>
          <w:szCs w:val="18"/>
          <w:lang w:eastAsia="es-CO"/>
        </w:rPr>
      </w:pPr>
      <w:r w:rsidRPr="00322A85">
        <w:rPr>
          <w:rFonts w:ascii="Century Gothic" w:eastAsia="Times New Roman" w:hAnsi="Century Gothic" w:cs="Segoe UI"/>
          <w:lang w:eastAsia="es-CO"/>
        </w:rPr>
        <w:t>  </w:t>
      </w:r>
    </w:p>
    <w:p w14:paraId="0F293BF4" w14:textId="7BBFAB11" w:rsidR="00127233" w:rsidRPr="00322A85" w:rsidRDefault="00127233" w:rsidP="00665D70">
      <w:pPr>
        <w:spacing w:after="0"/>
        <w:jc w:val="both"/>
        <w:rPr>
          <w:rFonts w:ascii="Century Gothic" w:hAnsi="Century Gothic"/>
        </w:rPr>
      </w:pPr>
    </w:p>
    <w:sectPr w:rsidR="00127233" w:rsidRPr="00322A85" w:rsidSect="002E4FD9">
      <w:headerReference w:type="default" r:id="rId13"/>
      <w:footerReference w:type="default" r:id="rId14"/>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DDF39" w14:textId="77777777" w:rsidR="007845D3" w:rsidRDefault="007845D3" w:rsidP="004A1847">
      <w:pPr>
        <w:spacing w:after="0" w:line="240" w:lineRule="auto"/>
      </w:pPr>
      <w:r>
        <w:separator/>
      </w:r>
    </w:p>
  </w:endnote>
  <w:endnote w:type="continuationSeparator" w:id="0">
    <w:p w14:paraId="0E244605" w14:textId="77777777" w:rsidR="007845D3" w:rsidRDefault="007845D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5408"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56C74A82" w:rsidR="00322A85" w:rsidRPr="003F3941" w:rsidRDefault="003F3941" w:rsidP="00322A85">
          <w:pPr>
            <w:pStyle w:val="Piedepgina"/>
            <w:jc w:val="center"/>
            <w:rPr>
              <w:rFonts w:ascii="Century Gothic" w:hAnsi="Century Gothic"/>
              <w:sz w:val="16"/>
              <w:szCs w:val="16"/>
            </w:rPr>
          </w:pPr>
          <w:r w:rsidRPr="003F3941">
            <w:rPr>
              <w:rFonts w:ascii="Century Gothic" w:hAnsi="Century Gothic"/>
              <w:sz w:val="16"/>
              <w:szCs w:val="16"/>
            </w:rPr>
            <w:t>VERSIÓN: 0</w:t>
          </w:r>
          <w:r w:rsidR="00322A85">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415501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061B2A">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F4E4C24"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2E4FD9">
            <w:rPr>
              <w:rFonts w:ascii="Century Gothic" w:hAnsi="Century Gothic"/>
              <w:sz w:val="16"/>
              <w:szCs w:val="16"/>
            </w:rPr>
            <w:t>31</w:t>
          </w:r>
          <w:r w:rsidRPr="003F3941">
            <w:rPr>
              <w:rFonts w:ascii="Century Gothic" w:hAnsi="Century Gothic"/>
              <w:sz w:val="16"/>
              <w:szCs w:val="16"/>
            </w:rPr>
            <w:t xml:space="preserve"> DE </w:t>
          </w:r>
          <w:r w:rsidR="00322A85">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9E7C8" w14:textId="77777777" w:rsidR="007845D3" w:rsidRDefault="007845D3" w:rsidP="004A1847">
      <w:pPr>
        <w:spacing w:after="0" w:line="240" w:lineRule="auto"/>
      </w:pPr>
      <w:r>
        <w:separator/>
      </w:r>
    </w:p>
  </w:footnote>
  <w:footnote w:type="continuationSeparator" w:id="0">
    <w:p w14:paraId="73573C87" w14:textId="77777777" w:rsidR="007845D3" w:rsidRDefault="007845D3" w:rsidP="004A1847">
      <w:pPr>
        <w:spacing w:after="0" w:line="240" w:lineRule="auto"/>
      </w:pPr>
      <w:r>
        <w:continuationSeparator/>
      </w:r>
    </w:p>
  </w:footnote>
  <w:footnote w:id="1">
    <w:p w14:paraId="0CE4D798" w14:textId="77777777" w:rsidR="00A72A29" w:rsidRPr="002B523B" w:rsidRDefault="00A72A29" w:rsidP="00A72A29">
      <w:pPr>
        <w:pStyle w:val="Textonotapie"/>
        <w:ind w:firstLine="708"/>
        <w:jc w:val="both"/>
        <w:rPr>
          <w:rFonts w:ascii="Arial" w:hAnsi="Arial" w:cs="Arial"/>
          <w:sz w:val="18"/>
          <w:szCs w:val="18"/>
        </w:rPr>
      </w:pPr>
      <w:r w:rsidRPr="002B523B">
        <w:rPr>
          <w:rStyle w:val="Refdenotaalpie"/>
          <w:rFonts w:ascii="Arial" w:hAnsi="Arial" w:cs="Arial"/>
          <w:sz w:val="18"/>
          <w:szCs w:val="18"/>
        </w:rPr>
        <w:footnoteRef/>
      </w:r>
      <w:r w:rsidRPr="002B523B">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2B523B">
        <w:rPr>
          <w:rFonts w:ascii="Arial" w:hAnsi="Arial" w:cs="Arial"/>
          <w:i/>
          <w:iCs/>
          <w:sz w:val="18"/>
          <w:szCs w:val="18"/>
        </w:rPr>
        <w:t xml:space="preserve">ibidem </w:t>
      </w:r>
      <w:r w:rsidRPr="002B523B">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422F8A3B" w14:textId="77777777" w:rsidR="00A72A29" w:rsidRPr="002B523B" w:rsidRDefault="00A72A29" w:rsidP="00A72A29">
      <w:pPr>
        <w:pStyle w:val="Textonotapie"/>
        <w:ind w:firstLine="708"/>
        <w:rPr>
          <w:rFonts w:ascii="Arial" w:hAnsi="Arial" w:cs="Arial"/>
          <w:sz w:val="16"/>
          <w:szCs w:val="16"/>
          <w:lang w:val="es-ES"/>
        </w:rPr>
      </w:pPr>
      <w:r w:rsidRPr="002B523B">
        <w:rPr>
          <w:rStyle w:val="Refdenotaalpie"/>
          <w:rFonts w:ascii="Arial" w:hAnsi="Arial" w:cs="Arial"/>
          <w:sz w:val="16"/>
          <w:szCs w:val="16"/>
        </w:rPr>
        <w:footnoteRef/>
      </w:r>
      <w:r w:rsidRPr="002B523B">
        <w:rPr>
          <w:rFonts w:ascii="Arial" w:hAnsi="Arial" w:cs="Arial"/>
          <w:sz w:val="16"/>
          <w:szCs w:val="16"/>
        </w:rPr>
        <w:t xml:space="preserve"> </w:t>
      </w:r>
      <w:r w:rsidRPr="002B523B">
        <w:rPr>
          <w:rFonts w:ascii="Arial" w:hAnsi="Arial" w:cs="Arial"/>
          <w:sz w:val="16"/>
          <w:szCs w:val="16"/>
          <w:lang w:val="es-ES"/>
        </w:rPr>
        <w:t>REMOLINA, Nelson y PEÑA, Lisandro De los títulos valores y de los valores en el contexto digital. Bogotá: Temis, 2011. p. 120.</w:t>
      </w:r>
    </w:p>
    <w:p w14:paraId="34D6D320" w14:textId="77777777" w:rsidR="00A72A29" w:rsidRPr="002B523B" w:rsidRDefault="00A72A29" w:rsidP="00A72A29">
      <w:pPr>
        <w:pStyle w:val="Textonotapie"/>
        <w:ind w:firstLine="708"/>
        <w:rPr>
          <w:rFonts w:ascii="Arial" w:hAnsi="Arial" w:cs="Arial"/>
          <w:sz w:val="16"/>
          <w:szCs w:val="16"/>
          <w:lang w:val="es-ES"/>
        </w:rPr>
      </w:pPr>
    </w:p>
  </w:footnote>
  <w:footnote w:id="3">
    <w:p w14:paraId="306E365D" w14:textId="77777777" w:rsidR="00A72A29" w:rsidRPr="002B523B" w:rsidRDefault="00A72A29" w:rsidP="00A72A29">
      <w:pPr>
        <w:pStyle w:val="Textonotapie"/>
        <w:ind w:firstLine="708"/>
        <w:jc w:val="both"/>
        <w:rPr>
          <w:rFonts w:ascii="Arial" w:hAnsi="Arial" w:cs="Arial"/>
          <w:sz w:val="16"/>
          <w:szCs w:val="16"/>
        </w:rPr>
      </w:pPr>
      <w:r w:rsidRPr="002B523B">
        <w:rPr>
          <w:rStyle w:val="Refdenotaalpie"/>
          <w:rFonts w:ascii="Arial" w:hAnsi="Arial" w:cs="Arial"/>
          <w:sz w:val="16"/>
          <w:szCs w:val="16"/>
        </w:rPr>
        <w:footnoteRef/>
      </w:r>
      <w:r w:rsidRPr="002B523B">
        <w:rPr>
          <w:rFonts w:ascii="Arial" w:hAnsi="Arial" w:cs="Arial"/>
          <w:sz w:val="16"/>
          <w:szCs w:val="16"/>
        </w:rPr>
        <w:t xml:space="preserve"> 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0F28490F" w14:textId="77777777" w:rsidR="00A72A29" w:rsidRPr="002B523B" w:rsidRDefault="00A72A29" w:rsidP="00A72A29">
      <w:pPr>
        <w:pStyle w:val="Textonotapie"/>
        <w:ind w:firstLine="708"/>
        <w:jc w:val="both"/>
        <w:rPr>
          <w:rFonts w:ascii="Arial" w:hAnsi="Arial" w:cs="Arial"/>
          <w:sz w:val="16"/>
          <w:szCs w:val="16"/>
        </w:rPr>
      </w:pPr>
    </w:p>
  </w:footnote>
  <w:footnote w:id="4">
    <w:p w14:paraId="17876B91" w14:textId="77777777" w:rsidR="00A72A29" w:rsidRPr="002B523B" w:rsidRDefault="00A72A29" w:rsidP="00A72A29">
      <w:pPr>
        <w:pStyle w:val="Textonotapie"/>
        <w:ind w:firstLine="708"/>
        <w:jc w:val="both"/>
        <w:rPr>
          <w:rFonts w:ascii="Arial" w:hAnsi="Arial" w:cs="Arial"/>
          <w:sz w:val="16"/>
          <w:szCs w:val="16"/>
        </w:rPr>
      </w:pPr>
      <w:r w:rsidRPr="002B523B">
        <w:rPr>
          <w:rStyle w:val="Refdenotaalpie"/>
          <w:rFonts w:ascii="Arial" w:hAnsi="Arial" w:cs="Arial"/>
          <w:sz w:val="16"/>
          <w:szCs w:val="16"/>
        </w:rPr>
        <w:footnoteRef/>
      </w:r>
      <w:r w:rsidRPr="002B523B">
        <w:rPr>
          <w:rFonts w:ascii="Arial" w:hAnsi="Arial" w:cs="Arial"/>
          <w:sz w:val="16"/>
          <w:szCs w:val="16"/>
        </w:rPr>
        <w:t xml:space="preserve"> Ley 527 de 1999: “</w:t>
      </w:r>
      <w:hyperlink r:id="rId1" w:anchor="vid/438970057/node/30" w:history="1">
        <w:r w:rsidRPr="002B523B">
          <w:rPr>
            <w:rFonts w:ascii="Arial" w:hAnsi="Arial" w:cs="Arial"/>
            <w:sz w:val="16"/>
            <w:szCs w:val="16"/>
          </w:rPr>
          <w:t>Artículo 30. Actividades de las entidades de certificación.</w:t>
        </w:r>
      </w:hyperlink>
      <w:r w:rsidRPr="002B523B">
        <w:rPr>
          <w:rFonts w:ascii="Arial" w:hAnsi="Arial"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5">
    <w:p w14:paraId="4136461C" w14:textId="77777777" w:rsidR="00A72A29" w:rsidRPr="002B523B" w:rsidRDefault="00A72A29" w:rsidP="00A72A29">
      <w:pPr>
        <w:pStyle w:val="Textonotapie"/>
        <w:ind w:firstLine="708"/>
        <w:jc w:val="both"/>
        <w:rPr>
          <w:rFonts w:ascii="Arial" w:hAnsi="Arial" w:cs="Arial"/>
          <w:sz w:val="16"/>
          <w:szCs w:val="16"/>
        </w:rPr>
      </w:pPr>
      <w:r w:rsidRPr="002B523B">
        <w:rPr>
          <w:rStyle w:val="Refdenotaalpie"/>
          <w:rFonts w:ascii="Arial" w:hAnsi="Arial" w:cs="Arial"/>
          <w:sz w:val="16"/>
          <w:szCs w:val="16"/>
        </w:rPr>
        <w:footnoteRef/>
      </w:r>
      <w:r w:rsidRPr="002B523B">
        <w:rPr>
          <w:rFonts w:ascii="Arial" w:hAnsi="Arial" w:cs="Arial"/>
          <w:sz w:val="16"/>
          <w:szCs w:val="16"/>
        </w:rPr>
        <w:t xml:space="preserve"> En concordancia, el artículo 246 de la Ley 1564 de 2012 dispone que “Las copias tendrán el mismo valor probatorio del original, salvo cuando por disposición legal sea necesaria la presentación del original o de una determinada copia. </w:t>
      </w:r>
    </w:p>
    <w:p w14:paraId="5A2C6EFF" w14:textId="1AADAFD2" w:rsidR="00A72A29" w:rsidRPr="002B523B" w:rsidRDefault="00A72A29" w:rsidP="00A72A29">
      <w:pPr>
        <w:pStyle w:val="Textonotapie"/>
        <w:ind w:firstLine="708"/>
        <w:jc w:val="both"/>
        <w:rPr>
          <w:rFonts w:ascii="Arial" w:hAnsi="Arial" w:cs="Arial"/>
          <w:sz w:val="16"/>
          <w:szCs w:val="16"/>
        </w:rPr>
      </w:pPr>
      <w:r w:rsidRPr="002B523B">
        <w:rPr>
          <w:rFonts w:ascii="Arial" w:hAnsi="Arial"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9264"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67456"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61312"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D6F55FC"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061B2A">
      <w:rPr>
        <w:rFonts w:ascii="Century Gothic" w:eastAsia="Geo" w:hAnsi="Century Gothic" w:cs="Geo"/>
        <w:bCs/>
        <w:color w:val="000000"/>
        <w:sz w:val="16"/>
        <w:szCs w:val="16"/>
        <w:lang w:eastAsia="es-CO"/>
      </w:rPr>
      <w:t>7</w:t>
    </w:r>
  </w:p>
  <w:p w14:paraId="5E18350A" w14:textId="39FD735C"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322A85">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sidR="002E4FD9">
      <w:rPr>
        <w:rFonts w:ascii="Century Gothic" w:eastAsia="Geo" w:hAnsi="Century Gothic" w:cs="Geo"/>
        <w:sz w:val="16"/>
        <w:szCs w:val="16"/>
        <w:lang w:eastAsia="es-CO"/>
      </w:rPr>
      <w:t>31</w:t>
    </w:r>
    <w:r w:rsidR="00CB6357">
      <w:rPr>
        <w:rFonts w:ascii="Century Gothic" w:eastAsia="Geo" w:hAnsi="Century Gothic" w:cs="Geo"/>
        <w:sz w:val="16"/>
        <w:szCs w:val="16"/>
        <w:lang w:eastAsia="es-CO"/>
      </w:rPr>
      <w:t xml:space="preserve"> </w:t>
    </w:r>
    <w:r w:rsidRPr="004A305D">
      <w:rPr>
        <w:rFonts w:ascii="Century Gothic" w:eastAsia="Geo" w:hAnsi="Century Gothic" w:cs="Geo"/>
        <w:sz w:val="16"/>
        <w:szCs w:val="16"/>
        <w:lang w:eastAsia="es-CO"/>
      </w:rPr>
      <w:t xml:space="preserve">DE </w:t>
    </w:r>
    <w:r w:rsidR="00322A85">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1B13"/>
      </v:shape>
    </w:pict>
  </w:numPicBullet>
  <w:abstractNum w:abstractNumId="0" w15:restartNumberingAfterBreak="0">
    <w:nsid w:val="0075455F"/>
    <w:multiLevelType w:val="multilevel"/>
    <w:tmpl w:val="97C0510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4991905">
    <w:abstractNumId w:val="6"/>
  </w:num>
  <w:num w:numId="2" w16cid:durableId="1632518781">
    <w:abstractNumId w:val="2"/>
  </w:num>
  <w:num w:numId="3" w16cid:durableId="2031368858">
    <w:abstractNumId w:val="4"/>
  </w:num>
  <w:num w:numId="4" w16cid:durableId="19076876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89434493">
    <w:abstractNumId w:val="2"/>
  </w:num>
  <w:num w:numId="6" w16cid:durableId="2132891858">
    <w:abstractNumId w:val="12"/>
  </w:num>
  <w:num w:numId="7" w16cid:durableId="1067802295">
    <w:abstractNumId w:val="5"/>
  </w:num>
  <w:num w:numId="8" w16cid:durableId="216666493">
    <w:abstractNumId w:val="11"/>
  </w:num>
  <w:num w:numId="9" w16cid:durableId="1456945264">
    <w:abstractNumId w:val="7"/>
  </w:num>
  <w:num w:numId="10" w16cid:durableId="1085414516">
    <w:abstractNumId w:val="10"/>
  </w:num>
  <w:num w:numId="11" w16cid:durableId="924725730">
    <w:abstractNumId w:val="8"/>
  </w:num>
  <w:num w:numId="12" w16cid:durableId="1960406392">
    <w:abstractNumId w:val="1"/>
  </w:num>
  <w:num w:numId="13" w16cid:durableId="300887045">
    <w:abstractNumId w:val="3"/>
  </w:num>
  <w:num w:numId="14" w16cid:durableId="1739353333">
    <w:abstractNumId w:val="13"/>
  </w:num>
  <w:num w:numId="15" w16cid:durableId="936526939">
    <w:abstractNumId w:val="9"/>
  </w:num>
  <w:num w:numId="16" w16cid:durableId="1771849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E30"/>
    <w:rsid w:val="00061B2A"/>
    <w:rsid w:val="00061BDD"/>
    <w:rsid w:val="00082362"/>
    <w:rsid w:val="000A683E"/>
    <w:rsid w:val="000B19B9"/>
    <w:rsid w:val="000D0334"/>
    <w:rsid w:val="000F6486"/>
    <w:rsid w:val="00125105"/>
    <w:rsid w:val="00127233"/>
    <w:rsid w:val="00147B60"/>
    <w:rsid w:val="001E4177"/>
    <w:rsid w:val="001F7DC6"/>
    <w:rsid w:val="00200749"/>
    <w:rsid w:val="002421BB"/>
    <w:rsid w:val="002707A2"/>
    <w:rsid w:val="002951A0"/>
    <w:rsid w:val="002962BC"/>
    <w:rsid w:val="002A093D"/>
    <w:rsid w:val="002A0DD0"/>
    <w:rsid w:val="002A49AC"/>
    <w:rsid w:val="002A64FD"/>
    <w:rsid w:val="002C7A84"/>
    <w:rsid w:val="002E4FD9"/>
    <w:rsid w:val="00322A85"/>
    <w:rsid w:val="003379A5"/>
    <w:rsid w:val="003448F4"/>
    <w:rsid w:val="003745FA"/>
    <w:rsid w:val="00374F5E"/>
    <w:rsid w:val="00377E3E"/>
    <w:rsid w:val="003A779E"/>
    <w:rsid w:val="003D0F4D"/>
    <w:rsid w:val="003D5B0D"/>
    <w:rsid w:val="003E0499"/>
    <w:rsid w:val="003E1F8D"/>
    <w:rsid w:val="003F3941"/>
    <w:rsid w:val="00406575"/>
    <w:rsid w:val="0042722E"/>
    <w:rsid w:val="004A1847"/>
    <w:rsid w:val="004A305D"/>
    <w:rsid w:val="004F21C4"/>
    <w:rsid w:val="004F685F"/>
    <w:rsid w:val="00512CC1"/>
    <w:rsid w:val="005566E8"/>
    <w:rsid w:val="00574867"/>
    <w:rsid w:val="00591460"/>
    <w:rsid w:val="005A2340"/>
    <w:rsid w:val="005C3777"/>
    <w:rsid w:val="005C5CDC"/>
    <w:rsid w:val="005D476C"/>
    <w:rsid w:val="006219F8"/>
    <w:rsid w:val="00665D70"/>
    <w:rsid w:val="006900D9"/>
    <w:rsid w:val="00706C16"/>
    <w:rsid w:val="00756841"/>
    <w:rsid w:val="007649AB"/>
    <w:rsid w:val="00771D0C"/>
    <w:rsid w:val="007833AC"/>
    <w:rsid w:val="007845D3"/>
    <w:rsid w:val="007B268C"/>
    <w:rsid w:val="007B7171"/>
    <w:rsid w:val="007C3DC2"/>
    <w:rsid w:val="007E5497"/>
    <w:rsid w:val="00806F5F"/>
    <w:rsid w:val="00820278"/>
    <w:rsid w:val="008843B6"/>
    <w:rsid w:val="00891928"/>
    <w:rsid w:val="008A446D"/>
    <w:rsid w:val="008D180B"/>
    <w:rsid w:val="008F0EA7"/>
    <w:rsid w:val="00923EEF"/>
    <w:rsid w:val="009419F9"/>
    <w:rsid w:val="00961B09"/>
    <w:rsid w:val="00965334"/>
    <w:rsid w:val="0097093E"/>
    <w:rsid w:val="009A6976"/>
    <w:rsid w:val="009C71FA"/>
    <w:rsid w:val="009C72E7"/>
    <w:rsid w:val="009F3A13"/>
    <w:rsid w:val="00A122D3"/>
    <w:rsid w:val="00A17F13"/>
    <w:rsid w:val="00A20739"/>
    <w:rsid w:val="00A33C78"/>
    <w:rsid w:val="00A72A29"/>
    <w:rsid w:val="00AB02C6"/>
    <w:rsid w:val="00AB0ADB"/>
    <w:rsid w:val="00B72CD3"/>
    <w:rsid w:val="00B72FFF"/>
    <w:rsid w:val="00BC3D36"/>
    <w:rsid w:val="00BD7F72"/>
    <w:rsid w:val="00C04FB3"/>
    <w:rsid w:val="00C330EB"/>
    <w:rsid w:val="00C6234A"/>
    <w:rsid w:val="00C633A0"/>
    <w:rsid w:val="00C754BE"/>
    <w:rsid w:val="00C76B1C"/>
    <w:rsid w:val="00CB6357"/>
    <w:rsid w:val="00CC1B26"/>
    <w:rsid w:val="00D423A2"/>
    <w:rsid w:val="00D51CE5"/>
    <w:rsid w:val="00D63AC2"/>
    <w:rsid w:val="00D7383B"/>
    <w:rsid w:val="00D86802"/>
    <w:rsid w:val="00DA231B"/>
    <w:rsid w:val="00DF5254"/>
    <w:rsid w:val="00E16408"/>
    <w:rsid w:val="00E20894"/>
    <w:rsid w:val="00E245AB"/>
    <w:rsid w:val="00E2764C"/>
    <w:rsid w:val="00E27F2E"/>
    <w:rsid w:val="00E50AFE"/>
    <w:rsid w:val="00E771DC"/>
    <w:rsid w:val="00E8772A"/>
    <w:rsid w:val="00E90F6B"/>
    <w:rsid w:val="00E92C27"/>
    <w:rsid w:val="00E97D30"/>
    <w:rsid w:val="00EA0E3D"/>
    <w:rsid w:val="00EE1AA8"/>
    <w:rsid w:val="00F31EDC"/>
    <w:rsid w:val="00F462B3"/>
    <w:rsid w:val="00F5664F"/>
    <w:rsid w:val="00F666C4"/>
    <w:rsid w:val="00F76AFC"/>
    <w:rsid w:val="00FA6627"/>
    <w:rsid w:val="00FB5DD1"/>
    <w:rsid w:val="00FC2B5D"/>
    <w:rsid w:val="00FF1449"/>
    <w:rsid w:val="1E19E00C"/>
    <w:rsid w:val="31564CDB"/>
    <w:rsid w:val="4C40EA10"/>
    <w:rsid w:val="7FABBD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72A29"/>
    <w:pPr>
      <w:spacing w:line="240" w:lineRule="exact"/>
      <w:jc w:val="both"/>
    </w:pPr>
    <w:rPr>
      <w:vertAlign w:val="superscript"/>
    </w:rPr>
  </w:style>
  <w:style w:type="table" w:customStyle="1" w:styleId="Tablaconcuadrcula1">
    <w:name w:val="Tabla con cuadrícula1"/>
    <w:basedOn w:val="Tablanormal"/>
    <w:next w:val="Tablaconcuadrcula"/>
    <w:uiPriority w:val="39"/>
    <w:rsid w:val="00A72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qFormat/>
    <w:rsid w:val="00A72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ajairacohe@hotmail.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Kevin Arlid Herrera Santa</DisplayName>
        <AccountId>221</AccountId>
        <AccountType/>
      </UserInfo>
      <UserInfo>
        <DisplayName>Juan David Cárdenas Cabeza</DisplayName>
        <AccountId>659</AccountId>
        <AccountType/>
      </UserInfo>
      <UserInfo>
        <DisplayName>Nohelia Del Carmen Zawady Palacio</DisplayName>
        <AccountId>289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schemas.microsoft.com/office/2006/documentManagement/types"/>
    <ds:schemaRef ds:uri="http://schemas.microsoft.com/office/infopath/2007/PartnerControls"/>
    <ds:schemaRef ds:uri="http://www.w3.org/XML/1998/namespace"/>
    <ds:schemaRef ds:uri="http://purl.org/dc/elements/1.1/"/>
    <ds:schemaRef ds:uri="http://schemas.openxmlformats.org/package/2006/metadata/core-properties"/>
    <ds:schemaRef ds:uri="http://schemas.microsoft.com/office/2006/metadata/properties"/>
    <ds:schemaRef ds:uri="8ae15d26-076e-464e-81a7-6f76a0fb3917"/>
    <ds:schemaRef ds:uri="03192bf5-533c-4092-b85d-ca07e08abf8d"/>
    <ds:schemaRef ds:uri="http://purl.org/dc/terms/"/>
  </ds:schemaRefs>
</ds:datastoreItem>
</file>

<file path=customXml/itemProps3.xml><?xml version="1.0" encoding="utf-8"?>
<ds:datastoreItem xmlns:ds="http://schemas.openxmlformats.org/officeDocument/2006/customXml" ds:itemID="{1AB02E77-198C-42BD-8CC4-A8573E63ED46}"/>
</file>

<file path=docProps/app.xml><?xml version="1.0" encoding="utf-8"?>
<Properties xmlns="http://schemas.openxmlformats.org/officeDocument/2006/extended-properties" xmlns:vt="http://schemas.openxmlformats.org/officeDocument/2006/docPropsVTypes">
  <Template>Normal</Template>
  <TotalTime>4</TotalTime>
  <Pages>10</Pages>
  <Words>3945</Words>
  <Characters>21701</Characters>
  <Application>Microsoft Office Word</Application>
  <DocSecurity>0</DocSecurity>
  <Lines>180</Lines>
  <Paragraphs>51</Paragraphs>
  <ScaleCrop>false</ScaleCrop>
  <Company/>
  <LinksUpToDate>false</LinksUpToDate>
  <CharactersWithSpaces>25595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2023-11-20T21:39:00Z</dcterms:created>
  <dcterms:modified xsi:type="dcterms:W3CDTF">2023-11-20T21:42:00Z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