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BCB18" w14:textId="77777777" w:rsidR="005B2815" w:rsidRDefault="005B2815" w:rsidP="005B2815">
      <w:pPr>
        <w:spacing w:after="0"/>
        <w:rPr>
          <w:rFonts w:ascii="Century Gothic" w:eastAsia="Geomanist Light" w:hAnsi="Century Gothic" w:cs="Arial"/>
          <w:color w:val="000000" w:themeColor="text1"/>
          <w:lang w:val="es-MX"/>
        </w:rPr>
      </w:pPr>
      <w:bookmarkStart w:id="0" w:name="_Hlk94281581"/>
      <w:bookmarkStart w:id="1" w:name="_Hlk102489058"/>
      <w:bookmarkStart w:id="2" w:name="_Hlk34951122"/>
    </w:p>
    <w:p w14:paraId="1A9BCC8E" w14:textId="77777777" w:rsidR="00C45307" w:rsidRPr="00815921" w:rsidRDefault="00C45307" w:rsidP="00C45307">
      <w:pPr>
        <w:spacing w:after="120" w:line="276" w:lineRule="auto"/>
        <w:jc w:val="both"/>
        <w:rPr>
          <w:rFonts w:ascii="Century Gothic" w:eastAsia="Calibri" w:hAnsi="Century Gothic" w:cs="Arial"/>
          <w:b/>
          <w:lang w:val="es-ES_tradnl"/>
        </w:rPr>
      </w:pPr>
      <w:r w:rsidRPr="00815921">
        <w:rPr>
          <w:rFonts w:ascii="Century Gothic" w:eastAsia="Calibri" w:hAnsi="Century Gothic" w:cs="Arial"/>
          <w:b/>
          <w:lang w:val="es-ES_tradnl" w:eastAsia="es-ES_tradnl"/>
        </w:rPr>
        <w:t xml:space="preserve">PUBLICIDAD – SECOP – Entidades exceptuadas </w:t>
      </w:r>
      <w:r w:rsidRPr="00815921">
        <w:rPr>
          <w:rFonts w:ascii="Century Gothic" w:eastAsia="Calibri" w:hAnsi="Century Gothic" w:cs="Arial"/>
          <w:b/>
          <w:lang w:val="es-ES_tradnl"/>
        </w:rPr>
        <w:t xml:space="preserve">– Sentencia de 19 de octubre – Alcance de la decisión </w:t>
      </w:r>
    </w:p>
    <w:p w14:paraId="6603170F" w14:textId="77777777" w:rsidR="00C45307" w:rsidRDefault="00C45307" w:rsidP="00C45307">
      <w:pPr>
        <w:spacing w:after="120"/>
        <w:jc w:val="both"/>
        <w:rPr>
          <w:rFonts w:ascii="Century Gothic" w:eastAsia="Calibri" w:hAnsi="Century Gothic" w:cs="Arial"/>
          <w:color w:val="000000" w:themeColor="text1"/>
          <w:sz w:val="20"/>
          <w:szCs w:val="20"/>
          <w:lang w:val="es-ES_tradnl"/>
        </w:rPr>
      </w:pPr>
      <w:r>
        <w:rPr>
          <w:rFonts w:ascii="Century Gothic" w:eastAsia="Calibri" w:hAnsi="Century Gothic" w:cs="Arial"/>
          <w:color w:val="000000" w:themeColor="text1"/>
          <w:sz w:val="20"/>
          <w:szCs w:val="20"/>
          <w:lang w:val="es-ES_tradnl"/>
        </w:rPr>
        <w:t>[L]</w:t>
      </w:r>
      <w:r w:rsidRPr="00815921">
        <w:rPr>
          <w:rFonts w:ascii="Century Gothic" w:eastAsia="Calibri" w:hAnsi="Century Gothic" w:cs="Arial"/>
          <w:color w:val="000000" w:themeColor="text1"/>
          <w:sz w:val="20"/>
          <w:szCs w:val="20"/>
          <w:lang w:val="es-ES_tradnl"/>
        </w:rPr>
        <w:t xml:space="preserve">a Subsección B de la Sección Tercera del Consejo de Estado, mediante Sentencia del 19 de octubre de 2023 con ponencia del Consejero Martín Bermúdez Muñoz, se pronunció sobre las circulares que aclaran la obligación que tienen las entidades que contraten con recursos públicos, independientemente del régimen jurídico aplicable, de publicar su actividad contractual en el SECOP. De acuerdo con el numeral primero de la parte resolutiva, el Consejo de Estado declara </w:t>
      </w:r>
      <w:r w:rsidRPr="00815921">
        <w:rPr>
          <w:rFonts w:ascii="Century Gothic" w:eastAsia="Calibri" w:hAnsi="Century Gothic" w:cs="Arial"/>
          <w:i/>
          <w:iCs/>
          <w:color w:val="000000" w:themeColor="text1"/>
          <w:sz w:val="20"/>
          <w:szCs w:val="20"/>
          <w:lang w:val="es-ES_tradnl"/>
        </w:rPr>
        <w:t>“[…] la nulidad de parcial de los apartes de las Circulares Externas Nro. 1 de 21 de junio de 2013 y Nro. 20 de 27 de agosto de 2015, expedidas por la Dirección de la Agencia Nacional de Contratación Pública Colombia Compra Eficiente, que contengan la expresión ‘actividad contractual’ […]”</w:t>
      </w:r>
      <w:r w:rsidRPr="00815921">
        <w:rPr>
          <w:rFonts w:ascii="Century Gothic" w:eastAsia="Calibri" w:hAnsi="Century Gothic" w:cs="Arial"/>
          <w:color w:val="000000" w:themeColor="text1"/>
          <w:sz w:val="20"/>
          <w:szCs w:val="20"/>
          <w:lang w:val="es-ES_tradnl"/>
        </w:rPr>
        <w:t>.</w:t>
      </w:r>
      <w:r>
        <w:rPr>
          <w:rFonts w:ascii="Century Gothic" w:eastAsia="Calibri" w:hAnsi="Century Gothic" w:cs="Arial"/>
          <w:color w:val="000000" w:themeColor="text1"/>
          <w:sz w:val="20"/>
          <w:szCs w:val="20"/>
          <w:lang w:val="es-ES_tradnl"/>
        </w:rPr>
        <w:t xml:space="preserve"> </w:t>
      </w:r>
    </w:p>
    <w:p w14:paraId="1F98927D" w14:textId="77777777" w:rsidR="00C45307" w:rsidRPr="00815921" w:rsidRDefault="00C45307" w:rsidP="00C45307">
      <w:pPr>
        <w:spacing w:after="120"/>
        <w:jc w:val="both"/>
        <w:rPr>
          <w:rFonts w:ascii="Century Gothic" w:eastAsia="Calibri" w:hAnsi="Century Gothic" w:cs="Arial"/>
          <w:b/>
          <w:color w:val="000000" w:themeColor="text1"/>
          <w:sz w:val="18"/>
          <w:szCs w:val="18"/>
          <w:lang w:val="es-ES_tradnl"/>
        </w:rPr>
      </w:pPr>
      <w:r w:rsidRPr="00815921">
        <w:rPr>
          <w:rFonts w:ascii="Century Gothic" w:eastAsia="Calibri" w:hAnsi="Century Gothic" w:cs="Arial"/>
          <w:b/>
          <w:lang w:val="es-ES_tradnl" w:eastAsia="es-ES_tradnl"/>
        </w:rPr>
        <w:t xml:space="preserve">CIRCULARES DE COLOMBIA COMPRA EFICIENTE – Nulidad parcial – </w:t>
      </w:r>
      <w:r w:rsidRPr="00815921">
        <w:rPr>
          <w:rFonts w:ascii="Century Gothic" w:eastAsia="Calibri" w:hAnsi="Century Gothic" w:cs="Arial"/>
          <w:b/>
          <w:lang w:val="es-ES_tradnl"/>
        </w:rPr>
        <w:t>A</w:t>
      </w:r>
      <w:r w:rsidRPr="00815921">
        <w:rPr>
          <w:rFonts w:ascii="Century Gothic" w:eastAsia="Calibri" w:hAnsi="Century Gothic" w:cs="Arial"/>
          <w:b/>
          <w:lang w:val="es-ES_tradnl" w:eastAsia="es-ES_tradnl"/>
        </w:rPr>
        <w:t>lcance</w:t>
      </w:r>
    </w:p>
    <w:p w14:paraId="3B387870" w14:textId="77777777" w:rsidR="00C45307" w:rsidRPr="00815921" w:rsidRDefault="00C45307" w:rsidP="00C45307">
      <w:pPr>
        <w:spacing w:after="120" w:line="240" w:lineRule="auto"/>
        <w:jc w:val="both"/>
        <w:rPr>
          <w:rFonts w:ascii="Century Gothic" w:eastAsia="Calibri" w:hAnsi="Century Gothic" w:cs="Arial"/>
          <w:color w:val="000000" w:themeColor="text1"/>
          <w:sz w:val="20"/>
          <w:szCs w:val="20"/>
          <w:lang w:val="es-ES_tradnl"/>
        </w:rPr>
      </w:pPr>
      <w:r w:rsidRPr="00815921">
        <w:rPr>
          <w:rFonts w:ascii="Century Gothic" w:eastAsia="Calibri" w:hAnsi="Century Gothic" w:cs="Arial"/>
          <w:color w:val="000000" w:themeColor="text1"/>
          <w:sz w:val="20"/>
          <w:szCs w:val="20"/>
          <w:lang w:val="es-ES_tradnl"/>
        </w:rPr>
        <w:t xml:space="preserve">Como se observa, no se trata de una declaración de </w:t>
      </w:r>
      <w:r w:rsidRPr="00815921">
        <w:rPr>
          <w:rFonts w:ascii="Century Gothic" w:eastAsia="Calibri" w:hAnsi="Century Gothic" w:cs="Arial"/>
          <w:i/>
          <w:iCs/>
          <w:color w:val="000000" w:themeColor="text1"/>
          <w:sz w:val="20"/>
          <w:szCs w:val="20"/>
          <w:lang w:val="es-ES_tradnl"/>
        </w:rPr>
        <w:t>nulidad total</w:t>
      </w:r>
      <w:r w:rsidRPr="00815921">
        <w:rPr>
          <w:rFonts w:ascii="Century Gothic" w:eastAsia="Calibri" w:hAnsi="Century Gothic" w:cs="Arial"/>
          <w:color w:val="000000" w:themeColor="text1"/>
          <w:sz w:val="20"/>
          <w:szCs w:val="20"/>
          <w:lang w:val="es-ES_tradnl"/>
        </w:rPr>
        <w:t xml:space="preserve"> y, por ello, salvo la expresión anulada, dichos actos administrativos continúan vigentes. De esta manera, “</w:t>
      </w:r>
      <w:r w:rsidRPr="00815921">
        <w:rPr>
          <w:rFonts w:ascii="Century Gothic" w:eastAsia="Calibri" w:hAnsi="Century Gothic" w:cs="Arial"/>
          <w:i/>
          <w:iCs/>
          <w:color w:val="000000" w:themeColor="text1"/>
          <w:sz w:val="20"/>
          <w:szCs w:val="20"/>
          <w:lang w:val="es-ES_tradnl"/>
        </w:rPr>
        <w:t xml:space="preserve">Las entidades que contratan con cargo a recursos públicos están obligadas a publicar oportunamente </w:t>
      </w:r>
      <w:r w:rsidRPr="00815921">
        <w:rPr>
          <w:rFonts w:ascii="Century Gothic" w:eastAsia="Calibri" w:hAnsi="Century Gothic" w:cs="Arial"/>
          <w:b/>
          <w:bCs/>
          <w:i/>
          <w:iCs/>
          <w:strike/>
          <w:color w:val="000000" w:themeColor="text1"/>
          <w:sz w:val="20"/>
          <w:szCs w:val="20"/>
          <w:lang w:val="es-ES_tradnl"/>
        </w:rPr>
        <w:t>su actividad contractual</w:t>
      </w:r>
      <w:r w:rsidRPr="00815921">
        <w:rPr>
          <w:rFonts w:ascii="Century Gothic" w:eastAsia="Calibri" w:hAnsi="Century Gothic" w:cs="Arial"/>
          <w:i/>
          <w:iCs/>
          <w:color w:val="000000" w:themeColor="text1"/>
          <w:sz w:val="20"/>
          <w:szCs w:val="20"/>
          <w:lang w:val="es-ES_tradnl"/>
        </w:rPr>
        <w:t xml:space="preserve"> en el SECOP, sin que sea relevante para la exigencia de esta obligación su régimen jurídico, naturaleza de público o privado o la pertenencia a una u otra rama del poder público […]” –</w:t>
      </w:r>
      <w:r w:rsidRPr="00815921">
        <w:rPr>
          <w:i/>
          <w:iCs/>
          <w:sz w:val="20"/>
          <w:szCs w:val="20"/>
        </w:rPr>
        <w:t xml:space="preserve"> </w:t>
      </w:r>
      <w:r w:rsidRPr="00815921">
        <w:rPr>
          <w:rFonts w:ascii="Century Gothic" w:eastAsia="Calibri" w:hAnsi="Century Gothic" w:cs="Arial"/>
          <w:i/>
          <w:iCs/>
          <w:color w:val="000000" w:themeColor="text1"/>
          <w:sz w:val="20"/>
          <w:szCs w:val="20"/>
          <w:lang w:val="es-ES_tradnl"/>
        </w:rPr>
        <w:t>Circular Externa Nro. 1 del 21 de junio de 2013–</w:t>
      </w:r>
      <w:r w:rsidRPr="00815921">
        <w:rPr>
          <w:rFonts w:ascii="Century Gothic" w:eastAsia="Calibri" w:hAnsi="Century Gothic" w:cs="Arial"/>
          <w:color w:val="000000" w:themeColor="text1"/>
          <w:sz w:val="20"/>
          <w:szCs w:val="20"/>
          <w:lang w:val="es-ES_tradnl"/>
        </w:rPr>
        <w:t xml:space="preserve">. Por lo demás, la Agencia </w:t>
      </w:r>
      <w:r w:rsidRPr="00815921">
        <w:rPr>
          <w:rFonts w:ascii="Century Gothic" w:eastAsia="Calibri" w:hAnsi="Century Gothic" w:cs="Arial"/>
          <w:i/>
          <w:iCs/>
          <w:color w:val="000000" w:themeColor="text1"/>
          <w:sz w:val="20"/>
          <w:szCs w:val="20"/>
          <w:lang w:val="es-ES_tradnl"/>
        </w:rPr>
        <w:t xml:space="preserve">“[…] da alcance a la Circular Externa 1 de 2013 para establecer las condiciones de publicidad </w:t>
      </w:r>
      <w:r w:rsidRPr="00815921">
        <w:rPr>
          <w:rFonts w:ascii="Century Gothic" w:eastAsia="Calibri" w:hAnsi="Century Gothic" w:cs="Arial"/>
          <w:b/>
          <w:bCs/>
          <w:i/>
          <w:iCs/>
          <w:strike/>
          <w:color w:val="000000" w:themeColor="text1"/>
          <w:sz w:val="20"/>
          <w:szCs w:val="20"/>
          <w:lang w:val="es-ES_tradnl"/>
        </w:rPr>
        <w:t>de la actividad contractual</w:t>
      </w:r>
      <w:r w:rsidRPr="00815921">
        <w:rPr>
          <w:rFonts w:ascii="Century Gothic" w:eastAsia="Calibri" w:hAnsi="Century Gothic" w:cs="Arial"/>
          <w:i/>
          <w:iCs/>
          <w:color w:val="000000" w:themeColor="text1"/>
          <w:sz w:val="20"/>
          <w:szCs w:val="20"/>
          <w:lang w:val="es-ES_tradnl"/>
        </w:rPr>
        <w:t xml:space="preserve"> de las empresas industriales y comerciales del Estado, las sociedades de economía mixta y las empresas de servicios públicos domiciliarios que en su actividad comercial están en situación de competencia”</w:t>
      </w:r>
      <w:r w:rsidRPr="00815921">
        <w:rPr>
          <w:rFonts w:ascii="Century Gothic" w:eastAsia="Calibri" w:hAnsi="Century Gothic" w:cs="Arial"/>
          <w:color w:val="000000" w:themeColor="text1"/>
          <w:sz w:val="20"/>
          <w:szCs w:val="20"/>
          <w:lang w:val="es-ES_tradnl"/>
        </w:rPr>
        <w:t xml:space="preserve"> –</w:t>
      </w:r>
      <w:r w:rsidRPr="00815921">
        <w:rPr>
          <w:sz w:val="20"/>
          <w:szCs w:val="20"/>
        </w:rPr>
        <w:t xml:space="preserve"> </w:t>
      </w:r>
      <w:r w:rsidRPr="00815921">
        <w:rPr>
          <w:rFonts w:ascii="Century Gothic" w:eastAsia="Calibri" w:hAnsi="Century Gothic" w:cs="Arial"/>
          <w:color w:val="000000" w:themeColor="text1"/>
          <w:sz w:val="20"/>
          <w:szCs w:val="20"/>
          <w:lang w:val="es-ES_tradnl"/>
        </w:rPr>
        <w:t xml:space="preserve">Circular Externa No. 20 del 27 de agosto de 2015–. Es decir, incluso con la </w:t>
      </w:r>
      <w:r w:rsidRPr="00815921">
        <w:rPr>
          <w:rFonts w:ascii="Century Gothic" w:eastAsia="Calibri" w:hAnsi="Century Gothic" w:cs="Arial"/>
          <w:i/>
          <w:iCs/>
          <w:color w:val="000000" w:themeColor="text1"/>
          <w:sz w:val="20"/>
          <w:szCs w:val="20"/>
          <w:lang w:val="es-ES_tradnl"/>
        </w:rPr>
        <w:t>nulidad parcial</w:t>
      </w:r>
      <w:r w:rsidRPr="00815921">
        <w:rPr>
          <w:rFonts w:ascii="Century Gothic" w:eastAsia="Calibri" w:hAnsi="Century Gothic" w:cs="Arial"/>
          <w:color w:val="000000" w:themeColor="text1"/>
          <w:sz w:val="20"/>
          <w:szCs w:val="20"/>
          <w:lang w:val="es-ES_tradnl"/>
        </w:rPr>
        <w:t>, permanece la obligación de publicar en el SECOP, al margen de que las entidades se encuentren o no sometidas al EGCAP.</w:t>
      </w:r>
    </w:p>
    <w:p w14:paraId="00712EEB" w14:textId="77777777" w:rsidR="00C45307" w:rsidRDefault="00C45307" w:rsidP="00C45307">
      <w:pPr>
        <w:spacing w:line="276" w:lineRule="auto"/>
        <w:jc w:val="both"/>
        <w:rPr>
          <w:rFonts w:ascii="Century Gothic" w:eastAsia="Calibri" w:hAnsi="Century Gothic" w:cs="Arial"/>
          <w:b/>
          <w:lang w:val="es-ES_tradnl"/>
        </w:rPr>
      </w:pPr>
      <w:r w:rsidRPr="00815921">
        <w:rPr>
          <w:rFonts w:ascii="Century Gothic" w:eastAsia="Calibri" w:hAnsi="Century Gothic" w:cs="Arial"/>
          <w:b/>
          <w:lang w:val="es-ES_tradnl" w:eastAsia="es-ES_tradnl"/>
        </w:rPr>
        <w:t>PUBLICIDAD – SECOP – Fundamento Normativo – Ley 1712 de 2014 –</w:t>
      </w:r>
      <w:r w:rsidRPr="00815921">
        <w:rPr>
          <w:rFonts w:ascii="Century Gothic" w:eastAsia="Calibri" w:hAnsi="Century Gothic" w:cs="Arial"/>
          <w:b/>
          <w:lang w:val="es-ES_tradnl"/>
        </w:rPr>
        <w:t xml:space="preserve"> Decreto 1081 de 2015</w:t>
      </w:r>
      <w:r w:rsidRPr="00815921">
        <w:rPr>
          <w:rFonts w:ascii="Century Gothic" w:eastAsia="Calibri" w:hAnsi="Century Gothic" w:cs="Arial"/>
          <w:b/>
          <w:lang w:val="es-ES_tradnl" w:eastAsia="es-ES_tradnl"/>
        </w:rPr>
        <w:t xml:space="preserve"> </w:t>
      </w:r>
    </w:p>
    <w:p w14:paraId="50080ED1" w14:textId="77777777" w:rsidR="00C45307" w:rsidRPr="00815921" w:rsidRDefault="00C45307" w:rsidP="00C45307">
      <w:pPr>
        <w:spacing w:after="120" w:line="240" w:lineRule="auto"/>
        <w:jc w:val="both"/>
        <w:rPr>
          <w:rFonts w:ascii="Century Gothic" w:eastAsia="Calibri" w:hAnsi="Century Gothic" w:cs="Arial"/>
          <w:bCs/>
          <w:sz w:val="20"/>
          <w:szCs w:val="20"/>
          <w:lang w:val="es-ES_tradnl"/>
        </w:rPr>
      </w:pPr>
      <w:r w:rsidRPr="00815921">
        <w:rPr>
          <w:rFonts w:ascii="Century Gothic" w:eastAsia="Calibri" w:hAnsi="Century Gothic" w:cs="Arial"/>
          <w:bCs/>
          <w:sz w:val="20"/>
          <w:szCs w:val="20"/>
          <w:lang w:val="es-ES_tradnl"/>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La ley citada establece, en el literal e) del artículo 9, que los sujetos obligados, que son todas las entidades públicas, deben publicar la información relativa a su contratación .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 .Asimismo, de acuerdo con el literal g) del artículo 11 de la misma Ley, los destinatarios de </w:t>
      </w:r>
      <w:r w:rsidRPr="00815921">
        <w:rPr>
          <w:rFonts w:ascii="Century Gothic" w:eastAsia="Calibri" w:hAnsi="Century Gothic" w:cs="Arial"/>
          <w:bCs/>
          <w:sz w:val="20"/>
          <w:szCs w:val="20"/>
          <w:lang w:val="es-ES_tradnl"/>
        </w:rPr>
        <w:lastRenderedPageBreak/>
        <w:t>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14:paraId="602D544F" w14:textId="77777777" w:rsidR="00C45307" w:rsidRPr="00815921" w:rsidRDefault="00C45307" w:rsidP="00C45307">
      <w:pPr>
        <w:spacing w:line="276" w:lineRule="auto"/>
        <w:jc w:val="both"/>
        <w:rPr>
          <w:rFonts w:ascii="Century Gothic" w:eastAsia="Calibri" w:hAnsi="Century Gothic" w:cs="Arial"/>
          <w:b/>
          <w:lang w:val="es-ES_tradnl"/>
        </w:rPr>
      </w:pPr>
      <w:r w:rsidRPr="00815921">
        <w:rPr>
          <w:rFonts w:ascii="Century Gothic" w:eastAsia="Calibri" w:hAnsi="Century Gothic" w:cs="Arial"/>
          <w:b/>
          <w:lang w:val="es-ES_tradnl" w:eastAsia="es-ES_tradnl"/>
        </w:rPr>
        <w:t xml:space="preserve">PUBLICIDAD – SECOP – Fundamento Normativo – </w:t>
      </w:r>
      <w:r w:rsidRPr="00815921">
        <w:rPr>
          <w:rFonts w:ascii="Century Gothic" w:eastAsia="Calibri" w:hAnsi="Century Gothic" w:cs="Arial"/>
          <w:b/>
          <w:lang w:val="es-ES_tradnl"/>
        </w:rPr>
        <w:t xml:space="preserve">Ley 1150 de 2007 - </w:t>
      </w:r>
      <w:r w:rsidRPr="00815921">
        <w:rPr>
          <w:rFonts w:ascii="Century Gothic" w:eastAsia="Calibri" w:hAnsi="Century Gothic" w:cs="Arial"/>
          <w:b/>
          <w:lang w:val="es-ES_tradnl" w:eastAsia="es-ES_tradnl"/>
        </w:rPr>
        <w:t xml:space="preserve">Ley 2195 de 2022 </w:t>
      </w:r>
    </w:p>
    <w:p w14:paraId="453BB3A4" w14:textId="77777777" w:rsidR="00C45307" w:rsidRPr="00815921" w:rsidRDefault="00C45307" w:rsidP="00C45307">
      <w:pPr>
        <w:spacing w:line="240" w:lineRule="auto"/>
        <w:contextualSpacing/>
        <w:jc w:val="both"/>
        <w:rPr>
          <w:rFonts w:ascii="Century Gothic" w:eastAsia="Calibri" w:hAnsi="Century Gothic" w:cs="Arial"/>
          <w:sz w:val="20"/>
          <w:szCs w:val="20"/>
          <w:lang w:val="es-ES_tradnl" w:eastAsia="es-ES_tradnl"/>
        </w:rPr>
      </w:pPr>
      <w:r w:rsidRPr="00815921">
        <w:rPr>
          <w:rFonts w:ascii="Century Gothic" w:hAnsi="Century Gothic" w:cs="Arial"/>
          <w:sz w:val="20"/>
          <w:szCs w:val="20"/>
          <w:lang w:val="es-ES"/>
        </w:rPr>
        <w:t>Tratándose de los contratos de régimen exceptuado, el deber de publicidad y transparencia fue complementado</w:t>
      </w:r>
      <w:r w:rsidRPr="00815921">
        <w:rPr>
          <w:rFonts w:ascii="Century Gothic" w:hAnsi="Century Gothic" w:cs="Arial"/>
          <w:sz w:val="20"/>
          <w:szCs w:val="20"/>
        </w:rPr>
        <w:t xml:space="preserve"> con la Ley 2195 de 2022. </w:t>
      </w:r>
      <w:r w:rsidRPr="00815921">
        <w:rPr>
          <w:rFonts w:ascii="Century Gothic" w:eastAsia="Calibri" w:hAnsi="Century Gothic" w:cs="Arial"/>
          <w:sz w:val="20"/>
          <w:szCs w:val="20"/>
          <w:lang w:val="es-ES_tradnl" w:eastAsia="es-ES_tradnl"/>
        </w:rPr>
        <w:t>Según el artículo 1, esta Ley “</w:t>
      </w:r>
      <w:r w:rsidRPr="00815921">
        <w:rPr>
          <w:rFonts w:ascii="Century Gothic" w:eastAsia="Times New Roman" w:hAnsi="Century Gothic" w:cs="Arial"/>
          <w:sz w:val="20"/>
          <w:szCs w:val="20"/>
          <w:lang w:val="es-ES_tradnl" w:eastAsia="es-ES_tradnl"/>
        </w:rPr>
        <w:t xml:space="preserve">[…] </w:t>
      </w:r>
      <w:r w:rsidRPr="00815921">
        <w:rPr>
          <w:rFonts w:ascii="Century Gothic" w:eastAsia="Calibri" w:hAnsi="Century Gothic"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1E676390" w14:textId="77777777" w:rsidR="00C45307" w:rsidRPr="00815921" w:rsidRDefault="00C45307" w:rsidP="00C45307">
      <w:pPr>
        <w:spacing w:line="240" w:lineRule="auto"/>
        <w:ind w:firstLine="709"/>
        <w:contextualSpacing/>
        <w:jc w:val="both"/>
        <w:rPr>
          <w:rFonts w:ascii="Century Gothic" w:eastAsia="Calibri" w:hAnsi="Century Gothic" w:cs="Arial"/>
          <w:sz w:val="8"/>
          <w:szCs w:val="8"/>
          <w:lang w:val="es-ES_tradnl" w:eastAsia="es-ES_tradnl"/>
        </w:rPr>
      </w:pPr>
    </w:p>
    <w:p w14:paraId="7F633BA3" w14:textId="77777777" w:rsidR="00C45307" w:rsidRDefault="00C45307" w:rsidP="00C45307">
      <w:pPr>
        <w:jc w:val="both"/>
        <w:rPr>
          <w:rFonts w:ascii="Century Gothic" w:hAnsi="Century Gothic" w:cs="Arial"/>
          <w:sz w:val="20"/>
          <w:szCs w:val="20"/>
        </w:rPr>
      </w:pPr>
      <w:r w:rsidRPr="00815921">
        <w:rPr>
          <w:rFonts w:ascii="Century Gothic" w:eastAsia="Calibri" w:hAnsi="Century Gothic" w:cs="Arial"/>
          <w:sz w:val="20"/>
          <w:szCs w:val="20"/>
          <w:lang w:val="es-ES_tradnl" w:eastAsia="es-ES_tradnl"/>
        </w:rPr>
        <w:t xml:space="preserve">Dentro del capítulo VIII, por el cual se expiden “Disposiciones en materia contractual para la moralización y la transparencia”, se ubica </w:t>
      </w:r>
      <w:r w:rsidRPr="00815921">
        <w:rPr>
          <w:rFonts w:ascii="Century Gothic" w:hAnsi="Century Gothic" w:cs="Arial"/>
          <w:sz w:val="20"/>
          <w:szCs w:val="20"/>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14:paraId="53449C11" w14:textId="77777777" w:rsidR="00C45307" w:rsidRDefault="00C45307" w:rsidP="00C45307">
      <w:pPr>
        <w:jc w:val="both"/>
        <w:rPr>
          <w:rFonts w:ascii="Century Gothic" w:hAnsi="Century Gothic" w:cs="Arial"/>
          <w:sz w:val="20"/>
          <w:szCs w:val="20"/>
        </w:rPr>
      </w:pPr>
      <w:r w:rsidRPr="00815921">
        <w:rPr>
          <w:rFonts w:ascii="Century Gothic" w:eastAsia="Calibri" w:hAnsi="Century Gothic" w:cs="Arial"/>
          <w:b/>
          <w:lang w:val="es-ES_tradnl" w:eastAsia="es-ES_tradnl"/>
        </w:rPr>
        <w:t>PUBLICIDAD – SECOP –</w:t>
      </w:r>
      <w:r>
        <w:rPr>
          <w:rFonts w:ascii="Century Gothic" w:eastAsia="Calibri" w:hAnsi="Century Gothic" w:cs="Arial"/>
          <w:b/>
          <w:lang w:val="es-ES_tradnl"/>
        </w:rPr>
        <w:t xml:space="preserve"> Sentencia del 19 de octubre de 2023 – No validez de la obligación de publicar</w:t>
      </w:r>
    </w:p>
    <w:p w14:paraId="267A821E" w14:textId="1F5576B3" w:rsidR="00C45307" w:rsidRPr="00815921" w:rsidRDefault="00C45307" w:rsidP="00C45307">
      <w:pPr>
        <w:spacing w:line="240" w:lineRule="auto"/>
        <w:jc w:val="both"/>
        <w:rPr>
          <w:rFonts w:ascii="Century Gothic" w:hAnsi="Century Gothic"/>
          <w:sz w:val="20"/>
          <w:szCs w:val="20"/>
          <w:lang w:val="es-ES"/>
        </w:rPr>
      </w:pPr>
      <w:r w:rsidRPr="00815921">
        <w:rPr>
          <w:rFonts w:ascii="Century Gothic" w:hAnsi="Century Gothic"/>
          <w:sz w:val="20"/>
          <w:szCs w:val="20"/>
          <w:lang w:val="es-ES"/>
        </w:rPr>
        <w:t xml:space="preserve">De acuerdo con lo expuesto, sin perjuicio de la nulidad parcial declarada por la Jurisdicción de lo Contencioso Administrativo, la obligación de publicidad para las entidades de régimen especial se mantiene en las condiciones de los apartados vigentes de las Circulares Externas Nro. 1 de 21 de junio de 2013 y Nro. 20 de 27 de agosto de 2015. En calidad de </w:t>
      </w:r>
      <w:r w:rsidRPr="00815921">
        <w:rPr>
          <w:rFonts w:ascii="Century Gothic" w:hAnsi="Century Gothic"/>
          <w:sz w:val="20"/>
          <w:szCs w:val="20"/>
          <w:lang w:val="es-ES"/>
        </w:rPr>
        <w:lastRenderedPageBreak/>
        <w:t>sujetos obligados, este deber se complementa tanto con el literal g) del artículo 11 de la Ley 1712 de 2014 como por el artículo 2.1.1.2.1.7 del Decreto Único Reglamentario 1081 de 2015, el cual tiene presunción de legalidad conforme al artículo 88 de la Ley 1437 de 2011.  De acuerdo con el artículo 53 de la Ley 2195 de 2022, en concordancia con la Circulares de la Agencia Nacional de Contratación Pública – Colombia Compra Eficiente 002 del 17 de marzo de 2022 y del Departamento Administrativo de la Presidencia de la Republica 02 del 1 de junio de 2022, las entidades exceptuadas de la Ley 80 de 1993 deberán publicar en el SECOP II –o la plataforma transaccional que haga sus veces– los documentos relacionados con su actividad contractual. Dicha expresión se concreta en “[…] los documentos, contratos, actos e información generada por oferentes, contratista, contratante, supervisor o interventor, tanto en la etapa precontractual, como en la contractual y la postcontractual”. En esta medida, la Sentencia de la Subsección B de la Sección Tercera del Consejo de Estado del 19 de octubre de 2023, no incide en la validez de la obligación contenida en la Ley de Transparencia, especialmente, cuando el control corresponde a la Corte Constitucional en los términos del artículo 241.4 superior. Es decir, aun con la providencia citada por el peticionario, existe un marco legal que obliga a las entidades de régimen especial a publicar su actividad contractual en el SECOP II.</w:t>
      </w:r>
    </w:p>
    <w:p w14:paraId="61009884" w14:textId="2CB76D0C" w:rsidR="005B2815" w:rsidRPr="00C45307" w:rsidRDefault="00C45307" w:rsidP="005B2815">
      <w:pPr>
        <w:spacing w:after="0"/>
        <w:rPr>
          <w:rFonts w:ascii="Century Gothic" w:eastAsia="Geomanist Light" w:hAnsi="Century Gothic" w:cs="Arial"/>
          <w:color w:val="000000" w:themeColor="text1"/>
          <w:lang w:val="es-ES"/>
        </w:rPr>
      </w:pPr>
      <w:r>
        <w:rPr>
          <w:rFonts w:ascii="Century Gothic" w:eastAsia="Geomanist Light" w:hAnsi="Century Gothic" w:cs="Arial"/>
          <w:noProof/>
          <w:color w:val="000000" w:themeColor="text1"/>
          <w:lang w:val="es-ES"/>
        </w:rPr>
        <w:drawing>
          <wp:anchor distT="0" distB="0" distL="114300" distR="114300" simplePos="0" relativeHeight="251658240" behindDoc="0" locked="0" layoutInCell="1" allowOverlap="1" wp14:anchorId="72A94370" wp14:editId="633E4D57">
            <wp:simplePos x="0" y="0"/>
            <wp:positionH relativeFrom="margin">
              <wp:align>right</wp:align>
            </wp:positionH>
            <wp:positionV relativeFrom="paragraph">
              <wp:posOffset>15240</wp:posOffset>
            </wp:positionV>
            <wp:extent cx="2410460" cy="697230"/>
            <wp:effectExtent l="0" t="0" r="8890" b="7620"/>
            <wp:wrapSquare wrapText="bothSides"/>
            <wp:docPr id="1086767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10460" cy="697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1744DB" w14:textId="77777777" w:rsidR="00C45307" w:rsidRDefault="00C45307" w:rsidP="005B2815">
      <w:pPr>
        <w:spacing w:after="0"/>
        <w:rPr>
          <w:rFonts w:ascii="Century Gothic" w:eastAsia="Geomanist Light" w:hAnsi="Century Gothic" w:cs="Arial"/>
          <w:color w:val="000000" w:themeColor="text1"/>
          <w:lang w:val="es-MX"/>
        </w:rPr>
      </w:pPr>
    </w:p>
    <w:p w14:paraId="4826FBEF" w14:textId="77777777" w:rsidR="00C45307" w:rsidRDefault="00C45307" w:rsidP="005B2815">
      <w:pPr>
        <w:spacing w:after="0"/>
        <w:rPr>
          <w:rFonts w:ascii="Century Gothic" w:eastAsia="Geomanist Light" w:hAnsi="Century Gothic" w:cs="Arial"/>
          <w:color w:val="000000" w:themeColor="text1"/>
          <w:lang w:val="es-MX"/>
        </w:rPr>
      </w:pPr>
    </w:p>
    <w:p w14:paraId="15C1670B" w14:textId="67B93B5B" w:rsidR="005B2815" w:rsidRPr="000B379D" w:rsidRDefault="005B2815" w:rsidP="005B2815">
      <w:pPr>
        <w:spacing w:after="0"/>
        <w:rPr>
          <w:rFonts w:ascii="Century Gothic" w:eastAsia="Geomanist Light" w:hAnsi="Century Gothic" w:cs="Arial"/>
          <w:color w:val="201F1E"/>
          <w:lang w:val="es-MX"/>
        </w:rPr>
      </w:pPr>
      <w:r>
        <w:rPr>
          <w:rFonts w:ascii="Century Gothic" w:eastAsia="Geomanist Light" w:hAnsi="Century Gothic" w:cs="Arial"/>
          <w:color w:val="000000" w:themeColor="text1"/>
          <w:lang w:val="es-MX"/>
        </w:rPr>
        <w:t>Bogotá D.C., 18 de enero de 2024</w:t>
      </w:r>
    </w:p>
    <w:p w14:paraId="474AC94F" w14:textId="77777777" w:rsidR="005B2815" w:rsidRPr="000B379D" w:rsidRDefault="005B2815" w:rsidP="005B2815">
      <w:pPr>
        <w:spacing w:after="0"/>
        <w:contextualSpacing/>
        <w:jc w:val="both"/>
        <w:rPr>
          <w:rFonts w:ascii="Century Gothic" w:eastAsia="Calibri" w:hAnsi="Century Gothic" w:cs="Arial"/>
          <w:lang w:val="es-ES_tradnl" w:eastAsia="es-ES_tradnl"/>
        </w:rPr>
      </w:pPr>
    </w:p>
    <w:p w14:paraId="1B19C44D" w14:textId="77777777" w:rsidR="005B2815" w:rsidRPr="000B379D" w:rsidRDefault="005B2815" w:rsidP="005B2815">
      <w:pPr>
        <w:contextualSpacing/>
        <w:jc w:val="both"/>
        <w:rPr>
          <w:rFonts w:ascii="Century Gothic" w:eastAsia="Calibri" w:hAnsi="Century Gothic" w:cs="Arial"/>
          <w:lang w:eastAsia="es-ES_tradnl"/>
        </w:rPr>
      </w:pPr>
      <w:r>
        <w:rPr>
          <w:rFonts w:ascii="Century Gothic" w:eastAsia="Calibri" w:hAnsi="Century Gothic" w:cs="Arial"/>
          <w:lang w:eastAsia="es-ES_tradnl"/>
        </w:rPr>
        <w:t>Señor</w:t>
      </w:r>
    </w:p>
    <w:p w14:paraId="468C8754" w14:textId="77777777" w:rsidR="005B2815" w:rsidRDefault="005B2815" w:rsidP="005B2815">
      <w:pPr>
        <w:contextualSpacing/>
        <w:jc w:val="both"/>
        <w:rPr>
          <w:rFonts w:ascii="Century Gothic" w:eastAsia="Calibri" w:hAnsi="Century Gothic" w:cs="Arial"/>
          <w:b/>
          <w:bCs/>
          <w:lang w:eastAsia="es-ES"/>
        </w:rPr>
      </w:pPr>
      <w:r w:rsidRPr="6521AB00">
        <w:rPr>
          <w:rFonts w:ascii="Century Gothic" w:eastAsia="Calibri" w:hAnsi="Century Gothic" w:cs="Arial"/>
          <w:b/>
          <w:bCs/>
          <w:lang w:eastAsia="es-ES"/>
        </w:rPr>
        <w:t xml:space="preserve">Oscar Fabián Moncada Gira </w:t>
      </w:r>
    </w:p>
    <w:p w14:paraId="183074B0" w14:textId="77777777" w:rsidR="005B2815" w:rsidRPr="000B379D" w:rsidRDefault="005B2815" w:rsidP="005B2815">
      <w:pPr>
        <w:contextualSpacing/>
        <w:jc w:val="both"/>
        <w:rPr>
          <w:rFonts w:ascii="Century Gothic" w:eastAsia="Calibri" w:hAnsi="Century Gothic" w:cs="Arial"/>
          <w:bCs/>
          <w:lang w:eastAsia="es-ES_tradnl"/>
        </w:rPr>
      </w:pPr>
      <w:r>
        <w:rPr>
          <w:rFonts w:ascii="Century Gothic" w:eastAsia="Calibri" w:hAnsi="Century Gothic" w:cs="Arial"/>
          <w:bCs/>
          <w:lang w:eastAsia="es-ES_tradnl"/>
        </w:rPr>
        <w:t>Santiago de Cali, Valle del Cauca</w:t>
      </w:r>
    </w:p>
    <w:p w14:paraId="15F94F3E" w14:textId="77777777" w:rsidR="005B2815" w:rsidRDefault="005B2815" w:rsidP="005B2815">
      <w:pPr>
        <w:contextualSpacing/>
        <w:rPr>
          <w:rFonts w:ascii="Century Gothic" w:eastAsia="Calibri" w:hAnsi="Century Gothic" w:cs="Arial"/>
          <w:b/>
          <w:bCs/>
          <w:lang w:val="es-ES_tradnl" w:eastAsia="es-ES_tradnl"/>
        </w:rPr>
      </w:pPr>
    </w:p>
    <w:p w14:paraId="1861C60F" w14:textId="77777777" w:rsidR="005B2815" w:rsidRDefault="005B2815" w:rsidP="005B2815">
      <w:pPr>
        <w:contextualSpacing/>
        <w:rPr>
          <w:rFonts w:ascii="Century Gothic" w:eastAsia="Calibri" w:hAnsi="Century Gothic" w:cs="Arial"/>
          <w:b/>
          <w:bCs/>
          <w:lang w:val="es-ES_tradnl" w:eastAsia="es-ES_tradnl"/>
        </w:rPr>
      </w:pPr>
    </w:p>
    <w:p w14:paraId="79F7DA54" w14:textId="77777777" w:rsidR="005B2815" w:rsidRDefault="005B2815" w:rsidP="005B2815">
      <w:pPr>
        <w:contextualSpacing/>
        <w:jc w:val="center"/>
        <w:rPr>
          <w:rFonts w:ascii="Century Gothic" w:eastAsia="Calibri" w:hAnsi="Century Gothic" w:cs="Arial"/>
          <w:b/>
          <w:bCs/>
          <w:lang w:val="es-ES_tradnl" w:eastAsia="es-ES_tradnl"/>
        </w:rPr>
      </w:pPr>
      <w:r>
        <w:rPr>
          <w:rFonts w:ascii="Century Gothic" w:eastAsia="Calibri" w:hAnsi="Century Gothic" w:cs="Arial"/>
          <w:b/>
          <w:bCs/>
          <w:lang w:val="es-ES_tradnl" w:eastAsia="es-ES_tradnl"/>
        </w:rPr>
        <w:t>Concepto C-294 de 2023</w:t>
      </w:r>
    </w:p>
    <w:p w14:paraId="347FC127" w14:textId="77777777" w:rsidR="005B2815" w:rsidRPr="000B379D" w:rsidRDefault="005B2815" w:rsidP="005B2815">
      <w:pPr>
        <w:contextualSpacing/>
        <w:jc w:val="both"/>
        <w:rPr>
          <w:rFonts w:ascii="Century Gothic" w:eastAsia="Calibri" w:hAnsi="Century Gothic"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B2815" w:rsidRPr="000B379D" w14:paraId="5095167F" w14:textId="77777777" w:rsidTr="00D7753F">
        <w:tc>
          <w:tcPr>
            <w:tcW w:w="2689" w:type="dxa"/>
          </w:tcPr>
          <w:p w14:paraId="2421B9BB" w14:textId="77777777" w:rsidR="005B2815" w:rsidRPr="000B379D" w:rsidRDefault="005B2815" w:rsidP="00D7753F">
            <w:pPr>
              <w:contextualSpacing/>
              <w:jc w:val="both"/>
              <w:rPr>
                <w:rFonts w:ascii="Century Gothic" w:eastAsia="Calibri" w:hAnsi="Century Gothic" w:cs="Arial"/>
                <w:lang w:val="es-ES_tradnl" w:eastAsia="es-ES_tradnl"/>
              </w:rPr>
            </w:pPr>
            <w:r w:rsidRPr="000B379D">
              <w:rPr>
                <w:rFonts w:ascii="Century Gothic" w:eastAsia="Calibri" w:hAnsi="Century Gothic" w:cs="Arial"/>
                <w:b/>
                <w:lang w:val="es-ES_tradnl" w:eastAsia="es-ES_tradnl"/>
              </w:rPr>
              <w:t>Temas:</w:t>
            </w:r>
            <w:r w:rsidRPr="000B379D">
              <w:rPr>
                <w:rFonts w:ascii="Century Gothic" w:eastAsia="Calibri" w:hAnsi="Century Gothic" w:cs="Arial"/>
                <w:lang w:val="es-ES_tradnl" w:eastAsia="es-ES_tradnl"/>
              </w:rPr>
              <w:t xml:space="preserve">                                      </w:t>
            </w:r>
          </w:p>
        </w:tc>
        <w:tc>
          <w:tcPr>
            <w:tcW w:w="6237" w:type="dxa"/>
          </w:tcPr>
          <w:p w14:paraId="3CDEF621" w14:textId="77777777" w:rsidR="005B2815" w:rsidRPr="000B379D" w:rsidRDefault="005B2815" w:rsidP="005B2815">
            <w:pPr>
              <w:spacing w:after="120" w:line="276" w:lineRule="auto"/>
              <w:jc w:val="both"/>
              <w:rPr>
                <w:rFonts w:ascii="Century Gothic" w:eastAsia="Calibri" w:hAnsi="Century Gothic" w:cs="Arial"/>
                <w:bCs/>
                <w:sz w:val="12"/>
                <w:szCs w:val="12"/>
                <w:lang w:val="es-ES_tradnl" w:eastAsia="es-ES_tradnl"/>
              </w:rPr>
            </w:pPr>
            <w:r>
              <w:rPr>
                <w:rFonts w:ascii="Century Gothic" w:eastAsia="Calibri" w:hAnsi="Century Gothic" w:cs="Arial"/>
                <w:bCs/>
                <w:lang w:val="es-ES_tradnl" w:eastAsia="es-ES_tradnl"/>
              </w:rPr>
              <w:t xml:space="preserve">PUBLICIDAD – SECOP – Entidades exceptuadas / CIRCULARES DE COLOMBIA COMPRA EFICIENTE – Nulidad parcial – alcance / PUBLICIDAD – SECOP – Fundamento Normativo – Ley 1712 de 2014 – Ley 2195 de 2022 </w:t>
            </w:r>
          </w:p>
        </w:tc>
      </w:tr>
      <w:tr w:rsidR="005B2815" w:rsidRPr="000B379D" w14:paraId="0897D86F" w14:textId="77777777" w:rsidTr="00D7753F">
        <w:trPr>
          <w:trHeight w:val="227"/>
        </w:trPr>
        <w:tc>
          <w:tcPr>
            <w:tcW w:w="2689" w:type="dxa"/>
          </w:tcPr>
          <w:p w14:paraId="028CDD0F" w14:textId="77777777" w:rsidR="005B2815" w:rsidRPr="000B379D" w:rsidRDefault="005B2815" w:rsidP="00D7753F">
            <w:pPr>
              <w:contextualSpacing/>
              <w:jc w:val="both"/>
              <w:rPr>
                <w:rFonts w:ascii="Century Gothic" w:eastAsia="Calibri" w:hAnsi="Century Gothic" w:cs="Arial"/>
                <w:b/>
                <w:lang w:val="es-ES_tradnl" w:eastAsia="es-ES_tradnl"/>
              </w:rPr>
            </w:pPr>
            <w:r w:rsidRPr="000B379D">
              <w:rPr>
                <w:rFonts w:ascii="Century Gothic" w:eastAsia="Calibri" w:hAnsi="Century Gothic" w:cs="Arial"/>
                <w:b/>
                <w:lang w:val="es-ES_tradnl" w:eastAsia="es-ES_tradnl"/>
              </w:rPr>
              <w:t>Radicación:</w:t>
            </w:r>
            <w:r w:rsidRPr="000B379D">
              <w:rPr>
                <w:rFonts w:ascii="Century Gothic" w:eastAsia="Calibri" w:hAnsi="Century Gothic" w:cs="Arial"/>
                <w:lang w:val="es-ES_tradnl" w:eastAsia="es-ES_tradnl"/>
              </w:rPr>
              <w:t xml:space="preserve">                             </w:t>
            </w:r>
          </w:p>
        </w:tc>
        <w:tc>
          <w:tcPr>
            <w:tcW w:w="6237" w:type="dxa"/>
          </w:tcPr>
          <w:p w14:paraId="71093088" w14:textId="77777777" w:rsidR="005B2815" w:rsidRPr="000B379D" w:rsidRDefault="005B2815" w:rsidP="00D7753F">
            <w:pPr>
              <w:contextualSpacing/>
              <w:jc w:val="both"/>
              <w:rPr>
                <w:rFonts w:ascii="Century Gothic" w:eastAsia="Calibri" w:hAnsi="Century Gothic" w:cs="Arial"/>
                <w:lang w:val="es-ES_tradnl" w:eastAsia="es-ES_tradnl"/>
              </w:rPr>
            </w:pPr>
            <w:r w:rsidRPr="000B379D">
              <w:rPr>
                <w:rFonts w:ascii="Century Gothic" w:eastAsia="Calibri" w:hAnsi="Century Gothic" w:cs="Arial"/>
                <w:lang w:val="es-ES_tradnl" w:eastAsia="es-ES_tradnl"/>
              </w:rPr>
              <w:t xml:space="preserve">Respuesta a consulta </w:t>
            </w:r>
            <w:r w:rsidRPr="00E2251D">
              <w:rPr>
                <w:rFonts w:ascii="Century Gothic" w:eastAsia="Calibri" w:hAnsi="Century Gothic" w:cs="Arial"/>
                <w:lang w:val="es-ES_tradnl" w:eastAsia="es-ES_tradnl"/>
              </w:rPr>
              <w:t>P20231211017598</w:t>
            </w:r>
          </w:p>
        </w:tc>
      </w:tr>
    </w:tbl>
    <w:p w14:paraId="4456CAA7" w14:textId="77777777" w:rsidR="005B2815" w:rsidRPr="000B379D" w:rsidRDefault="005B2815" w:rsidP="005B2815">
      <w:pPr>
        <w:contextualSpacing/>
        <w:jc w:val="both"/>
        <w:rPr>
          <w:rFonts w:ascii="Century Gothic" w:eastAsia="Calibri" w:hAnsi="Century Gothic" w:cs="Arial"/>
          <w:lang w:val="es-ES_tradnl" w:eastAsia="es-ES_tradnl"/>
        </w:rPr>
      </w:pPr>
    </w:p>
    <w:p w14:paraId="50A94893" w14:textId="77777777" w:rsidR="005B2815" w:rsidRPr="000B379D" w:rsidRDefault="005B2815" w:rsidP="005B2815">
      <w:pPr>
        <w:contextualSpacing/>
        <w:jc w:val="both"/>
        <w:rPr>
          <w:rFonts w:ascii="Century Gothic" w:eastAsia="Calibri" w:hAnsi="Century Gothic" w:cs="Arial"/>
          <w:lang w:val="es-ES_tradnl" w:eastAsia="es-ES_tradnl"/>
        </w:rPr>
      </w:pPr>
    </w:p>
    <w:p w14:paraId="09521C6D" w14:textId="77777777" w:rsidR="005B2815" w:rsidRPr="000B379D" w:rsidRDefault="005B2815" w:rsidP="005B2815">
      <w:pPr>
        <w:contextualSpacing/>
        <w:jc w:val="both"/>
        <w:rPr>
          <w:rFonts w:ascii="Century Gothic" w:eastAsia="Calibri" w:hAnsi="Century Gothic" w:cs="Arial"/>
          <w:lang w:val="es-ES" w:eastAsia="es-ES"/>
        </w:rPr>
      </w:pPr>
      <w:r w:rsidRPr="000B379D">
        <w:rPr>
          <w:rFonts w:ascii="Century Gothic" w:eastAsia="Calibri" w:hAnsi="Century Gothic" w:cs="Arial"/>
          <w:lang w:val="es-ES" w:eastAsia="es-ES"/>
        </w:rPr>
        <w:t>Respetad</w:t>
      </w:r>
      <w:r>
        <w:rPr>
          <w:rFonts w:ascii="Century Gothic" w:eastAsia="Calibri" w:hAnsi="Century Gothic" w:cs="Arial"/>
          <w:lang w:val="es-ES" w:eastAsia="es-ES"/>
        </w:rPr>
        <w:t>o</w:t>
      </w:r>
      <w:r w:rsidRPr="000B379D">
        <w:rPr>
          <w:rFonts w:ascii="Century Gothic" w:eastAsia="Calibri" w:hAnsi="Century Gothic" w:cs="Arial"/>
          <w:lang w:val="es-ES" w:eastAsia="es-ES"/>
        </w:rPr>
        <w:t xml:space="preserve"> </w:t>
      </w:r>
      <w:r>
        <w:rPr>
          <w:rFonts w:ascii="Century Gothic" w:eastAsia="Calibri" w:hAnsi="Century Gothic" w:cs="Arial"/>
          <w:lang w:val="es-ES" w:eastAsia="es-ES"/>
        </w:rPr>
        <w:t>señor Moncada</w:t>
      </w:r>
      <w:r w:rsidRPr="000B379D">
        <w:rPr>
          <w:rFonts w:ascii="Century Gothic" w:eastAsia="Calibri" w:hAnsi="Century Gothic" w:cs="Arial"/>
          <w:lang w:val="es-ES" w:eastAsia="es-ES"/>
        </w:rPr>
        <w:t xml:space="preserve">: </w:t>
      </w:r>
    </w:p>
    <w:p w14:paraId="2E194017" w14:textId="77777777" w:rsidR="005B2815" w:rsidRPr="000B379D" w:rsidRDefault="005B2815" w:rsidP="005B2815">
      <w:pPr>
        <w:spacing w:line="276" w:lineRule="auto"/>
        <w:contextualSpacing/>
        <w:jc w:val="both"/>
        <w:rPr>
          <w:rFonts w:ascii="Century Gothic" w:eastAsia="Calibri" w:hAnsi="Century Gothic" w:cs="Arial"/>
          <w:szCs w:val="24"/>
          <w:lang w:val="es-ES_tradnl" w:eastAsia="es-ES_tradnl"/>
        </w:rPr>
      </w:pPr>
    </w:p>
    <w:bookmarkEnd w:id="0"/>
    <w:bookmarkEnd w:id="1"/>
    <w:p w14:paraId="19BC7891" w14:textId="77777777" w:rsidR="005B2815" w:rsidRDefault="005B2815" w:rsidP="005B2815">
      <w:pPr>
        <w:spacing w:after="0" w:line="276" w:lineRule="auto"/>
        <w:jc w:val="both"/>
        <w:rPr>
          <w:rFonts w:ascii="Century Gothic" w:eastAsia="Calibri" w:hAnsi="Century Gothic" w:cs="Arial"/>
          <w:color w:val="000000" w:themeColor="text1"/>
          <w:lang w:val="es-ES_tradnl"/>
        </w:rPr>
      </w:pPr>
      <w:r w:rsidRPr="000B379D">
        <w:rPr>
          <w:rFonts w:ascii="Century Gothic" w:eastAsia="Calibri" w:hAnsi="Century Gothic" w:cs="Arial"/>
          <w:color w:val="000000" w:themeColor="text1"/>
          <w:lang w:val="es-ES_tradnl"/>
        </w:rPr>
        <w:t>En ejercicio de la competencia otorgada por el numeral 8</w:t>
      </w:r>
      <w:r>
        <w:rPr>
          <w:rFonts w:ascii="Century Gothic" w:eastAsia="Calibri" w:hAnsi="Century Gothic" w:cs="Arial"/>
          <w:color w:val="000000" w:themeColor="text1"/>
          <w:lang w:val="es-ES_tradnl"/>
        </w:rPr>
        <w:t>°</w:t>
      </w:r>
      <w:r w:rsidRPr="000B379D">
        <w:rPr>
          <w:rFonts w:ascii="Century Gothic" w:eastAsia="Calibri" w:hAnsi="Century Gothic" w:cs="Arial"/>
          <w:color w:val="000000" w:themeColor="text1"/>
          <w:lang w:val="es-ES_tradnl"/>
        </w:rPr>
        <w:t xml:space="preserve"> del artículo 11 y el numeral 5</w:t>
      </w:r>
      <w:r>
        <w:rPr>
          <w:rFonts w:ascii="Century Gothic" w:eastAsia="Calibri" w:hAnsi="Century Gothic" w:cs="Arial"/>
          <w:color w:val="000000" w:themeColor="text1"/>
          <w:lang w:val="es-ES_tradnl"/>
        </w:rPr>
        <w:t>°</w:t>
      </w:r>
      <w:r w:rsidRPr="000B379D">
        <w:rPr>
          <w:rFonts w:ascii="Century Gothic" w:eastAsia="Calibri" w:hAnsi="Century Gothic" w:cs="Arial"/>
          <w:color w:val="000000" w:themeColor="text1"/>
          <w:lang w:val="es-ES_tradnl"/>
        </w:rPr>
        <w:t xml:space="preserve"> del artículo 3 del Decreto Ley 4170 de 2011</w:t>
      </w:r>
      <w:bookmarkStart w:id="3" w:name="_Hlk99120496"/>
      <w:r w:rsidRPr="000B379D">
        <w:rPr>
          <w:rFonts w:ascii="Century Gothic" w:eastAsia="Arial MT" w:hAnsi="Century Gothic" w:cs="Arial MT"/>
          <w:lang w:val="es-ES"/>
        </w:rPr>
        <w:t xml:space="preserve">, </w:t>
      </w:r>
      <w:bookmarkEnd w:id="3"/>
      <w:r w:rsidRPr="000B379D">
        <w:rPr>
          <w:rFonts w:ascii="Century Gothic" w:eastAsia="Calibri" w:hAnsi="Century Gothic" w:cs="Arial"/>
          <w:color w:val="000000" w:themeColor="text1"/>
          <w:lang w:val="es-ES_tradnl"/>
        </w:rPr>
        <w:t xml:space="preserve">la Agencia Nacional de </w:t>
      </w:r>
      <w:r w:rsidRPr="000B379D">
        <w:rPr>
          <w:rFonts w:ascii="Century Gothic" w:eastAsia="Calibri" w:hAnsi="Century Gothic" w:cs="Arial"/>
          <w:color w:val="000000" w:themeColor="text1"/>
          <w:lang w:val="es-ES_tradnl"/>
        </w:rPr>
        <w:lastRenderedPageBreak/>
        <w:t xml:space="preserve">Contratación Pública – Colombia Compra Eficiente responde la </w:t>
      </w:r>
      <w:r>
        <w:rPr>
          <w:rFonts w:ascii="Century Gothic" w:eastAsia="Calibri" w:hAnsi="Century Gothic" w:cs="Arial"/>
          <w:color w:val="000000" w:themeColor="text1"/>
          <w:lang w:val="es-ES_tradnl"/>
        </w:rPr>
        <w:t>consulta radicada el 11 de diciembre de 2023.</w:t>
      </w:r>
    </w:p>
    <w:p w14:paraId="6E6A0DB7" w14:textId="77777777" w:rsidR="005B2815" w:rsidRDefault="005B2815" w:rsidP="005B2815">
      <w:pPr>
        <w:spacing w:after="0" w:line="276" w:lineRule="auto"/>
        <w:jc w:val="both"/>
        <w:rPr>
          <w:rFonts w:ascii="Century Gothic" w:eastAsia="Calibri" w:hAnsi="Century Gothic" w:cs="Arial"/>
          <w:color w:val="000000" w:themeColor="text1"/>
          <w:lang w:val="es-ES_tradnl"/>
        </w:rPr>
      </w:pPr>
      <w:r>
        <w:rPr>
          <w:rFonts w:ascii="Century Gothic" w:eastAsia="Calibri" w:hAnsi="Century Gothic" w:cs="Arial"/>
          <w:color w:val="000000" w:themeColor="text1"/>
          <w:lang w:val="es-ES_tradnl"/>
        </w:rPr>
        <w:t xml:space="preserve"> </w:t>
      </w:r>
    </w:p>
    <w:p w14:paraId="759D2AC6" w14:textId="77777777" w:rsidR="005B2815" w:rsidRDefault="005B2815" w:rsidP="005B2815">
      <w:pPr>
        <w:pStyle w:val="Prrafodelista"/>
        <w:numPr>
          <w:ilvl w:val="0"/>
          <w:numId w:val="1"/>
        </w:numPr>
        <w:spacing w:after="0" w:line="276" w:lineRule="auto"/>
        <w:ind w:left="426"/>
        <w:jc w:val="both"/>
        <w:rPr>
          <w:rFonts w:ascii="Century Gothic" w:eastAsia="Calibri" w:hAnsi="Century Gothic" w:cs="Arial"/>
          <w:b/>
          <w:bCs/>
          <w:color w:val="000000" w:themeColor="text1"/>
          <w:lang w:val="es-ES_tradnl"/>
        </w:rPr>
      </w:pPr>
      <w:r w:rsidRPr="00744B64">
        <w:rPr>
          <w:rFonts w:ascii="Century Gothic" w:eastAsia="Calibri" w:hAnsi="Century Gothic" w:cs="Arial"/>
          <w:b/>
          <w:bCs/>
          <w:color w:val="000000" w:themeColor="text1"/>
          <w:lang w:val="es-ES_tradnl"/>
        </w:rPr>
        <w:t>Problema planteado</w:t>
      </w:r>
    </w:p>
    <w:p w14:paraId="297EF387" w14:textId="77777777" w:rsidR="005B2815" w:rsidRDefault="005B2815" w:rsidP="005B2815">
      <w:pPr>
        <w:spacing w:after="0" w:line="276" w:lineRule="auto"/>
        <w:ind w:left="66"/>
        <w:jc w:val="both"/>
        <w:rPr>
          <w:rFonts w:ascii="Century Gothic" w:eastAsia="Calibri" w:hAnsi="Century Gothic" w:cs="Arial"/>
          <w:color w:val="000000" w:themeColor="text1"/>
          <w:lang w:val="es-ES_tradnl"/>
        </w:rPr>
      </w:pPr>
    </w:p>
    <w:p w14:paraId="065156CA" w14:textId="77777777" w:rsidR="005B2815" w:rsidRDefault="005B2815" w:rsidP="005B2815">
      <w:pPr>
        <w:spacing w:after="0" w:line="276" w:lineRule="auto"/>
        <w:ind w:left="66"/>
        <w:jc w:val="both"/>
        <w:rPr>
          <w:rFonts w:ascii="Century Gothic" w:eastAsia="Calibri" w:hAnsi="Century Gothic" w:cs="Arial"/>
          <w:color w:val="000000" w:themeColor="text1"/>
          <w:lang w:val="es-ES_tradnl"/>
        </w:rPr>
      </w:pPr>
      <w:r w:rsidRPr="00E0734E">
        <w:rPr>
          <w:rFonts w:ascii="Century Gothic" w:eastAsia="Calibri" w:hAnsi="Century Gothic" w:cs="Arial"/>
          <w:color w:val="000000" w:themeColor="text1"/>
          <w:lang w:val="es-ES_tradnl"/>
        </w:rPr>
        <w:t xml:space="preserve">En su petición usted </w:t>
      </w:r>
      <w:r>
        <w:rPr>
          <w:rFonts w:ascii="Century Gothic" w:eastAsia="Calibri" w:hAnsi="Century Gothic" w:cs="Arial"/>
          <w:color w:val="000000" w:themeColor="text1"/>
          <w:lang w:val="es-ES_tradnl"/>
        </w:rPr>
        <w:t>indica</w:t>
      </w:r>
      <w:r w:rsidRPr="00E0734E">
        <w:rPr>
          <w:rFonts w:ascii="Century Gothic" w:eastAsia="Calibri" w:hAnsi="Century Gothic" w:cs="Arial"/>
          <w:color w:val="000000" w:themeColor="text1"/>
          <w:lang w:val="es-ES_tradnl"/>
        </w:rPr>
        <w:t xml:space="preserve">: </w:t>
      </w:r>
    </w:p>
    <w:p w14:paraId="797B4790" w14:textId="77777777" w:rsidR="005B2815" w:rsidRPr="00E0734E" w:rsidRDefault="005B2815" w:rsidP="005B2815">
      <w:pPr>
        <w:spacing w:after="0" w:line="276" w:lineRule="auto"/>
        <w:ind w:left="66"/>
        <w:jc w:val="both"/>
        <w:rPr>
          <w:rFonts w:ascii="Century Gothic" w:eastAsia="Calibri" w:hAnsi="Century Gothic" w:cs="Arial"/>
          <w:color w:val="000000" w:themeColor="text1"/>
          <w:lang w:val="es-ES_tradnl"/>
        </w:rPr>
      </w:pPr>
    </w:p>
    <w:p w14:paraId="09756AC2" w14:textId="77777777" w:rsidR="005B2815" w:rsidRPr="00317251" w:rsidRDefault="005B2815" w:rsidP="005B2815">
      <w:pPr>
        <w:spacing w:after="0" w:line="276" w:lineRule="auto"/>
        <w:ind w:left="709" w:right="709"/>
        <w:jc w:val="both"/>
        <w:rPr>
          <w:rFonts w:ascii="Century Gothic" w:eastAsia="Calibri" w:hAnsi="Century Gothic" w:cs="Arial"/>
          <w:color w:val="000000" w:themeColor="text1"/>
          <w:sz w:val="20"/>
          <w:szCs w:val="20"/>
          <w:lang w:val="es-ES_tradnl"/>
        </w:rPr>
      </w:pPr>
      <w:r w:rsidRPr="00317251">
        <w:rPr>
          <w:rFonts w:ascii="Century Gothic" w:eastAsia="Calibri" w:hAnsi="Century Gothic" w:cs="Arial"/>
          <w:color w:val="000000" w:themeColor="text1"/>
          <w:sz w:val="20"/>
          <w:szCs w:val="20"/>
          <w:lang w:val="es-ES_tradnl"/>
        </w:rPr>
        <w:t>“Respetuosamente solicito me informen si después de la declaratoria de nulidad que contiene la sentencia del C.E. con radicado 11001-03-26-000-2016-00003-00 (56151), acumulado con 11001-03-26-000-2016-00001-00 (56160), 11001-03-26-000-2016-00002-00 (56163), 11001-03-26-000-2016-00004-00 (56162) y 11001-03-26-000-2017-00026-00 (58711) del 19 de octubre de 2023, acerca de las Resoluciones expedidas por Colombia Compra Eficiente que tiene que ver con la obligatoriedad de publicación contractual de las entidades con régimen especial. Si del momento de la ejecutoria de la misma ya este tipo de entidades no tienen la obligación de publicar sus contratos en el SECOP II”</w:t>
      </w:r>
      <w:r>
        <w:rPr>
          <w:rFonts w:ascii="Century Gothic" w:eastAsia="Calibri" w:hAnsi="Century Gothic" w:cs="Arial"/>
          <w:color w:val="000000" w:themeColor="text1"/>
          <w:sz w:val="20"/>
          <w:szCs w:val="20"/>
          <w:lang w:val="es-ES_tradnl"/>
        </w:rPr>
        <w:t xml:space="preserve"> [SIC]</w:t>
      </w:r>
      <w:r w:rsidRPr="00317251">
        <w:rPr>
          <w:rFonts w:ascii="Century Gothic" w:eastAsia="Calibri" w:hAnsi="Century Gothic" w:cs="Arial"/>
          <w:color w:val="000000" w:themeColor="text1"/>
          <w:sz w:val="20"/>
          <w:szCs w:val="20"/>
          <w:lang w:val="es-ES_tradnl"/>
        </w:rPr>
        <w:t>.</w:t>
      </w:r>
    </w:p>
    <w:p w14:paraId="788D494C" w14:textId="77777777" w:rsidR="005B2815" w:rsidRDefault="005B2815" w:rsidP="005B2815">
      <w:pPr>
        <w:spacing w:after="0" w:line="276" w:lineRule="auto"/>
        <w:ind w:left="66"/>
        <w:jc w:val="both"/>
        <w:rPr>
          <w:rFonts w:ascii="Century Gothic" w:eastAsia="Calibri" w:hAnsi="Century Gothic" w:cs="Arial"/>
          <w:b/>
          <w:bCs/>
          <w:color w:val="000000" w:themeColor="text1"/>
          <w:lang w:val="es-ES_tradnl"/>
        </w:rPr>
      </w:pPr>
    </w:p>
    <w:p w14:paraId="7EE0A17B" w14:textId="77777777" w:rsidR="005B2815" w:rsidRDefault="005B2815" w:rsidP="005B2815">
      <w:pPr>
        <w:pStyle w:val="Prrafodelista"/>
        <w:numPr>
          <w:ilvl w:val="0"/>
          <w:numId w:val="1"/>
        </w:numPr>
        <w:spacing w:after="120" w:line="276" w:lineRule="auto"/>
        <w:ind w:left="426"/>
        <w:jc w:val="both"/>
        <w:rPr>
          <w:rFonts w:ascii="Century Gothic" w:eastAsia="Calibri" w:hAnsi="Century Gothic" w:cs="Arial"/>
          <w:b/>
          <w:bCs/>
          <w:color w:val="000000" w:themeColor="text1"/>
          <w:lang w:val="es-ES_tradnl"/>
        </w:rPr>
      </w:pPr>
      <w:r>
        <w:rPr>
          <w:rFonts w:ascii="Century Gothic" w:eastAsia="Calibri" w:hAnsi="Century Gothic" w:cs="Arial"/>
          <w:b/>
          <w:bCs/>
          <w:color w:val="000000" w:themeColor="text1"/>
          <w:lang w:val="es-ES_tradnl"/>
        </w:rPr>
        <w:t>Consideraciones</w:t>
      </w:r>
    </w:p>
    <w:p w14:paraId="0A9FE705" w14:textId="77777777" w:rsidR="005B2815" w:rsidRDefault="005B2815" w:rsidP="005B2815">
      <w:pPr>
        <w:pStyle w:val="Prrafodelista"/>
        <w:spacing w:after="0" w:line="240" w:lineRule="auto"/>
        <w:ind w:left="426"/>
        <w:jc w:val="both"/>
        <w:rPr>
          <w:rFonts w:ascii="Century Gothic" w:eastAsia="Calibri" w:hAnsi="Century Gothic" w:cs="Arial"/>
          <w:b/>
          <w:bCs/>
          <w:color w:val="000000" w:themeColor="text1"/>
          <w:lang w:val="es-ES_tradnl"/>
        </w:rPr>
      </w:pPr>
    </w:p>
    <w:p w14:paraId="336E5DB2" w14:textId="77777777" w:rsidR="005B2815" w:rsidRPr="004204E3" w:rsidRDefault="005B2815" w:rsidP="005B2815">
      <w:pPr>
        <w:spacing w:after="120" w:line="276" w:lineRule="auto"/>
        <w:jc w:val="both"/>
        <w:rPr>
          <w:rFonts w:ascii="Century Gothic" w:hAnsi="Century Gothic" w:cs="Arial"/>
          <w:lang w:val="es-ES"/>
        </w:rPr>
      </w:pPr>
      <w:r w:rsidRPr="004204E3">
        <w:rPr>
          <w:rFonts w:ascii="Century Gothic" w:hAnsi="Century Gothic" w:cs="Aria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4" w:name="_Hlk61701014"/>
      <w:bookmarkStart w:id="5" w:name="_Hlk62136649"/>
      <w:r w:rsidRPr="004204E3">
        <w:rPr>
          <w:rFonts w:ascii="Century Gothic" w:hAnsi="Century Gothic" w:cs="Arial"/>
        </w:rPr>
        <w:t xml:space="preserve">. </w:t>
      </w:r>
      <w:r w:rsidRPr="004204E3">
        <w:rPr>
          <w:rFonts w:ascii="Century Gothic" w:hAnsi="Century Gothic" w:cs="Arial"/>
          <w:lang w:val="es-ES"/>
        </w:rPr>
        <w:t xml:space="preserve">Es necesario tener en cuenta que </w:t>
      </w:r>
      <w:bookmarkStart w:id="6" w:name="_Hlk61026958"/>
      <w:r w:rsidRPr="004204E3">
        <w:rPr>
          <w:rFonts w:ascii="Century Gothic" w:hAnsi="Century Gothic"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4204E3">
        <w:rPr>
          <w:rFonts w:ascii="Century Gothic" w:hAnsi="Century Gothic" w:cs="Arial"/>
        </w:rPr>
        <w:t xml:space="preserve"> de todos los partícipes de la contratación estatal.</w:t>
      </w:r>
      <w:r w:rsidRPr="004204E3">
        <w:rPr>
          <w:rFonts w:ascii="Century Gothic" w:hAnsi="Century Gothic" w:cs="Arial"/>
          <w:lang w:val="es-ES"/>
        </w:rPr>
        <w:t xml:space="preserve"> </w:t>
      </w:r>
      <w:bookmarkEnd w:id="4"/>
      <w:bookmarkEnd w:id="5"/>
      <w:bookmarkEnd w:id="6"/>
    </w:p>
    <w:p w14:paraId="2C0D35F4" w14:textId="77777777" w:rsidR="005B2815" w:rsidRPr="004204E3" w:rsidRDefault="005B2815" w:rsidP="005B2815">
      <w:pPr>
        <w:spacing w:after="120" w:line="276" w:lineRule="auto"/>
        <w:ind w:firstLine="708"/>
        <w:jc w:val="both"/>
        <w:rPr>
          <w:rFonts w:ascii="Century Gothic" w:hAnsi="Century Gothic" w:cs="Arial"/>
          <w:lang w:val="es-ES"/>
        </w:rPr>
      </w:pPr>
      <w:r w:rsidRPr="004204E3">
        <w:rPr>
          <w:rFonts w:ascii="Century Gothic" w:eastAsia="Calibri"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4204E3">
        <w:rPr>
          <w:rFonts w:ascii="Century Gothic" w:eastAsia="Calibri" w:hAnsi="Century Gothic" w:cs="Arial"/>
          <w:vertAlign w:val="superscript"/>
          <w:lang w:val="es-ES"/>
        </w:rPr>
        <w:footnoteReference w:id="1"/>
      </w:r>
      <w:r w:rsidRPr="004204E3">
        <w:rPr>
          <w:rFonts w:ascii="Century Gothic" w:eastAsia="Calibri" w:hAnsi="Century Gothic" w:cs="Arial"/>
          <w:lang w:val="es-ES"/>
        </w:rPr>
        <w:t xml:space="preserve">. Esta competencia de interpretación de normas generales, </w:t>
      </w:r>
      <w:r w:rsidRPr="004204E3">
        <w:rPr>
          <w:rFonts w:ascii="Century Gothic" w:eastAsia="Calibri" w:hAnsi="Century Gothic" w:cs="Arial"/>
          <w:lang w:val="es-ES"/>
        </w:rPr>
        <w:lastRenderedPageBreak/>
        <w:t xml:space="preserve">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contractuales de donde surge la inquietud. Por lo anterior, previo concepto de sus órganos asesores, la solución de estos temas corresponde a la Entidad que suscribió el contrato y, en caso de conflicto, a las autoridades judiciales, fiscales y disciplinarias. </w:t>
      </w:r>
    </w:p>
    <w:p w14:paraId="11DBA5A3" w14:textId="77777777" w:rsidR="005B2815" w:rsidRPr="00B42B7E" w:rsidRDefault="005B2815" w:rsidP="005B2815">
      <w:pPr>
        <w:spacing w:after="120" w:line="276" w:lineRule="auto"/>
        <w:ind w:firstLine="708"/>
        <w:jc w:val="both"/>
        <w:rPr>
          <w:rFonts w:ascii="Century Gothic" w:eastAsia="Times New Roman" w:hAnsi="Century Gothic" w:cs="Arial"/>
          <w:lang w:val="es-ES" w:eastAsia="es-ES"/>
        </w:rPr>
      </w:pPr>
      <w:r w:rsidRPr="00B42B7E">
        <w:rPr>
          <w:rFonts w:ascii="Century Gothic" w:eastAsia="Calibri" w:hAnsi="Century Gothic" w:cs="Arial"/>
          <w:color w:val="000000"/>
          <w:lang w:val="es-MX"/>
        </w:rPr>
        <w:t xml:space="preserve">Sin perjuicio de lo anterior, </w:t>
      </w:r>
      <w:r w:rsidRPr="00B42B7E">
        <w:rPr>
          <w:rFonts w:ascii="Century Gothic" w:eastAsia="Calibri" w:hAnsi="Century Gothic" w:cs="Arial"/>
          <w:color w:val="000000"/>
        </w:rPr>
        <w:t xml:space="preserve">la Subdirección de Gestión Contractual –dentro de los límites de sus atribuciones, esto es, </w:t>
      </w:r>
      <w:bookmarkStart w:id="7" w:name="_Hlk61025408"/>
      <w:r w:rsidRPr="00B42B7E">
        <w:rPr>
          <w:rFonts w:ascii="Century Gothic" w:eastAsia="Calibri" w:hAnsi="Century Gothic" w:cs="Arial"/>
          <w:color w:val="000000"/>
        </w:rPr>
        <w:t>haciendo abstracción del caso particular expuesto por el peticionari</w:t>
      </w:r>
      <w:bookmarkEnd w:id="7"/>
      <w:r w:rsidRPr="00B42B7E">
        <w:rPr>
          <w:rFonts w:ascii="Century Gothic" w:eastAsia="Calibri" w:hAnsi="Century Gothic" w:cs="Arial"/>
          <w:color w:val="000000"/>
        </w:rPr>
        <w:t>o– resolverá la consulta conforme a las normas generales en materia de contratación estatal</w:t>
      </w:r>
      <w:r w:rsidRPr="00B42B7E">
        <w:rPr>
          <w:rFonts w:ascii="Century Gothic" w:eastAsia="Calibri" w:hAnsi="Century Gothic" w:cs="Arial"/>
          <w:lang w:val="es-ES_tradnl" w:eastAsia="es-MX"/>
        </w:rPr>
        <w:t xml:space="preserve">, para efectos de los cual se realizarán algunas consideraciones </w:t>
      </w:r>
      <w:r w:rsidRPr="00B42B7E">
        <w:rPr>
          <w:rFonts w:ascii="Century Gothic" w:eastAsia="Times New Roman" w:hAnsi="Century Gothic" w:cs="Arial"/>
          <w:lang w:eastAsia="es-ES"/>
        </w:rPr>
        <w:t xml:space="preserve">sobre los principios de publicidad y de acceso a la información pública en la contratación estatal, y sobre </w:t>
      </w:r>
      <w:r w:rsidRPr="00B42B7E">
        <w:rPr>
          <w:rFonts w:ascii="Century Gothic" w:eastAsia="Calibri" w:hAnsi="Century Gothic" w:cs="Arial"/>
          <w:lang w:val="es-ES" w:eastAsia="es-ES"/>
        </w:rPr>
        <w:t xml:space="preserve">los fundamentos normativos del deber de publicar la documentación contractual en las Sistema Electrónico de Contratación Pública–SECOP–, lo cuales han sido materia de estudio de la doctrina de esta Subdirección en conceptos como el CU-003 del 15 de enero de 2020, </w:t>
      </w:r>
      <w:r w:rsidRPr="00B42B7E">
        <w:rPr>
          <w:rFonts w:ascii="Century Gothic" w:eastAsia="Times New Roman" w:hAnsi="Century Gothic" w:cs="Arial"/>
          <w:lang w:eastAsia="es-ES"/>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C-379 del 22 de junio de 2022 y algunos otros</w:t>
      </w:r>
      <w:r w:rsidRPr="00B42B7E">
        <w:rPr>
          <w:rFonts w:ascii="Century Gothic" w:eastAsia="Times New Roman" w:hAnsi="Century Gothic" w:cs="Arial"/>
          <w:lang w:val="es-ES" w:eastAsia="es-ES"/>
        </w:rPr>
        <w:t>. De igual manera, esta Subdirección se ha referido al alcance de lo dispuesto en el artículo 53 de la Ley 2195 de 202</w:t>
      </w:r>
      <w:r>
        <w:rPr>
          <w:rFonts w:ascii="Century Gothic" w:eastAsia="Times New Roman" w:hAnsi="Century Gothic" w:cs="Arial"/>
          <w:lang w:val="es-ES" w:eastAsia="es-ES"/>
        </w:rPr>
        <w:t>2</w:t>
      </w:r>
      <w:r w:rsidRPr="00B42B7E">
        <w:rPr>
          <w:rFonts w:ascii="Century Gothic" w:eastAsia="Times New Roman" w:hAnsi="Century Gothic" w:cs="Arial"/>
          <w:lang w:val="es-ES" w:eastAsia="es-ES"/>
        </w:rPr>
        <w:t xml:space="preserve"> en los conceptos C-049 del 7 de marzo de 2022, C-120 del 22 de marzo de 2022, C-124 del 22 de marzo de 2022, C-132 del 28 de marzo de 2022, C-337 del 25 de mayo de 2022, C-348 del 13 de junio de 2022, C-357 del 13 de junio de 2022, C-422 del 13 de julio de 2022, C-475 del 26 </w:t>
      </w:r>
      <w:r w:rsidRPr="00B42B7E">
        <w:rPr>
          <w:rFonts w:ascii="Century Gothic" w:eastAsia="Times New Roman" w:hAnsi="Century Gothic" w:cs="Arial"/>
          <w:lang w:val="es-ES" w:eastAsia="es-ES"/>
        </w:rPr>
        <w:lastRenderedPageBreak/>
        <w:t>de julio de 2022, C-480 del 18 de julio de 2022, C-492 del 2 de agosto de 2022, C-495 del 2 de agosto de 2022, C-510 del 8 de agosto de 2022, C-508 de 30 de agosto de 2022, C-457 del 24 de octubre de 2023, C-460 del 30 de noviembre de 2023, entre otros</w:t>
      </w:r>
      <w:r w:rsidRPr="00B42B7E">
        <w:rPr>
          <w:rStyle w:val="Refdenotaalpie"/>
          <w:rFonts w:ascii="Century Gothic" w:eastAsia="Times New Roman" w:hAnsi="Century Gothic" w:cs="Arial"/>
          <w:lang w:val="es-ES" w:eastAsia="es-ES"/>
        </w:rPr>
        <w:footnoteReference w:id="2"/>
      </w:r>
      <w:r w:rsidRPr="00B42B7E">
        <w:rPr>
          <w:rFonts w:ascii="Century Gothic" w:eastAsia="Times New Roman" w:hAnsi="Century Gothic" w:cs="Arial"/>
          <w:lang w:val="es-ES" w:eastAsia="es-ES"/>
        </w:rPr>
        <w:t>. Las ideas expuestas en dichas oportunidades se reiteran a continuación y se complementan en lo pertinente.</w:t>
      </w:r>
    </w:p>
    <w:p w14:paraId="326E2972" w14:textId="77777777" w:rsidR="005B2815" w:rsidRDefault="005B2815" w:rsidP="005B2815">
      <w:pPr>
        <w:spacing w:after="120" w:line="276" w:lineRule="auto"/>
        <w:ind w:firstLine="708"/>
        <w:jc w:val="both"/>
        <w:rPr>
          <w:rFonts w:ascii="Century Gothic" w:eastAsia="Calibri" w:hAnsi="Century Gothic" w:cs="Arial"/>
          <w:color w:val="000000" w:themeColor="text1"/>
          <w:lang w:val="es-ES_tradnl"/>
        </w:rPr>
      </w:pPr>
      <w:r>
        <w:rPr>
          <w:rFonts w:ascii="Century Gothic" w:eastAsia="Calibri" w:hAnsi="Century Gothic" w:cs="Arial"/>
          <w:lang w:val="es-ES" w:eastAsia="es-MX"/>
        </w:rPr>
        <w:t xml:space="preserve">Para dar respuesta a </w:t>
      </w:r>
      <w:r>
        <w:rPr>
          <w:rFonts w:ascii="Century Gothic" w:eastAsia="Calibri" w:hAnsi="Century Gothic" w:cs="Arial"/>
          <w:color w:val="000000" w:themeColor="text1"/>
          <w:lang w:val="es-ES_tradnl"/>
        </w:rPr>
        <w:t xml:space="preserve">la inquietud planteada, conviene comenzar por apuntar que, en efecto, la Subsección B de la Sección Tercera del Consejo de Estado, mediante Sentencia del 19 de octubre de 2023 con ponencia del Consejero </w:t>
      </w:r>
      <w:r w:rsidRPr="00FB6E8C">
        <w:rPr>
          <w:rFonts w:ascii="Century Gothic" w:eastAsia="Calibri" w:hAnsi="Century Gothic" w:cs="Arial"/>
          <w:color w:val="000000" w:themeColor="text1"/>
          <w:lang w:val="es-ES_tradnl"/>
        </w:rPr>
        <w:t>Martín Bermúdez Muñoz</w:t>
      </w:r>
      <w:r>
        <w:rPr>
          <w:rFonts w:ascii="Century Gothic" w:eastAsia="Calibri" w:hAnsi="Century Gothic" w:cs="Arial"/>
          <w:color w:val="000000" w:themeColor="text1"/>
          <w:lang w:val="es-ES_tradnl"/>
        </w:rPr>
        <w:t xml:space="preserve">, se pronunció sobre las circulares que aclaran la obligación que tienen </w:t>
      </w:r>
      <w:r w:rsidRPr="00A93A02">
        <w:rPr>
          <w:rFonts w:ascii="Century Gothic" w:eastAsia="Calibri" w:hAnsi="Century Gothic" w:cs="Arial"/>
          <w:color w:val="000000" w:themeColor="text1"/>
          <w:lang w:val="es-ES_tradnl"/>
        </w:rPr>
        <w:t>las entidades que</w:t>
      </w:r>
      <w:r>
        <w:rPr>
          <w:rFonts w:ascii="Century Gothic" w:eastAsia="Calibri" w:hAnsi="Century Gothic" w:cs="Arial"/>
          <w:color w:val="000000" w:themeColor="text1"/>
          <w:lang w:val="es-ES_tradnl"/>
        </w:rPr>
        <w:t xml:space="preserve"> </w:t>
      </w:r>
      <w:r w:rsidRPr="00A93A02">
        <w:rPr>
          <w:rFonts w:ascii="Century Gothic" w:eastAsia="Calibri" w:hAnsi="Century Gothic" w:cs="Arial"/>
          <w:color w:val="000000" w:themeColor="text1"/>
          <w:lang w:val="es-ES_tradnl"/>
        </w:rPr>
        <w:t>contrat</w:t>
      </w:r>
      <w:r>
        <w:rPr>
          <w:rFonts w:ascii="Century Gothic" w:eastAsia="Calibri" w:hAnsi="Century Gothic" w:cs="Arial"/>
          <w:color w:val="000000" w:themeColor="text1"/>
          <w:lang w:val="es-ES_tradnl"/>
        </w:rPr>
        <w:t>e</w:t>
      </w:r>
      <w:r w:rsidRPr="00A93A02">
        <w:rPr>
          <w:rFonts w:ascii="Century Gothic" w:eastAsia="Calibri" w:hAnsi="Century Gothic" w:cs="Arial"/>
          <w:color w:val="000000" w:themeColor="text1"/>
          <w:lang w:val="es-ES_tradnl"/>
        </w:rPr>
        <w:t>n con recursos públicos</w:t>
      </w:r>
      <w:r>
        <w:rPr>
          <w:rFonts w:ascii="Century Gothic" w:eastAsia="Calibri" w:hAnsi="Century Gothic" w:cs="Arial"/>
          <w:color w:val="000000" w:themeColor="text1"/>
          <w:lang w:val="es-ES_tradnl"/>
        </w:rPr>
        <w:t xml:space="preserve">, </w:t>
      </w:r>
      <w:r w:rsidRPr="00A93A02">
        <w:rPr>
          <w:rFonts w:ascii="Century Gothic" w:eastAsia="Calibri" w:hAnsi="Century Gothic" w:cs="Arial"/>
          <w:color w:val="000000" w:themeColor="text1"/>
          <w:lang w:val="es-ES_tradnl"/>
        </w:rPr>
        <w:t xml:space="preserve">independientemente </w:t>
      </w:r>
      <w:r>
        <w:rPr>
          <w:rFonts w:ascii="Century Gothic" w:eastAsia="Calibri" w:hAnsi="Century Gothic" w:cs="Arial"/>
          <w:color w:val="000000" w:themeColor="text1"/>
          <w:lang w:val="es-ES_tradnl"/>
        </w:rPr>
        <w:t xml:space="preserve">del régimen jurídico aplicable, de publicar su actividad contractual en el SECOP. De acuerdo con el numeral primero de la parte resolutiva, el Consejo de Estado declara </w:t>
      </w:r>
      <w:r w:rsidRPr="008F0A49">
        <w:rPr>
          <w:rFonts w:ascii="Century Gothic" w:eastAsia="Calibri" w:hAnsi="Century Gothic" w:cs="Arial"/>
          <w:i/>
          <w:iCs/>
          <w:color w:val="000000" w:themeColor="text1"/>
          <w:lang w:val="es-ES_tradnl"/>
        </w:rPr>
        <w:t xml:space="preserve">“[…] la nulidad de parcial de los apartes de las </w:t>
      </w:r>
      <w:bookmarkStart w:id="8" w:name="_Hlk153369149"/>
      <w:r w:rsidRPr="008F0A49">
        <w:rPr>
          <w:rFonts w:ascii="Century Gothic" w:eastAsia="Calibri" w:hAnsi="Century Gothic" w:cs="Arial"/>
          <w:i/>
          <w:iCs/>
          <w:color w:val="000000" w:themeColor="text1"/>
          <w:lang w:val="es-ES_tradnl"/>
        </w:rPr>
        <w:t>Circulares Externas Nro. 1 de 21 de junio de 2013 y Nro. 20 de 27 de agosto de 2015</w:t>
      </w:r>
      <w:bookmarkEnd w:id="8"/>
      <w:r w:rsidRPr="008F0A49">
        <w:rPr>
          <w:rFonts w:ascii="Century Gothic" w:eastAsia="Calibri" w:hAnsi="Century Gothic" w:cs="Arial"/>
          <w:i/>
          <w:iCs/>
          <w:color w:val="000000" w:themeColor="text1"/>
          <w:lang w:val="es-ES_tradnl"/>
        </w:rPr>
        <w:t>, expedidas por la Dirección de la Agencia Nacional de Contratación Pública Colombia Compra Eficiente, que contengan la expresión ‘actividad contractual’ […]”</w:t>
      </w:r>
      <w:r>
        <w:rPr>
          <w:rFonts w:ascii="Century Gothic" w:eastAsia="Calibri" w:hAnsi="Century Gothic" w:cs="Arial"/>
          <w:color w:val="000000" w:themeColor="text1"/>
          <w:lang w:val="es-ES_tradnl"/>
        </w:rPr>
        <w:t>.</w:t>
      </w:r>
    </w:p>
    <w:p w14:paraId="4738BBFA" w14:textId="77777777" w:rsidR="005B2815" w:rsidRPr="003932D2" w:rsidRDefault="005B2815" w:rsidP="005B2815">
      <w:pPr>
        <w:spacing w:after="120" w:line="276" w:lineRule="auto"/>
        <w:jc w:val="both"/>
        <w:rPr>
          <w:rFonts w:ascii="Century Gothic" w:eastAsia="Calibri" w:hAnsi="Century Gothic" w:cs="Arial"/>
          <w:color w:val="000000" w:themeColor="text1"/>
          <w:lang w:val="es-ES_tradnl"/>
        </w:rPr>
      </w:pPr>
      <w:r>
        <w:rPr>
          <w:rFonts w:ascii="Century Gothic" w:eastAsia="Calibri" w:hAnsi="Century Gothic" w:cs="Arial"/>
          <w:color w:val="000000" w:themeColor="text1"/>
          <w:lang w:val="es-ES_tradnl"/>
        </w:rPr>
        <w:tab/>
        <w:t xml:space="preserve">Como se observa, no se trata de una declaración de </w:t>
      </w:r>
      <w:r w:rsidRPr="0026489E">
        <w:rPr>
          <w:rFonts w:ascii="Century Gothic" w:eastAsia="Calibri" w:hAnsi="Century Gothic" w:cs="Arial"/>
          <w:i/>
          <w:iCs/>
          <w:color w:val="000000" w:themeColor="text1"/>
          <w:lang w:val="es-ES_tradnl"/>
        </w:rPr>
        <w:t>nulidad total</w:t>
      </w:r>
      <w:r>
        <w:rPr>
          <w:rFonts w:ascii="Century Gothic" w:eastAsia="Calibri" w:hAnsi="Century Gothic" w:cs="Arial"/>
          <w:color w:val="000000" w:themeColor="text1"/>
          <w:lang w:val="es-ES_tradnl"/>
        </w:rPr>
        <w:t xml:space="preserve"> y, por ello, salvo la expresión anulada, dichos actos administrativos continúan vigentes. De esta manera, “</w:t>
      </w:r>
      <w:r w:rsidRPr="008F0A49">
        <w:rPr>
          <w:rFonts w:ascii="Century Gothic" w:eastAsia="Calibri" w:hAnsi="Century Gothic" w:cs="Arial"/>
          <w:i/>
          <w:iCs/>
          <w:color w:val="000000" w:themeColor="text1"/>
          <w:lang w:val="es-ES_tradnl"/>
        </w:rPr>
        <w:t xml:space="preserve">Las entidades que contratan con cargo a recursos públicos están obligadas a publicar oportunamente </w:t>
      </w:r>
      <w:r w:rsidRPr="008F0A49">
        <w:rPr>
          <w:rFonts w:ascii="Century Gothic" w:eastAsia="Calibri" w:hAnsi="Century Gothic" w:cs="Arial"/>
          <w:b/>
          <w:bCs/>
          <w:i/>
          <w:iCs/>
          <w:strike/>
          <w:color w:val="000000" w:themeColor="text1"/>
          <w:lang w:val="es-ES_tradnl"/>
        </w:rPr>
        <w:t>su actividad contractual</w:t>
      </w:r>
      <w:r w:rsidRPr="008F0A49">
        <w:rPr>
          <w:rFonts w:ascii="Century Gothic" w:eastAsia="Calibri" w:hAnsi="Century Gothic" w:cs="Arial"/>
          <w:i/>
          <w:iCs/>
          <w:color w:val="000000" w:themeColor="text1"/>
          <w:lang w:val="es-ES_tradnl"/>
        </w:rPr>
        <w:t xml:space="preserve"> en el SECOP, sin que sea relevante para la exigencia de esta obligación su régimen jurídico, naturaleza de público o privado o la pertenencia a una u otra rama del poder público […]” –</w:t>
      </w:r>
      <w:r w:rsidRPr="008F0A49">
        <w:rPr>
          <w:i/>
          <w:iCs/>
        </w:rPr>
        <w:t xml:space="preserve"> </w:t>
      </w:r>
      <w:r w:rsidRPr="008F0A49">
        <w:rPr>
          <w:rFonts w:ascii="Century Gothic" w:eastAsia="Calibri" w:hAnsi="Century Gothic" w:cs="Arial"/>
          <w:i/>
          <w:iCs/>
          <w:color w:val="000000" w:themeColor="text1"/>
          <w:lang w:val="es-ES_tradnl"/>
        </w:rPr>
        <w:t>Circular Externa Nro. 1 del 21 de junio de 2013–</w:t>
      </w:r>
      <w:r>
        <w:rPr>
          <w:rFonts w:ascii="Century Gothic" w:eastAsia="Calibri" w:hAnsi="Century Gothic" w:cs="Arial"/>
          <w:color w:val="000000" w:themeColor="text1"/>
          <w:lang w:val="es-ES_tradnl"/>
        </w:rPr>
        <w:t xml:space="preserve">. Por lo demás, la Agencia </w:t>
      </w:r>
      <w:r w:rsidRPr="00E60A1B">
        <w:rPr>
          <w:rFonts w:ascii="Century Gothic" w:eastAsia="Calibri" w:hAnsi="Century Gothic" w:cs="Arial"/>
          <w:i/>
          <w:iCs/>
          <w:color w:val="000000" w:themeColor="text1"/>
          <w:lang w:val="es-ES_tradnl"/>
        </w:rPr>
        <w:t xml:space="preserve">“[…] da alcance a la Circular Externa 1 de 2013 para establecer las condiciones de publicidad </w:t>
      </w:r>
      <w:r w:rsidRPr="00E60A1B">
        <w:rPr>
          <w:rFonts w:ascii="Century Gothic" w:eastAsia="Calibri" w:hAnsi="Century Gothic" w:cs="Arial"/>
          <w:b/>
          <w:bCs/>
          <w:i/>
          <w:iCs/>
          <w:strike/>
          <w:color w:val="000000" w:themeColor="text1"/>
          <w:lang w:val="es-ES_tradnl"/>
        </w:rPr>
        <w:t>de la actividad contractual</w:t>
      </w:r>
      <w:r w:rsidRPr="00E60A1B">
        <w:rPr>
          <w:rFonts w:ascii="Century Gothic" w:eastAsia="Calibri" w:hAnsi="Century Gothic" w:cs="Arial"/>
          <w:i/>
          <w:iCs/>
          <w:color w:val="000000" w:themeColor="text1"/>
          <w:lang w:val="es-ES_tradnl"/>
        </w:rPr>
        <w:t xml:space="preserve"> de las empresas industriales y comerciales del Estado, las sociedades de economía mixta y las empresas de servicios públicos domiciliarios que en su actividad comercial están en situación de competencia”</w:t>
      </w:r>
      <w:r>
        <w:rPr>
          <w:rFonts w:ascii="Century Gothic" w:eastAsia="Calibri" w:hAnsi="Century Gothic" w:cs="Arial"/>
          <w:color w:val="000000" w:themeColor="text1"/>
          <w:lang w:val="es-ES_tradnl"/>
        </w:rPr>
        <w:t xml:space="preserve"> –</w:t>
      </w:r>
      <w:r w:rsidRPr="003932D2">
        <w:t xml:space="preserve"> </w:t>
      </w:r>
      <w:r w:rsidRPr="003932D2">
        <w:rPr>
          <w:rFonts w:ascii="Century Gothic" w:eastAsia="Calibri" w:hAnsi="Century Gothic" w:cs="Arial"/>
          <w:color w:val="000000" w:themeColor="text1"/>
          <w:lang w:val="es-ES_tradnl"/>
        </w:rPr>
        <w:t>Circular Externa No. 20 del 27 de agosto de 2015</w:t>
      </w:r>
      <w:r>
        <w:rPr>
          <w:rFonts w:ascii="Century Gothic" w:eastAsia="Calibri" w:hAnsi="Century Gothic" w:cs="Arial"/>
          <w:color w:val="000000" w:themeColor="text1"/>
          <w:lang w:val="es-ES_tradnl"/>
        </w:rPr>
        <w:t xml:space="preserve">–. Es decir, incluso con la </w:t>
      </w:r>
      <w:r w:rsidRPr="003932D2">
        <w:rPr>
          <w:rFonts w:ascii="Century Gothic" w:eastAsia="Calibri" w:hAnsi="Century Gothic" w:cs="Arial"/>
          <w:i/>
          <w:iCs/>
          <w:color w:val="000000" w:themeColor="text1"/>
          <w:lang w:val="es-ES_tradnl"/>
        </w:rPr>
        <w:t>nulidad parcial</w:t>
      </w:r>
      <w:r>
        <w:rPr>
          <w:rFonts w:ascii="Century Gothic" w:eastAsia="Calibri" w:hAnsi="Century Gothic" w:cs="Arial"/>
          <w:color w:val="000000" w:themeColor="text1"/>
          <w:lang w:val="es-ES_tradnl"/>
        </w:rPr>
        <w:t>, permanece la obligación de publicar en el SECOP, al margen de que las entidades se encuentren o no sometidas al EGCAP.</w:t>
      </w:r>
    </w:p>
    <w:p w14:paraId="66903D2F" w14:textId="77777777" w:rsidR="005B2815" w:rsidRPr="008F1C41" w:rsidRDefault="005B2815" w:rsidP="005B2815">
      <w:pPr>
        <w:spacing w:line="276" w:lineRule="auto"/>
        <w:jc w:val="both"/>
        <w:rPr>
          <w:rFonts w:ascii="Century Gothic" w:hAnsi="Century Gothic" w:cs="Arial"/>
        </w:rPr>
      </w:pPr>
      <w:r>
        <w:rPr>
          <w:rFonts w:ascii="Century Gothic" w:eastAsia="Calibri" w:hAnsi="Century Gothic" w:cs="Arial"/>
          <w:color w:val="000000" w:themeColor="text1"/>
          <w:lang w:val="es-ES_tradnl"/>
        </w:rPr>
        <w:tab/>
      </w:r>
      <w:r w:rsidRPr="008F1C41">
        <w:rPr>
          <w:rFonts w:ascii="Century Gothic" w:hAnsi="Century Gothic" w:cs="Arial"/>
        </w:rPr>
        <w:t>Para estos efectos, en armonía con el artículo 209 constitucional, el numeral 8 del artículo 3 de la Ley 1437 de 2011 dispone que “</w:t>
      </w:r>
      <w:r w:rsidRPr="001D29FD">
        <w:rPr>
          <w:rFonts w:ascii="Century Gothic" w:hAnsi="Century Gothic" w:cs="Arial"/>
          <w:i/>
          <w:iCs/>
        </w:rPr>
        <w:t xml:space="preserve">En virtud del principio de </w:t>
      </w:r>
      <w:r w:rsidRPr="001D29FD">
        <w:rPr>
          <w:rFonts w:ascii="Century Gothic" w:hAnsi="Century Gothic" w:cs="Arial"/>
          <w:i/>
          <w:iCs/>
        </w:rPr>
        <w:lastRenderedPageBreak/>
        <w:t>transparencia, la actividad administrativa es del dominio público, por consiguiente, toda persona puede conocer las actuaciones de la administración, salvo reserva legal”</w:t>
      </w:r>
      <w:r w:rsidRPr="008F1C41">
        <w:rPr>
          <w:rFonts w:ascii="Century Gothic" w:hAnsi="Century Gothic" w:cs="Arial"/>
        </w:rPr>
        <w:t xml:space="preserve">. </w:t>
      </w:r>
      <w:r>
        <w:rPr>
          <w:rFonts w:ascii="Century Gothic" w:hAnsi="Century Gothic" w:cs="Arial"/>
        </w:rPr>
        <w:t>Además</w:t>
      </w:r>
      <w:r w:rsidRPr="008F1C41">
        <w:rPr>
          <w:rFonts w:ascii="Century Gothic" w:hAnsi="Century Gothic" w:cs="Arial"/>
        </w:rPr>
        <w:t xml:space="preserve">, el numeral 9 </w:t>
      </w:r>
      <w:r w:rsidRPr="008F1C41">
        <w:rPr>
          <w:rFonts w:ascii="Century Gothic" w:hAnsi="Century Gothic" w:cs="Arial"/>
          <w:i/>
          <w:iCs/>
        </w:rPr>
        <w:t>ibidem</w:t>
      </w:r>
      <w:r w:rsidRPr="008F1C41">
        <w:rPr>
          <w:rFonts w:ascii="Century Gothic" w:hAnsi="Century Gothic" w:cs="Arial"/>
        </w:rPr>
        <w:t xml:space="preserve"> precisa lo siguiente: </w:t>
      </w:r>
      <w:r w:rsidRPr="001D29FD">
        <w:rPr>
          <w:rFonts w:ascii="Century Gothic" w:hAnsi="Century Gothic" w:cs="Arial"/>
          <w:i/>
          <w:iCs/>
        </w:rPr>
        <w:t>“En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w:t>
      </w:r>
      <w:r w:rsidRPr="008F1C41">
        <w:rPr>
          <w:rFonts w:ascii="Century Gothic" w:hAnsi="Century Gothic" w:cs="Arial"/>
        </w:rPr>
        <w:t xml:space="preserve">  </w:t>
      </w:r>
    </w:p>
    <w:p w14:paraId="46882C56" w14:textId="77777777" w:rsidR="005B2815" w:rsidRPr="008F1C41" w:rsidRDefault="005B2815" w:rsidP="005B2815">
      <w:pPr>
        <w:widowControl w:val="0"/>
        <w:tabs>
          <w:tab w:val="left" w:pos="728"/>
        </w:tabs>
        <w:autoSpaceDE w:val="0"/>
        <w:autoSpaceDN w:val="0"/>
        <w:spacing w:after="120" w:line="276" w:lineRule="auto"/>
        <w:jc w:val="both"/>
        <w:rPr>
          <w:rFonts w:ascii="Century Gothic" w:eastAsia="Arial" w:hAnsi="Century Gothic" w:cs="Arial"/>
          <w:b/>
          <w:lang w:val="es-ES"/>
        </w:rPr>
      </w:pPr>
      <w:r w:rsidRPr="008F1C41">
        <w:rPr>
          <w:rFonts w:ascii="Century Gothic" w:hAnsi="Century Gothic" w:cs="Arial"/>
        </w:rPr>
        <w:tab/>
      </w:r>
      <w:r w:rsidRPr="008F1C41">
        <w:rPr>
          <w:rFonts w:ascii="Century Gothic" w:eastAsia="Arial" w:hAnsi="Century Gothic" w:cs="Arial"/>
          <w:lang w:val="es-ES"/>
        </w:rPr>
        <w:t>Para la Corte Constitucional el principio de publicidad es la garantía de las personas de conocer las actuaciones judiciales y administrativas y, con base en ese conocimiento, tener la posibilidad de exigir que se realicen conforme a la ley</w:t>
      </w:r>
      <w:r w:rsidRPr="008F1C41">
        <w:rPr>
          <w:rFonts w:ascii="Century Gothic" w:eastAsia="Arial" w:hAnsi="Century Gothic" w:cs="Arial"/>
          <w:sz w:val="21"/>
          <w:szCs w:val="21"/>
          <w:vertAlign w:val="superscript"/>
          <w:lang w:val="es-ES"/>
        </w:rPr>
        <w:footnoteReference w:id="3"/>
      </w:r>
      <w:r w:rsidRPr="008F1C41">
        <w:rPr>
          <w:rFonts w:ascii="Century Gothic" w:eastAsia="Arial" w:hAnsi="Century Gothic" w:cs="Arial"/>
          <w:sz w:val="21"/>
          <w:szCs w:val="21"/>
          <w:lang w:val="es-ES"/>
        </w:rPr>
        <w:t>.</w:t>
      </w:r>
      <w:r w:rsidRPr="008F1C41">
        <w:rPr>
          <w:rFonts w:ascii="Century Gothic" w:eastAsia="Arial" w:hAnsi="Century Gothic" w:cs="Arial"/>
          <w:b/>
          <w:lang w:val="es-ES"/>
        </w:rPr>
        <w:t xml:space="preserve"> </w:t>
      </w:r>
      <w:r w:rsidRPr="008F1C41">
        <w:rPr>
          <w:rFonts w:ascii="Century Gothic" w:eastAsia="Arial" w:hAnsi="Century Gothic" w:cs="Arial"/>
          <w:bCs/>
          <w:lang w:val="es-ES"/>
        </w:rPr>
        <w:t xml:space="preserve">Este </w:t>
      </w:r>
      <w:r w:rsidRPr="008F1C41">
        <w:rPr>
          <w:rFonts w:ascii="Century Gothic" w:eastAsia="Arial" w:hAnsi="Century Gothic" w:cs="Arial"/>
          <w:lang w:val="es-ES"/>
        </w:rPr>
        <w:t xml:space="preserve">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w:t>
      </w:r>
      <w:r w:rsidRPr="001D29FD">
        <w:rPr>
          <w:rFonts w:ascii="Century Gothic" w:eastAsia="Arial" w:hAnsi="Century Gothic" w:cs="Arial"/>
          <w:i/>
          <w:iCs/>
          <w:lang w:val="es-ES"/>
        </w:rPr>
        <w:t>“contará con la información oficial de la contratación realizada con dineros públicos, para lo cual establecerá los patrones a que haya lugar y se encargará de su difusión a través de canales electrónicos”</w:t>
      </w:r>
      <w:r w:rsidRPr="008F1C41">
        <w:rPr>
          <w:rFonts w:ascii="Century Gothic" w:eastAsia="Arial" w:hAnsi="Century Gothic" w:cs="Arial"/>
          <w:vertAlign w:val="superscript"/>
          <w:lang w:val="es-ES"/>
        </w:rPr>
        <w:footnoteReference w:id="4"/>
      </w:r>
      <w:r w:rsidRPr="008F1C41">
        <w:rPr>
          <w:rFonts w:ascii="Century Gothic" w:eastAsia="Arial" w:hAnsi="Century Gothic" w:cs="Arial"/>
          <w:lang w:val="es-ES"/>
        </w:rPr>
        <w:t xml:space="preserve">. </w:t>
      </w:r>
    </w:p>
    <w:p w14:paraId="7119A72C" w14:textId="77777777" w:rsidR="005B2815" w:rsidRPr="008F1C41" w:rsidRDefault="005B2815" w:rsidP="005B2815">
      <w:pPr>
        <w:widowControl w:val="0"/>
        <w:tabs>
          <w:tab w:val="left" w:pos="728"/>
        </w:tabs>
        <w:autoSpaceDE w:val="0"/>
        <w:autoSpaceDN w:val="0"/>
        <w:spacing w:after="120" w:line="276" w:lineRule="auto"/>
        <w:jc w:val="both"/>
        <w:rPr>
          <w:rFonts w:ascii="Century Gothic" w:eastAsia="Arial" w:hAnsi="Century Gothic" w:cs="Arial"/>
          <w:lang w:val="es-ES"/>
        </w:rPr>
      </w:pPr>
      <w:r w:rsidRPr="008F1C41">
        <w:rPr>
          <w:rFonts w:ascii="Century Gothic" w:eastAsia="Arial" w:hAnsi="Century Gothic" w:cs="Arial"/>
          <w:lang w:val="es-ES"/>
        </w:rPr>
        <w:tab/>
        <w:t>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w:t>
      </w:r>
      <w:r>
        <w:rPr>
          <w:rFonts w:ascii="Century Gothic" w:eastAsia="Arial" w:hAnsi="Century Gothic" w:cs="Arial"/>
          <w:lang w:val="es-ES"/>
        </w:rPr>
        <w:t xml:space="preserve"> y el de</w:t>
      </w:r>
      <w:r w:rsidRPr="008F1C41">
        <w:rPr>
          <w:rFonts w:ascii="Century Gothic" w:eastAsia="Arial" w:hAnsi="Century Gothic" w:cs="Arial"/>
          <w:lang w:val="es-ES"/>
        </w:rPr>
        <w:t xml:space="preserve"> transparencia en la información. </w:t>
      </w:r>
      <w:r>
        <w:rPr>
          <w:rFonts w:ascii="Century Gothic" w:eastAsia="Arial" w:hAnsi="Century Gothic" w:cs="Arial"/>
          <w:lang w:val="es-ES"/>
        </w:rPr>
        <w:t>De acuerdo con el primero,</w:t>
      </w:r>
      <w:r w:rsidRPr="008F1C41">
        <w:rPr>
          <w:rFonts w:ascii="Century Gothic" w:eastAsia="Arial" w:hAnsi="Century Gothic" w:cs="Arial"/>
          <w:lang w:val="es-ES"/>
        </w:rPr>
        <w:t xml:space="preserve"> toda información en posesión, bajo control o custodia de un sujeto obligado es pública y no podrá ser reservada o limitada sino por disposición constitucional o legal. </w:t>
      </w:r>
      <w:r>
        <w:rPr>
          <w:rFonts w:ascii="Century Gothic" w:eastAsia="Arial" w:hAnsi="Century Gothic" w:cs="Arial"/>
          <w:lang w:val="es-ES"/>
        </w:rPr>
        <w:t>Por su parte, el segundo</w:t>
      </w:r>
      <w:r w:rsidRPr="008F1C41">
        <w:rPr>
          <w:rFonts w:ascii="Century Gothic" w:eastAsia="Arial" w:hAnsi="Century Gothic" w:cs="Arial"/>
          <w:lang w:val="es-ES"/>
        </w:rPr>
        <w:t xml:space="preserve"> alude al deber de los sujetos de proporcionar y facilitar el acceso a la misma en los </w:t>
      </w:r>
      <w:r w:rsidRPr="008F1C41">
        <w:rPr>
          <w:rFonts w:ascii="Century Gothic" w:eastAsia="Arial" w:hAnsi="Century Gothic" w:cs="Arial"/>
          <w:lang w:val="es-ES"/>
        </w:rPr>
        <w:lastRenderedPageBreak/>
        <w:t xml:space="preserve">términos más amplios posibles, y a través de los medios y procedimientos que establezca la ley. </w:t>
      </w:r>
    </w:p>
    <w:p w14:paraId="002F2B37" w14:textId="77777777" w:rsidR="005B2815" w:rsidRPr="008F1C41" w:rsidRDefault="005B2815" w:rsidP="005B2815">
      <w:pPr>
        <w:widowControl w:val="0"/>
        <w:tabs>
          <w:tab w:val="left" w:pos="728"/>
        </w:tabs>
        <w:autoSpaceDE w:val="0"/>
        <w:autoSpaceDN w:val="0"/>
        <w:spacing w:after="120" w:line="276" w:lineRule="auto"/>
        <w:jc w:val="both"/>
        <w:rPr>
          <w:rFonts w:ascii="Century Gothic" w:eastAsia="Arial" w:hAnsi="Century Gothic" w:cs="Arial"/>
          <w:lang w:val="es-ES"/>
        </w:rPr>
      </w:pPr>
      <w:r w:rsidRPr="008F1C41">
        <w:rPr>
          <w:rFonts w:ascii="Century Gothic" w:eastAsia="Arial" w:hAnsi="Century Gothic" w:cs="Arial"/>
          <w:lang w:val="es-ES"/>
        </w:rPr>
        <w:tab/>
        <w:t>La ley citada establece, en el literal e) del artículo 9, que los sujetos obligados, que son todas las entidades públicas, deben publicar la información relativa a su contratación</w:t>
      </w:r>
      <w:r w:rsidRPr="008F1C41">
        <w:rPr>
          <w:rFonts w:ascii="Century Gothic" w:eastAsia="Arial" w:hAnsi="Century Gothic" w:cs="Arial"/>
          <w:vertAlign w:val="superscript"/>
          <w:lang w:val="es-ES"/>
        </w:rPr>
        <w:footnoteReference w:id="5"/>
      </w:r>
      <w:r w:rsidRPr="008F1C41">
        <w:rPr>
          <w:rFonts w:ascii="Century Gothic" w:eastAsia="Arial" w:hAnsi="Century Gothic" w:cs="Arial"/>
          <w:lang w:val="es-ES"/>
        </w:rPr>
        <w:t>.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w:t>
      </w:r>
      <w:r w:rsidRPr="008F1C41">
        <w:rPr>
          <w:rFonts w:ascii="Century Gothic" w:eastAsia="Arial" w:hAnsi="Century Gothic" w:cs="Arial"/>
          <w:vertAlign w:val="superscript"/>
          <w:lang w:val="es-ES"/>
        </w:rPr>
        <w:footnoteReference w:id="6"/>
      </w:r>
      <w:r w:rsidRPr="008F1C41">
        <w:rPr>
          <w:rFonts w:ascii="Century Gothic" w:eastAsia="Arial" w:hAnsi="Century Gothic" w:cs="Arial"/>
          <w:lang w:val="es-ES"/>
        </w:rPr>
        <w:t>.</w:t>
      </w:r>
    </w:p>
    <w:p w14:paraId="2C998392" w14:textId="77777777" w:rsidR="005B2815" w:rsidRDefault="005B2815" w:rsidP="005B2815">
      <w:pPr>
        <w:widowControl w:val="0"/>
        <w:tabs>
          <w:tab w:val="left" w:pos="728"/>
        </w:tabs>
        <w:autoSpaceDE w:val="0"/>
        <w:autoSpaceDN w:val="0"/>
        <w:spacing w:after="120" w:line="276" w:lineRule="auto"/>
        <w:jc w:val="both"/>
        <w:rPr>
          <w:rFonts w:ascii="Century Gothic" w:eastAsia="Arial" w:hAnsi="Century Gothic" w:cs="Arial"/>
          <w:lang w:val="es-ES"/>
        </w:rPr>
      </w:pPr>
      <w:r w:rsidRPr="008F1C41">
        <w:rPr>
          <w:rFonts w:ascii="Century Gothic" w:eastAsia="Arial" w:hAnsi="Century Gothic" w:cs="Arial"/>
          <w:lang w:val="es-ES"/>
        </w:rPr>
        <w:tab/>
        <w:t>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r>
        <w:rPr>
          <w:rFonts w:ascii="Century Gothic" w:eastAsia="Arial" w:hAnsi="Century Gothic" w:cs="Arial"/>
          <w:lang w:val="es-ES"/>
        </w:rPr>
        <w:t xml:space="preserve"> conforme a lo explicado en el párrafo precedente</w:t>
      </w:r>
      <w:r w:rsidRPr="008F1C41">
        <w:rPr>
          <w:rFonts w:ascii="Century Gothic" w:eastAsia="Arial" w:hAnsi="Century Gothic" w:cs="Arial"/>
          <w:lang w:val="es-ES"/>
        </w:rPr>
        <w:t>.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8F1C41">
        <w:rPr>
          <w:rFonts w:ascii="Century Gothic" w:eastAsia="Arial" w:hAnsi="Century Gothic" w:cs="Arial"/>
          <w:vertAlign w:val="superscript"/>
          <w:lang w:val="es-ES"/>
        </w:rPr>
        <w:footnoteReference w:id="7"/>
      </w:r>
      <w:r w:rsidRPr="008F1C41">
        <w:rPr>
          <w:rFonts w:ascii="Century Gothic" w:eastAsia="Arial" w:hAnsi="Century Gothic" w:cs="Arial"/>
          <w:lang w:val="es-ES"/>
        </w:rPr>
        <w:t>.</w:t>
      </w:r>
    </w:p>
    <w:p w14:paraId="1859406D"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eastAsia="es-ES_tradnl"/>
        </w:rPr>
      </w:pPr>
      <w:r w:rsidRPr="009C660C">
        <w:rPr>
          <w:rFonts w:ascii="Century Gothic" w:hAnsi="Century Gothic" w:cs="Arial"/>
          <w:lang w:val="es-ES"/>
        </w:rPr>
        <w:t xml:space="preserve">Tratándose de los contratos de régimen exceptuado, el deber de publicidad y transparencia </w:t>
      </w:r>
      <w:bookmarkStart w:id="10" w:name="_Hlk114572097"/>
      <w:bookmarkStart w:id="11" w:name="_Hlk112856043"/>
      <w:bookmarkStart w:id="12" w:name="_Hlk112245356"/>
      <w:r w:rsidRPr="009C660C">
        <w:rPr>
          <w:rFonts w:ascii="Century Gothic" w:hAnsi="Century Gothic" w:cs="Arial"/>
          <w:lang w:val="es-ES"/>
        </w:rPr>
        <w:t>fue complementado</w:t>
      </w:r>
      <w:r w:rsidRPr="009C660C">
        <w:rPr>
          <w:rFonts w:ascii="Century Gothic" w:hAnsi="Century Gothic" w:cs="Arial"/>
        </w:rPr>
        <w:t xml:space="preserve"> con la Ley 2195 de 2022. </w:t>
      </w:r>
      <w:r w:rsidRPr="009C660C">
        <w:rPr>
          <w:rFonts w:ascii="Century Gothic" w:eastAsia="Calibri" w:hAnsi="Century Gothic" w:cs="Arial"/>
          <w:lang w:val="es-ES_tradnl" w:eastAsia="es-ES_tradnl"/>
        </w:rPr>
        <w:t>Según el artículo 1, esta Ley “</w:t>
      </w:r>
      <w:r w:rsidRPr="009C660C">
        <w:rPr>
          <w:rFonts w:ascii="Century Gothic" w:eastAsia="Times New Roman" w:hAnsi="Century Gothic" w:cs="Arial"/>
          <w:lang w:val="es-ES_tradnl" w:eastAsia="es-ES_tradnl"/>
        </w:rPr>
        <w:t xml:space="preserve">[…] </w:t>
      </w:r>
      <w:r w:rsidRPr="009C660C">
        <w:rPr>
          <w:rFonts w:ascii="Century Gothic" w:eastAsia="Calibri" w:hAnsi="Century Gothic"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330942EE" w14:textId="77777777" w:rsidR="005B2815" w:rsidRPr="009C660C" w:rsidRDefault="005B2815" w:rsidP="005B2815">
      <w:pPr>
        <w:spacing w:line="276" w:lineRule="auto"/>
        <w:ind w:firstLine="709"/>
        <w:contextualSpacing/>
        <w:jc w:val="both"/>
        <w:rPr>
          <w:rFonts w:ascii="Century Gothic" w:eastAsia="Calibri" w:hAnsi="Century Gothic" w:cs="Arial"/>
          <w:sz w:val="12"/>
          <w:szCs w:val="12"/>
          <w:lang w:val="es-ES_tradnl" w:eastAsia="es-ES_tradnl"/>
        </w:rPr>
      </w:pPr>
    </w:p>
    <w:p w14:paraId="05597A2F" w14:textId="77777777" w:rsidR="005B2815" w:rsidRPr="009C660C" w:rsidRDefault="005B2815" w:rsidP="005B2815">
      <w:pPr>
        <w:spacing w:line="276" w:lineRule="auto"/>
        <w:ind w:firstLine="709"/>
        <w:contextualSpacing/>
        <w:jc w:val="both"/>
        <w:rPr>
          <w:rFonts w:ascii="Century Gothic" w:hAnsi="Century Gothic" w:cs="Arial"/>
        </w:rPr>
      </w:pPr>
      <w:r w:rsidRPr="009C660C">
        <w:rPr>
          <w:rFonts w:ascii="Century Gothic" w:eastAsia="Calibri" w:hAnsi="Century Gothic" w:cs="Arial"/>
          <w:lang w:val="es-ES_tradnl" w:eastAsia="es-ES_tradnl"/>
        </w:rPr>
        <w:lastRenderedPageBreak/>
        <w:t xml:space="preserve">Dentro del capítulo VIII, por el cual se expiden “Disposiciones en materia contractual para la moralización y la transparencia”, se ubica </w:t>
      </w:r>
      <w:r w:rsidRPr="009C660C">
        <w:rPr>
          <w:rFonts w:ascii="Century Gothic" w:hAnsi="Century Gothic"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10"/>
      <w:r w:rsidRPr="009C660C">
        <w:rPr>
          <w:rFonts w:ascii="Century Gothic" w:hAnsi="Century Gothic" w:cs="Arial"/>
        </w:rPr>
        <w:t xml:space="preserve"> </w:t>
      </w:r>
      <w:bookmarkEnd w:id="11"/>
      <w:bookmarkEnd w:id="12"/>
      <w:r w:rsidRPr="009C660C">
        <w:rPr>
          <w:rFonts w:ascii="Century Gothic" w:hAnsi="Century Gothic" w:cs="Arial"/>
        </w:rPr>
        <w:t>Al respecto, la norma citada dispone lo siguiente:</w:t>
      </w:r>
    </w:p>
    <w:p w14:paraId="54B108C2" w14:textId="77777777" w:rsidR="005B2815" w:rsidRPr="009C660C" w:rsidRDefault="005B2815" w:rsidP="005B2815">
      <w:pPr>
        <w:spacing w:line="276" w:lineRule="auto"/>
        <w:ind w:firstLine="301"/>
        <w:contextualSpacing/>
        <w:rPr>
          <w:rFonts w:ascii="Century Gothic" w:hAnsi="Century Gothic" w:cs="Arial"/>
        </w:rPr>
      </w:pPr>
    </w:p>
    <w:p w14:paraId="26A9D059"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rPr>
      </w:pPr>
      <w:r w:rsidRPr="009C660C">
        <w:rPr>
          <w:rFonts w:ascii="Century Gothic" w:eastAsia="Calibri" w:hAnsi="Century Gothic" w:cs="Arial"/>
          <w:sz w:val="21"/>
          <w:szCs w:val="21"/>
        </w:rPr>
        <w:t>“Adiciónese los siguientes incisos al artículo 13 de la Ley 1150 de 2007, el cual quedará así:</w:t>
      </w:r>
    </w:p>
    <w:p w14:paraId="5BAA9FF3" w14:textId="77777777" w:rsidR="005B2815" w:rsidRPr="009C660C" w:rsidRDefault="005B2815" w:rsidP="005B2815">
      <w:pPr>
        <w:spacing w:line="240" w:lineRule="auto"/>
        <w:ind w:left="709" w:right="709"/>
        <w:contextualSpacing/>
        <w:jc w:val="both"/>
        <w:rPr>
          <w:rFonts w:ascii="Century Gothic" w:eastAsia="Calibri" w:hAnsi="Century Gothic" w:cs="Arial"/>
          <w:sz w:val="12"/>
          <w:szCs w:val="12"/>
        </w:rPr>
      </w:pPr>
    </w:p>
    <w:p w14:paraId="3BC72144"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rPr>
      </w:pPr>
      <w:r w:rsidRPr="009C660C">
        <w:rPr>
          <w:rFonts w:ascii="Century Gothic" w:eastAsia="Calibri" w:hAnsi="Century Gothic" w:cs="Arial"/>
          <w:sz w:val="21"/>
          <w:szCs w:val="21"/>
        </w:rPr>
        <w:t xml:space="preserve">Artículo 13. PRINCIPIOS GENERALES DE LA ACTIVIDAD CONTRACTUAL PARA ENTIDADES NO SOMETIDAS AL ESTATUTO GENERAL DE CONTRATACIÓN DE LA ADMINISTRACIÓN PÚBLICA. </w:t>
      </w:r>
      <w:bookmarkStart w:id="13" w:name="_Hlk153374976"/>
      <w:r w:rsidRPr="009C660C">
        <w:rPr>
          <w:rFonts w:ascii="Century Gothic" w:eastAsia="Calibri" w:hAnsi="Century Gothic" w:cs="Arial"/>
          <w:sz w:val="21"/>
          <w:szCs w:val="21"/>
        </w:rPr>
        <w:t>Las entidades estatales que por disposición legal cuenten con un régimen contractual excepcional al del Estatuto General de Contratación de la Administración Pública</w:t>
      </w:r>
      <w:bookmarkEnd w:id="13"/>
      <w:r w:rsidRPr="009C660C">
        <w:rPr>
          <w:rFonts w:ascii="Century Gothic" w:eastAsia="Calibri" w:hAnsi="Century Gothic" w:cs="Arial"/>
          <w:sz w:val="21"/>
          <w:szCs w:val="21"/>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1540E6F" w14:textId="77777777" w:rsidR="005B2815" w:rsidRPr="009C660C" w:rsidRDefault="005B2815" w:rsidP="005B2815">
      <w:pPr>
        <w:spacing w:line="240" w:lineRule="auto"/>
        <w:ind w:left="709" w:right="709"/>
        <w:contextualSpacing/>
        <w:jc w:val="both"/>
        <w:rPr>
          <w:rFonts w:ascii="Century Gothic" w:eastAsia="Calibri" w:hAnsi="Century Gothic" w:cs="Arial"/>
          <w:sz w:val="12"/>
          <w:szCs w:val="12"/>
        </w:rPr>
      </w:pPr>
    </w:p>
    <w:p w14:paraId="70BAA544" w14:textId="77777777" w:rsidR="005B2815" w:rsidRPr="009C660C" w:rsidRDefault="005B2815" w:rsidP="005B2815">
      <w:pPr>
        <w:spacing w:line="240" w:lineRule="auto"/>
        <w:ind w:left="709" w:right="709"/>
        <w:contextualSpacing/>
        <w:jc w:val="both"/>
        <w:rPr>
          <w:rFonts w:ascii="Century Gothic" w:eastAsia="Calibri" w:hAnsi="Century Gothic" w:cs="Arial"/>
          <w:i/>
          <w:iCs/>
          <w:sz w:val="21"/>
          <w:szCs w:val="21"/>
        </w:rPr>
      </w:pPr>
      <w:r w:rsidRPr="009C660C">
        <w:rPr>
          <w:rFonts w:ascii="Century Gothic" w:eastAsia="Calibri" w:hAnsi="Century Gothic" w:cs="Arial"/>
          <w:i/>
          <w:iCs/>
          <w:sz w:val="21"/>
          <w:szCs w:val="21"/>
        </w:rPr>
        <w:t xml:space="preserve">En desarrollo de los anteriores principios, </w:t>
      </w:r>
      <w:bookmarkStart w:id="14" w:name="_Hlk153375008"/>
      <w:r w:rsidRPr="009C660C">
        <w:rPr>
          <w:rFonts w:ascii="Century Gothic" w:eastAsia="Calibri" w:hAnsi="Century Gothic" w:cs="Arial"/>
          <w:i/>
          <w:iCs/>
          <w:sz w:val="21"/>
          <w:szCs w:val="21"/>
        </w:rPr>
        <w:t>deberán publicar los documentos relacionados con su actividad contractual en el Sistema Electrónico para la Contratación Pública –SECOP II– o la plataforma transaccional que haga sus veces</w:t>
      </w:r>
      <w:bookmarkEnd w:id="14"/>
      <w:r w:rsidRPr="009C660C">
        <w:rPr>
          <w:rFonts w:ascii="Century Gothic" w:eastAsia="Calibri" w:hAnsi="Century Gothic" w:cs="Arial"/>
          <w:i/>
          <w:iCs/>
          <w:sz w:val="21"/>
          <w:szCs w:val="21"/>
        </w:rPr>
        <w:t xml:space="preserve">. Para los efectos de este artículo, se entiende por actividad contractual </w:t>
      </w:r>
      <w:bookmarkStart w:id="15" w:name="_Hlk153375262"/>
      <w:r w:rsidRPr="009C660C">
        <w:rPr>
          <w:rFonts w:ascii="Century Gothic" w:eastAsia="Calibri" w:hAnsi="Century Gothic" w:cs="Arial"/>
          <w:i/>
          <w:iCs/>
          <w:sz w:val="21"/>
          <w:szCs w:val="21"/>
        </w:rPr>
        <w:t>los documentos, contratos, actos e información generada por oferentes, contratista, contratante, supervisor o interventor, tanto en la etapa precontractual, como en la contractual y la postcontractual</w:t>
      </w:r>
      <w:bookmarkEnd w:id="15"/>
      <w:r w:rsidRPr="009C660C">
        <w:rPr>
          <w:rFonts w:ascii="Century Gothic" w:eastAsia="Calibri" w:hAnsi="Century Gothic" w:cs="Arial"/>
          <w:i/>
          <w:iCs/>
          <w:sz w:val="21"/>
          <w:szCs w:val="21"/>
        </w:rPr>
        <w:t>.</w:t>
      </w:r>
    </w:p>
    <w:p w14:paraId="436325F4" w14:textId="77777777" w:rsidR="005B2815" w:rsidRPr="009C660C" w:rsidRDefault="005B2815" w:rsidP="005B2815">
      <w:pPr>
        <w:spacing w:line="240" w:lineRule="auto"/>
        <w:ind w:left="709" w:right="709"/>
        <w:contextualSpacing/>
        <w:jc w:val="both"/>
        <w:rPr>
          <w:rFonts w:ascii="Century Gothic" w:eastAsia="Calibri" w:hAnsi="Century Gothic" w:cs="Arial"/>
          <w:i/>
          <w:iCs/>
          <w:sz w:val="12"/>
          <w:szCs w:val="12"/>
        </w:rPr>
      </w:pPr>
    </w:p>
    <w:p w14:paraId="4DB3CC0B"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rPr>
      </w:pPr>
      <w:r w:rsidRPr="009C660C">
        <w:rPr>
          <w:rFonts w:ascii="Century Gothic" w:eastAsia="Calibri" w:hAnsi="Century Gothic" w:cs="Arial"/>
          <w:sz w:val="21"/>
          <w:szCs w:val="21"/>
        </w:rPr>
        <w:t>A partir de la entrada en vigencia de la presente Ley, se establecerá un periodo de transición de seis (6) meses, para que las entidades den cumplimiento efectivo a lo aquí establecido”. (Énfasis fuera de texto).</w:t>
      </w:r>
    </w:p>
    <w:p w14:paraId="05A7AA00"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p>
    <w:p w14:paraId="0C3179FA" w14:textId="77777777" w:rsidR="005B2815" w:rsidRPr="009C660C" w:rsidRDefault="005B2815" w:rsidP="005B2815">
      <w:pPr>
        <w:spacing w:after="120" w:line="276" w:lineRule="auto"/>
        <w:ind w:firstLine="709"/>
        <w:jc w:val="both"/>
        <w:rPr>
          <w:rFonts w:ascii="Century Gothic" w:eastAsia="Calibri" w:hAnsi="Century Gothic" w:cs="Arial"/>
          <w:lang w:val="es-ES_tradnl" w:eastAsia="es-ES_tradnl"/>
        </w:rPr>
      </w:pPr>
      <w:r w:rsidRPr="009C660C">
        <w:rPr>
          <w:rFonts w:ascii="Century Gothic" w:eastAsia="Calibri" w:hAnsi="Century Gothic" w:cs="Arial"/>
          <w:lang w:val="es-ES_tradnl"/>
        </w:rPr>
        <w:t xml:space="preserve">Cabe destacar que cuando la norma trascrita hace referencia a que el mencionado deber de publicidad debe cumplirse en el SECOP II o </w:t>
      </w:r>
      <w:r w:rsidRPr="00101FCC">
        <w:rPr>
          <w:rFonts w:ascii="Century Gothic" w:hAnsi="Century Gothic" w:cs="Arial"/>
          <w:i/>
          <w:iCs/>
        </w:rPr>
        <w:t>“</w:t>
      </w:r>
      <w:r w:rsidRPr="00101FCC">
        <w:rPr>
          <w:rFonts w:ascii="Century Gothic" w:eastAsia="Calibri" w:hAnsi="Century Gothic" w:cs="Arial"/>
          <w:i/>
          <w:iCs/>
          <w:lang w:val="es-ES_tradnl"/>
        </w:rPr>
        <w:t xml:space="preserve">la plataforma transaccional que haga sus veces”, </w:t>
      </w:r>
      <w:r w:rsidRPr="009C660C">
        <w:rPr>
          <w:rFonts w:ascii="Century Gothic" w:eastAsia="Calibri" w:hAnsi="Century Gothic" w:cs="Arial"/>
          <w:lang w:val="es-ES_tradnl"/>
        </w:rPr>
        <w:t xml:space="preserve">esta expresión debe interpretarse bajo el entendido de que si bien el SECOP II es la plataforma oficial que actualmente se utiliza como mecanismo transaccional, en caso de que dicha plataforma sea remplazada por otra que tenga una denominación distinta, las entidades que </w:t>
      </w:r>
      <w:r w:rsidRPr="009C660C">
        <w:rPr>
          <w:rFonts w:ascii="Century Gothic" w:eastAsia="Calibri" w:hAnsi="Century Gothic" w:cs="Arial"/>
          <w:lang w:val="es-ES_tradnl"/>
        </w:rPr>
        <w:lastRenderedPageBreak/>
        <w:t xml:space="preserve">tienen un régimen exceptuado deben continuar publicando la documentación de su actividad contractual en la nueva plataforma. En ese sentido, la locución </w:t>
      </w:r>
      <w:r w:rsidRPr="009C660C">
        <w:rPr>
          <w:rFonts w:ascii="Century Gothic" w:hAnsi="Century Gothic" w:cs="Arial"/>
        </w:rPr>
        <w:t>“</w:t>
      </w:r>
      <w:r w:rsidRPr="009C660C">
        <w:rPr>
          <w:rFonts w:ascii="Century Gothic" w:eastAsia="Calibri" w:hAnsi="Century Gothic" w:cs="Arial"/>
          <w:lang w:val="es-ES_tradnl"/>
        </w:rPr>
        <w:t>la plataforma que haga sus veces</w:t>
      </w:r>
      <w:r w:rsidRPr="009C660C">
        <w:rPr>
          <w:rFonts w:ascii="Century Gothic" w:hAnsi="Century Gothic" w:cs="Arial"/>
        </w:rPr>
        <w:t>”</w:t>
      </w:r>
      <w:r w:rsidRPr="009C660C">
        <w:rPr>
          <w:rFonts w:ascii="Century Gothic" w:eastAsia="Calibri" w:hAnsi="Century Gothic" w:cs="Arial"/>
          <w:lang w:val="es-ES_tradnl"/>
        </w:rPr>
        <w:t xml:space="preserve"> no puede interpretarse como una autorización para que las entidades obligadas en virtud del artículo 53 de la Ley 2195 de 2022 puedan emplear sus páginas web o sus propios portales electrónicos para cumplir con el deber de publicidad que les asiste. </w:t>
      </w:r>
      <w:r w:rsidRPr="009C660C">
        <w:rPr>
          <w:rFonts w:ascii="Century Gothic" w:eastAsia="Calibri" w:hAnsi="Century Gothic" w:cs="Arial"/>
          <w:lang w:val="es-ES_tradnl" w:eastAsia="es-ES_tradnl"/>
        </w:rPr>
        <w:t>Con esto se logra que la ciudadanía pueda encontrar en un mismo sistema la gestión de la actividad contractual del Estado, garantizándose en mayor grado la transparencia y el acceso a la información y documentación pública.</w:t>
      </w:r>
    </w:p>
    <w:p w14:paraId="6121133B" w14:textId="77777777" w:rsidR="005B2815" w:rsidRPr="009C660C" w:rsidRDefault="005B2815" w:rsidP="005B2815">
      <w:pPr>
        <w:spacing w:before="120" w:after="120" w:line="276" w:lineRule="auto"/>
        <w:ind w:firstLine="709"/>
        <w:jc w:val="both"/>
        <w:rPr>
          <w:rFonts w:ascii="Century Gothic" w:eastAsia="Calibri" w:hAnsi="Century Gothic" w:cs="Arial"/>
          <w:lang w:val="es-ES_tradnl"/>
        </w:rPr>
      </w:pPr>
      <w:bookmarkStart w:id="16" w:name="_Hlk109111956"/>
      <w:bookmarkStart w:id="17" w:name="_Hlk112245392"/>
      <w:r w:rsidRPr="009C660C">
        <w:rPr>
          <w:rFonts w:ascii="Century Gothic" w:eastAsia="Calibri" w:hAnsi="Century Gothic" w:cs="Arial"/>
          <w:lang w:val="es-ES_tradnl"/>
        </w:rPr>
        <w:t xml:space="preserve">En cuanto a los documentos que deben publicarse en el SECOP II, la norma citada hace referencia a los documentos relacionados con su </w:t>
      </w:r>
      <w:r w:rsidRPr="009C660C">
        <w:rPr>
          <w:rFonts w:ascii="Century Gothic" w:eastAsia="Calibri" w:hAnsi="Century Gothic" w:cs="Arial"/>
          <w:i/>
          <w:iCs/>
          <w:lang w:val="es-ES_tradnl"/>
        </w:rPr>
        <w:t>actividad contractual,</w:t>
      </w:r>
      <w:r w:rsidRPr="009C660C">
        <w:rPr>
          <w:rFonts w:ascii="Century Gothic" w:eastAsia="Calibri" w:hAnsi="Century Gothic" w:cs="Arial"/>
          <w:lang w:val="es-ES_tradnl"/>
        </w:rPr>
        <w:t xml:space="preserve"> es decir, </w:t>
      </w:r>
      <w:r w:rsidRPr="00101FCC">
        <w:rPr>
          <w:rFonts w:ascii="Century Gothic" w:eastAsia="Calibri" w:hAnsi="Century Gothic" w:cs="Arial"/>
          <w:i/>
          <w:iCs/>
          <w:lang w:val="es-ES_tradnl"/>
        </w:rPr>
        <w:t>“[…] los documentos, contratos, actos e información generada por oferentes, contratista, contratante, supervisor o interventor, tanto en la etapa precontractual, como en la contractual y la postcontractual”.</w:t>
      </w:r>
      <w:r w:rsidRPr="009C660C">
        <w:rPr>
          <w:rFonts w:ascii="Century Gothic" w:eastAsia="Calibri" w:hAnsi="Century Gothic" w:cs="Arial"/>
          <w:lang w:val="es-ES_tradnl"/>
        </w:rPr>
        <w:t xml:space="preserve"> En ese sentido, el artículo 53 de la Ley 2195 de 2022 establece el deber de publicar toda aquella información relacionada con el respectivo contrato, sin incluir ninguna excepción relacionada con la naturaleza u objeto. Por </w:t>
      </w:r>
      <w:bookmarkEnd w:id="16"/>
      <w:r w:rsidRPr="009C660C">
        <w:rPr>
          <w:rFonts w:ascii="Century Gothic" w:eastAsia="Calibri" w:hAnsi="Century Gothic" w:cs="Arial"/>
          <w:lang w:val="es-ES_tradnl"/>
        </w:rPr>
        <w:t xml:space="preserve">lo tanto, la publicidad de los contratos exceptuados del Estatuto General de que trata el artículo 53 de la Ley 2195 de 2022, requiere que se publique en el SECOP II todo documento expedido durante las diferentes etapas del proceso contractual, abarcando desde la fase previa a su celebración, pasando por la ejecución y hasta la fase posterior a su ejecución. </w:t>
      </w:r>
    </w:p>
    <w:p w14:paraId="4CEBAD1A" w14:textId="77777777" w:rsidR="005B2815" w:rsidRPr="009C660C" w:rsidRDefault="005B2815" w:rsidP="005B2815">
      <w:pPr>
        <w:spacing w:before="120" w:after="120" w:line="276" w:lineRule="auto"/>
        <w:ind w:firstLine="709"/>
        <w:jc w:val="both"/>
        <w:rPr>
          <w:rFonts w:ascii="Century Gothic" w:eastAsia="Calibri" w:hAnsi="Century Gothic" w:cs="Arial"/>
          <w:lang w:val="es-ES"/>
        </w:rPr>
      </w:pPr>
      <w:r w:rsidRPr="009C660C">
        <w:rPr>
          <w:rFonts w:ascii="Century Gothic" w:eastAsia="Calibri" w:hAnsi="Century Gothic" w:cs="Arial"/>
          <w:lang w:val="es-ES"/>
        </w:rPr>
        <w:t>Sin perjuicio de lo anterior, vale la pena aclarar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w:t>
      </w:r>
      <w:r w:rsidRPr="009C660C">
        <w:rPr>
          <w:rFonts w:ascii="Century Gothic" w:eastAsia="Calibri" w:hAnsi="Century Gothic" w:cs="Arial"/>
          <w:vertAlign w:val="superscript"/>
          <w:lang w:val="es-ES"/>
        </w:rPr>
        <w:footnoteReference w:id="8"/>
      </w:r>
      <w:r w:rsidRPr="009C660C">
        <w:rPr>
          <w:rFonts w:ascii="Century Gothic" w:eastAsia="Calibri" w:hAnsi="Century Gothic" w:cs="Arial"/>
          <w:lang w:val="es-ES"/>
        </w:rPr>
        <w:t xml:space="preserve">. </w:t>
      </w:r>
      <w:bookmarkStart w:id="18" w:name="_Hlk109111976"/>
      <w:bookmarkStart w:id="19" w:name="_Hlk112856091"/>
      <w:bookmarkStart w:id="20" w:name="_Hlk112245428"/>
      <w:bookmarkEnd w:id="17"/>
    </w:p>
    <w:p w14:paraId="085CA327" w14:textId="77777777" w:rsidR="005B2815" w:rsidRPr="009C660C" w:rsidRDefault="005B2815" w:rsidP="005B2815">
      <w:pPr>
        <w:spacing w:before="120" w:after="120" w:line="276" w:lineRule="auto"/>
        <w:ind w:firstLine="709"/>
        <w:jc w:val="both"/>
        <w:rPr>
          <w:rFonts w:ascii="Century Gothic" w:eastAsia="Calibri" w:hAnsi="Century Gothic" w:cs="Arial"/>
          <w:lang w:val="es-ES"/>
        </w:rPr>
      </w:pPr>
      <w:r w:rsidRPr="009C660C">
        <w:rPr>
          <w:rFonts w:ascii="Century Gothic" w:eastAsia="Calibri" w:hAnsi="Century Gothic" w:cs="Arial"/>
          <w:lang w:val="es-ES_tradnl"/>
        </w:rPr>
        <w:lastRenderedPageBreak/>
        <w:t xml:space="preserve">Por otro lado, el inciso final del artículo 53 dispone que “A partir de la entrada en vigencia de la presente Ley, se establecerá un periodo de transición de seis (6) meses, para que las entidades den cumplimiento efectivo a lo aquí establecido”. Es decir, que se trata un período concedido por el Legislador a las entidades que tienen un régimen especial de contratación para adelantar las gestiones administrativas, técnicas y jurídicas pertinentes, a fin de cumplir lo establecido en el artículo citado. Este período de transición trascurrió del 18 de enero al 18 de julio de 2022. </w:t>
      </w:r>
      <w:bookmarkEnd w:id="18"/>
      <w:r w:rsidRPr="009C660C">
        <w:rPr>
          <w:rFonts w:ascii="Century Gothic" w:eastAsia="Calibri" w:hAnsi="Century Gothic" w:cs="Arial"/>
          <w:lang w:val="es-ES_tradnl"/>
        </w:rPr>
        <w:t>Si bien la norma materia de estudio no hace referencia a los contratos suscritos con anterioridad a su entrada en vigencia, de acuerdo con el artículo 38 de la Ley 153 de 1887, el cual dispone que en todo contrato se entenderán incorporadas las leyes vigentes al tiempo de su celebración, la obligación para las entidades estatales exceptuadas de publicar los documentos relacionados con su actividad contractual en el SECOP II aplica para los contratos suscritos con posterioridad al término dispuesto en el artículo 53 de la Ley 2195 de 2022, esto es, el 18 de julio de 2022</w:t>
      </w:r>
      <w:bookmarkEnd w:id="19"/>
      <w:r w:rsidRPr="009C660C">
        <w:rPr>
          <w:rStyle w:val="Refdenotaalpie"/>
          <w:rFonts w:ascii="Century Gothic" w:hAnsi="Century Gothic" w:cs="Arial"/>
        </w:rPr>
        <w:footnoteReference w:id="9"/>
      </w:r>
      <w:r w:rsidRPr="009C660C">
        <w:rPr>
          <w:rFonts w:ascii="Century Gothic" w:hAnsi="Century Gothic" w:cs="Arial"/>
        </w:rPr>
        <w:t>.</w:t>
      </w:r>
    </w:p>
    <w:bookmarkEnd w:id="20"/>
    <w:p w14:paraId="64EBC770" w14:textId="77777777" w:rsidR="005B2815" w:rsidRPr="009C660C" w:rsidRDefault="005B2815" w:rsidP="005B2815">
      <w:pPr>
        <w:autoSpaceDE w:val="0"/>
        <w:autoSpaceDN w:val="0"/>
        <w:adjustRightInd w:val="0"/>
        <w:spacing w:line="276" w:lineRule="auto"/>
        <w:ind w:firstLine="709"/>
        <w:contextualSpacing/>
        <w:jc w:val="both"/>
        <w:rPr>
          <w:rFonts w:ascii="Century Gothic" w:eastAsia="Calibri" w:hAnsi="Century Gothic" w:cs="Arial"/>
          <w:lang w:val="es-ES_tradnl" w:eastAsia="es-ES_tradnl"/>
        </w:rPr>
      </w:pPr>
      <w:r w:rsidRPr="009C660C">
        <w:rPr>
          <w:rFonts w:ascii="Century Gothic" w:eastAsia="Calibri" w:hAnsi="Century Gothic" w:cs="Arial"/>
          <w:lang w:val="es-ES_tradnl"/>
        </w:rPr>
        <w:t>Finalmente</w:t>
      </w:r>
      <w:r w:rsidRPr="009C660C">
        <w:rPr>
          <w:rFonts w:ascii="Century Gothic" w:eastAsia="Calibri" w:hAnsi="Century Gothic" w:cs="Arial"/>
          <w:lang w:val="es-ES"/>
        </w:rPr>
        <w:t xml:space="preserve">, debe destacarse que, el </w:t>
      </w:r>
      <w:bookmarkStart w:id="21" w:name="_Hlk153374719"/>
      <w:r w:rsidRPr="009C660C">
        <w:rPr>
          <w:rFonts w:ascii="Century Gothic" w:eastAsia="Calibri" w:hAnsi="Century Gothic" w:cs="Arial"/>
          <w:lang w:val="es-ES"/>
        </w:rPr>
        <w:t>Departamento Administrativo de la Presidencia de la Republica</w:t>
      </w:r>
      <w:bookmarkEnd w:id="21"/>
      <w:r w:rsidRPr="009C660C">
        <w:rPr>
          <w:rFonts w:ascii="Century Gothic" w:eastAsia="Calibri" w:hAnsi="Century Gothic" w:cs="Arial"/>
          <w:lang w:val="es-ES"/>
        </w:rPr>
        <w:t xml:space="preserve"> expidió la Circular 02 del 1 de junio de 2022, la cual contiene una serie de instrucciones dirigidas a garantizar el cumplimiento del deber legal de publicar en SECOP II por parte de las entidades estatales exceptuadas del Estatuto General de Contratación Pública. Sobre el alcance y vigencia dicha disposición la mencionada circular señaló lo siguiente</w:t>
      </w:r>
      <w:r w:rsidRPr="009C660C">
        <w:rPr>
          <w:rFonts w:ascii="Century Gothic" w:eastAsia="Calibri" w:hAnsi="Century Gothic" w:cs="Arial"/>
          <w:lang w:val="es-ES_tradnl" w:eastAsia="es-ES_tradnl"/>
        </w:rPr>
        <w:t>:</w:t>
      </w:r>
    </w:p>
    <w:p w14:paraId="444EFD56" w14:textId="77777777" w:rsidR="005B2815" w:rsidRPr="009C660C" w:rsidRDefault="005B2815" w:rsidP="005B2815">
      <w:pPr>
        <w:autoSpaceDE w:val="0"/>
        <w:autoSpaceDN w:val="0"/>
        <w:adjustRightInd w:val="0"/>
        <w:ind w:firstLine="708"/>
        <w:contextualSpacing/>
        <w:jc w:val="both"/>
        <w:rPr>
          <w:rFonts w:ascii="Century Gothic" w:eastAsia="Calibri" w:hAnsi="Century Gothic" w:cs="Arial"/>
          <w:lang w:val="es-ES_tradnl" w:eastAsia="es-ES_tradnl"/>
        </w:rPr>
      </w:pPr>
    </w:p>
    <w:p w14:paraId="2559AA6E" w14:textId="77777777" w:rsidR="005B2815" w:rsidRPr="009C660C" w:rsidRDefault="005B2815" w:rsidP="005B2815">
      <w:pPr>
        <w:autoSpaceDE w:val="0"/>
        <w:autoSpaceDN w:val="0"/>
        <w:adjustRightInd w:val="0"/>
        <w:spacing w:line="240" w:lineRule="auto"/>
        <w:ind w:left="709" w:right="709"/>
        <w:contextualSpacing/>
        <w:jc w:val="both"/>
        <w:rPr>
          <w:rFonts w:ascii="Century Gothic" w:eastAsia="Calibri" w:hAnsi="Century Gothic" w:cs="Arial"/>
          <w:i/>
          <w:iCs/>
          <w:sz w:val="21"/>
          <w:szCs w:val="21"/>
          <w:lang w:val="es-ES_tradnl" w:eastAsia="es-ES_tradnl"/>
        </w:rPr>
      </w:pPr>
      <w:r w:rsidRPr="009C660C">
        <w:rPr>
          <w:rFonts w:ascii="Century Gothic" w:hAnsi="Century Gothic" w:cs="Arial"/>
          <w:sz w:val="21"/>
          <w:szCs w:val="21"/>
        </w:rPr>
        <w:t>“</w:t>
      </w:r>
      <w:r w:rsidRPr="009C660C">
        <w:rPr>
          <w:rFonts w:ascii="Century Gothic" w:hAnsi="Century Gothic" w:cs="Arial"/>
          <w:i/>
          <w:iCs/>
          <w:sz w:val="21"/>
          <w:szCs w:val="21"/>
        </w:rPr>
        <w:t xml:space="preserve">Dado que el artículo 53 de la Ley 2195 de 2022 no cambió la forma en que se perfeccionan los contratos suscritos por estas entidades exceptuadas, para cumplir con el deber de publicidad que les asiste, </w:t>
      </w:r>
      <w:r w:rsidRPr="009C660C">
        <w:rPr>
          <w:rFonts w:ascii="Century Gothic" w:hAnsi="Century Gothic" w:cs="Arial"/>
          <w:i/>
          <w:iCs/>
          <w:sz w:val="21"/>
          <w:szCs w:val="21"/>
        </w:rPr>
        <w:lastRenderedPageBreak/>
        <w:t>podrán elegir cualquiera de las siguientes opciones: 1. Firmar el contrato electrónicamente (es decir, realiza un uso transaccional de la plataforma). 2. Firmar el contrato en físico y publicar los documentos de ejecución en la etapa precontractual del SECOP II (es decir, realiza un uso publicitario de la plataforma).</w:t>
      </w:r>
    </w:p>
    <w:p w14:paraId="7BEBFDCC" w14:textId="77777777" w:rsidR="005B2815" w:rsidRPr="009C660C" w:rsidRDefault="005B2815" w:rsidP="005B2815">
      <w:pPr>
        <w:autoSpaceDE w:val="0"/>
        <w:autoSpaceDN w:val="0"/>
        <w:adjustRightInd w:val="0"/>
        <w:spacing w:line="240" w:lineRule="auto"/>
        <w:ind w:firstLine="708"/>
        <w:contextualSpacing/>
        <w:jc w:val="both"/>
        <w:rPr>
          <w:rFonts w:ascii="Century Gothic" w:eastAsia="Calibri" w:hAnsi="Century Gothic" w:cs="Arial"/>
          <w:sz w:val="21"/>
          <w:szCs w:val="21"/>
          <w:lang w:val="es-ES_tradnl" w:eastAsia="es-ES_tradnl"/>
        </w:rPr>
      </w:pPr>
      <w:r w:rsidRPr="009C660C">
        <w:rPr>
          <w:rFonts w:ascii="Century Gothic" w:eastAsia="Calibri" w:hAnsi="Century Gothic" w:cs="Arial"/>
          <w:sz w:val="21"/>
          <w:szCs w:val="21"/>
          <w:lang w:val="es-ES_tradnl" w:eastAsia="es-ES_tradnl"/>
        </w:rPr>
        <w:t>[…]</w:t>
      </w:r>
    </w:p>
    <w:p w14:paraId="27747206" w14:textId="77777777" w:rsidR="005B2815" w:rsidRPr="009C660C" w:rsidRDefault="005B2815" w:rsidP="005B2815">
      <w:pPr>
        <w:spacing w:line="240" w:lineRule="auto"/>
        <w:ind w:left="709" w:right="709"/>
        <w:contextualSpacing/>
        <w:jc w:val="both"/>
        <w:rPr>
          <w:rFonts w:ascii="Century Gothic" w:eastAsia="Times New Roman" w:hAnsi="Century Gothic" w:cs="Arial"/>
          <w:sz w:val="12"/>
          <w:szCs w:val="12"/>
          <w:lang w:eastAsia="es-ES_tradnl"/>
        </w:rPr>
      </w:pPr>
    </w:p>
    <w:p w14:paraId="39470DD9" w14:textId="77777777" w:rsidR="005B2815" w:rsidRPr="009C660C" w:rsidRDefault="005B2815" w:rsidP="005B2815">
      <w:pPr>
        <w:spacing w:line="240" w:lineRule="auto"/>
        <w:ind w:left="709" w:right="709"/>
        <w:contextualSpacing/>
        <w:jc w:val="both"/>
        <w:rPr>
          <w:rFonts w:ascii="Century Gothic" w:eastAsia="Times New Roman" w:hAnsi="Century Gothic" w:cs="Arial"/>
          <w:i/>
          <w:iCs/>
          <w:sz w:val="21"/>
          <w:szCs w:val="21"/>
          <w:lang w:eastAsia="es-ES_tradnl"/>
        </w:rPr>
      </w:pPr>
      <w:r w:rsidRPr="009C660C">
        <w:rPr>
          <w:rFonts w:ascii="Century Gothic" w:eastAsia="Times New Roman" w:hAnsi="Century Gothic" w:cs="Arial"/>
          <w:sz w:val="21"/>
          <w:szCs w:val="21"/>
          <w:lang w:eastAsia="es-ES_tradnl"/>
        </w:rPr>
        <w:t>El deber de las entidades estatales que por disposición legal cuenten con un régimen contractual excepcional al del Estatuto General de Contratación de la Administración Pública, de publicar los documentos relacionados con su actividad contractual en el SECOP II</w:t>
      </w:r>
      <w:r w:rsidRPr="009C660C">
        <w:rPr>
          <w:rFonts w:ascii="Century Gothic" w:eastAsia="Times New Roman" w:hAnsi="Century Gothic" w:cs="Arial"/>
          <w:i/>
          <w:iCs/>
          <w:sz w:val="21"/>
          <w:szCs w:val="21"/>
          <w:lang w:eastAsia="es-ES_tradnl"/>
        </w:rPr>
        <w:t xml:space="preserve">, solo aplica para los contratos suscritos con posterioridad al término dispuesto en el artículo 53 de la Ley 2195 de 2022, esto es, el 18 de julio de 2022. </w:t>
      </w:r>
    </w:p>
    <w:p w14:paraId="75EB041D" w14:textId="77777777" w:rsidR="005B2815" w:rsidRPr="009C660C" w:rsidRDefault="005B2815" w:rsidP="005B2815">
      <w:pPr>
        <w:spacing w:line="240" w:lineRule="auto"/>
        <w:ind w:left="709" w:right="709"/>
        <w:contextualSpacing/>
        <w:jc w:val="both"/>
        <w:rPr>
          <w:rFonts w:ascii="Century Gothic" w:eastAsia="Times New Roman" w:hAnsi="Century Gothic" w:cs="Arial"/>
          <w:sz w:val="12"/>
          <w:szCs w:val="12"/>
          <w:lang w:eastAsia="es-ES_tradnl"/>
        </w:rPr>
      </w:pPr>
    </w:p>
    <w:p w14:paraId="5409B4E9"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lang w:val="es-ES_tradnl" w:eastAsia="es-ES_tradnl"/>
        </w:rPr>
      </w:pPr>
      <w:r w:rsidRPr="009C660C">
        <w:rPr>
          <w:rFonts w:ascii="Century Gothic" w:eastAsia="Times New Roman" w:hAnsi="Century Gothic" w:cs="Arial"/>
          <w:sz w:val="21"/>
          <w:szCs w:val="21"/>
          <w:lang w:eastAsia="es-ES_tradnl"/>
        </w:rPr>
        <w:t>Lo anterior en concordancia con lo establecido en el artículo 38 de la Ley 153 de 1887, el cual dispone que en todo contrato celebrado se entenderán incorporadas las leyes vigentes al tiempo de su celebración”</w:t>
      </w:r>
      <w:r w:rsidRPr="009C660C">
        <w:rPr>
          <w:rFonts w:ascii="Century Gothic" w:eastAsia="Times New Roman" w:hAnsi="Century Gothic" w:cs="Arial"/>
          <w:i/>
          <w:iCs/>
          <w:sz w:val="21"/>
          <w:szCs w:val="21"/>
          <w:lang w:eastAsia="es-ES_tradnl"/>
        </w:rPr>
        <w:t xml:space="preserve">. </w:t>
      </w:r>
      <w:r w:rsidRPr="009C660C">
        <w:rPr>
          <w:rFonts w:ascii="Century Gothic" w:eastAsia="Calibri" w:hAnsi="Century Gothic" w:cs="Arial"/>
          <w:sz w:val="21"/>
          <w:szCs w:val="21"/>
        </w:rPr>
        <w:t>(Énfasis fuera de texto)</w:t>
      </w:r>
    </w:p>
    <w:p w14:paraId="136E2989"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p>
    <w:p w14:paraId="043C2CEA"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r w:rsidRPr="009C660C">
        <w:rPr>
          <w:rFonts w:ascii="Century Gothic" w:eastAsia="Calibri" w:hAnsi="Century Gothic" w:cs="Arial"/>
          <w:lang w:val="es-ES_tradnl"/>
        </w:rPr>
        <w:t>Sobre el particular ya se había pronunciado la Agencia Nacional de Contratación Pública – Colombia Compra Eficiente en la Circular 002 del 17 de marzo de 2022, en la que se indicó:</w:t>
      </w:r>
    </w:p>
    <w:p w14:paraId="1393ACB5"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p>
    <w:p w14:paraId="235548DD" w14:textId="77777777" w:rsidR="005B2815" w:rsidRPr="009C660C" w:rsidRDefault="005B2815" w:rsidP="005B2815">
      <w:pPr>
        <w:spacing w:line="240" w:lineRule="auto"/>
        <w:ind w:left="709" w:right="709"/>
        <w:contextualSpacing/>
        <w:jc w:val="both"/>
        <w:rPr>
          <w:rFonts w:ascii="Century Gothic" w:hAnsi="Century Gothic" w:cs="Arial"/>
          <w:sz w:val="21"/>
          <w:szCs w:val="21"/>
        </w:rPr>
      </w:pPr>
      <w:r w:rsidRPr="009C660C">
        <w:rPr>
          <w:rFonts w:ascii="Century Gothic" w:hAnsi="Century Gothic" w:cs="Arial"/>
          <w:sz w:val="21"/>
          <w:szCs w:val="21"/>
        </w:rPr>
        <w:t xml:space="preserve">“Para la vigencia 2022 las entidades que apliquen un régimen especial de contratación de acuerdo con lo preceptuado en la Ley 2195 de 2022, tienen un período de transición de seis (6) meses para publicar todos los documentos relacionados con su actividad contractual en la plataforma del SECOP II. </w:t>
      </w:r>
    </w:p>
    <w:p w14:paraId="19D9071A" w14:textId="77777777" w:rsidR="005B2815" w:rsidRPr="009C660C" w:rsidRDefault="005B2815" w:rsidP="005B2815">
      <w:pPr>
        <w:spacing w:line="240" w:lineRule="auto"/>
        <w:ind w:right="709"/>
        <w:contextualSpacing/>
        <w:jc w:val="both"/>
        <w:rPr>
          <w:rFonts w:ascii="Century Gothic" w:hAnsi="Century Gothic" w:cs="Arial"/>
          <w:sz w:val="12"/>
          <w:szCs w:val="12"/>
        </w:rPr>
      </w:pPr>
    </w:p>
    <w:p w14:paraId="35F2287E"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lang w:val="es-ES_tradnl"/>
        </w:rPr>
      </w:pPr>
      <w:r w:rsidRPr="009C660C">
        <w:rPr>
          <w:rFonts w:ascii="Century Gothic" w:hAnsi="Century Gothic" w:cs="Arial"/>
          <w:i/>
          <w:iCs/>
          <w:sz w:val="21"/>
          <w:szCs w:val="21"/>
        </w:rPr>
        <w:t>En consecuencia, su uso obligatorio empezará a regir a partir del 18 de iulio de 2022, 23:59 horas, sin que sea posible por vía reglamentaria o en sus reglamentos internos de contratación -también conocidos como Manuales de Contratación"-hacer extensivo el plazo previsto en la Ley.</w:t>
      </w:r>
      <w:r w:rsidRPr="009C660C">
        <w:rPr>
          <w:rFonts w:ascii="Century Gothic" w:hAnsi="Century Gothic" w:cs="Arial"/>
          <w:sz w:val="21"/>
          <w:szCs w:val="21"/>
        </w:rPr>
        <w:t xml:space="preserve"> Todos los procesos de contratación creados en el SECOP I antes del 18 de julio de 2022, 23:59 horas, por parte de estas entidades estatales, podrán continuar siendo gestionados en esta plataforma”</w:t>
      </w:r>
      <w:r w:rsidRPr="009C660C">
        <w:rPr>
          <w:rFonts w:ascii="Century Gothic" w:eastAsia="Calibri" w:hAnsi="Century Gothic" w:cs="Arial"/>
          <w:sz w:val="21"/>
          <w:szCs w:val="21"/>
          <w:lang w:val="es-ES_tradnl"/>
        </w:rPr>
        <w:t xml:space="preserve">. (Cursivas fuera de texto) </w:t>
      </w:r>
    </w:p>
    <w:p w14:paraId="26083E85" w14:textId="77777777" w:rsidR="005B2815" w:rsidRPr="009C660C" w:rsidRDefault="005B2815" w:rsidP="005B2815">
      <w:pPr>
        <w:autoSpaceDE w:val="0"/>
        <w:autoSpaceDN w:val="0"/>
        <w:adjustRightInd w:val="0"/>
        <w:spacing w:line="276" w:lineRule="auto"/>
        <w:ind w:firstLine="708"/>
        <w:contextualSpacing/>
        <w:jc w:val="both"/>
        <w:rPr>
          <w:rFonts w:ascii="Century Gothic" w:eastAsia="Calibri" w:hAnsi="Century Gothic" w:cs="Arial"/>
          <w:color w:val="FF0000"/>
          <w:lang w:val="es-ES_tradnl"/>
        </w:rPr>
      </w:pPr>
    </w:p>
    <w:p w14:paraId="25533881" w14:textId="77777777" w:rsidR="005B2815" w:rsidRPr="009C660C" w:rsidRDefault="005B2815" w:rsidP="005B2815">
      <w:pPr>
        <w:spacing w:after="120" w:line="276" w:lineRule="auto"/>
        <w:ind w:firstLine="709"/>
        <w:jc w:val="both"/>
        <w:rPr>
          <w:rFonts w:ascii="Century Gothic" w:eastAsia="Calibri" w:hAnsi="Century Gothic" w:cs="Arial"/>
          <w:lang w:val="es-ES_tradnl"/>
        </w:rPr>
      </w:pPr>
      <w:bookmarkStart w:id="22" w:name="_Hlk114556636"/>
      <w:r w:rsidRPr="009C660C">
        <w:rPr>
          <w:rFonts w:ascii="Century Gothic" w:hAnsi="Century Gothic" w:cs="Arial"/>
        </w:rPr>
        <w:t xml:space="preserve">Conforme a lo anterior, a partir del 18 de julio de 2022, las entidades exceptuadas se encuentran obligadas a publicar todos los documentos de su actividad contractual en el SECOP II, sin perjuicio de estar sometidas a regímenes de derecho privado. Siendo este el efecto de la disposición bajo estudio se destaca que </w:t>
      </w:r>
      <w:r w:rsidRPr="009C660C">
        <w:rPr>
          <w:rFonts w:ascii="Century Gothic" w:eastAsia="Calibri" w:hAnsi="Century Gothic" w:cs="Arial"/>
          <w:lang w:val="es-ES_tradnl"/>
        </w:rPr>
        <w:t xml:space="preserve">la modificación introducida por el artículo 53 de la Ley 2195 de 2022 de ninguna manera puede ser interpretada como una modificación del régimen </w:t>
      </w:r>
      <w:r w:rsidRPr="009C660C">
        <w:rPr>
          <w:rFonts w:ascii="Century Gothic" w:eastAsia="Calibri" w:hAnsi="Century Gothic" w:cs="Arial"/>
          <w:lang w:val="es-ES_tradnl"/>
        </w:rPr>
        <w:lastRenderedPageBreak/>
        <w:t xml:space="preserve">jurídico de las entidades exceptuadas, ni como una norma que regule la forma en la que se perfeccionan los contratos de régimen especial. </w:t>
      </w:r>
    </w:p>
    <w:bookmarkEnd w:id="22"/>
    <w:p w14:paraId="04AB6B95" w14:textId="77777777" w:rsidR="005B2815" w:rsidRDefault="005B2815" w:rsidP="005B2815">
      <w:pPr>
        <w:spacing w:line="276" w:lineRule="auto"/>
        <w:ind w:firstLine="709"/>
        <w:jc w:val="both"/>
        <w:rPr>
          <w:rFonts w:ascii="Century Gothic" w:eastAsia="Calibri" w:hAnsi="Century Gothic" w:cs="Arial"/>
          <w:lang w:val="es-ES_tradnl"/>
        </w:rPr>
      </w:pPr>
      <w:r w:rsidRPr="009C660C">
        <w:rPr>
          <w:rFonts w:ascii="Century Gothic" w:eastAsia="Calibri" w:hAnsi="Century Gothic" w:cs="Arial"/>
          <w:lang w:val="es-ES_tradnl"/>
        </w:rPr>
        <w:t>El efecto de la norma tampoco es el de imponer formalidades propias del régimen de contratación público en detrimento de las regulaciones establecidas en los manuales de contratación de las entidades exceptuadas. Esto dado que la referida disposición se limita a señalar el SECOP II –o la plataforma transaccional que haga sus veces– como el medio a través del cual les corresponderá a las entidades realizar la publicidad de los documentos que expidan en el curso de su actividad contractual desarrollada al margen del Estatuto General de Contratación de la Administración Pública.</w:t>
      </w:r>
    </w:p>
    <w:p w14:paraId="3F4AE7E1" w14:textId="77777777" w:rsidR="005B2815" w:rsidRPr="00902161" w:rsidRDefault="005B2815" w:rsidP="005B2815">
      <w:pPr>
        <w:pStyle w:val="Prrafodelista"/>
        <w:numPr>
          <w:ilvl w:val="0"/>
          <w:numId w:val="1"/>
        </w:numPr>
        <w:spacing w:line="276" w:lineRule="auto"/>
        <w:ind w:left="426"/>
        <w:jc w:val="both"/>
        <w:rPr>
          <w:rFonts w:ascii="Century Gothic" w:eastAsia="Calibri" w:hAnsi="Century Gothic" w:cs="Arial"/>
          <w:b/>
          <w:bCs/>
          <w:lang w:val="es-ES_tradnl"/>
        </w:rPr>
      </w:pPr>
      <w:r w:rsidRPr="00902161">
        <w:rPr>
          <w:rFonts w:ascii="Century Gothic" w:eastAsia="Calibri" w:hAnsi="Century Gothic" w:cs="Arial"/>
          <w:b/>
          <w:bCs/>
          <w:lang w:val="es-ES_tradnl"/>
        </w:rPr>
        <w:t>Respuesta</w:t>
      </w:r>
    </w:p>
    <w:p w14:paraId="37AE77C8" w14:textId="77777777" w:rsidR="005B2815" w:rsidRDefault="005B2815" w:rsidP="005B2815">
      <w:pPr>
        <w:pStyle w:val="Prrafodelista"/>
        <w:spacing w:after="0" w:line="276" w:lineRule="auto"/>
        <w:ind w:right="709"/>
        <w:jc w:val="both"/>
        <w:rPr>
          <w:rFonts w:ascii="Century Gothic" w:eastAsia="Calibri" w:hAnsi="Century Gothic" w:cs="Arial"/>
          <w:color w:val="000000" w:themeColor="text1"/>
          <w:sz w:val="20"/>
          <w:szCs w:val="20"/>
          <w:lang w:val="es-ES_tradnl"/>
        </w:rPr>
      </w:pPr>
    </w:p>
    <w:p w14:paraId="3B3613B7" w14:textId="77777777" w:rsidR="005B2815" w:rsidRPr="00902161" w:rsidRDefault="005B2815" w:rsidP="005B2815">
      <w:pPr>
        <w:pStyle w:val="Prrafodelista"/>
        <w:spacing w:after="0" w:line="276" w:lineRule="auto"/>
        <w:ind w:right="709"/>
        <w:jc w:val="both"/>
        <w:rPr>
          <w:rFonts w:ascii="Century Gothic" w:eastAsia="Calibri" w:hAnsi="Century Gothic" w:cs="Arial"/>
          <w:color w:val="000000" w:themeColor="text1"/>
          <w:sz w:val="20"/>
          <w:szCs w:val="20"/>
          <w:lang w:val="es-ES_tradnl"/>
        </w:rPr>
      </w:pPr>
      <w:r w:rsidRPr="00902161">
        <w:rPr>
          <w:rFonts w:ascii="Century Gothic" w:eastAsia="Calibri" w:hAnsi="Century Gothic" w:cs="Arial"/>
          <w:color w:val="000000" w:themeColor="text1"/>
          <w:sz w:val="20"/>
          <w:szCs w:val="20"/>
          <w:lang w:val="es-ES_tradnl"/>
        </w:rPr>
        <w:t>“Respetuosamente solicito me informen si después de la declaratoria de nulidad que contiene la sentencia del C.E. con radicado 11001-03-26-000-2016-00003-00 (56151), acumulado con 11001-03-26-000-2016-00001-00 (56160), 11001-03-26-000-2016-00002-00 (56163), 11001-03-26-000-2016-00004-00 (56162) y 11001-03-26-000-2017-00026-00 (58711) del 19 de octubre de 2023, acerca de las Resoluciones expedidas por Colombia Compra Eficiente que tiene que ver con la obligatoriedad de publicación contractual de las entidades con régimen especial. Si del momento de la ejecutoria de la misma ya este tipo de entidades no tienen la obligación de publicar sus contratos en el SECOP II” [SIC].</w:t>
      </w:r>
    </w:p>
    <w:p w14:paraId="249F2814" w14:textId="77777777" w:rsidR="005B2815" w:rsidRDefault="005B2815" w:rsidP="005B2815">
      <w:pPr>
        <w:spacing w:after="0" w:line="276" w:lineRule="auto"/>
        <w:jc w:val="both"/>
        <w:rPr>
          <w:rFonts w:ascii="Century Gothic" w:eastAsia="Calibri" w:hAnsi="Century Gothic" w:cs="Arial"/>
          <w:lang w:val="es-ES_tradnl"/>
        </w:rPr>
      </w:pPr>
    </w:p>
    <w:p w14:paraId="08D13D84" w14:textId="77777777" w:rsidR="005B2815" w:rsidRDefault="005B2815" w:rsidP="005B2815">
      <w:pPr>
        <w:spacing w:line="276" w:lineRule="auto"/>
        <w:jc w:val="both"/>
        <w:rPr>
          <w:rFonts w:ascii="Century Gothic" w:eastAsia="Arial" w:hAnsi="Century Gothic" w:cs="Arial"/>
          <w:lang w:val="es-ES"/>
        </w:rPr>
      </w:pPr>
      <w:r>
        <w:rPr>
          <w:rFonts w:ascii="Century Gothic" w:eastAsia="Calibri" w:hAnsi="Century Gothic" w:cs="Arial"/>
          <w:lang w:val="es-ES_tradnl"/>
        </w:rPr>
        <w:t>De acuerdo con lo expuesto, sin perjuicio de la nulidad parcial declarada por la Jurisdicción de lo Contencioso Administrativo</w:t>
      </w:r>
      <w:r>
        <w:rPr>
          <w:rFonts w:ascii="Century Gothic" w:eastAsia="Calibri" w:hAnsi="Century Gothic" w:cs="Arial"/>
          <w:color w:val="000000" w:themeColor="text1"/>
          <w:lang w:val="es-ES_tradnl"/>
        </w:rPr>
        <w:t>,</w:t>
      </w:r>
      <w:r>
        <w:rPr>
          <w:rFonts w:ascii="Century Gothic" w:eastAsia="Calibri" w:hAnsi="Century Gothic" w:cs="Arial"/>
          <w:lang w:val="es-ES_tradnl"/>
        </w:rPr>
        <w:t xml:space="preserve"> la obligación de publicidad para las entidades de régimen especial se mantiene en las condiciones de los apartados vigentes de las </w:t>
      </w:r>
      <w:r w:rsidRPr="00BB4451">
        <w:rPr>
          <w:rFonts w:ascii="Century Gothic" w:eastAsia="Calibri" w:hAnsi="Century Gothic" w:cs="Arial"/>
          <w:lang w:val="es-ES_tradnl"/>
        </w:rPr>
        <w:t>Circulares Externas Nro. 1 de 21 de junio de 2013 y Nro. 20 de 27 de agosto de 2015</w:t>
      </w:r>
      <w:r>
        <w:rPr>
          <w:rFonts w:ascii="Century Gothic" w:eastAsia="Calibri" w:hAnsi="Century Gothic" w:cs="Arial"/>
          <w:lang w:val="es-ES_tradnl"/>
        </w:rPr>
        <w:t xml:space="preserve">. En calidad de sujetos obligados, este deber se complementa tanto con el literal g) del artículo 11 de la Ley 1712 de 2014 como por el artículo </w:t>
      </w:r>
      <w:r w:rsidRPr="00BB4451">
        <w:rPr>
          <w:rFonts w:ascii="Century Gothic" w:eastAsia="Calibri" w:hAnsi="Century Gothic" w:cs="Arial"/>
          <w:lang w:val="es-ES_tradnl"/>
        </w:rPr>
        <w:t>2.1.1.2.1.7</w:t>
      </w:r>
      <w:r>
        <w:rPr>
          <w:rFonts w:ascii="Century Gothic" w:eastAsia="Calibri" w:hAnsi="Century Gothic" w:cs="Arial"/>
          <w:lang w:val="es-ES_tradnl"/>
        </w:rPr>
        <w:t xml:space="preserve"> del </w:t>
      </w:r>
      <w:r w:rsidRPr="008F1C41">
        <w:rPr>
          <w:rFonts w:ascii="Century Gothic" w:eastAsia="Arial" w:hAnsi="Century Gothic" w:cs="Arial"/>
          <w:lang w:val="es-ES"/>
        </w:rPr>
        <w:t>Decreto Único Reglamentario 1081 de 2015</w:t>
      </w:r>
      <w:r>
        <w:rPr>
          <w:rFonts w:ascii="Century Gothic" w:eastAsia="Arial" w:hAnsi="Century Gothic" w:cs="Arial"/>
          <w:lang w:val="es-ES"/>
        </w:rPr>
        <w:t xml:space="preserve">, el cual tiene presunción de legalidad conforme al artículo 88 de la Ley 1437 de 2011. </w:t>
      </w:r>
    </w:p>
    <w:p w14:paraId="5E31B7E9" w14:textId="77777777" w:rsidR="005B2815" w:rsidRDefault="005B2815" w:rsidP="005B2815">
      <w:pPr>
        <w:spacing w:line="276" w:lineRule="auto"/>
        <w:ind w:firstLine="709"/>
        <w:jc w:val="both"/>
        <w:rPr>
          <w:rFonts w:ascii="Century Gothic" w:eastAsia="Calibri" w:hAnsi="Century Gothic" w:cs="Arial"/>
          <w:lang w:val="es-ES"/>
        </w:rPr>
      </w:pPr>
      <w:r>
        <w:rPr>
          <w:rFonts w:ascii="Century Gothic" w:eastAsia="Arial" w:hAnsi="Century Gothic" w:cs="Arial"/>
          <w:lang w:val="es-ES"/>
        </w:rPr>
        <w:t xml:space="preserve">De acuerdo con el artículo 53 de la Ley 2195 de 2022, en concordancia con la </w:t>
      </w:r>
      <w:r w:rsidRPr="009C660C">
        <w:rPr>
          <w:rFonts w:ascii="Century Gothic" w:eastAsia="Calibri" w:hAnsi="Century Gothic" w:cs="Arial"/>
          <w:lang w:val="es-ES_tradnl"/>
        </w:rPr>
        <w:t>Circular</w:t>
      </w:r>
      <w:r>
        <w:rPr>
          <w:rFonts w:ascii="Century Gothic" w:eastAsia="Calibri" w:hAnsi="Century Gothic" w:cs="Arial"/>
          <w:lang w:val="es-ES_tradnl"/>
        </w:rPr>
        <w:t>es</w:t>
      </w:r>
      <w:r w:rsidRPr="009C660C">
        <w:rPr>
          <w:rFonts w:ascii="Century Gothic" w:eastAsia="Calibri" w:hAnsi="Century Gothic" w:cs="Arial"/>
          <w:lang w:val="es-ES_tradnl"/>
        </w:rPr>
        <w:t xml:space="preserve"> </w:t>
      </w:r>
      <w:r>
        <w:rPr>
          <w:rFonts w:ascii="Century Gothic" w:eastAsia="Calibri" w:hAnsi="Century Gothic" w:cs="Arial"/>
          <w:lang w:val="es-ES_tradnl"/>
        </w:rPr>
        <w:t>de la</w:t>
      </w:r>
      <w:r w:rsidRPr="009C660C">
        <w:rPr>
          <w:rFonts w:ascii="Century Gothic" w:eastAsia="Calibri" w:hAnsi="Century Gothic" w:cs="Arial"/>
          <w:lang w:val="es-ES_tradnl"/>
        </w:rPr>
        <w:t xml:space="preserve"> Agencia Nacional de Contratación Pública – Colombia Compra Eficiente 002 del 17 de marzo de 2022</w:t>
      </w:r>
      <w:r>
        <w:rPr>
          <w:rFonts w:ascii="Century Gothic" w:eastAsia="Calibri" w:hAnsi="Century Gothic" w:cs="Arial"/>
          <w:lang w:val="es-ES_tradnl"/>
        </w:rPr>
        <w:t xml:space="preserve"> y </w:t>
      </w:r>
      <w:r>
        <w:rPr>
          <w:rFonts w:ascii="Century Gothic" w:eastAsia="Arial" w:hAnsi="Century Gothic" w:cs="Arial"/>
          <w:lang w:val="es-ES"/>
        </w:rPr>
        <w:t xml:space="preserve">del </w:t>
      </w:r>
      <w:r w:rsidRPr="009D786F">
        <w:rPr>
          <w:rFonts w:ascii="Century Gothic" w:eastAsia="Arial" w:hAnsi="Century Gothic" w:cs="Arial"/>
          <w:lang w:val="es-ES"/>
        </w:rPr>
        <w:t>Departamento Administrativo de la Presidencia de la Republica</w:t>
      </w:r>
      <w:r>
        <w:rPr>
          <w:rFonts w:ascii="Century Gothic" w:eastAsia="Arial" w:hAnsi="Century Gothic" w:cs="Arial"/>
          <w:lang w:val="es-ES"/>
        </w:rPr>
        <w:t xml:space="preserve"> </w:t>
      </w:r>
      <w:r w:rsidRPr="009C660C">
        <w:rPr>
          <w:rFonts w:ascii="Century Gothic" w:eastAsia="Calibri" w:hAnsi="Century Gothic" w:cs="Arial"/>
          <w:lang w:val="es-ES"/>
        </w:rPr>
        <w:t>02 del 1 de junio de 2022</w:t>
      </w:r>
      <w:r>
        <w:rPr>
          <w:rFonts w:ascii="Century Gothic" w:eastAsia="Calibri" w:hAnsi="Century Gothic" w:cs="Arial"/>
          <w:lang w:val="es-ES"/>
        </w:rPr>
        <w:t>, l</w:t>
      </w:r>
      <w:r w:rsidRPr="00E8237D">
        <w:rPr>
          <w:rFonts w:ascii="Century Gothic" w:eastAsia="Calibri" w:hAnsi="Century Gothic" w:cs="Arial"/>
          <w:lang w:val="es-ES"/>
        </w:rPr>
        <w:t xml:space="preserve">as entidades </w:t>
      </w:r>
      <w:r>
        <w:rPr>
          <w:rFonts w:ascii="Century Gothic" w:eastAsia="Calibri" w:hAnsi="Century Gothic" w:cs="Arial"/>
          <w:lang w:val="es-ES"/>
        </w:rPr>
        <w:t xml:space="preserve">exceptuadas de la Ley 80 de 1993 </w:t>
      </w:r>
      <w:r w:rsidRPr="00E8237D">
        <w:rPr>
          <w:rFonts w:ascii="Century Gothic" w:eastAsia="Calibri" w:hAnsi="Century Gothic" w:cs="Arial"/>
          <w:lang w:val="es-ES"/>
        </w:rPr>
        <w:t xml:space="preserve">deberán publicar </w:t>
      </w:r>
      <w:r>
        <w:rPr>
          <w:rFonts w:ascii="Century Gothic" w:eastAsia="Calibri" w:hAnsi="Century Gothic" w:cs="Arial"/>
          <w:lang w:val="es-ES"/>
        </w:rPr>
        <w:t xml:space="preserve">en el </w:t>
      </w:r>
      <w:r w:rsidRPr="00E8237D">
        <w:rPr>
          <w:rFonts w:ascii="Century Gothic" w:eastAsia="Calibri" w:hAnsi="Century Gothic" w:cs="Arial"/>
          <w:lang w:val="es-ES"/>
        </w:rPr>
        <w:t>SECOP II</w:t>
      </w:r>
      <w:r>
        <w:rPr>
          <w:rFonts w:ascii="Century Gothic" w:eastAsia="Calibri" w:hAnsi="Century Gothic" w:cs="Arial"/>
          <w:lang w:val="es-ES"/>
        </w:rPr>
        <w:t xml:space="preserve"> –o la plataforma transaccional que haga sus veces– los documentos relacionados con su </w:t>
      </w:r>
      <w:r w:rsidRPr="00E8237D">
        <w:rPr>
          <w:rFonts w:ascii="Century Gothic" w:eastAsia="Calibri" w:hAnsi="Century Gothic" w:cs="Arial"/>
          <w:i/>
          <w:iCs/>
          <w:lang w:val="es-ES"/>
        </w:rPr>
        <w:t>actividad contractual</w:t>
      </w:r>
      <w:r>
        <w:rPr>
          <w:rFonts w:ascii="Century Gothic" w:eastAsia="Calibri" w:hAnsi="Century Gothic" w:cs="Arial"/>
          <w:lang w:val="es-ES"/>
        </w:rPr>
        <w:t xml:space="preserve">. </w:t>
      </w:r>
      <w:r>
        <w:rPr>
          <w:rFonts w:ascii="Century Gothic" w:eastAsia="Calibri" w:hAnsi="Century Gothic" w:cs="Arial"/>
          <w:lang w:val="es-ES"/>
        </w:rPr>
        <w:lastRenderedPageBreak/>
        <w:t xml:space="preserve">Dicha expresión se concreta en </w:t>
      </w:r>
      <w:r w:rsidRPr="00101FCC">
        <w:rPr>
          <w:rFonts w:ascii="Century Gothic" w:eastAsia="Calibri" w:hAnsi="Century Gothic" w:cs="Arial"/>
          <w:i/>
          <w:iCs/>
          <w:lang w:val="es-ES"/>
        </w:rPr>
        <w:t>“[…] los documentos, contratos, actos e información generada por oferentes, contratista, contratante, supervisor o interventor, tanto en la etapa precontractual, como en la contractual y la postcontractual”.</w:t>
      </w:r>
      <w:r>
        <w:rPr>
          <w:rFonts w:ascii="Century Gothic" w:eastAsia="Calibri" w:hAnsi="Century Gothic" w:cs="Arial"/>
          <w:lang w:val="es-ES"/>
        </w:rPr>
        <w:t xml:space="preserve"> </w:t>
      </w:r>
    </w:p>
    <w:p w14:paraId="34694002" w14:textId="77777777" w:rsidR="005B2815" w:rsidRPr="00F178F6" w:rsidRDefault="005B2815" w:rsidP="005B2815">
      <w:pPr>
        <w:spacing w:after="0" w:line="276" w:lineRule="auto"/>
        <w:ind w:firstLine="709"/>
        <w:jc w:val="both"/>
        <w:rPr>
          <w:rFonts w:ascii="Century Gothic" w:eastAsia="Calibri" w:hAnsi="Century Gothic" w:cs="Arial"/>
          <w:lang w:val="es-ES"/>
        </w:rPr>
      </w:pPr>
      <w:r>
        <w:rPr>
          <w:rFonts w:ascii="Century Gothic" w:eastAsia="Calibri" w:hAnsi="Century Gothic" w:cs="Arial"/>
          <w:lang w:val="es-ES"/>
        </w:rPr>
        <w:t xml:space="preserve">En esta medida, la </w:t>
      </w:r>
      <w:r>
        <w:rPr>
          <w:rFonts w:ascii="Century Gothic" w:eastAsia="Calibri" w:hAnsi="Century Gothic" w:cs="Arial"/>
          <w:color w:val="000000" w:themeColor="text1"/>
          <w:lang w:val="es-ES_tradnl"/>
        </w:rPr>
        <w:t xml:space="preserve">Sentencia de la Subsección B de la Sección Tercera del Consejo de Estado del 19 de octubre de 2023, no incide en la validez de la obligación contenida en la Ley de Transparencia, especialmente, cuando el control corresponde a la Corte Constitucional en los términos del artículo 241.4 superior. Es decir, aun con la providencia citada por el peticionario, existe un marco legal que obliga a las entidades de régimen especial a publicar su actividad contractual en el SECOP II. </w:t>
      </w:r>
    </w:p>
    <w:p w14:paraId="44C968D0" w14:textId="77777777" w:rsidR="005B2815" w:rsidRDefault="005B2815" w:rsidP="005B2815">
      <w:pPr>
        <w:spacing w:after="0" w:line="276" w:lineRule="auto"/>
        <w:jc w:val="both"/>
        <w:rPr>
          <w:rFonts w:ascii="Century Gothic" w:eastAsia="Calibri" w:hAnsi="Century Gothic" w:cs="Arial"/>
          <w:lang w:val="es-ES_tradnl"/>
        </w:rPr>
      </w:pPr>
    </w:p>
    <w:p w14:paraId="7DC6D677" w14:textId="77777777" w:rsidR="005B2815" w:rsidRPr="000B379D" w:rsidRDefault="005B2815" w:rsidP="005B2815">
      <w:pPr>
        <w:spacing w:after="0" w:line="276" w:lineRule="auto"/>
        <w:jc w:val="both"/>
        <w:rPr>
          <w:rFonts w:ascii="Century Gothic" w:hAnsi="Century Gothic" w:cs="Arial"/>
          <w:color w:val="000000" w:themeColor="text1"/>
          <w:lang w:val="es-ES_tradnl" w:bidi="es-ES"/>
        </w:rPr>
      </w:pPr>
      <w:r w:rsidRPr="000B379D">
        <w:rPr>
          <w:rFonts w:ascii="Century Gothic" w:eastAsia="Calibri" w:hAnsi="Century Gothic" w:cs="Arial"/>
          <w:lang w:val="es-ES_tradnl"/>
        </w:rPr>
        <w:t>E</w:t>
      </w:r>
      <w:r w:rsidRPr="000B379D">
        <w:rPr>
          <w:rFonts w:ascii="Century Gothic" w:hAnsi="Century Gothic" w:cs="Arial"/>
          <w:color w:val="000000" w:themeColor="text1"/>
          <w:lang w:val="es-ES_tradnl"/>
        </w:rPr>
        <w:t>ste concepto tiene el alcance previsto en el artículo 28 del Código de Procedimiento Administrativo y de lo Contencioso Administrativo.</w:t>
      </w:r>
    </w:p>
    <w:p w14:paraId="501E8A71" w14:textId="77777777" w:rsidR="005B2815" w:rsidRPr="000B379D" w:rsidRDefault="005B2815" w:rsidP="005B2815">
      <w:pPr>
        <w:widowControl w:val="0"/>
        <w:autoSpaceDE w:val="0"/>
        <w:autoSpaceDN w:val="0"/>
        <w:spacing w:after="0" w:line="276" w:lineRule="auto"/>
        <w:jc w:val="both"/>
        <w:rPr>
          <w:rFonts w:ascii="Century Gothic" w:hAnsi="Century Gothic" w:cs="Arial"/>
          <w:color w:val="000000" w:themeColor="text1"/>
          <w:lang w:val="es-ES_tradnl" w:bidi="es-ES"/>
        </w:rPr>
      </w:pPr>
    </w:p>
    <w:p w14:paraId="3EB1EA97" w14:textId="77777777" w:rsidR="005B2815" w:rsidRPr="000B379D" w:rsidRDefault="005B2815" w:rsidP="005B2815">
      <w:pPr>
        <w:tabs>
          <w:tab w:val="left" w:pos="426"/>
        </w:tabs>
        <w:spacing w:line="276" w:lineRule="auto"/>
        <w:jc w:val="both"/>
        <w:rPr>
          <w:rFonts w:ascii="Century Gothic" w:eastAsia="Times New Roman" w:hAnsi="Century Gothic" w:cs="Arial"/>
          <w:color w:val="000000" w:themeColor="text1"/>
        </w:rPr>
      </w:pPr>
      <w:r w:rsidRPr="000B379D">
        <w:rPr>
          <w:rFonts w:ascii="Century Gothic" w:eastAsia="Times New Roman" w:hAnsi="Century Gothic" w:cs="Arial"/>
          <w:color w:val="000000" w:themeColor="text1"/>
        </w:rPr>
        <w:t>Atentamente,</w:t>
      </w:r>
    </w:p>
    <w:p w14:paraId="4A817F04" w14:textId="0E091556" w:rsidR="005B2815" w:rsidRPr="000B379D" w:rsidRDefault="005B2815" w:rsidP="005B2815">
      <w:pPr>
        <w:jc w:val="center"/>
        <w:rPr>
          <w:rFonts w:ascii="Century Gothic" w:eastAsia="Times New Roman" w:hAnsi="Century Gothic" w:cs="Arial"/>
          <w:lang w:eastAsia="es-CO"/>
        </w:rPr>
      </w:pPr>
      <w:r>
        <w:rPr>
          <w:noProof/>
        </w:rPr>
        <w:drawing>
          <wp:inline distT="0" distB="0" distL="0" distR="0" wp14:anchorId="0D8443EF" wp14:editId="262EEA70">
            <wp:extent cx="2964180" cy="1135380"/>
            <wp:effectExtent l="0" t="0" r="7620" b="7620"/>
            <wp:docPr id="2098535022" name="Imagen 209853502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35022" name="Imagen 1" descr="Texto&#10;&#10;Descripción generada automáticamente"/>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64180" cy="1135380"/>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B2815" w:rsidRPr="000B379D" w14:paraId="79F0CE74" w14:textId="77777777" w:rsidTr="00D7753F">
        <w:trPr>
          <w:trHeight w:val="409"/>
        </w:trPr>
        <w:tc>
          <w:tcPr>
            <w:tcW w:w="817" w:type="dxa"/>
            <w:tcBorders>
              <w:top w:val="nil"/>
              <w:left w:val="nil"/>
              <w:bottom w:val="nil"/>
              <w:right w:val="nil"/>
            </w:tcBorders>
            <w:vAlign w:val="center"/>
            <w:hideMark/>
          </w:tcPr>
          <w:p w14:paraId="64F2A653"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4BE3B13E" w14:textId="77777777" w:rsidR="005B2815" w:rsidRPr="00576018" w:rsidRDefault="005B2815" w:rsidP="00D7753F">
            <w:pPr>
              <w:spacing w:after="0" w:line="240" w:lineRule="auto"/>
              <w:jc w:val="both"/>
              <w:rPr>
                <w:rFonts w:ascii="Century Gothic" w:hAnsi="Century Gothic" w:cs="Arial"/>
                <w:sz w:val="16"/>
                <w:szCs w:val="16"/>
              </w:rPr>
            </w:pPr>
            <w:r w:rsidRPr="00576018">
              <w:rPr>
                <w:rFonts w:ascii="Century Gothic" w:hAnsi="Century Gothic" w:cs="Arial"/>
                <w:sz w:val="16"/>
                <w:szCs w:val="16"/>
              </w:rPr>
              <w:t>Alejandro Sarmiento Cantillo</w:t>
            </w:r>
          </w:p>
          <w:p w14:paraId="7913715C" w14:textId="77777777" w:rsidR="005B2815" w:rsidRPr="000B379D" w:rsidRDefault="005B2815" w:rsidP="00D7753F">
            <w:pPr>
              <w:spacing w:after="0" w:line="240" w:lineRule="auto"/>
              <w:jc w:val="both"/>
              <w:rPr>
                <w:rFonts w:ascii="Century Gothic" w:hAnsi="Century Gothic" w:cs="Arial"/>
                <w:sz w:val="16"/>
                <w:szCs w:val="16"/>
              </w:rPr>
            </w:pPr>
            <w:r w:rsidRPr="00576018">
              <w:rPr>
                <w:rFonts w:ascii="Century Gothic" w:hAnsi="Century Gothic" w:cs="Arial"/>
                <w:sz w:val="16"/>
                <w:szCs w:val="16"/>
              </w:rPr>
              <w:t xml:space="preserve">Gestor T1 </w:t>
            </w:r>
            <w:r w:rsidRPr="00576018">
              <w:rPr>
                <w:rFonts w:ascii="Arial" w:hAnsi="Arial" w:cs="Arial"/>
                <w:sz w:val="16"/>
                <w:szCs w:val="16"/>
              </w:rPr>
              <w:t>‒</w:t>
            </w:r>
            <w:r w:rsidRPr="00576018">
              <w:rPr>
                <w:rFonts w:ascii="Century Gothic" w:hAnsi="Century Gothic" w:cs="Arial"/>
                <w:sz w:val="16"/>
                <w:szCs w:val="16"/>
              </w:rPr>
              <w:t xml:space="preserve"> 15 de la Subdirecci</w:t>
            </w:r>
            <w:r w:rsidRPr="00576018">
              <w:rPr>
                <w:rFonts w:ascii="Century Gothic" w:hAnsi="Century Gothic" w:cs="Century Gothic"/>
                <w:sz w:val="16"/>
                <w:szCs w:val="16"/>
              </w:rPr>
              <w:t>ó</w:t>
            </w:r>
            <w:r w:rsidRPr="00576018">
              <w:rPr>
                <w:rFonts w:ascii="Century Gothic" w:hAnsi="Century Gothic" w:cs="Arial"/>
                <w:sz w:val="16"/>
                <w:szCs w:val="16"/>
              </w:rPr>
              <w:t>n de Gesti</w:t>
            </w:r>
            <w:r w:rsidRPr="00576018">
              <w:rPr>
                <w:rFonts w:ascii="Century Gothic" w:hAnsi="Century Gothic" w:cs="Century Gothic"/>
                <w:sz w:val="16"/>
                <w:szCs w:val="16"/>
              </w:rPr>
              <w:t>ó</w:t>
            </w:r>
            <w:r w:rsidRPr="00576018">
              <w:rPr>
                <w:rFonts w:ascii="Century Gothic" w:hAnsi="Century Gothic" w:cs="Arial"/>
                <w:sz w:val="16"/>
                <w:szCs w:val="16"/>
              </w:rPr>
              <w:t>n Contractual</w:t>
            </w:r>
          </w:p>
        </w:tc>
      </w:tr>
      <w:tr w:rsidR="005B2815" w:rsidRPr="000B379D" w14:paraId="5AB13E66" w14:textId="77777777" w:rsidTr="00D7753F">
        <w:trPr>
          <w:trHeight w:val="409"/>
        </w:trPr>
        <w:tc>
          <w:tcPr>
            <w:tcW w:w="817" w:type="dxa"/>
            <w:tcBorders>
              <w:top w:val="nil"/>
              <w:left w:val="nil"/>
              <w:right w:val="nil"/>
            </w:tcBorders>
            <w:vAlign w:val="center"/>
          </w:tcPr>
          <w:p w14:paraId="262D380C" w14:textId="77777777" w:rsidR="005B2815" w:rsidRPr="000B379D" w:rsidRDefault="005B2815" w:rsidP="00D7753F">
            <w:pPr>
              <w:jc w:val="both"/>
              <w:rPr>
                <w:rFonts w:ascii="Century Gothic" w:hAnsi="Century Gothic" w:cs="Arial"/>
                <w:sz w:val="16"/>
                <w:szCs w:val="16"/>
              </w:rPr>
            </w:pPr>
            <w:r w:rsidRPr="000B379D">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2FCBDA3C"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Nohelia del Carmen Zawady Palacio</w:t>
            </w:r>
          </w:p>
          <w:p w14:paraId="3A7FFA47"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Subdirectora de Gestión Contractual ANCP – CCE</w:t>
            </w:r>
          </w:p>
        </w:tc>
      </w:tr>
      <w:tr w:rsidR="005B2815" w:rsidRPr="000B379D" w14:paraId="02DF013E" w14:textId="77777777" w:rsidTr="00D7753F">
        <w:trPr>
          <w:trHeight w:val="389"/>
        </w:trPr>
        <w:tc>
          <w:tcPr>
            <w:tcW w:w="817" w:type="dxa"/>
            <w:tcBorders>
              <w:top w:val="nil"/>
              <w:left w:val="nil"/>
              <w:bottom w:val="nil"/>
              <w:right w:val="nil"/>
            </w:tcBorders>
            <w:vAlign w:val="center"/>
            <w:hideMark/>
          </w:tcPr>
          <w:p w14:paraId="5CB3A944"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3718A37"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Nohelia del Carmen Zawady Palacio</w:t>
            </w:r>
          </w:p>
          <w:p w14:paraId="65D04B20"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Subdirectora de Gestión Contractual ANCP – CCE</w:t>
            </w:r>
          </w:p>
        </w:tc>
      </w:tr>
      <w:bookmarkEnd w:id="2"/>
    </w:tbl>
    <w:p w14:paraId="403F493E" w14:textId="77777777" w:rsidR="005B2815" w:rsidRPr="002123AC" w:rsidRDefault="005B2815" w:rsidP="005B2815"/>
    <w:p w14:paraId="56E99F53" w14:textId="77777777" w:rsidR="005B2815" w:rsidRPr="00FC01AE" w:rsidRDefault="005B2815" w:rsidP="005B2815"/>
    <w:p w14:paraId="73DEFB46" w14:textId="77777777" w:rsidR="00B55C9B" w:rsidRDefault="00B55C9B"/>
    <w:sectPr w:rsidR="00B55C9B" w:rsidSect="002E4FD9">
      <w:headerReference w:type="default" r:id="rId13"/>
      <w:footerReference w:type="default" r:id="rId14"/>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E9664" w14:textId="77777777" w:rsidR="005B2815" w:rsidRDefault="005B2815" w:rsidP="005B2815">
      <w:pPr>
        <w:spacing w:after="0" w:line="240" w:lineRule="auto"/>
      </w:pPr>
      <w:r>
        <w:separator/>
      </w:r>
    </w:p>
  </w:endnote>
  <w:endnote w:type="continuationSeparator" w:id="0">
    <w:p w14:paraId="658E4D6F" w14:textId="77777777" w:rsidR="005B2815" w:rsidRDefault="005B2815" w:rsidP="005B28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BAE4A" w14:textId="77777777" w:rsidR="00C45307" w:rsidRDefault="00C45307">
    <w:pPr>
      <w:pStyle w:val="Piedepgina"/>
    </w:pPr>
    <w:r>
      <w:rPr>
        <w:noProof/>
      </w:rPr>
      <w:drawing>
        <wp:inline distT="0" distB="0" distL="0" distR="0" wp14:anchorId="07DDE8A6" wp14:editId="6732E1EC">
          <wp:extent cx="5612130" cy="650240"/>
          <wp:effectExtent l="0" t="0" r="7620" b="0"/>
          <wp:docPr id="1013471023" name="Picture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2336" behindDoc="0" locked="0" layoutInCell="1" allowOverlap="1" wp14:anchorId="26120EBA" wp14:editId="1DCBAFF1">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Picture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7A217368"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483A2C57" w14:textId="77777777" w:rsidR="00C45307" w:rsidRPr="003F3941" w:rsidRDefault="00C45307" w:rsidP="00322A85">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7AC3EF2D" w14:textId="77777777" w:rsidR="00C45307" w:rsidRPr="003F3941" w:rsidRDefault="00C45307"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49BB8EED" w14:textId="77777777" w:rsidR="00C45307" w:rsidRPr="003F3941" w:rsidRDefault="00C45307"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31</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B67046C" w14:textId="77777777" w:rsidR="00C45307" w:rsidRPr="003F3941" w:rsidRDefault="00C45307"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1</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2</w:t>
          </w:r>
          <w:r w:rsidRPr="003F3941">
            <w:rPr>
              <w:rFonts w:ascii="Century Gothic" w:hAnsi="Century Gothic"/>
              <w:b/>
              <w:bCs/>
              <w:sz w:val="16"/>
              <w:szCs w:val="16"/>
            </w:rPr>
            <w:fldChar w:fldCharType="end"/>
          </w:r>
        </w:p>
      </w:tc>
    </w:tr>
  </w:tbl>
  <w:p w14:paraId="70554441" w14:textId="77777777" w:rsidR="00C45307" w:rsidRDefault="00C45307"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39724" w14:textId="77777777" w:rsidR="005B2815" w:rsidRDefault="005B2815" w:rsidP="005B2815">
      <w:pPr>
        <w:spacing w:after="0" w:line="240" w:lineRule="auto"/>
      </w:pPr>
      <w:r>
        <w:separator/>
      </w:r>
    </w:p>
  </w:footnote>
  <w:footnote w:type="continuationSeparator" w:id="0">
    <w:p w14:paraId="759A1922" w14:textId="77777777" w:rsidR="005B2815" w:rsidRDefault="005B2815" w:rsidP="005B2815">
      <w:pPr>
        <w:spacing w:after="0" w:line="240" w:lineRule="auto"/>
      </w:pPr>
      <w:r>
        <w:continuationSeparator/>
      </w:r>
    </w:p>
  </w:footnote>
  <w:footnote w:id="1">
    <w:p w14:paraId="0D3433AF" w14:textId="77777777" w:rsidR="005B2815" w:rsidRPr="00246CE2" w:rsidRDefault="005B2815" w:rsidP="005B2815">
      <w:pPr>
        <w:pStyle w:val="Textonotapie"/>
        <w:ind w:firstLine="708"/>
        <w:jc w:val="both"/>
        <w:rPr>
          <w:rFonts w:ascii="Century Gothic" w:hAnsi="Century Gothic" w:cs="Arial"/>
          <w:sz w:val="18"/>
          <w:szCs w:val="18"/>
        </w:rPr>
      </w:pPr>
      <w:r w:rsidRPr="00246CE2">
        <w:rPr>
          <w:rStyle w:val="Refdenotaalpie"/>
          <w:rFonts w:ascii="Century Gothic" w:hAnsi="Century Gothic" w:cs="Arial"/>
          <w:sz w:val="18"/>
          <w:szCs w:val="18"/>
        </w:rPr>
        <w:footnoteRef/>
      </w:r>
      <w:r w:rsidRPr="00246CE2">
        <w:rPr>
          <w:rFonts w:ascii="Century Gothic" w:hAnsi="Century Gothic" w:cs="Arial"/>
          <w:sz w:val="18"/>
          <w:szCs w:val="18"/>
        </w:rPr>
        <w:t xml:space="preserve"> La Agencia Nacional de Contratación Pública </w:t>
      </w:r>
      <w:r w:rsidRPr="00246CE2">
        <w:rPr>
          <w:rFonts w:ascii="Arial" w:hAnsi="Arial" w:cs="Arial"/>
          <w:sz w:val="18"/>
          <w:szCs w:val="18"/>
        </w:rPr>
        <w:t>‒</w:t>
      </w:r>
      <w:r w:rsidRPr="00246CE2">
        <w:rPr>
          <w:rFonts w:ascii="Century Gothic" w:hAnsi="Century Gothic" w:cs="Arial"/>
          <w:sz w:val="18"/>
          <w:szCs w:val="18"/>
        </w:rPr>
        <w:t xml:space="preserve"> Colombia Compra Eficiente fue creada por el Decreto Ley 4170 de 2011. Su objetivo es servir como ente rector de la pol</w:t>
      </w:r>
      <w:r w:rsidRPr="00246CE2">
        <w:rPr>
          <w:rFonts w:ascii="Century Gothic" w:hAnsi="Century Gothic" w:cs="Century Gothic"/>
          <w:sz w:val="18"/>
          <w:szCs w:val="18"/>
        </w:rPr>
        <w:t>í</w:t>
      </w:r>
      <w:r w:rsidRPr="00246CE2">
        <w:rPr>
          <w:rFonts w:ascii="Century Gothic" w:hAnsi="Century Gothic" w:cs="Arial"/>
          <w:sz w:val="18"/>
          <w:szCs w:val="18"/>
        </w:rPr>
        <w:t>tica de compras y contrataci</w:t>
      </w:r>
      <w:r w:rsidRPr="00246CE2">
        <w:rPr>
          <w:rFonts w:ascii="Century Gothic" w:hAnsi="Century Gothic" w:cs="Century Gothic"/>
          <w:sz w:val="18"/>
          <w:szCs w:val="18"/>
        </w:rPr>
        <w:t>ó</w:t>
      </w:r>
      <w:r w:rsidRPr="00246CE2">
        <w:rPr>
          <w:rFonts w:ascii="Century Gothic" w:hAnsi="Century Gothic" w:cs="Arial"/>
          <w:sz w:val="18"/>
          <w:szCs w:val="18"/>
        </w:rPr>
        <w:t xml:space="preserve">n del Estado. Para tales fines, como </w:t>
      </w:r>
      <w:r w:rsidRPr="00246CE2">
        <w:rPr>
          <w:rFonts w:ascii="Century Gothic" w:hAnsi="Century Gothic" w:cs="Century Gothic"/>
          <w:sz w:val="18"/>
          <w:szCs w:val="18"/>
        </w:rPr>
        <w:t>ó</w:t>
      </w:r>
      <w:r w:rsidRPr="00246CE2">
        <w:rPr>
          <w:rFonts w:ascii="Century Gothic" w:hAnsi="Century Gothic" w:cs="Arial"/>
          <w:sz w:val="18"/>
          <w:szCs w:val="18"/>
        </w:rPr>
        <w:t>rgano t</w:t>
      </w:r>
      <w:r w:rsidRPr="00246CE2">
        <w:rPr>
          <w:rFonts w:ascii="Century Gothic" w:hAnsi="Century Gothic" w:cs="Century Gothic"/>
          <w:sz w:val="18"/>
          <w:szCs w:val="18"/>
        </w:rPr>
        <w:t>é</w:t>
      </w:r>
      <w:r w:rsidRPr="00246CE2">
        <w:rPr>
          <w:rFonts w:ascii="Century Gothic" w:hAnsi="Century Gothic" w:cs="Arial"/>
          <w:sz w:val="18"/>
          <w:szCs w:val="18"/>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246CE2">
        <w:rPr>
          <w:rFonts w:ascii="Century Gothic" w:hAnsi="Century Gothic" w:cs="Arial"/>
          <w:i/>
          <w:iCs/>
          <w:sz w:val="18"/>
          <w:szCs w:val="18"/>
        </w:rPr>
        <w:t xml:space="preserve">ibidem </w:t>
      </w:r>
      <w:r w:rsidRPr="00246CE2">
        <w:rPr>
          <w:rFonts w:ascii="Century Gothic" w:hAnsi="Century Gothic"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26AF716E" w14:textId="77777777" w:rsidR="005B2815" w:rsidRPr="00246CE2" w:rsidRDefault="005B2815" w:rsidP="005B2815">
      <w:pPr>
        <w:pStyle w:val="Textonotapie"/>
        <w:ind w:firstLine="708"/>
        <w:jc w:val="both"/>
        <w:rPr>
          <w:rFonts w:ascii="Century Gothic" w:hAnsi="Century Gothic" w:cs="Arial"/>
          <w:sz w:val="18"/>
          <w:szCs w:val="18"/>
          <w:lang w:val="es-ES"/>
        </w:rPr>
      </w:pPr>
    </w:p>
  </w:footnote>
  <w:footnote w:id="2">
    <w:p w14:paraId="339F4CEC" w14:textId="77777777" w:rsidR="005B2815" w:rsidRPr="00387751" w:rsidRDefault="005B2815" w:rsidP="005B2815">
      <w:pPr>
        <w:pStyle w:val="Textonotapie"/>
        <w:ind w:firstLine="708"/>
        <w:jc w:val="both"/>
        <w:rPr>
          <w:rFonts w:ascii="Century Gothic" w:hAnsi="Century Gothic"/>
          <w:sz w:val="16"/>
          <w:szCs w:val="16"/>
          <w:lang w:val="es-CO"/>
        </w:rPr>
      </w:pPr>
      <w:r w:rsidRPr="00387751">
        <w:rPr>
          <w:rStyle w:val="Refdenotaalpie"/>
          <w:rFonts w:ascii="Century Gothic" w:hAnsi="Century Gothic"/>
          <w:sz w:val="16"/>
          <w:szCs w:val="16"/>
        </w:rPr>
        <w:footnoteRef/>
      </w:r>
      <w:r w:rsidRPr="00387751">
        <w:rPr>
          <w:rFonts w:ascii="Century Gothic" w:hAnsi="Century Gothic"/>
          <w:sz w:val="16"/>
          <w:szCs w:val="16"/>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387751">
          <w:rPr>
            <w:rStyle w:val="Hipervnculo"/>
            <w:rFonts w:ascii="Century Gothic" w:hAnsi="Century Gothic"/>
            <w:sz w:val="16"/>
            <w:szCs w:val="16"/>
          </w:rPr>
          <w:t>https://relatoria.colombiacompra.gov.co/busqueda/conceptos</w:t>
        </w:r>
      </w:hyperlink>
    </w:p>
  </w:footnote>
  <w:footnote w:id="3">
    <w:p w14:paraId="0156C9E9"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Corte Constitucional. Sentencia C- 341 del 4 de junio de 2014. M. P. Mauricio González Cuervo.</w:t>
      </w:r>
    </w:p>
  </w:footnote>
  <w:footnote w:id="4">
    <w:p w14:paraId="798CB0C1"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2565D666"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Lo anterior, sin perjuicio de las publicaciones previstas en el numeral 3 del artículo 30 de la Ley 80 de 1993.</w:t>
      </w:r>
    </w:p>
    <w:p w14:paraId="4EDED6DA"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55E55431"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w:t>
      </w:r>
    </w:p>
    <w:p w14:paraId="59DBC453"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5">
    <w:p w14:paraId="5F078CE7"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Ley 1712 de 2014: “Artículo 5. Ámbito de aplicación. Las disposiciones de esta ley serán aplicables a las siguientes personas en calidad de sujetos obligados: </w:t>
      </w:r>
    </w:p>
    <w:p w14:paraId="3FB55136"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6">
    <w:p w14:paraId="29F94F8C"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vertAlign w:val="superscript"/>
          <w:lang w:val="es-ES" w:eastAsia="es-ES"/>
        </w:rPr>
        <w:footnoteRef/>
      </w:r>
      <w:r w:rsidRPr="009C660C">
        <w:rPr>
          <w:rFonts w:ascii="Century Gothic" w:hAnsi="Century Gothic" w:cs="Arial"/>
          <w:color w:val="000000" w:themeColor="text1"/>
          <w:sz w:val="16"/>
          <w:szCs w:val="16"/>
          <w:vertAlign w:val="superscript"/>
          <w:lang w:val="es-ES" w:eastAsia="es-ES"/>
        </w:rPr>
        <w:t xml:space="preserve"> </w:t>
      </w:r>
      <w:r w:rsidRPr="009C660C">
        <w:rPr>
          <w:rFonts w:ascii="Century Gothic" w:hAnsi="Century Gothic" w:cs="Arial"/>
          <w:color w:val="000000" w:themeColor="text1"/>
          <w:sz w:val="16"/>
          <w:szCs w:val="16"/>
          <w:lang w:val="es-ES" w:eastAsia="es-ES"/>
        </w:rPr>
        <w:t>“</w:t>
      </w:r>
      <w:r w:rsidRPr="009C660C">
        <w:rPr>
          <w:rFonts w:ascii="Century Gothic" w:hAnsi="Century Gothic" w:cs="Arial"/>
          <w:color w:val="000000" w:themeColor="text1"/>
          <w:sz w:val="16"/>
          <w:szCs w:val="16"/>
        </w:rPr>
        <w:t xml:space="preserve">Artículo </w:t>
      </w:r>
      <w:bookmarkStart w:id="9" w:name="_Hlk153373407"/>
      <w:r w:rsidRPr="009C660C">
        <w:rPr>
          <w:rFonts w:ascii="Century Gothic" w:hAnsi="Century Gothic" w:cs="Arial"/>
          <w:color w:val="000000" w:themeColor="text1"/>
          <w:sz w:val="16"/>
          <w:szCs w:val="16"/>
        </w:rPr>
        <w:t>2.1.1.2.1.7</w:t>
      </w:r>
      <w:bookmarkEnd w:id="9"/>
      <w:r w:rsidRPr="009C660C">
        <w:rPr>
          <w:rFonts w:ascii="Century Gothic" w:hAnsi="Century Gothic" w:cs="Arial"/>
          <w:color w:val="000000" w:themeColor="text1"/>
          <w:sz w:val="16"/>
          <w:szCs w:val="16"/>
        </w:rPr>
        <w:t xml:space="preserve">.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C6D79E9"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lang w:val="es-ES" w:eastAsia="es-ES"/>
        </w:rPr>
      </w:pPr>
      <w:r w:rsidRPr="009C660C">
        <w:rPr>
          <w:rFonts w:ascii="Century Gothic" w:hAnsi="Century Gothic" w:cs="Arial"/>
          <w:color w:val="000000" w:themeColor="text1"/>
          <w:sz w:val="16"/>
          <w:szCs w:val="16"/>
        </w:rPr>
        <w:t>[…].</w:t>
      </w:r>
    </w:p>
    <w:p w14:paraId="6EEAC77E"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lang w:val="es-ES" w:eastAsia="es-ES"/>
        </w:rPr>
      </w:pPr>
      <w:r w:rsidRPr="009C660C">
        <w:rPr>
          <w:rFonts w:ascii="Century Gothic" w:hAnsi="Century Gothic"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7">
    <w:p w14:paraId="3FF42389"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C</w:t>
      </w:r>
      <w:r w:rsidRPr="009C660C">
        <w:rPr>
          <w:rFonts w:ascii="Century Gothic" w:hAnsi="Century Gothic" w:cs="Arial"/>
          <w:color w:val="000000" w:themeColor="text1"/>
          <w:sz w:val="16"/>
          <w:szCs w:val="16"/>
          <w:lang w:val="es-ES" w:eastAsia="es-ES"/>
        </w:rPr>
        <w:t xml:space="preserve">orte Constitucional. Sentencia C-274 de 9 de mayo de 2013. M.P. María Victoria Calle Correa. </w:t>
      </w:r>
    </w:p>
  </w:footnote>
  <w:footnote w:id="8">
    <w:p w14:paraId="140414DD"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Style w:val="Refdenotaalpie"/>
          <w:rFonts w:ascii="Century Gothic" w:hAnsi="Century Gothic" w:cs="Arial"/>
          <w:sz w:val="16"/>
          <w:szCs w:val="16"/>
        </w:rPr>
        <w:footnoteRef/>
      </w:r>
      <w:r w:rsidRPr="009C660C">
        <w:rPr>
          <w:rFonts w:ascii="Century Gothic" w:hAnsi="Century Gothic" w:cs="Arial"/>
          <w:sz w:val="16"/>
          <w:szCs w:val="16"/>
        </w:rPr>
        <w:t xml:space="preserve"> Ley 1437 de 2011: “Artículo 24. Informaciones y documentos reservados. Solo tendrán carácter reservado las informaciones y documentos expresamente sometidos a reserva por la Constitución Política o la ley, y en especial:  </w:t>
      </w:r>
    </w:p>
    <w:p w14:paraId="7BA130CF"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1. Los relacionados con la defensa o seguridad nacionales.  </w:t>
      </w:r>
    </w:p>
    <w:p w14:paraId="71DA5CD3"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2. Las instrucciones en materia diplomática o sobre negociaciones reservadas.  </w:t>
      </w:r>
    </w:p>
    <w:p w14:paraId="6127EC95"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53ABF98D"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079185DF"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5. Los datos referentes a la información financiera y comercial, en los términos de la Ley Estatutaria 1266 de 2008.  </w:t>
      </w:r>
    </w:p>
    <w:p w14:paraId="74C961D9"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6. Los protegidos por el secreto comercial o industrial, así como los planes estratégicos de las empresas públicas de servicios públicos.  </w:t>
      </w:r>
    </w:p>
    <w:p w14:paraId="6CBBB79E"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7. Los amparados por el secreto profesional.  </w:t>
      </w:r>
    </w:p>
    <w:p w14:paraId="788016EA"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8. Los datos genéticos humanos.  </w:t>
      </w:r>
    </w:p>
    <w:p w14:paraId="64FC0C36"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9">
    <w:p w14:paraId="346D618A"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Style w:val="Refdenotaalpie"/>
          <w:rFonts w:ascii="Century Gothic" w:hAnsi="Century Gothic" w:cs="Arial"/>
          <w:sz w:val="16"/>
          <w:szCs w:val="16"/>
        </w:rPr>
        <w:footnoteRef/>
      </w:r>
      <w:r w:rsidRPr="009C660C">
        <w:rPr>
          <w:rFonts w:ascii="Century Gothic" w:hAnsi="Century Gothic" w:cs="Arial"/>
          <w:sz w:val="16"/>
          <w:szCs w:val="16"/>
        </w:rPr>
        <w:t xml:space="preserve"> Respecto al periodo de transición establecido en la norma objeto de estudio, la Circular Externa Única de Colombia Compra Eficiente señaló que “De acuerdo con el artículo 53 de Ley 2195 de 2022, las Entidades Estatales que, por disposición legal, cuenten con un régimen contractual excepcional al del Estatuto General de Contratación de la Administración Pública tienen un período de transición de seis (6) meses para publicar todos los documentos relacionados con su actividad contractual en la plataforma del SECOP II. En consecuencia, su uso obligatorio empezará a regir después de las 23:59 horas del 17 de julio de 2022, sin que sea posible, por vía reglamentaria o a través de los manuales internos de contratación, extender el plazo previsto en la Ley de Transparencia. Todos los procesos de contratación creados en el SECOP I antes de las 23:59 horas del 17 de julio de 2022, por parte de estas Entidades Estatales, podrán continuar siendo gestionados en esta plataforma”.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3B084" w14:textId="77777777" w:rsidR="00C45307" w:rsidRDefault="00C45307">
    <w:pPr>
      <w:pStyle w:val="Encabezado"/>
    </w:pPr>
    <w:r>
      <w:rPr>
        <w:noProof/>
      </w:rPr>
      <w:drawing>
        <wp:anchor distT="0" distB="0" distL="114300" distR="114300" simplePos="0" relativeHeight="251659264" behindDoc="1" locked="0" layoutInCell="1" allowOverlap="1" wp14:anchorId="33C2FAC3" wp14:editId="5A1AD35F">
          <wp:simplePos x="0" y="0"/>
          <wp:positionH relativeFrom="margin">
            <wp:align>right</wp:align>
          </wp:positionH>
          <wp:positionV relativeFrom="margin">
            <wp:posOffset>-1135380</wp:posOffset>
          </wp:positionV>
          <wp:extent cx="1757045" cy="628650"/>
          <wp:effectExtent l="0" t="0" r="0" b="0"/>
          <wp:wrapNone/>
          <wp:docPr id="864305913" name="Picture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rPr>
      <w:drawing>
        <wp:anchor distT="0" distB="0" distL="114300" distR="114300" simplePos="0" relativeHeight="251663360" behindDoc="0" locked="0" layoutInCell="1" allowOverlap="1" wp14:anchorId="522BB6C2" wp14:editId="720F02BF">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Picture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1312" behindDoc="0" locked="0" layoutInCell="1" allowOverlap="1" wp14:anchorId="44E94429" wp14:editId="43E8AC9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Picture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5031F293" wp14:editId="2733C373">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Picture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36D79970" w14:textId="77777777" w:rsidR="00C45307" w:rsidRDefault="00C45307">
    <w:pPr>
      <w:pStyle w:val="Encabezado"/>
    </w:pPr>
  </w:p>
  <w:p w14:paraId="08261D3B" w14:textId="77777777" w:rsidR="00C45307" w:rsidRDefault="00C45307">
    <w:pPr>
      <w:pStyle w:val="Encabezado"/>
    </w:pPr>
  </w:p>
  <w:p w14:paraId="393C151C" w14:textId="77777777" w:rsidR="00C45307" w:rsidRPr="004A305D" w:rsidRDefault="00C45307"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5102A13F" w14:textId="77777777" w:rsidR="00C45307" w:rsidRPr="004A305D" w:rsidRDefault="00C45307"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17</w:t>
    </w:r>
  </w:p>
  <w:p w14:paraId="6CF0D210" w14:textId="77777777" w:rsidR="00C45307" w:rsidRPr="004A305D" w:rsidRDefault="00C45307"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31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6DB7AA65" w14:textId="77777777" w:rsidR="00C45307" w:rsidRDefault="00C4530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876718"/>
    <w:multiLevelType w:val="hybridMultilevel"/>
    <w:tmpl w:val="2430A76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616936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815"/>
    <w:rsid w:val="00060AEB"/>
    <w:rsid w:val="00165D84"/>
    <w:rsid w:val="00221626"/>
    <w:rsid w:val="0034679A"/>
    <w:rsid w:val="0050128D"/>
    <w:rsid w:val="0054729E"/>
    <w:rsid w:val="005B2815"/>
    <w:rsid w:val="006B6343"/>
    <w:rsid w:val="006F24BC"/>
    <w:rsid w:val="00A554EA"/>
    <w:rsid w:val="00B55C9B"/>
    <w:rsid w:val="00BA1A16"/>
    <w:rsid w:val="00C45307"/>
    <w:rsid w:val="00F03E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1D979"/>
  <w15:chartTrackingRefBased/>
  <w15:docId w15:val="{6ECE2FC3-5C29-42D9-AD04-3AE9E2112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815"/>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B28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B2815"/>
    <w:rPr>
      <w:kern w:val="0"/>
      <w14:ligatures w14:val="none"/>
    </w:rPr>
  </w:style>
  <w:style w:type="paragraph" w:styleId="Piedepgina">
    <w:name w:val="footer"/>
    <w:basedOn w:val="Normal"/>
    <w:link w:val="PiedepginaCar"/>
    <w:uiPriority w:val="99"/>
    <w:unhideWhenUsed/>
    <w:rsid w:val="005B28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B281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B281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B281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B281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5B2815"/>
    <w:rPr>
      <w:vertAlign w:val="superscript"/>
    </w:rPr>
  </w:style>
  <w:style w:type="table" w:styleId="Tablaconcuadrcula">
    <w:name w:val="Table Grid"/>
    <w:basedOn w:val="Tablanormal"/>
    <w:uiPriority w:val="59"/>
    <w:rsid w:val="005B281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2815"/>
    <w:pPr>
      <w:ind w:left="720"/>
      <w:contextualSpacing/>
    </w:pPr>
    <w:rPr>
      <w:rFonts w:ascii="Geomanist Light" w:hAnsi="Geomanist Light"/>
      <w:lang w:val="es-ES"/>
    </w:rPr>
  </w:style>
  <w:style w:type="character" w:styleId="Hipervnculo">
    <w:name w:val="Hyperlink"/>
    <w:basedOn w:val="Fuentedeprrafopredeter"/>
    <w:uiPriority w:val="99"/>
    <w:unhideWhenUsed/>
    <w:rsid w:val="005B2815"/>
    <w:rPr>
      <w:color w:val="0000FF"/>
      <w:u w:val="single"/>
    </w:rPr>
  </w:style>
  <w:style w:type="paragraph" w:customStyle="1" w:styleId="Appelnotedebasde">
    <w:name w:val="Appel note de bas de..."/>
    <w:basedOn w:val="Normal"/>
    <w:link w:val="Refdenotaalpie"/>
    <w:uiPriority w:val="99"/>
    <w:rsid w:val="005B2815"/>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C85C49-AF10-48C0-BCA8-483153C462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7E113F-8621-494A-8A69-D75AB8931BA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E22CA08-9F07-43D7-AEF6-9D73470A2F20}">
  <ds:schemaRefs>
    <ds:schemaRef ds:uri="http://schemas.openxmlformats.org/officeDocument/2006/bibliography"/>
  </ds:schemaRefs>
</ds:datastoreItem>
</file>

<file path=customXml/itemProps4.xml><?xml version="1.0" encoding="utf-8"?>
<ds:datastoreItem xmlns:ds="http://schemas.openxmlformats.org/officeDocument/2006/customXml" ds:itemID="{F503B91E-3DD0-4AB7-8F1E-DC0BDE0DE3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Pages>
  <Words>4969</Words>
  <Characters>27330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Agencia Nacional de Contratación Pública</dc:creator>
  <cp:keywords/>
  <dc:description/>
  <cp:lastModifiedBy>Andreina Cerpa Muñoz</cp:lastModifiedBy>
  <cp:revision>2</cp:revision>
  <dcterms:created xsi:type="dcterms:W3CDTF">2024-01-18T20:20:00Z</dcterms:created>
  <dcterms:modified xsi:type="dcterms:W3CDTF">2024-10-16T17:02:00Z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