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3B910"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bookmarkStart w:id="0" w:name="_Hlk143780582"/>
      <w:r>
        <w:rPr>
          <w:rStyle w:val="eop"/>
          <w:rFonts w:ascii="Arial" w:hAnsi="Arial" w:cs="Arial"/>
          <w:sz w:val="22"/>
          <w:szCs w:val="22"/>
        </w:rPr>
        <w:t> </w:t>
      </w:r>
    </w:p>
    <w:p w14:paraId="39DF775A"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rPr>
        <w:t>CAPACIDAD RESIDUAL – Definición – Alcance</w:t>
      </w:r>
      <w:r>
        <w:rPr>
          <w:rStyle w:val="eop"/>
          <w:rFonts w:ascii="Arial" w:hAnsi="Arial" w:cs="Arial"/>
          <w:sz w:val="22"/>
          <w:szCs w:val="22"/>
        </w:rPr>
        <w:t> </w:t>
      </w:r>
    </w:p>
    <w:p w14:paraId="4CF277AF"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rPr>
        <w:t> </w:t>
      </w:r>
    </w:p>
    <w:p w14:paraId="0CE65310" w14:textId="18D4B133"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0000"/>
          <w:sz w:val="20"/>
          <w:szCs w:val="20"/>
          <w:lang w:val="es-MX"/>
        </w:rPr>
        <w:t xml:space="preserve">De acuerdo con la definición establecida en el artículo 2.2.1.1.1.3.1. del Decreto 1082 de 2015, la capacidad residual es la aptitud de los oferentes para cumplir de manera oportuna y a cabalidad el objeto de un contrato de obra, sin que los demás compromisos contractuales que han adquirido afecten su habilidad para cumplir el objeto del contrato que está en proceso de selección. Por su parte, el Consejo de Estado ha definido la capacidad residual como </w:t>
      </w:r>
      <w:r w:rsidR="001F0A6E">
        <w:rPr>
          <w:rStyle w:val="normaltextrun"/>
          <w:rFonts w:ascii="Arial" w:hAnsi="Arial" w:cs="Arial"/>
          <w:color w:val="000000"/>
          <w:sz w:val="20"/>
          <w:szCs w:val="20"/>
          <w:lang w:val="es-MX"/>
        </w:rPr>
        <w:t>"</w:t>
      </w:r>
      <w:r>
        <w:rPr>
          <w:rStyle w:val="normaltextrun"/>
          <w:rFonts w:ascii="Arial" w:hAnsi="Arial" w:cs="Arial"/>
          <w:color w:val="000000"/>
          <w:sz w:val="20"/>
          <w:szCs w:val="20"/>
          <w:lang w:val="es-MX"/>
        </w:rPr>
        <w:t>[…] la diferencia que existe entre el potencial de contratación que se tiene y los compromisos que haya adquirido y que se encuentren en ejecución, para la fecha de presentación de la oferta</w:t>
      </w:r>
      <w:r w:rsidR="001F0A6E">
        <w:rPr>
          <w:rStyle w:val="normaltextrun"/>
          <w:rFonts w:ascii="Arial" w:hAnsi="Arial" w:cs="Arial"/>
          <w:color w:val="000000"/>
          <w:sz w:val="20"/>
          <w:szCs w:val="20"/>
          <w:lang w:val="es-MX"/>
        </w:rPr>
        <w:t>”</w:t>
      </w:r>
      <w:r>
        <w:rPr>
          <w:rStyle w:val="normaltextrun"/>
          <w:rFonts w:ascii="Arial" w:hAnsi="Arial" w:cs="Arial"/>
          <w:color w:val="000000"/>
          <w:sz w:val="20"/>
          <w:szCs w:val="20"/>
          <w:lang w:val="es-MX"/>
        </w:rPr>
        <w:t>. En tales términos, la capacidad residual hace referencia a la suficiencia que tiene el proponente para asumir nuevas obligaciones que se derivan del contrato objeto del proceso de contratación, en relación con las obligaciones que ya adquirió frente a otros contratos y que tendría que cumplir simultáneamente con las derivadas del eventual nuevo contrato.</w:t>
      </w:r>
      <w:r>
        <w:rPr>
          <w:rStyle w:val="normaltextrun"/>
          <w:rFonts w:ascii="Arial" w:hAnsi="Arial" w:cs="Arial"/>
          <w:sz w:val="20"/>
          <w:szCs w:val="20"/>
        </w:rPr>
        <w:t> </w:t>
      </w:r>
      <w:r>
        <w:rPr>
          <w:rStyle w:val="eop"/>
          <w:rFonts w:ascii="Arial" w:hAnsi="Arial" w:cs="Arial"/>
          <w:sz w:val="20"/>
          <w:szCs w:val="20"/>
        </w:rPr>
        <w:t> </w:t>
      </w:r>
    </w:p>
    <w:p w14:paraId="7B0D4228" w14:textId="77777777" w:rsidR="00867144" w:rsidRDefault="00867144" w:rsidP="00867144">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161616"/>
          <w:sz w:val="20"/>
          <w:szCs w:val="20"/>
        </w:rPr>
        <w:t> </w:t>
      </w:r>
    </w:p>
    <w:p w14:paraId="46B00552"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es-MX"/>
        </w:rPr>
        <w:t>CAPACIDAD RESIDUAL – Acreditación </w:t>
      </w:r>
      <w:r>
        <w:rPr>
          <w:rStyle w:val="eop"/>
          <w:rFonts w:ascii="Arial" w:hAnsi="Arial" w:cs="Arial"/>
          <w:sz w:val="22"/>
          <w:szCs w:val="22"/>
        </w:rPr>
        <w:t> </w:t>
      </w:r>
    </w:p>
    <w:p w14:paraId="69C90051"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14:paraId="5F1E01FC" w14:textId="5BFFC058"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 xml:space="preserve">De conformidad con lo anterior, esta Agencia expidió la «Guía para Determinar y Verificar la Capacidad Residual del Proponente en los Procesos de Contratación de Obra Pública». Este documento establece, entre otras cuestiones, que a la entidad contratante corresponde, primero, establecer la capacidad residual del proceso de contratación </w:t>
      </w:r>
      <w:r w:rsidR="001F0A6E">
        <w:rPr>
          <w:rStyle w:val="normaltextrun"/>
          <w:rFonts w:ascii="Arial" w:hAnsi="Arial" w:cs="Arial"/>
          <w:sz w:val="20"/>
          <w:szCs w:val="20"/>
        </w:rPr>
        <w:t>“</w:t>
      </w:r>
      <w:r>
        <w:rPr>
          <w:rStyle w:val="normaltextrun"/>
          <w:rFonts w:ascii="Arial" w:hAnsi="Arial" w:cs="Arial"/>
          <w:sz w:val="20"/>
          <w:szCs w:val="20"/>
        </w:rPr>
        <w:t>CRPC</w:t>
      </w:r>
      <w:r w:rsidR="001F0A6E">
        <w:rPr>
          <w:rStyle w:val="normaltextrun"/>
          <w:rFonts w:ascii="Arial" w:hAnsi="Arial" w:cs="Arial"/>
          <w:sz w:val="20"/>
          <w:szCs w:val="20"/>
        </w:rPr>
        <w:t>”</w:t>
      </w:r>
      <w:r>
        <w:rPr>
          <w:rStyle w:val="normaltextrun"/>
          <w:rFonts w:ascii="Arial" w:hAnsi="Arial" w:cs="Arial"/>
          <w:sz w:val="20"/>
          <w:szCs w:val="20"/>
        </w:rPr>
        <w:t xml:space="preserve"> y, segundo, determinar si los proponentes cumplen con la capacidad residual del proceso de contratación […]. </w:t>
      </w:r>
      <w:r>
        <w:rPr>
          <w:rStyle w:val="eop"/>
          <w:rFonts w:ascii="Arial" w:hAnsi="Arial" w:cs="Arial"/>
          <w:sz w:val="20"/>
          <w:szCs w:val="20"/>
        </w:rPr>
        <w:t> </w:t>
      </w:r>
    </w:p>
    <w:p w14:paraId="1D3F033B"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14:paraId="156BAA61"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rPr>
        <w:t>CAPACIDAD RESIDUAL – Cálculo</w:t>
      </w:r>
      <w:r>
        <w:rPr>
          <w:rStyle w:val="eop"/>
          <w:rFonts w:ascii="Arial" w:hAnsi="Arial" w:cs="Arial"/>
          <w:sz w:val="22"/>
          <w:szCs w:val="22"/>
        </w:rPr>
        <w:t> </w:t>
      </w:r>
    </w:p>
    <w:p w14:paraId="5E740AB3"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24CB6F76"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La Ley 1150 de 2007 establece que la capacidad residual de los interesados en participar en procesos de selección para contratos de obra deberá ser igual o superior al que la entidad ha establecido en los pliegos de condiciones […]</w:t>
      </w:r>
      <w:r>
        <w:rPr>
          <w:rStyle w:val="eop"/>
          <w:rFonts w:ascii="Arial" w:hAnsi="Arial" w:cs="Arial"/>
          <w:sz w:val="20"/>
          <w:szCs w:val="20"/>
        </w:rPr>
        <w:t> </w:t>
      </w:r>
    </w:p>
    <w:p w14:paraId="2B7FD411"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w:t>
      </w:r>
      <w:r>
        <w:rPr>
          <w:rStyle w:val="eop"/>
          <w:rFonts w:ascii="Arial" w:hAnsi="Arial" w:cs="Arial"/>
          <w:sz w:val="20"/>
          <w:szCs w:val="20"/>
        </w:rPr>
        <w:t> </w:t>
      </w:r>
    </w:p>
    <w:p w14:paraId="61F74D9E"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El artículo 2.2.1.1.1.6.4 del Decreto 1082 de 2015, establece que las entidades estatales deberán calcular la capacidad residual conforme a la metodología definida por Colombia Compre Eficiente y precisó que, para tales fines, resulta necesario tener en cuenta los factores de: i) experiencia; ii) capacidad financiera; iii) capacidad técnica; iv) capacidad de organización; y v) los saldos de los contratos en ejecución.</w:t>
      </w:r>
      <w:r>
        <w:rPr>
          <w:rStyle w:val="eop"/>
          <w:rFonts w:ascii="Arial" w:hAnsi="Arial" w:cs="Arial"/>
          <w:sz w:val="20"/>
          <w:szCs w:val="20"/>
        </w:rPr>
        <w:t> </w:t>
      </w:r>
    </w:p>
    <w:p w14:paraId="67697E23"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w:t>
      </w:r>
      <w:r>
        <w:rPr>
          <w:rStyle w:val="eop"/>
          <w:rFonts w:ascii="Arial" w:hAnsi="Arial" w:cs="Arial"/>
          <w:sz w:val="20"/>
          <w:szCs w:val="20"/>
        </w:rPr>
        <w:t> </w:t>
      </w:r>
    </w:p>
    <w:p w14:paraId="5518F974"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sz w:val="20"/>
          <w:szCs w:val="20"/>
        </w:rPr>
        <w:t>La Agencia Nacional de Contratación Pública estableció como fórmula que las entidades estatales calculen la experiencia conforme a los cinco factores que deben ser tenidos en cuenta […] Conforme a lo anterior, es la entidad estatal quien debe calcular la capacidad residual, pero el proponente tiene como carga aportar los documentos para acreditar su capacidad residual.</w:t>
      </w:r>
      <w:r>
        <w:rPr>
          <w:rStyle w:val="eop"/>
          <w:rFonts w:ascii="Arial" w:hAnsi="Arial" w:cs="Arial"/>
          <w:sz w:val="20"/>
          <w:szCs w:val="20"/>
        </w:rPr>
        <w:t> </w:t>
      </w:r>
    </w:p>
    <w:p w14:paraId="3A26B0D5"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0"/>
          <w:szCs w:val="20"/>
        </w:rPr>
        <w:t> </w:t>
      </w:r>
    </w:p>
    <w:p w14:paraId="795A9F1C"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b/>
          <w:bCs/>
          <w:sz w:val="22"/>
          <w:szCs w:val="22"/>
          <w:lang w:val="es-MX"/>
        </w:rPr>
        <w:t>CONTRATOS EN EJECUCIÓN – Definición </w:t>
      </w:r>
      <w:r>
        <w:rPr>
          <w:rStyle w:val="eop"/>
          <w:rFonts w:ascii="Arial" w:hAnsi="Arial" w:cs="Arial"/>
          <w:sz w:val="22"/>
          <w:szCs w:val="22"/>
        </w:rPr>
        <w:t> </w:t>
      </w:r>
    </w:p>
    <w:p w14:paraId="2496FD2B" w14:textId="77777777" w:rsidR="00867144" w:rsidRDefault="00867144" w:rsidP="0086714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14:paraId="5B68601E" w14:textId="44E77697" w:rsidR="00867144" w:rsidRPr="00ED24DA" w:rsidRDefault="00867144" w:rsidP="00ED24DA">
      <w:pPr>
        <w:pStyle w:val="paragraph"/>
        <w:spacing w:before="0" w:beforeAutospacing="0" w:after="0" w:afterAutospacing="0"/>
        <w:jc w:val="both"/>
        <w:textAlignment w:val="baseline"/>
        <w:rPr>
          <w:rFonts w:ascii="Arial" w:hAnsi="Arial" w:cs="Arial"/>
          <w:sz w:val="20"/>
          <w:szCs w:val="20"/>
        </w:rPr>
      </w:pPr>
      <w:r>
        <w:rPr>
          <w:rStyle w:val="normaltextrun"/>
          <w:rFonts w:ascii="Arial" w:hAnsi="Arial" w:cs="Arial"/>
          <w:sz w:val="20"/>
          <w:szCs w:val="20"/>
        </w:rPr>
        <w:t>[…] la Guía para Determinar y Verificar la Capacidad Residual del Proponente en los Procesos de Contratación de Obra Pública</w:t>
      </w:r>
      <w:r w:rsidR="00C20926">
        <w:rPr>
          <w:rStyle w:val="normaltextrun"/>
          <w:rFonts w:ascii="Arial" w:hAnsi="Arial" w:cs="Arial"/>
          <w:sz w:val="20"/>
          <w:szCs w:val="20"/>
        </w:rPr>
        <w:t>”</w:t>
      </w:r>
      <w:r>
        <w:rPr>
          <w:rStyle w:val="normaltextrun"/>
          <w:rFonts w:ascii="Arial" w:hAnsi="Arial" w:cs="Arial"/>
          <w:sz w:val="20"/>
          <w:szCs w:val="20"/>
        </w:rPr>
        <w:t xml:space="preserve"> define los Contratos en ejecución de la siguiente manera: </w:t>
      </w:r>
      <w:r w:rsidR="00C20926">
        <w:rPr>
          <w:rStyle w:val="normaltextrun"/>
          <w:rFonts w:ascii="Arial" w:hAnsi="Arial" w:cs="Arial"/>
          <w:sz w:val="20"/>
          <w:szCs w:val="20"/>
        </w:rPr>
        <w:t>“</w:t>
      </w:r>
      <w:r>
        <w:rPr>
          <w:rStyle w:val="normaltextrun"/>
          <w:rFonts w:ascii="Arial" w:hAnsi="Arial" w:cs="Arial"/>
          <w:sz w:val="20"/>
          <w:szCs w:val="20"/>
        </w:rPr>
        <w:t>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no tengan acta de inicio. No se entenderán como contratos en ejecución los que se encuentren en liquidación</w:t>
      </w:r>
      <w:r w:rsidR="00C20926">
        <w:rPr>
          <w:rStyle w:val="normaltextrun"/>
          <w:rFonts w:ascii="Arial" w:hAnsi="Arial" w:cs="Arial"/>
          <w:sz w:val="20"/>
          <w:szCs w:val="20"/>
        </w:rPr>
        <w:t>”</w:t>
      </w:r>
      <w:r>
        <w:rPr>
          <w:rStyle w:val="normaltextrun"/>
          <w:rFonts w:ascii="Arial" w:hAnsi="Arial" w:cs="Arial"/>
          <w:sz w:val="20"/>
          <w:szCs w:val="20"/>
        </w:rPr>
        <w:t>.</w:t>
      </w:r>
      <w:r>
        <w:rPr>
          <w:rStyle w:val="eop"/>
          <w:rFonts w:ascii="Arial" w:hAnsi="Arial" w:cs="Arial"/>
          <w:sz w:val="20"/>
          <w:szCs w:val="20"/>
        </w:rPr>
        <w:t> </w:t>
      </w:r>
    </w:p>
    <w:p w14:paraId="12C226B0" w14:textId="57E3DB7E" w:rsidR="00E245AB" w:rsidRPr="00071A9D" w:rsidRDefault="36D437A8" w:rsidP="00755B9E">
      <w:pPr>
        <w:spacing w:after="0" w:line="276" w:lineRule="auto"/>
        <w:jc w:val="both"/>
        <w:rPr>
          <w:rFonts w:ascii="Arial" w:eastAsia="Arial" w:hAnsi="Arial" w:cs="Arial"/>
        </w:rPr>
      </w:pPr>
      <w:r w:rsidRPr="5A55573B">
        <w:rPr>
          <w:rFonts w:ascii="Arial" w:eastAsia="Arial" w:hAnsi="Arial" w:cs="Arial"/>
        </w:rPr>
        <w:lastRenderedPageBreak/>
        <w:t>Bogotá</w:t>
      </w:r>
      <w:r w:rsidRPr="00071A9D">
        <w:rPr>
          <w:rFonts w:ascii="Arial" w:eastAsia="Arial" w:hAnsi="Arial" w:cs="Arial"/>
        </w:rPr>
        <w:t xml:space="preserve"> D.C., [Día] [Mes.NombreCapitalizado] [Año]</w:t>
      </w:r>
      <w:r w:rsidR="00E245AB" w:rsidRPr="00755B9E">
        <w:rPr>
          <w:rFonts w:ascii="Arial" w:hAnsi="Arial" w:cs="Arial"/>
        </w:rPr>
        <w:tab/>
      </w:r>
    </w:p>
    <w:p w14:paraId="75F8AF34" w14:textId="1F01C229" w:rsidR="00E245AB" w:rsidRPr="00071A9D" w:rsidRDefault="00E245AB" w:rsidP="5A55573B">
      <w:pPr>
        <w:spacing w:after="0" w:line="276" w:lineRule="auto"/>
        <w:jc w:val="both"/>
        <w:rPr>
          <w:rFonts w:ascii="Arial" w:eastAsia="Arial" w:hAnsi="Arial" w:cs="Arial"/>
          <w:lang w:val="es-MX"/>
        </w:rPr>
      </w:pPr>
    </w:p>
    <w:p w14:paraId="6CB24EAE" w14:textId="75FF020E" w:rsidR="6CB41F72" w:rsidRDefault="6CB41F72" w:rsidP="6CB41F72">
      <w:pPr>
        <w:spacing w:after="0" w:line="276" w:lineRule="auto"/>
        <w:jc w:val="both"/>
        <w:rPr>
          <w:rFonts w:ascii="Arial" w:eastAsia="Arial" w:hAnsi="Arial" w:cs="Arial"/>
          <w:lang w:val="es-MX"/>
        </w:rPr>
      </w:pPr>
    </w:p>
    <w:p w14:paraId="43E9D7AE" w14:textId="3D0263B1" w:rsidR="6CB41F72" w:rsidRDefault="6CB41F72" w:rsidP="6CB41F72">
      <w:pPr>
        <w:spacing w:after="0" w:line="276" w:lineRule="auto"/>
        <w:jc w:val="both"/>
        <w:rPr>
          <w:rFonts w:ascii="Arial" w:eastAsia="Arial" w:hAnsi="Arial" w:cs="Arial"/>
          <w:lang w:val="es-MX"/>
        </w:rPr>
      </w:pPr>
    </w:p>
    <w:p w14:paraId="21825B10" w14:textId="77777777" w:rsidR="0023745D" w:rsidRPr="00071A9D" w:rsidRDefault="0023745D" w:rsidP="5A55573B">
      <w:pPr>
        <w:spacing w:after="0" w:line="276" w:lineRule="auto"/>
        <w:jc w:val="both"/>
        <w:rPr>
          <w:rFonts w:ascii="Arial" w:eastAsia="Arial" w:hAnsi="Arial" w:cs="Arial"/>
          <w:lang w:val="es-MX"/>
        </w:rPr>
      </w:pPr>
    </w:p>
    <w:p w14:paraId="46BD854B" w14:textId="14763262" w:rsidR="00E245AB" w:rsidRPr="00755B9E" w:rsidRDefault="36D437A8" w:rsidP="00755B9E">
      <w:pPr>
        <w:spacing w:after="0" w:line="276" w:lineRule="auto"/>
        <w:jc w:val="both"/>
        <w:rPr>
          <w:rFonts w:ascii="Arial" w:hAnsi="Arial" w:cs="Arial"/>
        </w:rPr>
      </w:pPr>
      <w:r w:rsidRPr="00071A9D">
        <w:rPr>
          <w:rFonts w:ascii="Arial" w:eastAsia="Arial" w:hAnsi="Arial" w:cs="Arial"/>
          <w:lang w:val="es"/>
        </w:rPr>
        <w:t>Señor</w:t>
      </w:r>
    </w:p>
    <w:p w14:paraId="5773E967" w14:textId="1FDB916F" w:rsidR="00E245AB" w:rsidRPr="00755B9E" w:rsidRDefault="36D437A8" w:rsidP="5A55573B">
      <w:pPr>
        <w:spacing w:after="0"/>
        <w:rPr>
          <w:rFonts w:ascii="Arial" w:hAnsi="Arial" w:cs="Arial"/>
        </w:rPr>
      </w:pPr>
      <w:r w:rsidRPr="00071A9D">
        <w:rPr>
          <w:rFonts w:ascii="Arial" w:eastAsia="Arial" w:hAnsi="Arial" w:cs="Arial"/>
          <w:b/>
          <w:bCs/>
          <w:lang w:val="es"/>
        </w:rPr>
        <w:t>Santiago Andrés Sánchez Mantilla</w:t>
      </w:r>
    </w:p>
    <w:p w14:paraId="3F2BBBBB" w14:textId="14CE34A8" w:rsidR="00E245AB" w:rsidRPr="00755B9E" w:rsidRDefault="36D437A8" w:rsidP="5A55573B">
      <w:pPr>
        <w:spacing w:after="0"/>
        <w:rPr>
          <w:rFonts w:ascii="Arial" w:hAnsi="Arial" w:cs="Arial"/>
        </w:rPr>
      </w:pPr>
      <w:r w:rsidRPr="00071A9D">
        <w:rPr>
          <w:rFonts w:ascii="Arial" w:eastAsia="Arial" w:hAnsi="Arial" w:cs="Arial"/>
          <w:lang w:val="es"/>
        </w:rPr>
        <w:t>Gerente</w:t>
      </w:r>
    </w:p>
    <w:p w14:paraId="3C4E3D49" w14:textId="432A252B" w:rsidR="00E245AB" w:rsidRPr="00755B9E" w:rsidRDefault="36D437A8" w:rsidP="5A55573B">
      <w:pPr>
        <w:spacing w:after="0"/>
        <w:rPr>
          <w:rFonts w:ascii="Arial" w:hAnsi="Arial" w:cs="Arial"/>
        </w:rPr>
      </w:pPr>
      <w:r w:rsidRPr="00071A9D">
        <w:rPr>
          <w:rFonts w:ascii="Arial" w:eastAsia="Arial" w:hAnsi="Arial" w:cs="Arial"/>
          <w:lang w:val="es"/>
        </w:rPr>
        <w:t xml:space="preserve">Infraestructura y Vías S.A.S. </w:t>
      </w:r>
    </w:p>
    <w:p w14:paraId="19FE5545" w14:textId="6D71E33A" w:rsidR="00E245AB" w:rsidRPr="00755B9E" w:rsidRDefault="00DD2D97" w:rsidP="5A55573B">
      <w:pPr>
        <w:spacing w:after="0"/>
        <w:rPr>
          <w:rFonts w:ascii="Arial" w:hAnsi="Arial" w:cs="Arial"/>
        </w:rPr>
      </w:pPr>
      <w:hyperlink r:id="rId11">
        <w:r w:rsidR="36D437A8" w:rsidRPr="00071A9D">
          <w:rPr>
            <w:rStyle w:val="Hipervnculo"/>
            <w:rFonts w:ascii="Arial" w:eastAsia="Arial" w:hAnsi="Arial" w:cs="Arial"/>
            <w:color w:val="0563C1"/>
          </w:rPr>
          <w:t>direccion@infraestructuravias.com</w:t>
        </w:r>
      </w:hyperlink>
      <w:r w:rsidR="36D437A8" w:rsidRPr="00071A9D">
        <w:rPr>
          <w:rFonts w:ascii="Arial" w:eastAsia="Arial" w:hAnsi="Arial" w:cs="Arial"/>
        </w:rPr>
        <w:t xml:space="preserve"> </w:t>
      </w:r>
    </w:p>
    <w:p w14:paraId="2A05CE7F" w14:textId="6CDB072A" w:rsidR="00E245AB" w:rsidRPr="00755B9E" w:rsidRDefault="36D437A8" w:rsidP="5A55573B">
      <w:pPr>
        <w:spacing w:after="0"/>
        <w:rPr>
          <w:rFonts w:ascii="Arial" w:hAnsi="Arial" w:cs="Arial"/>
        </w:rPr>
      </w:pPr>
      <w:r w:rsidRPr="00071A9D">
        <w:rPr>
          <w:rFonts w:ascii="Arial" w:eastAsia="Arial" w:hAnsi="Arial" w:cs="Arial"/>
          <w:lang w:val="es"/>
        </w:rPr>
        <w:t xml:space="preserve">Bucaramanga, Santander  </w:t>
      </w:r>
    </w:p>
    <w:p w14:paraId="02AD36A1" w14:textId="107A9917" w:rsidR="00E245AB" w:rsidRPr="00755B9E" w:rsidRDefault="36D437A8" w:rsidP="00755B9E">
      <w:pPr>
        <w:spacing w:after="0"/>
        <w:jc w:val="right"/>
        <w:rPr>
          <w:rFonts w:ascii="Arial" w:hAnsi="Arial" w:cs="Arial"/>
        </w:rPr>
      </w:pPr>
      <w:r w:rsidRPr="0F52091B">
        <w:rPr>
          <w:rFonts w:ascii="Arial" w:eastAsia="Arial" w:hAnsi="Arial" w:cs="Arial"/>
          <w:lang w:val="es"/>
        </w:rPr>
        <w:t xml:space="preserve"> </w:t>
      </w:r>
    </w:p>
    <w:p w14:paraId="0C4DFE84" w14:textId="7F2C1698" w:rsidR="00E245AB" w:rsidRPr="00755B9E" w:rsidRDefault="36D437A8" w:rsidP="5A55573B">
      <w:pPr>
        <w:spacing w:after="0"/>
        <w:rPr>
          <w:rFonts w:ascii="Arial" w:hAnsi="Arial" w:cs="Arial"/>
        </w:rPr>
      </w:pPr>
      <w:r w:rsidRPr="0F52091B">
        <w:rPr>
          <w:rFonts w:ascii="Arial" w:eastAsia="Arial" w:hAnsi="Arial" w:cs="Arial"/>
          <w:lang w:val="es"/>
        </w:rPr>
        <w:t xml:space="preserve"> </w:t>
      </w:r>
    </w:p>
    <w:p w14:paraId="41594E96" w14:textId="0178DC96" w:rsidR="00E245AB" w:rsidRPr="00755B9E" w:rsidRDefault="36D437A8" w:rsidP="00755B9E">
      <w:pPr>
        <w:spacing w:after="0"/>
        <w:jc w:val="center"/>
        <w:rPr>
          <w:rFonts w:ascii="Arial" w:hAnsi="Arial" w:cs="Arial"/>
        </w:rPr>
      </w:pPr>
      <w:r w:rsidRPr="00071A9D">
        <w:rPr>
          <w:rFonts w:ascii="Arial" w:eastAsia="Arial" w:hAnsi="Arial" w:cs="Arial"/>
          <w:b/>
          <w:bCs/>
          <w:lang w:val="es"/>
        </w:rPr>
        <w:t>Concepto C- 451 de 2023</w:t>
      </w:r>
    </w:p>
    <w:p w14:paraId="4DAC8CD8" w14:textId="297A3E0D" w:rsidR="00E245AB" w:rsidRPr="00755B9E" w:rsidRDefault="36D437A8" w:rsidP="5A55573B">
      <w:pPr>
        <w:spacing w:after="0"/>
        <w:jc w:val="both"/>
        <w:rPr>
          <w:rFonts w:ascii="Arial" w:hAnsi="Arial" w:cs="Arial"/>
        </w:rPr>
      </w:pPr>
      <w:r w:rsidRPr="00071A9D">
        <w:rPr>
          <w:rFonts w:ascii="Arial" w:eastAsia="Arial" w:hAnsi="Arial" w:cs="Arial"/>
        </w:rPr>
        <w:t xml:space="preserve"> </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5"/>
        <w:gridCol w:w="6240"/>
      </w:tblGrid>
      <w:tr w:rsidR="5A55573B" w:rsidRPr="00071A9D" w14:paraId="0D993A8D" w14:textId="77777777" w:rsidTr="00755B9E">
        <w:trPr>
          <w:trHeight w:val="300"/>
        </w:trPr>
        <w:tc>
          <w:tcPr>
            <w:tcW w:w="1845" w:type="dxa"/>
          </w:tcPr>
          <w:p w14:paraId="00A96208" w14:textId="6E021E62" w:rsidR="5A55573B" w:rsidRPr="00755B9E" w:rsidRDefault="5A55573B" w:rsidP="5A55573B">
            <w:pPr>
              <w:jc w:val="center"/>
              <w:rPr>
                <w:rFonts w:ascii="Arial" w:hAnsi="Arial" w:cs="Arial"/>
              </w:rPr>
            </w:pPr>
            <w:r w:rsidRPr="00071A9D">
              <w:rPr>
                <w:rFonts w:ascii="Arial" w:eastAsia="Arial" w:hAnsi="Arial" w:cs="Arial"/>
                <w:b/>
                <w:bCs/>
              </w:rPr>
              <w:t>Temas:</w:t>
            </w:r>
          </w:p>
        </w:tc>
        <w:tc>
          <w:tcPr>
            <w:tcW w:w="6240" w:type="dxa"/>
          </w:tcPr>
          <w:p w14:paraId="3634A7CD" w14:textId="5C1B4184" w:rsidR="5A55573B" w:rsidRPr="000730C1" w:rsidRDefault="5A55573B" w:rsidP="5A55573B">
            <w:pPr>
              <w:jc w:val="both"/>
              <w:rPr>
                <w:rFonts w:ascii="Arial" w:hAnsi="Arial" w:cs="Arial"/>
              </w:rPr>
            </w:pPr>
            <w:r w:rsidRPr="000730C1">
              <w:rPr>
                <w:rFonts w:ascii="Arial" w:eastAsia="Arial" w:hAnsi="Arial" w:cs="Arial"/>
              </w:rPr>
              <w:t xml:space="preserve">CAPACIDAD RESIDUAL – Cálculo / SALDOS DE CONTRATOS EN EJECUCIÓN – Acreditación / </w:t>
            </w:r>
            <w:r w:rsidRPr="000730C1">
              <w:rPr>
                <w:rFonts w:ascii="Arial" w:eastAsia="Arial" w:hAnsi="Arial" w:cs="Arial"/>
                <w:lang w:val="es-MX"/>
              </w:rPr>
              <w:t>CONTRATOS EN EJECUCIÓN – Actas de inicio de contratos / DOCUMENTOS TIPO – Versión 3</w:t>
            </w:r>
          </w:p>
        </w:tc>
      </w:tr>
      <w:tr w:rsidR="5A55573B" w:rsidRPr="00071A9D" w14:paraId="5E031EF6" w14:textId="77777777" w:rsidTr="00755B9E">
        <w:trPr>
          <w:trHeight w:val="300"/>
        </w:trPr>
        <w:tc>
          <w:tcPr>
            <w:tcW w:w="1845" w:type="dxa"/>
          </w:tcPr>
          <w:p w14:paraId="3EFD7AFF" w14:textId="725BD661" w:rsidR="5A55573B" w:rsidRPr="00755B9E" w:rsidRDefault="5A55573B" w:rsidP="5A55573B">
            <w:pPr>
              <w:spacing w:before="120"/>
              <w:jc w:val="center"/>
              <w:rPr>
                <w:rFonts w:ascii="Arial" w:hAnsi="Arial" w:cs="Arial"/>
              </w:rPr>
            </w:pPr>
            <w:r w:rsidRPr="00071A9D">
              <w:rPr>
                <w:rFonts w:ascii="Arial" w:eastAsia="Arial" w:hAnsi="Arial" w:cs="Arial"/>
                <w:b/>
                <w:bCs/>
                <w:lang w:val="es"/>
              </w:rPr>
              <w:t>Radicación:</w:t>
            </w:r>
          </w:p>
        </w:tc>
        <w:tc>
          <w:tcPr>
            <w:tcW w:w="6240" w:type="dxa"/>
          </w:tcPr>
          <w:p w14:paraId="784A08A6" w14:textId="45C8E0FC" w:rsidR="5A55573B" w:rsidRPr="000730C1" w:rsidRDefault="5A55573B" w:rsidP="5A55573B">
            <w:pPr>
              <w:spacing w:before="120"/>
              <w:jc w:val="both"/>
              <w:rPr>
                <w:rFonts w:ascii="Arial" w:hAnsi="Arial" w:cs="Arial"/>
              </w:rPr>
            </w:pPr>
            <w:r w:rsidRPr="000730C1">
              <w:rPr>
                <w:rFonts w:ascii="Arial" w:eastAsia="Arial" w:hAnsi="Arial" w:cs="Arial"/>
                <w:lang w:val="es"/>
              </w:rPr>
              <w:t>Respuesta a consulta P20230922015397</w:t>
            </w:r>
          </w:p>
        </w:tc>
      </w:tr>
    </w:tbl>
    <w:p w14:paraId="5BEDF469" w14:textId="3484B01A" w:rsidR="00E245AB" w:rsidRPr="00755B9E" w:rsidRDefault="36D437A8" w:rsidP="5A55573B">
      <w:pPr>
        <w:spacing w:after="0"/>
        <w:jc w:val="both"/>
        <w:rPr>
          <w:rFonts w:ascii="Arial" w:hAnsi="Arial" w:cs="Arial"/>
        </w:rPr>
      </w:pPr>
      <w:r w:rsidRPr="00071A9D">
        <w:rPr>
          <w:rFonts w:ascii="Arial" w:eastAsia="Arial" w:hAnsi="Arial" w:cs="Arial"/>
        </w:rPr>
        <w:t xml:space="preserve"> </w:t>
      </w:r>
    </w:p>
    <w:p w14:paraId="102B3D26" w14:textId="281F4B5B" w:rsidR="00E245AB" w:rsidRPr="00755B9E" w:rsidRDefault="36D437A8" w:rsidP="5A55573B">
      <w:pPr>
        <w:spacing w:after="0"/>
        <w:jc w:val="both"/>
        <w:rPr>
          <w:rFonts w:ascii="Arial" w:hAnsi="Arial" w:cs="Arial"/>
        </w:rPr>
      </w:pPr>
      <w:r w:rsidRPr="00071A9D">
        <w:rPr>
          <w:rFonts w:ascii="Arial" w:eastAsia="Arial" w:hAnsi="Arial" w:cs="Arial"/>
        </w:rPr>
        <w:t xml:space="preserve"> </w:t>
      </w:r>
    </w:p>
    <w:p w14:paraId="678942B4" w14:textId="2FAC856C" w:rsidR="00E245AB" w:rsidRPr="00755B9E" w:rsidRDefault="36D437A8" w:rsidP="5A55573B">
      <w:pPr>
        <w:spacing w:after="0"/>
        <w:jc w:val="both"/>
        <w:rPr>
          <w:rFonts w:ascii="Arial" w:hAnsi="Arial" w:cs="Arial"/>
        </w:rPr>
      </w:pPr>
      <w:r w:rsidRPr="00071A9D">
        <w:rPr>
          <w:rFonts w:ascii="Arial" w:eastAsia="Arial" w:hAnsi="Arial" w:cs="Arial"/>
          <w:lang w:val="es"/>
        </w:rPr>
        <w:t xml:space="preserve"> </w:t>
      </w:r>
    </w:p>
    <w:p w14:paraId="462534B8" w14:textId="0387E2FF" w:rsidR="00E245AB" w:rsidRPr="00755B9E" w:rsidRDefault="36D437A8" w:rsidP="5A55573B">
      <w:pPr>
        <w:spacing w:after="0"/>
        <w:jc w:val="both"/>
        <w:rPr>
          <w:rFonts w:ascii="Arial" w:hAnsi="Arial" w:cs="Arial"/>
        </w:rPr>
      </w:pPr>
      <w:r w:rsidRPr="00071A9D">
        <w:rPr>
          <w:rFonts w:ascii="Arial" w:eastAsia="Arial" w:hAnsi="Arial" w:cs="Arial"/>
          <w:lang w:val="es"/>
        </w:rPr>
        <w:t>Estimado señor Sánchez Mantilla:</w:t>
      </w:r>
    </w:p>
    <w:p w14:paraId="6712D295" w14:textId="6CDB3047" w:rsidR="00E245AB" w:rsidRPr="00755B9E" w:rsidRDefault="36D437A8" w:rsidP="5A55573B">
      <w:pPr>
        <w:spacing w:after="0"/>
        <w:jc w:val="both"/>
        <w:rPr>
          <w:rFonts w:ascii="Arial" w:hAnsi="Arial" w:cs="Arial"/>
        </w:rPr>
      </w:pPr>
      <w:r w:rsidRPr="00071A9D">
        <w:rPr>
          <w:rFonts w:ascii="Arial" w:eastAsia="Arial" w:hAnsi="Arial" w:cs="Arial"/>
        </w:rPr>
        <w:t xml:space="preserve"> </w:t>
      </w:r>
    </w:p>
    <w:p w14:paraId="41E11F14" w14:textId="1FEEE748" w:rsidR="00E245AB" w:rsidRPr="00755B9E" w:rsidRDefault="36D437A8" w:rsidP="5A55573B">
      <w:pPr>
        <w:spacing w:after="0" w:line="276" w:lineRule="auto"/>
        <w:jc w:val="both"/>
        <w:rPr>
          <w:rFonts w:ascii="Arial" w:hAnsi="Arial" w:cs="Arial"/>
        </w:rPr>
      </w:pPr>
      <w:r w:rsidRPr="00071A9D">
        <w:rPr>
          <w:rFonts w:ascii="Arial" w:eastAsia="Arial" w:hAnsi="Arial" w:cs="Arial"/>
          <w:lang w:val="es"/>
        </w:rPr>
        <w:t>En ejercicio de la competencia otorgada por el numeral 8° del artículo 11 y el numeral 5° del artículo 3 del Decreto Ley 4170 de 2011</w:t>
      </w:r>
      <w:r w:rsidRPr="00071A9D">
        <w:rPr>
          <w:rFonts w:ascii="Arial" w:eastAsia="Arial" w:hAnsi="Arial" w:cs="Arial"/>
          <w:sz w:val="24"/>
          <w:szCs w:val="24"/>
        </w:rPr>
        <w:t xml:space="preserve">, </w:t>
      </w:r>
      <w:r w:rsidRPr="00071A9D">
        <w:rPr>
          <w:rFonts w:ascii="Arial" w:eastAsia="Arial" w:hAnsi="Arial" w:cs="Arial"/>
          <w:lang w:val="es"/>
        </w:rPr>
        <w:t xml:space="preserve">la Agencia Nacional de Contratación Pública ― Colombia Compra Eficiente responde su consulta del 30 de agosto de 2023 y que fue remitida por la Función </w:t>
      </w:r>
      <w:r w:rsidR="0023745D" w:rsidRPr="00071A9D">
        <w:rPr>
          <w:rFonts w:ascii="Arial" w:eastAsia="Arial" w:hAnsi="Arial" w:cs="Arial"/>
          <w:lang w:val="es"/>
        </w:rPr>
        <w:t>Pública</w:t>
      </w:r>
      <w:r w:rsidRPr="00071A9D">
        <w:rPr>
          <w:rFonts w:ascii="Arial" w:eastAsia="Arial" w:hAnsi="Arial" w:cs="Arial"/>
          <w:lang w:val="es"/>
        </w:rPr>
        <w:t xml:space="preserve"> el 05 de septiembre de 2023.</w:t>
      </w:r>
    </w:p>
    <w:p w14:paraId="369B4CEB" w14:textId="1E6AF39E" w:rsidR="00E245AB" w:rsidRPr="00755B9E" w:rsidRDefault="36D437A8" w:rsidP="5A55573B">
      <w:pPr>
        <w:spacing w:after="0" w:line="276" w:lineRule="auto"/>
        <w:jc w:val="both"/>
        <w:rPr>
          <w:rFonts w:ascii="Arial" w:hAnsi="Arial" w:cs="Arial"/>
        </w:rPr>
      </w:pPr>
      <w:r w:rsidRPr="00071A9D">
        <w:rPr>
          <w:rFonts w:ascii="Arial" w:eastAsia="Arial" w:hAnsi="Arial" w:cs="Arial"/>
          <w:b/>
          <w:bCs/>
        </w:rPr>
        <w:t xml:space="preserve"> </w:t>
      </w:r>
    </w:p>
    <w:p w14:paraId="62A99E73" w14:textId="3AEBF042" w:rsidR="00E245AB" w:rsidRPr="00071A9D" w:rsidRDefault="36D437A8" w:rsidP="5A55573B">
      <w:pPr>
        <w:pStyle w:val="Prrafodelista"/>
        <w:numPr>
          <w:ilvl w:val="0"/>
          <w:numId w:val="2"/>
        </w:numPr>
        <w:spacing w:after="0" w:line="276" w:lineRule="auto"/>
        <w:jc w:val="both"/>
        <w:rPr>
          <w:rFonts w:ascii="Arial" w:eastAsia="Arial" w:hAnsi="Arial" w:cs="Arial"/>
          <w:b/>
          <w:bCs/>
          <w:lang w:val="es-CO"/>
        </w:rPr>
      </w:pPr>
      <w:r w:rsidRPr="00071A9D">
        <w:rPr>
          <w:rFonts w:ascii="Arial" w:eastAsia="Arial" w:hAnsi="Arial" w:cs="Arial"/>
          <w:b/>
          <w:bCs/>
          <w:lang w:val="es-CO"/>
        </w:rPr>
        <w:t xml:space="preserve">Problema planteado </w:t>
      </w:r>
    </w:p>
    <w:p w14:paraId="4C4297D8" w14:textId="26391170" w:rsidR="00E245AB" w:rsidRPr="00755B9E" w:rsidRDefault="36D437A8" w:rsidP="5A55573B">
      <w:pPr>
        <w:tabs>
          <w:tab w:val="left" w:pos="426"/>
        </w:tabs>
        <w:spacing w:after="0" w:line="276" w:lineRule="auto"/>
        <w:jc w:val="both"/>
        <w:rPr>
          <w:rFonts w:ascii="Arial" w:hAnsi="Arial" w:cs="Arial"/>
        </w:rPr>
      </w:pPr>
      <w:r w:rsidRPr="00071A9D">
        <w:rPr>
          <w:rFonts w:ascii="Arial" w:eastAsia="Arial" w:hAnsi="Arial" w:cs="Arial"/>
          <w:b/>
          <w:bCs/>
        </w:rPr>
        <w:t xml:space="preserve"> </w:t>
      </w:r>
    </w:p>
    <w:p w14:paraId="4A8BDA3C" w14:textId="5C41A9BA" w:rsidR="00E245AB" w:rsidRPr="00755B9E" w:rsidRDefault="36D437A8" w:rsidP="5A55573B">
      <w:pPr>
        <w:spacing w:after="0" w:line="276" w:lineRule="auto"/>
        <w:jc w:val="both"/>
        <w:rPr>
          <w:rFonts w:ascii="Arial" w:hAnsi="Arial" w:cs="Arial"/>
        </w:rPr>
      </w:pPr>
      <w:r w:rsidRPr="00071A9D">
        <w:rPr>
          <w:rFonts w:ascii="Arial" w:eastAsia="Arial" w:hAnsi="Arial" w:cs="Arial"/>
          <w:lang w:val="es"/>
        </w:rPr>
        <w:t xml:space="preserve">Usted formula la siguiente consulta, </w:t>
      </w:r>
      <w:r w:rsidRPr="00071A9D">
        <w:rPr>
          <w:rFonts w:ascii="Arial" w:eastAsia="Arial" w:hAnsi="Arial" w:cs="Arial"/>
          <w:i/>
          <w:iCs/>
          <w:sz w:val="20"/>
          <w:szCs w:val="20"/>
          <w:lang w:val="es"/>
        </w:rPr>
        <w:t>“[…] Al ser un requisito habilitante, puede la entidad requerirlo durante el termino del traslado?</w:t>
      </w:r>
    </w:p>
    <w:p w14:paraId="1966EE60" w14:textId="7A20B17C" w:rsidR="00E245AB" w:rsidRPr="00755B9E" w:rsidRDefault="36D437A8" w:rsidP="5A55573B">
      <w:pPr>
        <w:spacing w:after="0" w:line="276" w:lineRule="auto"/>
        <w:jc w:val="both"/>
        <w:rPr>
          <w:rFonts w:ascii="Arial" w:hAnsi="Arial" w:cs="Arial"/>
        </w:rPr>
      </w:pPr>
      <w:r w:rsidRPr="00071A9D">
        <w:rPr>
          <w:rFonts w:ascii="Arial" w:eastAsia="Arial" w:hAnsi="Arial" w:cs="Arial"/>
          <w:i/>
          <w:iCs/>
          <w:sz w:val="20"/>
          <w:szCs w:val="20"/>
          <w:lang w:val="es"/>
        </w:rPr>
        <w:t xml:space="preserve">No presentar el formato, se puede tomar como que el proponente certifica que NO tiene contratos en </w:t>
      </w:r>
      <w:r w:rsidR="001E2F0A" w:rsidRPr="00071A9D">
        <w:rPr>
          <w:rFonts w:ascii="Arial" w:eastAsia="Arial" w:hAnsi="Arial" w:cs="Arial"/>
          <w:i/>
          <w:iCs/>
          <w:sz w:val="20"/>
          <w:szCs w:val="20"/>
          <w:lang w:val="es"/>
        </w:rPr>
        <w:t>ejecución</w:t>
      </w:r>
      <w:r w:rsidRPr="00071A9D">
        <w:rPr>
          <w:rFonts w:ascii="Arial" w:eastAsia="Arial" w:hAnsi="Arial" w:cs="Arial"/>
          <w:i/>
          <w:iCs/>
          <w:sz w:val="20"/>
          <w:szCs w:val="20"/>
          <w:lang w:val="es"/>
        </w:rPr>
        <w:t>, a pesar de lo que establece el pliego de condiciones.</w:t>
      </w:r>
    </w:p>
    <w:p w14:paraId="5F5A778C" w14:textId="0948BC1D" w:rsidR="00E245AB" w:rsidRPr="00755B9E" w:rsidRDefault="36D437A8" w:rsidP="5A55573B">
      <w:pPr>
        <w:spacing w:after="0" w:line="276" w:lineRule="auto"/>
        <w:jc w:val="both"/>
        <w:rPr>
          <w:rFonts w:ascii="Arial" w:hAnsi="Arial" w:cs="Arial"/>
        </w:rPr>
      </w:pPr>
      <w:r w:rsidRPr="00071A9D">
        <w:rPr>
          <w:rFonts w:ascii="Arial" w:eastAsia="Arial" w:hAnsi="Arial" w:cs="Arial"/>
          <w:i/>
          <w:iCs/>
          <w:sz w:val="20"/>
          <w:szCs w:val="20"/>
          <w:lang w:val="es"/>
        </w:rPr>
        <w:t xml:space="preserve">No presentar el formato, se puede aplicar la causal de rechazo Z, lo anterior a pesar que el proponente no haya certificado que NO tiene contratos en </w:t>
      </w:r>
      <w:r w:rsidR="001E2F0A" w:rsidRPr="00071A9D">
        <w:rPr>
          <w:rFonts w:ascii="Arial" w:eastAsia="Arial" w:hAnsi="Arial" w:cs="Arial"/>
          <w:i/>
          <w:iCs/>
          <w:sz w:val="20"/>
          <w:szCs w:val="20"/>
          <w:lang w:val="es"/>
        </w:rPr>
        <w:t>ejecución</w:t>
      </w:r>
      <w:r w:rsidRPr="00071A9D">
        <w:rPr>
          <w:rFonts w:ascii="Arial" w:eastAsia="Arial" w:hAnsi="Arial" w:cs="Arial"/>
          <w:i/>
          <w:iCs/>
          <w:sz w:val="20"/>
          <w:szCs w:val="20"/>
          <w:lang w:val="es"/>
        </w:rPr>
        <w:t xml:space="preserve"> ”.</w:t>
      </w:r>
    </w:p>
    <w:p w14:paraId="11041497" w14:textId="023876B7" w:rsidR="00E245AB" w:rsidRPr="00071A9D" w:rsidRDefault="36D437A8" w:rsidP="5A55573B">
      <w:pPr>
        <w:spacing w:after="0" w:line="276" w:lineRule="auto"/>
        <w:jc w:val="both"/>
        <w:rPr>
          <w:rFonts w:ascii="Arial" w:eastAsia="Arial" w:hAnsi="Arial" w:cs="Arial"/>
          <w:sz w:val="20"/>
          <w:szCs w:val="20"/>
        </w:rPr>
      </w:pPr>
      <w:r w:rsidRPr="00071A9D">
        <w:rPr>
          <w:rFonts w:ascii="Arial" w:eastAsia="Arial" w:hAnsi="Arial" w:cs="Arial"/>
          <w:sz w:val="20"/>
          <w:szCs w:val="20"/>
        </w:rPr>
        <w:t xml:space="preserve"> </w:t>
      </w:r>
    </w:p>
    <w:p w14:paraId="06ED45BF" w14:textId="04767E35" w:rsidR="00E245AB" w:rsidRPr="00071A9D" w:rsidRDefault="36D437A8" w:rsidP="5A55573B">
      <w:pPr>
        <w:pStyle w:val="Prrafodelista"/>
        <w:numPr>
          <w:ilvl w:val="0"/>
          <w:numId w:val="2"/>
        </w:numPr>
        <w:spacing w:after="0"/>
        <w:jc w:val="both"/>
        <w:rPr>
          <w:rFonts w:ascii="Arial" w:eastAsia="Arial" w:hAnsi="Arial" w:cs="Arial"/>
          <w:b/>
          <w:bCs/>
          <w:lang w:val="es-CO"/>
        </w:rPr>
      </w:pPr>
      <w:r w:rsidRPr="00071A9D">
        <w:rPr>
          <w:rFonts w:ascii="Arial" w:eastAsia="Arial" w:hAnsi="Arial" w:cs="Arial"/>
          <w:b/>
          <w:bCs/>
          <w:lang w:val="es-CO"/>
        </w:rPr>
        <w:t>Consideraciones</w:t>
      </w:r>
    </w:p>
    <w:p w14:paraId="7F774253" w14:textId="09A24E63" w:rsidR="00E245AB" w:rsidRPr="00755B9E" w:rsidRDefault="36D437A8" w:rsidP="5A55573B">
      <w:pPr>
        <w:tabs>
          <w:tab w:val="left" w:pos="0"/>
          <w:tab w:val="left" w:pos="284"/>
        </w:tabs>
        <w:spacing w:after="0"/>
        <w:jc w:val="both"/>
        <w:rPr>
          <w:rFonts w:ascii="Arial" w:hAnsi="Arial" w:cs="Arial"/>
        </w:rPr>
      </w:pPr>
      <w:r w:rsidRPr="00071A9D">
        <w:rPr>
          <w:rFonts w:ascii="Arial" w:eastAsia="Arial" w:hAnsi="Arial" w:cs="Arial"/>
          <w:b/>
          <w:bCs/>
        </w:rPr>
        <w:t xml:space="preserve"> </w:t>
      </w:r>
    </w:p>
    <w:p w14:paraId="294D962A" w14:textId="5DBBEC7C" w:rsidR="00E245AB" w:rsidRPr="00755B9E" w:rsidRDefault="36D437A8" w:rsidP="5A55573B">
      <w:pPr>
        <w:spacing w:after="120" w:line="276" w:lineRule="auto"/>
        <w:jc w:val="both"/>
        <w:rPr>
          <w:rFonts w:ascii="Arial" w:hAnsi="Arial" w:cs="Arial"/>
        </w:rPr>
      </w:pPr>
      <w:r w:rsidRPr="00071A9D">
        <w:rPr>
          <w:rFonts w:ascii="Arial" w:eastAsia="Arial" w:hAnsi="Arial" w:cs="Arial"/>
        </w:rPr>
        <w:lastRenderedPageBreak/>
        <w:t xml:space="preserve">En ejercicio de las competencias establecidas en los artículos 3, numeral 5° y 11, numeral 8° del Decreto Ley 4170 de 2011, la Agencia Nacional de Contratación Pública – Colombia Compra Eficiente resuelve las consultas sobre los asuntos de su competencia, esto es, sobre las temáticas de la contratación estatal y compras públicas relacionadas en los artículos citados. </w:t>
      </w:r>
      <w:r w:rsidRPr="00071A9D">
        <w:rPr>
          <w:rFonts w:ascii="Arial" w:eastAsia="Arial" w:hAnsi="Arial" w:cs="Arial"/>
          <w:lang w:val="es"/>
        </w:rPr>
        <w:t>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071A9D">
        <w:rPr>
          <w:rFonts w:ascii="Arial" w:eastAsia="Arial" w:hAnsi="Arial" w:cs="Arial"/>
        </w:rPr>
        <w:t xml:space="preserve"> de todos los partícipes de la contratación estatal.</w:t>
      </w:r>
    </w:p>
    <w:p w14:paraId="5F3D7E1D" w14:textId="20F507E8" w:rsidR="00E245AB" w:rsidRPr="00755B9E" w:rsidRDefault="36D437A8" w:rsidP="5A55573B">
      <w:pPr>
        <w:spacing w:after="120" w:line="276" w:lineRule="auto"/>
        <w:ind w:firstLine="708"/>
        <w:jc w:val="both"/>
        <w:rPr>
          <w:rFonts w:ascii="Arial" w:hAnsi="Arial" w:cs="Arial"/>
        </w:rPr>
      </w:pPr>
      <w:r w:rsidRPr="00071A9D">
        <w:rPr>
          <w:rFonts w:ascii="Arial" w:eastAsia="Arial" w:hAnsi="Arial" w:cs="Arial"/>
          <w:lang w:val="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00CE1B7F">
        <w:rPr>
          <w:rStyle w:val="Refdenotaalpie"/>
          <w:rFonts w:ascii="Arial" w:eastAsia="Arial" w:hAnsi="Arial" w:cs="Arial"/>
          <w:lang w:val="es"/>
        </w:rPr>
        <w:footnoteReference w:id="2"/>
      </w:r>
      <w:r w:rsidRPr="00071A9D">
        <w:rPr>
          <w:rFonts w:ascii="Arial" w:eastAsia="Arial" w:hAnsi="Arial" w:cs="Arial"/>
          <w:lang w:val="es"/>
        </w:rPr>
        <w:t xml:space="preserve">.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 Por lo anterior, previo concepto de sus órganos asesores, la solución de estos temas corresponde a la entidad que adelanta el procedimiento de selección y, en caso de conflicto, a las autoridades judiciales, fiscales y disciplinarias. </w:t>
      </w:r>
    </w:p>
    <w:p w14:paraId="2355996A" w14:textId="402A3706" w:rsidR="00E245AB" w:rsidRPr="00755B9E" w:rsidRDefault="36D437A8" w:rsidP="00755B9E">
      <w:pPr>
        <w:spacing w:after="120" w:line="276" w:lineRule="auto"/>
        <w:ind w:firstLine="708"/>
        <w:jc w:val="both"/>
        <w:rPr>
          <w:rFonts w:ascii="Arial" w:hAnsi="Arial" w:cs="Arial"/>
        </w:rPr>
      </w:pPr>
      <w:r w:rsidRPr="0F52091B">
        <w:rPr>
          <w:rFonts w:ascii="Arial" w:eastAsia="Arial" w:hAnsi="Arial" w:cs="Arial"/>
        </w:rPr>
        <w:t xml:space="preserve">Sin perjuicio de lo anterior, la Subdirección –dentro de los límites de sus atribuciones, esto es, haciendo abstracción del caso particular expuesto por el peticionario– resolverá la consulta conforme a las normas generales en materia de contratación estatal. Con este objetivo se analizarán </w:t>
      </w:r>
      <w:r w:rsidRPr="0F52091B">
        <w:rPr>
          <w:rFonts w:ascii="Arial" w:eastAsia="Arial" w:hAnsi="Arial" w:cs="Arial"/>
          <w:lang w:val="es"/>
        </w:rPr>
        <w:t>los siguientes temas:</w:t>
      </w:r>
      <w:r w:rsidRPr="0F52091B">
        <w:rPr>
          <w:rFonts w:ascii="Arial" w:eastAsia="Arial" w:hAnsi="Arial" w:cs="Arial"/>
          <w:color w:val="000000" w:themeColor="text1"/>
          <w:sz w:val="24"/>
          <w:szCs w:val="24"/>
          <w:lang w:val="es"/>
        </w:rPr>
        <w:t xml:space="preserve"> </w:t>
      </w:r>
      <w:r w:rsidRPr="0F52091B">
        <w:rPr>
          <w:rFonts w:ascii="Arial" w:eastAsia="Arial" w:hAnsi="Arial" w:cs="Arial"/>
        </w:rPr>
        <w:t>i) capacidad residual: generalidades, ii) contratos a tener en cuenta para el cálculo del factor Saldos de Contratos en Ejecución –SCE– de la fórmula para determinar la Capacidad Residual del Proponente –CRP–.</w:t>
      </w:r>
      <w:r w:rsidRPr="000730C1">
        <w:rPr>
          <w:rFonts w:ascii="Arial" w:eastAsia="Arial" w:hAnsi="Arial" w:cs="Arial"/>
          <w:lang w:val="es"/>
        </w:rPr>
        <w:t xml:space="preserve"> </w:t>
      </w:r>
    </w:p>
    <w:p w14:paraId="64B7C6C7" w14:textId="46C08BD4" w:rsidR="00E245AB" w:rsidRPr="00755B9E" w:rsidRDefault="36D437A8" w:rsidP="00C0042C">
      <w:pPr>
        <w:spacing w:after="120" w:line="276" w:lineRule="auto"/>
        <w:ind w:firstLine="709"/>
        <w:jc w:val="both"/>
        <w:rPr>
          <w:rFonts w:ascii="Arial" w:hAnsi="Arial" w:cs="Arial"/>
        </w:rPr>
      </w:pPr>
      <w:r w:rsidRPr="00071A9D">
        <w:rPr>
          <w:rFonts w:ascii="Arial" w:eastAsia="Arial" w:hAnsi="Arial" w:cs="Arial"/>
          <w:lang w:val="es"/>
        </w:rPr>
        <w:t>La Agencia Nacional de Contratación Pública – Colombia Compra Eficiente</w:t>
      </w:r>
      <w:r w:rsidR="00513DB7">
        <w:rPr>
          <w:rFonts w:ascii="Arial" w:eastAsia="Arial" w:hAnsi="Arial" w:cs="Arial"/>
          <w:lang w:val="es"/>
        </w:rPr>
        <w:t xml:space="preserve"> </w:t>
      </w:r>
      <w:r w:rsidR="00B118AE">
        <w:rPr>
          <w:rFonts w:ascii="Arial" w:eastAsia="Arial" w:hAnsi="Arial" w:cs="Arial"/>
          <w:lang w:val="es"/>
        </w:rPr>
        <w:t xml:space="preserve">se ha pronunciado </w:t>
      </w:r>
      <w:r w:rsidR="00FE1123">
        <w:rPr>
          <w:rFonts w:ascii="Arial" w:eastAsia="Arial" w:hAnsi="Arial" w:cs="Arial"/>
          <w:lang w:val="es"/>
        </w:rPr>
        <w:t xml:space="preserve">sobre la capacidad residual </w:t>
      </w:r>
      <w:r w:rsidR="004B708E">
        <w:rPr>
          <w:rFonts w:ascii="Arial" w:eastAsia="Arial" w:hAnsi="Arial" w:cs="Arial"/>
          <w:lang w:val="es"/>
        </w:rPr>
        <w:t>y la forma que se debe acreditar</w:t>
      </w:r>
      <w:r w:rsidRPr="00071A9D">
        <w:rPr>
          <w:rFonts w:ascii="Arial" w:eastAsia="Arial" w:hAnsi="Arial" w:cs="Arial"/>
          <w:lang w:val="es"/>
        </w:rPr>
        <w:t xml:space="preserve">, en los conceptos </w:t>
      </w:r>
      <w:r w:rsidRPr="00071A9D">
        <w:rPr>
          <w:rFonts w:ascii="Arial" w:eastAsia="Arial" w:hAnsi="Arial" w:cs="Arial"/>
        </w:rPr>
        <w:t xml:space="preserve">2201913000006275 del 27 de agosto de 2019, 2201913000009465 del 20 de diciembre de 2019, 2201913000009642 y 2201913000009640 del 26 de diciembre de 2019; así como en los conceptos C–022 del 20 de febrero de 2020, C–089 del 4 de marzo de 2020, C–112 del </w:t>
      </w:r>
      <w:r w:rsidRPr="00071A9D">
        <w:rPr>
          <w:rFonts w:ascii="Arial" w:eastAsia="Arial" w:hAnsi="Arial" w:cs="Arial"/>
        </w:rPr>
        <w:lastRenderedPageBreak/>
        <w:t>16 de marzo de 2020, C–133 del 25 de marzo de 2020, C–194 del 21 de abril de 2020, C–326 del 9 de junio de 2020, C–446 del 6 de julio de 2020,</w:t>
      </w:r>
      <w:r w:rsidRPr="00755B9E">
        <w:rPr>
          <w:rFonts w:ascii="Arial" w:eastAsia="Times New Roman" w:hAnsi="Arial" w:cs="Arial"/>
        </w:rPr>
        <w:t xml:space="preserve"> </w:t>
      </w:r>
      <w:r w:rsidRPr="00071A9D">
        <w:rPr>
          <w:rFonts w:ascii="Arial" w:eastAsia="Arial" w:hAnsi="Arial" w:cs="Arial"/>
        </w:rPr>
        <w:t xml:space="preserve">C-461 del 13 de julio de 2020, C–668 del 20 de noviembre de 2020, C–742 del 16 de diciembre de 2020, C–045 del 5 de marzo de 2021, C–003 del 26 de marzo de 2021, C–121 del 31 de marzo de 2021, C–143 del 9 de abril de 2021, C–202 del 7 de mayo de 2021, C–219 del 19 de mayo de 2021, C–368 del 28 de julio de 2021, C–392 del 5 de agosto de 2021, C–513 del 23 de septiembre de 2021, C–590 del 12 de octubre de 2021, </w:t>
      </w:r>
      <w:r w:rsidRPr="00071A9D">
        <w:rPr>
          <w:rFonts w:ascii="Arial" w:eastAsia="Arial" w:hAnsi="Arial" w:cs="Arial"/>
          <w:color w:val="161616"/>
        </w:rPr>
        <w:t xml:space="preserve">C-068 del 9 de marzo de 2022, </w:t>
      </w:r>
      <w:r w:rsidRPr="00071A9D">
        <w:rPr>
          <w:rFonts w:ascii="Arial" w:eastAsia="Arial" w:hAnsi="Arial" w:cs="Arial"/>
          <w:lang w:val="es"/>
        </w:rPr>
        <w:t>C-220 del 22 de abril de 2022, C-351 del 23 de mayo de 2022 y C-392 del 16 de junio de 2022</w:t>
      </w:r>
      <w:r w:rsidRPr="00071A9D">
        <w:rPr>
          <w:rFonts w:ascii="Arial" w:eastAsia="Arial" w:hAnsi="Arial" w:cs="Arial"/>
          <w:color w:val="000000" w:themeColor="text1"/>
          <w:lang w:val="es"/>
        </w:rPr>
        <w:t xml:space="preserve">. </w:t>
      </w:r>
      <w:r w:rsidRPr="00071A9D">
        <w:rPr>
          <w:rFonts w:ascii="Arial" w:eastAsia="Arial" w:hAnsi="Arial" w:cs="Arial"/>
          <w:lang w:val="es"/>
        </w:rPr>
        <w:t xml:space="preserve">Las tesis expuestas en estos conceptos se reiteran a continuación y se complementan en lo pertinente, teniendo en cuenta los interrogantes planteados. </w:t>
      </w:r>
    </w:p>
    <w:p w14:paraId="6FCF68B4" w14:textId="0C45B5A7" w:rsidR="00E245AB" w:rsidRPr="00755B9E" w:rsidRDefault="36D437A8" w:rsidP="5A55573B">
      <w:pPr>
        <w:spacing w:after="120" w:line="276" w:lineRule="auto"/>
        <w:ind w:firstLine="708"/>
        <w:jc w:val="both"/>
        <w:rPr>
          <w:rFonts w:ascii="Arial" w:hAnsi="Arial" w:cs="Arial"/>
        </w:rPr>
      </w:pPr>
      <w:r w:rsidRPr="00071A9D">
        <w:rPr>
          <w:rFonts w:ascii="Arial" w:eastAsia="Arial" w:hAnsi="Arial" w:cs="Arial"/>
          <w:color w:val="000000" w:themeColor="text1"/>
        </w:rPr>
        <w:t xml:space="preserve">Por otra parte, en los conceptos </w:t>
      </w:r>
      <w:r w:rsidRPr="00071A9D">
        <w:rPr>
          <w:rFonts w:ascii="Arial" w:eastAsia="Arial" w:hAnsi="Arial" w:cs="Arial"/>
        </w:rPr>
        <w:t>C-033 del 13 de marzo de 2020, C-133 del 30 de marzo de 2020, C-196 del 8 de abril de 2020, C-297 del 4 de junio de 2020, C-489 del 23 de julio de 2020, C-522 del 6 de agosto de 2020, C-547 del 21 de agosto de 2020, C-642 de 30 de octubre de 2020, C-668 del 20 de noviembre de 2020, C-720 del 11 de diciembre de 2020, C-789 del 19 de enero de 2021, C-042 del 3 de marzo de 2021, C-173 del 07 de abril de 2022 y C-219 del 19 de mayo de 2022, esta Agencia se pronunció en aspectos referentes al rechazo de propuestas por falta de acreditación del requisito de capacidad residual</w:t>
      </w:r>
      <w:r w:rsidRPr="00071A9D">
        <w:rPr>
          <w:rFonts w:ascii="Arial" w:eastAsia="Arial" w:hAnsi="Arial" w:cs="Arial"/>
          <w:color w:val="000000" w:themeColor="text1"/>
          <w:lang w:val="es-MX"/>
        </w:rPr>
        <w:t>.</w:t>
      </w:r>
      <w:r w:rsidRPr="00071A9D">
        <w:rPr>
          <w:rFonts w:ascii="Arial" w:eastAsia="Arial" w:hAnsi="Arial" w:cs="Arial"/>
          <w:lang w:val="es-MX"/>
        </w:rPr>
        <w:t xml:space="preserve"> </w:t>
      </w:r>
      <w:r w:rsidRPr="00071A9D">
        <w:rPr>
          <w:rFonts w:ascii="Arial" w:eastAsia="Arial" w:hAnsi="Arial" w:cs="Arial"/>
        </w:rPr>
        <w:t xml:space="preserve"> </w:t>
      </w:r>
    </w:p>
    <w:p w14:paraId="7724EBEF" w14:textId="69566EB4" w:rsidR="00E245AB" w:rsidRPr="00755B9E" w:rsidRDefault="36D437A8" w:rsidP="5A55573B">
      <w:pPr>
        <w:tabs>
          <w:tab w:val="left" w:pos="426"/>
        </w:tabs>
        <w:spacing w:after="0" w:line="276" w:lineRule="auto"/>
        <w:jc w:val="both"/>
        <w:rPr>
          <w:rFonts w:ascii="Arial" w:hAnsi="Arial" w:cs="Arial"/>
        </w:rPr>
      </w:pPr>
      <w:r w:rsidRPr="00071A9D">
        <w:rPr>
          <w:rFonts w:ascii="Arial" w:eastAsia="Arial" w:hAnsi="Arial" w:cs="Arial"/>
          <w:b/>
          <w:bCs/>
        </w:rPr>
        <w:t xml:space="preserve">2.1. </w:t>
      </w:r>
      <w:r w:rsidRPr="00071A9D">
        <w:rPr>
          <w:rFonts w:ascii="Arial" w:eastAsia="Arial" w:hAnsi="Arial" w:cs="Arial"/>
          <w:b/>
          <w:bCs/>
          <w:color w:val="000000" w:themeColor="text1"/>
        </w:rPr>
        <w:t>Capacidad residual como requisito habilitante:</w:t>
      </w:r>
      <w:r w:rsidR="0023745D" w:rsidRPr="00071A9D">
        <w:rPr>
          <w:rFonts w:ascii="Arial" w:eastAsia="Arial" w:hAnsi="Arial" w:cs="Arial"/>
          <w:b/>
          <w:bCs/>
          <w:color w:val="000000" w:themeColor="text1"/>
        </w:rPr>
        <w:t xml:space="preserve"> </w:t>
      </w:r>
      <w:r w:rsidRPr="00071A9D">
        <w:rPr>
          <w:rFonts w:ascii="Arial" w:eastAsia="Arial" w:hAnsi="Arial" w:cs="Arial"/>
          <w:b/>
          <w:bCs/>
          <w:color w:val="000000" w:themeColor="text1"/>
        </w:rPr>
        <w:t xml:space="preserve">Saldo de Contratos en </w:t>
      </w:r>
      <w:r w:rsidR="0023745D" w:rsidRPr="00071A9D">
        <w:rPr>
          <w:rFonts w:ascii="Arial" w:eastAsia="Arial" w:hAnsi="Arial" w:cs="Arial"/>
          <w:b/>
          <w:bCs/>
          <w:color w:val="000000" w:themeColor="text1"/>
        </w:rPr>
        <w:t>Ejecución</w:t>
      </w:r>
      <w:r w:rsidRPr="00071A9D">
        <w:rPr>
          <w:rFonts w:ascii="Arial" w:eastAsia="Arial" w:hAnsi="Arial" w:cs="Arial"/>
          <w:b/>
          <w:bCs/>
          <w:color w:val="000000" w:themeColor="text1"/>
        </w:rPr>
        <w:t xml:space="preserve"> </w:t>
      </w:r>
    </w:p>
    <w:p w14:paraId="724E8EDB" w14:textId="77777777" w:rsidR="0023745D" w:rsidRPr="00071A9D" w:rsidRDefault="0023745D" w:rsidP="5A55573B">
      <w:pPr>
        <w:spacing w:after="0" w:line="276" w:lineRule="auto"/>
        <w:jc w:val="both"/>
        <w:rPr>
          <w:rFonts w:ascii="Arial" w:eastAsia="Arial" w:hAnsi="Arial" w:cs="Arial"/>
          <w:color w:val="000000" w:themeColor="text1"/>
          <w:lang w:val="es-MX"/>
        </w:rPr>
      </w:pPr>
    </w:p>
    <w:p w14:paraId="751A6C56" w14:textId="5D10550D" w:rsidR="00E245AB" w:rsidRPr="00755B9E" w:rsidRDefault="36D437A8" w:rsidP="5A55573B">
      <w:pPr>
        <w:spacing w:after="0" w:line="276" w:lineRule="auto"/>
        <w:jc w:val="both"/>
        <w:rPr>
          <w:rFonts w:ascii="Arial" w:hAnsi="Arial" w:cs="Arial"/>
        </w:rPr>
      </w:pPr>
      <w:r w:rsidRPr="00071A9D">
        <w:rPr>
          <w:rFonts w:ascii="Arial" w:eastAsia="Arial" w:hAnsi="Arial" w:cs="Arial"/>
          <w:color w:val="000000" w:themeColor="text1"/>
          <w:lang w:val="es-MX"/>
        </w:rPr>
        <w:t>De acuerdo con el artículo 2.2.1.1.1.3.1 del Decreto 1082 de 2015, la capacidad residual es la aptitud de los oferentes para cumplir de manera oportuna y a cabalidad el objeto de un contrato de obra pública, sin que los demás compromisos contractuales que han adquirido afecten su habilidad de cumplir el objeto del contrato que está en proceso de selección</w:t>
      </w:r>
      <w:r w:rsidR="00CF5151">
        <w:rPr>
          <w:rStyle w:val="Refdenotaalpie"/>
          <w:rFonts w:ascii="Arial" w:eastAsia="Arial" w:hAnsi="Arial" w:cs="Arial"/>
          <w:color w:val="000000" w:themeColor="text1"/>
          <w:lang w:val="es-MX"/>
        </w:rPr>
        <w:footnoteReference w:id="3"/>
      </w:r>
      <w:r w:rsidRPr="00071A9D">
        <w:rPr>
          <w:rFonts w:ascii="Arial" w:eastAsia="Arial" w:hAnsi="Arial" w:cs="Arial"/>
          <w:color w:val="000000" w:themeColor="text1"/>
          <w:lang w:val="es-MX"/>
        </w:rPr>
        <w:t>. Por su parte, el Consejo de Estado ha definido la capacidad residual como “la diferencia que existe entre el potencial de contratación que se tiene y los compromisos que haya adquirido y que se encuentren en ejecución, para la fecha de presentación de la oferta”</w:t>
      </w:r>
      <w:r w:rsidR="00644389">
        <w:rPr>
          <w:rStyle w:val="Refdenotaalpie"/>
          <w:rFonts w:ascii="Arial" w:eastAsia="Arial" w:hAnsi="Arial" w:cs="Arial"/>
          <w:color w:val="000000" w:themeColor="text1"/>
          <w:lang w:val="es-MX"/>
        </w:rPr>
        <w:footnoteReference w:id="4"/>
      </w:r>
      <w:r w:rsidRPr="00071A9D">
        <w:rPr>
          <w:rFonts w:ascii="Arial" w:eastAsia="Arial" w:hAnsi="Arial" w:cs="Arial"/>
          <w:color w:val="000000" w:themeColor="text1"/>
          <w:lang w:val="es-MX"/>
        </w:rPr>
        <w:t>.</w:t>
      </w:r>
    </w:p>
    <w:p w14:paraId="45B8B164" w14:textId="609520AC" w:rsidR="00E245AB" w:rsidRPr="00755B9E" w:rsidRDefault="36D437A8" w:rsidP="5A55573B">
      <w:pPr>
        <w:spacing w:before="120" w:after="0" w:line="276" w:lineRule="auto"/>
        <w:ind w:firstLine="708"/>
        <w:jc w:val="both"/>
        <w:rPr>
          <w:rFonts w:ascii="Arial" w:hAnsi="Arial" w:cs="Arial"/>
        </w:rPr>
      </w:pPr>
      <w:r w:rsidRPr="00071A9D">
        <w:rPr>
          <w:rFonts w:ascii="Arial" w:eastAsia="Arial" w:hAnsi="Arial" w:cs="Arial"/>
          <w:color w:val="000000" w:themeColor="text1"/>
          <w:lang w:val="es-MX"/>
        </w:rPr>
        <w:t xml:space="preserve">De esta manera, la capacidad residual se refiere a la suficiencia que tiene el proponente para asumir nuevas obligaciones que se derivan del contrato objeto del proceso de contratación, en relación con las obligaciones que ya adquirió frente a otros contratos. Por su parte, el artículo 6 de la Ley 1150 de 2007 dispone que la capacidad residual de los interesados en participar en procesos de selección para contratos de obra deberá ser igual </w:t>
      </w:r>
      <w:r w:rsidRPr="00071A9D">
        <w:rPr>
          <w:rFonts w:ascii="Arial" w:eastAsia="Arial" w:hAnsi="Arial" w:cs="Arial"/>
          <w:color w:val="000000" w:themeColor="text1"/>
          <w:lang w:val="es-MX"/>
        </w:rPr>
        <w:lastRenderedPageBreak/>
        <w:t xml:space="preserve">o superior al que la entidad ha establecido en los pliegos de condiciones, en los siguientes términos: </w:t>
      </w:r>
    </w:p>
    <w:p w14:paraId="6EBF2000" w14:textId="7EB0AA74" w:rsidR="00E245AB" w:rsidRPr="00755B9E" w:rsidRDefault="36D437A8" w:rsidP="5A55573B">
      <w:pPr>
        <w:spacing w:after="0" w:line="276" w:lineRule="auto"/>
        <w:ind w:firstLine="708"/>
        <w:jc w:val="both"/>
        <w:rPr>
          <w:rFonts w:ascii="Arial" w:hAnsi="Arial" w:cs="Arial"/>
        </w:rPr>
      </w:pPr>
      <w:r w:rsidRPr="00071A9D">
        <w:rPr>
          <w:rFonts w:ascii="Arial" w:eastAsia="Arial" w:hAnsi="Arial" w:cs="Arial"/>
          <w:color w:val="000000" w:themeColor="text1"/>
          <w:sz w:val="24"/>
          <w:szCs w:val="24"/>
          <w:lang w:val="es-MX"/>
        </w:rPr>
        <w:t xml:space="preserve"> </w:t>
      </w:r>
    </w:p>
    <w:p w14:paraId="10A7EBA3" w14:textId="3DF32C5E"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color w:val="000000" w:themeColor="text1"/>
          <w:sz w:val="20"/>
          <w:szCs w:val="20"/>
          <w:lang w:val="es-MX"/>
        </w:rPr>
        <w:t>Parágrafo 1°. Para poder participar en los procesos de selección de los contratos de obra y demás que señale el reglamento, la capacidad residual del proponente o K de contratación deberá ser igual o superior al que la entidad haya establecido para el efecto en los pliegos de condiciones.</w:t>
      </w:r>
    </w:p>
    <w:p w14:paraId="4B704210" w14:textId="7A8FC603"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color w:val="000000" w:themeColor="text1"/>
          <w:sz w:val="20"/>
          <w:szCs w:val="20"/>
          <w:lang w:val="es-MX"/>
        </w:rPr>
        <w:t>Para establecer la capacidad residual del proponente o K de contratación, se deberán considerar todos los contratos que tenga en ejecución el proponente al momento de presentar la oferta. El desarrollo y ejecución del contrato podrá dar lugar a que los valores que sean cancelados al contratista se consideren para establecer el real K de contratación, en cada oportunidad. El Gobierno Nacional reglamentará la materia.</w:t>
      </w:r>
    </w:p>
    <w:p w14:paraId="5E07768A" w14:textId="2F1EE3D7" w:rsidR="00E245AB" w:rsidRPr="00755B9E" w:rsidRDefault="36D437A8" w:rsidP="5A55573B">
      <w:pPr>
        <w:spacing w:after="0" w:line="276" w:lineRule="auto"/>
        <w:jc w:val="both"/>
        <w:rPr>
          <w:rFonts w:ascii="Arial" w:hAnsi="Arial" w:cs="Arial"/>
        </w:rPr>
      </w:pPr>
      <w:r w:rsidRPr="00071A9D">
        <w:rPr>
          <w:rFonts w:ascii="Arial" w:eastAsia="Arial" w:hAnsi="Arial" w:cs="Arial"/>
          <w:color w:val="000000" w:themeColor="text1"/>
          <w:sz w:val="24"/>
          <w:szCs w:val="24"/>
          <w:lang w:val="es-MX"/>
        </w:rPr>
        <w:t xml:space="preserve"> </w:t>
      </w:r>
    </w:p>
    <w:p w14:paraId="45F956FC" w14:textId="211CEF5B"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color w:val="000000" w:themeColor="text1"/>
          <w:lang w:val="es-MX"/>
        </w:rPr>
        <w:t xml:space="preserve">De acuerdo con </w:t>
      </w:r>
      <w:r w:rsidRPr="00071A9D">
        <w:rPr>
          <w:rFonts w:ascii="Arial" w:eastAsia="Arial" w:hAnsi="Arial" w:cs="Arial"/>
          <w:color w:val="000000" w:themeColor="text1"/>
        </w:rPr>
        <w:t>el artículo 72 de la Ley 1682 de 2013, la “capacidad residual de contratación cuando se realicen contratos de obra pública se obtendrá de sustraer de la capacidad de contratación, el saldo del valor de los contratos en ejecución”. La “capacidad de contratación”, según se desprende de la misma disposición, “[…] se deberá calcular mediante la evaluación de los siguientes factores: Experiencia (E), Capacidad Financiera (CF), Capacidad Técnica (CT), y Capacidad de Organización (CO)”.</w:t>
      </w:r>
    </w:p>
    <w:p w14:paraId="6F6903A5" w14:textId="4C4E8667" w:rsidR="00E245AB" w:rsidRPr="00755B9E" w:rsidRDefault="36D437A8" w:rsidP="5A55573B">
      <w:pPr>
        <w:spacing w:before="120" w:after="120" w:line="276" w:lineRule="auto"/>
        <w:ind w:firstLine="709"/>
        <w:jc w:val="both"/>
        <w:rPr>
          <w:rFonts w:ascii="Arial" w:hAnsi="Arial" w:cs="Arial"/>
        </w:rPr>
      </w:pPr>
      <w:r w:rsidRPr="00071A9D">
        <w:rPr>
          <w:rFonts w:ascii="Arial" w:eastAsia="Arial" w:hAnsi="Arial" w:cs="Arial"/>
          <w:color w:val="000000" w:themeColor="text1"/>
          <w:lang w:val="es-MX"/>
        </w:rPr>
        <w:t>Por su parte, el artículo 2.2.1.1.1.6.4 del Decreto 1082 de 2015 dispone que las entidades estatales deberán calcular la capacidad residual conforme a la metodología definida por Colombia Compre Eficiente. Para tales fines, resulta necesario tener en cuenta los factores de i) Experiencia –E–, ii) Capacidad Financiera –CF–, iii) Capacidad Técnica –CT–, iv) Capacidad de Organización y v) los Saldos de los Contratos en Ejecución –SCE–</w:t>
      </w:r>
    </w:p>
    <w:p w14:paraId="5B198F12" w14:textId="5AB42F0B" w:rsidR="00E245AB" w:rsidRPr="00755B9E" w:rsidRDefault="36D437A8" w:rsidP="5A55573B">
      <w:pPr>
        <w:spacing w:before="120" w:after="120" w:line="276" w:lineRule="auto"/>
        <w:ind w:firstLine="709"/>
        <w:jc w:val="both"/>
        <w:rPr>
          <w:rFonts w:ascii="Arial" w:hAnsi="Arial" w:cs="Arial"/>
        </w:rPr>
      </w:pPr>
      <w:r w:rsidRPr="00071A9D">
        <w:rPr>
          <w:rFonts w:ascii="Arial" w:eastAsia="Arial" w:hAnsi="Arial" w:cs="Arial"/>
          <w:color w:val="000000" w:themeColor="text1"/>
          <w:lang w:val="es-MX"/>
        </w:rPr>
        <w:t xml:space="preserve">De igual manera, </w:t>
      </w:r>
      <w:r w:rsidRPr="00071A9D">
        <w:rPr>
          <w:rFonts w:ascii="Arial" w:eastAsia="Arial" w:hAnsi="Arial" w:cs="Arial"/>
          <w:lang w:val="es-MX"/>
        </w:rPr>
        <w:t>establece que el interesado en celebrar contratos de obra pública acreditará su capacidad residual con los siguientes documentos: i) la lista de los contratos de obras civiles en ejecución suscritos con entidades estatales y con entidades privadas; ii) la lista de contratos de obras civiles en ejecución, suscritos por sociedades, consorcios o uniones temporales, en los cuales el proponente tenga participación, con entidades estatales y con entidades privadas; y finalmente iii) el balance general auditado del año inmediatamente anterior y estado de resultados auditado del año en que haya obtenido el mayor ingreso operacional en los últimos cinco (5) años</w:t>
      </w:r>
      <w:r w:rsidR="003764DE">
        <w:rPr>
          <w:rStyle w:val="Refdenotaalpie"/>
          <w:rFonts w:ascii="Arial" w:eastAsia="Arial" w:hAnsi="Arial" w:cs="Arial"/>
          <w:lang w:val="es-MX"/>
        </w:rPr>
        <w:footnoteReference w:id="5"/>
      </w:r>
      <w:r w:rsidRPr="00071A9D">
        <w:rPr>
          <w:rFonts w:ascii="Arial" w:eastAsia="Arial" w:hAnsi="Arial" w:cs="Arial"/>
          <w:lang w:val="es-MX"/>
        </w:rPr>
        <w:t xml:space="preserve">. </w:t>
      </w:r>
    </w:p>
    <w:p w14:paraId="1D9F6476" w14:textId="5AEFD12B" w:rsidR="00E245AB" w:rsidRPr="00755B9E" w:rsidRDefault="36D437A8" w:rsidP="5A55573B">
      <w:pPr>
        <w:spacing w:before="120" w:after="120" w:line="276" w:lineRule="auto"/>
        <w:ind w:firstLine="709"/>
        <w:jc w:val="both"/>
        <w:rPr>
          <w:rFonts w:ascii="Arial" w:hAnsi="Arial" w:cs="Arial"/>
        </w:rPr>
      </w:pPr>
      <w:r w:rsidRPr="00071A9D">
        <w:rPr>
          <w:rFonts w:ascii="Arial" w:eastAsia="Arial" w:hAnsi="Arial" w:cs="Arial"/>
          <w:color w:val="000000" w:themeColor="text1"/>
          <w:lang w:val="es-MX"/>
        </w:rPr>
        <w:lastRenderedPageBreak/>
        <w:t>De conformidad con lo expuesto, la Agencia Nacional de Contratación Pública – Colombia Compra Eficiente expidió la Guía para Determinar y Verificar la Capacidad Residual del Proponente en los Procesos de Contratación de Obra Pública. Este documento establece, entre otras cuestiones, que a la entidad contratante le corresponde, primero, establecer la capacidad residual del proceso de contratación “CRPC” y, segundo, determinar si los proponentes cumplen con la capacidad residual del proceso de contratación, teniendo en cuenta la información mencionada en el párrafo precedente.</w:t>
      </w:r>
    </w:p>
    <w:p w14:paraId="5A6A0635" w14:textId="401B7C3A"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color w:val="000000" w:themeColor="text1"/>
        </w:rPr>
        <w:t>En relación con el primer aspecto, sobre la determinación de la capacidad residual del proceso de contratación “CRPC”, debe determinarse si el plazo del contrato es superior a doce meses. Si no lo es, la CRPC equivale al presupuesto oficial estimado del Proceso de Contratación menos el anticipo o pago anticipado cuando haya lugar. Si lo es, equivale a la proporción lineal de 12 meses del presupuesto oficial estimado menos el anticipo o pago anticipado.</w:t>
      </w:r>
    </w:p>
    <w:p w14:paraId="67E80DC4" w14:textId="53D0159A" w:rsidR="00E245AB" w:rsidRPr="00071A9D" w:rsidRDefault="00047F7A" w:rsidP="5A55573B">
      <w:pPr>
        <w:spacing w:before="120" w:after="0" w:line="276" w:lineRule="auto"/>
        <w:ind w:firstLine="709"/>
        <w:jc w:val="both"/>
        <w:rPr>
          <w:rFonts w:ascii="Arial" w:eastAsia="Arial" w:hAnsi="Arial" w:cs="Arial"/>
          <w:color w:val="000000" w:themeColor="text1"/>
        </w:rPr>
      </w:pPr>
      <w:r w:rsidRPr="009A23CE">
        <w:rPr>
          <w:rFonts w:ascii="Arial" w:hAnsi="Arial" w:cs="Arial"/>
          <w:bCs/>
          <w:noProof/>
          <w:lang w:val="es-ES_tradnl" w:eastAsia="es-ES_tradnl"/>
        </w:rPr>
        <w:drawing>
          <wp:anchor distT="0" distB="0" distL="0" distR="0" simplePos="0" relativeHeight="251658241" behindDoc="0" locked="0" layoutInCell="1" allowOverlap="1" wp14:anchorId="5B77F734" wp14:editId="6957A910">
            <wp:simplePos x="0" y="0"/>
            <wp:positionH relativeFrom="margin">
              <wp:align>center</wp:align>
            </wp:positionH>
            <wp:positionV relativeFrom="paragraph">
              <wp:posOffset>1537335</wp:posOffset>
            </wp:positionV>
            <wp:extent cx="3819525" cy="554990"/>
            <wp:effectExtent l="0" t="0" r="9525" b="0"/>
            <wp:wrapTopAndBottom/>
            <wp:docPr id="6" name="Imagen 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Diagrama&#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9525" cy="554990"/>
                    </a:xfrm>
                    <a:prstGeom prst="rect">
                      <a:avLst/>
                    </a:prstGeom>
                    <a:noFill/>
                  </pic:spPr>
                </pic:pic>
              </a:graphicData>
            </a:graphic>
            <wp14:sizeRelH relativeFrom="margin">
              <wp14:pctWidth>0</wp14:pctWidth>
            </wp14:sizeRelH>
            <wp14:sizeRelV relativeFrom="page">
              <wp14:pctHeight>0</wp14:pctHeight>
            </wp14:sizeRelV>
          </wp:anchor>
        </w:drawing>
      </w:r>
      <w:r w:rsidR="36D437A8" w:rsidRPr="00071A9D">
        <w:rPr>
          <w:rFonts w:ascii="Arial" w:eastAsia="Arial" w:hAnsi="Arial" w:cs="Arial"/>
          <w:color w:val="000000" w:themeColor="text1"/>
        </w:rPr>
        <w:t>En cuanto al segundo aspecto, sobre la validación de que cada proponente cumpla con la CRPC, la entidad pública debe verificar que la capacidad residual del proponente</w:t>
      </w:r>
      <w:r w:rsidR="00232260">
        <w:rPr>
          <w:rFonts w:ascii="Arial" w:eastAsia="Arial" w:hAnsi="Arial" w:cs="Arial"/>
          <w:color w:val="000000" w:themeColor="text1"/>
        </w:rPr>
        <w:t xml:space="preserve"> “</w:t>
      </w:r>
      <w:r w:rsidR="36D437A8" w:rsidRPr="00071A9D">
        <w:rPr>
          <w:rFonts w:ascii="Arial" w:eastAsia="Arial" w:hAnsi="Arial" w:cs="Arial"/>
          <w:color w:val="000000" w:themeColor="text1"/>
        </w:rPr>
        <w:t>CRP</w:t>
      </w:r>
      <w:r w:rsidR="00232260">
        <w:rPr>
          <w:rFonts w:ascii="Arial" w:eastAsia="Arial" w:hAnsi="Arial" w:cs="Arial"/>
          <w:color w:val="000000" w:themeColor="text1"/>
        </w:rPr>
        <w:t>”</w:t>
      </w:r>
      <w:r w:rsidR="36D437A8" w:rsidRPr="00071A9D">
        <w:rPr>
          <w:rFonts w:ascii="Arial" w:eastAsia="Arial" w:hAnsi="Arial" w:cs="Arial"/>
          <w:color w:val="000000" w:themeColor="text1"/>
        </w:rPr>
        <w:t xml:space="preserve"> sea igual o superior a la capacidad referida en el párrafo precedente. De todas formas, previamente debe establecer la CRP, con fundamento en los siguientes factores: i) experiencia “E”; ii) capacidad financiera “CF”; iii) capacidad técnica </w:t>
      </w:r>
      <w:r w:rsidR="00E8087F">
        <w:rPr>
          <w:rFonts w:ascii="Arial" w:eastAsia="Arial" w:hAnsi="Arial" w:cs="Arial"/>
          <w:color w:val="000000" w:themeColor="text1"/>
        </w:rPr>
        <w:t>“</w:t>
      </w:r>
      <w:r w:rsidR="36D437A8" w:rsidRPr="00071A9D">
        <w:rPr>
          <w:rFonts w:ascii="Arial" w:eastAsia="Arial" w:hAnsi="Arial" w:cs="Arial"/>
          <w:color w:val="000000" w:themeColor="text1"/>
        </w:rPr>
        <w:t>CT</w:t>
      </w:r>
      <w:r w:rsidR="00E8087F">
        <w:rPr>
          <w:rFonts w:ascii="Arial" w:eastAsia="Arial" w:hAnsi="Arial" w:cs="Arial"/>
          <w:color w:val="000000" w:themeColor="text1"/>
        </w:rPr>
        <w:t>”</w:t>
      </w:r>
      <w:r w:rsidR="36D437A8" w:rsidRPr="00071A9D">
        <w:rPr>
          <w:rFonts w:ascii="Arial" w:eastAsia="Arial" w:hAnsi="Arial" w:cs="Arial"/>
          <w:color w:val="000000" w:themeColor="text1"/>
        </w:rPr>
        <w:t>, iv) capacidad de organización “CO”; y v) los saldos de los contratos en ejecución “SCE”, según la siguiente formula:</w:t>
      </w:r>
    </w:p>
    <w:p w14:paraId="7447E466" w14:textId="1D25E274" w:rsidR="0023745D" w:rsidRPr="00755B9E" w:rsidRDefault="0023745D" w:rsidP="5A55573B">
      <w:pPr>
        <w:spacing w:before="120" w:after="0" w:line="276" w:lineRule="auto"/>
        <w:ind w:firstLine="709"/>
        <w:jc w:val="both"/>
        <w:rPr>
          <w:rFonts w:ascii="Arial" w:hAnsi="Arial" w:cs="Arial"/>
        </w:rPr>
      </w:pPr>
    </w:p>
    <w:p w14:paraId="2D4F04D2" w14:textId="3CA45900" w:rsidR="00E245AB" w:rsidRPr="000730C1" w:rsidRDefault="36D437A8" w:rsidP="00C0042C">
      <w:pPr>
        <w:spacing w:after="120"/>
        <w:ind w:left="709" w:right="709"/>
        <w:jc w:val="both"/>
        <w:rPr>
          <w:rFonts w:ascii="Arial" w:hAnsi="Arial" w:cs="Arial"/>
          <w:i/>
          <w:sz w:val="20"/>
          <w:szCs w:val="20"/>
        </w:rPr>
      </w:pPr>
      <w:r w:rsidRPr="000730C1">
        <w:rPr>
          <w:rFonts w:ascii="Arial" w:eastAsia="Arial" w:hAnsi="Arial" w:cs="Arial"/>
          <w:i/>
          <w:sz w:val="20"/>
          <w:szCs w:val="20"/>
        </w:rPr>
        <w:t xml:space="preserve">Son los contratos que a la fecha de presentación de la oferta obligan al proponente con Entidades Estatales y con entidades privadas para ejecutar obras civiles, incluyendo la ejecución de obras civiles en los contratos de concesión y los contratos de obra suscritos con concesionarios, incluyendo los contratos suspendidos y aquellos que no tengan acta de inicio. No se entenderán como contratos en ejecución los que se encuentren en liquidación. </w:t>
      </w:r>
    </w:p>
    <w:p w14:paraId="17872035" w14:textId="18292B76" w:rsidR="00E245AB" w:rsidRPr="00755B9E" w:rsidRDefault="36D437A8" w:rsidP="5A55573B">
      <w:pPr>
        <w:spacing w:after="0" w:line="276" w:lineRule="auto"/>
        <w:ind w:firstLine="709"/>
        <w:jc w:val="both"/>
        <w:rPr>
          <w:rFonts w:ascii="Arial" w:hAnsi="Arial" w:cs="Arial"/>
          <w:sz w:val="20"/>
          <w:szCs w:val="20"/>
        </w:rPr>
      </w:pPr>
      <w:r w:rsidRPr="00755B9E">
        <w:rPr>
          <w:rFonts w:ascii="Arial" w:eastAsia="Arial" w:hAnsi="Arial" w:cs="Arial"/>
        </w:rPr>
        <w:t xml:space="preserve">En este sentido, los saldos pendientes se derivan de las obligaciones que se encuentran en ejecución al momento de la presentación de la oferta y se refieren a contratos cuyo objeto sea la ejecución de obras civiles. Se aclara que deben tenerse en cuenta los </w:t>
      </w:r>
      <w:r w:rsidRPr="00755B9E">
        <w:rPr>
          <w:rFonts w:ascii="Arial" w:eastAsia="Arial" w:hAnsi="Arial" w:cs="Arial"/>
        </w:rPr>
        <w:lastRenderedPageBreak/>
        <w:t xml:space="preserve">contratos sin acta de inicio, pues el criterio determinante para establecer si un contrato se encuentra en ejecución no lo determina el acta, sino que el mismo contrato obligue al proponente, tal como se establece en la Guía indicada. Además, los saldos pendientes por ejecutar de los contratos afectados por una suspensión constituyen, también, información relevante para calcular la capacidad residual del proponente </w:t>
      </w:r>
      <w:r w:rsidR="001D04A4">
        <w:rPr>
          <w:rFonts w:ascii="Arial" w:eastAsia="Arial" w:hAnsi="Arial" w:cs="Arial"/>
          <w:b/>
          <w:bCs/>
          <w:color w:val="000000" w:themeColor="text1"/>
        </w:rPr>
        <w:t>“</w:t>
      </w:r>
      <w:r w:rsidRPr="00755B9E">
        <w:rPr>
          <w:rFonts w:ascii="Arial" w:eastAsia="Arial" w:hAnsi="Arial" w:cs="Arial"/>
          <w:color w:val="000000" w:themeColor="text1"/>
        </w:rPr>
        <w:t>CRP</w:t>
      </w:r>
      <w:r w:rsidR="00356139">
        <w:rPr>
          <w:rFonts w:ascii="Arial" w:eastAsia="Arial" w:hAnsi="Arial" w:cs="Arial"/>
          <w:b/>
          <w:bCs/>
          <w:color w:val="000000" w:themeColor="text1"/>
        </w:rPr>
        <w:t>”</w:t>
      </w:r>
      <w:r w:rsidRPr="00755B9E">
        <w:rPr>
          <w:rFonts w:ascii="Arial" w:eastAsia="Arial" w:hAnsi="Arial" w:cs="Arial"/>
        </w:rPr>
        <w:t xml:space="preserve">. Lo anterior, en la medida en que la ejecución de los contratos en principio suspendidos puede, eventualmente, afectar la aptitud del oferente para cumplir con el contrato ofertado, razón por la que, ante la posibilidad de que tales contratos se reanuden, la Guía estimó necesario evaluar los saldos pendientes por ejecutar de tales contratos para determinar si el proponente cumple con la capacidad residual requerida. </w:t>
      </w:r>
      <w:r w:rsidRPr="00755B9E">
        <w:rPr>
          <w:rFonts w:ascii="Arial" w:eastAsia="Arial" w:hAnsi="Arial" w:cs="Arial"/>
          <w:lang w:val="es-MX"/>
        </w:rPr>
        <w:t>Por lo demás, en dicha guía también se precisa que:</w:t>
      </w:r>
    </w:p>
    <w:p w14:paraId="7EAD7FC5" w14:textId="1DBAF89A"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sz w:val="24"/>
          <w:szCs w:val="24"/>
          <w:lang w:val="es-MX"/>
        </w:rPr>
        <w:t xml:space="preserve"> </w:t>
      </w:r>
    </w:p>
    <w:p w14:paraId="0E0BF331" w14:textId="554E825F"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rPr>
        <w:t>El cálculo del Saldo de los Contratos en Ejecución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el respectivo contratista. Si el número de días por ejecutar en un contrato es superior a 12 meses, es decir 360 días, el Saldo del Contrato en Ejecución solo tendrá en cuenta la proporción lineal de 12 meses.</w:t>
      </w:r>
    </w:p>
    <w:p w14:paraId="11B93A76" w14:textId="542EB7AB"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sz w:val="20"/>
          <w:szCs w:val="20"/>
          <w:lang w:val="es-MX"/>
        </w:rPr>
        <w:t>[…]</w:t>
      </w:r>
    </w:p>
    <w:p w14:paraId="72566482" w14:textId="6BEACFBE"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i/>
          <w:iCs/>
          <w:sz w:val="20"/>
          <w:szCs w:val="20"/>
        </w:rPr>
        <w:t>Si un contrato se encuentra suspendido, el cálculo del Saldo del Contrato en Ejecución de dicho contrato debe calcularse asumiendo que lo que falta por ejecutar empezará a ejecutarse en la fecha de la presentación de la oferta del Proceso de Contratación</w:t>
      </w:r>
      <w:r w:rsidRPr="000730C1">
        <w:rPr>
          <w:rFonts w:ascii="Arial" w:eastAsia="Arial" w:hAnsi="Arial" w:cs="Arial"/>
          <w:sz w:val="20"/>
          <w:szCs w:val="20"/>
        </w:rPr>
        <w:t>. (Énfasis fuera de texto)</w:t>
      </w:r>
    </w:p>
    <w:p w14:paraId="47C9B4E2" w14:textId="65A9F87B"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sz w:val="24"/>
          <w:szCs w:val="24"/>
        </w:rPr>
        <w:t xml:space="preserve"> </w:t>
      </w:r>
    </w:p>
    <w:p w14:paraId="2061A466" w14:textId="0E1AA3CB" w:rsidR="00E245AB" w:rsidRPr="00755B9E" w:rsidRDefault="36D437A8" w:rsidP="5A55573B">
      <w:pPr>
        <w:spacing w:after="0" w:line="276" w:lineRule="auto"/>
        <w:ind w:firstLine="709"/>
        <w:jc w:val="both"/>
        <w:rPr>
          <w:rFonts w:ascii="Arial" w:hAnsi="Arial" w:cs="Arial"/>
        </w:rPr>
      </w:pPr>
      <w:r w:rsidRPr="00755B9E">
        <w:rPr>
          <w:rFonts w:ascii="Arial" w:eastAsia="Arial" w:hAnsi="Arial" w:cs="Arial"/>
        </w:rPr>
        <w:t xml:space="preserve">De este modo, para acreditar el factor </w:t>
      </w:r>
      <w:r w:rsidRPr="00755B9E">
        <w:rPr>
          <w:rFonts w:ascii="Arial" w:eastAsia="Arial" w:hAnsi="Arial" w:cs="Arial"/>
          <w:color w:val="000000" w:themeColor="text1"/>
          <w:lang w:val="es-MX"/>
        </w:rPr>
        <w:t xml:space="preserve">saldos de los contratos en ejecución </w:t>
      </w:r>
      <w:r w:rsidRPr="00755B9E">
        <w:rPr>
          <w:rFonts w:ascii="Arial" w:eastAsia="Arial" w:hAnsi="Arial" w:cs="Arial"/>
          <w:color w:val="000000" w:themeColor="text1"/>
        </w:rPr>
        <w:t>“SCE”,</w:t>
      </w:r>
      <w:r w:rsidRPr="00755B9E">
        <w:rPr>
          <w:rFonts w:ascii="Arial" w:eastAsia="Arial" w:hAnsi="Arial" w:cs="Arial"/>
        </w:rPr>
        <w:t xml:space="preserve">  como lo establece la Guía, el proponente debe presentar la lista de contratos de obras civiles en ejecución, tanto a nivel nacional como internacional señalando: i) el valor del contrato; ii) el plazo del contrato en meses; iii) la fecha de inicio de las obras objeto del contrato (día, mes, año); iv) si la obra la ejecuta un consorcio, unión temporal o sociedad de propósito especial, junto con el porcentaje de participación del oferente que presenta el certificado; v) si el contrato se encuentra suspendido, y si es así, la fecha de suspensión. Si el proponente no tiene contratos en ejecución, en el certificado debe constar expresamente esa circunstancia. En concordancia con lo anterior, sobre la acreditación del factor </w:t>
      </w:r>
      <w:r w:rsidRPr="00755B9E">
        <w:rPr>
          <w:rFonts w:ascii="Arial" w:eastAsia="Arial" w:hAnsi="Arial" w:cs="Arial"/>
          <w:color w:val="000000" w:themeColor="text1"/>
        </w:rPr>
        <w:t xml:space="preserve">“SCE” </w:t>
      </w:r>
      <w:r w:rsidRPr="00755B9E">
        <w:rPr>
          <w:rFonts w:ascii="Arial" w:eastAsia="Arial" w:hAnsi="Arial" w:cs="Arial"/>
        </w:rPr>
        <w:t>en los documentos tipo de licitación de obra pública para infraestructura de transporte, el literal E del numeral 3.10.2 del documento base señala lo siguiente:</w:t>
      </w:r>
    </w:p>
    <w:p w14:paraId="63CC8DC5" w14:textId="6B8124FB"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sz w:val="24"/>
          <w:szCs w:val="24"/>
        </w:rPr>
        <w:t xml:space="preserve"> </w:t>
      </w:r>
    </w:p>
    <w:p w14:paraId="5E0132A3" w14:textId="721CE276"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rPr>
        <w:t xml:space="preserve">Para acreditar el factor (SCE) el Proponente tendrá en cuenta lo siguiente: </w:t>
      </w:r>
    </w:p>
    <w:p w14:paraId="3E5E1E2F" w14:textId="049873E1" w:rsidR="00E245AB" w:rsidRPr="000730C1" w:rsidRDefault="36D437A8" w:rsidP="00755B9E">
      <w:pPr>
        <w:spacing w:after="0"/>
        <w:ind w:left="709" w:right="709" w:firstLine="709"/>
        <w:jc w:val="both"/>
        <w:rPr>
          <w:rFonts w:ascii="Arial" w:hAnsi="Arial" w:cs="Arial"/>
          <w:sz w:val="20"/>
          <w:szCs w:val="20"/>
        </w:rPr>
      </w:pPr>
      <w:r w:rsidRPr="000730C1">
        <w:rPr>
          <w:rFonts w:ascii="Arial" w:eastAsia="Arial" w:hAnsi="Arial" w:cs="Arial"/>
          <w:sz w:val="20"/>
          <w:szCs w:val="20"/>
        </w:rPr>
        <w:t>[…]</w:t>
      </w:r>
    </w:p>
    <w:p w14:paraId="399ED4A1" w14:textId="1C239E1F" w:rsidR="00E245AB" w:rsidRPr="000730C1" w:rsidRDefault="36D437A8" w:rsidP="00755B9E">
      <w:pPr>
        <w:spacing w:after="0"/>
        <w:ind w:left="709" w:right="709" w:firstLine="709"/>
        <w:jc w:val="both"/>
        <w:rPr>
          <w:rFonts w:ascii="Arial" w:hAnsi="Arial" w:cs="Arial"/>
          <w:sz w:val="20"/>
          <w:szCs w:val="20"/>
        </w:rPr>
      </w:pPr>
      <w:r w:rsidRPr="000730C1">
        <w:rPr>
          <w:rFonts w:ascii="Arial" w:eastAsia="Arial" w:hAnsi="Arial" w:cs="Arial"/>
          <w:sz w:val="20"/>
          <w:szCs w:val="20"/>
        </w:rPr>
        <w:t xml:space="preserve"> </w:t>
      </w:r>
    </w:p>
    <w:p w14:paraId="190B1DD4" w14:textId="7940B4FB" w:rsidR="00E245AB" w:rsidRPr="000730C1" w:rsidRDefault="36D437A8" w:rsidP="00755B9E">
      <w:pPr>
        <w:spacing w:after="0"/>
        <w:ind w:left="709" w:right="709" w:hanging="425"/>
        <w:jc w:val="both"/>
        <w:rPr>
          <w:rFonts w:ascii="Arial" w:hAnsi="Arial" w:cs="Arial"/>
          <w:sz w:val="20"/>
          <w:szCs w:val="20"/>
        </w:rPr>
      </w:pPr>
      <w:r w:rsidRPr="000730C1">
        <w:rPr>
          <w:rFonts w:ascii="Arial" w:eastAsia="Arial" w:hAnsi="Arial" w:cs="Arial"/>
          <w:sz w:val="20"/>
          <w:szCs w:val="20"/>
          <w:lang w:val="es-MX"/>
        </w:rPr>
        <w:lastRenderedPageBreak/>
        <w:t>II.    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p>
    <w:p w14:paraId="664E6B95" w14:textId="14CDE777" w:rsidR="00E245AB" w:rsidRPr="000730C1" w:rsidRDefault="36D437A8" w:rsidP="00755B9E">
      <w:pPr>
        <w:spacing w:after="0"/>
        <w:ind w:left="709" w:right="709" w:hanging="425"/>
        <w:jc w:val="both"/>
        <w:rPr>
          <w:rFonts w:ascii="Arial" w:hAnsi="Arial" w:cs="Arial"/>
          <w:sz w:val="20"/>
          <w:szCs w:val="20"/>
        </w:rPr>
      </w:pPr>
      <w:r w:rsidRPr="000730C1">
        <w:rPr>
          <w:rFonts w:ascii="Arial" w:eastAsia="Arial" w:hAnsi="Arial" w:cs="Arial"/>
          <w:sz w:val="20"/>
          <w:szCs w:val="20"/>
          <w:lang w:val="es-MX"/>
        </w:rPr>
        <w:t>III.  Se tendrán en cuenta los contratos de obras civiles en ejecución suscritos por el proponente o por sociedades, consorcios o uniones temporales en los cuales el proponente tenga participación</w:t>
      </w:r>
    </w:p>
    <w:p w14:paraId="695E7BF9" w14:textId="1544625D" w:rsidR="00E245AB" w:rsidRPr="000730C1" w:rsidRDefault="36D437A8" w:rsidP="00755B9E">
      <w:pPr>
        <w:spacing w:after="0"/>
        <w:ind w:left="709" w:right="709" w:hanging="425"/>
        <w:jc w:val="both"/>
        <w:rPr>
          <w:rFonts w:ascii="Arial" w:hAnsi="Arial" w:cs="Arial"/>
          <w:sz w:val="20"/>
          <w:szCs w:val="20"/>
        </w:rPr>
      </w:pPr>
      <w:r w:rsidRPr="000730C1">
        <w:rPr>
          <w:rFonts w:ascii="Arial" w:eastAsia="Arial" w:hAnsi="Arial" w:cs="Arial"/>
          <w:sz w:val="20"/>
          <w:szCs w:val="20"/>
          <w:lang w:val="es-MX"/>
        </w:rPr>
        <w:t>IV.  Si un contrato se encuentra suspendido, el cálculo del (SCE) de dicho contrato debe efectuarse asumiendo que lo que falta por ejecutar iniciara en la fecha de presentación de la oferta del Proceso de Contratación. Si el contrato está suspendido el Proponente debe informar el saldo pendiente por ejecutar.</w:t>
      </w:r>
      <w:r w:rsidRPr="000730C1">
        <w:rPr>
          <w:rFonts w:ascii="Arial" w:eastAsia="Arial" w:hAnsi="Arial" w:cs="Arial"/>
          <w:i/>
          <w:iCs/>
          <w:sz w:val="20"/>
          <w:szCs w:val="20"/>
          <w:lang w:val="es-MX"/>
        </w:rPr>
        <w:t xml:space="preserve"> </w:t>
      </w:r>
    </w:p>
    <w:p w14:paraId="26BF9CC2" w14:textId="14CC9701" w:rsidR="00E245AB" w:rsidRPr="000730C1" w:rsidRDefault="36D437A8" w:rsidP="00755B9E">
      <w:pPr>
        <w:spacing w:after="0"/>
        <w:ind w:left="709" w:right="709" w:hanging="425"/>
        <w:jc w:val="both"/>
        <w:rPr>
          <w:rFonts w:ascii="Arial" w:hAnsi="Arial" w:cs="Arial"/>
          <w:sz w:val="20"/>
          <w:szCs w:val="20"/>
        </w:rPr>
      </w:pPr>
      <w:r w:rsidRPr="000730C1">
        <w:rPr>
          <w:rFonts w:ascii="Arial" w:eastAsia="Arial" w:hAnsi="Arial" w:cs="Arial"/>
          <w:sz w:val="20"/>
          <w:szCs w:val="20"/>
          <w:lang w:val="es-MX"/>
        </w:rPr>
        <w:t xml:space="preserve">V.  </w:t>
      </w:r>
      <w:r w:rsidRPr="000730C1">
        <w:rPr>
          <w:rFonts w:ascii="Arial" w:eastAsia="Arial" w:hAnsi="Arial" w:cs="Arial"/>
          <w:sz w:val="20"/>
          <w:szCs w:val="20"/>
        </w:rPr>
        <w:t xml:space="preserve">El cálculo del factor (SCE) debe hacerse linealmente calculando una ejecución diaria equivalente al valor del contrato dividido por el plazo del contrato expresado en días. Este resultado se multiplica por el número de días pendientes para cumplir el plazo del contrato y si el contrato es ejecutado por una estructura plural por la participación del Proponente en la respectiva estructura. </w:t>
      </w:r>
    </w:p>
    <w:p w14:paraId="2714EA37" w14:textId="72206E76" w:rsidR="00E245AB" w:rsidRPr="00755B9E" w:rsidRDefault="36D437A8" w:rsidP="5A55573B">
      <w:pPr>
        <w:spacing w:after="0" w:line="276" w:lineRule="auto"/>
        <w:jc w:val="both"/>
        <w:rPr>
          <w:rFonts w:ascii="Arial" w:hAnsi="Arial" w:cs="Arial"/>
        </w:rPr>
      </w:pPr>
      <w:r w:rsidRPr="00071A9D">
        <w:rPr>
          <w:rFonts w:ascii="Arial" w:eastAsia="Arial" w:hAnsi="Arial" w:cs="Arial"/>
          <w:sz w:val="24"/>
          <w:szCs w:val="24"/>
          <w:lang w:val="es-MX"/>
        </w:rPr>
        <w:t xml:space="preserve"> </w:t>
      </w:r>
    </w:p>
    <w:p w14:paraId="59503785" w14:textId="0CB1387B" w:rsidR="00E245AB" w:rsidRPr="00755B9E" w:rsidRDefault="36D437A8" w:rsidP="5A55573B">
      <w:pPr>
        <w:spacing w:after="0" w:line="276" w:lineRule="auto"/>
        <w:ind w:firstLine="708"/>
        <w:jc w:val="both"/>
        <w:rPr>
          <w:rFonts w:ascii="Arial" w:hAnsi="Arial" w:cs="Arial"/>
          <w:sz w:val="20"/>
          <w:szCs w:val="20"/>
        </w:rPr>
      </w:pPr>
      <w:r w:rsidRPr="00755B9E">
        <w:rPr>
          <w:rFonts w:ascii="Arial" w:eastAsia="Arial" w:hAnsi="Arial" w:cs="Arial"/>
        </w:rPr>
        <w:t xml:space="preserve">Como se aprecia, los apartados transcritos del documento base están en armonía con lo dispuesto en la Guía para Determinar y Verificar la Capacidad Residual del Proponente en los Procesos de Contratación de Obra Pública, y se refieren a los contratos de obras civiles en ejecución, incluyendo a los contratos suspendidos y los que no tienen acta de inicio. Lo expuesto es congruente con </w:t>
      </w:r>
      <w:r w:rsidRPr="00755B9E">
        <w:rPr>
          <w:rFonts w:ascii="Arial" w:eastAsia="Arial" w:hAnsi="Arial" w:cs="Arial"/>
          <w:color w:val="000000" w:themeColor="text1"/>
          <w:lang w:val="es-MX"/>
        </w:rPr>
        <w:t xml:space="preserve">el artículo 2.2.1.1.1.6.4 del Decreto 1082 de 2015, en virtud del cual, para efectos de </w:t>
      </w:r>
      <w:r w:rsidRPr="00755B9E">
        <w:rPr>
          <w:rFonts w:ascii="Arial" w:eastAsia="Arial" w:hAnsi="Arial" w:cs="Arial"/>
          <w:lang w:val="es-MX"/>
        </w:rPr>
        <w:t xml:space="preserve">acreditar la capacidad residual del proponente, se requiere el listado de contratos de obra civiles en ejecución suscritos con entidades estatales y con entidades privadas. </w:t>
      </w:r>
    </w:p>
    <w:p w14:paraId="04AE6CE6" w14:textId="282BA612" w:rsidR="00E245AB" w:rsidRPr="00755B9E" w:rsidRDefault="00E245AB" w:rsidP="5A55573B">
      <w:pPr>
        <w:spacing w:after="0" w:line="276" w:lineRule="auto"/>
        <w:jc w:val="both"/>
        <w:rPr>
          <w:rFonts w:ascii="Arial" w:hAnsi="Arial" w:cs="Arial"/>
        </w:rPr>
      </w:pPr>
    </w:p>
    <w:p w14:paraId="6E1D97E7" w14:textId="7825BB52" w:rsidR="00E245AB" w:rsidRPr="00755B9E" w:rsidRDefault="36D437A8" w:rsidP="00755B9E">
      <w:pPr>
        <w:spacing w:after="0" w:line="276" w:lineRule="auto"/>
        <w:jc w:val="both"/>
        <w:rPr>
          <w:rFonts w:ascii="Arial" w:hAnsi="Arial" w:cs="Arial"/>
        </w:rPr>
      </w:pPr>
      <w:r w:rsidRPr="0F52091B">
        <w:rPr>
          <w:rFonts w:ascii="Arial" w:eastAsia="Arial" w:hAnsi="Arial" w:cs="Arial"/>
          <w:b/>
          <w:bCs/>
        </w:rPr>
        <w:t xml:space="preserve">2.2. </w:t>
      </w:r>
      <w:r w:rsidRPr="0F52091B">
        <w:rPr>
          <w:rFonts w:ascii="Arial" w:eastAsia="Arial" w:hAnsi="Arial" w:cs="Arial"/>
          <w:b/>
          <w:bCs/>
          <w:color w:val="000000" w:themeColor="text1"/>
        </w:rPr>
        <w:t xml:space="preserve">Capacidad residual y rechazo de la oferta en los documentos tipo de obra para procesos de </w:t>
      </w:r>
      <w:r w:rsidR="00B55AC4" w:rsidRPr="0F52091B">
        <w:rPr>
          <w:rFonts w:ascii="Arial" w:eastAsia="Arial" w:hAnsi="Arial" w:cs="Arial"/>
          <w:b/>
          <w:bCs/>
          <w:color w:val="000000" w:themeColor="text1"/>
        </w:rPr>
        <w:t>licitación</w:t>
      </w:r>
      <w:r w:rsidRPr="0F52091B">
        <w:rPr>
          <w:rFonts w:ascii="Arial" w:eastAsia="Arial" w:hAnsi="Arial" w:cs="Arial"/>
          <w:b/>
          <w:bCs/>
          <w:color w:val="000000" w:themeColor="text1"/>
        </w:rPr>
        <w:t xml:space="preserve"> </w:t>
      </w:r>
      <w:r w:rsidR="00335258" w:rsidRPr="0F52091B">
        <w:rPr>
          <w:rFonts w:ascii="Arial" w:eastAsia="Arial" w:hAnsi="Arial" w:cs="Arial"/>
          <w:b/>
          <w:bCs/>
          <w:color w:val="000000" w:themeColor="text1"/>
        </w:rPr>
        <w:t>pública</w:t>
      </w:r>
      <w:r w:rsidRPr="0F52091B">
        <w:rPr>
          <w:rFonts w:ascii="Arial" w:eastAsia="Arial" w:hAnsi="Arial" w:cs="Arial"/>
          <w:b/>
          <w:bCs/>
          <w:color w:val="000000" w:themeColor="text1"/>
        </w:rPr>
        <w:t xml:space="preserve"> de infraestructura de transporte</w:t>
      </w:r>
    </w:p>
    <w:p w14:paraId="50005BEA" w14:textId="0652EC31" w:rsidR="00E245AB" w:rsidRPr="00755B9E" w:rsidRDefault="36D437A8" w:rsidP="5A55573B">
      <w:pPr>
        <w:spacing w:after="0" w:line="276" w:lineRule="auto"/>
        <w:jc w:val="both"/>
        <w:rPr>
          <w:rFonts w:ascii="Arial" w:hAnsi="Arial" w:cs="Arial"/>
        </w:rPr>
      </w:pPr>
      <w:r w:rsidRPr="0F52091B">
        <w:rPr>
          <w:rFonts w:ascii="Arial" w:eastAsia="Arial" w:hAnsi="Arial" w:cs="Arial"/>
          <w:b/>
          <w:bCs/>
          <w:lang w:val="es"/>
        </w:rPr>
        <w:t xml:space="preserve"> </w:t>
      </w:r>
    </w:p>
    <w:p w14:paraId="090E7C9C" w14:textId="30204357" w:rsidR="00E245AB" w:rsidRDefault="36D437A8" w:rsidP="5A55573B">
      <w:pPr>
        <w:tabs>
          <w:tab w:val="left" w:pos="426"/>
        </w:tabs>
        <w:spacing w:after="0" w:line="276" w:lineRule="auto"/>
        <w:jc w:val="both"/>
        <w:rPr>
          <w:rFonts w:ascii="Arial" w:eastAsia="Arial" w:hAnsi="Arial" w:cs="Arial"/>
          <w:lang w:val="es-MX"/>
        </w:rPr>
      </w:pPr>
      <w:r w:rsidRPr="00071A9D">
        <w:rPr>
          <w:rFonts w:ascii="Arial" w:eastAsia="Arial" w:hAnsi="Arial" w:cs="Arial"/>
          <w:lang w:val="es-MX"/>
        </w:rPr>
        <w:t xml:space="preserve">El numeral 3.10 del documento base de obra de infraestructura de transporte para procesos de licitación pública – Versión 3–, establece </w:t>
      </w:r>
      <w:r w:rsidRPr="00071A9D">
        <w:rPr>
          <w:rFonts w:ascii="Arial" w:eastAsia="Arial" w:hAnsi="Arial" w:cs="Arial"/>
        </w:rPr>
        <w:t xml:space="preserve">como requisito habilitante la capacidad residual. En este documento tipo, </w:t>
      </w:r>
      <w:r w:rsidRPr="00071A9D">
        <w:rPr>
          <w:rFonts w:ascii="Arial" w:eastAsia="Arial" w:hAnsi="Arial" w:cs="Arial"/>
          <w:lang w:val="es-MX"/>
        </w:rPr>
        <w:t>al menos tres causales de rechazo del numeral 1.15 se relacionan con la capacidad residual como requisito habilitante, esto es, los literales E, H y Z. Estas causales disponen lo siguiente:</w:t>
      </w:r>
    </w:p>
    <w:p w14:paraId="641733F3" w14:textId="26F2C552" w:rsidR="00E245AB" w:rsidRPr="00755B9E" w:rsidRDefault="36D437A8" w:rsidP="5A55573B">
      <w:pPr>
        <w:spacing w:after="0"/>
        <w:jc w:val="both"/>
        <w:rPr>
          <w:rFonts w:ascii="Arial" w:hAnsi="Arial" w:cs="Arial"/>
        </w:rPr>
      </w:pPr>
      <w:r w:rsidRPr="00071A9D">
        <w:rPr>
          <w:rFonts w:ascii="Arial" w:eastAsia="Arial" w:hAnsi="Arial" w:cs="Arial"/>
          <w:b/>
          <w:bCs/>
        </w:rPr>
        <w:t xml:space="preserve"> </w:t>
      </w:r>
    </w:p>
    <w:p w14:paraId="73050BB6" w14:textId="05CB09FF"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b/>
          <w:bCs/>
          <w:sz w:val="20"/>
          <w:szCs w:val="20"/>
          <w:lang w:val="es-MX"/>
        </w:rPr>
        <w:t>1.15.</w:t>
      </w:r>
      <w:r w:rsidR="00E245AB" w:rsidRPr="000730C1">
        <w:rPr>
          <w:rFonts w:ascii="Arial" w:hAnsi="Arial" w:cs="Arial"/>
          <w:sz w:val="20"/>
          <w:szCs w:val="20"/>
        </w:rPr>
        <w:tab/>
      </w:r>
      <w:r w:rsidRPr="000730C1">
        <w:rPr>
          <w:rFonts w:ascii="Arial" w:eastAsia="Arial" w:hAnsi="Arial" w:cs="Arial"/>
          <w:b/>
          <w:bCs/>
          <w:sz w:val="20"/>
          <w:szCs w:val="20"/>
          <w:lang w:val="es-MX"/>
        </w:rPr>
        <w:t xml:space="preserve">CAUSALES DE RECHAZO </w:t>
      </w:r>
    </w:p>
    <w:p w14:paraId="447DCCDA" w14:textId="17447E5A"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b/>
          <w:bCs/>
          <w:sz w:val="20"/>
          <w:szCs w:val="20"/>
          <w:lang w:val="es-MX"/>
        </w:rPr>
        <w:t xml:space="preserve"> </w:t>
      </w:r>
    </w:p>
    <w:p w14:paraId="115949A6" w14:textId="4C02EBB9"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lang w:val="es-MX"/>
        </w:rPr>
        <w:t>Son causales de rechazo de las propuestas las siguientes [Las entidades no podrán incluir causales de rechazo distintas a las señaladas en la presente sección]:</w:t>
      </w:r>
    </w:p>
    <w:p w14:paraId="0994B733" w14:textId="6001B22F"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sz w:val="20"/>
          <w:szCs w:val="20"/>
          <w:lang w:val="es-MX"/>
        </w:rPr>
        <w:t>[…]</w:t>
      </w:r>
    </w:p>
    <w:p w14:paraId="273C7071" w14:textId="7D1E6DEA"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lang w:val="es-MX"/>
        </w:rPr>
        <w:lastRenderedPageBreak/>
        <w:t>E. Que el proponente no aclare, subsane o aporte documentos necesarios para cumplir un requisito habilitante o aportándolos no lo haga de forma correcta, en los términos establecidos en la sección 1.6.</w:t>
      </w:r>
    </w:p>
    <w:p w14:paraId="05A5BF15" w14:textId="30256D1B"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lang w:val="es-MX"/>
        </w:rPr>
        <w:t>[…]</w:t>
      </w:r>
    </w:p>
    <w:p w14:paraId="046AFFB6" w14:textId="0AC9689E" w:rsidR="00E245AB" w:rsidRPr="000730C1" w:rsidRDefault="36D437A8" w:rsidP="00755B9E">
      <w:pPr>
        <w:spacing w:before="120" w:after="0"/>
        <w:ind w:left="709" w:right="709"/>
        <w:jc w:val="both"/>
        <w:rPr>
          <w:rFonts w:ascii="Arial" w:hAnsi="Arial" w:cs="Arial"/>
          <w:sz w:val="20"/>
          <w:szCs w:val="20"/>
        </w:rPr>
      </w:pPr>
      <w:r w:rsidRPr="000730C1">
        <w:rPr>
          <w:rFonts w:ascii="Arial" w:eastAsia="Arial" w:hAnsi="Arial" w:cs="Arial"/>
          <w:sz w:val="20"/>
          <w:szCs w:val="20"/>
          <w:lang w:val="es-MX"/>
        </w:rPr>
        <w:t>H. Que el Proponente aporte información inexacta sobre la cual pueda existir una posible falsedad en los términos de la sección 1.11.</w:t>
      </w:r>
    </w:p>
    <w:p w14:paraId="1D6BE0D4" w14:textId="08012472"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sz w:val="20"/>
          <w:szCs w:val="20"/>
          <w:lang w:val="es-MX"/>
        </w:rPr>
        <w:t>[…]</w:t>
      </w:r>
    </w:p>
    <w:p w14:paraId="219D0B1E" w14:textId="71CD6AFC"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lang w:val="es-MX"/>
        </w:rPr>
        <w:t>Z. No informar todos los contratos que el Proponente tenga en ejecución antes del cierre, necesarios para acreditar su capacidad residual conforme a la sección 3.10.</w:t>
      </w:r>
    </w:p>
    <w:p w14:paraId="2AD42875" w14:textId="0838BC7C" w:rsidR="00E245AB" w:rsidRPr="00755B9E" w:rsidRDefault="36D437A8" w:rsidP="5A55573B">
      <w:pPr>
        <w:spacing w:after="0"/>
        <w:jc w:val="both"/>
        <w:rPr>
          <w:rFonts w:ascii="Arial" w:hAnsi="Arial" w:cs="Arial"/>
        </w:rPr>
      </w:pPr>
      <w:r w:rsidRPr="00071A9D">
        <w:rPr>
          <w:rFonts w:ascii="Arial" w:eastAsia="Arial" w:hAnsi="Arial" w:cs="Arial"/>
          <w:sz w:val="24"/>
          <w:szCs w:val="24"/>
          <w:lang w:val="es-MX"/>
        </w:rPr>
        <w:t xml:space="preserve"> </w:t>
      </w:r>
    </w:p>
    <w:p w14:paraId="7D9FACC5" w14:textId="00145EB7" w:rsidR="00E245AB" w:rsidRPr="00755B9E" w:rsidRDefault="36D437A8" w:rsidP="5A55573B">
      <w:pPr>
        <w:spacing w:after="0" w:line="276" w:lineRule="auto"/>
        <w:ind w:firstLine="708"/>
        <w:jc w:val="both"/>
        <w:rPr>
          <w:rFonts w:ascii="Arial" w:hAnsi="Arial" w:cs="Arial"/>
        </w:rPr>
      </w:pPr>
      <w:r w:rsidRPr="00071A9D">
        <w:rPr>
          <w:rFonts w:ascii="Arial" w:eastAsia="Arial" w:hAnsi="Arial" w:cs="Arial"/>
          <w:lang w:val="es-MX"/>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02F1FA6D" w14:textId="61CDEBA8" w:rsidR="00E245AB" w:rsidRPr="00755B9E" w:rsidRDefault="36D437A8" w:rsidP="5A55573B">
      <w:pPr>
        <w:spacing w:before="120" w:after="0" w:line="276" w:lineRule="auto"/>
        <w:ind w:firstLine="708"/>
        <w:jc w:val="both"/>
        <w:rPr>
          <w:rFonts w:ascii="Arial" w:hAnsi="Arial" w:cs="Arial"/>
        </w:rPr>
      </w:pPr>
      <w:r w:rsidRPr="00071A9D">
        <w:rPr>
          <w:rFonts w:ascii="Arial" w:eastAsia="Arial" w:hAnsi="Arial" w:cs="Arial"/>
          <w:i/>
          <w:iCs/>
          <w:lang w:val="es-MX"/>
        </w:rPr>
        <w:t>i)</w:t>
      </w:r>
      <w:r w:rsidRPr="00071A9D">
        <w:rPr>
          <w:rFonts w:ascii="Arial" w:eastAsia="Arial" w:hAnsi="Arial" w:cs="Arial"/>
          <w:lang w:val="es-MX"/>
        </w:rPr>
        <w:t xml:space="preserve"> La causal del literal Z del numeral 1.15 solamente aplica cuando el proponente no informa todos los contratos que tiene en ejecución antes del cierre. Esto se traduce en un deber de cumplir con esta exigencia, sin tener en cuenta la 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Z es objetiva, pues solo aplica ante la omisión del proponente de informar el número total de contratos en ejecución antes del cierre.</w:t>
      </w:r>
    </w:p>
    <w:p w14:paraId="66555BD4" w14:textId="658E4EE8" w:rsidR="00E245AB" w:rsidRPr="00755B9E" w:rsidRDefault="36D437A8" w:rsidP="5A55573B">
      <w:pPr>
        <w:spacing w:before="120" w:after="0" w:line="276" w:lineRule="auto"/>
        <w:ind w:firstLine="708"/>
        <w:jc w:val="both"/>
        <w:rPr>
          <w:rFonts w:ascii="Arial" w:hAnsi="Arial" w:cs="Arial"/>
        </w:rPr>
      </w:pPr>
      <w:r w:rsidRPr="00071A9D">
        <w:rPr>
          <w:rFonts w:ascii="Arial" w:eastAsia="Arial" w:hAnsi="Arial" w:cs="Arial"/>
          <w:i/>
          <w:iCs/>
          <w:lang w:val="es-MX"/>
        </w:rPr>
        <w:t xml:space="preserve">ii) </w:t>
      </w:r>
      <w:r w:rsidRPr="00071A9D">
        <w:rPr>
          <w:rFonts w:ascii="Arial" w:eastAsia="Arial" w:hAnsi="Arial" w:cs="Arial"/>
          <w:lang w:val="es-MX"/>
        </w:rPr>
        <w:t xml:space="preserve">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31650564" w14:textId="54DFE09E" w:rsidR="00E245AB" w:rsidRPr="00755B9E" w:rsidRDefault="36D437A8" w:rsidP="5A55573B">
      <w:pPr>
        <w:spacing w:before="120" w:after="0" w:line="276" w:lineRule="auto"/>
        <w:ind w:firstLine="708"/>
        <w:jc w:val="both"/>
        <w:rPr>
          <w:rFonts w:ascii="Arial" w:hAnsi="Arial" w:cs="Arial"/>
        </w:rPr>
      </w:pPr>
      <w:r w:rsidRPr="00071A9D">
        <w:rPr>
          <w:rFonts w:ascii="Arial" w:eastAsia="Arial" w:hAnsi="Arial" w:cs="Arial"/>
          <w:i/>
          <w:iCs/>
          <w:lang w:val="es-MX"/>
        </w:rPr>
        <w:t xml:space="preserve">iii) </w:t>
      </w:r>
      <w:r w:rsidRPr="00071A9D">
        <w:rPr>
          <w:rFonts w:ascii="Arial" w:eastAsia="Arial" w:hAnsi="Arial" w:cs="Arial"/>
          <w:lang w:val="es-MX"/>
        </w:rPr>
        <w:t xml:space="preserve">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 </w:t>
      </w:r>
    </w:p>
    <w:p w14:paraId="1CB3D27D" w14:textId="72F1DC9F" w:rsidR="00E245AB" w:rsidRPr="00755B9E" w:rsidRDefault="36D437A8" w:rsidP="5A55573B">
      <w:pPr>
        <w:spacing w:after="0" w:line="276" w:lineRule="auto"/>
        <w:jc w:val="both"/>
        <w:rPr>
          <w:rFonts w:ascii="Arial" w:hAnsi="Arial" w:cs="Arial"/>
        </w:rPr>
      </w:pPr>
      <w:r w:rsidRPr="00071A9D">
        <w:rPr>
          <w:rFonts w:ascii="Arial" w:eastAsia="Arial" w:hAnsi="Arial" w:cs="Arial"/>
          <w:lang w:val="es-MX"/>
        </w:rPr>
        <w:t xml:space="preserve"> </w:t>
      </w:r>
    </w:p>
    <w:p w14:paraId="196F14BA" w14:textId="33D9A977"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b/>
          <w:bCs/>
          <w:sz w:val="20"/>
          <w:szCs w:val="20"/>
        </w:rPr>
        <w:t xml:space="preserve">1.11 INFORMACIÓN INEXACTA </w:t>
      </w:r>
    </w:p>
    <w:p w14:paraId="2A37FB9B" w14:textId="06EC9BE4"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sz w:val="20"/>
          <w:szCs w:val="20"/>
        </w:rPr>
        <w:lastRenderedPageBreak/>
        <w:t xml:space="preserve">La Entidad se reserva el derecho de verificar integralmente la información aportada por el Proponente. Para esto, puede acudir a las autoridades, personas, empresas o entidades respectivas. </w:t>
      </w:r>
    </w:p>
    <w:p w14:paraId="43C6A8A3" w14:textId="3CAF03D1" w:rsidR="00E245AB" w:rsidRPr="000730C1" w:rsidRDefault="36D437A8" w:rsidP="00755B9E">
      <w:pPr>
        <w:spacing w:after="120"/>
        <w:ind w:left="709" w:right="709"/>
        <w:jc w:val="both"/>
        <w:rPr>
          <w:rFonts w:ascii="Arial" w:hAnsi="Arial" w:cs="Arial"/>
          <w:sz w:val="20"/>
          <w:szCs w:val="20"/>
        </w:rPr>
      </w:pPr>
      <w:r w:rsidRPr="000730C1">
        <w:rPr>
          <w:rFonts w:ascii="Arial" w:eastAsia="Arial" w:hAnsi="Arial" w:cs="Arial"/>
          <w:sz w:val="20"/>
          <w:szCs w:val="20"/>
        </w:rPr>
        <w:t xml:space="preserve">Cuando exista inconsistencia entre la información suministrada por el Proponente y la efectivamente verificada por la Entidad, la información que pretende demostrar el Proponente se tendrá por no acreditada. </w:t>
      </w:r>
    </w:p>
    <w:p w14:paraId="1531A91A" w14:textId="0D2783A8" w:rsidR="00E245AB" w:rsidRPr="000730C1" w:rsidRDefault="36D437A8" w:rsidP="00755B9E">
      <w:pPr>
        <w:spacing w:after="0"/>
        <w:ind w:left="709" w:right="709"/>
        <w:jc w:val="both"/>
        <w:rPr>
          <w:rFonts w:ascii="Arial" w:hAnsi="Arial" w:cs="Arial"/>
          <w:sz w:val="20"/>
          <w:szCs w:val="20"/>
        </w:rPr>
      </w:pPr>
      <w:r w:rsidRPr="000730C1">
        <w:rPr>
          <w:rFonts w:ascii="Arial" w:eastAsia="Arial" w:hAnsi="Arial" w:cs="Arial"/>
          <w:sz w:val="20"/>
          <w:szCs w:val="20"/>
        </w:rPr>
        <w:t xml:space="preserve">La Entidad compulsará copias a las autoridades competentes en aquellos eventos en los cuales la información aportada tenga inconsistencias sobre las cuales pueda existir una presunta falsedad, sin que el Proponente haya demostrado lo contrario, y procederá a rechazar la oferta. </w:t>
      </w:r>
    </w:p>
    <w:p w14:paraId="385FBC9A" w14:textId="20B9D705" w:rsidR="00E245AB" w:rsidRPr="00755B9E" w:rsidRDefault="36D437A8" w:rsidP="5A55573B">
      <w:pPr>
        <w:spacing w:after="0" w:line="276" w:lineRule="auto"/>
        <w:jc w:val="both"/>
        <w:rPr>
          <w:rFonts w:ascii="Arial" w:hAnsi="Arial" w:cs="Arial"/>
        </w:rPr>
      </w:pPr>
      <w:r w:rsidRPr="00071A9D">
        <w:rPr>
          <w:rFonts w:ascii="Arial" w:eastAsia="Arial" w:hAnsi="Arial" w:cs="Arial"/>
          <w:sz w:val="24"/>
          <w:szCs w:val="24"/>
        </w:rPr>
        <w:t xml:space="preserve"> </w:t>
      </w:r>
    </w:p>
    <w:p w14:paraId="3AAA44A1" w14:textId="519E0731"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rPr>
        <w:t>Este numeral faculta a la entidad estatal para verificar la información aportada, para lo cual podrá acudir a las autoridades, personas, empresas o entidades que estén en posición de otorgar la información. No obstante, tal verificación es potestativa, no obligatoria, pues los procedimientos de selección exigen que los proponentes actúen conforme al principio de la buena fe, “que se debe manifestar en la presentación completa y veraz de la información que constituye su oferta, así como la lealtad y comportamiento adecuado frente a la entidad estatal y los demás proponentes durante las diferentes etapas del procedimiento de contratación”</w:t>
      </w:r>
      <w:r w:rsidR="0098621A">
        <w:rPr>
          <w:rStyle w:val="Refdenotaalpie"/>
          <w:rFonts w:ascii="Arial" w:eastAsia="Arial" w:hAnsi="Arial" w:cs="Arial"/>
        </w:rPr>
        <w:footnoteReference w:id="6"/>
      </w:r>
      <w:r w:rsidRPr="00071A9D">
        <w:rPr>
          <w:rFonts w:ascii="Arial" w:eastAsia="Arial" w:hAnsi="Arial" w:cs="Arial"/>
        </w:rPr>
        <w:t>. Conforme a ello, la prerrogativa de verificación es una herramienta para que la Administración adquiera certeza en el cumplimiento de los requisitos del procedimiento de selección y del comportamiento leal que se exige a los proponentes.</w:t>
      </w:r>
    </w:p>
    <w:p w14:paraId="0819A383" w14:textId="02E05166" w:rsidR="00E245AB" w:rsidRPr="00755B9E" w:rsidRDefault="36D437A8" w:rsidP="5A55573B">
      <w:pPr>
        <w:spacing w:before="120" w:after="0" w:line="276" w:lineRule="auto"/>
        <w:ind w:firstLine="708"/>
        <w:jc w:val="both"/>
        <w:rPr>
          <w:rFonts w:ascii="Arial" w:hAnsi="Arial" w:cs="Arial"/>
        </w:rPr>
      </w:pPr>
      <w:r w:rsidRPr="00071A9D">
        <w:rPr>
          <w:rFonts w:ascii="Arial" w:eastAsia="Arial" w:hAnsi="Arial" w:cs="Arial"/>
        </w:rPr>
        <w:t>Según</w:t>
      </w:r>
      <w:r w:rsidRPr="00071A9D">
        <w:rPr>
          <w:rFonts w:ascii="Arial" w:eastAsia="Arial" w:hAnsi="Arial" w:cs="Arial"/>
          <w:lang w:val="es-MX"/>
        </w:rPr>
        <w:t xml:space="preserve"> lo expuesto por esta Agencia en el concepto con radicado 2201913000008148 del 30 de octubre de 2019, la inexactitud –en el contexto de los “Documentos Tipo”– se entiende como “la disparidad, imprecisión, disconformidad o falta de precisión que se da de una información a otra”. En este sentido, “[…] se habla de inexactitud cuando la información que aporta el proponente no concuerda con la que verifica la entidad, lo cual lleva a que esta información se entienda como no acreditada”.</w:t>
      </w:r>
    </w:p>
    <w:p w14:paraId="4EA3C4C3" w14:textId="2FB4B6AB" w:rsidR="00E245AB" w:rsidRPr="00755B9E" w:rsidRDefault="36D437A8" w:rsidP="5A55573B">
      <w:pPr>
        <w:spacing w:before="120" w:after="0" w:line="276" w:lineRule="auto"/>
        <w:ind w:firstLine="709"/>
        <w:jc w:val="both"/>
        <w:rPr>
          <w:rFonts w:ascii="Arial" w:hAnsi="Arial" w:cs="Arial"/>
        </w:rPr>
      </w:pPr>
      <w:r w:rsidRPr="00071A9D">
        <w:rPr>
          <w:rFonts w:ascii="Arial" w:eastAsia="Arial" w:hAnsi="Arial" w:cs="Arial"/>
          <w:lang w:val="es-MX"/>
        </w:rPr>
        <w:t xml:space="preserve">La </w:t>
      </w:r>
      <w:r w:rsidRPr="00071A9D">
        <w:rPr>
          <w:rFonts w:ascii="Arial" w:eastAsia="Arial" w:hAnsi="Arial" w:cs="Arial"/>
        </w:rPr>
        <w:t xml:space="preserve">regla de verificación de la información prevista en el numeral 1.11 dispone dos supuestos, con consecuencias diferentes: el primero, señala que una vez verificada la información y evidenciada la inconsistencia, la entidad estatal la tendrá por no acreditada. Por ejemplo, cuando se presente una certificación de experiencia, y ante las observaciones recibidas en el traslado del informe de evaluación se verifique con la entidad contratante que las emitió, que no es acorde con el objeto contractual ejecutado, la entidad que adelanta el proceso de contratación, ante la duda, no tendrá en cuenta la certificación para evaluar la experiencia, sin perjuicio de que el proponente cumpla con este requisito con los demás certificados que aporte. En este evento, se trata de inconsistencias que, aunque no se superan por la ausencia de otro medio probatorio, no tienen la connotación de falsedad. </w:t>
      </w:r>
    </w:p>
    <w:p w14:paraId="48B8ACDC" w14:textId="45A57244" w:rsidR="00E245AB" w:rsidRPr="00755B9E" w:rsidRDefault="36D437A8" w:rsidP="5A55573B">
      <w:pPr>
        <w:spacing w:before="120" w:after="0" w:line="276" w:lineRule="auto"/>
        <w:ind w:firstLine="709"/>
        <w:jc w:val="both"/>
        <w:rPr>
          <w:rFonts w:ascii="Arial" w:hAnsi="Arial" w:cs="Arial"/>
        </w:rPr>
      </w:pPr>
      <w:r w:rsidRPr="00071A9D">
        <w:rPr>
          <w:rFonts w:ascii="Arial" w:eastAsia="Arial" w:hAnsi="Arial" w:cs="Arial"/>
        </w:rPr>
        <w:lastRenderedPageBreak/>
        <w:t xml:space="preserve">El segundo evento se configura cuando de la verificación se corrobora que las inconsistencias obedecerían a una presunta falsedad no desvirtuada por el proponente, caso en el cual se rechaza la oferta y se informa a las autoridades correspondientes. Siguiendo con el ejemplo propuesto de la certificación de experiencia, la entidad que adelanta el procedimiento de selección, al comunicarse con la entidad para quien se ejecutó el contrato a acreditar, le informan que la certificación aportada por el proponente no fue expedida por esta, por cuanto ese objeto no fue ejecutado ni contratado. En este supuesto, cuando la entidad tiene el suficiente convencimiento de la existencia de la presunta falsedad, y luego de dar la oportunidad para que el proponente se manifieste, es procedente rechazar la oferta y compulsar copias a las autoridades competentes, quienes adelantarán las respectivas investigaciones. </w:t>
      </w:r>
    </w:p>
    <w:p w14:paraId="02A54B3D" w14:textId="0AD2B37E" w:rsidR="00E245AB" w:rsidRPr="00755B9E" w:rsidRDefault="36D437A8" w:rsidP="5A55573B">
      <w:pPr>
        <w:spacing w:before="120" w:after="120" w:line="276" w:lineRule="auto"/>
        <w:ind w:firstLine="708"/>
        <w:jc w:val="both"/>
        <w:rPr>
          <w:rFonts w:ascii="Arial" w:hAnsi="Arial" w:cs="Arial"/>
        </w:rPr>
      </w:pPr>
      <w:r w:rsidRPr="00071A9D">
        <w:rPr>
          <w:rFonts w:ascii="Arial" w:eastAsia="Arial" w:hAnsi="Arial" w:cs="Arial"/>
        </w:rPr>
        <w:t xml:space="preserve">Ahora bien, aunque las causales de rechazo del literal E, H y Z del numeral 1.15 de los documentos tipo se relacionan con la capacidad residual como requisito habilitante, estas se aplican en supuestos diferentes, de acuerdo con lo explicado </w:t>
      </w:r>
      <w:r w:rsidRPr="00071A9D">
        <w:rPr>
          <w:rFonts w:ascii="Arial" w:eastAsia="Arial" w:hAnsi="Arial" w:cs="Arial"/>
          <w:i/>
          <w:iCs/>
        </w:rPr>
        <w:t>ut supra</w:t>
      </w:r>
      <w:r w:rsidRPr="00071A9D">
        <w:rPr>
          <w:rFonts w:ascii="Arial" w:eastAsia="Arial" w:hAnsi="Arial" w:cs="Arial"/>
        </w:rPr>
        <w:t>. De esta manera, la causal del literal H se produce si, por ejemplo, el proponente informó todos los contratos en ejecución, pero advierte que la información es inexacta y, además, que sobre la misma puede “existir una posible falsedad”. A título ilustrativo, podría pensarse en un contrato que se aportó y frente al cual la entidad advierte la falsificación de una de las firmas del documento. Por su parte, la causal del literal Z se presenta cuando el proponente deja de informar la totalidad de los contratos que tiene en ejecución antes del cierre o no reporta la información de los contratos exigida en el documento base. Siguiendo con el ejemplo, el supuesto de hecho se presenta si el proponente, teniendo tres contratos de obra en ejecución antes del cierre, no informa la totalidad de estos.</w:t>
      </w:r>
    </w:p>
    <w:p w14:paraId="0820C4A9" w14:textId="31814629" w:rsidR="00E245AB" w:rsidRPr="00755B9E" w:rsidRDefault="36D437A8" w:rsidP="5A55573B">
      <w:pPr>
        <w:spacing w:before="120" w:after="120" w:line="276" w:lineRule="auto"/>
        <w:ind w:firstLine="708"/>
        <w:jc w:val="both"/>
        <w:rPr>
          <w:rFonts w:ascii="Arial" w:hAnsi="Arial" w:cs="Arial"/>
        </w:rPr>
      </w:pPr>
      <w:r w:rsidRPr="00071A9D">
        <w:rPr>
          <w:rFonts w:ascii="Arial" w:eastAsia="Arial" w:hAnsi="Arial" w:cs="Arial"/>
        </w:rPr>
        <w:t>Finalmente, esta distinción también se proyecta sobre las reglas de subsanabilidad de las ofertas de la Ley 1150 de 2007, pues solo habrá lugar a subsanar en los eventos en los que el proponente omite información sobre los contratos informados, esto es, en el evento de la causal del literal E. Dicho de otra forma, no se puede subsanar cuando se incurre en las causales H y Z, eventos en los cuales el rechazo procede de forma automática, es decir, sin permitirle al proponente subsanar la «inexactitud» de la oferta o el número de contratos de obra que tenía el deber de reportar, dada la forma en que están configuradas las causales de rechazo enunciadas.</w:t>
      </w:r>
    </w:p>
    <w:p w14:paraId="5C7C9AB0" w14:textId="36877A91" w:rsidR="00E245AB" w:rsidRPr="00755B9E" w:rsidRDefault="36D437A8" w:rsidP="5A55573B">
      <w:pPr>
        <w:spacing w:before="120" w:after="120" w:line="276" w:lineRule="auto"/>
        <w:ind w:firstLine="708"/>
        <w:jc w:val="both"/>
        <w:rPr>
          <w:rFonts w:ascii="Arial" w:hAnsi="Arial" w:cs="Arial"/>
        </w:rPr>
      </w:pPr>
      <w:r w:rsidRPr="00071A9D">
        <w:rPr>
          <w:rFonts w:ascii="Arial" w:eastAsia="Arial" w:hAnsi="Arial" w:cs="Arial"/>
        </w:rPr>
        <w:t>Ahora bien, es importate precisar que lo expresado en el párrafo precedente no contradice lo dispuesto en el artículo 5, parágrafo 1, de la Ley 1150 de 2007, adicionado por el artículo 5 de la Ley 1882 de 2018, norma que dispone que “[…]</w:t>
      </w:r>
      <w:r w:rsidRPr="00755B9E">
        <w:rPr>
          <w:rFonts w:ascii="Arial" w:eastAsia="Times New Roman" w:hAnsi="Arial" w:cs="Arial"/>
        </w:rPr>
        <w:t xml:space="preserve"> </w:t>
      </w:r>
      <w:r w:rsidRPr="00071A9D">
        <w:rPr>
          <w:rFonts w:ascii="Arial" w:eastAsia="Arial" w:hAnsi="Arial" w:cs="Arial"/>
        </w:rPr>
        <w:t xml:space="preserve">todos aquellos requisitos de la propuesta que no afecten la asignación de puntaje deberán ser solicitados por las entidades estatales y deberán ser entregados por los proponentes”. Es cierto que la información “inexacta” y los contratos que no fueron informados no afectan la asignación de puntaje, pues estos se solicitan para la acreditación de la capacidad residual del proponente, que es uno de los requisitos habilitantes a los que se refiere el Capítulo III del </w:t>
      </w:r>
      <w:r w:rsidRPr="00071A9D">
        <w:rPr>
          <w:rFonts w:ascii="Arial" w:eastAsia="Arial" w:hAnsi="Arial" w:cs="Arial"/>
        </w:rPr>
        <w:lastRenderedPageBreak/>
        <w:t xml:space="preserve">documento base. Sin embargo, los supuestos de hecho en los que se fundamentan las causales de rechazo no permiten la subsanación. De esta manera, la imposibilidad de subsanar se deriva, entonces, del supuesto de hecho de aquellas causales, sin que en esto sea relevante que se otorguen o no puntos a la propuesta por el requisito de capacidad residual. </w:t>
      </w:r>
    </w:p>
    <w:p w14:paraId="500DB5B4" w14:textId="53AC53C0" w:rsidR="00E245AB" w:rsidRPr="00755B9E" w:rsidRDefault="36D437A8" w:rsidP="5A55573B">
      <w:pPr>
        <w:spacing w:before="120" w:after="120" w:line="276" w:lineRule="auto"/>
        <w:ind w:firstLine="709"/>
        <w:jc w:val="both"/>
        <w:rPr>
          <w:rFonts w:ascii="Arial" w:hAnsi="Arial" w:cs="Arial"/>
        </w:rPr>
      </w:pPr>
      <w:r w:rsidRPr="00071A9D">
        <w:rPr>
          <w:rFonts w:ascii="Arial" w:eastAsia="Arial" w:hAnsi="Arial" w:cs="Arial"/>
        </w:rPr>
        <w:t xml:space="preserve">Conclusión similar le aplica al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Al respecto, surge la siguiente inquietud: ¿es posible subsanar el hecho de aportar una firma falsa presentando el documento firmado válidamente? Para esta entidad, la respuesta es negativa debido a que la finalidad que persigue la causal </w:t>
      </w:r>
      <w:r w:rsidRPr="00071A9D">
        <w:rPr>
          <w:rFonts w:ascii="Arial" w:eastAsia="Arial" w:hAnsi="Arial" w:cs="Arial"/>
          <w:i/>
          <w:iCs/>
        </w:rPr>
        <w:t>sub examine</w:t>
      </w:r>
      <w:r w:rsidRPr="00071A9D">
        <w:rPr>
          <w:rFonts w:ascii="Arial" w:eastAsia="Arial" w:hAnsi="Arial" w:cs="Arial"/>
        </w:rPr>
        <w:t xml:space="preserve"> es desincentivar todas las prácticas fraudulentas en los procesos de contratación estatal. </w:t>
      </w:r>
    </w:p>
    <w:p w14:paraId="172029A2" w14:textId="02D659DD" w:rsidR="00E245AB" w:rsidRPr="00755B9E" w:rsidRDefault="36D437A8" w:rsidP="5A55573B">
      <w:pPr>
        <w:spacing w:before="120" w:after="120" w:line="276" w:lineRule="auto"/>
        <w:ind w:firstLine="709"/>
        <w:jc w:val="both"/>
        <w:rPr>
          <w:rFonts w:ascii="Arial" w:hAnsi="Arial" w:cs="Arial"/>
        </w:rPr>
      </w:pPr>
      <w:r w:rsidRPr="00071A9D">
        <w:rPr>
          <w:rFonts w:ascii="Arial" w:eastAsia="Arial" w:hAnsi="Arial" w:cs="Arial"/>
          <w:color w:val="000000" w:themeColor="text1"/>
        </w:rPr>
        <w:t xml:space="preserve">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pero </w:t>
      </w:r>
      <w:r w:rsidRPr="00071A9D">
        <w:rPr>
          <w:rFonts w:ascii="Arial" w:eastAsia="Arial" w:hAnsi="Arial" w:cs="Arial"/>
          <w:color w:val="000000" w:themeColor="text1"/>
          <w:lang w:val="es-MX"/>
        </w:rPr>
        <w:t>incurre en algún error en la información de estos contratos, como por ejemplo en el valor o el plazo</w:t>
      </w:r>
      <w:r w:rsidRPr="00071A9D">
        <w:rPr>
          <w:rFonts w:ascii="Arial" w:eastAsia="Arial" w:hAnsi="Arial" w:cs="Arial"/>
          <w:color w:val="000000" w:themeColor="text1"/>
        </w:rPr>
        <w:t>. En este caso, conforme a la explicación precedente, en principio, no se trata de información inexacta que tenga la connotación de falsedad por lo que no habría lugar a rechazo de la propuesta por esta causal. Por ello, si el proponente omite o se equivoca en la información específica de un contrato incluido en el formato respectivo</w:t>
      </w:r>
      <w:r w:rsidRPr="00071A9D">
        <w:rPr>
          <w:rFonts w:ascii="Arial" w:eastAsia="Arial" w:hAnsi="Arial" w:cs="Arial"/>
          <w:color w:val="000000" w:themeColor="text1"/>
          <w:lang w:val="es-MX"/>
        </w:rPr>
        <w:t>, la entidad podrá requerirlo para que aclare la información y, en caso de no responder, rechazar la propuesta por la causal que consagra el literal E del numeral 1.15</w:t>
      </w:r>
      <w:r w:rsidRPr="00071A9D">
        <w:rPr>
          <w:rFonts w:ascii="Arial" w:eastAsia="Arial" w:hAnsi="Arial" w:cs="Arial"/>
        </w:rPr>
        <w:t xml:space="preserve">. </w:t>
      </w:r>
    </w:p>
    <w:p w14:paraId="1A7F3A78" w14:textId="10A3A7CB" w:rsidR="00E245AB" w:rsidRPr="00755B9E" w:rsidRDefault="36D437A8" w:rsidP="5A55573B">
      <w:pPr>
        <w:spacing w:before="120" w:after="120" w:line="276" w:lineRule="auto"/>
        <w:ind w:firstLine="709"/>
        <w:jc w:val="both"/>
        <w:rPr>
          <w:rFonts w:ascii="Arial" w:hAnsi="Arial" w:cs="Arial"/>
        </w:rPr>
      </w:pPr>
      <w:r w:rsidRPr="00071A9D">
        <w:rPr>
          <w:rFonts w:ascii="Arial" w:eastAsia="Arial" w:hAnsi="Arial" w:cs="Arial"/>
          <w:color w:val="000000" w:themeColor="text1"/>
        </w:rPr>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Por ejemplo, </w:t>
      </w:r>
      <w:r w:rsidRPr="00071A9D">
        <w:rPr>
          <w:rFonts w:ascii="Arial" w:eastAsia="Arial" w:hAnsi="Arial" w:cs="Arial"/>
          <w:color w:val="000000" w:themeColor="text1"/>
          <w:lang w:val="es-MX"/>
        </w:rPr>
        <w:t>en el evento en que se reporten todos los contratos y la entidad advierta que se consignó información errada en el formato respectivo soportada en documentos presuntamente falsos. En este caso,</w:t>
      </w:r>
      <w:r w:rsidRPr="00071A9D">
        <w:rPr>
          <w:rFonts w:ascii="Arial" w:eastAsia="Arial" w:hAnsi="Arial" w:cs="Arial"/>
          <w:color w:val="000000" w:themeColor="text1"/>
        </w:rPr>
        <w:t xml:space="preserve"> los datos erróneos corresponden a información inexacta sobre la cual pueda existir una posible falsedad, lo cual da lugar a la configuración de la causal de rechazo del literal H </w:t>
      </w:r>
      <w:r w:rsidRPr="00071A9D">
        <w:rPr>
          <w:rFonts w:ascii="Arial" w:eastAsia="Arial" w:hAnsi="Arial" w:cs="Arial"/>
          <w:color w:val="000000" w:themeColor="text1"/>
          <w:lang w:val="es-MX"/>
        </w:rPr>
        <w:t xml:space="preserve">del numeral 1.15. del documento base </w:t>
      </w:r>
      <w:r w:rsidRPr="00071A9D">
        <w:rPr>
          <w:rFonts w:ascii="Arial" w:eastAsia="Arial" w:hAnsi="Arial" w:cs="Arial"/>
          <w:color w:val="000000" w:themeColor="text1"/>
        </w:rPr>
        <w:t>e impide la subsanabilidad de la oferta en este aspecto</w:t>
      </w:r>
      <w:r w:rsidRPr="00071A9D">
        <w:rPr>
          <w:rFonts w:ascii="Arial" w:eastAsia="Arial" w:hAnsi="Arial" w:cs="Arial"/>
        </w:rPr>
        <w:t xml:space="preserve">. </w:t>
      </w:r>
    </w:p>
    <w:p w14:paraId="2457A7F8" w14:textId="54F98A36" w:rsidR="00E245AB" w:rsidRDefault="36D437A8" w:rsidP="5A55573B">
      <w:pPr>
        <w:spacing w:after="0" w:line="276" w:lineRule="auto"/>
        <w:ind w:firstLine="708"/>
        <w:jc w:val="both"/>
        <w:rPr>
          <w:rFonts w:ascii="Arial" w:eastAsia="Arial" w:hAnsi="Arial" w:cs="Arial"/>
        </w:rPr>
      </w:pPr>
      <w:r w:rsidRPr="00071A9D">
        <w:rPr>
          <w:rFonts w:ascii="Arial" w:eastAsia="Arial" w:hAnsi="Arial" w:cs="Arial"/>
        </w:rPr>
        <w:lastRenderedPageBreak/>
        <w:t xml:space="preserve">En relación con la información contractual no incluida que pueda afectar la capacidad residual del proponente, el pliego de condiciones del “Documento Tipo – Versión 3” de licitación para obra pública de infraestructura de transporte estableció una regla especial en el numeral 3.10 así: </w:t>
      </w:r>
    </w:p>
    <w:p w14:paraId="1CC7C8AA" w14:textId="77777777" w:rsidR="007D658A" w:rsidRDefault="007D658A" w:rsidP="5A55573B">
      <w:pPr>
        <w:spacing w:after="0" w:line="276" w:lineRule="auto"/>
        <w:ind w:firstLine="708"/>
        <w:jc w:val="both"/>
        <w:rPr>
          <w:rFonts w:ascii="Arial" w:eastAsia="Arial" w:hAnsi="Arial" w:cs="Arial"/>
        </w:rPr>
      </w:pPr>
    </w:p>
    <w:p w14:paraId="43F20E48" w14:textId="77777777" w:rsidR="007D658A" w:rsidRPr="00755B9E" w:rsidRDefault="007D658A" w:rsidP="5A55573B">
      <w:pPr>
        <w:spacing w:after="0" w:line="276" w:lineRule="auto"/>
        <w:ind w:firstLine="708"/>
        <w:jc w:val="both"/>
        <w:rPr>
          <w:rFonts w:ascii="Arial" w:hAnsi="Arial" w:cs="Arial"/>
        </w:rPr>
      </w:pPr>
    </w:p>
    <w:p w14:paraId="7A6D82A1" w14:textId="15DE5909"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sz w:val="24"/>
          <w:szCs w:val="24"/>
        </w:rPr>
        <w:t xml:space="preserve"> </w:t>
      </w:r>
    </w:p>
    <w:p w14:paraId="11349E2F" w14:textId="67C814DD" w:rsidR="00E245AB" w:rsidRPr="007D658A" w:rsidRDefault="36D437A8" w:rsidP="00755B9E">
      <w:pPr>
        <w:spacing w:after="120"/>
        <w:ind w:left="709" w:right="709"/>
        <w:rPr>
          <w:rFonts w:ascii="Arial" w:hAnsi="Arial" w:cs="Arial"/>
          <w:sz w:val="20"/>
          <w:szCs w:val="20"/>
        </w:rPr>
      </w:pPr>
      <w:r w:rsidRPr="007D658A">
        <w:rPr>
          <w:rFonts w:ascii="Arial" w:eastAsia="Arial" w:hAnsi="Arial" w:cs="Arial"/>
          <w:b/>
          <w:bCs/>
          <w:sz w:val="20"/>
          <w:szCs w:val="20"/>
        </w:rPr>
        <w:t xml:space="preserve">3.10. CAPACIDAD RESIDUAL </w:t>
      </w:r>
    </w:p>
    <w:p w14:paraId="6120AD04" w14:textId="41C019A9" w:rsidR="00E245AB" w:rsidRPr="007D658A" w:rsidRDefault="36D437A8" w:rsidP="00755B9E">
      <w:pPr>
        <w:spacing w:after="0"/>
        <w:ind w:left="709" w:right="709"/>
        <w:jc w:val="both"/>
        <w:rPr>
          <w:rFonts w:ascii="Arial" w:hAnsi="Arial" w:cs="Arial"/>
          <w:sz w:val="20"/>
          <w:szCs w:val="20"/>
        </w:rPr>
      </w:pPr>
      <w:r w:rsidRPr="007D658A">
        <w:rPr>
          <w:rFonts w:ascii="Arial" w:eastAsia="Arial" w:hAnsi="Arial" w:cs="Arial"/>
          <w:color w:val="000000" w:themeColor="text1"/>
          <w:sz w:val="20"/>
          <w:szCs w:val="20"/>
          <w:lang w:val="es-MX"/>
        </w:rPr>
        <w:t>El proponente será hábil si su capacidad residual es mayor o igual a la capacidad residual de proceso de contratación (CRPC). Así:</w:t>
      </w:r>
    </w:p>
    <w:p w14:paraId="60E692F7" w14:textId="098173BD" w:rsidR="00E245AB" w:rsidRPr="007D658A" w:rsidRDefault="36D437A8" w:rsidP="00755B9E">
      <w:pPr>
        <w:spacing w:after="0"/>
        <w:ind w:left="709" w:right="709"/>
        <w:jc w:val="both"/>
        <w:rPr>
          <w:rFonts w:ascii="Arial" w:hAnsi="Arial" w:cs="Arial"/>
          <w:sz w:val="20"/>
          <w:szCs w:val="20"/>
        </w:rPr>
      </w:pPr>
      <w:r w:rsidRPr="007D658A">
        <w:rPr>
          <w:rFonts w:ascii="Arial" w:eastAsia="Arial" w:hAnsi="Arial" w:cs="Arial"/>
          <w:color w:val="000000" w:themeColor="text1"/>
          <w:sz w:val="20"/>
          <w:szCs w:val="20"/>
          <w:lang w:val="es-MX"/>
        </w:rPr>
        <w:t xml:space="preserve">Los proponentes acreditarán la capacidad residual o K de contratación conforme se describe a continuación. </w:t>
      </w:r>
      <w:r w:rsidRPr="007D658A">
        <w:rPr>
          <w:rFonts w:ascii="Arial" w:eastAsia="Arial" w:hAnsi="Arial" w:cs="Arial"/>
          <w:i/>
          <w:iCs/>
          <w:color w:val="000000" w:themeColor="text1"/>
          <w:sz w:val="20"/>
          <w:szCs w:val="20"/>
          <w:lang w:val="es-MX"/>
        </w:rPr>
        <w:t xml:space="preserve">En todo caso, si con posterioridad al cierre del proceso cualquier interesado, durante el traslado del informe de evaluación, o la entidad, en uso de la potestad verificadora, advierte que se dejó de incluir, al cierre del proceso, por parte de un proponente, alguna información contractual que afecte su capacidad residual, la entidad rechazará la oferta. </w:t>
      </w:r>
    </w:p>
    <w:p w14:paraId="279107EA" w14:textId="4CE0DEE6" w:rsidR="00E245AB" w:rsidRPr="007D658A" w:rsidRDefault="36D437A8" w:rsidP="00755B9E">
      <w:pPr>
        <w:spacing w:after="0"/>
        <w:ind w:left="709" w:right="709"/>
        <w:jc w:val="both"/>
        <w:rPr>
          <w:rFonts w:ascii="Arial" w:hAnsi="Arial" w:cs="Arial"/>
          <w:sz w:val="20"/>
          <w:szCs w:val="20"/>
        </w:rPr>
      </w:pPr>
      <w:r w:rsidRPr="007D658A">
        <w:rPr>
          <w:rFonts w:ascii="Arial" w:eastAsia="Arial" w:hAnsi="Arial" w:cs="Arial"/>
          <w:color w:val="000000" w:themeColor="text1"/>
          <w:sz w:val="20"/>
          <w:szCs w:val="20"/>
          <w:lang w:val="es-MX"/>
        </w:rPr>
        <w:t>Lo anterior, sin perjuicio de las acciones administrativas y/o judiciales a que haya lugar, en contra de la (s) persona (s) que haya (n) suscrito las certificaciones exigidas para el cálculo de la capacidad residual.</w:t>
      </w:r>
    </w:p>
    <w:p w14:paraId="6D27E674" w14:textId="5958131B" w:rsidR="00E245AB" w:rsidRPr="007D658A" w:rsidRDefault="36D437A8" w:rsidP="00755B9E">
      <w:pPr>
        <w:spacing w:after="0"/>
        <w:ind w:left="709" w:right="709"/>
        <w:jc w:val="both"/>
        <w:rPr>
          <w:rFonts w:ascii="Arial" w:hAnsi="Arial" w:cs="Arial"/>
          <w:sz w:val="20"/>
          <w:szCs w:val="20"/>
        </w:rPr>
      </w:pPr>
      <w:r w:rsidRPr="007D658A">
        <w:rPr>
          <w:rFonts w:ascii="Arial" w:eastAsia="Arial" w:hAnsi="Arial" w:cs="Arial"/>
          <w:sz w:val="20"/>
          <w:szCs w:val="20"/>
        </w:rPr>
        <w:t xml:space="preserve">[…] (Énfasis fuera de texto) </w:t>
      </w:r>
    </w:p>
    <w:p w14:paraId="0955D950" w14:textId="42B18652" w:rsidR="00E245AB" w:rsidRPr="00755B9E" w:rsidRDefault="36D437A8" w:rsidP="5A55573B">
      <w:pPr>
        <w:spacing w:after="0" w:line="276" w:lineRule="auto"/>
        <w:jc w:val="both"/>
        <w:rPr>
          <w:rFonts w:ascii="Arial" w:hAnsi="Arial" w:cs="Arial"/>
        </w:rPr>
      </w:pPr>
      <w:r w:rsidRPr="00071A9D">
        <w:rPr>
          <w:rFonts w:ascii="Arial" w:eastAsia="Arial" w:hAnsi="Arial" w:cs="Arial"/>
        </w:rPr>
        <w:t xml:space="preserve"> </w:t>
      </w:r>
    </w:p>
    <w:p w14:paraId="6A76EB31" w14:textId="54B49A60" w:rsidR="00E245AB" w:rsidRPr="00755B9E" w:rsidRDefault="36D437A8" w:rsidP="5A55573B">
      <w:pPr>
        <w:spacing w:after="0" w:line="276" w:lineRule="auto"/>
        <w:ind w:firstLine="708"/>
        <w:jc w:val="both"/>
        <w:rPr>
          <w:rFonts w:ascii="Arial" w:hAnsi="Arial" w:cs="Arial"/>
        </w:rPr>
      </w:pPr>
      <w:r w:rsidRPr="00071A9D">
        <w:rPr>
          <w:rFonts w:ascii="Arial" w:eastAsia="Arial" w:hAnsi="Arial" w:cs="Arial"/>
          <w:color w:val="000000" w:themeColor="text1"/>
        </w:rPr>
        <w:t xml:space="preserve">De conformidad con esta regla, el rechazo de la oferta procede cuando en ejercicio de la potestad verificadora se advierta que se dejó de incluir información que afecta la capacidad residual del proponente, esto es, la referente a contratos de obra en ejecución. </w:t>
      </w:r>
      <w:r w:rsidRPr="00071A9D">
        <w:rPr>
          <w:rFonts w:ascii="Arial" w:eastAsia="Arial" w:hAnsi="Arial" w:cs="Arial"/>
        </w:rPr>
        <w:t>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3C2505E8" w14:textId="353244DF" w:rsidR="00E245AB" w:rsidRPr="00755B9E" w:rsidRDefault="36D437A8" w:rsidP="5A55573B">
      <w:pPr>
        <w:spacing w:before="120" w:after="120" w:line="276" w:lineRule="auto"/>
        <w:ind w:firstLine="708"/>
        <w:jc w:val="both"/>
        <w:rPr>
          <w:rFonts w:ascii="Arial" w:hAnsi="Arial" w:cs="Arial"/>
        </w:rPr>
      </w:pPr>
      <w:r w:rsidRPr="00071A9D">
        <w:rPr>
          <w:rFonts w:ascii="Arial" w:eastAsia="Arial" w:hAnsi="Arial" w:cs="Arial"/>
        </w:rPr>
        <w:t>Según lo expuesto, al verificarse que el proponente no incluyó información contractual que afecte su capacidad residual, la entidad no estará en posición de solicitar aclaraciones, o acudir al régimen de subsanabilidad de ofertas</w:t>
      </w:r>
      <w:r w:rsidR="004A7403">
        <w:rPr>
          <w:rStyle w:val="Refdenotaalpie"/>
          <w:rFonts w:ascii="Arial" w:eastAsia="Arial" w:hAnsi="Arial" w:cs="Arial"/>
        </w:rPr>
        <w:footnoteReference w:id="7"/>
      </w:r>
      <w:r w:rsidRPr="00071A9D">
        <w:rPr>
          <w:rFonts w:ascii="Arial" w:eastAsia="Arial" w:hAnsi="Arial" w:cs="Arial"/>
        </w:rPr>
        <w:t>. Esto en la medida que tal circunstancia constituye una causal de rechazo en los términos de los literales H y Z del numeral 1.15 del documento base, las cuales deberán analizar, caso a caso, las entidades contratantes conforme a los parámetros antes mencionados.</w:t>
      </w:r>
    </w:p>
    <w:p w14:paraId="482C57A6" w14:textId="39F7CE19" w:rsidR="00E245AB" w:rsidRPr="00755B9E" w:rsidRDefault="36D437A8" w:rsidP="00755B9E">
      <w:pPr>
        <w:spacing w:after="120" w:line="276" w:lineRule="auto"/>
        <w:ind w:firstLine="708"/>
        <w:jc w:val="both"/>
        <w:rPr>
          <w:rFonts w:ascii="Arial" w:hAnsi="Arial" w:cs="Arial"/>
        </w:rPr>
      </w:pPr>
      <w:r w:rsidRPr="00071A9D">
        <w:rPr>
          <w:rFonts w:ascii="Arial" w:eastAsia="Arial" w:hAnsi="Arial" w:cs="Arial"/>
        </w:rPr>
        <w:lastRenderedPageBreak/>
        <w:t xml:space="preserve">En el caso de que el proponente presente la oferta con antelación a la fecha de cierre, informando los contratos que hasta entonces esté ejecutando, pero antes de la fecha de cierre comienza a ejecutar otro nuevo, está en la obligación de reportarlo a la entidad. De lo contrario estaría informando menos contratos, lo que además de afectar el cálculo de su capacidad residual o </w:t>
      </w:r>
      <w:r w:rsidRPr="00071A9D">
        <w:rPr>
          <w:rFonts w:ascii="Arial" w:eastAsia="Arial" w:hAnsi="Arial" w:cs="Arial"/>
          <w:i/>
          <w:iCs/>
        </w:rPr>
        <w:t>K</w:t>
      </w:r>
      <w:r w:rsidRPr="00071A9D">
        <w:rPr>
          <w:rFonts w:ascii="Arial" w:eastAsia="Arial" w:hAnsi="Arial" w:cs="Arial"/>
        </w:rPr>
        <w:t xml:space="preserve"> de contratación, facultaría a la entidad para rechazar su oferta conforme a la causal Z del numeral 1.15 del documento base o, eventualmente, por la causal del literal H </w:t>
      </w:r>
      <w:r w:rsidRPr="00071A9D">
        <w:rPr>
          <w:rFonts w:ascii="Arial" w:eastAsia="Arial" w:hAnsi="Arial" w:cs="Arial"/>
          <w:i/>
          <w:iCs/>
        </w:rPr>
        <w:t>ibídem</w:t>
      </w:r>
      <w:r w:rsidRPr="00071A9D">
        <w:rPr>
          <w:rFonts w:ascii="Arial" w:eastAsia="Arial" w:hAnsi="Arial" w:cs="Arial"/>
        </w:rPr>
        <w:t>.</w:t>
      </w:r>
    </w:p>
    <w:p w14:paraId="33D71D7A" w14:textId="0F99A1E8" w:rsidR="00E245AB" w:rsidRPr="00755B9E" w:rsidRDefault="36D437A8" w:rsidP="5A55573B">
      <w:pPr>
        <w:spacing w:after="0" w:line="276" w:lineRule="auto"/>
        <w:ind w:firstLine="709"/>
        <w:jc w:val="both"/>
        <w:rPr>
          <w:rFonts w:ascii="Arial" w:hAnsi="Arial" w:cs="Arial"/>
        </w:rPr>
      </w:pPr>
      <w:r w:rsidRPr="00071A9D">
        <w:rPr>
          <w:rFonts w:ascii="Arial" w:eastAsia="Arial" w:hAnsi="Arial" w:cs="Arial"/>
          <w:lang w:val="es"/>
        </w:rPr>
        <w:t xml:space="preserve">Sin perjuicio de lo anterior, resulta pertinente mencionar que, en relación con las causales de rechazo relacionadas </w:t>
      </w:r>
      <w:r w:rsidRPr="00071A9D">
        <w:rPr>
          <w:rFonts w:ascii="Arial" w:eastAsia="Arial" w:hAnsi="Arial" w:cs="Arial"/>
          <w:lang w:val="es-MX"/>
        </w:rPr>
        <w:t xml:space="preserve">con la capacidad residual como requisito habilitante, </w:t>
      </w:r>
      <w:r w:rsidRPr="00071A9D">
        <w:rPr>
          <w:rFonts w:ascii="Arial" w:eastAsia="Arial" w:hAnsi="Arial" w:cs="Arial"/>
          <w:lang w:val="es"/>
        </w:rPr>
        <w:t>debe ser la entidad estatal quien determine si alguno de los supuestos de hecho contenidos en las causales de rechazo contenidas del numeral 1.15 del Documento Base de los «Documentos Tipo – Versión 3”, aplican frente a la situación particular.</w:t>
      </w:r>
    </w:p>
    <w:p w14:paraId="361565BE" w14:textId="5630D1AE" w:rsidR="00E245AB" w:rsidRPr="00755B9E" w:rsidRDefault="36D437A8" w:rsidP="5A55573B">
      <w:pPr>
        <w:spacing w:before="120" w:after="120" w:line="276" w:lineRule="auto"/>
        <w:ind w:firstLine="708"/>
        <w:jc w:val="both"/>
        <w:rPr>
          <w:rFonts w:ascii="Arial" w:hAnsi="Arial" w:cs="Arial"/>
        </w:rPr>
      </w:pPr>
      <w:r w:rsidRPr="00071A9D">
        <w:rPr>
          <w:rFonts w:ascii="Arial" w:eastAsia="Arial" w:hAnsi="Arial" w:cs="Arial"/>
        </w:rPr>
        <w:t xml:space="preserve">Ahora bien, en congruencia con lo explicado en el numeral anterior, es importante tener en cuenta que </w:t>
      </w:r>
      <w:r w:rsidRPr="00071A9D">
        <w:rPr>
          <w:rFonts w:ascii="Arial" w:eastAsia="Arial" w:hAnsi="Arial" w:cs="Arial"/>
          <w:lang w:val="es"/>
        </w:rPr>
        <w:t>la causal de rechazo del literal Z del numeral 1.15 del pliego aplica por “</w:t>
      </w:r>
      <w:r w:rsidRPr="00071A9D">
        <w:rPr>
          <w:rFonts w:ascii="Arial" w:eastAsia="Arial" w:hAnsi="Arial" w:cs="Arial"/>
          <w:lang w:val="es-MX"/>
        </w:rPr>
        <w:t xml:space="preserve">No informar todos los contratos que el Proponente tenga en ejecución antes del cierre, necesarios para acreditar su capacidad residual conforme a la sección 3.10”. Para estos efectos, conforme a las definiciones previstas en </w:t>
      </w:r>
      <w:r w:rsidRPr="00071A9D">
        <w:rPr>
          <w:rFonts w:ascii="Arial" w:eastAsia="Arial" w:hAnsi="Arial" w:cs="Arial"/>
          <w:lang w:val="es"/>
        </w:rPr>
        <w:t xml:space="preserve">la Guía para Determinar y Verificar la Capacidad Residual del Proponente en los Procesos de Contratación de Obra Pública, el numeral II del literal E del numeral 3.10.2 del documento base dispone que </w:t>
      </w:r>
      <w:r w:rsidR="00F35F9D">
        <w:rPr>
          <w:rFonts w:ascii="Arial" w:eastAsia="Arial" w:hAnsi="Arial" w:cs="Arial"/>
          <w:lang w:val="es"/>
        </w:rPr>
        <w:t>“</w:t>
      </w:r>
      <w:r w:rsidRPr="00071A9D">
        <w:rPr>
          <w:rFonts w:ascii="Arial" w:eastAsia="Arial" w:hAnsi="Arial" w:cs="Arial"/>
          <w:lang w:val="es-MX"/>
        </w:rPr>
        <w:t>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concesionarios, así como, los contratos suspendidos y aquellos que no tengan acta de inicio. No se entenderán como contratos en ejecución los que se encuentren en liquidación</w:t>
      </w:r>
      <w:r w:rsidR="00E92F1E">
        <w:rPr>
          <w:rFonts w:ascii="Arial" w:eastAsia="Arial" w:hAnsi="Arial" w:cs="Arial"/>
          <w:lang w:val="es-MX"/>
        </w:rPr>
        <w:t>”</w:t>
      </w:r>
      <w:r w:rsidRPr="00071A9D">
        <w:rPr>
          <w:rFonts w:ascii="Arial" w:eastAsia="Arial" w:hAnsi="Arial" w:cs="Arial"/>
          <w:lang w:val="es-MX"/>
        </w:rPr>
        <w:t xml:space="preserve">. </w:t>
      </w:r>
    </w:p>
    <w:p w14:paraId="716265BB" w14:textId="5987704F" w:rsidR="00E245AB" w:rsidRPr="00755B9E" w:rsidRDefault="36D437A8" w:rsidP="5A55573B">
      <w:pPr>
        <w:spacing w:after="0" w:line="276" w:lineRule="auto"/>
        <w:ind w:firstLine="708"/>
        <w:jc w:val="both"/>
        <w:rPr>
          <w:rFonts w:ascii="Arial" w:hAnsi="Arial" w:cs="Arial"/>
        </w:rPr>
      </w:pPr>
      <w:r w:rsidRPr="00071A9D">
        <w:rPr>
          <w:rFonts w:ascii="Arial" w:eastAsia="Arial" w:hAnsi="Arial" w:cs="Arial"/>
          <w:lang w:val="es-MX"/>
        </w:rPr>
        <w:t xml:space="preserve">Como se observa, la definición solo aplica a los </w:t>
      </w:r>
      <w:r w:rsidRPr="00071A9D">
        <w:rPr>
          <w:rFonts w:ascii="Arial" w:eastAsia="Arial" w:hAnsi="Arial" w:cs="Arial"/>
          <w:i/>
          <w:iCs/>
          <w:lang w:val="es-MX"/>
        </w:rPr>
        <w:t>contratos perfeccionados</w:t>
      </w:r>
      <w:r w:rsidRPr="00071A9D">
        <w:rPr>
          <w:rFonts w:ascii="Arial" w:eastAsia="Arial" w:hAnsi="Arial" w:cs="Arial"/>
          <w:lang w:val="es-MX"/>
        </w:rPr>
        <w:t xml:space="preserve">, aunque estos estén suspendidos o no tengan acta de inicio. Por tanto, están fuera de esta los procesos de selección </w:t>
      </w:r>
      <w:r w:rsidRPr="00071A9D">
        <w:rPr>
          <w:rFonts w:ascii="Arial" w:eastAsia="Arial" w:hAnsi="Arial" w:cs="Arial"/>
          <w:i/>
          <w:iCs/>
          <w:lang w:val="es-MX"/>
        </w:rPr>
        <w:t>adjudicados</w:t>
      </w:r>
      <w:r w:rsidRPr="00071A9D">
        <w:rPr>
          <w:rFonts w:ascii="Arial" w:eastAsia="Arial" w:hAnsi="Arial" w:cs="Arial"/>
          <w:lang w:val="es-MX"/>
        </w:rPr>
        <w:t xml:space="preserve">, pues –en los términos del artículo 41 de la Ley 80 de 1993– los contratos estatales de las entidades sometidas al Estatuto General de Contratación de la Administración Pública </w:t>
      </w:r>
      <w:r w:rsidRPr="00071A9D">
        <w:rPr>
          <w:rFonts w:ascii="Arial" w:eastAsia="Arial" w:hAnsi="Arial" w:cs="Arial"/>
        </w:rPr>
        <w:t xml:space="preserve">se perfeccionan cuando se logre acuerdo sobre el objeto y la contraprestación y éste se eleve a escrito, lo cual ocurre con la suscripción formal del contrato y no con el acto de adjudicación. Lo expuesto es congruente con </w:t>
      </w:r>
      <w:r w:rsidRPr="00071A9D">
        <w:rPr>
          <w:rFonts w:ascii="Arial" w:eastAsia="Arial" w:hAnsi="Arial" w:cs="Arial"/>
          <w:color w:val="000000" w:themeColor="text1"/>
          <w:lang w:val="es-MX"/>
        </w:rPr>
        <w:t xml:space="preserve">el artículo 2.2.1.1.1.6.4 del Decreto 1082 de 2015, en virtud del cual, para efectos de </w:t>
      </w:r>
      <w:r w:rsidRPr="00071A9D">
        <w:rPr>
          <w:rFonts w:ascii="Arial" w:eastAsia="Arial" w:hAnsi="Arial" w:cs="Arial"/>
          <w:lang w:val="es-MX"/>
        </w:rPr>
        <w:t>acreditar la capacidad residual del proponente, se requiere el listado de contratos de obra civiles en ejecución suscritos con entidades estatales y con entidades privadas.</w:t>
      </w:r>
    </w:p>
    <w:p w14:paraId="5218043B" w14:textId="042EFF46" w:rsidR="00E245AB" w:rsidRPr="00755B9E" w:rsidRDefault="36D437A8" w:rsidP="5A55573B">
      <w:pPr>
        <w:spacing w:after="0" w:line="276" w:lineRule="auto"/>
        <w:ind w:firstLine="708"/>
        <w:jc w:val="both"/>
        <w:rPr>
          <w:rFonts w:ascii="Arial" w:hAnsi="Arial" w:cs="Arial"/>
        </w:rPr>
      </w:pPr>
      <w:r w:rsidRPr="00071A9D">
        <w:rPr>
          <w:rFonts w:ascii="Arial" w:eastAsia="Arial" w:hAnsi="Arial" w:cs="Arial"/>
          <w:lang w:val="es-MX"/>
        </w:rPr>
        <w:t xml:space="preserve"> </w:t>
      </w:r>
    </w:p>
    <w:p w14:paraId="69C28856" w14:textId="2DC37A8A" w:rsidR="00E245AB" w:rsidRDefault="36D437A8" w:rsidP="5A55573B">
      <w:pPr>
        <w:spacing w:after="0"/>
        <w:jc w:val="both"/>
        <w:rPr>
          <w:rFonts w:ascii="Arial" w:eastAsia="Arial" w:hAnsi="Arial" w:cs="Arial"/>
          <w:b/>
          <w:bCs/>
          <w:lang w:val="es"/>
        </w:rPr>
      </w:pPr>
      <w:r w:rsidRPr="00071A9D">
        <w:rPr>
          <w:rFonts w:ascii="Arial" w:eastAsia="Arial" w:hAnsi="Arial" w:cs="Arial"/>
          <w:b/>
          <w:bCs/>
          <w:lang w:val="es"/>
        </w:rPr>
        <w:t>3. Respuesta</w:t>
      </w:r>
    </w:p>
    <w:p w14:paraId="7F8F6D22" w14:textId="77777777" w:rsidR="00EF75A1" w:rsidRDefault="00EF75A1" w:rsidP="5A55573B">
      <w:pPr>
        <w:spacing w:after="0"/>
        <w:jc w:val="both"/>
        <w:rPr>
          <w:rFonts w:ascii="Arial" w:hAnsi="Arial" w:cs="Arial"/>
        </w:rPr>
      </w:pPr>
    </w:p>
    <w:p w14:paraId="2E83F6CF" w14:textId="7BA28C40" w:rsidR="00464D7A" w:rsidRPr="00AF29A2" w:rsidRDefault="00464D7A" w:rsidP="00C0042C">
      <w:pPr>
        <w:spacing w:after="0" w:line="276" w:lineRule="auto"/>
        <w:ind w:left="709" w:right="709"/>
        <w:jc w:val="both"/>
        <w:rPr>
          <w:rFonts w:ascii="Arial" w:hAnsi="Arial" w:cs="Arial"/>
        </w:rPr>
      </w:pPr>
      <w:r w:rsidRPr="00AF29A2">
        <w:rPr>
          <w:rFonts w:ascii="Arial" w:eastAsia="Arial" w:hAnsi="Arial" w:cs="Arial"/>
          <w:sz w:val="20"/>
          <w:szCs w:val="20"/>
          <w:lang w:val="es"/>
        </w:rPr>
        <w:lastRenderedPageBreak/>
        <w:t xml:space="preserve">“[…] </w:t>
      </w:r>
      <w:r w:rsidR="00960A36" w:rsidRPr="00AF29A2">
        <w:rPr>
          <w:rFonts w:ascii="Arial" w:eastAsia="Arial" w:hAnsi="Arial" w:cs="Arial"/>
          <w:sz w:val="20"/>
          <w:szCs w:val="20"/>
          <w:lang w:val="es"/>
        </w:rPr>
        <w:t>¿Al ser un requisito habilitante, puede la entidad requerirlo durante el término del traslado?</w:t>
      </w:r>
    </w:p>
    <w:p w14:paraId="17A01DB9" w14:textId="77777777" w:rsidR="00464D7A" w:rsidRPr="00AF29A2" w:rsidRDefault="00464D7A" w:rsidP="00C0042C">
      <w:pPr>
        <w:spacing w:after="0" w:line="276" w:lineRule="auto"/>
        <w:ind w:left="709" w:right="709"/>
        <w:jc w:val="both"/>
        <w:rPr>
          <w:rFonts w:ascii="Arial" w:hAnsi="Arial" w:cs="Arial"/>
        </w:rPr>
      </w:pPr>
      <w:r w:rsidRPr="00AF29A2">
        <w:rPr>
          <w:rFonts w:ascii="Arial" w:eastAsia="Arial" w:hAnsi="Arial" w:cs="Arial"/>
          <w:sz w:val="20"/>
          <w:szCs w:val="20"/>
          <w:lang w:val="es"/>
        </w:rPr>
        <w:t>No presentar el formato, se puede tomar como que el proponente certifica que NO tiene contratos en ejecución, a pesar de lo que establece el pliego de condiciones.</w:t>
      </w:r>
    </w:p>
    <w:p w14:paraId="615900E3" w14:textId="0773AC38" w:rsidR="00464D7A" w:rsidRPr="00AF29A2" w:rsidRDefault="00464D7A" w:rsidP="00C0042C">
      <w:pPr>
        <w:spacing w:after="0"/>
        <w:ind w:left="709" w:right="709"/>
        <w:jc w:val="both"/>
        <w:rPr>
          <w:rFonts w:ascii="Arial" w:hAnsi="Arial" w:cs="Arial"/>
        </w:rPr>
      </w:pPr>
      <w:r w:rsidRPr="00AF29A2">
        <w:rPr>
          <w:rFonts w:ascii="Arial" w:eastAsia="Arial" w:hAnsi="Arial" w:cs="Arial"/>
          <w:sz w:val="20"/>
          <w:szCs w:val="20"/>
          <w:lang w:val="es"/>
        </w:rPr>
        <w:t xml:space="preserve">No presentar el formato, se puede aplicar la causal de rechazo Z, lo anterior a pesar que el proponente no haya certificado que NO tiene contratos en </w:t>
      </w:r>
      <w:r w:rsidR="00960A36" w:rsidRPr="00AF29A2">
        <w:rPr>
          <w:rFonts w:ascii="Arial" w:eastAsia="Arial" w:hAnsi="Arial" w:cs="Arial"/>
          <w:sz w:val="20"/>
          <w:szCs w:val="20"/>
          <w:lang w:val="es"/>
        </w:rPr>
        <w:t>ejecución”</w:t>
      </w:r>
      <w:r w:rsidRPr="00AF29A2">
        <w:rPr>
          <w:rFonts w:ascii="Arial" w:eastAsia="Arial" w:hAnsi="Arial" w:cs="Arial"/>
          <w:sz w:val="20"/>
          <w:szCs w:val="20"/>
          <w:lang w:val="es"/>
        </w:rPr>
        <w:t>.</w:t>
      </w:r>
    </w:p>
    <w:p w14:paraId="7FC6D428" w14:textId="5FC159C9" w:rsidR="00E245AB" w:rsidRPr="00755B9E" w:rsidRDefault="36D437A8" w:rsidP="5A55573B">
      <w:pPr>
        <w:spacing w:after="0"/>
        <w:jc w:val="both"/>
        <w:rPr>
          <w:rFonts w:ascii="Arial" w:hAnsi="Arial" w:cs="Arial"/>
        </w:rPr>
      </w:pPr>
      <w:r w:rsidRPr="00071A9D">
        <w:rPr>
          <w:rFonts w:ascii="Arial" w:eastAsia="Arial" w:hAnsi="Arial" w:cs="Arial"/>
          <w:lang w:val="es"/>
        </w:rPr>
        <w:t xml:space="preserve"> </w:t>
      </w:r>
    </w:p>
    <w:p w14:paraId="302AB5D5" w14:textId="2A135CA3" w:rsidR="00E245AB" w:rsidRPr="00755B9E" w:rsidRDefault="36D437A8" w:rsidP="00755B9E">
      <w:pPr>
        <w:spacing w:after="120"/>
        <w:jc w:val="both"/>
        <w:rPr>
          <w:rFonts w:ascii="Arial" w:hAnsi="Arial" w:cs="Arial"/>
        </w:rPr>
      </w:pPr>
      <w:r w:rsidRPr="00071A9D">
        <w:rPr>
          <w:rFonts w:ascii="Arial" w:eastAsia="Arial" w:hAnsi="Arial" w:cs="Arial"/>
          <w:lang w:val="es"/>
        </w:rPr>
        <w:t>En ejercicio de las competencias establecidas en los artículos 3, numeral 5° y 11, numeral 8° del Decreto 4170 de 2011, la Agencia Nacional de Contratación Pública – Colombia Compra Eficiente solo tiene competencia para responder solicitudes sobre la aplicación de normas de carácter general en materia de compras y contratación pública. En ese sentido, esta Agencia no tiene competencia para brindar asesorías, ni para expedir lineamientos sobre la reserva legal de la información contractual regulados de la Ley 1581 de 2012 y el artículo 3 de la Ley 1150 de 2007.</w:t>
      </w:r>
      <w:r w:rsidRPr="00071A9D">
        <w:rPr>
          <w:rFonts w:ascii="Arial" w:eastAsia="Arial" w:hAnsi="Arial" w:cs="Arial"/>
          <w:sz w:val="20"/>
          <w:szCs w:val="20"/>
          <w:lang w:val="es"/>
        </w:rPr>
        <w:t xml:space="preserve"> </w:t>
      </w:r>
    </w:p>
    <w:p w14:paraId="42317BB6" w14:textId="7BF10F1D" w:rsidR="00E245AB" w:rsidRPr="00755B9E" w:rsidRDefault="36D437A8" w:rsidP="00755B9E">
      <w:pPr>
        <w:spacing w:after="120" w:line="276" w:lineRule="auto"/>
        <w:ind w:firstLine="708"/>
        <w:jc w:val="both"/>
        <w:rPr>
          <w:rFonts w:ascii="Arial" w:hAnsi="Arial" w:cs="Arial"/>
        </w:rPr>
      </w:pPr>
      <w:r w:rsidRPr="00071A9D">
        <w:rPr>
          <w:rFonts w:ascii="Arial" w:eastAsia="Arial" w:hAnsi="Arial" w:cs="Arial"/>
          <w:lang w:val="es"/>
        </w:rPr>
        <w:t xml:space="preserve">Sin perjuicio de lo anterior, cuando el documento contractual tenga información sensible, clasificada o reservada, para proteger la información, </w:t>
      </w:r>
      <w:r w:rsidRPr="00755B9E">
        <w:rPr>
          <w:rFonts w:ascii="Arial" w:eastAsia="Arial" w:hAnsi="Arial" w:cs="Arial"/>
          <w:color w:val="161616"/>
          <w:lang w:val="es"/>
        </w:rPr>
        <w:t xml:space="preserve">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concretos de todos los partícipes de la contratación estatal. </w:t>
      </w:r>
      <w:r w:rsidRPr="00755B9E">
        <w:rPr>
          <w:rFonts w:ascii="Arial" w:eastAsia="Arial" w:hAnsi="Arial" w:cs="Arial"/>
          <w:lang w:val="es-MX"/>
        </w:rPr>
        <w:t>Sin perjuicio de lo anterior, esta Agencia responderá a su pregunta de forma general, en los siguientes términos:</w:t>
      </w:r>
    </w:p>
    <w:p w14:paraId="0D6D0455" w14:textId="0CE27EAB" w:rsidR="00E245AB" w:rsidRPr="00755B9E" w:rsidRDefault="36D437A8" w:rsidP="5A55573B">
      <w:pPr>
        <w:spacing w:after="120" w:line="276" w:lineRule="auto"/>
        <w:ind w:firstLine="709"/>
        <w:jc w:val="both"/>
        <w:rPr>
          <w:rFonts w:ascii="Arial" w:hAnsi="Arial" w:cs="Arial"/>
          <w:sz w:val="20"/>
          <w:szCs w:val="20"/>
        </w:rPr>
      </w:pPr>
      <w:r w:rsidRPr="00755B9E">
        <w:rPr>
          <w:rFonts w:ascii="Arial" w:eastAsia="Arial" w:hAnsi="Arial" w:cs="Arial"/>
          <w:lang w:val="es-MX"/>
        </w:rPr>
        <w:t>El numeral 3.10 del documento base de obra de infraestructura de transporte para procesos de licitación pública – Versión 3, establece como requisito habilitante la capacidad residual. En este documento tipo, al menos tres causales de rechazo del numeral 1.15 se relacionan con la capacidad residual como requisito habilitante, esto es, los literales E, H y Z.</w:t>
      </w:r>
    </w:p>
    <w:p w14:paraId="6EECD035" w14:textId="235291BD" w:rsidR="00E245AB" w:rsidRPr="00755B9E" w:rsidRDefault="36D437A8" w:rsidP="5A55573B">
      <w:pPr>
        <w:spacing w:after="0" w:line="276" w:lineRule="auto"/>
        <w:ind w:firstLine="708"/>
        <w:jc w:val="both"/>
        <w:rPr>
          <w:rFonts w:ascii="Arial" w:hAnsi="Arial" w:cs="Arial"/>
        </w:rPr>
      </w:pPr>
      <w:r w:rsidRPr="00755B9E">
        <w:rPr>
          <w:rFonts w:ascii="Arial" w:eastAsia="Arial" w:hAnsi="Arial" w:cs="Arial"/>
          <w:lang w:val="es-MX"/>
        </w:rPr>
        <w:t>Como se consideró en los conceptos del 25 de septiembre y el 23 de diciembre de 2019 −radicados Nos. 2201913000007117 y 2201913000009538−, las causales de rechazo de ofertas contempladas en los documentos tipo son taxativas, descartándose que la entidad introduzca causales, salvo, que estén establecidas en otras disposiciones normativas. Igualmente, por la naturaleza de dichas causales, su aplicación es estricta, lo que –a juicio de la Agencia Nacional de Contratación Pública– significa que su interpretación gramatical prevalece sobre una interpretación extensiva o de otra índole, mediante la cual se pretenda ampliar su alcance. En ese contexto, las tres causales de rechazo mencionadas tienen el siguiente alcance:</w:t>
      </w:r>
    </w:p>
    <w:p w14:paraId="222D19D7" w14:textId="488ABF51" w:rsidR="00E245AB" w:rsidRPr="00755B9E" w:rsidRDefault="36D437A8" w:rsidP="5A55573B">
      <w:pPr>
        <w:spacing w:before="120" w:after="0" w:line="276" w:lineRule="auto"/>
        <w:ind w:firstLine="708"/>
        <w:jc w:val="both"/>
        <w:rPr>
          <w:rFonts w:ascii="Arial" w:hAnsi="Arial" w:cs="Arial"/>
        </w:rPr>
      </w:pPr>
      <w:r w:rsidRPr="00755B9E">
        <w:rPr>
          <w:rFonts w:ascii="Arial" w:eastAsia="Arial" w:hAnsi="Arial" w:cs="Arial"/>
          <w:i/>
          <w:iCs/>
          <w:lang w:val="es-MX"/>
        </w:rPr>
        <w:t>i)</w:t>
      </w:r>
      <w:r w:rsidRPr="00755B9E">
        <w:rPr>
          <w:rFonts w:ascii="Arial" w:eastAsia="Arial" w:hAnsi="Arial" w:cs="Arial"/>
          <w:lang w:val="es-MX"/>
        </w:rPr>
        <w:t xml:space="preserve"> La causal del literal Z del numeral 1.15 solamente aplica cuando el proponente no informa todos los contratos que tiene en ejecución antes del cierre. Esto se traduce en un </w:t>
      </w:r>
      <w:r w:rsidRPr="00755B9E">
        <w:rPr>
          <w:rFonts w:ascii="Arial" w:eastAsia="Arial" w:hAnsi="Arial" w:cs="Arial"/>
          <w:lang w:val="es-MX"/>
        </w:rPr>
        <w:lastRenderedPageBreak/>
        <w:t>deber de cumplir con esta exigencia, sin tener en cuenta la información relacionada en cada uno de ellos. Por ejemplo, si el contratista tiene en ejecución diez contratos, esta causal aplica si el contratista reporta nueve o menos; excluyéndose la configuración de la causal cuando el proponente comete algún error en la información de los contratos, siempre que los reporte todos. Por tanto, la configuración de la causal de rechazo del literal Z es objetiva, pues solo aplica ante la omisión del proponente de informar el número total de contratos en ejecución antes del cierre.</w:t>
      </w:r>
    </w:p>
    <w:p w14:paraId="17829CC7" w14:textId="57BEB1FA" w:rsidR="00E245AB" w:rsidRPr="00755B9E" w:rsidRDefault="36D437A8" w:rsidP="5A55573B">
      <w:pPr>
        <w:spacing w:before="120" w:after="120" w:line="276" w:lineRule="auto"/>
        <w:ind w:firstLine="708"/>
        <w:jc w:val="both"/>
        <w:rPr>
          <w:rFonts w:ascii="Arial" w:hAnsi="Arial" w:cs="Arial"/>
        </w:rPr>
      </w:pPr>
      <w:r w:rsidRPr="00755B9E">
        <w:rPr>
          <w:rFonts w:ascii="Arial" w:eastAsia="Arial" w:hAnsi="Arial" w:cs="Arial"/>
          <w:i/>
          <w:iCs/>
          <w:lang w:val="es-MX"/>
        </w:rPr>
        <w:t xml:space="preserve">ii) </w:t>
      </w:r>
      <w:r w:rsidRPr="00755B9E">
        <w:rPr>
          <w:rFonts w:ascii="Arial" w:eastAsia="Arial" w:hAnsi="Arial" w:cs="Arial"/>
          <w:lang w:val="es-MX"/>
        </w:rPr>
        <w:t xml:space="preserve">Lo anterior, sin perjuicio de que para el proponente tenga consecuencias omitir o errar en la información específica de cada contrato –esto es, la cuantía o el plazo, entre otros–, pues la entidad podrá requerirlo para que aclare la información y, en caso de no responder, rechazar la propuesta por la causal que consagra el literal E del numeral 1.15. </w:t>
      </w:r>
    </w:p>
    <w:p w14:paraId="634A8A93" w14:textId="305B2398" w:rsidR="00E245AB" w:rsidRPr="00755B9E" w:rsidRDefault="36D437A8" w:rsidP="5A55573B">
      <w:pPr>
        <w:spacing w:before="120" w:after="120" w:line="276" w:lineRule="auto"/>
        <w:ind w:firstLine="708"/>
        <w:jc w:val="both"/>
        <w:rPr>
          <w:rFonts w:ascii="Arial" w:hAnsi="Arial" w:cs="Arial"/>
        </w:rPr>
      </w:pPr>
      <w:r w:rsidRPr="00755B9E">
        <w:rPr>
          <w:rFonts w:ascii="Arial" w:eastAsia="Arial" w:hAnsi="Arial" w:cs="Arial"/>
          <w:i/>
          <w:iCs/>
          <w:lang w:val="es-MX"/>
        </w:rPr>
        <w:t xml:space="preserve">iii) </w:t>
      </w:r>
      <w:r w:rsidRPr="00755B9E">
        <w:rPr>
          <w:rFonts w:ascii="Arial" w:eastAsia="Arial" w:hAnsi="Arial" w:cs="Arial"/>
          <w:lang w:val="es-MX"/>
        </w:rPr>
        <w:t>Lo dicho en los numerales precedentes tampoco descarta la posibilidad de que la entidad rechace la oferta si encuentra configurada la causal establecida en el literal H del numeral 1.15, que aplica cuando el proponente aporta información inexacta, de acuerdo con lo señalado en el numeral 1.11. del documento base.</w:t>
      </w:r>
    </w:p>
    <w:p w14:paraId="25FE9035" w14:textId="7CAF115E" w:rsidR="00E245AB" w:rsidRPr="00755B9E" w:rsidRDefault="36D437A8" w:rsidP="5A55573B">
      <w:pPr>
        <w:spacing w:before="120" w:after="120" w:line="276" w:lineRule="auto"/>
        <w:ind w:firstLine="708"/>
        <w:jc w:val="both"/>
        <w:rPr>
          <w:rFonts w:ascii="Arial" w:hAnsi="Arial" w:cs="Arial"/>
        </w:rPr>
      </w:pPr>
      <w:r w:rsidRPr="00755B9E">
        <w:rPr>
          <w:rFonts w:ascii="Arial" w:eastAsia="Arial" w:hAnsi="Arial" w:cs="Arial"/>
          <w:lang w:val="es-MX"/>
        </w:rPr>
        <w:t xml:space="preserve">En relación con las reglas de subsanabilidad de las ofertas de la Ley 1150 de 2007, es necesario precisar que solo habrá lugar a subsanar en los eventos en los que el proponente omite información sobre los contratos informados, esto es, en el evento de la causal del literal E. Dicho de otra forma, no se puede subsanar cuando se incurre en las causales H y Z, eventos en los cuales el rechazo procede de forma automática, es decir, sin permitirle al proponente subsanar la </w:t>
      </w:r>
      <w:r w:rsidR="00A51D65">
        <w:rPr>
          <w:rFonts w:ascii="Arial" w:eastAsia="Arial" w:hAnsi="Arial" w:cs="Arial"/>
          <w:lang w:val="es-MX"/>
        </w:rPr>
        <w:t>“</w:t>
      </w:r>
      <w:r w:rsidRPr="00755B9E">
        <w:rPr>
          <w:rFonts w:ascii="Arial" w:eastAsia="Arial" w:hAnsi="Arial" w:cs="Arial"/>
          <w:lang w:val="es-MX"/>
        </w:rPr>
        <w:t>inexactitud</w:t>
      </w:r>
      <w:r w:rsidR="00A51D65">
        <w:rPr>
          <w:rFonts w:ascii="Arial" w:eastAsia="Arial" w:hAnsi="Arial" w:cs="Arial"/>
          <w:lang w:val="es-MX"/>
        </w:rPr>
        <w:t>”</w:t>
      </w:r>
      <w:r w:rsidRPr="00755B9E">
        <w:rPr>
          <w:rFonts w:ascii="Arial" w:eastAsia="Arial" w:hAnsi="Arial" w:cs="Arial"/>
          <w:lang w:val="es-MX"/>
        </w:rPr>
        <w:t xml:space="preserve"> de la oferta o el número de contratos de obra que tenía el deber de reportar, dada la forma en que están configuradas las causales de rechazo enunciadas.</w:t>
      </w:r>
    </w:p>
    <w:p w14:paraId="55AEB6E7" w14:textId="1D9D6965" w:rsidR="00E245AB" w:rsidRPr="00755B9E" w:rsidRDefault="36D437A8" w:rsidP="5A55573B">
      <w:pPr>
        <w:spacing w:before="120" w:after="120" w:line="276" w:lineRule="auto"/>
        <w:ind w:firstLine="709"/>
        <w:jc w:val="both"/>
        <w:rPr>
          <w:rFonts w:ascii="Arial" w:hAnsi="Arial" w:cs="Arial"/>
        </w:rPr>
      </w:pPr>
      <w:r w:rsidRPr="00755B9E">
        <w:rPr>
          <w:rFonts w:ascii="Arial" w:eastAsia="Arial" w:hAnsi="Arial" w:cs="Arial"/>
        </w:rPr>
        <w:t xml:space="preserve">En relación con el literal H del numeral 1.15. del documento base, en el entendido de que el supuesto de hecho de esa causal, esto es, lo que genera el rechazo de la oferta, es la acción del proponente de aportar «[…] información inexacta sobre la cual pueda existir una posible falsedad […]», no la ausencia de la información que podría haberse tomado del contrato viciado de falsedad. </w:t>
      </w:r>
      <w:r w:rsidRPr="00755B9E">
        <w:rPr>
          <w:rFonts w:ascii="Arial" w:eastAsia="Arial" w:hAnsi="Arial" w:cs="Arial"/>
          <w:color w:val="000000" w:themeColor="text1"/>
        </w:rPr>
        <w:t xml:space="preserve">En este sentido, la configuración de la causal se determinará teniendo en cuenta si la información inexacta conduce a una posible falsedad. Piénsese en el evento en que el proponente reporta todos los contratos de obra en ejecución en el formato de saldos de contratos en ejecución, pero </w:t>
      </w:r>
      <w:r w:rsidRPr="00755B9E">
        <w:rPr>
          <w:rFonts w:ascii="Arial" w:eastAsia="Arial" w:hAnsi="Arial" w:cs="Arial"/>
          <w:color w:val="000000" w:themeColor="text1"/>
          <w:lang w:val="es-MX"/>
        </w:rPr>
        <w:t>incurre en algún error en la información de estos contratos, como por ejemplo en el valor o el plazo</w:t>
      </w:r>
      <w:r w:rsidRPr="00755B9E">
        <w:rPr>
          <w:rFonts w:ascii="Arial" w:eastAsia="Arial" w:hAnsi="Arial" w:cs="Arial"/>
          <w:color w:val="000000" w:themeColor="text1"/>
        </w:rPr>
        <w:t>. En este caso, conforme a la explicación precedente, en principio, no se trata de información inexacta que tenga la connotación de falsedad por lo que no habría lugar a rechazo de la propuesta por esta causal. Por ello, si el proponente omite o se equivoca en la información específica de un contrato incluido en el formato respectivo</w:t>
      </w:r>
      <w:r w:rsidRPr="00755B9E">
        <w:rPr>
          <w:rFonts w:ascii="Arial" w:eastAsia="Arial" w:hAnsi="Arial" w:cs="Arial"/>
          <w:color w:val="000000" w:themeColor="text1"/>
          <w:lang w:val="es-MX"/>
        </w:rPr>
        <w:t>, la entidad podrá requerirlo para que aclare la información y, en caso de no responder, rechazar la propuesta por la causal que consagra el literal E del numeral 1.15</w:t>
      </w:r>
      <w:r w:rsidRPr="00755B9E">
        <w:rPr>
          <w:rFonts w:ascii="Arial" w:eastAsia="Arial" w:hAnsi="Arial" w:cs="Arial"/>
        </w:rPr>
        <w:t xml:space="preserve">. </w:t>
      </w:r>
    </w:p>
    <w:p w14:paraId="4E83A698" w14:textId="41AA56A4" w:rsidR="00E245AB" w:rsidRPr="00755B9E" w:rsidRDefault="36D437A8" w:rsidP="5A55573B">
      <w:pPr>
        <w:spacing w:before="120" w:after="120" w:line="276" w:lineRule="auto"/>
        <w:ind w:firstLine="709"/>
        <w:jc w:val="both"/>
        <w:rPr>
          <w:rFonts w:ascii="Arial" w:hAnsi="Arial" w:cs="Arial"/>
        </w:rPr>
      </w:pPr>
      <w:r w:rsidRPr="00755B9E">
        <w:rPr>
          <w:rFonts w:ascii="Arial" w:eastAsia="Arial" w:hAnsi="Arial" w:cs="Arial"/>
          <w:color w:val="000000" w:themeColor="text1"/>
        </w:rPr>
        <w:lastRenderedPageBreak/>
        <w:t xml:space="preserve">Sin embargo, las situaciones en la que la información inexacta conduce a una posible falsedad pueden ser múltiples y su configuración como causal de rechazo dependerá de las circunstancias particulares de cada caso. Por consiguiente, la entidad estatal deberá analizar concretamente cada una de ellas para determinar si existe una posible falsedad, caso en el cual, luego de dar la oportunidad para que el proponente se manifieste, es procedente rechazar la oferta y compulsar copias a las autoridades competentes, quienes adelantarán las respectivas investigaciones. </w:t>
      </w:r>
    </w:p>
    <w:p w14:paraId="29F8FACD" w14:textId="7AFBA03B" w:rsidR="00E245AB" w:rsidRPr="00755B9E" w:rsidRDefault="36D437A8" w:rsidP="5A55573B">
      <w:pPr>
        <w:spacing w:after="120" w:line="276" w:lineRule="auto"/>
        <w:ind w:firstLine="709"/>
        <w:jc w:val="both"/>
        <w:rPr>
          <w:rFonts w:ascii="Arial" w:hAnsi="Arial" w:cs="Arial"/>
        </w:rPr>
      </w:pPr>
      <w:r w:rsidRPr="00755B9E">
        <w:rPr>
          <w:rFonts w:ascii="Arial" w:eastAsia="Arial" w:hAnsi="Arial" w:cs="Arial"/>
        </w:rPr>
        <w:t>En relación con la información contractual no incluida que pueda afectar la capacidad residual del proponente, el pliego de condiciones del «Documento Tipo – Versión 3» de licitación para obra pública de infraestructura de transporte estableció una regla especial en el numeral 3.10.</w:t>
      </w:r>
    </w:p>
    <w:p w14:paraId="0D349646" w14:textId="56F2BCE0" w:rsidR="00E245AB" w:rsidRPr="00755B9E" w:rsidRDefault="36D437A8" w:rsidP="5A55573B">
      <w:pPr>
        <w:spacing w:after="120" w:line="276" w:lineRule="auto"/>
        <w:ind w:firstLine="709"/>
        <w:jc w:val="both"/>
        <w:rPr>
          <w:rFonts w:ascii="Arial" w:hAnsi="Arial" w:cs="Arial"/>
        </w:rPr>
      </w:pPr>
      <w:r w:rsidRPr="00755B9E">
        <w:rPr>
          <w:rFonts w:ascii="Arial" w:eastAsia="Arial" w:hAnsi="Arial" w:cs="Arial"/>
          <w:color w:val="000000" w:themeColor="text1"/>
        </w:rPr>
        <w:t xml:space="preserve">De conformidad con esta regla, el rechazo de la oferta procede cuando en ejercicio de la potestad verificadora se advierta que se dejó de incluir información que afecta la capacidad residual del proponente, esto es, la referente a contratos de obra en ejecución. </w:t>
      </w:r>
      <w:r w:rsidRPr="00755B9E">
        <w:rPr>
          <w:rFonts w:ascii="Arial" w:eastAsia="Arial" w:hAnsi="Arial" w:cs="Arial"/>
        </w:rPr>
        <w:t>Es del caso precisar que la expresión «afecta la capacidad residual» no se restringe a aquellos eventos en los que la información omitida conduce a que el proponente no cumpla con la exigencia de capacidad residual, pues, incluso, si la información omitida no conduce al incumplimiento de dicho requisito, estaríamos frente a un supuesto que cubre esa noción. Esto concuerda con la causal de rechazo prevista en el literal “H” del numeral 1.15 del documento base, el cual autoriza el rechazo de la propuesta en el evento en “Que el Proponente aporte información inexacta sobre la cual pueda existir una posible falsedad en los términos de la sección 1.11”.</w:t>
      </w:r>
    </w:p>
    <w:p w14:paraId="51E0C163" w14:textId="3D3D5E27" w:rsidR="00E245AB" w:rsidRPr="00755B9E" w:rsidRDefault="36D437A8" w:rsidP="5A55573B">
      <w:pPr>
        <w:spacing w:before="120" w:after="120" w:line="276" w:lineRule="auto"/>
        <w:ind w:firstLine="708"/>
        <w:jc w:val="both"/>
        <w:rPr>
          <w:rFonts w:ascii="Arial" w:hAnsi="Arial" w:cs="Arial"/>
        </w:rPr>
      </w:pPr>
      <w:r w:rsidRPr="00755B9E">
        <w:rPr>
          <w:rFonts w:ascii="Arial" w:eastAsia="Arial" w:hAnsi="Arial" w:cs="Arial"/>
        </w:rPr>
        <w:t>Según lo expuesto, al verificarse que el proponente no incluyó información contractual que afecte su capacidad residual, la entidad no estará en posición de solicitar aclaraciones, o acudir al régimen de subsanabilidad de ofertas. Esto en la medida que tal circunstancia constituye una causal de rechazo en los términos de los literales H y Z del numeral 1.15 del documento base, las cuales deberán analizar, caso a caso, las entidades contratantes conforme a los parámetros antes mencionados.</w:t>
      </w:r>
    </w:p>
    <w:p w14:paraId="725831BC" w14:textId="370FB42A" w:rsidR="00E245AB" w:rsidRPr="00755B9E" w:rsidRDefault="36D437A8" w:rsidP="00C0042C">
      <w:pPr>
        <w:spacing w:after="120" w:line="276" w:lineRule="auto"/>
        <w:jc w:val="both"/>
        <w:rPr>
          <w:rFonts w:ascii="Arial" w:hAnsi="Arial" w:cs="Arial"/>
        </w:rPr>
      </w:pPr>
      <w:r w:rsidRPr="00755B9E">
        <w:rPr>
          <w:rFonts w:ascii="Arial" w:eastAsia="Arial" w:hAnsi="Arial" w:cs="Arial"/>
          <w:lang w:val="es"/>
        </w:rPr>
        <w:t>En todo caso, resulta pertinente mencionar que, debe ser la entidad estatal quien determine si alguno de los supuestos de hecho contenidos en las causales de rechazo contenidas del numeral 1.15 del Documento Base de los “Documentos Tipo – Versión 3”, aplican frente a cada situación particular.</w:t>
      </w:r>
      <w:r w:rsidRPr="00755B9E">
        <w:rPr>
          <w:rFonts w:ascii="Arial" w:eastAsia="Arial" w:hAnsi="Arial" w:cs="Arial"/>
        </w:rPr>
        <w:t xml:space="preserve"> </w:t>
      </w:r>
    </w:p>
    <w:p w14:paraId="502F5EA7" w14:textId="2E55C139" w:rsidR="00E245AB" w:rsidRPr="00755B9E" w:rsidRDefault="36D437A8" w:rsidP="5A55573B">
      <w:pPr>
        <w:spacing w:before="120" w:after="120" w:line="276" w:lineRule="auto"/>
        <w:ind w:firstLine="708"/>
        <w:jc w:val="both"/>
        <w:rPr>
          <w:rFonts w:ascii="Arial" w:hAnsi="Arial" w:cs="Arial"/>
        </w:rPr>
      </w:pPr>
      <w:r w:rsidRPr="00755B9E">
        <w:rPr>
          <w:rFonts w:ascii="Arial" w:eastAsia="Arial" w:hAnsi="Arial" w:cs="Arial"/>
        </w:rPr>
        <w:t xml:space="preserve">En este sentido, </w:t>
      </w:r>
      <w:r w:rsidRPr="00755B9E">
        <w:rPr>
          <w:rFonts w:ascii="Arial" w:eastAsia="Arial" w:hAnsi="Arial" w:cs="Arial"/>
          <w:color w:val="1A1A1A"/>
        </w:rPr>
        <w:t xml:space="preserve">como se señaló en los numerales 2.1 y 2.2. de este concepto, </w:t>
      </w:r>
      <w:r w:rsidRPr="00755B9E">
        <w:rPr>
          <w:rFonts w:ascii="Arial" w:eastAsia="Arial" w:hAnsi="Arial" w:cs="Arial"/>
          <w:lang w:val="es-MX"/>
        </w:rPr>
        <w:t xml:space="preserve">conforme a las definiciones previstas en </w:t>
      </w:r>
      <w:r w:rsidRPr="00755B9E">
        <w:rPr>
          <w:rFonts w:ascii="Arial" w:eastAsia="Arial" w:hAnsi="Arial" w:cs="Arial"/>
          <w:lang w:val="es"/>
        </w:rPr>
        <w:t xml:space="preserve">la Guía indicada, el numeral II del literal E del numeral 3.10.2 del documento base dispone que </w:t>
      </w:r>
      <w:r w:rsidR="0028352C">
        <w:rPr>
          <w:rFonts w:ascii="Arial" w:eastAsia="Arial" w:hAnsi="Arial" w:cs="Arial"/>
          <w:lang w:val="es"/>
        </w:rPr>
        <w:t>“</w:t>
      </w:r>
      <w:r w:rsidRPr="00755B9E">
        <w:rPr>
          <w:rFonts w:ascii="Arial" w:eastAsia="Arial" w:hAnsi="Arial" w:cs="Arial"/>
          <w:lang w:val="es-MX"/>
        </w:rPr>
        <w:t xml:space="preserve">Los contratos de obras civiles en ejecución son aquellos que a la fecha de presentación de la oferta obligan al proponente con entidades estatales y con entidades privadas para ejecutar obras civiles. Estas incluyen las obras civiles de los contratos de concesión y los contratos de obra suscritos con </w:t>
      </w:r>
      <w:r w:rsidRPr="00755B9E">
        <w:rPr>
          <w:rFonts w:ascii="Arial" w:eastAsia="Arial" w:hAnsi="Arial" w:cs="Arial"/>
          <w:lang w:val="es-MX"/>
        </w:rPr>
        <w:lastRenderedPageBreak/>
        <w:t>concesionarios, así como, los contratos suspendidos y aquellos que no tengan acta de inicio. No se entenderán como contratos en ejecución los que se encuentren en liquidación</w:t>
      </w:r>
      <w:r w:rsidR="0028352C">
        <w:rPr>
          <w:rFonts w:ascii="Arial" w:eastAsia="Arial" w:hAnsi="Arial" w:cs="Arial"/>
          <w:lang w:val="es-MX"/>
        </w:rPr>
        <w:t>”</w:t>
      </w:r>
      <w:r w:rsidRPr="00755B9E">
        <w:rPr>
          <w:rFonts w:ascii="Arial" w:eastAsia="Arial" w:hAnsi="Arial" w:cs="Arial"/>
          <w:lang w:val="es-MX"/>
        </w:rPr>
        <w:t xml:space="preserve">. </w:t>
      </w:r>
    </w:p>
    <w:p w14:paraId="240BF760" w14:textId="3F5FB7FA" w:rsidR="00E245AB" w:rsidRPr="00755B9E" w:rsidRDefault="36D437A8" w:rsidP="00C0042C">
      <w:pPr>
        <w:spacing w:after="0" w:line="276" w:lineRule="auto"/>
        <w:jc w:val="both"/>
        <w:rPr>
          <w:rFonts w:ascii="Arial" w:hAnsi="Arial" w:cs="Arial"/>
        </w:rPr>
      </w:pPr>
      <w:r w:rsidRPr="00755B9E">
        <w:rPr>
          <w:rFonts w:ascii="Arial" w:eastAsia="Arial" w:hAnsi="Arial" w:cs="Arial"/>
          <w:lang w:val="es-MX"/>
        </w:rPr>
        <w:t xml:space="preserve">Como se observa, la definición solo aplica a los </w:t>
      </w:r>
      <w:r w:rsidRPr="00755B9E">
        <w:rPr>
          <w:rFonts w:ascii="Arial" w:eastAsia="Arial" w:hAnsi="Arial" w:cs="Arial"/>
          <w:i/>
          <w:iCs/>
          <w:lang w:val="es-MX"/>
        </w:rPr>
        <w:t>contratos perfeccionados</w:t>
      </w:r>
      <w:r w:rsidRPr="00755B9E">
        <w:rPr>
          <w:rFonts w:ascii="Arial" w:eastAsia="Arial" w:hAnsi="Arial" w:cs="Arial"/>
          <w:lang w:val="es-MX"/>
        </w:rPr>
        <w:t xml:space="preserve">, aunque estos estén suspendidos o no tengan acta de inicio. Por tanto, estarían fuera de esta los procesos de selección </w:t>
      </w:r>
      <w:r w:rsidRPr="00755B9E">
        <w:rPr>
          <w:rFonts w:ascii="Arial" w:eastAsia="Arial" w:hAnsi="Arial" w:cs="Arial"/>
          <w:i/>
          <w:iCs/>
          <w:lang w:val="es-MX"/>
        </w:rPr>
        <w:t>adjudicados</w:t>
      </w:r>
      <w:r w:rsidRPr="00755B9E">
        <w:rPr>
          <w:rFonts w:ascii="Arial" w:eastAsia="Arial" w:hAnsi="Arial" w:cs="Arial"/>
          <w:lang w:val="es-MX"/>
        </w:rPr>
        <w:t xml:space="preserve">, pues –en los términos del artículo 41 de la Ley 80 de 1993– los contratos estatales de las entidades sometidas al Estatuto General de Contratación de la Administración Pública </w:t>
      </w:r>
      <w:r w:rsidRPr="00755B9E">
        <w:rPr>
          <w:rFonts w:ascii="Arial" w:eastAsia="Arial" w:hAnsi="Arial" w:cs="Arial"/>
        </w:rPr>
        <w:t xml:space="preserve">se perfeccionan cuando se logre acuerdo sobre el objeto y la contraprestación y éste se eleve a escrito, lo cual ocurre con la suscripción formal del contrato y no con el acto de adjudicación. Lo expuesto es congruente con </w:t>
      </w:r>
      <w:r w:rsidRPr="00755B9E">
        <w:rPr>
          <w:rFonts w:ascii="Arial" w:eastAsia="Arial" w:hAnsi="Arial" w:cs="Arial"/>
          <w:color w:val="000000" w:themeColor="text1"/>
          <w:lang w:val="es-MX"/>
        </w:rPr>
        <w:t xml:space="preserve">el artículo 2.2.1.1.1.6.4 del Decreto 1082 de 2015, en virtud del cual, para efectos de </w:t>
      </w:r>
      <w:r w:rsidRPr="00755B9E">
        <w:rPr>
          <w:rFonts w:ascii="Arial" w:eastAsia="Arial" w:hAnsi="Arial" w:cs="Arial"/>
          <w:lang w:val="es-MX"/>
        </w:rPr>
        <w:t>acreditar la capacidad residual del proponente, se requiere el listado de contratos de obra civiles en ejecución suscritos con entidades estatales y con entidades privadas.</w:t>
      </w:r>
    </w:p>
    <w:p w14:paraId="0CF95BC5" w14:textId="3C9516EC" w:rsidR="00E245AB" w:rsidRPr="00755B9E" w:rsidRDefault="36D437A8" w:rsidP="5A55573B">
      <w:pPr>
        <w:spacing w:before="120" w:after="0" w:line="276" w:lineRule="auto"/>
        <w:jc w:val="both"/>
        <w:rPr>
          <w:rFonts w:ascii="Arial" w:hAnsi="Arial" w:cs="Arial"/>
        </w:rPr>
      </w:pPr>
      <w:r w:rsidRPr="00071A9D">
        <w:rPr>
          <w:rFonts w:ascii="Arial" w:eastAsia="Arial" w:hAnsi="Arial" w:cs="Arial"/>
          <w:lang w:val="es"/>
        </w:rPr>
        <w:t>Este concepto tiene el alcance previsto en el artículo 28 del Código de Procedimiento Administrativo y de lo Contencioso Administrativo.</w:t>
      </w:r>
    </w:p>
    <w:p w14:paraId="6DFA42A0" w14:textId="57EC3595" w:rsidR="00E245AB" w:rsidRPr="00755B9E" w:rsidRDefault="36D437A8" w:rsidP="5A55573B">
      <w:pPr>
        <w:spacing w:after="0" w:line="276" w:lineRule="auto"/>
        <w:jc w:val="both"/>
        <w:rPr>
          <w:rFonts w:ascii="Arial" w:hAnsi="Arial" w:cs="Arial"/>
        </w:rPr>
      </w:pPr>
      <w:r w:rsidRPr="00071A9D">
        <w:rPr>
          <w:rFonts w:ascii="Arial" w:eastAsia="Arial" w:hAnsi="Arial" w:cs="Arial"/>
          <w:lang w:val="es"/>
        </w:rPr>
        <w:t xml:space="preserve"> </w:t>
      </w:r>
    </w:p>
    <w:p w14:paraId="054A6EF2" w14:textId="79346F37" w:rsidR="00E245AB" w:rsidRDefault="36D437A8" w:rsidP="5A55573B">
      <w:pPr>
        <w:spacing w:after="0" w:line="276" w:lineRule="auto"/>
        <w:jc w:val="both"/>
        <w:rPr>
          <w:rFonts w:ascii="Arial" w:eastAsia="Arial" w:hAnsi="Arial" w:cs="Arial"/>
          <w:lang w:val="es"/>
        </w:rPr>
      </w:pPr>
      <w:r w:rsidRPr="00071A9D">
        <w:rPr>
          <w:rFonts w:ascii="Arial" w:eastAsia="Arial" w:hAnsi="Arial" w:cs="Arial"/>
          <w:lang w:val="es"/>
        </w:rPr>
        <w:t>Atentamente,</w:t>
      </w:r>
    </w:p>
    <w:p w14:paraId="06006FD4" w14:textId="61E42B34" w:rsidR="00590679" w:rsidRDefault="00DD2D97" w:rsidP="00DD2D97">
      <w:pPr>
        <w:spacing w:after="0" w:line="276" w:lineRule="auto"/>
        <w:jc w:val="center"/>
        <w:rPr>
          <w:rFonts w:ascii="Arial" w:eastAsia="Arial" w:hAnsi="Arial" w:cs="Arial"/>
          <w:lang w:val="es"/>
        </w:rPr>
      </w:pPr>
      <w:r>
        <w:rPr>
          <w:noProof/>
        </w:rPr>
        <w:drawing>
          <wp:inline distT="0" distB="0" distL="0" distR="0" wp14:anchorId="06543A52" wp14:editId="684E0D77">
            <wp:extent cx="3161665" cy="1209040"/>
            <wp:effectExtent l="0" t="0" r="635" b="0"/>
            <wp:docPr id="54863959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639599" name="Imagen 1" descr="Texto&#10;&#10;Descripción generada automáticamente"/>
                    <pic:cNvPicPr>
                      <a:picLocks noChangeAspect="1"/>
                    </pic:cNvPicPr>
                  </pic:nvPicPr>
                  <pic:blipFill>
                    <a:blip r:embed="rId13"/>
                    <a:stretch>
                      <a:fillRect/>
                    </a:stretch>
                  </pic:blipFill>
                  <pic:spPr>
                    <a:xfrm>
                      <a:off x="0" y="0"/>
                      <a:ext cx="3161665" cy="1209040"/>
                    </a:xfrm>
                    <a:prstGeom prst="rect">
                      <a:avLst/>
                    </a:prstGeom>
                  </pic:spPr>
                </pic:pic>
              </a:graphicData>
            </a:graphic>
          </wp:inline>
        </w:drawing>
      </w:r>
    </w:p>
    <w:p w14:paraId="0F492E11" w14:textId="7EACA078" w:rsidR="00590679" w:rsidRPr="003575DD" w:rsidRDefault="00590679" w:rsidP="00D54DE6">
      <w:pPr>
        <w:spacing w:after="0" w:line="276" w:lineRule="auto"/>
        <w:jc w:val="center"/>
        <w:rPr>
          <w:rFonts w:ascii="Arial" w:eastAsia="Arial" w:hAnsi="Arial" w:cs="Arial"/>
          <w:lang w:val="es"/>
        </w:rPr>
      </w:pPr>
    </w:p>
    <w:tbl>
      <w:tblPr>
        <w:tblW w:w="0" w:type="auto"/>
        <w:tblInd w:w="75" w:type="dxa"/>
        <w:tblLayout w:type="fixed"/>
        <w:tblLook w:val="04A0" w:firstRow="1" w:lastRow="0" w:firstColumn="1" w:lastColumn="0" w:noHBand="0" w:noVBand="1"/>
      </w:tblPr>
      <w:tblGrid>
        <w:gridCol w:w="810"/>
        <w:gridCol w:w="4440"/>
      </w:tblGrid>
      <w:tr w:rsidR="5A55573B" w:rsidRPr="00071A9D" w14:paraId="6705445F" w14:textId="77777777" w:rsidTr="5A55573B">
        <w:trPr>
          <w:trHeight w:val="300"/>
        </w:trPr>
        <w:tc>
          <w:tcPr>
            <w:tcW w:w="810" w:type="dxa"/>
            <w:tcMar>
              <w:left w:w="108" w:type="dxa"/>
              <w:right w:w="108" w:type="dxa"/>
            </w:tcMar>
            <w:vAlign w:val="center"/>
          </w:tcPr>
          <w:p w14:paraId="7D3B3EA6" w14:textId="762A41BC" w:rsidR="5A55573B" w:rsidRPr="00755B9E" w:rsidRDefault="5A55573B" w:rsidP="5A55573B">
            <w:pPr>
              <w:spacing w:after="0"/>
              <w:jc w:val="both"/>
              <w:rPr>
                <w:rFonts w:ascii="Arial" w:hAnsi="Arial" w:cs="Arial"/>
              </w:rPr>
            </w:pPr>
            <w:r w:rsidRPr="00071A9D">
              <w:rPr>
                <w:rFonts w:ascii="Arial" w:eastAsia="Arial" w:hAnsi="Arial" w:cs="Arial"/>
                <w:sz w:val="16"/>
                <w:szCs w:val="16"/>
              </w:rPr>
              <w:t>Elabor:</w:t>
            </w:r>
          </w:p>
        </w:tc>
        <w:tc>
          <w:tcPr>
            <w:tcW w:w="4440" w:type="dxa"/>
            <w:tcBorders>
              <w:top w:val="nil"/>
              <w:bottom w:val="dotted" w:sz="8" w:space="0" w:color="7F7F7F" w:themeColor="text1" w:themeTint="80"/>
              <w:right w:val="nil"/>
            </w:tcBorders>
            <w:tcMar>
              <w:left w:w="108" w:type="dxa"/>
              <w:right w:w="108" w:type="dxa"/>
            </w:tcMar>
            <w:vAlign w:val="center"/>
          </w:tcPr>
          <w:p w14:paraId="67F01463" w14:textId="107B38A0" w:rsidR="5A55573B" w:rsidRPr="00755B9E" w:rsidRDefault="5A55573B" w:rsidP="5A55573B">
            <w:pPr>
              <w:spacing w:after="0"/>
              <w:jc w:val="both"/>
              <w:rPr>
                <w:rFonts w:ascii="Arial" w:hAnsi="Arial" w:cs="Arial"/>
              </w:rPr>
            </w:pPr>
            <w:r w:rsidRPr="00071A9D">
              <w:rPr>
                <w:rFonts w:ascii="Arial" w:eastAsia="Arial" w:hAnsi="Arial" w:cs="Arial"/>
                <w:color w:val="FF0000"/>
                <w:sz w:val="16"/>
                <w:szCs w:val="16"/>
              </w:rPr>
              <w:t xml:space="preserve"> </w:t>
            </w:r>
          </w:p>
          <w:p w14:paraId="185F948C" w14:textId="7EFF119A" w:rsidR="5A55573B" w:rsidRPr="00755B9E" w:rsidRDefault="5A55573B" w:rsidP="5A55573B">
            <w:pPr>
              <w:spacing w:after="0"/>
              <w:jc w:val="both"/>
              <w:rPr>
                <w:rFonts w:ascii="Arial" w:hAnsi="Arial" w:cs="Arial"/>
              </w:rPr>
            </w:pPr>
            <w:r w:rsidRPr="00071A9D">
              <w:rPr>
                <w:rFonts w:ascii="Arial" w:eastAsia="Arial" w:hAnsi="Arial" w:cs="Arial"/>
                <w:sz w:val="16"/>
                <w:szCs w:val="16"/>
              </w:rPr>
              <w:t xml:space="preserve">Johanna Ovalle Clavijo </w:t>
            </w:r>
          </w:p>
          <w:p w14:paraId="7589FDCB" w14:textId="19CA83B1" w:rsidR="5A55573B" w:rsidRPr="00755B9E" w:rsidRDefault="5A55573B" w:rsidP="5A55573B">
            <w:pPr>
              <w:spacing w:after="0"/>
              <w:jc w:val="both"/>
              <w:rPr>
                <w:rFonts w:ascii="Arial" w:hAnsi="Arial" w:cs="Arial"/>
              </w:rPr>
            </w:pPr>
            <w:r w:rsidRPr="00071A9D">
              <w:rPr>
                <w:rFonts w:ascii="Arial" w:eastAsia="Arial" w:hAnsi="Arial" w:cs="Arial"/>
                <w:sz w:val="16"/>
                <w:szCs w:val="16"/>
              </w:rPr>
              <w:t xml:space="preserve">Contratista de la Subdirección de Gestión Contractual  </w:t>
            </w:r>
          </w:p>
        </w:tc>
      </w:tr>
      <w:tr w:rsidR="5A55573B" w:rsidRPr="00071A9D" w14:paraId="6E30B2E0" w14:textId="77777777" w:rsidTr="5A55573B">
        <w:trPr>
          <w:trHeight w:val="285"/>
        </w:trPr>
        <w:tc>
          <w:tcPr>
            <w:tcW w:w="810" w:type="dxa"/>
            <w:tcMar>
              <w:left w:w="108" w:type="dxa"/>
              <w:right w:w="108" w:type="dxa"/>
            </w:tcMar>
            <w:vAlign w:val="center"/>
          </w:tcPr>
          <w:p w14:paraId="4B040B9F" w14:textId="2FDBA615" w:rsidR="5A55573B" w:rsidRPr="00755B9E" w:rsidRDefault="5A55573B" w:rsidP="5A55573B">
            <w:pPr>
              <w:spacing w:after="0"/>
              <w:jc w:val="both"/>
              <w:rPr>
                <w:rFonts w:ascii="Arial" w:hAnsi="Arial" w:cs="Arial"/>
              </w:rPr>
            </w:pPr>
            <w:r w:rsidRPr="00071A9D">
              <w:rPr>
                <w:rFonts w:ascii="Arial" w:eastAsia="Arial" w:hAnsi="Arial" w:cs="Arial"/>
                <w:sz w:val="16"/>
                <w:szCs w:val="16"/>
              </w:rPr>
              <w:t>Revisó:</w:t>
            </w:r>
          </w:p>
        </w:tc>
        <w:tc>
          <w:tcPr>
            <w:tcW w:w="4440" w:type="dxa"/>
            <w:tcBorders>
              <w:top w:val="dotted" w:sz="8" w:space="0" w:color="7F7F7F" w:themeColor="text1" w:themeTint="80"/>
              <w:bottom w:val="dotted" w:sz="8" w:space="0" w:color="7F7F7F" w:themeColor="text1" w:themeTint="80"/>
              <w:right w:val="nil"/>
            </w:tcBorders>
            <w:tcMar>
              <w:left w:w="108" w:type="dxa"/>
              <w:right w:w="108" w:type="dxa"/>
            </w:tcMar>
            <w:vAlign w:val="center"/>
          </w:tcPr>
          <w:p w14:paraId="7550C119" w14:textId="5A256E8C" w:rsidR="5A55573B" w:rsidRPr="00755B9E" w:rsidRDefault="5A55573B" w:rsidP="5A55573B">
            <w:pPr>
              <w:spacing w:after="0"/>
              <w:jc w:val="both"/>
              <w:rPr>
                <w:rFonts w:ascii="Arial" w:hAnsi="Arial" w:cs="Arial"/>
              </w:rPr>
            </w:pPr>
            <w:r w:rsidRPr="00071A9D">
              <w:rPr>
                <w:rFonts w:ascii="Arial" w:eastAsia="Arial" w:hAnsi="Arial" w:cs="Arial"/>
                <w:sz w:val="16"/>
                <w:szCs w:val="16"/>
              </w:rPr>
              <w:t xml:space="preserve">Juan David </w:t>
            </w:r>
            <w:r w:rsidR="00D54DE6" w:rsidRPr="00071A9D">
              <w:rPr>
                <w:rFonts w:ascii="Arial" w:eastAsia="Arial" w:hAnsi="Arial" w:cs="Arial"/>
                <w:sz w:val="16"/>
                <w:szCs w:val="16"/>
              </w:rPr>
              <w:t>Cárdenas</w:t>
            </w:r>
            <w:r w:rsidRPr="00071A9D">
              <w:rPr>
                <w:rFonts w:ascii="Arial" w:eastAsia="Arial" w:hAnsi="Arial" w:cs="Arial"/>
                <w:sz w:val="16"/>
                <w:szCs w:val="16"/>
              </w:rPr>
              <w:t xml:space="preserve"> </w:t>
            </w:r>
            <w:r w:rsidR="00071A9D" w:rsidRPr="00071A9D">
              <w:rPr>
                <w:rFonts w:ascii="Arial" w:eastAsia="Arial" w:hAnsi="Arial" w:cs="Arial"/>
                <w:sz w:val="16"/>
                <w:szCs w:val="16"/>
              </w:rPr>
              <w:t>Cabeza</w:t>
            </w:r>
          </w:p>
          <w:p w14:paraId="6D61B78A" w14:textId="7FAD7178" w:rsidR="5A55573B" w:rsidRPr="00755B9E" w:rsidRDefault="00D54DE6" w:rsidP="5A55573B">
            <w:pPr>
              <w:spacing w:after="0"/>
              <w:jc w:val="both"/>
              <w:rPr>
                <w:rFonts w:ascii="Arial" w:hAnsi="Arial" w:cs="Arial"/>
              </w:rPr>
            </w:pPr>
            <w:r w:rsidRPr="00071A9D">
              <w:rPr>
                <w:rFonts w:ascii="Arial" w:eastAsia="Arial" w:hAnsi="Arial" w:cs="Arial"/>
                <w:sz w:val="16"/>
                <w:szCs w:val="16"/>
              </w:rPr>
              <w:t>Contratista</w:t>
            </w:r>
            <w:r w:rsidR="5A55573B" w:rsidRPr="00071A9D">
              <w:rPr>
                <w:rFonts w:ascii="Arial" w:eastAsia="Arial" w:hAnsi="Arial" w:cs="Arial"/>
                <w:sz w:val="16"/>
                <w:szCs w:val="16"/>
              </w:rPr>
              <w:t xml:space="preserve"> Subdirección de Gestión Contractual </w:t>
            </w:r>
          </w:p>
        </w:tc>
      </w:tr>
      <w:tr w:rsidR="5A55573B" w:rsidRPr="00071A9D" w14:paraId="4FA9EB8D" w14:textId="77777777" w:rsidTr="5A55573B">
        <w:trPr>
          <w:trHeight w:val="300"/>
        </w:trPr>
        <w:tc>
          <w:tcPr>
            <w:tcW w:w="810" w:type="dxa"/>
            <w:tcMar>
              <w:left w:w="108" w:type="dxa"/>
              <w:right w:w="108" w:type="dxa"/>
            </w:tcMar>
            <w:vAlign w:val="center"/>
          </w:tcPr>
          <w:p w14:paraId="6CF4C532" w14:textId="72BEBA13" w:rsidR="5A55573B" w:rsidRPr="00755B9E" w:rsidRDefault="5A55573B" w:rsidP="5A55573B">
            <w:pPr>
              <w:spacing w:after="0"/>
              <w:jc w:val="both"/>
              <w:rPr>
                <w:rFonts w:ascii="Arial" w:hAnsi="Arial" w:cs="Arial"/>
              </w:rPr>
            </w:pPr>
            <w:r w:rsidRPr="00071A9D">
              <w:rPr>
                <w:rFonts w:ascii="Arial" w:eastAsia="Arial" w:hAnsi="Arial" w:cs="Arial"/>
                <w:sz w:val="16"/>
                <w:szCs w:val="16"/>
              </w:rPr>
              <w:t>Aprobó:</w:t>
            </w:r>
          </w:p>
        </w:tc>
        <w:tc>
          <w:tcPr>
            <w:tcW w:w="4440" w:type="dxa"/>
            <w:tcBorders>
              <w:top w:val="dotted" w:sz="8" w:space="0" w:color="7F7F7F" w:themeColor="text1" w:themeTint="80"/>
              <w:bottom w:val="dotted" w:sz="8" w:space="0" w:color="7F7F7F" w:themeColor="text1" w:themeTint="80"/>
              <w:right w:val="nil"/>
            </w:tcBorders>
            <w:tcMar>
              <w:left w:w="108" w:type="dxa"/>
              <w:right w:w="108" w:type="dxa"/>
            </w:tcMar>
            <w:vAlign w:val="center"/>
          </w:tcPr>
          <w:p w14:paraId="717800B8" w14:textId="3EBBAAA3" w:rsidR="5A55573B" w:rsidRPr="00755B9E" w:rsidRDefault="5A55573B" w:rsidP="5A55573B">
            <w:pPr>
              <w:spacing w:after="0"/>
              <w:jc w:val="both"/>
              <w:rPr>
                <w:rFonts w:ascii="Arial" w:hAnsi="Arial" w:cs="Arial"/>
              </w:rPr>
            </w:pPr>
            <w:r w:rsidRPr="00071A9D">
              <w:rPr>
                <w:rFonts w:ascii="Arial" w:eastAsia="Arial" w:hAnsi="Arial" w:cs="Arial"/>
                <w:sz w:val="16"/>
                <w:szCs w:val="16"/>
              </w:rPr>
              <w:t>Nohelia Del Carmen Zawady Palacio</w:t>
            </w:r>
          </w:p>
          <w:p w14:paraId="5884F9E8" w14:textId="072C6E74" w:rsidR="5A55573B" w:rsidRPr="00755B9E" w:rsidRDefault="5A55573B" w:rsidP="5A55573B">
            <w:pPr>
              <w:spacing w:after="0"/>
              <w:jc w:val="both"/>
              <w:rPr>
                <w:rFonts w:ascii="Arial" w:hAnsi="Arial" w:cs="Arial"/>
              </w:rPr>
            </w:pPr>
            <w:r w:rsidRPr="00071A9D">
              <w:rPr>
                <w:rFonts w:ascii="Arial" w:eastAsia="Arial" w:hAnsi="Arial" w:cs="Arial"/>
                <w:sz w:val="16"/>
                <w:szCs w:val="16"/>
              </w:rPr>
              <w:t xml:space="preserve">Subdirectora de Gestión Contractual ANCP – CCE </w:t>
            </w:r>
          </w:p>
        </w:tc>
      </w:tr>
    </w:tbl>
    <w:p w14:paraId="0D7CCFC0" w14:textId="3B80910D" w:rsidR="00E245AB" w:rsidRPr="00755B9E" w:rsidRDefault="36D437A8" w:rsidP="5A55573B">
      <w:pPr>
        <w:tabs>
          <w:tab w:val="left" w:pos="3795"/>
        </w:tabs>
        <w:spacing w:after="0"/>
        <w:rPr>
          <w:rFonts w:ascii="Arial" w:hAnsi="Arial" w:cs="Arial"/>
        </w:rPr>
      </w:pPr>
      <w:r w:rsidRPr="0F52091B">
        <w:rPr>
          <w:rFonts w:ascii="Arial" w:eastAsia="Arial" w:hAnsi="Arial" w:cs="Arial"/>
          <w:sz w:val="24"/>
          <w:szCs w:val="24"/>
          <w:lang w:val="es"/>
        </w:rPr>
        <w:t xml:space="preserve"> </w:t>
      </w:r>
    </w:p>
    <w:p w14:paraId="23C96016" w14:textId="42156B61" w:rsidR="00E245AB" w:rsidRPr="00755B9E" w:rsidRDefault="36D437A8" w:rsidP="5A55573B">
      <w:pPr>
        <w:spacing w:after="0"/>
        <w:rPr>
          <w:rFonts w:ascii="Arial" w:hAnsi="Arial" w:cs="Arial"/>
        </w:rPr>
      </w:pPr>
      <w:r w:rsidRPr="00071A9D">
        <w:rPr>
          <w:rFonts w:ascii="Arial" w:eastAsia="Arial" w:hAnsi="Arial" w:cs="Arial"/>
          <w:sz w:val="24"/>
          <w:szCs w:val="24"/>
        </w:rPr>
        <w:t xml:space="preserve"> </w:t>
      </w:r>
    </w:p>
    <w:p w14:paraId="78053B45" w14:textId="43C90157" w:rsidR="00322A85" w:rsidRPr="00322A85" w:rsidRDefault="00E245AB" w:rsidP="00C0042C">
      <w:pPr>
        <w:spacing w:after="0"/>
        <w:rPr>
          <w:rFonts w:ascii="Century Gothic" w:eastAsia="Times New Roman" w:hAnsi="Century Gothic" w:cs="Segoe UI"/>
          <w:sz w:val="18"/>
          <w:szCs w:val="18"/>
          <w:lang w:eastAsia="es-CO"/>
        </w:rPr>
      </w:pPr>
      <w:r w:rsidRPr="00755B9E">
        <w:rPr>
          <w:rFonts w:ascii="Arial" w:hAnsi="Arial" w:cs="Arial"/>
        </w:rPr>
        <w:br/>
      </w:r>
      <w:bookmarkEnd w:id="0"/>
    </w:p>
    <w:p w14:paraId="0F293BF4" w14:textId="7BBFAB11" w:rsidR="00127233" w:rsidRPr="00322A85" w:rsidRDefault="00127233" w:rsidP="00665D70">
      <w:pPr>
        <w:spacing w:after="0"/>
        <w:jc w:val="both"/>
        <w:rPr>
          <w:rFonts w:ascii="Century Gothic" w:hAnsi="Century Gothic"/>
        </w:rPr>
      </w:pPr>
    </w:p>
    <w:sectPr w:rsidR="00127233" w:rsidRPr="00322A85" w:rsidSect="002E4FD9">
      <w:headerReference w:type="default" r:id="rId14"/>
      <w:footerReference w:type="default" r:id="rId15"/>
      <w:pgSz w:w="12240" w:h="15840" w:code="1"/>
      <w:pgMar w:top="1418" w:right="1701" w:bottom="1418" w:left="170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7A2C13" w14:textId="77777777" w:rsidR="00322854" w:rsidRDefault="00322854" w:rsidP="004A1847">
      <w:pPr>
        <w:spacing w:after="0" w:line="240" w:lineRule="auto"/>
      </w:pPr>
      <w:r>
        <w:separator/>
      </w:r>
    </w:p>
  </w:endnote>
  <w:endnote w:type="continuationSeparator" w:id="0">
    <w:p w14:paraId="329AD8C0" w14:textId="77777777" w:rsidR="00322854" w:rsidRDefault="00322854" w:rsidP="004A1847">
      <w:pPr>
        <w:spacing w:after="0" w:line="240" w:lineRule="auto"/>
      </w:pPr>
      <w:r>
        <w:continuationSeparator/>
      </w:r>
    </w:p>
  </w:endnote>
  <w:endnote w:type="continuationNotice" w:id="1">
    <w:p w14:paraId="5BB9CF98" w14:textId="77777777" w:rsidR="00322854" w:rsidRDefault="003228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3BA5BB2D" w:rsidR="004A1847" w:rsidRDefault="009419F9">
    <w:pPr>
      <w:pStyle w:val="Piedepgina"/>
    </w:pPr>
    <w:r>
      <w:rPr>
        <w:noProof/>
        <w:lang w:val="es-ES_tradnl" w:eastAsia="es-ES_tradnl"/>
      </w:rPr>
      <w:drawing>
        <wp:inline distT="0" distB="0" distL="0" distR="0" wp14:anchorId="600A8696" wp14:editId="357635FE">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val="es-ES_tradnl" w:eastAsia="es-ES_tradnl"/>
      </w:rPr>
      <w:drawing>
        <wp:anchor distT="0" distB="0" distL="114300" distR="114300" simplePos="0" relativeHeight="251658243" behindDoc="0" locked="0" layoutInCell="1" allowOverlap="1" wp14:anchorId="197AA269" wp14:editId="277B7D17">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0534DA7F"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71D456F" w14:textId="56C74A82" w:rsidR="00322A85" w:rsidRPr="003F3941" w:rsidRDefault="003F3941" w:rsidP="00322A85">
          <w:pPr>
            <w:pStyle w:val="Piedepgina"/>
            <w:jc w:val="center"/>
            <w:rPr>
              <w:rFonts w:ascii="Century Gothic" w:hAnsi="Century Gothic"/>
              <w:sz w:val="16"/>
              <w:szCs w:val="16"/>
            </w:rPr>
          </w:pPr>
          <w:r w:rsidRPr="003F3941">
            <w:rPr>
              <w:rFonts w:ascii="Century Gothic" w:hAnsi="Century Gothic"/>
              <w:sz w:val="16"/>
              <w:szCs w:val="16"/>
            </w:rPr>
            <w:t>VERSIÓN: 0</w:t>
          </w:r>
          <w:r w:rsidR="00322A85">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0C74553" w14:textId="54155018" w:rsidR="00FC2B5D" w:rsidRPr="003F3941" w:rsidRDefault="003F3941"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sidR="00B72CD3">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sidR="00CB6357">
            <w:rPr>
              <w:rFonts w:ascii="Century Gothic" w:eastAsia="Geo" w:hAnsi="Century Gothic" w:cs="Geo"/>
              <w:b/>
              <w:color w:val="000000"/>
              <w:sz w:val="16"/>
              <w:szCs w:val="16"/>
              <w:lang w:eastAsia="es-CO"/>
            </w:rPr>
            <w:t>1</w:t>
          </w:r>
          <w:r w:rsidR="00061B2A">
            <w:rPr>
              <w:rFonts w:ascii="Century Gothic" w:eastAsia="Geo" w:hAnsi="Century Gothic" w:cs="Geo"/>
              <w:b/>
              <w:color w:val="000000"/>
              <w:sz w:val="16"/>
              <w:szCs w:val="16"/>
              <w:lang w:eastAsia="es-CO"/>
            </w:rPr>
            <w:t>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5B51611F" w14:textId="5F4E4C24" w:rsidR="00FC2B5D" w:rsidRPr="003F3941" w:rsidRDefault="003F3941" w:rsidP="00FC2B5D">
          <w:pPr>
            <w:pStyle w:val="Piedepgina"/>
            <w:rPr>
              <w:rFonts w:ascii="Century Gothic" w:hAnsi="Century Gothic"/>
              <w:sz w:val="16"/>
              <w:szCs w:val="16"/>
            </w:rPr>
          </w:pPr>
          <w:r w:rsidRPr="003F3941">
            <w:rPr>
              <w:rFonts w:ascii="Century Gothic" w:hAnsi="Century Gothic"/>
              <w:sz w:val="16"/>
              <w:szCs w:val="16"/>
            </w:rPr>
            <w:t xml:space="preserve">FECHA: </w:t>
          </w:r>
          <w:r w:rsidR="002E4FD9">
            <w:rPr>
              <w:rFonts w:ascii="Century Gothic" w:hAnsi="Century Gothic"/>
              <w:sz w:val="16"/>
              <w:szCs w:val="16"/>
            </w:rPr>
            <w:t>31</w:t>
          </w:r>
          <w:r w:rsidRPr="003F3941">
            <w:rPr>
              <w:rFonts w:ascii="Century Gothic" w:hAnsi="Century Gothic"/>
              <w:sz w:val="16"/>
              <w:szCs w:val="16"/>
            </w:rPr>
            <w:t xml:space="preserve"> DE </w:t>
          </w:r>
          <w:r w:rsidR="00322A85">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6039C9C7" w:rsidR="00FC2B5D" w:rsidRPr="003F3941" w:rsidRDefault="003F3941"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PAGE  \* Arabic  \* MERGEFORMAT</w:instrText>
          </w:r>
          <w:r w:rsidR="00FC2B5D" w:rsidRPr="003F3941">
            <w:rPr>
              <w:rFonts w:ascii="Century Gothic" w:hAnsi="Century Gothic"/>
              <w:b/>
              <w:bCs/>
              <w:sz w:val="16"/>
              <w:szCs w:val="16"/>
            </w:rPr>
            <w:fldChar w:fldCharType="separate"/>
          </w:r>
          <w:r w:rsidR="007D658A">
            <w:rPr>
              <w:rFonts w:ascii="Century Gothic" w:hAnsi="Century Gothic"/>
              <w:b/>
              <w:bCs/>
              <w:noProof/>
              <w:sz w:val="16"/>
              <w:szCs w:val="16"/>
            </w:rPr>
            <w:t>17</w:t>
          </w:r>
          <w:r w:rsidR="00FC2B5D"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00FC2B5D" w:rsidRPr="003F3941">
            <w:rPr>
              <w:rFonts w:ascii="Century Gothic" w:hAnsi="Century Gothic"/>
              <w:b/>
              <w:bCs/>
              <w:sz w:val="16"/>
              <w:szCs w:val="16"/>
            </w:rPr>
            <w:fldChar w:fldCharType="begin"/>
          </w:r>
          <w:r w:rsidR="00FC2B5D" w:rsidRPr="003F3941">
            <w:rPr>
              <w:rFonts w:ascii="Century Gothic" w:hAnsi="Century Gothic"/>
              <w:b/>
              <w:bCs/>
              <w:sz w:val="16"/>
              <w:szCs w:val="16"/>
            </w:rPr>
            <w:instrText>NUMPAGES  \* Arabic  \* MERGEFORMAT</w:instrText>
          </w:r>
          <w:r w:rsidR="00FC2B5D" w:rsidRPr="003F3941">
            <w:rPr>
              <w:rFonts w:ascii="Century Gothic" w:hAnsi="Century Gothic"/>
              <w:b/>
              <w:bCs/>
              <w:sz w:val="16"/>
              <w:szCs w:val="16"/>
            </w:rPr>
            <w:fldChar w:fldCharType="separate"/>
          </w:r>
          <w:r w:rsidR="007D658A">
            <w:rPr>
              <w:rFonts w:ascii="Century Gothic" w:hAnsi="Century Gothic"/>
              <w:b/>
              <w:bCs/>
              <w:noProof/>
              <w:sz w:val="16"/>
              <w:szCs w:val="16"/>
            </w:rPr>
            <w:t>17</w:t>
          </w:r>
          <w:r w:rsidR="00FC2B5D" w:rsidRPr="003F3941">
            <w:rPr>
              <w:rFonts w:ascii="Century Gothic" w:hAnsi="Century Gothic"/>
              <w:b/>
              <w:bCs/>
              <w:sz w:val="16"/>
              <w:szCs w:val="16"/>
            </w:rPr>
            <w:fldChar w:fldCharType="end"/>
          </w:r>
        </w:p>
      </w:tc>
    </w:tr>
  </w:tbl>
  <w:p w14:paraId="744661F5" w14:textId="3FCEADD6" w:rsidR="006219F8" w:rsidRDefault="006219F8"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A1C450" w14:textId="77777777" w:rsidR="00322854" w:rsidRDefault="00322854" w:rsidP="004A1847">
      <w:pPr>
        <w:spacing w:after="0" w:line="240" w:lineRule="auto"/>
      </w:pPr>
      <w:r>
        <w:separator/>
      </w:r>
    </w:p>
  </w:footnote>
  <w:footnote w:type="continuationSeparator" w:id="0">
    <w:p w14:paraId="783FCB1F" w14:textId="77777777" w:rsidR="00322854" w:rsidRDefault="00322854" w:rsidP="004A1847">
      <w:pPr>
        <w:spacing w:after="0" w:line="240" w:lineRule="auto"/>
      </w:pPr>
      <w:r>
        <w:continuationSeparator/>
      </w:r>
    </w:p>
  </w:footnote>
  <w:footnote w:type="continuationNotice" w:id="1">
    <w:p w14:paraId="04C79454" w14:textId="77777777" w:rsidR="00322854" w:rsidRDefault="00322854">
      <w:pPr>
        <w:spacing w:after="0" w:line="240" w:lineRule="auto"/>
      </w:pPr>
    </w:p>
  </w:footnote>
  <w:footnote w:id="2">
    <w:p w14:paraId="638614DA" w14:textId="77777777" w:rsidR="00CE1B7F" w:rsidRPr="00EB4552" w:rsidRDefault="00CE1B7F" w:rsidP="00CE1B7F">
      <w:pPr>
        <w:spacing w:after="0"/>
        <w:ind w:firstLine="708"/>
        <w:jc w:val="both"/>
        <w:rPr>
          <w:rFonts w:ascii="Arial" w:hAnsi="Arial" w:cs="Arial"/>
          <w:sz w:val="14"/>
          <w:szCs w:val="14"/>
        </w:rPr>
      </w:pPr>
      <w:r w:rsidRPr="00EB4552">
        <w:rPr>
          <w:rStyle w:val="Refdenotaalpie"/>
          <w:rFonts w:ascii="Arial" w:hAnsi="Arial" w:cs="Arial"/>
          <w:sz w:val="14"/>
          <w:szCs w:val="14"/>
        </w:rPr>
        <w:footnoteRef/>
      </w:r>
      <w:r w:rsidRPr="00EB4552">
        <w:rPr>
          <w:rFonts w:ascii="Arial" w:hAnsi="Arial" w:cs="Arial"/>
          <w:sz w:val="14"/>
          <w:szCs w:val="14"/>
        </w:rPr>
        <w:t xml:space="preserve"> </w:t>
      </w:r>
      <w:r w:rsidRPr="00EB4552">
        <w:rPr>
          <w:rFonts w:ascii="Arial" w:eastAsia="Arial" w:hAnsi="Arial" w:cs="Arial"/>
          <w:sz w:val="14"/>
          <w:szCs w:val="14"/>
          <w:lang w:val="es"/>
        </w:rPr>
        <w:t>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ibidem 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733D12DD" w14:textId="29DAE74F" w:rsidR="00CE1B7F" w:rsidRPr="00EB4552" w:rsidRDefault="00CE1B7F">
      <w:pPr>
        <w:pStyle w:val="Textonotapie"/>
        <w:rPr>
          <w:rFonts w:ascii="Arial" w:hAnsi="Arial" w:cs="Arial"/>
          <w:sz w:val="14"/>
          <w:szCs w:val="14"/>
          <w:lang w:val="es-ES"/>
        </w:rPr>
      </w:pPr>
    </w:p>
  </w:footnote>
  <w:footnote w:id="3">
    <w:p w14:paraId="5C658818" w14:textId="77777777" w:rsidR="00CF5151" w:rsidRPr="00C27A19" w:rsidRDefault="00CF5151" w:rsidP="00CF5151">
      <w:pPr>
        <w:spacing w:after="0"/>
        <w:ind w:firstLine="709"/>
        <w:rPr>
          <w:rFonts w:ascii="Arial" w:hAnsi="Arial" w:cs="Arial"/>
          <w:sz w:val="14"/>
          <w:szCs w:val="14"/>
        </w:rPr>
      </w:pPr>
      <w:r w:rsidRPr="00C27A19">
        <w:rPr>
          <w:rStyle w:val="Refdenotaalpie"/>
          <w:rFonts w:ascii="Arial" w:hAnsi="Arial" w:cs="Arial"/>
          <w:sz w:val="14"/>
          <w:szCs w:val="14"/>
        </w:rPr>
        <w:footnoteRef/>
      </w:r>
      <w:r w:rsidRPr="00C27A19">
        <w:rPr>
          <w:rFonts w:ascii="Arial" w:hAnsi="Arial" w:cs="Arial"/>
          <w:sz w:val="14"/>
          <w:szCs w:val="14"/>
        </w:rPr>
        <w:t xml:space="preserve"> </w:t>
      </w:r>
      <w:r w:rsidRPr="00C27A19">
        <w:rPr>
          <w:rFonts w:ascii="Arial" w:eastAsia="Arial" w:hAnsi="Arial" w:cs="Arial"/>
          <w:color w:val="000000" w:themeColor="text1"/>
          <w:sz w:val="14"/>
          <w:szCs w:val="14"/>
          <w:lang w:val="es-MX"/>
        </w:rPr>
        <w:t xml:space="preserve">Decreto 1082 de 2015: «Articulo 2.2.1.1.1.3.1. Definiciones. Los términos no definidos en el Título I de la Parte 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 </w:t>
      </w:r>
    </w:p>
    <w:p w14:paraId="3E22DB15" w14:textId="77777777" w:rsidR="00CF5151" w:rsidRPr="00C27A19" w:rsidRDefault="00CF5151" w:rsidP="00CF5151">
      <w:pPr>
        <w:spacing w:after="0"/>
        <w:ind w:firstLine="709"/>
        <w:rPr>
          <w:rFonts w:ascii="Arial" w:hAnsi="Arial" w:cs="Arial"/>
          <w:sz w:val="14"/>
          <w:szCs w:val="14"/>
        </w:rPr>
      </w:pPr>
      <w:r w:rsidRPr="00C27A19">
        <w:rPr>
          <w:rFonts w:ascii="Arial" w:eastAsia="Arial" w:hAnsi="Arial" w:cs="Arial"/>
          <w:color w:val="000000" w:themeColor="text1"/>
          <w:sz w:val="14"/>
          <w:szCs w:val="14"/>
          <w:lang w:val="es-MX"/>
        </w:rPr>
        <w:t>[…]</w:t>
      </w:r>
    </w:p>
    <w:p w14:paraId="053FAA6E" w14:textId="7A6B4A86" w:rsidR="00CF5151" w:rsidRPr="00C27A19" w:rsidRDefault="00CF5151" w:rsidP="001E6778">
      <w:pPr>
        <w:spacing w:after="0"/>
        <w:rPr>
          <w:lang w:val="es-ES"/>
        </w:rPr>
      </w:pPr>
      <w:r w:rsidRPr="00C27A19">
        <w:rPr>
          <w:rFonts w:ascii="Arial" w:eastAsia="Arial" w:hAnsi="Arial" w:cs="Arial"/>
          <w:color w:val="000000" w:themeColor="text1"/>
          <w:sz w:val="14"/>
          <w:szCs w:val="14"/>
          <w:lang w:val="es-MX"/>
        </w:rPr>
        <w:t>“Capacidad Residual o K de Contratación: Aptitud de un oferente para cumplir oportuna y cabalmente con el objeto de un contrato de obra, sin que sus otros compromisos contractuales afecten su habilidad de cumplir con el contrato que está en proceso de selección”.</w:t>
      </w:r>
    </w:p>
  </w:footnote>
  <w:footnote w:id="4">
    <w:p w14:paraId="7454E6BF" w14:textId="77777777" w:rsidR="00644389" w:rsidRPr="001E6778" w:rsidRDefault="00644389" w:rsidP="001E6778">
      <w:pPr>
        <w:spacing w:after="0"/>
        <w:rPr>
          <w:rFonts w:ascii="Arial" w:hAnsi="Arial" w:cs="Arial"/>
          <w:sz w:val="14"/>
          <w:szCs w:val="14"/>
        </w:rPr>
      </w:pPr>
      <w:r w:rsidRPr="001E6778">
        <w:rPr>
          <w:rStyle w:val="Refdenotaalpie"/>
          <w:rFonts w:ascii="Arial" w:hAnsi="Arial" w:cs="Arial"/>
          <w:sz w:val="14"/>
          <w:szCs w:val="14"/>
        </w:rPr>
        <w:footnoteRef/>
      </w:r>
      <w:r w:rsidRPr="001E6778">
        <w:rPr>
          <w:rFonts w:ascii="Arial" w:hAnsi="Arial" w:cs="Arial"/>
          <w:sz w:val="14"/>
          <w:szCs w:val="14"/>
        </w:rPr>
        <w:t xml:space="preserve"> </w:t>
      </w:r>
      <w:r w:rsidRPr="001E6778">
        <w:rPr>
          <w:rFonts w:ascii="Arial" w:eastAsia="Arial" w:hAnsi="Arial" w:cs="Arial"/>
          <w:color w:val="000000" w:themeColor="text1"/>
          <w:sz w:val="14"/>
          <w:szCs w:val="14"/>
          <w:lang w:val="es-MX"/>
        </w:rPr>
        <w:t xml:space="preserve">Consejo de Estado. Sección Tercera. Sentencia del 26 de junio de 2003. Rad. 13.354. C.P: María Elena Giraldo Gómez. </w:t>
      </w:r>
    </w:p>
    <w:p w14:paraId="569BBC19" w14:textId="782526D8" w:rsidR="00644389" w:rsidRPr="001E6778" w:rsidRDefault="00644389">
      <w:pPr>
        <w:pStyle w:val="Textonotapie"/>
        <w:rPr>
          <w:rFonts w:ascii="Arial" w:hAnsi="Arial" w:cs="Arial"/>
          <w:sz w:val="14"/>
          <w:szCs w:val="14"/>
          <w:lang w:val="es-ES"/>
        </w:rPr>
      </w:pPr>
    </w:p>
  </w:footnote>
  <w:footnote w:id="5">
    <w:p w14:paraId="46C5BBBA" w14:textId="77777777" w:rsidR="000C390F" w:rsidRPr="000C390F" w:rsidRDefault="003764DE" w:rsidP="000C390F">
      <w:pPr>
        <w:spacing w:after="0"/>
        <w:ind w:firstLine="709"/>
        <w:rPr>
          <w:rFonts w:ascii="Arial" w:hAnsi="Arial" w:cs="Arial"/>
          <w:sz w:val="14"/>
          <w:szCs w:val="14"/>
        </w:rPr>
      </w:pPr>
      <w:r w:rsidRPr="000C390F">
        <w:rPr>
          <w:rStyle w:val="Refdenotaalpie"/>
          <w:rFonts w:ascii="Arial" w:hAnsi="Arial" w:cs="Arial"/>
          <w:sz w:val="14"/>
          <w:szCs w:val="14"/>
        </w:rPr>
        <w:footnoteRef/>
      </w:r>
      <w:r w:rsidRPr="000C390F">
        <w:rPr>
          <w:rFonts w:ascii="Arial" w:hAnsi="Arial" w:cs="Arial"/>
          <w:sz w:val="14"/>
          <w:szCs w:val="14"/>
        </w:rPr>
        <w:t xml:space="preserve"> </w:t>
      </w:r>
      <w:r w:rsidR="000C390F" w:rsidRPr="000C390F">
        <w:rPr>
          <w:rFonts w:ascii="Arial" w:eastAsia="Arial" w:hAnsi="Arial" w:cs="Arial"/>
          <w:sz w:val="14"/>
          <w:szCs w:val="14"/>
        </w:rPr>
        <w:t>“Artículo 2.2.1.1.1.6.4. Capacidad Residual: El interesado en celebrar contratos de obra pública con Entidades Estatales debe acreditar su Capacidad Residual o K de Contratación con los siguientes documentos:</w:t>
      </w:r>
    </w:p>
    <w:p w14:paraId="2ABF9D52" w14:textId="77777777" w:rsidR="000C390F" w:rsidRPr="000C390F" w:rsidRDefault="000C390F" w:rsidP="000C390F">
      <w:pPr>
        <w:spacing w:after="0"/>
        <w:ind w:firstLine="709"/>
        <w:jc w:val="both"/>
        <w:rPr>
          <w:rFonts w:ascii="Arial" w:hAnsi="Arial" w:cs="Arial"/>
          <w:sz w:val="14"/>
          <w:szCs w:val="14"/>
        </w:rPr>
      </w:pPr>
      <w:r w:rsidRPr="000C390F">
        <w:rPr>
          <w:rFonts w:ascii="Arial" w:eastAsia="Arial" w:hAnsi="Arial" w:cs="Arial"/>
          <w:sz w:val="14"/>
          <w:szCs w:val="14"/>
        </w:rPr>
        <w:t>“1. La lista de los contratos de obras civiles en ejecución suscritos con Entidades Estatales y con entidades privadas, así como el valor y plazo de tales contratos, incluyendo contratos de concesión y los contratos de obra suscritos con concesionarios.</w:t>
      </w:r>
    </w:p>
    <w:p w14:paraId="140328F6" w14:textId="77777777" w:rsidR="000C390F" w:rsidRPr="000C390F" w:rsidRDefault="000C390F" w:rsidP="000C390F">
      <w:pPr>
        <w:spacing w:after="0"/>
        <w:ind w:firstLine="709"/>
        <w:jc w:val="both"/>
        <w:rPr>
          <w:rFonts w:ascii="Arial" w:hAnsi="Arial" w:cs="Arial"/>
          <w:sz w:val="14"/>
          <w:szCs w:val="14"/>
        </w:rPr>
      </w:pPr>
      <w:r w:rsidRPr="000C390F">
        <w:rPr>
          <w:rFonts w:ascii="Arial" w:eastAsia="Arial" w:hAnsi="Arial" w:cs="Arial"/>
          <w:sz w:val="14"/>
          <w:szCs w:val="14"/>
        </w:rPr>
        <w:t>“2. La lista de los contratos de obras civiles en ejecución, suscritos por sociedades, consorcios o uniones temporales, en los cuales el proponente tenga participación, con Entidades Estatales y con entidades privadas, así como el valor y plazo de tales contratos, incluyendo los contratos de concesión y los contratos de obra suscritos con concesionarios.</w:t>
      </w:r>
    </w:p>
    <w:p w14:paraId="5847147F" w14:textId="77777777" w:rsidR="000C390F" w:rsidRPr="00755B9E" w:rsidRDefault="000C390F" w:rsidP="000C390F">
      <w:pPr>
        <w:spacing w:after="0"/>
        <w:ind w:firstLine="709"/>
        <w:jc w:val="both"/>
        <w:rPr>
          <w:rFonts w:ascii="Arial" w:hAnsi="Arial" w:cs="Arial"/>
        </w:rPr>
      </w:pPr>
      <w:r w:rsidRPr="000C390F">
        <w:rPr>
          <w:rFonts w:ascii="Arial" w:eastAsia="Arial" w:hAnsi="Arial" w:cs="Arial"/>
          <w:sz w:val="14"/>
          <w:szCs w:val="14"/>
        </w:rPr>
        <w:t>“3. Balance general auditado del año inmediatamente anterior y estado de resultados auditado del año en que haya obtenido el mayor ingreso operacional en los últimos cinco (5) años. Los estados financieros deben estar suscritos por el interesado o su representante legal y el revisor fiscal si está obligado a tenerlo, o el auditor o contador si no está obligado a tener revisor fiscal. Si se trata de proponentes obligados a tener RUP, las Entidades Estatales solo deben solicitar como documento adicional el estado de resultados del año en que el proponente obtuvo el mayor ingreso operacional en los últimos cinco (5) años”.</w:t>
      </w:r>
    </w:p>
    <w:p w14:paraId="4D7DA2B8" w14:textId="39EA2FA4" w:rsidR="003764DE" w:rsidRPr="000C390F" w:rsidRDefault="003764DE">
      <w:pPr>
        <w:pStyle w:val="Textonotapie"/>
        <w:rPr>
          <w:lang w:val="es-ES"/>
        </w:rPr>
      </w:pPr>
    </w:p>
  </w:footnote>
  <w:footnote w:id="6">
    <w:p w14:paraId="3686D657" w14:textId="409A805A" w:rsidR="0098621A" w:rsidRPr="004C2435" w:rsidRDefault="0098621A">
      <w:pPr>
        <w:pStyle w:val="Textonotapie"/>
        <w:rPr>
          <w:rFonts w:ascii="Arial" w:hAnsi="Arial" w:cs="Arial"/>
          <w:sz w:val="14"/>
          <w:szCs w:val="14"/>
          <w:lang w:val="es-ES"/>
        </w:rPr>
      </w:pPr>
      <w:r w:rsidRPr="004C2435">
        <w:rPr>
          <w:rStyle w:val="Refdenotaalpie"/>
          <w:rFonts w:ascii="Arial" w:hAnsi="Arial" w:cs="Arial"/>
          <w:sz w:val="14"/>
          <w:szCs w:val="14"/>
        </w:rPr>
        <w:footnoteRef/>
      </w:r>
      <w:r w:rsidRPr="004C2435">
        <w:rPr>
          <w:rFonts w:ascii="Arial" w:hAnsi="Arial" w:cs="Arial"/>
          <w:sz w:val="14"/>
          <w:szCs w:val="14"/>
        </w:rPr>
        <w:t xml:space="preserve"> </w:t>
      </w:r>
      <w:r w:rsidRPr="004C2435">
        <w:rPr>
          <w:rFonts w:ascii="Arial" w:eastAsia="Arial" w:hAnsi="Arial" w:cs="Arial"/>
          <w:sz w:val="14"/>
          <w:szCs w:val="14"/>
        </w:rPr>
        <w:t>Colombia Compra Eficiente. Concepto C-297 del 4 de junio de 2020.</w:t>
      </w:r>
    </w:p>
  </w:footnote>
  <w:footnote w:id="7">
    <w:p w14:paraId="4A52CE74" w14:textId="77777777" w:rsidR="00A9720A" w:rsidRPr="00A9720A" w:rsidRDefault="004A7403" w:rsidP="00A9720A">
      <w:pPr>
        <w:spacing w:after="0"/>
        <w:ind w:firstLine="708"/>
        <w:jc w:val="both"/>
        <w:rPr>
          <w:rFonts w:ascii="Arial" w:hAnsi="Arial" w:cs="Arial"/>
          <w:sz w:val="14"/>
          <w:szCs w:val="14"/>
        </w:rPr>
      </w:pPr>
      <w:r w:rsidRPr="00A9720A">
        <w:rPr>
          <w:rStyle w:val="Refdenotaalpie"/>
          <w:rFonts w:ascii="Arial" w:hAnsi="Arial" w:cs="Arial"/>
          <w:sz w:val="14"/>
          <w:szCs w:val="14"/>
        </w:rPr>
        <w:footnoteRef/>
      </w:r>
      <w:r w:rsidRPr="00A9720A">
        <w:rPr>
          <w:rFonts w:ascii="Arial" w:hAnsi="Arial" w:cs="Arial"/>
          <w:sz w:val="14"/>
          <w:szCs w:val="14"/>
        </w:rPr>
        <w:t xml:space="preserve"> </w:t>
      </w:r>
      <w:r w:rsidR="00A9720A" w:rsidRPr="00A9720A">
        <w:rPr>
          <w:rFonts w:ascii="Arial" w:eastAsia="Arial" w:hAnsi="Arial" w:cs="Arial"/>
          <w:sz w:val="14"/>
          <w:szCs w:val="14"/>
          <w:lang w:val="es-MX"/>
        </w:rPr>
        <w:t>Concepto C-196 de 2020. Radicado de entrada No. 4202013000001559. Radicado de salida No. 2202013000002534.</w:t>
      </w:r>
    </w:p>
    <w:p w14:paraId="6488FAB9" w14:textId="65C70730" w:rsidR="004A7403" w:rsidRPr="00A9720A" w:rsidRDefault="004A7403">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D12154" w14:textId="43B6B0B6" w:rsidR="00756841" w:rsidRDefault="00961B09">
    <w:pPr>
      <w:pStyle w:val="Encabezado"/>
    </w:pPr>
    <w:r>
      <w:rPr>
        <w:noProof/>
        <w:lang w:val="es-ES_tradnl" w:eastAsia="es-ES_tradnl"/>
      </w:rPr>
      <w:drawing>
        <wp:anchor distT="0" distB="0" distL="114300" distR="114300" simplePos="0" relativeHeight="251658240" behindDoc="1" locked="0" layoutInCell="1" allowOverlap="1" wp14:anchorId="748FC4A6" wp14:editId="75ADBD22">
          <wp:simplePos x="0" y="0"/>
          <wp:positionH relativeFrom="margin">
            <wp:align>right</wp:align>
          </wp:positionH>
          <wp:positionV relativeFrom="margin">
            <wp:posOffset>-1135380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002962BC" w:rsidRPr="00852E0B">
      <w:rPr>
        <w:rFonts w:ascii="Geomanist Bold" w:hAnsi="Geomanist Bold"/>
        <w:b/>
        <w:bCs/>
        <w:noProof/>
        <w:color w:val="46589C"/>
        <w:sz w:val="24"/>
        <w:szCs w:val="24"/>
        <w:lang w:val="es-ES_tradnl" w:eastAsia="es-ES_tradnl"/>
      </w:rPr>
      <w:drawing>
        <wp:anchor distT="0" distB="0" distL="114300" distR="114300" simplePos="0" relativeHeight="251658244" behindDoc="0" locked="0" layoutInCell="1" allowOverlap="1" wp14:anchorId="7E9042C1" wp14:editId="4CC480E9">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s-ES_tradnl" w:eastAsia="es-ES_tradnl"/>
      </w:rPr>
      <w:drawing>
        <wp:anchor distT="0" distB="0" distL="114300" distR="114300" simplePos="0" relativeHeight="251658242" behindDoc="0" locked="0" layoutInCell="1" allowOverlap="1" wp14:anchorId="4F745D08" wp14:editId="59122E37">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sidR="00FB5DD1">
      <w:rPr>
        <w:noProof/>
        <w:lang w:val="es-ES_tradnl" w:eastAsia="es-ES_tradnl"/>
      </w:rPr>
      <w:drawing>
        <wp:anchor distT="0" distB="0" distL="114300" distR="114300" simplePos="0" relativeHeight="251658241" behindDoc="0" locked="0" layoutInCell="1" allowOverlap="1" wp14:anchorId="38EA71DA" wp14:editId="78EBA25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435F4D03" w14:textId="67DABC48" w:rsidR="00756841" w:rsidRDefault="00756841">
    <w:pPr>
      <w:pStyle w:val="Encabezado"/>
    </w:pPr>
  </w:p>
  <w:p w14:paraId="1BE2B9AE" w14:textId="4B94DB3B" w:rsidR="00756841" w:rsidRDefault="00756841">
    <w:pPr>
      <w:pStyle w:val="Encabezado"/>
    </w:pPr>
  </w:p>
  <w:p w14:paraId="7FE1230C" w14:textId="77777777" w:rsidR="004A305D" w:rsidRPr="004A305D" w:rsidRDefault="004A305D"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7B0A8834" w14:textId="3D6F55FC" w:rsidR="004A305D" w:rsidRPr="004A305D" w:rsidRDefault="004A305D" w:rsidP="004A305D">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sidR="00CB6357">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sidR="00CB6357">
      <w:rPr>
        <w:rFonts w:ascii="Century Gothic" w:eastAsia="Geo" w:hAnsi="Century Gothic" w:cs="Geo"/>
        <w:bCs/>
        <w:color w:val="000000"/>
        <w:sz w:val="16"/>
        <w:szCs w:val="16"/>
        <w:lang w:eastAsia="es-CO"/>
      </w:rPr>
      <w:t>1</w:t>
    </w:r>
    <w:r w:rsidR="00061B2A">
      <w:rPr>
        <w:rFonts w:ascii="Century Gothic" w:eastAsia="Geo" w:hAnsi="Century Gothic" w:cs="Geo"/>
        <w:bCs/>
        <w:color w:val="000000"/>
        <w:sz w:val="16"/>
        <w:szCs w:val="16"/>
        <w:lang w:eastAsia="es-CO"/>
      </w:rPr>
      <w:t>7</w:t>
    </w:r>
  </w:p>
  <w:p w14:paraId="5E18350A" w14:textId="39FD735C" w:rsidR="004A305D" w:rsidRPr="004A305D" w:rsidRDefault="004A305D" w:rsidP="004A305D">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sidR="00322A85">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sidR="002E4FD9">
      <w:rPr>
        <w:rFonts w:ascii="Century Gothic" w:eastAsia="Geo" w:hAnsi="Century Gothic" w:cs="Geo"/>
        <w:sz w:val="16"/>
        <w:szCs w:val="16"/>
        <w:lang w:eastAsia="es-CO"/>
      </w:rPr>
      <w:t>31</w:t>
    </w:r>
    <w:r w:rsidR="00CB6357">
      <w:rPr>
        <w:rFonts w:ascii="Century Gothic" w:eastAsia="Geo" w:hAnsi="Century Gothic" w:cs="Geo"/>
        <w:sz w:val="16"/>
        <w:szCs w:val="16"/>
        <w:lang w:eastAsia="es-CO"/>
      </w:rPr>
      <w:t xml:space="preserve"> </w:t>
    </w:r>
    <w:r w:rsidRPr="004A305D">
      <w:rPr>
        <w:rFonts w:ascii="Century Gothic" w:eastAsia="Geo" w:hAnsi="Century Gothic" w:cs="Geo"/>
        <w:sz w:val="16"/>
        <w:szCs w:val="16"/>
        <w:lang w:eastAsia="es-CO"/>
      </w:rPr>
      <w:t xml:space="preserve">DE </w:t>
    </w:r>
    <w:r w:rsidR="00322A85">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sidR="00961B09">
      <w:rPr>
        <w:rFonts w:ascii="Century Gothic" w:eastAsia="Geo" w:hAnsi="Century Gothic" w:cs="Geo"/>
        <w:sz w:val="16"/>
        <w:szCs w:val="16"/>
        <w:lang w:eastAsia="es-CO"/>
      </w:rPr>
      <w:t>3</w:t>
    </w: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075455F"/>
    <w:multiLevelType w:val="multilevel"/>
    <w:tmpl w:val="97C05104"/>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ABE0CD4"/>
    <w:multiLevelType w:val="hybridMultilevel"/>
    <w:tmpl w:val="1592C608"/>
    <w:lvl w:ilvl="0" w:tplc="9BB4B7DC">
      <w:start w:val="1"/>
      <w:numFmt w:val="decimal"/>
      <w:lvlText w:val="%1."/>
      <w:lvlJc w:val="left"/>
      <w:pPr>
        <w:ind w:left="720" w:hanging="360"/>
      </w:pPr>
    </w:lvl>
    <w:lvl w:ilvl="1" w:tplc="E4204C9C">
      <w:start w:val="1"/>
      <w:numFmt w:val="lowerLetter"/>
      <w:lvlText w:val="%2."/>
      <w:lvlJc w:val="left"/>
      <w:pPr>
        <w:ind w:left="1440" w:hanging="360"/>
      </w:pPr>
    </w:lvl>
    <w:lvl w:ilvl="2" w:tplc="65527E02">
      <w:start w:val="1"/>
      <w:numFmt w:val="lowerRoman"/>
      <w:lvlText w:val="%3."/>
      <w:lvlJc w:val="right"/>
      <w:pPr>
        <w:ind w:left="2160" w:hanging="180"/>
      </w:pPr>
    </w:lvl>
    <w:lvl w:ilvl="3" w:tplc="A3FC9B14">
      <w:start w:val="1"/>
      <w:numFmt w:val="decimal"/>
      <w:lvlText w:val="%4."/>
      <w:lvlJc w:val="left"/>
      <w:pPr>
        <w:ind w:left="2880" w:hanging="360"/>
      </w:pPr>
    </w:lvl>
    <w:lvl w:ilvl="4" w:tplc="FBACA402">
      <w:start w:val="1"/>
      <w:numFmt w:val="lowerLetter"/>
      <w:lvlText w:val="%5."/>
      <w:lvlJc w:val="left"/>
      <w:pPr>
        <w:ind w:left="3600" w:hanging="360"/>
      </w:pPr>
    </w:lvl>
    <w:lvl w:ilvl="5" w:tplc="75244C20">
      <w:start w:val="1"/>
      <w:numFmt w:val="lowerRoman"/>
      <w:lvlText w:val="%6."/>
      <w:lvlJc w:val="right"/>
      <w:pPr>
        <w:ind w:left="4320" w:hanging="180"/>
      </w:pPr>
    </w:lvl>
    <w:lvl w:ilvl="6" w:tplc="DC8A14A2">
      <w:start w:val="1"/>
      <w:numFmt w:val="decimal"/>
      <w:lvlText w:val="%7."/>
      <w:lvlJc w:val="left"/>
      <w:pPr>
        <w:ind w:left="5040" w:hanging="360"/>
      </w:pPr>
    </w:lvl>
    <w:lvl w:ilvl="7" w:tplc="D9A2DF62">
      <w:start w:val="1"/>
      <w:numFmt w:val="lowerLetter"/>
      <w:lvlText w:val="%8."/>
      <w:lvlJc w:val="left"/>
      <w:pPr>
        <w:ind w:left="5760" w:hanging="360"/>
      </w:pPr>
    </w:lvl>
    <w:lvl w:ilvl="8" w:tplc="36584156">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1B02E"/>
    <w:multiLevelType w:val="hybridMultilevel"/>
    <w:tmpl w:val="9DEAB37C"/>
    <w:lvl w:ilvl="0" w:tplc="3DCE8D00">
      <w:start w:val="2"/>
      <w:numFmt w:val="decimal"/>
      <w:lvlText w:val="%1."/>
      <w:lvlJc w:val="left"/>
      <w:pPr>
        <w:ind w:left="720" w:hanging="360"/>
      </w:pPr>
    </w:lvl>
    <w:lvl w:ilvl="1" w:tplc="A828B038">
      <w:start w:val="1"/>
      <w:numFmt w:val="lowerLetter"/>
      <w:lvlText w:val="%2."/>
      <w:lvlJc w:val="left"/>
      <w:pPr>
        <w:ind w:left="1440" w:hanging="360"/>
      </w:pPr>
    </w:lvl>
    <w:lvl w:ilvl="2" w:tplc="D2DA6F0E">
      <w:start w:val="1"/>
      <w:numFmt w:val="lowerRoman"/>
      <w:lvlText w:val="%3."/>
      <w:lvlJc w:val="right"/>
      <w:pPr>
        <w:ind w:left="2160" w:hanging="180"/>
      </w:pPr>
    </w:lvl>
    <w:lvl w:ilvl="3" w:tplc="FD64A1F8">
      <w:start w:val="1"/>
      <w:numFmt w:val="decimal"/>
      <w:lvlText w:val="%4."/>
      <w:lvlJc w:val="left"/>
      <w:pPr>
        <w:ind w:left="2880" w:hanging="360"/>
      </w:pPr>
    </w:lvl>
    <w:lvl w:ilvl="4" w:tplc="1248B4B8">
      <w:start w:val="1"/>
      <w:numFmt w:val="lowerLetter"/>
      <w:lvlText w:val="%5."/>
      <w:lvlJc w:val="left"/>
      <w:pPr>
        <w:ind w:left="3600" w:hanging="360"/>
      </w:pPr>
    </w:lvl>
    <w:lvl w:ilvl="5" w:tplc="A1826E16">
      <w:start w:val="1"/>
      <w:numFmt w:val="lowerRoman"/>
      <w:lvlText w:val="%6."/>
      <w:lvlJc w:val="right"/>
      <w:pPr>
        <w:ind w:left="4320" w:hanging="180"/>
      </w:pPr>
    </w:lvl>
    <w:lvl w:ilvl="6" w:tplc="CAD27282">
      <w:start w:val="1"/>
      <w:numFmt w:val="decimal"/>
      <w:lvlText w:val="%7."/>
      <w:lvlJc w:val="left"/>
      <w:pPr>
        <w:ind w:left="5040" w:hanging="360"/>
      </w:pPr>
    </w:lvl>
    <w:lvl w:ilvl="7" w:tplc="8238062A">
      <w:start w:val="1"/>
      <w:numFmt w:val="lowerLetter"/>
      <w:lvlText w:val="%8."/>
      <w:lvlJc w:val="left"/>
      <w:pPr>
        <w:ind w:left="5760" w:hanging="360"/>
      </w:pPr>
    </w:lvl>
    <w:lvl w:ilvl="8" w:tplc="CCF8F5FA">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316323">
    <w:abstractNumId w:val="10"/>
  </w:num>
  <w:num w:numId="2" w16cid:durableId="1225414099">
    <w:abstractNumId w:val="3"/>
  </w:num>
  <w:num w:numId="3" w16cid:durableId="1092244827">
    <w:abstractNumId w:val="7"/>
  </w:num>
  <w:num w:numId="4" w16cid:durableId="1981767779">
    <w:abstractNumId w:val="2"/>
  </w:num>
  <w:num w:numId="5" w16cid:durableId="1257254661">
    <w:abstractNumId w:val="5"/>
  </w:num>
  <w:num w:numId="6" w16cid:durableId="7255515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71782058">
    <w:abstractNumId w:val="2"/>
  </w:num>
  <w:num w:numId="8" w16cid:durableId="5714186">
    <w:abstractNumId w:val="14"/>
  </w:num>
  <w:num w:numId="9" w16cid:durableId="1192764783">
    <w:abstractNumId w:val="6"/>
  </w:num>
  <w:num w:numId="10" w16cid:durableId="1123963451">
    <w:abstractNumId w:val="13"/>
  </w:num>
  <w:num w:numId="11" w16cid:durableId="539973892">
    <w:abstractNumId w:val="8"/>
  </w:num>
  <w:num w:numId="12" w16cid:durableId="1873179876">
    <w:abstractNumId w:val="12"/>
  </w:num>
  <w:num w:numId="13" w16cid:durableId="648245016">
    <w:abstractNumId w:val="9"/>
  </w:num>
  <w:num w:numId="14" w16cid:durableId="1642806943">
    <w:abstractNumId w:val="1"/>
  </w:num>
  <w:num w:numId="15" w16cid:durableId="409887634">
    <w:abstractNumId w:val="4"/>
  </w:num>
  <w:num w:numId="16" w16cid:durableId="1172793022">
    <w:abstractNumId w:val="15"/>
  </w:num>
  <w:num w:numId="17" w16cid:durableId="1594626721">
    <w:abstractNumId w:val="11"/>
  </w:num>
  <w:num w:numId="18" w16cid:durableId="14782623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E30"/>
    <w:rsid w:val="000278BF"/>
    <w:rsid w:val="00047F7A"/>
    <w:rsid w:val="00061B2A"/>
    <w:rsid w:val="000710A8"/>
    <w:rsid w:val="00071A9D"/>
    <w:rsid w:val="000730C1"/>
    <w:rsid w:val="00082362"/>
    <w:rsid w:val="000A683E"/>
    <w:rsid w:val="000B19B9"/>
    <w:rsid w:val="000C390F"/>
    <w:rsid w:val="000D0334"/>
    <w:rsid w:val="000F6486"/>
    <w:rsid w:val="00125105"/>
    <w:rsid w:val="00127233"/>
    <w:rsid w:val="0018319A"/>
    <w:rsid w:val="001D04A4"/>
    <w:rsid w:val="001E2F0A"/>
    <w:rsid w:val="001E4177"/>
    <w:rsid w:val="001E6778"/>
    <w:rsid w:val="001F0A6E"/>
    <w:rsid w:val="001F7DC6"/>
    <w:rsid w:val="00232260"/>
    <w:rsid w:val="0023745D"/>
    <w:rsid w:val="002421BB"/>
    <w:rsid w:val="00266010"/>
    <w:rsid w:val="002707A2"/>
    <w:rsid w:val="0028352C"/>
    <w:rsid w:val="002951A0"/>
    <w:rsid w:val="002962BC"/>
    <w:rsid w:val="002A093D"/>
    <w:rsid w:val="002A0DD0"/>
    <w:rsid w:val="002A49AC"/>
    <w:rsid w:val="002A64FD"/>
    <w:rsid w:val="002C7A84"/>
    <w:rsid w:val="002E2D30"/>
    <w:rsid w:val="002E4FD9"/>
    <w:rsid w:val="00305B64"/>
    <w:rsid w:val="00322854"/>
    <w:rsid w:val="00322A85"/>
    <w:rsid w:val="003350EC"/>
    <w:rsid w:val="00335258"/>
    <w:rsid w:val="003448F4"/>
    <w:rsid w:val="00356139"/>
    <w:rsid w:val="003575DD"/>
    <w:rsid w:val="00374F5E"/>
    <w:rsid w:val="003764DE"/>
    <w:rsid w:val="00377E3E"/>
    <w:rsid w:val="003A779E"/>
    <w:rsid w:val="003D0F4D"/>
    <w:rsid w:val="003D5B0D"/>
    <w:rsid w:val="003E0499"/>
    <w:rsid w:val="003E1F8D"/>
    <w:rsid w:val="003F3941"/>
    <w:rsid w:val="00406575"/>
    <w:rsid w:val="0042722E"/>
    <w:rsid w:val="004311FA"/>
    <w:rsid w:val="00464D7A"/>
    <w:rsid w:val="004A1847"/>
    <w:rsid w:val="004A305D"/>
    <w:rsid w:val="004A7403"/>
    <w:rsid w:val="004B708E"/>
    <w:rsid w:val="004C2435"/>
    <w:rsid w:val="004F21C4"/>
    <w:rsid w:val="004F685F"/>
    <w:rsid w:val="00513DB7"/>
    <w:rsid w:val="00523066"/>
    <w:rsid w:val="00537CE1"/>
    <w:rsid w:val="005566E8"/>
    <w:rsid w:val="00574867"/>
    <w:rsid w:val="00590679"/>
    <w:rsid w:val="00591460"/>
    <w:rsid w:val="005A2340"/>
    <w:rsid w:val="005C3777"/>
    <w:rsid w:val="005C5CDC"/>
    <w:rsid w:val="005D476C"/>
    <w:rsid w:val="005F3F11"/>
    <w:rsid w:val="006219F8"/>
    <w:rsid w:val="00644389"/>
    <w:rsid w:val="00665D70"/>
    <w:rsid w:val="00677375"/>
    <w:rsid w:val="006900D9"/>
    <w:rsid w:val="00691A43"/>
    <w:rsid w:val="00706C16"/>
    <w:rsid w:val="007414E2"/>
    <w:rsid w:val="00755B9E"/>
    <w:rsid w:val="00756841"/>
    <w:rsid w:val="007649AB"/>
    <w:rsid w:val="00771D0C"/>
    <w:rsid w:val="007833AC"/>
    <w:rsid w:val="007845D3"/>
    <w:rsid w:val="007A47B4"/>
    <w:rsid w:val="007B268C"/>
    <w:rsid w:val="007B7171"/>
    <w:rsid w:val="007C3DC2"/>
    <w:rsid w:val="007D658A"/>
    <w:rsid w:val="007D6A9E"/>
    <w:rsid w:val="007E5497"/>
    <w:rsid w:val="00806F5F"/>
    <w:rsid w:val="00820278"/>
    <w:rsid w:val="00867144"/>
    <w:rsid w:val="008843B6"/>
    <w:rsid w:val="00891928"/>
    <w:rsid w:val="008A446D"/>
    <w:rsid w:val="008D180B"/>
    <w:rsid w:val="008F0CAF"/>
    <w:rsid w:val="008F0EA7"/>
    <w:rsid w:val="00923EEF"/>
    <w:rsid w:val="009419F9"/>
    <w:rsid w:val="00960A36"/>
    <w:rsid w:val="00961B09"/>
    <w:rsid w:val="00965334"/>
    <w:rsid w:val="0097093E"/>
    <w:rsid w:val="0098621A"/>
    <w:rsid w:val="009A6976"/>
    <w:rsid w:val="009C71FA"/>
    <w:rsid w:val="009C72E7"/>
    <w:rsid w:val="009F3A13"/>
    <w:rsid w:val="00A122D3"/>
    <w:rsid w:val="00A17F13"/>
    <w:rsid w:val="00A20739"/>
    <w:rsid w:val="00A33C78"/>
    <w:rsid w:val="00A51D65"/>
    <w:rsid w:val="00A9720A"/>
    <w:rsid w:val="00AB02C6"/>
    <w:rsid w:val="00AB0ADB"/>
    <w:rsid w:val="00AF29A2"/>
    <w:rsid w:val="00B118AE"/>
    <w:rsid w:val="00B2493B"/>
    <w:rsid w:val="00B33F4A"/>
    <w:rsid w:val="00B55AC4"/>
    <w:rsid w:val="00B56D86"/>
    <w:rsid w:val="00B72CD3"/>
    <w:rsid w:val="00B72FFF"/>
    <w:rsid w:val="00B90B64"/>
    <w:rsid w:val="00BB4977"/>
    <w:rsid w:val="00BC3D36"/>
    <w:rsid w:val="00BD7F72"/>
    <w:rsid w:val="00BE4B15"/>
    <w:rsid w:val="00BF2157"/>
    <w:rsid w:val="00BF4BE0"/>
    <w:rsid w:val="00C0042C"/>
    <w:rsid w:val="00C04FB3"/>
    <w:rsid w:val="00C20926"/>
    <w:rsid w:val="00C27A19"/>
    <w:rsid w:val="00C32456"/>
    <w:rsid w:val="00C330EB"/>
    <w:rsid w:val="00C633A0"/>
    <w:rsid w:val="00C754BE"/>
    <w:rsid w:val="00C76B1C"/>
    <w:rsid w:val="00CB6357"/>
    <w:rsid w:val="00CC1B26"/>
    <w:rsid w:val="00CE1B7F"/>
    <w:rsid w:val="00CF4239"/>
    <w:rsid w:val="00CF5151"/>
    <w:rsid w:val="00D30B64"/>
    <w:rsid w:val="00D423A2"/>
    <w:rsid w:val="00D54DE6"/>
    <w:rsid w:val="00D63AC2"/>
    <w:rsid w:val="00D7383B"/>
    <w:rsid w:val="00D77E38"/>
    <w:rsid w:val="00D9192B"/>
    <w:rsid w:val="00DA231B"/>
    <w:rsid w:val="00DA23A8"/>
    <w:rsid w:val="00DD2D97"/>
    <w:rsid w:val="00DF5254"/>
    <w:rsid w:val="00E16408"/>
    <w:rsid w:val="00E20894"/>
    <w:rsid w:val="00E245AB"/>
    <w:rsid w:val="00E2764C"/>
    <w:rsid w:val="00E27F2E"/>
    <w:rsid w:val="00E50AFE"/>
    <w:rsid w:val="00E771DC"/>
    <w:rsid w:val="00E8087F"/>
    <w:rsid w:val="00E8772A"/>
    <w:rsid w:val="00E90F6B"/>
    <w:rsid w:val="00E92C27"/>
    <w:rsid w:val="00E92F1E"/>
    <w:rsid w:val="00E97D30"/>
    <w:rsid w:val="00EA0E3D"/>
    <w:rsid w:val="00EB4552"/>
    <w:rsid w:val="00ED0D60"/>
    <w:rsid w:val="00ED24DA"/>
    <w:rsid w:val="00EE1AA8"/>
    <w:rsid w:val="00EE4B0A"/>
    <w:rsid w:val="00EF75A1"/>
    <w:rsid w:val="00F31EDC"/>
    <w:rsid w:val="00F35F9D"/>
    <w:rsid w:val="00F462B3"/>
    <w:rsid w:val="00F5664F"/>
    <w:rsid w:val="00F666C4"/>
    <w:rsid w:val="00F76AFC"/>
    <w:rsid w:val="00F80241"/>
    <w:rsid w:val="00FB5DD1"/>
    <w:rsid w:val="00FC2B5D"/>
    <w:rsid w:val="00FE1123"/>
    <w:rsid w:val="00FF1449"/>
    <w:rsid w:val="02624D81"/>
    <w:rsid w:val="07601F93"/>
    <w:rsid w:val="0F52091B"/>
    <w:rsid w:val="36D437A8"/>
    <w:rsid w:val="37BBEFBC"/>
    <w:rsid w:val="53EF60C3"/>
    <w:rsid w:val="58B986DA"/>
    <w:rsid w:val="5A55573B"/>
    <w:rsid w:val="6CB41F7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styleId="Refdecomentario">
    <w:name w:val="annotation reference"/>
    <w:basedOn w:val="Fuentedeprrafopredeter"/>
    <w:uiPriority w:val="99"/>
    <w:semiHidden/>
    <w:unhideWhenUsed/>
    <w:rsid w:val="0023745D"/>
    <w:rPr>
      <w:sz w:val="16"/>
      <w:szCs w:val="16"/>
    </w:rPr>
  </w:style>
  <w:style w:type="paragraph" w:styleId="Textocomentario">
    <w:name w:val="annotation text"/>
    <w:basedOn w:val="Normal"/>
    <w:link w:val="TextocomentarioCar"/>
    <w:uiPriority w:val="99"/>
    <w:semiHidden/>
    <w:unhideWhenUsed/>
    <w:rsid w:val="0023745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3745D"/>
    <w:rPr>
      <w:sz w:val="20"/>
      <w:szCs w:val="20"/>
    </w:rPr>
  </w:style>
  <w:style w:type="paragraph" w:styleId="Asuntodelcomentario">
    <w:name w:val="annotation subject"/>
    <w:basedOn w:val="Textocomentario"/>
    <w:next w:val="Textocomentario"/>
    <w:link w:val="AsuntodelcomentarioCar"/>
    <w:uiPriority w:val="99"/>
    <w:semiHidden/>
    <w:unhideWhenUsed/>
    <w:rsid w:val="0023745D"/>
    <w:rPr>
      <w:b/>
      <w:bCs/>
    </w:rPr>
  </w:style>
  <w:style w:type="character" w:customStyle="1" w:styleId="AsuntodelcomentarioCar">
    <w:name w:val="Asunto del comentario Car"/>
    <w:basedOn w:val="TextocomentarioCar"/>
    <w:link w:val="Asuntodelcomentario"/>
    <w:uiPriority w:val="99"/>
    <w:semiHidden/>
    <w:rsid w:val="0023745D"/>
    <w:rPr>
      <w:b/>
      <w:bCs/>
      <w:sz w:val="20"/>
      <w:szCs w:val="20"/>
    </w:rPr>
  </w:style>
  <w:style w:type="paragraph" w:styleId="Textodeglobo">
    <w:name w:val="Balloon Text"/>
    <w:basedOn w:val="Normal"/>
    <w:link w:val="TextodegloboCar"/>
    <w:uiPriority w:val="99"/>
    <w:semiHidden/>
    <w:unhideWhenUsed/>
    <w:rsid w:val="000730C1"/>
    <w:pPr>
      <w:spacing w:after="0" w:line="240" w:lineRule="auto"/>
    </w:pPr>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0730C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90908271">
      <w:bodyDiv w:val="1"/>
      <w:marLeft w:val="0"/>
      <w:marRight w:val="0"/>
      <w:marTop w:val="0"/>
      <w:marBottom w:val="0"/>
      <w:divBdr>
        <w:top w:val="none" w:sz="0" w:space="0" w:color="auto"/>
        <w:left w:val="none" w:sz="0" w:space="0" w:color="auto"/>
        <w:bottom w:val="none" w:sz="0" w:space="0" w:color="auto"/>
        <w:right w:val="none" w:sz="0" w:space="0" w:color="auto"/>
      </w:divBdr>
      <w:divsChild>
        <w:div w:id="662011631">
          <w:marLeft w:val="0"/>
          <w:marRight w:val="0"/>
          <w:marTop w:val="0"/>
          <w:marBottom w:val="0"/>
          <w:divBdr>
            <w:top w:val="none" w:sz="0" w:space="0" w:color="auto"/>
            <w:left w:val="none" w:sz="0" w:space="0" w:color="auto"/>
            <w:bottom w:val="none" w:sz="0" w:space="0" w:color="auto"/>
            <w:right w:val="none" w:sz="0" w:space="0" w:color="auto"/>
          </w:divBdr>
        </w:div>
        <w:div w:id="1376853949">
          <w:marLeft w:val="0"/>
          <w:marRight w:val="0"/>
          <w:marTop w:val="0"/>
          <w:marBottom w:val="0"/>
          <w:divBdr>
            <w:top w:val="none" w:sz="0" w:space="0" w:color="auto"/>
            <w:left w:val="none" w:sz="0" w:space="0" w:color="auto"/>
            <w:bottom w:val="none" w:sz="0" w:space="0" w:color="auto"/>
            <w:right w:val="none" w:sz="0" w:space="0" w:color="auto"/>
          </w:divBdr>
        </w:div>
        <w:div w:id="636031103">
          <w:marLeft w:val="0"/>
          <w:marRight w:val="0"/>
          <w:marTop w:val="0"/>
          <w:marBottom w:val="0"/>
          <w:divBdr>
            <w:top w:val="none" w:sz="0" w:space="0" w:color="auto"/>
            <w:left w:val="none" w:sz="0" w:space="0" w:color="auto"/>
            <w:bottom w:val="none" w:sz="0" w:space="0" w:color="auto"/>
            <w:right w:val="none" w:sz="0" w:space="0" w:color="auto"/>
          </w:divBdr>
        </w:div>
        <w:div w:id="1581210716">
          <w:marLeft w:val="0"/>
          <w:marRight w:val="0"/>
          <w:marTop w:val="0"/>
          <w:marBottom w:val="0"/>
          <w:divBdr>
            <w:top w:val="none" w:sz="0" w:space="0" w:color="auto"/>
            <w:left w:val="none" w:sz="0" w:space="0" w:color="auto"/>
            <w:bottom w:val="none" w:sz="0" w:space="0" w:color="auto"/>
            <w:right w:val="none" w:sz="0" w:space="0" w:color="auto"/>
          </w:divBdr>
        </w:div>
        <w:div w:id="1440224880">
          <w:marLeft w:val="0"/>
          <w:marRight w:val="0"/>
          <w:marTop w:val="0"/>
          <w:marBottom w:val="0"/>
          <w:divBdr>
            <w:top w:val="none" w:sz="0" w:space="0" w:color="auto"/>
            <w:left w:val="none" w:sz="0" w:space="0" w:color="auto"/>
            <w:bottom w:val="none" w:sz="0" w:space="0" w:color="auto"/>
            <w:right w:val="none" w:sz="0" w:space="0" w:color="auto"/>
          </w:divBdr>
        </w:div>
        <w:div w:id="1510098585">
          <w:marLeft w:val="0"/>
          <w:marRight w:val="0"/>
          <w:marTop w:val="0"/>
          <w:marBottom w:val="0"/>
          <w:divBdr>
            <w:top w:val="none" w:sz="0" w:space="0" w:color="auto"/>
            <w:left w:val="none" w:sz="0" w:space="0" w:color="auto"/>
            <w:bottom w:val="none" w:sz="0" w:space="0" w:color="auto"/>
            <w:right w:val="none" w:sz="0" w:space="0" w:color="auto"/>
          </w:divBdr>
        </w:div>
        <w:div w:id="2129347915">
          <w:marLeft w:val="0"/>
          <w:marRight w:val="0"/>
          <w:marTop w:val="0"/>
          <w:marBottom w:val="0"/>
          <w:divBdr>
            <w:top w:val="none" w:sz="0" w:space="0" w:color="auto"/>
            <w:left w:val="none" w:sz="0" w:space="0" w:color="auto"/>
            <w:bottom w:val="none" w:sz="0" w:space="0" w:color="auto"/>
            <w:right w:val="none" w:sz="0" w:space="0" w:color="auto"/>
          </w:divBdr>
        </w:div>
        <w:div w:id="2013022055">
          <w:marLeft w:val="0"/>
          <w:marRight w:val="0"/>
          <w:marTop w:val="0"/>
          <w:marBottom w:val="0"/>
          <w:divBdr>
            <w:top w:val="none" w:sz="0" w:space="0" w:color="auto"/>
            <w:left w:val="none" w:sz="0" w:space="0" w:color="auto"/>
            <w:bottom w:val="none" w:sz="0" w:space="0" w:color="auto"/>
            <w:right w:val="none" w:sz="0" w:space="0" w:color="auto"/>
          </w:divBdr>
        </w:div>
        <w:div w:id="1472288379">
          <w:marLeft w:val="0"/>
          <w:marRight w:val="0"/>
          <w:marTop w:val="0"/>
          <w:marBottom w:val="0"/>
          <w:divBdr>
            <w:top w:val="none" w:sz="0" w:space="0" w:color="auto"/>
            <w:left w:val="none" w:sz="0" w:space="0" w:color="auto"/>
            <w:bottom w:val="none" w:sz="0" w:space="0" w:color="auto"/>
            <w:right w:val="none" w:sz="0" w:space="0" w:color="auto"/>
          </w:divBdr>
        </w:div>
        <w:div w:id="1558586913">
          <w:marLeft w:val="0"/>
          <w:marRight w:val="0"/>
          <w:marTop w:val="0"/>
          <w:marBottom w:val="0"/>
          <w:divBdr>
            <w:top w:val="none" w:sz="0" w:space="0" w:color="auto"/>
            <w:left w:val="none" w:sz="0" w:space="0" w:color="auto"/>
            <w:bottom w:val="none" w:sz="0" w:space="0" w:color="auto"/>
            <w:right w:val="none" w:sz="0" w:space="0" w:color="auto"/>
          </w:divBdr>
        </w:div>
        <w:div w:id="1618754341">
          <w:marLeft w:val="0"/>
          <w:marRight w:val="0"/>
          <w:marTop w:val="0"/>
          <w:marBottom w:val="0"/>
          <w:divBdr>
            <w:top w:val="none" w:sz="0" w:space="0" w:color="auto"/>
            <w:left w:val="none" w:sz="0" w:space="0" w:color="auto"/>
            <w:bottom w:val="none" w:sz="0" w:space="0" w:color="auto"/>
            <w:right w:val="none" w:sz="0" w:space="0" w:color="auto"/>
          </w:divBdr>
        </w:div>
        <w:div w:id="449788357">
          <w:marLeft w:val="0"/>
          <w:marRight w:val="0"/>
          <w:marTop w:val="0"/>
          <w:marBottom w:val="0"/>
          <w:divBdr>
            <w:top w:val="none" w:sz="0" w:space="0" w:color="auto"/>
            <w:left w:val="none" w:sz="0" w:space="0" w:color="auto"/>
            <w:bottom w:val="none" w:sz="0" w:space="0" w:color="auto"/>
            <w:right w:val="none" w:sz="0" w:space="0" w:color="auto"/>
          </w:divBdr>
        </w:div>
        <w:div w:id="1439720547">
          <w:marLeft w:val="0"/>
          <w:marRight w:val="0"/>
          <w:marTop w:val="0"/>
          <w:marBottom w:val="0"/>
          <w:divBdr>
            <w:top w:val="none" w:sz="0" w:space="0" w:color="auto"/>
            <w:left w:val="none" w:sz="0" w:space="0" w:color="auto"/>
            <w:bottom w:val="none" w:sz="0" w:space="0" w:color="auto"/>
            <w:right w:val="none" w:sz="0" w:space="0" w:color="auto"/>
          </w:divBdr>
        </w:div>
        <w:div w:id="1530336823">
          <w:marLeft w:val="0"/>
          <w:marRight w:val="0"/>
          <w:marTop w:val="0"/>
          <w:marBottom w:val="0"/>
          <w:divBdr>
            <w:top w:val="none" w:sz="0" w:space="0" w:color="auto"/>
            <w:left w:val="none" w:sz="0" w:space="0" w:color="auto"/>
            <w:bottom w:val="none" w:sz="0" w:space="0" w:color="auto"/>
            <w:right w:val="none" w:sz="0" w:space="0" w:color="auto"/>
          </w:divBdr>
        </w:div>
        <w:div w:id="1108476078">
          <w:marLeft w:val="0"/>
          <w:marRight w:val="0"/>
          <w:marTop w:val="0"/>
          <w:marBottom w:val="0"/>
          <w:divBdr>
            <w:top w:val="none" w:sz="0" w:space="0" w:color="auto"/>
            <w:left w:val="none" w:sz="0" w:space="0" w:color="auto"/>
            <w:bottom w:val="none" w:sz="0" w:space="0" w:color="auto"/>
            <w:right w:val="none" w:sz="0" w:space="0" w:color="auto"/>
          </w:divBdr>
        </w:div>
        <w:div w:id="283969421">
          <w:marLeft w:val="0"/>
          <w:marRight w:val="0"/>
          <w:marTop w:val="0"/>
          <w:marBottom w:val="0"/>
          <w:divBdr>
            <w:top w:val="none" w:sz="0" w:space="0" w:color="auto"/>
            <w:left w:val="none" w:sz="0" w:space="0" w:color="auto"/>
            <w:bottom w:val="none" w:sz="0" w:space="0" w:color="auto"/>
            <w:right w:val="none" w:sz="0" w:space="0" w:color="auto"/>
          </w:divBdr>
        </w:div>
        <w:div w:id="1189179657">
          <w:marLeft w:val="0"/>
          <w:marRight w:val="0"/>
          <w:marTop w:val="0"/>
          <w:marBottom w:val="0"/>
          <w:divBdr>
            <w:top w:val="none" w:sz="0" w:space="0" w:color="auto"/>
            <w:left w:val="none" w:sz="0" w:space="0" w:color="auto"/>
            <w:bottom w:val="none" w:sz="0" w:space="0" w:color="auto"/>
            <w:right w:val="none" w:sz="0" w:space="0" w:color="auto"/>
          </w:divBdr>
        </w:div>
        <w:div w:id="73819956">
          <w:marLeft w:val="0"/>
          <w:marRight w:val="0"/>
          <w:marTop w:val="0"/>
          <w:marBottom w:val="0"/>
          <w:divBdr>
            <w:top w:val="none" w:sz="0" w:space="0" w:color="auto"/>
            <w:left w:val="none" w:sz="0" w:space="0" w:color="auto"/>
            <w:bottom w:val="none" w:sz="0" w:space="0" w:color="auto"/>
            <w:right w:val="none" w:sz="0" w:space="0" w:color="auto"/>
          </w:divBdr>
        </w:div>
        <w:div w:id="1341808415">
          <w:marLeft w:val="0"/>
          <w:marRight w:val="0"/>
          <w:marTop w:val="0"/>
          <w:marBottom w:val="0"/>
          <w:divBdr>
            <w:top w:val="none" w:sz="0" w:space="0" w:color="auto"/>
            <w:left w:val="none" w:sz="0" w:space="0" w:color="auto"/>
            <w:bottom w:val="none" w:sz="0" w:space="0" w:color="auto"/>
            <w:right w:val="none" w:sz="0" w:space="0" w:color="auto"/>
          </w:divBdr>
        </w:div>
        <w:div w:id="1372340579">
          <w:marLeft w:val="0"/>
          <w:marRight w:val="0"/>
          <w:marTop w:val="0"/>
          <w:marBottom w:val="0"/>
          <w:divBdr>
            <w:top w:val="none" w:sz="0" w:space="0" w:color="auto"/>
            <w:left w:val="none" w:sz="0" w:space="0" w:color="auto"/>
            <w:bottom w:val="none" w:sz="0" w:space="0" w:color="auto"/>
            <w:right w:val="none" w:sz="0" w:space="0" w:color="auto"/>
          </w:divBdr>
        </w:div>
        <w:div w:id="384716223">
          <w:marLeft w:val="0"/>
          <w:marRight w:val="0"/>
          <w:marTop w:val="0"/>
          <w:marBottom w:val="0"/>
          <w:divBdr>
            <w:top w:val="none" w:sz="0" w:space="0" w:color="auto"/>
            <w:left w:val="none" w:sz="0" w:space="0" w:color="auto"/>
            <w:bottom w:val="none" w:sz="0" w:space="0" w:color="auto"/>
            <w:right w:val="none" w:sz="0" w:space="0" w:color="auto"/>
          </w:divBdr>
        </w:div>
        <w:div w:id="1220821189">
          <w:marLeft w:val="0"/>
          <w:marRight w:val="0"/>
          <w:marTop w:val="0"/>
          <w:marBottom w:val="0"/>
          <w:divBdr>
            <w:top w:val="none" w:sz="0" w:space="0" w:color="auto"/>
            <w:left w:val="none" w:sz="0" w:space="0" w:color="auto"/>
            <w:bottom w:val="none" w:sz="0" w:space="0" w:color="auto"/>
            <w:right w:val="none" w:sz="0" w:space="0" w:color="auto"/>
          </w:divBdr>
        </w:div>
        <w:div w:id="1737118686">
          <w:marLeft w:val="0"/>
          <w:marRight w:val="0"/>
          <w:marTop w:val="0"/>
          <w:marBottom w:val="0"/>
          <w:divBdr>
            <w:top w:val="none" w:sz="0" w:space="0" w:color="auto"/>
            <w:left w:val="none" w:sz="0" w:space="0" w:color="auto"/>
            <w:bottom w:val="none" w:sz="0" w:space="0" w:color="auto"/>
            <w:right w:val="none" w:sz="0" w:space="0" w:color="auto"/>
          </w:divBdr>
        </w:div>
        <w:div w:id="336805921">
          <w:marLeft w:val="0"/>
          <w:marRight w:val="0"/>
          <w:marTop w:val="0"/>
          <w:marBottom w:val="0"/>
          <w:divBdr>
            <w:top w:val="none" w:sz="0" w:space="0" w:color="auto"/>
            <w:left w:val="none" w:sz="0" w:space="0" w:color="auto"/>
            <w:bottom w:val="none" w:sz="0" w:space="0" w:color="auto"/>
            <w:right w:val="none" w:sz="0" w:space="0" w:color="auto"/>
          </w:divBdr>
        </w:div>
        <w:div w:id="1171526837">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ireccion@infraestructuravias.com"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7.png"/></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Johanna Ovalle Clavijo</DisplayName>
        <AccountId>770</AccountId>
        <AccountType/>
      </UserInfo>
      <UserInfo>
        <DisplayName>Juan David Cárdenas Cabeza</DisplayName>
        <AccountId>659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www.w3.org/XML/1998/namespace"/>
    <ds:schemaRef ds:uri="http://purl.org/dc/elements/1.1/"/>
    <ds:schemaRef ds:uri="http://schemas.microsoft.com/office/2006/documentManagement/types"/>
    <ds:schemaRef ds:uri="http://schemas.microsoft.com/office/infopath/2007/PartnerControls"/>
    <ds:schemaRef ds:uri="http://purl.org/dc/terms/"/>
    <ds:schemaRef ds:uri="http://schemas.openxmlformats.org/package/2006/metadata/core-properties"/>
    <ds:schemaRef ds:uri="a6cb9e4b-f1d1-4245-83ec-6cad768d538a"/>
    <ds:schemaRef ds:uri="9d85dbaf-23eb-4e57-a637-93dcacc8b1a1"/>
    <ds:schemaRef ds:uri="http://purl.org/dc/dcmitype/"/>
  </ds:schemaRefs>
</ds:datastoreItem>
</file>

<file path=customXml/itemProps2.xml><?xml version="1.0" encoding="utf-8"?>
<ds:datastoreItem xmlns:ds="http://schemas.openxmlformats.org/officeDocument/2006/customXml" ds:itemID="{55A4E68C-2164-6F47-B432-1D4D75B720BE}">
  <ds:schemaRefs>
    <ds:schemaRef ds:uri="http://schemas.openxmlformats.org/officeDocument/2006/bibliography"/>
  </ds:schemaRefs>
</ds:datastoreItem>
</file>

<file path=customXml/itemProps3.xml><?xml version="1.0" encoding="utf-8"?>
<ds:datastoreItem xmlns:ds="http://schemas.openxmlformats.org/officeDocument/2006/customXml" ds:itemID="{E3DC86A9-9290-4141-AA03-552B32B994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7479</Words>
  <Characters>41137</Characters>
  <Application>Microsoft Office Word</Application>
  <DocSecurity>0</DocSecurity>
  <Lines>342</Lines>
  <Paragraphs>97</Paragraphs>
  <ScaleCrop>false</ScaleCrop>
  <Company/>
  <LinksUpToDate>false</LinksUpToDate>
  <CharactersWithSpaces>48519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Santiago Alberto Herrera Morillo</cp:lastModifiedBy>
  <cp:revision>11</cp:revision>
  <cp:lastPrinted>2023-01-10T21:18:00Z</cp:lastPrinted>
  <dcterms:created xsi:type="dcterms:W3CDTF">2023-11-15T20:34:00Z</dcterms:created>
  <dcterms:modified xsi:type="dcterms:W3CDTF">2024-03-15T20:20:00Z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