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A28EA8" w14:textId="48A7C4D2" w:rsidR="00056C4D" w:rsidRPr="003B77CC" w:rsidRDefault="00056C4D" w:rsidP="0091117F">
      <w:pPr>
        <w:pStyle w:val="Textoindependiente"/>
        <w:ind w:left="102" w:right="113"/>
        <w:jc w:val="both"/>
        <w:rPr>
          <w:b/>
          <w:bCs/>
          <w:sz w:val="22"/>
          <w:szCs w:val="22"/>
        </w:rPr>
      </w:pPr>
      <w:r w:rsidRPr="003B77CC">
        <w:rPr>
          <w:b/>
          <w:bCs/>
          <w:sz w:val="22"/>
          <w:szCs w:val="22"/>
        </w:rPr>
        <w:t xml:space="preserve">CONTRATACION DIRECTA </w:t>
      </w:r>
      <w:r w:rsidR="003B77CC" w:rsidRPr="003B77CC">
        <w:rPr>
          <w:b/>
          <w:bCs/>
          <w:sz w:val="22"/>
          <w:szCs w:val="22"/>
        </w:rPr>
        <w:t>–</w:t>
      </w:r>
      <w:r w:rsidRPr="003B77CC">
        <w:rPr>
          <w:b/>
          <w:bCs/>
          <w:sz w:val="22"/>
          <w:szCs w:val="22"/>
        </w:rPr>
        <w:t xml:space="preserve"> Modalidades selección </w:t>
      </w:r>
      <w:r w:rsidR="003B77CC" w:rsidRPr="003B77CC">
        <w:rPr>
          <w:b/>
          <w:bCs/>
          <w:sz w:val="22"/>
          <w:szCs w:val="22"/>
        </w:rPr>
        <w:t>–</w:t>
      </w:r>
      <w:r w:rsidR="003B77CC">
        <w:rPr>
          <w:b/>
          <w:bCs/>
          <w:sz w:val="22"/>
          <w:szCs w:val="22"/>
        </w:rPr>
        <w:t xml:space="preserve"> Excepción </w:t>
      </w:r>
    </w:p>
    <w:p w14:paraId="0147881F" w14:textId="77777777" w:rsidR="00056C4D" w:rsidRPr="003B77CC" w:rsidRDefault="00056C4D" w:rsidP="0091117F">
      <w:pPr>
        <w:pStyle w:val="Textoindependiente"/>
        <w:ind w:left="102" w:right="113"/>
        <w:jc w:val="both"/>
      </w:pPr>
    </w:p>
    <w:p w14:paraId="303DAC82" w14:textId="77777777" w:rsidR="00303BFD" w:rsidRPr="003B77CC" w:rsidRDefault="00056C4D" w:rsidP="0091117F">
      <w:pPr>
        <w:pStyle w:val="Textoindependiente"/>
        <w:ind w:left="102" w:right="113"/>
        <w:jc w:val="both"/>
      </w:pPr>
      <w:r w:rsidRPr="003B77CC">
        <w:t>La contratación directa es una de las modalidades de selección de contratistas a través de la cual las entidades estatales pueden escoger a una persona natural o jurídica, de derecho público o privada para la ejecución de un contrato o convenio sin necesidad de requerir un proceso competitivo. Esta modalidad de selección es excepcional y procede únicamente en los casos previstos en el numeral 4 del artículo 2 de la Ley 1150 de 2007, dentro de los cuales se encuentran los contratos</w:t>
      </w:r>
      <w:r w:rsidRPr="003B77CC">
        <w:rPr>
          <w:spacing w:val="-3"/>
        </w:rPr>
        <w:t xml:space="preserve"> </w:t>
      </w:r>
      <w:r w:rsidRPr="003B77CC">
        <w:t>interadministrativos.</w:t>
      </w:r>
    </w:p>
    <w:p w14:paraId="490FC740" w14:textId="77777777" w:rsidR="00303BFD" w:rsidRPr="003B77CC" w:rsidRDefault="00303BFD" w:rsidP="0091117F">
      <w:pPr>
        <w:pStyle w:val="Textoindependiente"/>
        <w:ind w:left="102" w:right="113"/>
        <w:jc w:val="both"/>
      </w:pPr>
    </w:p>
    <w:p w14:paraId="7D5BC74A" w14:textId="18EC3A8F" w:rsidR="00303BFD" w:rsidRPr="003B77CC" w:rsidRDefault="00303BFD" w:rsidP="003B77CC">
      <w:pPr>
        <w:pStyle w:val="Textoindependiente"/>
        <w:ind w:left="102" w:right="113"/>
        <w:jc w:val="both"/>
        <w:rPr>
          <w:b/>
          <w:bCs/>
          <w:sz w:val="22"/>
          <w:szCs w:val="22"/>
        </w:rPr>
      </w:pPr>
      <w:r w:rsidRPr="003B77CC">
        <w:rPr>
          <w:b/>
          <w:bCs/>
          <w:sz w:val="22"/>
          <w:szCs w:val="22"/>
        </w:rPr>
        <w:t xml:space="preserve">LEY DE GARANTÍAS ELECTORALES </w:t>
      </w:r>
      <w:r w:rsidR="003B77CC" w:rsidRPr="003B77CC">
        <w:rPr>
          <w:b/>
          <w:bCs/>
          <w:sz w:val="22"/>
          <w:szCs w:val="22"/>
        </w:rPr>
        <w:t>–</w:t>
      </w:r>
      <w:r w:rsidRPr="003B77CC">
        <w:rPr>
          <w:b/>
          <w:bCs/>
          <w:sz w:val="22"/>
          <w:szCs w:val="22"/>
        </w:rPr>
        <w:t xml:space="preserve"> Entidades territoriales </w:t>
      </w:r>
      <w:r w:rsidR="00FA57F0" w:rsidRPr="003B77CC">
        <w:rPr>
          <w:b/>
          <w:bCs/>
          <w:sz w:val="22"/>
          <w:szCs w:val="22"/>
        </w:rPr>
        <w:t>–</w:t>
      </w:r>
      <w:r w:rsidRPr="003B77CC">
        <w:rPr>
          <w:b/>
          <w:bCs/>
          <w:sz w:val="22"/>
          <w:szCs w:val="22"/>
        </w:rPr>
        <w:t xml:space="preserve"> Prohibición</w:t>
      </w:r>
      <w:r w:rsidR="00867706" w:rsidRPr="003B77CC">
        <w:rPr>
          <w:b/>
          <w:bCs/>
          <w:sz w:val="22"/>
          <w:szCs w:val="22"/>
        </w:rPr>
        <w:t xml:space="preserve"> </w:t>
      </w:r>
      <w:r w:rsidR="00FA57F0" w:rsidRPr="003B77CC">
        <w:rPr>
          <w:b/>
          <w:bCs/>
          <w:sz w:val="22"/>
          <w:szCs w:val="22"/>
        </w:rPr>
        <w:t>–</w:t>
      </w:r>
      <w:r w:rsidRPr="003B77CC">
        <w:rPr>
          <w:b/>
          <w:bCs/>
          <w:sz w:val="22"/>
          <w:szCs w:val="22"/>
        </w:rPr>
        <w:t xml:space="preserve"> </w:t>
      </w:r>
      <w:r w:rsidR="00867706" w:rsidRPr="003B77CC">
        <w:rPr>
          <w:b/>
          <w:bCs/>
          <w:sz w:val="22"/>
          <w:szCs w:val="22"/>
        </w:rPr>
        <w:t>S</w:t>
      </w:r>
      <w:r w:rsidRPr="003B77CC">
        <w:rPr>
          <w:b/>
          <w:bCs/>
          <w:sz w:val="22"/>
          <w:szCs w:val="22"/>
        </w:rPr>
        <w:t xml:space="preserve">uscripción convenios </w:t>
      </w:r>
      <w:r w:rsidR="00FA57F0" w:rsidRPr="003B77CC">
        <w:rPr>
          <w:b/>
          <w:bCs/>
          <w:sz w:val="22"/>
          <w:szCs w:val="22"/>
        </w:rPr>
        <w:t>–</w:t>
      </w:r>
      <w:r w:rsidR="00F0590F" w:rsidRPr="003B77CC">
        <w:rPr>
          <w:b/>
          <w:bCs/>
          <w:sz w:val="22"/>
          <w:szCs w:val="22"/>
        </w:rPr>
        <w:t xml:space="preserve"> recursos públicos </w:t>
      </w:r>
      <w:r w:rsidR="00FA57F0" w:rsidRPr="003B77CC">
        <w:rPr>
          <w:b/>
          <w:bCs/>
          <w:sz w:val="22"/>
          <w:szCs w:val="22"/>
        </w:rPr>
        <w:t>–</w:t>
      </w:r>
      <w:r w:rsidR="00867706" w:rsidRPr="003B77CC">
        <w:rPr>
          <w:b/>
          <w:bCs/>
          <w:sz w:val="22"/>
          <w:szCs w:val="22"/>
        </w:rPr>
        <w:t xml:space="preserve"> Ejecución </w:t>
      </w:r>
      <w:r w:rsidR="00FA57F0" w:rsidRPr="003B77CC">
        <w:rPr>
          <w:b/>
          <w:bCs/>
          <w:sz w:val="22"/>
          <w:szCs w:val="22"/>
        </w:rPr>
        <w:t>–</w:t>
      </w:r>
      <w:r w:rsidR="00DD0DEC" w:rsidRPr="003B77CC">
        <w:rPr>
          <w:b/>
          <w:bCs/>
          <w:sz w:val="22"/>
          <w:szCs w:val="22"/>
        </w:rPr>
        <w:t xml:space="preserve"> Término </w:t>
      </w:r>
      <w:proofErr w:type="gramStart"/>
      <w:r w:rsidR="00DD0DEC" w:rsidRPr="003B77CC">
        <w:rPr>
          <w:b/>
          <w:bCs/>
          <w:sz w:val="22"/>
          <w:szCs w:val="22"/>
        </w:rPr>
        <w:t xml:space="preserve">prohibición </w:t>
      </w:r>
      <w:r w:rsidR="00FA57F0">
        <w:rPr>
          <w:b/>
          <w:bCs/>
          <w:sz w:val="22"/>
          <w:szCs w:val="22"/>
        </w:rPr>
        <w:t xml:space="preserve"> </w:t>
      </w:r>
      <w:r w:rsidR="00FA57F0" w:rsidRPr="003B77CC">
        <w:rPr>
          <w:b/>
          <w:bCs/>
          <w:sz w:val="22"/>
          <w:szCs w:val="22"/>
        </w:rPr>
        <w:t>–</w:t>
      </w:r>
      <w:proofErr w:type="gramEnd"/>
      <w:r w:rsidR="00AF68B3" w:rsidRPr="003B77CC">
        <w:rPr>
          <w:b/>
          <w:bCs/>
          <w:sz w:val="22"/>
          <w:szCs w:val="22"/>
        </w:rPr>
        <w:t xml:space="preserve">Contratación directa </w:t>
      </w:r>
    </w:p>
    <w:p w14:paraId="44F94CBB" w14:textId="77777777" w:rsidR="00303BFD" w:rsidRPr="003B77CC" w:rsidRDefault="00303BFD" w:rsidP="0091117F">
      <w:pPr>
        <w:pStyle w:val="Textoindependiente"/>
        <w:ind w:left="102" w:right="113"/>
        <w:jc w:val="both"/>
      </w:pPr>
    </w:p>
    <w:p w14:paraId="2B017CAC" w14:textId="77777777" w:rsidR="0091117F" w:rsidRPr="003B77CC" w:rsidRDefault="00056C4D" w:rsidP="0091117F">
      <w:pPr>
        <w:pStyle w:val="Textoindependiente"/>
        <w:ind w:left="102" w:right="113"/>
        <w:jc w:val="both"/>
      </w:pPr>
      <w:r w:rsidRPr="003B77CC">
        <w:t>La Ley 996 de 2005, artículo 38, parágrafo, establece que los gobernadores, alcaldes distritales y municipales, secretarios de despacho, gerentes y directores de entidades descentralizadas del orden municipal, departamental o distrital, tienen prohibido celebrar convenios o contratos interadministrativos para la ejecución de recursos</w:t>
      </w:r>
      <w:r w:rsidRPr="003B77CC">
        <w:rPr>
          <w:spacing w:val="-7"/>
        </w:rPr>
        <w:t xml:space="preserve"> </w:t>
      </w:r>
      <w:r w:rsidRPr="003B77CC">
        <w:t>públicos.</w:t>
      </w:r>
      <w:r w:rsidR="0091117F" w:rsidRPr="003B77CC">
        <w:t xml:space="preserve"> </w:t>
      </w:r>
      <w:r w:rsidRPr="003B77CC">
        <w:t>Esta prohibición únicamente aplica para la causal de contratación directa de convenios o contratos interadministrativos que ejecuten recursos públicos y no para los contratos que se celebren en virtud de las demás causales de la modalidad de selección por contratación directa.</w:t>
      </w:r>
    </w:p>
    <w:p w14:paraId="7318AB0C" w14:textId="77777777" w:rsidR="0091117F" w:rsidRPr="003B77CC" w:rsidRDefault="0091117F" w:rsidP="0091117F">
      <w:pPr>
        <w:pStyle w:val="Textoindependiente"/>
        <w:ind w:left="102" w:right="113"/>
        <w:jc w:val="both"/>
      </w:pPr>
    </w:p>
    <w:p w14:paraId="1466E007" w14:textId="77777777" w:rsidR="0091117F" w:rsidRPr="003B77CC" w:rsidRDefault="0091117F" w:rsidP="0091117F">
      <w:pPr>
        <w:pStyle w:val="Textoindependiente"/>
        <w:spacing w:before="1" w:line="276" w:lineRule="auto"/>
        <w:ind w:left="100" w:right="111"/>
        <w:jc w:val="both"/>
      </w:pPr>
    </w:p>
    <w:p w14:paraId="49AD18FA" w14:textId="77777777" w:rsidR="00F8131D" w:rsidRPr="003B77CC" w:rsidRDefault="0091117F" w:rsidP="0091117F">
      <w:pPr>
        <w:pStyle w:val="Textoindependiente"/>
        <w:spacing w:before="1" w:line="276" w:lineRule="auto"/>
        <w:ind w:left="100" w:right="111"/>
        <w:jc w:val="both"/>
        <w:rPr>
          <w:b/>
          <w:lang w:val="pt-BR"/>
        </w:rPr>
      </w:pPr>
      <w:r w:rsidRPr="003B77CC">
        <w:rPr>
          <w:lang w:val="pt-BR"/>
        </w:rPr>
        <w:t>B</w:t>
      </w:r>
      <w:r w:rsidR="00592D14" w:rsidRPr="003B77CC">
        <w:rPr>
          <w:lang w:val="pt-BR"/>
        </w:rPr>
        <w:t xml:space="preserve">ogotá D.C., </w:t>
      </w:r>
      <w:r w:rsidR="00592D14" w:rsidRPr="003B77CC">
        <w:rPr>
          <w:b/>
          <w:lang w:val="pt-BR"/>
        </w:rPr>
        <w:t>14/08/2019 Hora 15:10:4s</w:t>
      </w:r>
    </w:p>
    <w:p w14:paraId="366C683A" w14:textId="77777777" w:rsidR="003D487E" w:rsidRDefault="003D487E">
      <w:pPr>
        <w:pStyle w:val="Ttulo1"/>
        <w:ind w:left="5951"/>
        <w:rPr>
          <w:lang w:val="pt-BR"/>
        </w:rPr>
      </w:pPr>
    </w:p>
    <w:p w14:paraId="10A3FDA6" w14:textId="30BBF9D7" w:rsidR="00F8131D" w:rsidRPr="003B77CC" w:rsidRDefault="00592D14">
      <w:pPr>
        <w:pStyle w:val="Ttulo1"/>
        <w:ind w:left="5951"/>
        <w:rPr>
          <w:lang w:val="pt-BR"/>
        </w:rPr>
      </w:pPr>
      <w:r w:rsidRPr="003B77CC">
        <w:rPr>
          <w:lang w:val="pt-BR"/>
        </w:rPr>
        <w:t>N° Radicado: 2201913000005882</w:t>
      </w:r>
    </w:p>
    <w:p w14:paraId="7E468013" w14:textId="77777777" w:rsidR="00F8131D" w:rsidRPr="003B77CC" w:rsidRDefault="00F8131D">
      <w:pPr>
        <w:pStyle w:val="Textoindependiente"/>
        <w:spacing w:before="1"/>
        <w:rPr>
          <w:b/>
          <w:sz w:val="12"/>
          <w:lang w:val="pt-BR"/>
        </w:rPr>
      </w:pPr>
    </w:p>
    <w:p w14:paraId="71AC50A3" w14:textId="77777777" w:rsidR="00F8131D" w:rsidRPr="003B77CC" w:rsidRDefault="00592D14">
      <w:pPr>
        <w:pStyle w:val="Textoindependiente"/>
        <w:spacing w:before="93" w:line="229" w:lineRule="exact"/>
        <w:ind w:left="100"/>
      </w:pPr>
      <w:r w:rsidRPr="003B77CC">
        <w:t>Señor</w:t>
      </w:r>
    </w:p>
    <w:p w14:paraId="7A9E613E" w14:textId="77777777" w:rsidR="00F8131D" w:rsidRPr="003B77CC" w:rsidRDefault="00592D14">
      <w:pPr>
        <w:pStyle w:val="Ttulo1"/>
        <w:spacing w:line="229" w:lineRule="exact"/>
      </w:pPr>
      <w:r w:rsidRPr="003B77CC">
        <w:t>Álvaro Espinel Ortega</w:t>
      </w:r>
    </w:p>
    <w:p w14:paraId="2905743F" w14:textId="77777777" w:rsidR="00F8131D" w:rsidRPr="003B77CC" w:rsidRDefault="00592D14">
      <w:pPr>
        <w:pStyle w:val="Textoindependiente"/>
        <w:spacing w:before="3"/>
        <w:ind w:left="100"/>
      </w:pPr>
      <w:r w:rsidRPr="003B77CC">
        <w:t>Ciudad</w:t>
      </w:r>
    </w:p>
    <w:p w14:paraId="51495DF1" w14:textId="77777777" w:rsidR="00F8131D" w:rsidRPr="003B77CC" w:rsidRDefault="00F8131D">
      <w:pPr>
        <w:pStyle w:val="Textoindependiente"/>
        <w:rPr>
          <w:sz w:val="22"/>
        </w:rPr>
      </w:pPr>
    </w:p>
    <w:p w14:paraId="06A5C437" w14:textId="3464BE8B" w:rsidR="00F8131D" w:rsidRDefault="00F8131D">
      <w:pPr>
        <w:pStyle w:val="Textoindependiente"/>
        <w:spacing w:before="9"/>
        <w:rPr>
          <w:sz w:val="17"/>
        </w:rPr>
      </w:pPr>
    </w:p>
    <w:p w14:paraId="17EEA68D" w14:textId="77777777" w:rsidR="003D487E" w:rsidRPr="003B77CC" w:rsidRDefault="003D487E">
      <w:pPr>
        <w:pStyle w:val="Textoindependiente"/>
        <w:spacing w:before="9"/>
        <w:rPr>
          <w:sz w:val="17"/>
        </w:rPr>
      </w:pPr>
    </w:p>
    <w:p w14:paraId="20652768" w14:textId="77777777" w:rsidR="00F8131D" w:rsidRPr="003B77CC" w:rsidRDefault="00592D14">
      <w:pPr>
        <w:tabs>
          <w:tab w:val="left" w:pos="2933"/>
        </w:tabs>
        <w:ind w:left="100"/>
        <w:rPr>
          <w:sz w:val="20"/>
        </w:rPr>
      </w:pPr>
      <w:r w:rsidRPr="003B77CC">
        <w:rPr>
          <w:b/>
          <w:sz w:val="20"/>
        </w:rPr>
        <w:t>Radicación:</w:t>
      </w:r>
      <w:r w:rsidRPr="003B77CC">
        <w:rPr>
          <w:b/>
          <w:sz w:val="20"/>
        </w:rPr>
        <w:tab/>
      </w:r>
      <w:r w:rsidRPr="003B77CC">
        <w:rPr>
          <w:sz w:val="20"/>
        </w:rPr>
        <w:t>Respuesta a consulta #</w:t>
      </w:r>
      <w:r w:rsidRPr="003B77CC">
        <w:rPr>
          <w:spacing w:val="-3"/>
          <w:sz w:val="20"/>
        </w:rPr>
        <w:t xml:space="preserve"> </w:t>
      </w:r>
      <w:r w:rsidRPr="003B77CC">
        <w:rPr>
          <w:sz w:val="20"/>
        </w:rPr>
        <w:t>4201913000005101</w:t>
      </w:r>
    </w:p>
    <w:p w14:paraId="63A587D0" w14:textId="397830B6" w:rsidR="00F8131D" w:rsidRDefault="00592D14">
      <w:pPr>
        <w:pStyle w:val="Textoindependiente"/>
        <w:tabs>
          <w:tab w:val="left" w:pos="2933"/>
        </w:tabs>
        <w:ind w:left="100"/>
      </w:pPr>
      <w:r w:rsidRPr="003B77CC">
        <w:rPr>
          <w:b/>
        </w:rPr>
        <w:t>Temas:</w:t>
      </w:r>
      <w:r w:rsidRPr="003B77CC">
        <w:rPr>
          <w:b/>
        </w:rPr>
        <w:tab/>
      </w:r>
      <w:r w:rsidRPr="003B77CC">
        <w:t>Aplicación de la ley de</w:t>
      </w:r>
      <w:r w:rsidRPr="003B77CC">
        <w:rPr>
          <w:spacing w:val="-6"/>
        </w:rPr>
        <w:t xml:space="preserve"> </w:t>
      </w:r>
      <w:r w:rsidRPr="003B77CC">
        <w:t>garantías</w:t>
      </w:r>
    </w:p>
    <w:p w14:paraId="52F18684" w14:textId="16C24BF9" w:rsidR="003D487E" w:rsidRDefault="003D487E">
      <w:pPr>
        <w:pStyle w:val="Textoindependiente"/>
        <w:tabs>
          <w:tab w:val="left" w:pos="2933"/>
        </w:tabs>
        <w:ind w:left="100"/>
      </w:pPr>
    </w:p>
    <w:p w14:paraId="36E95704" w14:textId="77777777" w:rsidR="003D487E" w:rsidRPr="003B77CC" w:rsidRDefault="003D487E">
      <w:pPr>
        <w:pStyle w:val="Textoindependiente"/>
        <w:tabs>
          <w:tab w:val="left" w:pos="2933"/>
        </w:tabs>
        <w:ind w:left="100"/>
      </w:pPr>
    </w:p>
    <w:p w14:paraId="605817E5" w14:textId="77777777" w:rsidR="00F8131D" w:rsidRPr="003B77CC" w:rsidRDefault="00592D14">
      <w:pPr>
        <w:tabs>
          <w:tab w:val="left" w:pos="2933"/>
        </w:tabs>
        <w:spacing w:line="482" w:lineRule="auto"/>
        <w:ind w:left="100" w:right="1248"/>
        <w:rPr>
          <w:sz w:val="20"/>
        </w:rPr>
      </w:pPr>
      <w:r w:rsidRPr="003B77CC">
        <w:rPr>
          <w:b/>
          <w:sz w:val="20"/>
        </w:rPr>
        <w:t>Tipo de</w:t>
      </w:r>
      <w:r w:rsidRPr="003B77CC">
        <w:rPr>
          <w:b/>
          <w:spacing w:val="-5"/>
          <w:sz w:val="20"/>
        </w:rPr>
        <w:t xml:space="preserve"> </w:t>
      </w:r>
      <w:r w:rsidRPr="003B77CC">
        <w:rPr>
          <w:b/>
          <w:sz w:val="20"/>
        </w:rPr>
        <w:t>asunto</w:t>
      </w:r>
      <w:r w:rsidRPr="003B77CC">
        <w:rPr>
          <w:b/>
          <w:spacing w:val="-1"/>
          <w:sz w:val="20"/>
        </w:rPr>
        <w:t xml:space="preserve"> </w:t>
      </w:r>
      <w:r w:rsidRPr="003B77CC">
        <w:rPr>
          <w:b/>
          <w:sz w:val="20"/>
        </w:rPr>
        <w:t>consultado:</w:t>
      </w:r>
      <w:r w:rsidRPr="003B77CC">
        <w:rPr>
          <w:b/>
          <w:sz w:val="20"/>
        </w:rPr>
        <w:tab/>
      </w:r>
      <w:r w:rsidRPr="003B77CC">
        <w:rPr>
          <w:sz w:val="20"/>
        </w:rPr>
        <w:t>Aplicación de la ley de garantías en contratación</w:t>
      </w:r>
      <w:r w:rsidRPr="003B77CC">
        <w:rPr>
          <w:spacing w:val="-24"/>
          <w:sz w:val="20"/>
        </w:rPr>
        <w:t xml:space="preserve"> </w:t>
      </w:r>
      <w:r w:rsidRPr="003B77CC">
        <w:rPr>
          <w:sz w:val="20"/>
        </w:rPr>
        <w:t>directa Estimado señor Espinel,</w:t>
      </w:r>
    </w:p>
    <w:p w14:paraId="2E998429" w14:textId="77777777" w:rsidR="00F8131D" w:rsidRPr="003B77CC" w:rsidRDefault="00592D14">
      <w:pPr>
        <w:pStyle w:val="Textoindependiente"/>
        <w:spacing w:before="68"/>
        <w:ind w:left="100"/>
        <w:jc w:val="both"/>
      </w:pPr>
      <w:r w:rsidRPr="003B77CC">
        <w:t>La Agencia Nacional de Contratación Pública - Colombia Compra Eficiente responde su consulta del</w:t>
      </w:r>
    </w:p>
    <w:p w14:paraId="526FD5CF" w14:textId="77777777" w:rsidR="00F8131D" w:rsidRPr="003B77CC" w:rsidRDefault="00592D14">
      <w:pPr>
        <w:pStyle w:val="Textoindependiente"/>
        <w:spacing w:before="35" w:line="276" w:lineRule="auto"/>
        <w:ind w:left="100" w:right="107"/>
        <w:jc w:val="both"/>
      </w:pPr>
      <w:r w:rsidRPr="003B77CC">
        <w:t>29 de julio de 2019, remitida por la Oficina Jurídica de la Procuraduría General de la Nación mediante radicado No 1875, en ejercicio de la competencia otorgada por el numeral 5 del artículo 3 y numeral 8 del artículo 11 del Decreto 4170 de</w:t>
      </w:r>
      <w:r w:rsidRPr="003B77CC">
        <w:rPr>
          <w:spacing w:val="-8"/>
        </w:rPr>
        <w:t xml:space="preserve"> </w:t>
      </w:r>
      <w:r w:rsidRPr="003B77CC">
        <w:t>2011.</w:t>
      </w:r>
    </w:p>
    <w:p w14:paraId="276A59E4" w14:textId="77777777" w:rsidR="00F8131D" w:rsidRPr="003B77CC" w:rsidRDefault="00F8131D">
      <w:pPr>
        <w:pStyle w:val="Textoindependiente"/>
        <w:spacing w:before="1"/>
        <w:rPr>
          <w:sz w:val="23"/>
        </w:rPr>
      </w:pPr>
    </w:p>
    <w:p w14:paraId="360744B0" w14:textId="77777777" w:rsidR="00F8131D" w:rsidRPr="003B77CC" w:rsidRDefault="00592D14">
      <w:pPr>
        <w:pStyle w:val="Prrafodelista"/>
        <w:numPr>
          <w:ilvl w:val="0"/>
          <w:numId w:val="1"/>
        </w:numPr>
        <w:tabs>
          <w:tab w:val="left" w:pos="461"/>
        </w:tabs>
        <w:ind w:hanging="361"/>
        <w:jc w:val="both"/>
        <w:rPr>
          <w:sz w:val="20"/>
        </w:rPr>
      </w:pPr>
      <w:r w:rsidRPr="003B77CC">
        <w:rPr>
          <w:sz w:val="20"/>
        </w:rPr>
        <w:t>Problema Planteado:</w:t>
      </w:r>
    </w:p>
    <w:p w14:paraId="4FE2EB01" w14:textId="77777777" w:rsidR="00F8131D" w:rsidRPr="003B77CC" w:rsidRDefault="00F8131D">
      <w:pPr>
        <w:pStyle w:val="Textoindependiente"/>
        <w:spacing w:before="7"/>
        <w:rPr>
          <w:sz w:val="25"/>
        </w:rPr>
      </w:pPr>
    </w:p>
    <w:p w14:paraId="4F5E61C0" w14:textId="77777777" w:rsidR="00F8131D" w:rsidRPr="003B77CC" w:rsidRDefault="00592D14">
      <w:pPr>
        <w:pStyle w:val="Textoindependiente"/>
        <w:spacing w:line="276" w:lineRule="auto"/>
        <w:ind w:left="100" w:right="114"/>
        <w:jc w:val="both"/>
      </w:pPr>
      <w:r w:rsidRPr="003B77CC">
        <w:t>¿Existe prohibición para la celebración de contratos a través de la modalidad de contratación directa durante el periodo de ley de garantías electorales?</w:t>
      </w:r>
    </w:p>
    <w:p w14:paraId="72D8DB2A" w14:textId="77777777" w:rsidR="00F8131D" w:rsidRPr="003B77CC" w:rsidRDefault="00F8131D">
      <w:pPr>
        <w:pStyle w:val="Textoindependiente"/>
        <w:rPr>
          <w:sz w:val="23"/>
        </w:rPr>
      </w:pPr>
    </w:p>
    <w:p w14:paraId="045CC0FD" w14:textId="77777777" w:rsidR="00F8131D" w:rsidRPr="003B77CC" w:rsidRDefault="00592D14">
      <w:pPr>
        <w:pStyle w:val="Prrafodelista"/>
        <w:numPr>
          <w:ilvl w:val="0"/>
          <w:numId w:val="1"/>
        </w:numPr>
        <w:tabs>
          <w:tab w:val="left" w:pos="461"/>
        </w:tabs>
        <w:ind w:hanging="361"/>
        <w:jc w:val="both"/>
        <w:rPr>
          <w:sz w:val="20"/>
        </w:rPr>
      </w:pPr>
      <w:r w:rsidRPr="003B77CC">
        <w:rPr>
          <w:sz w:val="20"/>
        </w:rPr>
        <w:lastRenderedPageBreak/>
        <w:t>Consideraciones:</w:t>
      </w:r>
    </w:p>
    <w:p w14:paraId="75645E95" w14:textId="77777777" w:rsidR="00F8131D" w:rsidRPr="003B77CC" w:rsidRDefault="00F8131D">
      <w:pPr>
        <w:pStyle w:val="Textoindependiente"/>
        <w:spacing w:before="5"/>
        <w:rPr>
          <w:sz w:val="25"/>
        </w:rPr>
      </w:pPr>
    </w:p>
    <w:p w14:paraId="268D6E92" w14:textId="77777777" w:rsidR="00A33710" w:rsidRPr="003B77CC" w:rsidRDefault="00592D14" w:rsidP="00A33710">
      <w:pPr>
        <w:pStyle w:val="Textoindependiente"/>
        <w:spacing w:before="1" w:line="276" w:lineRule="auto"/>
        <w:ind w:left="100" w:right="111"/>
        <w:jc w:val="both"/>
      </w:pPr>
      <w:r w:rsidRPr="003B77CC">
        <w:t>La contratación directa es una de las modalidades de selección de contratistas a través de la cual las entidades estatales pueden escoger a una persona natural o jurídica, de derecho público o privada para la ejecución de un contrato o convenio sin necesidad de requerir un proceso competitivo. Esta modalidad de selección es excepcional y procede únicamente en los casos previstos en el numeral 4 del artículo 2 de la Ley 1150 de 2007, dentro de los cuales se encuentran los contratos</w:t>
      </w:r>
      <w:r w:rsidRPr="003B77CC">
        <w:rPr>
          <w:spacing w:val="-3"/>
        </w:rPr>
        <w:t xml:space="preserve"> </w:t>
      </w:r>
      <w:r w:rsidRPr="003B77CC">
        <w:t>interadministrativos</w:t>
      </w:r>
      <w:r w:rsidR="00362720" w:rsidRPr="003B77CC">
        <w:rPr>
          <w:rStyle w:val="Refdenotaalpie"/>
        </w:rPr>
        <w:footnoteReference w:id="1"/>
      </w:r>
      <w:r w:rsidR="00362720" w:rsidRPr="003B77CC">
        <w:rPr>
          <w:rStyle w:val="Refdenotaalpie"/>
        </w:rPr>
        <w:footnoteReference w:id="2"/>
      </w:r>
      <w:r w:rsidRPr="003B77CC">
        <w:t>.</w:t>
      </w:r>
    </w:p>
    <w:p w14:paraId="6921EC90" w14:textId="77777777" w:rsidR="005B7AEB" w:rsidRPr="003B77CC" w:rsidRDefault="005B7AEB" w:rsidP="00A33710">
      <w:pPr>
        <w:pStyle w:val="Textoindependiente"/>
        <w:spacing w:before="1" w:line="276" w:lineRule="auto"/>
        <w:ind w:left="100" w:right="111"/>
        <w:jc w:val="both"/>
      </w:pPr>
    </w:p>
    <w:p w14:paraId="557D481F" w14:textId="77777777" w:rsidR="00F8131D" w:rsidRPr="003B77CC" w:rsidRDefault="00592D14" w:rsidP="00A33710">
      <w:pPr>
        <w:pStyle w:val="Textoindependiente"/>
        <w:spacing w:before="1" w:line="276" w:lineRule="auto"/>
        <w:ind w:left="100" w:right="111"/>
        <w:jc w:val="both"/>
      </w:pPr>
      <w:r w:rsidRPr="003B77CC">
        <w:t>La Ley 996 de 2005, artículo 38, parágrafo</w:t>
      </w:r>
      <w:r w:rsidR="00A33710" w:rsidRPr="003B77CC">
        <w:rPr>
          <w:rStyle w:val="Refdenotaalpie"/>
        </w:rPr>
        <w:footnoteReference w:id="3"/>
      </w:r>
      <w:r w:rsidRPr="003B77CC">
        <w:t>, establece que los gobernadores, alcaldes distritales y municipales, secretarios de despacho, gerentes y directores de entidades descentralizadas del orden municipal, departamental o distrital, tienen prohibido celebrar convenios o contratos interadministrativos para la ejecución de recursos</w:t>
      </w:r>
      <w:r w:rsidRPr="003B77CC">
        <w:rPr>
          <w:spacing w:val="-7"/>
        </w:rPr>
        <w:t xml:space="preserve"> </w:t>
      </w:r>
      <w:r w:rsidRPr="003B77CC">
        <w:t>públicos.</w:t>
      </w:r>
    </w:p>
    <w:p w14:paraId="6157E4C2" w14:textId="77777777" w:rsidR="00F8131D" w:rsidRPr="003B77CC" w:rsidRDefault="00F8131D">
      <w:pPr>
        <w:pStyle w:val="Textoindependiente"/>
        <w:spacing w:before="5"/>
        <w:rPr>
          <w:sz w:val="18"/>
        </w:rPr>
      </w:pPr>
    </w:p>
    <w:p w14:paraId="03EFD779" w14:textId="77777777" w:rsidR="00F8131D" w:rsidRPr="003B77CC" w:rsidRDefault="00592D14">
      <w:pPr>
        <w:pStyle w:val="Textoindependiente"/>
        <w:spacing w:line="276" w:lineRule="auto"/>
        <w:ind w:left="100" w:right="110"/>
        <w:jc w:val="both"/>
      </w:pPr>
      <w:r w:rsidRPr="003B77CC">
        <w:t>Esta prohibición únicamente aplica para la causal de contratación directa de convenios o contratos interadministrativos que ejecuten recursos públicos y no para los contratos que se celebren en virtud de las demás causales de la modalidad de selección por contratación directa.</w:t>
      </w:r>
    </w:p>
    <w:p w14:paraId="2329ED23" w14:textId="77777777" w:rsidR="00F8131D" w:rsidRPr="003B77CC" w:rsidRDefault="00F8131D">
      <w:pPr>
        <w:pStyle w:val="Textoindependiente"/>
        <w:spacing w:before="1"/>
        <w:rPr>
          <w:sz w:val="23"/>
        </w:rPr>
      </w:pPr>
    </w:p>
    <w:p w14:paraId="1A7B29B0" w14:textId="77777777" w:rsidR="00F8131D" w:rsidRPr="003B77CC" w:rsidRDefault="00592D14">
      <w:pPr>
        <w:pStyle w:val="Prrafodelista"/>
        <w:numPr>
          <w:ilvl w:val="0"/>
          <w:numId w:val="1"/>
        </w:numPr>
        <w:tabs>
          <w:tab w:val="left" w:pos="461"/>
        </w:tabs>
        <w:ind w:hanging="361"/>
        <w:rPr>
          <w:sz w:val="20"/>
        </w:rPr>
      </w:pPr>
      <w:r w:rsidRPr="003B77CC">
        <w:rPr>
          <w:sz w:val="20"/>
        </w:rPr>
        <w:t>Respuesta:</w:t>
      </w:r>
    </w:p>
    <w:p w14:paraId="01FB13D7" w14:textId="77777777" w:rsidR="00F8131D" w:rsidRPr="003B77CC" w:rsidRDefault="00F8131D">
      <w:pPr>
        <w:pStyle w:val="Textoindependiente"/>
        <w:spacing w:before="6"/>
        <w:rPr>
          <w:sz w:val="25"/>
        </w:rPr>
      </w:pPr>
    </w:p>
    <w:p w14:paraId="1834DCD9" w14:textId="77777777" w:rsidR="00F8131D" w:rsidRPr="003B77CC" w:rsidRDefault="00592D14">
      <w:pPr>
        <w:pStyle w:val="Textoindependiente"/>
        <w:spacing w:line="276" w:lineRule="auto"/>
        <w:ind w:left="100" w:right="111"/>
        <w:jc w:val="both"/>
      </w:pPr>
      <w:r w:rsidRPr="003B77CC">
        <w:t xml:space="preserve">El parágrafo único del artículo 38 de la Ley de Garantías Electorales aplica a la contienda electoral para la elección de gobernadores, alcaldes, diputados concejales y ediles que se llevará a cabo el próximo 27 de octubre de 2019, </w:t>
      </w:r>
      <w:proofErr w:type="gramStart"/>
      <w:r w:rsidRPr="003B77CC">
        <w:t>y</w:t>
      </w:r>
      <w:proofErr w:type="gramEnd"/>
      <w:r w:rsidRPr="003B77CC">
        <w:t xml:space="preserve"> por tanto, de acuerdo con la consulta, la restricción de la Ley 996 de 2005 procede únicamente con relación a la suscripción de contratos o convenios interadministrativos que ejecuten recursos públicos, no respecto de las demás causales de contratación</w:t>
      </w:r>
      <w:r w:rsidRPr="003B77CC">
        <w:rPr>
          <w:spacing w:val="-1"/>
        </w:rPr>
        <w:t xml:space="preserve"> </w:t>
      </w:r>
      <w:r w:rsidRPr="003B77CC">
        <w:t>directa.</w:t>
      </w:r>
    </w:p>
    <w:p w14:paraId="3F093E16" w14:textId="77777777" w:rsidR="00F8131D" w:rsidRPr="003B77CC" w:rsidRDefault="00592D14">
      <w:pPr>
        <w:spacing w:before="186" w:line="276" w:lineRule="auto"/>
        <w:ind w:left="100" w:right="108"/>
        <w:jc w:val="both"/>
        <w:rPr>
          <w:sz w:val="20"/>
        </w:rPr>
      </w:pPr>
      <w:r w:rsidRPr="003B77CC">
        <w:rPr>
          <w:sz w:val="20"/>
        </w:rPr>
        <w:t xml:space="preserve">Si quiere obtener más información, lo invitamos a revisar los </w:t>
      </w:r>
      <w:r w:rsidRPr="003B77CC">
        <w:rPr>
          <w:i/>
          <w:sz w:val="20"/>
        </w:rPr>
        <w:t>“LINEAMIENTOS IMPARTIDOS POR LA AGENCIA NACIONAL DE CONTRATACIÓN PÚBLICA -COLOMBIA COMPRA EFICIENTE- SOBRE LA APLICACIÓN DE LA LEY DE GARANTÍAS ELECTORALES PARA EL AÑO 2019”</w:t>
      </w:r>
      <w:r w:rsidRPr="003B77CC">
        <w:rPr>
          <w:sz w:val="20"/>
        </w:rPr>
        <w:t>, a los</w:t>
      </w:r>
    </w:p>
    <w:p w14:paraId="609FA6E2" w14:textId="77777777" w:rsidR="00F8131D" w:rsidRPr="003B77CC" w:rsidRDefault="00592D14">
      <w:pPr>
        <w:pStyle w:val="Textoindependiente"/>
        <w:spacing w:line="276" w:lineRule="auto"/>
        <w:ind w:left="100" w:right="108"/>
        <w:jc w:val="both"/>
      </w:pPr>
      <w:r w:rsidRPr="003B77CC">
        <w:lastRenderedPageBreak/>
        <w:t xml:space="preserve">cuales podrá acceder en el siguiente enlace: </w:t>
      </w:r>
      <w:hyperlink r:id="rId11">
        <w:r w:rsidRPr="003B77CC">
          <w:rPr>
            <w:u w:val="single" w:color="09487C"/>
          </w:rPr>
          <w:t>https://www.colombiacompra.gov.co/sala-de-</w:t>
        </w:r>
      </w:hyperlink>
      <w:r w:rsidRPr="003B77CC">
        <w:t xml:space="preserve"> </w:t>
      </w:r>
      <w:hyperlink r:id="rId12">
        <w:r w:rsidRPr="003B77CC">
          <w:rPr>
            <w:u w:val="single" w:color="09487C"/>
          </w:rPr>
          <w:t>prensa/comunicados/lineamientos-impartidos-por-la-agencia-nacional-de-contratacion-publica</w:t>
        </w:r>
      </w:hyperlink>
    </w:p>
    <w:p w14:paraId="67D22496" w14:textId="77777777" w:rsidR="00F8131D" w:rsidRPr="003B77CC" w:rsidRDefault="00F8131D">
      <w:pPr>
        <w:pStyle w:val="Textoindependiente"/>
        <w:spacing w:before="4"/>
        <w:rPr>
          <w:sz w:val="10"/>
        </w:rPr>
      </w:pPr>
    </w:p>
    <w:p w14:paraId="03D26B55" w14:textId="77777777" w:rsidR="00F8131D" w:rsidRPr="003B77CC" w:rsidRDefault="00592D14">
      <w:pPr>
        <w:pStyle w:val="Textoindependiente"/>
        <w:spacing w:before="94" w:line="273" w:lineRule="auto"/>
        <w:ind w:left="100" w:right="77"/>
      </w:pPr>
      <w:r w:rsidRPr="003B77CC">
        <w:t>Este concepto tiene el alcance previsto en el artículo 28 del Código de Procedimiento Administrativo y de lo Contencioso Administrativo.</w:t>
      </w:r>
    </w:p>
    <w:p w14:paraId="3A6C5161" w14:textId="77777777" w:rsidR="00F8131D" w:rsidRPr="003B77CC" w:rsidRDefault="003D487E">
      <w:pPr>
        <w:pStyle w:val="Textoindependiente"/>
        <w:spacing w:before="8"/>
      </w:pPr>
      <w:r>
        <w:pict w14:anchorId="687AC43D">
          <v:line id="_x0000_s1027" style="position:absolute;z-index:-251658752;mso-wrap-distance-left:0;mso-wrap-distance-right:0;mso-position-horizontal-relative:page" from="119.25pt,14.25pt" to="488.25pt,14.25pt" strokecolor="#dbdbdb">
            <w10:wrap type="topAndBottom" anchorx="page"/>
          </v:line>
        </w:pict>
      </w:r>
    </w:p>
    <w:p w14:paraId="48C7355F" w14:textId="77777777" w:rsidR="00F8131D" w:rsidRPr="003B77CC" w:rsidRDefault="00592D14">
      <w:pPr>
        <w:pStyle w:val="Textoindependiente"/>
        <w:spacing w:after="36"/>
        <w:ind w:left="100"/>
      </w:pPr>
      <w:r w:rsidRPr="003B77CC">
        <w:t>Atentamente,</w:t>
      </w:r>
    </w:p>
    <w:p w14:paraId="1D5755DB" w14:textId="26D68782" w:rsidR="00F8131D" w:rsidRDefault="00206E3B" w:rsidP="00206E3B">
      <w:pPr>
        <w:pStyle w:val="Textoindependiente"/>
        <w:ind w:left="101"/>
        <w:jc w:val="center"/>
      </w:pPr>
      <w:r>
        <w:rPr>
          <w:noProof/>
        </w:rPr>
        <w:drawing>
          <wp:inline distT="0" distB="0" distL="0" distR="0" wp14:anchorId="0E45302F" wp14:editId="0F5632AD">
            <wp:extent cx="2773045" cy="988695"/>
            <wp:effectExtent l="0" t="0" r="0" b="0"/>
            <wp:docPr id="42" name="Imagen 42"/>
            <wp:cNvGraphicFramePr/>
            <a:graphic xmlns:a="http://schemas.openxmlformats.org/drawingml/2006/main">
              <a:graphicData uri="http://schemas.openxmlformats.org/drawingml/2006/picture">
                <pic:pic xmlns:pic="http://schemas.openxmlformats.org/drawingml/2006/picture">
                  <pic:nvPicPr>
                    <pic:cNvPr id="42" name="Imagen 4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73045" cy="988695"/>
                    </a:xfrm>
                    <a:prstGeom prst="rect">
                      <a:avLst/>
                    </a:prstGeom>
                    <a:noFill/>
                  </pic:spPr>
                </pic:pic>
              </a:graphicData>
            </a:graphic>
          </wp:inline>
        </w:drawing>
      </w:r>
    </w:p>
    <w:p w14:paraId="0F19501C" w14:textId="77777777" w:rsidR="00206E3B" w:rsidRPr="003B77CC" w:rsidRDefault="00206E3B" w:rsidP="00206E3B">
      <w:pPr>
        <w:pStyle w:val="Textoindependiente"/>
        <w:ind w:left="101"/>
        <w:jc w:val="center"/>
      </w:pPr>
    </w:p>
    <w:p w14:paraId="3A856BF4" w14:textId="77777777" w:rsidR="00F8131D" w:rsidRPr="003B77CC" w:rsidRDefault="00592D14">
      <w:pPr>
        <w:spacing w:before="78"/>
        <w:ind w:left="100"/>
        <w:rPr>
          <w:sz w:val="18"/>
        </w:rPr>
      </w:pPr>
      <w:r w:rsidRPr="003B77CC">
        <w:rPr>
          <w:sz w:val="18"/>
        </w:rPr>
        <w:t>Proyectó: Fredy Alexander Rodríguez Ardila</w:t>
      </w:r>
    </w:p>
    <w:sectPr w:rsidR="00F8131D" w:rsidRPr="003B77CC" w:rsidSect="00362720">
      <w:headerReference w:type="default" r:id="rId14"/>
      <w:footerReference w:type="default" r:id="rId15"/>
      <w:pgSz w:w="12240" w:h="15840"/>
      <w:pgMar w:top="1560" w:right="1500" w:bottom="2140" w:left="1600" w:header="737"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FCD680" w14:textId="77777777" w:rsidR="004F24A8" w:rsidRDefault="004F24A8">
      <w:r>
        <w:separator/>
      </w:r>
    </w:p>
  </w:endnote>
  <w:endnote w:type="continuationSeparator" w:id="0">
    <w:p w14:paraId="7BFE0047" w14:textId="77777777" w:rsidR="004F24A8" w:rsidRDefault="004F24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E34D65" w14:textId="77777777" w:rsidR="00F8131D" w:rsidRDefault="00592D14">
    <w:pPr>
      <w:pStyle w:val="Textoindependiente"/>
      <w:spacing w:line="14" w:lineRule="auto"/>
    </w:pPr>
    <w:r>
      <w:rPr>
        <w:noProof/>
      </w:rPr>
      <w:drawing>
        <wp:anchor distT="0" distB="0" distL="0" distR="0" simplePos="0" relativeHeight="251662336" behindDoc="1" locked="0" layoutInCell="1" allowOverlap="1" wp14:anchorId="704FFE84" wp14:editId="47E413A0">
          <wp:simplePos x="0" y="0"/>
          <wp:positionH relativeFrom="page">
            <wp:posOffset>1137919</wp:posOffset>
          </wp:positionH>
          <wp:positionV relativeFrom="page">
            <wp:posOffset>8688387</wp:posOffset>
          </wp:positionV>
          <wp:extent cx="5612130" cy="78712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5612130" cy="78712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4B39F9" w14:textId="77777777" w:rsidR="004F24A8" w:rsidRDefault="004F24A8">
      <w:r>
        <w:separator/>
      </w:r>
    </w:p>
  </w:footnote>
  <w:footnote w:type="continuationSeparator" w:id="0">
    <w:p w14:paraId="52B71E9F" w14:textId="77777777" w:rsidR="004F24A8" w:rsidRDefault="004F24A8">
      <w:r>
        <w:continuationSeparator/>
      </w:r>
    </w:p>
  </w:footnote>
  <w:footnote w:id="1">
    <w:p w14:paraId="0E90C842" w14:textId="1E914201" w:rsidR="00362720" w:rsidRDefault="00362720" w:rsidP="005B7AEB">
      <w:pPr>
        <w:pStyle w:val="Textonotapie"/>
        <w:ind w:firstLine="720"/>
        <w:jc w:val="both"/>
        <w:rPr>
          <w:sz w:val="18"/>
        </w:rPr>
      </w:pPr>
      <w:r w:rsidRPr="003D487E">
        <w:rPr>
          <w:rStyle w:val="Refdenotaalpie"/>
        </w:rPr>
        <w:footnoteRef/>
      </w:r>
      <w:r w:rsidRPr="003D487E">
        <w:t xml:space="preserve"> </w:t>
      </w:r>
      <w:r w:rsidRPr="003D487E">
        <w:rPr>
          <w:sz w:val="18"/>
        </w:rPr>
        <w:t>Ley 1150 de 2007, artículo 2, numeral 4, literal c.</w:t>
      </w:r>
    </w:p>
    <w:p w14:paraId="459DE286" w14:textId="77777777" w:rsidR="003D487E" w:rsidRPr="003D487E" w:rsidRDefault="003D487E" w:rsidP="005B7AEB">
      <w:pPr>
        <w:pStyle w:val="Textonotapie"/>
        <w:ind w:firstLine="720"/>
        <w:jc w:val="both"/>
        <w:rPr>
          <w:lang w:val="es-CO"/>
        </w:rPr>
      </w:pPr>
    </w:p>
  </w:footnote>
  <w:footnote w:id="2">
    <w:p w14:paraId="635F45AB" w14:textId="5508176E" w:rsidR="00362720" w:rsidRDefault="00362720" w:rsidP="005B7AEB">
      <w:pPr>
        <w:pStyle w:val="Textonotapie"/>
        <w:ind w:firstLine="720"/>
        <w:jc w:val="both"/>
        <w:rPr>
          <w:sz w:val="18"/>
        </w:rPr>
      </w:pPr>
      <w:r w:rsidRPr="003D487E">
        <w:rPr>
          <w:rStyle w:val="Refdenotaalpie"/>
        </w:rPr>
        <w:footnoteRef/>
      </w:r>
      <w:r w:rsidRPr="003D487E">
        <w:t xml:space="preserve"> </w:t>
      </w:r>
      <w:r w:rsidR="00A33710" w:rsidRPr="003D487E">
        <w:rPr>
          <w:sz w:val="18"/>
        </w:rPr>
        <w:t xml:space="preserve">La Agencia Nacional de Contratación Pública – Colombia Compra Eficiente en respuesta a la consulta No 4201913000004536, con fundamento en la Ley 80 de 1993 y acode con jurisprudencia de la Sección Tercera del Consejo de Estado, entre ellas, la sentencia del 23 de junio de 2010, con radicación No 66001-23-31-000-1998-00261-01(17.860) con ponencia del Consejero Mauricio Fajardo Gómez, señaló que el convenio y contrato interadministrativo no son figuras diferentes, pues, “las entidades del Estado, en el marco de la Ley 80 de 1993, pueden acordar entre sí obligaciones, siempre que su objeto de creación les permita cumplirlas, con el objetivo común de materializar los fines del Estado. Por este motivo, </w:t>
      </w:r>
      <w:r w:rsidR="00A33710" w:rsidRPr="003D487E">
        <w:rPr>
          <w:i/>
          <w:sz w:val="18"/>
        </w:rPr>
        <w:t>cuando la Ley 80 de 1993 se refiere a contratos interadministrativos de la misma forma lo hace frente a los convenios, entre otras razones, porque este cuerpo normativo como lo anotamos precedentemente, faculta a las entidades a</w:t>
      </w:r>
      <w:r w:rsidR="00A33710" w:rsidRPr="003D487E">
        <w:rPr>
          <w:i/>
          <w:spacing w:val="33"/>
          <w:sz w:val="18"/>
        </w:rPr>
        <w:t xml:space="preserve"> </w:t>
      </w:r>
      <w:r w:rsidR="00A33710" w:rsidRPr="003D487E">
        <w:rPr>
          <w:i/>
          <w:sz w:val="18"/>
        </w:rPr>
        <w:t>celebrar los demás acuerdos que permitan la autonomía de la voluntad y requieran el cumplimiento de los fines estatales</w:t>
      </w:r>
      <w:r w:rsidR="00A33710" w:rsidRPr="003D487E">
        <w:rPr>
          <w:sz w:val="18"/>
        </w:rPr>
        <w:t>.</w:t>
      </w:r>
    </w:p>
    <w:p w14:paraId="3277AE41" w14:textId="77777777" w:rsidR="003D487E" w:rsidRPr="003D487E" w:rsidRDefault="003D487E" w:rsidP="005B7AEB">
      <w:pPr>
        <w:pStyle w:val="Textonotapie"/>
        <w:ind w:firstLine="720"/>
        <w:jc w:val="both"/>
        <w:rPr>
          <w:lang w:val="es-CO"/>
        </w:rPr>
      </w:pPr>
    </w:p>
  </w:footnote>
  <w:footnote w:id="3">
    <w:p w14:paraId="5900AC14" w14:textId="77777777" w:rsidR="00A33710" w:rsidRPr="003D487E" w:rsidRDefault="00A33710" w:rsidP="005B7AEB">
      <w:pPr>
        <w:pStyle w:val="Textonotapie"/>
        <w:ind w:firstLine="720"/>
        <w:jc w:val="both"/>
        <w:rPr>
          <w:lang w:val="es-CO"/>
        </w:rPr>
      </w:pPr>
      <w:r w:rsidRPr="003D487E">
        <w:rPr>
          <w:rStyle w:val="Refdenotaalpie"/>
        </w:rPr>
        <w:footnoteRef/>
      </w:r>
      <w:r w:rsidRPr="003D487E">
        <w:t xml:space="preserve"> </w:t>
      </w:r>
      <w:r w:rsidRPr="003D487E">
        <w:rPr>
          <w:sz w:val="18"/>
        </w:rPr>
        <w:t>Ley 996 de 2005, artículo 38: “Parágrafo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w:t>
      </w:r>
      <w:r w:rsidRPr="003D487E">
        <w:rPr>
          <w:spacing w:val="-1"/>
          <w:sz w:val="18"/>
        </w:rPr>
        <w:t xml:space="preserve"> </w:t>
      </w:r>
      <w:r w:rsidRPr="003D487E">
        <w:rPr>
          <w:sz w:val="18"/>
        </w:rPr>
        <w:t>proselitista”</w:t>
      </w:r>
      <w:r w:rsidR="005B7AEB" w:rsidRPr="003D487E">
        <w:rPr>
          <w:sz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9124BC" w14:textId="77777777" w:rsidR="00F8131D" w:rsidRDefault="00592D14">
    <w:pPr>
      <w:pStyle w:val="Textoindependiente"/>
      <w:spacing w:line="14" w:lineRule="auto"/>
    </w:pPr>
    <w:r>
      <w:rPr>
        <w:noProof/>
      </w:rPr>
      <w:drawing>
        <wp:anchor distT="0" distB="0" distL="0" distR="0" simplePos="0" relativeHeight="251657216" behindDoc="1" locked="0" layoutInCell="1" allowOverlap="1" wp14:anchorId="5788D04A" wp14:editId="36AB9A6C">
          <wp:simplePos x="0" y="0"/>
          <wp:positionH relativeFrom="page">
            <wp:posOffset>5304473</wp:posOffset>
          </wp:positionH>
          <wp:positionV relativeFrom="page">
            <wp:posOffset>468247</wp:posOffset>
          </wp:positionV>
          <wp:extent cx="1346374" cy="521377"/>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346374" cy="521377"/>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C212E1D"/>
    <w:multiLevelType w:val="hybridMultilevel"/>
    <w:tmpl w:val="E884A4CC"/>
    <w:lvl w:ilvl="0" w:tplc="A0F8ED36">
      <w:start w:val="1"/>
      <w:numFmt w:val="decimal"/>
      <w:lvlText w:val="%1."/>
      <w:lvlJc w:val="left"/>
      <w:pPr>
        <w:ind w:left="460" w:hanging="360"/>
        <w:jc w:val="left"/>
      </w:pPr>
      <w:rPr>
        <w:rFonts w:ascii="Arial" w:eastAsia="Arial" w:hAnsi="Arial" w:cs="Arial" w:hint="default"/>
        <w:color w:val="000000" w:themeColor="text1"/>
        <w:spacing w:val="-8"/>
        <w:w w:val="100"/>
        <w:sz w:val="22"/>
        <w:szCs w:val="22"/>
        <w:lang w:val="es-ES" w:eastAsia="es-ES" w:bidi="es-ES"/>
      </w:rPr>
    </w:lvl>
    <w:lvl w:ilvl="1" w:tplc="9A0E975E">
      <w:numFmt w:val="bullet"/>
      <w:lvlText w:val="•"/>
      <w:lvlJc w:val="left"/>
      <w:pPr>
        <w:ind w:left="1328" w:hanging="360"/>
      </w:pPr>
      <w:rPr>
        <w:rFonts w:hint="default"/>
        <w:lang w:val="es-ES" w:eastAsia="es-ES" w:bidi="es-ES"/>
      </w:rPr>
    </w:lvl>
    <w:lvl w:ilvl="2" w:tplc="6596C1F6">
      <w:numFmt w:val="bullet"/>
      <w:lvlText w:val="•"/>
      <w:lvlJc w:val="left"/>
      <w:pPr>
        <w:ind w:left="2196" w:hanging="360"/>
      </w:pPr>
      <w:rPr>
        <w:rFonts w:hint="default"/>
        <w:lang w:val="es-ES" w:eastAsia="es-ES" w:bidi="es-ES"/>
      </w:rPr>
    </w:lvl>
    <w:lvl w:ilvl="3" w:tplc="71EE4C88">
      <w:numFmt w:val="bullet"/>
      <w:lvlText w:val="•"/>
      <w:lvlJc w:val="left"/>
      <w:pPr>
        <w:ind w:left="3064" w:hanging="360"/>
      </w:pPr>
      <w:rPr>
        <w:rFonts w:hint="default"/>
        <w:lang w:val="es-ES" w:eastAsia="es-ES" w:bidi="es-ES"/>
      </w:rPr>
    </w:lvl>
    <w:lvl w:ilvl="4" w:tplc="92600526">
      <w:numFmt w:val="bullet"/>
      <w:lvlText w:val="•"/>
      <w:lvlJc w:val="left"/>
      <w:pPr>
        <w:ind w:left="3932" w:hanging="360"/>
      </w:pPr>
      <w:rPr>
        <w:rFonts w:hint="default"/>
        <w:lang w:val="es-ES" w:eastAsia="es-ES" w:bidi="es-ES"/>
      </w:rPr>
    </w:lvl>
    <w:lvl w:ilvl="5" w:tplc="CD7C9424">
      <w:numFmt w:val="bullet"/>
      <w:lvlText w:val="•"/>
      <w:lvlJc w:val="left"/>
      <w:pPr>
        <w:ind w:left="4800" w:hanging="360"/>
      </w:pPr>
      <w:rPr>
        <w:rFonts w:hint="default"/>
        <w:lang w:val="es-ES" w:eastAsia="es-ES" w:bidi="es-ES"/>
      </w:rPr>
    </w:lvl>
    <w:lvl w:ilvl="6" w:tplc="A580AE30">
      <w:numFmt w:val="bullet"/>
      <w:lvlText w:val="•"/>
      <w:lvlJc w:val="left"/>
      <w:pPr>
        <w:ind w:left="5668" w:hanging="360"/>
      </w:pPr>
      <w:rPr>
        <w:rFonts w:hint="default"/>
        <w:lang w:val="es-ES" w:eastAsia="es-ES" w:bidi="es-ES"/>
      </w:rPr>
    </w:lvl>
    <w:lvl w:ilvl="7" w:tplc="D22C9DCA">
      <w:numFmt w:val="bullet"/>
      <w:lvlText w:val="•"/>
      <w:lvlJc w:val="left"/>
      <w:pPr>
        <w:ind w:left="6536" w:hanging="360"/>
      </w:pPr>
      <w:rPr>
        <w:rFonts w:hint="default"/>
        <w:lang w:val="es-ES" w:eastAsia="es-ES" w:bidi="es-ES"/>
      </w:rPr>
    </w:lvl>
    <w:lvl w:ilvl="8" w:tplc="D6ECADDA">
      <w:numFmt w:val="bullet"/>
      <w:lvlText w:val="•"/>
      <w:lvlJc w:val="left"/>
      <w:pPr>
        <w:ind w:left="7404" w:hanging="360"/>
      </w:pPr>
      <w:rPr>
        <w:rFonts w:hint="default"/>
        <w:lang w:val="es-ES" w:eastAsia="es-ES" w:bidi="es-E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F8131D"/>
    <w:rsid w:val="00056C4D"/>
    <w:rsid w:val="000C1D7D"/>
    <w:rsid w:val="00206E3B"/>
    <w:rsid w:val="00303BFD"/>
    <w:rsid w:val="00362720"/>
    <w:rsid w:val="003B77CC"/>
    <w:rsid w:val="003D487E"/>
    <w:rsid w:val="00445D21"/>
    <w:rsid w:val="004738E7"/>
    <w:rsid w:val="004F24A8"/>
    <w:rsid w:val="00592D14"/>
    <w:rsid w:val="005B7AEB"/>
    <w:rsid w:val="00867706"/>
    <w:rsid w:val="0091117F"/>
    <w:rsid w:val="00A33710"/>
    <w:rsid w:val="00AF68B3"/>
    <w:rsid w:val="00C93174"/>
    <w:rsid w:val="00DD0DEC"/>
    <w:rsid w:val="00F0590F"/>
    <w:rsid w:val="00F8131D"/>
    <w:rsid w:val="00FA57F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2EF5FE3A"/>
  <w15:docId w15:val="{B9B11D1F-152A-48CA-B273-A9537943E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eastAsia="es-ES" w:bidi="es-ES"/>
    </w:rPr>
  </w:style>
  <w:style w:type="paragraph" w:styleId="Ttulo1">
    <w:name w:val="heading 1"/>
    <w:basedOn w:val="Normal"/>
    <w:uiPriority w:val="9"/>
    <w:qFormat/>
    <w:pPr>
      <w:ind w:left="100"/>
      <w:outlineLvl w:val="0"/>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0"/>
      <w:szCs w:val="20"/>
    </w:rPr>
  </w:style>
  <w:style w:type="paragraph" w:styleId="Prrafodelista">
    <w:name w:val="List Paragraph"/>
    <w:basedOn w:val="Normal"/>
    <w:uiPriority w:val="1"/>
    <w:qFormat/>
    <w:pPr>
      <w:ind w:left="460" w:hanging="361"/>
      <w:jc w:val="both"/>
    </w:pPr>
  </w:style>
  <w:style w:type="paragraph" w:customStyle="1" w:styleId="TableParagraph">
    <w:name w:val="Table Paragraph"/>
    <w:basedOn w:val="Normal"/>
    <w:uiPriority w:val="1"/>
    <w:qFormat/>
  </w:style>
  <w:style w:type="paragraph" w:styleId="Textonotapie">
    <w:name w:val="footnote text"/>
    <w:basedOn w:val="Normal"/>
    <w:link w:val="TextonotapieCar"/>
    <w:uiPriority w:val="99"/>
    <w:semiHidden/>
    <w:unhideWhenUsed/>
    <w:rsid w:val="00362720"/>
    <w:rPr>
      <w:sz w:val="20"/>
      <w:szCs w:val="20"/>
    </w:rPr>
  </w:style>
  <w:style w:type="character" w:customStyle="1" w:styleId="TextonotapieCar">
    <w:name w:val="Texto nota pie Car"/>
    <w:basedOn w:val="Fuentedeprrafopredeter"/>
    <w:link w:val="Textonotapie"/>
    <w:uiPriority w:val="99"/>
    <w:semiHidden/>
    <w:rsid w:val="00362720"/>
    <w:rPr>
      <w:rFonts w:ascii="Arial" w:eastAsia="Arial" w:hAnsi="Arial" w:cs="Arial"/>
      <w:sz w:val="20"/>
      <w:szCs w:val="20"/>
      <w:lang w:val="es-ES" w:eastAsia="es-ES" w:bidi="es-ES"/>
    </w:rPr>
  </w:style>
  <w:style w:type="character" w:styleId="Refdenotaalpie">
    <w:name w:val="footnote reference"/>
    <w:basedOn w:val="Fuentedeprrafopredeter"/>
    <w:uiPriority w:val="99"/>
    <w:semiHidden/>
    <w:unhideWhenUsed/>
    <w:rsid w:val="0036272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sala-de-prensa/comunicados/lineamientos-impartidos-por-la-agencia-nacional-de-contratacion-publica"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lombiacompra.gov.co/sala-de-prensa/comunicados/lineamientos-impartidos-por-la-agencia-nacional-de-contratacion-publica"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A8F8EE4-68A6-4215-A5E7-155B24CB494E}">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D1ACA053-A150-4725-8BB2-11C641FDD48D}">
  <ds:schemaRefs>
    <ds:schemaRef ds:uri="http://schemas.microsoft.com/sharepoint/v3/contenttype/forms"/>
  </ds:schemaRefs>
</ds:datastoreItem>
</file>

<file path=customXml/itemProps3.xml><?xml version="1.0" encoding="utf-8"?>
<ds:datastoreItem xmlns:ds="http://schemas.openxmlformats.org/officeDocument/2006/customXml" ds:itemID="{FB0F29F0-6040-44EA-B279-01479CFF7F3B}">
  <ds:schemaRefs>
    <ds:schemaRef ds:uri="http://schemas.openxmlformats.org/officeDocument/2006/bibliography"/>
  </ds:schemaRefs>
</ds:datastoreItem>
</file>

<file path=customXml/itemProps4.xml><?xml version="1.0" encoding="utf-8"?>
<ds:datastoreItem xmlns:ds="http://schemas.openxmlformats.org/officeDocument/2006/customXml" ds:itemID="{64AB2B89-27E6-418E-80D4-343139BBEE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Pages>
  <Words>736</Words>
  <Characters>4052</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4779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Carlos Mario Castrillón Endo</cp:lastModifiedBy>
  <cp:revision>9</cp:revision>
  <dcterms:created xsi:type="dcterms:W3CDTF">2020-04-08T14:58:00Z</dcterms:created>
  <dcterms:modified xsi:type="dcterms:W3CDTF">2020-07-06T00:04:00Z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2019-08-14T00:00:00Z</vt:filetime>
  </property>
  <property fmtid="{D5CDD505-2E9C-101B-9397-08002B2CF9AE}" pid="3" name="Creator">
    <vt:lpwstr>Microsoft Word</vt:lpwstr>
  </property>
  <property fmtid="{D5CDD505-2E9C-101B-9397-08002B2CF9AE}" pid="4" name="LastSaved">
    <vt:filetime>2020-04-08T00:00:00Z</vt:filetime>
  </property>
  <property fmtid="{D5CDD505-2E9C-101B-9397-08002B2CF9AE}" pid="5" name="ContentTypeId">
    <vt:lpwstr>0x010100F2E0F32964D9B84EA054B84E5D4157A0</vt:lpwstr>
  </property>
</Properties>
</file>