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F42743" w:rsidR="00A900B8" w:rsidP="6E84D8ED" w:rsidRDefault="00A900B8" w14:paraId="03D06039" w14:textId="77777777" w14:noSpellErr="1">
      <w:pPr>
        <w:ind w:firstLine="708"/>
        <w:rPr>
          <w:rFonts w:ascii="Century Gothic" w:hAnsi="Century Gothic" w:eastAsia="Calibri" w:cs="Arial"/>
          <w:b w:val="1"/>
          <w:bCs w:val="1"/>
          <w:lang w:val="es-ES" w:eastAsia="es-ES"/>
        </w:rPr>
      </w:pPr>
      <w:bookmarkStart w:name="_Hlk143780582" w:id="0"/>
      <w:r w:rsidRPr="6E84D8ED" w:rsidR="00A900B8">
        <w:rPr>
          <w:rFonts w:ascii="Century Gothic" w:hAnsi="Century Gothic" w:eastAsia="Calibri" w:cs="Arial"/>
          <w:b w:val="1"/>
          <w:bCs w:val="1"/>
          <w:lang w:val="es-ES" w:eastAsia="es-ES"/>
        </w:rPr>
        <w:t>SANCIONES CONTRACTUALES – Clases – Consagración legal</w:t>
      </w:r>
    </w:p>
    <w:p w:rsidRPr="00F42743" w:rsidR="00A900B8" w:rsidP="79E51C34" w:rsidRDefault="00A900B8" w14:paraId="6C080A2D" w14:textId="77777777">
      <w:pPr>
        <w:jc w:val="both"/>
        <w:rPr>
          <w:rFonts w:ascii="Century Gothic" w:hAnsi="Century Gothic" w:eastAsia="Calibri" w:cs="Arial"/>
          <w:lang w:val="es-ES" w:eastAsia="es-ES"/>
        </w:rPr>
      </w:pPr>
      <w:r w:rsidRPr="79E51C34" w:rsidR="00A900B8">
        <w:rPr>
          <w:rFonts w:ascii="Century Gothic" w:hAnsi="Century Gothic" w:eastAsia="Calibri" w:cs="Arial"/>
          <w:lang w:val="es-ES" w:eastAsia="es-ES"/>
        </w:rPr>
        <w:t xml:space="preserve">Durante la ejecución de los contratos, las entidades estatales sometidas al Estatuto General de Contratación de la Administración Pública usualmente cuentan con distintas potestades exorbitantes o excepcionales, con base en las cuales ejercen la dirección general del contrato. Entre dichas potestades se encuentran i) las cláusulas excepcionales del artículo 14 de la Ley 80 de 1993, concepto que incluye la terminación unilateral, la interpretación unilateral, la modificación unilateral, la caducidad y la reversión. Dichas prerrogativas se desarrollan en los artículos 15 a 19 ibidem. </w:t>
      </w:r>
      <w:r w:rsidRPr="79E51C34" w:rsidR="00A900B8">
        <w:rPr>
          <w:rFonts w:ascii="Century Gothic" w:hAnsi="Century Gothic" w:eastAsia="Calibri" w:cs="Arial"/>
          <w:lang w:val="es-ES" w:eastAsia="es-ES"/>
        </w:rPr>
        <w:t>ii</w:t>
      </w:r>
      <w:r w:rsidRPr="79E51C34" w:rsidR="00A900B8">
        <w:rPr>
          <w:rFonts w:ascii="Century Gothic" w:hAnsi="Century Gothic" w:eastAsia="Calibri" w:cs="Arial"/>
          <w:lang w:val="es-ES" w:eastAsia="es-ES"/>
        </w:rPr>
        <w:t xml:space="preserve">) En algunas disposiciones también se establecen otras potestades exorbitantes, como la liquidación unilateral y la declaratoria unilateral del siniestro –artículos 7 y 11 de la Ley 1150 de 2007–Dentro de las potestades unilaterales también se encuentran </w:t>
      </w:r>
      <w:r w:rsidRPr="79E51C34" w:rsidR="00A900B8">
        <w:rPr>
          <w:rFonts w:ascii="Century Gothic" w:hAnsi="Century Gothic" w:eastAsia="Calibri" w:cs="Arial"/>
          <w:lang w:val="es-ES" w:eastAsia="es-ES"/>
        </w:rPr>
        <w:t>iii</w:t>
      </w:r>
      <w:r w:rsidRPr="79E51C34" w:rsidR="00A900B8">
        <w:rPr>
          <w:rFonts w:ascii="Century Gothic" w:hAnsi="Century Gothic" w:eastAsia="Calibri" w:cs="Arial"/>
          <w:lang w:val="es-ES" w:eastAsia="es-ES"/>
        </w:rPr>
        <w:t>) las cláusulas excepcionales de imposición unilateral de las cláusulas penales y de multas –artículo 17 de la Ley 1150 de 2007–, aclarando que su exorbitancia se refiere a su imposición unilateral, no a su pacto, que es posible en virtud de las normas civiles y comerciales.</w:t>
      </w:r>
    </w:p>
    <w:p w:rsidRPr="00B803B6" w:rsidR="00A900B8" w:rsidP="00A900B8" w:rsidRDefault="00A900B8" w14:paraId="0B7B4548" w14:textId="77777777">
      <w:pPr>
        <w:rPr>
          <w:rFonts w:ascii="Century Gothic" w:hAnsi="Century Gothic" w:eastAsia="Calibri" w:cs="Arial"/>
          <w:b/>
          <w:szCs w:val="24"/>
          <w:lang w:val="es-ES_tradnl" w:eastAsia="es-ES_tradnl"/>
        </w:rPr>
      </w:pPr>
      <w:r w:rsidRPr="00B803B6">
        <w:rPr>
          <w:rFonts w:ascii="Century Gothic" w:hAnsi="Century Gothic" w:eastAsia="Calibri" w:cs="Arial"/>
          <w:b/>
          <w:szCs w:val="24"/>
          <w:lang w:val="es-ES_tradnl" w:eastAsia="es-ES_tradnl"/>
        </w:rPr>
        <w:t>PROCEDIMIENTO SANCIONATORIO – Ley 1474 de 2011 – Artículo 86</w:t>
      </w:r>
    </w:p>
    <w:p w:rsidRPr="00F42743" w:rsidR="00A900B8" w:rsidP="00A900B8" w:rsidRDefault="00A900B8" w14:paraId="131D820C" w14:textId="77777777">
      <w:pPr>
        <w:jc w:val="both"/>
        <w:rPr>
          <w:rFonts w:ascii="Century Gothic" w:hAnsi="Century Gothic" w:eastAsia="Calibri" w:cs="Arial"/>
          <w:bCs/>
          <w:szCs w:val="24"/>
          <w:lang w:val="es-ES_tradnl" w:eastAsia="es-ES_tradnl"/>
        </w:rPr>
      </w:pPr>
      <w:r w:rsidRPr="00F42743">
        <w:rPr>
          <w:rFonts w:ascii="Century Gothic" w:hAnsi="Century Gothic" w:eastAsia="Calibri" w:cs="Arial"/>
          <w:bCs/>
          <w:szCs w:val="24"/>
          <w:lang w:val="es-ES_tradnl" w:eastAsia="es-ES_tradnl"/>
        </w:rPr>
        <w:t xml:space="preserve">El artículo 86 de la Ley 1474 de 2011 establece las reglas de procedimiento, mediante las cuales se materializan los derechos y garantías derivadas del debido proceso, para su aplicación concreta en materia sancionatoria contractual. De conformidad con esta disposición normativa, las </w:t>
      </w:r>
      <w:r>
        <w:rPr>
          <w:rFonts w:ascii="Century Gothic" w:hAnsi="Century Gothic" w:eastAsia="Calibri" w:cs="Arial"/>
          <w:bCs/>
          <w:szCs w:val="24"/>
          <w:lang w:val="es-ES_tradnl" w:eastAsia="es-ES_tradnl"/>
        </w:rPr>
        <w:t>“</w:t>
      </w:r>
      <w:r w:rsidRPr="00F42743">
        <w:rPr>
          <w:rFonts w:ascii="Century Gothic" w:hAnsi="Century Gothic" w:eastAsia="Calibri" w:cs="Arial"/>
          <w:bCs/>
          <w:szCs w:val="24"/>
          <w:lang w:val="es-ES_tradnl" w:eastAsia="es-ES_tradnl"/>
        </w:rPr>
        <w:t>entidades sometidas al Estatuto General de Contratación de la Administración Pública podrán declarar el incumplimiento […]. Para tal efecto observarán […]</w:t>
      </w:r>
      <w:r>
        <w:rPr>
          <w:rFonts w:ascii="Century Gothic" w:hAnsi="Century Gothic" w:eastAsia="Calibri" w:cs="Arial"/>
          <w:bCs/>
          <w:szCs w:val="24"/>
          <w:lang w:val="es-ES_tradnl" w:eastAsia="es-ES_tradnl"/>
        </w:rPr>
        <w:t>”</w:t>
      </w:r>
      <w:r w:rsidRPr="00F42743">
        <w:rPr>
          <w:rFonts w:ascii="Century Gothic" w:hAnsi="Century Gothic" w:eastAsia="Calibri" w:cs="Arial"/>
          <w:bCs/>
          <w:szCs w:val="24"/>
          <w:lang w:val="es-ES_tradnl" w:eastAsia="es-ES_tradnl"/>
        </w:rPr>
        <w:t xml:space="preserve"> el procedimiento que en tal enunciado normativo se regula. </w:t>
      </w:r>
    </w:p>
    <w:p w:rsidRPr="00F42743" w:rsidR="00A900B8" w:rsidP="79E51C34" w:rsidRDefault="00A900B8" w14:paraId="6E12C43F" w14:textId="77777777" w14:noSpellErr="1">
      <w:pPr>
        <w:jc w:val="both"/>
        <w:rPr>
          <w:rFonts w:ascii="Century Gothic" w:hAnsi="Century Gothic" w:eastAsia="Calibri" w:cs="Arial"/>
          <w:lang w:val="es-ES" w:eastAsia="es-ES"/>
        </w:rPr>
      </w:pPr>
      <w:r w:rsidRPr="79E51C34" w:rsidR="00A900B8">
        <w:rPr>
          <w:rFonts w:ascii="Century Gothic" w:hAnsi="Century Gothic" w:eastAsia="Calibri" w:cs="Arial"/>
          <w:lang w:val="es-ES" w:eastAsia="es-ES"/>
        </w:rPr>
        <w:t xml:space="preserve">Cabe destacar que esta norma no se circunscribe a ciertos tipos de incumplimiento. </w:t>
      </w:r>
      <w:r w:rsidRPr="79E51C34" w:rsidR="00A900B8">
        <w:rPr>
          <w:rFonts w:ascii="Century Gothic" w:hAnsi="Century Gothic" w:eastAsia="Calibri" w:cs="Arial"/>
          <w:lang w:val="es-ES" w:eastAsia="es-ES"/>
        </w:rPr>
        <w:t>En consecuencia, la declaratoria de cualquier incumplimiento, sea total o parcial, o independientemente de su gravedad, debe hacerse con plena observancia de las reglas procedimentales establecidas en el artículo 86 de la Ley 1474 de 2011.</w:t>
      </w:r>
      <w:r w:rsidRPr="79E51C34" w:rsidR="00A900B8">
        <w:rPr>
          <w:rFonts w:ascii="Century Gothic" w:hAnsi="Century Gothic" w:eastAsia="Calibri" w:cs="Arial"/>
          <w:lang w:val="es-ES" w:eastAsia="es-ES"/>
        </w:rPr>
        <w:t xml:space="preserve"> Esto es así como consecuencia del </w:t>
      </w:r>
      <w:r w:rsidRPr="79E51C34" w:rsidR="00A900B8">
        <w:rPr>
          <w:rFonts w:ascii="Century Gothic" w:hAnsi="Century Gothic" w:eastAsia="Calibri" w:cs="Arial"/>
          <w:lang w:val="es-ES" w:eastAsia="es-ES"/>
        </w:rPr>
        <w:t>“</w:t>
      </w:r>
      <w:r w:rsidRPr="79E51C34" w:rsidR="00A900B8">
        <w:rPr>
          <w:rFonts w:ascii="Century Gothic" w:hAnsi="Century Gothic" w:eastAsia="Calibri" w:cs="Arial"/>
          <w:lang w:val="es-ES" w:eastAsia="es-ES"/>
        </w:rPr>
        <w:t>principio general de interpretación jurídica según el cual donde la norma no distingue, no le corresponde distinguir al intérprete</w:t>
      </w:r>
      <w:r w:rsidRPr="79E51C34" w:rsidR="00A900B8">
        <w:rPr>
          <w:rFonts w:ascii="Century Gothic" w:hAnsi="Century Gothic" w:eastAsia="Calibri" w:cs="Arial"/>
          <w:lang w:val="es-ES" w:eastAsia="es-ES"/>
        </w:rPr>
        <w:t>”</w:t>
      </w:r>
      <w:r w:rsidRPr="79E51C34" w:rsidR="00A900B8">
        <w:rPr>
          <w:rFonts w:ascii="Century Gothic" w:hAnsi="Century Gothic" w:eastAsia="Calibri" w:cs="Arial"/>
          <w:lang w:val="es-ES" w:eastAsia="es-ES"/>
        </w:rPr>
        <w:t xml:space="preserve">. A la misma conclusión se llega si se tiene en consideración la necesidad de respetar el debido proceso en </w:t>
      </w:r>
      <w:r w:rsidRPr="79E51C34" w:rsidR="00A900B8">
        <w:rPr>
          <w:rFonts w:ascii="Century Gothic" w:hAnsi="Century Gothic" w:eastAsia="Calibri" w:cs="Arial"/>
          <w:lang w:val="es-ES" w:eastAsia="es-ES"/>
        </w:rPr>
        <w:t>“</w:t>
      </w:r>
      <w:r w:rsidRPr="79E51C34" w:rsidR="00A900B8">
        <w:rPr>
          <w:rFonts w:ascii="Century Gothic" w:hAnsi="Century Gothic" w:eastAsia="Calibri" w:cs="Arial"/>
          <w:lang w:val="es-ES" w:eastAsia="es-ES"/>
        </w:rPr>
        <w:t>todas las actuaciones administrativas</w:t>
      </w:r>
      <w:r w:rsidRPr="79E51C34" w:rsidR="00A900B8">
        <w:rPr>
          <w:rFonts w:ascii="Century Gothic" w:hAnsi="Century Gothic" w:eastAsia="Calibri" w:cs="Arial"/>
          <w:lang w:val="es-ES" w:eastAsia="es-ES"/>
        </w:rPr>
        <w:t>”</w:t>
      </w:r>
      <w:r w:rsidRPr="79E51C34" w:rsidR="00A900B8">
        <w:rPr>
          <w:rFonts w:ascii="Century Gothic" w:hAnsi="Century Gothic" w:eastAsia="Calibri" w:cs="Arial"/>
          <w:lang w:val="es-ES" w:eastAsia="es-ES"/>
        </w:rPr>
        <w:t xml:space="preserve"> como lo ordena el artículo 29 superior. </w:t>
      </w:r>
    </w:p>
    <w:p w:rsidRPr="00B803B6" w:rsidR="00A900B8" w:rsidP="00A900B8" w:rsidRDefault="00A900B8" w14:paraId="60FFA670" w14:textId="77777777">
      <w:pPr>
        <w:rPr>
          <w:rFonts w:ascii="Century Gothic" w:hAnsi="Century Gothic" w:eastAsia="Calibri" w:cs="Arial"/>
          <w:b/>
          <w:szCs w:val="24"/>
          <w:lang w:val="es-ES_tradnl" w:eastAsia="es-ES_tradnl"/>
        </w:rPr>
      </w:pPr>
      <w:r w:rsidRPr="00B803B6">
        <w:rPr>
          <w:rFonts w:ascii="Century Gothic" w:hAnsi="Century Gothic" w:eastAsia="Calibri" w:cs="Arial"/>
          <w:b/>
          <w:szCs w:val="24"/>
          <w:lang w:val="es-ES_tradnl" w:eastAsia="es-ES_tradnl"/>
        </w:rPr>
        <w:t>GARANTÍAS – Contratación estatal – Finalidad</w:t>
      </w:r>
    </w:p>
    <w:p w:rsidRPr="00F42743" w:rsidR="00A900B8" w:rsidP="79E51C34" w:rsidRDefault="00A900B8" w14:paraId="4AA0F2C6" w14:textId="77777777" w14:noSpellErr="1">
      <w:pPr>
        <w:rPr>
          <w:rFonts w:ascii="Century Gothic" w:hAnsi="Century Gothic" w:eastAsia="Calibri" w:cs="Arial"/>
          <w:lang w:val="es-ES" w:eastAsia="es-ES"/>
        </w:rPr>
      </w:pPr>
      <w:r w:rsidRPr="79E51C34" w:rsidR="00A900B8">
        <w:rPr>
          <w:rFonts w:ascii="Century Gothic" w:hAnsi="Century Gothic" w:eastAsia="Calibri" w:cs="Arial"/>
          <w:lang w:val="es-ES" w:eastAsia="es-ES"/>
        </w:rPr>
        <w:t xml:space="preserve">Por regla general, los contratos estatales deben contar con una garantía. </w:t>
      </w:r>
      <w:r w:rsidRPr="79E51C34" w:rsidR="00A900B8">
        <w:rPr>
          <w:rFonts w:ascii="Century Gothic" w:hAnsi="Century Gothic" w:eastAsia="Calibri" w:cs="Arial"/>
          <w:lang w:val="es-ES" w:eastAsia="es-ES"/>
        </w:rPr>
        <w:t xml:space="preserve">Por ello, el artículo 7 de la Ley 1150 de 2007 dispone que los contratistas tienen la obligación de constituirla para el cumplimiento de las obligaciones surgidas del </w:t>
      </w:r>
      <w:r w:rsidRPr="79E51C34" w:rsidR="00A900B8">
        <w:rPr>
          <w:rFonts w:ascii="Century Gothic" w:hAnsi="Century Gothic" w:eastAsia="Calibri" w:cs="Arial"/>
          <w:lang w:val="es-ES" w:eastAsia="es-ES"/>
        </w:rPr>
        <w:t>contrato, pudiendo consistir en pólizas expedidas por compañías aseguradoras, garantías bancarias u otros mecanismos permitidos por la ley y el reglamento.</w:t>
      </w:r>
      <w:r w:rsidRPr="79E51C34" w:rsidR="00A900B8">
        <w:rPr>
          <w:rFonts w:ascii="Century Gothic" w:hAnsi="Century Gothic" w:eastAsia="Calibri" w:cs="Arial"/>
          <w:lang w:val="es-ES" w:eastAsia="es-ES"/>
        </w:rPr>
        <w:t xml:space="preserve"> […]</w:t>
      </w:r>
    </w:p>
    <w:p w:rsidRPr="00F42743" w:rsidR="00A900B8" w:rsidP="00A900B8" w:rsidRDefault="00A900B8" w14:paraId="1B8E78D6" w14:textId="77777777">
      <w:pPr>
        <w:rPr>
          <w:rFonts w:ascii="Century Gothic" w:hAnsi="Century Gothic" w:eastAsia="Calibri" w:cs="Arial"/>
          <w:bCs/>
          <w:szCs w:val="24"/>
          <w:lang w:val="es-ES_tradnl" w:eastAsia="es-ES_tradnl"/>
        </w:rPr>
      </w:pPr>
    </w:p>
    <w:p w:rsidRPr="00F42743" w:rsidR="00A900B8" w:rsidP="00A900B8" w:rsidRDefault="00A900B8" w14:paraId="43BE7A97" w14:textId="77777777">
      <w:pPr>
        <w:rPr>
          <w:rFonts w:ascii="Century Gothic" w:hAnsi="Century Gothic" w:eastAsia="Calibri" w:cs="Arial"/>
          <w:bCs/>
          <w:szCs w:val="24"/>
          <w:lang w:val="es-ES_tradnl" w:eastAsia="es-ES_tradnl"/>
        </w:rPr>
      </w:pPr>
      <w:r w:rsidRPr="00F42743">
        <w:rPr>
          <w:rFonts w:ascii="Century Gothic" w:hAnsi="Century Gothic" w:eastAsia="Calibri" w:cs="Arial"/>
          <w:bCs/>
          <w:szCs w:val="24"/>
          <w:lang w:val="es-ES_tradnl" w:eastAsia="es-ES_tradnl"/>
        </w:rPr>
        <w:t>[…]</w:t>
      </w:r>
    </w:p>
    <w:p w:rsidRPr="00F42743" w:rsidR="00A900B8" w:rsidP="79E51C34" w:rsidRDefault="00A900B8" w14:paraId="7D71CC51" w14:textId="77777777" w14:noSpellErr="1">
      <w:pPr>
        <w:rPr>
          <w:rFonts w:ascii="Century Gothic" w:hAnsi="Century Gothic" w:eastAsia="Times New Roman" w:cs="Arial"/>
          <w:lang w:val="es-ES" w:eastAsia="es-CO"/>
        </w:rPr>
      </w:pPr>
      <w:r w:rsidRPr="79E51C34" w:rsidR="00A900B8">
        <w:rPr>
          <w:rFonts w:ascii="Century Gothic" w:hAnsi="Century Gothic" w:eastAsia="Calibri" w:cs="Arial"/>
          <w:lang w:val="es-ES" w:eastAsia="es-ES"/>
        </w:rPr>
        <w:t>Las condiciones en las que debe cumplirse esta obligación fueron reglamentadas por el Decreto 1082 de 2015, el cual se refiere, en los artículos 2.2.1.2.3.1.1.</w:t>
      </w:r>
      <w:r w:rsidRPr="79E51C34" w:rsidR="00A900B8">
        <w:rPr>
          <w:rFonts w:ascii="Century Gothic" w:hAnsi="Century Gothic" w:eastAsia="Calibri" w:cs="Arial"/>
          <w:lang w:val="es-ES" w:eastAsia="es-ES"/>
        </w:rPr>
        <w:t xml:space="preserve"> </w:t>
      </w:r>
      <w:r w:rsidRPr="79E51C34" w:rsidR="00A900B8">
        <w:rPr>
          <w:rFonts w:ascii="Century Gothic" w:hAnsi="Century Gothic" w:eastAsia="Calibri" w:cs="Arial"/>
          <w:lang w:val="es-ES" w:eastAsia="es-ES"/>
        </w:rPr>
        <w:t>al 2.2.1.2.3.1.19, a las clases de garantías permitidas, la indivisibilidad de las mismas, los riesgos que deben ser objeto de cobertura, la vigencia y valores mínimos, entre otros aspectos que debe cumplir las garantías constituidas, ya sea a través de pólizas de seguro, garantías bancarias o patrimonios autónomos.</w:t>
      </w:r>
    </w:p>
    <w:p w:rsidRPr="00B803B6" w:rsidR="00A900B8" w:rsidP="00A900B8" w:rsidRDefault="00A900B8" w14:paraId="11B83AFC" w14:textId="77777777">
      <w:pPr>
        <w:rPr>
          <w:rFonts w:ascii="Century Gothic" w:hAnsi="Century Gothic" w:eastAsia="Geomanist Light" w:cs="Geomanist Light"/>
          <w:b/>
          <w:bCs/>
          <w:color w:val="000000" w:themeColor="text1"/>
          <w:lang w:val="es-ES_tradnl"/>
        </w:rPr>
      </w:pPr>
      <w:r w:rsidRPr="00B803B6">
        <w:rPr>
          <w:rFonts w:ascii="Century Gothic" w:hAnsi="Century Gothic" w:eastAsia="Geomanist Light" w:cs="Geomanist Light"/>
          <w:b/>
          <w:bCs/>
          <w:color w:val="000000" w:themeColor="text1"/>
          <w:lang w:val="es-ES_tradnl"/>
        </w:rPr>
        <w:t>GARANTÍAS – Siniestro – Declaratoria unilateral</w:t>
      </w:r>
    </w:p>
    <w:p w:rsidRPr="00B803B6" w:rsidR="00A900B8" w:rsidP="00A900B8" w:rsidRDefault="00A900B8" w14:paraId="63BB9D40" w14:textId="77777777">
      <w:pPr>
        <w:jc w:val="both"/>
        <w:rPr>
          <w:rFonts w:ascii="Century Gothic" w:hAnsi="Century Gothic" w:eastAsia="Geomanist Light" w:cs="Geomanist Light"/>
          <w:color w:val="000000" w:themeColor="text1"/>
          <w:lang w:val="es-ES_tradnl"/>
        </w:rPr>
      </w:pPr>
      <w:r w:rsidRPr="00B803B6">
        <w:rPr>
          <w:rFonts w:ascii="Century Gothic" w:hAnsi="Century Gothic" w:eastAsia="Geomanist Light" w:cs="Geomanist Light"/>
          <w:color w:val="000000" w:themeColor="text1"/>
          <w:lang w:val="es-ES_tradnl"/>
        </w:rPr>
        <w:t>De este modo, el procedimiento para declarar el siniestro, regulado en el Estatuto General de Contratación de la Administración Pública, es distinto del trámite ordinario previsto en los artículos 1075 y siguientes del Código de Comercio, que es el que se aplica a las pólizas de seguro entre particulares. […]</w:t>
      </w:r>
    </w:p>
    <w:p w:rsidRPr="00B803B6" w:rsidR="00A900B8" w:rsidP="00A900B8" w:rsidRDefault="00A900B8" w14:paraId="2F8C99EF" w14:textId="77777777">
      <w:pPr>
        <w:jc w:val="both"/>
        <w:rPr>
          <w:rFonts w:ascii="Century Gothic" w:hAnsi="Century Gothic" w:eastAsia="Geomanist Light" w:cs="Geomanist Light"/>
          <w:color w:val="000000" w:themeColor="text1"/>
          <w:lang w:val="es-ES_tradnl"/>
        </w:rPr>
      </w:pPr>
      <w:r w:rsidRPr="00B803B6">
        <w:rPr>
          <w:rFonts w:ascii="Century Gothic" w:hAnsi="Century Gothic" w:eastAsia="Geomanist Light" w:cs="Geomanist Light"/>
          <w:color w:val="000000" w:themeColor="text1"/>
          <w:lang w:val="es-ES_tradnl"/>
        </w:rPr>
        <w:t>[…]</w:t>
      </w:r>
    </w:p>
    <w:p w:rsidRPr="00B803B6" w:rsidR="00A900B8" w:rsidP="79E51C34" w:rsidRDefault="00A900B8" w14:paraId="3FFA3F10" w14:textId="77777777">
      <w:pPr>
        <w:jc w:val="both"/>
        <w:rPr>
          <w:rFonts w:ascii="Century Gothic" w:hAnsi="Century Gothic" w:eastAsia="Geomanist Light" w:cs="Geomanist Light"/>
          <w:color w:val="000000" w:themeColor="text1"/>
          <w:lang w:val="es-ES"/>
        </w:rPr>
      </w:pPr>
      <w:r w:rsidRPr="79E51C34" w:rsidR="00A900B8">
        <w:rPr>
          <w:rFonts w:ascii="Century Gothic" w:hAnsi="Century Gothic" w:eastAsia="Geomanist Light" w:cs="Geomanist Light"/>
          <w:color w:val="000000" w:themeColor="text1" w:themeTint="FF" w:themeShade="FF"/>
          <w:lang w:val="es-ES"/>
        </w:rPr>
        <w:t xml:space="preserve">Así pues, las entidades estatales indicadas en el artículo 2 de la Ley 80 de 1993 cuentan con el beneficio de la decisión previa, que es expresión de la </w:t>
      </w:r>
      <w:r w:rsidRPr="79E51C34" w:rsidR="00A900B8">
        <w:rPr>
          <w:rFonts w:ascii="Century Gothic" w:hAnsi="Century Gothic" w:eastAsia="Geomanist Light" w:cs="Geomanist Light"/>
          <w:color w:val="000000" w:themeColor="text1" w:themeTint="FF" w:themeShade="FF"/>
          <w:lang w:val="es-ES"/>
        </w:rPr>
        <w:t>auto-tutela</w:t>
      </w:r>
      <w:r w:rsidRPr="79E51C34" w:rsidR="00A900B8">
        <w:rPr>
          <w:rFonts w:ascii="Century Gothic" w:hAnsi="Century Gothic" w:eastAsia="Geomanist Light" w:cs="Geomanist Light"/>
          <w:color w:val="000000" w:themeColor="text1" w:themeTint="FF" w:themeShade="FF"/>
          <w:lang w:val="es-ES"/>
        </w:rPr>
        <w:t xml:space="preserve"> declarativa, para verificar la ocurrencia del siniestro –es decir, para constatar la materialización del riesgo asegurado– y para expedir el acto administrativo que establezca: i) que el siniestro efectivamente ocurrió y </w:t>
      </w:r>
      <w:r w:rsidRPr="79E51C34" w:rsidR="00A900B8">
        <w:rPr>
          <w:rFonts w:ascii="Century Gothic" w:hAnsi="Century Gothic" w:eastAsia="Geomanist Light" w:cs="Geomanist Light"/>
          <w:color w:val="000000" w:themeColor="text1" w:themeTint="FF" w:themeShade="FF"/>
          <w:lang w:val="es-ES"/>
        </w:rPr>
        <w:t>ii</w:t>
      </w:r>
      <w:r w:rsidRPr="79E51C34" w:rsidR="00A900B8">
        <w:rPr>
          <w:rFonts w:ascii="Century Gothic" w:hAnsi="Century Gothic" w:eastAsia="Geomanist Light" w:cs="Geomanist Light"/>
          <w:color w:val="000000" w:themeColor="text1" w:themeTint="FF" w:themeShade="FF"/>
          <w:lang w:val="es-ES"/>
        </w:rPr>
        <w:t xml:space="preserve">) que, por ende, el garante debe reconocerle a la entidad estatal el valor amparado en el instrumento de cobertura del riesgo. En tal sentido, la notificación del acto administrativo que declara el siniestro contiene la orden proferida por la entidad estatal, dirigida al garante, para que este reconozca el valor amparado y afectado por dicha declaratoria. </w:t>
      </w:r>
      <w:r w:rsidRPr="79E51C34" w:rsidR="00A900B8">
        <w:rPr>
          <w:rFonts w:ascii="Century Gothic" w:hAnsi="Century Gothic" w:eastAsia="Geomanist Light" w:cs="Geomanist Light"/>
          <w:color w:val="000000" w:themeColor="text1" w:themeTint="FF" w:themeShade="FF"/>
          <w:lang w:val="es-ES"/>
        </w:rPr>
        <w:t>No es una reclamación que queda sujeta a la discrecionalidad del garante, sino una obligación que este debe cumplir una vez el acto administrativo quede en firme, en los términos del artículo 87 de la Ley 1437 de 2011.</w:t>
      </w:r>
    </w:p>
    <w:p w:rsidRPr="00B803B6" w:rsidR="00A900B8" w:rsidP="00A900B8" w:rsidRDefault="00A900B8" w14:paraId="7E522F76" w14:textId="77777777">
      <w:pPr>
        <w:rPr>
          <w:rFonts w:ascii="Century Gothic" w:hAnsi="Century Gothic" w:eastAsia="Geomanist Light" w:cs="Geomanist Light"/>
          <w:b/>
          <w:bCs/>
          <w:color w:val="000000" w:themeColor="text1"/>
          <w:lang w:val="es-ES_tradnl"/>
        </w:rPr>
      </w:pPr>
      <w:r w:rsidRPr="00B803B6">
        <w:rPr>
          <w:rFonts w:ascii="Century Gothic" w:hAnsi="Century Gothic" w:eastAsia="Geomanist Light" w:cs="Geomanist Light"/>
          <w:b/>
          <w:bCs/>
          <w:color w:val="000000" w:themeColor="text1"/>
          <w:lang w:val="es-ES_tradnl"/>
        </w:rPr>
        <w:t>SINIESTRO – Acto administrativo – Incumplimiento – Reclamación</w:t>
      </w:r>
    </w:p>
    <w:p w:rsidR="00A900B8" w:rsidP="79E51C34" w:rsidRDefault="00A900B8" w14:paraId="31F3BC3A" w14:textId="77777777" w14:noSpellErr="1">
      <w:pPr>
        <w:jc w:val="both"/>
        <w:rPr>
          <w:rFonts w:ascii="Century Gothic" w:hAnsi="Century Gothic" w:eastAsia="Geomanist Light" w:cs="Geomanist Light"/>
          <w:color w:val="000000" w:themeColor="text1"/>
          <w:lang w:val="es-ES"/>
        </w:rPr>
      </w:pPr>
      <w:r w:rsidRPr="79E51C34" w:rsidR="00A900B8">
        <w:rPr>
          <w:rFonts w:ascii="Century Gothic" w:hAnsi="Century Gothic" w:eastAsia="Geomanist Light" w:cs="Geomanist Light"/>
          <w:color w:val="000000" w:themeColor="text1" w:themeTint="FF" w:themeShade="FF"/>
          <w:lang w:val="es-ES"/>
        </w:rPr>
        <w:t xml:space="preserve">[…], si el siniestro se basa en la declaratoria del incumplimiento o en la efectividad de una medida sancionatoria –multa, cláusula penal pecuniaria o caducidad–, la entidad estatal debe adelantar el procedimiento administrativo sancionatorio consagrado en el artículo 86 de la Ley 1474 de 2011 y remitir la citación al garante –compañía aseguradora, bancaria o fiduciaria–, para que pueda hacer parte del trámite. </w:t>
      </w:r>
      <w:r w:rsidRPr="79E51C34" w:rsidR="00A900B8">
        <w:rPr>
          <w:rFonts w:ascii="Century Gothic" w:hAnsi="Century Gothic" w:eastAsia="Geomanist Light" w:cs="Geomanist Light"/>
          <w:color w:val="000000" w:themeColor="text1" w:themeTint="FF" w:themeShade="FF"/>
          <w:lang w:val="es-ES"/>
        </w:rPr>
        <w:t xml:space="preserve">Si, como resultado del desarrollo de este procedimiento, la entidad estatal </w:t>
      </w:r>
      <w:r w:rsidRPr="79E51C34" w:rsidR="00A900B8">
        <w:rPr>
          <w:rFonts w:ascii="Century Gothic" w:hAnsi="Century Gothic" w:eastAsia="Geomanist Light" w:cs="Geomanist Light"/>
          <w:color w:val="000000" w:themeColor="text1" w:themeTint="FF" w:themeShade="FF"/>
          <w:lang w:val="es-ES"/>
        </w:rPr>
        <w:t>declara el incumplimiento e impone la caducidad, la multa o la cláusula penal pecuniaria, este acto administrativo que decreta la sanción constituye, al mismo tiempo, el acto que declara el siniestro.</w:t>
      </w:r>
      <w:r w:rsidRPr="79E51C34" w:rsidR="00A900B8">
        <w:rPr>
          <w:rFonts w:ascii="Century Gothic" w:hAnsi="Century Gothic" w:eastAsia="Geomanist Light" w:cs="Geomanist Light"/>
          <w:color w:val="000000" w:themeColor="text1" w:themeTint="FF" w:themeShade="FF"/>
          <w:lang w:val="es-ES"/>
        </w:rPr>
        <w:t xml:space="preserve"> Por consiguiente, se le debe notificar al garante y </w:t>
      </w:r>
      <w:r w:rsidRPr="79E51C34" w:rsidR="00A900B8">
        <w:rPr>
          <w:rFonts w:ascii="Century Gothic" w:hAnsi="Century Gothic" w:eastAsia="Geomanist Light" w:cs="Geomanist Light"/>
          <w:color w:val="000000" w:themeColor="text1" w:themeTint="FF" w:themeShade="FF"/>
          <w:lang w:val="es-ES"/>
        </w:rPr>
        <w:t>“</w:t>
      </w:r>
      <w:r w:rsidRPr="79E51C34" w:rsidR="00A900B8">
        <w:rPr>
          <w:rFonts w:ascii="Century Gothic" w:hAnsi="Century Gothic" w:eastAsia="Geomanist Light" w:cs="Geomanist Light"/>
          <w:color w:val="000000" w:themeColor="text1" w:themeTint="FF" w:themeShade="FF"/>
          <w:lang w:val="es-ES"/>
        </w:rPr>
        <w:t>hace las veces</w:t>
      </w:r>
      <w:r w:rsidRPr="79E51C34" w:rsidR="00A900B8">
        <w:rPr>
          <w:rFonts w:ascii="Century Gothic" w:hAnsi="Century Gothic" w:eastAsia="Geomanist Light" w:cs="Geomanist Light"/>
          <w:color w:val="000000" w:themeColor="text1" w:themeTint="FF" w:themeShade="FF"/>
          <w:lang w:val="es-ES"/>
        </w:rPr>
        <w:t>”</w:t>
      </w:r>
      <w:r w:rsidRPr="79E51C34" w:rsidR="00A900B8">
        <w:rPr>
          <w:rFonts w:ascii="Century Gothic" w:hAnsi="Century Gothic" w:eastAsia="Geomanist Light" w:cs="Geomanist Light"/>
          <w:color w:val="000000" w:themeColor="text1" w:themeTint="FF" w:themeShade="FF"/>
          <w:lang w:val="es-ES"/>
        </w:rPr>
        <w:t xml:space="preserve"> del aviso de ocurrencia del siniestro previsto en el artículo 1075 del Código de Comercio, sin ser igual, porque, a diferencia de la reclamación que realiza un particular a una compañía aseguradora para que le reconozca el valor asegurado en una póliza, la entidad estatal le comunica una orden de pago que está revestida de presunción de legalidad y de ejecutoriedad. El garante podría interponer el recurso de reposición al que se refiere el artículo 86, literal c) de la Ley 1474 de 2011, pero, si se confirma la decisión o si no la impugna, el acto administrativo adquiere firmeza y se torna obligatorio.</w:t>
      </w:r>
    </w:p>
    <w:p w:rsidRPr="001E683B" w:rsidR="00A900B8" w:rsidP="00A900B8" w:rsidRDefault="00A900B8" w14:paraId="6E88C85F" w14:textId="77777777">
      <w:pPr>
        <w:spacing w:line="240" w:lineRule="auto"/>
        <w:jc w:val="both"/>
        <w:rPr>
          <w:rFonts w:ascii="Century Gothic" w:hAnsi="Century Gothic" w:eastAsia="Arial" w:cs="Arial"/>
          <w:b/>
        </w:rPr>
      </w:pPr>
      <w:r w:rsidRPr="001E683B">
        <w:rPr>
          <w:rFonts w:ascii="Century Gothic" w:hAnsi="Century Gothic" w:eastAsia="Arial" w:cs="Arial"/>
          <w:b/>
        </w:rPr>
        <w:t xml:space="preserve">REDUCCIÓN DE PUNTAJE – Multa – Cláusula Penal – Ley 2195 de 2022 – Artículo 58 – Ámbito de aplicación </w:t>
      </w:r>
    </w:p>
    <w:p w:rsidRPr="001E683B" w:rsidR="00A900B8" w:rsidP="00A900B8" w:rsidRDefault="00A900B8" w14:paraId="107BD369" w14:textId="77777777">
      <w:pPr>
        <w:spacing w:line="240" w:lineRule="auto"/>
        <w:jc w:val="both"/>
        <w:rPr>
          <w:rFonts w:ascii="Century Gothic" w:hAnsi="Century Gothic" w:eastAsia="Arial" w:cs="Arial"/>
          <w:b/>
        </w:rPr>
      </w:pPr>
      <w:r w:rsidRPr="001E683B">
        <w:rPr>
          <w:rFonts w:ascii="Century Gothic" w:hAnsi="Century Gothic" w:eastAsia="Arial" w:cs="Arial"/>
        </w:rPr>
        <w:t>La Ley 2195 de 2022,</w:t>
      </w:r>
      <w:r w:rsidRPr="001E683B">
        <w:rPr>
          <w:rFonts w:ascii="Century Gothic" w:hAnsi="Century Gothic" w:eastAsia="Calibri" w:cs="Arial"/>
          <w:bCs/>
          <w:lang w:val="es-ES_tradnl"/>
        </w:rPr>
        <w:t xml:space="preserve"> “</w:t>
      </w:r>
      <w:r w:rsidRPr="001E683B">
        <w:rPr>
          <w:rFonts w:ascii="Century Gothic" w:hAnsi="Century Gothic" w:eastAsia="Calibri" w:cs="Arial"/>
          <w:bCs/>
          <w:i/>
          <w:iCs/>
          <w:lang w:val="es-ES_tradnl"/>
        </w:rPr>
        <w:t>Por medio de la cual se adoptan medidas en materia de transparencia, prevención y lucha contra la corrupción y se dictan otras disposiciones</w:t>
      </w:r>
      <w:r w:rsidRPr="001E683B">
        <w:rPr>
          <w:rFonts w:ascii="Century Gothic" w:hAnsi="Century Gothic" w:eastAsia="Calibri" w:cs="Arial"/>
          <w:bCs/>
          <w:lang w:val="es-ES_tradnl"/>
        </w:rPr>
        <w:t xml:space="preserve">”, </w:t>
      </w:r>
      <w:r w:rsidRPr="001E683B">
        <w:rPr>
          <w:rFonts w:ascii="Century Gothic" w:hAnsi="Century Gothic" w:eastAsia="Arial" w:cs="Arial"/>
          <w:lang w:val="es-ES_tradnl"/>
        </w:rPr>
        <w:t xml:space="preserve">dispuso en su artículo 58 lo concerniente a </w:t>
      </w:r>
      <w:r w:rsidRPr="001E683B">
        <w:rPr>
          <w:rFonts w:ascii="Century Gothic" w:hAnsi="Century Gothic" w:eastAsia="Arial" w:cs="Arial"/>
        </w:rPr>
        <w:t>la reducción de puntaje por incumplimiento de contratos. Según su trámite legislativo, con su incorporación se “[...] busca que la competencia por el mercado de los contratos públicos tenga como variable los antecedentes contractuales de los proponentes, generándose incentivos para la calidad en los servicios y bienes provistos”. Por ello, esta disposición se refiere a la reducción de puntaje durante la evaluación de las ofertas al proponente que se le haya impuesto una o más multas o cláusulas penales.</w:t>
      </w:r>
    </w:p>
    <w:p w:rsidRPr="001E683B" w:rsidR="00A900B8" w:rsidP="00A900B8" w:rsidRDefault="00A900B8" w14:paraId="796A1006" w14:textId="77777777">
      <w:pPr>
        <w:spacing w:line="240" w:lineRule="auto"/>
        <w:jc w:val="both"/>
        <w:rPr>
          <w:rFonts w:ascii="Century Gothic" w:hAnsi="Century Gothic" w:eastAsia="Arial" w:cs="Arial"/>
          <w:b/>
        </w:rPr>
      </w:pPr>
      <w:r w:rsidRPr="001E683B">
        <w:rPr>
          <w:rFonts w:ascii="Century Gothic" w:hAnsi="Century Gothic" w:eastAsia="Arial" w:cs="Arial"/>
          <w:b/>
        </w:rPr>
        <w:t xml:space="preserve">REDUCCIÓN DE PUNTAJE – Ley 2195 de 2022 – Artículo 58 - Porcentaje - Sujetos pasivos </w:t>
      </w:r>
    </w:p>
    <w:p w:rsidRPr="001E683B" w:rsidR="00A900B8" w:rsidP="00A900B8" w:rsidRDefault="00A900B8" w14:paraId="74F5AED0" w14:textId="77777777">
      <w:pPr>
        <w:spacing w:line="240" w:lineRule="auto"/>
        <w:jc w:val="both"/>
        <w:rPr>
          <w:rFonts w:ascii="Century Gothic" w:hAnsi="Century Gothic" w:eastAsia="Arial" w:cs="Arial"/>
        </w:rPr>
      </w:pPr>
      <w:proofErr w:type="spellStart"/>
      <w:r w:rsidRPr="001E683B">
        <w:rPr>
          <w:rFonts w:ascii="Century Gothic" w:hAnsi="Century Gothic" w:eastAsia="Arial" w:cs="Arial"/>
          <w:i/>
          <w:iCs/>
        </w:rPr>
        <w:t>iii</w:t>
      </w:r>
      <w:proofErr w:type="spellEnd"/>
      <w:r w:rsidRPr="001E683B">
        <w:rPr>
          <w:rFonts w:ascii="Century Gothic" w:hAnsi="Century Gothic" w:eastAsia="Arial" w:cs="Arial"/>
          <w:i/>
          <w:iCs/>
        </w:rPr>
        <w:t>)</w:t>
      </w:r>
      <w:r w:rsidRPr="001E683B">
        <w:rPr>
          <w:rFonts w:ascii="Century Gothic" w:hAnsi="Century Gothic" w:eastAsia="Arial" w:cs="Arial"/>
        </w:rPr>
        <w:t xml:space="preserve"> La reducción del puntaje ordenada por la norma debe practicarse durante la evaluación de las ofertas en la etapa precontractual y debe ser equivalente al dos por ciento (2%) del total de los puntos establecidos en el proceso. Es importante precisar que, el artículo no utiliza la preposición </w:t>
      </w:r>
      <w:r w:rsidRPr="001E683B">
        <w:rPr>
          <w:rFonts w:ascii="Century Gothic" w:hAnsi="Century Gothic" w:eastAsia="Arial" w:cs="Arial"/>
          <w:i/>
        </w:rPr>
        <w:t>hasta</w:t>
      </w:r>
      <w:r w:rsidRPr="001E683B">
        <w:rPr>
          <w:rFonts w:ascii="Century Gothic" w:hAnsi="Century Gothic" w:eastAsia="Arial" w:cs="Arial"/>
        </w:rPr>
        <w:t xml:space="preserve">, ni dice que debe ser, </w:t>
      </w:r>
      <w:r w:rsidRPr="001E683B">
        <w:rPr>
          <w:rFonts w:ascii="Century Gothic" w:hAnsi="Century Gothic" w:eastAsia="Arial" w:cs="Arial"/>
          <w:i/>
        </w:rPr>
        <w:t>como mínimo</w:t>
      </w:r>
      <w:r w:rsidRPr="001E683B">
        <w:rPr>
          <w:rFonts w:ascii="Century Gothic" w:hAnsi="Century Gothic" w:eastAsia="Arial" w:cs="Arial"/>
        </w:rPr>
        <w:t xml:space="preserve">, una reducción del dos por ciento (2%) de los puntos, sino que establece que ha de ser, exactamente, por este porcentaje, por lo que las entidades no pueden fijar un porcentaje menor al señalado. </w:t>
      </w:r>
      <w:proofErr w:type="spellStart"/>
      <w:r w:rsidRPr="001E683B">
        <w:rPr>
          <w:rFonts w:ascii="Century Gothic" w:hAnsi="Century Gothic" w:eastAsia="Arial" w:cs="Arial"/>
          <w:i/>
          <w:iCs/>
        </w:rPr>
        <w:t>iv</w:t>
      </w:r>
      <w:proofErr w:type="spellEnd"/>
      <w:r w:rsidRPr="001E683B">
        <w:rPr>
          <w:rFonts w:ascii="Century Gothic" w:hAnsi="Century Gothic" w:eastAsia="Arial" w:cs="Arial"/>
          <w:i/>
          <w:iCs/>
        </w:rPr>
        <w:t>)</w:t>
      </w:r>
      <w:r w:rsidRPr="001E683B">
        <w:rPr>
          <w:rFonts w:ascii="Century Gothic" w:hAnsi="Century Gothic" w:eastAsia="Arial" w:cs="Arial"/>
        </w:rPr>
        <w:t xml:space="preserve"> Los sujetos pasivos –es decir, los afectados por lo dispuesto en el artículo– son los proponentes –incluidos los consorcios y uniones temporales, por la situación de alguno de sus integrantes– a quienes “[…] se les haya impuesto una o más multas o cláusulas penales durante el último año, contado a partir de la fecha prevista para la presentación de las ofertas, sin importar la cuantía y sin perjuicio de las demás consecuencias derivadas del incumplimiento”. </w:t>
      </w:r>
    </w:p>
    <w:p w:rsidRPr="001E683B" w:rsidR="00A900B8" w:rsidP="00A900B8" w:rsidRDefault="00A900B8" w14:paraId="10404C7D" w14:textId="77777777">
      <w:pPr>
        <w:spacing w:line="240" w:lineRule="auto"/>
        <w:jc w:val="both"/>
        <w:rPr>
          <w:rFonts w:ascii="Century Gothic" w:hAnsi="Century Gothic" w:eastAsia="Arial" w:cs="Arial"/>
        </w:rPr>
      </w:pPr>
      <w:r w:rsidRPr="001E683B">
        <w:rPr>
          <w:rFonts w:ascii="Century Gothic" w:hAnsi="Century Gothic" w:eastAsia="Arial" w:cs="Arial"/>
        </w:rPr>
        <w:t>[…]</w:t>
      </w:r>
    </w:p>
    <w:p w:rsidRPr="001E683B" w:rsidR="00A900B8" w:rsidP="00A900B8" w:rsidRDefault="00A900B8" w14:paraId="0DC312AF" w14:textId="77777777">
      <w:pPr>
        <w:spacing w:line="240" w:lineRule="auto"/>
        <w:jc w:val="both"/>
        <w:rPr>
          <w:rFonts w:ascii="Century Gothic" w:hAnsi="Century Gothic" w:eastAsia="Arial" w:cs="Arial"/>
        </w:rPr>
      </w:pPr>
      <w:r w:rsidRPr="001E683B">
        <w:rPr>
          <w:rFonts w:ascii="Century Gothic" w:hAnsi="Century Gothic" w:eastAsia="Arial" w:cs="Arial"/>
        </w:rPr>
        <w:t>Así pues, la reducción del puntaje exigido por el artículo 58 de la Ley 2195 de 2022 no se aplica en aquellos eventos en los cuales una Entidad Estatal realiza un requerimiento a un contratista, sin imponer una multa o cláusula penal pecuniaria, como podría suceder en algunos supuestos de declaratoria de siniestros donde la efectividad de las garantías no siempre está condicionada por el incumplimiento, por ejemplo en la garantía de estabilidad y calidad de la obra, como se expondrá más adelante.</w:t>
      </w:r>
    </w:p>
    <w:p w:rsidR="00A900B8" w:rsidP="00E245AB" w:rsidRDefault="00A900B8" w14:paraId="6857571B" w14:textId="77777777">
      <w:pPr>
        <w:spacing w:after="0"/>
        <w:rPr>
          <w:rFonts w:ascii="Century Gothic" w:hAnsi="Century Gothic"/>
        </w:rPr>
      </w:pPr>
    </w:p>
    <w:p w:rsidR="00A900B8" w:rsidP="00E245AB" w:rsidRDefault="00A900B8" w14:paraId="46E68601" w14:textId="77777777">
      <w:pPr>
        <w:spacing w:after="0"/>
        <w:rPr>
          <w:rFonts w:ascii="Century Gothic" w:hAnsi="Century Gothic"/>
        </w:rPr>
      </w:pPr>
    </w:p>
    <w:p w:rsidR="00A900B8" w:rsidP="00E245AB" w:rsidRDefault="00A900B8" w14:paraId="356CB386" w14:textId="77777777">
      <w:pPr>
        <w:spacing w:after="0"/>
        <w:rPr>
          <w:rFonts w:ascii="Century Gothic" w:hAnsi="Century Gothic"/>
        </w:rPr>
      </w:pPr>
    </w:p>
    <w:p w:rsidR="00A900B8" w:rsidP="00E245AB" w:rsidRDefault="00A900B8" w14:paraId="1A1B7348" w14:textId="77777777">
      <w:pPr>
        <w:spacing w:after="0"/>
        <w:rPr>
          <w:rFonts w:ascii="Century Gothic" w:hAnsi="Century Gothic"/>
        </w:rPr>
      </w:pPr>
    </w:p>
    <w:p w:rsidR="00A900B8" w:rsidP="00E245AB" w:rsidRDefault="00A900B8" w14:paraId="032524B2" w14:textId="77777777">
      <w:pPr>
        <w:spacing w:after="0"/>
        <w:rPr>
          <w:rFonts w:ascii="Century Gothic" w:hAnsi="Century Gothic"/>
        </w:rPr>
      </w:pPr>
    </w:p>
    <w:p w:rsidR="00A900B8" w:rsidP="00E245AB" w:rsidRDefault="00A900B8" w14:paraId="0FCDA139" w14:textId="77777777">
      <w:pPr>
        <w:spacing w:after="0"/>
        <w:rPr>
          <w:rFonts w:ascii="Century Gothic" w:hAnsi="Century Gothic"/>
        </w:rPr>
      </w:pPr>
    </w:p>
    <w:p w:rsidR="00A900B8" w:rsidP="00E245AB" w:rsidRDefault="00A900B8" w14:paraId="70136E76" w14:textId="77777777">
      <w:pPr>
        <w:spacing w:after="0"/>
        <w:rPr>
          <w:rFonts w:ascii="Century Gothic" w:hAnsi="Century Gothic"/>
        </w:rPr>
      </w:pPr>
    </w:p>
    <w:p w:rsidR="00A900B8" w:rsidP="00E245AB" w:rsidRDefault="00A900B8" w14:paraId="684E0742" w14:textId="77777777">
      <w:pPr>
        <w:spacing w:after="0"/>
        <w:rPr>
          <w:rFonts w:ascii="Century Gothic" w:hAnsi="Century Gothic"/>
        </w:rPr>
      </w:pPr>
    </w:p>
    <w:p w:rsidR="00A900B8" w:rsidP="00E245AB" w:rsidRDefault="00A900B8" w14:paraId="0F24467C" w14:textId="77777777">
      <w:pPr>
        <w:spacing w:after="0"/>
        <w:rPr>
          <w:rFonts w:ascii="Century Gothic" w:hAnsi="Century Gothic"/>
        </w:rPr>
      </w:pPr>
    </w:p>
    <w:p w:rsidR="00A900B8" w:rsidP="00E245AB" w:rsidRDefault="00A900B8" w14:paraId="003FD9E1" w14:textId="77777777">
      <w:pPr>
        <w:spacing w:after="0"/>
        <w:rPr>
          <w:rFonts w:ascii="Century Gothic" w:hAnsi="Century Gothic"/>
        </w:rPr>
      </w:pPr>
    </w:p>
    <w:p w:rsidR="00A900B8" w:rsidP="00E245AB" w:rsidRDefault="00A900B8" w14:paraId="1CD3BC84" w14:textId="77777777">
      <w:pPr>
        <w:spacing w:after="0"/>
        <w:rPr>
          <w:rFonts w:ascii="Century Gothic" w:hAnsi="Century Gothic"/>
        </w:rPr>
      </w:pPr>
    </w:p>
    <w:p w:rsidR="00A900B8" w:rsidP="00E245AB" w:rsidRDefault="00A900B8" w14:paraId="02E2B9DB" w14:textId="77777777">
      <w:pPr>
        <w:spacing w:after="0"/>
        <w:rPr>
          <w:rFonts w:ascii="Century Gothic" w:hAnsi="Century Gothic"/>
        </w:rPr>
      </w:pPr>
    </w:p>
    <w:p w:rsidR="00A900B8" w:rsidP="00E245AB" w:rsidRDefault="00A900B8" w14:paraId="6C5AB801" w14:textId="77777777">
      <w:pPr>
        <w:spacing w:after="0"/>
        <w:rPr>
          <w:rFonts w:ascii="Century Gothic" w:hAnsi="Century Gothic"/>
        </w:rPr>
      </w:pPr>
    </w:p>
    <w:p w:rsidR="00A900B8" w:rsidP="00E245AB" w:rsidRDefault="00A900B8" w14:paraId="33E29D90" w14:textId="77777777">
      <w:pPr>
        <w:spacing w:after="0"/>
        <w:rPr>
          <w:rFonts w:ascii="Century Gothic" w:hAnsi="Century Gothic"/>
        </w:rPr>
      </w:pPr>
    </w:p>
    <w:p w:rsidR="00A900B8" w:rsidP="00E245AB" w:rsidRDefault="00A900B8" w14:paraId="4176DC90" w14:textId="77777777">
      <w:pPr>
        <w:spacing w:after="0"/>
        <w:rPr>
          <w:rFonts w:ascii="Century Gothic" w:hAnsi="Century Gothic"/>
        </w:rPr>
      </w:pPr>
    </w:p>
    <w:p w:rsidR="00A900B8" w:rsidP="00E245AB" w:rsidRDefault="00A900B8" w14:paraId="5E4E1456" w14:textId="77777777">
      <w:pPr>
        <w:spacing w:after="0"/>
        <w:rPr>
          <w:rFonts w:ascii="Century Gothic" w:hAnsi="Century Gothic"/>
        </w:rPr>
      </w:pPr>
    </w:p>
    <w:p w:rsidR="00A900B8" w:rsidP="00E245AB" w:rsidRDefault="00A900B8" w14:paraId="65E4A21F" w14:textId="77777777">
      <w:pPr>
        <w:spacing w:after="0"/>
        <w:rPr>
          <w:rFonts w:ascii="Century Gothic" w:hAnsi="Century Gothic"/>
        </w:rPr>
      </w:pPr>
    </w:p>
    <w:p w:rsidR="00A900B8" w:rsidP="00E245AB" w:rsidRDefault="00A900B8" w14:paraId="352EF76D" w14:textId="77777777">
      <w:pPr>
        <w:spacing w:after="0"/>
        <w:rPr>
          <w:rFonts w:ascii="Century Gothic" w:hAnsi="Century Gothic"/>
        </w:rPr>
      </w:pPr>
    </w:p>
    <w:p w:rsidR="00A900B8" w:rsidP="00E245AB" w:rsidRDefault="00A900B8" w14:paraId="7FC7698C" w14:textId="77777777">
      <w:pPr>
        <w:spacing w:after="0"/>
        <w:rPr>
          <w:rFonts w:ascii="Century Gothic" w:hAnsi="Century Gothic"/>
        </w:rPr>
      </w:pPr>
    </w:p>
    <w:p w:rsidR="00A900B8" w:rsidP="00E245AB" w:rsidRDefault="00A900B8" w14:paraId="646F5B2E" w14:textId="77777777">
      <w:pPr>
        <w:spacing w:after="0"/>
        <w:rPr>
          <w:rFonts w:ascii="Century Gothic" w:hAnsi="Century Gothic"/>
        </w:rPr>
      </w:pPr>
    </w:p>
    <w:p w:rsidR="00A900B8" w:rsidP="00E245AB" w:rsidRDefault="00A900B8" w14:paraId="57250020" w14:textId="77777777">
      <w:pPr>
        <w:spacing w:after="0"/>
        <w:rPr>
          <w:rFonts w:ascii="Century Gothic" w:hAnsi="Century Gothic"/>
        </w:rPr>
      </w:pPr>
    </w:p>
    <w:p w:rsidR="00A900B8" w:rsidP="00E245AB" w:rsidRDefault="00A900B8" w14:paraId="4D4BE9CE" w14:textId="77777777">
      <w:pPr>
        <w:spacing w:after="0"/>
        <w:rPr>
          <w:rFonts w:ascii="Century Gothic" w:hAnsi="Century Gothic"/>
        </w:rPr>
      </w:pPr>
    </w:p>
    <w:p w:rsidR="00A900B8" w:rsidP="00E245AB" w:rsidRDefault="00A900B8" w14:paraId="0B929508" w14:textId="77777777">
      <w:pPr>
        <w:spacing w:after="0"/>
        <w:rPr>
          <w:rFonts w:ascii="Century Gothic" w:hAnsi="Century Gothic"/>
        </w:rPr>
      </w:pPr>
    </w:p>
    <w:p w:rsidR="00A900B8" w:rsidP="00E245AB" w:rsidRDefault="00A900B8" w14:paraId="7641E4D8" w14:textId="77777777">
      <w:pPr>
        <w:spacing w:after="0"/>
        <w:rPr>
          <w:rFonts w:ascii="Century Gothic" w:hAnsi="Century Gothic"/>
        </w:rPr>
      </w:pPr>
    </w:p>
    <w:p w:rsidR="00A900B8" w:rsidP="00E245AB" w:rsidRDefault="00A900B8" w14:paraId="4E306A10" w14:textId="77777777">
      <w:pPr>
        <w:spacing w:after="0"/>
        <w:rPr>
          <w:rFonts w:ascii="Century Gothic" w:hAnsi="Century Gothic"/>
        </w:rPr>
      </w:pPr>
    </w:p>
    <w:p w:rsidR="00A900B8" w:rsidP="00E245AB" w:rsidRDefault="00A900B8" w14:paraId="6CC78465" w14:textId="77777777">
      <w:pPr>
        <w:spacing w:after="0"/>
        <w:rPr>
          <w:rFonts w:ascii="Century Gothic" w:hAnsi="Century Gothic"/>
        </w:rPr>
      </w:pPr>
    </w:p>
    <w:p w:rsidR="00A900B8" w:rsidP="00E245AB" w:rsidRDefault="00A900B8" w14:paraId="5212866C" w14:textId="77777777">
      <w:pPr>
        <w:spacing w:after="0"/>
        <w:rPr>
          <w:rFonts w:ascii="Century Gothic" w:hAnsi="Century Gothic"/>
        </w:rPr>
      </w:pPr>
    </w:p>
    <w:p w:rsidR="00A900B8" w:rsidP="00E245AB" w:rsidRDefault="00A900B8" w14:paraId="5EE91D5A" w14:textId="77777777">
      <w:pPr>
        <w:spacing w:after="0"/>
        <w:rPr>
          <w:rFonts w:ascii="Century Gothic" w:hAnsi="Century Gothic"/>
        </w:rPr>
      </w:pPr>
    </w:p>
    <w:p w:rsidR="00A900B8" w:rsidP="00E245AB" w:rsidRDefault="00A900B8" w14:paraId="223D1609" w14:textId="77777777">
      <w:pPr>
        <w:spacing w:after="0"/>
        <w:rPr>
          <w:rFonts w:ascii="Century Gothic" w:hAnsi="Century Gothic"/>
        </w:rPr>
      </w:pPr>
    </w:p>
    <w:p w:rsidR="00A900B8" w:rsidP="00E245AB" w:rsidRDefault="00A900B8" w14:paraId="6ABBAD7F" w14:textId="77777777">
      <w:pPr>
        <w:spacing w:after="0"/>
        <w:rPr>
          <w:rFonts w:ascii="Century Gothic" w:hAnsi="Century Gothic"/>
        </w:rPr>
      </w:pPr>
    </w:p>
    <w:p w:rsidR="00A900B8" w:rsidP="00E245AB" w:rsidRDefault="00A900B8" w14:paraId="2260220D" w14:textId="77777777">
      <w:pPr>
        <w:spacing w:after="0"/>
        <w:rPr>
          <w:rFonts w:ascii="Century Gothic" w:hAnsi="Century Gothic"/>
        </w:rPr>
      </w:pPr>
    </w:p>
    <w:p w:rsidR="00A900B8" w:rsidP="00E245AB" w:rsidRDefault="00A900B8" w14:paraId="749068CE" w14:textId="77777777">
      <w:pPr>
        <w:spacing w:after="0"/>
        <w:rPr>
          <w:rFonts w:ascii="Century Gothic" w:hAnsi="Century Gothic"/>
        </w:rPr>
      </w:pPr>
    </w:p>
    <w:p w:rsidR="00A900B8" w:rsidP="00E245AB" w:rsidRDefault="00A900B8" w14:paraId="33230BC5" w14:textId="77777777">
      <w:pPr>
        <w:spacing w:after="0"/>
        <w:rPr>
          <w:rFonts w:ascii="Century Gothic" w:hAnsi="Century Gothic"/>
        </w:rPr>
      </w:pPr>
    </w:p>
    <w:p w:rsidRPr="00322A85" w:rsidR="00E245AB" w:rsidP="00E245AB" w:rsidRDefault="00E245AB" w14:paraId="3FE2184B" w14:textId="63118B8A">
      <w:pPr>
        <w:spacing w:after="0"/>
        <w:rPr>
          <w:rFonts w:ascii="Century Gothic" w:hAnsi="Century Gothic"/>
        </w:rPr>
      </w:pPr>
      <w:r w:rsidRPr="00322A85">
        <w:rPr>
          <w:rFonts w:ascii="Century Gothic" w:hAnsi="Century Gothic"/>
        </w:rPr>
        <w:t xml:space="preserve">Bogotá D.C., </w:t>
      </w:r>
      <w:r w:rsidRPr="00322A85" w:rsidR="00891928">
        <w:rPr>
          <w:rFonts w:ascii="Century Gothic" w:hAnsi="Century Gothic"/>
        </w:rPr>
        <w:t>[Día]</w:t>
      </w:r>
      <w:r w:rsidR="005A2340">
        <w:rPr>
          <w:rFonts w:ascii="Century Gothic" w:hAnsi="Century Gothic"/>
        </w:rPr>
        <w:t xml:space="preserve"> </w:t>
      </w:r>
      <w:r w:rsidRPr="00322A85" w:rsidR="00891928">
        <w:rPr>
          <w:rFonts w:ascii="Century Gothic" w:hAnsi="Century Gothic"/>
        </w:rPr>
        <w:t>[</w:t>
      </w:r>
      <w:proofErr w:type="spellStart"/>
      <w:r w:rsidRPr="00322A85" w:rsidR="00891928">
        <w:rPr>
          <w:rFonts w:ascii="Century Gothic" w:hAnsi="Century Gothic"/>
        </w:rPr>
        <w:t>Mes</w:t>
      </w:r>
      <w:r w:rsidR="005A2340">
        <w:rPr>
          <w:rFonts w:ascii="Century Gothic" w:hAnsi="Century Gothic"/>
        </w:rPr>
        <w:t>.</w:t>
      </w:r>
      <w:r w:rsidRPr="00322A85" w:rsidR="00891928">
        <w:rPr>
          <w:rFonts w:ascii="Century Gothic" w:hAnsi="Century Gothic"/>
        </w:rPr>
        <w:t>NombreCapitalizado</w:t>
      </w:r>
      <w:proofErr w:type="spellEnd"/>
      <w:r w:rsidRPr="00322A85" w:rsidR="00891928">
        <w:rPr>
          <w:rFonts w:ascii="Century Gothic" w:hAnsi="Century Gothic"/>
        </w:rPr>
        <w:t>]</w:t>
      </w:r>
      <w:r w:rsidR="005A2340">
        <w:rPr>
          <w:rFonts w:ascii="Century Gothic" w:hAnsi="Century Gothic"/>
        </w:rPr>
        <w:t xml:space="preserve"> </w:t>
      </w:r>
      <w:r w:rsidRPr="00322A85" w:rsidR="00891928">
        <w:rPr>
          <w:rFonts w:ascii="Century Gothic" w:hAnsi="Century Gothic"/>
        </w:rPr>
        <w:t>[Año]</w:t>
      </w:r>
      <w:r w:rsidRPr="00322A85" w:rsidR="00891928">
        <w:rPr>
          <w:rFonts w:ascii="Century Gothic" w:hAnsi="Century Gothic"/>
        </w:rPr>
        <w:tab/>
      </w:r>
    </w:p>
    <w:p w:rsidRPr="00322A85" w:rsidR="00E245AB" w:rsidP="00E245AB" w:rsidRDefault="00E245AB" w14:paraId="5FCADBF9" w14:textId="77777777">
      <w:pPr>
        <w:spacing w:after="0"/>
        <w:rPr>
          <w:rFonts w:ascii="Century Gothic" w:hAnsi="Century Gothic"/>
        </w:rPr>
      </w:pPr>
    </w:p>
    <w:p w:rsidRPr="00322A85" w:rsidR="00E245AB" w:rsidP="00E245AB" w:rsidRDefault="00E245AB" w14:paraId="0465BA6D" w14:textId="77777777">
      <w:pPr>
        <w:spacing w:after="0"/>
        <w:rPr>
          <w:rFonts w:ascii="Century Gothic" w:hAnsi="Century Gothic"/>
        </w:rPr>
      </w:pPr>
    </w:p>
    <w:p w:rsidRPr="004715CB" w:rsidR="00D15909" w:rsidP="00D15909" w:rsidRDefault="007F19D0" w14:paraId="03C098DD" w14:textId="27EC6AEC">
      <w:pPr>
        <w:spacing w:after="0" w:line="276" w:lineRule="auto"/>
        <w:jc w:val="both"/>
        <w:rPr>
          <w:rFonts w:ascii="Century Gothic" w:hAnsi="Century Gothic" w:eastAsia="Calibri" w:cs="Arial"/>
          <w:color w:val="000000"/>
        </w:rPr>
      </w:pPr>
      <w:bookmarkStart w:name="_Hlk34951122" w:id="1"/>
      <w:bookmarkEnd w:id="0"/>
      <w:r w:rsidRPr="007F19D0">
        <w:rPr>
          <w:rFonts w:ascii="Century Gothic" w:hAnsi="Century Gothic" w:eastAsia="Calibri" w:cs="Arial"/>
          <w:color w:val="000000"/>
        </w:rPr>
        <w:drawing>
          <wp:anchor distT="0" distB="0" distL="114300" distR="114300" simplePos="0" relativeHeight="251658240" behindDoc="1" locked="0" layoutInCell="1" allowOverlap="1" wp14:anchorId="3914ECC9" wp14:editId="557EB18D">
            <wp:simplePos x="0" y="0"/>
            <wp:positionH relativeFrom="column">
              <wp:posOffset>3212465</wp:posOffset>
            </wp:positionH>
            <wp:positionV relativeFrom="paragraph">
              <wp:posOffset>8255</wp:posOffset>
            </wp:positionV>
            <wp:extent cx="2609850" cy="774700"/>
            <wp:effectExtent l="0" t="0" r="0" b="6350"/>
            <wp:wrapNone/>
            <wp:docPr id="7616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6467" name=""/>
                    <pic:cNvPicPr/>
                  </pic:nvPicPr>
                  <pic:blipFill>
                    <a:blip r:embed="rId10">
                      <a:extLst>
                        <a:ext uri="{28A0092B-C50C-407E-A947-70E740481C1C}">
                          <a14:useLocalDpi xmlns:a14="http://schemas.microsoft.com/office/drawing/2010/main" val="0"/>
                        </a:ext>
                      </a:extLst>
                    </a:blip>
                    <a:stretch>
                      <a:fillRect/>
                    </a:stretch>
                  </pic:blipFill>
                  <pic:spPr>
                    <a:xfrm>
                      <a:off x="0" y="0"/>
                      <a:ext cx="2609850" cy="774700"/>
                    </a:xfrm>
                    <a:prstGeom prst="rect">
                      <a:avLst/>
                    </a:prstGeom>
                  </pic:spPr>
                </pic:pic>
              </a:graphicData>
            </a:graphic>
          </wp:anchor>
        </w:drawing>
      </w:r>
      <w:r w:rsidRPr="004715CB" w:rsidR="00D15909">
        <w:rPr>
          <w:rFonts w:ascii="Century Gothic" w:hAnsi="Century Gothic" w:eastAsia="Calibri" w:cs="Arial"/>
          <w:color w:val="000000"/>
        </w:rPr>
        <w:t>Señor</w:t>
      </w:r>
    </w:p>
    <w:p w:rsidRPr="004715CB" w:rsidR="00D15909" w:rsidP="00D15909" w:rsidRDefault="00D15909" w14:paraId="0EB4FAEE" w14:textId="66C33C5A">
      <w:pPr>
        <w:spacing w:after="0" w:line="276" w:lineRule="auto"/>
        <w:jc w:val="both"/>
        <w:rPr>
          <w:rFonts w:ascii="Century Gothic" w:hAnsi="Century Gothic" w:eastAsia="Calibri" w:cs="Arial"/>
          <w:b/>
          <w:bCs/>
          <w:color w:val="000000"/>
        </w:rPr>
      </w:pPr>
      <w:r>
        <w:rPr>
          <w:rFonts w:ascii="Century Gothic" w:hAnsi="Century Gothic" w:eastAsia="Calibri" w:cs="Arial"/>
          <w:b/>
          <w:bCs/>
          <w:color w:val="000000"/>
        </w:rPr>
        <w:t>Eliecer Pereira Bautista</w:t>
      </w:r>
    </w:p>
    <w:p w:rsidRPr="004715CB" w:rsidR="00D15909" w:rsidP="00D15909" w:rsidRDefault="00D15909" w14:paraId="500B291E" w14:textId="786A7A8D">
      <w:pPr>
        <w:spacing w:after="0" w:line="276" w:lineRule="auto"/>
        <w:jc w:val="both"/>
        <w:rPr>
          <w:rFonts w:ascii="Century Gothic" w:hAnsi="Century Gothic" w:eastAsia="Calibri" w:cs="Arial"/>
          <w:color w:val="000000"/>
        </w:rPr>
      </w:pPr>
      <w:r w:rsidRPr="004715CB">
        <w:rPr>
          <w:rFonts w:ascii="Century Gothic" w:hAnsi="Century Gothic" w:eastAsia="Calibri" w:cs="Arial"/>
          <w:color w:val="000000"/>
        </w:rPr>
        <w:t>Ciudad</w:t>
      </w:r>
      <w:r w:rsidRPr="007F19D0" w:rsidR="007F19D0">
        <w:rPr>
          <w:noProof/>
        </w:rPr>
        <w:t xml:space="preserve"> </w:t>
      </w:r>
    </w:p>
    <w:p w:rsidRPr="004715CB" w:rsidR="00D15909" w:rsidP="00D15909" w:rsidRDefault="00D15909" w14:paraId="573547A0" w14:textId="77777777">
      <w:pPr>
        <w:tabs>
          <w:tab w:val="center" w:pos="4394"/>
        </w:tabs>
        <w:spacing w:after="0" w:line="276" w:lineRule="auto"/>
        <w:jc w:val="both"/>
        <w:rPr>
          <w:rFonts w:ascii="Century Gothic" w:hAnsi="Century Gothic" w:eastAsia="Calibri" w:cs="Arial"/>
          <w:b/>
          <w:bCs/>
          <w:color w:val="000000"/>
        </w:rPr>
      </w:pPr>
      <w:r w:rsidRPr="004715CB">
        <w:rPr>
          <w:rFonts w:ascii="Century Gothic" w:hAnsi="Century Gothic" w:eastAsia="Calibri" w:cs="Arial"/>
          <w:b/>
          <w:color w:val="000000"/>
        </w:rPr>
        <w:t xml:space="preserve"> </w:t>
      </w:r>
    </w:p>
    <w:p w:rsidRPr="004715CB" w:rsidR="00D15909" w:rsidP="00D15909" w:rsidRDefault="00D15909" w14:paraId="3209BC43" w14:textId="77777777">
      <w:pPr>
        <w:spacing w:after="0" w:line="276" w:lineRule="auto"/>
        <w:rPr>
          <w:rFonts w:ascii="Century Gothic" w:hAnsi="Century Gothic" w:eastAsia="Calibri" w:cs="Arial"/>
          <w:b/>
          <w:bCs/>
          <w:color w:val="000000"/>
        </w:rPr>
      </w:pPr>
    </w:p>
    <w:p w:rsidRPr="004715CB" w:rsidR="00D15909" w:rsidP="00D15909" w:rsidRDefault="00D15909" w14:paraId="3A8828D6" w14:textId="77777777">
      <w:pPr>
        <w:spacing w:after="0" w:line="276" w:lineRule="auto"/>
        <w:rPr>
          <w:rFonts w:ascii="Century Gothic" w:hAnsi="Century Gothic" w:eastAsia="Calibri" w:cs="Arial"/>
          <w:b/>
          <w:bCs/>
          <w:color w:val="000000"/>
          <w:lang w:val="pt-BR"/>
        </w:rPr>
      </w:pPr>
      <w:r w:rsidRPr="004715CB">
        <w:rPr>
          <w:rFonts w:ascii="Century Gothic" w:hAnsi="Century Gothic" w:eastAsia="Calibri" w:cs="Arial"/>
          <w:b/>
          <w:bCs/>
          <w:color w:val="000000"/>
        </w:rPr>
        <w:t xml:space="preserve">                                            </w:t>
      </w:r>
      <w:r w:rsidRPr="004715CB">
        <w:rPr>
          <w:rFonts w:ascii="Century Gothic" w:hAnsi="Century Gothic" w:eastAsia="Calibri" w:cs="Arial"/>
          <w:b/>
          <w:bCs/>
          <w:color w:val="000000"/>
          <w:lang w:val="pt-BR"/>
        </w:rPr>
        <w:t xml:space="preserve">Concepto C </w:t>
      </w:r>
      <w:r w:rsidRPr="004715CB">
        <w:rPr>
          <w:rFonts w:ascii="Arial" w:hAnsi="Arial" w:eastAsia="Calibri" w:cs="Arial"/>
          <w:b/>
          <w:bCs/>
          <w:color w:val="000000"/>
          <w:lang w:val="pt-BR"/>
        </w:rPr>
        <w:t>‒</w:t>
      </w:r>
      <w:r w:rsidRPr="004715CB">
        <w:rPr>
          <w:rFonts w:ascii="Century Gothic" w:hAnsi="Century Gothic" w:eastAsia="Calibri" w:cs="Arial"/>
          <w:b/>
          <w:bCs/>
          <w:color w:val="000000"/>
          <w:lang w:val="pt-BR"/>
        </w:rPr>
        <w:t>40</w:t>
      </w:r>
      <w:r>
        <w:rPr>
          <w:rFonts w:ascii="Century Gothic" w:hAnsi="Century Gothic" w:eastAsia="Calibri" w:cs="Arial"/>
          <w:b/>
          <w:bCs/>
          <w:color w:val="000000"/>
          <w:lang w:val="pt-BR"/>
        </w:rPr>
        <w:t>2</w:t>
      </w:r>
      <w:r w:rsidRPr="004715CB">
        <w:rPr>
          <w:rFonts w:ascii="Century Gothic" w:hAnsi="Century Gothic" w:eastAsia="Calibri" w:cs="Arial"/>
          <w:b/>
          <w:bCs/>
          <w:color w:val="000000"/>
          <w:lang w:val="pt-BR"/>
        </w:rPr>
        <w:t xml:space="preserve"> de 2023</w:t>
      </w:r>
    </w:p>
    <w:p w:rsidRPr="004715CB" w:rsidR="00D15909" w:rsidP="00D15909" w:rsidRDefault="00D15909" w14:paraId="1493730F" w14:textId="77777777">
      <w:pPr>
        <w:spacing w:after="0" w:line="240" w:lineRule="auto"/>
        <w:rPr>
          <w:rFonts w:ascii="Century Gothic" w:hAnsi="Century Gothic" w:eastAsia="Calibri" w:cs="Arial"/>
          <w:b/>
          <w:bCs/>
          <w:color w:val="000000"/>
          <w:lang w:val="pt-BR"/>
        </w:rPr>
      </w:pPr>
    </w:p>
    <w:tbl>
      <w:tblPr>
        <w:tblStyle w:val="TableGrid"/>
        <w:tblW w:w="89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237"/>
      </w:tblGrid>
      <w:tr w:rsidRPr="004715CB" w:rsidR="00D15909" w:rsidTr="00C26C63" w14:paraId="1813B43E" w14:textId="77777777">
        <w:trPr>
          <w:trHeight w:val="884"/>
        </w:trPr>
        <w:tc>
          <w:tcPr>
            <w:tcW w:w="2689" w:type="dxa"/>
          </w:tcPr>
          <w:p w:rsidRPr="004715CB" w:rsidR="00D15909" w:rsidP="00C26C63" w:rsidRDefault="00D15909" w14:paraId="77B1CDB4" w14:textId="77777777">
            <w:pPr>
              <w:jc w:val="both"/>
              <w:rPr>
                <w:rFonts w:ascii="Century Gothic" w:hAnsi="Century Gothic" w:eastAsia="Calibri" w:cs="Arial"/>
                <w:b/>
                <w:color w:val="000000"/>
                <w:szCs w:val="24"/>
                <w:lang w:val="es-ES_tradnl" w:eastAsia="es-ES_tradnl"/>
              </w:rPr>
            </w:pPr>
            <w:r w:rsidRPr="004715CB">
              <w:rPr>
                <w:rFonts w:ascii="Century Gothic" w:hAnsi="Century Gothic" w:eastAsia="Calibri" w:cs="Arial"/>
                <w:b/>
                <w:color w:val="000000"/>
                <w:szCs w:val="24"/>
                <w:lang w:val="es-ES_tradnl" w:eastAsia="es-ES_tradnl"/>
              </w:rPr>
              <w:t xml:space="preserve">Temas:                   </w:t>
            </w:r>
          </w:p>
        </w:tc>
        <w:tc>
          <w:tcPr>
            <w:tcW w:w="6237" w:type="dxa"/>
          </w:tcPr>
          <w:p w:rsidRPr="004715CB" w:rsidR="00D15909" w:rsidP="00C26C63" w:rsidRDefault="00D15909" w14:paraId="7B2D68A0" w14:textId="77777777">
            <w:pPr>
              <w:jc w:val="both"/>
              <w:rPr>
                <w:rFonts w:ascii="Century Gothic" w:hAnsi="Century Gothic" w:eastAsia="Calibri" w:cs="Arial"/>
                <w:color w:val="000000"/>
                <w:lang w:val="es-ES_tradnl"/>
              </w:rPr>
            </w:pPr>
            <w:r w:rsidRPr="00B803B6">
              <w:rPr>
                <w:rFonts w:ascii="Century Gothic" w:hAnsi="Century Gothic" w:eastAsia="Calibri" w:cs="Arial"/>
                <w:color w:val="000000"/>
                <w:lang w:val="es-ES_tradnl"/>
              </w:rPr>
              <w:t>SANCIONES CONTRACTUALES – Clases – Consagración legal / PROCEDIMIENTO SANCIONATORIO – Ley 1474 de 2011 – Artículo 86 / GARANTÍAS – Contratación estatal – Finalidad / GARANTÍAS – Siniestro – Declaratoria unilateral / SINIESTRO – Acto administrativo – Incumplimiento – Reclamación.</w:t>
            </w:r>
          </w:p>
        </w:tc>
      </w:tr>
      <w:tr w:rsidRPr="004715CB" w:rsidR="00D15909" w:rsidTr="00C26C63" w14:paraId="6EFF2199" w14:textId="77777777">
        <w:tc>
          <w:tcPr>
            <w:tcW w:w="2689" w:type="dxa"/>
          </w:tcPr>
          <w:p w:rsidR="00D15909" w:rsidP="00C26C63" w:rsidRDefault="00D15909" w14:paraId="46F67A93" w14:textId="77777777">
            <w:pPr>
              <w:jc w:val="both"/>
              <w:rPr>
                <w:rFonts w:ascii="Century Gothic" w:hAnsi="Century Gothic" w:eastAsia="Calibri" w:cs="Arial"/>
                <w:b/>
                <w:color w:val="000000"/>
                <w:szCs w:val="24"/>
                <w:lang w:val="es-ES_tradnl" w:eastAsia="es-ES_tradnl"/>
              </w:rPr>
            </w:pPr>
          </w:p>
          <w:p w:rsidRPr="004715CB" w:rsidR="00D15909" w:rsidP="00C26C63" w:rsidRDefault="00D15909" w14:paraId="78C94140" w14:textId="77777777">
            <w:pPr>
              <w:jc w:val="both"/>
              <w:rPr>
                <w:rFonts w:ascii="Century Gothic" w:hAnsi="Century Gothic" w:eastAsia="Calibri" w:cs="Arial"/>
                <w:b/>
                <w:color w:val="000000"/>
                <w:szCs w:val="24"/>
                <w:lang w:val="es-ES_tradnl" w:eastAsia="es-ES_tradnl"/>
              </w:rPr>
            </w:pPr>
            <w:r w:rsidRPr="004715CB">
              <w:rPr>
                <w:rFonts w:ascii="Century Gothic" w:hAnsi="Century Gothic" w:eastAsia="Calibri" w:cs="Arial"/>
                <w:b/>
                <w:color w:val="000000"/>
                <w:szCs w:val="24"/>
                <w:lang w:val="es-ES_tradnl" w:eastAsia="es-ES_tradnl"/>
              </w:rPr>
              <w:t xml:space="preserve">Radicación:               </w:t>
            </w:r>
          </w:p>
        </w:tc>
        <w:tc>
          <w:tcPr>
            <w:tcW w:w="6237" w:type="dxa"/>
          </w:tcPr>
          <w:p w:rsidR="00D15909" w:rsidP="00C26C63" w:rsidRDefault="00D15909" w14:paraId="5BD92B03" w14:textId="77777777">
            <w:pPr>
              <w:jc w:val="both"/>
              <w:rPr>
                <w:rFonts w:ascii="Century Gothic" w:hAnsi="Century Gothic" w:eastAsia="Calibri" w:cs="Arial"/>
                <w:bCs/>
                <w:color w:val="000000"/>
                <w:szCs w:val="24"/>
                <w:lang w:val="es-ES_tradnl" w:eastAsia="es-ES_tradnl"/>
              </w:rPr>
            </w:pPr>
          </w:p>
          <w:p w:rsidRPr="004715CB" w:rsidR="00D15909" w:rsidP="00C26C63" w:rsidRDefault="00D15909" w14:paraId="3553E82F" w14:textId="77777777">
            <w:pPr>
              <w:jc w:val="both"/>
              <w:rPr>
                <w:rFonts w:ascii="Century Gothic" w:hAnsi="Century Gothic" w:eastAsia="Calibri" w:cs="Arial"/>
                <w:bCs/>
                <w:color w:val="000000"/>
                <w:szCs w:val="24"/>
                <w:lang w:val="es-ES_tradnl" w:eastAsia="es-ES_tradnl"/>
              </w:rPr>
            </w:pPr>
            <w:r w:rsidRPr="004715CB">
              <w:rPr>
                <w:rFonts w:ascii="Century Gothic" w:hAnsi="Century Gothic" w:eastAsia="Calibri" w:cs="Arial"/>
                <w:bCs/>
                <w:color w:val="000000"/>
                <w:szCs w:val="24"/>
                <w:lang w:val="es-ES_tradnl" w:eastAsia="es-ES_tradnl"/>
              </w:rPr>
              <w:t xml:space="preserve">Respuesta a consulta </w:t>
            </w:r>
            <w:r w:rsidRPr="00D46F26">
              <w:rPr>
                <w:rFonts w:ascii="Century Gothic" w:hAnsi="Century Gothic" w:eastAsia="Calibri" w:cs="Arial"/>
                <w:bCs/>
                <w:color w:val="000000"/>
                <w:szCs w:val="24"/>
                <w:lang w:val="es-ES_tradnl" w:eastAsia="es-ES_tradnl"/>
              </w:rPr>
              <w:t>P20230818014339</w:t>
            </w:r>
          </w:p>
        </w:tc>
      </w:tr>
    </w:tbl>
    <w:p w:rsidRPr="004715CB" w:rsidR="00D15909" w:rsidP="00D15909" w:rsidRDefault="00D15909" w14:paraId="4CB8D235" w14:textId="77777777">
      <w:pPr>
        <w:spacing w:after="0" w:line="274" w:lineRule="auto"/>
        <w:jc w:val="both"/>
        <w:rPr>
          <w:rFonts w:ascii="Century Gothic" w:hAnsi="Century Gothic" w:eastAsia="Calibri" w:cs="Arial"/>
          <w:color w:val="000000"/>
          <w:lang w:val="es-ES_tradnl"/>
        </w:rPr>
      </w:pPr>
    </w:p>
    <w:p w:rsidR="00D15909" w:rsidP="00D15909" w:rsidRDefault="00D15909" w14:paraId="69651D2F" w14:textId="77777777">
      <w:pPr>
        <w:spacing w:after="0" w:line="274" w:lineRule="auto"/>
        <w:jc w:val="both"/>
        <w:rPr>
          <w:lang w:val="es-MX"/>
        </w:rPr>
      </w:pPr>
    </w:p>
    <w:p w:rsidRPr="004715CB" w:rsidR="00D15909" w:rsidP="00D15909" w:rsidRDefault="00D15909" w14:paraId="671D7D6C" w14:textId="77777777">
      <w:pPr>
        <w:spacing w:after="0" w:line="274" w:lineRule="auto"/>
        <w:jc w:val="both"/>
        <w:rPr>
          <w:rFonts w:ascii="Century Gothic" w:hAnsi="Century Gothic" w:eastAsia="Calibri" w:cs="Arial"/>
          <w:color w:val="000000"/>
          <w:lang w:val="es-ES_tradnl"/>
        </w:rPr>
      </w:pPr>
      <w:r w:rsidRPr="004715CB">
        <w:rPr>
          <w:rFonts w:ascii="Century Gothic" w:hAnsi="Century Gothic" w:eastAsia="Calibri" w:cs="Arial"/>
          <w:color w:val="000000"/>
          <w:lang w:val="es-ES_tradnl"/>
        </w:rPr>
        <w:t>Estimad</w:t>
      </w:r>
      <w:r>
        <w:rPr>
          <w:rFonts w:ascii="Century Gothic" w:hAnsi="Century Gothic" w:eastAsia="Calibri" w:cs="Arial"/>
          <w:color w:val="000000"/>
          <w:lang w:val="es-ES_tradnl"/>
        </w:rPr>
        <w:t>o</w:t>
      </w:r>
      <w:r w:rsidRPr="004715CB">
        <w:rPr>
          <w:rFonts w:ascii="Century Gothic" w:hAnsi="Century Gothic" w:eastAsia="Calibri" w:cs="Arial"/>
          <w:color w:val="000000"/>
          <w:lang w:val="es-ES_tradnl"/>
        </w:rPr>
        <w:t xml:space="preserve"> señor </w:t>
      </w:r>
      <w:r>
        <w:rPr>
          <w:rFonts w:ascii="Century Gothic" w:hAnsi="Century Gothic" w:eastAsia="Calibri" w:cs="Arial"/>
          <w:color w:val="000000"/>
          <w:lang w:val="es-ES_tradnl"/>
        </w:rPr>
        <w:t>Pereira</w:t>
      </w:r>
      <w:r w:rsidRPr="004715CB">
        <w:rPr>
          <w:rFonts w:ascii="Century Gothic" w:hAnsi="Century Gothic" w:eastAsia="Calibri" w:cs="Arial"/>
          <w:color w:val="000000"/>
          <w:lang w:val="es-ES_tradnl"/>
        </w:rPr>
        <w:t xml:space="preserve">: </w:t>
      </w:r>
    </w:p>
    <w:p w:rsidRPr="004715CB" w:rsidR="00D15909" w:rsidP="00D15909" w:rsidRDefault="00D15909" w14:paraId="716180E8" w14:textId="77777777">
      <w:pPr>
        <w:spacing w:after="0" w:line="274" w:lineRule="auto"/>
        <w:jc w:val="both"/>
        <w:rPr>
          <w:rFonts w:ascii="Century Gothic" w:hAnsi="Century Gothic" w:eastAsia="Calibri" w:cs="Arial"/>
          <w:color w:val="000000"/>
          <w:lang w:val="es-ES_tradnl"/>
        </w:rPr>
      </w:pPr>
    </w:p>
    <w:p w:rsidRPr="004715CB" w:rsidR="00D15909" w:rsidP="00D15909" w:rsidRDefault="00D15909" w14:paraId="449B3AF8" w14:textId="77777777">
      <w:pPr>
        <w:spacing w:after="0" w:line="274" w:lineRule="auto"/>
        <w:jc w:val="both"/>
        <w:rPr>
          <w:rFonts w:ascii="Century Gothic" w:hAnsi="Century Gothic" w:eastAsia="Calibri" w:cs="Arial"/>
          <w:color w:val="000000"/>
          <w:lang w:val="es-ES_tradnl"/>
        </w:rPr>
      </w:pPr>
      <w:r w:rsidRPr="004715CB">
        <w:rPr>
          <w:rFonts w:ascii="Century Gothic" w:hAnsi="Century Gothic" w:eastAsia="Calibri" w:cs="Arial"/>
          <w:color w:val="000000"/>
          <w:lang w:val="es-ES_tradnl"/>
        </w:rPr>
        <w:t>En ejercicio de la competencia otorgada por el numeral 8 del artículo 11 y el numeral 5 del artículo 3 del Decreto Ley 4170 de 2011,</w:t>
      </w:r>
      <w:r w:rsidRPr="004715CB">
        <w:rPr>
          <w:rFonts w:ascii="Century Gothic" w:hAnsi="Century Gothic" w:eastAsia="Arial MT" w:cs="Arial"/>
          <w:lang w:val="es-ES"/>
        </w:rPr>
        <w:t xml:space="preserve"> </w:t>
      </w:r>
      <w:r w:rsidRPr="004715CB">
        <w:rPr>
          <w:rFonts w:ascii="Century Gothic" w:hAnsi="Century Gothic" w:eastAsia="Calibri" w:cs="Arial"/>
          <w:color w:val="000000"/>
          <w:lang w:val="es-ES_tradnl"/>
        </w:rPr>
        <w:t>la Agencia Nacional de Contratación Pública – Colombia Compra Eficiente, responde su consulta del 1</w:t>
      </w:r>
      <w:r>
        <w:rPr>
          <w:rFonts w:ascii="Century Gothic" w:hAnsi="Century Gothic" w:eastAsia="Calibri" w:cs="Arial"/>
          <w:color w:val="000000"/>
          <w:lang w:val="es-ES_tradnl"/>
        </w:rPr>
        <w:t>8</w:t>
      </w:r>
      <w:r w:rsidRPr="004715CB">
        <w:rPr>
          <w:rFonts w:ascii="Century Gothic" w:hAnsi="Century Gothic" w:eastAsia="Calibri" w:cs="Arial"/>
          <w:color w:val="000000"/>
          <w:lang w:val="es-ES_tradnl"/>
        </w:rPr>
        <w:t xml:space="preserve"> de agosto de 2023.</w:t>
      </w:r>
    </w:p>
    <w:p w:rsidRPr="004715CB" w:rsidR="00D15909" w:rsidP="00D15909" w:rsidRDefault="00D15909" w14:paraId="12320B25" w14:textId="77777777">
      <w:pPr>
        <w:spacing w:after="0" w:line="276" w:lineRule="auto"/>
        <w:jc w:val="both"/>
        <w:rPr>
          <w:rFonts w:ascii="Century Gothic" w:hAnsi="Century Gothic" w:eastAsia="Calibri" w:cs="Arial"/>
          <w:b/>
          <w:color w:val="000000"/>
          <w:lang w:val="es-ES_tradnl"/>
        </w:rPr>
      </w:pPr>
    </w:p>
    <w:p w:rsidRPr="004715CB" w:rsidR="00D15909" w:rsidP="00D15909" w:rsidRDefault="00D15909" w14:paraId="24E2561F" w14:textId="77777777">
      <w:pPr>
        <w:numPr>
          <w:ilvl w:val="0"/>
          <w:numId w:val="17"/>
        </w:numPr>
        <w:tabs>
          <w:tab w:val="left" w:pos="0"/>
          <w:tab w:val="left" w:pos="142"/>
          <w:tab w:val="left" w:pos="284"/>
        </w:tabs>
        <w:spacing w:after="0" w:line="276" w:lineRule="auto"/>
        <w:ind w:hanging="6601"/>
        <w:contextualSpacing/>
        <w:jc w:val="both"/>
        <w:rPr>
          <w:rFonts w:ascii="Century Gothic" w:hAnsi="Century Gothic" w:eastAsia="Calibri" w:cs="Arial"/>
          <w:b/>
          <w:color w:val="000000"/>
          <w:lang w:val="es-ES_tradnl"/>
        </w:rPr>
      </w:pPr>
      <w:r w:rsidRPr="004715CB">
        <w:rPr>
          <w:rFonts w:ascii="Century Gothic" w:hAnsi="Century Gothic" w:eastAsia="Calibri" w:cs="Arial"/>
          <w:b/>
          <w:color w:val="000000"/>
          <w:lang w:val="es-ES_tradnl"/>
        </w:rPr>
        <w:t xml:space="preserve">Problema planteado </w:t>
      </w:r>
    </w:p>
    <w:p w:rsidRPr="004715CB" w:rsidR="00D15909" w:rsidP="00D15909" w:rsidRDefault="00D15909" w14:paraId="1A0EA846" w14:textId="77777777">
      <w:pPr>
        <w:tabs>
          <w:tab w:val="left" w:pos="0"/>
          <w:tab w:val="left" w:pos="142"/>
          <w:tab w:val="left" w:pos="284"/>
        </w:tabs>
        <w:spacing w:after="0" w:line="276" w:lineRule="auto"/>
        <w:contextualSpacing/>
        <w:jc w:val="both"/>
        <w:rPr>
          <w:rFonts w:ascii="Century Gothic" w:hAnsi="Century Gothic" w:eastAsia="Calibri" w:cs="Arial"/>
          <w:b/>
          <w:color w:val="000000"/>
          <w:lang w:val="es-ES_tradnl"/>
        </w:rPr>
      </w:pPr>
    </w:p>
    <w:p w:rsidRPr="004715CB" w:rsidR="00D15909" w:rsidP="00D15909" w:rsidRDefault="00D15909" w14:paraId="3F5A4412" w14:textId="77777777">
      <w:pPr>
        <w:tabs>
          <w:tab w:val="left" w:pos="0"/>
          <w:tab w:val="left" w:pos="142"/>
          <w:tab w:val="left" w:pos="284"/>
        </w:tabs>
        <w:spacing w:after="0" w:line="276" w:lineRule="auto"/>
        <w:contextualSpacing/>
        <w:jc w:val="both"/>
        <w:rPr>
          <w:rFonts w:ascii="Century Gothic" w:hAnsi="Century Gothic" w:eastAsia="Calibri" w:cs="Arial"/>
          <w:bCs/>
          <w:color w:val="000000"/>
          <w:lang w:val="es-ES_tradnl"/>
        </w:rPr>
      </w:pPr>
      <w:r w:rsidRPr="004715CB">
        <w:rPr>
          <w:rFonts w:ascii="Century Gothic" w:hAnsi="Century Gothic" w:eastAsia="Calibri" w:cs="Arial"/>
          <w:bCs/>
          <w:color w:val="000000"/>
          <w:lang w:val="es-ES_tradnl"/>
        </w:rPr>
        <w:t>Usted formula la siguiente consulta:</w:t>
      </w:r>
    </w:p>
    <w:p w:rsidRPr="004715CB" w:rsidR="00D15909" w:rsidP="00D15909" w:rsidRDefault="00D15909" w14:paraId="04F23AB0" w14:textId="77777777">
      <w:pPr>
        <w:tabs>
          <w:tab w:val="left" w:pos="426"/>
        </w:tabs>
        <w:spacing w:after="0" w:line="276" w:lineRule="auto"/>
        <w:jc w:val="both"/>
        <w:rPr>
          <w:rFonts w:ascii="Century Gothic" w:hAnsi="Century Gothic" w:eastAsia="Calibri" w:cs="Arial"/>
          <w:b/>
          <w:color w:val="000000"/>
          <w:lang w:val="es-ES_tradnl"/>
        </w:rPr>
      </w:pPr>
    </w:p>
    <w:p w:rsidR="00181CF8" w:rsidP="00181CF8" w:rsidRDefault="00D15909" w14:paraId="402801A4" w14:textId="24AD6888">
      <w:pPr>
        <w:spacing w:after="120" w:line="276" w:lineRule="auto"/>
        <w:ind w:firstLine="708"/>
        <w:jc w:val="both"/>
        <w:rPr>
          <w:rFonts w:ascii="Century Gothic" w:hAnsi="Century Gothic" w:eastAsia="Calibri" w:cs="Arial"/>
          <w:bCs/>
        </w:rPr>
      </w:pPr>
      <w:r>
        <w:rPr>
          <w:rFonts w:ascii="Century Gothic" w:hAnsi="Century Gothic" w:eastAsia="Calibri" w:cs="Arial"/>
          <w:bCs/>
        </w:rPr>
        <w:t xml:space="preserve">1. ¿La declaratoria de la ocurrencia del siniestro por el riesgo de calidad del servicio, por parte de las entidades estatales, en contratos en los que ella tiene aplicación (consultoría, interventoría, etc.), se considera como una sanción contractual? Y en ese sentido, </w:t>
      </w:r>
      <w:proofErr w:type="gramStart"/>
      <w:r>
        <w:rPr>
          <w:rFonts w:ascii="Century Gothic" w:hAnsi="Century Gothic" w:eastAsia="Calibri" w:cs="Arial"/>
          <w:bCs/>
        </w:rPr>
        <w:t>¿La entidad que hace efectivo dicho instrumento de aseguramiento debe remitirlo para que sea inscrito en el Registro Único de Proponentes y demás registros de que trata el numeral 6.</w:t>
      </w:r>
      <w:proofErr w:type="gramEnd"/>
      <w:r>
        <w:rPr>
          <w:rFonts w:ascii="Century Gothic" w:hAnsi="Century Gothic" w:eastAsia="Calibri" w:cs="Arial"/>
          <w:bCs/>
        </w:rPr>
        <w:t>2 del Artículo 6 de la Ley 1150 de 2007 (Modificado por el artículo 221 del Decreto 19 de 2012) y Artículo 2.2.1.1.1.5.7 del Decreto 1082 de 2015?</w:t>
      </w:r>
    </w:p>
    <w:p w:rsidR="00D15909" w:rsidP="00181CF8" w:rsidRDefault="00D15909" w14:paraId="7EE1F4D8" w14:textId="28B1982F">
      <w:pPr>
        <w:spacing w:after="120" w:line="276" w:lineRule="auto"/>
        <w:ind w:firstLine="708"/>
        <w:jc w:val="both"/>
        <w:rPr>
          <w:rFonts w:ascii="Century Gothic" w:hAnsi="Century Gothic" w:eastAsia="Calibri" w:cs="Arial"/>
          <w:bCs/>
        </w:rPr>
      </w:pPr>
      <w:r>
        <w:rPr>
          <w:rFonts w:ascii="Century Gothic" w:hAnsi="Century Gothic" w:eastAsia="Calibri" w:cs="Arial"/>
          <w:bCs/>
        </w:rPr>
        <w:t>2. En contratos de estudios y diseños (consultoría e interventoría), ¿La declaratoria de siniestro de la garantía de calidad del servicio se asimila a la efectividad de una multa o cláusula penal?, ¿La misma debe ser considerada por las entidades estatales en la disminución de puntaje de que trata el Artículo 58 de la Ley 2195 de 2022?</w:t>
      </w:r>
    </w:p>
    <w:p w:rsidR="00D15909" w:rsidP="0080680C" w:rsidRDefault="00D15909" w14:paraId="30061621" w14:textId="7DD72A5B">
      <w:pPr>
        <w:spacing w:after="120" w:line="276" w:lineRule="auto"/>
        <w:ind w:firstLine="708"/>
        <w:jc w:val="both"/>
        <w:rPr>
          <w:rFonts w:ascii="Century Gothic" w:hAnsi="Century Gothic" w:eastAsia="Calibri" w:cs="Arial"/>
          <w:bCs/>
        </w:rPr>
      </w:pPr>
      <w:r>
        <w:rPr>
          <w:rFonts w:ascii="Century Gothic" w:hAnsi="Century Gothic" w:eastAsia="Calibri" w:cs="Arial"/>
          <w:bCs/>
        </w:rPr>
        <w:t>3. Las actuaciones administrativas de las entidades estatales encaminadas a hacer efectivas las garantías que amparan los riesgos post contractuales, como la calidad del servicio ¿Se asimilan a un escenario de incumplimiento de las obligaciones relacionadas con la ejecución del contrato?</w:t>
      </w:r>
    </w:p>
    <w:p w:rsidR="00D15909" w:rsidP="0080680C" w:rsidRDefault="00D15909" w14:paraId="3268B493" w14:textId="5246BF48">
      <w:pPr>
        <w:spacing w:after="120" w:line="276" w:lineRule="auto"/>
        <w:ind w:firstLine="708"/>
        <w:jc w:val="both"/>
        <w:rPr>
          <w:rFonts w:ascii="Century Gothic" w:hAnsi="Century Gothic" w:eastAsia="Calibri" w:cs="Arial"/>
          <w:bCs/>
        </w:rPr>
      </w:pPr>
      <w:r>
        <w:rPr>
          <w:rFonts w:ascii="Century Gothic" w:hAnsi="Century Gothic" w:eastAsia="Calibri" w:cs="Arial"/>
          <w:bCs/>
        </w:rPr>
        <w:t>4. ¿La declaratoria de siniestro de calidad del servicio suma al número de declaratorias de incumplimiento para efectos de activar la inhabilidad del contratista por dicha acumulación – Artículo 43 de la Ley 1955 de 2019? Si es positiva la respuesta, a cuál de las sanciones se debe asimilar (multa o declaratoria de incumplimiento), a efectos de considerar el supuesto en el cual debe encuadrarse esta situación y así mismo para saber la vigencia de tal inhabilidad.</w:t>
      </w:r>
    </w:p>
    <w:p w:rsidR="00D15909" w:rsidP="0080680C" w:rsidRDefault="00D15909" w14:paraId="51B9E7C3" w14:textId="689E2DAC">
      <w:pPr>
        <w:spacing w:after="120" w:line="276" w:lineRule="auto"/>
        <w:ind w:firstLine="708"/>
        <w:jc w:val="both"/>
        <w:rPr>
          <w:rFonts w:ascii="Century Gothic" w:hAnsi="Century Gothic" w:eastAsia="Calibri" w:cs="Arial"/>
          <w:bCs/>
        </w:rPr>
      </w:pPr>
      <w:r>
        <w:rPr>
          <w:rFonts w:ascii="Century Gothic" w:hAnsi="Century Gothic" w:eastAsia="Calibri" w:cs="Arial"/>
          <w:bCs/>
        </w:rPr>
        <w:t>5. En contratos de estudios y diseños (consultoría e interventoría) terminados y liquidados, ¿La declaratoria del siniestro de calidad del servicio, que por ley ha de tener ocurrencia con posterioridad a la terminación del contrato, se entiende como incumplimiento del contrato?; Es decir, ¿podría la entidad estatal que tiene a su cargo hacer efectivo el riesgo mencionado, establecer como causa de la declaratoria de siniestro de calidad del servicio, un incumplimiento contractual?</w:t>
      </w:r>
    </w:p>
    <w:p w:rsidR="00D15909" w:rsidP="00D15909" w:rsidRDefault="00D15909" w14:paraId="63FD0FF6" w14:textId="77777777">
      <w:pPr>
        <w:spacing w:after="0" w:line="276" w:lineRule="auto"/>
        <w:ind w:firstLine="708"/>
        <w:jc w:val="both"/>
        <w:rPr>
          <w:rFonts w:ascii="Century Gothic" w:hAnsi="Century Gothic" w:eastAsia="Calibri" w:cs="Arial"/>
          <w:bCs/>
        </w:rPr>
      </w:pPr>
      <w:r>
        <w:rPr>
          <w:rFonts w:ascii="Century Gothic" w:hAnsi="Century Gothic" w:eastAsia="Calibri" w:cs="Arial"/>
          <w:bCs/>
        </w:rPr>
        <w:t>6. En contratos de estudios y diseños (consultoría e interventoría) terminados y liquidados, ¿Es posible que una entidad estatal con fundamento en el Artículo 86 de la Ley 1474 de 2011 declare la ocurrencia del siniestro por el riesgo de calidad, haciendo efectiva la garantía de cumplimiento en su amparo de calidad, juntamente con una declaratoria de incumplimiento de obligaciones de garantía (Entiéndase post contractuales)?</w:t>
      </w:r>
    </w:p>
    <w:p w:rsidR="00D15909" w:rsidP="00D15909" w:rsidRDefault="00D15909" w14:paraId="7E5A2E53" w14:textId="77777777">
      <w:pPr>
        <w:spacing w:after="0" w:line="276" w:lineRule="auto"/>
        <w:jc w:val="both"/>
        <w:rPr>
          <w:rFonts w:ascii="Century Gothic" w:hAnsi="Century Gothic" w:eastAsia="Calibri" w:cs="Arial"/>
          <w:bCs/>
        </w:rPr>
      </w:pPr>
    </w:p>
    <w:p w:rsidRPr="004715CB" w:rsidR="00D15909" w:rsidP="00D15909" w:rsidRDefault="00D15909" w14:paraId="64B01DD0" w14:textId="77777777">
      <w:pPr>
        <w:numPr>
          <w:ilvl w:val="0"/>
          <w:numId w:val="17"/>
        </w:numPr>
        <w:tabs>
          <w:tab w:val="left" w:pos="0"/>
          <w:tab w:val="left" w:pos="284"/>
        </w:tabs>
        <w:spacing w:after="0" w:line="240" w:lineRule="auto"/>
        <w:ind w:hanging="6601"/>
        <w:contextualSpacing/>
        <w:jc w:val="both"/>
        <w:rPr>
          <w:rFonts w:ascii="Century Gothic" w:hAnsi="Century Gothic" w:eastAsia="Calibri" w:cs="Arial"/>
          <w:b/>
          <w:color w:val="000000"/>
          <w:lang w:val="es-ES_tradnl"/>
        </w:rPr>
      </w:pPr>
      <w:r w:rsidRPr="004715CB">
        <w:rPr>
          <w:rFonts w:ascii="Century Gothic" w:hAnsi="Century Gothic" w:eastAsia="Calibri" w:cs="Arial"/>
          <w:b/>
          <w:color w:val="000000"/>
          <w:lang w:val="es-ES_tradnl"/>
        </w:rPr>
        <w:t>Consideraciones</w:t>
      </w:r>
    </w:p>
    <w:p w:rsidRPr="004715CB" w:rsidR="00D15909" w:rsidP="00D15909" w:rsidRDefault="00D15909" w14:paraId="5374918C" w14:textId="77777777">
      <w:pPr>
        <w:spacing w:after="0" w:line="276" w:lineRule="auto"/>
        <w:jc w:val="both"/>
        <w:rPr>
          <w:rFonts w:ascii="Century Gothic" w:hAnsi="Century Gothic" w:eastAsia="Calibri" w:cs="Arial"/>
          <w:color w:val="000000"/>
        </w:rPr>
      </w:pPr>
    </w:p>
    <w:p w:rsidRPr="00CD3CEA" w:rsidR="00D15909" w:rsidP="00D15909" w:rsidRDefault="00D15909" w14:paraId="3A0091A9" w14:textId="77777777">
      <w:pPr>
        <w:spacing w:after="120" w:line="276" w:lineRule="auto"/>
        <w:jc w:val="both"/>
        <w:rPr>
          <w:rFonts w:ascii="Century Gothic" w:hAnsi="Century Gothic" w:cs="Arial"/>
          <w:lang w:val="es-ES"/>
        </w:rPr>
      </w:pPr>
      <w:r>
        <w:rPr>
          <w:rFonts w:ascii="Century Gothic" w:hAnsi="Century Gothic" w:cs="Arial"/>
        </w:rPr>
        <w:t>E</w:t>
      </w:r>
      <w:r w:rsidRPr="00CD3CEA">
        <w:rPr>
          <w:rFonts w:ascii="Century Gothic" w:hAnsi="Century Gothic" w:cs="Arial"/>
        </w:rPr>
        <w:t xml:space="preserve">n ejercicio de las competencias establecidas en el Decreto Ley 4170 de 2011, la Agencia Nacional de Contratación Pública – Colombia Compra Eficiente resuelve las consultas sobre los asuntos de su competencia, esto es, sobre las temáticas de la contratación estatal y compras públicas relacionadas en los artículos </w:t>
      </w:r>
      <w:r w:rsidRPr="00CD3CEA">
        <w:rPr>
          <w:rFonts w:ascii="Century Gothic" w:hAnsi="Century Gothic" w:cs="Arial"/>
          <w:lang w:val="es-ES"/>
        </w:rPr>
        <w:t xml:space="preserve">citados. Es necesario tener en cuenta que esta entidad solo tiene competencia para responder solicitudes sobre la interpretación de normas de carácter general en </w:t>
      </w:r>
      <w:r w:rsidRPr="00CD3CEA">
        <w:rPr>
          <w:rFonts w:ascii="Century Gothic" w:hAnsi="Century Gothic" w:cs="Arial"/>
          <w:lang w:val="es-ES"/>
        </w:rPr>
        <w:t>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CD3CEA">
        <w:rPr>
          <w:rFonts w:ascii="Century Gothic" w:hAnsi="Century Gothic" w:cs="Arial"/>
        </w:rPr>
        <w:t xml:space="preserve"> de todos los partícipes de la contratación estatal.</w:t>
      </w:r>
    </w:p>
    <w:p w:rsidR="00D15909" w:rsidP="00D15909" w:rsidRDefault="00D15909" w14:paraId="42E0C627" w14:textId="77777777">
      <w:pPr>
        <w:spacing w:after="120" w:line="276" w:lineRule="auto"/>
        <w:ind w:firstLine="708"/>
        <w:jc w:val="both"/>
        <w:rPr>
          <w:rFonts w:ascii="Century Gothic" w:hAnsi="Century Gothic" w:cs="Arial"/>
          <w:lang w:val="es-ES"/>
        </w:rPr>
      </w:pPr>
      <w:r w:rsidRPr="00CD3CEA">
        <w:rPr>
          <w:rFonts w:ascii="Century Gothic" w:hAnsi="Century Gothic"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CD3CEA">
        <w:rPr>
          <w:rFonts w:ascii="Century Gothic" w:hAnsi="Century Gothic" w:cs="Arial"/>
          <w:vertAlign w:val="superscript"/>
          <w:lang w:val="es-ES"/>
        </w:rPr>
        <w:footnoteReference w:id="2"/>
      </w:r>
      <w:r w:rsidRPr="00CD3CEA">
        <w:rPr>
          <w:rFonts w:ascii="Century Gothic" w:hAnsi="Century Gothic" w:cs="Arial"/>
          <w:lang w:val="es-ES"/>
        </w:rPr>
        <w:t>. Esta competencia de interpretación de normas generales, por definición, no puede extenderse a la resolución de controversias ni brindar asesorías sobre casos puntuales. Por lo anterior, previo concepto de sus órganos asesores, la solución de estos temas corresponde a la entidad de adoptar la decisión correspondiente.</w:t>
      </w:r>
    </w:p>
    <w:p w:rsidRPr="00392858" w:rsidR="00AE56BB" w:rsidP="00AE56BB" w:rsidRDefault="00AE56BB" w14:paraId="3D6BBDE0" w14:textId="77777777">
      <w:pPr>
        <w:spacing w:before="120" w:after="0" w:line="276" w:lineRule="auto"/>
        <w:ind w:firstLine="709"/>
        <w:jc w:val="both"/>
        <w:rPr>
          <w:rFonts w:ascii="Century Gothic" w:hAnsi="Century Gothic" w:eastAsia="Times New Roman" w:cs="Arial"/>
          <w:lang w:val="es-MX" w:eastAsia="es-ES_tradnl"/>
          <w14:ligatures w14:val="standardContextual"/>
        </w:rPr>
      </w:pPr>
      <w:r w:rsidRPr="00392858">
        <w:rPr>
          <w:rFonts w:ascii="Century Gothic" w:hAnsi="Century Gothic" w:eastAsia="Times New Roman" w:cs="Arial"/>
          <w:lang w:val="es-ES_tradnl" w:eastAsia="es-ES_tradnl"/>
          <w14:ligatures w14:val="standardContextual"/>
        </w:rPr>
        <w:t xml:space="preserve">La Agencia Nacional de Contratación Pública – Colombia Compra Eficiente, estudió la potestad sancionatoria de las entidades estatales y el procedimiento administrativo que deben efectuar para declarar el incumplimiento y aplicar las sanciones correspondientes, destacando la necesidad de garantizar el debido proceso, en los conceptos C-147 del 17 de marzo de 2020, C-219 del 29 de abril de 2020, </w:t>
      </w:r>
      <w:r w:rsidRPr="00392858">
        <w:rPr>
          <w:rFonts w:ascii="Century Gothic" w:hAnsi="Century Gothic" w:eastAsia="Times New Roman" w:cs="Arial"/>
          <w:iCs/>
          <w:lang w:val="es-ES_tradnl" w:eastAsia="es-ES_tradnl"/>
          <w14:ligatures w14:val="standardContextual"/>
        </w:rPr>
        <w:t>C-434 del 29 de julio de 2020, C-569 del 31 de agosto de 2020, C-641 del 4 de noviembre de 2020, C-060 del 8 de marzo de 2021, C-528 del 5 de abril de 2021, C-420 del 25 de agosto de 2022,</w:t>
      </w:r>
      <w:r w:rsidRPr="00392858">
        <w:rPr>
          <w:rFonts w:ascii="Century Gothic" w:hAnsi="Century Gothic" w:eastAsia="Times New Roman" w:cs="Arial"/>
          <w:lang w:val="es-ES_tradnl" w:eastAsia="es-ES_tradnl"/>
          <w14:ligatures w14:val="standardContextual"/>
        </w:rPr>
        <w:t xml:space="preserve"> C- 720 del 25 de enero de 2022, </w:t>
      </w:r>
      <w:hyperlink w:tgtFrame="_blank" w:history="1" r:id="rId11">
        <w:r w:rsidRPr="00392858">
          <w:rPr>
            <w:rFonts w:ascii="Century Gothic" w:hAnsi="Century Gothic" w:eastAsia="Times New Roman" w:cs="Arial"/>
            <w:shd w:val="clear" w:color="auto" w:fill="FFFFFF"/>
            <w:lang w:val="es-ES" w:eastAsia="es-ES_tradnl"/>
            <w14:ligatures w14:val="standardContextual"/>
          </w:rPr>
          <w:t>C-085 del 29 de abril  de 2022</w:t>
        </w:r>
      </w:hyperlink>
      <w:r w:rsidRPr="00392858">
        <w:rPr>
          <w:rFonts w:ascii="Century Gothic" w:hAnsi="Century Gothic" w:eastAsia="Times New Roman" w:cs="Arial"/>
          <w:shd w:val="clear" w:color="auto" w:fill="FFFFFF"/>
          <w:lang w:val="es-ES" w:eastAsia="es-ES_tradnl"/>
          <w14:ligatures w14:val="standardContextual"/>
        </w:rPr>
        <w:t xml:space="preserve"> </w:t>
      </w:r>
      <w:hyperlink w:tgtFrame="_blank" w:history="1" r:id="rId12">
        <w:r w:rsidRPr="00392858">
          <w:rPr>
            <w:rFonts w:ascii="Century Gothic" w:hAnsi="Century Gothic" w:eastAsia="Times New Roman" w:cs="Arial"/>
            <w:shd w:val="clear" w:color="auto" w:fill="FFFFFF"/>
            <w:lang w:val="es-ES" w:eastAsia="es-ES_tradnl"/>
            <w14:ligatures w14:val="standardContextual"/>
          </w:rPr>
          <w:t>C-125 del 23 de marzo de 2022,</w:t>
        </w:r>
      </w:hyperlink>
      <w:r w:rsidRPr="00392858">
        <w:rPr>
          <w:rFonts w:ascii="Century Gothic" w:hAnsi="Century Gothic" w:eastAsia="Times New Roman" w:cs="Arial"/>
          <w:shd w:val="clear" w:color="auto" w:fill="FFFFFF"/>
          <w:lang w:val="es-ES" w:eastAsia="es-ES_tradnl"/>
          <w14:ligatures w14:val="standardContextual"/>
        </w:rPr>
        <w:t xml:space="preserve"> </w:t>
      </w:r>
      <w:hyperlink w:tgtFrame="_blank" w:history="1" r:id="rId13">
        <w:r w:rsidRPr="00392858">
          <w:rPr>
            <w:rFonts w:ascii="Century Gothic" w:hAnsi="Century Gothic" w:eastAsia="Times New Roman" w:cs="Arial"/>
            <w:shd w:val="clear" w:color="auto" w:fill="FFFFFF"/>
            <w:lang w:eastAsia="es-ES_tradnl"/>
            <w14:ligatures w14:val="standardContextual"/>
          </w:rPr>
          <w:t>C-195 del 12 de abril de 2022,</w:t>
        </w:r>
      </w:hyperlink>
      <w:r w:rsidRPr="00392858">
        <w:rPr>
          <w:rFonts w:ascii="Century Gothic" w:hAnsi="Century Gothic" w:eastAsia="Times New Roman" w:cs="Arial"/>
          <w:shd w:val="clear" w:color="auto" w:fill="FFFFFF"/>
          <w:lang w:val="es-ES" w:eastAsia="es-ES_tradnl"/>
          <w14:ligatures w14:val="standardContextual"/>
        </w:rPr>
        <w:t xml:space="preserve"> </w:t>
      </w:r>
      <w:hyperlink w:tgtFrame="_blank" w:history="1" r:id="rId14">
        <w:r w:rsidRPr="00392858">
          <w:rPr>
            <w:rFonts w:ascii="Century Gothic" w:hAnsi="Century Gothic" w:eastAsia="Times New Roman" w:cs="Arial"/>
            <w:shd w:val="clear" w:color="auto" w:fill="FFFFFF"/>
            <w:lang w:val="es-ES" w:eastAsia="es-ES_tradnl"/>
            <w14:ligatures w14:val="standardContextual"/>
          </w:rPr>
          <w:t>C-208 del 26 de abril de 2022,</w:t>
        </w:r>
      </w:hyperlink>
      <w:r w:rsidRPr="00392858">
        <w:rPr>
          <w:rFonts w:ascii="Century Gothic" w:hAnsi="Century Gothic" w:eastAsia="Times New Roman" w:cs="Arial"/>
          <w:shd w:val="clear" w:color="auto" w:fill="FFFFFF"/>
          <w:lang w:val="es-ES" w:eastAsia="es-ES_tradnl"/>
          <w14:ligatures w14:val="standardContextual"/>
        </w:rPr>
        <w:t xml:space="preserve"> </w:t>
      </w:r>
      <w:hyperlink w:tgtFrame="_blank" w:history="1" r:id="rId15">
        <w:r w:rsidRPr="00392858">
          <w:rPr>
            <w:rFonts w:ascii="Century Gothic" w:hAnsi="Century Gothic" w:eastAsia="Times New Roman" w:cs="Arial"/>
            <w:shd w:val="clear" w:color="auto" w:fill="FFFFFF"/>
            <w:lang w:eastAsia="es-ES_tradnl"/>
            <w14:ligatures w14:val="standardContextual"/>
          </w:rPr>
          <w:t>C-238 del 27 de abril de 2022,</w:t>
        </w:r>
      </w:hyperlink>
      <w:r w:rsidRPr="00392858">
        <w:rPr>
          <w:rFonts w:ascii="Century Gothic" w:hAnsi="Century Gothic" w:eastAsia="Times New Roman" w:cs="Arial"/>
          <w:shd w:val="clear" w:color="auto" w:fill="FFFFFF"/>
          <w:lang w:eastAsia="es-ES_tradnl"/>
          <w14:ligatures w14:val="standardContextual"/>
        </w:rPr>
        <w:t xml:space="preserve"> </w:t>
      </w:r>
      <w:bookmarkStart w:name="_Hlk143178132" w:id="2"/>
      <w:r>
        <w:fldChar w:fldCharType="begin"/>
      </w:r>
      <w:r>
        <w:instrText>HYPERLINK "https://relatoria.colombiacompra.gov.co/ficha/C-866%20de%202022" \t "_blank"</w:instrText>
      </w:r>
      <w:r>
        <w:fldChar w:fldCharType="separate"/>
      </w:r>
      <w:r w:rsidRPr="00392858">
        <w:rPr>
          <w:rFonts w:ascii="Century Gothic" w:hAnsi="Century Gothic" w:eastAsia="Times New Roman" w:cs="Arial"/>
          <w:shd w:val="clear" w:color="auto" w:fill="FFFFFF"/>
          <w:lang w:eastAsia="es-ES_tradnl"/>
          <w14:ligatures w14:val="standardContextual"/>
        </w:rPr>
        <w:t>C-866 del 20 de diciembre de 2022</w:t>
      </w:r>
      <w:r>
        <w:rPr>
          <w:rFonts w:ascii="Century Gothic" w:hAnsi="Century Gothic" w:eastAsia="Times New Roman" w:cs="Arial"/>
          <w:shd w:val="clear" w:color="auto" w:fill="FFFFFF"/>
          <w:lang w:eastAsia="es-ES_tradnl"/>
          <w14:ligatures w14:val="standardContextual"/>
        </w:rPr>
        <w:fldChar w:fldCharType="end"/>
      </w:r>
      <w:r w:rsidRPr="00392858">
        <w:rPr>
          <w:rFonts w:ascii="Century Gothic" w:hAnsi="Century Gothic" w:eastAsia="Times New Roman" w:cs="Arial"/>
          <w:shd w:val="clear" w:color="auto" w:fill="FFFFFF"/>
          <w:lang w:eastAsia="es-ES_tradnl"/>
          <w14:ligatures w14:val="standardContextual"/>
        </w:rPr>
        <w:t xml:space="preserve">, </w:t>
      </w:r>
      <w:hyperlink w:tgtFrame="_blank" w:history="1" r:id="rId16">
        <w:r w:rsidRPr="00392858">
          <w:rPr>
            <w:rFonts w:ascii="Century Gothic" w:hAnsi="Century Gothic" w:eastAsia="Times New Roman" w:cs="Arial"/>
            <w:shd w:val="clear" w:color="auto" w:fill="FFFFFF"/>
            <w:lang w:eastAsia="es-ES_tradnl"/>
            <w14:ligatures w14:val="standardContextual"/>
          </w:rPr>
          <w:t>C-034 de 09 de marzo de 2023</w:t>
        </w:r>
      </w:hyperlink>
      <w:r w:rsidRPr="00392858">
        <w:rPr>
          <w:rFonts w:ascii="Century Gothic" w:hAnsi="Century Gothic" w:eastAsia="Times New Roman" w:cs="Arial"/>
          <w:lang w:eastAsia="es-ES_tradnl"/>
          <w14:ligatures w14:val="standardContextual"/>
        </w:rPr>
        <w:t xml:space="preserve"> y C-140 del 13 de junio de 2023</w:t>
      </w:r>
      <w:bookmarkEnd w:id="2"/>
      <w:r w:rsidRPr="00392858">
        <w:rPr>
          <w:rFonts w:ascii="Century Gothic" w:hAnsi="Century Gothic" w:eastAsia="Times New Roman" w:cs="Arial"/>
          <w:lang w:eastAsia="es-ES_tradnl"/>
          <w14:ligatures w14:val="standardContextual"/>
        </w:rPr>
        <w:t>,</w:t>
      </w:r>
      <w:r w:rsidRPr="00392858">
        <w:rPr>
          <w:rFonts w:ascii="Century Gothic" w:hAnsi="Century Gothic" w:eastAsia="Times New Roman" w:cs="Arial"/>
          <w:shd w:val="clear" w:color="auto" w:fill="FFFFFF"/>
          <w:lang w:eastAsia="es-ES_tradnl"/>
          <w14:ligatures w14:val="standardContextual"/>
        </w:rPr>
        <w:t xml:space="preserve"> </w:t>
      </w:r>
      <w:r w:rsidRPr="00392858">
        <w:rPr>
          <w:rFonts w:ascii="Century Gothic" w:hAnsi="Century Gothic" w:eastAsia="Times New Roman" w:cs="Arial"/>
          <w:lang w:val="es-ES_tradnl" w:eastAsia="es-ES_tradnl"/>
          <w14:ligatures w14:val="standardContextual"/>
        </w:rPr>
        <w:t>entre otros</w:t>
      </w:r>
      <w:r w:rsidRPr="00392858">
        <w:rPr>
          <w:rFonts w:ascii="Century Gothic" w:hAnsi="Century Gothic" w:eastAsia="Calibri" w:cs="Arial"/>
          <w:vertAlign w:val="superscript"/>
          <w:lang w:val="es-ES" w:eastAsia="es-ES_tradnl"/>
          <w14:ligatures w14:val="standardContextual"/>
        </w:rPr>
        <w:footnoteReference w:id="3"/>
      </w:r>
      <w:r w:rsidRPr="00392858">
        <w:rPr>
          <w:rFonts w:ascii="Century Gothic" w:hAnsi="Century Gothic" w:eastAsia="Times New Roman" w:cs="Arial"/>
          <w:lang w:val="es-ES_tradnl" w:eastAsia="es-ES_tradnl"/>
          <w14:ligatures w14:val="standardContextual"/>
        </w:rPr>
        <w:t xml:space="preserve">. </w:t>
      </w:r>
      <w:bookmarkStart w:name="_Hlk143179176" w:id="4"/>
      <w:r w:rsidRPr="00392858">
        <w:rPr>
          <w:rFonts w:ascii="Century Gothic" w:hAnsi="Century Gothic" w:eastAsia="Times New Roman" w:cs="Arial"/>
          <w:lang w:val="es-ES_tradnl" w:eastAsia="es-ES_tradnl"/>
          <w14:ligatures w14:val="standardContextual"/>
        </w:rPr>
        <w:t>L</w:t>
      </w:r>
      <w:r w:rsidRPr="00392858">
        <w:rPr>
          <w:rFonts w:ascii="Century Gothic" w:hAnsi="Century Gothic" w:eastAsia="Times New Roman" w:cs="Arial"/>
          <w:bdr w:val="none" w:color="auto" w:sz="0" w:space="0" w:frame="1"/>
          <w:lang w:eastAsia="es-ES_tradnl"/>
          <w14:ligatures w14:val="standardContextual"/>
        </w:rPr>
        <w:t xml:space="preserve">as tesis </w:t>
      </w:r>
      <w:r w:rsidRPr="00392858">
        <w:rPr>
          <w:rFonts w:ascii="Century Gothic" w:hAnsi="Century Gothic" w:eastAsia="Times New Roman" w:cs="Arial"/>
          <w:bdr w:val="none" w:color="auto" w:sz="0" w:space="0" w:frame="1"/>
          <w:lang w:eastAsia="es-ES_tradnl"/>
          <w14:ligatures w14:val="standardContextual"/>
        </w:rPr>
        <w:t>expuestas en estos conceptos se reiteran a continuación y se complementan en lo pertinente</w:t>
      </w:r>
      <w:bookmarkEnd w:id="4"/>
      <w:r w:rsidRPr="00392858">
        <w:rPr>
          <w:rFonts w:ascii="Century Gothic" w:hAnsi="Century Gothic" w:eastAsia="Times New Roman" w:cs="Arial"/>
          <w:bdr w:val="none" w:color="auto" w:sz="0" w:space="0" w:frame="1"/>
          <w:lang w:eastAsia="es-ES_tradnl"/>
          <w14:ligatures w14:val="standardContextual"/>
        </w:rPr>
        <w:t>.</w:t>
      </w:r>
    </w:p>
    <w:p w:rsidRPr="00AE56BB" w:rsidR="00AE56BB" w:rsidP="00D15909" w:rsidRDefault="00AE56BB" w14:paraId="38687626" w14:textId="77777777">
      <w:pPr>
        <w:spacing w:after="120" w:line="276" w:lineRule="auto"/>
        <w:ind w:firstLine="708"/>
        <w:jc w:val="both"/>
        <w:rPr>
          <w:rFonts w:ascii="Century Gothic" w:hAnsi="Century Gothic" w:cs="Arial"/>
          <w:lang w:val="es-MX"/>
        </w:rPr>
      </w:pPr>
    </w:p>
    <w:p w:rsidR="00D15909" w:rsidP="00D15909" w:rsidRDefault="00D15909" w14:paraId="441EA421" w14:textId="1A9B37E2">
      <w:pPr>
        <w:spacing w:after="0" w:line="276" w:lineRule="auto"/>
        <w:jc w:val="both"/>
        <w:rPr>
          <w:rFonts w:ascii="Century Gothic" w:hAnsi="Century Gothic" w:eastAsia="Calibri" w:cs="Arial"/>
          <w:bCs/>
          <w:lang w:val="es-ES"/>
        </w:rPr>
      </w:pPr>
      <w:r w:rsidRPr="00CD3CEA">
        <w:rPr>
          <w:rFonts w:ascii="Century Gothic" w:hAnsi="Century Gothic" w:eastAsia="Calibri" w:cs="Arial"/>
          <w:bCs/>
        </w:rPr>
        <w:tab/>
      </w:r>
      <w:r w:rsidRPr="00CD3CEA">
        <w:rPr>
          <w:rFonts w:ascii="Century Gothic" w:hAnsi="Century Gothic" w:eastAsia="Calibri" w:cs="Arial"/>
          <w:bCs/>
        </w:rPr>
        <w:t xml:space="preserve">En este contexto, la Subdirección –dentro de los límites de sus atribuciones– resolverá la petición conforme a las normas generales en materia de contratación estatal. Con este objetivo se abordarán </w:t>
      </w:r>
      <w:r w:rsidRPr="00CD3CEA">
        <w:rPr>
          <w:rFonts w:ascii="Century Gothic" w:hAnsi="Century Gothic" w:eastAsia="Calibri" w:cs="Arial"/>
          <w:bCs/>
          <w:lang w:val="es-ES"/>
        </w:rPr>
        <w:t>los siguientes temas:</w:t>
      </w:r>
      <w:r>
        <w:rPr>
          <w:rFonts w:ascii="Century Gothic" w:hAnsi="Century Gothic" w:eastAsia="Calibri" w:cs="Arial"/>
          <w:bCs/>
          <w:lang w:val="es-ES"/>
        </w:rPr>
        <w:t xml:space="preserve"> i) </w:t>
      </w:r>
      <w:r w:rsidRPr="007B6CFE">
        <w:rPr>
          <w:rFonts w:ascii="Century Gothic" w:hAnsi="Century Gothic" w:eastAsia="Calibri" w:cs="Arial"/>
          <w:bCs/>
          <w:lang w:val="es-ES"/>
        </w:rPr>
        <w:t>Procedimiento administrativo sancionatorio contractual. Artículo 86 de la Ley 1474 de 2011</w:t>
      </w:r>
      <w:r>
        <w:rPr>
          <w:rFonts w:ascii="Century Gothic" w:hAnsi="Century Gothic" w:eastAsia="Calibri" w:cs="Arial"/>
          <w:bCs/>
          <w:lang w:val="es-ES"/>
        </w:rPr>
        <w:t xml:space="preserve"> </w:t>
      </w:r>
      <w:proofErr w:type="spellStart"/>
      <w:r>
        <w:rPr>
          <w:rFonts w:ascii="Century Gothic" w:hAnsi="Century Gothic" w:eastAsia="Calibri" w:cs="Arial"/>
          <w:bCs/>
          <w:lang w:val="es-ES"/>
        </w:rPr>
        <w:t>ii</w:t>
      </w:r>
      <w:proofErr w:type="spellEnd"/>
      <w:r>
        <w:rPr>
          <w:rFonts w:ascii="Century Gothic" w:hAnsi="Century Gothic" w:eastAsia="Calibri" w:cs="Arial"/>
          <w:bCs/>
          <w:lang w:val="es-ES"/>
        </w:rPr>
        <w:t xml:space="preserve">) </w:t>
      </w:r>
      <w:r w:rsidRPr="007B6CFE">
        <w:rPr>
          <w:rFonts w:ascii="Century Gothic" w:hAnsi="Century Gothic" w:eastAsia="Calibri" w:cs="Arial"/>
          <w:bCs/>
          <w:lang w:val="es-ES"/>
        </w:rPr>
        <w:t>Procedimiento para declarar el siniestro en los contratos estatales regulados por el Estatuto General de Contratación de la Administración Pública</w:t>
      </w:r>
      <w:r>
        <w:rPr>
          <w:rFonts w:ascii="Century Gothic" w:hAnsi="Century Gothic" w:eastAsia="Calibri" w:cs="Arial"/>
          <w:bCs/>
          <w:lang w:val="es-ES"/>
        </w:rPr>
        <w:t xml:space="preserve"> </w:t>
      </w:r>
      <w:proofErr w:type="spellStart"/>
      <w:r>
        <w:rPr>
          <w:rFonts w:ascii="Century Gothic" w:hAnsi="Century Gothic" w:eastAsia="Calibri" w:cs="Arial"/>
          <w:bCs/>
          <w:lang w:val="es-ES"/>
        </w:rPr>
        <w:t>iii</w:t>
      </w:r>
      <w:proofErr w:type="spellEnd"/>
      <w:r>
        <w:rPr>
          <w:rFonts w:ascii="Century Gothic" w:hAnsi="Century Gothic" w:eastAsia="Calibri" w:cs="Arial"/>
          <w:bCs/>
          <w:lang w:val="es-ES"/>
        </w:rPr>
        <w:t xml:space="preserve">) </w:t>
      </w:r>
      <w:r w:rsidRPr="001E683B">
        <w:rPr>
          <w:rFonts w:ascii="Century Gothic" w:hAnsi="Century Gothic" w:eastAsia="Calibri" w:cs="Arial"/>
          <w:bCs/>
          <w:lang w:val="es-ES"/>
        </w:rPr>
        <w:t>Alcance del artículo 58 de la Ley 2195 de 2022: reducción de puntaje por incumplimiento de contratos estatales.</w:t>
      </w:r>
    </w:p>
    <w:p w:rsidR="00D15909" w:rsidP="00D15909" w:rsidRDefault="00D15909" w14:paraId="668B5749" w14:textId="77777777">
      <w:pPr>
        <w:spacing w:after="0" w:line="276" w:lineRule="auto"/>
        <w:jc w:val="both"/>
        <w:rPr>
          <w:rFonts w:ascii="Century Gothic" w:hAnsi="Century Gothic" w:eastAsia="Calibri" w:cs="Arial"/>
          <w:szCs w:val="24"/>
          <w:lang w:val="es-ES_tradnl" w:eastAsia="es-ES_tradnl"/>
        </w:rPr>
      </w:pPr>
    </w:p>
    <w:p w:rsidRPr="00376082" w:rsidR="00D15909" w:rsidP="00D15909" w:rsidRDefault="00D15909" w14:paraId="0AA0686F" w14:textId="77777777">
      <w:pPr>
        <w:spacing w:after="0" w:line="276" w:lineRule="auto"/>
        <w:jc w:val="both"/>
        <w:rPr>
          <w:rFonts w:ascii="Century Gothic" w:hAnsi="Century Gothic" w:eastAsia="Calibri" w:cs="Arial"/>
          <w:b/>
          <w:bCs/>
          <w:szCs w:val="24"/>
          <w:lang w:val="es-ES_tradnl" w:eastAsia="es-ES_tradnl"/>
        </w:rPr>
      </w:pPr>
      <w:r w:rsidRPr="00376082">
        <w:rPr>
          <w:rFonts w:ascii="Century Gothic" w:hAnsi="Century Gothic" w:eastAsia="Calibri" w:cs="Arial"/>
          <w:b/>
          <w:bCs/>
          <w:szCs w:val="24"/>
          <w:lang w:val="es-ES_tradnl" w:eastAsia="es-ES_tradnl"/>
        </w:rPr>
        <w:t>2.1. Procedimiento administrativo sancionatorio contractual. Artículo 86 de la Ley 1474 de 2011</w:t>
      </w:r>
    </w:p>
    <w:p w:rsidRPr="00376082" w:rsidR="00D15909" w:rsidP="00D15909" w:rsidRDefault="00D15909" w14:paraId="46D326CB" w14:textId="77777777">
      <w:pPr>
        <w:spacing w:after="0" w:line="276" w:lineRule="auto"/>
        <w:jc w:val="both"/>
        <w:rPr>
          <w:rFonts w:ascii="Century Gothic" w:hAnsi="Century Gothic" w:eastAsia="Calibri" w:cs="Arial"/>
          <w:szCs w:val="24"/>
          <w:lang w:val="es-ES_tradnl" w:eastAsia="es-ES_tradnl"/>
        </w:rPr>
      </w:pPr>
    </w:p>
    <w:p w:rsidRPr="00376082" w:rsidR="00D15909" w:rsidP="79E51C34" w:rsidRDefault="00D15909" w14:paraId="3C8BEEB6" w14:textId="49AA2DC5">
      <w:pPr>
        <w:spacing w:after="120" w:line="276" w:lineRule="auto"/>
        <w:jc w:val="both"/>
        <w:rPr>
          <w:rFonts w:ascii="Century Gothic" w:hAnsi="Century Gothic" w:eastAsia="Calibri" w:cs="Arial"/>
          <w:lang w:val="es-ES" w:eastAsia="es-ES"/>
        </w:rPr>
      </w:pPr>
      <w:r w:rsidRPr="79E51C34" w:rsidR="00D15909">
        <w:rPr>
          <w:rFonts w:ascii="Century Gothic" w:hAnsi="Century Gothic" w:eastAsia="Calibri" w:cs="Arial"/>
          <w:lang w:val="es-ES" w:eastAsia="es-ES"/>
        </w:rPr>
        <w:t xml:space="preserve">Durante la ejecución de los contratos, las entidades estatales sometidas al Estatuto General de Contratación de la Administración Pública usualmente cuentan con distintas potestades exorbitantes o excepcionales, con base en las cuales ejercen la dirección general del contrato. Entre dichas potestades se encuentran i) las cláusulas excepcionales del artículo 14 de la Ley 80 de 1993, concepto que incluye la terminación unilateral, la interpretación unilateral, la modificación unilateral, la caducidad y la reversión. Dichas prerrogativas se desarrollan en los artículos 15 a 19 ibidem. </w:t>
      </w:r>
      <w:r w:rsidRPr="79E51C34" w:rsidR="00D15909">
        <w:rPr>
          <w:rFonts w:ascii="Century Gothic" w:hAnsi="Century Gothic" w:eastAsia="Calibri" w:cs="Arial"/>
          <w:lang w:val="es-ES" w:eastAsia="es-ES"/>
        </w:rPr>
        <w:t>ii</w:t>
      </w:r>
      <w:r w:rsidRPr="79E51C34" w:rsidR="00D15909">
        <w:rPr>
          <w:rFonts w:ascii="Century Gothic" w:hAnsi="Century Gothic" w:eastAsia="Calibri" w:cs="Arial"/>
          <w:lang w:val="es-ES" w:eastAsia="es-ES"/>
        </w:rPr>
        <w:t>) En algunas disposiciones también se establecen otras potestades exorbitantes, como la liquidación unilateral y la declaratoria unilateral del siniestro –artículos 7 y 11 de la Ley 1150 de 2007</w:t>
      </w:r>
      <w:r w:rsidRPr="79E51C34" w:rsidR="00D15909">
        <w:rPr>
          <w:rFonts w:ascii="Century Gothic" w:hAnsi="Century Gothic" w:eastAsia="Calibri" w:cs="Arial"/>
          <w:lang w:val="es-ES" w:eastAsia="es-ES"/>
        </w:rPr>
        <w:t xml:space="preserve">. </w:t>
      </w:r>
      <w:r w:rsidRPr="79E51C34" w:rsidR="00D15909">
        <w:rPr>
          <w:rFonts w:ascii="Century Gothic" w:hAnsi="Century Gothic" w:eastAsia="Calibri" w:cs="Arial"/>
          <w:lang w:val="es-ES" w:eastAsia="es-ES"/>
        </w:rPr>
        <w:t xml:space="preserve">Dentro de las potestades unilaterales también se encuentran </w:t>
      </w:r>
      <w:r w:rsidRPr="79E51C34" w:rsidR="00D15909">
        <w:rPr>
          <w:rFonts w:ascii="Century Gothic" w:hAnsi="Century Gothic" w:eastAsia="Calibri" w:cs="Arial"/>
          <w:lang w:val="es-ES" w:eastAsia="es-ES"/>
        </w:rPr>
        <w:t>iii</w:t>
      </w:r>
      <w:r w:rsidRPr="79E51C34" w:rsidR="00D15909">
        <w:rPr>
          <w:rFonts w:ascii="Century Gothic" w:hAnsi="Century Gothic" w:eastAsia="Calibri" w:cs="Arial"/>
          <w:lang w:val="es-ES" w:eastAsia="es-ES"/>
        </w:rPr>
        <w:t>) las cláusulas excepcionales de imposición unilateral de las cláusulas penales y de multas –artículo 17 de la Ley 1150 de 2007–, aclarando que su exorbitancia se refiere a su imposición unilateral, no a su pacto, que es posible en virtud de las normas civiles y comerciales.</w:t>
      </w:r>
    </w:p>
    <w:p w:rsidRPr="00376082" w:rsidR="00D15909" w:rsidP="0080680C" w:rsidRDefault="00D15909" w14:paraId="57321257" w14:textId="71694976">
      <w:pPr>
        <w:spacing w:after="120" w:line="276" w:lineRule="auto"/>
        <w:ind w:firstLine="708"/>
        <w:jc w:val="both"/>
        <w:rPr>
          <w:rFonts w:ascii="Century Gothic" w:hAnsi="Century Gothic" w:eastAsia="Calibri" w:cs="Arial"/>
          <w:szCs w:val="24"/>
          <w:lang w:val="es-ES_tradnl" w:eastAsia="es-ES_tradnl"/>
        </w:rPr>
      </w:pPr>
      <w:r w:rsidRPr="005879B1">
        <w:rPr>
          <w:rFonts w:ascii="Century Gothic" w:hAnsi="Century Gothic" w:eastAsia="Calibri" w:cs="Arial"/>
          <w:szCs w:val="24"/>
          <w:lang w:val="es-ES_tradnl" w:eastAsia="es-ES_tradnl"/>
        </w:rPr>
        <w:t>El artículo 86 de la Ley 1474 de 2011 establece las reglas de procedimiento, mediante las cuales se materializan los derechos</w:t>
      </w:r>
      <w:r w:rsidRPr="00376082">
        <w:rPr>
          <w:rFonts w:ascii="Century Gothic" w:hAnsi="Century Gothic" w:eastAsia="Calibri" w:cs="Arial"/>
          <w:szCs w:val="24"/>
          <w:lang w:val="es-ES_tradnl" w:eastAsia="es-ES_tradnl"/>
        </w:rPr>
        <w:t xml:space="preserve"> y garantías derivadas del debido proceso, para su aplicación concreta en materia sancionatoria contractual. De conformidad con esta disposición normativa, las entidades sometidas al Estatuto General de Contratación de la Administración Pública podrán declarar el incumplimiento […]. Para tal efecto observarán […] el procedimiento que en tal enunciado normativo se regula.</w:t>
      </w:r>
    </w:p>
    <w:p w:rsidRPr="00376082" w:rsidR="00D15909" w:rsidP="79E51C34" w:rsidRDefault="00D15909" w14:paraId="27E293CD" w14:textId="67816114" w14:noSpellErr="1">
      <w:pPr>
        <w:spacing w:after="120" w:line="276" w:lineRule="auto"/>
        <w:ind w:firstLine="708"/>
        <w:jc w:val="both"/>
        <w:rPr>
          <w:rFonts w:ascii="Century Gothic" w:hAnsi="Century Gothic" w:eastAsia="Calibri" w:cs="Arial"/>
          <w:lang w:val="es-CO" w:eastAsia="es-ES"/>
        </w:rPr>
      </w:pPr>
      <w:r w:rsidRPr="79E51C34" w:rsidR="00D15909">
        <w:rPr>
          <w:rFonts w:ascii="Century Gothic" w:hAnsi="Century Gothic" w:eastAsia="Calibri" w:cs="Arial"/>
          <w:lang w:val="es-CO" w:eastAsia="es-ES"/>
        </w:rPr>
        <w:t xml:space="preserve">Cabe destacar que esta norma no se circunscribe a ciertos tipos de incumplimiento. En consecuencia, la declaratoria de cualquier incumplimiento, sea total o parcial, o independientemente de su gravedad, debe hacerse con plena observancia de las reglas procedimentales establecidas en el artículo 86 de la Ley 1474 de 2011. Esto es así como consecuencia del </w:t>
      </w:r>
      <w:r w:rsidRPr="79E51C34" w:rsidR="00D15909">
        <w:rPr>
          <w:rFonts w:ascii="Century Gothic" w:hAnsi="Century Gothic" w:eastAsia="Calibri" w:cs="Arial"/>
          <w:lang w:val="es-CO" w:eastAsia="es-ES"/>
        </w:rPr>
        <w:t>“</w:t>
      </w:r>
      <w:r w:rsidRPr="79E51C34" w:rsidR="00D15909">
        <w:rPr>
          <w:rFonts w:ascii="Century Gothic" w:hAnsi="Century Gothic" w:eastAsia="Calibri" w:cs="Arial"/>
          <w:lang w:val="es-CO" w:eastAsia="es-ES"/>
        </w:rPr>
        <w:t>principio general de interpretación jurídica según el cual donde la norma no distingue, no le corresponde distinguir al intérprete</w:t>
      </w:r>
      <w:r w:rsidRPr="79E51C34" w:rsidR="00D15909">
        <w:rPr>
          <w:rFonts w:ascii="Century Gothic" w:hAnsi="Century Gothic" w:eastAsia="Calibri" w:cs="Arial"/>
          <w:lang w:val="es-CO" w:eastAsia="es-ES"/>
        </w:rPr>
        <w:t>”</w:t>
      </w:r>
      <w:r w:rsidRPr="79E51C34" w:rsidR="00D15909">
        <w:rPr>
          <w:rFonts w:ascii="Century Gothic" w:hAnsi="Century Gothic" w:eastAsia="Calibri" w:cs="Arial"/>
          <w:lang w:val="es-CO" w:eastAsia="es-ES"/>
        </w:rPr>
        <w:t>.</w:t>
      </w:r>
      <w:r w:rsidRPr="79E51C34">
        <w:rPr>
          <w:rStyle w:val="FootnoteReference"/>
          <w:rFonts w:ascii="Century Gothic" w:hAnsi="Century Gothic" w:eastAsia="Calibri" w:cs="Arial"/>
          <w:lang w:val="es-CO" w:eastAsia="es-ES"/>
        </w:rPr>
        <w:footnoteReference w:id="4"/>
      </w:r>
      <w:r w:rsidRPr="79E51C34" w:rsidR="00D15909">
        <w:rPr>
          <w:rFonts w:ascii="Century Gothic" w:hAnsi="Century Gothic" w:eastAsia="Calibri" w:cs="Arial"/>
          <w:lang w:val="es-CO" w:eastAsia="es-ES"/>
        </w:rPr>
        <w:t xml:space="preserve"> A la misma conclusión se llega si se tiene en consideración la necesidad de respetar el debido proceso en </w:t>
      </w:r>
      <w:r w:rsidRPr="79E51C34" w:rsidR="00D15909">
        <w:rPr>
          <w:rFonts w:ascii="Century Gothic" w:hAnsi="Century Gothic" w:eastAsia="Calibri" w:cs="Arial"/>
          <w:lang w:val="es-CO" w:eastAsia="es-ES"/>
        </w:rPr>
        <w:t>“</w:t>
      </w:r>
      <w:r w:rsidRPr="79E51C34" w:rsidR="00D15909">
        <w:rPr>
          <w:rFonts w:ascii="Century Gothic" w:hAnsi="Century Gothic" w:eastAsia="Calibri" w:cs="Arial"/>
          <w:lang w:val="es-CO" w:eastAsia="es-ES"/>
        </w:rPr>
        <w:t>todas las actuaciones administrativas</w:t>
      </w:r>
      <w:r w:rsidRPr="79E51C34" w:rsidR="00D15909">
        <w:rPr>
          <w:rFonts w:ascii="Century Gothic" w:hAnsi="Century Gothic" w:eastAsia="Calibri" w:cs="Arial"/>
          <w:lang w:val="es-CO" w:eastAsia="es-ES"/>
        </w:rPr>
        <w:t>”</w:t>
      </w:r>
      <w:r w:rsidRPr="79E51C34" w:rsidR="00D15909">
        <w:rPr>
          <w:rFonts w:ascii="Century Gothic" w:hAnsi="Century Gothic" w:eastAsia="Calibri" w:cs="Arial"/>
          <w:lang w:val="es-CO" w:eastAsia="es-ES"/>
        </w:rPr>
        <w:t xml:space="preserve"> como lo ordena el artículo 29 superior. </w:t>
      </w:r>
    </w:p>
    <w:p w:rsidRPr="00376082" w:rsidR="00D15909" w:rsidP="79E51C34" w:rsidRDefault="00D15909" w14:paraId="34C63217" w14:textId="03D95A82">
      <w:pPr>
        <w:spacing w:after="120" w:line="276" w:lineRule="auto"/>
        <w:ind w:firstLine="708"/>
        <w:jc w:val="both"/>
        <w:rPr>
          <w:rFonts w:ascii="Century Gothic" w:hAnsi="Century Gothic" w:eastAsia="Calibri" w:cs="Arial"/>
          <w:lang w:val="es-ES" w:eastAsia="es-ES"/>
        </w:rPr>
      </w:pPr>
      <w:r w:rsidRPr="79E51C34" w:rsidR="00D15909">
        <w:rPr>
          <w:rFonts w:ascii="Century Gothic" w:hAnsi="Century Gothic" w:eastAsia="Calibri" w:cs="Arial"/>
          <w:lang w:val="es-ES" w:eastAsia="es-ES"/>
        </w:rPr>
        <w:t xml:space="preserve">De conformidad con lo anterior, el artículo 86 de la Ley 1474 de 2011 establece las etapas del procedimiento que se deben seguir, las cuales se sintetizan, de forma esquemática, así:  i) citación a audiencia. Es necesario remitir una citación a audiencia al contratista y al garante –cuando proceda–, cuyo contenido de señalará más adelante. </w:t>
      </w:r>
      <w:r w:rsidRPr="79E51C34" w:rsidR="00D15909">
        <w:rPr>
          <w:rFonts w:ascii="Century Gothic" w:hAnsi="Century Gothic" w:eastAsia="Calibri" w:cs="Arial"/>
          <w:lang w:val="es-ES" w:eastAsia="es-ES"/>
        </w:rPr>
        <w:t>ii</w:t>
      </w:r>
      <w:r w:rsidRPr="79E51C34" w:rsidR="00D15909">
        <w:rPr>
          <w:rFonts w:ascii="Century Gothic" w:hAnsi="Century Gothic" w:eastAsia="Calibri" w:cs="Arial"/>
          <w:lang w:val="es-ES" w:eastAsia="es-ES"/>
        </w:rPr>
        <w:t>) Audiencia. En la diligencia intervendrá el jefe de la entidad o su delegado y, posteriormente, se le concederá el uso de la palabra al representante legal del contratista o a quien lo represente, así como al garante, en caso de ser necesario, para que estos presenten sus descargos, aporten y controviertan pruebas y rindan las explicaciones del caso. Finalmente,</w:t>
      </w:r>
      <w:r w:rsidRPr="79E51C34" w:rsidR="00D15909">
        <w:rPr>
          <w:rFonts w:ascii="Century Gothic" w:hAnsi="Century Gothic" w:eastAsia="Calibri" w:cs="Arial"/>
          <w:lang w:val="es-ES" w:eastAsia="es-ES"/>
        </w:rPr>
        <w:t xml:space="preserve"> </w:t>
      </w:r>
      <w:r w:rsidRPr="79E51C34" w:rsidR="00D15909">
        <w:rPr>
          <w:rFonts w:ascii="Century Gothic" w:hAnsi="Century Gothic" w:eastAsia="Calibri" w:cs="Arial"/>
          <w:lang w:val="es-ES" w:eastAsia="es-ES"/>
        </w:rPr>
        <w:t>iii</w:t>
      </w:r>
      <w:r w:rsidRPr="79E51C34" w:rsidR="00D15909">
        <w:rPr>
          <w:rFonts w:ascii="Century Gothic" w:hAnsi="Century Gothic" w:eastAsia="Calibri" w:cs="Arial"/>
          <w:lang w:val="es-ES" w:eastAsia="es-ES"/>
        </w:rPr>
        <w:t>) Decisión. Debe estar contenida en resolución motivada donde se consigne, por un lado, lo ocurrido en el desarrollo de la diligencia y, por el otro, lo relativo a la imposición o no de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llegue a efectuarse.</w:t>
      </w:r>
    </w:p>
    <w:p w:rsidRPr="00376082" w:rsidR="00D15909" w:rsidP="00D15909" w:rsidRDefault="00D15909" w14:paraId="327C72D3" w14:textId="77777777">
      <w:pPr>
        <w:spacing w:after="0" w:line="276" w:lineRule="auto"/>
        <w:ind w:firstLine="708"/>
        <w:jc w:val="both"/>
        <w:rPr>
          <w:rFonts w:ascii="Century Gothic" w:hAnsi="Century Gothic" w:eastAsia="Calibri" w:cs="Arial"/>
          <w:szCs w:val="24"/>
          <w:lang w:val="es-ES_tradnl" w:eastAsia="es-ES_tradnl"/>
        </w:rPr>
      </w:pPr>
      <w:r w:rsidRPr="00376082">
        <w:rPr>
          <w:rFonts w:ascii="Century Gothic" w:hAnsi="Century Gothic" w:eastAsia="Calibri" w:cs="Arial"/>
          <w:szCs w:val="24"/>
          <w:lang w:val="es-ES_tradnl" w:eastAsia="es-ES_tradnl"/>
        </w:rPr>
        <w:t xml:space="preserve">Como precisión previa, vale la pena aclarar que el artículo 86 de la Ley 1474 de 2011 regula un procedimiento administrativo sancionatorio dirigido a sujetos específicos: las entidades </w:t>
      </w:r>
      <w:r w:rsidRPr="005370D1">
        <w:rPr>
          <w:rFonts w:ascii="Century Gothic" w:hAnsi="Century Gothic" w:eastAsia="Calibri" w:cs="Arial"/>
          <w:szCs w:val="24"/>
          <w:lang w:val="es-ES_tradnl" w:eastAsia="es-ES_tradnl"/>
        </w:rPr>
        <w:t>sometidas al Estatuto</w:t>
      </w:r>
      <w:r w:rsidRPr="00376082">
        <w:rPr>
          <w:rFonts w:ascii="Century Gothic" w:hAnsi="Century Gothic" w:eastAsia="Calibri" w:cs="Arial"/>
          <w:szCs w:val="24"/>
          <w:lang w:val="es-ES_tradnl" w:eastAsia="es-ES_tradnl"/>
        </w:rPr>
        <w:t xml:space="preserve"> General de Contratación de la Administración Pública</w:t>
      </w:r>
      <w:r>
        <w:rPr>
          <w:rStyle w:val="FootnoteReference"/>
          <w:rFonts w:ascii="Century Gothic" w:hAnsi="Century Gothic" w:eastAsia="Calibri" w:cs="Arial"/>
          <w:szCs w:val="24"/>
          <w:lang w:val="es-ES_tradnl" w:eastAsia="es-ES_tradnl"/>
        </w:rPr>
        <w:footnoteReference w:id="5"/>
      </w:r>
      <w:r w:rsidRPr="00376082">
        <w:rPr>
          <w:rFonts w:ascii="Century Gothic" w:hAnsi="Century Gothic" w:eastAsia="Calibri" w:cs="Arial"/>
          <w:szCs w:val="24"/>
          <w:lang w:val="es-ES_tradnl" w:eastAsia="es-ES_tradnl"/>
        </w:rPr>
        <w:t xml:space="preserve">. De ahí que las entidades de </w:t>
      </w:r>
      <w:r w:rsidRPr="0084733A">
        <w:rPr>
          <w:rFonts w:ascii="Century Gothic" w:hAnsi="Century Gothic" w:eastAsia="Calibri" w:cs="Arial"/>
          <w:i/>
          <w:iCs/>
          <w:szCs w:val="24"/>
          <w:lang w:val="es-ES_tradnl" w:eastAsia="es-ES_tradnl"/>
        </w:rPr>
        <w:t>régimen especia</w:t>
      </w:r>
      <w:r>
        <w:rPr>
          <w:rFonts w:ascii="Century Gothic" w:hAnsi="Century Gothic" w:eastAsia="Calibri" w:cs="Arial"/>
          <w:i/>
          <w:iCs/>
          <w:szCs w:val="24"/>
          <w:lang w:val="es-ES_tradnl" w:eastAsia="es-ES_tradnl"/>
        </w:rPr>
        <w:t>l</w:t>
      </w:r>
      <w:r>
        <w:rPr>
          <w:rStyle w:val="FootnoteReference"/>
          <w:rFonts w:ascii="Century Gothic" w:hAnsi="Century Gothic" w:eastAsia="Calibri" w:cs="Arial"/>
          <w:i/>
          <w:iCs/>
          <w:szCs w:val="24"/>
          <w:lang w:val="es-ES_tradnl" w:eastAsia="es-ES_tradnl"/>
        </w:rPr>
        <w:footnoteReference w:id="6"/>
      </w:r>
      <w:r w:rsidRPr="00376082">
        <w:rPr>
          <w:rFonts w:ascii="Century Gothic" w:hAnsi="Century Gothic" w:eastAsia="Calibri" w:cs="Arial"/>
          <w:szCs w:val="24"/>
          <w:lang w:val="es-ES_tradnl" w:eastAsia="es-ES_tradnl"/>
        </w:rPr>
        <w:t xml:space="preserve"> en materia contractual no pueden aplicar el procedimiento administrativo sancionatorio </w:t>
      </w:r>
      <w:r w:rsidRPr="00376082">
        <w:rPr>
          <w:rFonts w:ascii="Century Gothic" w:hAnsi="Century Gothic" w:eastAsia="Calibri" w:cs="Arial"/>
          <w:szCs w:val="24"/>
          <w:lang w:val="es-ES_tradnl" w:eastAsia="es-ES_tradnl"/>
        </w:rPr>
        <w:t>regulado en el artículo 86 de la Ley 1474 de 2011, al no ser entidades sometidas al Estatuto General de Contratación de la Administración Pública, sino, por el contrario, entidades exceptuadas de este. La norma indicada desarrolla el procedimiento de la siguiente manera:</w:t>
      </w:r>
    </w:p>
    <w:p w:rsidRPr="00376082" w:rsidR="00D15909" w:rsidP="00D15909" w:rsidRDefault="00D15909" w14:paraId="6B4DD3A7" w14:textId="77777777">
      <w:pPr>
        <w:spacing w:after="0" w:line="276" w:lineRule="auto"/>
        <w:jc w:val="both"/>
        <w:rPr>
          <w:rFonts w:ascii="Century Gothic" w:hAnsi="Century Gothic" w:eastAsia="Calibri" w:cs="Arial"/>
          <w:szCs w:val="24"/>
          <w:lang w:val="es-ES_tradnl" w:eastAsia="es-ES_tradnl"/>
        </w:rPr>
      </w:pPr>
    </w:p>
    <w:p w:rsidRPr="0055156D" w:rsidR="00D15909" w:rsidP="79E51C34" w:rsidRDefault="00D15909" w14:paraId="23BDA70E" w14:textId="77777777" w14:noSpellErr="1">
      <w:pPr>
        <w:spacing w:after="0" w:line="276" w:lineRule="auto"/>
        <w:ind w:left="709" w:right="709"/>
        <w:jc w:val="both"/>
        <w:rPr>
          <w:rFonts w:ascii="Century Gothic" w:hAnsi="Century Gothic" w:eastAsia="Calibri" w:cs="Arial"/>
          <w:sz w:val="20"/>
          <w:szCs w:val="20"/>
          <w:lang w:val="es-ES" w:eastAsia="es-ES"/>
        </w:rPr>
      </w:pPr>
      <w:r w:rsidRPr="79E51C34" w:rsidR="00D15909">
        <w:rPr>
          <w:rFonts w:ascii="Century Gothic" w:hAnsi="Century Gothic" w:eastAsia="Calibri" w:cs="Arial"/>
          <w:sz w:val="20"/>
          <w:szCs w:val="20"/>
          <w:lang w:val="es-ES" w:eastAsia="es-ES"/>
        </w:rPr>
        <w:t>“</w:t>
      </w:r>
      <w:r w:rsidRPr="79E51C34" w:rsidR="00D15909">
        <w:rPr>
          <w:rFonts w:ascii="Century Gothic" w:hAnsi="Century Gothic" w:eastAsia="Calibri" w:cs="Arial"/>
          <w:sz w:val="20"/>
          <w:szCs w:val="20"/>
          <w:lang w:val="es-ES" w:eastAsia="es-ES"/>
        </w:rPr>
        <w:t>Artículo 86. Imposición de multas, sanciones y declaratorias de incumplimiento.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w:t>
      </w:r>
    </w:p>
    <w:p w:rsidRPr="00376082" w:rsidR="00D15909" w:rsidP="0080680C" w:rsidRDefault="00D15909" w14:paraId="3DBE8174" w14:textId="77777777">
      <w:pPr>
        <w:spacing w:after="0" w:line="276" w:lineRule="auto"/>
        <w:ind w:left="709" w:right="709"/>
        <w:jc w:val="both"/>
        <w:rPr>
          <w:rFonts w:ascii="Century Gothic" w:hAnsi="Century Gothic" w:eastAsia="Calibri" w:cs="Arial"/>
          <w:szCs w:val="24"/>
          <w:lang w:val="es-ES_tradnl" w:eastAsia="es-ES_tradnl"/>
        </w:rPr>
      </w:pPr>
    </w:p>
    <w:p w:rsidRPr="001373D7" w:rsidR="00D15909" w:rsidP="79E51C34" w:rsidRDefault="00D15909" w14:paraId="50790FEA" w14:textId="77777777" w14:noSpellErr="1">
      <w:pPr>
        <w:spacing w:after="0" w:line="276" w:lineRule="auto"/>
        <w:ind w:left="709" w:right="709"/>
        <w:jc w:val="both"/>
        <w:rPr>
          <w:rFonts w:ascii="Century Gothic" w:hAnsi="Century Gothic" w:eastAsia="Calibri" w:cs="Arial"/>
          <w:sz w:val="20"/>
          <w:szCs w:val="20"/>
          <w:lang w:val="es-ES" w:eastAsia="es-ES"/>
        </w:rPr>
      </w:pPr>
      <w:r w:rsidRPr="79E51C34" w:rsidR="00D15909">
        <w:rPr>
          <w:rFonts w:ascii="Century Gothic" w:hAnsi="Century Gothic" w:eastAsia="Calibri" w:cs="Arial"/>
          <w:sz w:val="20"/>
          <w:szCs w:val="20"/>
          <w:lang w:val="es-ES" w:eastAsia="es-ES"/>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rsidRPr="001373D7" w:rsidR="00D15909" w:rsidP="0080680C" w:rsidRDefault="00D15909" w14:paraId="4F645681" w14:textId="77777777">
      <w:pPr>
        <w:spacing w:after="0" w:line="276" w:lineRule="auto"/>
        <w:ind w:left="709" w:right="709"/>
        <w:jc w:val="both"/>
        <w:rPr>
          <w:rFonts w:ascii="Century Gothic" w:hAnsi="Century Gothic" w:eastAsia="Calibri" w:cs="Arial"/>
          <w:sz w:val="20"/>
          <w:szCs w:val="20"/>
          <w:lang w:val="es-ES_tradnl" w:eastAsia="es-ES_tradnl"/>
        </w:rPr>
      </w:pPr>
    </w:p>
    <w:p w:rsidRPr="001373D7" w:rsidR="00D15909" w:rsidP="0080680C" w:rsidRDefault="00D15909" w14:paraId="57576C2D" w14:textId="77777777">
      <w:pPr>
        <w:spacing w:after="0" w:line="276" w:lineRule="auto"/>
        <w:ind w:left="709" w:right="709"/>
        <w:jc w:val="both"/>
        <w:rPr>
          <w:rFonts w:ascii="Century Gothic" w:hAnsi="Century Gothic" w:eastAsia="Calibri" w:cs="Arial"/>
          <w:sz w:val="20"/>
          <w:szCs w:val="20"/>
          <w:lang w:val="es-ES_tradnl" w:eastAsia="es-ES_tradnl"/>
        </w:rPr>
      </w:pPr>
      <w:r w:rsidRPr="001373D7">
        <w:rPr>
          <w:rFonts w:ascii="Century Gothic" w:hAnsi="Century Gothic" w:eastAsia="Calibri" w:cs="Arial"/>
          <w:sz w:val="20"/>
          <w:szCs w:val="20"/>
          <w:lang w:val="es-ES_tradnl" w:eastAsia="es-ES_tradnl"/>
        </w:rPr>
        <w:t>b) En desarrollo de la audiencia, el jefe de la entidad o su delegado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rsidRPr="001373D7" w:rsidR="00D15909" w:rsidP="0080680C" w:rsidRDefault="00D15909" w14:paraId="4FDDE7F8" w14:textId="77777777">
      <w:pPr>
        <w:spacing w:after="0" w:line="276" w:lineRule="auto"/>
        <w:ind w:left="709" w:right="709"/>
        <w:jc w:val="both"/>
        <w:rPr>
          <w:rFonts w:ascii="Century Gothic" w:hAnsi="Century Gothic" w:eastAsia="Calibri" w:cs="Arial"/>
          <w:sz w:val="20"/>
          <w:szCs w:val="20"/>
          <w:lang w:val="es-ES_tradnl" w:eastAsia="es-ES_tradnl"/>
        </w:rPr>
      </w:pPr>
    </w:p>
    <w:p w:rsidRPr="001373D7" w:rsidR="00D15909" w:rsidP="68A0FF10" w:rsidRDefault="00D15909" w14:paraId="0F18E4F8" w14:textId="77777777">
      <w:pPr>
        <w:spacing w:after="0" w:line="276" w:lineRule="auto"/>
        <w:ind w:left="709" w:right="709"/>
        <w:jc w:val="both"/>
        <w:rPr>
          <w:rFonts w:ascii="Century Gothic" w:hAnsi="Century Gothic" w:eastAsia="Calibri" w:cs="Arial"/>
          <w:sz w:val="20"/>
          <w:szCs w:val="20"/>
          <w:lang w:val="es-ES" w:eastAsia="es-ES"/>
        </w:rPr>
      </w:pPr>
      <w:r w:rsidRPr="68A0FF10" w:rsidR="00D15909">
        <w:rPr>
          <w:rFonts w:ascii="Century Gothic" w:hAnsi="Century Gothic" w:eastAsia="Calibri" w:cs="Arial"/>
          <w:sz w:val="20"/>
          <w:szCs w:val="20"/>
          <w:lang w:val="es-ES" w:eastAsia="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rsidRPr="001373D7" w:rsidR="00D15909" w:rsidP="0080680C" w:rsidRDefault="00D15909" w14:paraId="4914C9B2" w14:textId="77777777">
      <w:pPr>
        <w:spacing w:after="0" w:line="276" w:lineRule="auto"/>
        <w:ind w:left="709" w:right="709"/>
        <w:jc w:val="both"/>
        <w:rPr>
          <w:rFonts w:ascii="Century Gothic" w:hAnsi="Century Gothic" w:eastAsia="Calibri" w:cs="Arial"/>
          <w:sz w:val="20"/>
          <w:szCs w:val="20"/>
          <w:lang w:val="es-ES_tradnl" w:eastAsia="es-ES_tradnl"/>
        </w:rPr>
      </w:pPr>
    </w:p>
    <w:p w:rsidRPr="001373D7" w:rsidR="00D15909" w:rsidP="0080680C" w:rsidRDefault="00D15909" w14:paraId="3D8A9612" w14:textId="77777777">
      <w:pPr>
        <w:spacing w:after="0" w:line="276" w:lineRule="auto"/>
        <w:ind w:left="709" w:right="709"/>
        <w:jc w:val="both"/>
        <w:rPr>
          <w:rFonts w:ascii="Century Gothic" w:hAnsi="Century Gothic" w:eastAsia="Calibri" w:cs="Arial"/>
          <w:sz w:val="20"/>
          <w:szCs w:val="20"/>
          <w:lang w:val="es-ES_tradnl" w:eastAsia="es-ES_tradnl"/>
        </w:rPr>
      </w:pPr>
      <w:r w:rsidRPr="001373D7">
        <w:rPr>
          <w:rFonts w:ascii="Century Gothic" w:hAnsi="Century Gothic" w:eastAsia="Calibri" w:cs="Arial"/>
          <w:sz w:val="20"/>
          <w:szCs w:val="20"/>
          <w:lang w:val="es-ES_tradnl" w:eastAsia="es-ES_tradnl"/>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r>
        <w:rPr>
          <w:rFonts w:ascii="Century Gothic" w:hAnsi="Century Gothic" w:eastAsia="Calibri" w:cs="Arial"/>
          <w:sz w:val="20"/>
          <w:szCs w:val="20"/>
          <w:lang w:val="es-ES_tradnl" w:eastAsia="es-ES_tradnl"/>
        </w:rPr>
        <w:t>”</w:t>
      </w:r>
    </w:p>
    <w:p w:rsidRPr="00376082" w:rsidR="00D15909" w:rsidP="00D15909" w:rsidRDefault="00D15909" w14:paraId="08ABF34E" w14:textId="77777777">
      <w:pPr>
        <w:spacing w:after="0" w:line="276" w:lineRule="auto"/>
        <w:jc w:val="both"/>
        <w:rPr>
          <w:rFonts w:ascii="Century Gothic" w:hAnsi="Century Gothic" w:eastAsia="Calibri" w:cs="Arial"/>
          <w:szCs w:val="24"/>
          <w:lang w:val="es-ES_tradnl" w:eastAsia="es-ES_tradnl"/>
        </w:rPr>
      </w:pPr>
    </w:p>
    <w:p w:rsidRPr="00376082" w:rsidR="00D15909" w:rsidP="68A0FF10" w:rsidRDefault="00D15909" w14:paraId="1F39E9B6" w14:textId="5255C244">
      <w:pPr>
        <w:spacing w:after="120" w:line="276" w:lineRule="auto"/>
        <w:ind w:firstLine="708"/>
        <w:jc w:val="both"/>
        <w:rPr>
          <w:rFonts w:ascii="Century Gothic" w:hAnsi="Century Gothic" w:eastAsia="Calibri" w:cs="Arial"/>
          <w:lang w:val="es-ES" w:eastAsia="es-ES"/>
        </w:rPr>
      </w:pPr>
      <w:r w:rsidRPr="68A0FF10" w:rsidR="00D15909">
        <w:rPr>
          <w:rFonts w:ascii="Century Gothic" w:hAnsi="Century Gothic" w:eastAsia="Calibri" w:cs="Arial"/>
          <w:lang w:val="es-ES" w:eastAsia="es-ES"/>
        </w:rPr>
        <w:t xml:space="preserve">Como se observa, </w:t>
      </w:r>
      <w:r w:rsidRPr="68A0FF10" w:rsidR="00D15909">
        <w:rPr>
          <w:rFonts w:ascii="Century Gothic" w:hAnsi="Century Gothic" w:eastAsia="Calibri" w:cs="Arial"/>
          <w:lang w:val="es-ES" w:eastAsia="es-ES"/>
        </w:rPr>
        <w:t>la citación a la audiencia debe cumplir</w:t>
      </w:r>
      <w:r w:rsidRPr="68A0FF10" w:rsidR="00D15909">
        <w:rPr>
          <w:rFonts w:ascii="Century Gothic" w:hAnsi="Century Gothic" w:eastAsia="Calibri" w:cs="Arial"/>
          <w:lang w:val="es-ES" w:eastAsia="es-ES"/>
        </w:rPr>
        <w:t xml:space="preserve"> mínimamente los siguientes aspectos: i) señalar los hechos que soportan la actuación, en particular la descripción detallada de cuáles son las actuaciones u omisiones del contratista que materializan el supuesto incumplimiento de las obligaciones. Además, se deben </w:t>
      </w:r>
      <w:r w:rsidRPr="68A0FF10" w:rsidR="00D15909">
        <w:rPr>
          <w:rFonts w:ascii="Century Gothic" w:hAnsi="Century Gothic" w:eastAsia="Calibri" w:cs="Arial"/>
          <w:lang w:val="es-ES" w:eastAsia="es-ES"/>
        </w:rPr>
        <w:t>ii</w:t>
      </w:r>
      <w:r w:rsidRPr="68A0FF10" w:rsidR="00D15909">
        <w:rPr>
          <w:rFonts w:ascii="Century Gothic" w:hAnsi="Century Gothic" w:eastAsia="Calibri" w:cs="Arial"/>
          <w:lang w:val="es-ES" w:eastAsia="es-ES"/>
        </w:rPr>
        <w:t xml:space="preserve">) adjuntar los informes de supervisión o de interventoría que soportan la actuación, donde la entidad fundamenta su decisión de iniciar el procedimiento sancionatorio. Asimismo, </w:t>
      </w:r>
      <w:r w:rsidRPr="68A0FF10" w:rsidR="00D15909">
        <w:rPr>
          <w:rFonts w:ascii="Century Gothic" w:hAnsi="Century Gothic" w:eastAsia="Calibri" w:cs="Arial"/>
          <w:lang w:val="es-ES" w:eastAsia="es-ES"/>
        </w:rPr>
        <w:t>iii</w:t>
      </w:r>
      <w:r w:rsidRPr="68A0FF10" w:rsidR="00D15909">
        <w:rPr>
          <w:rFonts w:ascii="Century Gothic" w:hAnsi="Century Gothic" w:eastAsia="Calibri" w:cs="Arial"/>
          <w:lang w:val="es-ES" w:eastAsia="es-ES"/>
        </w:rPr>
        <w:t xml:space="preserve">) lo anterior debe acompañarse de las pruebas adicionales con que cuente la entidad y que sirven para acreditar el incumplimiento. </w:t>
      </w:r>
      <w:r w:rsidRPr="68A0FF10" w:rsidR="00D15909">
        <w:rPr>
          <w:rFonts w:ascii="Century Gothic" w:hAnsi="Century Gothic" w:eastAsia="Calibri" w:cs="Arial"/>
          <w:lang w:val="es-ES" w:eastAsia="es-ES"/>
        </w:rPr>
        <w:t>iv</w:t>
      </w:r>
      <w:r w:rsidRPr="68A0FF10" w:rsidR="00D15909">
        <w:rPr>
          <w:rFonts w:ascii="Century Gothic" w:hAnsi="Century Gothic" w:eastAsia="Calibri" w:cs="Arial"/>
          <w:lang w:val="es-ES" w:eastAsia="es-ES"/>
        </w:rPr>
        <w:t xml:space="preserve">) La citación debe contener también las normas, cláusulas u obligaciones posiblemente violadas o incumplidas por el contratista. Igualmente, v) debe indicar cuáles consecuencias podrían generarse para el contratista, verbigracia, si se pretende imponerle alguna multa, hacerse efectiva la cláusula penal o declarar la caducidad del contrato. Adicionalmente, vi) las entidades estatales podrán cuantificar los perjuicios ocasionados por el incumplimiento –inciso primero del artículo 86–, y, finalmente, </w:t>
      </w:r>
      <w:r w:rsidRPr="68A0FF10" w:rsidR="00D15909">
        <w:rPr>
          <w:rFonts w:ascii="Century Gothic" w:hAnsi="Century Gothic" w:eastAsia="Calibri" w:cs="Arial"/>
          <w:lang w:val="es-ES" w:eastAsia="es-ES"/>
        </w:rPr>
        <w:t>vii</w:t>
      </w:r>
      <w:r w:rsidRPr="68A0FF10" w:rsidR="00D15909">
        <w:rPr>
          <w:rFonts w:ascii="Century Gothic" w:hAnsi="Century Gothic" w:eastAsia="Calibri" w:cs="Arial"/>
          <w:lang w:val="es-ES" w:eastAsia="es-ES"/>
        </w:rPr>
        <w:t>) deben indicar el lugar, fecha y hora para la realización de la audiencia, sin perjuicio de que esta se pueda efectuar por medios electrónicos</w:t>
      </w:r>
      <w:r w:rsidRPr="68A0FF10">
        <w:rPr>
          <w:rStyle w:val="FootnoteReference"/>
          <w:rFonts w:ascii="Century Gothic" w:hAnsi="Century Gothic" w:eastAsia="Calibri" w:cs="Arial"/>
          <w:lang w:val="es-ES" w:eastAsia="es-ES"/>
        </w:rPr>
        <w:footnoteReference w:id="7"/>
      </w:r>
      <w:r w:rsidRPr="68A0FF10" w:rsidR="00D15909">
        <w:rPr>
          <w:rFonts w:ascii="Century Gothic" w:hAnsi="Century Gothic" w:eastAsia="Calibri" w:cs="Arial"/>
          <w:lang w:val="es-ES" w:eastAsia="es-ES"/>
        </w:rPr>
        <w:t>.</w:t>
      </w:r>
    </w:p>
    <w:p w:rsidRPr="00376082" w:rsidR="00D15909" w:rsidP="68A0FF10" w:rsidRDefault="00D15909" w14:paraId="0BC7B90C" w14:textId="77777777">
      <w:pPr>
        <w:spacing w:after="0" w:line="276" w:lineRule="auto"/>
        <w:ind w:firstLine="708"/>
        <w:jc w:val="both"/>
        <w:rPr>
          <w:rFonts w:ascii="Century Gothic" w:hAnsi="Century Gothic" w:eastAsia="Calibri" w:cs="Arial"/>
          <w:lang w:val="es-ES" w:eastAsia="es-ES"/>
        </w:rPr>
      </w:pPr>
      <w:r w:rsidRPr="68A0FF10" w:rsidR="00D15909">
        <w:rPr>
          <w:rFonts w:ascii="Century Gothic" w:hAnsi="Century Gothic" w:eastAsia="Calibri" w:cs="Arial"/>
          <w:lang w:val="es-ES" w:eastAsia="es-ES"/>
        </w:rPr>
        <w:t xml:space="preserve">Además de lo anterior, pese a que la norma no establece un término mínimo previo entre el momento de la citación y la celebración de la audiencia, con la finalidad de respetar los principios de la función administrativa y el debido proceso, la citación debe otorgar un </w:t>
      </w:r>
      <w:r w:rsidRPr="68A0FF10" w:rsidR="00D15909">
        <w:rPr>
          <w:rFonts w:ascii="Century Gothic" w:hAnsi="Century Gothic" w:eastAsia="Calibri" w:cs="Arial"/>
          <w:lang w:val="es-ES" w:eastAsia="es-ES"/>
        </w:rPr>
        <w:t>término razonable y suficiente para que el contratista y el garante se preparen para ella y logren ejercer materialmente su derecho de defensa. En todo caso, la razonabilidad de dicho término dependerá de cada procedimiento y de la complejidad del material probatorio. Sin embargo, como lo expresa la doctrina, el término debe ser razonable y suficiente</w:t>
      </w:r>
      <w:r w:rsidRPr="68A0FF10">
        <w:rPr>
          <w:rStyle w:val="FootnoteReference"/>
          <w:rFonts w:ascii="Century Gothic" w:hAnsi="Century Gothic" w:eastAsia="Calibri" w:cs="Arial"/>
          <w:lang w:val="es-ES" w:eastAsia="es-ES"/>
        </w:rPr>
        <w:footnoteReference w:id="8"/>
      </w:r>
      <w:r w:rsidRPr="68A0FF10" w:rsidR="00D15909">
        <w:rPr>
          <w:rFonts w:ascii="Century Gothic" w:hAnsi="Century Gothic" w:eastAsia="Calibri" w:cs="Arial"/>
          <w:lang w:val="es-ES" w:eastAsia="es-ES"/>
        </w:rPr>
        <w:t>.</w:t>
      </w:r>
    </w:p>
    <w:p w:rsidRPr="00376082" w:rsidR="00D15909" w:rsidP="00D15909" w:rsidRDefault="00D15909" w14:paraId="0812B13E" w14:textId="77777777">
      <w:pPr>
        <w:spacing w:after="0" w:line="276" w:lineRule="auto"/>
        <w:jc w:val="both"/>
        <w:rPr>
          <w:rFonts w:ascii="Century Gothic" w:hAnsi="Century Gothic" w:eastAsia="Calibri" w:cs="Arial"/>
          <w:szCs w:val="24"/>
          <w:lang w:val="es-ES_tradnl" w:eastAsia="es-ES_tradnl"/>
        </w:rPr>
      </w:pPr>
    </w:p>
    <w:p w:rsidRPr="001D3E42" w:rsidR="00D15909" w:rsidP="00D15909" w:rsidRDefault="00D15909" w14:paraId="50264D9F" w14:textId="77777777">
      <w:pPr>
        <w:spacing w:after="0" w:line="276" w:lineRule="auto"/>
        <w:jc w:val="both"/>
        <w:rPr>
          <w:rFonts w:ascii="Century Gothic" w:hAnsi="Century Gothic" w:eastAsia="Calibri" w:cs="Arial"/>
          <w:b/>
          <w:bCs/>
          <w:szCs w:val="24"/>
          <w:lang w:val="es-ES_tradnl" w:eastAsia="es-ES_tradnl"/>
        </w:rPr>
      </w:pPr>
      <w:r w:rsidRPr="005370D1">
        <w:rPr>
          <w:rFonts w:ascii="Century Gothic" w:hAnsi="Century Gothic" w:eastAsia="Calibri" w:cs="Arial"/>
          <w:b/>
          <w:bCs/>
          <w:szCs w:val="24"/>
          <w:lang w:val="es-ES_tradnl" w:eastAsia="es-ES_tradnl"/>
        </w:rPr>
        <w:t xml:space="preserve">2.2. Procedimiento para declarar el siniestro en los contratos estatales regulados por el Estatuto General de Contratación de la Administración Pública </w:t>
      </w:r>
    </w:p>
    <w:p w:rsidRPr="001D3E42" w:rsidR="00D15909" w:rsidP="00D15909" w:rsidRDefault="00D15909" w14:paraId="687CAC25" w14:textId="77777777">
      <w:pPr>
        <w:spacing w:after="0" w:line="276" w:lineRule="auto"/>
        <w:jc w:val="both"/>
        <w:rPr>
          <w:rFonts w:ascii="Century Gothic" w:hAnsi="Century Gothic" w:eastAsia="Calibri" w:cs="Arial"/>
          <w:szCs w:val="24"/>
          <w:lang w:val="es-ES_tradnl" w:eastAsia="es-ES_tradnl"/>
        </w:rPr>
      </w:pPr>
    </w:p>
    <w:p w:rsidRPr="001D3E42" w:rsidR="00D15909" w:rsidP="0080680C" w:rsidRDefault="00D15909" w14:paraId="11E4EA0D" w14:textId="77777777">
      <w:pPr>
        <w:spacing w:after="120" w:line="276" w:lineRule="auto"/>
        <w:jc w:val="both"/>
        <w:rPr>
          <w:rFonts w:ascii="Century Gothic" w:hAnsi="Century Gothic" w:eastAsia="Calibri" w:cs="Arial"/>
          <w:color w:val="000000" w:themeColor="text1"/>
          <w:lang w:val="es-ES_tradnl"/>
        </w:rPr>
      </w:pPr>
      <w:bookmarkStart w:name="_Hlk35876968" w:id="5"/>
      <w:r w:rsidRPr="001D3E42">
        <w:rPr>
          <w:rFonts w:ascii="Century Gothic" w:hAnsi="Century Gothic" w:eastAsia="Calibri" w:cs="Arial"/>
          <w:color w:val="000000" w:themeColor="text1"/>
          <w:lang w:val="es-ES_tradnl"/>
        </w:rPr>
        <w:t>Como se indicó, el artículo 7 de la Ley 1150 de 2007 dispone que los contratistas tienen la obligación de constituirla para el cumplimiento de las obligaciones surgidas del contrato, pudiendo consistir en pólizas expedidas por compañías aseguradoras, garantías bancarias u otros mecanismos permitidos por la ley y el reglamento. Asimismo, dispuso que “El acaecimiento del siniestro que amparan las garantías será comunicado por la entidad pública al respectivo asegurador mediante la notificación del acto administrativo que así lo declare.”</w:t>
      </w:r>
    </w:p>
    <w:bookmarkEnd w:id="5"/>
    <w:p w:rsidRPr="001D3E42" w:rsidR="00D15909" w:rsidP="79E51C34" w:rsidRDefault="00D15909" w14:paraId="15F3A9B3" w14:textId="77777777" w14:noSpellErr="1">
      <w:pPr>
        <w:spacing w:after="120" w:line="276" w:lineRule="auto"/>
        <w:ind w:firstLine="708"/>
        <w:jc w:val="both"/>
        <w:rPr>
          <w:rFonts w:ascii="Century Gothic" w:hAnsi="Century Gothic" w:eastAsia="Calibri" w:cs="Arial"/>
          <w:color w:val="000000" w:themeColor="text1"/>
          <w:lang w:val="es-ES"/>
        </w:rPr>
      </w:pPr>
      <w:r w:rsidRPr="79E51C34" w:rsidR="00D15909">
        <w:rPr>
          <w:rFonts w:ascii="Century Gothic" w:hAnsi="Century Gothic" w:eastAsia="Calibri" w:cs="Arial"/>
          <w:color w:val="000000" w:themeColor="text1"/>
          <w:lang w:val="es-ES"/>
        </w:rPr>
        <w:t>En lo que respecta al procedimiento para declarar el siniestro en los contratos estatales regulados por el Estatuto General de Contratación de la Administración Pública, la jurisprudencia explica que, al declarar el siniestro, la Administración no ejerce una potestad sancionadora</w:t>
      </w:r>
      <w:r w:rsidRPr="79E51C34">
        <w:rPr>
          <w:rStyle w:val="FootnoteReference"/>
          <w:rFonts w:ascii="Century Gothic" w:hAnsi="Century Gothic" w:eastAsia="Calibri" w:cs="Arial"/>
          <w:color w:val="000000" w:themeColor="text1"/>
          <w:lang w:val="es-ES"/>
        </w:rPr>
        <w:footnoteReference w:id="9"/>
      </w:r>
      <w:r w:rsidRPr="79E51C34" w:rsidR="00D15909">
        <w:rPr>
          <w:rFonts w:ascii="Century Gothic" w:hAnsi="Century Gothic" w:eastAsia="Calibri" w:cs="Arial"/>
          <w:color w:val="000000" w:themeColor="text1"/>
          <w:lang w:val="es-ES"/>
        </w:rPr>
        <w:t xml:space="preserve">. </w:t>
      </w:r>
      <w:r w:rsidRPr="79E51C34" w:rsidR="00D15909">
        <w:rPr>
          <w:rFonts w:ascii="Century Gothic" w:hAnsi="Century Gothic" w:eastAsia="Calibri" w:cs="Arial"/>
          <w:color w:val="000000" w:themeColor="text1"/>
          <w:lang w:val="es-ES"/>
        </w:rPr>
        <w:t xml:space="preserve">En esta medida, no se trata de una pena de carácter legal o convencional, porque no pretende terminar anormalmente el contrato –caducidad–, ni estima anticipadamente los perjuicios </w:t>
      </w:r>
      <w:r w:rsidRPr="79E51C34" w:rsidR="00D15909">
        <w:rPr>
          <w:rFonts w:ascii="Century Gothic" w:hAnsi="Century Gothic" w:eastAsia="Calibri" w:cs="Arial"/>
          <w:color w:val="000000" w:themeColor="text1"/>
          <w:lang w:val="es-ES"/>
        </w:rPr>
        <w:t xml:space="preserve">derivados del incumplimiento –cláusula penal–, como tampoco son medios coercitivos de apremio –multas–.</w:t>
      </w:r>
      <w:r w:rsidRPr="79E51C34" w:rsidR="00D15909">
        <w:rPr>
          <w:rFonts w:ascii="Century Gothic" w:hAnsi="Century Gothic" w:eastAsia="Calibri" w:cs="Arial"/>
          <w:color w:val="000000" w:themeColor="text1"/>
          <w:lang w:val="es-ES"/>
        </w:rPr>
        <w:t xml:space="preserve"> Todo lo contrario, su función es salvaguardar el interés público y proteger patrimonialmente a la Administración frente a los eventuales incumplimientos imputables al contratista. </w:t>
      </w:r>
    </w:p>
    <w:p w:rsidRPr="001D3E42" w:rsidR="00D15909" w:rsidP="79E51C34" w:rsidRDefault="00D15909" w14:paraId="3FC1FB9D" w14:textId="77777777" w14:noSpellErr="1">
      <w:pPr>
        <w:spacing w:line="276" w:lineRule="auto"/>
        <w:ind w:firstLine="708"/>
        <w:jc w:val="both"/>
        <w:rPr>
          <w:rFonts w:ascii="Century Gothic" w:hAnsi="Century Gothic" w:eastAsia="Calibri" w:cs="Arial"/>
          <w:color w:val="000000" w:themeColor="text1"/>
          <w:lang w:val="es-ES"/>
        </w:rPr>
      </w:pPr>
      <w:r w:rsidRPr="79E51C34" w:rsidR="00D15909">
        <w:rPr>
          <w:rFonts w:ascii="Century Gothic" w:hAnsi="Century Gothic" w:eastAsia="Calibri" w:cs="Arial"/>
          <w:color w:val="000000" w:themeColor="text1"/>
          <w:lang w:val="es-ES"/>
        </w:rPr>
        <w:t xml:space="preserve">Por ello, impuesta cualquier sanción contractual –multa, cláusula penal o caducidad–, la entidad –previa citación de la aseguradora– está facultada para afectar el amparo de cumplimiento, siniestrando la póliza conforme al procedimiento del artículo 86 de la Ley 1474 de 2011. Dicho trámite se establece para declarar el incumplimiento, cuantificando los perjuicios </w:t>
      </w:r>
      <w:r w:rsidRPr="79E51C34" w:rsidR="00D15909">
        <w:rPr>
          <w:rFonts w:ascii="Century Gothic" w:hAnsi="Century Gothic" w:eastAsia="Calibri" w:cs="Arial"/>
          <w:color w:val="000000" w:themeColor="text1"/>
          <w:lang w:val="es-ES"/>
        </w:rPr>
        <w:t>del mismo</w:t>
      </w:r>
      <w:r w:rsidRPr="79E51C34" w:rsidR="00D15909">
        <w:rPr>
          <w:rFonts w:ascii="Century Gothic" w:hAnsi="Century Gothic" w:eastAsia="Calibri" w:cs="Arial"/>
          <w:color w:val="000000" w:themeColor="text1"/>
          <w:lang w:val="es-ES"/>
        </w:rPr>
        <w:t>, imponer las multas y sanciones pactadas en el contrato, y hacer efectiva la cláusula penal. En esta medida, dicha norma no aplica para declarar el siniestro del amparo de estabilidad y calidad de la obra, el cual supone que el contratista ejecutó las actividades pactadas y que la entidad las recibió a satisfacción, encontrando posteriormente vicios que afectan su calidad y obligan al saneamiento</w:t>
      </w:r>
      <w:r w:rsidRPr="79E51C34">
        <w:rPr>
          <w:rStyle w:val="FootnoteReference"/>
          <w:rFonts w:ascii="Century Gothic" w:hAnsi="Century Gothic" w:eastAsia="Calibri" w:cs="Arial"/>
          <w:color w:val="000000" w:themeColor="text1"/>
          <w:lang w:val="es-ES"/>
        </w:rPr>
        <w:footnoteReference w:id="10"/>
      </w:r>
      <w:r w:rsidRPr="79E51C34" w:rsidR="00D15909">
        <w:rPr>
          <w:rFonts w:ascii="Century Gothic" w:hAnsi="Century Gothic" w:eastAsia="Calibri" w:cs="Arial"/>
          <w:color w:val="000000" w:themeColor="text1"/>
          <w:lang w:val="es-ES"/>
        </w:rPr>
        <w:t>.</w:t>
      </w:r>
    </w:p>
    <w:p w:rsidRPr="001D3E42" w:rsidR="00D15909" w:rsidP="00D15909" w:rsidRDefault="00D15909" w14:paraId="0FDE89BC" w14:textId="77777777">
      <w:pPr>
        <w:spacing w:line="276" w:lineRule="auto"/>
        <w:ind w:firstLine="708"/>
        <w:jc w:val="both"/>
        <w:rPr>
          <w:rFonts w:ascii="Century Gothic" w:hAnsi="Century Gothic" w:eastAsia="Calibri" w:cs="Arial"/>
          <w:color w:val="000000" w:themeColor="text1"/>
          <w:lang w:val="es-ES_tradnl"/>
        </w:rPr>
      </w:pPr>
      <w:r w:rsidRPr="001D3E42">
        <w:rPr>
          <w:rFonts w:ascii="Century Gothic" w:hAnsi="Century Gothic" w:eastAsia="Calibri" w:cs="Arial"/>
          <w:color w:val="000000" w:themeColor="text1"/>
          <w:lang w:val="es-ES_tradnl"/>
        </w:rPr>
        <w:t xml:space="preserve">En todo caso, el artículo 29 de la Constitución Política de 1991 dispone que el debido proceso rige en todas las actuaciones judiciales y administrativas. En concordancia, el numeral 1 del artículo 3 de la Ley 1437 prescribe que “En virtud del principio del debido proceso, las actuaciones administrativas se adelantarán de conformidad con las normas de procedimiento y competencia establecidas en la Constitución y la ley, con plena garantía de los derechos de representación, defensa y contradicción […]”. Por tanto, sin perjuicio de los recursos y los medios de control procedentes, este derecho fundamental permite que tanto el contratista como la aseguradora conozcan la actuación, ejerciendo el derecho de audiencia y defensa antes de que la Administración afecte la póliza. La jurisprudencia mayoritaria del Consejo de Estado acoge esta idea al explicar que, si bien las entidades tienen competencia para declarar el siniestro, esta prerrogativa no limita el debido proceso, razón por la cual: </w:t>
      </w:r>
    </w:p>
    <w:p w:rsidRPr="001D3E42" w:rsidR="00D15909" w:rsidP="79E51C34" w:rsidRDefault="00D15909" w14:paraId="6756A0A6" w14:textId="77777777" w14:noSpellErr="1">
      <w:pPr>
        <w:spacing w:line="240" w:lineRule="auto"/>
        <w:ind w:left="709" w:right="760"/>
        <w:jc w:val="both"/>
        <w:rPr>
          <w:rFonts w:ascii="Century Gothic" w:hAnsi="Century Gothic" w:eastAsia="Calibri" w:cs="Arial"/>
          <w:color w:val="000000" w:themeColor="text1"/>
          <w:sz w:val="21"/>
          <w:szCs w:val="21"/>
          <w:lang w:val="es-ES"/>
        </w:rPr>
      </w:pPr>
      <w:r w:rsidRPr="79E51C34" w:rsidR="00D15909">
        <w:rPr>
          <w:rFonts w:ascii="Century Gothic" w:hAnsi="Century Gothic" w:eastAsia="Calibri" w:cs="Arial"/>
          <w:color w:val="000000" w:themeColor="text1" w:themeTint="FF" w:themeShade="FF"/>
          <w:sz w:val="21"/>
          <w:szCs w:val="21"/>
          <w:lang w:val="es-ES"/>
        </w:rPr>
        <w:t xml:space="preserve">“[…]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w:t>
      </w:r>
      <w:r w:rsidRPr="79E51C34" w:rsidR="00D15909">
        <w:rPr>
          <w:rFonts w:ascii="Century Gothic" w:hAnsi="Century Gothic" w:eastAsia="Calibri" w:cs="Arial"/>
          <w:color w:val="000000" w:themeColor="text1" w:themeTint="FF" w:themeShade="FF"/>
          <w:sz w:val="21"/>
          <w:szCs w:val="21"/>
          <w:lang w:val="es-ES"/>
        </w:rPr>
        <w:t>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w:t>
      </w:r>
      <w:r w:rsidRPr="79E51C34" w:rsidR="00D15909">
        <w:rPr>
          <w:rFonts w:ascii="Century Gothic" w:hAnsi="Century Gothic" w:eastAsia="Calibri" w:cs="Arial"/>
          <w:color w:val="000000" w:themeColor="text1" w:themeTint="FF" w:themeShade="FF"/>
          <w:sz w:val="21"/>
          <w:szCs w:val="21"/>
          <w:lang w:val="es-ES"/>
        </w:rPr>
        <w:t xml:space="preserve"> </w:t>
      </w:r>
    </w:p>
    <w:p w:rsidRPr="001D3E42" w:rsidR="00D15909" w:rsidP="79E51C34" w:rsidRDefault="00D15909" w14:paraId="015DF8B8" w14:textId="77777777">
      <w:pPr>
        <w:spacing w:after="120" w:line="240" w:lineRule="auto"/>
        <w:ind w:left="709" w:right="709"/>
        <w:jc w:val="both"/>
        <w:rPr>
          <w:rFonts w:ascii="Century Gothic" w:hAnsi="Century Gothic" w:eastAsia="Calibri" w:cs="Arial"/>
          <w:color w:val="000000" w:themeColor="text1"/>
          <w:sz w:val="21"/>
          <w:szCs w:val="21"/>
          <w:lang w:val="es-ES"/>
        </w:rPr>
      </w:pPr>
      <w:r w:rsidRPr="79E51C34" w:rsidR="00D15909">
        <w:rPr>
          <w:rFonts w:ascii="Century Gothic" w:hAnsi="Century Gothic" w:eastAsia="Calibri" w:cs="Arial"/>
          <w:color w:val="000000" w:themeColor="text1"/>
          <w:sz w:val="21"/>
          <w:szCs w:val="21"/>
          <w:lang w:val="es-ES"/>
        </w:rPr>
        <w:t xml:space="preserve">El artículo 17 de la ley 1.150 exaltó aún más esta garantía, al disponer sobre la imposición de las sanciones que “Esta decisión deberá estar precedida de audiencia del afectado que deberá tener un procedimiento mínimo que garantice el derecho al debido proceso del contratista”. Sobra insistir en que este derecho no sólo es predicable de las sanciones de multa o cláusula penal, sino de cualquiera otra, por aplicación analógica de esta disposición –analogía in </w:t>
      </w:r>
      <w:r w:rsidRPr="79E51C34" w:rsidR="00D15909">
        <w:rPr>
          <w:rFonts w:ascii="Century Gothic" w:hAnsi="Century Gothic" w:eastAsia="Calibri" w:cs="Arial"/>
          <w:i w:val="1"/>
          <w:iCs w:val="1"/>
          <w:color w:val="000000" w:themeColor="text1"/>
          <w:sz w:val="21"/>
          <w:szCs w:val="21"/>
          <w:lang w:val="es-ES"/>
        </w:rPr>
        <w:t>bonam</w:t>
      </w:r>
      <w:r w:rsidRPr="79E51C34" w:rsidR="00D15909">
        <w:rPr>
          <w:rFonts w:ascii="Century Gothic" w:hAnsi="Century Gothic" w:eastAsia="Calibri" w:cs="Arial"/>
          <w:i w:val="1"/>
          <w:iCs w:val="1"/>
          <w:color w:val="000000" w:themeColor="text1"/>
          <w:sz w:val="21"/>
          <w:szCs w:val="21"/>
          <w:lang w:val="es-ES"/>
        </w:rPr>
        <w:t xml:space="preserve"> </w:t>
      </w:r>
      <w:r w:rsidRPr="79E51C34" w:rsidR="00D15909">
        <w:rPr>
          <w:rFonts w:ascii="Century Gothic" w:hAnsi="Century Gothic" w:eastAsia="Calibri" w:cs="Arial"/>
          <w:i w:val="1"/>
          <w:iCs w:val="1"/>
          <w:color w:val="000000" w:themeColor="text1"/>
          <w:sz w:val="21"/>
          <w:szCs w:val="21"/>
          <w:lang w:val="es-ES"/>
        </w:rPr>
        <w:t>partem</w:t>
      </w:r>
      <w:r w:rsidRPr="79E51C34" w:rsidR="00D15909">
        <w:rPr>
          <w:rFonts w:ascii="Century Gothic" w:hAnsi="Century Gothic" w:eastAsia="Calibri" w:cs="Arial"/>
          <w:color w:val="000000" w:themeColor="text1"/>
          <w:sz w:val="21"/>
          <w:szCs w:val="21"/>
          <w:lang w:val="es-ES"/>
        </w:rPr>
        <w:t xml:space="preserve">- y por aplicación directa del art. 29 CP. En otras palabras, para la Sala no cabe duda </w:t>
      </w:r>
      <w:r w:rsidRPr="79E51C34" w:rsidR="00D15909">
        <w:rPr>
          <w:rFonts w:ascii="Century Gothic" w:hAnsi="Century Gothic" w:eastAsia="Calibri" w:cs="Arial"/>
          <w:color w:val="000000" w:themeColor="text1"/>
          <w:sz w:val="21"/>
          <w:szCs w:val="21"/>
          <w:lang w:val="es-ES"/>
        </w:rPr>
        <w:t>que</w:t>
      </w:r>
      <w:r w:rsidRPr="79E51C34" w:rsidR="00D15909">
        <w:rPr>
          <w:rFonts w:ascii="Century Gothic" w:hAnsi="Century Gothic" w:eastAsia="Calibri" w:cs="Arial"/>
          <w:color w:val="000000" w:themeColor="text1"/>
          <w:sz w:val="21"/>
          <w:szCs w:val="21"/>
          <w:lang w:val="es-ES"/>
        </w:rPr>
        <w:t xml:space="preserve"> también cuando se ejercen los poderes exorbitantes, como la terminación, modificación o interpretación unilateral, caducidad, reversión, así como cuando se declara un siniestro, y en general cuando se adopta cualquier otra decisión unilateral de naturaleza contractual, es necesario que la administración observe el debido proceso a lo largo del procedimiento correspondiente</w:t>
      </w:r>
      <w:r w:rsidRPr="79E51C34">
        <w:rPr>
          <w:rStyle w:val="FootnoteReference"/>
          <w:rFonts w:ascii="Century Gothic" w:hAnsi="Century Gothic" w:eastAsia="Calibri" w:cs="Arial"/>
          <w:color w:val="000000" w:themeColor="text1"/>
          <w:sz w:val="21"/>
          <w:szCs w:val="21"/>
          <w:lang w:val="es-ES"/>
        </w:rPr>
        <w:footnoteReference w:id="11"/>
      </w:r>
      <w:r w:rsidRPr="79E51C34" w:rsidR="00D15909">
        <w:rPr>
          <w:rFonts w:ascii="Century Gothic" w:hAnsi="Century Gothic" w:eastAsia="Calibri" w:cs="Arial"/>
          <w:color w:val="000000" w:themeColor="text1"/>
          <w:sz w:val="21"/>
          <w:szCs w:val="21"/>
          <w:lang w:val="es-ES"/>
        </w:rPr>
        <w:t>”.</w:t>
      </w:r>
    </w:p>
    <w:p w:rsidRPr="001D3E42" w:rsidR="00D15909" w:rsidP="79E51C34" w:rsidRDefault="00D15909" w14:paraId="0D1B5A5A" w14:textId="77777777" w14:noSpellErr="1">
      <w:pPr>
        <w:spacing w:after="120" w:line="276" w:lineRule="auto"/>
        <w:ind w:firstLine="709"/>
        <w:jc w:val="both"/>
        <w:rPr>
          <w:rFonts w:ascii="Century Gothic" w:hAnsi="Century Gothic" w:eastAsia="Calibri" w:cs="Arial"/>
          <w:color w:val="000000" w:themeColor="text1"/>
          <w:lang w:val="es-ES"/>
        </w:rPr>
      </w:pPr>
      <w:r w:rsidRPr="79E51C34" w:rsidR="00D15909">
        <w:rPr>
          <w:rFonts w:ascii="Century Gothic" w:hAnsi="Century Gothic" w:eastAsia="Calibri" w:cs="Arial"/>
          <w:color w:val="000000" w:themeColor="text1"/>
          <w:lang w:val="es-ES"/>
        </w:rPr>
        <w:t xml:space="preserve">En este contexto, </w:t>
      </w:r>
      <w:bookmarkStart w:name="_Hlk37703813" w:id="6"/>
      <w:r w:rsidRPr="79E51C34" w:rsidR="00D15909">
        <w:rPr>
          <w:rFonts w:ascii="Century Gothic" w:hAnsi="Century Gothic" w:eastAsia="Calibri" w:cs="Arial"/>
          <w:color w:val="000000" w:themeColor="text1"/>
          <w:lang w:val="es-ES"/>
        </w:rPr>
        <w:t xml:space="preserve">la postura de esta Subdirección ha sido reiterativa en indicar que como no aplica el artículo 86 de la Ley 1474, y en la medida que el artículo 29 prohíbe decisiones de plano, se considera que el trámite de la declaratoria del siniestro de estabilidad y calidad de la obra </w:t>
      </w:r>
      <w:bookmarkStart w:name="_Hlk37701904" w:id="7"/>
      <w:r w:rsidRPr="79E51C34" w:rsidR="00D15909">
        <w:rPr>
          <w:rFonts w:ascii="Century Gothic" w:hAnsi="Century Gothic" w:eastAsia="Calibri" w:cs="Arial"/>
          <w:color w:val="000000" w:themeColor="text1"/>
          <w:lang w:val="es-ES"/>
        </w:rPr>
        <w:t>se rige por el procedimiento administrativo general dispuesto en los artículos 34 y siguientes de la Ley 1437 de 2011</w:t>
      </w:r>
      <w:bookmarkEnd w:id="7"/>
      <w:r w:rsidRPr="79E51C34" w:rsidR="00D15909">
        <w:rPr>
          <w:rFonts w:ascii="Century Gothic" w:hAnsi="Century Gothic" w:eastAsia="Calibri" w:cs="Arial"/>
          <w:color w:val="000000" w:themeColor="text1"/>
          <w:lang w:val="es-ES"/>
        </w:rPr>
        <w:t xml:space="preserve">. Dicha norma prescribe que “Las actuaciones administrativas se sujetarán al procedimiento administrativo común y principal que se establece en este Código, sin perjuicio de los procedimientos administrativos regulados por leyes especiales […]”, disposición aplicable a los temas contractuales por la remisión del </w:t>
      </w:r>
      <w:r w:rsidRPr="79E51C34" w:rsidR="00D15909">
        <w:rPr>
          <w:rFonts w:ascii="Century Gothic" w:hAnsi="Century Gothic" w:eastAsia="Calibri" w:cs="Arial"/>
          <w:color w:val="000000" w:themeColor="text1"/>
          <w:lang w:val="es-ES"/>
        </w:rPr>
        <w:t>inciso primero del artículo 77 de la Ley 80 de 1993</w:t>
      </w:r>
      <w:r w:rsidRPr="79E51C34">
        <w:rPr>
          <w:rStyle w:val="FootnoteReference"/>
          <w:rFonts w:ascii="Century Gothic" w:hAnsi="Century Gothic" w:eastAsia="Calibri" w:cs="Arial"/>
          <w:color w:val="000000" w:themeColor="text1"/>
          <w:lang w:val="es-ES"/>
        </w:rPr>
        <w:footnoteReference w:id="12"/>
      </w:r>
      <w:r w:rsidRPr="79E51C34" w:rsidR="00D15909">
        <w:rPr>
          <w:rFonts w:ascii="Century Gothic" w:hAnsi="Century Gothic" w:eastAsia="Calibri" w:cs="Arial"/>
          <w:color w:val="000000" w:themeColor="text1"/>
          <w:lang w:val="es-ES"/>
        </w:rPr>
        <w:t xml:space="preserve">. </w:t>
      </w:r>
      <w:r w:rsidRPr="79E51C34" w:rsidR="00D15909">
        <w:rPr>
          <w:rFonts w:ascii="Century Gothic" w:hAnsi="Century Gothic" w:eastAsia="Calibri" w:cs="Arial"/>
          <w:color w:val="000000" w:themeColor="text1"/>
          <w:lang w:val="es-ES"/>
        </w:rPr>
        <w:t>Para estos efectos, la Ley 1437 de 2011exige que cuando las entidades procedan de oficio la actuación comience con un escrito que debe comunicarse al interesado para que ejerza el derecho de defensa, en virtud de lo estipulado en el inciso 2 de su artículo 35.</w:t>
      </w:r>
      <w:r w:rsidRPr="79E51C34" w:rsidR="00D15909">
        <w:rPr>
          <w:rFonts w:ascii="Century Gothic" w:hAnsi="Century Gothic" w:eastAsia="Calibri" w:cs="Arial"/>
          <w:color w:val="000000" w:themeColor="text1"/>
          <w:lang w:val="es-ES"/>
        </w:rPr>
        <w:t xml:space="preserve"> </w:t>
      </w:r>
      <w:r w:rsidRPr="79E51C34" w:rsidR="00D15909">
        <w:rPr>
          <w:rFonts w:ascii="Century Gothic" w:hAnsi="Century Gothic" w:eastAsia="Calibri" w:cs="Arial"/>
          <w:color w:val="000000" w:themeColor="text1"/>
          <w:lang w:val="es-ES"/>
        </w:rPr>
        <w:t>Lo anterior, sin perjuicio de informar a terceros cuando la Administración advierta la posibilidad de que otras personas resulten afectadas con la decisión en cumplimiento de lo previsto en el artículo 37 de la norma en cita.</w:t>
      </w:r>
      <w:r w:rsidRPr="79E51C34" w:rsidR="00D15909">
        <w:rPr>
          <w:rFonts w:ascii="Century Gothic" w:hAnsi="Century Gothic" w:eastAsia="Calibri" w:cs="Arial"/>
          <w:color w:val="000000" w:themeColor="text1"/>
          <w:lang w:val="es-ES"/>
        </w:rPr>
        <w:t xml:space="preserve"> Dicho procedimiento concreta el respeto a las formalidades propias de cada juicio de que trata el artículo 29 superior, garantizando que el contratista y la aseguradora sean escuchados antes de que la entidad declare el siniestro de la garantía.</w:t>
      </w:r>
    </w:p>
    <w:bookmarkEnd w:id="6"/>
    <w:p w:rsidRPr="001D3E42" w:rsidR="00D15909" w:rsidP="00D15909" w:rsidRDefault="00D15909" w14:paraId="6D65E850" w14:textId="77777777">
      <w:pPr>
        <w:spacing w:line="276" w:lineRule="auto"/>
        <w:ind w:firstLine="708"/>
        <w:jc w:val="both"/>
        <w:rPr>
          <w:rFonts w:ascii="Century Gothic" w:hAnsi="Century Gothic" w:eastAsia="Calibri" w:cs="Arial"/>
          <w:color w:val="000000" w:themeColor="text1"/>
          <w:lang w:val="es-ES_tradnl"/>
        </w:rPr>
      </w:pPr>
      <w:r w:rsidRPr="001D3E42">
        <w:rPr>
          <w:rFonts w:ascii="Century Gothic" w:hAnsi="Century Gothic" w:eastAsia="Calibri" w:cs="Arial"/>
          <w:color w:val="000000" w:themeColor="text1"/>
          <w:lang w:val="es-ES_tradnl"/>
        </w:rPr>
        <w:t xml:space="preserve">En lo que respecta a la </w:t>
      </w:r>
      <w:r w:rsidRPr="001D3E42">
        <w:rPr>
          <w:rFonts w:ascii="Century Gothic" w:hAnsi="Century Gothic" w:eastAsia="Calibri" w:cs="Arial"/>
          <w:i/>
          <w:iCs/>
          <w:color w:val="000000" w:themeColor="text1"/>
          <w:lang w:val="es-ES_tradnl"/>
        </w:rPr>
        <w:t>competencia temporal</w:t>
      </w:r>
      <w:r w:rsidRPr="001D3E42">
        <w:rPr>
          <w:rFonts w:ascii="Century Gothic" w:hAnsi="Century Gothic" w:eastAsia="Calibri" w:cs="Arial"/>
          <w:color w:val="000000" w:themeColor="text1"/>
          <w:lang w:val="es-ES_tradnl"/>
        </w:rPr>
        <w:t xml:space="preserve">, la Administración no dispone de un término ilimitado para ejercer sus prerrogativas. </w:t>
      </w:r>
      <w:bookmarkStart w:name="_Hlk37703948" w:id="8"/>
      <w:r w:rsidRPr="001D3E42">
        <w:rPr>
          <w:rFonts w:ascii="Century Gothic" w:hAnsi="Century Gothic" w:eastAsia="Calibri" w:cs="Arial"/>
          <w:color w:val="000000" w:themeColor="text1"/>
          <w:lang w:val="es-ES_tradnl"/>
        </w:rPr>
        <w:t>Ahora bien, podría pensarse que tanto el “siniestro” como la “declaratoria” deben ocurrir dentro del mismo plazo. Sin embargo, esta impresión es equivocada, en la medida que el “siniestro”, entendido como la realización del riesgo asegurado, es el único que se debe dar dentro de dicha vigencia. Mientras tanto, el acto administrativo que declara su ocurrencia debe expedirse antes de la prescripción del contrato de seguro</w:t>
      </w:r>
      <w:r w:rsidRPr="001D3E42">
        <w:rPr>
          <w:rStyle w:val="FootnoteReference"/>
          <w:rFonts w:ascii="Century Gothic" w:hAnsi="Century Gothic" w:eastAsia="Calibri" w:cs="Arial"/>
          <w:color w:val="000000" w:themeColor="text1"/>
          <w:lang w:val="es-ES_tradnl"/>
        </w:rPr>
        <w:footnoteReference w:id="13"/>
      </w:r>
      <w:r w:rsidRPr="001D3E42">
        <w:rPr>
          <w:rFonts w:ascii="Century Gothic" w:hAnsi="Century Gothic" w:eastAsia="Calibri" w:cs="Arial"/>
          <w:color w:val="000000" w:themeColor="text1"/>
          <w:lang w:val="es-ES_tradnl"/>
        </w:rPr>
        <w:t>. En otras palabras, aunque la vigencia de la garantía está relacionada con la ocurrencia del siniestro, es independiente del plazo que tiene la Administración para hacerla efectiva, máxime cuando se limita a declarar una situación prexistente</w:t>
      </w:r>
      <w:bookmarkEnd w:id="8"/>
      <w:r w:rsidRPr="001D3E42">
        <w:rPr>
          <w:rStyle w:val="FootnoteReference"/>
          <w:rFonts w:ascii="Century Gothic" w:hAnsi="Century Gothic" w:eastAsia="Calibri" w:cs="Arial"/>
          <w:color w:val="000000" w:themeColor="text1"/>
          <w:lang w:val="es-ES_tradnl"/>
        </w:rPr>
        <w:footnoteReference w:id="14"/>
      </w:r>
      <w:r w:rsidRPr="001D3E42">
        <w:rPr>
          <w:rFonts w:ascii="Century Gothic" w:hAnsi="Century Gothic" w:eastAsia="Calibri" w:cs="Arial"/>
          <w:color w:val="000000" w:themeColor="text1"/>
          <w:lang w:val="es-ES_tradnl"/>
        </w:rPr>
        <w:t>. Sobre el tema, la jurisprudencia explica que:</w:t>
      </w:r>
    </w:p>
    <w:p w:rsidRPr="001D3E42" w:rsidR="00D15909" w:rsidP="00D15909" w:rsidRDefault="00D15909" w14:paraId="798E448D" w14:textId="77777777">
      <w:pPr>
        <w:spacing w:line="240" w:lineRule="auto"/>
        <w:ind w:left="709" w:right="709"/>
        <w:jc w:val="both"/>
        <w:rPr>
          <w:rFonts w:ascii="Century Gothic" w:hAnsi="Century Gothic" w:eastAsia="Calibri" w:cs="Arial"/>
          <w:color w:val="000000" w:themeColor="text1"/>
          <w:sz w:val="21"/>
          <w:szCs w:val="21"/>
          <w:lang w:val="es-ES_tradnl"/>
        </w:rPr>
      </w:pPr>
      <w:bookmarkStart w:name="_Hlk38541092" w:id="9"/>
      <w:r w:rsidRPr="001D3E42">
        <w:rPr>
          <w:rFonts w:ascii="Century Gothic" w:hAnsi="Century Gothic" w:eastAsia="Calibri" w:cs="Arial"/>
          <w:color w:val="000000" w:themeColor="text1"/>
          <w:sz w:val="21"/>
          <w:szCs w:val="21"/>
          <w:lang w:val="es-ES_tradnl"/>
        </w:rPr>
        <w:t>[…] la Administración tiene como termino máximo para declarar el siniestro, el de dos años después de haber tenido conocimiento de la ocurrencia de los hechos constitutivos del mismo, de tal suerte que expedido el acto administrativo que lo declara y ejecutoriado el mismo, mediante el agotamiento de la vía gubernativa, empezará a correr el término de los dos años que la ley ha previsto para el ejercicio de la acción contractual. Lo anterior no significa que el acto administrativo que declara el siniestro deba encontrarse en firme dentro de los dos años siguientes al conocimiento del hecho por parte de la Administración, sino basta con que haya sido declarado por ella dentro de este término; lo contrario significaría limitar la competencia de la Administración para expedir el acto</w:t>
      </w:r>
      <w:r w:rsidRPr="001D3E42">
        <w:rPr>
          <w:rStyle w:val="FootnoteReference"/>
          <w:rFonts w:ascii="Century Gothic" w:hAnsi="Century Gothic" w:eastAsia="Calibri" w:cs="Arial"/>
          <w:color w:val="000000" w:themeColor="text1"/>
          <w:sz w:val="21"/>
          <w:szCs w:val="21"/>
          <w:lang w:val="es-ES_tradnl"/>
        </w:rPr>
        <w:footnoteReference w:id="15"/>
      </w:r>
      <w:r w:rsidRPr="001D3E42">
        <w:rPr>
          <w:rFonts w:ascii="Century Gothic" w:hAnsi="Century Gothic" w:eastAsia="Calibri" w:cs="Arial"/>
          <w:color w:val="000000" w:themeColor="text1"/>
          <w:sz w:val="21"/>
          <w:szCs w:val="21"/>
          <w:lang w:val="es-ES_tradnl"/>
        </w:rPr>
        <w:t>.</w:t>
      </w:r>
    </w:p>
    <w:bookmarkEnd w:id="9"/>
    <w:p w:rsidRPr="001D3E42" w:rsidR="00D15909" w:rsidP="79E51C34" w:rsidRDefault="00D15909" w14:paraId="61E8C4A4" w14:textId="77777777" w14:noSpellErr="1">
      <w:pPr>
        <w:spacing w:after="120" w:line="276" w:lineRule="auto"/>
        <w:ind w:firstLine="708"/>
        <w:jc w:val="both"/>
        <w:rPr>
          <w:rFonts w:ascii="Century Gothic" w:hAnsi="Century Gothic" w:eastAsia="Calibri" w:cs="Arial"/>
          <w:color w:val="000000" w:themeColor="text1"/>
          <w:lang w:val="es-ES"/>
        </w:rPr>
      </w:pPr>
      <w:r w:rsidRPr="79E51C34" w:rsidR="00D15909">
        <w:rPr>
          <w:rFonts w:ascii="Century Gothic" w:hAnsi="Century Gothic" w:eastAsia="Calibri" w:cs="Arial"/>
          <w:color w:val="000000" w:themeColor="text1"/>
          <w:lang w:val="es-ES"/>
        </w:rPr>
        <w:t xml:space="preserve">Así las cosas, el “siniestro” debe ocurrir durante la vigencia del seguro, aunque su “declaratoria” se produzca después del vencimiento de la garantía. Lo importante es que el acto administrativo se expida antes de la prescripción del contrato de seguro. Para estos efectos, es necesario precisar que el citado artículo 1081 del Código de Comercio consagra un término de dos años (2) para la prescripción ordinaria y uno de cinco (5) años para la extraordinaria. </w:t>
      </w:r>
      <w:r w:rsidRPr="79E51C34" w:rsidR="00D15909">
        <w:rPr>
          <w:rFonts w:ascii="Century Gothic" w:hAnsi="Century Gothic" w:eastAsia="Calibri" w:cs="Arial"/>
          <w:color w:val="000000" w:themeColor="text1"/>
          <w:lang w:val="es-ES"/>
        </w:rPr>
        <w:t>La primera empieza desde el momento en que el interesado conozca o deba conocer del hecho que da base a la acción, mientras que la extraordinaria –por ser objetiva– correrá contra toda clase de personas sin consideración alguna del citado conocimiento, desde el momento en que nace el respectivo derecho.</w:t>
      </w:r>
      <w:r w:rsidRPr="79E51C34" w:rsidR="00D15909">
        <w:rPr>
          <w:rFonts w:ascii="Century Gothic" w:hAnsi="Century Gothic" w:eastAsia="Calibri" w:cs="Arial"/>
          <w:color w:val="000000" w:themeColor="text1"/>
          <w:lang w:val="es-ES"/>
        </w:rPr>
        <w:t xml:space="preserve"> Dichos términos corren paralelamente, lo cual implica que no puede acogerse indistintamente alguno de ellos, pues el primero que se agote produce el efecto extintivo</w:t>
      </w:r>
      <w:r w:rsidRPr="79E51C34">
        <w:rPr>
          <w:rStyle w:val="FootnoteReference"/>
          <w:rFonts w:ascii="Century Gothic" w:hAnsi="Century Gothic" w:eastAsia="Calibri" w:cs="Arial"/>
          <w:color w:val="000000" w:themeColor="text1"/>
          <w:lang w:val="es-ES"/>
        </w:rPr>
        <w:footnoteReference w:id="16"/>
      </w:r>
      <w:r w:rsidRPr="79E51C34" w:rsidR="00D15909">
        <w:rPr>
          <w:rFonts w:ascii="Century Gothic" w:hAnsi="Century Gothic" w:eastAsia="Calibri" w:cs="Arial"/>
          <w:color w:val="000000" w:themeColor="text1"/>
          <w:lang w:val="es-ES"/>
        </w:rPr>
        <w:t>. En esta medida, vencido alguno de estos plazos, la Administración pierde competencia para declarar el siniestro.</w:t>
      </w:r>
    </w:p>
    <w:p w:rsidRPr="001D3E42" w:rsidR="00D15909" w:rsidP="00D15909" w:rsidRDefault="00D15909" w14:paraId="39CCA550" w14:textId="77777777">
      <w:pPr>
        <w:spacing w:line="276" w:lineRule="auto"/>
        <w:ind w:firstLine="709"/>
        <w:jc w:val="both"/>
        <w:rPr>
          <w:rFonts w:ascii="Century Gothic" w:hAnsi="Century Gothic" w:eastAsia="Calibri" w:cs="Arial"/>
          <w:color w:val="000000" w:themeColor="text1"/>
          <w:lang w:val="es-ES_tradnl"/>
        </w:rPr>
      </w:pPr>
      <w:r w:rsidRPr="001D3E42">
        <w:rPr>
          <w:rFonts w:ascii="Century Gothic" w:hAnsi="Century Gothic" w:eastAsia="Calibri" w:cs="Arial"/>
          <w:color w:val="000000" w:themeColor="text1"/>
          <w:lang w:val="es-ES_tradnl"/>
        </w:rPr>
        <w:t>Por tanto, las entidades estatales que se rigen por el Estatuto General de Contratación de la Administración Pública cuentan con la prerrogativa, reconocida en el artículo 7 de la Ley 1150 de 2007, de declarar la ocurrencia del siniestro mediante un acto administrativo. Es esto lo que dispone el inciso cuarto de dicho artículo, al establecer que “El acaecimiento del siniestro que amparan las garantías será comunicado por la entidad pública al respectivo asegurador mediante la notificación del acto administrativo que así lo declare”. Así lo ratifica el artículo 2.2.1.2.3.1.19. del Decreto 1082 de 2015, que dispone lo siguiente sobre la efectividad de las garantías:</w:t>
      </w:r>
    </w:p>
    <w:p w:rsidRPr="001D3E42" w:rsidR="00D15909" w:rsidP="00D15909" w:rsidRDefault="00D15909" w14:paraId="7AEED0D1" w14:textId="77777777">
      <w:pPr>
        <w:spacing w:line="240" w:lineRule="auto"/>
        <w:ind w:left="709" w:right="709"/>
        <w:jc w:val="both"/>
        <w:rPr>
          <w:rFonts w:ascii="Century Gothic" w:hAnsi="Century Gothic" w:eastAsia="Calibri" w:cs="Arial"/>
          <w:color w:val="000000" w:themeColor="text1"/>
          <w:sz w:val="21"/>
          <w:szCs w:val="21"/>
          <w:lang w:val="es-ES_tradnl"/>
        </w:rPr>
      </w:pPr>
      <w:r w:rsidRPr="001D3E42">
        <w:rPr>
          <w:rFonts w:ascii="Century Gothic" w:hAnsi="Century Gothic" w:eastAsia="Calibri" w:cs="Arial"/>
          <w:color w:val="000000" w:themeColor="text1"/>
          <w:sz w:val="21"/>
          <w:szCs w:val="21"/>
          <w:lang w:val="es-ES_tradnl"/>
        </w:rPr>
        <w:t>“La Entidad Estatal debe hacer efectivas las garantías previstas en este capítulo así:</w:t>
      </w:r>
    </w:p>
    <w:p w:rsidRPr="001D3E42" w:rsidR="00D15909" w:rsidP="00D15909" w:rsidRDefault="00D15909" w14:paraId="36CDCB33" w14:textId="77777777">
      <w:pPr>
        <w:spacing w:line="240" w:lineRule="auto"/>
        <w:ind w:left="709" w:right="709"/>
        <w:jc w:val="both"/>
        <w:rPr>
          <w:rFonts w:ascii="Century Gothic" w:hAnsi="Century Gothic" w:eastAsia="Calibri" w:cs="Arial"/>
          <w:color w:val="000000" w:themeColor="text1"/>
          <w:sz w:val="21"/>
          <w:szCs w:val="21"/>
          <w:lang w:val="es-ES_tradnl"/>
        </w:rPr>
      </w:pPr>
      <w:r w:rsidRPr="001D3E42">
        <w:rPr>
          <w:rFonts w:ascii="Century Gothic" w:hAnsi="Century Gothic" w:eastAsia="Calibri" w:cs="Arial"/>
          <w:color w:val="000000" w:themeColor="text1"/>
          <w:sz w:val="21"/>
          <w:szCs w:val="21"/>
          <w:lang w:val="es-ES_tradnl"/>
        </w:rPr>
        <w:t>1. Por medio del acto administrativo en el cual la Entidad Estatal declare la caducidad del contrato y ordene el pago al contratista y al garante, bien sea de la cláusula penal o de los perjuicios que ha cuantificado. El acto administrativo de caducidad constituye el siniestro.</w:t>
      </w:r>
    </w:p>
    <w:p w:rsidRPr="001D3E42" w:rsidR="00D15909" w:rsidP="00D15909" w:rsidRDefault="00D15909" w14:paraId="0FF94550" w14:textId="77777777">
      <w:pPr>
        <w:spacing w:line="240" w:lineRule="auto"/>
        <w:ind w:left="709" w:right="709"/>
        <w:jc w:val="both"/>
        <w:rPr>
          <w:rFonts w:ascii="Century Gothic" w:hAnsi="Century Gothic" w:eastAsia="Calibri" w:cs="Arial"/>
          <w:color w:val="000000" w:themeColor="text1"/>
          <w:sz w:val="21"/>
          <w:szCs w:val="21"/>
          <w:lang w:val="es-ES_tradnl"/>
        </w:rPr>
      </w:pPr>
      <w:r w:rsidRPr="001D3E42">
        <w:rPr>
          <w:rFonts w:ascii="Century Gothic" w:hAnsi="Century Gothic" w:eastAsia="Calibri" w:cs="Arial"/>
          <w:color w:val="000000" w:themeColor="text1"/>
          <w:sz w:val="21"/>
          <w:szCs w:val="21"/>
          <w:lang w:val="es-ES_tradnl"/>
        </w:rPr>
        <w:t>2. Por medio del acto administrativo en el cual la Entidad Estatal impone multas, debe ordenar el pago al contratista y al garante. El acto administrativo correspondiente constituye el siniestro.</w:t>
      </w:r>
    </w:p>
    <w:p w:rsidRPr="001D3E42" w:rsidR="00D15909" w:rsidP="00D15909" w:rsidRDefault="00D15909" w14:paraId="68E4C31C" w14:textId="77777777">
      <w:pPr>
        <w:spacing w:line="240" w:lineRule="auto"/>
        <w:ind w:left="709" w:right="709"/>
        <w:jc w:val="both"/>
        <w:rPr>
          <w:rFonts w:ascii="Century Gothic" w:hAnsi="Century Gothic" w:eastAsia="Calibri" w:cs="Arial"/>
          <w:color w:val="000000" w:themeColor="text1"/>
          <w:sz w:val="21"/>
          <w:szCs w:val="21"/>
          <w:lang w:val="es-ES_tradnl"/>
        </w:rPr>
      </w:pPr>
      <w:r w:rsidRPr="001D3E42">
        <w:rPr>
          <w:rFonts w:ascii="Century Gothic" w:hAnsi="Century Gothic" w:eastAsia="Calibri" w:cs="Arial"/>
          <w:color w:val="000000" w:themeColor="text1"/>
          <w:sz w:val="21"/>
          <w:szCs w:val="21"/>
          <w:lang w:val="es-ES_tradnl"/>
        </w:rPr>
        <w:t>3. Por medio del acto administrativo en el cual la Entidad Estatal declare el incumpli­miento, puede hacer efectiva la cláusula penal, si está pactada en el contrato, y ordenar su pago al contratista y al garante. El acto administrativo correspondiente es la reclamación para la compañía de seguros.</w:t>
      </w:r>
    </w:p>
    <w:p w:rsidRPr="001D3E42" w:rsidR="00D15909" w:rsidP="79E51C34" w:rsidRDefault="00D15909" w14:paraId="2B1DFA17" w14:textId="77777777">
      <w:pPr>
        <w:spacing w:after="120" w:line="276" w:lineRule="auto"/>
        <w:ind w:firstLine="709"/>
        <w:jc w:val="both"/>
        <w:rPr>
          <w:rFonts w:ascii="Century Gothic" w:hAnsi="Century Gothic" w:eastAsia="Calibri" w:cs="Arial"/>
          <w:color w:val="000000" w:themeColor="text1"/>
          <w:lang w:val="es-ES"/>
        </w:rPr>
      </w:pPr>
      <w:r w:rsidRPr="79E51C34" w:rsidR="00D15909">
        <w:rPr>
          <w:rFonts w:ascii="Century Gothic" w:hAnsi="Century Gothic" w:eastAsia="Calibri" w:cs="Arial"/>
          <w:color w:val="000000" w:themeColor="text1" w:themeTint="FF" w:themeShade="FF"/>
          <w:lang w:val="es-ES"/>
        </w:rPr>
        <w:t xml:space="preserve">Así, las entidades estatales indicadas en el artículo 2 de la Ley 80 de 1993 cuentan con el beneficio de la decisión previa, que es expresión de la </w:t>
      </w:r>
      <w:r w:rsidRPr="79E51C34" w:rsidR="00D15909">
        <w:rPr>
          <w:rFonts w:ascii="Century Gothic" w:hAnsi="Century Gothic" w:eastAsia="Calibri" w:cs="Arial"/>
          <w:color w:val="000000" w:themeColor="text1" w:themeTint="FF" w:themeShade="FF"/>
          <w:lang w:val="es-ES"/>
        </w:rPr>
        <w:t>auto-tutela</w:t>
      </w:r>
      <w:r w:rsidRPr="79E51C34" w:rsidR="00D15909">
        <w:rPr>
          <w:rFonts w:ascii="Century Gothic" w:hAnsi="Century Gothic" w:eastAsia="Calibri" w:cs="Arial"/>
          <w:color w:val="000000" w:themeColor="text1" w:themeTint="FF" w:themeShade="FF"/>
          <w:lang w:val="es-ES"/>
        </w:rPr>
        <w:t xml:space="preserve"> declarativa, para verificar la ocurrencia del siniestro –es decir, para constatar la materialización del riesgo asegurado– y para expedir el acto administrativo que establezca: i) que el siniestro efectivamente ocurrió y </w:t>
      </w:r>
      <w:r w:rsidRPr="79E51C34" w:rsidR="00D15909">
        <w:rPr>
          <w:rFonts w:ascii="Century Gothic" w:hAnsi="Century Gothic" w:eastAsia="Calibri" w:cs="Arial"/>
          <w:color w:val="000000" w:themeColor="text1" w:themeTint="FF" w:themeShade="FF"/>
          <w:lang w:val="es-ES"/>
        </w:rPr>
        <w:t>ii</w:t>
      </w:r>
      <w:r w:rsidRPr="79E51C34" w:rsidR="00D15909">
        <w:rPr>
          <w:rFonts w:ascii="Century Gothic" w:hAnsi="Century Gothic" w:eastAsia="Calibri" w:cs="Arial"/>
          <w:color w:val="000000" w:themeColor="text1" w:themeTint="FF" w:themeShade="FF"/>
          <w:lang w:val="es-ES"/>
        </w:rPr>
        <w:t xml:space="preserve">) que, por ende, el garante debe reconocerle a la Entidad Estatal el valor amparado en el instrumento de </w:t>
      </w:r>
      <w:r w:rsidRPr="79E51C34" w:rsidR="00D15909">
        <w:rPr>
          <w:rFonts w:ascii="Century Gothic" w:hAnsi="Century Gothic" w:eastAsia="Calibri" w:cs="Arial"/>
          <w:color w:val="000000" w:themeColor="text1" w:themeTint="FF" w:themeShade="FF"/>
          <w:lang w:val="es-ES"/>
        </w:rPr>
        <w:t xml:space="preserve">cobertura del riesgo. En tal sentido, la notificación del acto administrativo que declara el siniestro contiene la orden proferida por la Entidad Estatal, dirigida al garante, para que este reconozca el valor amparado y afectado por dicha declaratoria. </w:t>
      </w:r>
      <w:r w:rsidRPr="79E51C34" w:rsidR="00D15909">
        <w:rPr>
          <w:rFonts w:ascii="Century Gothic" w:hAnsi="Century Gothic" w:eastAsia="Calibri" w:cs="Arial"/>
          <w:color w:val="000000" w:themeColor="text1" w:themeTint="FF" w:themeShade="FF"/>
          <w:lang w:val="es-ES"/>
        </w:rPr>
        <w:t>No es una reclamación que queda sujeta a la discrecionalidad del garante, sino una obligación que este debe cumplir una vez el acto administrativo quede en firme, en los términos del artículo 87 de la Ley 1437 de 2011.</w:t>
      </w:r>
    </w:p>
    <w:p w:rsidRPr="001D3E42" w:rsidR="00D15909" w:rsidP="0080680C" w:rsidRDefault="00D15909" w14:paraId="381013EE" w14:textId="77777777">
      <w:pPr>
        <w:spacing w:after="120" w:line="276" w:lineRule="auto"/>
        <w:ind w:firstLine="709"/>
        <w:jc w:val="both"/>
        <w:rPr>
          <w:rFonts w:ascii="Century Gothic" w:hAnsi="Century Gothic" w:eastAsia="Calibri" w:cs="Arial"/>
          <w:color w:val="000000" w:themeColor="text1"/>
          <w:lang w:val="es-ES_tradnl"/>
        </w:rPr>
      </w:pPr>
      <w:r w:rsidRPr="001D3E42">
        <w:rPr>
          <w:rFonts w:ascii="Century Gothic" w:hAnsi="Century Gothic" w:eastAsia="Calibri" w:cs="Arial"/>
          <w:color w:val="000000" w:themeColor="text1"/>
          <w:lang w:val="es-ES_tradnl"/>
        </w:rPr>
        <w:t xml:space="preserve">Ahora bien, lo anterior no significa que el garante carezca de la oportunidad de ejercer su derecho de defensa ante la Entidad Estatal, pues tanto el artículo 29 de la Constitución, como el artículo 3, numeral 1 de la Ley 1437 de 2011, establece que en todo tipo de actuación administrativa debe salvaguardarse el debido proceso. Solo que la forma de oponerse a la declaratoria del siniestro varía según el tipo de procedimiento y de supuesto fáctico o jurídico constitutivo de la causa del siniestro. </w:t>
      </w:r>
    </w:p>
    <w:p w:rsidRPr="001D3E42" w:rsidR="00D15909" w:rsidP="79E51C34" w:rsidRDefault="00D15909" w14:paraId="5BD9678D" w14:textId="77777777" w14:noSpellErr="1">
      <w:pPr>
        <w:spacing w:after="120" w:line="276" w:lineRule="auto"/>
        <w:ind w:firstLine="709"/>
        <w:jc w:val="both"/>
        <w:rPr>
          <w:rFonts w:ascii="Century Gothic" w:hAnsi="Century Gothic" w:eastAsia="Calibri" w:cs="Arial"/>
          <w:color w:val="000000" w:themeColor="text1"/>
          <w:lang w:val="es-ES"/>
        </w:rPr>
      </w:pPr>
      <w:r w:rsidRPr="79E51C34" w:rsidR="00D15909">
        <w:rPr>
          <w:rFonts w:ascii="Century Gothic" w:hAnsi="Century Gothic" w:eastAsia="Calibri" w:cs="Arial"/>
          <w:color w:val="000000" w:themeColor="text1" w:themeTint="FF" w:themeShade="FF"/>
          <w:lang w:val="es-ES"/>
        </w:rPr>
        <w:t xml:space="preserve">Como se indicó en las consideraciones previas, si el siniestro se basa en la declaratoria del incumplimiento o en la efectividad de una medida sancionatoria –multa, cláusula penal pecuniaria o caducidad–, la Entidad Estatal debe adelantar el procedimiento administrativo sancionatorio consagrado en el artículo 86 de la Ley 1474 de 2011 y remitir la citación al garante –compañía aseguradora, bancaria o fiduciaria–, para que pueda hacer parte del trámite. </w:t>
      </w:r>
      <w:r w:rsidRPr="79E51C34" w:rsidR="00D15909">
        <w:rPr>
          <w:rFonts w:ascii="Century Gothic" w:hAnsi="Century Gothic" w:eastAsia="Calibri" w:cs="Arial"/>
          <w:color w:val="000000" w:themeColor="text1" w:themeTint="FF" w:themeShade="FF"/>
          <w:lang w:val="es-ES"/>
        </w:rPr>
        <w:t>Si, como resultado del desarrollo de este procedimiento, la Entidad Estatal declara el incumplimiento e impone la caducidad, la multa o la cláusula penal pecuniaria, este acto administrativo que decreta la sanción constituye, al mismo tiempo, el acto que declara el siniestro.</w:t>
      </w:r>
      <w:r w:rsidRPr="79E51C34" w:rsidR="00D15909">
        <w:rPr>
          <w:rFonts w:ascii="Century Gothic" w:hAnsi="Century Gothic" w:eastAsia="Calibri" w:cs="Arial"/>
          <w:color w:val="000000" w:themeColor="text1" w:themeTint="FF" w:themeShade="FF"/>
          <w:lang w:val="es-ES"/>
        </w:rPr>
        <w:t xml:space="preserve"> Por consiguiente, se le debe notificar al garante y “hace las veces” del aviso de ocurrencia del siniestro previsto en el artículo 1075 del Código de Comercio, sin ser igual, porque, a diferencia de la reclamación que realiza un particular a una compañía aseguradora para que le reconozca el valor asegurado en una póliza, la Entidad Estatal le comunica una orden de pago que está revestida de presunción de legalidad y de ejecutoriedad. El garante podría interponer el recurso de reposición al que se refiere el artículo 86, literal c) de la Ley 1474 de 2011, pero, si se confirma la decisión o si no la impugna, el acto administrativo adquiere firmeza y se torna obligatorio.</w:t>
      </w:r>
    </w:p>
    <w:p w:rsidRPr="001D3E42" w:rsidR="00D15909" w:rsidP="00D15909" w:rsidRDefault="00D15909" w14:paraId="3E66811C" w14:textId="77777777">
      <w:pPr>
        <w:spacing w:after="0" w:line="276" w:lineRule="auto"/>
        <w:ind w:firstLine="708"/>
        <w:jc w:val="both"/>
        <w:rPr>
          <w:rFonts w:ascii="Century Gothic" w:hAnsi="Century Gothic" w:eastAsia="Calibri" w:cs="Arial"/>
          <w:color w:val="000000" w:themeColor="text1"/>
          <w:lang w:val="es-ES_tradnl"/>
        </w:rPr>
      </w:pPr>
      <w:r w:rsidRPr="001D3E42">
        <w:rPr>
          <w:rFonts w:ascii="Century Gothic" w:hAnsi="Century Gothic" w:eastAsia="Calibri" w:cs="Arial"/>
          <w:color w:val="000000" w:themeColor="text1"/>
          <w:lang w:val="es-ES_tradnl"/>
        </w:rPr>
        <w:t>En cambio, cuando la causa de la declaratoria del siniestro no es sancionatoria, se debe efectuar el procedimiento administrativo común.</w:t>
      </w:r>
    </w:p>
    <w:p w:rsidR="00D15909" w:rsidP="00D15909" w:rsidRDefault="00D15909" w14:paraId="7D73F6CB" w14:textId="77777777">
      <w:pPr>
        <w:spacing w:after="0" w:line="276" w:lineRule="auto"/>
        <w:ind w:firstLine="708"/>
        <w:jc w:val="both"/>
        <w:rPr>
          <w:rFonts w:ascii="Century Gothic" w:hAnsi="Century Gothic" w:eastAsia="Calibri" w:cs="Arial"/>
          <w:szCs w:val="24"/>
          <w:lang w:val="es-ES_tradnl" w:eastAsia="es-ES_tradnl"/>
        </w:rPr>
      </w:pPr>
    </w:p>
    <w:p w:rsidRPr="001E683B" w:rsidR="00D15909" w:rsidP="00D15909" w:rsidRDefault="00D15909" w14:paraId="64CFD1F7" w14:textId="77777777">
      <w:pPr>
        <w:spacing w:line="276" w:lineRule="auto"/>
        <w:contextualSpacing/>
        <w:jc w:val="both"/>
        <w:rPr>
          <w:rFonts w:ascii="Century Gothic" w:hAnsi="Century Gothic" w:eastAsia="Arial" w:cs="Arial"/>
          <w:b/>
        </w:rPr>
      </w:pPr>
      <w:bookmarkStart w:name="_Hlk132663939" w:id="10"/>
      <w:r>
        <w:rPr>
          <w:rFonts w:ascii="Century Gothic" w:hAnsi="Century Gothic" w:eastAsia="Arial" w:cs="Arial"/>
          <w:b/>
        </w:rPr>
        <w:t xml:space="preserve">2.3 </w:t>
      </w:r>
      <w:r w:rsidRPr="001E683B">
        <w:rPr>
          <w:rFonts w:ascii="Century Gothic" w:hAnsi="Century Gothic" w:eastAsia="Arial" w:cs="Arial"/>
          <w:b/>
        </w:rPr>
        <w:t>Alcance del artículo 58 de la Ley 2195 de 2022: reducción de puntaje por incumplimiento de contratos estatales</w:t>
      </w:r>
      <w:bookmarkEnd w:id="10"/>
      <w:r>
        <w:rPr>
          <w:rFonts w:ascii="Century Gothic" w:hAnsi="Century Gothic" w:eastAsia="Arial" w:cs="Arial"/>
          <w:b/>
        </w:rPr>
        <w:t>.</w:t>
      </w:r>
    </w:p>
    <w:p w:rsidRPr="001E683B" w:rsidR="00D15909" w:rsidP="00D15909" w:rsidRDefault="00D15909" w14:paraId="13B6D344" w14:textId="77777777">
      <w:pPr>
        <w:spacing w:line="276" w:lineRule="auto"/>
        <w:contextualSpacing/>
        <w:jc w:val="both"/>
        <w:rPr>
          <w:rFonts w:ascii="Century Gothic" w:hAnsi="Century Gothic" w:eastAsia="Arial" w:cs="Arial"/>
        </w:rPr>
      </w:pPr>
    </w:p>
    <w:p w:rsidRPr="001E683B" w:rsidR="00D15909" w:rsidP="00D15909" w:rsidRDefault="00D15909" w14:paraId="67D385B5" w14:textId="77777777">
      <w:pPr>
        <w:spacing w:line="276" w:lineRule="auto"/>
        <w:jc w:val="both"/>
        <w:rPr>
          <w:rFonts w:ascii="Century Gothic" w:hAnsi="Century Gothic" w:eastAsia="Arial" w:cs="Arial"/>
        </w:rPr>
      </w:pPr>
      <w:r w:rsidRPr="001E683B">
        <w:rPr>
          <w:rFonts w:ascii="Century Gothic" w:hAnsi="Century Gothic" w:eastAsia="Arial" w:cs="Arial"/>
        </w:rPr>
        <w:t>La Ley 2195 de 2022,</w:t>
      </w:r>
      <w:r w:rsidRPr="001E683B">
        <w:rPr>
          <w:rFonts w:ascii="Century Gothic" w:hAnsi="Century Gothic" w:eastAsia="Calibri" w:cs="Arial"/>
          <w:bCs/>
          <w:lang w:val="es-ES_tradnl"/>
        </w:rPr>
        <w:t xml:space="preserve"> “</w:t>
      </w:r>
      <w:r w:rsidRPr="001E683B">
        <w:rPr>
          <w:rFonts w:ascii="Century Gothic" w:hAnsi="Century Gothic" w:eastAsia="Calibri" w:cs="Arial"/>
          <w:bCs/>
          <w:i/>
          <w:iCs/>
          <w:lang w:val="es-ES_tradnl"/>
        </w:rPr>
        <w:t>Por medio de la cual se adoptan medidas en materia de transparencia, prevención y lucha contra la corrupción y se dictan otras disposiciones</w:t>
      </w:r>
      <w:r w:rsidRPr="001E683B">
        <w:rPr>
          <w:rFonts w:ascii="Century Gothic" w:hAnsi="Century Gothic" w:eastAsia="Calibri" w:cs="Arial"/>
          <w:bCs/>
          <w:lang w:val="es-ES_tradnl"/>
        </w:rPr>
        <w:t xml:space="preserve">”, </w:t>
      </w:r>
      <w:r w:rsidRPr="001E683B">
        <w:rPr>
          <w:rFonts w:ascii="Century Gothic" w:hAnsi="Century Gothic" w:eastAsia="Arial" w:cs="Arial"/>
          <w:lang w:val="es-ES_tradnl"/>
        </w:rPr>
        <w:t xml:space="preserve">dispuso en su artículo 58 lo concerniente a </w:t>
      </w:r>
      <w:r w:rsidRPr="001E683B">
        <w:rPr>
          <w:rFonts w:ascii="Century Gothic" w:hAnsi="Century Gothic" w:eastAsia="Arial" w:cs="Arial"/>
        </w:rPr>
        <w:t>la reducción de puntaje por incumplimiento de contratos. Según su trámite legislativo, con su incorporación se “[...] busca que la competencia por el mercado de los contratos públicos tenga como variable los antecedentes contractuales de los proponentes, generándose incentivos para la calidad en los servicios y bienes provistos”</w:t>
      </w:r>
      <w:r w:rsidRPr="001E683B">
        <w:rPr>
          <w:rFonts w:ascii="Century Gothic" w:hAnsi="Century Gothic" w:eastAsia="Arial" w:cs="Arial"/>
          <w:vertAlign w:val="superscript"/>
        </w:rPr>
        <w:footnoteReference w:id="17"/>
      </w:r>
      <w:r w:rsidRPr="001E683B">
        <w:rPr>
          <w:rFonts w:ascii="Century Gothic" w:hAnsi="Century Gothic" w:eastAsia="Arial" w:cs="Arial"/>
        </w:rPr>
        <w:t>. Por ello, esta disposición se refiere a la reducción de puntaje durante la evaluación de las ofertas al proponente que se le haya impuesto una o más multas o cláusulas penales, prescribiendo lo siguiente:</w:t>
      </w:r>
    </w:p>
    <w:p w:rsidRPr="001E683B" w:rsidR="00D15909" w:rsidP="00D15909" w:rsidRDefault="00D15909" w14:paraId="38BD5ED3" w14:textId="77777777">
      <w:pPr>
        <w:spacing w:line="240" w:lineRule="auto"/>
        <w:ind w:left="709" w:right="709"/>
        <w:contextualSpacing/>
        <w:jc w:val="both"/>
        <w:rPr>
          <w:rFonts w:ascii="Century Gothic" w:hAnsi="Century Gothic" w:eastAsia="Arial" w:cs="Arial"/>
          <w:sz w:val="20"/>
          <w:szCs w:val="20"/>
        </w:rPr>
      </w:pPr>
      <w:r w:rsidRPr="001E683B">
        <w:rPr>
          <w:rFonts w:ascii="Century Gothic" w:hAnsi="Century Gothic" w:eastAsia="Arial" w:cs="Arial"/>
          <w:sz w:val="20"/>
          <w:szCs w:val="20"/>
        </w:rPr>
        <w:t xml:space="preserve">“Artículo 58. Reducción de puntaje por incumplimiento de contratos. Las entidades estatales sometidas al Estatuto General de Contratación de la Administración Pública que adelanten cualquier Proceso de Contratación, exceptuando los supuestos establecidos en el literal a) del numeral 2 del artículo 2 de la Ley 1150 de 2007, en los de mínima cuantía y en aquellos donde únicamente se pondere el menor precio ofrecido, deberán reducir durante la evaluación de las ofertas en la etapa precontractual el dos por ciento (2%) del total de los puntos establecidos en el proceso a los proponentes que se les haya impuesto una o más multas o cláusulas penales durante el último año, contado a partir de la fecha prevista para la presentación de las ofertas, sin importar la cuantía y sin perjuicio de las demás consecuencias derivadas del incumplimiento. </w:t>
      </w:r>
    </w:p>
    <w:p w:rsidRPr="001E683B" w:rsidR="00D15909" w:rsidP="00D15909" w:rsidRDefault="00D15909" w14:paraId="53EB97F9" w14:textId="77777777">
      <w:pPr>
        <w:spacing w:line="240" w:lineRule="auto"/>
        <w:ind w:left="709" w:right="709"/>
        <w:contextualSpacing/>
        <w:jc w:val="both"/>
        <w:rPr>
          <w:rFonts w:ascii="Century Gothic" w:hAnsi="Century Gothic" w:eastAsia="Arial" w:cs="Arial"/>
          <w:sz w:val="20"/>
          <w:szCs w:val="20"/>
        </w:rPr>
      </w:pPr>
    </w:p>
    <w:p w:rsidRPr="001E683B" w:rsidR="00D15909" w:rsidP="00D15909" w:rsidRDefault="00D15909" w14:paraId="103204B3" w14:textId="77777777">
      <w:pPr>
        <w:spacing w:line="240" w:lineRule="auto"/>
        <w:ind w:left="709" w:right="709"/>
        <w:contextualSpacing/>
        <w:jc w:val="both"/>
        <w:rPr>
          <w:rFonts w:ascii="Century Gothic" w:hAnsi="Century Gothic" w:eastAsia="Arial" w:cs="Arial"/>
          <w:sz w:val="20"/>
          <w:szCs w:val="20"/>
        </w:rPr>
      </w:pPr>
      <w:r w:rsidRPr="001E683B">
        <w:rPr>
          <w:rFonts w:ascii="Century Gothic" w:hAnsi="Century Gothic" w:eastAsia="Arial" w:cs="Arial"/>
          <w:sz w:val="20"/>
          <w:szCs w:val="20"/>
        </w:rPr>
        <w:t xml:space="preserve">Esta reducción también afecta a los consorcios y uniones temporales si alguno de sus integrantes se encuentra en la situación anterior. </w:t>
      </w:r>
    </w:p>
    <w:p w:rsidRPr="001E683B" w:rsidR="00D15909" w:rsidP="00D15909" w:rsidRDefault="00D15909" w14:paraId="69EB0750" w14:textId="77777777">
      <w:pPr>
        <w:spacing w:line="240" w:lineRule="auto"/>
        <w:ind w:left="709" w:right="709"/>
        <w:contextualSpacing/>
        <w:jc w:val="both"/>
        <w:rPr>
          <w:rFonts w:ascii="Century Gothic" w:hAnsi="Century Gothic" w:eastAsia="Arial" w:cs="Arial"/>
          <w:sz w:val="20"/>
          <w:szCs w:val="20"/>
        </w:rPr>
      </w:pPr>
    </w:p>
    <w:p w:rsidRPr="001E683B" w:rsidR="00D15909" w:rsidP="00D15909" w:rsidRDefault="00D15909" w14:paraId="7884826B" w14:textId="77777777">
      <w:pPr>
        <w:spacing w:line="240" w:lineRule="auto"/>
        <w:ind w:left="709" w:right="709"/>
        <w:contextualSpacing/>
        <w:jc w:val="both"/>
        <w:rPr>
          <w:rFonts w:ascii="Century Gothic" w:hAnsi="Century Gothic" w:eastAsia="Arial" w:cs="Arial"/>
          <w:sz w:val="20"/>
          <w:szCs w:val="20"/>
        </w:rPr>
      </w:pPr>
      <w:r w:rsidRPr="001E683B">
        <w:rPr>
          <w:rFonts w:ascii="Century Gothic" w:hAnsi="Century Gothic" w:eastAsia="Arial" w:cs="Arial"/>
          <w:sz w:val="20"/>
          <w:szCs w:val="20"/>
        </w:rPr>
        <w:t xml:space="preserve">Parágrafo primero. La reducción del puntaje no se aplicará en caso de que los actos administrativos que hayan impuesto las multas sean objeto de medios de control jurisdiccional a través de las acciones previstas en la Ley 1437 de 2011 o las normas que la modifiquen, adicionen o sustituyan. </w:t>
      </w:r>
    </w:p>
    <w:p w:rsidRPr="001E683B" w:rsidR="00D15909" w:rsidP="00D15909" w:rsidRDefault="00D15909" w14:paraId="0E8C3477" w14:textId="77777777">
      <w:pPr>
        <w:spacing w:line="240" w:lineRule="auto"/>
        <w:ind w:left="709" w:right="709"/>
        <w:contextualSpacing/>
        <w:jc w:val="both"/>
        <w:rPr>
          <w:rFonts w:ascii="Century Gothic" w:hAnsi="Century Gothic" w:eastAsia="Arial" w:cs="Arial"/>
          <w:sz w:val="20"/>
          <w:szCs w:val="20"/>
        </w:rPr>
      </w:pPr>
    </w:p>
    <w:p w:rsidRPr="001E683B" w:rsidR="00D15909" w:rsidP="00D15909" w:rsidRDefault="00D15909" w14:paraId="33C57ACB" w14:textId="77777777">
      <w:pPr>
        <w:spacing w:line="240" w:lineRule="auto"/>
        <w:ind w:left="709" w:right="709"/>
        <w:contextualSpacing/>
        <w:jc w:val="both"/>
        <w:rPr>
          <w:rFonts w:ascii="Century Gothic" w:hAnsi="Century Gothic" w:eastAsia="Arial" w:cs="Arial"/>
          <w:sz w:val="20"/>
          <w:szCs w:val="20"/>
        </w:rPr>
      </w:pPr>
      <w:r w:rsidRPr="001E683B">
        <w:rPr>
          <w:rFonts w:ascii="Century Gothic" w:hAnsi="Century Gothic" w:eastAsia="Arial" w:cs="Arial"/>
          <w:sz w:val="20"/>
          <w:szCs w:val="20"/>
        </w:rPr>
        <w:t>Parágrafo segundo. La reducción de puntaje por incumplimiento de contratos se aplicará sin perjuicio de lo contenido en el artículo 6 de la Ley 2020 de 2020.”</w:t>
      </w:r>
    </w:p>
    <w:p w:rsidRPr="001E683B" w:rsidR="00D15909" w:rsidP="00D15909" w:rsidRDefault="00D15909" w14:paraId="3A04951D" w14:textId="77777777">
      <w:pPr>
        <w:spacing w:line="276" w:lineRule="auto"/>
        <w:ind w:left="709" w:right="709"/>
        <w:contextualSpacing/>
        <w:jc w:val="both"/>
        <w:rPr>
          <w:rFonts w:ascii="Century Gothic" w:hAnsi="Century Gothic" w:eastAsia="Arial" w:cs="Arial"/>
        </w:rPr>
      </w:pPr>
    </w:p>
    <w:p w:rsidRPr="001E683B" w:rsidR="00D15909" w:rsidP="00D15909" w:rsidRDefault="00D15909" w14:paraId="5CD94B6E" w14:textId="77777777">
      <w:pPr>
        <w:spacing w:line="276" w:lineRule="auto"/>
        <w:ind w:firstLine="709"/>
        <w:jc w:val="both"/>
        <w:rPr>
          <w:rFonts w:ascii="Century Gothic" w:hAnsi="Century Gothic" w:eastAsia="Arial" w:cs="Arial"/>
        </w:rPr>
      </w:pPr>
      <w:r w:rsidRPr="001E683B">
        <w:rPr>
          <w:rFonts w:ascii="Century Gothic" w:hAnsi="Century Gothic" w:eastAsia="Arial" w:cs="Arial"/>
        </w:rPr>
        <w:t>Como puede advertirse, esta disposición contiene varias las reglas para su efectiva aplicación, las cuales han sido desarrolladas por esta Agencia en conceptos anteriores, los cuales se proceden a reiterar y explicar a continuación:</w:t>
      </w:r>
    </w:p>
    <w:p w:rsidRPr="001E683B" w:rsidR="00D15909" w:rsidP="0080680C" w:rsidRDefault="00D15909" w14:paraId="172FA942" w14:textId="77777777">
      <w:pPr>
        <w:spacing w:after="120" w:line="276" w:lineRule="auto"/>
        <w:ind w:firstLine="709"/>
        <w:jc w:val="both"/>
        <w:rPr>
          <w:rFonts w:ascii="Century Gothic" w:hAnsi="Century Gothic" w:eastAsia="Arial" w:cs="Arial"/>
        </w:rPr>
      </w:pPr>
      <w:r w:rsidRPr="001E683B">
        <w:rPr>
          <w:rFonts w:ascii="Century Gothic" w:hAnsi="Century Gothic" w:eastAsia="Arial" w:cs="Arial"/>
          <w:i/>
          <w:iCs/>
        </w:rPr>
        <w:t>i)</w:t>
      </w:r>
      <w:r w:rsidRPr="001E683B">
        <w:rPr>
          <w:rFonts w:ascii="Century Gothic" w:hAnsi="Century Gothic" w:eastAsia="Arial" w:cs="Arial"/>
        </w:rPr>
        <w:t xml:space="preserve"> </w:t>
      </w:r>
      <w:bookmarkStart w:name="_Hlk113469941" w:id="11"/>
      <w:r w:rsidRPr="001E683B">
        <w:rPr>
          <w:rFonts w:ascii="Century Gothic" w:hAnsi="Century Gothic" w:eastAsia="Arial" w:cs="Arial"/>
        </w:rPr>
        <w:t>Las entidades estatales sometidas al Estatuto General de Contratación de la Administración Pública –no las entidades exceptuadas de este o que tienen un régimen especial de contratación– deberán, por regla general, aplicar la reducción del puntaje establecido en el citado artículo 58, en los procedimientos de selección que adelanten.</w:t>
      </w:r>
      <w:bookmarkEnd w:id="11"/>
    </w:p>
    <w:p w:rsidRPr="001E683B" w:rsidR="00D15909" w:rsidP="0080680C" w:rsidRDefault="00D15909" w14:paraId="1A7D0AD7" w14:textId="77777777">
      <w:pPr>
        <w:spacing w:after="120" w:line="276" w:lineRule="auto"/>
        <w:ind w:firstLine="709"/>
        <w:jc w:val="both"/>
        <w:rPr>
          <w:rFonts w:ascii="Century Gothic" w:hAnsi="Century Gothic" w:eastAsia="Arial" w:cs="Arial"/>
        </w:rPr>
      </w:pPr>
      <w:proofErr w:type="spellStart"/>
      <w:r w:rsidRPr="001E683B">
        <w:rPr>
          <w:rFonts w:ascii="Century Gothic" w:hAnsi="Century Gothic" w:eastAsia="Arial" w:cs="Arial"/>
          <w:i/>
          <w:iCs/>
        </w:rPr>
        <w:t>ii</w:t>
      </w:r>
      <w:proofErr w:type="spellEnd"/>
      <w:r w:rsidRPr="001E683B">
        <w:rPr>
          <w:rFonts w:ascii="Century Gothic" w:hAnsi="Century Gothic" w:eastAsia="Arial" w:cs="Arial"/>
          <w:i/>
          <w:iCs/>
        </w:rPr>
        <w:t>)</w:t>
      </w:r>
      <w:r w:rsidRPr="001E683B">
        <w:rPr>
          <w:rFonts w:ascii="Century Gothic" w:hAnsi="Century Gothic" w:eastAsia="Arial" w:cs="Arial"/>
        </w:rPr>
        <w:t xml:space="preserve"> Sin embargo, el deber de reducción del puntaje, para las entidades sometidas al Estatuto General de Contratación de la Administración Pública, previsto en el artículo que se viene comentando, tiene algunas excepciones. Los supuestos en los que no opera dicha disminución son los consagrados en el primer inciso del artículo 58, esto es, los “establecidos en el literal a) del numeral 2 del artículo 2 de la Ley 1150 de 2007</w:t>
      </w:r>
      <w:r w:rsidRPr="001E683B">
        <w:rPr>
          <w:rFonts w:ascii="Century Gothic" w:hAnsi="Century Gothic" w:eastAsia="Arial" w:cs="Arial"/>
          <w:vertAlign w:val="superscript"/>
        </w:rPr>
        <w:footnoteReference w:id="18"/>
      </w:r>
      <w:r w:rsidRPr="001E683B">
        <w:rPr>
          <w:rFonts w:ascii="Century Gothic" w:hAnsi="Century Gothic" w:eastAsia="Arial" w:cs="Arial"/>
        </w:rPr>
        <w:t>, en los de mínima cuantía y en aquellos donde únicamente se pondere el menor precio ofrecido”.</w:t>
      </w:r>
    </w:p>
    <w:p w:rsidRPr="001E683B" w:rsidR="00D15909" w:rsidP="0080680C" w:rsidRDefault="00D15909" w14:paraId="4A15A6FB" w14:textId="77777777">
      <w:pPr>
        <w:spacing w:after="120" w:line="276" w:lineRule="auto"/>
        <w:ind w:firstLine="709"/>
        <w:jc w:val="both"/>
        <w:rPr>
          <w:rFonts w:ascii="Century Gothic" w:hAnsi="Century Gothic" w:eastAsia="Arial" w:cs="Arial"/>
        </w:rPr>
      </w:pPr>
      <w:proofErr w:type="spellStart"/>
      <w:r w:rsidRPr="001E683B">
        <w:rPr>
          <w:rFonts w:ascii="Century Gothic" w:hAnsi="Century Gothic" w:eastAsia="Arial" w:cs="Arial"/>
          <w:i/>
          <w:iCs/>
        </w:rPr>
        <w:t>iii</w:t>
      </w:r>
      <w:proofErr w:type="spellEnd"/>
      <w:r w:rsidRPr="001E683B">
        <w:rPr>
          <w:rFonts w:ascii="Century Gothic" w:hAnsi="Century Gothic" w:eastAsia="Arial" w:cs="Arial"/>
          <w:i/>
          <w:iCs/>
        </w:rPr>
        <w:t>)</w:t>
      </w:r>
      <w:r w:rsidRPr="001E683B">
        <w:rPr>
          <w:rFonts w:ascii="Century Gothic" w:hAnsi="Century Gothic" w:eastAsia="Arial" w:cs="Arial"/>
        </w:rPr>
        <w:t xml:space="preserve"> </w:t>
      </w:r>
      <w:bookmarkStart w:name="_Hlk113470006" w:id="12"/>
      <w:r w:rsidRPr="001E683B">
        <w:rPr>
          <w:rFonts w:ascii="Century Gothic" w:hAnsi="Century Gothic" w:eastAsia="Arial" w:cs="Arial"/>
        </w:rPr>
        <w:t xml:space="preserve">La reducción del puntaje ordenada por la norma debe practicarse durante la evaluación de las ofertas en la etapa precontractual y debe ser equivalente al dos por ciento (2%) del total de los puntos establecidos en el proceso. Es importante precisar que, el artículo no utiliza la preposición </w:t>
      </w:r>
      <w:r w:rsidRPr="001E683B">
        <w:rPr>
          <w:rFonts w:ascii="Century Gothic" w:hAnsi="Century Gothic" w:eastAsia="Arial" w:cs="Arial"/>
          <w:i/>
        </w:rPr>
        <w:t>hasta</w:t>
      </w:r>
      <w:r w:rsidRPr="001E683B">
        <w:rPr>
          <w:rFonts w:ascii="Century Gothic" w:hAnsi="Century Gothic" w:eastAsia="Arial" w:cs="Arial"/>
        </w:rPr>
        <w:t xml:space="preserve">, ni dice que debe ser, </w:t>
      </w:r>
      <w:r w:rsidRPr="001E683B">
        <w:rPr>
          <w:rFonts w:ascii="Century Gothic" w:hAnsi="Century Gothic" w:eastAsia="Arial" w:cs="Arial"/>
          <w:i/>
        </w:rPr>
        <w:t>como mínimo</w:t>
      </w:r>
      <w:r w:rsidRPr="001E683B">
        <w:rPr>
          <w:rFonts w:ascii="Century Gothic" w:hAnsi="Century Gothic" w:eastAsia="Arial" w:cs="Arial"/>
        </w:rPr>
        <w:t xml:space="preserve">, una reducción del dos por ciento (2%) de los puntos, sino que establece que ha de ser, exactamente, por este porcentaje, por lo que las entidades no pueden fijar un porcentaje menor al señalado. </w:t>
      </w:r>
    </w:p>
    <w:bookmarkEnd w:id="12"/>
    <w:p w:rsidRPr="001E683B" w:rsidR="00D15909" w:rsidP="0080680C" w:rsidRDefault="00D15909" w14:paraId="3BB3D2F6" w14:textId="77777777">
      <w:pPr>
        <w:spacing w:after="120" w:line="276" w:lineRule="auto"/>
        <w:ind w:firstLine="709"/>
        <w:jc w:val="both"/>
        <w:rPr>
          <w:rFonts w:ascii="Century Gothic" w:hAnsi="Century Gothic" w:eastAsia="Arial" w:cs="Arial"/>
        </w:rPr>
      </w:pPr>
      <w:proofErr w:type="spellStart"/>
      <w:r w:rsidRPr="001E683B">
        <w:rPr>
          <w:rFonts w:ascii="Century Gothic" w:hAnsi="Century Gothic" w:eastAsia="Arial" w:cs="Arial"/>
          <w:i/>
          <w:iCs/>
        </w:rPr>
        <w:t>iv</w:t>
      </w:r>
      <w:proofErr w:type="spellEnd"/>
      <w:r w:rsidRPr="001E683B">
        <w:rPr>
          <w:rFonts w:ascii="Century Gothic" w:hAnsi="Century Gothic" w:eastAsia="Arial" w:cs="Arial"/>
          <w:i/>
          <w:iCs/>
        </w:rPr>
        <w:t>)</w:t>
      </w:r>
      <w:r w:rsidRPr="001E683B">
        <w:rPr>
          <w:rFonts w:ascii="Century Gothic" w:hAnsi="Century Gothic" w:eastAsia="Arial" w:cs="Arial"/>
        </w:rPr>
        <w:t xml:space="preserve"> </w:t>
      </w:r>
      <w:bookmarkStart w:name="_Hlk113470026" w:id="13"/>
      <w:r w:rsidRPr="001E683B">
        <w:rPr>
          <w:rFonts w:ascii="Century Gothic" w:hAnsi="Century Gothic" w:eastAsia="Arial" w:cs="Arial"/>
        </w:rPr>
        <w:t xml:space="preserve">Los sujetos pasivos –es decir, los afectados por lo dispuesto en el artículo– son los proponentes –incluidos los consorcios y uniones temporales, por la situación de alguno de sus integrantes– a quienes “[…] se les haya impuesto una o más multas o cláusulas penales durante el último año, contado a partir de la fecha prevista para la presentación de las ofertas, sin importar la cuantía y sin perjuicio de las demás consecuencias derivadas del incumplimiento”. Por ende, para desentrañar el sentido de este enunciado normativo debe acudirse al artículo 17 de la Ley 1150 de 2007, que regula la potestad de las entidades estatales sometidas </w:t>
      </w:r>
      <w:r w:rsidRPr="001E683B">
        <w:rPr>
          <w:rFonts w:ascii="Century Gothic" w:hAnsi="Century Gothic" w:eastAsia="Arial" w:cs="Arial"/>
        </w:rPr>
        <w:t>al Estatuto General de Contratación de la Administración Pública de declarar el incumplimiento contractual, para decretar multas o hacer efectivas cláusulas penales pecuniarias. Así pues, la reducción del puntaje exigido por el artículo 58 de la Ley 2195 de 2022 no se aplica en aquellos eventos en los cuales una Entidad Estatal realiza un requerimiento a un contratista, sin imponer una multa o cláusula penal pecuniaria, como podría suceder en algunos supuestos de declaratoria de siniestros donde la efectividad de las garantías no siempre está condicionada por el incumplimiento</w:t>
      </w:r>
      <w:bookmarkEnd w:id="13"/>
      <w:r w:rsidRPr="001E683B">
        <w:rPr>
          <w:rFonts w:ascii="Century Gothic" w:hAnsi="Century Gothic" w:eastAsia="Arial" w:cs="Arial"/>
        </w:rPr>
        <w:t>, por ejemplo en la garantía de estabilidad y calidad de la obra, como se expondrá más adelante.</w:t>
      </w:r>
    </w:p>
    <w:p w:rsidRPr="001E683B" w:rsidR="00D15909" w:rsidP="0080680C" w:rsidRDefault="00D15909" w14:paraId="7CB0F0CB" w14:textId="77777777">
      <w:pPr>
        <w:spacing w:after="120" w:line="276" w:lineRule="auto"/>
        <w:ind w:firstLine="709"/>
        <w:jc w:val="both"/>
        <w:rPr>
          <w:rFonts w:ascii="Century Gothic" w:hAnsi="Century Gothic" w:eastAsia="Arial" w:cs="Arial"/>
        </w:rPr>
      </w:pPr>
      <w:r w:rsidRPr="001E683B">
        <w:rPr>
          <w:rFonts w:ascii="Century Gothic" w:hAnsi="Century Gothic" w:eastAsia="Arial" w:cs="Arial"/>
          <w:i/>
          <w:iCs/>
        </w:rPr>
        <w:t>v)</w:t>
      </w:r>
      <w:r w:rsidRPr="001E683B">
        <w:rPr>
          <w:rFonts w:ascii="Century Gothic" w:hAnsi="Century Gothic" w:eastAsia="Arial" w:cs="Arial"/>
        </w:rPr>
        <w:t xml:space="preserve"> En cuanto al período durante el cual debe examinarse la imposición de las multas o cláusulas penales, el artículo 58 dice que es “[…] durante el último año, contado a partir de la fecha prevista para la presentación de las ofertas”. O sea que la Entidad Estatal que está adelantando el procedimiento de selección debe verificar si en el último año anterior al cierre del proceso –fecha prevista para la presentación de las ofertas– el proponente fue sancionado con multa o cláusula penal pecuniaria. Esta situación se debe verificar en el Registro Único de Proponentes –RUP–, de conformidad con lo establecido en el numeral 6.2 del artículo 6 de la Ley 1150 de 2007, según el cual “Las entidades estatales enviarán mensualmente a la Cámara de Comercio de su domicilio, la información concerniente a los contratos, su cuantía, cumplimiento, </w:t>
      </w:r>
      <w:r w:rsidRPr="001E683B">
        <w:rPr>
          <w:rFonts w:ascii="Century Gothic" w:hAnsi="Century Gothic" w:eastAsia="Arial" w:cs="Arial"/>
          <w:i/>
        </w:rPr>
        <w:t>multas y sanciones</w:t>
      </w:r>
      <w:r w:rsidRPr="001E683B">
        <w:rPr>
          <w:rFonts w:ascii="Century Gothic" w:hAnsi="Century Gothic" w:eastAsia="Arial" w:cs="Arial"/>
        </w:rPr>
        <w:t xml:space="preserve"> relacionadas con los contratos que hayan sido adjudicados, los que se encuentren en ejecución y los ejecutados” (énfasis fuera de texto).</w:t>
      </w:r>
    </w:p>
    <w:p w:rsidRPr="001E683B" w:rsidR="00D15909" w:rsidP="0080680C" w:rsidRDefault="00D15909" w14:paraId="2B129C40" w14:textId="77777777">
      <w:pPr>
        <w:spacing w:after="120" w:line="276" w:lineRule="auto"/>
        <w:ind w:firstLine="709"/>
        <w:jc w:val="both"/>
        <w:rPr>
          <w:rFonts w:ascii="Century Gothic" w:hAnsi="Century Gothic" w:eastAsia="Arial" w:cs="Arial"/>
        </w:rPr>
      </w:pPr>
      <w:bookmarkStart w:name="_1fob9te" w:colFirst="0" w:colLast="0" w:id="14"/>
      <w:bookmarkEnd w:id="14"/>
      <w:r w:rsidRPr="001E683B">
        <w:rPr>
          <w:rFonts w:ascii="Century Gothic" w:hAnsi="Century Gothic" w:eastAsia="Arial" w:cs="Arial"/>
          <w:i/>
          <w:iCs/>
        </w:rPr>
        <w:t>vi)</w:t>
      </w:r>
      <w:r w:rsidRPr="001E683B">
        <w:rPr>
          <w:rFonts w:ascii="Century Gothic" w:hAnsi="Century Gothic" w:eastAsia="Arial" w:cs="Arial"/>
        </w:rPr>
        <w:t xml:space="preserve"> </w:t>
      </w:r>
      <w:bookmarkStart w:name="_Hlk113470052" w:id="15"/>
      <w:r w:rsidRPr="001E683B">
        <w:rPr>
          <w:rFonts w:ascii="Century Gothic" w:hAnsi="Century Gothic" w:eastAsia="Arial" w:cs="Arial"/>
        </w:rPr>
        <w:t xml:space="preserve">Si el afectado por la imposición de una o más </w:t>
      </w:r>
      <w:r w:rsidRPr="001E683B">
        <w:rPr>
          <w:rFonts w:ascii="Century Gothic" w:hAnsi="Century Gothic" w:eastAsia="Arial" w:cs="Arial"/>
          <w:i/>
        </w:rPr>
        <w:t>multas</w:t>
      </w:r>
      <w:r w:rsidRPr="001E683B">
        <w:rPr>
          <w:rFonts w:ascii="Century Gothic" w:hAnsi="Century Gothic" w:eastAsia="Arial" w:cs="Arial"/>
          <w:vertAlign w:val="superscript"/>
        </w:rPr>
        <w:footnoteReference w:id="19"/>
      </w:r>
      <w:r w:rsidRPr="001E683B">
        <w:rPr>
          <w:rFonts w:ascii="Century Gothic" w:hAnsi="Century Gothic" w:eastAsia="Arial" w:cs="Arial"/>
        </w:rPr>
        <w:t xml:space="preserve"> demanda la decisión correspondiente, no podrá aplicarse la reducción del puntaje consagrada en el artículo 58 bajo análisis. Esto en atención a lo establecido en el parágrafo 1, el cual indica: “La reducción del puntaje no se aplicará en caso de que los actos administrativos que hayan impuesto las multas sean objeto de medios de control jurisdiccional a través de las acciones previstas en la Ley 1437 de 2011 o las normas que la modifiquen, adicionen o sustituyan”; por ejemplo, si la persona acude al medio de control de controversias contractuales, una de cuyas pretensiones puede ser “[…] que se declare la nulidad de los actos administrativos contractuales”, según lo dispone el artículo 141 de la Ley 1437 de 2011. Valga </w:t>
      </w:r>
      <w:r w:rsidRPr="001E683B">
        <w:rPr>
          <w:rFonts w:ascii="Century Gothic" w:hAnsi="Century Gothic" w:eastAsia="Arial" w:cs="Arial"/>
        </w:rPr>
        <w:t>aclarar que, el artículo 58 no exige que el demandante haya solicitado la medida cautelar de suspensión provisional del acto administrativo. Aunque no exista dicha medida, si se constata que el acto administrativo fue objeto de demanda ante la jurisdicción contenciosa administrativa, la Entidad Estatal no puede aplicar la reducción del puntaje prevista en el referido artículo.</w:t>
      </w:r>
    </w:p>
    <w:p w:rsidRPr="001E683B" w:rsidR="00D15909" w:rsidP="0080680C" w:rsidRDefault="00D15909" w14:paraId="04010A83" w14:textId="77777777">
      <w:pPr>
        <w:spacing w:after="120" w:line="276" w:lineRule="auto"/>
        <w:ind w:firstLine="709"/>
        <w:jc w:val="both"/>
        <w:rPr>
          <w:rFonts w:ascii="Century Gothic" w:hAnsi="Century Gothic" w:eastAsia="Arial" w:cs="Arial"/>
        </w:rPr>
      </w:pPr>
      <w:r w:rsidRPr="001E683B">
        <w:rPr>
          <w:rFonts w:ascii="Century Gothic" w:hAnsi="Century Gothic" w:eastAsia="Arial" w:cs="Arial"/>
        </w:rPr>
        <w:t xml:space="preserve"> Es importante resaltar que esta Agencia ha indicado que la excepción prevista en el parágrafo frente a la reducción de puntaje solo se estableció en relación con las multas, mas no frente a las cláusulas penales impuestas al contratista, de lo cual se concluye que el legislador optó por realizar una distinción en su tratamiento</w:t>
      </w:r>
      <w:bookmarkEnd w:id="15"/>
      <w:r w:rsidRPr="001E683B">
        <w:rPr>
          <w:rFonts w:ascii="Century Gothic" w:hAnsi="Century Gothic" w:eastAsia="Arial" w:cs="Arial"/>
        </w:rPr>
        <w:t xml:space="preserve">. Asimismo, es importante reiterar que, para efectos de la aplicación de la excepción, únicamente se tendrán en cuenta los medios de control jurisdiccionales establecidos en la referida Ley, verbigracia nulidad, nulidad y restablecimiento del derecho, controversias contractuales, etc., lo que descartaría otra acción judicial diferente a estas, como, por ejemplo, la acción de tutela. Lo anterior, sin perjuicio de las decisiones particulares que adopte un juez en procesos diferentes a los regulados por la Ley 1437 de 2011 y que pudieran tener incidencia frente a los actos administrativos que impusieron multas, en el desarrollo de tales procesos judiciales. </w:t>
      </w:r>
    </w:p>
    <w:p w:rsidRPr="001E683B" w:rsidR="00D15909" w:rsidP="0080680C" w:rsidRDefault="00D15909" w14:paraId="36FCED1A" w14:textId="77777777">
      <w:pPr>
        <w:spacing w:after="120" w:line="276" w:lineRule="auto"/>
        <w:ind w:firstLine="709"/>
        <w:jc w:val="both"/>
        <w:rPr>
          <w:rFonts w:ascii="Century Gothic" w:hAnsi="Century Gothic" w:eastAsia="Arial" w:cs="Arial"/>
        </w:rPr>
      </w:pPr>
      <w:r w:rsidRPr="001E683B">
        <w:rPr>
          <w:rFonts w:ascii="Century Gothic" w:hAnsi="Century Gothic" w:eastAsia="Arial" w:cs="Arial"/>
        </w:rPr>
        <w:t xml:space="preserve">De acuerdo con lo anterior, la aplicación de la excepción a la reducción de puntaje establecida en el parágrafo 1 del artículo 58 exige que el acto administrativo que impuso la multa efectivamente haya sido sometido a control de legalidad ante la jurisdicción </w:t>
      </w:r>
      <w:proofErr w:type="gramStart"/>
      <w:r w:rsidRPr="001E683B">
        <w:rPr>
          <w:rFonts w:ascii="Century Gothic" w:hAnsi="Century Gothic" w:eastAsia="Arial" w:cs="Arial"/>
        </w:rPr>
        <w:t>contencioso</w:t>
      </w:r>
      <w:r>
        <w:rPr>
          <w:rFonts w:ascii="Century Gothic" w:hAnsi="Century Gothic" w:eastAsia="Arial" w:cs="Arial"/>
        </w:rPr>
        <w:t xml:space="preserve"> </w:t>
      </w:r>
      <w:r w:rsidRPr="001E683B">
        <w:rPr>
          <w:rFonts w:ascii="Century Gothic" w:hAnsi="Century Gothic" w:eastAsia="Arial" w:cs="Arial"/>
        </w:rPr>
        <w:t>administrativa</w:t>
      </w:r>
      <w:proofErr w:type="gramEnd"/>
      <w:r w:rsidRPr="001E683B">
        <w:rPr>
          <w:rFonts w:ascii="Century Gothic" w:hAnsi="Century Gothic" w:eastAsia="Arial" w:cs="Arial"/>
        </w:rPr>
        <w:t>, lo que implica que se haya presentado una demanda y se encuentre en trámite el proceso judicial respectivo, sin perjuicio de los requisitos previos que deban cumplirse para ello. Esto además se sustenta en lo dispuesto en el artículo 179 del del Código de Procedimiento Administrativo y de lo Contencioso Administrativo, en el cual se establecen las tres etapas a través de las cuales se deben dirimir los litigios, la primera de las cuales inicia con la presentación de la demanda.</w:t>
      </w:r>
      <w:r w:rsidRPr="001E683B">
        <w:rPr>
          <w:rStyle w:val="FootnoteReference"/>
          <w:rFonts w:ascii="Century Gothic" w:hAnsi="Century Gothic" w:eastAsia="Arial" w:cs="Arial"/>
        </w:rPr>
        <w:footnoteReference w:id="20"/>
      </w:r>
      <w:r w:rsidRPr="001E683B">
        <w:rPr>
          <w:rFonts w:ascii="Century Gothic" w:hAnsi="Century Gothic" w:eastAsia="Arial" w:cs="Arial"/>
        </w:rPr>
        <w:t xml:space="preserve">. </w:t>
      </w:r>
      <w:bookmarkStart w:name="_2et92p0" w:colFirst="0" w:colLast="0" w:id="18"/>
      <w:bookmarkEnd w:id="18"/>
      <w:r w:rsidRPr="001E683B">
        <w:rPr>
          <w:rFonts w:ascii="Century Gothic" w:hAnsi="Century Gothic" w:eastAsia="Arial" w:cs="Arial"/>
        </w:rPr>
        <w:t xml:space="preserve">En este sentido, </w:t>
      </w:r>
      <w:r w:rsidRPr="001E683B">
        <w:rPr>
          <w:rFonts w:ascii="Century Gothic" w:hAnsi="Century Gothic" w:eastAsia="Arial" w:cs="Arial"/>
        </w:rPr>
        <w:t>la Ley 1437 de 2011 reconoce como punto de partida del proceso contencioso administrativo la presentación de la demanda, la cual pone en marcha el aparato jurisdiccional. Como lo expresa la doctrina, la demanda “es el acto procesal mediante el cual se formula la pretensión; en otras palabras: la demanda es el vehículo que utiliza el demandante para introducir sus pretensiones y poner en marcha el aparato jurisdiccional en ejercicio del derecho de acción”</w:t>
      </w:r>
      <w:r w:rsidRPr="001E683B">
        <w:rPr>
          <w:rFonts w:ascii="Century Gothic" w:hAnsi="Century Gothic" w:eastAsia="Arial" w:cs="Arial"/>
          <w:vertAlign w:val="superscript"/>
        </w:rPr>
        <w:footnoteReference w:id="21"/>
      </w:r>
      <w:r w:rsidRPr="001E683B">
        <w:rPr>
          <w:rFonts w:ascii="Century Gothic" w:hAnsi="Century Gothic" w:eastAsia="Arial" w:cs="Arial"/>
        </w:rPr>
        <w:t xml:space="preserve">. </w:t>
      </w:r>
    </w:p>
    <w:p w:rsidRPr="001E683B" w:rsidR="00D15909" w:rsidP="0080680C" w:rsidRDefault="00D15909" w14:paraId="2020CA0D" w14:textId="77777777">
      <w:pPr>
        <w:spacing w:after="120" w:line="276" w:lineRule="auto"/>
        <w:ind w:firstLine="709"/>
        <w:jc w:val="both"/>
        <w:rPr>
          <w:rFonts w:ascii="Century Gothic" w:hAnsi="Century Gothic" w:eastAsia="Arial" w:cs="Arial"/>
        </w:rPr>
      </w:pPr>
      <w:bookmarkStart w:name="_Hlk113470149" w:id="19"/>
      <w:r w:rsidRPr="001E683B">
        <w:rPr>
          <w:rFonts w:ascii="Century Gothic" w:hAnsi="Century Gothic" w:eastAsia="Arial" w:cs="Arial"/>
        </w:rPr>
        <w:t xml:space="preserve">Por consiguiente, debe entenderse que para que aplique la excepción del artículo 58 de la Ley 2195 de 2022 el acto administrativo que impuso la multa debe haber sido objeto de demanda ante la jurisdicción contenciosa administrativa, pues desde este momento se da inicio al proceso contencioso administrativo, en los términos del artículo 179 del Código de Procedimiento Administrativo y de lo Contencioso Administrativo y se ha puesto en marcha el aparato jurisdiccional. En tal sentido, para efectos del parágrafo del artículo 58 de la Ley 2195 de 2022, es viable colegir que desde la presentación de la demanda el acto administrativo es objeto del medio de control jurisdiccional respectivo, por lo que no es necesario que la misma se encuentre admitida para la aplicación de la excepción prevista en el parágrafo 1° de la disposición en estudio. </w:t>
      </w:r>
    </w:p>
    <w:bookmarkEnd w:id="19"/>
    <w:p w:rsidRPr="001E683B" w:rsidR="00D15909" w:rsidP="0080680C" w:rsidRDefault="00D15909" w14:paraId="24F412C4" w14:textId="77777777">
      <w:pPr>
        <w:spacing w:after="120" w:line="276" w:lineRule="auto"/>
        <w:ind w:firstLine="709"/>
        <w:jc w:val="both"/>
        <w:rPr>
          <w:rFonts w:ascii="Century Gothic" w:hAnsi="Century Gothic" w:eastAsia="Arial" w:cs="Arial"/>
        </w:rPr>
      </w:pPr>
      <w:r w:rsidRPr="001E683B">
        <w:rPr>
          <w:rFonts w:ascii="Century Gothic" w:hAnsi="Century Gothic" w:eastAsia="Arial" w:cs="Arial"/>
        </w:rPr>
        <w:t xml:space="preserve">Ahora bien, el parágrafo 1° del artículo 58 de la Ley 2195 de 2022 no requiere, para desplegar su efecto favorable sobre el proponente, que se haya notificado el auto admisorio de la demanda, ni a la entidad que decretó la sanción o las sanciones, ni a la Entidad Estatal que busca reducirle el puntaje, pues esta no se encuentra legitimada en la causa por pasiva en dicho proceso contencioso-administrativo, al no ser la parte demandada. Lo que tal parágrafo establece es que la reducción de los puntos no se aplicará si los actos que impusieron las multas fueron objeto de los medios de control a través de las “acciones” correspondientes. Así pues, en el evento en el cual el acto administrativo haya sido demandado y aún no se haya notificado el auto admisorio correspondiente, pero el proponente </w:t>
      </w:r>
      <w:r w:rsidRPr="001E683B">
        <w:rPr>
          <w:rFonts w:ascii="Century Gothic" w:hAnsi="Century Gothic" w:eastAsia="Arial" w:cs="Arial"/>
        </w:rPr>
        <w:t>le demuestre a la Entidad Estatal que ha ejercido su derecho de acción mediante la interposición de la demanda no cabrá la reducción del puntaje.</w:t>
      </w:r>
    </w:p>
    <w:p w:rsidRPr="001E683B" w:rsidR="00D15909" w:rsidP="0080680C" w:rsidRDefault="00D15909" w14:paraId="4280ABF7" w14:textId="77777777">
      <w:pPr>
        <w:spacing w:after="120" w:line="276" w:lineRule="auto"/>
        <w:ind w:firstLine="709"/>
        <w:jc w:val="both"/>
        <w:rPr>
          <w:rFonts w:ascii="Century Gothic" w:hAnsi="Century Gothic" w:eastAsia="Arial" w:cs="Arial"/>
        </w:rPr>
      </w:pPr>
      <w:r w:rsidRPr="001E683B">
        <w:rPr>
          <w:rFonts w:ascii="Century Gothic" w:hAnsi="Century Gothic" w:eastAsia="Arial" w:cs="Arial"/>
        </w:rPr>
        <w:t xml:space="preserve">En todo caso, esta Agencia considera que si el proponente quiere beneficiarse por el efecto del parágrafo 1 del artículo 58 de la Ley 2195 de 2022 debe haber presentado la demanda antes del cierre del procedimiento de selección. Aunque dicho enunciado normativo no lo señala expresamente, aquel debe interpretarse en armonía con el inciso segundo del parágrafo 1° del artículo 5 de la Ley 1150 de 2007, que impide a los proponentes “acreditar circunstancias ocurridas con posterioridad al cierre del proceso”, norma que no circunscribe dicha prohibición a los requisitos habilitantes, sino que lo expresa de manera genérica, debiéndose aplicar, por ende, tanto a los requisitos que no otorgan puntaje, como a los de calificación. Además, permitir que un proponente acredite que, </w:t>
      </w:r>
      <w:r w:rsidRPr="001E683B">
        <w:rPr>
          <w:rFonts w:ascii="Century Gothic" w:hAnsi="Century Gothic" w:eastAsia="Arial" w:cs="Arial"/>
          <w:i/>
        </w:rPr>
        <w:t>después del cierre del procedimiento</w:t>
      </w:r>
      <w:r w:rsidRPr="001E683B">
        <w:rPr>
          <w:rFonts w:ascii="Century Gothic" w:hAnsi="Century Gothic" w:eastAsia="Arial" w:cs="Arial"/>
        </w:rPr>
        <w:t>,</w:t>
      </w:r>
      <w:r w:rsidRPr="001E683B">
        <w:rPr>
          <w:rFonts w:ascii="Century Gothic" w:hAnsi="Century Gothic" w:eastAsia="Arial" w:cs="Arial"/>
          <w:i/>
        </w:rPr>
        <w:t xml:space="preserve"> </w:t>
      </w:r>
      <w:r w:rsidRPr="001E683B">
        <w:rPr>
          <w:rFonts w:ascii="Century Gothic" w:hAnsi="Century Gothic" w:eastAsia="Arial" w:cs="Arial"/>
        </w:rPr>
        <w:t>ha demandado los actos que le impusieron las sanciones sería violatorio del derecho fundamental a la igualdad</w:t>
      </w:r>
      <w:r w:rsidRPr="001E683B">
        <w:rPr>
          <w:rFonts w:ascii="Century Gothic" w:hAnsi="Century Gothic" w:eastAsia="Arial" w:cs="Arial"/>
          <w:vertAlign w:val="superscript"/>
        </w:rPr>
        <w:footnoteReference w:id="22"/>
      </w:r>
      <w:r w:rsidRPr="001E683B">
        <w:rPr>
          <w:rFonts w:ascii="Century Gothic" w:hAnsi="Century Gothic" w:eastAsia="Arial" w:cs="Arial"/>
        </w:rPr>
        <w:t xml:space="preserve"> de los demás </w:t>
      </w:r>
      <w:r w:rsidRPr="001E683B">
        <w:rPr>
          <w:rFonts w:ascii="Century Gothic" w:hAnsi="Century Gothic" w:eastAsia="Arial" w:cs="Arial"/>
        </w:rPr>
        <w:t xml:space="preserve">proponentes, porque implicaría un </w:t>
      </w:r>
      <w:r w:rsidRPr="001E683B">
        <w:rPr>
          <w:rFonts w:ascii="Century Gothic" w:hAnsi="Century Gothic" w:eastAsia="Arial" w:cs="Arial"/>
          <w:i/>
        </w:rPr>
        <w:t>mejoramiento</w:t>
      </w:r>
      <w:r w:rsidRPr="001E683B">
        <w:rPr>
          <w:rFonts w:ascii="Century Gothic" w:hAnsi="Century Gothic" w:eastAsia="Arial" w:cs="Arial"/>
        </w:rPr>
        <w:t xml:space="preserve"> de la oferta</w:t>
      </w:r>
      <w:r w:rsidRPr="001E683B">
        <w:rPr>
          <w:rFonts w:ascii="Century Gothic" w:hAnsi="Century Gothic" w:eastAsia="Arial" w:cs="Arial"/>
          <w:vertAlign w:val="superscript"/>
        </w:rPr>
        <w:footnoteReference w:id="23"/>
      </w:r>
      <w:r w:rsidRPr="001E683B">
        <w:rPr>
          <w:rFonts w:ascii="Century Gothic" w:hAnsi="Century Gothic" w:eastAsia="Arial" w:cs="Arial"/>
        </w:rPr>
        <w:t xml:space="preserve"> por parte de quien se afectaría por la reducción del puntaje.   </w:t>
      </w:r>
    </w:p>
    <w:p w:rsidRPr="001E683B" w:rsidR="00D15909" w:rsidP="0080680C" w:rsidRDefault="00D15909" w14:paraId="5D51F680" w14:textId="77777777">
      <w:pPr>
        <w:spacing w:after="120" w:line="276" w:lineRule="auto"/>
        <w:ind w:firstLine="709"/>
        <w:jc w:val="both"/>
        <w:rPr>
          <w:rFonts w:ascii="Century Gothic" w:hAnsi="Century Gothic" w:eastAsia="Arial" w:cs="Arial"/>
        </w:rPr>
      </w:pPr>
      <w:proofErr w:type="spellStart"/>
      <w:r w:rsidRPr="001E683B">
        <w:rPr>
          <w:rFonts w:ascii="Century Gothic" w:hAnsi="Century Gothic" w:eastAsia="Arial" w:cs="Arial"/>
          <w:i/>
          <w:iCs/>
        </w:rPr>
        <w:t>vii</w:t>
      </w:r>
      <w:proofErr w:type="spellEnd"/>
      <w:r w:rsidRPr="001E683B">
        <w:rPr>
          <w:rFonts w:ascii="Century Gothic" w:hAnsi="Century Gothic" w:eastAsia="Arial" w:cs="Arial"/>
          <w:i/>
          <w:iCs/>
        </w:rPr>
        <w:t>)</w:t>
      </w:r>
      <w:r w:rsidRPr="001E683B">
        <w:rPr>
          <w:rFonts w:ascii="Century Gothic" w:hAnsi="Century Gothic" w:eastAsia="Arial" w:cs="Arial"/>
        </w:rPr>
        <w:t xml:space="preserve"> La reducción del puntaje que exige efectuar el artículo 58 de la Ley 2195 de 2022, como lo expresa su parágrafo 2, debe aplicarse “sin perjuicio de lo contenido en el artículo 6 de la Ley 2020 de 2020”</w:t>
      </w:r>
      <w:r w:rsidRPr="001E683B">
        <w:rPr>
          <w:rFonts w:ascii="Century Gothic" w:hAnsi="Century Gothic" w:eastAsia="Arial" w:cs="Arial"/>
          <w:vertAlign w:val="superscript"/>
        </w:rPr>
        <w:footnoteReference w:id="24"/>
      </w:r>
      <w:r w:rsidRPr="001E683B">
        <w:rPr>
          <w:rFonts w:ascii="Century Gothic" w:hAnsi="Century Gothic" w:eastAsia="Arial" w:cs="Arial"/>
        </w:rPr>
        <w:t>. Esto significa que la disminución del puntaje no riñe con la verificación de las anotaciones contenidas en el Registro Nacional de Obras Civiles Inconclusas.</w:t>
      </w:r>
    </w:p>
    <w:p w:rsidRPr="001E683B" w:rsidR="00D15909" w:rsidP="00D15909" w:rsidRDefault="00D15909" w14:paraId="2C6A6930" w14:textId="77777777">
      <w:pPr>
        <w:spacing w:line="276" w:lineRule="auto"/>
        <w:ind w:firstLine="709"/>
        <w:jc w:val="both"/>
        <w:rPr>
          <w:rFonts w:ascii="Century Gothic" w:hAnsi="Century Gothic" w:eastAsia="Arial" w:cs="Arial"/>
        </w:rPr>
      </w:pPr>
      <w:proofErr w:type="spellStart"/>
      <w:r w:rsidRPr="001E683B">
        <w:rPr>
          <w:rFonts w:ascii="Century Gothic" w:hAnsi="Century Gothic" w:eastAsia="Arial" w:cs="Arial"/>
          <w:i/>
          <w:iCs/>
        </w:rPr>
        <w:t>vii</w:t>
      </w:r>
      <w:proofErr w:type="spellEnd"/>
      <w:r w:rsidRPr="001E683B">
        <w:rPr>
          <w:rFonts w:ascii="Century Gothic" w:hAnsi="Century Gothic" w:eastAsia="Arial" w:cs="Arial"/>
          <w:i/>
          <w:iCs/>
        </w:rPr>
        <w:t xml:space="preserve">) </w:t>
      </w:r>
      <w:r w:rsidRPr="001E683B">
        <w:rPr>
          <w:rFonts w:ascii="Century Gothic" w:hAnsi="Century Gothic" w:eastAsia="Arial" w:cs="Arial"/>
        </w:rPr>
        <w:t xml:space="preserve">Aunque el artículo 58 de la Ley 2195 de 2022 guarda silencio sobre el </w:t>
      </w:r>
      <w:r w:rsidRPr="001E683B">
        <w:rPr>
          <w:rFonts w:ascii="Century Gothic" w:hAnsi="Century Gothic" w:eastAsia="Arial" w:cs="Arial"/>
          <w:i/>
        </w:rPr>
        <w:t>debido proceso</w:t>
      </w:r>
      <w:r w:rsidRPr="001E683B">
        <w:rPr>
          <w:rFonts w:ascii="Century Gothic" w:hAnsi="Century Gothic" w:eastAsia="Arial" w:cs="Arial"/>
        </w:rPr>
        <w:t xml:space="preserve"> que habrá de garantizársele al proponente cuando la Entidad Estatal pretenda reducirle el puntaje, dicha norma debe interpretarse en armonía con el primer inciso del artículo 29 de la Constitución Política, el cual dispone que “El debido proceso se aplicará a toda clase de actuaciones judiciales </w:t>
      </w:r>
      <w:r w:rsidRPr="001E683B">
        <w:rPr>
          <w:rFonts w:ascii="Century Gothic" w:hAnsi="Century Gothic" w:eastAsia="Arial" w:cs="Arial"/>
          <w:i/>
        </w:rPr>
        <w:t>y administrativas</w:t>
      </w:r>
      <w:r w:rsidRPr="001E683B">
        <w:rPr>
          <w:rFonts w:ascii="Century Gothic" w:hAnsi="Century Gothic" w:eastAsia="Arial" w:cs="Arial"/>
        </w:rPr>
        <w:t xml:space="preserve">” (énfasis fuera de texto). Es decir, el operador jurídico debe realizar una interpretación </w:t>
      </w:r>
      <w:r w:rsidRPr="001E683B">
        <w:rPr>
          <w:rFonts w:ascii="Century Gothic" w:hAnsi="Century Gothic" w:eastAsia="Arial" w:cs="Arial"/>
          <w:i/>
        </w:rPr>
        <w:t>conforme</w:t>
      </w:r>
      <w:r w:rsidRPr="001E683B">
        <w:rPr>
          <w:rFonts w:ascii="Century Gothic" w:hAnsi="Century Gothic" w:eastAsia="Arial" w:cs="Arial"/>
        </w:rPr>
        <w:t xml:space="preserve"> con la Constitución, atendiendo a su carácter </w:t>
      </w:r>
      <w:r w:rsidRPr="001E683B">
        <w:rPr>
          <w:rFonts w:ascii="Century Gothic" w:hAnsi="Century Gothic" w:eastAsia="Arial" w:cs="Arial"/>
        </w:rPr>
        <w:t>supremo</w:t>
      </w:r>
      <w:r w:rsidRPr="001E683B">
        <w:rPr>
          <w:rFonts w:ascii="Century Gothic" w:hAnsi="Century Gothic" w:eastAsia="Arial" w:cs="Arial"/>
          <w:vertAlign w:val="superscript"/>
        </w:rPr>
        <w:footnoteReference w:id="25"/>
      </w:r>
      <w:r w:rsidRPr="001E683B">
        <w:rPr>
          <w:rFonts w:ascii="Century Gothic" w:hAnsi="Century Gothic" w:eastAsia="Arial" w:cs="Arial"/>
        </w:rPr>
        <w:t xml:space="preserve">. Por ello, la Agencia considera que la reducción del puntaje regulada en el artículo 58 de la Ley 2195 de 2022 no debería aplicarse de plano, sino que debe estar precedida de la verificación de los presupuestos contenidos en la norma en comento para efectos de reducir el puntaje. </w:t>
      </w:r>
    </w:p>
    <w:p w:rsidRPr="001E683B" w:rsidR="00D15909" w:rsidP="00D15909" w:rsidRDefault="00D15909" w14:paraId="0952245E" w14:textId="77777777">
      <w:pPr>
        <w:spacing w:line="276" w:lineRule="auto"/>
        <w:jc w:val="both"/>
        <w:rPr>
          <w:rFonts w:ascii="Century Gothic" w:hAnsi="Century Gothic" w:cs="Arial"/>
          <w:b/>
          <w:bCs/>
          <w:iCs/>
          <w:color w:val="000000" w:themeColor="text1"/>
          <w:lang w:val="es-ES_tradnl"/>
        </w:rPr>
      </w:pPr>
      <w:r w:rsidRPr="001E683B">
        <w:rPr>
          <w:rFonts w:ascii="Century Gothic" w:hAnsi="Century Gothic" w:cs="Arial"/>
          <w:b/>
          <w:bCs/>
          <w:iCs/>
          <w:color w:val="000000" w:themeColor="text1"/>
          <w:lang w:val="es-ES_tradnl"/>
        </w:rPr>
        <w:t xml:space="preserve">2.2. </w:t>
      </w:r>
      <w:bookmarkStart w:name="_Hlk132664018" w:id="20"/>
      <w:r w:rsidRPr="001E683B">
        <w:rPr>
          <w:rFonts w:ascii="Century Gothic" w:hAnsi="Century Gothic" w:cs="Arial"/>
          <w:b/>
          <w:bCs/>
          <w:iCs/>
          <w:color w:val="000000" w:themeColor="text1"/>
          <w:lang w:val="es-ES_tradnl"/>
        </w:rPr>
        <w:t>Procedimiento administrativo sancionatorio contractual. Artículo 86 de la Ley 1474 de 2011</w:t>
      </w:r>
      <w:bookmarkEnd w:id="20"/>
      <w:r w:rsidRPr="001E683B">
        <w:rPr>
          <w:rFonts w:ascii="Century Gothic" w:hAnsi="Century Gothic" w:cs="Arial"/>
          <w:b/>
          <w:bCs/>
          <w:iCs/>
          <w:color w:val="000000" w:themeColor="text1"/>
          <w:lang w:val="es-ES_tradnl"/>
        </w:rPr>
        <w:t xml:space="preserve"> </w:t>
      </w:r>
    </w:p>
    <w:p w:rsidRPr="001E683B" w:rsidR="00D15909" w:rsidP="79E51C34" w:rsidRDefault="00D15909" w14:paraId="2F49DA07" w14:textId="77777777">
      <w:pPr>
        <w:spacing w:after="120" w:line="276" w:lineRule="auto"/>
        <w:jc w:val="both"/>
        <w:rPr>
          <w:rFonts w:ascii="Century Gothic" w:hAnsi="Century Gothic" w:cs="Arial"/>
          <w:color w:val="000000" w:themeColor="text1"/>
          <w:lang w:val="es-ES"/>
        </w:rPr>
      </w:pPr>
      <w:r w:rsidRPr="79E51C34" w:rsidR="00D15909">
        <w:rPr>
          <w:rFonts w:ascii="Century Gothic" w:hAnsi="Century Gothic" w:cs="Arial"/>
          <w:color w:val="000000" w:themeColor="text1" w:themeTint="FF" w:themeShade="FF"/>
          <w:lang w:val="es-ES"/>
        </w:rPr>
        <w:t xml:space="preserve">Durante la ejecución de los contratos, las entidades estatales sometidas al Estatuto General de Contratación de la Administración Pública usualmente cuentan con distintas potestades exorbitantes o excepcionales, con base en las cuales ejercen la dirección general del contrato. Entre dichas potestades se encuentran i) las cláusulas excepcionales del artículo 14 de la Ley 80 de 1993, concepto que incluye la terminación unilateral, la interpretación unilateral, la modificación unilateral, la caducidad y la reversión. Dichas prerrogativas se desarrollan en los artículos 15 a 19 </w:t>
      </w:r>
      <w:r w:rsidRPr="79E51C34" w:rsidR="00D15909">
        <w:rPr>
          <w:rFonts w:ascii="Century Gothic" w:hAnsi="Century Gothic" w:cs="Arial"/>
          <w:i w:val="1"/>
          <w:iCs w:val="1"/>
          <w:color w:val="000000" w:themeColor="text1" w:themeTint="FF" w:themeShade="FF"/>
          <w:lang w:val="es-ES"/>
        </w:rPr>
        <w:t>ibidem</w:t>
      </w:r>
      <w:r w:rsidRPr="79E51C34" w:rsidR="00D15909">
        <w:rPr>
          <w:rFonts w:ascii="Century Gothic" w:hAnsi="Century Gothic" w:cs="Arial"/>
          <w:color w:val="000000" w:themeColor="text1" w:themeTint="FF" w:themeShade="FF"/>
          <w:lang w:val="es-ES"/>
        </w:rPr>
        <w:t xml:space="preserve">. </w:t>
      </w:r>
      <w:r w:rsidRPr="79E51C34" w:rsidR="00D15909">
        <w:rPr>
          <w:rFonts w:ascii="Century Gothic" w:hAnsi="Century Gothic" w:cs="Arial"/>
          <w:color w:val="000000" w:themeColor="text1" w:themeTint="FF" w:themeShade="FF"/>
          <w:lang w:val="es-ES"/>
        </w:rPr>
        <w:t>ii</w:t>
      </w:r>
      <w:r w:rsidRPr="79E51C34" w:rsidR="00D15909">
        <w:rPr>
          <w:rFonts w:ascii="Century Gothic" w:hAnsi="Century Gothic" w:cs="Arial"/>
          <w:color w:val="000000" w:themeColor="text1" w:themeTint="FF" w:themeShade="FF"/>
          <w:lang w:val="es-ES"/>
        </w:rPr>
        <w:t xml:space="preserve">) En algunas disposiciones también se establecen otras potestades exorbitantes, como la liquidación unilateral y la declaratoria unilateral del siniestro –artículos 7 y 11 de la Ley 1150 de 2007– última que se tratará en los siguientes capítulos de este concepto. </w:t>
      </w:r>
    </w:p>
    <w:p w:rsidRPr="001E683B" w:rsidR="00D15909" w:rsidP="79E51C34" w:rsidRDefault="00D15909" w14:paraId="3F3E1B01" w14:textId="77777777">
      <w:pPr>
        <w:spacing w:after="120" w:line="276" w:lineRule="auto"/>
        <w:ind w:firstLine="708"/>
        <w:jc w:val="both"/>
        <w:rPr>
          <w:rFonts w:ascii="Century Gothic" w:hAnsi="Century Gothic" w:cs="Arial"/>
          <w:color w:val="000000" w:themeColor="text1"/>
          <w:lang w:val="es-ES"/>
        </w:rPr>
      </w:pPr>
      <w:r w:rsidRPr="79E51C34" w:rsidR="00D15909">
        <w:rPr>
          <w:rFonts w:ascii="Century Gothic" w:hAnsi="Century Gothic" w:cs="Arial"/>
          <w:color w:val="000000" w:themeColor="text1" w:themeTint="FF" w:themeShade="FF"/>
          <w:lang w:val="es-ES"/>
        </w:rPr>
        <w:t xml:space="preserve">Dentro de las potestades unilaterales también se encuentran </w:t>
      </w:r>
      <w:r w:rsidRPr="79E51C34" w:rsidR="00D15909">
        <w:rPr>
          <w:rFonts w:ascii="Century Gothic" w:hAnsi="Century Gothic" w:cs="Arial"/>
          <w:color w:val="000000" w:themeColor="text1" w:themeTint="FF" w:themeShade="FF"/>
          <w:lang w:val="es-ES"/>
        </w:rPr>
        <w:t>iii</w:t>
      </w:r>
      <w:r w:rsidRPr="79E51C34" w:rsidR="00D15909">
        <w:rPr>
          <w:rFonts w:ascii="Century Gothic" w:hAnsi="Century Gothic" w:cs="Arial"/>
          <w:color w:val="000000" w:themeColor="text1" w:themeTint="FF" w:themeShade="FF"/>
          <w:lang w:val="es-ES"/>
        </w:rPr>
        <w:t xml:space="preserve">) las cláusulas excepcionales de </w:t>
      </w:r>
      <w:r w:rsidRPr="79E51C34" w:rsidR="00D15909">
        <w:rPr>
          <w:rFonts w:ascii="Century Gothic" w:hAnsi="Century Gothic" w:cs="Arial"/>
          <w:i w:val="1"/>
          <w:iCs w:val="1"/>
          <w:color w:val="000000" w:themeColor="text1" w:themeTint="FF" w:themeShade="FF"/>
          <w:lang w:val="es-ES"/>
        </w:rPr>
        <w:t>imposición unilateral</w:t>
      </w:r>
      <w:r w:rsidRPr="79E51C34" w:rsidR="00D15909">
        <w:rPr>
          <w:rFonts w:ascii="Century Gothic" w:hAnsi="Century Gothic" w:cs="Arial"/>
          <w:color w:val="000000" w:themeColor="text1" w:themeTint="FF" w:themeShade="FF"/>
          <w:lang w:val="es-ES"/>
        </w:rPr>
        <w:t xml:space="preserve"> de las cláusulas penales y de multas –artículo 17 de la Ley 1150 de 2007–, aclarando que su exorbitancia se refiere a su imposición unilateral, no a su pacto, que es posible en virtud de las normas civiles y comerciales.</w:t>
      </w:r>
    </w:p>
    <w:p w:rsidRPr="001E683B" w:rsidR="00D15909" w:rsidP="0080680C" w:rsidRDefault="00D15909" w14:paraId="4C9ED4BF" w14:textId="77777777">
      <w:pPr>
        <w:spacing w:after="120" w:line="276" w:lineRule="auto"/>
        <w:ind w:firstLine="709"/>
        <w:jc w:val="both"/>
        <w:rPr>
          <w:rFonts w:ascii="Century Gothic" w:hAnsi="Century Gothic" w:cs="Arial"/>
          <w:iCs/>
          <w:color w:val="000000" w:themeColor="text1"/>
          <w:lang w:val="es-ES_tradnl"/>
        </w:rPr>
      </w:pPr>
      <w:r w:rsidRPr="001E683B">
        <w:rPr>
          <w:rFonts w:ascii="Century Gothic" w:hAnsi="Century Gothic" w:cs="Arial"/>
          <w:iCs/>
          <w:color w:val="000000" w:themeColor="text1"/>
          <w:lang w:val="es-ES_tradnl"/>
        </w:rPr>
        <w:t xml:space="preserve">El artículo 86 de la Ley 1474 de 2011 establece las reglas de procedimiento, mediante las cuales se materializan los derechos y garantías derivadas del debido proceso, para su aplicación concreta en materia sancionatoria contractual. De conformidad con esta disposición normativa, las “entidades sometidas al Estatuto </w:t>
      </w:r>
      <w:r w:rsidRPr="001E683B">
        <w:rPr>
          <w:rFonts w:ascii="Century Gothic" w:hAnsi="Century Gothic" w:cs="Arial"/>
          <w:iCs/>
          <w:color w:val="000000" w:themeColor="text1"/>
          <w:lang w:val="es-ES_tradnl"/>
        </w:rPr>
        <w:t xml:space="preserve">General de Contratación de la Administración Pública podrán declarar el incumplimiento […]. Para tal efecto observarán […]” el procedimiento que en tal enunciado normativo se regula. En ese sentido, la </w:t>
      </w:r>
      <w:r w:rsidRPr="001E683B">
        <w:rPr>
          <w:rFonts w:ascii="Century Gothic" w:hAnsi="Century Gothic" w:eastAsia="Arial" w:cs="Arial"/>
        </w:rPr>
        <w:t xml:space="preserve">imposición de una o más </w:t>
      </w:r>
      <w:r w:rsidRPr="001E683B">
        <w:rPr>
          <w:rFonts w:ascii="Century Gothic" w:hAnsi="Century Gothic" w:eastAsia="Arial" w:cs="Arial"/>
          <w:iCs/>
        </w:rPr>
        <w:t xml:space="preserve">multas de que trata el artículo 58 de la Ley 2195 de 2022, para la reducción de puntaje de los proponentes deberá realizarse </w:t>
      </w:r>
      <w:r w:rsidRPr="001E683B">
        <w:rPr>
          <w:rFonts w:ascii="Century Gothic" w:hAnsi="Century Gothic" w:eastAsia="Arial" w:cs="Arial"/>
        </w:rPr>
        <w:t>a través de acto administrativo que se origine en virtud de este procedimiento.</w:t>
      </w:r>
    </w:p>
    <w:p w:rsidRPr="001E683B" w:rsidR="00D15909" w:rsidP="79E51C34" w:rsidRDefault="00D15909" w14:paraId="045485FF" w14:textId="77777777" w14:noSpellErr="1">
      <w:pPr>
        <w:spacing w:after="120" w:line="276" w:lineRule="auto"/>
        <w:ind w:firstLine="709"/>
        <w:jc w:val="both"/>
        <w:rPr>
          <w:rFonts w:ascii="Century Gothic" w:hAnsi="Century Gothic" w:cs="Arial"/>
          <w:color w:val="000000" w:themeColor="text1"/>
          <w:lang w:val="es-ES"/>
        </w:rPr>
      </w:pPr>
      <w:r w:rsidRPr="79E51C34" w:rsidR="00D15909">
        <w:rPr>
          <w:rFonts w:ascii="Century Gothic" w:hAnsi="Century Gothic" w:cs="Arial"/>
          <w:color w:val="000000" w:themeColor="text1"/>
          <w:lang w:val="es-ES"/>
        </w:rPr>
        <w:t>Cabe destacar que esta norma no se circunscribe a ciertos tipos de incumplimiento. En consecuencia, la declaratoria de cualquier incumplimiento, sea total o parcial, o independientemente de su gravedad, debe hacerse con plena observancia de las reglas procedimentales establecidas en el artículo 86 de la Ley 1474 de 2011. Esto es así como consecuencia del “principio general de interpretación jurídica según el cual donde la norma no distingue, no le corresponde distinguir al intérprete”</w:t>
      </w:r>
      <w:r w:rsidRPr="79E51C34">
        <w:rPr>
          <w:rFonts w:ascii="Century Gothic" w:hAnsi="Century Gothic" w:cs="Arial"/>
          <w:vertAlign w:val="superscript"/>
          <w:lang w:val="es-ES"/>
        </w:rPr>
        <w:footnoteReference w:id="26"/>
      </w:r>
      <w:r w:rsidRPr="79E51C34" w:rsidR="00D15909">
        <w:rPr>
          <w:rFonts w:ascii="Century Gothic" w:hAnsi="Century Gothic" w:cs="Arial"/>
          <w:color w:val="000000" w:themeColor="text1"/>
          <w:lang w:val="es-ES"/>
        </w:rPr>
        <w:t xml:space="preserve">. A la misma conclusión se llega si se tiene en consideración la necesidad de respetar el debido proceso en “todas las actuaciones administrativas” como lo ordena el artículo 29 superior. </w:t>
      </w:r>
    </w:p>
    <w:p w:rsidRPr="001E683B" w:rsidR="00D15909" w:rsidP="00D15909" w:rsidRDefault="00D15909" w14:paraId="39A53C9D" w14:textId="77777777">
      <w:pPr>
        <w:spacing w:after="0" w:line="276" w:lineRule="auto"/>
        <w:ind w:firstLine="708"/>
        <w:jc w:val="both"/>
        <w:rPr>
          <w:rFonts w:ascii="Century Gothic" w:hAnsi="Century Gothic" w:eastAsia="Calibri" w:cs="Arial"/>
          <w:lang w:val="es-ES_tradnl" w:eastAsia="es-ES_tradnl"/>
        </w:rPr>
      </w:pPr>
      <w:r w:rsidRPr="001E683B">
        <w:rPr>
          <w:rFonts w:ascii="Century Gothic" w:hAnsi="Century Gothic" w:cs="Arial"/>
          <w:iCs/>
          <w:color w:val="000000" w:themeColor="text1"/>
          <w:lang w:val="es-ES_tradnl"/>
        </w:rPr>
        <w:t>Vale la pena aclarar que e</w:t>
      </w:r>
      <w:r w:rsidRPr="001E683B">
        <w:rPr>
          <w:rFonts w:ascii="Century Gothic" w:hAnsi="Century Gothic" w:eastAsia="Calibri" w:cs="Arial"/>
          <w:color w:val="000000" w:themeColor="text1"/>
          <w:lang w:val="es-ES_tradnl"/>
        </w:rPr>
        <w:t>l artículo 86 de la Ley 1474 de 2011 regula un procedimiento administrativo sancionatorio dirigido a sujetos específicos: las entidades sometidas al Estatuto General de Contratación de la Administración Pública</w:t>
      </w:r>
      <w:r w:rsidRPr="001E683B">
        <w:rPr>
          <w:rStyle w:val="FootnoteReference"/>
          <w:rFonts w:ascii="Century Gothic" w:hAnsi="Century Gothic" w:eastAsia="Calibri" w:cs="Arial"/>
          <w:color w:val="000000" w:themeColor="text1"/>
          <w:lang w:val="es-ES_tradnl"/>
        </w:rPr>
        <w:footnoteReference w:id="27"/>
      </w:r>
      <w:r w:rsidRPr="001E683B">
        <w:rPr>
          <w:rFonts w:ascii="Century Gothic" w:hAnsi="Century Gothic" w:eastAsia="Calibri" w:cs="Arial"/>
          <w:color w:val="000000" w:themeColor="text1"/>
          <w:lang w:val="es-ES_tradnl"/>
        </w:rPr>
        <w:t xml:space="preserve">. De ahí que las entidades de </w:t>
      </w:r>
      <w:r w:rsidRPr="001E683B">
        <w:rPr>
          <w:rFonts w:ascii="Century Gothic" w:hAnsi="Century Gothic" w:eastAsia="Calibri" w:cs="Arial"/>
          <w:i/>
          <w:iCs/>
          <w:color w:val="000000" w:themeColor="text1"/>
          <w:lang w:val="es-ES_tradnl"/>
        </w:rPr>
        <w:t>régimen especial</w:t>
      </w:r>
      <w:r w:rsidRPr="001E683B">
        <w:rPr>
          <w:rStyle w:val="FootnoteReference"/>
          <w:rFonts w:ascii="Century Gothic" w:hAnsi="Century Gothic" w:eastAsia="Calibri" w:cs="Arial"/>
          <w:color w:val="000000" w:themeColor="text1"/>
          <w:lang w:val="es-ES_tradnl"/>
        </w:rPr>
        <w:footnoteReference w:id="28"/>
      </w:r>
      <w:r w:rsidRPr="001E683B">
        <w:rPr>
          <w:rFonts w:ascii="Century Gothic" w:hAnsi="Century Gothic" w:eastAsia="Calibri" w:cs="Arial"/>
          <w:color w:val="000000" w:themeColor="text1"/>
          <w:lang w:val="es-ES_tradnl"/>
        </w:rPr>
        <w:t xml:space="preserve"> en materia contractual no pueden aplicar el procedimiento administrativo sancionatorio regulado en el artículo 86 de la Ley 1474 de 2011, al no ser entidades sometidas al Estatuto General de Contratación de la Administración Pública, sino, por el contrario, entidades exceptuadas de este</w:t>
      </w:r>
      <w:r w:rsidRPr="001E683B">
        <w:rPr>
          <w:rStyle w:val="FootnoteReference"/>
          <w:rFonts w:ascii="Century Gothic" w:hAnsi="Century Gothic" w:eastAsia="Calibri" w:cs="Arial"/>
          <w:color w:val="000000" w:themeColor="text1"/>
          <w:lang w:val="es-ES_tradnl"/>
        </w:rPr>
        <w:footnoteReference w:id="29"/>
      </w:r>
      <w:r w:rsidRPr="001E683B">
        <w:rPr>
          <w:rFonts w:ascii="Century Gothic" w:hAnsi="Century Gothic" w:eastAsia="Calibri" w:cs="Arial"/>
          <w:color w:val="000000" w:themeColor="text1"/>
          <w:lang w:val="es-ES_tradnl"/>
        </w:rPr>
        <w:t>.</w:t>
      </w:r>
    </w:p>
    <w:p w:rsidRPr="004715CB" w:rsidR="00D15909" w:rsidP="00D15909" w:rsidRDefault="00D15909" w14:paraId="131316A0" w14:textId="77777777">
      <w:pPr>
        <w:spacing w:after="0" w:line="276" w:lineRule="auto"/>
        <w:jc w:val="both"/>
        <w:rPr>
          <w:rFonts w:ascii="Century Gothic" w:hAnsi="Century Gothic" w:eastAsia="Calibri" w:cs="Arial"/>
          <w:szCs w:val="24"/>
          <w:lang w:val="es-ES_tradnl" w:eastAsia="es-ES_tradnl"/>
        </w:rPr>
      </w:pPr>
    </w:p>
    <w:p w:rsidRPr="004715CB" w:rsidR="00D15909" w:rsidP="00D15909" w:rsidRDefault="00D15909" w14:paraId="5E57A575" w14:textId="77777777">
      <w:pPr>
        <w:tabs>
          <w:tab w:val="left" w:pos="0"/>
        </w:tabs>
        <w:spacing w:after="0" w:line="276" w:lineRule="auto"/>
        <w:jc w:val="both"/>
        <w:rPr>
          <w:rFonts w:ascii="Century Gothic" w:hAnsi="Century Gothic" w:eastAsia="Calibri" w:cs="Arial"/>
          <w:b/>
          <w:color w:val="000000"/>
          <w:lang w:val="es-ES_tradnl"/>
        </w:rPr>
      </w:pPr>
      <w:r w:rsidRPr="004715CB">
        <w:rPr>
          <w:rFonts w:ascii="Century Gothic" w:hAnsi="Century Gothic" w:eastAsia="Calibri" w:cs="Arial"/>
          <w:b/>
          <w:color w:val="000000"/>
          <w:lang w:val="es-ES_tradnl"/>
        </w:rPr>
        <w:t>3. Respuesta</w:t>
      </w:r>
    </w:p>
    <w:p w:rsidRPr="00B803B6" w:rsidR="00D15909" w:rsidP="00D15909" w:rsidRDefault="00D15909" w14:paraId="63734F38" w14:textId="77777777">
      <w:pPr>
        <w:spacing w:after="0" w:line="276" w:lineRule="auto"/>
        <w:jc w:val="both"/>
        <w:rPr>
          <w:rFonts w:ascii="Century Gothic" w:hAnsi="Century Gothic" w:eastAsia="Calibri" w:cs="Arial"/>
          <w:lang w:val="es-MX"/>
        </w:rPr>
      </w:pPr>
    </w:p>
    <w:p w:rsidR="00D15909" w:rsidP="0080680C" w:rsidRDefault="00D15909" w14:paraId="457034FB" w14:textId="33A77548">
      <w:pPr>
        <w:spacing w:after="120" w:line="276" w:lineRule="auto"/>
        <w:ind w:left="709" w:right="709"/>
        <w:jc w:val="both"/>
        <w:rPr>
          <w:rFonts w:ascii="Century Gothic" w:hAnsi="Century Gothic" w:eastAsia="Calibri" w:cs="Arial"/>
          <w:lang w:val="es-MX"/>
        </w:rPr>
      </w:pPr>
      <w:r w:rsidRPr="00B803B6">
        <w:rPr>
          <w:rFonts w:ascii="Century Gothic" w:hAnsi="Century Gothic" w:eastAsia="Calibri" w:cs="Arial"/>
          <w:sz w:val="20"/>
          <w:szCs w:val="20"/>
          <w:lang w:val="es-MX"/>
        </w:rPr>
        <w:t>1. ¿La declaratoria de la ocurrencia del siniestro por el riesgo de calidad del servicio, por parte de las entidades estatales, en contratos en los que ella tiene aplicación (consultoría, interventoría, etc.), se considera como una sanción contractual?</w:t>
      </w:r>
    </w:p>
    <w:p w:rsidRPr="00B803B6" w:rsidR="00D15909" w:rsidP="0080680C" w:rsidRDefault="00D15909" w14:paraId="22757C40" w14:textId="0F48EEC5">
      <w:pPr>
        <w:spacing w:after="120" w:line="276" w:lineRule="auto"/>
        <w:ind w:left="709" w:right="709"/>
        <w:jc w:val="both"/>
        <w:rPr>
          <w:rFonts w:ascii="Century Gothic" w:hAnsi="Century Gothic" w:eastAsia="Calibri" w:cs="Arial"/>
          <w:lang w:val="es-MX"/>
        </w:rPr>
      </w:pPr>
      <w:proofErr w:type="gramStart"/>
      <w:r w:rsidRPr="00B803B6">
        <w:rPr>
          <w:rFonts w:ascii="Century Gothic" w:hAnsi="Century Gothic" w:eastAsia="Calibri" w:cs="Arial"/>
          <w:sz w:val="20"/>
          <w:szCs w:val="20"/>
          <w:lang w:val="es-MX"/>
        </w:rPr>
        <w:t>¿La entidad que hace efectivo dicho instrumento de aseguramiento debe remitirlo para que sea inscrito en el Registro Único de Proponentes y demás registros de que trata el numeral 6.</w:t>
      </w:r>
      <w:proofErr w:type="gramEnd"/>
      <w:r w:rsidRPr="00B803B6">
        <w:rPr>
          <w:rFonts w:ascii="Century Gothic" w:hAnsi="Century Gothic" w:eastAsia="Calibri" w:cs="Arial"/>
          <w:sz w:val="20"/>
          <w:szCs w:val="20"/>
          <w:lang w:val="es-MX"/>
        </w:rPr>
        <w:t xml:space="preserve">2 del Artículo 6 de la Ley 1150 de 2007 (Modificado por el artículo 221 del Decreto 19 de 2012) y Artículo 2.2.1.1.1.5.7 del Decreto 1082 de 2015? </w:t>
      </w:r>
    </w:p>
    <w:p w:rsidRPr="00B803B6" w:rsidR="00D15909" w:rsidP="0080680C" w:rsidRDefault="00D15909" w14:paraId="11106359" w14:textId="55391DCC">
      <w:pPr>
        <w:spacing w:after="120" w:line="276" w:lineRule="auto"/>
        <w:ind w:left="709" w:right="709"/>
        <w:jc w:val="both"/>
        <w:rPr>
          <w:rFonts w:ascii="Century Gothic" w:hAnsi="Century Gothic" w:eastAsia="Calibri" w:cs="Arial"/>
          <w:sz w:val="20"/>
          <w:szCs w:val="20"/>
          <w:lang w:val="es-MX"/>
        </w:rPr>
      </w:pPr>
      <w:r w:rsidRPr="00B803B6">
        <w:rPr>
          <w:rFonts w:ascii="Century Gothic" w:hAnsi="Century Gothic" w:eastAsia="Calibri" w:cs="Arial"/>
          <w:sz w:val="20"/>
          <w:szCs w:val="20"/>
          <w:lang w:val="es-MX"/>
        </w:rPr>
        <w:t xml:space="preserve">2. En contratos de estudios y diseños (consultoría e interventoría), ¿La declaratoria de siniestro de la garantía de calidad del servicio se asimila a la efectividad de una multa o cláusula penal? </w:t>
      </w:r>
    </w:p>
    <w:p w:rsidRPr="00B803B6" w:rsidR="00D15909" w:rsidP="0080680C" w:rsidRDefault="00D15909" w14:paraId="2D870FE4" w14:textId="4C066D08">
      <w:pPr>
        <w:spacing w:after="120" w:line="276" w:lineRule="auto"/>
        <w:ind w:left="709" w:right="709"/>
        <w:jc w:val="both"/>
        <w:rPr>
          <w:rFonts w:ascii="Century Gothic" w:hAnsi="Century Gothic" w:eastAsia="Calibri" w:cs="Arial"/>
          <w:lang w:val="es-MX"/>
        </w:rPr>
      </w:pPr>
      <w:r w:rsidRPr="00B803B6">
        <w:rPr>
          <w:rFonts w:ascii="Century Gothic" w:hAnsi="Century Gothic" w:eastAsia="Calibri" w:cs="Arial"/>
          <w:sz w:val="20"/>
          <w:szCs w:val="20"/>
          <w:lang w:val="es-MX"/>
        </w:rPr>
        <w:t xml:space="preserve">¿La misma debe </w:t>
      </w:r>
      <w:r w:rsidRPr="004303C3">
        <w:rPr>
          <w:rFonts w:ascii="Century Gothic" w:hAnsi="Century Gothic" w:eastAsia="Calibri" w:cs="Arial"/>
          <w:sz w:val="20"/>
          <w:szCs w:val="20"/>
          <w:lang w:val="es-MX"/>
        </w:rPr>
        <w:t>ser considerada por las entidades estatales en la disminución de puntaje de que trata el Artículo 58 de la Ley 2195 de 2022?</w:t>
      </w:r>
    </w:p>
    <w:p w:rsidRPr="00B803B6" w:rsidR="00D15909" w:rsidP="0080680C" w:rsidRDefault="00D15909" w14:paraId="31795880" w14:textId="77777777">
      <w:pPr>
        <w:spacing w:after="0" w:line="276" w:lineRule="auto"/>
        <w:ind w:left="709" w:right="709"/>
        <w:jc w:val="both"/>
        <w:rPr>
          <w:rFonts w:ascii="Century Gothic" w:hAnsi="Century Gothic" w:eastAsia="Calibri" w:cs="Arial"/>
          <w:sz w:val="20"/>
          <w:szCs w:val="20"/>
          <w:lang w:val="es-MX"/>
        </w:rPr>
      </w:pPr>
      <w:r w:rsidRPr="00B803B6">
        <w:rPr>
          <w:rFonts w:ascii="Century Gothic" w:hAnsi="Century Gothic" w:eastAsia="Calibri" w:cs="Arial"/>
          <w:sz w:val="20"/>
          <w:szCs w:val="20"/>
          <w:lang w:val="es-MX"/>
        </w:rPr>
        <w:t>3. Las actuaciones administrativas de las entidades estatales encaminadas a hacer efectivas las garantías que amparan los riesgos post contractuales, como la calidad del servicio ¿Se asimilan a un escenario de incumplimiento de las obligaciones relacionadas con la ejecución del contrato?</w:t>
      </w:r>
    </w:p>
    <w:p w:rsidRPr="00B803B6" w:rsidR="00D15909" w:rsidP="0080680C" w:rsidRDefault="00D15909" w14:paraId="1744E298" w14:textId="77777777">
      <w:pPr>
        <w:spacing w:after="0" w:line="276" w:lineRule="auto"/>
        <w:ind w:left="709" w:right="709"/>
        <w:jc w:val="both"/>
        <w:rPr>
          <w:rFonts w:ascii="Century Gothic" w:hAnsi="Century Gothic" w:eastAsia="Calibri" w:cs="Arial"/>
          <w:lang w:val="es-MX"/>
        </w:rPr>
      </w:pPr>
    </w:p>
    <w:p w:rsidRPr="00B803B6" w:rsidR="00D15909" w:rsidP="0080680C" w:rsidRDefault="00D15909" w14:paraId="7CF8D596" w14:textId="36428D97">
      <w:pPr>
        <w:spacing w:after="120" w:line="276" w:lineRule="auto"/>
        <w:ind w:left="709" w:right="709"/>
        <w:jc w:val="both"/>
        <w:rPr>
          <w:rFonts w:ascii="Century Gothic" w:hAnsi="Century Gothic" w:eastAsia="Calibri" w:cs="Arial"/>
          <w:lang w:val="es-MX"/>
        </w:rPr>
      </w:pPr>
      <w:r w:rsidRPr="00B803B6">
        <w:rPr>
          <w:rFonts w:ascii="Century Gothic" w:hAnsi="Century Gothic" w:eastAsia="Calibri" w:cs="Arial"/>
          <w:sz w:val="20"/>
          <w:szCs w:val="20"/>
          <w:lang w:val="es-MX"/>
        </w:rPr>
        <w:t>4. ¿La declaratoria de siniestro de calidad del servicio suma al número de declaratorias de incumplimiento para efectos de activar la inhabilidad del contratista por dicha acumulación – Artículo 43 de la Ley 1955 de 2019? Si es positiva la respuesta, a cuál de las sanciones se debe asimilar (multa o declaratoria de incumplimiento), a efectos de considerar el supuesto en el cual debe encuadrarse esta situación y así mismo para saber la vigencia de tal inhabilidad.</w:t>
      </w:r>
    </w:p>
    <w:p w:rsidRPr="00B803B6" w:rsidR="00D15909" w:rsidP="0080680C" w:rsidRDefault="00D15909" w14:paraId="79BE994E" w14:textId="3CE93657">
      <w:pPr>
        <w:spacing w:after="120" w:line="276" w:lineRule="auto"/>
        <w:ind w:left="709" w:right="709"/>
        <w:jc w:val="both"/>
        <w:rPr>
          <w:rFonts w:ascii="Century Gothic" w:hAnsi="Century Gothic" w:eastAsia="Calibri" w:cs="Arial"/>
          <w:lang w:val="es-MX"/>
        </w:rPr>
      </w:pPr>
      <w:r w:rsidRPr="007B6CFE">
        <w:rPr>
          <w:rFonts w:ascii="Century Gothic" w:hAnsi="Century Gothic" w:eastAsia="Calibri" w:cs="Arial"/>
          <w:sz w:val="20"/>
          <w:szCs w:val="20"/>
          <w:lang w:val="es-MX"/>
        </w:rPr>
        <w:t>5. En contratos de estudios y diseños (consultoría e interventoría) terminados y liquidados, ¿La declaratoria del siniestro de calidad del servicio, que por ley ha de tener ocurrencia con posterioridad a la terminación del contrato, se entiende como incumplimiento del contrato?; Es decir, ¿podría la entidad estatal que tiene a su cargo hacer efectivo el riesgo mencionado, establecer como causa de la declaratoria de siniestro de calidad del servicio, un incumplimiento contractual?</w:t>
      </w:r>
    </w:p>
    <w:p w:rsidR="00D15909" w:rsidP="0080680C" w:rsidRDefault="00D15909" w14:paraId="200C47A3" w14:textId="77777777">
      <w:pPr>
        <w:spacing w:after="0" w:line="276" w:lineRule="auto"/>
        <w:ind w:left="709" w:right="709"/>
        <w:jc w:val="both"/>
        <w:rPr>
          <w:rFonts w:ascii="Century Gothic" w:hAnsi="Century Gothic" w:eastAsia="Calibri" w:cs="Arial"/>
          <w:sz w:val="20"/>
          <w:szCs w:val="20"/>
          <w:lang w:val="es-MX"/>
        </w:rPr>
      </w:pPr>
      <w:r w:rsidRPr="007B6CFE">
        <w:rPr>
          <w:rFonts w:ascii="Century Gothic" w:hAnsi="Century Gothic" w:eastAsia="Calibri" w:cs="Arial"/>
          <w:sz w:val="20"/>
          <w:szCs w:val="20"/>
          <w:lang w:val="es-MX"/>
        </w:rPr>
        <w:t xml:space="preserve">6. En contratos de estudios y diseños (consultoría e interventoría) terminados y liquidados, ¿Es posible que una entidad estatal con fundamento en el Artículo 86 de la Ley 1474 de 2011 declare la ocurrencia del siniestro por el riesgo de calidad, haciendo efectiva la garantía de cumplimiento en su </w:t>
      </w:r>
      <w:r w:rsidRPr="007B6CFE">
        <w:rPr>
          <w:rFonts w:ascii="Century Gothic" w:hAnsi="Century Gothic" w:eastAsia="Calibri" w:cs="Arial"/>
          <w:sz w:val="20"/>
          <w:szCs w:val="20"/>
          <w:lang w:val="es-MX"/>
        </w:rPr>
        <w:t>amparo de calidad, juntamente con una declaratoria de incumplimiento de obligaciones de garantía (Entiéndase post contractuales)?</w:t>
      </w:r>
    </w:p>
    <w:p w:rsidR="00D15909" w:rsidP="00D15909" w:rsidRDefault="00D15909" w14:paraId="12250D43" w14:textId="77777777">
      <w:pPr>
        <w:spacing w:after="0" w:line="276" w:lineRule="auto"/>
        <w:jc w:val="both"/>
        <w:rPr>
          <w:rFonts w:ascii="Century Gothic" w:hAnsi="Century Gothic" w:eastAsia="Calibri" w:cs="Arial"/>
          <w:sz w:val="20"/>
          <w:szCs w:val="20"/>
          <w:lang w:val="es-MX"/>
        </w:rPr>
      </w:pPr>
    </w:p>
    <w:p w:rsidRPr="00CD3CEA" w:rsidR="00D15909" w:rsidP="00D15909" w:rsidRDefault="00D15909" w14:paraId="327A7D09" w14:textId="77777777">
      <w:pPr>
        <w:spacing w:after="120" w:line="276" w:lineRule="auto"/>
        <w:jc w:val="both"/>
        <w:rPr>
          <w:rFonts w:ascii="Century Gothic" w:hAnsi="Century Gothic" w:cs="Arial"/>
          <w:lang w:val="es-ES"/>
        </w:rPr>
      </w:pPr>
      <w:r>
        <w:rPr>
          <w:rFonts w:ascii="Century Gothic" w:hAnsi="Century Gothic" w:cs="Arial"/>
          <w:lang w:val="es-ES"/>
        </w:rPr>
        <w:t>Como se estableció en las consideraciones, e</w:t>
      </w:r>
      <w:r w:rsidRPr="00CD3CEA">
        <w:rPr>
          <w:rFonts w:ascii="Century Gothic" w:hAnsi="Century Gothic" w:cs="Arial"/>
          <w:lang w:val="es-ES"/>
        </w:rPr>
        <w:t>s necesario tener en cuenta que esta entidad solo tiene competencia para responder solicitudes sobre la interpretación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CD3CEA">
        <w:rPr>
          <w:rFonts w:ascii="Century Gothic" w:hAnsi="Century Gothic" w:cs="Arial"/>
        </w:rPr>
        <w:t xml:space="preserve"> de todos los partícipes de la contratación estatal.</w:t>
      </w:r>
    </w:p>
    <w:p w:rsidR="00D15909" w:rsidP="00D15909" w:rsidRDefault="00D15909" w14:paraId="201B96DE" w14:textId="77777777">
      <w:pPr>
        <w:spacing w:after="120" w:line="276" w:lineRule="auto"/>
        <w:ind w:firstLine="708"/>
        <w:jc w:val="both"/>
        <w:rPr>
          <w:rFonts w:ascii="Century Gothic" w:hAnsi="Century Gothic" w:eastAsia="Times New Roman" w:cs="Arial"/>
          <w:iCs/>
          <w:lang w:val="es-ES_tradnl" w:eastAsia="es-ES_tradnl"/>
          <w14:ligatures w14:val="standardContextual"/>
        </w:rPr>
      </w:pPr>
      <w:r>
        <w:rPr>
          <w:rFonts w:ascii="Century Gothic" w:hAnsi="Century Gothic" w:eastAsia="Times New Roman" w:cs="Arial"/>
          <w:iCs/>
          <w:lang w:val="es-ES" w:eastAsia="es-ES_tradnl"/>
          <w14:ligatures w14:val="standardContextual"/>
        </w:rPr>
        <w:t xml:space="preserve">Aclarado lo anterior, el </w:t>
      </w:r>
      <w:r w:rsidRPr="00392858">
        <w:rPr>
          <w:rFonts w:ascii="Century Gothic" w:hAnsi="Century Gothic" w:eastAsia="Times New Roman" w:cs="Arial"/>
          <w:iCs/>
          <w:lang w:val="es-ES_tradnl" w:eastAsia="es-ES_tradnl"/>
          <w14:ligatures w14:val="standardContextual"/>
        </w:rPr>
        <w:t xml:space="preserve">artículo 86 de la Ley 1474 de 2011 establece </w:t>
      </w:r>
      <w:r>
        <w:rPr>
          <w:rFonts w:ascii="Century Gothic" w:hAnsi="Century Gothic" w:eastAsia="Times New Roman" w:cs="Arial"/>
          <w:iCs/>
          <w:lang w:val="es-ES_tradnl" w:eastAsia="es-ES_tradnl"/>
          <w14:ligatures w14:val="standardContextual"/>
        </w:rPr>
        <w:t xml:space="preserve">que </w:t>
      </w:r>
      <w:r w:rsidRPr="00392858">
        <w:rPr>
          <w:rFonts w:ascii="Century Gothic" w:hAnsi="Century Gothic" w:eastAsia="Times New Roman" w:cs="Arial"/>
          <w:iCs/>
          <w:lang w:val="es-ES_tradnl" w:eastAsia="es-ES_tradnl"/>
          <w14:ligatures w14:val="standardContextual"/>
        </w:rPr>
        <w:t>las entidades sometidas al Estatuto General de Contratación de la Administración Pública podrán declarar el incumplimiento</w:t>
      </w:r>
      <w:r>
        <w:rPr>
          <w:rFonts w:ascii="Century Gothic" w:hAnsi="Century Gothic" w:eastAsia="Times New Roman" w:cs="Arial"/>
          <w:iCs/>
          <w:lang w:val="es-ES_tradnl" w:eastAsia="es-ES_tradnl"/>
          <w14:ligatures w14:val="standardContextual"/>
        </w:rPr>
        <w:t xml:space="preserve"> contractual, </w:t>
      </w:r>
      <w:r w:rsidRPr="00392858">
        <w:rPr>
          <w:rFonts w:ascii="Century Gothic" w:hAnsi="Century Gothic" w:eastAsia="Times New Roman" w:cs="Arial"/>
          <w:iCs/>
          <w:lang w:val="es-ES_tradnl" w:eastAsia="es-ES_tradnl"/>
          <w14:ligatures w14:val="standardContextual"/>
        </w:rPr>
        <w:t>imponer las multas y sanciones pactadas en el contrato, y hacer efectiva la cláusula penal</w:t>
      </w:r>
      <w:r>
        <w:rPr>
          <w:rFonts w:ascii="Century Gothic" w:hAnsi="Century Gothic" w:eastAsia="Times New Roman" w:cs="Arial"/>
          <w:iCs/>
          <w:lang w:val="es-ES_tradnl" w:eastAsia="es-ES_tradnl"/>
          <w14:ligatures w14:val="standardContextual"/>
        </w:rPr>
        <w:t xml:space="preserve">, a través del procedimiento descrito en dicha norma. </w:t>
      </w:r>
      <w:r w:rsidRPr="00392858">
        <w:rPr>
          <w:rFonts w:ascii="Century Gothic" w:hAnsi="Century Gothic" w:eastAsia="Times New Roman" w:cs="Arial"/>
          <w:iCs/>
          <w:lang w:val="es-ES_tradnl" w:eastAsia="es-ES_tradnl"/>
          <w14:ligatures w14:val="standardContextual"/>
        </w:rPr>
        <w:t xml:space="preserve">Cabe destacar que </w:t>
      </w:r>
      <w:r>
        <w:rPr>
          <w:rFonts w:ascii="Century Gothic" w:hAnsi="Century Gothic" w:eastAsia="Times New Roman" w:cs="Arial"/>
          <w:iCs/>
          <w:lang w:val="es-ES_tradnl" w:eastAsia="es-ES_tradnl"/>
          <w14:ligatures w14:val="standardContextual"/>
        </w:rPr>
        <w:t>el artículo en mención</w:t>
      </w:r>
      <w:r w:rsidRPr="00392858">
        <w:rPr>
          <w:rFonts w:ascii="Century Gothic" w:hAnsi="Century Gothic" w:eastAsia="Times New Roman" w:cs="Arial"/>
          <w:iCs/>
          <w:lang w:val="es-ES_tradnl" w:eastAsia="es-ES_tradnl"/>
          <w14:ligatures w14:val="standardContextual"/>
        </w:rPr>
        <w:t xml:space="preserve"> no cualifica o se circunscribe a ciertos tipos de incumplimiento. En consecuencia, la declaratoria de cualquier incumplimiento, sea total o parcial, durante o posterior a la terminación del contrato e independiente de su gravedad, debe realizarse con plena observancia de las reglas procedimentales del artículo 86 de la Ley 1474 de 2011. </w:t>
      </w:r>
    </w:p>
    <w:p w:rsidRPr="00EA01A0" w:rsidR="00D15909" w:rsidP="0080680C" w:rsidRDefault="00D15909" w14:paraId="5D7778E5" w14:textId="77777777">
      <w:pPr>
        <w:spacing w:after="120" w:line="276" w:lineRule="auto"/>
        <w:ind w:firstLine="708"/>
        <w:jc w:val="both"/>
        <w:rPr>
          <w:rFonts w:ascii="Century Gothic" w:hAnsi="Century Gothic" w:eastAsia="Calibri" w:cs="Arial"/>
        </w:rPr>
      </w:pPr>
      <w:r>
        <w:rPr>
          <w:rFonts w:ascii="Century Gothic" w:hAnsi="Century Gothic" w:eastAsia="Calibri" w:cs="Arial"/>
        </w:rPr>
        <w:t>Por otro lado,</w:t>
      </w:r>
      <w:r w:rsidRPr="00EA01A0">
        <w:rPr>
          <w:rFonts w:ascii="Century Gothic" w:hAnsi="Century Gothic" w:eastAsia="Calibri" w:cs="Arial"/>
        </w:rPr>
        <w:t xml:space="preserve"> para esta Agencia el declarar el siniestro </w:t>
      </w:r>
      <w:r>
        <w:rPr>
          <w:rFonts w:ascii="Century Gothic" w:hAnsi="Century Gothic" w:eastAsia="Calibri" w:cs="Arial"/>
        </w:rPr>
        <w:t>de calidad del servicio</w:t>
      </w:r>
      <w:r w:rsidRPr="00EA01A0">
        <w:rPr>
          <w:rFonts w:ascii="Century Gothic" w:hAnsi="Century Gothic" w:eastAsia="Calibri" w:cs="Arial"/>
        </w:rPr>
        <w:t>, la Administración no ejerce una potestad sancionadora, ya que no se trata de una pena de carácter legal o convencional, porque no pretende terminar anormalmente del contrato –caducidad–, ni estima anticipadamente los perjuicios derivados del incumplimiento –cláusula penal–, como tampoco son medios coercitivos de apremio –multas–.</w:t>
      </w:r>
    </w:p>
    <w:p w:rsidRPr="004715CB" w:rsidR="00D15909" w:rsidP="0080680C" w:rsidRDefault="00D15909" w14:paraId="1CE339F5" w14:textId="4C4F3FD7">
      <w:pPr>
        <w:spacing w:after="120" w:line="276" w:lineRule="auto"/>
        <w:ind w:firstLine="708"/>
        <w:jc w:val="both"/>
        <w:rPr>
          <w:rFonts w:ascii="Century Gothic" w:hAnsi="Century Gothic" w:eastAsia="Calibri" w:cs="Arial"/>
          <w:lang w:val="es-MX"/>
        </w:rPr>
      </w:pPr>
      <w:r w:rsidRPr="00EA01A0">
        <w:rPr>
          <w:rFonts w:ascii="Century Gothic" w:hAnsi="Century Gothic" w:eastAsia="Calibri" w:cs="Arial"/>
        </w:rPr>
        <w:t xml:space="preserve">En este contexto, como no aplica el artículo 86 de la Ley 1474, </w:t>
      </w:r>
      <w:r>
        <w:rPr>
          <w:rFonts w:ascii="Century Gothic" w:hAnsi="Century Gothic" w:eastAsia="Calibri" w:cs="Arial"/>
        </w:rPr>
        <w:t>se</w:t>
      </w:r>
      <w:r w:rsidRPr="00EA01A0">
        <w:rPr>
          <w:rFonts w:ascii="Century Gothic" w:hAnsi="Century Gothic" w:eastAsia="Calibri" w:cs="Arial"/>
        </w:rPr>
        <w:t xml:space="preserve"> considera que el trámite de la declaratoria del siniestro de </w:t>
      </w:r>
      <w:r>
        <w:rPr>
          <w:rFonts w:ascii="Century Gothic" w:hAnsi="Century Gothic" w:eastAsia="Calibri" w:cs="Arial"/>
        </w:rPr>
        <w:t>calidad del servicio</w:t>
      </w:r>
      <w:r w:rsidRPr="00EA01A0">
        <w:rPr>
          <w:rFonts w:ascii="Century Gothic" w:hAnsi="Century Gothic" w:eastAsia="Calibri" w:cs="Arial"/>
        </w:rPr>
        <w:t xml:space="preserve"> se rige por el procedimiento administrativo general dispuesto en los artículos 34 y siguientes de la Ley 1437 de 2011</w:t>
      </w:r>
      <w:r>
        <w:rPr>
          <w:rFonts w:ascii="Century Gothic" w:hAnsi="Century Gothic" w:eastAsia="Calibri" w:cs="Arial"/>
        </w:rPr>
        <w:t>.</w:t>
      </w:r>
    </w:p>
    <w:p w:rsidRPr="004715CB" w:rsidR="00D15909" w:rsidP="00D15909" w:rsidRDefault="00D15909" w14:paraId="543321BA" w14:textId="77777777">
      <w:pPr>
        <w:widowControl w:val="0"/>
        <w:autoSpaceDE w:val="0"/>
        <w:autoSpaceDN w:val="0"/>
        <w:spacing w:line="276" w:lineRule="auto"/>
        <w:jc w:val="both"/>
        <w:rPr>
          <w:rFonts w:ascii="Century Gothic" w:hAnsi="Century Gothic" w:eastAsia="Calibri" w:cs="Arial"/>
          <w:lang w:val="es-ES_tradnl" w:bidi="es-ES"/>
        </w:rPr>
      </w:pPr>
      <w:r w:rsidRPr="004715CB">
        <w:rPr>
          <w:rFonts w:ascii="Century Gothic" w:hAnsi="Century Gothic" w:eastAsia="Calibri" w:cs="Arial"/>
          <w:color w:val="000000"/>
          <w:lang w:val="es-ES_tradnl"/>
        </w:rPr>
        <w:t>Este concepto tiene el alcance previsto en el artículo 28 del Código de Procedimiento Administrativo y de lo Contencioso Administrativo.</w:t>
      </w:r>
    </w:p>
    <w:p w:rsidRPr="004715CB" w:rsidR="00D15909" w:rsidP="00D15909" w:rsidRDefault="00D15909" w14:paraId="48A1BF7A" w14:textId="77777777">
      <w:pPr>
        <w:spacing w:before="120" w:line="276" w:lineRule="auto"/>
        <w:jc w:val="both"/>
        <w:rPr>
          <w:rFonts w:ascii="Century Gothic" w:hAnsi="Century Gothic" w:eastAsia="Calibri" w:cs="Arial"/>
          <w:color w:val="000000"/>
          <w:lang w:val="es-ES_tradnl"/>
        </w:rPr>
      </w:pPr>
    </w:p>
    <w:p w:rsidRPr="004715CB" w:rsidR="00D15909" w:rsidP="00D15909" w:rsidRDefault="00D15909" w14:paraId="003B7C2C" w14:textId="77777777">
      <w:pPr>
        <w:spacing w:after="0" w:line="276" w:lineRule="auto"/>
        <w:jc w:val="both"/>
        <w:rPr>
          <w:rFonts w:ascii="Century Gothic" w:hAnsi="Century Gothic" w:eastAsia="Times New Roman" w:cs="Arial"/>
          <w:color w:val="000000"/>
          <w:lang w:val="es-ES_tradnl" w:eastAsia="es-CO"/>
        </w:rPr>
      </w:pPr>
      <w:r w:rsidRPr="004715CB">
        <w:rPr>
          <w:rFonts w:ascii="Century Gothic" w:hAnsi="Century Gothic" w:eastAsia="Times New Roman" w:cs="Arial"/>
          <w:color w:val="000000"/>
          <w:lang w:val="es-ES_tradnl" w:eastAsia="es-CO"/>
        </w:rPr>
        <w:t>Atentamente,</w:t>
      </w:r>
    </w:p>
    <w:p w:rsidRPr="004715CB" w:rsidR="00D15909" w:rsidP="00D15909" w:rsidRDefault="00D15909" w14:paraId="05175717" w14:textId="77777777">
      <w:pPr>
        <w:spacing w:after="0" w:line="276" w:lineRule="auto"/>
        <w:jc w:val="both"/>
        <w:rPr>
          <w:rFonts w:ascii="Century Gothic" w:hAnsi="Century Gothic" w:eastAsia="Times New Roman" w:cs="Arial"/>
          <w:color w:val="000000"/>
          <w:lang w:val="es-ES_tradnl" w:eastAsia="es-CO"/>
        </w:rPr>
      </w:pPr>
    </w:p>
    <w:p w:rsidRPr="004715CB" w:rsidR="00D15909" w:rsidP="00D15909" w:rsidRDefault="00A900B8" w14:paraId="6B74BC2F" w14:textId="3A50A612">
      <w:pPr>
        <w:spacing w:after="0" w:line="276" w:lineRule="auto"/>
        <w:jc w:val="center"/>
        <w:rPr>
          <w:rFonts w:ascii="Century Gothic" w:hAnsi="Century Gothic" w:eastAsia="Times New Roman" w:cs="Arial"/>
          <w:color w:val="000000"/>
          <w:lang w:val="es-ES_tradnl" w:eastAsia="es-CO"/>
        </w:rPr>
      </w:pPr>
      <w:r>
        <w:rPr>
          <w:rFonts w:ascii="Century Gothic" w:hAnsi="Century Gothic" w:eastAsia="Times New Roman" w:cs="Arial"/>
          <w:noProof/>
          <w:color w:val="000000"/>
          <w:lang w:val="es-ES_tradnl" w:eastAsia="es-CO"/>
        </w:rPr>
        <w:drawing>
          <wp:inline distT="0" distB="0" distL="0" distR="0" wp14:anchorId="42FFC673" wp14:editId="62E0EDFE">
            <wp:extent cx="3152775" cy="1209675"/>
            <wp:effectExtent l="0" t="0" r="9525" b="9525"/>
            <wp:docPr id="610337797"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337797" name="Picture 1" descr="A close-up of a sign&#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3152775" cy="1209675"/>
                    </a:xfrm>
                    <a:prstGeom prst="rect">
                      <a:avLst/>
                    </a:prstGeom>
                  </pic:spPr>
                </pic:pic>
              </a:graphicData>
            </a:graphic>
          </wp:inline>
        </w:drawing>
      </w:r>
    </w:p>
    <w:p w:rsidRPr="004715CB" w:rsidR="00D15909" w:rsidP="00D15909" w:rsidRDefault="00D15909" w14:paraId="78645370" w14:textId="77777777">
      <w:pPr>
        <w:spacing w:after="0" w:line="276" w:lineRule="auto"/>
        <w:jc w:val="center"/>
        <w:rPr>
          <w:rFonts w:ascii="Century Gothic" w:hAnsi="Century Gothic" w:eastAsia="Times New Roman" w:cs="Arial"/>
          <w:color w:val="000000"/>
          <w:lang w:val="es-ES_tradnl" w:eastAsia="es-CO"/>
        </w:rPr>
      </w:pPr>
    </w:p>
    <w:p w:rsidRPr="004715CB" w:rsidR="00D15909" w:rsidP="00D15909" w:rsidRDefault="00D15909" w14:paraId="3BE1ED31" w14:textId="77777777">
      <w:pPr>
        <w:spacing w:after="0" w:line="240" w:lineRule="auto"/>
        <w:rPr>
          <w:rFonts w:ascii="Century Gothic" w:hAnsi="Century Gothic" w:eastAsia="Times New Roman" w:cs="Arial"/>
          <w:color w:val="000000"/>
          <w:lang w:val="es-ES_tradnl" w:eastAsia="es-CO"/>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55"/>
        <w:gridCol w:w="4815"/>
      </w:tblGrid>
      <w:tr w:rsidRPr="004541A8" w:rsidR="00D15909" w:rsidTr="00C26C63" w14:paraId="4E7BEAC2" w14:textId="77777777">
        <w:trPr>
          <w:trHeight w:val="160"/>
        </w:trPr>
        <w:tc>
          <w:tcPr>
            <w:tcW w:w="855" w:type="dxa"/>
            <w:vAlign w:val="center"/>
            <w:hideMark/>
          </w:tcPr>
          <w:p w:rsidRPr="004541A8" w:rsidR="00D15909" w:rsidP="00C26C63" w:rsidRDefault="00D15909" w14:paraId="6555543B" w14:textId="77777777">
            <w:pPr>
              <w:spacing w:line="276" w:lineRule="auto"/>
              <w:jc w:val="both"/>
              <w:rPr>
                <w:rFonts w:ascii="Century Gothic" w:hAnsi="Century Gothic" w:cs="Arial"/>
                <w:sz w:val="16"/>
                <w:szCs w:val="16"/>
                <w:lang w:val="es-ES_tradnl" w:eastAsia="es-ES"/>
              </w:rPr>
            </w:pPr>
            <w:r w:rsidRPr="004541A8">
              <w:rPr>
                <w:rFonts w:ascii="Century Gothic" w:hAnsi="Century Gothic" w:cs="Arial"/>
                <w:sz w:val="16"/>
                <w:szCs w:val="16"/>
                <w:lang w:val="es-ES_tradnl" w:eastAsia="es-ES"/>
              </w:rPr>
              <w:t>Elaboró:</w:t>
            </w:r>
          </w:p>
        </w:tc>
        <w:tc>
          <w:tcPr>
            <w:tcW w:w="4815" w:type="dxa"/>
            <w:tcBorders>
              <w:top w:val="nil"/>
              <w:left w:val="nil"/>
              <w:bottom w:val="dotted" w:color="7F7F7F" w:themeColor="text1" w:themeTint="80" w:sz="4" w:space="0"/>
              <w:right w:val="nil"/>
            </w:tcBorders>
            <w:vAlign w:val="center"/>
            <w:hideMark/>
          </w:tcPr>
          <w:p w:rsidRPr="004541A8" w:rsidR="00D15909" w:rsidP="00C26C63" w:rsidRDefault="00D15909" w14:paraId="158D36B3" w14:textId="77777777">
            <w:pPr>
              <w:spacing w:line="276" w:lineRule="auto"/>
              <w:jc w:val="both"/>
              <w:rPr>
                <w:rFonts w:ascii="Century Gothic" w:hAnsi="Century Gothic" w:cs="Arial"/>
                <w:sz w:val="16"/>
                <w:szCs w:val="16"/>
                <w:lang w:val="es-ES_tradnl" w:eastAsia="es-ES"/>
              </w:rPr>
            </w:pPr>
            <w:r w:rsidRPr="004541A8">
              <w:rPr>
                <w:rFonts w:ascii="Century Gothic" w:hAnsi="Century Gothic" w:cs="Arial"/>
                <w:sz w:val="16"/>
                <w:szCs w:val="16"/>
                <w:lang w:val="es-ES_tradnl" w:eastAsia="es-ES"/>
              </w:rPr>
              <w:t>Mariana Triana Ortiz</w:t>
            </w:r>
          </w:p>
          <w:p w:rsidRPr="004541A8" w:rsidR="00D15909" w:rsidP="00C26C63" w:rsidRDefault="00D15909" w14:paraId="65782DA4" w14:textId="77777777">
            <w:pPr>
              <w:spacing w:line="276" w:lineRule="auto"/>
              <w:jc w:val="both"/>
              <w:rPr>
                <w:rFonts w:ascii="Century Gothic" w:hAnsi="Century Gothic" w:cs="Arial"/>
                <w:sz w:val="16"/>
                <w:szCs w:val="16"/>
                <w:lang w:val="es-ES_tradnl" w:eastAsia="es-ES"/>
              </w:rPr>
            </w:pPr>
            <w:r w:rsidRPr="004541A8">
              <w:rPr>
                <w:rFonts w:ascii="Century Gothic" w:hAnsi="Century Gothic" w:cs="Arial"/>
                <w:sz w:val="16"/>
                <w:szCs w:val="16"/>
                <w:lang w:val="es-ES_tradnl" w:eastAsia="es-ES"/>
              </w:rPr>
              <w:t>Contratista de la Subdirección de Gestión Contractual</w:t>
            </w:r>
          </w:p>
        </w:tc>
      </w:tr>
      <w:tr w:rsidRPr="004541A8" w:rsidR="00D15909" w:rsidTr="00C26C63" w14:paraId="19CE7606" w14:textId="77777777">
        <w:trPr>
          <w:trHeight w:val="70"/>
        </w:trPr>
        <w:tc>
          <w:tcPr>
            <w:tcW w:w="855" w:type="dxa"/>
            <w:vAlign w:val="center"/>
            <w:hideMark/>
          </w:tcPr>
          <w:p w:rsidRPr="004541A8" w:rsidR="00D15909" w:rsidP="00C26C63" w:rsidRDefault="00D15909" w14:paraId="02E9E9D3" w14:textId="77777777">
            <w:pPr>
              <w:spacing w:line="276" w:lineRule="auto"/>
              <w:jc w:val="both"/>
              <w:rPr>
                <w:rFonts w:ascii="Century Gothic" w:hAnsi="Century Gothic" w:cs="Arial"/>
                <w:sz w:val="16"/>
                <w:szCs w:val="16"/>
                <w:lang w:val="es-ES_tradnl" w:eastAsia="es-ES"/>
              </w:rPr>
            </w:pPr>
            <w:r w:rsidRPr="004541A8">
              <w:rPr>
                <w:rFonts w:ascii="Century Gothic" w:hAnsi="Century Gothic" w:cs="Arial"/>
                <w:sz w:val="16"/>
                <w:szCs w:val="16"/>
                <w:lang w:val="es-ES_tradnl" w:eastAsia="es-ES"/>
              </w:rPr>
              <w:t>Revisó:</w:t>
            </w:r>
          </w:p>
        </w:tc>
        <w:tc>
          <w:tcPr>
            <w:tcW w:w="4815" w:type="dxa"/>
            <w:tcBorders>
              <w:top w:val="dotted" w:color="7F7F7F" w:themeColor="text1" w:themeTint="80" w:sz="4" w:space="0"/>
              <w:left w:val="nil"/>
              <w:bottom w:val="dotted" w:color="7F7F7F" w:themeColor="text1" w:themeTint="80" w:sz="4" w:space="0"/>
              <w:right w:val="nil"/>
            </w:tcBorders>
            <w:vAlign w:val="center"/>
            <w:hideMark/>
          </w:tcPr>
          <w:p w:rsidRPr="004541A8" w:rsidR="00D15909" w:rsidP="00C26C63" w:rsidRDefault="00D15909" w14:paraId="62BBF2DB" w14:textId="77777777">
            <w:pPr>
              <w:spacing w:line="276" w:lineRule="auto"/>
              <w:jc w:val="both"/>
              <w:rPr>
                <w:rFonts w:ascii="Century Gothic" w:hAnsi="Century Gothic" w:cs="Arial"/>
                <w:sz w:val="16"/>
                <w:szCs w:val="16"/>
                <w:lang w:val="es-ES" w:eastAsia="es-ES"/>
              </w:rPr>
            </w:pPr>
            <w:r>
              <w:rPr>
                <w:rFonts w:ascii="Century Gothic" w:hAnsi="Century Gothic" w:cs="Arial"/>
                <w:sz w:val="16"/>
                <w:szCs w:val="16"/>
                <w:lang w:val="es-ES" w:eastAsia="es-ES"/>
              </w:rPr>
              <w:t>Juan David Cárdenas Cabeza</w:t>
            </w:r>
          </w:p>
          <w:p w:rsidRPr="004541A8" w:rsidR="00D15909" w:rsidP="009E0842" w:rsidRDefault="00D15909" w14:paraId="5F60A608" w14:textId="362A7ACF">
            <w:pPr>
              <w:rPr>
                <w:rFonts w:ascii="Century Gothic" w:hAnsi="Century Gothic" w:cs="Arial"/>
                <w:sz w:val="16"/>
                <w:szCs w:val="16"/>
                <w:lang w:val="es-ES" w:eastAsia="es-ES"/>
              </w:rPr>
            </w:pPr>
            <w:r w:rsidRPr="1EAA8B18">
              <w:rPr>
                <w:rFonts w:ascii="Century Gothic" w:hAnsi="Century Gothic" w:cs="Arial"/>
                <w:sz w:val="16"/>
                <w:szCs w:val="16"/>
                <w:lang w:val="es-ES" w:eastAsia="es-ES"/>
              </w:rPr>
              <w:t>Contratista de la Subdirección de Gestión Contractual</w:t>
            </w:r>
          </w:p>
        </w:tc>
      </w:tr>
      <w:tr w:rsidRPr="004541A8" w:rsidR="00D15909" w:rsidTr="00C26C63" w14:paraId="446177F2" w14:textId="77777777">
        <w:trPr>
          <w:trHeight w:val="300"/>
        </w:trPr>
        <w:tc>
          <w:tcPr>
            <w:tcW w:w="855" w:type="dxa"/>
            <w:vAlign w:val="center"/>
            <w:hideMark/>
          </w:tcPr>
          <w:p w:rsidRPr="004541A8" w:rsidR="00D15909" w:rsidP="00C26C63" w:rsidRDefault="00D15909" w14:paraId="209273FC" w14:textId="77777777">
            <w:pPr>
              <w:spacing w:line="276" w:lineRule="auto"/>
              <w:jc w:val="both"/>
              <w:rPr>
                <w:rFonts w:ascii="Century Gothic" w:hAnsi="Century Gothic" w:cs="Arial"/>
                <w:sz w:val="16"/>
                <w:szCs w:val="16"/>
                <w:lang w:val="es-ES_tradnl" w:eastAsia="es-ES"/>
              </w:rPr>
            </w:pPr>
            <w:r w:rsidRPr="004541A8">
              <w:rPr>
                <w:rFonts w:ascii="Century Gothic" w:hAnsi="Century Gothic" w:cs="Arial"/>
                <w:sz w:val="16"/>
                <w:szCs w:val="16"/>
                <w:lang w:val="es-ES_tradnl" w:eastAsia="es-ES"/>
              </w:rPr>
              <w:t>Aprobó:</w:t>
            </w:r>
          </w:p>
        </w:tc>
        <w:tc>
          <w:tcPr>
            <w:tcW w:w="4815" w:type="dxa"/>
            <w:tcBorders>
              <w:top w:val="dotted" w:color="7F7F7F" w:themeColor="text1" w:themeTint="80" w:sz="4" w:space="0"/>
              <w:left w:val="nil"/>
              <w:bottom w:val="dotted" w:color="7F7F7F" w:themeColor="text1" w:themeTint="80" w:sz="4" w:space="0"/>
              <w:right w:val="nil"/>
            </w:tcBorders>
            <w:vAlign w:val="center"/>
            <w:hideMark/>
          </w:tcPr>
          <w:p w:rsidRPr="004541A8" w:rsidR="00D15909" w:rsidP="00C26C63" w:rsidRDefault="00D15909" w14:paraId="2D78600B" w14:textId="77777777">
            <w:pPr>
              <w:spacing w:line="276" w:lineRule="auto"/>
              <w:jc w:val="both"/>
              <w:rPr>
                <w:rFonts w:ascii="Century Gothic" w:hAnsi="Century Gothic" w:cs="Arial"/>
                <w:sz w:val="16"/>
                <w:szCs w:val="16"/>
                <w:lang w:val="es-ES_tradnl" w:eastAsia="es-ES"/>
              </w:rPr>
            </w:pPr>
            <w:r w:rsidRPr="004541A8">
              <w:rPr>
                <w:rFonts w:ascii="Century Gothic" w:hAnsi="Century Gothic" w:cs="Arial"/>
                <w:sz w:val="16"/>
                <w:szCs w:val="16"/>
                <w:lang w:val="es-ES_tradnl" w:eastAsia="es-ES"/>
              </w:rPr>
              <w:t xml:space="preserve">Nohelia del Carmen </w:t>
            </w:r>
            <w:proofErr w:type="spellStart"/>
            <w:r w:rsidRPr="004541A8">
              <w:rPr>
                <w:rFonts w:ascii="Century Gothic" w:hAnsi="Century Gothic" w:cs="Arial"/>
                <w:sz w:val="16"/>
                <w:szCs w:val="16"/>
                <w:lang w:val="es-ES_tradnl" w:eastAsia="es-ES"/>
              </w:rPr>
              <w:t>Zawady</w:t>
            </w:r>
            <w:proofErr w:type="spellEnd"/>
            <w:r w:rsidRPr="004541A8">
              <w:rPr>
                <w:rFonts w:ascii="Century Gothic" w:hAnsi="Century Gothic" w:cs="Arial"/>
                <w:sz w:val="16"/>
                <w:szCs w:val="16"/>
                <w:lang w:val="es-ES_tradnl" w:eastAsia="es-ES"/>
              </w:rPr>
              <w:t xml:space="preserve"> Palacio</w:t>
            </w:r>
          </w:p>
          <w:p w:rsidRPr="004541A8" w:rsidR="00D15909" w:rsidP="00C26C63" w:rsidRDefault="00D15909" w14:paraId="7E094322" w14:textId="77777777">
            <w:pPr>
              <w:spacing w:line="276" w:lineRule="auto"/>
              <w:jc w:val="both"/>
              <w:rPr>
                <w:rFonts w:ascii="Century Gothic" w:hAnsi="Century Gothic" w:cs="Arial"/>
                <w:sz w:val="16"/>
                <w:szCs w:val="16"/>
                <w:lang w:val="es-ES_tradnl" w:eastAsia="es-ES"/>
              </w:rPr>
            </w:pPr>
            <w:r w:rsidRPr="004541A8">
              <w:rPr>
                <w:rFonts w:ascii="Century Gothic" w:hAnsi="Century Gothic" w:cs="Arial"/>
                <w:sz w:val="16"/>
                <w:szCs w:val="16"/>
                <w:lang w:val="es-ES_tradnl" w:eastAsia="es-ES"/>
              </w:rPr>
              <w:t xml:space="preserve">Subdirectora de Gestión Contractual </w:t>
            </w:r>
            <w:r w:rsidRPr="004541A8">
              <w:rPr>
                <w:rFonts w:ascii="Century Gothic" w:hAnsi="Century Gothic" w:cs="Arial"/>
                <w:sz w:val="16"/>
                <w:szCs w:val="16"/>
                <w:lang w:eastAsia="es-ES"/>
              </w:rPr>
              <w:t>ANCP – CCE</w:t>
            </w:r>
          </w:p>
        </w:tc>
      </w:tr>
    </w:tbl>
    <w:p w:rsidRPr="00DC4A9B" w:rsidR="00D15909" w:rsidP="00D15909" w:rsidRDefault="00D15909" w14:paraId="6A435DD9" w14:textId="77777777">
      <w:pPr>
        <w:spacing w:after="0" w:line="240" w:lineRule="auto"/>
        <w:rPr>
          <w:rFonts w:ascii="Century Gothic" w:hAnsi="Century Gothic"/>
          <w:b/>
          <w:color w:val="404040" w:themeColor="text1" w:themeTint="BF"/>
        </w:rPr>
      </w:pPr>
    </w:p>
    <w:bookmarkEnd w:id="1"/>
    <w:p w:rsidRPr="00322A85" w:rsidR="00127233" w:rsidP="00D15909" w:rsidRDefault="00127233" w14:paraId="0F293BF4" w14:textId="7BBFAB11">
      <w:pPr>
        <w:spacing w:after="0"/>
        <w:rPr>
          <w:rFonts w:ascii="Century Gothic" w:hAnsi="Century Gothic"/>
        </w:rPr>
      </w:pPr>
    </w:p>
    <w:sectPr w:rsidRPr="00322A85" w:rsidR="00127233" w:rsidSect="002E4FD9">
      <w:headerReference w:type="default" r:id="rId18"/>
      <w:footerReference w:type="default" r:id="rId19"/>
      <w:pgSz w:w="12240" w:h="15840" w:orient="portrait" w:code="1"/>
      <w:pgMar w:top="1418" w:right="1701" w:bottom="1418" w:left="1701" w:header="709"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845D3" w:rsidP="004A1847" w:rsidRDefault="007845D3" w14:paraId="648AD80C" w14:textId="77777777">
      <w:pPr>
        <w:spacing w:after="0" w:line="240" w:lineRule="auto"/>
      </w:pPr>
      <w:r>
        <w:separator/>
      </w:r>
    </w:p>
  </w:endnote>
  <w:endnote w:type="continuationSeparator" w:id="0">
    <w:p w:rsidR="007845D3" w:rsidP="004A1847" w:rsidRDefault="007845D3" w14:paraId="37F64BA5" w14:textId="77777777">
      <w:pPr>
        <w:spacing w:after="0" w:line="240" w:lineRule="auto"/>
      </w:pPr>
      <w:r>
        <w:continuationSeparator/>
      </w:r>
    </w:p>
  </w:endnote>
  <w:endnote w:type="continuationNotice" w:id="1">
    <w:p w:rsidR="00E37F5B" w:rsidRDefault="00E37F5B" w14:paraId="15BE4BDD"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altName w:val="Calibri"/>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4A1847" w:rsidRDefault="009419F9" w14:paraId="18911A32" w14:textId="3BA5BB2D">
    <w:pPr>
      <w:pStyle w:val="Footer"/>
    </w:pPr>
    <w:r>
      <w:rPr>
        <w:noProof/>
      </w:rPr>
      <w:drawing>
        <wp:inline distT="0" distB="0" distL="0" distR="0" wp14:anchorId="600A8696" wp14:editId="357635FE">
          <wp:extent cx="5612130" cy="650240"/>
          <wp:effectExtent l="0" t="0" r="7620" b="0"/>
          <wp:docPr id="1013471023" name="Picture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Picture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89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4A0" w:firstRow="1" w:lastRow="0" w:firstColumn="1" w:lastColumn="0" w:noHBand="0" w:noVBand="1"/>
    </w:tblPr>
    <w:tblGrid>
      <w:gridCol w:w="1271"/>
      <w:gridCol w:w="2693"/>
      <w:gridCol w:w="2699"/>
      <w:gridCol w:w="2268"/>
    </w:tblGrid>
    <w:tr w:rsidRPr="00080DA3" w:rsidR="00FC2B5D" w:rsidTr="00B72CD3" w14:paraId="0534DA7F" w14:textId="77777777">
      <w:trPr>
        <w:trHeight w:val="229"/>
        <w:jc w:val="center"/>
      </w:trPr>
      <w:tc>
        <w:tcPr>
          <w:tcW w:w="1271"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322A85" w:rsidP="00322A85" w:rsidRDefault="003F3941" w14:paraId="171D456F" w14:textId="56C74A82">
          <w:pPr>
            <w:pStyle w:val="Footer"/>
            <w:jc w:val="center"/>
            <w:rPr>
              <w:rFonts w:ascii="Century Gothic" w:hAnsi="Century Gothic"/>
              <w:sz w:val="16"/>
              <w:szCs w:val="16"/>
            </w:rPr>
          </w:pPr>
          <w:r w:rsidRPr="003F3941">
            <w:rPr>
              <w:rFonts w:ascii="Century Gothic" w:hAnsi="Century Gothic"/>
              <w:sz w:val="16"/>
              <w:szCs w:val="16"/>
            </w:rPr>
            <w:t>VERSIÓN: 0</w:t>
          </w:r>
          <w:r w:rsidR="00322A85">
            <w:rPr>
              <w:rFonts w:ascii="Century Gothic" w:hAnsi="Century Gothic"/>
              <w:sz w:val="16"/>
              <w:szCs w:val="16"/>
            </w:rPr>
            <w:t>2</w:t>
          </w:r>
        </w:p>
      </w:tc>
      <w:tc>
        <w:tcPr>
          <w:tcW w:w="2693"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FC2B5D" w:rsidP="006219F8" w:rsidRDefault="003F3941" w14:paraId="10C74553" w14:textId="54155018">
          <w:pPr>
            <w:pStyle w:val="Footer"/>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hAnsi="Century Gothic" w:eastAsia="Geo" w:cs="Geo"/>
              <w:b/>
              <w:color w:val="000000"/>
              <w:sz w:val="16"/>
              <w:szCs w:val="16"/>
              <w:lang w:eastAsia="es-CO"/>
            </w:rPr>
            <w:t>CCE-</w:t>
          </w:r>
          <w:r w:rsidR="00B72CD3">
            <w:rPr>
              <w:rFonts w:ascii="Century Gothic" w:hAnsi="Century Gothic" w:eastAsia="Geo" w:cs="Geo"/>
              <w:b/>
              <w:color w:val="000000"/>
              <w:sz w:val="16"/>
              <w:szCs w:val="16"/>
              <w:lang w:eastAsia="es-CO"/>
            </w:rPr>
            <w:t>REC</w:t>
          </w:r>
          <w:r w:rsidRPr="003F3941">
            <w:rPr>
              <w:rFonts w:ascii="Century Gothic" w:hAnsi="Century Gothic" w:eastAsia="Geo" w:cs="Geo"/>
              <w:b/>
              <w:color w:val="000000"/>
              <w:sz w:val="16"/>
              <w:szCs w:val="16"/>
              <w:lang w:eastAsia="es-CO"/>
            </w:rPr>
            <w:t>-FM-</w:t>
          </w:r>
          <w:r w:rsidR="00CB6357">
            <w:rPr>
              <w:rFonts w:ascii="Century Gothic" w:hAnsi="Century Gothic" w:eastAsia="Geo" w:cs="Geo"/>
              <w:b/>
              <w:color w:val="000000"/>
              <w:sz w:val="16"/>
              <w:szCs w:val="16"/>
              <w:lang w:eastAsia="es-CO"/>
            </w:rPr>
            <w:t>1</w:t>
          </w:r>
          <w:r w:rsidR="00061B2A">
            <w:rPr>
              <w:rFonts w:ascii="Century Gothic" w:hAnsi="Century Gothic" w:eastAsia="Geo" w:cs="Geo"/>
              <w:b/>
              <w:color w:val="000000"/>
              <w:sz w:val="16"/>
              <w:szCs w:val="16"/>
              <w:lang w:eastAsia="es-CO"/>
            </w:rPr>
            <w:t>7</w:t>
          </w:r>
        </w:p>
      </w:tc>
      <w:tc>
        <w:tcPr>
          <w:tcW w:w="2699"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FC2B5D" w:rsidP="00FC2B5D" w:rsidRDefault="003F3941" w14:paraId="5B51611F" w14:textId="5F4E4C24">
          <w:pPr>
            <w:pStyle w:val="Footer"/>
            <w:rPr>
              <w:rFonts w:ascii="Century Gothic" w:hAnsi="Century Gothic"/>
              <w:sz w:val="16"/>
              <w:szCs w:val="16"/>
            </w:rPr>
          </w:pPr>
          <w:r w:rsidRPr="003F3941">
            <w:rPr>
              <w:rFonts w:ascii="Century Gothic" w:hAnsi="Century Gothic"/>
              <w:sz w:val="16"/>
              <w:szCs w:val="16"/>
            </w:rPr>
            <w:t xml:space="preserve">FECHA: </w:t>
          </w:r>
          <w:r w:rsidR="002E4FD9">
            <w:rPr>
              <w:rFonts w:ascii="Century Gothic" w:hAnsi="Century Gothic"/>
              <w:sz w:val="16"/>
              <w:szCs w:val="16"/>
            </w:rPr>
            <w:t>31</w:t>
          </w:r>
          <w:r w:rsidRPr="003F3941">
            <w:rPr>
              <w:rFonts w:ascii="Century Gothic" w:hAnsi="Century Gothic"/>
              <w:sz w:val="16"/>
              <w:szCs w:val="16"/>
            </w:rPr>
            <w:t xml:space="preserve"> DE </w:t>
          </w:r>
          <w:r w:rsidR="00322A85">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color="808080" w:themeColor="background1" w:themeShade="80" w:sz="4" w:space="0"/>
            <w:left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3F3941" w:rsidR="00FC2B5D" w:rsidP="00820278" w:rsidRDefault="003F3941" w14:paraId="6C25E7A7" w14:textId="6039C9C7">
          <w:pPr>
            <w:pStyle w:val="Footer"/>
            <w:rPr>
              <w:rFonts w:ascii="Century Gothic" w:hAnsi="Century Gothic"/>
              <w:sz w:val="16"/>
              <w:szCs w:val="16"/>
            </w:rPr>
          </w:pPr>
          <w:r w:rsidRPr="003F3941">
            <w:rPr>
              <w:rFonts w:ascii="Century Gothic" w:hAnsi="Century Gothic"/>
              <w:sz w:val="16"/>
              <w:szCs w:val="16"/>
            </w:rPr>
            <w:t xml:space="preserve">  PÁGINA </w:t>
          </w:r>
          <w:r w:rsidRPr="003F3941" w:rsidR="00FC2B5D">
            <w:rPr>
              <w:rFonts w:ascii="Century Gothic" w:hAnsi="Century Gothic"/>
              <w:b/>
              <w:bCs/>
              <w:sz w:val="16"/>
              <w:szCs w:val="16"/>
            </w:rPr>
            <w:fldChar w:fldCharType="begin"/>
          </w:r>
          <w:r w:rsidRPr="003F3941" w:rsidR="00FC2B5D">
            <w:rPr>
              <w:rFonts w:ascii="Century Gothic" w:hAnsi="Century Gothic"/>
              <w:b/>
              <w:bCs/>
              <w:sz w:val="16"/>
              <w:szCs w:val="16"/>
            </w:rPr>
            <w:instrText>PAGE  \* Arabic  \* MERGEFORMAT</w:instrText>
          </w:r>
          <w:r w:rsidRPr="003F3941" w:rsidR="00FC2B5D">
            <w:rPr>
              <w:rFonts w:ascii="Century Gothic" w:hAnsi="Century Gothic"/>
              <w:b/>
              <w:bCs/>
              <w:sz w:val="16"/>
              <w:szCs w:val="16"/>
            </w:rPr>
            <w:fldChar w:fldCharType="separate"/>
          </w:r>
          <w:r w:rsidRPr="003F3941">
            <w:rPr>
              <w:rFonts w:ascii="Century Gothic" w:hAnsi="Century Gothic"/>
              <w:b/>
              <w:bCs/>
              <w:sz w:val="16"/>
              <w:szCs w:val="16"/>
            </w:rPr>
            <w:t>1</w:t>
          </w:r>
          <w:r w:rsidRPr="003F3941" w:rsidR="00FC2B5D">
            <w:rPr>
              <w:rFonts w:ascii="Century Gothic" w:hAnsi="Century Gothic"/>
              <w:b/>
              <w:bCs/>
              <w:sz w:val="16"/>
              <w:szCs w:val="16"/>
            </w:rPr>
            <w:fldChar w:fldCharType="end"/>
          </w:r>
          <w:r w:rsidRPr="003F3941">
            <w:rPr>
              <w:rFonts w:ascii="Century Gothic" w:hAnsi="Century Gothic"/>
              <w:sz w:val="16"/>
              <w:szCs w:val="16"/>
            </w:rPr>
            <w:t xml:space="preserve"> DE </w:t>
          </w:r>
          <w:r w:rsidRPr="003F3941" w:rsidR="00FC2B5D">
            <w:rPr>
              <w:rFonts w:ascii="Century Gothic" w:hAnsi="Century Gothic"/>
              <w:b/>
              <w:bCs/>
              <w:sz w:val="16"/>
              <w:szCs w:val="16"/>
            </w:rPr>
            <w:fldChar w:fldCharType="begin"/>
          </w:r>
          <w:r w:rsidRPr="003F3941" w:rsidR="00FC2B5D">
            <w:rPr>
              <w:rFonts w:ascii="Century Gothic" w:hAnsi="Century Gothic"/>
              <w:b/>
              <w:bCs/>
              <w:sz w:val="16"/>
              <w:szCs w:val="16"/>
            </w:rPr>
            <w:instrText>NUMPAGES  \* Arabic  \* MERGEFORMAT</w:instrText>
          </w:r>
          <w:r w:rsidRPr="003F3941" w:rsidR="00FC2B5D">
            <w:rPr>
              <w:rFonts w:ascii="Century Gothic" w:hAnsi="Century Gothic"/>
              <w:b/>
              <w:bCs/>
              <w:sz w:val="16"/>
              <w:szCs w:val="16"/>
            </w:rPr>
            <w:fldChar w:fldCharType="separate"/>
          </w:r>
          <w:r w:rsidRPr="003F3941">
            <w:rPr>
              <w:rFonts w:ascii="Century Gothic" w:hAnsi="Century Gothic"/>
              <w:b/>
              <w:bCs/>
              <w:sz w:val="16"/>
              <w:szCs w:val="16"/>
            </w:rPr>
            <w:t>2</w:t>
          </w:r>
          <w:r w:rsidRPr="003F3941" w:rsidR="00FC2B5D">
            <w:rPr>
              <w:rFonts w:ascii="Century Gothic" w:hAnsi="Century Gothic"/>
              <w:b/>
              <w:bCs/>
              <w:sz w:val="16"/>
              <w:szCs w:val="16"/>
            </w:rPr>
            <w:fldChar w:fldCharType="end"/>
          </w:r>
        </w:p>
      </w:tc>
    </w:tr>
  </w:tbl>
  <w:p w:rsidR="006219F8" w:rsidP="003E0499" w:rsidRDefault="006219F8" w14:paraId="744661F5" w14:textId="3FCEAD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845D3" w:rsidP="004A1847" w:rsidRDefault="007845D3" w14:paraId="150DF6DB" w14:textId="77777777">
      <w:pPr>
        <w:spacing w:after="0" w:line="240" w:lineRule="auto"/>
      </w:pPr>
      <w:r>
        <w:separator/>
      </w:r>
    </w:p>
  </w:footnote>
  <w:footnote w:type="continuationSeparator" w:id="0">
    <w:p w:rsidR="007845D3" w:rsidP="004A1847" w:rsidRDefault="007845D3" w14:paraId="1D345E95" w14:textId="77777777">
      <w:pPr>
        <w:spacing w:after="0" w:line="240" w:lineRule="auto"/>
      </w:pPr>
      <w:r>
        <w:continuationSeparator/>
      </w:r>
    </w:p>
  </w:footnote>
  <w:footnote w:type="continuationNotice" w:id="1">
    <w:p w:rsidR="00E37F5B" w:rsidRDefault="00E37F5B" w14:paraId="543E9CF4" w14:textId="77777777">
      <w:pPr>
        <w:spacing w:after="0" w:line="240" w:lineRule="auto"/>
      </w:pPr>
    </w:p>
  </w:footnote>
  <w:footnote w:id="2">
    <w:p w:rsidRPr="00CD3CEA" w:rsidR="00D15909" w:rsidP="00D15909" w:rsidRDefault="00D15909" w14:paraId="1A2D0D29" w14:textId="77777777">
      <w:pPr>
        <w:pStyle w:val="FootnoteText"/>
        <w:ind w:firstLine="708"/>
        <w:jc w:val="both"/>
        <w:rPr>
          <w:rFonts w:ascii="Century Gothic" w:hAnsi="Century Gothic" w:cs="Arial"/>
          <w:sz w:val="18"/>
          <w:szCs w:val="18"/>
          <w:lang w:val="es-ES"/>
        </w:rPr>
      </w:pPr>
      <w:r w:rsidRPr="00CD3CEA">
        <w:rPr>
          <w:rStyle w:val="FootnoteReference"/>
          <w:rFonts w:ascii="Century Gothic" w:hAnsi="Century Gothic" w:cs="Arial"/>
          <w:sz w:val="18"/>
          <w:szCs w:val="18"/>
        </w:rPr>
        <w:footnoteRef/>
      </w:r>
      <w:r w:rsidRPr="00CD3CEA">
        <w:rPr>
          <w:rFonts w:ascii="Century Gothic" w:hAnsi="Century Gothic" w:cs="Arial"/>
          <w:sz w:val="18"/>
          <w:szCs w:val="18"/>
        </w:rPr>
        <w:t xml:space="preserve"> La Agencia Nacional de Contratación Pública </w:t>
      </w:r>
      <w:r w:rsidRPr="00CD3CEA">
        <w:rPr>
          <w:rFonts w:ascii="Arial" w:hAnsi="Arial" w:cs="Arial"/>
          <w:sz w:val="18"/>
          <w:szCs w:val="18"/>
        </w:rPr>
        <w:t>‒</w:t>
      </w:r>
      <w:r w:rsidRPr="00CD3CEA">
        <w:rPr>
          <w:rFonts w:ascii="Century Gothic" w:hAnsi="Century Gothic" w:cs="Arial"/>
          <w:sz w:val="18"/>
          <w:szCs w:val="18"/>
        </w:rPr>
        <w:t xml:space="preserve"> Colombia Compra Eficiente fue creada por el Decreto Ley 4170 de 2011. Su objetivo es servir como ente rector de la pol</w:t>
      </w:r>
      <w:r w:rsidRPr="00CD3CEA">
        <w:rPr>
          <w:rFonts w:ascii="Century Gothic" w:hAnsi="Century Gothic" w:cs="Century Gothic"/>
          <w:sz w:val="18"/>
          <w:szCs w:val="18"/>
        </w:rPr>
        <w:t>í</w:t>
      </w:r>
      <w:r w:rsidRPr="00CD3CEA">
        <w:rPr>
          <w:rFonts w:ascii="Century Gothic" w:hAnsi="Century Gothic" w:cs="Arial"/>
          <w:sz w:val="18"/>
          <w:szCs w:val="18"/>
        </w:rPr>
        <w:t>tica de compras y contrataci</w:t>
      </w:r>
      <w:r w:rsidRPr="00CD3CEA">
        <w:rPr>
          <w:rFonts w:ascii="Century Gothic" w:hAnsi="Century Gothic" w:cs="Century Gothic"/>
          <w:sz w:val="18"/>
          <w:szCs w:val="18"/>
        </w:rPr>
        <w:t>ó</w:t>
      </w:r>
      <w:r w:rsidRPr="00CD3CEA">
        <w:rPr>
          <w:rFonts w:ascii="Century Gothic" w:hAnsi="Century Gothic" w:cs="Arial"/>
          <w:sz w:val="18"/>
          <w:szCs w:val="18"/>
        </w:rPr>
        <w:t xml:space="preserve">n del Estado. Para tales fines, como </w:t>
      </w:r>
      <w:r w:rsidRPr="00CD3CEA">
        <w:rPr>
          <w:rFonts w:ascii="Century Gothic" w:hAnsi="Century Gothic" w:cs="Century Gothic"/>
          <w:sz w:val="18"/>
          <w:szCs w:val="18"/>
        </w:rPr>
        <w:t>ó</w:t>
      </w:r>
      <w:r w:rsidRPr="00CD3CEA">
        <w:rPr>
          <w:rFonts w:ascii="Century Gothic" w:hAnsi="Century Gothic" w:cs="Arial"/>
          <w:sz w:val="18"/>
          <w:szCs w:val="18"/>
        </w:rPr>
        <w:t>rgano t</w:t>
      </w:r>
      <w:r w:rsidRPr="00CD3CEA">
        <w:rPr>
          <w:rFonts w:ascii="Century Gothic" w:hAnsi="Century Gothic" w:cs="Century Gothic"/>
          <w:sz w:val="18"/>
          <w:szCs w:val="18"/>
        </w:rPr>
        <w:t>é</w:t>
      </w:r>
      <w:r w:rsidRPr="00CD3CEA">
        <w:rPr>
          <w:rFonts w:ascii="Century Gothic" w:hAnsi="Century Gothic" w:cs="Arial"/>
          <w:sz w:val="18"/>
          <w:szCs w:val="18"/>
        </w:rPr>
        <w:t>cnico especializado, le corresponde formular pol</w:t>
      </w:r>
      <w:r w:rsidRPr="00CD3CEA">
        <w:rPr>
          <w:rFonts w:ascii="Century Gothic" w:hAnsi="Century Gothic" w:cs="Century Gothic"/>
          <w:sz w:val="18"/>
          <w:szCs w:val="18"/>
        </w:rPr>
        <w:t>í</w:t>
      </w:r>
      <w:r w:rsidRPr="00CD3CEA">
        <w:rPr>
          <w:rFonts w:ascii="Century Gothic" w:hAnsi="Century Gothic" w:cs="Arial"/>
          <w:sz w:val="18"/>
          <w:szCs w:val="18"/>
        </w:rPr>
        <w:t>ticas p</w:t>
      </w:r>
      <w:r w:rsidRPr="00CD3CEA">
        <w:rPr>
          <w:rFonts w:ascii="Century Gothic" w:hAnsi="Century Gothic" w:cs="Century Gothic"/>
          <w:sz w:val="18"/>
          <w:szCs w:val="18"/>
        </w:rPr>
        <w:t>ú</w:t>
      </w:r>
      <w:r w:rsidRPr="00CD3CEA">
        <w:rPr>
          <w:rFonts w:ascii="Century Gothic" w:hAnsi="Century Gothic" w:cs="Arial"/>
          <w:sz w:val="18"/>
          <w:szCs w:val="18"/>
        </w:rPr>
        <w:t>blicas y normas y unificar los procesos de contrataci</w:t>
      </w:r>
      <w:r w:rsidRPr="00CD3CEA">
        <w:rPr>
          <w:rFonts w:ascii="Century Gothic" w:hAnsi="Century Gothic" w:cs="Century Gothic"/>
          <w:sz w:val="18"/>
          <w:szCs w:val="18"/>
        </w:rPr>
        <w:t>ó</w:t>
      </w:r>
      <w:r w:rsidRPr="00CD3CEA">
        <w:rPr>
          <w:rFonts w:ascii="Century Gothic" w:hAnsi="Century Gothic" w:cs="Arial"/>
          <w:sz w:val="18"/>
          <w:szCs w:val="18"/>
        </w:rPr>
        <w:t>n estatal, con el fin de lograr una mayor eficiencia, transparencia y optimizaci</w:t>
      </w:r>
      <w:r w:rsidRPr="00CD3CEA">
        <w:rPr>
          <w:rFonts w:ascii="Century Gothic" w:hAnsi="Century Gothic" w:cs="Century Gothic"/>
          <w:sz w:val="18"/>
          <w:szCs w:val="18"/>
        </w:rPr>
        <w:t>ó</w:t>
      </w:r>
      <w:r w:rsidRPr="00CD3CEA">
        <w:rPr>
          <w:rFonts w:ascii="Century Gothic" w:hAnsi="Century Gothic" w:cs="Arial"/>
          <w:sz w:val="18"/>
          <w:szCs w:val="18"/>
        </w:rPr>
        <w:t>n de los recursos del Estado. El art</w:t>
      </w:r>
      <w:r w:rsidRPr="00CD3CEA">
        <w:rPr>
          <w:rFonts w:ascii="Century Gothic" w:hAnsi="Century Gothic" w:cs="Century Gothic"/>
          <w:sz w:val="18"/>
          <w:szCs w:val="18"/>
        </w:rPr>
        <w:t>í</w:t>
      </w:r>
      <w:r w:rsidRPr="00CD3CEA">
        <w:rPr>
          <w:rFonts w:ascii="Century Gothic" w:hAnsi="Century Gothic" w:cs="Arial"/>
          <w:sz w:val="18"/>
          <w:szCs w:val="18"/>
        </w:rPr>
        <w:t xml:space="preserve">culo 3 </w:t>
      </w:r>
      <w:r w:rsidRPr="00CD3CEA">
        <w:rPr>
          <w:rFonts w:ascii="Century Gothic" w:hAnsi="Century Gothic" w:cs="Arial"/>
          <w:i/>
          <w:iCs/>
          <w:sz w:val="18"/>
          <w:szCs w:val="18"/>
        </w:rPr>
        <w:t xml:space="preserve">ibidem </w:t>
      </w:r>
      <w:r w:rsidRPr="00CD3CEA">
        <w:rPr>
          <w:rFonts w:ascii="Century Gothic" w:hAnsi="Century Gothic" w:cs="Arial"/>
          <w:sz w:val="18"/>
          <w:szCs w:val="18"/>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rsidRPr="00341251" w:rsidR="00AE56BB" w:rsidP="00AE56BB" w:rsidRDefault="00AE56BB" w14:paraId="69600827" w14:textId="77777777">
      <w:pPr>
        <w:pStyle w:val="FootnoteText"/>
        <w:ind w:firstLine="708"/>
        <w:contextualSpacing/>
        <w:jc w:val="both"/>
        <w:rPr>
          <w:rFonts w:ascii="Century Gothic" w:hAnsi="Century Gothic" w:cs="Arial"/>
          <w:sz w:val="18"/>
          <w:szCs w:val="18"/>
          <w:shd w:val="clear" w:color="auto" w:fill="E6E6E6"/>
        </w:rPr>
      </w:pPr>
      <w:r w:rsidRPr="00341251">
        <w:rPr>
          <w:rFonts w:ascii="Century Gothic" w:hAnsi="Century Gothic" w:cs="Arial"/>
          <w:sz w:val="18"/>
          <w:szCs w:val="18"/>
          <w:vertAlign w:val="superscript"/>
        </w:rPr>
        <w:footnoteRef/>
      </w:r>
      <w:r w:rsidRPr="00341251">
        <w:rPr>
          <w:rFonts w:ascii="Century Gothic" w:hAnsi="Century Gothic" w:cs="Arial"/>
          <w:sz w:val="18"/>
          <w:szCs w:val="18"/>
        </w:rPr>
        <w:t xml:space="preserve"> </w:t>
      </w:r>
      <w:bookmarkStart w:name="_Hlk143179195" w:id="3"/>
      <w:r w:rsidRPr="00341251">
        <w:rPr>
          <w:rFonts w:ascii="Century Gothic" w:hAnsi="Century Gothic" w:cs="Arial"/>
          <w:sz w:val="18"/>
          <w:szCs w:val="18"/>
        </w:rPr>
        <w:t xml:space="preserve">Los conceptos referenciados, así como otros expedidos por la Subdirección se encuentran disponibles para consulta pública en el portal de relatoría de la Agencia, al cual se puede acceder a través del siguiente enlace: </w:t>
      </w:r>
      <w:hyperlink w:history="1" r:id="rId1">
        <w:r w:rsidRPr="00341251">
          <w:rPr>
            <w:rStyle w:val="Hyperlink"/>
            <w:rFonts w:ascii="Century Gothic" w:hAnsi="Century Gothic" w:cs="Arial"/>
            <w:sz w:val="18"/>
            <w:szCs w:val="18"/>
          </w:rPr>
          <w:t>https://relatoria.colombiacompra.gov.co/busqueda/conceptos</w:t>
        </w:r>
      </w:hyperlink>
      <w:r w:rsidRPr="00341251">
        <w:rPr>
          <w:rFonts w:ascii="Century Gothic" w:hAnsi="Century Gothic" w:cs="Arial"/>
          <w:sz w:val="18"/>
          <w:szCs w:val="18"/>
          <w:shd w:val="clear" w:color="auto" w:fill="E6E6E6"/>
        </w:rPr>
        <w:t xml:space="preserve"> </w:t>
      </w:r>
      <w:bookmarkEnd w:id="3"/>
    </w:p>
    <w:p w:rsidRPr="00341251" w:rsidR="00AE56BB" w:rsidP="00AE56BB" w:rsidRDefault="00AE56BB" w14:paraId="24259F7B" w14:textId="77777777">
      <w:pPr>
        <w:pStyle w:val="FootnoteText"/>
        <w:ind w:firstLine="708"/>
        <w:contextualSpacing/>
        <w:jc w:val="both"/>
        <w:rPr>
          <w:rFonts w:ascii="Century Gothic" w:hAnsi="Century Gothic" w:cs="Arial"/>
          <w:sz w:val="18"/>
          <w:szCs w:val="18"/>
        </w:rPr>
      </w:pPr>
    </w:p>
  </w:footnote>
  <w:footnote w:id="4">
    <w:p w:rsidRPr="0084733A" w:rsidR="00D15909" w:rsidP="00D15909" w:rsidRDefault="00D15909" w14:paraId="4D5EA05B" w14:textId="77777777">
      <w:pPr>
        <w:pStyle w:val="FootnoteText"/>
        <w:rPr>
          <w:lang w:val="es-CO"/>
        </w:rPr>
      </w:pPr>
      <w:r>
        <w:rPr>
          <w:rStyle w:val="FootnoteReference"/>
        </w:rPr>
        <w:footnoteRef/>
      </w:r>
      <w:r>
        <w:t xml:space="preserve"> </w:t>
      </w:r>
      <w:r w:rsidRPr="0084733A">
        <w:rPr>
          <w:rFonts w:ascii="Century Gothic" w:hAnsi="Century Gothic" w:cs="Arial"/>
          <w:sz w:val="18"/>
          <w:szCs w:val="18"/>
        </w:rPr>
        <w:t>Corte Constitucional. Sentencia C-317 de 2012. M.P. María Victoria Calle Correa</w:t>
      </w:r>
      <w:r w:rsidRPr="000D5EF9">
        <w:rPr>
          <w:rFonts w:ascii="Arial" w:hAnsi="Arial" w:cs="Arial"/>
          <w:sz w:val="19"/>
          <w:szCs w:val="19"/>
        </w:rPr>
        <w:t>.</w:t>
      </w:r>
    </w:p>
  </w:footnote>
  <w:footnote w:id="5">
    <w:p w:rsidRPr="0084733A" w:rsidR="00D15909" w:rsidP="00D15909" w:rsidRDefault="00D15909" w14:paraId="423AA152" w14:textId="77777777">
      <w:pPr>
        <w:pStyle w:val="FootnoteText"/>
        <w:rPr>
          <w:lang w:val="es-CO"/>
        </w:rPr>
      </w:pPr>
      <w:r>
        <w:rPr>
          <w:rStyle w:val="FootnoteReference"/>
        </w:rPr>
        <w:footnoteRef/>
      </w:r>
      <w:r>
        <w:t xml:space="preserve"> </w:t>
      </w:r>
      <w:r w:rsidRPr="0084733A">
        <w:rPr>
          <w:rFonts w:ascii="Century Gothic" w:hAnsi="Century Gothic" w:cs="Arial"/>
          <w:sz w:val="18"/>
          <w:szCs w:val="18"/>
        </w:rPr>
        <w:t>Así se desprende del primer inciso de aquel artículo, que dice: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footnote>
  <w:footnote w:id="6">
    <w:p w:rsidRPr="0084733A" w:rsidR="00D15909" w:rsidP="00D15909" w:rsidRDefault="00D15909" w14:paraId="5E4B8D98" w14:textId="77777777">
      <w:pPr>
        <w:pStyle w:val="FootnoteText"/>
        <w:rPr>
          <w:lang w:val="es-CO"/>
        </w:rPr>
      </w:pPr>
      <w:r>
        <w:rPr>
          <w:rStyle w:val="FootnoteReference"/>
        </w:rPr>
        <w:footnoteRef/>
      </w:r>
      <w:r>
        <w:t xml:space="preserve"> </w:t>
      </w:r>
      <w:r w:rsidRPr="0084733A">
        <w:rPr>
          <w:rFonts w:ascii="Century Gothic" w:hAnsi="Century Gothic" w:cs="Arial"/>
          <w:sz w:val="18"/>
          <w:szCs w:val="18"/>
        </w:rPr>
        <w:t>Se entiende por entidades de régimen especial aquellas que tienen un régimen contractual distinto al Estatuto General de Contratación de la Administración Pública, y que por regla general se rigen por el derecho privado</w:t>
      </w:r>
    </w:p>
  </w:footnote>
  <w:footnote w:id="7">
    <w:p w:rsidRPr="007B6CFE" w:rsidR="00D15909" w:rsidP="00D15909" w:rsidRDefault="00D15909" w14:paraId="1383F303" w14:textId="77777777">
      <w:pPr>
        <w:pStyle w:val="FootnoteText"/>
        <w:ind w:firstLine="709"/>
        <w:jc w:val="both"/>
        <w:rPr>
          <w:rFonts w:ascii="Century Gothic" w:hAnsi="Century Gothic" w:cs="Arial"/>
          <w:sz w:val="18"/>
          <w:szCs w:val="18"/>
        </w:rPr>
      </w:pPr>
      <w:r>
        <w:rPr>
          <w:rStyle w:val="FootnoteReference"/>
        </w:rPr>
        <w:footnoteRef/>
      </w:r>
      <w:r>
        <w:t xml:space="preserve"> </w:t>
      </w:r>
      <w:r w:rsidRPr="007B6CFE">
        <w:rPr>
          <w:rFonts w:ascii="Century Gothic" w:hAnsi="Century Gothic" w:cs="Arial"/>
          <w:sz w:val="18"/>
          <w:szCs w:val="18"/>
        </w:rPr>
        <w:t>La posibilidad de realizar la audiencia por medios electrónicos cuenta con un fundamento adicional actual, en el Decreto Legislativo 537 de 2020, que establece lo siguiente: “Artículo 2. Adiciónese los siguientes incisos al artículo 86 de la Ley 1474 de 2011, así:</w:t>
      </w:r>
    </w:p>
    <w:p w:rsidRPr="007B6CFE" w:rsidR="00D15909" w:rsidP="00D15909" w:rsidRDefault="00D15909" w14:paraId="480E780E" w14:textId="77777777">
      <w:pPr>
        <w:pStyle w:val="FootnoteText"/>
        <w:ind w:firstLine="709"/>
        <w:jc w:val="both"/>
        <w:rPr>
          <w:rFonts w:ascii="Century Gothic" w:hAnsi="Century Gothic" w:cs="Arial"/>
          <w:sz w:val="18"/>
          <w:szCs w:val="18"/>
        </w:rPr>
      </w:pPr>
      <w:r w:rsidRPr="007B6CFE">
        <w:rPr>
          <w:rFonts w:ascii="Century Gothic" w:hAnsi="Century Gothic" w:cs="Arial"/>
          <w:sz w:val="18"/>
          <w:szCs w:val="18"/>
        </w:rPr>
        <w:t>“Procedimientos sancionatorios. Durante la vigencia de la Emergencia Sanitaria declarada por el Ministerio de Salud y Protección Social, con ocasión de la pandemia derivada del Coronavirus COVID-19, las audiencias programadas de conformidad con el procedimiento establecido en el presente artículo se podrán realizar a través de medios electrónicos, los cuales deberán garantizar el acceso de los contratistas y de quienes hayan expedido la garantía.</w:t>
      </w:r>
    </w:p>
    <w:p w:rsidRPr="007B6CFE" w:rsidR="00D15909" w:rsidP="00D15909" w:rsidRDefault="00D15909" w14:paraId="6E20933D" w14:textId="77777777">
      <w:pPr>
        <w:pStyle w:val="FootnoteText"/>
        <w:ind w:firstLine="709"/>
        <w:jc w:val="both"/>
        <w:rPr>
          <w:rFonts w:ascii="Century Gothic" w:hAnsi="Century Gothic" w:cs="Arial"/>
          <w:sz w:val="18"/>
          <w:szCs w:val="18"/>
        </w:rPr>
      </w:pPr>
      <w:r w:rsidRPr="007B6CFE">
        <w:rPr>
          <w:rFonts w:ascii="Century Gothic" w:hAnsi="Century Gothic" w:cs="Arial"/>
          <w:sz w:val="18"/>
          <w:szCs w:val="18"/>
        </w:rPr>
        <w:t>La entidad estatal debe elegir y garantizar los medios electrónicos y de comunicación que utilizará, así como los mecanismos para el registro de la Información generada.</w:t>
      </w:r>
    </w:p>
    <w:p w:rsidRPr="007B6CFE" w:rsidR="00D15909" w:rsidP="00D15909" w:rsidRDefault="00D15909" w14:paraId="72BD8969" w14:textId="77777777">
      <w:pPr>
        <w:pStyle w:val="FootnoteText"/>
        <w:ind w:firstLine="709"/>
        <w:jc w:val="both"/>
        <w:rPr>
          <w:lang w:val="es-CO"/>
        </w:rPr>
      </w:pPr>
      <w:r w:rsidRPr="007B6CFE">
        <w:rPr>
          <w:rFonts w:ascii="Century Gothic" w:hAnsi="Century Gothic" w:cs="Arial"/>
          <w:sz w:val="18"/>
          <w:szCs w:val="18"/>
        </w:rPr>
        <w:t>Sin perjuicio de lo anterior, el ordenador del gasto o funcionario competente podrá decretar la suspensión de términos, inclusive los iniciados con anterioridad a la vigencia de este Decreto”.</w:t>
      </w:r>
    </w:p>
  </w:footnote>
  <w:footnote w:id="8">
    <w:p w:rsidRPr="0055156D" w:rsidR="00D15909" w:rsidP="00D15909" w:rsidRDefault="00D15909" w14:paraId="6C4D83E4" w14:textId="77777777">
      <w:pPr>
        <w:pStyle w:val="FootnoteText"/>
        <w:rPr>
          <w:lang w:val="es-CO"/>
        </w:rPr>
      </w:pPr>
      <w:r>
        <w:rPr>
          <w:rStyle w:val="FootnoteReference"/>
        </w:rPr>
        <w:footnoteRef/>
      </w:r>
      <w:r>
        <w:t xml:space="preserve"> </w:t>
      </w:r>
      <w:r w:rsidRPr="0055156D">
        <w:rPr>
          <w:rFonts w:ascii="Century Gothic" w:hAnsi="Century Gothic" w:cs="Arial"/>
          <w:sz w:val="18"/>
          <w:szCs w:val="18"/>
        </w:rPr>
        <w:t>En este sentido, Suárez Tamayo indica: «La citación debe hacerse con un plazo anterior a la audiencia, razonable y suficiente, de modo que el contratista y la aseguradora puedan prepararse para la misma. Dado que la norma no estipuló dicho término se considera que el mismo no debería ser inferior, como mínimo de cinco (5) días hábiles, según la complejidad del hecho que genera la citación a audiencia, plazo que es el que comúnmente utiliza la legislación colombiana para hacer por ejemplo citaciones para notificaciones, o el que se utiliza por ejemplo para citar a audiencias en procesos disciplinarios verbales (Ley 734 de 2002)». (SUÁREZ TAMAYO, David. Cláusula de multas y penal pecuniaria. Medellín: Centro de Estudios de Derecho Administrativo –CEDA– y Librería Jurídica Sánchez, 2014. p. 165).</w:t>
      </w:r>
    </w:p>
  </w:footnote>
  <w:footnote w:id="9">
    <w:p w:rsidRPr="001D3E42" w:rsidR="00D15909" w:rsidP="00D15909" w:rsidRDefault="00D15909" w14:paraId="74C9C0AE" w14:textId="77777777">
      <w:pPr>
        <w:pStyle w:val="FootnoteText"/>
        <w:ind w:firstLine="709"/>
        <w:jc w:val="both"/>
        <w:rPr>
          <w:rFonts w:ascii="Century Gothic" w:hAnsi="Century Gothic" w:eastAsia="Calibri" w:cs="Arial"/>
          <w:color w:val="000000" w:themeColor="text1"/>
          <w:sz w:val="19"/>
          <w:szCs w:val="19"/>
          <w:lang w:val="es-ES_tradnl"/>
        </w:rPr>
      </w:pPr>
      <w:r w:rsidRPr="001D3E42">
        <w:rPr>
          <w:rStyle w:val="FootnoteReference"/>
          <w:rFonts w:ascii="Century Gothic" w:hAnsi="Century Gothic" w:cs="Arial"/>
          <w:color w:val="000000" w:themeColor="text1"/>
          <w:sz w:val="19"/>
          <w:szCs w:val="19"/>
        </w:rPr>
        <w:footnoteRef/>
      </w:r>
      <w:r w:rsidRPr="001D3E42">
        <w:rPr>
          <w:rFonts w:ascii="Century Gothic" w:hAnsi="Century Gothic" w:cs="Arial"/>
          <w:color w:val="000000" w:themeColor="text1"/>
          <w:sz w:val="19"/>
          <w:szCs w:val="19"/>
        </w:rPr>
        <w:t xml:space="preserve"> </w:t>
      </w:r>
      <w:r w:rsidRPr="001D3E42">
        <w:rPr>
          <w:rFonts w:ascii="Century Gothic" w:hAnsi="Century Gothic" w:eastAsia="Calibri" w:cs="Arial"/>
          <w:color w:val="000000" w:themeColor="text1"/>
          <w:sz w:val="19"/>
          <w:szCs w:val="19"/>
          <w:lang w:val="es-ES_tradnl"/>
        </w:rPr>
        <w:t>Cfr.</w:t>
      </w:r>
      <w:r w:rsidRPr="001D3E42">
        <w:rPr>
          <w:rFonts w:ascii="Century Gothic" w:hAnsi="Century Gothic" w:cs="Arial"/>
          <w:color w:val="000000" w:themeColor="text1"/>
          <w:sz w:val="19"/>
          <w:szCs w:val="19"/>
        </w:rPr>
        <w:t xml:space="preserve"> </w:t>
      </w:r>
      <w:r w:rsidRPr="001D3E42">
        <w:rPr>
          <w:rFonts w:ascii="Century Gothic" w:hAnsi="Century Gothic" w:eastAsia="Calibri" w:cs="Arial"/>
          <w:color w:val="000000" w:themeColor="text1"/>
          <w:sz w:val="19"/>
          <w:szCs w:val="19"/>
          <w:lang w:val="es-ES_tradnl"/>
        </w:rPr>
        <w:t>CONSEJO DE ESTADO. Sección Tercera. Subsección B. Sentencia del 30 de noviembre de 2016. Rad. 29.368. C.P. Ramiro Pazos Guerrero; Subsección B. Sentencia del 5 de diciembre de 2016. Rad. 35.057. C.P. Ramiro Pazos Guerrero; Subsección A. Sentencia del 27 de noviembre de 2013. Rad. 25.742. C.P. Mauricio Fajardo Gómez; Subsección C. Sentencia del 7 de junio de 2012. Rad. 22.899. C.P. Olga Melida Valle de De La Hoz, entre otras.</w:t>
      </w:r>
    </w:p>
    <w:p w:rsidRPr="001D3E42" w:rsidR="00D15909" w:rsidP="00D15909" w:rsidRDefault="00D15909" w14:paraId="7AF1C0FA" w14:textId="77777777">
      <w:pPr>
        <w:pStyle w:val="FootnoteText"/>
        <w:ind w:firstLine="709"/>
        <w:jc w:val="both"/>
        <w:rPr>
          <w:rFonts w:ascii="Century Gothic" w:hAnsi="Century Gothic" w:cs="Arial"/>
          <w:color w:val="000000" w:themeColor="text1"/>
          <w:sz w:val="19"/>
          <w:szCs w:val="19"/>
        </w:rPr>
      </w:pPr>
    </w:p>
  </w:footnote>
  <w:footnote w:id="10">
    <w:p w:rsidRPr="001D3E42" w:rsidR="00D15909" w:rsidP="00D15909" w:rsidRDefault="00D15909" w14:paraId="27853B12" w14:textId="77777777">
      <w:pPr>
        <w:pStyle w:val="FootnoteText"/>
        <w:ind w:firstLine="709"/>
        <w:jc w:val="both"/>
        <w:rPr>
          <w:rFonts w:ascii="Century Gothic" w:hAnsi="Century Gothic" w:cs="Arial"/>
          <w:color w:val="000000" w:themeColor="text1"/>
          <w:sz w:val="19"/>
          <w:szCs w:val="19"/>
        </w:rPr>
      </w:pPr>
      <w:r w:rsidRPr="001D3E42">
        <w:rPr>
          <w:rStyle w:val="FootnoteReference"/>
          <w:rFonts w:ascii="Century Gothic" w:hAnsi="Century Gothic" w:cs="Arial"/>
          <w:color w:val="000000" w:themeColor="text1"/>
          <w:sz w:val="19"/>
          <w:szCs w:val="19"/>
        </w:rPr>
        <w:footnoteRef/>
      </w:r>
      <w:r w:rsidRPr="001D3E42">
        <w:rPr>
          <w:rFonts w:ascii="Century Gothic" w:hAnsi="Century Gothic" w:cs="Arial"/>
          <w:color w:val="000000" w:themeColor="text1"/>
          <w:sz w:val="19"/>
          <w:szCs w:val="19"/>
        </w:rPr>
        <w:t xml:space="preserve"> </w:t>
      </w:r>
      <w:r w:rsidRPr="001D3E42">
        <w:rPr>
          <w:rFonts w:ascii="Century Gothic" w:hAnsi="Century Gothic" w:eastAsia="Calibri" w:cs="Arial"/>
          <w:color w:val="000000" w:themeColor="text1"/>
          <w:sz w:val="19"/>
          <w:szCs w:val="19"/>
          <w:lang w:val="es-ES_tradnl"/>
        </w:rPr>
        <w:t>En esta medida, recibida la obra, no es posible alegar la inejecución de las obligaciones a cargo del contratista, pues la recepción “[…] es un acto jurídico y patrimonial, por el cual “el comitente acepta la entrega de la obra ejecutada” y “declara extinguida la obligación de hacer que debía cumplir el constructor”. Esta extinción, en la medida en que el comitente no manifieste reservas acerca de su alcance, implica la conformidad total y definitiva con la obra o con su producto, incluso en relación con el plazo de ejecución. Es la culminación del contrato desde el punto de vista del objeto perseguido por el comitente al celebrarlo. Es también la consumación plena de las obligaciones asumidas por el constructor” (PODETTI, Humberto. El contrato de construcción. Buenos Aires: Editorial Astrea, 2004, p. 446).</w:t>
      </w:r>
      <w:r w:rsidRPr="001D3E42">
        <w:rPr>
          <w:rFonts w:ascii="Century Gothic" w:hAnsi="Century Gothic" w:cs="Arial"/>
          <w:color w:val="000000" w:themeColor="text1"/>
          <w:sz w:val="19"/>
          <w:szCs w:val="19"/>
        </w:rPr>
        <w:t xml:space="preserve">   </w:t>
      </w:r>
    </w:p>
    <w:p w:rsidRPr="000D5EF9" w:rsidR="00D15909" w:rsidP="00D15909" w:rsidRDefault="00D15909" w14:paraId="3D37EBF1" w14:textId="77777777">
      <w:pPr>
        <w:pStyle w:val="FootnoteText"/>
        <w:ind w:firstLine="709"/>
        <w:jc w:val="both"/>
        <w:rPr>
          <w:rFonts w:ascii="Arial" w:hAnsi="Arial" w:cs="Arial"/>
          <w:color w:val="000000" w:themeColor="text1"/>
          <w:sz w:val="19"/>
          <w:szCs w:val="19"/>
          <w:lang w:val="es-ES"/>
        </w:rPr>
      </w:pPr>
      <w:r w:rsidRPr="000D5EF9">
        <w:rPr>
          <w:rFonts w:ascii="Arial" w:hAnsi="Arial" w:cs="Arial"/>
          <w:color w:val="000000" w:themeColor="text1"/>
          <w:sz w:val="19"/>
          <w:szCs w:val="19"/>
        </w:rPr>
        <w:t xml:space="preserve">  </w:t>
      </w:r>
    </w:p>
  </w:footnote>
  <w:footnote w:id="11">
    <w:p w:rsidRPr="001D3E42" w:rsidR="00D15909" w:rsidP="00D15909" w:rsidRDefault="00D15909" w14:paraId="2563648E" w14:textId="77777777">
      <w:pPr>
        <w:pStyle w:val="FootnoteText"/>
        <w:ind w:firstLine="709"/>
        <w:jc w:val="both"/>
        <w:rPr>
          <w:rFonts w:ascii="Century Gothic" w:hAnsi="Century Gothic" w:eastAsia="Calibri" w:cs="Arial"/>
          <w:color w:val="000000" w:themeColor="text1"/>
          <w:sz w:val="19"/>
          <w:szCs w:val="19"/>
          <w:lang w:val="es-ES_tradnl"/>
        </w:rPr>
      </w:pPr>
      <w:r w:rsidRPr="001D3E42">
        <w:rPr>
          <w:rStyle w:val="FootnoteReference"/>
          <w:rFonts w:ascii="Century Gothic" w:hAnsi="Century Gothic" w:cs="Arial"/>
          <w:color w:val="000000" w:themeColor="text1"/>
          <w:sz w:val="19"/>
          <w:szCs w:val="19"/>
        </w:rPr>
        <w:footnoteRef/>
      </w:r>
      <w:r w:rsidRPr="001D3E42">
        <w:rPr>
          <w:rFonts w:ascii="Century Gothic" w:hAnsi="Century Gothic" w:cs="Arial"/>
          <w:color w:val="000000" w:themeColor="text1"/>
          <w:sz w:val="19"/>
          <w:szCs w:val="19"/>
        </w:rPr>
        <w:t xml:space="preserve"> </w:t>
      </w:r>
      <w:r w:rsidRPr="001D3E42">
        <w:rPr>
          <w:rFonts w:ascii="Century Gothic" w:hAnsi="Century Gothic" w:eastAsia="Calibri" w:cs="Arial"/>
          <w:color w:val="000000" w:themeColor="text1"/>
          <w:sz w:val="19"/>
          <w:szCs w:val="19"/>
          <w:lang w:val="es-ES_tradnl"/>
        </w:rPr>
        <w:t>CONSEJO DE ESTADO. Sección Tercera. Sentencia del 23 de junio de 2010. Rad. 16.367. C.P. Enrique Gil Botero. En el mismo sentido, Subsección C. Sentencia del 30 de marzo de 2011. Rad. 20.917. C.P. Enrique Gil Botero, Subsección A. Sentencia del 29 de mayo de 2014. Rad. 27.721. C.P. Hernán Andrade Rincón, Subsección B. Sentencia del 7 de septiembre de 2015. Rad. 45.907. C.P. Jaime Orlando Santofimio Gamboa. Posición contraria, Subsección B. Sentencia del 26 de agosto de 2019. Rad. 44.170. C.P. Alberto Montaña Plata.</w:t>
      </w:r>
    </w:p>
    <w:p w:rsidRPr="001D3E42" w:rsidR="00D15909" w:rsidP="00D15909" w:rsidRDefault="00D15909" w14:paraId="7115538E" w14:textId="77777777">
      <w:pPr>
        <w:pStyle w:val="FootnoteText"/>
        <w:ind w:firstLine="709"/>
        <w:jc w:val="both"/>
        <w:rPr>
          <w:rFonts w:ascii="Century Gothic" w:hAnsi="Century Gothic" w:cs="Arial"/>
          <w:color w:val="000000" w:themeColor="text1"/>
          <w:sz w:val="19"/>
          <w:szCs w:val="19"/>
          <w:lang w:val="es-ES"/>
        </w:rPr>
      </w:pPr>
    </w:p>
  </w:footnote>
  <w:footnote w:id="12">
    <w:p w:rsidRPr="001D3E42" w:rsidR="00D15909" w:rsidP="00D15909" w:rsidRDefault="00D15909" w14:paraId="5A3362B9" w14:textId="77777777">
      <w:pPr>
        <w:pStyle w:val="FootnoteText"/>
        <w:ind w:firstLine="709"/>
        <w:jc w:val="both"/>
        <w:rPr>
          <w:rFonts w:ascii="Century Gothic" w:hAnsi="Century Gothic" w:eastAsia="Calibri" w:cs="Arial"/>
          <w:color w:val="000000" w:themeColor="text1"/>
          <w:sz w:val="19"/>
          <w:szCs w:val="19"/>
          <w:lang w:val="es-ES_tradnl"/>
        </w:rPr>
      </w:pPr>
      <w:r w:rsidRPr="001D3E42">
        <w:rPr>
          <w:rStyle w:val="FootnoteReference"/>
          <w:rFonts w:ascii="Century Gothic" w:hAnsi="Century Gothic" w:cs="Arial"/>
          <w:color w:val="000000" w:themeColor="text1"/>
          <w:sz w:val="19"/>
          <w:szCs w:val="19"/>
        </w:rPr>
        <w:footnoteRef/>
      </w:r>
      <w:r w:rsidRPr="001D3E42">
        <w:rPr>
          <w:rFonts w:ascii="Century Gothic" w:hAnsi="Century Gothic" w:cs="Arial"/>
          <w:color w:val="000000" w:themeColor="text1"/>
          <w:sz w:val="19"/>
          <w:szCs w:val="19"/>
        </w:rPr>
        <w:t xml:space="preserve"> </w:t>
      </w:r>
      <w:r w:rsidRPr="001D3E42">
        <w:rPr>
          <w:rFonts w:ascii="Century Gothic" w:hAnsi="Century Gothic" w:eastAsia="Calibri" w:cs="Arial"/>
          <w:color w:val="000000" w:themeColor="text1"/>
          <w:sz w:val="19"/>
          <w:szCs w:val="19"/>
          <w:lang w:val="es-ES_tradnl"/>
        </w:rPr>
        <w:t>Allí se dispone lo siguiente: “Artículo 77.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w:t>
      </w:r>
    </w:p>
    <w:p w:rsidRPr="000D5EF9" w:rsidR="00D15909" w:rsidP="00D15909" w:rsidRDefault="00D15909" w14:paraId="005F4208" w14:textId="77777777">
      <w:pPr>
        <w:pStyle w:val="FootnoteText"/>
        <w:ind w:firstLine="709"/>
        <w:jc w:val="both"/>
        <w:rPr>
          <w:rFonts w:ascii="Arial" w:hAnsi="Arial" w:eastAsia="Calibri" w:cs="Arial"/>
          <w:color w:val="000000" w:themeColor="text1"/>
          <w:sz w:val="19"/>
          <w:szCs w:val="19"/>
          <w:lang w:val="es-ES_tradnl"/>
        </w:rPr>
      </w:pPr>
    </w:p>
  </w:footnote>
  <w:footnote w:id="13">
    <w:p w:rsidRPr="001D3E42" w:rsidR="00D15909" w:rsidP="00D15909" w:rsidRDefault="00D15909" w14:paraId="6174D2D1" w14:textId="77777777">
      <w:pPr>
        <w:pStyle w:val="FootnoteText"/>
        <w:ind w:firstLine="709"/>
        <w:jc w:val="both"/>
        <w:rPr>
          <w:rFonts w:ascii="Century Gothic" w:hAnsi="Century Gothic" w:eastAsia="Calibri" w:cs="Arial"/>
          <w:color w:val="000000" w:themeColor="text1"/>
          <w:sz w:val="19"/>
          <w:szCs w:val="19"/>
          <w:lang w:val="es-ES_tradnl"/>
        </w:rPr>
      </w:pPr>
      <w:r w:rsidRPr="001D3E42">
        <w:rPr>
          <w:rStyle w:val="FootnoteReference"/>
          <w:rFonts w:ascii="Century Gothic" w:hAnsi="Century Gothic" w:cs="Arial"/>
          <w:color w:val="000000" w:themeColor="text1"/>
          <w:sz w:val="19"/>
          <w:szCs w:val="19"/>
        </w:rPr>
        <w:footnoteRef/>
      </w:r>
      <w:r w:rsidRPr="001D3E42">
        <w:rPr>
          <w:rFonts w:ascii="Century Gothic" w:hAnsi="Century Gothic" w:cs="Arial"/>
          <w:color w:val="000000" w:themeColor="text1"/>
          <w:sz w:val="19"/>
          <w:szCs w:val="19"/>
        </w:rPr>
        <w:t xml:space="preserve"> </w:t>
      </w:r>
      <w:r w:rsidRPr="001D3E42">
        <w:rPr>
          <w:rFonts w:ascii="Century Gothic" w:hAnsi="Century Gothic" w:eastAsia="Calibri" w:cs="Arial"/>
          <w:color w:val="000000" w:themeColor="text1"/>
          <w:sz w:val="19"/>
          <w:szCs w:val="19"/>
          <w:lang w:val="es-ES_tradnl"/>
        </w:rPr>
        <w:t>Para estos efectos, el artículo 1081 del Código de Comercio dispone que “La prescripción de las acciones que se derivan del contrato de seguro o de las disposiciones que lo rigen podrá ser ordinaria o extraordinaria.</w:t>
      </w:r>
    </w:p>
    <w:p w:rsidRPr="001D3E42" w:rsidR="00D15909" w:rsidP="00D15909" w:rsidRDefault="00D15909" w14:paraId="59C898AE" w14:textId="77777777">
      <w:pPr>
        <w:pStyle w:val="FootnoteText"/>
        <w:ind w:firstLine="709"/>
        <w:jc w:val="both"/>
        <w:rPr>
          <w:rFonts w:ascii="Century Gothic" w:hAnsi="Century Gothic" w:eastAsia="Calibri" w:cs="Arial"/>
          <w:color w:val="000000" w:themeColor="text1"/>
          <w:sz w:val="19"/>
          <w:szCs w:val="19"/>
          <w:lang w:val="es-ES_tradnl"/>
        </w:rPr>
      </w:pPr>
      <w:r w:rsidRPr="001D3E42">
        <w:rPr>
          <w:rFonts w:ascii="Century Gothic" w:hAnsi="Century Gothic" w:eastAsia="Calibri" w:cs="Arial"/>
          <w:color w:val="000000" w:themeColor="text1"/>
          <w:sz w:val="19"/>
          <w:szCs w:val="19"/>
          <w:lang w:val="es-ES_tradnl"/>
        </w:rPr>
        <w:t>“La prescripción ordinaria será de dos años y empezará a correr desde el momento en que el interesado haya tenido o debido tener conocimiento del hecho que da base a la acción.</w:t>
      </w:r>
    </w:p>
    <w:p w:rsidRPr="001D3E42" w:rsidR="00D15909" w:rsidP="00D15909" w:rsidRDefault="00D15909" w14:paraId="7F9643FE" w14:textId="77777777">
      <w:pPr>
        <w:pStyle w:val="FootnoteText"/>
        <w:ind w:firstLine="709"/>
        <w:jc w:val="both"/>
        <w:rPr>
          <w:rFonts w:ascii="Century Gothic" w:hAnsi="Century Gothic" w:eastAsia="Calibri" w:cs="Arial"/>
          <w:color w:val="000000" w:themeColor="text1"/>
          <w:sz w:val="19"/>
          <w:szCs w:val="19"/>
          <w:lang w:val="es-ES_tradnl"/>
        </w:rPr>
      </w:pPr>
      <w:r w:rsidRPr="001D3E42">
        <w:rPr>
          <w:rFonts w:ascii="Century Gothic" w:hAnsi="Century Gothic" w:eastAsia="Calibri" w:cs="Arial"/>
          <w:color w:val="000000" w:themeColor="text1"/>
          <w:sz w:val="19"/>
          <w:szCs w:val="19"/>
          <w:lang w:val="es-ES_tradnl"/>
        </w:rPr>
        <w:t>“La prescripción extraordinaria será de cinco años, correrá contra toda clase de personas y empezará a contarse desde el momento en que nace el respectivo derecho.</w:t>
      </w:r>
    </w:p>
    <w:p w:rsidRPr="001D3E42" w:rsidR="00D15909" w:rsidP="00D15909" w:rsidRDefault="00D15909" w14:paraId="42BB5FFC" w14:textId="77777777">
      <w:pPr>
        <w:pStyle w:val="FootnoteText"/>
        <w:ind w:firstLine="709"/>
        <w:jc w:val="both"/>
        <w:rPr>
          <w:rFonts w:ascii="Century Gothic" w:hAnsi="Century Gothic" w:eastAsia="Calibri" w:cs="Arial"/>
          <w:color w:val="000000" w:themeColor="text1"/>
          <w:sz w:val="19"/>
          <w:szCs w:val="19"/>
          <w:lang w:val="es-ES_tradnl"/>
        </w:rPr>
      </w:pPr>
      <w:r w:rsidRPr="001D3E42">
        <w:rPr>
          <w:rFonts w:ascii="Century Gothic" w:hAnsi="Century Gothic" w:eastAsia="Calibri" w:cs="Arial"/>
          <w:color w:val="000000" w:themeColor="text1"/>
          <w:sz w:val="19"/>
          <w:szCs w:val="19"/>
          <w:lang w:val="es-ES_tradnl"/>
        </w:rPr>
        <w:t>“Estos términos no pueden ser modificados por las partes”.</w:t>
      </w:r>
    </w:p>
    <w:p w:rsidRPr="001D3E42" w:rsidR="00D15909" w:rsidP="00D15909" w:rsidRDefault="00D15909" w14:paraId="295E1200" w14:textId="77777777">
      <w:pPr>
        <w:pStyle w:val="FootnoteText"/>
        <w:ind w:firstLine="709"/>
        <w:jc w:val="both"/>
        <w:rPr>
          <w:rFonts w:ascii="Century Gothic" w:hAnsi="Century Gothic" w:eastAsia="Calibri" w:cs="Arial"/>
          <w:color w:val="000000" w:themeColor="text1"/>
          <w:sz w:val="19"/>
          <w:szCs w:val="19"/>
          <w:lang w:val="es-ES_tradnl"/>
        </w:rPr>
      </w:pPr>
    </w:p>
  </w:footnote>
  <w:footnote w:id="14">
    <w:p w:rsidRPr="001D3E42" w:rsidR="00D15909" w:rsidP="00D15909" w:rsidRDefault="00D15909" w14:paraId="18E56078" w14:textId="77777777">
      <w:pPr>
        <w:pStyle w:val="FootnoteText"/>
        <w:ind w:firstLine="709"/>
        <w:jc w:val="both"/>
        <w:rPr>
          <w:rFonts w:ascii="Century Gothic" w:hAnsi="Century Gothic" w:eastAsia="Calibri" w:cs="Arial"/>
          <w:color w:val="000000" w:themeColor="text1"/>
          <w:sz w:val="19"/>
          <w:szCs w:val="19"/>
          <w:lang w:val="es-ES_tradnl"/>
        </w:rPr>
      </w:pPr>
      <w:r w:rsidRPr="001D3E42">
        <w:rPr>
          <w:rStyle w:val="FootnoteReference"/>
          <w:rFonts w:ascii="Century Gothic" w:hAnsi="Century Gothic" w:cs="Arial"/>
          <w:color w:val="000000" w:themeColor="text1"/>
          <w:sz w:val="19"/>
          <w:szCs w:val="19"/>
        </w:rPr>
        <w:footnoteRef/>
      </w:r>
      <w:r w:rsidRPr="001D3E42">
        <w:rPr>
          <w:rFonts w:ascii="Century Gothic" w:hAnsi="Century Gothic" w:cs="Arial"/>
          <w:color w:val="000000" w:themeColor="text1"/>
          <w:sz w:val="19"/>
          <w:szCs w:val="19"/>
        </w:rPr>
        <w:t xml:space="preserve"> </w:t>
      </w:r>
      <w:r w:rsidRPr="001D3E42">
        <w:rPr>
          <w:rFonts w:ascii="Century Gothic" w:hAnsi="Century Gothic" w:eastAsia="Calibri" w:cs="Arial"/>
          <w:color w:val="000000" w:themeColor="text1"/>
          <w:sz w:val="19"/>
          <w:szCs w:val="19"/>
          <w:lang w:val="es-ES_tradnl"/>
        </w:rPr>
        <w:t>No en vano, “Cuando la administración declara la existencia del siniestro u ocurrencia del riesgo asegurado, concluye que se dio u ocurrieron antecedentes precavidos en el contrato de seguro del que es beneficiario; no significa que el acto jurídico que declara la existencia del siniestro hace que en la vida jurídica el siniestro se dé en ese momento; lo que ocurre es, que previo a proferir ese acto jurídico, el riesgo asegurado ha acaecido; la ocurrencia del siniestro es en lógica, anterior al acto que reconoce su ocurrencia” (CONSEJO DE ESTADO. Sección Tercera. Subsección A. Sentencia del 22 de mayo de 2013. Rad. 24.810. C.P. Olga Mélida Valle de De La Hoz).</w:t>
      </w:r>
    </w:p>
    <w:p w:rsidRPr="000D5EF9" w:rsidR="00D15909" w:rsidP="00D15909" w:rsidRDefault="00D15909" w14:paraId="32B2A699" w14:textId="77777777">
      <w:pPr>
        <w:pStyle w:val="FootnoteText"/>
        <w:ind w:firstLine="709"/>
        <w:jc w:val="both"/>
        <w:rPr>
          <w:rFonts w:ascii="Arial" w:hAnsi="Arial" w:eastAsia="Calibri" w:cs="Arial"/>
          <w:color w:val="000000" w:themeColor="text1"/>
          <w:sz w:val="19"/>
          <w:szCs w:val="19"/>
          <w:lang w:val="es-ES_tradnl"/>
        </w:rPr>
      </w:pPr>
    </w:p>
  </w:footnote>
  <w:footnote w:id="15">
    <w:p w:rsidRPr="001D3E42" w:rsidR="00D15909" w:rsidP="00D15909" w:rsidRDefault="00D15909" w14:paraId="0AAE0E9B" w14:textId="77777777">
      <w:pPr>
        <w:pStyle w:val="FootnoteText"/>
        <w:ind w:firstLine="709"/>
        <w:jc w:val="both"/>
        <w:rPr>
          <w:rFonts w:ascii="Century Gothic" w:hAnsi="Century Gothic" w:eastAsia="Calibri" w:cs="Arial"/>
          <w:color w:val="000000" w:themeColor="text1"/>
          <w:sz w:val="19"/>
          <w:szCs w:val="19"/>
          <w:lang w:val="es-ES_tradnl"/>
        </w:rPr>
      </w:pPr>
      <w:r w:rsidRPr="000D5EF9">
        <w:rPr>
          <w:rStyle w:val="FootnoteReference"/>
          <w:rFonts w:ascii="Arial" w:hAnsi="Arial" w:cs="Arial"/>
          <w:color w:val="000000" w:themeColor="text1"/>
          <w:sz w:val="19"/>
          <w:szCs w:val="19"/>
        </w:rPr>
        <w:footnoteRef/>
      </w:r>
      <w:r w:rsidRPr="000D5EF9">
        <w:rPr>
          <w:rFonts w:ascii="Arial" w:hAnsi="Arial" w:cs="Arial"/>
          <w:color w:val="000000" w:themeColor="text1"/>
          <w:sz w:val="19"/>
          <w:szCs w:val="19"/>
        </w:rPr>
        <w:t xml:space="preserve"> </w:t>
      </w:r>
      <w:r w:rsidRPr="001D3E42">
        <w:rPr>
          <w:rFonts w:ascii="Century Gothic" w:hAnsi="Century Gothic" w:eastAsia="Calibri" w:cs="Arial"/>
          <w:color w:val="000000" w:themeColor="text1"/>
          <w:sz w:val="19"/>
          <w:szCs w:val="19"/>
          <w:lang w:val="es-ES_tradnl"/>
        </w:rPr>
        <w:t>CONSEJO DE ESTADO. Sección Tercera. Sentencia del 22 de abril de 2009. Rad. 14.667. C.P. Myriam Guerrero De Escobar.</w:t>
      </w:r>
    </w:p>
    <w:p w:rsidRPr="001D3E42" w:rsidR="00D15909" w:rsidP="00D15909" w:rsidRDefault="00D15909" w14:paraId="52730DAD" w14:textId="77777777">
      <w:pPr>
        <w:pStyle w:val="FootnoteText"/>
        <w:ind w:firstLine="709"/>
        <w:jc w:val="both"/>
        <w:rPr>
          <w:rFonts w:ascii="Century Gothic" w:hAnsi="Century Gothic" w:cs="Arial"/>
          <w:color w:val="000000" w:themeColor="text1"/>
          <w:sz w:val="19"/>
          <w:szCs w:val="19"/>
          <w:lang w:val="es-ES"/>
        </w:rPr>
      </w:pPr>
    </w:p>
  </w:footnote>
  <w:footnote w:id="16">
    <w:p w:rsidRPr="001D3E42" w:rsidR="00D15909" w:rsidP="00D15909" w:rsidRDefault="00D15909" w14:paraId="22E0769F" w14:textId="77777777">
      <w:pPr>
        <w:pStyle w:val="FootnoteText"/>
        <w:ind w:firstLine="709"/>
        <w:jc w:val="both"/>
        <w:rPr>
          <w:rFonts w:ascii="Century Gothic" w:hAnsi="Century Gothic" w:eastAsia="Calibri" w:cs="Arial"/>
          <w:color w:val="000000" w:themeColor="text1"/>
          <w:sz w:val="19"/>
          <w:szCs w:val="19"/>
          <w:lang w:val="es-ES_tradnl"/>
        </w:rPr>
      </w:pPr>
      <w:r w:rsidRPr="001D3E42">
        <w:rPr>
          <w:rStyle w:val="FootnoteReference"/>
          <w:rFonts w:ascii="Century Gothic" w:hAnsi="Century Gothic" w:cs="Arial"/>
          <w:color w:val="000000" w:themeColor="text1"/>
          <w:sz w:val="19"/>
          <w:szCs w:val="19"/>
        </w:rPr>
        <w:footnoteRef/>
      </w:r>
      <w:r w:rsidRPr="001D3E42">
        <w:rPr>
          <w:rFonts w:ascii="Century Gothic" w:hAnsi="Century Gothic" w:cs="Arial"/>
          <w:color w:val="000000" w:themeColor="text1"/>
          <w:sz w:val="19"/>
          <w:szCs w:val="19"/>
        </w:rPr>
        <w:t xml:space="preserve"> </w:t>
      </w:r>
      <w:r w:rsidRPr="001D3E42">
        <w:rPr>
          <w:rFonts w:ascii="Century Gothic" w:hAnsi="Century Gothic" w:eastAsia="Calibri" w:cs="Arial"/>
          <w:color w:val="000000" w:themeColor="text1"/>
          <w:sz w:val="19"/>
          <w:szCs w:val="19"/>
          <w:lang w:val="es-ES_tradnl"/>
        </w:rPr>
        <w:t xml:space="preserve">Al respecto, la jurisprudencia explica lo siguiente: “[…] la prescripción ordinaria y la extraordinaria corren por igual contra todos los interesados. La ordinaria cuando ellos son personas capaces, a partir del momento en que han tenido conocimiento del siniestro o han podido conocerlo, y su término es de dos años; no corre contra el interesado cuando éste es persona incapaz, según los artículos 2530 y 2541 del C.C., ni tampoco contra el que no ha conocido ni podido conocer el siniestro. </w:t>
      </w:r>
    </w:p>
    <w:p w:rsidRPr="000D5EF9" w:rsidR="00D15909" w:rsidP="00D15909" w:rsidRDefault="00D15909" w14:paraId="18338443" w14:textId="77777777">
      <w:pPr>
        <w:pStyle w:val="FootnoteText"/>
        <w:ind w:firstLine="709"/>
        <w:jc w:val="both"/>
        <w:rPr>
          <w:rFonts w:ascii="Arial" w:hAnsi="Arial" w:eastAsia="Calibri" w:cs="Arial"/>
          <w:color w:val="000000" w:themeColor="text1"/>
          <w:sz w:val="19"/>
          <w:szCs w:val="19"/>
          <w:lang w:val="es-ES_tradnl"/>
        </w:rPr>
      </w:pPr>
      <w:r w:rsidRPr="001D3E42">
        <w:rPr>
          <w:rFonts w:ascii="Century Gothic" w:hAnsi="Century Gothic" w:eastAsia="Calibri" w:cs="Arial"/>
          <w:color w:val="000000" w:themeColor="text1"/>
          <w:sz w:val="19"/>
          <w:szCs w:val="19"/>
          <w:lang w:val="es-ES_tradnl"/>
        </w:rPr>
        <w:t>“Pero contra estas personas si corre la prescripción extraordinaria, a partir del momento en que nace el derecho, o sea desde la fecha del siniestro. Por tanto, las correspondientes acciones prescriben en contra del respectivo interesado así: a) cuando se consuma el término de dos años de la prescripción ordinaria, a partir del conocimiento real o presunto del siniestro; y b) en todo caso, cuando transcurren cinco años a partir del siniestro, a menos que se haya consumado antes la prescripción ordinaria; la extraordinaria –se repite– corre aún contra personas incapaces o aquellas que no tuvieron ni pudieron tener conocimiento del hecho que da origen a la acción” (CORTE SUPREMA DE JUSTICIA. Sala de Casación Civil. Sentencia del 7 de julio de 1977. M.P. José María Esguerra Samper. Publicada en la Gaceta Judicial. Tomo CLV. Nº 2396. p. 153).</w:t>
      </w:r>
      <w:r w:rsidRPr="000D5EF9">
        <w:rPr>
          <w:rFonts w:ascii="Arial" w:hAnsi="Arial" w:eastAsia="Calibri" w:cs="Arial"/>
          <w:color w:val="000000" w:themeColor="text1"/>
          <w:sz w:val="19"/>
          <w:szCs w:val="19"/>
          <w:lang w:val="es-ES_tradnl"/>
        </w:rPr>
        <w:t xml:space="preserve"> </w:t>
      </w:r>
    </w:p>
  </w:footnote>
  <w:footnote w:id="17">
    <w:p w:rsidRPr="001E683B" w:rsidR="00D15909" w:rsidP="00D15909" w:rsidRDefault="00D15909" w14:paraId="0B65B14B"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cs="Arial"/>
          <w:sz w:val="19"/>
          <w:szCs w:val="19"/>
          <w:vertAlign w:val="superscript"/>
        </w:rPr>
        <w:footnoteRef/>
      </w:r>
      <w:r w:rsidRPr="001E683B">
        <w:rPr>
          <w:rFonts w:ascii="Century Gothic" w:hAnsi="Century Gothic" w:eastAsia="Arial" w:cs="Arial"/>
          <w:color w:val="000000"/>
          <w:sz w:val="19"/>
          <w:szCs w:val="19"/>
        </w:rPr>
        <w:t xml:space="preserve"> Informe de Ponencia para primer debate del proyecto de Ley Número 369 de 2021 Cámara – 341 de 2020 Senado. Gaceta del Congreso de la República No. 1677 del 23 de noviembre de 2021. Disponible en: </w:t>
      </w:r>
      <w:hyperlink r:id="rId2">
        <w:r w:rsidRPr="001E683B">
          <w:rPr>
            <w:rFonts w:ascii="Century Gothic" w:hAnsi="Century Gothic" w:eastAsia="Arial" w:cs="Arial"/>
            <w:color w:val="000000"/>
            <w:sz w:val="19"/>
            <w:szCs w:val="19"/>
          </w:rPr>
          <w:t>http://www.secretariasenado.gov.co/legibus/legibus/gacetas/2021/GC_1677_2021.pdf</w:t>
        </w:r>
      </w:hyperlink>
      <w:r w:rsidRPr="001E683B">
        <w:rPr>
          <w:rFonts w:ascii="Century Gothic" w:hAnsi="Century Gothic" w:eastAsia="Arial" w:cs="Arial"/>
          <w:color w:val="000000"/>
          <w:sz w:val="19"/>
          <w:szCs w:val="19"/>
        </w:rPr>
        <w:t xml:space="preserve"> </w:t>
      </w:r>
    </w:p>
    <w:p w:rsidRPr="0045469E" w:rsidR="00D15909" w:rsidP="00D15909" w:rsidRDefault="00D15909" w14:paraId="574F5180" w14:textId="77777777">
      <w:pPr>
        <w:pBdr>
          <w:top w:val="nil"/>
          <w:left w:val="nil"/>
          <w:bottom w:val="nil"/>
          <w:right w:val="nil"/>
          <w:between w:val="nil"/>
        </w:pBdr>
        <w:ind w:firstLine="709"/>
        <w:contextualSpacing/>
        <w:jc w:val="both"/>
        <w:rPr>
          <w:rFonts w:ascii="Arial" w:hAnsi="Arial" w:eastAsia="Arial" w:cs="Arial"/>
          <w:color w:val="000000"/>
          <w:sz w:val="19"/>
          <w:szCs w:val="19"/>
        </w:rPr>
      </w:pPr>
    </w:p>
  </w:footnote>
  <w:footnote w:id="18">
    <w:p w:rsidRPr="001E683B" w:rsidR="00D15909" w:rsidP="00D15909" w:rsidRDefault="00D15909" w14:paraId="18F691BD"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cs="Arial"/>
          <w:sz w:val="19"/>
          <w:szCs w:val="19"/>
          <w:vertAlign w:val="superscript"/>
        </w:rPr>
        <w:footnoteRef/>
      </w:r>
      <w:r w:rsidRPr="001E683B">
        <w:rPr>
          <w:rFonts w:ascii="Century Gothic" w:hAnsi="Century Gothic" w:eastAsia="Arial" w:cs="Arial"/>
          <w:color w:val="000000"/>
          <w:sz w:val="19"/>
          <w:szCs w:val="19"/>
        </w:rPr>
        <w:t xml:space="preserve"> Es decir,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rsidRPr="0045469E" w:rsidR="00D15909" w:rsidP="00D15909" w:rsidRDefault="00D15909" w14:paraId="4641CB43" w14:textId="77777777">
      <w:pPr>
        <w:pBdr>
          <w:top w:val="nil"/>
          <w:left w:val="nil"/>
          <w:bottom w:val="nil"/>
          <w:right w:val="nil"/>
          <w:between w:val="nil"/>
        </w:pBdr>
        <w:ind w:firstLine="709"/>
        <w:contextualSpacing/>
        <w:jc w:val="both"/>
        <w:rPr>
          <w:rFonts w:ascii="Arial" w:hAnsi="Arial" w:eastAsia="Arial" w:cs="Arial"/>
          <w:color w:val="000000"/>
          <w:sz w:val="19"/>
          <w:szCs w:val="19"/>
        </w:rPr>
      </w:pPr>
    </w:p>
  </w:footnote>
  <w:footnote w:id="19">
    <w:p w:rsidRPr="001E683B" w:rsidR="00D15909" w:rsidP="00D15909" w:rsidRDefault="00D15909" w14:paraId="651FADBE"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cs="Arial"/>
          <w:sz w:val="19"/>
          <w:szCs w:val="19"/>
          <w:vertAlign w:val="superscript"/>
        </w:rPr>
        <w:footnoteRef/>
      </w:r>
      <w:r w:rsidRPr="001E683B">
        <w:rPr>
          <w:rFonts w:ascii="Century Gothic" w:hAnsi="Century Gothic" w:eastAsia="Arial" w:cs="Arial"/>
          <w:color w:val="000000"/>
          <w:sz w:val="19"/>
          <w:szCs w:val="19"/>
        </w:rPr>
        <w:t xml:space="preserve"> Debe advertirse que el parágrafo 1 del artículo 58 se refiere solo a las </w:t>
      </w:r>
      <w:r w:rsidRPr="001E683B">
        <w:rPr>
          <w:rFonts w:ascii="Century Gothic" w:hAnsi="Century Gothic" w:eastAsia="Arial" w:cs="Arial"/>
          <w:i/>
          <w:color w:val="000000"/>
          <w:sz w:val="19"/>
          <w:szCs w:val="19"/>
        </w:rPr>
        <w:t>multas</w:t>
      </w:r>
      <w:r w:rsidRPr="001E683B">
        <w:rPr>
          <w:rFonts w:ascii="Century Gothic" w:hAnsi="Century Gothic" w:eastAsia="Arial" w:cs="Arial"/>
          <w:color w:val="000000"/>
          <w:sz w:val="19"/>
          <w:szCs w:val="19"/>
        </w:rPr>
        <w:t xml:space="preserve">; no a las cláusulas penales. Por tal razón, la posibilidad de eximirse de la reducción del puntaje solo procede por haber demandado los actos administrativos que imponen la </w:t>
      </w:r>
      <w:r w:rsidRPr="001E683B">
        <w:rPr>
          <w:rFonts w:ascii="Century Gothic" w:hAnsi="Century Gothic" w:eastAsia="Arial" w:cs="Arial"/>
          <w:i/>
          <w:color w:val="000000"/>
          <w:sz w:val="19"/>
          <w:szCs w:val="19"/>
        </w:rPr>
        <w:t>multas</w:t>
      </w:r>
      <w:r w:rsidRPr="001E683B">
        <w:rPr>
          <w:rFonts w:ascii="Century Gothic" w:hAnsi="Century Gothic" w:eastAsia="Arial" w:cs="Arial"/>
          <w:color w:val="000000"/>
          <w:sz w:val="19"/>
          <w:szCs w:val="19"/>
        </w:rPr>
        <w:t>.</w:t>
      </w:r>
    </w:p>
    <w:p w:rsidRPr="0045469E" w:rsidR="00D15909" w:rsidP="00D15909" w:rsidRDefault="00D15909" w14:paraId="0B593B27" w14:textId="77777777">
      <w:pPr>
        <w:pBdr>
          <w:top w:val="nil"/>
          <w:left w:val="nil"/>
          <w:bottom w:val="nil"/>
          <w:right w:val="nil"/>
          <w:between w:val="nil"/>
        </w:pBdr>
        <w:ind w:firstLine="709"/>
        <w:contextualSpacing/>
        <w:jc w:val="both"/>
        <w:rPr>
          <w:rFonts w:ascii="Arial" w:hAnsi="Arial" w:eastAsia="Arial" w:cs="Arial"/>
          <w:color w:val="000000"/>
          <w:sz w:val="19"/>
          <w:szCs w:val="19"/>
        </w:rPr>
      </w:pPr>
    </w:p>
    <w:bookmarkStart w:name="3znysh7" w:colFirst="0" w:colLast="0" w:id="16"/>
    <w:bookmarkEnd w:id="16"/>
  </w:footnote>
  <w:footnote w:id="20">
    <w:p w:rsidRPr="001E683B" w:rsidR="00D15909" w:rsidP="00D15909" w:rsidRDefault="00D15909" w14:paraId="793EF492" w14:textId="77777777">
      <w:pPr>
        <w:pStyle w:val="FootnoteText"/>
        <w:ind w:firstLine="708"/>
        <w:jc w:val="both"/>
        <w:rPr>
          <w:rFonts w:ascii="Century Gothic" w:hAnsi="Century Gothic" w:cs="Arial"/>
          <w:sz w:val="19"/>
          <w:szCs w:val="19"/>
        </w:rPr>
      </w:pPr>
      <w:r w:rsidRPr="001E683B">
        <w:rPr>
          <w:rStyle w:val="FootnoteReference"/>
          <w:rFonts w:ascii="Century Gothic" w:hAnsi="Century Gothic" w:cs="Arial"/>
          <w:sz w:val="19"/>
          <w:szCs w:val="19"/>
        </w:rPr>
        <w:footnoteRef/>
      </w:r>
      <w:r w:rsidRPr="001E683B">
        <w:rPr>
          <w:rFonts w:ascii="Century Gothic" w:hAnsi="Century Gothic" w:cs="Arial"/>
          <w:sz w:val="19"/>
          <w:szCs w:val="19"/>
        </w:rPr>
        <w:t xml:space="preserve"> “Artículo 179. Etapas. El proceso para adelantar y decidir todos los litigios respecto de los cuales este código u otras leyes no señalen un trámite o procedimiento especial, en primera y en única instancia, se desarrollará en las siguientes etapas:</w:t>
      </w:r>
    </w:p>
    <w:p w:rsidRPr="001E683B" w:rsidR="00D15909" w:rsidP="00D15909" w:rsidRDefault="00D15909" w14:paraId="7F398816" w14:textId="77777777">
      <w:pPr>
        <w:pStyle w:val="FootnoteText"/>
        <w:ind w:firstLine="708"/>
        <w:jc w:val="both"/>
        <w:rPr>
          <w:rFonts w:ascii="Century Gothic" w:hAnsi="Century Gothic" w:cs="Arial"/>
          <w:sz w:val="19"/>
          <w:szCs w:val="19"/>
        </w:rPr>
      </w:pPr>
      <w:r w:rsidRPr="001E683B">
        <w:rPr>
          <w:rFonts w:ascii="Century Gothic" w:hAnsi="Century Gothic" w:cs="Arial"/>
          <w:sz w:val="19"/>
          <w:szCs w:val="19"/>
        </w:rPr>
        <w:t>“1. La primera, desde la presentación de la demanda hasta la audiencia inicial.</w:t>
      </w:r>
    </w:p>
    <w:p w:rsidRPr="001E683B" w:rsidR="00D15909" w:rsidP="00D15909" w:rsidRDefault="00D15909" w14:paraId="5D26A85B" w14:textId="77777777">
      <w:pPr>
        <w:pStyle w:val="FootnoteText"/>
        <w:ind w:firstLine="708"/>
        <w:jc w:val="both"/>
        <w:rPr>
          <w:rFonts w:ascii="Century Gothic" w:hAnsi="Century Gothic" w:cs="Arial"/>
          <w:sz w:val="19"/>
          <w:szCs w:val="19"/>
        </w:rPr>
      </w:pPr>
      <w:r w:rsidRPr="001E683B">
        <w:rPr>
          <w:rFonts w:ascii="Century Gothic" w:hAnsi="Century Gothic" w:cs="Arial"/>
          <w:sz w:val="19"/>
          <w:szCs w:val="19"/>
        </w:rPr>
        <w:t>“2. La segunda, desde la finalización de la anterior hasta la culminación de la audiencia de pruebas, y</w:t>
      </w:r>
    </w:p>
    <w:p w:rsidRPr="001E683B" w:rsidR="00D15909" w:rsidP="00D15909" w:rsidRDefault="00D15909" w14:paraId="2F158858" w14:textId="77777777">
      <w:pPr>
        <w:pStyle w:val="FootnoteText"/>
        <w:ind w:firstLine="708"/>
        <w:jc w:val="both"/>
        <w:rPr>
          <w:rFonts w:ascii="Century Gothic" w:hAnsi="Century Gothic" w:cs="Arial"/>
          <w:sz w:val="19"/>
          <w:szCs w:val="19"/>
        </w:rPr>
      </w:pPr>
      <w:r w:rsidRPr="001E683B">
        <w:rPr>
          <w:rFonts w:ascii="Century Gothic" w:hAnsi="Century Gothic" w:cs="Arial"/>
          <w:sz w:val="19"/>
          <w:szCs w:val="19"/>
        </w:rPr>
        <w:t>“3. La tercera, desde la terminación de la anterior, hasta la notificación de la sentencia. Esta etapa comprende la audiencia de alegaciones y juzgamiento.</w:t>
      </w:r>
    </w:p>
    <w:p w:rsidRPr="001E683B" w:rsidR="00D15909" w:rsidP="00D15909" w:rsidRDefault="00D15909" w14:paraId="681C7747" w14:textId="77777777">
      <w:pPr>
        <w:pStyle w:val="FootnoteText"/>
        <w:ind w:firstLine="708"/>
        <w:jc w:val="both"/>
        <w:rPr>
          <w:rFonts w:ascii="Century Gothic" w:hAnsi="Century Gothic" w:cs="Arial"/>
          <w:sz w:val="19"/>
          <w:szCs w:val="19"/>
        </w:rPr>
      </w:pPr>
      <w:r w:rsidRPr="001E683B">
        <w:rPr>
          <w:rFonts w:ascii="Century Gothic" w:hAnsi="Century Gothic" w:cs="Arial"/>
          <w:sz w:val="19"/>
          <w:szCs w:val="19"/>
        </w:rPr>
        <w:t>“Cuando se trate de asuntos de puro derecho o no fuere necesario practicar pruebas, el juez prescindirá de la audiencia de pruebas y podrá dictar la sentencia oral dentro de la audiencia inicial, dando previamente a las partes la posibilidad de presentar alegatos de conclusión.</w:t>
      </w:r>
    </w:p>
    <w:p w:rsidRPr="001E683B" w:rsidR="00D15909" w:rsidP="00D15909" w:rsidRDefault="00D15909" w14:paraId="2718BA6F" w14:textId="77777777">
      <w:pPr>
        <w:pStyle w:val="FootnoteText"/>
        <w:ind w:firstLine="708"/>
        <w:jc w:val="both"/>
        <w:rPr>
          <w:rFonts w:ascii="Century Gothic" w:hAnsi="Century Gothic" w:cs="Arial"/>
          <w:sz w:val="19"/>
          <w:szCs w:val="19"/>
        </w:rPr>
      </w:pPr>
      <w:r w:rsidRPr="001E683B">
        <w:rPr>
          <w:rFonts w:ascii="Century Gothic" w:hAnsi="Century Gothic" w:cs="Arial"/>
          <w:sz w:val="19"/>
          <w:szCs w:val="19"/>
        </w:rPr>
        <w:t>“También podrá dictar sentencia oral, en los casos señalados, en las demás audiencias, previa alegación de las partes”.</w:t>
      </w:r>
    </w:p>
    <w:p w:rsidRPr="001E683B" w:rsidR="00D15909" w:rsidP="00D15909" w:rsidRDefault="00D15909" w14:paraId="7AB4ED6B" w14:textId="77777777">
      <w:pPr>
        <w:pStyle w:val="FootnoteText"/>
        <w:ind w:firstLine="708"/>
        <w:jc w:val="both"/>
        <w:rPr>
          <w:rFonts w:ascii="Century Gothic" w:hAnsi="Century Gothic" w:cs="Arial"/>
          <w:sz w:val="19"/>
          <w:szCs w:val="19"/>
        </w:rPr>
      </w:pPr>
      <w:r w:rsidRPr="001E683B">
        <w:rPr>
          <w:rFonts w:ascii="Century Gothic" w:hAnsi="Century Gothic" w:cs="Arial"/>
          <w:sz w:val="19"/>
          <w:szCs w:val="19"/>
        </w:rPr>
        <w:t xml:space="preserve">“Lo anterior, sin perjuicio de lo indicado en el artículo 182A sobre sentencia anticipada. Cuando se profiera sentencia oral, en la respectiva acta se consignará su parte resolutiva”. </w:t>
      </w:r>
    </w:p>
    <w:p w:rsidRPr="00677982" w:rsidR="00D15909" w:rsidP="00D15909" w:rsidRDefault="00D15909" w14:paraId="0A050B73" w14:textId="77777777">
      <w:pPr>
        <w:pStyle w:val="FootnoteText"/>
        <w:ind w:firstLine="708"/>
        <w:jc w:val="both"/>
        <w:rPr>
          <w:rFonts w:ascii="Arial" w:hAnsi="Arial" w:cs="Arial"/>
          <w:sz w:val="19"/>
          <w:szCs w:val="19"/>
        </w:rPr>
      </w:pPr>
    </w:p>
  </w:footnote>
  <w:footnote w:id="21">
    <w:p w:rsidRPr="0045469E" w:rsidR="00D15909" w:rsidP="00D15909" w:rsidRDefault="00D15909" w14:paraId="7E94EBB4" w14:textId="77777777">
      <w:pPr>
        <w:pBdr>
          <w:top w:val="nil"/>
          <w:left w:val="nil"/>
          <w:bottom w:val="nil"/>
          <w:right w:val="nil"/>
          <w:between w:val="nil"/>
        </w:pBdr>
        <w:ind w:firstLine="709"/>
        <w:contextualSpacing/>
        <w:jc w:val="both"/>
        <w:rPr>
          <w:rFonts w:ascii="Arial" w:hAnsi="Arial" w:eastAsia="Arial" w:cs="Arial"/>
          <w:color w:val="000000"/>
          <w:sz w:val="19"/>
          <w:szCs w:val="19"/>
        </w:rPr>
      </w:pPr>
      <w:r w:rsidRPr="0045469E">
        <w:rPr>
          <w:rFonts w:ascii="Arial" w:hAnsi="Arial" w:cs="Arial"/>
          <w:sz w:val="19"/>
          <w:szCs w:val="19"/>
          <w:vertAlign w:val="superscript"/>
        </w:rPr>
        <w:footnoteRef/>
      </w:r>
      <w:r w:rsidRPr="0045469E">
        <w:rPr>
          <w:rFonts w:ascii="Arial" w:hAnsi="Arial" w:eastAsia="Calibri" w:cs="Arial"/>
          <w:color w:val="000000"/>
          <w:sz w:val="19"/>
          <w:szCs w:val="19"/>
        </w:rPr>
        <w:t xml:space="preserve"> </w:t>
      </w:r>
      <w:r w:rsidRPr="001E683B">
        <w:rPr>
          <w:rFonts w:ascii="Century Gothic" w:hAnsi="Century Gothic" w:eastAsia="Arial" w:cs="Arial"/>
          <w:color w:val="000000"/>
          <w:sz w:val="19"/>
          <w:szCs w:val="19"/>
        </w:rPr>
        <w:t>SANABRÍA SANTOS, Henry. Derecho Procesal Civil General. Universidad Externado de Colombia. Primera edición. Junio de 2021. Pág. 439</w:t>
      </w:r>
    </w:p>
    <w:p w:rsidRPr="0045469E" w:rsidR="00D15909" w:rsidP="00D15909" w:rsidRDefault="00D15909" w14:paraId="322349AF" w14:textId="77777777">
      <w:pPr>
        <w:pBdr>
          <w:top w:val="nil"/>
          <w:left w:val="nil"/>
          <w:bottom w:val="nil"/>
          <w:right w:val="nil"/>
          <w:between w:val="nil"/>
        </w:pBdr>
        <w:ind w:firstLine="709"/>
        <w:contextualSpacing/>
        <w:jc w:val="both"/>
        <w:rPr>
          <w:rFonts w:ascii="Arial" w:hAnsi="Arial" w:eastAsia="Calibri" w:cs="Arial"/>
          <w:color w:val="000000"/>
          <w:sz w:val="19"/>
          <w:szCs w:val="19"/>
        </w:rPr>
      </w:pPr>
    </w:p>
  </w:footnote>
  <w:footnote w:id="22">
    <w:p w:rsidRPr="001E683B" w:rsidR="00D15909" w:rsidP="00D15909" w:rsidRDefault="00D15909" w14:paraId="0ECE8AA1"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cs="Arial"/>
          <w:sz w:val="19"/>
          <w:szCs w:val="19"/>
          <w:vertAlign w:val="superscript"/>
        </w:rPr>
        <w:footnoteRef/>
      </w:r>
      <w:r w:rsidRPr="001E683B">
        <w:rPr>
          <w:rFonts w:ascii="Century Gothic" w:hAnsi="Century Gothic" w:eastAsia="Arial" w:cs="Arial"/>
          <w:color w:val="000000"/>
          <w:sz w:val="19"/>
          <w:szCs w:val="19"/>
        </w:rPr>
        <w:t xml:space="preserve"> La igualdad es un principio de la función administrativa, que, en tal sentido, debe aplicarse en materia contractual, de conformidad con los artículos 13 y 209 de la Constitución. La primera de dichas disposiciones establece que “Todas las personas nacen libres e iguales ante la ley, recibirán la misma protección y trato de las autoridades y gozarán de los mismos derechos, libertades y oportunidades sin ninguna discriminación por razones de sexo, raza, origen nacional o familiar, lengua, religión, opinión política o filosófica”. Así lo ha entendido el Consejo de Estado: “El principio de igualdad ha sido recogido por la casi la totalidad de las Constituciones modernas y la colombiana no es una excepción. Este postulado se encuentra en el preámbulo de nuestra Constitución como eje fundametal del Estado; también está previsto en el artículo 13 como principio y derecho fundamental; y finalmente, está regulado en el artículo 209 como principio que debe regir el ejercicio de la función administrativa.</w:t>
      </w:r>
    </w:p>
    <w:p w:rsidRPr="001E683B" w:rsidR="00D15909" w:rsidP="00D15909" w:rsidRDefault="00D15909" w14:paraId="24A903FA"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eastAsia="Arial" w:cs="Arial"/>
          <w:color w:val="000000"/>
          <w:sz w:val="19"/>
          <w:szCs w:val="19"/>
        </w:rPr>
        <w:t>“[…]</w:t>
      </w:r>
    </w:p>
    <w:p w:rsidRPr="001E683B" w:rsidR="00D15909" w:rsidP="00D15909" w:rsidRDefault="00D15909" w14:paraId="030A5E39"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eastAsia="Arial" w:cs="Arial"/>
          <w:color w:val="000000"/>
          <w:sz w:val="19"/>
          <w:szCs w:val="19"/>
        </w:rPr>
        <w:t>“Al estudiar el principio de igualdad en materia de contratación estatal se observa que este encuentra varias manifestaciones en la Ley 80 de 1993 (artículos 24 y 30) y en la Ley 1150 de 2007 (artículo 5) toda vez que para la selección del contratista, cualquiera que sea el procedimiento que la Administración utilice para ello, todos los participantes deben estar en condiciones de igualdad.</w:t>
      </w:r>
    </w:p>
    <w:p w:rsidRPr="001E683B" w:rsidR="00D15909" w:rsidP="00D15909" w:rsidRDefault="00D15909" w14:paraId="3FCD605D"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eastAsia="Arial" w:cs="Arial"/>
          <w:color w:val="000000"/>
          <w:sz w:val="19"/>
          <w:szCs w:val="19"/>
        </w:rPr>
        <w:t>“Así, sin duda, se advierte que se trata de un principio con un contenido bastante amplio. Es decir, se estaría haciendo referencia al deber de la Administración y al derecho de quienes pretender contratar con el Estado a que: i) la adjudicación de los contratos de realice a la mejor propuesta; ii) el Estado garantice la mayor concurrencia de ofertas; iii) ninguno de los oferentes sufra una discriminación no justificada; iv) todos los participantes tengan el mismo plazo para presentar sus ofertas; v) las mismas se somentan por igual a los términos señalados por la Administración; vi) y el Estado justifique con criterios objetivos cúal fue la mejor propuesta; entre otros.</w:t>
      </w:r>
    </w:p>
    <w:p w:rsidRPr="001E683B" w:rsidR="00D15909" w:rsidP="00D15909" w:rsidRDefault="00D15909" w14:paraId="44F69758"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eastAsia="Arial" w:cs="Arial"/>
          <w:color w:val="000000"/>
          <w:sz w:val="19"/>
          <w:szCs w:val="19"/>
        </w:rPr>
        <w:t>“Como se observa, resulta imposible señalar mediante una lista cerrada el contenido del principio de igualdad en la contratación estatal y esto sólo puede hacerse de modo ejemplificativo; sin embargo, lo cierto es que este principio es de vital importancia pues los demás principios que rigen dicha actividad, como por ejemplo, la selección objetiva, la transparencia, la publicidad, la legalidad, la libre concurrencia, entre otros, buscan garantizarlo” (Consejo de Estado. Sección Tercera. Subsección C. Sentencia del 29 de agosto de 2013. Consejero Ponente: Jaime Orlando Santofimio Gamboa. Expediente: 39005).</w:t>
      </w:r>
    </w:p>
    <w:p w:rsidRPr="001E683B" w:rsidR="00D15909" w:rsidP="00D15909" w:rsidRDefault="00D15909" w14:paraId="4318E75B"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p>
  </w:footnote>
  <w:footnote w:id="23">
    <w:p w:rsidRPr="001E683B" w:rsidR="00D15909" w:rsidP="00D15909" w:rsidRDefault="00D15909" w14:paraId="2D70667A"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cs="Arial"/>
          <w:sz w:val="19"/>
          <w:szCs w:val="19"/>
          <w:vertAlign w:val="superscript"/>
        </w:rPr>
        <w:footnoteRef/>
      </w:r>
      <w:r w:rsidRPr="001E683B">
        <w:rPr>
          <w:rFonts w:ascii="Century Gothic" w:hAnsi="Century Gothic" w:eastAsia="Arial" w:cs="Arial"/>
          <w:color w:val="000000"/>
          <w:sz w:val="19"/>
          <w:szCs w:val="19"/>
        </w:rPr>
        <w:t xml:space="preserve"> El artículo 30, numeral 8, de la Ley 80 de 1993, refiriéndose a la licitación, prohíbe a los oferentes “completar, adicionar, modificar o mejorar sus propuestas”.</w:t>
      </w:r>
    </w:p>
    <w:p w:rsidRPr="001E683B" w:rsidR="00D15909" w:rsidP="00D15909" w:rsidRDefault="00D15909" w14:paraId="4C1816AF"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p>
  </w:footnote>
  <w:footnote w:id="24">
    <w:p w:rsidRPr="001E683B" w:rsidR="00D15909" w:rsidP="00D15909" w:rsidRDefault="00D15909" w14:paraId="532B1289"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cs="Arial"/>
          <w:sz w:val="19"/>
          <w:szCs w:val="19"/>
          <w:vertAlign w:val="superscript"/>
        </w:rPr>
        <w:footnoteRef/>
      </w:r>
      <w:r w:rsidRPr="001E683B">
        <w:rPr>
          <w:rFonts w:ascii="Century Gothic" w:hAnsi="Century Gothic" w:eastAsia="Arial" w:cs="Arial"/>
          <w:color w:val="000000"/>
          <w:sz w:val="19"/>
          <w:szCs w:val="19"/>
        </w:rPr>
        <w:t xml:space="preserve"> Esta norma dispone: “En los procesos de contratación de obras públicas que adelanten las entidades estatales contratantes, sin importar la cuantía, deberán consultar y analizar las anotaciones vigentes que presenten las personas naturales o jurídicas, nacionales o extranjeras domiciliadas o con sucursal en Colombia, en el Registro Nacional de Obras Civiles Inconclusas”.</w:t>
      </w:r>
    </w:p>
    <w:p w:rsidRPr="001E683B" w:rsidR="00D15909" w:rsidP="00D15909" w:rsidRDefault="00D15909" w14:paraId="3672FF3E"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eastAsia="Arial" w:cs="Arial"/>
          <w:color w:val="000000"/>
          <w:sz w:val="19"/>
          <w:szCs w:val="19"/>
        </w:rPr>
        <w:t>“Durante los procesos de selección objetiva para contratistas de obra o interventores, se tendrán en cuenta las anotaciones vigentes en el Registro Nacional de Obras Civiles Inconclusas al momento de evaluar los</w:t>
      </w:r>
      <w:r w:rsidRPr="0045469E">
        <w:rPr>
          <w:rFonts w:ascii="Arial" w:hAnsi="Arial" w:eastAsia="Arial" w:cs="Arial"/>
          <w:color w:val="000000"/>
          <w:sz w:val="19"/>
          <w:szCs w:val="19"/>
        </w:rPr>
        <w:t xml:space="preserve"> </w:t>
      </w:r>
      <w:r w:rsidRPr="001E683B">
        <w:rPr>
          <w:rFonts w:ascii="Century Gothic" w:hAnsi="Century Gothic" w:eastAsia="Arial" w:cs="Arial"/>
          <w:color w:val="000000"/>
          <w:sz w:val="19"/>
          <w:szCs w:val="19"/>
        </w:rPr>
        <w:t>factores de ponderación de calidad, establecidos en el literal a) del artículo 5o de la Ley 1150 de 2007 o la norma que la modifique.</w:t>
      </w:r>
    </w:p>
    <w:p w:rsidRPr="001E683B" w:rsidR="00D15909" w:rsidP="00D15909" w:rsidRDefault="00D15909" w14:paraId="74B6AF75"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r w:rsidRPr="001E683B">
        <w:rPr>
          <w:rFonts w:ascii="Century Gothic" w:hAnsi="Century Gothic" w:eastAsia="Arial" w:cs="Arial"/>
          <w:color w:val="000000"/>
          <w:sz w:val="19"/>
          <w:szCs w:val="19"/>
        </w:rPr>
        <w:t>“Cualquier controversia o solicitud que surja en relación con los reportes eje información que suministre la entidad contratante, serán resueltos por esta, atendiendo los principios y disposiciones establecidos en la normatividad vigente”.</w:t>
      </w:r>
    </w:p>
    <w:p w:rsidRPr="001E683B" w:rsidR="00D15909" w:rsidP="00D15909" w:rsidRDefault="00D15909" w14:paraId="1F7615B7" w14:textId="77777777">
      <w:pPr>
        <w:pBdr>
          <w:top w:val="nil"/>
          <w:left w:val="nil"/>
          <w:bottom w:val="nil"/>
          <w:right w:val="nil"/>
          <w:between w:val="nil"/>
        </w:pBdr>
        <w:ind w:firstLine="709"/>
        <w:contextualSpacing/>
        <w:jc w:val="both"/>
        <w:rPr>
          <w:rFonts w:ascii="Century Gothic" w:hAnsi="Century Gothic" w:eastAsia="Arial" w:cs="Arial"/>
          <w:color w:val="000000"/>
          <w:sz w:val="19"/>
          <w:szCs w:val="19"/>
        </w:rPr>
      </w:pPr>
    </w:p>
  </w:footnote>
  <w:footnote w:id="25">
    <w:p w:rsidRPr="001E683B" w:rsidR="00D15909" w:rsidP="00D15909" w:rsidRDefault="00D15909" w14:paraId="102BCADA" w14:textId="77777777">
      <w:pPr>
        <w:ind w:firstLine="709"/>
        <w:contextualSpacing/>
        <w:jc w:val="both"/>
        <w:rPr>
          <w:rFonts w:ascii="Century Gothic" w:hAnsi="Century Gothic" w:eastAsia="Arial" w:cs="Arial"/>
          <w:sz w:val="19"/>
          <w:szCs w:val="19"/>
        </w:rPr>
      </w:pPr>
      <w:r w:rsidRPr="001E683B">
        <w:rPr>
          <w:rFonts w:ascii="Century Gothic" w:hAnsi="Century Gothic" w:cs="Arial"/>
          <w:sz w:val="19"/>
          <w:szCs w:val="19"/>
          <w:vertAlign w:val="superscript"/>
        </w:rPr>
        <w:footnoteRef/>
      </w:r>
      <w:r w:rsidRPr="001E683B">
        <w:rPr>
          <w:rFonts w:ascii="Century Gothic" w:hAnsi="Century Gothic" w:eastAsia="Arial" w:cs="Arial"/>
          <w:sz w:val="19"/>
          <w:szCs w:val="19"/>
        </w:rPr>
        <w:t xml:space="preserve"> El </w:t>
      </w:r>
      <w:r w:rsidRPr="001E683B">
        <w:rPr>
          <w:rFonts w:ascii="Century Gothic" w:hAnsi="Century Gothic" w:eastAsia="Arial" w:cs="Arial"/>
          <w:i/>
          <w:sz w:val="19"/>
          <w:szCs w:val="19"/>
        </w:rPr>
        <w:t>principio de interpretación conforme</w:t>
      </w:r>
      <w:r w:rsidRPr="001E683B">
        <w:rPr>
          <w:rFonts w:ascii="Century Gothic" w:hAnsi="Century Gothic" w:eastAsia="Arial" w:cs="Arial"/>
          <w:sz w:val="19"/>
          <w:szCs w:val="19"/>
        </w:rPr>
        <w:t xml:space="preserve"> con la Constitución –en tanto “norma de normas”, en los términos del artículo 4 de aquella– fue explicado por la Corte Constitucional, entre otras, en la Sentencia C-054 de 2016 –expedida con ponencia de Luis Ernesto Vargas Silva–. Al respecto, el alto tribunal sostuvo que “[…] el vínculo entre el origen de los métodos de interpretación y el contractualismo liberal no resta utilidad a aquellos en el marco del Estado Social y Democrático de Derecho. Esto debido a que de acuerdo con el principio de interpretación conforme, […], las normas legales, entre ellas las previstas en el Código Civil y que definen dichos métodos hermenéuticos, deben ser armonizadas con los derechos, principios y valores constitucionales”.</w:t>
      </w:r>
    </w:p>
    <w:p w:rsidRPr="0045469E" w:rsidR="00D15909" w:rsidP="00D15909" w:rsidRDefault="00D15909" w14:paraId="7B11B79A" w14:textId="77777777">
      <w:pPr>
        <w:pBdr>
          <w:top w:val="nil"/>
          <w:left w:val="nil"/>
          <w:bottom w:val="nil"/>
          <w:right w:val="nil"/>
          <w:between w:val="nil"/>
        </w:pBdr>
        <w:ind w:firstLine="709"/>
        <w:contextualSpacing/>
        <w:jc w:val="both"/>
        <w:rPr>
          <w:rFonts w:ascii="Arial" w:hAnsi="Arial" w:eastAsia="Arial" w:cs="Arial"/>
          <w:color w:val="000000"/>
          <w:sz w:val="19"/>
          <w:szCs w:val="19"/>
        </w:rPr>
      </w:pPr>
    </w:p>
  </w:footnote>
  <w:footnote w:id="26">
    <w:p w:rsidRPr="001E683B" w:rsidR="00D15909" w:rsidP="00D15909" w:rsidRDefault="00D15909" w14:paraId="71BD87CD" w14:textId="77777777">
      <w:pPr>
        <w:pStyle w:val="FootnoteText"/>
        <w:ind w:firstLine="709"/>
        <w:jc w:val="both"/>
        <w:rPr>
          <w:rFonts w:ascii="Century Gothic" w:hAnsi="Century Gothic" w:cs="Arial"/>
          <w:sz w:val="19"/>
          <w:szCs w:val="19"/>
        </w:rPr>
      </w:pPr>
      <w:r w:rsidRPr="001E683B">
        <w:rPr>
          <w:rStyle w:val="FootnoteReference"/>
          <w:rFonts w:ascii="Century Gothic" w:hAnsi="Century Gothic" w:cs="Arial"/>
          <w:sz w:val="19"/>
          <w:szCs w:val="19"/>
        </w:rPr>
        <w:footnoteRef/>
      </w:r>
      <w:r w:rsidRPr="001E683B">
        <w:rPr>
          <w:rFonts w:ascii="Century Gothic" w:hAnsi="Century Gothic" w:cs="Arial"/>
          <w:sz w:val="19"/>
          <w:szCs w:val="19"/>
        </w:rPr>
        <w:t xml:space="preserve"> Corte Constitucional. Sentencia C-317 de 2012. M.P. María Victoria Calle Correa. </w:t>
      </w:r>
    </w:p>
    <w:p w:rsidRPr="001E683B" w:rsidR="00D15909" w:rsidP="00D15909" w:rsidRDefault="00D15909" w14:paraId="0F0FC33B" w14:textId="77777777">
      <w:pPr>
        <w:pStyle w:val="FootnoteText"/>
        <w:ind w:firstLine="709"/>
        <w:jc w:val="both"/>
        <w:rPr>
          <w:rFonts w:ascii="Century Gothic" w:hAnsi="Century Gothic" w:cs="Arial"/>
          <w:sz w:val="19"/>
          <w:szCs w:val="19"/>
        </w:rPr>
      </w:pPr>
    </w:p>
  </w:footnote>
  <w:footnote w:id="27">
    <w:p w:rsidRPr="001E683B" w:rsidR="00D15909" w:rsidP="00D15909" w:rsidRDefault="00D15909" w14:paraId="6AC1565E" w14:textId="77777777">
      <w:pPr>
        <w:pStyle w:val="FootnoteText"/>
        <w:ind w:firstLine="709"/>
        <w:jc w:val="both"/>
        <w:rPr>
          <w:rFonts w:ascii="Century Gothic" w:hAnsi="Century Gothic" w:cs="Arial"/>
          <w:color w:val="000000" w:themeColor="text1"/>
          <w:sz w:val="19"/>
          <w:szCs w:val="19"/>
        </w:rPr>
      </w:pPr>
      <w:r w:rsidRPr="001E683B">
        <w:rPr>
          <w:rStyle w:val="FootnoteReference"/>
          <w:rFonts w:ascii="Century Gothic" w:hAnsi="Century Gothic" w:cs="Arial"/>
          <w:color w:val="000000" w:themeColor="text1"/>
          <w:sz w:val="19"/>
          <w:szCs w:val="19"/>
        </w:rPr>
        <w:footnoteRef/>
      </w:r>
      <w:r w:rsidRPr="001E683B">
        <w:rPr>
          <w:rFonts w:ascii="Century Gothic" w:hAnsi="Century Gothic" w:cs="Arial"/>
          <w:color w:val="000000" w:themeColor="text1"/>
          <w:sz w:val="19"/>
          <w:szCs w:val="19"/>
        </w:rPr>
        <w:t xml:space="preserve"> Así se desprende del primer inciso de aquel artículo, que dice: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p w:rsidRPr="001E683B" w:rsidR="00D15909" w:rsidP="00D15909" w:rsidRDefault="00D15909" w14:paraId="161B4D3C" w14:textId="77777777">
      <w:pPr>
        <w:pStyle w:val="FootnoteText"/>
        <w:ind w:firstLine="709"/>
        <w:jc w:val="both"/>
        <w:rPr>
          <w:rFonts w:ascii="Century Gothic" w:hAnsi="Century Gothic" w:cs="Arial"/>
          <w:color w:val="000000" w:themeColor="text1"/>
          <w:sz w:val="19"/>
          <w:szCs w:val="19"/>
        </w:rPr>
      </w:pPr>
    </w:p>
  </w:footnote>
  <w:footnote w:id="28">
    <w:p w:rsidRPr="001E683B" w:rsidR="00D15909" w:rsidP="00D15909" w:rsidRDefault="00D15909" w14:paraId="306EBEA8" w14:textId="77777777">
      <w:pPr>
        <w:pStyle w:val="FootnoteText"/>
        <w:ind w:firstLine="709"/>
        <w:jc w:val="both"/>
        <w:rPr>
          <w:rFonts w:ascii="Century Gothic" w:hAnsi="Century Gothic" w:cs="Arial"/>
          <w:color w:val="000000" w:themeColor="text1"/>
          <w:sz w:val="19"/>
          <w:szCs w:val="19"/>
        </w:rPr>
      </w:pPr>
      <w:r w:rsidRPr="001E683B">
        <w:rPr>
          <w:rStyle w:val="FootnoteReference"/>
          <w:rFonts w:ascii="Century Gothic" w:hAnsi="Century Gothic" w:cs="Arial"/>
          <w:sz w:val="19"/>
          <w:szCs w:val="19"/>
        </w:rPr>
        <w:footnoteRef/>
      </w:r>
      <w:r w:rsidRPr="001E683B">
        <w:rPr>
          <w:rFonts w:ascii="Century Gothic" w:hAnsi="Century Gothic" w:cs="Arial"/>
          <w:sz w:val="19"/>
          <w:szCs w:val="19"/>
        </w:rPr>
        <w:t xml:space="preserve"> </w:t>
      </w:r>
      <w:r w:rsidRPr="001E683B">
        <w:rPr>
          <w:rFonts w:ascii="Century Gothic" w:hAnsi="Century Gothic" w:cs="Arial"/>
          <w:color w:val="000000" w:themeColor="text1"/>
          <w:sz w:val="19"/>
          <w:szCs w:val="19"/>
        </w:rPr>
        <w:t xml:space="preserve">Se entiende por entidades de </w:t>
      </w:r>
      <w:r w:rsidRPr="001E683B">
        <w:rPr>
          <w:rFonts w:ascii="Century Gothic" w:hAnsi="Century Gothic" w:cs="Arial"/>
          <w:i/>
          <w:iCs/>
          <w:color w:val="000000" w:themeColor="text1"/>
          <w:sz w:val="19"/>
          <w:szCs w:val="19"/>
        </w:rPr>
        <w:t xml:space="preserve">régimen especial </w:t>
      </w:r>
      <w:r w:rsidRPr="001E683B">
        <w:rPr>
          <w:rFonts w:ascii="Century Gothic" w:hAnsi="Century Gothic" w:cs="Arial"/>
          <w:color w:val="000000" w:themeColor="text1"/>
          <w:sz w:val="19"/>
          <w:szCs w:val="19"/>
        </w:rPr>
        <w:t>aquellas que tienen un régimen contractual distinto al Estatuto General de Contratación de la Administración Pública, y que por regla general se rigen por el derecho privado.</w:t>
      </w:r>
    </w:p>
    <w:p w:rsidRPr="000D5EF9" w:rsidR="00D15909" w:rsidP="00D15909" w:rsidRDefault="00D15909" w14:paraId="2394EDED" w14:textId="77777777">
      <w:pPr>
        <w:pStyle w:val="FootnoteText"/>
        <w:ind w:firstLine="709"/>
        <w:jc w:val="both"/>
        <w:rPr>
          <w:rFonts w:ascii="Arial" w:hAnsi="Arial" w:cs="Arial"/>
          <w:sz w:val="19"/>
          <w:szCs w:val="19"/>
          <w:lang w:val="es-CO"/>
        </w:rPr>
      </w:pPr>
    </w:p>
  </w:footnote>
  <w:footnote w:id="29">
    <w:p w:rsidRPr="000D5EF9" w:rsidR="00D15909" w:rsidP="00D15909" w:rsidRDefault="00D15909" w14:paraId="23786E19" w14:textId="77777777">
      <w:pPr>
        <w:pStyle w:val="FootnoteText"/>
        <w:ind w:firstLine="709"/>
        <w:jc w:val="both"/>
        <w:rPr>
          <w:rFonts w:ascii="Arial" w:hAnsi="Arial" w:cs="Arial"/>
          <w:sz w:val="19"/>
          <w:szCs w:val="19"/>
          <w:lang w:val="es-CO"/>
        </w:rPr>
      </w:pPr>
      <w:r w:rsidRPr="000D5EF9">
        <w:rPr>
          <w:rStyle w:val="FootnoteReference"/>
          <w:rFonts w:ascii="Arial" w:hAnsi="Arial" w:cs="Arial"/>
          <w:sz w:val="19"/>
          <w:szCs w:val="19"/>
        </w:rPr>
        <w:footnoteRef/>
      </w:r>
      <w:r w:rsidRPr="000D5EF9">
        <w:rPr>
          <w:rFonts w:ascii="Arial" w:hAnsi="Arial" w:cs="Arial"/>
          <w:sz w:val="19"/>
          <w:szCs w:val="19"/>
        </w:rPr>
        <w:t xml:space="preserve"> </w:t>
      </w:r>
      <w:r w:rsidRPr="000D5EF9">
        <w:rPr>
          <w:rFonts w:ascii="Arial" w:hAnsi="Arial" w:cs="Arial"/>
          <w:color w:val="000000" w:themeColor="text1"/>
          <w:sz w:val="19"/>
          <w:szCs w:val="19"/>
        </w:rPr>
        <w:t>Esto se ha señalado en distintos conceptos de esta Subdirección, como el C-219 del 29 de abril de 2020, el C-280 del 6 de julio de 2020 y el C–434 del 29 de julio de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756841" w:rsidRDefault="00961B09" w14:paraId="6ED12154" w14:textId="43B6B0B6">
    <w:pPr>
      <w:pStyle w:val="Header"/>
    </w:pPr>
    <w:r>
      <w:rPr>
        <w:noProof/>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Picture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sidR="002962BC">
      <w:rPr>
        <w:rFonts w:ascii="Geomanist Bold" w:hAnsi="Geomanist Bold"/>
        <w:b/>
        <w:bCs/>
        <w:noProof/>
        <w:color w:val="46589C"/>
        <w:sz w:val="24"/>
        <w:szCs w:val="24"/>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Picture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Picture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Picture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rsidR="00756841" w:rsidRDefault="00756841" w14:paraId="435F4D03" w14:textId="67DABC48">
    <w:pPr>
      <w:pStyle w:val="Header"/>
    </w:pPr>
  </w:p>
  <w:p w:rsidR="00756841" w:rsidRDefault="00756841" w14:paraId="1BE2B9AE" w14:textId="4B94DB3B">
    <w:pPr>
      <w:pStyle w:val="Header"/>
    </w:pPr>
  </w:p>
  <w:p w:rsidRPr="004A305D" w:rsidR="004A305D" w:rsidP="004A305D" w:rsidRDefault="004A305D" w14:paraId="7FE1230C" w14:textId="77777777">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rsidRPr="004A305D" w:rsidR="004A305D" w:rsidP="004A305D" w:rsidRDefault="004A305D" w14:paraId="7B0A8834" w14:textId="3D6F55FC">
    <w:pPr>
      <w:pBdr>
        <w:top w:val="nil"/>
        <w:left w:val="nil"/>
        <w:bottom w:val="nil"/>
        <w:right w:val="nil"/>
        <w:between w:val="nil"/>
      </w:pBdr>
      <w:tabs>
        <w:tab w:val="center" w:pos="4419"/>
        <w:tab w:val="right" w:pos="8838"/>
        <w:tab w:val="center" w:pos="5400"/>
      </w:tabs>
      <w:spacing w:after="0"/>
      <w:rPr>
        <w:rFonts w:ascii="Century Gothic" w:hAnsi="Century Gothic" w:eastAsia="Geo" w:cs="Geo"/>
        <w:b/>
        <w:color w:val="002060"/>
        <w:sz w:val="16"/>
        <w:szCs w:val="16"/>
        <w:lang w:eastAsia="es-CO"/>
      </w:rPr>
    </w:pPr>
    <w:r w:rsidRPr="004A305D">
      <w:rPr>
        <w:rFonts w:ascii="Century Gothic" w:hAnsi="Century Gothic" w:eastAsia="Geo" w:cs="Geo"/>
        <w:b/>
        <w:color w:val="000000"/>
        <w:sz w:val="16"/>
        <w:szCs w:val="16"/>
        <w:lang w:eastAsia="es-CO"/>
      </w:rPr>
      <w:t xml:space="preserve">Código: </w:t>
    </w:r>
    <w:r w:rsidRPr="004A305D">
      <w:rPr>
        <w:rFonts w:ascii="Century Gothic" w:hAnsi="Century Gothic" w:eastAsia="Geo" w:cs="Geo"/>
        <w:bCs/>
        <w:color w:val="000000"/>
        <w:sz w:val="16"/>
        <w:szCs w:val="16"/>
        <w:lang w:eastAsia="es-CO"/>
      </w:rPr>
      <w:t>CCE-</w:t>
    </w:r>
    <w:r w:rsidR="00CB6357">
      <w:rPr>
        <w:rFonts w:ascii="Century Gothic" w:hAnsi="Century Gothic" w:eastAsia="Geo" w:cs="Geo"/>
        <w:bCs/>
        <w:color w:val="000000"/>
        <w:sz w:val="16"/>
        <w:szCs w:val="16"/>
        <w:lang w:eastAsia="es-CO"/>
      </w:rPr>
      <w:t>REC</w:t>
    </w:r>
    <w:r w:rsidRPr="004A305D">
      <w:rPr>
        <w:rFonts w:ascii="Century Gothic" w:hAnsi="Century Gothic" w:eastAsia="Geo" w:cs="Geo"/>
        <w:bCs/>
        <w:color w:val="000000"/>
        <w:sz w:val="16"/>
        <w:szCs w:val="16"/>
        <w:lang w:eastAsia="es-CO"/>
      </w:rPr>
      <w:t>-FM-</w:t>
    </w:r>
    <w:r w:rsidR="00CB6357">
      <w:rPr>
        <w:rFonts w:ascii="Century Gothic" w:hAnsi="Century Gothic" w:eastAsia="Geo" w:cs="Geo"/>
        <w:bCs/>
        <w:color w:val="000000"/>
        <w:sz w:val="16"/>
        <w:szCs w:val="16"/>
        <w:lang w:eastAsia="es-CO"/>
      </w:rPr>
      <w:t>1</w:t>
    </w:r>
    <w:r w:rsidR="00061B2A">
      <w:rPr>
        <w:rFonts w:ascii="Century Gothic" w:hAnsi="Century Gothic" w:eastAsia="Geo" w:cs="Geo"/>
        <w:bCs/>
        <w:color w:val="000000"/>
        <w:sz w:val="16"/>
        <w:szCs w:val="16"/>
        <w:lang w:eastAsia="es-CO"/>
      </w:rPr>
      <w:t>7</w:t>
    </w:r>
  </w:p>
  <w:p w:rsidRPr="004A305D" w:rsidR="004A305D" w:rsidP="004A305D" w:rsidRDefault="004A305D" w14:paraId="5E18350A" w14:textId="39FD735C">
    <w:pPr>
      <w:spacing w:after="0"/>
      <w:rPr>
        <w:rFonts w:ascii="Century Gothic" w:hAnsi="Century Gothic" w:eastAsia="Geo" w:cs="Geo"/>
        <w:sz w:val="16"/>
        <w:szCs w:val="16"/>
        <w:lang w:eastAsia="es-CO"/>
      </w:rPr>
    </w:pPr>
    <w:r w:rsidRPr="004A305D">
      <w:rPr>
        <w:rFonts w:ascii="Century Gothic" w:hAnsi="Century Gothic" w:eastAsia="Geo" w:cs="Geo"/>
        <w:b/>
        <w:color w:val="000000"/>
        <w:sz w:val="16"/>
        <w:szCs w:val="16"/>
        <w:lang w:eastAsia="es-CO"/>
      </w:rPr>
      <w:t>Versión</w:t>
    </w:r>
    <w:r w:rsidRPr="004A305D">
      <w:rPr>
        <w:rFonts w:ascii="Century Gothic" w:hAnsi="Century Gothic" w:eastAsia="Arial Nova" w:cs="Arial Nova"/>
        <w:b/>
        <w:color w:val="000000"/>
        <w:sz w:val="16"/>
        <w:szCs w:val="16"/>
        <w:lang w:eastAsia="es-CO"/>
      </w:rPr>
      <w:t xml:space="preserve">: </w:t>
    </w:r>
    <w:r w:rsidRPr="004A305D">
      <w:rPr>
        <w:rFonts w:ascii="Century Gothic" w:hAnsi="Century Gothic" w:eastAsia="Geo" w:cs="Geo"/>
        <w:sz w:val="16"/>
        <w:szCs w:val="16"/>
        <w:lang w:eastAsia="es-CO"/>
      </w:rPr>
      <w:t>0</w:t>
    </w:r>
    <w:r w:rsidR="00322A85">
      <w:rPr>
        <w:rFonts w:ascii="Century Gothic" w:hAnsi="Century Gothic" w:eastAsia="Geo" w:cs="Geo"/>
        <w:sz w:val="16"/>
        <w:szCs w:val="16"/>
        <w:lang w:eastAsia="es-CO"/>
      </w:rPr>
      <w:t>2</w:t>
    </w:r>
    <w:r w:rsidRPr="004A305D">
      <w:rPr>
        <w:rFonts w:ascii="Century Gothic" w:hAnsi="Century Gothic" w:eastAsia="Geo" w:cs="Geo"/>
        <w:sz w:val="16"/>
        <w:szCs w:val="16"/>
        <w:lang w:eastAsia="es-CO"/>
      </w:rPr>
      <w:t xml:space="preserve"> DEL </w:t>
    </w:r>
    <w:r w:rsidR="002E4FD9">
      <w:rPr>
        <w:rFonts w:ascii="Century Gothic" w:hAnsi="Century Gothic" w:eastAsia="Geo" w:cs="Geo"/>
        <w:sz w:val="16"/>
        <w:szCs w:val="16"/>
        <w:lang w:eastAsia="es-CO"/>
      </w:rPr>
      <w:t>31</w:t>
    </w:r>
    <w:r w:rsidR="00CB6357">
      <w:rPr>
        <w:rFonts w:ascii="Century Gothic" w:hAnsi="Century Gothic" w:eastAsia="Geo" w:cs="Geo"/>
        <w:sz w:val="16"/>
        <w:szCs w:val="16"/>
        <w:lang w:eastAsia="es-CO"/>
      </w:rPr>
      <w:t xml:space="preserve"> </w:t>
    </w:r>
    <w:r w:rsidRPr="004A305D">
      <w:rPr>
        <w:rFonts w:ascii="Century Gothic" w:hAnsi="Century Gothic" w:eastAsia="Geo" w:cs="Geo"/>
        <w:sz w:val="16"/>
        <w:szCs w:val="16"/>
        <w:lang w:eastAsia="es-CO"/>
      </w:rPr>
      <w:t xml:space="preserve">DE </w:t>
    </w:r>
    <w:r w:rsidR="00322A85">
      <w:rPr>
        <w:rFonts w:ascii="Century Gothic" w:hAnsi="Century Gothic" w:eastAsia="Geo" w:cs="Geo"/>
        <w:sz w:val="16"/>
        <w:szCs w:val="16"/>
        <w:lang w:eastAsia="es-CO"/>
      </w:rPr>
      <w:t>AGOSTO</w:t>
    </w:r>
    <w:r w:rsidRPr="004A305D">
      <w:rPr>
        <w:rFonts w:ascii="Century Gothic" w:hAnsi="Century Gothic" w:eastAsia="Geo" w:cs="Geo"/>
        <w:sz w:val="16"/>
        <w:szCs w:val="16"/>
        <w:lang w:eastAsia="es-CO"/>
      </w:rPr>
      <w:t xml:space="preserve"> DE 202</w:t>
    </w:r>
    <w:r w:rsidR="00961B09">
      <w:rPr>
        <w:rFonts w:ascii="Century Gothic" w:hAnsi="Century Gothic" w:eastAsia="Geo" w:cs="Geo"/>
        <w:sz w:val="16"/>
        <w:szCs w:val="16"/>
        <w:lang w:eastAsia="es-CO"/>
      </w:rPr>
      <w:t>3</w:t>
    </w:r>
  </w:p>
  <w:p w:rsidR="008A446D" w:rsidP="00061B2A" w:rsidRDefault="008A446D" w14:paraId="1FD1C243" w14:textId="6D74A3CF">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30" style="width:11.5pt;height:11.5pt" o:bullet="t" type="#_x0000_t75">
        <v:imagedata o:title="mso1B13" r:id="rId1"/>
      </v:shape>
    </w:pict>
  </w:numPicBullet>
  <w:abstractNum w:abstractNumId="0" w15:restartNumberingAfterBreak="0">
    <w:nsid w:val="0075455F"/>
    <w:multiLevelType w:val="multilevel"/>
    <w:tmpl w:val="97C05104"/>
    <w:lvl w:ilvl="0">
      <w:start w:val="1"/>
      <w:numFmt w:val="bullet"/>
      <w:lvlText w:val=""/>
      <w:lvlPicBulletId w:val="0"/>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86931683">
    <w:abstractNumId w:val="7"/>
  </w:num>
  <w:num w:numId="2" w16cid:durableId="2002417444">
    <w:abstractNumId w:val="3"/>
  </w:num>
  <w:num w:numId="3" w16cid:durableId="110441208">
    <w:abstractNumId w:val="5"/>
  </w:num>
  <w:num w:numId="4" w16cid:durableId="16635074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01809481">
    <w:abstractNumId w:val="3"/>
  </w:num>
  <w:num w:numId="6" w16cid:durableId="1794975751">
    <w:abstractNumId w:val="13"/>
  </w:num>
  <w:num w:numId="7" w16cid:durableId="1845123761">
    <w:abstractNumId w:val="6"/>
  </w:num>
  <w:num w:numId="8" w16cid:durableId="1950427207">
    <w:abstractNumId w:val="12"/>
  </w:num>
  <w:num w:numId="9" w16cid:durableId="584413381">
    <w:abstractNumId w:val="8"/>
  </w:num>
  <w:num w:numId="10" w16cid:durableId="1915160454">
    <w:abstractNumId w:val="11"/>
  </w:num>
  <w:num w:numId="11" w16cid:durableId="1813132652">
    <w:abstractNumId w:val="9"/>
  </w:num>
  <w:num w:numId="12" w16cid:durableId="562713714">
    <w:abstractNumId w:val="2"/>
  </w:num>
  <w:num w:numId="13" w16cid:durableId="716975040">
    <w:abstractNumId w:val="4"/>
  </w:num>
  <w:num w:numId="14" w16cid:durableId="1656453285">
    <w:abstractNumId w:val="14"/>
  </w:num>
  <w:num w:numId="15" w16cid:durableId="1471559859">
    <w:abstractNumId w:val="10"/>
  </w:num>
  <w:num w:numId="16" w16cid:durableId="622807385">
    <w:abstractNumId w:val="0"/>
  </w:num>
  <w:num w:numId="17" w16cid:durableId="1533690969">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E30"/>
    <w:rsid w:val="00061B2A"/>
    <w:rsid w:val="00082362"/>
    <w:rsid w:val="000A683E"/>
    <w:rsid w:val="000B19B9"/>
    <w:rsid w:val="000D0334"/>
    <w:rsid w:val="000F6486"/>
    <w:rsid w:val="00125105"/>
    <w:rsid w:val="00127233"/>
    <w:rsid w:val="00181CF8"/>
    <w:rsid w:val="001E4177"/>
    <w:rsid w:val="001F7DC6"/>
    <w:rsid w:val="002421BB"/>
    <w:rsid w:val="002707A2"/>
    <w:rsid w:val="002951A0"/>
    <w:rsid w:val="002962BC"/>
    <w:rsid w:val="002A093D"/>
    <w:rsid w:val="002A0DD0"/>
    <w:rsid w:val="002A49AC"/>
    <w:rsid w:val="002A64FD"/>
    <w:rsid w:val="002C7A84"/>
    <w:rsid w:val="002E4FD9"/>
    <w:rsid w:val="00322A85"/>
    <w:rsid w:val="003448F4"/>
    <w:rsid w:val="00374F5E"/>
    <w:rsid w:val="00377E3E"/>
    <w:rsid w:val="003A779E"/>
    <w:rsid w:val="003D0F4D"/>
    <w:rsid w:val="003D5B0D"/>
    <w:rsid w:val="003E0499"/>
    <w:rsid w:val="003E1F8D"/>
    <w:rsid w:val="003F3941"/>
    <w:rsid w:val="00406575"/>
    <w:rsid w:val="0042722E"/>
    <w:rsid w:val="004A1847"/>
    <w:rsid w:val="004A305D"/>
    <w:rsid w:val="004F21C4"/>
    <w:rsid w:val="004F685F"/>
    <w:rsid w:val="005566E8"/>
    <w:rsid w:val="00574867"/>
    <w:rsid w:val="00591460"/>
    <w:rsid w:val="005A0AF1"/>
    <w:rsid w:val="005A2340"/>
    <w:rsid w:val="005C3777"/>
    <w:rsid w:val="005C5CDC"/>
    <w:rsid w:val="005D476C"/>
    <w:rsid w:val="006219F8"/>
    <w:rsid w:val="00665D70"/>
    <w:rsid w:val="006900D9"/>
    <w:rsid w:val="00706C16"/>
    <w:rsid w:val="00756841"/>
    <w:rsid w:val="007649AB"/>
    <w:rsid w:val="00771D0C"/>
    <w:rsid w:val="007833AC"/>
    <w:rsid w:val="007845D3"/>
    <w:rsid w:val="007B268C"/>
    <w:rsid w:val="007B7171"/>
    <w:rsid w:val="007C3DC2"/>
    <w:rsid w:val="007E5497"/>
    <w:rsid w:val="007F19D0"/>
    <w:rsid w:val="0080680C"/>
    <w:rsid w:val="00806F5F"/>
    <w:rsid w:val="00820278"/>
    <w:rsid w:val="008843B6"/>
    <w:rsid w:val="00891928"/>
    <w:rsid w:val="008A446D"/>
    <w:rsid w:val="008D180B"/>
    <w:rsid w:val="008F0EA7"/>
    <w:rsid w:val="00923EEF"/>
    <w:rsid w:val="009419F9"/>
    <w:rsid w:val="00961B09"/>
    <w:rsid w:val="00965334"/>
    <w:rsid w:val="0097093E"/>
    <w:rsid w:val="009A6976"/>
    <w:rsid w:val="009C3CDC"/>
    <w:rsid w:val="009C71FA"/>
    <w:rsid w:val="009C72E7"/>
    <w:rsid w:val="009E0842"/>
    <w:rsid w:val="009F3A13"/>
    <w:rsid w:val="00A122D3"/>
    <w:rsid w:val="00A17F13"/>
    <w:rsid w:val="00A20739"/>
    <w:rsid w:val="00A33C78"/>
    <w:rsid w:val="00A900B8"/>
    <w:rsid w:val="00AB02C6"/>
    <w:rsid w:val="00AB0ADB"/>
    <w:rsid w:val="00AE56BB"/>
    <w:rsid w:val="00B72CD3"/>
    <w:rsid w:val="00B72FFF"/>
    <w:rsid w:val="00BC3D36"/>
    <w:rsid w:val="00BD7F72"/>
    <w:rsid w:val="00C04FB3"/>
    <w:rsid w:val="00C330EB"/>
    <w:rsid w:val="00C633A0"/>
    <w:rsid w:val="00C754BE"/>
    <w:rsid w:val="00C76B1C"/>
    <w:rsid w:val="00CB6357"/>
    <w:rsid w:val="00CC1B26"/>
    <w:rsid w:val="00D15909"/>
    <w:rsid w:val="00D423A2"/>
    <w:rsid w:val="00D63AC2"/>
    <w:rsid w:val="00D7383B"/>
    <w:rsid w:val="00DA231B"/>
    <w:rsid w:val="00DF5254"/>
    <w:rsid w:val="00E16408"/>
    <w:rsid w:val="00E20894"/>
    <w:rsid w:val="00E245AB"/>
    <w:rsid w:val="00E2764C"/>
    <w:rsid w:val="00E27F2E"/>
    <w:rsid w:val="00E37F5B"/>
    <w:rsid w:val="00E50AFE"/>
    <w:rsid w:val="00E771DC"/>
    <w:rsid w:val="00E8772A"/>
    <w:rsid w:val="00E90F6B"/>
    <w:rsid w:val="00E92C27"/>
    <w:rsid w:val="00E97D30"/>
    <w:rsid w:val="00EA0E3D"/>
    <w:rsid w:val="00EE1AA8"/>
    <w:rsid w:val="00F31EDC"/>
    <w:rsid w:val="00F462B3"/>
    <w:rsid w:val="00F5664F"/>
    <w:rsid w:val="00F666C4"/>
    <w:rsid w:val="00F76AFC"/>
    <w:rsid w:val="00FB5DD1"/>
    <w:rsid w:val="00FC2B5D"/>
    <w:rsid w:val="00FF1449"/>
    <w:rsid w:val="1EAA8B18"/>
    <w:rsid w:val="35CCFBED"/>
    <w:rsid w:val="38945CD4"/>
    <w:rsid w:val="667C7AA3"/>
    <w:rsid w:val="68A0FF10"/>
    <w:rsid w:val="6E84D8ED"/>
    <w:rsid w:val="79E51C3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styleId="HeaderChar" w:customStyle="1">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styleId="FooterChar" w:customStyle="1">
    <w:name w:val="Footer Char"/>
    <w:basedOn w:val="DefaultParagraphFont"/>
    <w:link w:val="Footer"/>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FootnoteTextChar" w:customStyle="1">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styleId="TextonotapieCar1" w:customStyle="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nhideWhenUsed/>
    <w:qFormat/>
    <w:rsid w:val="006219F8"/>
    <w:rPr>
      <w:vertAlign w:val="superscript"/>
    </w:rPr>
  </w:style>
  <w:style w:type="character" w:styleId="normaltextrun" w:customStyle="1">
    <w:name w:val="normaltextrun"/>
    <w:basedOn w:val="DefaultParagraphFont"/>
    <w:rsid w:val="006219F8"/>
  </w:style>
  <w:style w:type="table" w:styleId="TableGrid">
    <w:name w:val="Table Grid"/>
    <w:basedOn w:val="TableNormal"/>
    <w:uiPriority w:val="59"/>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itleChar" w:customStyle="1">
    <w:name w:val="Title Char"/>
    <w:basedOn w:val="DefaultParagraphFont"/>
    <w:link w:val="Title"/>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DefaultParagraphFont"/>
    <w:rsid w:val="00322A85"/>
  </w:style>
  <w:style w:type="character" w:styleId="eop" w:customStyle="1">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styleId="Appelnotedebasde" w:customStyle="1">
    <w:name w:val="Appel note de bas de..."/>
    <w:basedOn w:val="Normal"/>
    <w:link w:val="FootnoteReference"/>
    <w:rsid w:val="00D15909"/>
    <w:pPr>
      <w:spacing w:line="240" w:lineRule="exact"/>
    </w:pPr>
    <w:rPr>
      <w:vertAlign w:val="superscript"/>
    </w:rPr>
  </w:style>
  <w:style w:type="character" w:styleId="CommentReference">
    <w:name w:val="annotation reference"/>
    <w:basedOn w:val="DefaultParagraphFont"/>
    <w:uiPriority w:val="99"/>
    <w:semiHidden/>
    <w:unhideWhenUsed/>
    <w:rsid w:val="00E37F5B"/>
    <w:rPr>
      <w:sz w:val="16"/>
      <w:szCs w:val="16"/>
    </w:rPr>
  </w:style>
  <w:style w:type="paragraph" w:styleId="CommentText">
    <w:name w:val="annotation text"/>
    <w:basedOn w:val="Normal"/>
    <w:link w:val="CommentTextChar"/>
    <w:uiPriority w:val="99"/>
    <w:semiHidden/>
    <w:unhideWhenUsed/>
    <w:rsid w:val="00E37F5B"/>
    <w:pPr>
      <w:spacing w:line="240" w:lineRule="auto"/>
    </w:pPr>
    <w:rPr>
      <w:sz w:val="20"/>
      <w:szCs w:val="20"/>
    </w:rPr>
  </w:style>
  <w:style w:type="character" w:styleId="CommentTextChar" w:customStyle="1">
    <w:name w:val="Comment Text Char"/>
    <w:basedOn w:val="DefaultParagraphFont"/>
    <w:link w:val="CommentText"/>
    <w:uiPriority w:val="99"/>
    <w:semiHidden/>
    <w:rsid w:val="00E37F5B"/>
    <w:rPr>
      <w:sz w:val="20"/>
      <w:szCs w:val="20"/>
    </w:rPr>
  </w:style>
  <w:style w:type="paragraph" w:styleId="CommentSubject">
    <w:name w:val="annotation subject"/>
    <w:basedOn w:val="CommentText"/>
    <w:next w:val="CommentText"/>
    <w:link w:val="CommentSubjectChar"/>
    <w:uiPriority w:val="99"/>
    <w:semiHidden/>
    <w:unhideWhenUsed/>
    <w:rsid w:val="00E37F5B"/>
    <w:rPr>
      <w:b/>
      <w:bCs/>
    </w:rPr>
  </w:style>
  <w:style w:type="character" w:styleId="CommentSubjectChar" w:customStyle="1">
    <w:name w:val="Comment Subject Char"/>
    <w:basedOn w:val="CommentTextChar"/>
    <w:link w:val="CommentSubject"/>
    <w:uiPriority w:val="99"/>
    <w:semiHidden/>
    <w:rsid w:val="00E37F5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relatoria.colombiacompra.gov.co/ficha/C-195%20de%202022"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yperlink" Target="https://relatoria.colombiacompra.gov.co/ficha/C-125%20de%202022" TargetMode="External" Id="rId12" /><Relationship Type="http://schemas.openxmlformats.org/officeDocument/2006/relationships/image" Target="media/image3.png" Id="rId17" /><Relationship Type="http://schemas.openxmlformats.org/officeDocument/2006/relationships/customXml" Target="../customXml/item2.xml" Id="rId2" /><Relationship Type="http://schemas.openxmlformats.org/officeDocument/2006/relationships/hyperlink" Target="https://relatoria.colombiacompra.gov.co/ficha/C-034%20de%202023" TargetMode="Externa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relatoria.colombiacompra.gov.co/ficha/C-085%20de%202022" TargetMode="External" Id="rId11" /><Relationship Type="http://schemas.openxmlformats.org/officeDocument/2006/relationships/styles" Target="styles.xml" Id="rId5" /><Relationship Type="http://schemas.openxmlformats.org/officeDocument/2006/relationships/hyperlink" Target="https://relatoria.colombiacompra.gov.co/ficha/C%20-%20238%20de%202022" TargetMode="External" Id="rId15" /><Relationship Type="http://schemas.openxmlformats.org/officeDocument/2006/relationships/image" Target="media/image2.png" Id="rId10"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relatoria.colombiacompra.gov.co/ficha/C-208%20de%202022" TargetMode="External" Id="rId14" /></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7.png"/></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legibus/legibus/gacetas/2021/GC_1677_2021.pdf" TargetMode="External"/><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D383B32-28BC-47F4-82C1-CC9826D212C1}"/>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http://purl.org/dc/elements/1.1/"/>
    <ds:schemaRef ds:uri="cabc2350-70b2-4dba-bb42-96a3175f4d5a"/>
    <ds:schemaRef ds:uri="http://schemas.microsoft.com/office/infopath/2007/PartnerControls"/>
    <ds:schemaRef ds:uri="http://schemas.openxmlformats.org/package/2006/metadata/core-properties"/>
    <ds:schemaRef ds:uri="http://purl.org/dc/terms/"/>
    <ds:schemaRef ds:uri="8ae15d26-076e-464e-81a7-6f76a0fb3917"/>
    <ds:schemaRef ds:uri="http://schemas.microsoft.com/office/2006/metadata/properties"/>
    <ds:schemaRef ds:uri="http://www.w3.org/XML/1998/namespace"/>
    <ds:schemaRef ds:uri="http://purl.org/dc/dcmityp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Maria Valeska Medellín Mora</lastModifiedBy>
  <revision>6</revision>
  <lastPrinted>2023-01-10T21:18:00.0000000Z</lastPrinted>
  <dcterms:created xsi:type="dcterms:W3CDTF">2023-10-11T21:02:00.0000000Z</dcterms:created>
  <dcterms:modified xsi:type="dcterms:W3CDTF">2024-09-05T13:45:09.9153444Z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