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961DED" w14:textId="4070C793" w:rsidR="4FE8B467" w:rsidRDefault="4FE8B467" w:rsidP="00E90EB4">
      <w:pPr>
        <w:shd w:val="clear" w:color="auto" w:fill="FFFFFF" w:themeFill="background1"/>
        <w:spacing w:after="340"/>
        <w:ind w:left="708"/>
        <w:jc w:val="both"/>
        <w:rPr>
          <w:rFonts w:ascii="Verdana" w:eastAsia="Verdana" w:hAnsi="Verdana" w:cs="Verdana"/>
          <w:b/>
          <w:bCs/>
          <w:sz w:val="20"/>
          <w:szCs w:val="20"/>
          <w:lang w:val="es-MX"/>
        </w:rPr>
      </w:pPr>
      <w:r w:rsidRPr="721DBDAB">
        <w:rPr>
          <w:rFonts w:eastAsiaTheme="minorEastAsia"/>
          <w:b/>
          <w:bCs/>
          <w:sz w:val="20"/>
          <w:szCs w:val="20"/>
          <w:lang w:val="es-MX"/>
        </w:rPr>
        <w:t>DOCUMENTOS TIPO – Inalterabilidad – Configuración – Pliego de condiciones – Alcance</w:t>
      </w:r>
    </w:p>
    <w:p w14:paraId="0209C883" w14:textId="41C4943A" w:rsidR="4FE8B467" w:rsidRDefault="4FE8B467" w:rsidP="00E90EB4">
      <w:pPr>
        <w:shd w:val="clear" w:color="auto" w:fill="FFFFFF" w:themeFill="background1"/>
        <w:spacing w:after="340"/>
        <w:ind w:left="708"/>
        <w:jc w:val="both"/>
        <w:rPr>
          <w:rFonts w:ascii="Verdana" w:eastAsia="Verdana" w:hAnsi="Verdana" w:cs="Verdana"/>
          <w:sz w:val="20"/>
          <w:szCs w:val="20"/>
          <w:lang w:val="es-MX"/>
        </w:rPr>
      </w:pPr>
      <w:r w:rsidRPr="721DBDAB">
        <w:rPr>
          <w:rFonts w:eastAsiaTheme="minorEastAsia"/>
          <w:sz w:val="20"/>
          <w:szCs w:val="20"/>
          <w:lang w:val="es-MX"/>
        </w:rPr>
        <w:t>Los artículos 2.2.1.2.6.1.4 , 2.2.1.2.6.2.3  y 2.2.1.2.6.3.4  del Decreto 1082 de 2015 establecen la inalterabilidad de los documentos tipo para las modalidades de licitación pública, selección abreviada de menor cuantía y mínima cuantía, que consiste en que las entidades estatales no pueden incluir o modificar en los documentos del proceso las condiciones habilitantes, los factores técnicos y económicos de escogencia y los sistemas de ponderación distintos a los señalados en los documentos tipo. En</w:t>
      </w:r>
      <w:r w:rsidR="41A31D87" w:rsidRPr="721DBDAB">
        <w:rPr>
          <w:rFonts w:eastAsiaTheme="minorEastAsia"/>
          <w:sz w:val="20"/>
          <w:szCs w:val="20"/>
          <w:lang w:val="es-MX"/>
        </w:rPr>
        <w:t xml:space="preserve"> </w:t>
      </w:r>
      <w:r w:rsidRPr="721DBDAB">
        <w:rPr>
          <w:rFonts w:eastAsiaTheme="minorEastAsia"/>
          <w:sz w:val="20"/>
          <w:szCs w:val="20"/>
          <w:lang w:val="es-MX"/>
        </w:rPr>
        <w:t>consecuencia, las condiciones que sean establecidas en los documentos que adopte el Gobierno Nacional, en ejercicio del mandato establecido en el artículo 4 de la Ley 1882 de 2018, modificado por la Ley 2022 de 2020, son de obligatorio cumplimiento e inalterables para las entidades sometidas al EGCAP que adelanten procesos que deban regirse por su contenido. Por tanto, no pueden variar los requisitos que en ellos sean fijados, ni establecer reglas o requisitos adicionales a los establecidos en los Documentos Tipo para la presentación de las ofertas y la acreditación de los requisitos habilitantes.</w:t>
      </w:r>
    </w:p>
    <w:p w14:paraId="217C45F9" w14:textId="47F6E4DA" w:rsidR="25E6075E" w:rsidRDefault="25E6075E" w:rsidP="00E90EB4">
      <w:pPr>
        <w:spacing w:after="0" w:line="276" w:lineRule="auto"/>
        <w:ind w:left="708"/>
        <w:jc w:val="both"/>
      </w:pPr>
      <w:r w:rsidRPr="721DBDAB">
        <w:rPr>
          <w:rFonts w:ascii="Verdana" w:eastAsia="Verdana" w:hAnsi="Verdana" w:cs="Verdana"/>
          <w:b/>
          <w:bCs/>
          <w:lang w:val="es-MX"/>
        </w:rPr>
        <w:t>INALTERABILIDAD – Documentos Tipo – Alcance</w:t>
      </w:r>
    </w:p>
    <w:p w14:paraId="0D3AB345" w14:textId="21CDA82D" w:rsidR="25E6075E" w:rsidRDefault="25E6075E" w:rsidP="00E90EB4">
      <w:pPr>
        <w:spacing w:after="0" w:line="276" w:lineRule="auto"/>
        <w:ind w:left="708"/>
        <w:jc w:val="both"/>
      </w:pPr>
      <w:r w:rsidRPr="721DBDAB">
        <w:rPr>
          <w:rFonts w:ascii="Verdana" w:eastAsia="Verdana" w:hAnsi="Verdana" w:cs="Verdana"/>
          <w:lang w:val="es-MX"/>
        </w:rPr>
        <w:t xml:space="preserve"> </w:t>
      </w:r>
    </w:p>
    <w:p w14:paraId="6D446F00" w14:textId="0E72CA8A" w:rsidR="25E6075E" w:rsidRDefault="25E6075E" w:rsidP="00E90EB4">
      <w:pPr>
        <w:spacing w:after="0"/>
        <w:ind w:left="708"/>
        <w:jc w:val="both"/>
        <w:rPr>
          <w:rFonts w:ascii="Calibri" w:eastAsia="Calibri" w:hAnsi="Calibri" w:cs="Calibri"/>
        </w:rPr>
      </w:pPr>
      <w:r w:rsidRPr="721DBDAB">
        <w:rPr>
          <w:rFonts w:ascii="Verdana" w:eastAsia="Verdana" w:hAnsi="Verdana" w:cs="Verdana"/>
          <w:sz w:val="20"/>
          <w:szCs w:val="20"/>
          <w:lang w:val="es-MX"/>
        </w:rPr>
        <w:t xml:space="preserve">Todas las resoluciones expedidas por la Agencia Nacional de Contratación Pública – Colombia Compra Eficiente, mediante las cuales se han adoptado los documentos tipo, consagran la regla de la </w:t>
      </w:r>
      <w:r w:rsidR="6EA59B38" w:rsidRPr="721DBDAB">
        <w:rPr>
          <w:rFonts w:ascii="Verdana" w:eastAsia="Verdana" w:hAnsi="Verdana" w:cs="Verdana"/>
          <w:sz w:val="20"/>
          <w:szCs w:val="20"/>
          <w:lang w:val="es-MX"/>
        </w:rPr>
        <w:t>inalterabilidad.</w:t>
      </w:r>
      <w:r w:rsidRPr="721DBDAB">
        <w:rPr>
          <w:rFonts w:ascii="Verdana" w:eastAsia="Verdana" w:hAnsi="Verdana" w:cs="Verdana"/>
          <w:sz w:val="20"/>
          <w:szCs w:val="20"/>
          <w:lang w:val="es-MX"/>
        </w:rPr>
        <w:t xml:space="preserve"> Esta prohibición consiste en que las entidades estatales no pueden incluir o modificar en los </w:t>
      </w:r>
      <w:r w:rsidRPr="721DBDAB">
        <w:rPr>
          <w:rFonts w:ascii="Verdana" w:eastAsia="Verdana" w:hAnsi="Verdana" w:cs="Verdana"/>
          <w:i/>
          <w:iCs/>
          <w:sz w:val="20"/>
          <w:szCs w:val="20"/>
          <w:lang w:val="es-MX"/>
        </w:rPr>
        <w:t>Documentos del Proceso</w:t>
      </w:r>
      <w:r w:rsidRPr="721DBDAB">
        <w:rPr>
          <w:rFonts w:ascii="Verdana" w:eastAsia="Verdana" w:hAnsi="Verdana" w:cs="Verdana"/>
          <w:sz w:val="20"/>
          <w:szCs w:val="20"/>
          <w:lang w:val="es-MX"/>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r w:rsidR="16066A58" w:rsidRPr="721DBDAB">
        <w:rPr>
          <w:rFonts w:ascii="Verdana" w:eastAsia="Verdana" w:hAnsi="Verdana" w:cs="Verdana"/>
          <w:sz w:val="20"/>
          <w:szCs w:val="20"/>
          <w:lang w:val="es-MX"/>
        </w:rPr>
        <w:t>.</w:t>
      </w:r>
    </w:p>
    <w:p w14:paraId="6D16C704" w14:textId="1A95F059" w:rsidR="721DBDAB" w:rsidRDefault="721DBDAB" w:rsidP="00E90EB4">
      <w:pPr>
        <w:spacing w:after="0"/>
        <w:ind w:left="708"/>
        <w:jc w:val="both"/>
        <w:rPr>
          <w:rFonts w:ascii="Verdana" w:eastAsia="Verdana" w:hAnsi="Verdana" w:cs="Verdana"/>
          <w:sz w:val="20"/>
          <w:szCs w:val="20"/>
          <w:lang w:val="es-MX"/>
        </w:rPr>
      </w:pPr>
    </w:p>
    <w:p w14:paraId="796BDC3C" w14:textId="6D8A3A81" w:rsidR="16066A58" w:rsidRDefault="16066A58" w:rsidP="00E90EB4">
      <w:pPr>
        <w:shd w:val="clear" w:color="auto" w:fill="FFFFFF" w:themeFill="background1"/>
        <w:spacing w:after="340"/>
        <w:ind w:left="708"/>
        <w:jc w:val="both"/>
        <w:rPr>
          <w:rFonts w:ascii="Verdana" w:eastAsia="Verdana" w:hAnsi="Verdana" w:cs="Verdana"/>
          <w:b/>
          <w:bCs/>
          <w:sz w:val="20"/>
          <w:szCs w:val="20"/>
          <w:lang w:val="es-MX"/>
        </w:rPr>
      </w:pPr>
      <w:r w:rsidRPr="721DBDAB">
        <w:rPr>
          <w:rFonts w:eastAsiaTheme="minorEastAsia"/>
          <w:b/>
          <w:bCs/>
          <w:sz w:val="20"/>
          <w:szCs w:val="20"/>
          <w:lang w:val="es-MX"/>
        </w:rPr>
        <w:t>DOCUMENTOS TIPO – Inalterabilidad – Información en corchetes y resaltado gris – Experiencia</w:t>
      </w:r>
    </w:p>
    <w:p w14:paraId="366474F8" w14:textId="3DB8E0F2" w:rsidR="16066A58" w:rsidRDefault="16066A58" w:rsidP="00E90EB4">
      <w:pPr>
        <w:shd w:val="clear" w:color="auto" w:fill="FFFFFF" w:themeFill="background1"/>
        <w:spacing w:after="340"/>
        <w:ind w:left="708"/>
        <w:jc w:val="both"/>
        <w:rPr>
          <w:rFonts w:ascii="Verdana" w:eastAsia="Verdana" w:hAnsi="Verdana" w:cs="Verdana"/>
          <w:sz w:val="20"/>
          <w:szCs w:val="20"/>
          <w:lang w:val="es-MX"/>
        </w:rPr>
      </w:pPr>
      <w:r w:rsidRPr="721DBDAB">
        <w:rPr>
          <w:rFonts w:eastAsiaTheme="minorEastAsia"/>
          <w:sz w:val="20"/>
          <w:szCs w:val="20"/>
          <w:lang w:val="es-MX"/>
        </w:rPr>
        <w:t xml:space="preserve"> […] la 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salvo si el objeto contractual incluye bienes o servicios ajenos a la obra pública de infraestructura de transporte, caso en el que se podrá incluir experiencia adicional; y, además, cuando el pliego tipo de forma expresa lo incluya, es decir, en los aspectos incluidos en corchetes y resaltados en gris.</w:t>
      </w:r>
    </w:p>
    <w:p w14:paraId="67954C29" w14:textId="7BEE13EE" w:rsidR="16066A58" w:rsidRDefault="16066A58" w:rsidP="00E90EB4">
      <w:pPr>
        <w:shd w:val="clear" w:color="auto" w:fill="FFFFFF" w:themeFill="background1"/>
        <w:spacing w:after="340"/>
        <w:ind w:left="708"/>
        <w:jc w:val="both"/>
        <w:rPr>
          <w:rFonts w:ascii="Verdana" w:eastAsia="Verdana" w:hAnsi="Verdana" w:cs="Verdana"/>
          <w:sz w:val="20"/>
          <w:szCs w:val="20"/>
          <w:lang w:val="es-MX"/>
        </w:rPr>
      </w:pPr>
      <w:r w:rsidRPr="721DBDAB">
        <w:rPr>
          <w:rFonts w:eastAsiaTheme="minorEastAsia"/>
          <w:sz w:val="20"/>
          <w:szCs w:val="20"/>
          <w:lang w:val="es-MX"/>
        </w:rPr>
        <w:t xml:space="preserve">Este principio de inalterabilidad también es aplicable a los formatos y anexos implementados junto con el “Documento Base”, los cuales deben ser usados para desarrollar el procedimiento de </w:t>
      </w:r>
      <w:r w:rsidRPr="721DBDAB">
        <w:rPr>
          <w:rFonts w:eastAsiaTheme="minorEastAsia"/>
          <w:sz w:val="20"/>
          <w:szCs w:val="20"/>
          <w:lang w:val="es-MX"/>
        </w:rPr>
        <w:lastRenderedPageBreak/>
        <w:t>contratación, con la finalidad de que los proponentes acrediten los diferentes requisitos establecidos para participar en el proceso de selección. Debe aclararse que los formatos y anexos, al igual que el “Documento Base”, contienen apartes entre corchetes y resaltados en gris, los cuales deben ser diligenciados por la entidad, al igual que otros aspectos relativos a información que debe ser completada por los oferentes al hacer uso de los formatos.</w:t>
      </w:r>
    </w:p>
    <w:p w14:paraId="4D7937C0" w14:textId="46AD7E42" w:rsidR="16066A58" w:rsidRDefault="16066A58" w:rsidP="00E90EB4">
      <w:pPr>
        <w:shd w:val="clear" w:color="auto" w:fill="FFFFFF" w:themeFill="background1"/>
        <w:spacing w:after="340"/>
        <w:ind w:left="708"/>
        <w:jc w:val="both"/>
        <w:rPr>
          <w:rFonts w:eastAsiaTheme="minorEastAsia"/>
          <w:b/>
          <w:bCs/>
          <w:sz w:val="20"/>
          <w:szCs w:val="20"/>
          <w:lang w:val="es-MX"/>
        </w:rPr>
      </w:pPr>
      <w:r w:rsidRPr="721DBDAB">
        <w:rPr>
          <w:rFonts w:eastAsiaTheme="minorEastAsia"/>
          <w:b/>
          <w:bCs/>
          <w:sz w:val="20"/>
          <w:szCs w:val="20"/>
          <w:lang w:val="es-MX"/>
        </w:rPr>
        <w:t>DOCUMENTOS TIPO – Inalterabilidad – Prevalencia del derecho sustancial</w:t>
      </w:r>
    </w:p>
    <w:p w14:paraId="571CE814" w14:textId="78F06A15" w:rsidR="16066A58" w:rsidRDefault="16066A58" w:rsidP="00E90EB4">
      <w:pPr>
        <w:shd w:val="clear" w:color="auto" w:fill="FFFFFF" w:themeFill="background1"/>
        <w:spacing w:after="340"/>
        <w:ind w:left="708"/>
        <w:jc w:val="both"/>
        <w:rPr>
          <w:rFonts w:eastAsiaTheme="minorEastAsia"/>
          <w:sz w:val="20"/>
          <w:szCs w:val="20"/>
          <w:lang w:val="es-MX"/>
        </w:rPr>
      </w:pPr>
      <w:r w:rsidRPr="721DBDAB">
        <w:rPr>
          <w:rFonts w:eastAsiaTheme="minorEastAsia"/>
          <w:sz w:val="20"/>
          <w:szCs w:val="20"/>
          <w:lang w:val="es-MX"/>
        </w:rPr>
        <w:t>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w:t>
      </w:r>
    </w:p>
    <w:p w14:paraId="285807C2" w14:textId="32D6654E" w:rsidR="721DBDAB" w:rsidRDefault="721DBDAB" w:rsidP="721DBDAB">
      <w:pPr>
        <w:shd w:val="clear" w:color="auto" w:fill="FFFFFF" w:themeFill="background1"/>
        <w:spacing w:after="340"/>
        <w:jc w:val="both"/>
        <w:rPr>
          <w:rFonts w:eastAsiaTheme="minorEastAsia"/>
          <w:sz w:val="20"/>
          <w:szCs w:val="20"/>
          <w:lang w:val="es-MX"/>
        </w:rPr>
      </w:pPr>
    </w:p>
    <w:p w14:paraId="10109D65" w14:textId="61838234" w:rsidR="721DBDAB" w:rsidRDefault="721DBDAB" w:rsidP="721DBDAB">
      <w:pPr>
        <w:spacing w:after="0"/>
        <w:jc w:val="both"/>
        <w:rPr>
          <w:rFonts w:ascii="Verdana" w:eastAsia="Verdana" w:hAnsi="Verdana" w:cs="Verdana"/>
          <w:sz w:val="20"/>
          <w:szCs w:val="20"/>
          <w:lang w:val="es-MX"/>
        </w:rPr>
      </w:pPr>
    </w:p>
    <w:p w14:paraId="28ABE09C" w14:textId="6EF038AD" w:rsidR="30599A6B" w:rsidRDefault="30599A6B" w:rsidP="1763C83C">
      <w:pPr>
        <w:spacing w:after="0"/>
        <w:jc w:val="right"/>
      </w:pPr>
      <w:r>
        <w:rPr>
          <w:noProof/>
        </w:rPr>
        <w:drawing>
          <wp:inline distT="0" distB="0" distL="0" distR="0" wp14:anchorId="5DC133CE" wp14:editId="6AEBE16B">
            <wp:extent cx="2752725" cy="809625"/>
            <wp:effectExtent l="0" t="0" r="0" b="0"/>
            <wp:docPr id="441076947" name="Imagen 441076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752725" cy="809625"/>
                    </a:xfrm>
                    <a:prstGeom prst="rect">
                      <a:avLst/>
                    </a:prstGeom>
                  </pic:spPr>
                </pic:pic>
              </a:graphicData>
            </a:graphic>
          </wp:inline>
        </w:drawing>
      </w:r>
    </w:p>
    <w:p w14:paraId="3FE2184B" w14:textId="78BC5D6A" w:rsidR="00E245AB" w:rsidRPr="0044528D" w:rsidRDefault="007E22C6" w:rsidP="1763C83C">
      <w:pPr>
        <w:spacing w:after="0"/>
      </w:pPr>
      <w:bookmarkStart w:id="0" w:name="_Hlk143780582"/>
      <w:r w:rsidRPr="1763C83C">
        <w:rPr>
          <w:rFonts w:ascii="Verdana" w:hAnsi="Verdana"/>
        </w:rPr>
        <w:t>Bogotá D.C., 24 Julio 2024</w:t>
      </w:r>
      <w:r>
        <w:tab/>
      </w:r>
    </w:p>
    <w:p w14:paraId="5FCADBF9" w14:textId="77777777" w:rsidR="00E245AB" w:rsidRPr="0044528D" w:rsidRDefault="00E245AB" w:rsidP="00E245AB">
      <w:pPr>
        <w:spacing w:after="0"/>
        <w:rPr>
          <w:rFonts w:ascii="Verdana" w:hAnsi="Verdana"/>
        </w:rPr>
      </w:pPr>
    </w:p>
    <w:p w14:paraId="1B0D3D65" w14:textId="77777777" w:rsidR="008F1CB3" w:rsidRDefault="008F1CB3" w:rsidP="00E245AB">
      <w:pPr>
        <w:spacing w:after="0"/>
        <w:rPr>
          <w:rFonts w:ascii="Verdana" w:hAnsi="Verdana"/>
        </w:rPr>
      </w:pPr>
      <w:r w:rsidRPr="008F1CB3">
        <w:rPr>
          <w:rFonts w:ascii="Verdana" w:hAnsi="Verdana"/>
        </w:rPr>
        <w:t xml:space="preserve">Señora </w:t>
      </w:r>
    </w:p>
    <w:p w14:paraId="1F0B27A5" w14:textId="77777777" w:rsidR="008F1CB3" w:rsidRDefault="008F1CB3" w:rsidP="00E245AB">
      <w:pPr>
        <w:spacing w:after="0"/>
        <w:rPr>
          <w:rFonts w:ascii="Verdana" w:hAnsi="Verdana"/>
        </w:rPr>
      </w:pPr>
      <w:r w:rsidRPr="008F1CB3">
        <w:rPr>
          <w:rFonts w:ascii="Verdana" w:hAnsi="Verdana"/>
        </w:rPr>
        <w:t xml:space="preserve">Luisa Fernanda Trujillo Bernal </w:t>
      </w:r>
    </w:p>
    <w:p w14:paraId="3C931E07" w14:textId="77777777" w:rsidR="001603B1" w:rsidRDefault="008F1CB3" w:rsidP="00E245AB">
      <w:pPr>
        <w:spacing w:after="0"/>
        <w:rPr>
          <w:rFonts w:ascii="Verdana" w:hAnsi="Verdana"/>
        </w:rPr>
      </w:pPr>
      <w:r w:rsidRPr="008F1CB3">
        <w:rPr>
          <w:rFonts w:ascii="Verdana" w:hAnsi="Verdana"/>
        </w:rPr>
        <w:t xml:space="preserve">Secretaria General </w:t>
      </w:r>
    </w:p>
    <w:p w14:paraId="3D7B0F7F" w14:textId="2DA20B2A" w:rsidR="008F1CB3" w:rsidRDefault="008F1CB3" w:rsidP="00E245AB">
      <w:pPr>
        <w:spacing w:after="0"/>
        <w:rPr>
          <w:rFonts w:ascii="Verdana" w:hAnsi="Verdana"/>
        </w:rPr>
      </w:pPr>
      <w:r w:rsidRPr="008F1CB3">
        <w:rPr>
          <w:rFonts w:ascii="Verdana" w:hAnsi="Verdana"/>
        </w:rPr>
        <w:t xml:space="preserve">Ministerio de las Culturas, los Artes y los Saberes </w:t>
      </w:r>
    </w:p>
    <w:p w14:paraId="1F423BF7" w14:textId="09FCACBA" w:rsidR="00E245AB" w:rsidRPr="0044528D" w:rsidRDefault="008F1CB3" w:rsidP="00E245AB">
      <w:pPr>
        <w:spacing w:after="0"/>
        <w:rPr>
          <w:rFonts w:ascii="Verdana" w:hAnsi="Verdana"/>
        </w:rPr>
      </w:pPr>
      <w:r w:rsidRPr="008F1CB3">
        <w:rPr>
          <w:rFonts w:ascii="Verdana" w:hAnsi="Verdana"/>
        </w:rPr>
        <w:t>Bogotá D.C</w:t>
      </w:r>
    </w:p>
    <w:p w14:paraId="4530D562" w14:textId="77777777" w:rsidR="00C66A48" w:rsidRDefault="00C66A48" w:rsidP="00C66A48">
      <w:pPr>
        <w:spacing w:after="0"/>
        <w:ind w:left="1416" w:hanging="1416"/>
        <w:jc w:val="both"/>
        <w:rPr>
          <w:rFonts w:ascii="Verdana" w:hAnsi="Verdana"/>
        </w:rPr>
      </w:pPr>
    </w:p>
    <w:p w14:paraId="5161F468" w14:textId="34F41EF5" w:rsidR="008F1CB3" w:rsidRDefault="008F1CB3" w:rsidP="00C66A48">
      <w:pPr>
        <w:spacing w:after="0"/>
        <w:ind w:left="1416" w:hanging="1416"/>
        <w:jc w:val="both"/>
        <w:rPr>
          <w:rFonts w:ascii="Verdana" w:hAnsi="Verdana"/>
        </w:rPr>
      </w:pPr>
      <w:r>
        <w:rPr>
          <w:rFonts w:ascii="Verdana" w:hAnsi="Verdana"/>
        </w:rPr>
        <w:tab/>
      </w:r>
      <w:r w:rsidRPr="008F1CB3">
        <w:rPr>
          <w:rFonts w:ascii="Verdana" w:hAnsi="Verdana"/>
        </w:rPr>
        <w:t>Concepto C-15</w:t>
      </w:r>
      <w:r>
        <w:rPr>
          <w:rFonts w:ascii="Verdana" w:hAnsi="Verdana"/>
        </w:rPr>
        <w:t>2</w:t>
      </w:r>
      <w:r w:rsidRPr="008F1CB3">
        <w:rPr>
          <w:rFonts w:ascii="Verdana" w:hAnsi="Verdana"/>
        </w:rPr>
        <w:t xml:space="preserve"> de 2024.</w:t>
      </w:r>
    </w:p>
    <w:p w14:paraId="4655B167" w14:textId="77777777" w:rsidR="008F1CB3" w:rsidRDefault="008F1CB3" w:rsidP="00C66A48">
      <w:pPr>
        <w:spacing w:after="0"/>
        <w:ind w:left="1416" w:hanging="1416"/>
        <w:jc w:val="both"/>
        <w:rPr>
          <w:rFonts w:ascii="Verdana" w:hAnsi="Verdana"/>
        </w:rPr>
      </w:pPr>
    </w:p>
    <w:p w14:paraId="4B03230F" w14:textId="349D6DB5" w:rsidR="00E245AB" w:rsidRDefault="00ED4638" w:rsidP="00C66A48">
      <w:pPr>
        <w:spacing w:after="0"/>
        <w:ind w:left="1416" w:hanging="1416"/>
        <w:jc w:val="both"/>
        <w:rPr>
          <w:rFonts w:ascii="Verdana" w:hAnsi="Verdana"/>
        </w:rPr>
      </w:pPr>
      <w:r w:rsidRPr="00ED4638">
        <w:rPr>
          <w:rFonts w:ascii="Verdana" w:hAnsi="Verdana"/>
          <w:b/>
          <w:bCs/>
        </w:rPr>
        <w:t>TEMAS:</w:t>
      </w:r>
      <w:r w:rsidRPr="00C66A48">
        <w:rPr>
          <w:rFonts w:ascii="Verdana" w:hAnsi="Verdana"/>
        </w:rPr>
        <w:t xml:space="preserve"> </w:t>
      </w:r>
      <w:r w:rsidR="00C66A48">
        <w:rPr>
          <w:rFonts w:ascii="Verdana" w:hAnsi="Verdana"/>
        </w:rPr>
        <w:tab/>
      </w:r>
      <w:r w:rsidR="00C66A48" w:rsidRPr="00C66A48">
        <w:rPr>
          <w:rFonts w:ascii="Verdana" w:hAnsi="Verdana"/>
        </w:rPr>
        <w:t xml:space="preserve">DOCUMENTOS TIPO DE INFRAESTRUCTURA SOCIAL – Generalidades / DOCUMENTOS TIPO DE INFRAESTRUCTURA SOCIAL / Inalterabilidad – Consideraciones para la modificación de los documentos tipo. </w:t>
      </w:r>
    </w:p>
    <w:p w14:paraId="33FF0E69" w14:textId="77777777" w:rsidR="00C66A48" w:rsidRPr="0044528D" w:rsidRDefault="00C66A48" w:rsidP="00C66A48">
      <w:pPr>
        <w:spacing w:after="0"/>
        <w:ind w:left="1416" w:hanging="1416"/>
        <w:jc w:val="both"/>
        <w:rPr>
          <w:rFonts w:ascii="Verdana" w:hAnsi="Verdana"/>
        </w:rPr>
      </w:pPr>
    </w:p>
    <w:p w14:paraId="05464ED7" w14:textId="754B50DD" w:rsidR="00ED4638" w:rsidRPr="00ED4638" w:rsidRDefault="00891928" w:rsidP="00ED4638">
      <w:pPr>
        <w:rPr>
          <w:rFonts w:ascii="Verdana" w:eastAsia="Times New Roman" w:hAnsi="Verdana" w:cs="Calibri"/>
          <w:color w:val="000000"/>
          <w:lang w:val="es-419" w:eastAsia="es-419"/>
        </w:rPr>
      </w:pPr>
      <w:r w:rsidRPr="009B2D26">
        <w:rPr>
          <w:rFonts w:ascii="Verdana" w:hAnsi="Verdana"/>
          <w:b/>
          <w:bCs/>
        </w:rPr>
        <w:t>ASUNTO</w:t>
      </w:r>
      <w:r w:rsidRPr="009B2D26">
        <w:rPr>
          <w:rFonts w:ascii="Verdana" w:eastAsia="Times New Roman" w:hAnsi="Verdana" w:cs="Arial"/>
          <w:b/>
          <w:bCs/>
          <w:lang w:eastAsia="es-CO"/>
        </w:rPr>
        <w:t xml:space="preserve">: </w:t>
      </w:r>
      <w:r w:rsidRPr="00ED4638">
        <w:rPr>
          <w:rFonts w:ascii="Verdana" w:hAnsi="Verdana"/>
        </w:rPr>
        <w:t>Respuesta a Petición con Número de Radicado</w:t>
      </w:r>
      <w:r w:rsidRPr="0044528D">
        <w:rPr>
          <w:rFonts w:ascii="Verdana" w:hAnsi="Verdana"/>
          <w:b/>
          <w:bCs/>
        </w:rPr>
        <w:t xml:space="preserve"> </w:t>
      </w:r>
      <w:r w:rsidR="00ED4638" w:rsidRPr="00ED4638">
        <w:rPr>
          <w:rFonts w:ascii="Verdana" w:eastAsia="Times New Roman" w:hAnsi="Verdana" w:cs="Calibri"/>
          <w:color w:val="000000"/>
          <w:lang w:val="es-419" w:eastAsia="es-419"/>
        </w:rPr>
        <w:t>P20240531005743</w:t>
      </w:r>
    </w:p>
    <w:p w14:paraId="72B9DB76" w14:textId="26345EDA" w:rsidR="00891928" w:rsidRPr="0044528D" w:rsidRDefault="00891928" w:rsidP="00891928">
      <w:pPr>
        <w:spacing w:after="0"/>
        <w:jc w:val="both"/>
        <w:rPr>
          <w:rFonts w:ascii="Verdana" w:hAnsi="Verdana"/>
          <w:lang w:val="es-MX"/>
        </w:rPr>
      </w:pPr>
      <w:r w:rsidRPr="0044528D">
        <w:rPr>
          <w:rFonts w:ascii="Verdana" w:hAnsi="Verdana"/>
          <w:lang w:val="es-MX"/>
        </w:rPr>
        <w:t>Respetad</w:t>
      </w:r>
      <w:r w:rsidR="00580063">
        <w:rPr>
          <w:rFonts w:ascii="Verdana" w:hAnsi="Verdana"/>
          <w:lang w:val="es-MX"/>
        </w:rPr>
        <w:t>a</w:t>
      </w:r>
      <w:r w:rsidRPr="0044528D">
        <w:rPr>
          <w:rFonts w:ascii="Verdana" w:hAnsi="Verdana"/>
          <w:lang w:val="es-MX"/>
        </w:rPr>
        <w:t xml:space="preserve"> señor</w:t>
      </w:r>
      <w:r w:rsidR="008F1CB3">
        <w:rPr>
          <w:rFonts w:ascii="Verdana" w:hAnsi="Verdana"/>
          <w:lang w:val="es-MX"/>
        </w:rPr>
        <w:t>a T</w:t>
      </w:r>
      <w:r w:rsidR="00B42E54">
        <w:rPr>
          <w:rFonts w:ascii="Verdana" w:hAnsi="Verdana"/>
          <w:lang w:val="es-MX"/>
        </w:rPr>
        <w:t>r</w:t>
      </w:r>
      <w:r w:rsidR="008F1CB3">
        <w:rPr>
          <w:rFonts w:ascii="Verdana" w:hAnsi="Verdana"/>
          <w:lang w:val="es-MX"/>
        </w:rPr>
        <w:t>ujillo</w:t>
      </w:r>
      <w:r w:rsidRPr="0044528D">
        <w:rPr>
          <w:rFonts w:ascii="Verdana" w:hAnsi="Verdana"/>
          <w:lang w:val="es-MX"/>
        </w:rPr>
        <w:t xml:space="preserve">. </w:t>
      </w:r>
    </w:p>
    <w:p w14:paraId="5F25293D" w14:textId="77777777" w:rsidR="00891928" w:rsidRPr="0044528D" w:rsidRDefault="00891928" w:rsidP="00891928">
      <w:pPr>
        <w:spacing w:after="0"/>
        <w:jc w:val="both"/>
        <w:rPr>
          <w:rFonts w:ascii="Verdana" w:hAnsi="Verdana"/>
          <w:lang w:val="es-MX"/>
        </w:rPr>
      </w:pPr>
    </w:p>
    <w:p w14:paraId="27FB9F37" w14:textId="7D16F6A4" w:rsidR="00B42E54" w:rsidRDefault="007E22C6" w:rsidP="002A0DD0">
      <w:pPr>
        <w:rPr>
          <w:rFonts w:ascii="Verdana" w:hAnsi="Verdana"/>
        </w:rPr>
      </w:pPr>
      <w:r w:rsidRPr="007E22C6">
        <w:rPr>
          <w:rFonts w:ascii="Verdana" w:hAnsi="Verdana"/>
        </w:rPr>
        <w:t>La Agencia Nacional de Contratación Pública - Colombia Compra Eficiente responde su petición presentada el 31 de mayo de 2024, donde formuló la siguiente solicitud:</w:t>
      </w:r>
    </w:p>
    <w:p w14:paraId="569D9E3E" w14:textId="28F8123D" w:rsidR="00891928" w:rsidRPr="007E22C6" w:rsidRDefault="00891928" w:rsidP="00D76F07">
      <w:pPr>
        <w:spacing w:after="0"/>
        <w:ind w:left="708"/>
        <w:jc w:val="both"/>
        <w:rPr>
          <w:rFonts w:ascii="Verdana" w:hAnsi="Verdana"/>
          <w:i/>
          <w:iCs/>
          <w:sz w:val="20"/>
          <w:szCs w:val="20"/>
        </w:rPr>
      </w:pPr>
      <w:r w:rsidRPr="007E22C6">
        <w:rPr>
          <w:rFonts w:ascii="Verdana" w:hAnsi="Verdana"/>
          <w:i/>
          <w:iCs/>
          <w:sz w:val="20"/>
          <w:szCs w:val="20"/>
        </w:rPr>
        <w:t>“(…)</w:t>
      </w:r>
      <w:r w:rsidR="00444B00" w:rsidRPr="007E22C6">
        <w:rPr>
          <w:rFonts w:ascii="Verdana" w:hAnsi="Verdana"/>
          <w:i/>
          <w:iCs/>
          <w:sz w:val="20"/>
          <w:szCs w:val="20"/>
        </w:rPr>
        <w:t xml:space="preserve"> al revisar la matriz, se evidencia que las actividades contempladas no guardan relación con la especificidad de la intervención que requiere el Ministerio en algunos de sus proyectos, los cuales requieren de conocimientos específicos en el desarrollo de estas, por lo cual se considera que un contratista de obra que tenga experiencia en la ejecución de obra civiles, no necesariamente cuenta con la experiencia especifica relacionada con las prácticas constructivas de cada región, con el manejo de materiales autóctonos, ni el conocimiento del grupo poblacional que será impactado por dicha infraestructura, implicando que podría existir subcontrataciones que pueden derivar en atrasos y mayores costos para las entidades o posibles incumplimientos contractuales por la no consecución del objeto contratado.</w:t>
      </w:r>
    </w:p>
    <w:p w14:paraId="41C96E3F" w14:textId="77777777" w:rsidR="00CD2F89" w:rsidRPr="007E22C6" w:rsidRDefault="00CD2F89" w:rsidP="00D76F07">
      <w:pPr>
        <w:spacing w:after="0"/>
        <w:ind w:left="708"/>
        <w:jc w:val="both"/>
        <w:rPr>
          <w:rFonts w:ascii="Verdana" w:hAnsi="Verdana"/>
          <w:i/>
          <w:iCs/>
          <w:sz w:val="20"/>
          <w:szCs w:val="20"/>
        </w:rPr>
      </w:pPr>
    </w:p>
    <w:p w14:paraId="0B805617" w14:textId="4B100CD7" w:rsidR="005F7155" w:rsidRPr="007E22C6" w:rsidRDefault="005F7155" w:rsidP="00D76F07">
      <w:pPr>
        <w:spacing w:after="0"/>
        <w:ind w:left="708"/>
        <w:jc w:val="both"/>
        <w:rPr>
          <w:rFonts w:ascii="Verdana" w:hAnsi="Verdana"/>
          <w:i/>
          <w:iCs/>
          <w:sz w:val="20"/>
          <w:szCs w:val="20"/>
        </w:rPr>
      </w:pPr>
      <w:r w:rsidRPr="007E22C6">
        <w:rPr>
          <w:rFonts w:ascii="Verdana" w:hAnsi="Verdana"/>
          <w:i/>
          <w:iCs/>
          <w:sz w:val="20"/>
          <w:szCs w:val="20"/>
        </w:rPr>
        <w:t xml:space="preserve">Conforme lo anterior, dicho escenario podría abrir la puerta a la recepción de ofertas que acrediten experiencia basada únicamente en la cantidad de metros cuadrados de área intervenida o construida en una actividad muy general, como: “terminación”, “mejoramiento”, “remodelación”, “adecuación”, “modificación” o “mantenimiento”, lo que no garantiza la idoneidad, para otros casos, más específicos (…) </w:t>
      </w:r>
    </w:p>
    <w:p w14:paraId="6B70378D" w14:textId="77777777" w:rsidR="00CD2F89" w:rsidRPr="007E22C6" w:rsidRDefault="00CD2F89" w:rsidP="00D76F07">
      <w:pPr>
        <w:spacing w:after="0"/>
        <w:ind w:left="708"/>
        <w:jc w:val="both"/>
        <w:rPr>
          <w:rFonts w:ascii="Verdana" w:hAnsi="Verdana"/>
          <w:i/>
          <w:iCs/>
          <w:sz w:val="20"/>
          <w:szCs w:val="20"/>
        </w:rPr>
      </w:pPr>
    </w:p>
    <w:p w14:paraId="77CC85CA" w14:textId="515A6050" w:rsidR="00891928" w:rsidRPr="007E22C6" w:rsidRDefault="00CD2F89" w:rsidP="00CD2F89">
      <w:pPr>
        <w:spacing w:after="0"/>
        <w:ind w:left="708"/>
        <w:jc w:val="both"/>
        <w:rPr>
          <w:rFonts w:ascii="Verdana" w:hAnsi="Verdana"/>
          <w:i/>
          <w:iCs/>
          <w:sz w:val="20"/>
          <w:szCs w:val="20"/>
        </w:rPr>
      </w:pPr>
      <w:r w:rsidRPr="007E22C6">
        <w:rPr>
          <w:rFonts w:ascii="Verdana" w:hAnsi="Verdana"/>
          <w:i/>
          <w:iCs/>
          <w:sz w:val="20"/>
          <w:szCs w:val="20"/>
        </w:rPr>
        <w:t xml:space="preserve">(…) Al evaluar el costo, beneficio para la entidad, y conforme ejecuciones de las obras de infraestructura en el territorio nacional y con la intención de llegar a territorios de difícil acceso, históricamente desatendidos y que necesitan de la participación comunitaria es necesario presentar a autoridad en materia contractual las situaciones diferenciales que se deberían tener en cuenta a título cualificación específica, como por ejemplo ingeniería de detalle, diseños, conocimiento de prácticas constructivas propias de cada región, manejo de materiales según la zona climática de cada territorio, integración de la comunidad en las obras a ejecutar, que en todo caso redundaran en la ejecución contractual y en la ejecución de las obras a desarrollar </w:t>
      </w:r>
      <w:r w:rsidR="00891928" w:rsidRPr="007E22C6">
        <w:rPr>
          <w:rFonts w:ascii="Verdana" w:hAnsi="Verdana"/>
          <w:i/>
          <w:iCs/>
          <w:sz w:val="20"/>
          <w:szCs w:val="20"/>
        </w:rPr>
        <w:t>(…)”</w:t>
      </w:r>
    </w:p>
    <w:p w14:paraId="0D86D2DE" w14:textId="77777777" w:rsidR="007E22C6" w:rsidRPr="007E22C6" w:rsidRDefault="007E22C6" w:rsidP="00CD2F89">
      <w:pPr>
        <w:spacing w:after="0"/>
        <w:ind w:left="708"/>
        <w:jc w:val="both"/>
        <w:rPr>
          <w:rFonts w:ascii="Verdana" w:hAnsi="Verdana"/>
          <w:i/>
          <w:iCs/>
          <w:sz w:val="20"/>
          <w:szCs w:val="20"/>
        </w:rPr>
      </w:pPr>
    </w:p>
    <w:p w14:paraId="263F975B" w14:textId="77777777" w:rsidR="007E22C6" w:rsidRPr="007E22C6" w:rsidRDefault="007E22C6" w:rsidP="00CD2F89">
      <w:pPr>
        <w:spacing w:after="0"/>
        <w:ind w:left="708"/>
        <w:jc w:val="both"/>
        <w:rPr>
          <w:rFonts w:ascii="Verdana" w:hAnsi="Verdana"/>
          <w:i/>
          <w:iCs/>
          <w:sz w:val="20"/>
          <w:szCs w:val="20"/>
        </w:rPr>
      </w:pPr>
      <w:r w:rsidRPr="007E22C6">
        <w:rPr>
          <w:rFonts w:ascii="Verdana" w:hAnsi="Verdana"/>
          <w:i/>
          <w:iCs/>
          <w:sz w:val="20"/>
          <w:szCs w:val="20"/>
        </w:rPr>
        <w:t xml:space="preserve">“(…) Ante las circunstancias técnicas y jurídicas descritas anteriormente, solicitamos muy respetuosamente a la Agencia la autorización para apartarnos parcialmente de la aplicación de los documentos tipo de licitación de obra pública y de interventoría para proyectos de infraestructura social, y de esta manera adaptarlo a la realidad cultural y geográfica del país, resaltando que las infraestructuras que se desarrollan desde este Ministerio pueden abarcar técnicas constructivas ancestrales, construcciones en territorios de difícil acceso, eventualmente zonas de conflicto en municipios PDET, que requiere experiencia específica en la región, con condiciones de participación comunitaria, por la presencia de grupos étnicos, afro descendientes, entre otros, específicamente en </w:t>
      </w:r>
      <w:r w:rsidRPr="007E22C6">
        <w:rPr>
          <w:rFonts w:ascii="Verdana" w:hAnsi="Verdana"/>
          <w:i/>
          <w:iCs/>
          <w:sz w:val="20"/>
          <w:szCs w:val="20"/>
        </w:rPr>
        <w:lastRenderedPageBreak/>
        <w:t xml:space="preserve">lo que atañe a: A. Requisitos mínimos habilitantes en cuanto a la experiencia B. Criterios de ponderación. </w:t>
      </w:r>
    </w:p>
    <w:p w14:paraId="027CE850" w14:textId="77777777" w:rsidR="007E22C6" w:rsidRPr="007E22C6" w:rsidRDefault="007E22C6" w:rsidP="00CD2F89">
      <w:pPr>
        <w:spacing w:after="0"/>
        <w:ind w:left="708"/>
        <w:jc w:val="both"/>
        <w:rPr>
          <w:rFonts w:ascii="Verdana" w:hAnsi="Verdana"/>
          <w:i/>
          <w:iCs/>
          <w:sz w:val="20"/>
          <w:szCs w:val="20"/>
        </w:rPr>
      </w:pPr>
    </w:p>
    <w:p w14:paraId="605A1A64" w14:textId="77777777" w:rsidR="007E22C6" w:rsidRPr="007E22C6" w:rsidRDefault="007E22C6" w:rsidP="00CD2F89">
      <w:pPr>
        <w:spacing w:after="0"/>
        <w:ind w:left="708"/>
        <w:jc w:val="both"/>
        <w:rPr>
          <w:rFonts w:ascii="Verdana" w:hAnsi="Verdana"/>
          <w:i/>
          <w:iCs/>
          <w:sz w:val="20"/>
          <w:szCs w:val="20"/>
        </w:rPr>
      </w:pPr>
      <w:r w:rsidRPr="007E22C6">
        <w:rPr>
          <w:rFonts w:ascii="Verdana" w:hAnsi="Verdana"/>
          <w:i/>
          <w:iCs/>
          <w:sz w:val="20"/>
          <w:szCs w:val="20"/>
        </w:rPr>
        <w:t xml:space="preserve">En concordancia con lo anterior, desde este Ministerio solicitamos a la Agencia, de ser posible llevar a cabo mesas de trabajo, con el fin presentar técnica y jurídicamente la necesidad del sector cultura, acorde al tipo de infraestructuras que se desarrollan en diferentes regiones del país, que igualmente garantice la pluralidad de oferentes idóneos y adoptar buenas prácticas contractuales que garanticen el adecuado manejo de los recursos públicos destinados a las obras públicas del sector cultura. </w:t>
      </w:r>
    </w:p>
    <w:p w14:paraId="2C1FBE87" w14:textId="77777777" w:rsidR="007E22C6" w:rsidRPr="007E22C6" w:rsidRDefault="007E22C6" w:rsidP="00CD2F89">
      <w:pPr>
        <w:spacing w:after="0"/>
        <w:ind w:left="708"/>
        <w:jc w:val="both"/>
        <w:rPr>
          <w:rFonts w:ascii="Verdana" w:hAnsi="Verdana"/>
          <w:i/>
          <w:iCs/>
          <w:sz w:val="20"/>
          <w:szCs w:val="20"/>
        </w:rPr>
      </w:pPr>
    </w:p>
    <w:p w14:paraId="38A30575" w14:textId="58DD054D" w:rsidR="007E22C6" w:rsidRPr="007E22C6" w:rsidRDefault="007E22C6" w:rsidP="00CD2F89">
      <w:pPr>
        <w:spacing w:after="0"/>
        <w:ind w:left="708"/>
        <w:jc w:val="both"/>
        <w:rPr>
          <w:rFonts w:ascii="Verdana" w:hAnsi="Verdana"/>
          <w:i/>
          <w:iCs/>
          <w:sz w:val="20"/>
          <w:szCs w:val="20"/>
        </w:rPr>
      </w:pPr>
      <w:r w:rsidRPr="007E22C6">
        <w:rPr>
          <w:rFonts w:ascii="Verdana" w:hAnsi="Verdana"/>
          <w:i/>
          <w:iCs/>
          <w:sz w:val="20"/>
          <w:szCs w:val="20"/>
        </w:rPr>
        <w:t>De no ser posible apartarse de la matriz de experiencia habilitantes, permitir ajustar los criterios de ponderación incluyendo puntajes por condiciones especiales de experiencia para garantizar la idoneidad de los contratistas (…)</w:t>
      </w:r>
    </w:p>
    <w:p w14:paraId="41AE61CF" w14:textId="77777777" w:rsidR="007E22C6" w:rsidRPr="007E22C6" w:rsidRDefault="007E22C6" w:rsidP="00CD2F89">
      <w:pPr>
        <w:spacing w:after="0"/>
        <w:ind w:left="708"/>
        <w:jc w:val="both"/>
        <w:rPr>
          <w:rFonts w:ascii="Verdana" w:hAnsi="Verdana"/>
          <w:i/>
          <w:iCs/>
          <w:sz w:val="20"/>
          <w:szCs w:val="20"/>
        </w:rPr>
      </w:pPr>
    </w:p>
    <w:p w14:paraId="2AF5E4F0" w14:textId="00113B94" w:rsidR="007E22C6" w:rsidRPr="007E22C6" w:rsidRDefault="007E22C6" w:rsidP="00CD2F89">
      <w:pPr>
        <w:spacing w:after="0"/>
        <w:ind w:left="708"/>
        <w:jc w:val="both"/>
        <w:rPr>
          <w:rFonts w:ascii="Verdana" w:hAnsi="Verdana"/>
          <w:i/>
          <w:iCs/>
          <w:sz w:val="20"/>
          <w:szCs w:val="20"/>
        </w:rPr>
      </w:pPr>
      <w:r w:rsidRPr="007E22C6">
        <w:rPr>
          <w:rFonts w:ascii="Verdana" w:hAnsi="Verdana"/>
          <w:i/>
          <w:iCs/>
          <w:sz w:val="20"/>
          <w:szCs w:val="20"/>
        </w:rPr>
        <w:t>(…) Y finalmente, solicitar a la Agencia, tener en cuenta la presente consulta dentro de su repositorio de observaciones realizadas por Entidades estatales, con el fin de que se tengan en cuenta en los futuros ajustes a los documentos tipo complementarios para los procesos de licitación de obra pública, así como de interventoría de infraestructura social relacionados con el sector cultura”</w:t>
      </w:r>
    </w:p>
    <w:p w14:paraId="1DD6425F" w14:textId="77777777" w:rsidR="00E2764C" w:rsidRPr="0044528D" w:rsidRDefault="00E2764C" w:rsidP="00891928">
      <w:pPr>
        <w:spacing w:after="0"/>
        <w:jc w:val="both"/>
        <w:rPr>
          <w:rFonts w:ascii="Verdana" w:hAnsi="Verdana"/>
          <w:color w:val="2F5496" w:themeColor="accent1" w:themeShade="BF"/>
        </w:rPr>
      </w:pPr>
    </w:p>
    <w:p w14:paraId="2AE92828" w14:textId="7446331B" w:rsidR="007E22C6" w:rsidRDefault="007E22C6" w:rsidP="00E54465">
      <w:pPr>
        <w:spacing w:after="0" w:line="240" w:lineRule="auto"/>
        <w:ind w:firstLine="708"/>
        <w:jc w:val="both"/>
        <w:rPr>
          <w:rFonts w:ascii="Verdana" w:hAnsi="Verdana"/>
        </w:rPr>
      </w:pPr>
      <w:r w:rsidRPr="007E22C6">
        <w:rPr>
          <w:rFonts w:ascii="Verdana" w:hAnsi="Verdana"/>
        </w:rPr>
        <w:t>Teniendo en cuenta lo anterior, de conformidad con lo señalado en el artículo 14 del Código de Procedimiento Administrativo y de lo Contencioso Administrativo</w:t>
      </w:r>
      <w:r w:rsidR="007D042E">
        <w:rPr>
          <w:rStyle w:val="Refdenotaalpie"/>
          <w:rFonts w:ascii="Verdana" w:hAnsi="Verdana"/>
        </w:rPr>
        <w:footnoteReference w:id="1"/>
      </w:r>
      <w:r w:rsidRPr="007E22C6">
        <w:rPr>
          <w:rFonts w:ascii="Verdana" w:hAnsi="Verdana"/>
        </w:rPr>
        <w:t xml:space="preserve"> – CPACA – y en el marco de las competencias asignadas por el Decreto Ley 4170 de 2011, así como lo establecido en la Resolución 1707 de 2018 expedida por esta Entidad, la Agencia Nacional de Contratación Pública – Colombia Compra Eficiente dará respuesta a su requerimiento. </w:t>
      </w:r>
    </w:p>
    <w:p w14:paraId="10B8F25E" w14:textId="41D88813" w:rsidR="00E54465" w:rsidRDefault="007E22C6" w:rsidP="00E54465">
      <w:pPr>
        <w:spacing w:after="0" w:line="240" w:lineRule="auto"/>
        <w:ind w:firstLine="708"/>
        <w:jc w:val="both"/>
        <w:rPr>
          <w:rFonts w:ascii="Verdana" w:hAnsi="Verdana"/>
        </w:rPr>
      </w:pPr>
      <w:r w:rsidRPr="007E22C6">
        <w:rPr>
          <w:rFonts w:ascii="Verdana" w:hAnsi="Verdana"/>
        </w:rPr>
        <w:t xml:space="preserve">Es importante señalar que, conforme a la competencia otorgada a esta agencia sobre la adopción de documentos tipo por medio de la Ley 2022 de 2020, dentro del plan de trabajo de la Subdirección de Gestión Contractual – Grupo interno de documentos tipo para el año 2024, teniendo como base entre otros, los ejes plasmados en el Plan Nacional de Desarrollo Ley 2294 de 2023 y teniendo presente la relevancia económica y el impacto que tienen los proyectos de obra en el sector social, con el fin de desarrollar medidas de fortalecimiento, eficiencia y transparencia que permitan aprovechar las grandes inversiones que hasta la actualidad se vienen haciendo en el país y las que posiblemente se </w:t>
      </w:r>
      <w:r w:rsidRPr="007E22C6">
        <w:rPr>
          <w:rFonts w:ascii="Verdana" w:hAnsi="Verdana"/>
        </w:rPr>
        <w:lastRenderedPageBreak/>
        <w:t xml:space="preserve">realicen en materia de infraestructura física para los sectores de educación, salud y cultura, recreación y deporte; se ha dispuesto lo siguiente: Trabajar en la modificación de los documentos tipo existentes a la fecha para los procesos de i) la interventoría de obras públicas de infraestructura social y </w:t>
      </w:r>
      <w:proofErr w:type="spellStart"/>
      <w:r w:rsidRPr="007E22C6">
        <w:rPr>
          <w:rFonts w:ascii="Verdana" w:hAnsi="Verdana"/>
        </w:rPr>
        <w:t>ii</w:t>
      </w:r>
      <w:proofErr w:type="spellEnd"/>
      <w:r w:rsidRPr="007E22C6">
        <w:rPr>
          <w:rFonts w:ascii="Verdana" w:hAnsi="Verdana"/>
        </w:rPr>
        <w:t>) documento tipo de licitación de obra pública para proyectos de infraestructura social; así como implementar Documentos Tipo para la modalidad de menor cuantía para el sector social, que agrupan los sectores de educación, salud, cultura, recreación y deporte, entre otros que se analizan de conformidad con el impacto, relevancia e importancia que han tenido en la contratación.</w:t>
      </w:r>
    </w:p>
    <w:p w14:paraId="5B4B1E19"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 </w:t>
      </w:r>
    </w:p>
    <w:p w14:paraId="6B413CE8"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(Énfasis fuera del texto) </w:t>
      </w:r>
    </w:p>
    <w:p w14:paraId="3197EA86"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7F49EEBB" w14:textId="40CA7283" w:rsidR="007D042E" w:rsidRDefault="007D042E" w:rsidP="00E54465">
      <w:pPr>
        <w:spacing w:after="0" w:line="240" w:lineRule="auto"/>
        <w:ind w:firstLine="708"/>
        <w:jc w:val="both"/>
        <w:rPr>
          <w:rFonts w:ascii="Verdana" w:hAnsi="Verdana"/>
        </w:rPr>
      </w:pPr>
      <w:r w:rsidRPr="007D042E">
        <w:rPr>
          <w:rFonts w:ascii="Verdana" w:hAnsi="Verdana"/>
        </w:rPr>
        <w:t>Así lo señala el parágrafo 3 del artículo 2, que dispone lo siguiente: “Los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 En concordancia, el “Documento Base” de licitación de obra pública de infraestructura social prescribe en la parte introductoria que “Este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p>
    <w:p w14:paraId="2FA23C71"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Cabe anotar que la Resolución 219 del 6 de agosto de 2021 contiene los documentos tipo que aplican de forma transversal a los proyectos de </w:t>
      </w:r>
      <w:r w:rsidRPr="007D042E">
        <w:rPr>
          <w:rFonts w:ascii="Verdana" w:hAnsi="Verdana"/>
        </w:rPr>
        <w:lastRenderedPageBreak/>
        <w:t xml:space="preserve">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 </w:t>
      </w:r>
    </w:p>
    <w:p w14:paraId="50C2877C"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7D042E">
        <w:rPr>
          <w:rFonts w:ascii="Verdana" w:hAnsi="Verdana"/>
        </w:rPr>
        <w:t>ii</w:t>
      </w:r>
      <w:proofErr w:type="spellEnd"/>
      <w:r w:rsidRPr="007D042E">
        <w:rPr>
          <w:rFonts w:ascii="Verdana" w:hAnsi="Verdana"/>
        </w:rPr>
        <w:t xml:space="preserve">) los documentos tipo complementarios, 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que nos ocupa, mediante Resolución 454 de 2021 del 16 de diciembre de 2021, “Por la cual se adoptan los documentos tipo complementarios para los procesos de licitación de obra pública de infraestructura social relacionados con el Sector cultura, recreación y deporte”. </w:t>
      </w:r>
    </w:p>
    <w:p w14:paraId="02B88D79"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De conformidad con el objeto de su consulta, es importante señalar que, conforme a la competencia otorgada a esta agencia sobre la adopción de documentos tipo por medio de la Ley 2022 de 2020, dentro del plan de trabajo de la Subdirección de Gestión Contractual – Grupo interno de documentos tipo para el año 2024, teniendo como base uno de los ejes plasmados en el Plan Nacional de Desarrollo Ley 2294 de 2023, “ Seguridad humana y justicia social” y teniendo presente la relevancia económica y el impacto que tienen los proyectos de obra en el sector social, y con el fin de desarrollar medidas de fortalecimiento, eficiencia y transparencia que permitan aprovechar las grandes inversiones que hasta la actualidad se vienen haciendo en el país y las que posiblemente se realicen en materia de infraestructura física para los </w:t>
      </w:r>
      <w:r>
        <w:rPr>
          <w:rFonts w:ascii="Verdana" w:hAnsi="Verdana"/>
        </w:rPr>
        <w:t xml:space="preserve">sectores </w:t>
      </w:r>
      <w:r w:rsidRPr="007D042E">
        <w:rPr>
          <w:rFonts w:ascii="Verdana" w:hAnsi="Verdana"/>
        </w:rPr>
        <w:t xml:space="preserve">de educación, salud y cultura, recreación y deporte, esta Agencia ha venido trabajando en la actualización de los documentos tipo del Sector Social. </w:t>
      </w:r>
    </w:p>
    <w:p w14:paraId="1F0868D6"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Esta agencia manifiesta su voluntad y reconoce la importancia de construir estos instrumentos de manera mancomunada con las Entidades técnicas especializadas y ciudadanía en general, en consecuencia, se ha dispuesto llevar a cabo la primera mesa de trabajo con el Ministerio de Cultura, programada para el día 31 de julio de 2024 a las 10:00 a.m. para analizar cada uno de los importantes aspectos que nos han venido mencionado en las peticiones que hemos recibido, entre ellos, los aspectos contenidos en la experiencia, por ello, es importante mencionar lo siguiente: </w:t>
      </w:r>
    </w:p>
    <w:p w14:paraId="4D8A85E4" w14:textId="77777777" w:rsidR="007D042E" w:rsidRDefault="007D042E" w:rsidP="00E54465">
      <w:pPr>
        <w:spacing w:after="0" w:line="240" w:lineRule="auto"/>
        <w:ind w:firstLine="708"/>
        <w:jc w:val="both"/>
        <w:rPr>
          <w:rFonts w:ascii="Verdana" w:hAnsi="Verdana"/>
        </w:rPr>
      </w:pPr>
      <w:r w:rsidRPr="007D042E">
        <w:rPr>
          <w:rFonts w:ascii="Verdana" w:hAnsi="Verdana"/>
        </w:rPr>
        <w:lastRenderedPageBreak/>
        <w:t xml:space="preserve">La matriz establece cuáles son las actividades que corresponden a cada uno de los tipos de intervenciones, para que la entidad pueda identificar en cuáles encaja mejor el proyecto a ejecutar, y determinar los requisitos de experiencia necesarios. Si estos requisitos no se cumplen objeto, alcance, etc., la Entidad Pública deberá asegurar la realización de un proceso que se ajuste para satisfacer las necesidades. </w:t>
      </w:r>
    </w:p>
    <w:p w14:paraId="55C95E2C"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Es importante destacar que, el principio de inalterabilidad de los documentos tipo impone, a los partícipes de los procesos de contratación adelantados con documentos tipo, el deber de respetar el contenido del documento base y las instrucciones allí contenidas. Asimismo, este principio impone el deber de respetar de manera integral el contenido de la Matriz de Experiencia, tanto en lo relativo a las características de los contratos que deben aportarse, como las notas incluidas en la misma y que se relacionan con aclaraciones o aspectos que complementan la acreditación de la experiencia exigida. De esta manera, no podrán alterarse, adicionarse o eliminarse aspectos de la Matriz que estén señalados en dicho documento. </w:t>
      </w:r>
    </w:p>
    <w:p w14:paraId="2567D831" w14:textId="77777777" w:rsidR="007D042E" w:rsidRDefault="007D042E" w:rsidP="00E54465">
      <w:pPr>
        <w:spacing w:after="0" w:line="240" w:lineRule="auto"/>
        <w:ind w:firstLine="708"/>
        <w:jc w:val="both"/>
        <w:rPr>
          <w:rFonts w:ascii="Verdana" w:hAnsi="Verdana"/>
        </w:rPr>
      </w:pPr>
      <w:r w:rsidRPr="007D042E">
        <w:rPr>
          <w:rFonts w:ascii="Verdana" w:hAnsi="Verdana"/>
        </w:rPr>
        <w:t>Esta es una regla que está consagrada en las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w:t>
      </w:r>
      <w:r>
        <w:rPr>
          <w:rFonts w:ascii="Verdana" w:hAnsi="Verdana"/>
        </w:rPr>
        <w:t xml:space="preserve">e </w:t>
      </w:r>
      <w:r w:rsidRPr="007D042E">
        <w:rPr>
          <w:rFonts w:ascii="Verdana" w:hAnsi="Verdana"/>
        </w:rPr>
        <w:t xml:space="preserve">Contratación de la Administración Pública que adelanten procesos que deban regirse por su contenido, y su alcance y ámbito de aplicación está definido en las resoluciones que los adoptan. </w:t>
      </w:r>
    </w:p>
    <w:p w14:paraId="20745941"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Por lo anterior, con el fin de </w:t>
      </w:r>
      <w:proofErr w:type="spellStart"/>
      <w:r w:rsidRPr="007D042E">
        <w:rPr>
          <w:rFonts w:ascii="Verdana" w:hAnsi="Verdana"/>
        </w:rPr>
        <w:t>recepcionar</w:t>
      </w:r>
      <w:proofErr w:type="spellEnd"/>
      <w:r w:rsidRPr="007D042E">
        <w:rPr>
          <w:rFonts w:ascii="Verdana" w:hAnsi="Verdana"/>
        </w:rPr>
        <w:t xml:space="preserve"> insumos de las Entidades técnicas o especializadas y recibir retroalimentación frente a la propuesta planteada a la modificación de los documentos tipo existentes que vamos a presentar en la primera mesa de trabajo, para garantizar la pluralidad de oferentes idóneos y la adopción de buenas prácticas contractuales que garanticen el adecuado manejo de los recursos públicos destinados a las obras públicas. De igual manera, en estas mesas lo que se busca es en conjunto revisar y ajustar los criterios básicos y fundamentales de los Documentos Tipo, para garantizar la idoneidad de los contratistas de conformidad con la experticia de las entidades técnicas del sector. </w:t>
      </w:r>
    </w:p>
    <w:p w14:paraId="11A15449" w14:textId="77777777" w:rsidR="007D042E" w:rsidRDefault="007D042E" w:rsidP="00E54465">
      <w:pPr>
        <w:spacing w:after="0" w:line="240" w:lineRule="auto"/>
        <w:ind w:firstLine="708"/>
        <w:jc w:val="both"/>
        <w:rPr>
          <w:rFonts w:ascii="Verdana" w:hAnsi="Verdana"/>
        </w:rPr>
      </w:pPr>
      <w:r w:rsidRPr="007D042E">
        <w:rPr>
          <w:rFonts w:ascii="Verdana" w:hAnsi="Verdana"/>
        </w:rPr>
        <w:t xml:space="preserve">Para esta Agencia han sido de gran importancia sus peticiones y los objetos de consulta por parte de la entidad que usted preside; por esto es de vital importancia contar con todas las consideraciones que tiene el Ministerio de las Culturas, los Artes y los Saberes, sobre cada uno de los anexos, matrices, formatos y documentos que componen los Documentos Tipo del Sector Social. </w:t>
      </w:r>
    </w:p>
    <w:p w14:paraId="11A4F681" w14:textId="77777777" w:rsidR="007D042E" w:rsidRDefault="007D042E" w:rsidP="00E54465">
      <w:pPr>
        <w:spacing w:after="0" w:line="240" w:lineRule="auto"/>
        <w:ind w:firstLine="708"/>
        <w:jc w:val="both"/>
        <w:rPr>
          <w:rFonts w:ascii="Verdana" w:hAnsi="Verdana"/>
        </w:rPr>
      </w:pPr>
      <w:r w:rsidRPr="007D042E">
        <w:rPr>
          <w:rFonts w:ascii="Verdana" w:hAnsi="Verdana"/>
        </w:rPr>
        <w:lastRenderedPageBreak/>
        <w:t>Por último, esta petición, así como la petición P20240530005654 ya hacen parte integral tanto del repositorio de observaciones de la Entidad, como de los considerandos que se tienen dentro del análisis de la modificación del sector social. Es de suma importancia este trabajo previo para que una vez surtidas las diferentes mesas de trabajo con las Entidades Técnicas o Especializadas, los documentos tipo del sector social, que están siendo objeto de modificación se publiquen con los ajustes necesarios, para dar inicio para la recepción de comentarios y observaciones de la ciudadanía en general y la posterior remisión a la Superintendencia de Industria y Comercio el proyecto de resolución para que esta entidad emita su concepto en relación con la posible afectación a la libre competencia, como ya lo manifestamos en nuestra respuesta RS20240705009646 del pasado 5 de julio de 202, en respuesta a la petición P20240530005654, en simultaneo se generan las respuestas a las observaciones planteadas y se realizan los respectivos ajustes a los documentos si hay lugar a ello, finalmente se publica el acto administrativo por medio del cual se adoptan las modificaciones de los documentos tipo, esperando cumplir y abarcar co</w:t>
      </w:r>
      <w:r>
        <w:rPr>
          <w:rFonts w:ascii="Verdana" w:hAnsi="Verdana"/>
        </w:rPr>
        <w:t xml:space="preserve">n </w:t>
      </w:r>
      <w:r w:rsidRPr="007D042E">
        <w:rPr>
          <w:rFonts w:ascii="Verdana" w:hAnsi="Verdana"/>
        </w:rPr>
        <w:t xml:space="preserve">todas las necesidades que tengan los actores del proceso, en virtud del cumplimiento de las legislaciones vigentes </w:t>
      </w:r>
    </w:p>
    <w:p w14:paraId="084006CF" w14:textId="690C22EE" w:rsidR="007D042E" w:rsidRDefault="007D042E" w:rsidP="00E54465">
      <w:pPr>
        <w:spacing w:after="0" w:line="240" w:lineRule="auto"/>
        <w:ind w:firstLine="708"/>
        <w:jc w:val="both"/>
        <w:rPr>
          <w:rFonts w:ascii="Verdana" w:hAnsi="Verdana"/>
        </w:rPr>
      </w:pPr>
      <w:r w:rsidRPr="007D042E">
        <w:rPr>
          <w:rFonts w:ascii="Verdana" w:hAnsi="Verdana"/>
        </w:rPr>
        <w:t>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p>
    <w:p w14:paraId="67B08B03" w14:textId="77777777" w:rsidR="007D042E" w:rsidRDefault="007D042E" w:rsidP="00E54465">
      <w:pPr>
        <w:spacing w:after="0" w:line="240" w:lineRule="auto"/>
        <w:ind w:firstLine="708"/>
        <w:jc w:val="both"/>
        <w:rPr>
          <w:rFonts w:ascii="Verdana" w:hAnsi="Verdana"/>
        </w:rPr>
      </w:pPr>
    </w:p>
    <w:p w14:paraId="554BF5D2" w14:textId="77777777" w:rsidR="007D042E" w:rsidRPr="007D042E" w:rsidRDefault="007D042E" w:rsidP="007D042E">
      <w:pPr>
        <w:pStyle w:val="Prrafodelista"/>
        <w:numPr>
          <w:ilvl w:val="0"/>
          <w:numId w:val="20"/>
        </w:numPr>
        <w:spacing w:after="0" w:line="240" w:lineRule="auto"/>
        <w:jc w:val="both"/>
        <w:rPr>
          <w:rFonts w:ascii="Verdana" w:hAnsi="Verdana"/>
          <w:lang w:val="es-MX"/>
        </w:rPr>
      </w:pPr>
      <w:r w:rsidRPr="007D042E">
        <w:rPr>
          <w:rFonts w:ascii="Verdana" w:hAnsi="Verdana"/>
        </w:rPr>
        <w:t xml:space="preserve">Línea nacional gratuita o servicio a la ciudadanía: 01800 0520808 </w:t>
      </w:r>
    </w:p>
    <w:p w14:paraId="665A64F8" w14:textId="77777777" w:rsidR="007D042E" w:rsidRPr="007D042E" w:rsidRDefault="007D042E" w:rsidP="007D042E">
      <w:pPr>
        <w:pStyle w:val="Prrafodelista"/>
        <w:numPr>
          <w:ilvl w:val="0"/>
          <w:numId w:val="20"/>
        </w:numPr>
        <w:spacing w:after="0" w:line="240" w:lineRule="auto"/>
        <w:jc w:val="both"/>
        <w:rPr>
          <w:rFonts w:ascii="Verdana" w:hAnsi="Verdana"/>
          <w:lang w:val="es-MX"/>
        </w:rPr>
      </w:pPr>
      <w:r w:rsidRPr="007D042E">
        <w:rPr>
          <w:rFonts w:ascii="Verdana" w:hAnsi="Verdana"/>
        </w:rPr>
        <w:t xml:space="preserve">Línea en Bogotá D.C. (Mesa de servicio): +57 601 7456788 </w:t>
      </w:r>
    </w:p>
    <w:p w14:paraId="1F1B6C2B" w14:textId="77777777" w:rsidR="007D042E" w:rsidRPr="007D042E" w:rsidRDefault="007D042E" w:rsidP="007D042E">
      <w:pPr>
        <w:pStyle w:val="Prrafodelista"/>
        <w:numPr>
          <w:ilvl w:val="0"/>
          <w:numId w:val="20"/>
        </w:numPr>
        <w:spacing w:after="0" w:line="240" w:lineRule="auto"/>
        <w:jc w:val="both"/>
        <w:rPr>
          <w:rFonts w:ascii="Verdana" w:hAnsi="Verdana"/>
          <w:lang w:val="es-MX"/>
        </w:rPr>
      </w:pPr>
      <w:r w:rsidRPr="007D042E">
        <w:rPr>
          <w:rFonts w:ascii="Verdana" w:hAnsi="Verdana"/>
        </w:rPr>
        <w:t xml:space="preserve">Línea de servicio y atención al ciudadano: +57 601 7956600 </w:t>
      </w:r>
    </w:p>
    <w:p w14:paraId="0B30A671" w14:textId="5FB1C793" w:rsidR="007D042E" w:rsidRPr="007D042E" w:rsidRDefault="007D042E" w:rsidP="007D042E">
      <w:pPr>
        <w:pStyle w:val="Prrafodelista"/>
        <w:numPr>
          <w:ilvl w:val="0"/>
          <w:numId w:val="20"/>
        </w:numPr>
        <w:spacing w:after="0" w:line="240" w:lineRule="auto"/>
        <w:jc w:val="both"/>
        <w:rPr>
          <w:rFonts w:ascii="Verdana" w:hAnsi="Verdana"/>
          <w:lang w:val="es-MX"/>
        </w:rPr>
      </w:pPr>
      <w:r w:rsidRPr="007D042E">
        <w:rPr>
          <w:rFonts w:ascii="Verdana" w:hAnsi="Verdana"/>
        </w:rPr>
        <w:t xml:space="preserve">Correo de PQRSD: </w:t>
      </w:r>
      <w:hyperlink r:id="rId12" w:history="1">
        <w:r w:rsidRPr="00BA4889">
          <w:rPr>
            <w:rStyle w:val="Hipervnculo"/>
            <w:rFonts w:ascii="Verdana" w:hAnsi="Verdana"/>
          </w:rPr>
          <w:t>ventanillaunicaderadicacion@colombicompra.gov.co</w:t>
        </w:r>
      </w:hyperlink>
      <w:r w:rsidRPr="007D042E">
        <w:rPr>
          <w:rFonts w:ascii="Verdana" w:hAnsi="Verdana"/>
        </w:rPr>
        <w:t xml:space="preserve"> </w:t>
      </w:r>
    </w:p>
    <w:p w14:paraId="5387F0C6" w14:textId="77777777" w:rsidR="007D042E" w:rsidRPr="007D042E" w:rsidRDefault="007D042E" w:rsidP="007D042E">
      <w:pPr>
        <w:pStyle w:val="Prrafodelista"/>
        <w:numPr>
          <w:ilvl w:val="0"/>
          <w:numId w:val="20"/>
        </w:numPr>
        <w:spacing w:after="0" w:line="240" w:lineRule="auto"/>
        <w:jc w:val="both"/>
        <w:rPr>
          <w:rFonts w:ascii="Verdana" w:hAnsi="Verdana"/>
          <w:lang w:val="es-MX"/>
        </w:rPr>
      </w:pPr>
      <w:r w:rsidRPr="007D042E">
        <w:rPr>
          <w:rFonts w:ascii="Verdana" w:hAnsi="Verdana"/>
        </w:rPr>
        <w:t xml:space="preserve">Página web: www.colombiacompra.gov.co </w:t>
      </w:r>
    </w:p>
    <w:p w14:paraId="0A5534B4" w14:textId="77777777" w:rsidR="007D042E" w:rsidRDefault="007D042E" w:rsidP="007D042E">
      <w:pPr>
        <w:spacing w:after="0" w:line="240" w:lineRule="auto"/>
        <w:jc w:val="both"/>
        <w:rPr>
          <w:rFonts w:ascii="Verdana" w:hAnsi="Verdana"/>
        </w:rPr>
      </w:pPr>
    </w:p>
    <w:p w14:paraId="2AA05AE2" w14:textId="77777777" w:rsidR="007D042E" w:rsidRDefault="007D042E" w:rsidP="007D042E">
      <w:pPr>
        <w:spacing w:after="0" w:line="240" w:lineRule="auto"/>
        <w:jc w:val="both"/>
        <w:rPr>
          <w:rFonts w:ascii="Verdana" w:hAnsi="Verdana"/>
        </w:rPr>
      </w:pPr>
      <w:r w:rsidRPr="007D042E">
        <w:rPr>
          <w:rFonts w:ascii="Verdana" w:hAnsi="Verdana"/>
        </w:rPr>
        <w:t xml:space="preserve">Por último, lo invitamos a seguirnos en las redes sociales en las cuales se difunde información institucional: </w:t>
      </w:r>
    </w:p>
    <w:p w14:paraId="6B10C6B2" w14:textId="77777777" w:rsidR="007D042E" w:rsidRDefault="007D042E" w:rsidP="007D042E">
      <w:pPr>
        <w:spacing w:after="0" w:line="240" w:lineRule="auto"/>
        <w:jc w:val="both"/>
        <w:rPr>
          <w:rFonts w:ascii="Verdana" w:hAnsi="Verdana"/>
        </w:rPr>
      </w:pPr>
    </w:p>
    <w:p w14:paraId="086D88EB" w14:textId="77777777" w:rsidR="007D042E" w:rsidRDefault="007D042E" w:rsidP="007D042E">
      <w:pPr>
        <w:spacing w:after="0" w:line="240" w:lineRule="auto"/>
        <w:jc w:val="both"/>
        <w:rPr>
          <w:rFonts w:ascii="Verdana" w:hAnsi="Verdana"/>
        </w:rPr>
      </w:pPr>
      <w:r w:rsidRPr="007D042E">
        <w:rPr>
          <w:rFonts w:ascii="Verdana" w:hAnsi="Verdana"/>
        </w:rPr>
        <w:t xml:space="preserve">Twitter: @colombiacompra </w:t>
      </w:r>
    </w:p>
    <w:p w14:paraId="096EBAE4" w14:textId="77777777" w:rsidR="007D042E" w:rsidRDefault="007D042E" w:rsidP="007D042E">
      <w:pPr>
        <w:spacing w:after="0" w:line="240" w:lineRule="auto"/>
        <w:jc w:val="both"/>
        <w:rPr>
          <w:rFonts w:ascii="Verdana" w:hAnsi="Verdana"/>
        </w:rPr>
      </w:pPr>
      <w:r w:rsidRPr="007D042E">
        <w:rPr>
          <w:rFonts w:ascii="Verdana" w:hAnsi="Verdana"/>
        </w:rPr>
        <w:t xml:space="preserve">Facebook: </w:t>
      </w:r>
      <w:proofErr w:type="spellStart"/>
      <w:r w:rsidRPr="007D042E">
        <w:rPr>
          <w:rFonts w:ascii="Verdana" w:hAnsi="Verdana"/>
        </w:rPr>
        <w:t>ColombiaCompraEficiente</w:t>
      </w:r>
      <w:proofErr w:type="spellEnd"/>
      <w:r w:rsidRPr="007D042E">
        <w:rPr>
          <w:rFonts w:ascii="Verdana" w:hAnsi="Verdana"/>
        </w:rPr>
        <w:t xml:space="preserve"> </w:t>
      </w:r>
    </w:p>
    <w:p w14:paraId="5CCB3837" w14:textId="77777777" w:rsidR="007D042E" w:rsidRDefault="007D042E" w:rsidP="007D042E">
      <w:pPr>
        <w:spacing w:after="0" w:line="240" w:lineRule="auto"/>
        <w:jc w:val="both"/>
        <w:rPr>
          <w:rFonts w:ascii="Verdana" w:hAnsi="Verdana"/>
        </w:rPr>
      </w:pPr>
      <w:r w:rsidRPr="007D042E">
        <w:rPr>
          <w:rFonts w:ascii="Verdana" w:hAnsi="Verdana"/>
        </w:rPr>
        <w:t xml:space="preserve">LinkedIn: Agencia Nacional de Contratación Pública - Colombia Compra Eficiente </w:t>
      </w:r>
    </w:p>
    <w:p w14:paraId="6352AF64" w14:textId="77777777" w:rsidR="007D042E" w:rsidRDefault="007D042E" w:rsidP="007D042E">
      <w:pPr>
        <w:spacing w:after="0" w:line="240" w:lineRule="auto"/>
        <w:jc w:val="both"/>
        <w:rPr>
          <w:rFonts w:ascii="Verdana" w:hAnsi="Verdana"/>
        </w:rPr>
      </w:pPr>
      <w:r w:rsidRPr="007D042E">
        <w:rPr>
          <w:rFonts w:ascii="Verdana" w:hAnsi="Verdana"/>
        </w:rPr>
        <w:t xml:space="preserve">Instagram: @colombiacompraeficiente_cce </w:t>
      </w:r>
    </w:p>
    <w:p w14:paraId="32E9508E" w14:textId="77777777" w:rsidR="007D042E" w:rsidRDefault="007D042E" w:rsidP="007D042E">
      <w:pPr>
        <w:spacing w:after="0" w:line="240" w:lineRule="auto"/>
        <w:jc w:val="both"/>
        <w:rPr>
          <w:rFonts w:ascii="Verdana" w:hAnsi="Verdana"/>
        </w:rPr>
      </w:pPr>
    </w:p>
    <w:p w14:paraId="76396271" w14:textId="761F8975" w:rsidR="008653ED" w:rsidRPr="007D042E" w:rsidRDefault="007D042E" w:rsidP="007D042E">
      <w:pPr>
        <w:spacing w:after="0" w:line="240" w:lineRule="auto"/>
        <w:jc w:val="both"/>
        <w:rPr>
          <w:rFonts w:ascii="Verdana" w:hAnsi="Verdana"/>
          <w:lang w:val="es-MX"/>
        </w:rPr>
      </w:pPr>
      <w:r w:rsidRPr="007D042E">
        <w:rPr>
          <w:rFonts w:ascii="Verdana" w:hAnsi="Verdana"/>
        </w:rPr>
        <w:t>Atentamente,</w:t>
      </w:r>
    </w:p>
    <w:p w14:paraId="1A67CD48" w14:textId="768FE01B" w:rsidR="008653ED" w:rsidRDefault="007D042E" w:rsidP="008653ED">
      <w:pPr>
        <w:spacing w:after="0"/>
        <w:jc w:val="center"/>
        <w:rPr>
          <w:rFonts w:ascii="Verdana" w:hAnsi="Verdana"/>
          <w:lang w:val="es-MX"/>
        </w:rPr>
      </w:pPr>
      <w:r>
        <w:rPr>
          <w:noProof/>
        </w:rPr>
        <w:lastRenderedPageBreak/>
        <w:drawing>
          <wp:inline distT="0" distB="0" distL="0" distR="0" wp14:anchorId="0AA20071" wp14:editId="185456BA">
            <wp:extent cx="3716655" cy="1125855"/>
            <wp:effectExtent l="0" t="0" r="0" b="0"/>
            <wp:docPr id="206299494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6655" cy="1125855"/>
                    </a:xfrm>
                    <a:prstGeom prst="rect">
                      <a:avLst/>
                    </a:prstGeom>
                    <a:noFill/>
                    <a:ln>
                      <a:noFill/>
                    </a:ln>
                  </pic:spPr>
                </pic:pic>
              </a:graphicData>
            </a:graphic>
          </wp:inline>
        </w:drawing>
      </w:r>
    </w:p>
    <w:p w14:paraId="4164C764" w14:textId="77777777" w:rsidR="008653ED" w:rsidRDefault="008653ED" w:rsidP="002A0DD0">
      <w:pPr>
        <w:spacing w:after="0"/>
        <w:jc w:val="both"/>
        <w:rPr>
          <w:rFonts w:ascii="Verdana" w:hAnsi="Verdana"/>
          <w:lang w:val="es-MX"/>
        </w:rPr>
      </w:pPr>
    </w:p>
    <w:p w14:paraId="5069447D" w14:textId="77777777" w:rsidR="008653ED" w:rsidRDefault="008653ED" w:rsidP="002A0DD0">
      <w:pPr>
        <w:spacing w:after="0"/>
        <w:jc w:val="both"/>
        <w:rPr>
          <w:rFonts w:ascii="Verdana" w:hAnsi="Verdana"/>
          <w:lang w:val="es-MX"/>
        </w:rPr>
      </w:pPr>
    </w:p>
    <w:p w14:paraId="0978BC2F" w14:textId="1EF2EE38" w:rsidR="008653ED" w:rsidRPr="00650D61" w:rsidRDefault="002A0DD0" w:rsidP="002A0DD0">
      <w:pPr>
        <w:spacing w:after="0"/>
        <w:jc w:val="both"/>
        <w:rPr>
          <w:rFonts w:ascii="Verdana" w:hAnsi="Verdana"/>
          <w:sz w:val="16"/>
          <w:szCs w:val="16"/>
          <w:lang w:val="es-MX"/>
        </w:rPr>
      </w:pPr>
      <w:r w:rsidRPr="0044528D">
        <w:rPr>
          <w:rFonts w:ascii="Verdana" w:hAnsi="Verdana"/>
          <w:lang w:val="es-MX"/>
        </w:rPr>
        <w:t xml:space="preserve"> </w:t>
      </w:r>
      <w:r w:rsidRPr="0044528D">
        <w:rPr>
          <w:rFonts w:ascii="Verdana" w:hAnsi="Verdana"/>
          <w:sz w:val="16"/>
          <w:szCs w:val="16"/>
          <w:lang w:val="es-MX"/>
        </w:rPr>
        <w:t>Elaboró:</w:t>
      </w:r>
      <w:r w:rsidRPr="0044528D">
        <w:rPr>
          <w:rFonts w:ascii="Verdana" w:hAnsi="Verdana"/>
          <w:b/>
          <w:bCs/>
          <w:sz w:val="16"/>
          <w:szCs w:val="16"/>
          <w:lang w:val="es-MX"/>
        </w:rPr>
        <w:t xml:space="preserve">    </w:t>
      </w:r>
      <w:r w:rsidR="008653ED" w:rsidRPr="00650D61">
        <w:rPr>
          <w:rFonts w:ascii="Verdana" w:hAnsi="Verdana"/>
          <w:sz w:val="16"/>
          <w:szCs w:val="16"/>
          <w:lang w:val="es-MX"/>
        </w:rPr>
        <w:t>Alexandra Rodríguez Motta</w:t>
      </w:r>
    </w:p>
    <w:p w14:paraId="2A4518CF" w14:textId="2ED2A6AE" w:rsidR="002A0DD0" w:rsidRPr="0044528D" w:rsidRDefault="002A0DD0" w:rsidP="002A0DD0">
      <w:pPr>
        <w:spacing w:after="0"/>
        <w:jc w:val="both"/>
        <w:rPr>
          <w:rFonts w:ascii="Verdana" w:hAnsi="Verdana"/>
          <w:b/>
          <w:bCs/>
          <w:sz w:val="16"/>
          <w:szCs w:val="16"/>
          <w:lang w:val="es-MX"/>
        </w:rPr>
      </w:pPr>
      <w:r w:rsidRPr="0044528D">
        <w:rPr>
          <w:rFonts w:ascii="Verdana" w:hAnsi="Verdana"/>
          <w:sz w:val="16"/>
          <w:szCs w:val="16"/>
          <w:lang w:val="es-ES"/>
        </w:rPr>
        <w:t xml:space="preserve">                 </w:t>
      </w:r>
      <w:r w:rsidR="00A22CB4" w:rsidRPr="00A22CB4">
        <w:rPr>
          <w:rFonts w:ascii="Verdana" w:hAnsi="Verdana"/>
          <w:sz w:val="16"/>
          <w:szCs w:val="16"/>
          <w:lang w:val="es-ES"/>
        </w:rPr>
        <w:t>Contratista de la Subdirección de Gestión Contractual</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0"/>
        <w:gridCol w:w="5944"/>
      </w:tblGrid>
      <w:tr w:rsidR="002A0DD0" w:rsidRPr="00D0585F" w14:paraId="329F32DA" w14:textId="77777777" w:rsidTr="00D0585F">
        <w:trPr>
          <w:trHeight w:val="330"/>
        </w:trPr>
        <w:tc>
          <w:tcPr>
            <w:tcW w:w="860" w:type="dxa"/>
            <w:vAlign w:val="center"/>
          </w:tcPr>
          <w:p w14:paraId="37D583D2" w14:textId="77777777" w:rsidR="002A0DD0" w:rsidRPr="0044528D" w:rsidRDefault="002A0DD0" w:rsidP="004306B8">
            <w:pPr>
              <w:spacing w:line="259" w:lineRule="auto"/>
              <w:jc w:val="both"/>
              <w:rPr>
                <w:rFonts w:ascii="Verdana" w:hAnsi="Verdana"/>
                <w:sz w:val="16"/>
                <w:szCs w:val="16"/>
                <w:lang w:val="es-ES"/>
              </w:rPr>
            </w:pPr>
            <w:r w:rsidRPr="0044528D">
              <w:rPr>
                <w:rFonts w:ascii="Verdana" w:hAnsi="Verdana"/>
                <w:sz w:val="16"/>
                <w:szCs w:val="16"/>
                <w:lang w:val="es-ES"/>
              </w:rPr>
              <w:t>Revisó:</w:t>
            </w:r>
          </w:p>
        </w:tc>
        <w:tc>
          <w:tcPr>
            <w:tcW w:w="5944" w:type="dxa"/>
            <w:tcBorders>
              <w:top w:val="dotted" w:sz="4" w:space="0" w:color="7F7F7F" w:themeColor="text1" w:themeTint="80"/>
              <w:bottom w:val="dotted" w:sz="4" w:space="0" w:color="7F7F7F" w:themeColor="text1" w:themeTint="80"/>
            </w:tcBorders>
            <w:vAlign w:val="center"/>
          </w:tcPr>
          <w:p w14:paraId="152EDD7B" w14:textId="4F6E7719" w:rsidR="002A0DD0" w:rsidRPr="0044528D" w:rsidRDefault="00D0585F" w:rsidP="004306B8">
            <w:pPr>
              <w:spacing w:line="259" w:lineRule="auto"/>
              <w:jc w:val="both"/>
              <w:rPr>
                <w:rFonts w:ascii="Verdana" w:hAnsi="Verdana"/>
                <w:sz w:val="16"/>
                <w:szCs w:val="16"/>
                <w:lang w:val="es-ES"/>
              </w:rPr>
            </w:pPr>
            <w:r>
              <w:rPr>
                <w:rFonts w:ascii="Verdana" w:hAnsi="Verdana"/>
                <w:sz w:val="16"/>
                <w:szCs w:val="16"/>
                <w:lang w:val="es-ES"/>
              </w:rPr>
              <w:t xml:space="preserve">Adriana </w:t>
            </w:r>
            <w:proofErr w:type="spellStart"/>
            <w:r>
              <w:rPr>
                <w:rFonts w:ascii="Verdana" w:hAnsi="Verdana"/>
                <w:sz w:val="16"/>
                <w:szCs w:val="16"/>
                <w:lang w:val="es-ES"/>
              </w:rPr>
              <w:t>Katerine</w:t>
            </w:r>
            <w:proofErr w:type="spellEnd"/>
            <w:r>
              <w:rPr>
                <w:rFonts w:ascii="Verdana" w:hAnsi="Verdana"/>
                <w:sz w:val="16"/>
                <w:szCs w:val="16"/>
                <w:lang w:val="es-ES"/>
              </w:rPr>
              <w:t xml:space="preserve"> López Rodríguez</w:t>
            </w:r>
          </w:p>
          <w:p w14:paraId="41F36CBC" w14:textId="1C076EC7" w:rsidR="002A0DD0" w:rsidRPr="0044528D" w:rsidRDefault="00D0585F" w:rsidP="004306B8">
            <w:pPr>
              <w:spacing w:line="259" w:lineRule="auto"/>
              <w:jc w:val="both"/>
              <w:rPr>
                <w:rFonts w:ascii="Verdana" w:hAnsi="Verdana"/>
                <w:sz w:val="16"/>
                <w:szCs w:val="16"/>
                <w:lang w:val="es-ES"/>
              </w:rPr>
            </w:pPr>
            <w:r w:rsidRPr="00D0585F">
              <w:rPr>
                <w:rFonts w:ascii="Verdana" w:hAnsi="Verdana"/>
                <w:sz w:val="16"/>
                <w:szCs w:val="16"/>
                <w:lang w:val="es-ES"/>
              </w:rPr>
              <w:t>Contratista de la Subdirección de Gestión Contractual</w:t>
            </w:r>
          </w:p>
        </w:tc>
      </w:tr>
      <w:tr w:rsidR="002A0DD0" w:rsidRPr="0044528D" w14:paraId="5DA9C2FF" w14:textId="77777777" w:rsidTr="00D0585F">
        <w:trPr>
          <w:trHeight w:val="300"/>
        </w:trPr>
        <w:tc>
          <w:tcPr>
            <w:tcW w:w="860" w:type="dxa"/>
            <w:vAlign w:val="center"/>
          </w:tcPr>
          <w:p w14:paraId="206EA4C5" w14:textId="47FB3E3A" w:rsidR="002A0DD0" w:rsidRPr="0044528D" w:rsidRDefault="00DD67E4" w:rsidP="004306B8">
            <w:pPr>
              <w:spacing w:line="259" w:lineRule="auto"/>
              <w:jc w:val="both"/>
              <w:rPr>
                <w:rFonts w:ascii="Verdana" w:hAnsi="Verdana"/>
                <w:sz w:val="16"/>
                <w:szCs w:val="16"/>
                <w:lang w:val="es-ES"/>
              </w:rPr>
            </w:pPr>
            <w:r>
              <w:rPr>
                <w:rFonts w:ascii="Verdana" w:hAnsi="Verdana"/>
                <w:sz w:val="16"/>
                <w:szCs w:val="16"/>
                <w:lang w:val="es-ES"/>
              </w:rPr>
              <w:t xml:space="preserve"> </w:t>
            </w:r>
            <w:r w:rsidR="002A0DD0" w:rsidRPr="0044528D">
              <w:rPr>
                <w:rFonts w:ascii="Verdana" w:hAnsi="Verdana"/>
                <w:sz w:val="16"/>
                <w:szCs w:val="16"/>
                <w:lang w:val="es-ES"/>
              </w:rPr>
              <w:t>Aprobó:</w:t>
            </w:r>
          </w:p>
        </w:tc>
        <w:tc>
          <w:tcPr>
            <w:tcW w:w="5944" w:type="dxa"/>
            <w:tcBorders>
              <w:top w:val="dotted" w:sz="4" w:space="0" w:color="7F7F7F" w:themeColor="text1" w:themeTint="80"/>
              <w:bottom w:val="dotted" w:sz="4" w:space="0" w:color="7F7F7F" w:themeColor="text1" w:themeTint="80"/>
            </w:tcBorders>
            <w:vAlign w:val="center"/>
          </w:tcPr>
          <w:p w14:paraId="5C4C67FF" w14:textId="77777777" w:rsidR="002A0DD0" w:rsidRDefault="00A66F2B" w:rsidP="004306B8">
            <w:pPr>
              <w:spacing w:line="259" w:lineRule="auto"/>
              <w:jc w:val="both"/>
              <w:rPr>
                <w:rFonts w:ascii="Verdana" w:hAnsi="Verdana"/>
                <w:sz w:val="16"/>
                <w:szCs w:val="16"/>
                <w:lang w:val="es-ES"/>
              </w:rPr>
            </w:pPr>
            <w:r w:rsidRPr="00A66F2B">
              <w:rPr>
                <w:rFonts w:ascii="Verdana" w:hAnsi="Verdana"/>
                <w:sz w:val="16"/>
                <w:szCs w:val="16"/>
                <w:lang w:val="es-ES"/>
              </w:rPr>
              <w:t xml:space="preserve">Carolina Quintero </w:t>
            </w:r>
            <w:proofErr w:type="spellStart"/>
            <w:r w:rsidRPr="00A66F2B">
              <w:rPr>
                <w:rFonts w:ascii="Verdana" w:hAnsi="Verdana"/>
                <w:sz w:val="16"/>
                <w:szCs w:val="16"/>
                <w:lang w:val="es-ES"/>
              </w:rPr>
              <w:t>Gacharná</w:t>
            </w:r>
            <w:proofErr w:type="spellEnd"/>
          </w:p>
          <w:p w14:paraId="44FDF4EB" w14:textId="1E206329" w:rsidR="00A66F2B" w:rsidRPr="0044528D" w:rsidRDefault="00A66F2B" w:rsidP="004306B8">
            <w:pPr>
              <w:spacing w:line="259" w:lineRule="auto"/>
              <w:jc w:val="both"/>
              <w:rPr>
                <w:rFonts w:ascii="Verdana" w:hAnsi="Verdana"/>
                <w:sz w:val="16"/>
                <w:szCs w:val="16"/>
                <w:lang w:val="es-ES"/>
              </w:rPr>
            </w:pPr>
            <w:r w:rsidRPr="00A66F2B">
              <w:rPr>
                <w:rFonts w:ascii="Verdana" w:hAnsi="Verdana"/>
                <w:sz w:val="16"/>
                <w:szCs w:val="16"/>
                <w:lang w:val="es-ES"/>
              </w:rPr>
              <w:t>Subdirectora de Gestión Contractual ANCP – CCE</w:t>
            </w:r>
          </w:p>
        </w:tc>
      </w:tr>
    </w:tbl>
    <w:p w14:paraId="7524C5AD" w14:textId="67D4B337" w:rsidR="002A0DD0" w:rsidRPr="0044528D" w:rsidRDefault="00A22CB4" w:rsidP="002A0DD0">
      <w:pPr>
        <w:spacing w:after="0"/>
        <w:jc w:val="both"/>
        <w:rPr>
          <w:rFonts w:ascii="Verdana" w:hAnsi="Verdana"/>
          <w:lang w:val="es-ES"/>
        </w:rPr>
      </w:pPr>
      <w:r w:rsidRPr="00A22CB4">
        <w:rPr>
          <w:rFonts w:ascii="Verdana" w:hAnsi="Verdana"/>
        </w:rPr>
        <w:t xml:space="preserve"> </w:t>
      </w:r>
      <w:bookmarkEnd w:id="0"/>
    </w:p>
    <w:sectPr w:rsidR="002A0DD0"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7630B6" w14:textId="77777777" w:rsidR="003D5BD6" w:rsidRDefault="003D5BD6" w:rsidP="004A1847">
      <w:pPr>
        <w:spacing w:after="0" w:line="240" w:lineRule="auto"/>
      </w:pPr>
      <w:r>
        <w:separator/>
      </w:r>
    </w:p>
  </w:endnote>
  <w:endnote w:type="continuationSeparator" w:id="0">
    <w:p w14:paraId="537C392E" w14:textId="77777777" w:rsidR="003D5BD6" w:rsidRDefault="003D5BD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Bold">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A3D763" w14:textId="77777777" w:rsidR="003D5BD6" w:rsidRDefault="003D5BD6" w:rsidP="004A1847">
      <w:pPr>
        <w:spacing w:after="0" w:line="240" w:lineRule="auto"/>
      </w:pPr>
      <w:r>
        <w:separator/>
      </w:r>
    </w:p>
  </w:footnote>
  <w:footnote w:type="continuationSeparator" w:id="0">
    <w:p w14:paraId="0A49D9D0" w14:textId="77777777" w:rsidR="003D5BD6" w:rsidRDefault="003D5BD6" w:rsidP="004A1847">
      <w:pPr>
        <w:spacing w:after="0" w:line="240" w:lineRule="auto"/>
      </w:pPr>
      <w:r>
        <w:continuationSeparator/>
      </w:r>
    </w:p>
  </w:footnote>
  <w:footnote w:id="1">
    <w:p w14:paraId="44237976" w14:textId="1141872D" w:rsidR="007D042E" w:rsidRDefault="007D042E" w:rsidP="007D042E">
      <w:pPr>
        <w:pStyle w:val="Textonotapie"/>
        <w:jc w:val="both"/>
      </w:pPr>
      <w:r>
        <w:rPr>
          <w:rStyle w:val="Refdenotaalpie"/>
        </w:rPr>
        <w:footnoteRef/>
      </w:r>
      <w:r>
        <w:t xml:space="preserve"> </w:t>
      </w:r>
      <w:r w:rsidRPr="007D042E">
        <w:rPr>
          <w:lang w:val="es-CO"/>
        </w:rPr>
        <w:t>Ley 1755 de 2015: “Artículo 14. Términos para resolver las distintas modalidades de peticiones. Salvo norma legal especial y so pena de sanción disciplinaria, toda petición deberá resolverse dentro de los quince (15) días siguientes a su recepción. Estará sometida a término especial la resolución de las siguientes peticiones: “1. Las peticiones de documentos y de información deberán resolverse dentro de los diez (10) días siguientes a su recepción. Si en ese lapso no se ha dado respuesta al peticionario, se entenderá, para todos los efectos legales, que la respectiva solicitud ha sido aceptada y, por consiguiente, la administración ya no podrá negar la entrega de dichos documentos al peticionario, y como consecuencia las copias se entregarán dentro de los tres (3) días siguientes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5pt;height:11.5pt" o:bullet="t">
        <v:imagedata r:id="rId1" o:title="mso1B13"/>
      </v:shape>
    </w:pict>
  </w:numPicBullet>
  <w:abstractNum w:abstractNumId="0" w15:restartNumberingAfterBreak="0">
    <w:nsid w:val="01C06310"/>
    <w:multiLevelType w:val="multilevel"/>
    <w:tmpl w:val="ABB6F83E"/>
    <w:lvl w:ilvl="0">
      <w:start w:val="3"/>
      <w:numFmt w:val="upperRoman"/>
      <w:lvlText w:val="%1."/>
      <w:lvlJc w:val="right"/>
      <w:pPr>
        <w:ind w:left="1068" w:hanging="360"/>
      </w:pPr>
      <w:rPr>
        <w:rFonts w:hint="default"/>
        <w:b/>
        <w:color w:val="000000" w:themeColor="text1"/>
      </w:rPr>
    </w:lvl>
    <w:lvl w:ilvl="1">
      <w:start w:val="2"/>
      <w:numFmt w:val="decimal"/>
      <w:isLgl/>
      <w:lvlText w:val="%1.%2"/>
      <w:lvlJc w:val="left"/>
      <w:pPr>
        <w:ind w:left="70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8E4D2A"/>
    <w:multiLevelType w:val="hybridMultilevel"/>
    <w:tmpl w:val="1F102A0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FF7C1D"/>
    <w:multiLevelType w:val="hybridMultilevel"/>
    <w:tmpl w:val="696EF856"/>
    <w:lvl w:ilvl="0" w:tplc="4D96D3BC">
      <w:start w:val="1"/>
      <w:numFmt w:val="upperRoman"/>
      <w:lvlText w:val="%1."/>
      <w:lvlJc w:val="left"/>
      <w:pPr>
        <w:ind w:left="1428" w:hanging="720"/>
      </w:pPr>
      <w:rPr>
        <w:rFonts w:hint="default"/>
      </w:r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604731450">
    <w:abstractNumId w:val="5"/>
  </w:num>
  <w:num w:numId="17" w16cid:durableId="1399939183">
    <w:abstractNumId w:val="0"/>
  </w:num>
  <w:num w:numId="18" w16cid:durableId="149572938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4758891">
    <w:abstractNumId w:val="11"/>
  </w:num>
  <w:num w:numId="20" w16cid:durableId="1882277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ACC"/>
    <w:rsid w:val="000271A9"/>
    <w:rsid w:val="00046BEC"/>
    <w:rsid w:val="00061B2A"/>
    <w:rsid w:val="00074E29"/>
    <w:rsid w:val="00082362"/>
    <w:rsid w:val="000A683E"/>
    <w:rsid w:val="000B19B9"/>
    <w:rsid w:val="000D0334"/>
    <w:rsid w:val="000D69E5"/>
    <w:rsid w:val="000F6486"/>
    <w:rsid w:val="00124CBF"/>
    <w:rsid w:val="00125105"/>
    <w:rsid w:val="00127233"/>
    <w:rsid w:val="00135A48"/>
    <w:rsid w:val="001603B1"/>
    <w:rsid w:val="001A7A7E"/>
    <w:rsid w:val="001E4177"/>
    <w:rsid w:val="001F7DC6"/>
    <w:rsid w:val="00231928"/>
    <w:rsid w:val="002421BB"/>
    <w:rsid w:val="0025796E"/>
    <w:rsid w:val="002707A2"/>
    <w:rsid w:val="00293E91"/>
    <w:rsid w:val="002951A0"/>
    <w:rsid w:val="002962BC"/>
    <w:rsid w:val="002A093D"/>
    <w:rsid w:val="002A0DD0"/>
    <w:rsid w:val="002A49AC"/>
    <w:rsid w:val="002A64FD"/>
    <w:rsid w:val="002C7A84"/>
    <w:rsid w:val="002E4FD9"/>
    <w:rsid w:val="00322A85"/>
    <w:rsid w:val="00324168"/>
    <w:rsid w:val="003448F4"/>
    <w:rsid w:val="00374F5E"/>
    <w:rsid w:val="00377E3E"/>
    <w:rsid w:val="00387525"/>
    <w:rsid w:val="003A26D1"/>
    <w:rsid w:val="003A4132"/>
    <w:rsid w:val="003A779E"/>
    <w:rsid w:val="003D0F4D"/>
    <w:rsid w:val="003D5B0D"/>
    <w:rsid w:val="003D5BD6"/>
    <w:rsid w:val="003E0499"/>
    <w:rsid w:val="003F3941"/>
    <w:rsid w:val="00406575"/>
    <w:rsid w:val="0042330A"/>
    <w:rsid w:val="0042722E"/>
    <w:rsid w:val="00444B00"/>
    <w:rsid w:val="0044528D"/>
    <w:rsid w:val="00451E94"/>
    <w:rsid w:val="00470D4B"/>
    <w:rsid w:val="00480954"/>
    <w:rsid w:val="00496592"/>
    <w:rsid w:val="004A1847"/>
    <w:rsid w:val="004A305D"/>
    <w:rsid w:val="004C27C2"/>
    <w:rsid w:val="004C5207"/>
    <w:rsid w:val="004F1F3E"/>
    <w:rsid w:val="004F21C4"/>
    <w:rsid w:val="004F685F"/>
    <w:rsid w:val="00504E2B"/>
    <w:rsid w:val="005052DE"/>
    <w:rsid w:val="00540CDC"/>
    <w:rsid w:val="00541C97"/>
    <w:rsid w:val="00545CEE"/>
    <w:rsid w:val="005566E8"/>
    <w:rsid w:val="00574867"/>
    <w:rsid w:val="00580063"/>
    <w:rsid w:val="00591460"/>
    <w:rsid w:val="00592628"/>
    <w:rsid w:val="005A2DD7"/>
    <w:rsid w:val="005C3777"/>
    <w:rsid w:val="005C5CDC"/>
    <w:rsid w:val="005D476C"/>
    <w:rsid w:val="005F7155"/>
    <w:rsid w:val="00610812"/>
    <w:rsid w:val="006219F8"/>
    <w:rsid w:val="006447C1"/>
    <w:rsid w:val="00646FE4"/>
    <w:rsid w:val="00650D61"/>
    <w:rsid w:val="00650FF7"/>
    <w:rsid w:val="00665D70"/>
    <w:rsid w:val="00671DAC"/>
    <w:rsid w:val="00674997"/>
    <w:rsid w:val="006900D9"/>
    <w:rsid w:val="006B1D62"/>
    <w:rsid w:val="006D12F8"/>
    <w:rsid w:val="00706C16"/>
    <w:rsid w:val="0072019F"/>
    <w:rsid w:val="00733852"/>
    <w:rsid w:val="0075660B"/>
    <w:rsid w:val="00756841"/>
    <w:rsid w:val="007649AB"/>
    <w:rsid w:val="00771D0C"/>
    <w:rsid w:val="007833AC"/>
    <w:rsid w:val="007B268C"/>
    <w:rsid w:val="007B7171"/>
    <w:rsid w:val="007C0C0F"/>
    <w:rsid w:val="007C3DC2"/>
    <w:rsid w:val="007D042E"/>
    <w:rsid w:val="007E22C6"/>
    <w:rsid w:val="007E2A58"/>
    <w:rsid w:val="007E5497"/>
    <w:rsid w:val="008061FA"/>
    <w:rsid w:val="00806F5F"/>
    <w:rsid w:val="00813466"/>
    <w:rsid w:val="00820278"/>
    <w:rsid w:val="008653ED"/>
    <w:rsid w:val="008843B6"/>
    <w:rsid w:val="00891928"/>
    <w:rsid w:val="008A446D"/>
    <w:rsid w:val="008B0180"/>
    <w:rsid w:val="008B2649"/>
    <w:rsid w:val="008D180B"/>
    <w:rsid w:val="008F0EA7"/>
    <w:rsid w:val="008F1CB3"/>
    <w:rsid w:val="00912CA8"/>
    <w:rsid w:val="00922C1E"/>
    <w:rsid w:val="00923EEF"/>
    <w:rsid w:val="009419F9"/>
    <w:rsid w:val="0095685E"/>
    <w:rsid w:val="00961B09"/>
    <w:rsid w:val="00965334"/>
    <w:rsid w:val="0097093E"/>
    <w:rsid w:val="009A0DFA"/>
    <w:rsid w:val="009B2D26"/>
    <w:rsid w:val="009C71FA"/>
    <w:rsid w:val="009C72E7"/>
    <w:rsid w:val="009D3058"/>
    <w:rsid w:val="009E4FD8"/>
    <w:rsid w:val="009F3A13"/>
    <w:rsid w:val="00A122D3"/>
    <w:rsid w:val="00A17F13"/>
    <w:rsid w:val="00A20739"/>
    <w:rsid w:val="00A22CB4"/>
    <w:rsid w:val="00A24B95"/>
    <w:rsid w:val="00A25A6B"/>
    <w:rsid w:val="00A33C78"/>
    <w:rsid w:val="00A66F2B"/>
    <w:rsid w:val="00A85136"/>
    <w:rsid w:val="00A9760D"/>
    <w:rsid w:val="00AB0ADB"/>
    <w:rsid w:val="00AF6821"/>
    <w:rsid w:val="00B01B1A"/>
    <w:rsid w:val="00B147D9"/>
    <w:rsid w:val="00B25A01"/>
    <w:rsid w:val="00B37377"/>
    <w:rsid w:val="00B42E54"/>
    <w:rsid w:val="00B72CD3"/>
    <w:rsid w:val="00B72FFF"/>
    <w:rsid w:val="00BB4D93"/>
    <w:rsid w:val="00BC3D36"/>
    <w:rsid w:val="00BD3860"/>
    <w:rsid w:val="00BD7F72"/>
    <w:rsid w:val="00BF57F0"/>
    <w:rsid w:val="00C04FB3"/>
    <w:rsid w:val="00C20D89"/>
    <w:rsid w:val="00C330EB"/>
    <w:rsid w:val="00C66A48"/>
    <w:rsid w:val="00C754BE"/>
    <w:rsid w:val="00C75AD0"/>
    <w:rsid w:val="00C76B1C"/>
    <w:rsid w:val="00C81025"/>
    <w:rsid w:val="00CA74B8"/>
    <w:rsid w:val="00CB6357"/>
    <w:rsid w:val="00CC1B26"/>
    <w:rsid w:val="00CD1E50"/>
    <w:rsid w:val="00CD2F89"/>
    <w:rsid w:val="00D0585F"/>
    <w:rsid w:val="00D36D39"/>
    <w:rsid w:val="00D423A2"/>
    <w:rsid w:val="00D520D8"/>
    <w:rsid w:val="00D63AC2"/>
    <w:rsid w:val="00D67428"/>
    <w:rsid w:val="00D7383B"/>
    <w:rsid w:val="00D76F07"/>
    <w:rsid w:val="00DA231B"/>
    <w:rsid w:val="00DA23A0"/>
    <w:rsid w:val="00DC39FC"/>
    <w:rsid w:val="00DD11C7"/>
    <w:rsid w:val="00DD67E4"/>
    <w:rsid w:val="00DE4431"/>
    <w:rsid w:val="00DF5254"/>
    <w:rsid w:val="00E12203"/>
    <w:rsid w:val="00E16408"/>
    <w:rsid w:val="00E20894"/>
    <w:rsid w:val="00E245AB"/>
    <w:rsid w:val="00E2764C"/>
    <w:rsid w:val="00E27F2E"/>
    <w:rsid w:val="00E413EA"/>
    <w:rsid w:val="00E50AFE"/>
    <w:rsid w:val="00E54465"/>
    <w:rsid w:val="00E75C92"/>
    <w:rsid w:val="00E771DC"/>
    <w:rsid w:val="00E8772A"/>
    <w:rsid w:val="00E90EB4"/>
    <w:rsid w:val="00E90F6B"/>
    <w:rsid w:val="00E927A8"/>
    <w:rsid w:val="00E92C27"/>
    <w:rsid w:val="00EA0E3D"/>
    <w:rsid w:val="00EB2854"/>
    <w:rsid w:val="00EC38A7"/>
    <w:rsid w:val="00ED4638"/>
    <w:rsid w:val="00ED68C4"/>
    <w:rsid w:val="00EE1AA8"/>
    <w:rsid w:val="00EF1097"/>
    <w:rsid w:val="00F12A4C"/>
    <w:rsid w:val="00F31EDC"/>
    <w:rsid w:val="00F462B3"/>
    <w:rsid w:val="00F5664F"/>
    <w:rsid w:val="00F666C4"/>
    <w:rsid w:val="00F70B1A"/>
    <w:rsid w:val="00F76AFC"/>
    <w:rsid w:val="00FA47C0"/>
    <w:rsid w:val="00FB5DD1"/>
    <w:rsid w:val="00FC2B5D"/>
    <w:rsid w:val="00FD1569"/>
    <w:rsid w:val="00FF1449"/>
    <w:rsid w:val="06324942"/>
    <w:rsid w:val="0A863584"/>
    <w:rsid w:val="16066A58"/>
    <w:rsid w:val="1763C83C"/>
    <w:rsid w:val="25E6075E"/>
    <w:rsid w:val="2E0C814B"/>
    <w:rsid w:val="30599A6B"/>
    <w:rsid w:val="38367556"/>
    <w:rsid w:val="41A31D87"/>
    <w:rsid w:val="4FE8B467"/>
    <w:rsid w:val="5CEADB7B"/>
    <w:rsid w:val="6CEADEBA"/>
    <w:rsid w:val="6EA59B38"/>
    <w:rsid w:val="721DBD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comentario">
    <w:name w:val="annotation text"/>
    <w:basedOn w:val="Normal"/>
    <w:link w:val="TextocomentarioCar"/>
    <w:uiPriority w:val="99"/>
    <w:semiHidden/>
    <w:unhideWhenUsed/>
    <w:rsid w:val="000271A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271A9"/>
    <w:rPr>
      <w:sz w:val="20"/>
      <w:szCs w:val="20"/>
    </w:rPr>
  </w:style>
  <w:style w:type="character" w:styleId="Refdecomentario">
    <w:name w:val="annotation reference"/>
    <w:basedOn w:val="Fuentedeprrafopredeter"/>
    <w:uiPriority w:val="99"/>
    <w:semiHidden/>
    <w:unhideWhenUsed/>
    <w:rsid w:val="000271A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628991">
      <w:bodyDiv w:val="1"/>
      <w:marLeft w:val="0"/>
      <w:marRight w:val="0"/>
      <w:marTop w:val="0"/>
      <w:marBottom w:val="0"/>
      <w:divBdr>
        <w:top w:val="none" w:sz="0" w:space="0" w:color="auto"/>
        <w:left w:val="none" w:sz="0" w:space="0" w:color="auto"/>
        <w:bottom w:val="none" w:sz="0" w:space="0" w:color="auto"/>
        <w:right w:val="none" w:sz="0" w:space="0" w:color="auto"/>
      </w:divBdr>
      <w:divsChild>
        <w:div w:id="862670156">
          <w:marLeft w:val="0"/>
          <w:marRight w:val="0"/>
          <w:marTop w:val="0"/>
          <w:marBottom w:val="0"/>
          <w:divBdr>
            <w:top w:val="none" w:sz="0" w:space="0" w:color="auto"/>
            <w:left w:val="none" w:sz="0" w:space="0" w:color="auto"/>
            <w:bottom w:val="none" w:sz="0" w:space="0" w:color="auto"/>
            <w:right w:val="none" w:sz="0" w:space="0" w:color="auto"/>
          </w:divBdr>
          <w:divsChild>
            <w:div w:id="60052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70680268">
      <w:bodyDiv w:val="1"/>
      <w:marLeft w:val="0"/>
      <w:marRight w:val="0"/>
      <w:marTop w:val="0"/>
      <w:marBottom w:val="0"/>
      <w:divBdr>
        <w:top w:val="none" w:sz="0" w:space="0" w:color="auto"/>
        <w:left w:val="none" w:sz="0" w:space="0" w:color="auto"/>
        <w:bottom w:val="none" w:sz="0" w:space="0" w:color="auto"/>
        <w:right w:val="none" w:sz="0" w:space="0" w:color="auto"/>
      </w:divBdr>
      <w:divsChild>
        <w:div w:id="1232959864">
          <w:marLeft w:val="0"/>
          <w:marRight w:val="0"/>
          <w:marTop w:val="0"/>
          <w:marBottom w:val="0"/>
          <w:divBdr>
            <w:top w:val="none" w:sz="0" w:space="0" w:color="auto"/>
            <w:left w:val="none" w:sz="0" w:space="0" w:color="auto"/>
            <w:bottom w:val="none" w:sz="0" w:space="0" w:color="auto"/>
            <w:right w:val="none" w:sz="0" w:space="0" w:color="auto"/>
          </w:divBdr>
          <w:divsChild>
            <w:div w:id="177238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87368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00666822">
      <w:bodyDiv w:val="1"/>
      <w:marLeft w:val="0"/>
      <w:marRight w:val="0"/>
      <w:marTop w:val="0"/>
      <w:marBottom w:val="0"/>
      <w:divBdr>
        <w:top w:val="none" w:sz="0" w:space="0" w:color="auto"/>
        <w:left w:val="none" w:sz="0" w:space="0" w:color="auto"/>
        <w:bottom w:val="none" w:sz="0" w:space="0" w:color="auto"/>
        <w:right w:val="none" w:sz="0" w:space="0" w:color="auto"/>
      </w:divBdr>
      <w:divsChild>
        <w:div w:id="1053192044">
          <w:marLeft w:val="0"/>
          <w:marRight w:val="0"/>
          <w:marTop w:val="0"/>
          <w:marBottom w:val="0"/>
          <w:divBdr>
            <w:top w:val="none" w:sz="0" w:space="0" w:color="auto"/>
            <w:left w:val="none" w:sz="0" w:space="0" w:color="auto"/>
            <w:bottom w:val="none" w:sz="0" w:space="0" w:color="auto"/>
            <w:right w:val="none" w:sz="0" w:space="0" w:color="auto"/>
          </w:divBdr>
          <w:divsChild>
            <w:div w:id="146519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1958568">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5533014">
      <w:bodyDiv w:val="1"/>
      <w:marLeft w:val="0"/>
      <w:marRight w:val="0"/>
      <w:marTop w:val="0"/>
      <w:marBottom w:val="0"/>
      <w:divBdr>
        <w:top w:val="none" w:sz="0" w:space="0" w:color="auto"/>
        <w:left w:val="none" w:sz="0" w:space="0" w:color="auto"/>
        <w:bottom w:val="none" w:sz="0" w:space="0" w:color="auto"/>
        <w:right w:val="none" w:sz="0" w:space="0" w:color="auto"/>
      </w:divBdr>
      <w:divsChild>
        <w:div w:id="1278872121">
          <w:marLeft w:val="0"/>
          <w:marRight w:val="0"/>
          <w:marTop w:val="0"/>
          <w:marBottom w:val="0"/>
          <w:divBdr>
            <w:top w:val="none" w:sz="0" w:space="0" w:color="auto"/>
            <w:left w:val="none" w:sz="0" w:space="0" w:color="auto"/>
            <w:bottom w:val="none" w:sz="0" w:space="0" w:color="auto"/>
            <w:right w:val="none" w:sz="0" w:space="0" w:color="auto"/>
          </w:divBdr>
          <w:divsChild>
            <w:div w:id="146735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95157103">
      <w:bodyDiv w:val="1"/>
      <w:marLeft w:val="0"/>
      <w:marRight w:val="0"/>
      <w:marTop w:val="0"/>
      <w:marBottom w:val="0"/>
      <w:divBdr>
        <w:top w:val="none" w:sz="0" w:space="0" w:color="auto"/>
        <w:left w:val="none" w:sz="0" w:space="0" w:color="auto"/>
        <w:bottom w:val="none" w:sz="0" w:space="0" w:color="auto"/>
        <w:right w:val="none" w:sz="0" w:space="0" w:color="auto"/>
      </w:divBdr>
    </w:div>
    <w:div w:id="1633555416">
      <w:bodyDiv w:val="1"/>
      <w:marLeft w:val="0"/>
      <w:marRight w:val="0"/>
      <w:marTop w:val="0"/>
      <w:marBottom w:val="0"/>
      <w:divBdr>
        <w:top w:val="none" w:sz="0" w:space="0" w:color="auto"/>
        <w:left w:val="none" w:sz="0" w:space="0" w:color="auto"/>
        <w:bottom w:val="none" w:sz="0" w:space="0" w:color="auto"/>
        <w:right w:val="none" w:sz="0" w:space="0" w:color="auto"/>
      </w:divBdr>
      <w:divsChild>
        <w:div w:id="388578688">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2703703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entanillaunicaderadicacion@colombi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7D8AA1-2450-4215-9135-F83C8236E4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0DDAC26F-AD24-4C52-8BAE-441B2C5917A6}">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3439</Words>
  <Characters>18916</Characters>
  <Application>Microsoft Office Word</Application>
  <DocSecurity>0</DocSecurity>
  <Lines>157</Lines>
  <Paragraphs>44</Paragraphs>
  <ScaleCrop>false</ScaleCrop>
  <Company/>
  <LinksUpToDate>false</LinksUpToDate>
  <CharactersWithSpaces>22311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5</cp:revision>
  <cp:lastPrinted>2023-01-10T21:18:00Z</cp:lastPrinted>
  <dcterms:created xsi:type="dcterms:W3CDTF">2024-08-01T12:40:00Z</dcterms:created>
  <dcterms:modified xsi:type="dcterms:W3CDTF">2024-08-27T20:36:00Z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