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7406C" w14:textId="5DCA06AE" w:rsidR="7A023738" w:rsidRDefault="7A023738" w:rsidP="05142466">
      <w:pPr>
        <w:spacing w:after="0"/>
        <w:jc w:val="both"/>
      </w:pPr>
      <w:r w:rsidRPr="05142466">
        <w:rPr>
          <w:rFonts w:ascii="Arial" w:eastAsia="Arial" w:hAnsi="Arial" w:cs="Arial"/>
          <w:b/>
          <w:bCs/>
        </w:rPr>
        <w:t>DOCUMENTOS TIPO – Fundamento jurídico – Aplicación</w:t>
      </w:r>
    </w:p>
    <w:p w14:paraId="67D5422E" w14:textId="31DEDD54" w:rsidR="7A023738" w:rsidRDefault="7A023738" w:rsidP="05142466">
      <w:pPr>
        <w:spacing w:after="0"/>
        <w:jc w:val="both"/>
      </w:pPr>
      <w:r w:rsidRPr="05142466">
        <w:rPr>
          <w:rFonts w:ascii="Arial" w:eastAsia="Arial" w:hAnsi="Arial" w:cs="Arial"/>
          <w:sz w:val="20"/>
          <w:szCs w:val="20"/>
        </w:rPr>
        <w:t xml:space="preserve"> </w:t>
      </w:r>
    </w:p>
    <w:p w14:paraId="4B56A9DD" w14:textId="56E2F89E" w:rsidR="7A023738" w:rsidRDefault="7A023738" w:rsidP="05142466">
      <w:pPr>
        <w:spacing w:before="120" w:after="120"/>
        <w:jc w:val="both"/>
      </w:pPr>
      <w:r w:rsidRPr="05142466">
        <w:rPr>
          <w:rFonts w:ascii="Arial" w:eastAsia="Arial" w:hAnsi="Arial" w:cs="Arial"/>
          <w:sz w:val="20"/>
          <w:szCs w:val="20"/>
          <w:lang w:val="es-ES"/>
        </w:rPr>
        <w:t xml:space="preserve">De la norma descrita se concluía lo siguiente: i) la adopción de los documentos tipo estaba en cabeza del gobierno nacional; </w:t>
      </w:r>
      <w:proofErr w:type="spellStart"/>
      <w:r w:rsidRPr="05142466">
        <w:rPr>
          <w:rFonts w:ascii="Arial" w:eastAsia="Arial" w:hAnsi="Arial" w:cs="Arial"/>
          <w:sz w:val="20"/>
          <w:szCs w:val="20"/>
          <w:lang w:val="es-ES"/>
        </w:rPr>
        <w:t>ii</w:t>
      </w:r>
      <w:proofErr w:type="spellEnd"/>
      <w:r w:rsidRPr="05142466">
        <w:rPr>
          <w:rFonts w:ascii="Arial" w:eastAsia="Arial" w:hAnsi="Arial" w:cs="Arial"/>
          <w:sz w:val="20"/>
          <w:szCs w:val="20"/>
          <w:lang w:val="es-ES"/>
        </w:rPr>
        <w:t xml:space="preserve">) estos debían relacionarse con procesos de obras públicas, interventoría para las obras públicas, interventoría para consultoría de estudios y diseños y, finalmente, consultoría en ingeniería para obras; </w:t>
      </w:r>
      <w:proofErr w:type="spellStart"/>
      <w:r w:rsidRPr="05142466">
        <w:rPr>
          <w:rFonts w:ascii="Arial" w:eastAsia="Arial" w:hAnsi="Arial" w:cs="Arial"/>
          <w:sz w:val="20"/>
          <w:szCs w:val="20"/>
          <w:lang w:val="es-ES"/>
        </w:rPr>
        <w:t>iii</w:t>
      </w:r>
      <w:proofErr w:type="spellEnd"/>
      <w:r w:rsidRPr="05142466">
        <w:rPr>
          <w:rFonts w:ascii="Arial" w:eastAsia="Arial" w:hAnsi="Arial" w:cs="Arial"/>
          <w:sz w:val="20"/>
          <w:szCs w:val="20"/>
          <w:lang w:val="es-ES"/>
        </w:rPr>
        <w:t xml:space="preserve">) eran de obligatorio cumplimiento por parte de todas las entidades sometidas al Estatuto General de Contratación de la Administración Pública; </w:t>
      </w:r>
      <w:proofErr w:type="spellStart"/>
      <w:r w:rsidRPr="05142466">
        <w:rPr>
          <w:rFonts w:ascii="Arial" w:eastAsia="Arial" w:hAnsi="Arial" w:cs="Arial"/>
          <w:sz w:val="20"/>
          <w:szCs w:val="20"/>
          <w:lang w:val="es-ES"/>
        </w:rPr>
        <w:t>iv</w:t>
      </w:r>
      <w:proofErr w:type="spellEnd"/>
      <w:r w:rsidRPr="05142466">
        <w:rPr>
          <w:rFonts w:ascii="Arial" w:eastAsia="Arial" w:hAnsi="Arial" w:cs="Arial"/>
          <w:sz w:val="20"/>
          <w:szCs w:val="20"/>
          <w:lang w:val="es-ES"/>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530DE46F" w14:textId="1AD99F41" w:rsidR="7A023738" w:rsidRDefault="7A023738" w:rsidP="05142466">
      <w:pPr>
        <w:spacing w:after="0"/>
        <w:jc w:val="both"/>
      </w:pPr>
      <w:r w:rsidRPr="05142466">
        <w:rPr>
          <w:rFonts w:ascii="Arial" w:eastAsia="Arial" w:hAnsi="Arial" w:cs="Arial"/>
          <w:sz w:val="20"/>
          <w:szCs w:val="20"/>
          <w:lang w:val="es"/>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1F44741B" w14:textId="2A306311" w:rsidR="7A023738" w:rsidRDefault="7A023738" w:rsidP="05142466">
      <w:pPr>
        <w:spacing w:after="0"/>
        <w:jc w:val="both"/>
      </w:pPr>
      <w:r w:rsidRPr="05142466">
        <w:rPr>
          <w:rFonts w:ascii="Arial" w:eastAsia="Arial" w:hAnsi="Arial" w:cs="Arial"/>
          <w:b/>
          <w:bCs/>
          <w:sz w:val="20"/>
          <w:szCs w:val="20"/>
        </w:rPr>
        <w:t xml:space="preserve"> </w:t>
      </w:r>
    </w:p>
    <w:p w14:paraId="39A2E98F" w14:textId="06CF5697" w:rsidR="7A023738" w:rsidRDefault="7A023738" w:rsidP="05142466">
      <w:pPr>
        <w:spacing w:after="0"/>
        <w:jc w:val="both"/>
      </w:pPr>
      <w:r w:rsidRPr="05142466">
        <w:rPr>
          <w:rFonts w:ascii="Arial" w:eastAsia="Arial" w:hAnsi="Arial" w:cs="Arial"/>
          <w:b/>
          <w:bCs/>
        </w:rPr>
        <w:t xml:space="preserve">DOCUMENTOS TIPO DE INFRAESTRUCTURA SOCIAL – Generalidades </w:t>
      </w:r>
    </w:p>
    <w:p w14:paraId="47E5F223" w14:textId="5E350464" w:rsidR="7A023738" w:rsidRDefault="7A023738" w:rsidP="05142466">
      <w:pPr>
        <w:spacing w:after="0"/>
        <w:jc w:val="both"/>
      </w:pPr>
      <w:r w:rsidRPr="05142466">
        <w:rPr>
          <w:rFonts w:ascii="Arial" w:eastAsia="Arial" w:hAnsi="Arial" w:cs="Arial"/>
          <w:sz w:val="20"/>
          <w:szCs w:val="20"/>
          <w:lang w:val="es"/>
        </w:rPr>
        <w:t xml:space="preserve"> </w:t>
      </w:r>
    </w:p>
    <w:p w14:paraId="33AD9465" w14:textId="69E9A7AA" w:rsidR="7A023738" w:rsidRDefault="7A023738" w:rsidP="05142466">
      <w:pPr>
        <w:spacing w:after="0"/>
        <w:jc w:val="both"/>
      </w:pPr>
      <w:r w:rsidRPr="05142466">
        <w:rPr>
          <w:rFonts w:ascii="Arial" w:eastAsia="Arial" w:hAnsi="Arial" w:cs="Arial"/>
          <w:sz w:val="20"/>
          <w:szCs w:val="20"/>
        </w:rPr>
        <w:t xml:space="preserve">En desarrollo de la Ley 2022 de 2020, la Agencia Nacional de Contratación Pública – Colombia Compra Eficiente expidió la Resolución 219 del 6 de agosto de 2021, </w:t>
      </w:r>
      <w:r w:rsidRPr="05142466">
        <w:rPr>
          <w:rFonts w:ascii="Arial" w:eastAsia="Arial" w:hAnsi="Arial" w:cs="Arial"/>
          <w:i/>
          <w:iCs/>
          <w:sz w:val="20"/>
          <w:szCs w:val="20"/>
        </w:rPr>
        <w:t>“Por la cual se adoptan los documentos tipo para los procesos de licitación de obra pública de infraestructura social”</w:t>
      </w:r>
      <w:r w:rsidRPr="05142466">
        <w:rPr>
          <w:rFonts w:ascii="Arial" w:eastAsia="Arial" w:hAnsi="Arial" w:cs="Arial"/>
          <w:sz w:val="20"/>
          <w:szCs w:val="20"/>
        </w:rPr>
        <w:t>. Dentro de esta categoría fue incluida la infraestructura asociada a los sectores de la salud, el educativo y el de cultura, recreación y deporte,</w:t>
      </w:r>
      <w:r w:rsidRPr="05142466">
        <w:rPr>
          <w:rFonts w:ascii="Arial" w:eastAsia="Arial" w:hAnsi="Arial" w:cs="Arial"/>
          <w:sz w:val="20"/>
          <w:szCs w:val="20"/>
          <w:lang w:val="es"/>
        </w:rPr>
        <w:t xml:space="preserve"> tal como lo establece el parágrafo 2 del artículo 2 de la resolución indicada, de la siguiente manera: </w:t>
      </w:r>
    </w:p>
    <w:p w14:paraId="11FE0E2E" w14:textId="0266A0F1" w:rsidR="7A023738" w:rsidRDefault="7A023738" w:rsidP="05142466">
      <w:pPr>
        <w:spacing w:after="120"/>
        <w:jc w:val="both"/>
      </w:pPr>
      <w:r w:rsidRPr="05142466">
        <w:rPr>
          <w:rFonts w:ascii="Arial" w:eastAsia="Arial" w:hAnsi="Arial" w:cs="Arial"/>
          <w:sz w:val="20"/>
          <w:szCs w:val="20"/>
          <w:lang w:val="es"/>
        </w:rPr>
        <w:t>[…]</w:t>
      </w:r>
    </w:p>
    <w:p w14:paraId="54CC796F" w14:textId="1D52D289" w:rsidR="7A023738" w:rsidRDefault="7A023738" w:rsidP="05142466">
      <w:pPr>
        <w:spacing w:after="120"/>
        <w:jc w:val="both"/>
      </w:pPr>
      <w:r w:rsidRPr="05142466">
        <w:rPr>
          <w:rFonts w:ascii="Arial" w:eastAsia="Arial" w:hAnsi="Arial" w:cs="Arial"/>
          <w:sz w:val="20"/>
          <w:szCs w:val="20"/>
          <w:lang w:val="es"/>
        </w:rPr>
        <w:t xml:space="preserve">Cabe anotar que </w:t>
      </w:r>
      <w:r w:rsidRPr="05142466">
        <w:rPr>
          <w:rFonts w:ascii="Arial" w:eastAsia="Arial" w:hAnsi="Arial" w:cs="Arial"/>
          <w:sz w:val="20"/>
          <w:szCs w:val="20"/>
        </w:rPr>
        <w:t xml:space="preserve">la Resolución 219 del 6 de agosto de 2021 contiene los documentos tipo que aplican </w:t>
      </w:r>
      <w:r w:rsidRPr="05142466">
        <w:rPr>
          <w:rFonts w:ascii="Arial" w:eastAsia="Arial" w:hAnsi="Arial" w:cs="Arial"/>
          <w:sz w:val="20"/>
          <w:szCs w:val="20"/>
          <w:lang w:val="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0BEF9FB4" w14:textId="2103792B" w:rsidR="7A023738" w:rsidRDefault="7A023738" w:rsidP="05142466">
      <w:pPr>
        <w:spacing w:after="0"/>
        <w:jc w:val="both"/>
      </w:pPr>
      <w:r w:rsidRPr="05142466">
        <w:rPr>
          <w:rFonts w:ascii="Arial" w:eastAsia="Arial" w:hAnsi="Arial" w:cs="Arial"/>
          <w:sz w:val="20"/>
          <w:szCs w:val="20"/>
          <w:lang w:val="es-ES"/>
        </w:rPr>
        <w:t xml:space="preserve">En consecuencia, en materia de infraestructura social debe tenerse en cuenta que existen dos (2) clases de documentos tipo que se integran en cada proceso: i) los documentos </w:t>
      </w:r>
      <w:r w:rsidRPr="05142466">
        <w:rPr>
          <w:rFonts w:ascii="Arial" w:eastAsia="Arial" w:hAnsi="Arial" w:cs="Arial"/>
          <w:i/>
          <w:iCs/>
          <w:sz w:val="20"/>
          <w:szCs w:val="20"/>
          <w:lang w:val="es-ES"/>
        </w:rPr>
        <w:t>transversales</w:t>
      </w:r>
      <w:r w:rsidRPr="05142466">
        <w:rPr>
          <w:rFonts w:ascii="Arial" w:eastAsia="Arial" w:hAnsi="Arial"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5142466">
        <w:rPr>
          <w:rFonts w:ascii="Arial" w:eastAsia="Arial" w:hAnsi="Arial" w:cs="Arial"/>
          <w:sz w:val="20"/>
          <w:szCs w:val="20"/>
          <w:lang w:val="es-ES"/>
        </w:rPr>
        <w:t>ii</w:t>
      </w:r>
      <w:proofErr w:type="spellEnd"/>
      <w:r w:rsidRPr="05142466">
        <w:rPr>
          <w:rFonts w:ascii="Arial" w:eastAsia="Arial" w:hAnsi="Arial" w:cs="Arial"/>
          <w:sz w:val="20"/>
          <w:szCs w:val="20"/>
          <w:lang w:val="es-ES"/>
        </w:rPr>
        <w:t xml:space="preserve">) los documentos tipo </w:t>
      </w:r>
      <w:r w:rsidRPr="05142466">
        <w:rPr>
          <w:rFonts w:ascii="Arial" w:eastAsia="Arial" w:hAnsi="Arial" w:cs="Arial"/>
          <w:i/>
          <w:iCs/>
          <w:sz w:val="20"/>
          <w:szCs w:val="20"/>
          <w:lang w:val="es-ES"/>
        </w:rPr>
        <w:t>complementarios</w:t>
      </w:r>
      <w:r w:rsidRPr="05142466">
        <w:rPr>
          <w:rFonts w:ascii="Arial" w:eastAsia="Arial" w:hAnsi="Arial" w:cs="Arial"/>
          <w:sz w:val="20"/>
          <w:szCs w:val="20"/>
          <w:lang w:val="es-ES"/>
        </w:rPr>
        <w:t>,</w:t>
      </w:r>
      <w:r w:rsidRPr="05142466">
        <w:rPr>
          <w:rFonts w:ascii="Arial" w:eastAsia="Arial" w:hAnsi="Arial" w:cs="Arial"/>
          <w:i/>
          <w:iCs/>
          <w:sz w:val="20"/>
          <w:szCs w:val="20"/>
          <w:lang w:val="es-ES"/>
        </w:rPr>
        <w:t xml:space="preserve"> </w:t>
      </w:r>
      <w:r w:rsidRPr="05142466">
        <w:rPr>
          <w:rFonts w:ascii="Arial" w:eastAsia="Arial" w:hAnsi="Arial" w:cs="Arial"/>
          <w:sz w:val="20"/>
          <w:szCs w:val="20"/>
          <w:lang w:val="es-ES"/>
        </w:rPr>
        <w:t xml:space="preserve">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w:t>
      </w:r>
      <w:r w:rsidRPr="05142466">
        <w:rPr>
          <w:rFonts w:ascii="Arial" w:eastAsia="Arial" w:hAnsi="Arial" w:cs="Arial"/>
          <w:sz w:val="20"/>
          <w:szCs w:val="20"/>
          <w:lang w:val="es-ES"/>
        </w:rPr>
        <w:lastRenderedPageBreak/>
        <w:t>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14:paraId="471E7CE2" w14:textId="040C9E1B" w:rsidR="7A023738" w:rsidRDefault="7A023738" w:rsidP="05142466">
      <w:pPr>
        <w:spacing w:after="0"/>
        <w:jc w:val="both"/>
      </w:pPr>
      <w:r w:rsidRPr="05142466">
        <w:rPr>
          <w:rFonts w:ascii="Arial" w:eastAsia="Arial" w:hAnsi="Arial" w:cs="Arial"/>
          <w:sz w:val="20"/>
          <w:szCs w:val="20"/>
          <w:lang w:val="es"/>
        </w:rPr>
        <w:t xml:space="preserve"> </w:t>
      </w:r>
    </w:p>
    <w:p w14:paraId="3EF0BAC5" w14:textId="4E961B3B" w:rsidR="7A023738" w:rsidRDefault="7A023738" w:rsidP="05142466">
      <w:pPr>
        <w:spacing w:after="0"/>
        <w:jc w:val="both"/>
      </w:pPr>
      <w:r w:rsidRPr="05142466">
        <w:rPr>
          <w:rFonts w:ascii="Arial" w:eastAsia="Arial" w:hAnsi="Arial" w:cs="Arial"/>
          <w:b/>
          <w:bCs/>
          <w:lang w:val="es"/>
        </w:rPr>
        <w:t>DOCUMENTOS TIPO DE INFRAESTRUCTURA SOCIAL – Factor Técnico Ambiental</w:t>
      </w:r>
    </w:p>
    <w:p w14:paraId="6CEF99CA" w14:textId="303CEE1A" w:rsidR="7A023738" w:rsidRDefault="7A023738" w:rsidP="05142466">
      <w:pPr>
        <w:spacing w:after="0"/>
        <w:jc w:val="both"/>
      </w:pPr>
      <w:r w:rsidRPr="05142466">
        <w:rPr>
          <w:rFonts w:ascii="Arial" w:eastAsia="Arial" w:hAnsi="Arial" w:cs="Arial"/>
          <w:b/>
          <w:bCs/>
          <w:lang w:val="es-MX"/>
        </w:rPr>
        <w:t xml:space="preserve"> </w:t>
      </w:r>
    </w:p>
    <w:p w14:paraId="25505F53" w14:textId="382D3B49" w:rsidR="7A023738" w:rsidRDefault="7A023738" w:rsidP="05142466">
      <w:pPr>
        <w:spacing w:after="0"/>
        <w:jc w:val="both"/>
        <w:rPr>
          <w:rFonts w:ascii="Arial" w:eastAsia="Arial" w:hAnsi="Arial" w:cs="Arial"/>
          <w:sz w:val="20"/>
          <w:szCs w:val="20"/>
          <w:lang w:val="es"/>
        </w:rPr>
      </w:pPr>
      <w:r w:rsidRPr="05142466">
        <w:rPr>
          <w:rFonts w:ascii="Arial" w:eastAsia="Arial" w:hAnsi="Arial" w:cs="Arial"/>
          <w:sz w:val="20"/>
          <w:szCs w:val="20"/>
          <w:lang w:val="es"/>
        </w:rPr>
        <w:t>Nótese como la fijación de los factores de sostenibilidad técnico ambiental derivan de un análisis propio de la Entidad, es decir, son potestativos de la Entidad, y esta, con fundamento en el principio de planeación, verificará la pertinencia o no de incluir estos factores. En todo caso, y ante eventos particulares que la misma Entidad identifique, como la insuficiencia del espacio físico del predio, por ejemplo, el puntaje inicialmente destinado al factor de sostenibilidad técnico ambiental se trasladará al factor de calidad, tal y como lo indica el documento base.</w:t>
      </w:r>
    </w:p>
    <w:p w14:paraId="71811E96" w14:textId="77777777" w:rsidR="00CF286D" w:rsidRDefault="00CF286D" w:rsidP="05142466">
      <w:pPr>
        <w:spacing w:after="0"/>
        <w:jc w:val="both"/>
        <w:rPr>
          <w:rFonts w:ascii="Arial" w:eastAsia="Arial" w:hAnsi="Arial" w:cs="Arial"/>
          <w:sz w:val="20"/>
          <w:szCs w:val="20"/>
          <w:lang w:val="es"/>
        </w:rPr>
      </w:pPr>
    </w:p>
    <w:p w14:paraId="0D294FCC" w14:textId="77777777" w:rsidR="00CF286D" w:rsidRDefault="00CF286D" w:rsidP="05142466">
      <w:pPr>
        <w:spacing w:after="0"/>
        <w:jc w:val="both"/>
        <w:rPr>
          <w:rFonts w:ascii="Arial" w:eastAsia="Arial" w:hAnsi="Arial" w:cs="Arial"/>
          <w:sz w:val="20"/>
          <w:szCs w:val="20"/>
          <w:lang w:val="es"/>
        </w:rPr>
      </w:pPr>
    </w:p>
    <w:p w14:paraId="2EACEF35" w14:textId="77777777" w:rsidR="00CF286D" w:rsidRDefault="00CF286D" w:rsidP="05142466">
      <w:pPr>
        <w:spacing w:after="0"/>
        <w:jc w:val="both"/>
        <w:rPr>
          <w:rFonts w:ascii="Arial" w:eastAsia="Arial" w:hAnsi="Arial" w:cs="Arial"/>
          <w:sz w:val="20"/>
          <w:szCs w:val="20"/>
          <w:lang w:val="es"/>
        </w:rPr>
      </w:pPr>
    </w:p>
    <w:p w14:paraId="279267A5" w14:textId="77777777" w:rsidR="00CF286D" w:rsidRDefault="00CF286D" w:rsidP="05142466">
      <w:pPr>
        <w:spacing w:after="0"/>
        <w:jc w:val="both"/>
        <w:rPr>
          <w:rFonts w:ascii="Arial" w:eastAsia="Arial" w:hAnsi="Arial" w:cs="Arial"/>
          <w:sz w:val="20"/>
          <w:szCs w:val="20"/>
          <w:lang w:val="es"/>
        </w:rPr>
      </w:pPr>
    </w:p>
    <w:p w14:paraId="07686C78" w14:textId="77777777" w:rsidR="00CF286D" w:rsidRDefault="00CF286D" w:rsidP="05142466">
      <w:pPr>
        <w:spacing w:after="0"/>
        <w:jc w:val="both"/>
        <w:rPr>
          <w:rFonts w:ascii="Arial" w:eastAsia="Arial" w:hAnsi="Arial" w:cs="Arial"/>
          <w:sz w:val="20"/>
          <w:szCs w:val="20"/>
          <w:lang w:val="es"/>
        </w:rPr>
      </w:pPr>
    </w:p>
    <w:p w14:paraId="7F8EC737" w14:textId="77777777" w:rsidR="00CF286D" w:rsidRDefault="00CF286D" w:rsidP="05142466">
      <w:pPr>
        <w:spacing w:after="0"/>
        <w:jc w:val="both"/>
        <w:rPr>
          <w:rFonts w:ascii="Arial" w:eastAsia="Arial" w:hAnsi="Arial" w:cs="Arial"/>
          <w:sz w:val="20"/>
          <w:szCs w:val="20"/>
          <w:lang w:val="es"/>
        </w:rPr>
      </w:pPr>
    </w:p>
    <w:p w14:paraId="23D92CD1" w14:textId="77777777" w:rsidR="00CF286D" w:rsidRDefault="00CF286D" w:rsidP="05142466">
      <w:pPr>
        <w:spacing w:after="0"/>
        <w:jc w:val="both"/>
        <w:rPr>
          <w:rFonts w:ascii="Arial" w:eastAsia="Arial" w:hAnsi="Arial" w:cs="Arial"/>
          <w:sz w:val="20"/>
          <w:szCs w:val="20"/>
          <w:lang w:val="es"/>
        </w:rPr>
      </w:pPr>
    </w:p>
    <w:p w14:paraId="56AE8659" w14:textId="77777777" w:rsidR="00CF286D" w:rsidRDefault="00CF286D" w:rsidP="05142466">
      <w:pPr>
        <w:spacing w:after="0"/>
        <w:jc w:val="both"/>
        <w:rPr>
          <w:rFonts w:ascii="Arial" w:eastAsia="Arial" w:hAnsi="Arial" w:cs="Arial"/>
          <w:sz w:val="20"/>
          <w:szCs w:val="20"/>
          <w:lang w:val="es"/>
        </w:rPr>
      </w:pPr>
    </w:p>
    <w:p w14:paraId="3CA2C201" w14:textId="77777777" w:rsidR="00CF286D" w:rsidRDefault="00CF286D" w:rsidP="05142466">
      <w:pPr>
        <w:spacing w:after="0"/>
        <w:jc w:val="both"/>
        <w:rPr>
          <w:rFonts w:ascii="Arial" w:eastAsia="Arial" w:hAnsi="Arial" w:cs="Arial"/>
          <w:sz w:val="20"/>
          <w:szCs w:val="20"/>
          <w:lang w:val="es"/>
        </w:rPr>
      </w:pPr>
    </w:p>
    <w:p w14:paraId="6036986C" w14:textId="77777777" w:rsidR="00CF286D" w:rsidRDefault="00CF286D" w:rsidP="05142466">
      <w:pPr>
        <w:spacing w:after="0"/>
        <w:jc w:val="both"/>
        <w:rPr>
          <w:rFonts w:ascii="Arial" w:eastAsia="Arial" w:hAnsi="Arial" w:cs="Arial"/>
          <w:sz w:val="20"/>
          <w:szCs w:val="20"/>
          <w:lang w:val="es"/>
        </w:rPr>
      </w:pPr>
    </w:p>
    <w:p w14:paraId="059FA0B9" w14:textId="77777777" w:rsidR="00CF286D" w:rsidRDefault="00CF286D" w:rsidP="05142466">
      <w:pPr>
        <w:spacing w:after="0"/>
        <w:jc w:val="both"/>
        <w:rPr>
          <w:rFonts w:ascii="Arial" w:eastAsia="Arial" w:hAnsi="Arial" w:cs="Arial"/>
          <w:sz w:val="20"/>
          <w:szCs w:val="20"/>
          <w:lang w:val="es"/>
        </w:rPr>
      </w:pPr>
    </w:p>
    <w:p w14:paraId="1E04F3B8" w14:textId="77777777" w:rsidR="00CF286D" w:rsidRDefault="00CF286D" w:rsidP="05142466">
      <w:pPr>
        <w:spacing w:after="0"/>
        <w:jc w:val="both"/>
        <w:rPr>
          <w:rFonts w:ascii="Arial" w:eastAsia="Arial" w:hAnsi="Arial" w:cs="Arial"/>
          <w:sz w:val="20"/>
          <w:szCs w:val="20"/>
          <w:lang w:val="es"/>
        </w:rPr>
      </w:pPr>
    </w:p>
    <w:p w14:paraId="7DD201A2" w14:textId="77777777" w:rsidR="00CF286D" w:rsidRDefault="00CF286D" w:rsidP="05142466">
      <w:pPr>
        <w:spacing w:after="0"/>
        <w:jc w:val="both"/>
        <w:rPr>
          <w:rFonts w:ascii="Arial" w:eastAsia="Arial" w:hAnsi="Arial" w:cs="Arial"/>
          <w:sz w:val="20"/>
          <w:szCs w:val="20"/>
          <w:lang w:val="es"/>
        </w:rPr>
      </w:pPr>
    </w:p>
    <w:p w14:paraId="12732E0B" w14:textId="77777777" w:rsidR="00CF286D" w:rsidRDefault="00CF286D" w:rsidP="05142466">
      <w:pPr>
        <w:spacing w:after="0"/>
        <w:jc w:val="both"/>
        <w:rPr>
          <w:rFonts w:ascii="Arial" w:eastAsia="Arial" w:hAnsi="Arial" w:cs="Arial"/>
          <w:sz w:val="20"/>
          <w:szCs w:val="20"/>
          <w:lang w:val="es"/>
        </w:rPr>
      </w:pPr>
    </w:p>
    <w:p w14:paraId="677D6BCD" w14:textId="77777777" w:rsidR="00CF286D" w:rsidRDefault="00CF286D" w:rsidP="05142466">
      <w:pPr>
        <w:spacing w:after="0"/>
        <w:jc w:val="both"/>
        <w:rPr>
          <w:rFonts w:ascii="Arial" w:eastAsia="Arial" w:hAnsi="Arial" w:cs="Arial"/>
          <w:sz w:val="20"/>
          <w:szCs w:val="20"/>
          <w:lang w:val="es"/>
        </w:rPr>
      </w:pPr>
    </w:p>
    <w:p w14:paraId="21B488DB" w14:textId="77777777" w:rsidR="00CF286D" w:rsidRDefault="00CF286D" w:rsidP="05142466">
      <w:pPr>
        <w:spacing w:after="0"/>
        <w:jc w:val="both"/>
        <w:rPr>
          <w:rFonts w:ascii="Arial" w:eastAsia="Arial" w:hAnsi="Arial" w:cs="Arial"/>
          <w:sz w:val="20"/>
          <w:szCs w:val="20"/>
          <w:lang w:val="es"/>
        </w:rPr>
      </w:pPr>
    </w:p>
    <w:p w14:paraId="753CAFC3" w14:textId="77777777" w:rsidR="00CF286D" w:rsidRDefault="00CF286D" w:rsidP="05142466">
      <w:pPr>
        <w:spacing w:after="0"/>
        <w:jc w:val="both"/>
        <w:rPr>
          <w:rFonts w:ascii="Arial" w:eastAsia="Arial" w:hAnsi="Arial" w:cs="Arial"/>
          <w:sz w:val="20"/>
          <w:szCs w:val="20"/>
          <w:lang w:val="es"/>
        </w:rPr>
      </w:pPr>
    </w:p>
    <w:p w14:paraId="2A06C47C" w14:textId="77777777" w:rsidR="00CF286D" w:rsidRDefault="00CF286D" w:rsidP="05142466">
      <w:pPr>
        <w:spacing w:after="0"/>
        <w:jc w:val="both"/>
        <w:rPr>
          <w:rFonts w:ascii="Arial" w:eastAsia="Arial" w:hAnsi="Arial" w:cs="Arial"/>
          <w:sz w:val="20"/>
          <w:szCs w:val="20"/>
          <w:lang w:val="es"/>
        </w:rPr>
      </w:pPr>
    </w:p>
    <w:p w14:paraId="570931A2" w14:textId="77777777" w:rsidR="00CF286D" w:rsidRDefault="00CF286D" w:rsidP="05142466">
      <w:pPr>
        <w:spacing w:after="0"/>
        <w:jc w:val="both"/>
        <w:rPr>
          <w:rFonts w:ascii="Arial" w:eastAsia="Arial" w:hAnsi="Arial" w:cs="Arial"/>
          <w:sz w:val="20"/>
          <w:szCs w:val="20"/>
          <w:lang w:val="es"/>
        </w:rPr>
      </w:pPr>
    </w:p>
    <w:p w14:paraId="27B19D85" w14:textId="77777777" w:rsidR="00CF286D" w:rsidRDefault="00CF286D" w:rsidP="05142466">
      <w:pPr>
        <w:spacing w:after="0"/>
        <w:jc w:val="both"/>
        <w:rPr>
          <w:rFonts w:ascii="Arial" w:eastAsia="Arial" w:hAnsi="Arial" w:cs="Arial"/>
          <w:sz w:val="20"/>
          <w:szCs w:val="20"/>
          <w:lang w:val="es"/>
        </w:rPr>
      </w:pPr>
    </w:p>
    <w:p w14:paraId="3EA1C464" w14:textId="77777777" w:rsidR="00CF286D" w:rsidRDefault="00CF286D" w:rsidP="05142466">
      <w:pPr>
        <w:spacing w:after="0"/>
        <w:jc w:val="both"/>
        <w:rPr>
          <w:rFonts w:ascii="Arial" w:eastAsia="Arial" w:hAnsi="Arial" w:cs="Arial"/>
          <w:sz w:val="20"/>
          <w:szCs w:val="20"/>
          <w:lang w:val="es"/>
        </w:rPr>
      </w:pPr>
    </w:p>
    <w:p w14:paraId="6A01A3F1" w14:textId="77777777" w:rsidR="00CF286D" w:rsidRDefault="00CF286D" w:rsidP="05142466">
      <w:pPr>
        <w:spacing w:after="0"/>
        <w:jc w:val="both"/>
        <w:rPr>
          <w:rFonts w:ascii="Arial" w:eastAsia="Arial" w:hAnsi="Arial" w:cs="Arial"/>
          <w:sz w:val="20"/>
          <w:szCs w:val="20"/>
          <w:lang w:val="es"/>
        </w:rPr>
      </w:pPr>
    </w:p>
    <w:p w14:paraId="50C1C662" w14:textId="77777777" w:rsidR="00CF286D" w:rsidRDefault="00CF286D" w:rsidP="05142466">
      <w:pPr>
        <w:spacing w:after="0"/>
        <w:jc w:val="both"/>
        <w:rPr>
          <w:rFonts w:ascii="Arial" w:eastAsia="Arial" w:hAnsi="Arial" w:cs="Arial"/>
          <w:sz w:val="20"/>
          <w:szCs w:val="20"/>
          <w:lang w:val="es"/>
        </w:rPr>
      </w:pPr>
    </w:p>
    <w:p w14:paraId="3E0301FD" w14:textId="77777777" w:rsidR="00CF286D" w:rsidRDefault="00CF286D" w:rsidP="05142466">
      <w:pPr>
        <w:spacing w:after="0"/>
        <w:jc w:val="both"/>
        <w:rPr>
          <w:rFonts w:ascii="Arial" w:eastAsia="Arial" w:hAnsi="Arial" w:cs="Arial"/>
          <w:sz w:val="20"/>
          <w:szCs w:val="20"/>
          <w:lang w:val="es"/>
        </w:rPr>
      </w:pPr>
    </w:p>
    <w:p w14:paraId="2A693129" w14:textId="77777777" w:rsidR="00CF286D" w:rsidRDefault="00CF286D" w:rsidP="05142466">
      <w:pPr>
        <w:spacing w:after="0"/>
        <w:jc w:val="both"/>
        <w:rPr>
          <w:rFonts w:ascii="Arial" w:eastAsia="Arial" w:hAnsi="Arial" w:cs="Arial"/>
          <w:sz w:val="20"/>
          <w:szCs w:val="20"/>
          <w:lang w:val="es"/>
        </w:rPr>
      </w:pPr>
    </w:p>
    <w:p w14:paraId="43E18700" w14:textId="77777777" w:rsidR="00CF286D" w:rsidRDefault="00CF286D" w:rsidP="05142466">
      <w:pPr>
        <w:spacing w:after="0"/>
        <w:jc w:val="both"/>
        <w:rPr>
          <w:rFonts w:ascii="Arial" w:eastAsia="Arial" w:hAnsi="Arial" w:cs="Arial"/>
          <w:sz w:val="20"/>
          <w:szCs w:val="20"/>
          <w:lang w:val="es"/>
        </w:rPr>
      </w:pPr>
    </w:p>
    <w:p w14:paraId="5C39445F" w14:textId="77777777" w:rsidR="00CF286D" w:rsidRDefault="00CF286D" w:rsidP="05142466">
      <w:pPr>
        <w:spacing w:after="0"/>
        <w:jc w:val="both"/>
        <w:rPr>
          <w:rFonts w:ascii="Arial" w:eastAsia="Arial" w:hAnsi="Arial" w:cs="Arial"/>
          <w:sz w:val="20"/>
          <w:szCs w:val="20"/>
          <w:lang w:val="es"/>
        </w:rPr>
      </w:pPr>
    </w:p>
    <w:p w14:paraId="680EB175" w14:textId="77777777" w:rsidR="00CF286D" w:rsidRDefault="00CF286D" w:rsidP="05142466">
      <w:pPr>
        <w:spacing w:after="0"/>
        <w:jc w:val="both"/>
      </w:pPr>
    </w:p>
    <w:p w14:paraId="4305099A" w14:textId="6F54ABEC" w:rsidR="05142466" w:rsidRDefault="05142466" w:rsidP="05142466">
      <w:pPr>
        <w:spacing w:after="0" w:line="240" w:lineRule="auto"/>
        <w:jc w:val="right"/>
      </w:pPr>
    </w:p>
    <w:p w14:paraId="11C19278" w14:textId="0EB4A85A" w:rsidR="001918F1" w:rsidRDefault="55C8C69D" w:rsidP="461B415A">
      <w:pPr>
        <w:spacing w:after="0" w:line="240" w:lineRule="auto"/>
        <w:jc w:val="right"/>
      </w:pPr>
      <w:r>
        <w:rPr>
          <w:noProof/>
        </w:rPr>
        <w:lastRenderedPageBreak/>
        <w:drawing>
          <wp:inline distT="0" distB="0" distL="0" distR="0" wp14:anchorId="46615674" wp14:editId="7AED24F0">
            <wp:extent cx="2809875" cy="847725"/>
            <wp:effectExtent l="0" t="0" r="0" b="0"/>
            <wp:docPr id="2065873395" name="Imagen 2065873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809875" cy="847725"/>
                    </a:xfrm>
                    <a:prstGeom prst="rect">
                      <a:avLst/>
                    </a:prstGeom>
                  </pic:spPr>
                </pic:pic>
              </a:graphicData>
            </a:graphic>
          </wp:inline>
        </w:drawing>
      </w:r>
    </w:p>
    <w:p w14:paraId="28047E8C" w14:textId="61CE5CD0" w:rsidR="00B30448" w:rsidRPr="005D5A5A" w:rsidRDefault="00B30448" w:rsidP="005D5A5A">
      <w:pPr>
        <w:spacing w:after="0" w:line="240" w:lineRule="auto"/>
        <w:rPr>
          <w:rFonts w:ascii="Verdana" w:eastAsia="Geomanist Light" w:hAnsi="Verdana" w:cs="Arial"/>
          <w:lang w:val="es-MX"/>
        </w:rPr>
      </w:pPr>
      <w:r w:rsidRPr="005D5A5A">
        <w:rPr>
          <w:rFonts w:ascii="Verdana" w:eastAsia="Geomanist Light" w:hAnsi="Verdana" w:cs="Arial"/>
          <w:lang w:val="es-MX"/>
        </w:rPr>
        <w:t>Bogotá D.C., </w:t>
      </w:r>
      <w:r w:rsidR="00CC7465">
        <w:rPr>
          <w:rFonts w:ascii="Verdana" w:eastAsia="Geomanist Light" w:hAnsi="Verdana" w:cs="Arial"/>
          <w:lang w:val="es-MX"/>
        </w:rPr>
        <w:t>18</w:t>
      </w:r>
      <w:r w:rsidR="00FE0EEA">
        <w:rPr>
          <w:rFonts w:ascii="Verdana" w:eastAsia="Geomanist Light" w:hAnsi="Verdana" w:cs="Arial"/>
          <w:lang w:val="es-MX"/>
        </w:rPr>
        <w:t xml:space="preserve"> de julio de 2024.</w:t>
      </w:r>
    </w:p>
    <w:p w14:paraId="1715E5B1" w14:textId="0ED43AD0" w:rsidR="00B30448" w:rsidRPr="005D5A5A" w:rsidRDefault="00B30448" w:rsidP="005D5A5A">
      <w:pPr>
        <w:spacing w:after="0" w:line="240" w:lineRule="auto"/>
        <w:jc w:val="both"/>
        <w:rPr>
          <w:rFonts w:ascii="Verdana" w:eastAsia="Calibri" w:hAnsi="Verdana" w:cs="Arial"/>
          <w:lang w:val="es-ES"/>
        </w:rPr>
      </w:pPr>
    </w:p>
    <w:p w14:paraId="0C58F22E"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MX" w:eastAsia="es-ES"/>
        </w:rPr>
        <w:t>Señor</w:t>
      </w:r>
      <w:r w:rsidRPr="00CC7465">
        <w:rPr>
          <w:rFonts w:ascii="Verdana" w:eastAsia="Calibri" w:hAnsi="Verdana" w:cs="Arial"/>
          <w:lang w:val="es-419" w:eastAsia="es-ES"/>
        </w:rPr>
        <w:t> </w:t>
      </w:r>
    </w:p>
    <w:p w14:paraId="4B4F7A65"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MX" w:eastAsia="es-ES"/>
        </w:rPr>
        <w:t>ANDRES FELIPE CHAVARRO GUTIERREZ</w:t>
      </w:r>
      <w:r w:rsidRPr="00CC7465">
        <w:rPr>
          <w:rFonts w:ascii="Verdana" w:eastAsia="Calibri" w:hAnsi="Verdana" w:cs="Arial"/>
          <w:lang w:val="es-419" w:eastAsia="es-ES"/>
        </w:rPr>
        <w:t> </w:t>
      </w:r>
    </w:p>
    <w:p w14:paraId="43174A8F"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MX" w:eastAsia="es-ES"/>
        </w:rPr>
        <w:t>oficina de infraestructura</w:t>
      </w:r>
      <w:r w:rsidRPr="00CC7465">
        <w:rPr>
          <w:rFonts w:ascii="Verdana" w:eastAsia="Calibri" w:hAnsi="Verdana" w:cs="Arial"/>
          <w:lang w:val="es-419" w:eastAsia="es-ES"/>
        </w:rPr>
        <w:t> </w:t>
      </w:r>
    </w:p>
    <w:p w14:paraId="6F942FEE"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MX" w:eastAsia="es-ES"/>
        </w:rPr>
        <w:t>Alcaldía Local de Barrios Unidos </w:t>
      </w:r>
      <w:r w:rsidRPr="00CC7465">
        <w:rPr>
          <w:rFonts w:ascii="Verdana" w:eastAsia="Calibri" w:hAnsi="Verdana" w:cs="Arial"/>
          <w:lang w:val="es-419" w:eastAsia="es-ES"/>
        </w:rPr>
        <w:t> </w:t>
      </w:r>
    </w:p>
    <w:p w14:paraId="22FFB174"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hyperlink r:id="rId12" w:tgtFrame="_blank" w:history="1">
        <w:r w:rsidRPr="00CC7465">
          <w:rPr>
            <w:rStyle w:val="Hipervnculo"/>
            <w:rFonts w:ascii="Verdana" w:eastAsia="Calibri" w:hAnsi="Verdana" w:cs="Arial"/>
            <w:lang w:val="es-419" w:eastAsia="es-ES"/>
          </w:rPr>
          <w:t>andres.chavarro@gobiernobogota.gov.co</w:t>
        </w:r>
      </w:hyperlink>
      <w:r w:rsidRPr="00CC7465">
        <w:rPr>
          <w:rFonts w:ascii="Verdana" w:eastAsia="Calibri" w:hAnsi="Verdana" w:cs="Arial"/>
          <w:lang w:val="es-419" w:eastAsia="es-ES"/>
        </w:rPr>
        <w:t>  </w:t>
      </w:r>
    </w:p>
    <w:p w14:paraId="46476982"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n-US" w:eastAsia="es-ES"/>
        </w:rPr>
        <w:t>Ciudad</w:t>
      </w:r>
      <w:r w:rsidRPr="00CC7465">
        <w:rPr>
          <w:rFonts w:ascii="Verdana" w:eastAsia="Calibri" w:hAnsi="Verdana" w:cs="Arial"/>
          <w:lang w:val="es-419" w:eastAsia="es-ES"/>
        </w:rPr>
        <w:t> </w:t>
      </w:r>
    </w:p>
    <w:p w14:paraId="3CA78D2C"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419" w:eastAsia="es-ES"/>
        </w:rPr>
        <w:t> </w:t>
      </w:r>
    </w:p>
    <w:p w14:paraId="137C9019" w14:textId="626AA90E" w:rsidR="00CC7465" w:rsidRPr="00CC7465" w:rsidRDefault="401C3D6A" w:rsidP="2889D0F5">
      <w:pPr>
        <w:tabs>
          <w:tab w:val="left" w:pos="426"/>
        </w:tabs>
        <w:spacing w:after="0" w:line="276" w:lineRule="auto"/>
        <w:ind w:left="2124" w:firstLine="708"/>
        <w:jc w:val="both"/>
        <w:rPr>
          <w:rFonts w:ascii="Verdana" w:eastAsia="Calibri" w:hAnsi="Verdana" w:cs="Arial"/>
          <w:lang w:val="es-419" w:eastAsia="es-ES"/>
        </w:rPr>
      </w:pPr>
      <w:r w:rsidRPr="2889D0F5">
        <w:rPr>
          <w:rFonts w:ascii="Verdana" w:eastAsia="Calibri" w:hAnsi="Verdana" w:cs="Arial"/>
          <w:lang w:val="es-419" w:eastAsia="es-ES"/>
        </w:rPr>
        <w:t>C-154</w:t>
      </w:r>
    </w:p>
    <w:p w14:paraId="02DFAEE0" w14:textId="7632E935" w:rsidR="00CC7465" w:rsidRPr="00CC7465" w:rsidRDefault="00CC7465" w:rsidP="2889D0F5">
      <w:pPr>
        <w:tabs>
          <w:tab w:val="left" w:pos="426"/>
        </w:tabs>
        <w:spacing w:after="0" w:line="276" w:lineRule="auto"/>
        <w:ind w:left="2124" w:firstLine="708"/>
        <w:jc w:val="both"/>
        <w:rPr>
          <w:rFonts w:ascii="Verdana" w:eastAsia="Calibri" w:hAnsi="Verdana" w:cs="Arial"/>
          <w:lang w:val="es-419" w:eastAsia="es-ES"/>
        </w:rPr>
      </w:pPr>
      <w:r w:rsidRPr="2889D0F5">
        <w:rPr>
          <w:rFonts w:ascii="Verdana" w:eastAsia="Calibri" w:hAnsi="Verdana" w:cs="Arial"/>
          <w:lang w:val="es-419" w:eastAsia="es-E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09"/>
        <w:gridCol w:w="6229"/>
      </w:tblGrid>
      <w:tr w:rsidR="00CC7465" w:rsidRPr="00CC7465" w14:paraId="04026BAD" w14:textId="77777777" w:rsidTr="00CC7465">
        <w:trPr>
          <w:trHeight w:val="855"/>
        </w:trPr>
        <w:tc>
          <w:tcPr>
            <w:tcW w:w="2670" w:type="dxa"/>
            <w:tcBorders>
              <w:top w:val="nil"/>
              <w:left w:val="nil"/>
              <w:bottom w:val="nil"/>
              <w:right w:val="nil"/>
            </w:tcBorders>
            <w:hideMark/>
          </w:tcPr>
          <w:p w14:paraId="5A446B57"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b/>
                <w:bCs/>
                <w:lang w:val="es-MX" w:eastAsia="es-ES"/>
              </w:rPr>
              <w:t>Temas:                   </w:t>
            </w:r>
            <w:r w:rsidRPr="00CC7465">
              <w:rPr>
                <w:rFonts w:ascii="Verdana" w:eastAsia="Calibri" w:hAnsi="Verdana" w:cs="Arial"/>
                <w:b/>
                <w:bCs/>
                <w:lang w:val="es-419" w:eastAsia="es-ES"/>
              </w:rPr>
              <w:t> </w:t>
            </w:r>
            <w:r w:rsidRPr="00CC7465">
              <w:rPr>
                <w:rFonts w:ascii="Verdana" w:eastAsia="Calibri" w:hAnsi="Verdana" w:cs="Arial"/>
                <w:lang w:val="es-419" w:eastAsia="es-ES"/>
              </w:rPr>
              <w:t> </w:t>
            </w:r>
          </w:p>
        </w:tc>
        <w:tc>
          <w:tcPr>
            <w:tcW w:w="6720" w:type="dxa"/>
            <w:tcBorders>
              <w:top w:val="nil"/>
              <w:left w:val="nil"/>
              <w:bottom w:val="nil"/>
              <w:right w:val="nil"/>
            </w:tcBorders>
            <w:hideMark/>
          </w:tcPr>
          <w:p w14:paraId="0DD6C9A5"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MX" w:eastAsia="es-ES"/>
              </w:rPr>
              <w:t>DOCUMENTOS TIPO – Resolución 275 de 2022 / DOCUMENTOS TIPO DE INFRAESTRUCTURA SECTOR SOCIAL – Resolución 219 de 2021 – Documentos Tipo – Formato 12 - factor de sostenibilidad técnico ambiental agregado.</w:t>
            </w:r>
            <w:r w:rsidRPr="00CC7465">
              <w:rPr>
                <w:rFonts w:ascii="Verdana" w:eastAsia="Calibri" w:hAnsi="Verdana" w:cs="Arial"/>
                <w:lang w:val="es-419" w:eastAsia="es-ES"/>
              </w:rPr>
              <w:t>  </w:t>
            </w:r>
          </w:p>
        </w:tc>
      </w:tr>
      <w:tr w:rsidR="00CC7465" w:rsidRPr="00CC7465" w14:paraId="49B63A52" w14:textId="77777777" w:rsidTr="00CC7465">
        <w:trPr>
          <w:trHeight w:val="300"/>
        </w:trPr>
        <w:tc>
          <w:tcPr>
            <w:tcW w:w="2670" w:type="dxa"/>
            <w:tcBorders>
              <w:top w:val="nil"/>
              <w:left w:val="nil"/>
              <w:bottom w:val="nil"/>
              <w:right w:val="nil"/>
            </w:tcBorders>
            <w:hideMark/>
          </w:tcPr>
          <w:p w14:paraId="6BE9902E"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419" w:eastAsia="es-ES"/>
              </w:rPr>
              <w:t> </w:t>
            </w:r>
          </w:p>
          <w:p w14:paraId="7A4D27B9"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b/>
                <w:bCs/>
                <w:lang w:val="es-MX" w:eastAsia="es-ES"/>
              </w:rPr>
              <w:t>Radicación:               </w:t>
            </w:r>
            <w:r w:rsidRPr="00CC7465">
              <w:rPr>
                <w:rFonts w:ascii="Verdana" w:eastAsia="Calibri" w:hAnsi="Verdana" w:cs="Arial"/>
                <w:b/>
                <w:bCs/>
                <w:lang w:val="es-419" w:eastAsia="es-ES"/>
              </w:rPr>
              <w:t> </w:t>
            </w:r>
            <w:r w:rsidRPr="00CC7465">
              <w:rPr>
                <w:rFonts w:ascii="Verdana" w:eastAsia="Calibri" w:hAnsi="Verdana" w:cs="Arial"/>
                <w:lang w:val="es-419" w:eastAsia="es-ES"/>
              </w:rPr>
              <w:t> </w:t>
            </w:r>
          </w:p>
        </w:tc>
        <w:tc>
          <w:tcPr>
            <w:tcW w:w="6720" w:type="dxa"/>
            <w:tcBorders>
              <w:top w:val="nil"/>
              <w:left w:val="nil"/>
              <w:bottom w:val="nil"/>
              <w:right w:val="nil"/>
            </w:tcBorders>
            <w:hideMark/>
          </w:tcPr>
          <w:p w14:paraId="7CF9DD83"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419" w:eastAsia="es-ES"/>
              </w:rPr>
              <w:t> </w:t>
            </w:r>
          </w:p>
          <w:p w14:paraId="18B3EDCB"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MX" w:eastAsia="es-ES"/>
              </w:rPr>
              <w:t>Respuesta a consulta con radicado No. P20240605005825</w:t>
            </w:r>
            <w:r w:rsidRPr="00CC7465">
              <w:rPr>
                <w:rFonts w:ascii="Verdana" w:eastAsia="Calibri" w:hAnsi="Verdana" w:cs="Arial"/>
                <w:lang w:val="es-419" w:eastAsia="es-ES"/>
              </w:rPr>
              <w:t>  </w:t>
            </w:r>
          </w:p>
        </w:tc>
      </w:tr>
    </w:tbl>
    <w:p w14:paraId="6EE830C1"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419" w:eastAsia="es-ES"/>
        </w:rPr>
        <w:t> </w:t>
      </w:r>
    </w:p>
    <w:p w14:paraId="5CA35B91"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MX" w:eastAsia="es-ES"/>
        </w:rPr>
        <w:t>Respetado señor Chavarro. </w:t>
      </w:r>
      <w:r w:rsidRPr="00CC7465">
        <w:rPr>
          <w:rFonts w:ascii="Verdana" w:eastAsia="Calibri" w:hAnsi="Verdana" w:cs="Arial"/>
          <w:lang w:val="es-419" w:eastAsia="es-ES"/>
        </w:rPr>
        <w:t> </w:t>
      </w:r>
    </w:p>
    <w:p w14:paraId="01FCA278"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419" w:eastAsia="es-ES"/>
        </w:rPr>
        <w:t> </w:t>
      </w:r>
    </w:p>
    <w:p w14:paraId="53F1926F" w14:textId="381EBA6A"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eastAsia="es-ES"/>
        </w:rPr>
        <w:t>En ejercicio de la competencia otorgada por los artículos 3, numeral 5º, y 11, numeral 8º, del Decreto Ley 4170 de 2011, la Agencia Nacional de Contratación Pública – Colombia Compra Eficiente– responde su solicitud del 05 de junio de 2024, relacionado con los Documentos Tipo del sector Social. En dicha petición usted manifiesta lo siguiente:</w:t>
      </w:r>
      <w:r w:rsidRPr="00CC7465">
        <w:rPr>
          <w:rFonts w:ascii="Verdana" w:eastAsia="Calibri" w:hAnsi="Verdana" w:cs="Arial"/>
          <w:lang w:val="es-419" w:eastAsia="es-ES"/>
        </w:rPr>
        <w:t> </w:t>
      </w:r>
    </w:p>
    <w:p w14:paraId="758B990B"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419" w:eastAsia="es-ES"/>
        </w:rPr>
        <w:t> </w:t>
      </w:r>
    </w:p>
    <w:p w14:paraId="1E869AAC" w14:textId="77777777" w:rsidR="00CC7465" w:rsidRPr="00CC7465" w:rsidRDefault="00CC7465" w:rsidP="00CC7465">
      <w:pPr>
        <w:tabs>
          <w:tab w:val="left" w:pos="426"/>
        </w:tabs>
        <w:spacing w:after="0" w:line="276" w:lineRule="auto"/>
        <w:ind w:left="426"/>
        <w:jc w:val="both"/>
        <w:rPr>
          <w:rFonts w:ascii="Verdana" w:eastAsia="Calibri" w:hAnsi="Verdana" w:cs="Arial"/>
          <w:lang w:val="es-419" w:eastAsia="es-ES"/>
        </w:rPr>
      </w:pPr>
      <w:r w:rsidRPr="00CC7465">
        <w:rPr>
          <w:rFonts w:ascii="Verdana" w:eastAsia="Calibri" w:hAnsi="Verdana" w:cs="Arial"/>
          <w:i/>
          <w:iCs/>
          <w:lang w:eastAsia="es-ES"/>
        </w:rPr>
        <w:t xml:space="preserve">“(…) El documento de pliego tipo de infraestructura social, específicamente en el ítem de 4.3.2 INSTALACIÓN DE CICLO-PARQUEADEROS. La razón de esta consulta es que por parte de nosotros deseamos saber cuál es el alcance de este, es decir, si este ítem implica solamente la instalación </w:t>
      </w:r>
      <w:proofErr w:type="gramStart"/>
      <w:r w:rsidRPr="00CC7465">
        <w:rPr>
          <w:rFonts w:ascii="Verdana" w:eastAsia="Calibri" w:hAnsi="Verdana" w:cs="Arial"/>
          <w:i/>
          <w:iCs/>
          <w:lang w:eastAsia="es-ES"/>
        </w:rPr>
        <w:t>de los ciclo</w:t>
      </w:r>
      <w:proofErr w:type="gramEnd"/>
      <w:r w:rsidRPr="00CC7465">
        <w:rPr>
          <w:rFonts w:ascii="Verdana" w:eastAsia="Calibri" w:hAnsi="Verdana" w:cs="Arial"/>
          <w:i/>
          <w:iCs/>
          <w:lang w:eastAsia="es-ES"/>
        </w:rPr>
        <w:t xml:space="preserve"> parqueaderos o si también incluye el suministro (…)”</w:t>
      </w:r>
      <w:r w:rsidRPr="00CC7465">
        <w:rPr>
          <w:rFonts w:ascii="Verdana" w:eastAsia="Calibri" w:hAnsi="Verdana" w:cs="Arial"/>
          <w:lang w:val="es-419" w:eastAsia="es-ES"/>
        </w:rPr>
        <w:t> </w:t>
      </w:r>
    </w:p>
    <w:p w14:paraId="2CE879D3" w14:textId="77777777" w:rsidR="00CC7465" w:rsidRPr="00CC7465" w:rsidRDefault="00CC7465" w:rsidP="00CC7465">
      <w:pPr>
        <w:tabs>
          <w:tab w:val="left" w:pos="426"/>
        </w:tabs>
        <w:spacing w:after="0" w:line="276" w:lineRule="auto"/>
        <w:jc w:val="both"/>
        <w:rPr>
          <w:rFonts w:ascii="Verdana" w:eastAsia="Calibri" w:hAnsi="Verdana" w:cs="Arial"/>
          <w:lang w:val="es-419" w:eastAsia="es-ES"/>
        </w:rPr>
      </w:pPr>
      <w:r w:rsidRPr="00CC7465">
        <w:rPr>
          <w:rFonts w:ascii="Verdana" w:eastAsia="Calibri" w:hAnsi="Verdana" w:cs="Arial"/>
          <w:lang w:val="es-419" w:eastAsia="es-ES"/>
        </w:rPr>
        <w:lastRenderedPageBreak/>
        <w:t> </w:t>
      </w:r>
    </w:p>
    <w:p w14:paraId="135BF4FE" w14:textId="09FBE86B" w:rsidR="00CC7465" w:rsidRDefault="00CC7465" w:rsidP="00CC7465">
      <w:pPr>
        <w:tabs>
          <w:tab w:val="left" w:pos="426"/>
        </w:tabs>
        <w:spacing w:after="0" w:line="276" w:lineRule="auto"/>
        <w:jc w:val="both"/>
        <w:rPr>
          <w:rFonts w:ascii="Verdana" w:eastAsia="Calibri" w:hAnsi="Verdana" w:cs="Arial"/>
          <w:lang w:eastAsia="es-ES"/>
        </w:rPr>
      </w:pPr>
      <w:r w:rsidRPr="00CC7465">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1B74E1C" w14:textId="77777777" w:rsidR="00CC7465" w:rsidRDefault="00CC7465" w:rsidP="00CC7465">
      <w:pPr>
        <w:tabs>
          <w:tab w:val="left" w:pos="426"/>
        </w:tabs>
        <w:spacing w:after="0" w:line="276" w:lineRule="auto"/>
        <w:jc w:val="both"/>
        <w:rPr>
          <w:rFonts w:ascii="Verdana" w:eastAsia="Calibri" w:hAnsi="Verdana" w:cs="Arial"/>
          <w:lang w:eastAsia="es-ES"/>
        </w:rPr>
      </w:pPr>
      <w:r>
        <w:rPr>
          <w:rFonts w:ascii="Verdana" w:eastAsia="Calibri" w:hAnsi="Verdana" w:cs="Arial"/>
          <w:lang w:eastAsia="es-ES"/>
        </w:rPr>
        <w:tab/>
      </w:r>
      <w:r w:rsidRPr="00CC7465">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5BD6440" w14:textId="77777777" w:rsidR="00CC7465" w:rsidRDefault="00CC7465" w:rsidP="00CC7465">
      <w:pPr>
        <w:tabs>
          <w:tab w:val="left" w:pos="426"/>
        </w:tabs>
        <w:spacing w:after="0" w:line="276" w:lineRule="auto"/>
        <w:jc w:val="both"/>
        <w:rPr>
          <w:rFonts w:ascii="Verdana" w:eastAsia="Calibri" w:hAnsi="Verdana" w:cs="Arial"/>
          <w:lang w:eastAsia="es-ES"/>
        </w:rPr>
      </w:pPr>
    </w:p>
    <w:p w14:paraId="4C8DC51A" w14:textId="75CF5D18" w:rsidR="00CC7465" w:rsidRDefault="00CC7465" w:rsidP="00056C43">
      <w:pPr>
        <w:pStyle w:val="Prrafodelista"/>
        <w:numPr>
          <w:ilvl w:val="0"/>
          <w:numId w:val="11"/>
        </w:numPr>
        <w:jc w:val="both"/>
        <w:rPr>
          <w:rFonts w:ascii="Verdana" w:hAnsi="Verdana"/>
          <w:b/>
          <w:bCs/>
        </w:rPr>
      </w:pPr>
      <w:r w:rsidRPr="00056C43">
        <w:rPr>
          <w:rFonts w:ascii="Verdana" w:hAnsi="Verdana"/>
          <w:b/>
          <w:bCs/>
        </w:rPr>
        <w:t xml:space="preserve">Problema planteado: </w:t>
      </w:r>
    </w:p>
    <w:p w14:paraId="6C141A5F" w14:textId="77777777" w:rsidR="00056C43" w:rsidRPr="00056C43" w:rsidRDefault="00056C43" w:rsidP="00056C43">
      <w:pPr>
        <w:pStyle w:val="Prrafodelista"/>
        <w:ind w:left="1080"/>
        <w:jc w:val="both"/>
        <w:rPr>
          <w:rFonts w:ascii="Verdana" w:hAnsi="Verdana"/>
          <w:b/>
          <w:bCs/>
        </w:rPr>
      </w:pPr>
    </w:p>
    <w:p w14:paraId="2B3E3452" w14:textId="3DBBB488" w:rsidR="00CC7465" w:rsidRPr="00CC7465" w:rsidRDefault="00CC7465" w:rsidP="00CC7465">
      <w:pPr>
        <w:tabs>
          <w:tab w:val="left" w:pos="426"/>
        </w:tabs>
        <w:spacing w:line="276" w:lineRule="auto"/>
        <w:jc w:val="both"/>
        <w:rPr>
          <w:rFonts w:ascii="Verdana" w:eastAsia="Calibri" w:hAnsi="Verdana" w:cs="Arial"/>
          <w:lang w:eastAsia="es-ES"/>
        </w:rPr>
      </w:pPr>
      <w:r>
        <w:rPr>
          <w:rFonts w:ascii="Verdana" w:eastAsia="Calibri" w:hAnsi="Verdana" w:cs="Arial"/>
          <w:lang w:eastAsia="es-ES"/>
        </w:rPr>
        <w:tab/>
      </w:r>
      <w:r w:rsidRPr="00CC7465">
        <w:rPr>
          <w:rFonts w:ascii="Verdana" w:eastAsia="Calibri" w:hAnsi="Verdana" w:cs="Arial"/>
          <w:lang w:eastAsia="es-ES"/>
        </w:rPr>
        <w:t xml:space="preserve">De acuerdo con el contenido de su solicitud, esta Agencia resolverá la siguiente consulta: El documento de pliego tipo de infraestructura social, específicamente en el ítem de 4.3.2 INSTALACIÓN DE CICLO-PARQUEADEROS. La razón de esta consulta es que por parte de nosotros deseamos saber cuál es el alcance de este, es decir, si este ítem implica solamente la instalación </w:t>
      </w:r>
      <w:proofErr w:type="gramStart"/>
      <w:r w:rsidRPr="00CC7465">
        <w:rPr>
          <w:rFonts w:ascii="Verdana" w:eastAsia="Calibri" w:hAnsi="Verdana" w:cs="Arial"/>
          <w:lang w:eastAsia="es-ES"/>
        </w:rPr>
        <w:t>de los ciclo</w:t>
      </w:r>
      <w:proofErr w:type="gramEnd"/>
      <w:r w:rsidRPr="00CC7465">
        <w:rPr>
          <w:rFonts w:ascii="Verdana" w:eastAsia="Calibri" w:hAnsi="Verdana" w:cs="Arial"/>
          <w:lang w:eastAsia="es-ES"/>
        </w:rPr>
        <w:t xml:space="preserve"> parqueaderos o si también incluye el suministro” </w:t>
      </w:r>
    </w:p>
    <w:p w14:paraId="5063761C" w14:textId="77777777" w:rsidR="00CC7465" w:rsidRDefault="00CC7465" w:rsidP="00CC7465">
      <w:pPr>
        <w:spacing w:after="0" w:line="240" w:lineRule="auto"/>
        <w:jc w:val="both"/>
        <w:rPr>
          <w:rFonts w:ascii="Verdana" w:hAnsi="Verdana"/>
        </w:rPr>
      </w:pPr>
    </w:p>
    <w:p w14:paraId="12B6DF60" w14:textId="77777777" w:rsidR="00CC7465" w:rsidRPr="00EF1097" w:rsidRDefault="00CC7465" w:rsidP="00056C43">
      <w:pPr>
        <w:pStyle w:val="Prrafodelista"/>
        <w:numPr>
          <w:ilvl w:val="0"/>
          <w:numId w:val="11"/>
        </w:numPr>
        <w:jc w:val="both"/>
        <w:rPr>
          <w:rFonts w:ascii="Verdana" w:hAnsi="Verdana"/>
          <w:b/>
          <w:bCs/>
        </w:rPr>
      </w:pPr>
      <w:r>
        <w:rPr>
          <w:rFonts w:ascii="Verdana" w:hAnsi="Verdana"/>
          <w:b/>
          <w:bCs/>
        </w:rPr>
        <w:t>Respuesta:</w:t>
      </w:r>
    </w:p>
    <w:p w14:paraId="0CA426C4" w14:textId="77777777" w:rsidR="00CC7465" w:rsidRPr="000271A9" w:rsidRDefault="00CC7465" w:rsidP="00CC7465">
      <w:pPr>
        <w:spacing w:after="0" w:line="240" w:lineRule="auto"/>
        <w:jc w:val="both"/>
        <w:rPr>
          <w:rFonts w:ascii="Verdana" w:hAnsi="Verdana"/>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C7465" w:rsidRPr="000271A9" w14:paraId="2FB6FDAF" w14:textId="77777777" w:rsidTr="00E97223">
        <w:tc>
          <w:tcPr>
            <w:tcW w:w="8828" w:type="dxa"/>
            <w:tcBorders>
              <w:top w:val="dotted" w:sz="4" w:space="0" w:color="auto"/>
              <w:left w:val="dotted" w:sz="4" w:space="0" w:color="auto"/>
              <w:bottom w:val="dotted" w:sz="4" w:space="0" w:color="auto"/>
              <w:right w:val="dotted" w:sz="4" w:space="0" w:color="auto"/>
            </w:tcBorders>
            <w:hideMark/>
          </w:tcPr>
          <w:p w14:paraId="12DC62D7" w14:textId="77777777" w:rsidR="005F58A6" w:rsidRDefault="00CC7465" w:rsidP="00E97223">
            <w:pPr>
              <w:jc w:val="both"/>
              <w:rPr>
                <w:rFonts w:ascii="Verdana" w:hAnsi="Verdana"/>
              </w:rPr>
            </w:pPr>
            <w:r w:rsidRPr="00CC7465">
              <w:rPr>
                <w:rFonts w:ascii="Verdana" w:hAnsi="Verdana"/>
              </w:rPr>
              <w:t xml:space="preserve">El numeral 4.3.2. INSTALACIÓN DE CICLO-PARQUEADEROS, del documento base del sector social, que determina que: </w:t>
            </w:r>
          </w:p>
          <w:p w14:paraId="487FA25E" w14:textId="77777777" w:rsidR="005F58A6" w:rsidRDefault="005F58A6" w:rsidP="00E97223">
            <w:pPr>
              <w:jc w:val="both"/>
              <w:rPr>
                <w:rFonts w:ascii="Verdana" w:hAnsi="Verdana"/>
              </w:rPr>
            </w:pPr>
          </w:p>
          <w:p w14:paraId="785CBF8B" w14:textId="77777777" w:rsidR="005F58A6" w:rsidRDefault="00CC7465" w:rsidP="005F58A6">
            <w:pPr>
              <w:ind w:left="708"/>
              <w:jc w:val="both"/>
              <w:rPr>
                <w:rFonts w:ascii="Verdana" w:hAnsi="Verdana"/>
              </w:rPr>
            </w:pPr>
            <w:r w:rsidRPr="00CC7465">
              <w:rPr>
                <w:rFonts w:ascii="Verdana" w:hAnsi="Verdana"/>
              </w:rPr>
              <w:t xml:space="preserve">[La Entidad deberá tener la certeza plena que cuenta con un espacio disponible en el predio en el cual se desarrollará la obra pública para establecer el presente factor de ponderación y las condiciones físicas y </w:t>
            </w:r>
            <w:r w:rsidRPr="00CC7465">
              <w:rPr>
                <w:rFonts w:ascii="Verdana" w:hAnsi="Verdana"/>
              </w:rPr>
              <w:lastRenderedPageBreak/>
              <w:t xml:space="preserve">reales del predio que hagan viable técnicamente la instalación de ciclo-parqueaderos.] </w:t>
            </w:r>
          </w:p>
          <w:p w14:paraId="777C573C" w14:textId="77777777" w:rsidR="005F58A6" w:rsidRDefault="005F58A6" w:rsidP="005F58A6">
            <w:pPr>
              <w:ind w:left="708"/>
              <w:jc w:val="both"/>
              <w:rPr>
                <w:rFonts w:ascii="Verdana" w:hAnsi="Verdana"/>
              </w:rPr>
            </w:pPr>
          </w:p>
          <w:p w14:paraId="3C0F415F" w14:textId="77777777" w:rsidR="005F58A6" w:rsidRDefault="00CC7465" w:rsidP="005F58A6">
            <w:pPr>
              <w:ind w:left="708"/>
              <w:jc w:val="both"/>
              <w:rPr>
                <w:rFonts w:ascii="Verdana" w:hAnsi="Verdana"/>
              </w:rPr>
            </w:pPr>
            <w:r w:rsidRPr="00CC7465">
              <w:rPr>
                <w:rFonts w:ascii="Verdana" w:hAnsi="Verdana"/>
              </w:rPr>
              <w:t xml:space="preserve">El Proponente que se comprometa a través del Formato 12 a instalar por cuenta propia una (1) estación de ciclo-parqueaderos empleando materiales reciclados, el cual puede ser de forma horizontal o vertical, según la disponibilidad de espacio que cuente el predio en el cual será adelantado el proyecto de infraestructura social, será acreedor de [la Entidad establecerá el puntaje respectivo para este factor siempre y cuando no sea mayor a nueve (9) puntos]. </w:t>
            </w:r>
          </w:p>
          <w:p w14:paraId="60CAF0C8" w14:textId="77777777" w:rsidR="005F58A6" w:rsidRDefault="005F58A6" w:rsidP="005F58A6">
            <w:pPr>
              <w:ind w:left="708"/>
              <w:jc w:val="both"/>
              <w:rPr>
                <w:rFonts w:ascii="Verdana" w:hAnsi="Verdana"/>
              </w:rPr>
            </w:pPr>
          </w:p>
          <w:p w14:paraId="617F3E53" w14:textId="304BA378" w:rsidR="00CC7465" w:rsidRDefault="00CC7465" w:rsidP="005F58A6">
            <w:pPr>
              <w:ind w:left="708"/>
              <w:jc w:val="both"/>
              <w:rPr>
                <w:rFonts w:ascii="Verdana" w:hAnsi="Verdana"/>
              </w:rPr>
            </w:pPr>
            <w:r w:rsidRPr="00CC7465">
              <w:rPr>
                <w:rFonts w:ascii="Verdana" w:hAnsi="Verdana"/>
              </w:rPr>
              <w:t>Para el ofrecimiento realizado, la Entidad, de acuerdo con el área del predio y disponibilidad de un espacio para la ubicación de bicicletas, definirá la cantidad de bicicletas que se podrán ubicar en los ciclo-parqueaderos teniendo en cuenta la siguiente tabla:</w:t>
            </w:r>
          </w:p>
          <w:p w14:paraId="76EE3206" w14:textId="77777777" w:rsidR="00CC7465" w:rsidRDefault="00CC7465" w:rsidP="00E97223">
            <w:pPr>
              <w:jc w:val="both"/>
              <w:rPr>
                <w:rFonts w:ascii="Verdana" w:hAnsi="Verdana"/>
              </w:rPr>
            </w:pPr>
          </w:p>
          <w:tbl>
            <w:tblPr>
              <w:tblStyle w:val="Tablaconcuadrcula"/>
              <w:tblW w:w="0" w:type="auto"/>
              <w:tblLook w:val="04A0" w:firstRow="1" w:lastRow="0" w:firstColumn="1" w:lastColumn="0" w:noHBand="0" w:noVBand="1"/>
            </w:tblPr>
            <w:tblGrid>
              <w:gridCol w:w="1590"/>
              <w:gridCol w:w="2268"/>
              <w:gridCol w:w="4744"/>
            </w:tblGrid>
            <w:tr w:rsidR="005F58A6" w14:paraId="1EAF4E70" w14:textId="77777777" w:rsidTr="005F58A6">
              <w:tc>
                <w:tcPr>
                  <w:tcW w:w="1590" w:type="dxa"/>
                  <w:shd w:val="clear" w:color="auto" w:fill="000000" w:themeFill="text1"/>
                </w:tcPr>
                <w:p w14:paraId="4E4F67BC" w14:textId="499C6DE8" w:rsidR="005F58A6" w:rsidRPr="005F58A6" w:rsidRDefault="005F58A6" w:rsidP="00E97223">
                  <w:pPr>
                    <w:jc w:val="both"/>
                    <w:rPr>
                      <w:rFonts w:ascii="Verdana" w:hAnsi="Verdana"/>
                      <w:sz w:val="16"/>
                      <w:szCs w:val="16"/>
                    </w:rPr>
                  </w:pPr>
                  <w:r w:rsidRPr="005F58A6">
                    <w:rPr>
                      <w:rFonts w:ascii="Verdana" w:hAnsi="Verdana"/>
                      <w:sz w:val="16"/>
                      <w:szCs w:val="16"/>
                    </w:rPr>
                    <w:t xml:space="preserve">Alternativa </w:t>
                  </w:r>
                </w:p>
              </w:tc>
              <w:tc>
                <w:tcPr>
                  <w:tcW w:w="2268" w:type="dxa"/>
                  <w:shd w:val="clear" w:color="auto" w:fill="000000" w:themeFill="text1"/>
                </w:tcPr>
                <w:p w14:paraId="574B794D" w14:textId="1BCE0390" w:rsidR="005F58A6" w:rsidRPr="005F58A6" w:rsidRDefault="005F58A6" w:rsidP="00E97223">
                  <w:pPr>
                    <w:jc w:val="both"/>
                    <w:rPr>
                      <w:rFonts w:ascii="Verdana" w:hAnsi="Verdana"/>
                      <w:sz w:val="16"/>
                      <w:szCs w:val="16"/>
                    </w:rPr>
                  </w:pPr>
                  <w:r w:rsidRPr="005F58A6">
                    <w:rPr>
                      <w:rFonts w:ascii="Verdana" w:hAnsi="Verdana"/>
                      <w:sz w:val="16"/>
                      <w:szCs w:val="16"/>
                    </w:rPr>
                    <w:t>M2 del predio</w:t>
                  </w:r>
                </w:p>
              </w:tc>
              <w:tc>
                <w:tcPr>
                  <w:tcW w:w="4744" w:type="dxa"/>
                  <w:shd w:val="clear" w:color="auto" w:fill="000000" w:themeFill="text1"/>
                </w:tcPr>
                <w:p w14:paraId="05796F4B" w14:textId="7757B748" w:rsidR="005F58A6" w:rsidRPr="005F58A6" w:rsidRDefault="005F58A6" w:rsidP="00E97223">
                  <w:pPr>
                    <w:jc w:val="both"/>
                    <w:rPr>
                      <w:rFonts w:ascii="Verdana" w:hAnsi="Verdana"/>
                      <w:sz w:val="16"/>
                      <w:szCs w:val="16"/>
                    </w:rPr>
                  </w:pPr>
                  <w:r w:rsidRPr="005F58A6">
                    <w:rPr>
                      <w:rFonts w:ascii="Verdana" w:hAnsi="Verdana"/>
                      <w:sz w:val="16"/>
                      <w:szCs w:val="16"/>
                    </w:rPr>
                    <w:t>Cantidad de bicicletas que se permitirá ubicar en el ciclo parqueaderos</w:t>
                  </w:r>
                </w:p>
              </w:tc>
            </w:tr>
            <w:tr w:rsidR="005F58A6" w14:paraId="11225581" w14:textId="77777777" w:rsidTr="005F58A6">
              <w:tc>
                <w:tcPr>
                  <w:tcW w:w="1590" w:type="dxa"/>
                </w:tcPr>
                <w:p w14:paraId="4660EF63" w14:textId="50855F68" w:rsidR="005F58A6" w:rsidRPr="005F58A6" w:rsidRDefault="005F58A6" w:rsidP="005F58A6">
                  <w:pPr>
                    <w:jc w:val="both"/>
                    <w:rPr>
                      <w:rFonts w:ascii="Verdana" w:hAnsi="Verdana"/>
                      <w:sz w:val="16"/>
                      <w:szCs w:val="16"/>
                    </w:rPr>
                  </w:pPr>
                  <w:r w:rsidRPr="005F58A6">
                    <w:rPr>
                      <w:rFonts w:ascii="Verdana" w:hAnsi="Verdana"/>
                      <w:sz w:val="16"/>
                      <w:szCs w:val="16"/>
                    </w:rPr>
                    <w:t>1</w:t>
                  </w:r>
                </w:p>
              </w:tc>
              <w:tc>
                <w:tcPr>
                  <w:tcW w:w="2268" w:type="dxa"/>
                </w:tcPr>
                <w:p w14:paraId="0FCC747F" w14:textId="2DA03DAC" w:rsidR="005F58A6" w:rsidRPr="005F58A6" w:rsidRDefault="005F58A6" w:rsidP="005F58A6">
                  <w:pPr>
                    <w:jc w:val="both"/>
                    <w:rPr>
                      <w:rFonts w:ascii="Verdana" w:hAnsi="Verdana"/>
                      <w:sz w:val="16"/>
                      <w:szCs w:val="16"/>
                    </w:rPr>
                  </w:pPr>
                  <w:r w:rsidRPr="005F58A6">
                    <w:rPr>
                      <w:rFonts w:ascii="Verdana" w:hAnsi="Verdana"/>
                      <w:sz w:val="16"/>
                      <w:szCs w:val="16"/>
                    </w:rPr>
                    <w:t>Menor o igual a 2.000</w:t>
                  </w:r>
                </w:p>
              </w:tc>
              <w:tc>
                <w:tcPr>
                  <w:tcW w:w="4744" w:type="dxa"/>
                </w:tcPr>
                <w:p w14:paraId="319DE336" w14:textId="776AABF3" w:rsidR="005F58A6" w:rsidRPr="005F58A6" w:rsidRDefault="005F58A6" w:rsidP="005F58A6">
                  <w:pPr>
                    <w:jc w:val="both"/>
                    <w:rPr>
                      <w:rFonts w:ascii="Verdana" w:hAnsi="Verdana"/>
                      <w:sz w:val="16"/>
                      <w:szCs w:val="16"/>
                    </w:rPr>
                  </w:pPr>
                  <w:r w:rsidRPr="005F58A6">
                    <w:rPr>
                      <w:rFonts w:ascii="Verdana" w:hAnsi="Verdana"/>
                      <w:sz w:val="16"/>
                      <w:szCs w:val="16"/>
                    </w:rPr>
                    <w:t>[La Entidad definirá la cantidad de bicicletas que se permitirá ubicar en el ciclo parqueaderos entre el rango de mínimo 5 – máximo 10]</w:t>
                  </w:r>
                </w:p>
              </w:tc>
            </w:tr>
            <w:tr w:rsidR="005F58A6" w14:paraId="2120F9F8" w14:textId="77777777" w:rsidTr="005F58A6">
              <w:tc>
                <w:tcPr>
                  <w:tcW w:w="1590" w:type="dxa"/>
                </w:tcPr>
                <w:p w14:paraId="77EE36F3" w14:textId="573AE3D5" w:rsidR="005F58A6" w:rsidRPr="005F58A6" w:rsidRDefault="005F58A6" w:rsidP="005F58A6">
                  <w:pPr>
                    <w:jc w:val="both"/>
                    <w:rPr>
                      <w:rFonts w:ascii="Verdana" w:hAnsi="Verdana"/>
                      <w:sz w:val="16"/>
                      <w:szCs w:val="16"/>
                    </w:rPr>
                  </w:pPr>
                  <w:r w:rsidRPr="005F58A6">
                    <w:rPr>
                      <w:rFonts w:ascii="Verdana" w:hAnsi="Verdana"/>
                      <w:sz w:val="16"/>
                      <w:szCs w:val="16"/>
                    </w:rPr>
                    <w:t>2</w:t>
                  </w:r>
                </w:p>
              </w:tc>
              <w:tc>
                <w:tcPr>
                  <w:tcW w:w="2268" w:type="dxa"/>
                </w:tcPr>
                <w:p w14:paraId="08BF0B8E" w14:textId="52537985" w:rsidR="005F58A6" w:rsidRPr="005F58A6" w:rsidRDefault="005F58A6" w:rsidP="005F58A6">
                  <w:pPr>
                    <w:jc w:val="both"/>
                    <w:rPr>
                      <w:rFonts w:ascii="Verdana" w:hAnsi="Verdana"/>
                      <w:sz w:val="16"/>
                      <w:szCs w:val="16"/>
                    </w:rPr>
                  </w:pPr>
                  <w:r w:rsidRPr="005F58A6">
                    <w:rPr>
                      <w:rFonts w:ascii="Verdana" w:hAnsi="Verdana"/>
                      <w:sz w:val="16"/>
                      <w:szCs w:val="16"/>
                    </w:rPr>
                    <w:t>Entre 2.001 y 8.000</w:t>
                  </w:r>
                </w:p>
              </w:tc>
              <w:tc>
                <w:tcPr>
                  <w:tcW w:w="4744" w:type="dxa"/>
                </w:tcPr>
                <w:p w14:paraId="242B030E" w14:textId="6769C10D" w:rsidR="005F58A6" w:rsidRPr="005F58A6" w:rsidRDefault="005F58A6" w:rsidP="005F58A6">
                  <w:pPr>
                    <w:jc w:val="both"/>
                    <w:rPr>
                      <w:rFonts w:ascii="Verdana" w:hAnsi="Verdana"/>
                      <w:sz w:val="16"/>
                      <w:szCs w:val="16"/>
                    </w:rPr>
                  </w:pPr>
                  <w:r w:rsidRPr="005F58A6">
                    <w:rPr>
                      <w:rFonts w:ascii="Verdana" w:hAnsi="Verdana"/>
                      <w:sz w:val="16"/>
                      <w:szCs w:val="16"/>
                    </w:rPr>
                    <w:t>[La Entidad definirá la cantidad de bicicletas que se permitirá ubicar en el ciclo parqueaderos entre el rango de mínimo 5 – máximo 12]</w:t>
                  </w:r>
                </w:p>
              </w:tc>
            </w:tr>
            <w:tr w:rsidR="005F58A6" w14:paraId="73D39A69" w14:textId="77777777" w:rsidTr="005F58A6">
              <w:tc>
                <w:tcPr>
                  <w:tcW w:w="1590" w:type="dxa"/>
                </w:tcPr>
                <w:p w14:paraId="29D7BDDB" w14:textId="458D6ADF" w:rsidR="005F58A6" w:rsidRPr="005F58A6" w:rsidRDefault="005F58A6" w:rsidP="005F58A6">
                  <w:pPr>
                    <w:jc w:val="both"/>
                    <w:rPr>
                      <w:rFonts w:ascii="Verdana" w:hAnsi="Verdana"/>
                      <w:sz w:val="16"/>
                      <w:szCs w:val="16"/>
                    </w:rPr>
                  </w:pPr>
                  <w:r w:rsidRPr="005F58A6">
                    <w:rPr>
                      <w:rFonts w:ascii="Verdana" w:hAnsi="Verdana"/>
                      <w:sz w:val="16"/>
                      <w:szCs w:val="16"/>
                    </w:rPr>
                    <w:t xml:space="preserve">3 </w:t>
                  </w:r>
                </w:p>
              </w:tc>
              <w:tc>
                <w:tcPr>
                  <w:tcW w:w="2268" w:type="dxa"/>
                </w:tcPr>
                <w:p w14:paraId="549B33E1" w14:textId="5D49C739" w:rsidR="005F58A6" w:rsidRPr="005F58A6" w:rsidRDefault="005F58A6" w:rsidP="005F58A6">
                  <w:pPr>
                    <w:jc w:val="both"/>
                    <w:rPr>
                      <w:rFonts w:ascii="Verdana" w:hAnsi="Verdana"/>
                      <w:sz w:val="16"/>
                      <w:szCs w:val="16"/>
                    </w:rPr>
                  </w:pPr>
                  <w:r w:rsidRPr="005F58A6">
                    <w:rPr>
                      <w:rFonts w:ascii="Verdana" w:hAnsi="Verdana"/>
                      <w:sz w:val="16"/>
                      <w:szCs w:val="16"/>
                    </w:rPr>
                    <w:t>Mayor o igual a 8.001</w:t>
                  </w:r>
                </w:p>
              </w:tc>
              <w:tc>
                <w:tcPr>
                  <w:tcW w:w="4744" w:type="dxa"/>
                </w:tcPr>
                <w:p w14:paraId="612216DA" w14:textId="5E89A226" w:rsidR="005F58A6" w:rsidRPr="005F58A6" w:rsidRDefault="005F58A6" w:rsidP="005F58A6">
                  <w:pPr>
                    <w:jc w:val="both"/>
                    <w:rPr>
                      <w:rFonts w:ascii="Verdana" w:hAnsi="Verdana"/>
                      <w:sz w:val="16"/>
                      <w:szCs w:val="16"/>
                    </w:rPr>
                  </w:pPr>
                  <w:r w:rsidRPr="005F58A6">
                    <w:rPr>
                      <w:rFonts w:ascii="Verdana" w:hAnsi="Verdana"/>
                      <w:sz w:val="16"/>
                      <w:szCs w:val="16"/>
                    </w:rPr>
                    <w:t>[La Entidad definirá la cantidad de bicicletas que se permitirá ubicar en el ciclo parqueaderos entre el rango de mínimo 5 – máximo 14]</w:t>
                  </w:r>
                </w:p>
              </w:tc>
            </w:tr>
          </w:tbl>
          <w:p w14:paraId="09245263" w14:textId="77777777" w:rsidR="00CC7465" w:rsidRDefault="00CC7465" w:rsidP="00E97223">
            <w:pPr>
              <w:jc w:val="both"/>
              <w:rPr>
                <w:rFonts w:ascii="Verdana" w:hAnsi="Verdana"/>
              </w:rPr>
            </w:pPr>
          </w:p>
          <w:p w14:paraId="0E5896F3" w14:textId="77777777" w:rsidR="005F58A6" w:rsidRDefault="00CC7465" w:rsidP="005F58A6">
            <w:pPr>
              <w:ind w:left="708"/>
              <w:jc w:val="both"/>
              <w:rPr>
                <w:rFonts w:ascii="Verdana" w:hAnsi="Verdana"/>
              </w:rPr>
            </w:pPr>
            <w:r w:rsidRPr="00CC7465">
              <w:rPr>
                <w:rFonts w:ascii="Verdana" w:hAnsi="Verdana"/>
              </w:rPr>
              <w:t xml:space="preserve">[La Entidad escogerá la alternativa de la tabla anterior en función de los metros cuadrados (m 2) del predio en el cual se desarrollará el proyecto de infraestructura social y el espacio físico disponible con el que cuenta.] Para el presente ofrecimiento el Contratista debe garantizar las condiciones de calidad y durabilidad del material reciclado; sin embargo, en caso de no ser posible la implementación del ciclo-parqueadero en materiales reciclados, será válida en materiales convencionales bajo los mismos supuestos de calidad y durabilidad. El mantenimiento y conservación de los ciclo-parqueaderos será responsabilidad de la Entidad Estatal, o a quien esta designe y no del Contratista.” En este sentido el Proponente que se comprometa a través del Formato 12 a instalar por cuenta propia una (1) estación de ciclo-parqueaderos empleando materiales reciclados, el cual puede ser de forma horizontal o vertical, según la disponibilidad de espacio que cuente el predio en el cual será adelantado el proyecto de infraestructura social, será acreedor del puntaje que la Entidad haya estimado para el proceso, es decir que se compromete por cuenta y riesgo y que una vez ofrecidos, tendrán el </w:t>
            </w:r>
            <w:r w:rsidRPr="00CC7465">
              <w:rPr>
                <w:rFonts w:ascii="Verdana" w:hAnsi="Verdana"/>
              </w:rPr>
              <w:lastRenderedPageBreak/>
              <w:t xml:space="preserve">carácter de obligación contractual a instalar dentro del proyecto y con materiales reciclados de ser posible el ciclo-parqueadero en las condiciones de espacio y cantidad establecidas en el proceso por parte de la Entidad, asumiendo los costos asociados a su implementación, lo anterior, de conformidad con las condiciones establecidas dentro del numeral 4.3: </w:t>
            </w:r>
          </w:p>
          <w:p w14:paraId="5D838B4A" w14:textId="77777777" w:rsidR="005F58A6" w:rsidRDefault="00CC7465" w:rsidP="005F58A6">
            <w:pPr>
              <w:ind w:left="708"/>
              <w:jc w:val="both"/>
              <w:rPr>
                <w:rFonts w:ascii="Verdana" w:hAnsi="Verdana"/>
              </w:rPr>
            </w:pPr>
            <w:r w:rsidRPr="00CC7465">
              <w:rPr>
                <w:rFonts w:ascii="Verdana" w:hAnsi="Verdana"/>
              </w:rPr>
              <w:t xml:space="preserve">“(…) Para la obtención de puntaje por este factor, se tendrán en cuenta las siguientes consideraciones: </w:t>
            </w:r>
          </w:p>
          <w:p w14:paraId="405912C2" w14:textId="34316CBA" w:rsidR="005F58A6" w:rsidRPr="005F58A6" w:rsidRDefault="00CC7465" w:rsidP="005F58A6">
            <w:pPr>
              <w:pStyle w:val="Prrafodelista"/>
              <w:numPr>
                <w:ilvl w:val="0"/>
                <w:numId w:val="14"/>
              </w:numPr>
              <w:jc w:val="both"/>
              <w:rPr>
                <w:rFonts w:ascii="Verdana" w:hAnsi="Verdana"/>
                <w:sz w:val="22"/>
                <w:lang w:val="es-CO"/>
              </w:rPr>
            </w:pPr>
            <w:r w:rsidRPr="005F58A6">
              <w:rPr>
                <w:rFonts w:ascii="Verdana" w:hAnsi="Verdana"/>
                <w:sz w:val="22"/>
                <w:lang w:val="es-CO"/>
              </w:rPr>
              <w:t xml:space="preserve">Los costos asociados a la implementación de los elementos que componen este factor serán asumidos por el Contratista. </w:t>
            </w:r>
          </w:p>
          <w:p w14:paraId="19998A18" w14:textId="77777777" w:rsidR="005F58A6" w:rsidRPr="005F58A6" w:rsidRDefault="00CC7465" w:rsidP="005F58A6">
            <w:pPr>
              <w:pStyle w:val="Prrafodelista"/>
              <w:numPr>
                <w:ilvl w:val="0"/>
                <w:numId w:val="14"/>
              </w:numPr>
              <w:jc w:val="both"/>
              <w:rPr>
                <w:rFonts w:ascii="Verdana" w:hAnsi="Verdana"/>
                <w:sz w:val="22"/>
                <w:lang w:val="es-CO"/>
              </w:rPr>
            </w:pPr>
            <w:r w:rsidRPr="005F58A6">
              <w:rPr>
                <w:rFonts w:ascii="Verdana" w:hAnsi="Verdana"/>
                <w:sz w:val="22"/>
                <w:lang w:val="es-CO"/>
              </w:rPr>
              <w:t xml:space="preserve"> La verificación del ofrecimiento se hará por parte de la interventoría en la ejecución del Contrato. </w:t>
            </w:r>
          </w:p>
          <w:p w14:paraId="42FC6911" w14:textId="77777777" w:rsidR="005F58A6" w:rsidRPr="005F58A6" w:rsidRDefault="00CC7465" w:rsidP="005F58A6">
            <w:pPr>
              <w:pStyle w:val="Prrafodelista"/>
              <w:numPr>
                <w:ilvl w:val="0"/>
                <w:numId w:val="14"/>
              </w:numPr>
              <w:jc w:val="both"/>
              <w:rPr>
                <w:rFonts w:ascii="Verdana" w:hAnsi="Verdana"/>
                <w:sz w:val="22"/>
                <w:lang w:val="es-CO"/>
              </w:rPr>
            </w:pPr>
            <w:r w:rsidRPr="005F58A6">
              <w:rPr>
                <w:rFonts w:ascii="Verdana" w:hAnsi="Verdana"/>
                <w:sz w:val="22"/>
                <w:lang w:val="es-CO"/>
              </w:rPr>
              <w:t xml:space="preserve">Si el Contratista durante la ejecución del contrato no cumple con estos compromisos, que se convierten en obligaciones contractuales, la Entidad podrá acudir a las multas para conminar al Contratista a su cumplimiento, de acuerdo con lo pactado en el Contrato. </w:t>
            </w:r>
          </w:p>
          <w:p w14:paraId="48924D94" w14:textId="31F83226" w:rsidR="00CC7465" w:rsidRPr="005F58A6" w:rsidRDefault="00CC7465" w:rsidP="005F58A6">
            <w:pPr>
              <w:ind w:left="1416"/>
              <w:jc w:val="both"/>
              <w:rPr>
                <w:rFonts w:ascii="Verdana" w:hAnsi="Verdana"/>
              </w:rPr>
            </w:pPr>
            <w:r w:rsidRPr="005F58A6">
              <w:rPr>
                <w:rFonts w:ascii="Verdana" w:hAnsi="Verdana"/>
              </w:rPr>
              <w:t xml:space="preserve">Las actividades derivadas del ofrecimiento realizado son adicionales a aquellas propias de la ejecución del Contrato de obra y del cumplimiento de las obligaciones impuestas por las autorizaciones, permisos, licencias ambientales, licencias de construcción, planes de </w:t>
            </w:r>
            <w:r w:rsidR="005F58A6" w:rsidRPr="005F58A6">
              <w:rPr>
                <w:rFonts w:ascii="Verdana" w:hAnsi="Verdana"/>
              </w:rPr>
              <w:t>manejo ambiental, planes de ordenamiento territorial, requeridos para el desarrollo de la obra. (…)”</w:t>
            </w:r>
          </w:p>
        </w:tc>
      </w:tr>
    </w:tbl>
    <w:p w14:paraId="1A2EF107" w14:textId="77777777" w:rsidR="00CC7465" w:rsidRPr="000271A9" w:rsidRDefault="00CC7465" w:rsidP="00CC7465">
      <w:pPr>
        <w:spacing w:after="0" w:line="240" w:lineRule="auto"/>
        <w:jc w:val="both"/>
        <w:rPr>
          <w:rFonts w:ascii="Verdana" w:hAnsi="Verdana"/>
          <w:b/>
          <w:bCs/>
          <w:lang w:val="es-ES"/>
        </w:rPr>
      </w:pPr>
    </w:p>
    <w:p w14:paraId="15E153D7" w14:textId="0793A870" w:rsidR="00CC7465" w:rsidRPr="005F58A6" w:rsidRDefault="00CC7465" w:rsidP="005F58A6">
      <w:pPr>
        <w:pStyle w:val="Prrafodelista"/>
        <w:numPr>
          <w:ilvl w:val="0"/>
          <w:numId w:val="15"/>
        </w:numPr>
        <w:jc w:val="both"/>
        <w:rPr>
          <w:rFonts w:ascii="Verdana" w:hAnsi="Verdana"/>
          <w:b/>
          <w:bCs/>
          <w:lang w:val="es-ES"/>
        </w:rPr>
      </w:pPr>
      <w:r w:rsidRPr="005F58A6">
        <w:rPr>
          <w:rFonts w:ascii="Verdana" w:hAnsi="Verdana"/>
          <w:b/>
          <w:bCs/>
          <w:lang w:val="es-ES"/>
        </w:rPr>
        <w:t>Razones de la respuesta:</w:t>
      </w:r>
    </w:p>
    <w:p w14:paraId="6258E957" w14:textId="77777777" w:rsidR="005F58A6" w:rsidRDefault="005F58A6" w:rsidP="00CC7465">
      <w:pPr>
        <w:tabs>
          <w:tab w:val="left" w:pos="426"/>
        </w:tabs>
        <w:spacing w:after="0" w:line="276" w:lineRule="auto"/>
        <w:jc w:val="both"/>
        <w:rPr>
          <w:rFonts w:ascii="Verdana" w:hAnsi="Verdana"/>
        </w:rPr>
      </w:pPr>
      <w:r w:rsidRPr="005F58A6">
        <w:rPr>
          <w:rFonts w:ascii="Verdana" w:hAnsi="Verdana"/>
        </w:rPr>
        <w:t xml:space="preserve">Lo anterior se sustenta en las siguientes consideraciones: </w:t>
      </w:r>
    </w:p>
    <w:p w14:paraId="498F9B71" w14:textId="77777777" w:rsidR="005F58A6" w:rsidRDefault="005F58A6" w:rsidP="005F58A6">
      <w:pPr>
        <w:tabs>
          <w:tab w:val="left" w:pos="426"/>
        </w:tabs>
        <w:spacing w:line="276" w:lineRule="auto"/>
        <w:jc w:val="both"/>
        <w:rPr>
          <w:rFonts w:ascii="Verdana" w:hAnsi="Verdana"/>
        </w:rPr>
      </w:pPr>
      <w:r w:rsidRPr="005F58A6">
        <w:rPr>
          <w:rFonts w:ascii="Verdana" w:hAnsi="Verdana"/>
        </w:rPr>
        <w:t xml:space="preserve">Con el fin de absolver el interrogante planteado en su consulta, se analizarán los siguientes temas: i) fundamentos jurídicos y evolución normativa de los documentos tipo e </w:t>
      </w:r>
      <w:proofErr w:type="spellStart"/>
      <w:r w:rsidRPr="005F58A6">
        <w:rPr>
          <w:rFonts w:ascii="Verdana" w:hAnsi="Verdana"/>
        </w:rPr>
        <w:t>ii</w:t>
      </w:r>
      <w:proofErr w:type="spellEnd"/>
      <w:r w:rsidRPr="005F58A6">
        <w:rPr>
          <w:rFonts w:ascii="Verdana" w:hAnsi="Verdana"/>
        </w:rPr>
        <w:t xml:space="preserve">) implementación y ámbito de aplicación de factor de sostenibilidad técnico ambiental agregado contenidos en los documentos tipo de licitación de obra pública de infraestructura social, aclarando la fijación de los factores de sostenibilidad técnico ambiental derivan de un análisis propio de la Entidad, es decir, son potestativos de ésta, y esta, con fundamento en el principio de planeación, verificará la pertinencia o no de incluir estos factores. </w:t>
      </w:r>
    </w:p>
    <w:p w14:paraId="3B63DD9B"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relación con los fundamentos jurídicos y evolución normativa de los documentos tipo del sector Social a que hace referencia su consulta, es necesario destacar que en desarrollo de la Ley 2022 de 2020, la Agencia Nacional de Contratación Pública – Colombia Compra Eficiente expidió la </w:t>
      </w:r>
      <w:r w:rsidRPr="005F58A6">
        <w:rPr>
          <w:rFonts w:ascii="Verdana" w:hAnsi="Verdana"/>
          <w:sz w:val="22"/>
          <w:lang w:val="es-CO"/>
        </w:rPr>
        <w:lastRenderedPageBreak/>
        <w:t xml:space="preserve">Resolución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 </w:t>
      </w:r>
    </w:p>
    <w:p w14:paraId="0EEE410B" w14:textId="77777777" w:rsidR="005F58A6" w:rsidRDefault="005F58A6" w:rsidP="005F58A6">
      <w:pPr>
        <w:pStyle w:val="Prrafodelista"/>
        <w:tabs>
          <w:tab w:val="left" w:pos="426"/>
        </w:tabs>
        <w:spacing w:line="276" w:lineRule="auto"/>
        <w:ind w:left="1416"/>
        <w:jc w:val="both"/>
        <w:rPr>
          <w:rFonts w:ascii="Verdana" w:hAnsi="Verdana"/>
          <w:sz w:val="22"/>
          <w:lang w:val="es-CO"/>
        </w:rPr>
      </w:pPr>
      <w:r w:rsidRPr="005F58A6">
        <w:rPr>
          <w:rFonts w:ascii="Verdana" w:hAnsi="Verdana"/>
          <w:sz w:val="22"/>
          <w:lang w:val="es-CO"/>
        </w:rPr>
        <w:t xml:space="preserve">“Estos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p>
    <w:p w14:paraId="2D694C79"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0395EA93"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Así lo señala el parágrafo 3 del artículo 2, que dispone lo siguiente: “Los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 En concordancia, el “Documento Base” de licitación de obra pública de infraestructura social prescribe en la parte introductoria que “Este Documento Tipo de “infraestructura social” aplica a los procesos que correspondan a las actividades definidas en las matrices de</w:t>
      </w:r>
      <w:r w:rsidRPr="005F58A6">
        <w:rPr>
          <w:sz w:val="22"/>
          <w:lang w:val="es-CO"/>
        </w:rPr>
        <w:t xml:space="preserve"> </w:t>
      </w:r>
      <w:r w:rsidRPr="005F58A6">
        <w:rPr>
          <w:rFonts w:ascii="Verdana" w:hAnsi="Verdana"/>
          <w:sz w:val="22"/>
          <w:lang w:val="es-CO"/>
        </w:rPr>
        <w:t xml:space="preserve">experiencia, expedidas por la Agencia Nacional de Contratación Pública – Colombia Compra Eficiente para los sectores educativo, salud y cultura, recreación y deporte, sin perjuicio de que dicha Agencia incluya otros tipos de “infraestructura social”. </w:t>
      </w:r>
    </w:p>
    <w:p w14:paraId="32D355EE"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Cabe anotar que la Resolución 219 del 6 de agosto de 2021 contiene los documentos tipo que aplican de forma transversal a los proyectos de </w:t>
      </w:r>
      <w:r w:rsidRPr="005F58A6">
        <w:rPr>
          <w:rFonts w:ascii="Verdana" w:hAnsi="Verdana"/>
          <w:sz w:val="22"/>
          <w:lang w:val="es-CO"/>
        </w:rPr>
        <w:lastRenderedPageBreak/>
        <w:t xml:space="preserve">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 </w:t>
      </w:r>
    </w:p>
    <w:p w14:paraId="04A67330"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consecuencia, en materia de infraestructura social, acotando su consulta este sector,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5F58A6">
        <w:rPr>
          <w:rFonts w:ascii="Verdana" w:hAnsi="Verdana"/>
          <w:sz w:val="22"/>
          <w:lang w:val="es-CO"/>
        </w:rPr>
        <w:t>ii</w:t>
      </w:r>
      <w:proofErr w:type="spellEnd"/>
      <w:r w:rsidRPr="005F58A6">
        <w:rPr>
          <w:rFonts w:ascii="Verdana" w:hAnsi="Verdana"/>
          <w:sz w:val="22"/>
          <w:lang w:val="es-CO"/>
        </w:rPr>
        <w:t xml:space="preserve">) los documentos tipo complementarios, referentes a la matriz de experiencia y el glosario, los cuales han sido adoptados en la resolución para cada sector específico. </w:t>
      </w:r>
    </w:p>
    <w:p w14:paraId="79CBE8F5"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 </w:t>
      </w:r>
    </w:p>
    <w:p w14:paraId="6CE4E23E"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Debe destacarse que, en principio, las Resoluciones 219 y 220 del 6 de agosto de 2021 señalaban como fecha de inicio de implementación de estos documentos tipo el 30 de agosto de 2021. No obstante, diferentes entidades de los sectores involucrados, solicitaron a esta Agencia el aplazamiento de dicha fecha de aplicación, con el propósito de generar una mejor aproximación, apropiación y capacitación sobre el contenido de estos documentos, motivo por el cual se expidió la Resolución 261 del 27 de agosto de 2021, la cual aplazó la aplicación obligatoria de los documentos tipo de obra pública de infraestructura social y los</w:t>
      </w:r>
      <w:r>
        <w:rPr>
          <w:rFonts w:ascii="Verdana" w:hAnsi="Verdana"/>
          <w:sz w:val="22"/>
          <w:lang w:val="es-CO"/>
        </w:rPr>
        <w:t xml:space="preserve"> </w:t>
      </w:r>
      <w:r w:rsidRPr="005F58A6">
        <w:rPr>
          <w:rFonts w:ascii="Verdana" w:hAnsi="Verdana"/>
          <w:sz w:val="22"/>
          <w:lang w:val="es-CO"/>
        </w:rPr>
        <w:t xml:space="preserve">complementarios del sector educativo para aquellos procesos “[…] cuyo aviso de convocatoria sea publicado a partir del 2 de noviembre del 2021”. </w:t>
      </w:r>
    </w:p>
    <w:p w14:paraId="5934AC3F"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lastRenderedPageBreak/>
        <w:t xml:space="preserve">Sin embargo, el 2 de noviembre de 2021 se expidió la Resolución 336 de 2021, “Por la cual se aplaza y se dispone la implementación gradual y progresiva de los Documentos tipo de obra pública de infraestructura social”, aplicable para los tres documentos tipo complementarios que se habían expedido. </w:t>
      </w:r>
    </w:p>
    <w:p w14:paraId="02D6BC46"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este contexto, sobre la base de las reglas de vigencia de los documentos tipo de infraestructura social transversales y los tres documentos tipo complementarios expedidos, es importante resaltar que, de conformidad con el parágrafo 2 de la Resolución 219 de 2021 los documentos tipo de infraestructura social “[…] aplicarán a los proyectos de infraestructura social, tales como, sector educativo, sector salud y sector cultural, recreación y deporte, de conformidad con cada una de las resoluciones que expida la Agencia Nacional de Contratación Pública - Colombia Compra Eficiente-, donde se precisará el alcance concreto de estos documentos tipo; sin perjuicio de que se incluyan otros tipos de infraestructura social”. </w:t>
      </w:r>
    </w:p>
    <w:p w14:paraId="685BA1E6" w14:textId="77777777" w:rsidR="005F58A6" w:rsidRDefault="005F58A6" w:rsidP="005F58A6">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Ahora bien, conforme a la consulta planteada, resulta pertinente hacer mención </w:t>
      </w:r>
      <w:proofErr w:type="gramStart"/>
      <w:r w:rsidRPr="005F58A6">
        <w:rPr>
          <w:rFonts w:ascii="Verdana" w:hAnsi="Verdana"/>
          <w:sz w:val="22"/>
          <w:lang w:val="es-CO"/>
        </w:rPr>
        <w:t>a</w:t>
      </w:r>
      <w:proofErr w:type="gramEnd"/>
      <w:r w:rsidRPr="005F58A6">
        <w:rPr>
          <w:rFonts w:ascii="Verdana" w:hAnsi="Verdana"/>
          <w:sz w:val="22"/>
          <w:lang w:val="es-CO"/>
        </w:rPr>
        <w:t xml:space="preserve"> lo consagrado en el numeral 4.3, del documento base de Licitación de Obra Pública de Infraestructura Social, sobre los factores de sostenibilidad técnico ambiental agregado, al respecto el documento base señala lo siguiente: </w:t>
      </w:r>
    </w:p>
    <w:p w14:paraId="1D99BDBE" w14:textId="77777777" w:rsidR="005F58A6" w:rsidRPr="00056C43" w:rsidRDefault="005F58A6"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“[La Entidad analizará la pertinencia de establecer uno (1) o dos (2) de los siguientes factores técnico-ambientales agregados, asociados con el proyecto de infraestructura social, distribuyendo el puntaje total de nueve (9) puntos entre los factores escogidos. En caso de que no se considere procedente ninguno de los mismos, la Entidad dejará la constancia del análisis realizado y la improcedencia de estos, en el Estudio Previo, ya sea por causas atribuibles al espacio físico en el predio, zonas verdes, o los aspectos directamente relacionados con el predio en el cual se desarrollará la obra pública. </w:t>
      </w:r>
    </w:p>
    <w:p w14:paraId="722B59A1" w14:textId="77777777" w:rsidR="00056C43" w:rsidRPr="00056C43" w:rsidRDefault="005F58A6"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En este último caso, en el cual no sean procedentes los mencionados factores, los nueve (9) puntos serán sumados al factor de calidad. De este modo, el factor de calidad tendrá un total de diecinueve (19) puntos.] </w:t>
      </w:r>
    </w:p>
    <w:p w14:paraId="25B4DA6E" w14:textId="77777777" w:rsidR="00056C43" w:rsidRDefault="005F58A6" w:rsidP="005F58A6">
      <w:pPr>
        <w:pStyle w:val="Prrafodelista"/>
        <w:tabs>
          <w:tab w:val="left" w:pos="426"/>
        </w:tabs>
        <w:spacing w:line="276" w:lineRule="auto"/>
        <w:ind w:left="1440"/>
        <w:jc w:val="both"/>
        <w:rPr>
          <w:sz w:val="22"/>
          <w:lang w:val="es-CO"/>
        </w:rPr>
      </w:pPr>
      <w:r w:rsidRPr="00056C43">
        <w:rPr>
          <w:rFonts w:ascii="Verdana" w:hAnsi="Verdana"/>
          <w:i/>
          <w:iCs/>
          <w:sz w:val="20"/>
          <w:szCs w:val="20"/>
          <w:lang w:val="es-CO"/>
        </w:rPr>
        <w:t>Nótese como la fijación de los factores de sostenibilidad técnico ambiental derivan de un análisis propio de la Entidad, es decir, son potestativos de la Entidad, y esta, con fundamento en el principio de planeación, verificará la pertinencia o no de incluir estos factores. En todo caso, y ante eventos particulares que la misma</w:t>
      </w:r>
      <w:r w:rsidRPr="00056C43">
        <w:rPr>
          <w:rFonts w:ascii="Verdana" w:hAnsi="Verdana"/>
          <w:i/>
          <w:iCs/>
          <w:sz w:val="18"/>
          <w:szCs w:val="18"/>
          <w:lang w:val="es-CO"/>
        </w:rPr>
        <w:t xml:space="preserve"> </w:t>
      </w:r>
      <w:r w:rsidRPr="00056C43">
        <w:rPr>
          <w:rFonts w:ascii="Verdana" w:hAnsi="Verdana"/>
          <w:i/>
          <w:iCs/>
          <w:sz w:val="20"/>
          <w:szCs w:val="20"/>
          <w:lang w:val="es-CO"/>
        </w:rPr>
        <w:t xml:space="preserve">Entidad identifique, como la insuficiencia del espacio físico del predio, por ejemplo, el puntaje inicialmente destinado al </w:t>
      </w:r>
      <w:r w:rsidRPr="00056C43">
        <w:rPr>
          <w:rFonts w:ascii="Verdana" w:hAnsi="Verdana"/>
          <w:i/>
          <w:iCs/>
          <w:sz w:val="20"/>
          <w:szCs w:val="20"/>
          <w:lang w:val="es-CO"/>
        </w:rPr>
        <w:lastRenderedPageBreak/>
        <w:t>factor de sostenibilidad técnico ambiental se trasladará al factor de calidad, tal y como lo indica el documento base.</w:t>
      </w:r>
      <w:r w:rsidR="00056C43" w:rsidRPr="00056C43">
        <w:rPr>
          <w:sz w:val="22"/>
          <w:lang w:val="es-CO"/>
        </w:rPr>
        <w:t xml:space="preserve"> </w:t>
      </w:r>
    </w:p>
    <w:p w14:paraId="1129C5C6" w14:textId="77777777" w:rsidR="00056C43" w:rsidRDefault="00056C43"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Bajo estas consideraciones, corresponde a cada entidad pública, en ejercicio de su competencia y previa valoración de los elementos fácticos y jurídicos, determinar si es procedente o no la adecuación del factor de sostenibilidad técnico ambiental para un caso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14:paraId="11053E5E" w14:textId="77777777" w:rsidR="00056C43" w:rsidRDefault="00056C43"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En respuesta a su consulta “(…) El documento de pliego tipo de infraestructura social, específicamente en el ítem de 4.3.2 INSTALACIÓN DE CICLO-PARQUEADEROS. La razón de esta consulta es que por parte de nosotros deseamos saber cuál es el alcance de este, es decir, si este ítem implica solamente la instalación </w:t>
      </w:r>
      <w:proofErr w:type="gramStart"/>
      <w:r w:rsidRPr="00056C43">
        <w:rPr>
          <w:rFonts w:ascii="Verdana" w:hAnsi="Verdana"/>
          <w:i/>
          <w:iCs/>
          <w:sz w:val="20"/>
          <w:szCs w:val="20"/>
          <w:lang w:val="es-CO"/>
        </w:rPr>
        <w:t>de los ciclo</w:t>
      </w:r>
      <w:proofErr w:type="gramEnd"/>
      <w:r w:rsidRPr="00056C43">
        <w:rPr>
          <w:rFonts w:ascii="Verdana" w:hAnsi="Verdana"/>
          <w:i/>
          <w:iCs/>
          <w:sz w:val="20"/>
          <w:szCs w:val="20"/>
          <w:lang w:val="es-CO"/>
        </w:rPr>
        <w:t xml:space="preserve"> parqueaderos o si también incluye el suministro (SIC)”. (Énfasis fuera de texto) </w:t>
      </w:r>
    </w:p>
    <w:p w14:paraId="6C73F4F7" w14:textId="77777777" w:rsidR="00056C43" w:rsidRDefault="00056C43"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Conforme a lo expuesto, los documentos tipo expedidos por esta Agencia son de obligatorio cumplimiento para las entidades sometidas al Estatuto General de Contratación de la Administración Pública, quienes deben aplicarlos en aquellos procesos cuyos objetos contractuales se subsuman dentro de alguna de las actividades establecidas de forma detallada en las matrices de experiencia de los documentos tipo proferidos para los diferentes sectores. Por tanto, para determinar si una entidad estatal se encuentra obligada o no aplicar documentos tipo para un proyecto en específico, le corresponde identificar, de manera preliminar, el tipo de infraestructura sobre la cual recae el objeto a contratar, acorde con lo señalado en la respectiva matriz de experiencia. </w:t>
      </w:r>
    </w:p>
    <w:p w14:paraId="35F99936" w14:textId="77777777" w:rsidR="00056C43" w:rsidRDefault="00056C43"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Las actividades contempladas en las matrices de experiencia de cada sector deben interpretarse de acuerdo con las definiciones que consagran los glosarios adoptados para cada uno de ellos, pues en estas se determinan las nociones necesarias para entender que se incluyen las actividades de obra pública respecto de la infraestructura educativa, en salud o de cultura, recreación y deporte. </w:t>
      </w:r>
    </w:p>
    <w:p w14:paraId="5A7F72E9" w14:textId="77777777" w:rsidR="00056C43" w:rsidRDefault="00056C43"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Visto lo consagrado en el numeral 4.3, del documento base de Licitación de Obra Pública de Infraestructura Social, sobre los factores de sostenibilidad técnico ambiental agregado, es claro que: </w:t>
      </w:r>
    </w:p>
    <w:p w14:paraId="453F430E" w14:textId="77777777" w:rsidR="00056C43" w:rsidRDefault="00056C43"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La Entidad asignará un puntaje de nueve (9) puntos al proponente que se comprometa a ofrecer alguno de los elementos que conforman el factor de sostenibilidad técnico ambiental agregado, mediante la suscripción del Formato 12, en el cual bajo la gravedad de juramento conste el </w:t>
      </w:r>
      <w:r w:rsidRPr="00056C43">
        <w:rPr>
          <w:rFonts w:ascii="Verdana" w:hAnsi="Verdana"/>
          <w:i/>
          <w:iCs/>
          <w:sz w:val="20"/>
          <w:szCs w:val="20"/>
          <w:lang w:val="es-CO"/>
        </w:rPr>
        <w:lastRenderedPageBreak/>
        <w:t xml:space="preserve">compromiso que asume y el ofrecimiento realizado. Los ofrecimientos efectuados serán opcionales para los Proponentes que producto del análisis hecho se encuentren en la capacidad de materializarlos y cumplirlos, por lo que los Proponentes que no presenten el Formato 12 no serán acreedores de puntaje por este factor. </w:t>
      </w:r>
    </w:p>
    <w:p w14:paraId="273DC15F" w14:textId="66682ACF" w:rsidR="005F58A6" w:rsidRDefault="00056C43" w:rsidP="005F58A6">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Las medidas implementadas en este factor son por cuenta y riesgo del Proponente y, una vez ofrecidos, tendrán el carácter de obligación contractual. Por lo tanto, será objeto de vigilancia por la interventoría en la ejecución del Contrato de obra (...)” (Énfasis nuestro)</w:t>
      </w:r>
    </w:p>
    <w:p w14:paraId="737808EB" w14:textId="77777777" w:rsidR="00056C43" w:rsidRDefault="00056C43" w:rsidP="005F58A6">
      <w:pPr>
        <w:pStyle w:val="Prrafodelista"/>
        <w:tabs>
          <w:tab w:val="left" w:pos="426"/>
        </w:tabs>
        <w:spacing w:line="276" w:lineRule="auto"/>
        <w:ind w:left="1440"/>
        <w:jc w:val="both"/>
        <w:rPr>
          <w:rFonts w:ascii="Verdana" w:hAnsi="Verdana"/>
          <w:sz w:val="22"/>
          <w:lang w:val="es-CO"/>
        </w:rPr>
      </w:pPr>
    </w:p>
    <w:p w14:paraId="515162FF" w14:textId="251FB94E" w:rsidR="00056C43" w:rsidRPr="00EF1097" w:rsidRDefault="00056C43" w:rsidP="00056C43">
      <w:pPr>
        <w:pStyle w:val="Prrafodelista"/>
        <w:numPr>
          <w:ilvl w:val="0"/>
          <w:numId w:val="18"/>
        </w:numPr>
        <w:jc w:val="both"/>
        <w:rPr>
          <w:rFonts w:ascii="Verdana" w:hAnsi="Verdana"/>
          <w:b/>
          <w:bCs/>
        </w:rPr>
      </w:pPr>
      <w:r w:rsidRPr="00056C43">
        <w:rPr>
          <w:rFonts w:ascii="Verdana" w:hAnsi="Verdana"/>
          <w:b/>
          <w:bCs/>
          <w:lang w:val="es-CO"/>
        </w:rPr>
        <w:t>Referencias normativas, jurisprudenciales y otras fuentes:</w:t>
      </w:r>
    </w:p>
    <w:p w14:paraId="3A4FACF3" w14:textId="77777777" w:rsidR="00056C43" w:rsidRPr="000271A9" w:rsidRDefault="00056C43" w:rsidP="00056C43">
      <w:pPr>
        <w:spacing w:after="0" w:line="240" w:lineRule="auto"/>
        <w:jc w:val="both"/>
        <w:rPr>
          <w:rFonts w:ascii="Verdana" w:hAnsi="Verdana"/>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56C43" w:rsidRPr="000271A9" w14:paraId="73EF7A42" w14:textId="77777777" w:rsidTr="00E97223">
        <w:tc>
          <w:tcPr>
            <w:tcW w:w="8828" w:type="dxa"/>
            <w:tcBorders>
              <w:top w:val="dotted" w:sz="4" w:space="0" w:color="auto"/>
              <w:left w:val="dotted" w:sz="4" w:space="0" w:color="auto"/>
              <w:bottom w:val="dotted" w:sz="4" w:space="0" w:color="auto"/>
              <w:right w:val="dotted" w:sz="4" w:space="0" w:color="auto"/>
            </w:tcBorders>
            <w:hideMark/>
          </w:tcPr>
          <w:p w14:paraId="5024FB79" w14:textId="77777777" w:rsidR="00056C43" w:rsidRPr="00056C43" w:rsidRDefault="00056C43" w:rsidP="00056C43">
            <w:pPr>
              <w:pStyle w:val="Prrafodelista"/>
              <w:numPr>
                <w:ilvl w:val="0"/>
                <w:numId w:val="19"/>
              </w:numPr>
              <w:jc w:val="both"/>
              <w:rPr>
                <w:rFonts w:ascii="Verdana" w:hAnsi="Verdana"/>
              </w:rPr>
            </w:pPr>
            <w:r w:rsidRPr="00056C43">
              <w:rPr>
                <w:rFonts w:ascii="Verdana" w:hAnsi="Verdana"/>
                <w:sz w:val="22"/>
                <w:szCs w:val="20"/>
              </w:rPr>
              <w:t xml:space="preserve">Ley 2022 de 2020, artículo 1. </w:t>
            </w:r>
          </w:p>
          <w:p w14:paraId="10E684AD" w14:textId="64F3D56A" w:rsidR="00056C43" w:rsidRPr="00056C43" w:rsidRDefault="00056C43" w:rsidP="00056C43">
            <w:pPr>
              <w:pStyle w:val="Prrafodelista"/>
              <w:numPr>
                <w:ilvl w:val="0"/>
                <w:numId w:val="19"/>
              </w:numPr>
              <w:jc w:val="both"/>
              <w:rPr>
                <w:rFonts w:ascii="Verdana" w:hAnsi="Verdana"/>
              </w:rPr>
            </w:pPr>
            <w:r w:rsidRPr="00056C43">
              <w:rPr>
                <w:rFonts w:ascii="Verdana" w:hAnsi="Verdana"/>
                <w:sz w:val="22"/>
                <w:szCs w:val="20"/>
              </w:rPr>
              <w:t xml:space="preserve">Circular Externa Única del 27 de diciembre de 2023. Disponible en: </w:t>
            </w:r>
            <w:hyperlink r:id="rId13" w:history="1">
              <w:r w:rsidRPr="00B82DC9">
                <w:rPr>
                  <w:rStyle w:val="Hipervnculo"/>
                  <w:rFonts w:ascii="Verdana" w:hAnsi="Verdana"/>
                  <w:sz w:val="22"/>
                  <w:szCs w:val="20"/>
                </w:rPr>
                <w:t>https://www.colombiacompra.gov.co/sites/cce_public/files/cce_circul ares/circular_externa_unica_version_3_vf49.pdf</w:t>
              </w:r>
            </w:hyperlink>
            <w:r>
              <w:rPr>
                <w:rFonts w:ascii="Verdana" w:hAnsi="Verdana"/>
                <w:sz w:val="22"/>
                <w:szCs w:val="20"/>
              </w:rPr>
              <w:t xml:space="preserve"> </w:t>
            </w:r>
            <w:r w:rsidRPr="00056C43">
              <w:rPr>
                <w:rFonts w:ascii="Verdana" w:hAnsi="Verdana"/>
                <w:sz w:val="22"/>
                <w:szCs w:val="20"/>
              </w:rPr>
              <w:t xml:space="preserve"> </w:t>
            </w:r>
          </w:p>
          <w:p w14:paraId="08147B6D" w14:textId="14EF368E" w:rsidR="00056C43" w:rsidRPr="00056C43" w:rsidRDefault="00056C43" w:rsidP="00056C43">
            <w:pPr>
              <w:pStyle w:val="Prrafodelista"/>
              <w:numPr>
                <w:ilvl w:val="0"/>
                <w:numId w:val="19"/>
              </w:numPr>
              <w:jc w:val="both"/>
              <w:rPr>
                <w:rFonts w:ascii="Verdana" w:hAnsi="Verdana"/>
              </w:rPr>
            </w:pPr>
            <w:r w:rsidRPr="00056C43">
              <w:rPr>
                <w:rFonts w:ascii="Verdana" w:hAnsi="Verdana"/>
                <w:sz w:val="22"/>
                <w:szCs w:val="20"/>
              </w:rPr>
              <w:t xml:space="preserve">Resolución 219 de 2021 de la Agencia Nacional de Contratación Pública–Colombia Compra Eficiente–. Disponible en: </w:t>
            </w:r>
            <w:hyperlink r:id="rId14" w:history="1">
              <w:r w:rsidRPr="00B82DC9">
                <w:rPr>
                  <w:rStyle w:val="Hipervnculo"/>
                  <w:rFonts w:ascii="Verdana" w:hAnsi="Verdana"/>
                  <w:sz w:val="22"/>
                  <w:szCs w:val="20"/>
                </w:rPr>
                <w:t>https://www.colombiacompra.gov.co/content/04-documentos-tipode-licitacion-de-obra-publica-para-proyectos-de-infraestructurasocial</w:t>
              </w:r>
            </w:hyperlink>
            <w:r w:rsidRPr="00056C43">
              <w:rPr>
                <w:rFonts w:ascii="Verdana" w:hAnsi="Verdana"/>
                <w:sz w:val="22"/>
                <w:szCs w:val="20"/>
              </w:rPr>
              <w:t xml:space="preserve"> </w:t>
            </w:r>
          </w:p>
          <w:p w14:paraId="61EF7AFD" w14:textId="4F1241F9" w:rsidR="00056C43" w:rsidRPr="00056C43" w:rsidRDefault="00056C43" w:rsidP="00056C43">
            <w:pPr>
              <w:pStyle w:val="Prrafodelista"/>
              <w:numPr>
                <w:ilvl w:val="0"/>
                <w:numId w:val="19"/>
              </w:numPr>
              <w:jc w:val="both"/>
              <w:rPr>
                <w:rFonts w:ascii="Verdana" w:hAnsi="Verdana"/>
              </w:rPr>
            </w:pPr>
            <w:r w:rsidRPr="00056C43">
              <w:rPr>
                <w:rFonts w:ascii="Verdana" w:hAnsi="Verdana"/>
                <w:sz w:val="22"/>
                <w:szCs w:val="20"/>
              </w:rPr>
              <w:t>Jurisprudencia del Consejo de Estado. Disponible en: https://relatori a.colombiacompra.gov.co/providencias-consejo-de-estado/</w:t>
            </w:r>
            <w:r>
              <w:rPr>
                <w:rFonts w:ascii="Verdana" w:hAnsi="Verdana"/>
                <w:sz w:val="22"/>
                <w:szCs w:val="20"/>
              </w:rPr>
              <w:t xml:space="preserve"> </w:t>
            </w:r>
            <w:r w:rsidRPr="00056C43">
              <w:rPr>
                <w:rFonts w:ascii="Verdana" w:hAnsi="Verdana"/>
                <w:sz w:val="22"/>
                <w:szCs w:val="20"/>
              </w:rPr>
              <w:t xml:space="preserve"> </w:t>
            </w:r>
          </w:p>
          <w:p w14:paraId="77D9A72E" w14:textId="1D8C5333" w:rsidR="00056C43" w:rsidRPr="00056C43" w:rsidRDefault="00056C43" w:rsidP="00056C43">
            <w:pPr>
              <w:pStyle w:val="Prrafodelista"/>
              <w:numPr>
                <w:ilvl w:val="0"/>
                <w:numId w:val="19"/>
              </w:numPr>
              <w:jc w:val="both"/>
              <w:rPr>
                <w:rFonts w:ascii="Verdana" w:hAnsi="Verdana"/>
              </w:rPr>
            </w:pPr>
            <w:r w:rsidRPr="00056C43">
              <w:rPr>
                <w:rFonts w:ascii="Verdana" w:hAnsi="Verdana"/>
                <w:sz w:val="22"/>
                <w:szCs w:val="20"/>
              </w:rPr>
              <w:t xml:space="preserve">Guías y manuales expedidos por la ANCP-CCE. Disponible en: </w:t>
            </w:r>
            <w:hyperlink r:id="rId15" w:history="1">
              <w:r w:rsidRPr="00B82DC9">
                <w:rPr>
                  <w:rStyle w:val="Hipervnculo"/>
                  <w:rFonts w:ascii="Verdana" w:hAnsi="Verdana"/>
                  <w:sz w:val="22"/>
                  <w:szCs w:val="20"/>
                </w:rPr>
                <w:t>https://www.colombiacompra.gov.co/manuales-guias-y-pliegostipo/manuales-y-guias</w:t>
              </w:r>
            </w:hyperlink>
            <w:r>
              <w:rPr>
                <w:rFonts w:ascii="Verdana" w:hAnsi="Verdana"/>
                <w:sz w:val="22"/>
                <w:szCs w:val="20"/>
              </w:rPr>
              <w:t xml:space="preserve"> </w:t>
            </w:r>
          </w:p>
        </w:tc>
      </w:tr>
    </w:tbl>
    <w:p w14:paraId="45321B34" w14:textId="77777777" w:rsidR="00056C43" w:rsidRPr="000271A9" w:rsidRDefault="00056C43" w:rsidP="00056C43">
      <w:pPr>
        <w:spacing w:after="0" w:line="240" w:lineRule="auto"/>
        <w:jc w:val="both"/>
        <w:rPr>
          <w:rFonts w:ascii="Verdana" w:hAnsi="Verdana"/>
          <w:b/>
          <w:bCs/>
          <w:lang w:val="es-ES"/>
        </w:rPr>
      </w:pPr>
    </w:p>
    <w:p w14:paraId="774B4683" w14:textId="58F57D55" w:rsidR="00056C43" w:rsidRPr="00EF1097" w:rsidRDefault="00056C43" w:rsidP="00056C43">
      <w:pPr>
        <w:pStyle w:val="Prrafodelista"/>
        <w:numPr>
          <w:ilvl w:val="0"/>
          <w:numId w:val="18"/>
        </w:numPr>
        <w:jc w:val="both"/>
        <w:rPr>
          <w:rFonts w:ascii="Verdana" w:hAnsi="Verdana"/>
          <w:b/>
          <w:bCs/>
        </w:rPr>
      </w:pPr>
      <w:r w:rsidRPr="00056C43">
        <w:rPr>
          <w:rFonts w:ascii="Verdana" w:hAnsi="Verdana"/>
          <w:b/>
          <w:bCs/>
          <w:lang w:val="es-CO"/>
        </w:rPr>
        <w:t>Doctrina de la Agencia Nacional de Contratación Pública:</w:t>
      </w:r>
    </w:p>
    <w:p w14:paraId="46FFA7AB" w14:textId="77777777" w:rsidR="00056C43" w:rsidRDefault="00056C43" w:rsidP="004856AD">
      <w:pPr>
        <w:tabs>
          <w:tab w:val="left" w:pos="426"/>
        </w:tabs>
        <w:spacing w:after="0" w:line="276" w:lineRule="auto"/>
        <w:jc w:val="both"/>
        <w:rPr>
          <w:rFonts w:ascii="Verdana" w:eastAsia="Times New Roman" w:hAnsi="Verdana" w:cs="Arial"/>
          <w:color w:val="000000" w:themeColor="text1"/>
          <w:lang w:val="es-MX"/>
        </w:rPr>
      </w:pPr>
    </w:p>
    <w:p w14:paraId="580FE73C" w14:textId="5801E04F" w:rsidR="00A65558" w:rsidRDefault="00056C43" w:rsidP="004856AD">
      <w:pPr>
        <w:tabs>
          <w:tab w:val="left" w:pos="426"/>
        </w:tabs>
        <w:spacing w:after="0" w:line="276" w:lineRule="auto"/>
        <w:jc w:val="both"/>
        <w:rPr>
          <w:rFonts w:ascii="Verdana" w:eastAsia="Times New Roman" w:hAnsi="Verdana" w:cs="Arial"/>
          <w:color w:val="000000" w:themeColor="text1"/>
        </w:rPr>
      </w:pPr>
      <w:r>
        <w:rPr>
          <w:rFonts w:ascii="Verdana" w:eastAsia="Times New Roman" w:hAnsi="Verdana" w:cs="Arial"/>
          <w:color w:val="000000" w:themeColor="text1"/>
          <w:lang w:val="es-MX"/>
        </w:rPr>
        <w:tab/>
      </w:r>
      <w:r w:rsidRPr="00056C43">
        <w:rPr>
          <w:rFonts w:ascii="Verdana" w:eastAsia="Times New Roman" w:hAnsi="Verdana" w:cs="Arial"/>
          <w:color w:val="000000" w:themeColor="text1"/>
        </w:rPr>
        <w:t xml:space="preserve">La Agencia Nacional de Contratación Pública – Colombia Compra Eficiente se pronunció sobre la definición y el alcance de los documentos tipo en las siguientes consultas C-144 del 2 de marzo de 2020, C-143 del 18 de marzo de 2020, C-286 del 26 de mayo de 2020, C-450 del 3 de agosto de 2020, C-643 del 26 de octubre de 2020, C-773 del 14 de enero de 2021, C-789 del 19 de enero de 2021, C-064 del 8 de marzo de 2021 y C-157 del 13 de abril del 2021, C-244 del 4 de mayo de 2021, C-224 del 20 de mayo de 2020, C-233 del 24 de mayo de 2021, C-251 del 2 de junio de 2021 y C-273 del 11 de junio de 2021, C-375 de 27 de septiembre de 2021, C536 de 29 de septiembre de 2021, C-719 de 24 de enero de 2022, C-090 de 16 de marzo de 2022, C-302 del 11 de mayo de 2022, C-410 del 23 de junio de 2022, C436 del 6 de julio de 2022, C-242 del </w:t>
      </w:r>
      <w:r w:rsidRPr="00056C43">
        <w:rPr>
          <w:rFonts w:ascii="Verdana" w:eastAsia="Times New Roman" w:hAnsi="Verdana" w:cs="Arial"/>
          <w:color w:val="000000" w:themeColor="text1"/>
        </w:rPr>
        <w:lastRenderedPageBreak/>
        <w:t>2 de mayo de 2022, C-360 de 2022, entre otros. De otra parte, la Agencia también ha tenido la oportunidad de pronunciarse en diferentes ocasiones sobre el alcance del artículo 56 de la Ley 2195 de 2022, específicamente, a partir del concepto C-082 del 2 de marzo de 2022, cuya tesis ha sido desarrollada y complementada en los conceptos C-033 del 4 de marzo de 2022, C-049 del 7 de marzo de 2022, C-059 del 8 de marzo de 2022, C-065 del 9 de marzo de 2022, C-066 del 28 de enero de 2022, C-089 del 22 de marzo de 2022, C-101 del 22 de marzo de 2022, C-120 del 22 de marzo de 2022, C-160 del 5 de abril de 2022, C-168 del 24 de marzo de 2022, C-197 del 12 de abril de 2022, C-198 del 12 de abril de 2022, C-215 del 22 de abril de 2022, C-244 del 2 de mayo de 2022, C-255 del 4 de mayo de 2022, C-259 del 3 de mayo de 2022, C-260 del 4 de mayo de 2022, C269 del 6 de mayo de 2022, C-320 del 20 de mayo de 2022, C-341 del 27 de mayo</w:t>
      </w:r>
      <w:r>
        <w:rPr>
          <w:rFonts w:ascii="Verdana" w:eastAsia="Times New Roman" w:hAnsi="Verdana" w:cs="Arial"/>
          <w:color w:val="000000" w:themeColor="text1"/>
        </w:rPr>
        <w:t xml:space="preserve"> </w:t>
      </w:r>
      <w:r w:rsidRPr="00056C43">
        <w:rPr>
          <w:rFonts w:ascii="Verdana" w:eastAsia="Times New Roman" w:hAnsi="Verdana" w:cs="Arial"/>
          <w:color w:val="000000" w:themeColor="text1"/>
        </w:rPr>
        <w:t xml:space="preserve">de 2022, C-382 del 27 de mayo de 2022, C-388 del 15 de junio de 2022, C-423 del 5 de julio de 2022, C-449 del 25 de julio de 2022, C-453 del 15 de julio de 2022, C483 del 5 de agosto de 2022, C-488 del 29 de julio de 2022, C-496 del 3 de agosto de 2022, C-501 del 29 de julio de 2022, C-556 el 3 de agosto de 2022 y finalmente, en el Concepto C-486 de 2022 relacionados con los nuevos elementos interpretativos. Estos y otros conceptos se encuentran disponibles para consulta en el Sistema de relatoría de la Agencia, al cual se puede acceder a través del siguiente enlace: </w:t>
      </w:r>
      <w:hyperlink r:id="rId16" w:history="1">
        <w:r w:rsidRPr="00B82DC9">
          <w:rPr>
            <w:rStyle w:val="Hipervnculo"/>
            <w:rFonts w:ascii="Verdana" w:eastAsia="Times New Roman" w:hAnsi="Verdana" w:cs="Arial"/>
          </w:rPr>
          <w:t>https://relatoria.colombiacompra.gov.co/busqueda/conceptos</w:t>
        </w:r>
      </w:hyperlink>
      <w:r w:rsidRPr="00056C43">
        <w:rPr>
          <w:rFonts w:ascii="Verdana" w:eastAsia="Times New Roman" w:hAnsi="Verdana" w:cs="Arial"/>
          <w:color w:val="000000" w:themeColor="text1"/>
        </w:rPr>
        <w:t>.</w:t>
      </w:r>
      <w:r>
        <w:rPr>
          <w:rFonts w:ascii="Verdana" w:eastAsia="Times New Roman" w:hAnsi="Verdana" w:cs="Arial"/>
          <w:color w:val="000000" w:themeColor="text1"/>
        </w:rPr>
        <w:t xml:space="preserve"> </w:t>
      </w:r>
    </w:p>
    <w:p w14:paraId="68B89ED6" w14:textId="63E865D0" w:rsidR="00056C43" w:rsidRDefault="00056C43" w:rsidP="004856AD">
      <w:pPr>
        <w:tabs>
          <w:tab w:val="left" w:pos="426"/>
        </w:tabs>
        <w:spacing w:after="0" w:line="276" w:lineRule="auto"/>
        <w:jc w:val="both"/>
        <w:rPr>
          <w:rFonts w:ascii="Verdana" w:eastAsia="Times New Roman" w:hAnsi="Verdana" w:cs="Arial"/>
          <w:color w:val="000000" w:themeColor="text1"/>
        </w:rPr>
      </w:pPr>
      <w:r>
        <w:rPr>
          <w:rFonts w:ascii="Verdana" w:eastAsia="Times New Roman" w:hAnsi="Verdana" w:cs="Arial"/>
          <w:color w:val="000000" w:themeColor="text1"/>
        </w:rPr>
        <w:tab/>
      </w:r>
      <w:r w:rsidRPr="00056C43">
        <w:rPr>
          <w:rFonts w:ascii="Verdana" w:eastAsia="Times New Roman" w:hAnsi="Verdana" w:cs="Arial"/>
          <w:color w:val="000000" w:themeColor="text1"/>
        </w:rPr>
        <w:t xml:space="preserve">También le invitamos a consultar las versiones I y II de 2024 del Boletín de Relatoría de la Subdirección de Gestión Contractual, las cuales puede descargar en la página web de la Agencia: </w:t>
      </w:r>
      <w:hyperlink r:id="rId17" w:history="1">
        <w:r w:rsidRPr="00B82DC9">
          <w:rPr>
            <w:rStyle w:val="Hipervnculo"/>
            <w:rFonts w:ascii="Verdana" w:eastAsia="Times New Roman" w:hAnsi="Verdana" w:cs="Arial"/>
          </w:rPr>
          <w:t>https://www.colombiacompra.gov.co/sala-deprensa/boletin-digital</w:t>
        </w:r>
      </w:hyperlink>
      <w:r>
        <w:rPr>
          <w:rFonts w:ascii="Verdana" w:eastAsia="Times New Roman" w:hAnsi="Verdana" w:cs="Arial"/>
          <w:color w:val="000000" w:themeColor="text1"/>
        </w:rPr>
        <w:t xml:space="preserve"> </w:t>
      </w:r>
      <w:r w:rsidRPr="00056C43">
        <w:rPr>
          <w:rFonts w:ascii="Verdana" w:eastAsia="Times New Roman" w:hAnsi="Verdana" w:cs="Arial"/>
          <w:color w:val="000000" w:themeColor="text1"/>
        </w:rPr>
        <w:t xml:space="preserve"> </w:t>
      </w:r>
    </w:p>
    <w:p w14:paraId="60ED651B" w14:textId="6596B80D" w:rsidR="00056C43" w:rsidRPr="00CC7465" w:rsidRDefault="00056C43" w:rsidP="004856AD">
      <w:pPr>
        <w:tabs>
          <w:tab w:val="left" w:pos="426"/>
        </w:tabs>
        <w:spacing w:after="0" w:line="276" w:lineRule="auto"/>
        <w:jc w:val="both"/>
        <w:rPr>
          <w:rFonts w:ascii="Verdana" w:eastAsia="Times New Roman" w:hAnsi="Verdana" w:cs="Arial"/>
          <w:color w:val="000000" w:themeColor="text1"/>
          <w:lang w:val="es-419"/>
        </w:rPr>
      </w:pPr>
      <w:r>
        <w:rPr>
          <w:rFonts w:ascii="Verdana" w:eastAsia="Times New Roman" w:hAnsi="Verdana" w:cs="Arial"/>
          <w:color w:val="000000" w:themeColor="text1"/>
        </w:rPr>
        <w:tab/>
      </w:r>
      <w:r w:rsidRPr="00056C43">
        <w:rPr>
          <w:rFonts w:ascii="Verdana" w:eastAsia="Times New Roman" w:hAnsi="Verdana" w:cs="Arial"/>
          <w:color w:val="000000" w:themeColor="text1"/>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371B48D" w14:textId="77777777" w:rsidR="00056C43" w:rsidRDefault="00056C43" w:rsidP="004856AD">
      <w:pPr>
        <w:tabs>
          <w:tab w:val="left" w:pos="426"/>
        </w:tabs>
        <w:spacing w:after="0" w:line="276" w:lineRule="auto"/>
        <w:jc w:val="both"/>
        <w:rPr>
          <w:rFonts w:ascii="Verdana" w:eastAsia="Times New Roman" w:hAnsi="Verdana" w:cs="Arial"/>
          <w:color w:val="000000" w:themeColor="text1"/>
        </w:rPr>
      </w:pPr>
    </w:p>
    <w:p w14:paraId="09E43EB5" w14:textId="621FA7B5" w:rsidR="004856AD" w:rsidRDefault="00A65558" w:rsidP="004856AD">
      <w:pPr>
        <w:tabs>
          <w:tab w:val="left" w:pos="426"/>
        </w:tabs>
        <w:spacing w:after="0" w:line="276" w:lineRule="auto"/>
        <w:jc w:val="both"/>
        <w:rPr>
          <w:rFonts w:ascii="Verdana" w:eastAsia="Times New Roman" w:hAnsi="Verdana" w:cs="Arial"/>
          <w:color w:val="000000" w:themeColor="text1"/>
        </w:rPr>
      </w:pPr>
      <w:r>
        <w:rPr>
          <w:rFonts w:ascii="Verdana" w:eastAsia="Times New Roman" w:hAnsi="Verdana" w:cs="Arial"/>
          <w:color w:val="000000" w:themeColor="text1"/>
        </w:rPr>
        <w:t>Cordial</w:t>
      </w:r>
      <w:r w:rsidR="004856AD" w:rsidRPr="008C6876">
        <w:rPr>
          <w:rFonts w:ascii="Verdana" w:eastAsia="Times New Roman" w:hAnsi="Verdana" w:cs="Arial"/>
          <w:color w:val="000000" w:themeColor="text1"/>
        </w:rPr>
        <w:t>mente,</w:t>
      </w:r>
    </w:p>
    <w:p w14:paraId="14464DD8" w14:textId="286DEF62" w:rsidR="004856AD" w:rsidRDefault="00A65558" w:rsidP="004856AD">
      <w:pPr>
        <w:tabs>
          <w:tab w:val="left" w:pos="426"/>
        </w:tabs>
        <w:spacing w:after="0" w:line="276" w:lineRule="auto"/>
        <w:jc w:val="center"/>
        <w:rPr>
          <w:rFonts w:ascii="Verdana" w:eastAsia="Times New Roman" w:hAnsi="Verdana" w:cs="Arial"/>
          <w:color w:val="000000" w:themeColor="text1"/>
        </w:rPr>
      </w:pPr>
      <w:r w:rsidRPr="00A65558">
        <w:rPr>
          <w:rFonts w:ascii="Verdana" w:eastAsia="Times New Roman" w:hAnsi="Verdana" w:cs="Arial"/>
          <w:noProof/>
          <w:color w:val="000000" w:themeColor="text1"/>
        </w:rPr>
        <w:lastRenderedPageBreak/>
        <w:drawing>
          <wp:inline distT="0" distB="0" distL="0" distR="0" wp14:anchorId="0BABC5EA" wp14:editId="6F7CF91E">
            <wp:extent cx="3703320" cy="1592580"/>
            <wp:effectExtent l="0" t="0" r="0" b="7620"/>
            <wp:docPr id="17987375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03320" cy="1592580"/>
                    </a:xfrm>
                    <a:prstGeom prst="rect">
                      <a:avLst/>
                    </a:prstGeom>
                    <a:noFill/>
                    <a:ln>
                      <a:noFill/>
                    </a:ln>
                  </pic:spPr>
                </pic:pic>
              </a:graphicData>
            </a:graphic>
          </wp:inline>
        </w:drawing>
      </w:r>
      <w:r w:rsidRPr="00A65558">
        <w:rPr>
          <w:rFonts w:ascii="Verdana" w:eastAsia="Times New Roman" w:hAnsi="Verdana" w:cs="Arial"/>
          <w:color w:val="000000" w:themeColor="text1"/>
        </w:rPr>
        <w:br/>
      </w:r>
    </w:p>
    <w:p w14:paraId="63403D2D" w14:textId="77777777" w:rsidR="00A65558" w:rsidRPr="008506A0" w:rsidRDefault="00A65558" w:rsidP="004856AD">
      <w:pPr>
        <w:tabs>
          <w:tab w:val="left" w:pos="426"/>
        </w:tabs>
        <w:spacing w:after="0" w:line="276" w:lineRule="auto"/>
        <w:jc w:val="center"/>
        <w:rPr>
          <w:rFonts w:ascii="Verdana" w:eastAsia="Times New Roman" w:hAnsi="Verdana" w:cs="Arial"/>
          <w:color w:val="000000" w:themeColor="text1"/>
        </w:rPr>
      </w:pPr>
    </w:p>
    <w:tbl>
      <w:tblPr>
        <w:tblW w:w="5670" w:type="dxa"/>
        <w:tblBorders>
          <w:top w:val="nil"/>
          <w:left w:val="nil"/>
          <w:bottom w:val="nil"/>
          <w:right w:val="nil"/>
          <w:insideH w:val="nil"/>
          <w:insideV w:val="nil"/>
        </w:tblBorders>
        <w:tblLayout w:type="fixed"/>
        <w:tblLook w:val="0400" w:firstRow="0" w:lastRow="0" w:firstColumn="0" w:lastColumn="0" w:noHBand="0" w:noVBand="1"/>
      </w:tblPr>
      <w:tblGrid>
        <w:gridCol w:w="993"/>
        <w:gridCol w:w="4677"/>
      </w:tblGrid>
      <w:tr w:rsidR="004856AD" w:rsidRPr="008C6876" w14:paraId="590A04C7" w14:textId="77777777" w:rsidTr="00A65558">
        <w:trPr>
          <w:trHeight w:val="260"/>
        </w:trPr>
        <w:tc>
          <w:tcPr>
            <w:tcW w:w="993" w:type="dxa"/>
            <w:vAlign w:val="center"/>
          </w:tcPr>
          <w:p w14:paraId="682511C3" w14:textId="77777777" w:rsidR="004856AD" w:rsidRPr="008C6876" w:rsidRDefault="004856AD" w:rsidP="0012112A">
            <w:pPr>
              <w:spacing w:after="0" w:line="276" w:lineRule="auto"/>
              <w:rPr>
                <w:rFonts w:ascii="Verdana" w:hAnsi="Verdana" w:cs="Arial"/>
                <w:bCs/>
                <w:sz w:val="16"/>
                <w:szCs w:val="16"/>
                <w:lang w:eastAsia="es-CO"/>
              </w:rPr>
            </w:pPr>
            <w:r w:rsidRPr="008C6876">
              <w:rPr>
                <w:rFonts w:ascii="Verdana" w:hAnsi="Verdana" w:cs="Arial"/>
                <w:bCs/>
                <w:sz w:val="16"/>
                <w:szCs w:val="16"/>
                <w:lang w:eastAsia="es-CO"/>
              </w:rPr>
              <w:t>Elaboró:</w:t>
            </w:r>
          </w:p>
        </w:tc>
        <w:tc>
          <w:tcPr>
            <w:tcW w:w="4677" w:type="dxa"/>
            <w:tcBorders>
              <w:top w:val="nil"/>
              <w:left w:val="nil"/>
              <w:bottom w:val="dotted" w:sz="4" w:space="0" w:color="7F7F7F"/>
              <w:right w:val="nil"/>
            </w:tcBorders>
            <w:vAlign w:val="center"/>
          </w:tcPr>
          <w:p w14:paraId="43136705" w14:textId="77777777" w:rsidR="00A65558" w:rsidRDefault="00A65558" w:rsidP="0012112A">
            <w:pPr>
              <w:spacing w:after="0" w:line="240" w:lineRule="auto"/>
              <w:rPr>
                <w:rFonts w:ascii="Verdana" w:hAnsi="Verdana" w:cs="Arial"/>
                <w:sz w:val="16"/>
                <w:szCs w:val="16"/>
                <w:lang w:eastAsia="es-CO"/>
              </w:rPr>
            </w:pPr>
            <w:r w:rsidRPr="00A65558">
              <w:rPr>
                <w:rFonts w:ascii="Verdana" w:hAnsi="Verdana" w:cs="Arial"/>
                <w:sz w:val="16"/>
                <w:szCs w:val="16"/>
                <w:lang w:eastAsia="es-CO"/>
              </w:rPr>
              <w:t>Alexandra Rodríguez Motta</w:t>
            </w:r>
          </w:p>
          <w:p w14:paraId="0B9472EF" w14:textId="5A63F3D5" w:rsidR="004856AD" w:rsidRPr="008C6876" w:rsidRDefault="004856AD" w:rsidP="0012112A">
            <w:pPr>
              <w:spacing w:after="0" w:line="240" w:lineRule="auto"/>
              <w:rPr>
                <w:rFonts w:ascii="Verdana" w:hAnsi="Verdana" w:cs="Arial"/>
                <w:sz w:val="16"/>
                <w:szCs w:val="16"/>
                <w:lang w:eastAsia="es-CO"/>
              </w:rPr>
            </w:pPr>
            <w:r w:rsidRPr="008C6876">
              <w:rPr>
                <w:rFonts w:ascii="Verdana" w:hAnsi="Verdana" w:cs="Arial"/>
                <w:sz w:val="16"/>
                <w:szCs w:val="16"/>
                <w:lang w:eastAsia="es-CO"/>
              </w:rPr>
              <w:t>Contratista Subdirección de Gestión Contractual</w:t>
            </w:r>
          </w:p>
        </w:tc>
      </w:tr>
      <w:tr w:rsidR="004856AD" w:rsidRPr="008C6876" w14:paraId="59085C4E" w14:textId="77777777" w:rsidTr="0012112A">
        <w:trPr>
          <w:trHeight w:val="330"/>
        </w:trPr>
        <w:tc>
          <w:tcPr>
            <w:tcW w:w="993" w:type="dxa"/>
            <w:vAlign w:val="center"/>
          </w:tcPr>
          <w:p w14:paraId="70662AD8" w14:textId="77777777" w:rsidR="004856AD" w:rsidRPr="008C6876" w:rsidRDefault="004856AD" w:rsidP="0012112A">
            <w:pPr>
              <w:spacing w:after="0" w:line="276" w:lineRule="auto"/>
              <w:rPr>
                <w:rFonts w:ascii="Verdana" w:hAnsi="Verdana" w:cs="Arial"/>
                <w:bCs/>
                <w:sz w:val="16"/>
                <w:szCs w:val="16"/>
                <w:lang w:eastAsia="es-CO"/>
              </w:rPr>
            </w:pPr>
            <w:r w:rsidRPr="008C6876">
              <w:rPr>
                <w:rFonts w:ascii="Verdana"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tcPr>
          <w:p w14:paraId="5E5166B0" w14:textId="77777777" w:rsidR="00A65558" w:rsidRDefault="00A65558" w:rsidP="0012112A">
            <w:pPr>
              <w:spacing w:after="0" w:line="240" w:lineRule="auto"/>
              <w:rPr>
                <w:rFonts w:ascii="Verdana" w:hAnsi="Verdana" w:cs="Arial"/>
                <w:sz w:val="16"/>
                <w:szCs w:val="16"/>
                <w:lang w:eastAsia="es-CO"/>
              </w:rPr>
            </w:pPr>
            <w:r w:rsidRPr="00A65558">
              <w:rPr>
                <w:rFonts w:ascii="Verdana" w:hAnsi="Verdana" w:cs="Arial"/>
                <w:sz w:val="16"/>
                <w:szCs w:val="16"/>
                <w:lang w:eastAsia="es-CO"/>
              </w:rPr>
              <w:t>Juan David Cárdenas Cabeza</w:t>
            </w:r>
          </w:p>
          <w:p w14:paraId="6200F01C" w14:textId="06B16857" w:rsidR="004856AD" w:rsidRPr="008C6876" w:rsidRDefault="00A65558" w:rsidP="0012112A">
            <w:pPr>
              <w:spacing w:after="0" w:line="240" w:lineRule="auto"/>
              <w:rPr>
                <w:rFonts w:ascii="Verdana" w:hAnsi="Verdana" w:cs="Arial"/>
                <w:sz w:val="16"/>
                <w:szCs w:val="16"/>
                <w:lang w:eastAsia="es-CO"/>
              </w:rPr>
            </w:pPr>
            <w:r w:rsidRPr="008C6876">
              <w:rPr>
                <w:rFonts w:ascii="Verdana" w:hAnsi="Verdana" w:cs="Arial"/>
                <w:sz w:val="16"/>
                <w:szCs w:val="16"/>
                <w:lang w:eastAsia="es-CO"/>
              </w:rPr>
              <w:t>Contratista Subdirección de Gestión Contractual</w:t>
            </w:r>
          </w:p>
        </w:tc>
      </w:tr>
      <w:tr w:rsidR="004856AD" w:rsidRPr="008C6876" w14:paraId="12DD1A30" w14:textId="77777777" w:rsidTr="0012112A">
        <w:trPr>
          <w:trHeight w:val="300"/>
        </w:trPr>
        <w:tc>
          <w:tcPr>
            <w:tcW w:w="993" w:type="dxa"/>
            <w:vAlign w:val="center"/>
          </w:tcPr>
          <w:p w14:paraId="30C9F906" w14:textId="77777777" w:rsidR="004856AD" w:rsidRPr="008C6876" w:rsidRDefault="004856AD" w:rsidP="0012112A">
            <w:pPr>
              <w:spacing w:after="0" w:line="276" w:lineRule="auto"/>
              <w:rPr>
                <w:rFonts w:ascii="Verdana" w:hAnsi="Verdana" w:cs="Arial"/>
                <w:bCs/>
                <w:sz w:val="16"/>
                <w:szCs w:val="16"/>
                <w:lang w:eastAsia="es-CO"/>
              </w:rPr>
            </w:pPr>
            <w:r w:rsidRPr="008C6876">
              <w:rPr>
                <w:rFonts w:ascii="Verdana"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tcPr>
          <w:p w14:paraId="4F63291B" w14:textId="77777777" w:rsidR="004856AD" w:rsidRPr="008C6876" w:rsidRDefault="004856AD" w:rsidP="0012112A">
            <w:pPr>
              <w:spacing w:after="0" w:line="240" w:lineRule="auto"/>
              <w:rPr>
                <w:rFonts w:ascii="Verdana" w:hAnsi="Verdana" w:cs="Arial"/>
                <w:sz w:val="16"/>
                <w:szCs w:val="16"/>
                <w:lang w:eastAsia="es-CO"/>
              </w:rPr>
            </w:pPr>
            <w:r w:rsidRPr="008C6876">
              <w:rPr>
                <w:rFonts w:ascii="Verdana" w:hAnsi="Verdana" w:cs="Arial"/>
                <w:sz w:val="16"/>
                <w:szCs w:val="16"/>
                <w:lang w:eastAsia="es-CO"/>
              </w:rPr>
              <w:t xml:space="preserve"> Carolina Quintero </w:t>
            </w:r>
            <w:proofErr w:type="spellStart"/>
            <w:r w:rsidRPr="008C6876">
              <w:rPr>
                <w:rFonts w:ascii="Verdana" w:hAnsi="Verdana" w:cs="Arial"/>
                <w:sz w:val="16"/>
                <w:szCs w:val="16"/>
                <w:lang w:eastAsia="es-CO"/>
              </w:rPr>
              <w:t>Gacharná</w:t>
            </w:r>
            <w:proofErr w:type="spellEnd"/>
          </w:p>
          <w:p w14:paraId="2A2CC70D" w14:textId="77777777" w:rsidR="004856AD" w:rsidRPr="008C6876" w:rsidRDefault="004856AD" w:rsidP="0012112A">
            <w:pPr>
              <w:spacing w:after="0" w:line="240" w:lineRule="auto"/>
              <w:rPr>
                <w:rFonts w:ascii="Verdana" w:hAnsi="Verdana" w:cs="Arial"/>
                <w:sz w:val="16"/>
                <w:szCs w:val="16"/>
                <w:lang w:eastAsia="es-CO"/>
              </w:rPr>
            </w:pPr>
            <w:r w:rsidRPr="008C6876">
              <w:rPr>
                <w:rFonts w:ascii="Verdana" w:hAnsi="Verdana" w:cs="Arial"/>
                <w:sz w:val="16"/>
                <w:szCs w:val="16"/>
                <w:lang w:eastAsia="es-CO"/>
              </w:rPr>
              <w:t>Subdirectora de Gestión Contractual ANCP – CCE</w:t>
            </w:r>
          </w:p>
        </w:tc>
      </w:tr>
    </w:tbl>
    <w:p w14:paraId="47425C75" w14:textId="77777777" w:rsidR="004856AD" w:rsidRPr="008C6876" w:rsidRDefault="004856AD" w:rsidP="004856AD">
      <w:pPr>
        <w:spacing w:after="0"/>
        <w:rPr>
          <w:rFonts w:ascii="Verdana" w:hAnsi="Verdana"/>
        </w:rPr>
      </w:pPr>
    </w:p>
    <w:p w14:paraId="0083C991" w14:textId="62C71FF5" w:rsidR="5D8505AD" w:rsidRPr="004856AD" w:rsidRDefault="5D8505AD" w:rsidP="004856AD">
      <w:pPr>
        <w:spacing w:after="0" w:line="240" w:lineRule="auto"/>
        <w:rPr>
          <w:rFonts w:ascii="Verdana" w:eastAsia="Times New Roman" w:hAnsi="Verdana" w:cs="Arial"/>
          <w:sz w:val="24"/>
          <w:szCs w:val="24"/>
          <w:lang w:eastAsia="es-ES"/>
        </w:rPr>
      </w:pPr>
    </w:p>
    <w:sectPr w:rsidR="5D8505AD" w:rsidRPr="004856AD"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A0F8F" w14:textId="77777777" w:rsidR="00B41EEC" w:rsidRDefault="00B41EEC" w:rsidP="00B30448">
      <w:pPr>
        <w:spacing w:after="0" w:line="240" w:lineRule="auto"/>
      </w:pPr>
      <w:r>
        <w:separator/>
      </w:r>
    </w:p>
  </w:endnote>
  <w:endnote w:type="continuationSeparator" w:id="0">
    <w:p w14:paraId="6B2D4564" w14:textId="77777777" w:rsidR="00B41EEC" w:rsidRDefault="00B41EEC" w:rsidP="00B30448">
      <w:pPr>
        <w:spacing w:after="0" w:line="240" w:lineRule="auto"/>
      </w:pPr>
      <w:r>
        <w:continuationSeparator/>
      </w:r>
    </w:p>
  </w:endnote>
  <w:endnote w:type="continuationNotice" w:id="1">
    <w:p w14:paraId="276400D9" w14:textId="77777777" w:rsidR="00B41EEC" w:rsidRDefault="00B41E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325CB" w14:textId="77777777" w:rsidR="00B41EEC" w:rsidRDefault="00B41EEC" w:rsidP="00B30448">
      <w:pPr>
        <w:spacing w:after="0" w:line="240" w:lineRule="auto"/>
      </w:pPr>
      <w:r>
        <w:separator/>
      </w:r>
    </w:p>
  </w:footnote>
  <w:footnote w:type="continuationSeparator" w:id="0">
    <w:p w14:paraId="3F6798B9" w14:textId="77777777" w:rsidR="00B41EEC" w:rsidRDefault="00B41EEC" w:rsidP="00B30448">
      <w:pPr>
        <w:spacing w:after="0" w:line="240" w:lineRule="auto"/>
      </w:pPr>
      <w:r>
        <w:continuationSeparator/>
      </w:r>
    </w:p>
  </w:footnote>
  <w:footnote w:type="continuationNotice" w:id="1">
    <w:p w14:paraId="28383389" w14:textId="77777777" w:rsidR="00B41EEC" w:rsidRDefault="00B41E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68E0C024" w14:textId="1397968E" w:rsidR="00B30448" w:rsidRPr="00006F59" w:rsidRDefault="00006F59" w:rsidP="00526081">
    <w:pPr>
      <w:tabs>
        <w:tab w:val="left" w:pos="6217"/>
      </w:tabs>
      <w:spacing w:after="0"/>
    </w:pPr>
    <w:r w:rsidRPr="00A211EE">
      <w:rPr>
        <w:rFonts w:ascii="Verdana" w:hAnsi="Verdana"/>
        <w:b/>
        <w:bCs/>
        <w:sz w:val="24"/>
        <w:szCs w:val="24"/>
      </w:rPr>
      <w:t>FORMATO 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65CF2"/>
    <w:multiLevelType w:val="hybridMultilevel"/>
    <w:tmpl w:val="3282F59C"/>
    <w:lvl w:ilvl="0" w:tplc="77521894">
      <w:start w:val="1"/>
      <w:numFmt w:val="upperRoman"/>
      <w:lvlText w:val="%1."/>
      <w:lvlJc w:val="left"/>
      <w:pPr>
        <w:ind w:left="2136" w:hanging="720"/>
      </w:pPr>
      <w:rPr>
        <w:rFonts w:hint="default"/>
      </w:rPr>
    </w:lvl>
    <w:lvl w:ilvl="1" w:tplc="580A0019" w:tentative="1">
      <w:start w:val="1"/>
      <w:numFmt w:val="lowerLetter"/>
      <w:lvlText w:val="%2."/>
      <w:lvlJc w:val="left"/>
      <w:pPr>
        <w:ind w:left="2496" w:hanging="360"/>
      </w:pPr>
    </w:lvl>
    <w:lvl w:ilvl="2" w:tplc="580A001B" w:tentative="1">
      <w:start w:val="1"/>
      <w:numFmt w:val="lowerRoman"/>
      <w:lvlText w:val="%3."/>
      <w:lvlJc w:val="right"/>
      <w:pPr>
        <w:ind w:left="3216" w:hanging="180"/>
      </w:pPr>
    </w:lvl>
    <w:lvl w:ilvl="3" w:tplc="580A000F" w:tentative="1">
      <w:start w:val="1"/>
      <w:numFmt w:val="decimal"/>
      <w:lvlText w:val="%4."/>
      <w:lvlJc w:val="left"/>
      <w:pPr>
        <w:ind w:left="3936" w:hanging="360"/>
      </w:pPr>
    </w:lvl>
    <w:lvl w:ilvl="4" w:tplc="580A0019" w:tentative="1">
      <w:start w:val="1"/>
      <w:numFmt w:val="lowerLetter"/>
      <w:lvlText w:val="%5."/>
      <w:lvlJc w:val="left"/>
      <w:pPr>
        <w:ind w:left="4656" w:hanging="360"/>
      </w:pPr>
    </w:lvl>
    <w:lvl w:ilvl="5" w:tplc="580A001B" w:tentative="1">
      <w:start w:val="1"/>
      <w:numFmt w:val="lowerRoman"/>
      <w:lvlText w:val="%6."/>
      <w:lvlJc w:val="right"/>
      <w:pPr>
        <w:ind w:left="5376" w:hanging="180"/>
      </w:pPr>
    </w:lvl>
    <w:lvl w:ilvl="6" w:tplc="580A000F" w:tentative="1">
      <w:start w:val="1"/>
      <w:numFmt w:val="decimal"/>
      <w:lvlText w:val="%7."/>
      <w:lvlJc w:val="left"/>
      <w:pPr>
        <w:ind w:left="6096" w:hanging="360"/>
      </w:pPr>
    </w:lvl>
    <w:lvl w:ilvl="7" w:tplc="580A0019" w:tentative="1">
      <w:start w:val="1"/>
      <w:numFmt w:val="lowerLetter"/>
      <w:lvlText w:val="%8."/>
      <w:lvlJc w:val="left"/>
      <w:pPr>
        <w:ind w:left="6816" w:hanging="360"/>
      </w:pPr>
    </w:lvl>
    <w:lvl w:ilvl="8" w:tplc="580A001B" w:tentative="1">
      <w:start w:val="1"/>
      <w:numFmt w:val="lowerRoman"/>
      <w:lvlText w:val="%9."/>
      <w:lvlJc w:val="right"/>
      <w:pPr>
        <w:ind w:left="7536" w:hanging="180"/>
      </w:pPr>
    </w:lvl>
  </w:abstractNum>
  <w:abstractNum w:abstractNumId="1" w15:restartNumberingAfterBreak="0">
    <w:nsid w:val="01C06310"/>
    <w:multiLevelType w:val="multilevel"/>
    <w:tmpl w:val="47FE4C7E"/>
    <w:lvl w:ilvl="0">
      <w:start w:val="1"/>
      <w:numFmt w:val="upperRoman"/>
      <w:lvlText w:val="%1."/>
      <w:lvlJc w:val="right"/>
      <w:pPr>
        <w:ind w:left="1494" w:hanging="360"/>
      </w:pPr>
      <w:rPr>
        <w:b/>
        <w:color w:val="000000" w:themeColor="text1"/>
      </w:rPr>
    </w:lvl>
    <w:lvl w:ilvl="1">
      <w:start w:val="2"/>
      <w:numFmt w:val="decimal"/>
      <w:isLgl/>
      <w:lvlText w:val="%1.%2"/>
      <w:lvlJc w:val="left"/>
      <w:pPr>
        <w:ind w:left="1134" w:hanging="360"/>
      </w:pPr>
    </w:lvl>
    <w:lvl w:ilvl="2">
      <w:start w:val="1"/>
      <w:numFmt w:val="decimal"/>
      <w:isLgl/>
      <w:lvlText w:val="%1.%2.%3"/>
      <w:lvlJc w:val="left"/>
      <w:pPr>
        <w:ind w:left="1854" w:hanging="720"/>
      </w:pPr>
    </w:lvl>
    <w:lvl w:ilvl="3">
      <w:start w:val="1"/>
      <w:numFmt w:val="decimal"/>
      <w:isLgl/>
      <w:lvlText w:val="%1.%2.%3.%4"/>
      <w:lvlJc w:val="left"/>
      <w:pPr>
        <w:ind w:left="1854" w:hanging="720"/>
      </w:pPr>
    </w:lvl>
    <w:lvl w:ilvl="4">
      <w:start w:val="1"/>
      <w:numFmt w:val="decimal"/>
      <w:isLgl/>
      <w:lvlText w:val="%1.%2.%3.%4.%5"/>
      <w:lvlJc w:val="left"/>
      <w:pPr>
        <w:ind w:left="2214" w:hanging="1080"/>
      </w:pPr>
    </w:lvl>
    <w:lvl w:ilvl="5">
      <w:start w:val="1"/>
      <w:numFmt w:val="decimal"/>
      <w:isLgl/>
      <w:lvlText w:val="%1.%2.%3.%4.%5.%6"/>
      <w:lvlJc w:val="left"/>
      <w:pPr>
        <w:ind w:left="2214" w:hanging="1080"/>
      </w:pPr>
    </w:lvl>
    <w:lvl w:ilvl="6">
      <w:start w:val="1"/>
      <w:numFmt w:val="decimal"/>
      <w:isLgl/>
      <w:lvlText w:val="%1.%2.%3.%4.%5.%6.%7"/>
      <w:lvlJc w:val="left"/>
      <w:pPr>
        <w:ind w:left="2574" w:hanging="1440"/>
      </w:pPr>
    </w:lvl>
    <w:lvl w:ilvl="7">
      <w:start w:val="1"/>
      <w:numFmt w:val="decimal"/>
      <w:isLgl/>
      <w:lvlText w:val="%1.%2.%3.%4.%5.%6.%7.%8"/>
      <w:lvlJc w:val="left"/>
      <w:pPr>
        <w:ind w:left="2574" w:hanging="1440"/>
      </w:pPr>
    </w:lvl>
    <w:lvl w:ilvl="8">
      <w:start w:val="1"/>
      <w:numFmt w:val="decimal"/>
      <w:isLgl/>
      <w:lvlText w:val="%1.%2.%3.%4.%5.%6.%7.%8.%9"/>
      <w:lvlJc w:val="left"/>
      <w:pPr>
        <w:ind w:left="2934" w:hanging="1800"/>
      </w:pPr>
    </w:lvl>
  </w:abstractNum>
  <w:abstractNum w:abstractNumId="2" w15:restartNumberingAfterBreak="0">
    <w:nsid w:val="0DF100D8"/>
    <w:multiLevelType w:val="hybridMultilevel"/>
    <w:tmpl w:val="3BB0570E"/>
    <w:lvl w:ilvl="0" w:tplc="580A0001">
      <w:start w:val="1"/>
      <w:numFmt w:val="bullet"/>
      <w:lvlText w:val=""/>
      <w:lvlJc w:val="left"/>
      <w:pPr>
        <w:ind w:left="720" w:hanging="360"/>
      </w:pPr>
      <w:rPr>
        <w:rFonts w:ascii="Symbol" w:hAnsi="Symbol" w:hint="default"/>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EA6317D"/>
    <w:multiLevelType w:val="hybridMultilevel"/>
    <w:tmpl w:val="3C7A85FC"/>
    <w:lvl w:ilvl="0" w:tplc="01C08E36">
      <w:start w:val="1"/>
      <w:numFmt w:val="upperRoman"/>
      <w:lvlText w:val="%1."/>
      <w:lvlJc w:val="left"/>
      <w:pPr>
        <w:ind w:left="1080" w:hanging="72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 w15:restartNumberingAfterBreak="0">
    <w:nsid w:val="16C416DE"/>
    <w:multiLevelType w:val="multilevel"/>
    <w:tmpl w:val="E304CA9A"/>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15:restartNumberingAfterBreak="0">
    <w:nsid w:val="189B2230"/>
    <w:multiLevelType w:val="hybridMultilevel"/>
    <w:tmpl w:val="372A92AE"/>
    <w:lvl w:ilvl="0" w:tplc="C1A6A0E0">
      <w:start w:val="4"/>
      <w:numFmt w:val="upperRoman"/>
      <w:lvlText w:val="%1."/>
      <w:lvlJc w:val="left"/>
      <w:pPr>
        <w:ind w:left="1080" w:hanging="72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 w15:restartNumberingAfterBreak="0">
    <w:nsid w:val="1E8C274E"/>
    <w:multiLevelType w:val="hybridMultilevel"/>
    <w:tmpl w:val="95DA53EC"/>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27341EAA"/>
    <w:multiLevelType w:val="hybridMultilevel"/>
    <w:tmpl w:val="3EB4D5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CFF7C1D"/>
    <w:multiLevelType w:val="hybridMultilevel"/>
    <w:tmpl w:val="696EF856"/>
    <w:lvl w:ilvl="0" w:tplc="4D96D3BC">
      <w:start w:val="1"/>
      <w:numFmt w:val="upperRoman"/>
      <w:lvlText w:val="%1."/>
      <w:lvlJc w:val="left"/>
      <w:pPr>
        <w:ind w:left="1428" w:hanging="720"/>
      </w:pPr>
      <w:rPr>
        <w:rFonts w:hint="default"/>
      </w:r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9"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9D726F5"/>
    <w:multiLevelType w:val="hybridMultilevel"/>
    <w:tmpl w:val="7BDC1A10"/>
    <w:lvl w:ilvl="0" w:tplc="040A0001">
      <w:start w:val="1"/>
      <w:numFmt w:val="bullet"/>
      <w:lvlText w:val=""/>
      <w:lvlJc w:val="left"/>
      <w:pPr>
        <w:ind w:left="6" w:hanging="360"/>
      </w:pPr>
      <w:rPr>
        <w:rFonts w:ascii="Symbol" w:hAnsi="Symbol" w:hint="default"/>
      </w:rPr>
    </w:lvl>
    <w:lvl w:ilvl="1" w:tplc="040A0003" w:tentative="1">
      <w:start w:val="1"/>
      <w:numFmt w:val="bullet"/>
      <w:lvlText w:val="o"/>
      <w:lvlJc w:val="left"/>
      <w:pPr>
        <w:ind w:left="726" w:hanging="360"/>
      </w:pPr>
      <w:rPr>
        <w:rFonts w:ascii="Courier New" w:hAnsi="Courier New" w:cs="Courier New" w:hint="default"/>
      </w:rPr>
    </w:lvl>
    <w:lvl w:ilvl="2" w:tplc="040A0005" w:tentative="1">
      <w:start w:val="1"/>
      <w:numFmt w:val="bullet"/>
      <w:lvlText w:val=""/>
      <w:lvlJc w:val="left"/>
      <w:pPr>
        <w:ind w:left="1446" w:hanging="360"/>
      </w:pPr>
      <w:rPr>
        <w:rFonts w:ascii="Wingdings" w:hAnsi="Wingdings" w:hint="default"/>
      </w:rPr>
    </w:lvl>
    <w:lvl w:ilvl="3" w:tplc="040A0001" w:tentative="1">
      <w:start w:val="1"/>
      <w:numFmt w:val="bullet"/>
      <w:lvlText w:val=""/>
      <w:lvlJc w:val="left"/>
      <w:pPr>
        <w:ind w:left="2166" w:hanging="360"/>
      </w:pPr>
      <w:rPr>
        <w:rFonts w:ascii="Symbol" w:hAnsi="Symbol" w:hint="default"/>
      </w:rPr>
    </w:lvl>
    <w:lvl w:ilvl="4" w:tplc="040A0003" w:tentative="1">
      <w:start w:val="1"/>
      <w:numFmt w:val="bullet"/>
      <w:lvlText w:val="o"/>
      <w:lvlJc w:val="left"/>
      <w:pPr>
        <w:ind w:left="2886" w:hanging="360"/>
      </w:pPr>
      <w:rPr>
        <w:rFonts w:ascii="Courier New" w:hAnsi="Courier New" w:cs="Courier New" w:hint="default"/>
      </w:rPr>
    </w:lvl>
    <w:lvl w:ilvl="5" w:tplc="040A0005" w:tentative="1">
      <w:start w:val="1"/>
      <w:numFmt w:val="bullet"/>
      <w:lvlText w:val=""/>
      <w:lvlJc w:val="left"/>
      <w:pPr>
        <w:ind w:left="3606" w:hanging="360"/>
      </w:pPr>
      <w:rPr>
        <w:rFonts w:ascii="Wingdings" w:hAnsi="Wingdings" w:hint="default"/>
      </w:rPr>
    </w:lvl>
    <w:lvl w:ilvl="6" w:tplc="040A0001" w:tentative="1">
      <w:start w:val="1"/>
      <w:numFmt w:val="bullet"/>
      <w:lvlText w:val=""/>
      <w:lvlJc w:val="left"/>
      <w:pPr>
        <w:ind w:left="4326" w:hanging="360"/>
      </w:pPr>
      <w:rPr>
        <w:rFonts w:ascii="Symbol" w:hAnsi="Symbol" w:hint="default"/>
      </w:rPr>
    </w:lvl>
    <w:lvl w:ilvl="7" w:tplc="040A0003" w:tentative="1">
      <w:start w:val="1"/>
      <w:numFmt w:val="bullet"/>
      <w:lvlText w:val="o"/>
      <w:lvlJc w:val="left"/>
      <w:pPr>
        <w:ind w:left="5046" w:hanging="360"/>
      </w:pPr>
      <w:rPr>
        <w:rFonts w:ascii="Courier New" w:hAnsi="Courier New" w:cs="Courier New" w:hint="default"/>
      </w:rPr>
    </w:lvl>
    <w:lvl w:ilvl="8" w:tplc="040A0005" w:tentative="1">
      <w:start w:val="1"/>
      <w:numFmt w:val="bullet"/>
      <w:lvlText w:val=""/>
      <w:lvlJc w:val="left"/>
      <w:pPr>
        <w:ind w:left="5766" w:hanging="360"/>
      </w:pPr>
      <w:rPr>
        <w:rFonts w:ascii="Wingdings" w:hAnsi="Wingdings" w:hint="default"/>
      </w:rPr>
    </w:lvl>
  </w:abstractNum>
  <w:abstractNum w:abstractNumId="11" w15:restartNumberingAfterBreak="0">
    <w:nsid w:val="3CEB31C5"/>
    <w:multiLevelType w:val="multilevel"/>
    <w:tmpl w:val="17C2AED0"/>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40536352"/>
    <w:multiLevelType w:val="hybridMultilevel"/>
    <w:tmpl w:val="3BFEF5E8"/>
    <w:lvl w:ilvl="0" w:tplc="0F0C8582">
      <w:start w:val="3"/>
      <w:numFmt w:val="upperRoman"/>
      <w:lvlText w:val="%1."/>
      <w:lvlJc w:val="left"/>
      <w:pPr>
        <w:ind w:left="2136" w:hanging="72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3" w15:restartNumberingAfterBreak="0">
    <w:nsid w:val="4C8F5A50"/>
    <w:multiLevelType w:val="hybridMultilevel"/>
    <w:tmpl w:val="F7BA2FD4"/>
    <w:lvl w:ilvl="0" w:tplc="580A0001">
      <w:start w:val="1"/>
      <w:numFmt w:val="bullet"/>
      <w:lvlText w:val=""/>
      <w:lvlJc w:val="left"/>
      <w:pPr>
        <w:ind w:left="1147" w:hanging="360"/>
      </w:pPr>
      <w:rPr>
        <w:rFonts w:ascii="Symbol" w:hAnsi="Symbol" w:hint="default"/>
      </w:rPr>
    </w:lvl>
    <w:lvl w:ilvl="1" w:tplc="580A0003" w:tentative="1">
      <w:start w:val="1"/>
      <w:numFmt w:val="bullet"/>
      <w:lvlText w:val="o"/>
      <w:lvlJc w:val="left"/>
      <w:pPr>
        <w:ind w:left="1867" w:hanging="360"/>
      </w:pPr>
      <w:rPr>
        <w:rFonts w:ascii="Courier New" w:hAnsi="Courier New" w:cs="Courier New" w:hint="default"/>
      </w:rPr>
    </w:lvl>
    <w:lvl w:ilvl="2" w:tplc="580A0005" w:tentative="1">
      <w:start w:val="1"/>
      <w:numFmt w:val="bullet"/>
      <w:lvlText w:val=""/>
      <w:lvlJc w:val="left"/>
      <w:pPr>
        <w:ind w:left="2587" w:hanging="360"/>
      </w:pPr>
      <w:rPr>
        <w:rFonts w:ascii="Wingdings" w:hAnsi="Wingdings" w:hint="default"/>
      </w:rPr>
    </w:lvl>
    <w:lvl w:ilvl="3" w:tplc="580A0001" w:tentative="1">
      <w:start w:val="1"/>
      <w:numFmt w:val="bullet"/>
      <w:lvlText w:val=""/>
      <w:lvlJc w:val="left"/>
      <w:pPr>
        <w:ind w:left="3307" w:hanging="360"/>
      </w:pPr>
      <w:rPr>
        <w:rFonts w:ascii="Symbol" w:hAnsi="Symbol" w:hint="default"/>
      </w:rPr>
    </w:lvl>
    <w:lvl w:ilvl="4" w:tplc="580A0003" w:tentative="1">
      <w:start w:val="1"/>
      <w:numFmt w:val="bullet"/>
      <w:lvlText w:val="o"/>
      <w:lvlJc w:val="left"/>
      <w:pPr>
        <w:ind w:left="4027" w:hanging="360"/>
      </w:pPr>
      <w:rPr>
        <w:rFonts w:ascii="Courier New" w:hAnsi="Courier New" w:cs="Courier New" w:hint="default"/>
      </w:rPr>
    </w:lvl>
    <w:lvl w:ilvl="5" w:tplc="580A0005" w:tentative="1">
      <w:start w:val="1"/>
      <w:numFmt w:val="bullet"/>
      <w:lvlText w:val=""/>
      <w:lvlJc w:val="left"/>
      <w:pPr>
        <w:ind w:left="4747" w:hanging="360"/>
      </w:pPr>
      <w:rPr>
        <w:rFonts w:ascii="Wingdings" w:hAnsi="Wingdings" w:hint="default"/>
      </w:rPr>
    </w:lvl>
    <w:lvl w:ilvl="6" w:tplc="580A0001" w:tentative="1">
      <w:start w:val="1"/>
      <w:numFmt w:val="bullet"/>
      <w:lvlText w:val=""/>
      <w:lvlJc w:val="left"/>
      <w:pPr>
        <w:ind w:left="5467" w:hanging="360"/>
      </w:pPr>
      <w:rPr>
        <w:rFonts w:ascii="Symbol" w:hAnsi="Symbol" w:hint="default"/>
      </w:rPr>
    </w:lvl>
    <w:lvl w:ilvl="7" w:tplc="580A0003" w:tentative="1">
      <w:start w:val="1"/>
      <w:numFmt w:val="bullet"/>
      <w:lvlText w:val="o"/>
      <w:lvlJc w:val="left"/>
      <w:pPr>
        <w:ind w:left="6187" w:hanging="360"/>
      </w:pPr>
      <w:rPr>
        <w:rFonts w:ascii="Courier New" w:hAnsi="Courier New" w:cs="Courier New" w:hint="default"/>
      </w:rPr>
    </w:lvl>
    <w:lvl w:ilvl="8" w:tplc="580A0005" w:tentative="1">
      <w:start w:val="1"/>
      <w:numFmt w:val="bullet"/>
      <w:lvlText w:val=""/>
      <w:lvlJc w:val="left"/>
      <w:pPr>
        <w:ind w:left="6907" w:hanging="360"/>
      </w:pPr>
      <w:rPr>
        <w:rFonts w:ascii="Wingdings" w:hAnsi="Wingdings" w:hint="default"/>
      </w:rPr>
    </w:lvl>
  </w:abstractNum>
  <w:abstractNum w:abstractNumId="14" w15:restartNumberingAfterBreak="0">
    <w:nsid w:val="58E80ACA"/>
    <w:multiLevelType w:val="multilevel"/>
    <w:tmpl w:val="4D44BBB2"/>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5" w15:restartNumberingAfterBreak="0">
    <w:nsid w:val="60D401C1"/>
    <w:multiLevelType w:val="hybridMultilevel"/>
    <w:tmpl w:val="87EE4DBA"/>
    <w:lvl w:ilvl="0" w:tplc="FFFFFFFF">
      <w:start w:val="4"/>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5506FE4"/>
    <w:multiLevelType w:val="multilevel"/>
    <w:tmpl w:val="AAF4BCFA"/>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7" w15:restartNumberingAfterBreak="0">
    <w:nsid w:val="684E39B7"/>
    <w:multiLevelType w:val="hybridMultilevel"/>
    <w:tmpl w:val="E774DC7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6A9C2239"/>
    <w:multiLevelType w:val="multilevel"/>
    <w:tmpl w:val="43406D58"/>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9" w15:restartNumberingAfterBreak="0">
    <w:nsid w:val="7D585FD4"/>
    <w:multiLevelType w:val="hybridMultilevel"/>
    <w:tmpl w:val="09BE15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330140246">
    <w:abstractNumId w:val="1"/>
  </w:num>
  <w:num w:numId="2" w16cid:durableId="1492209491">
    <w:abstractNumId w:val="9"/>
  </w:num>
  <w:num w:numId="3" w16cid:durableId="679089576">
    <w:abstractNumId w:val="10"/>
  </w:num>
  <w:num w:numId="4" w16cid:durableId="1270817427">
    <w:abstractNumId w:val="7"/>
  </w:num>
  <w:num w:numId="5" w16cid:durableId="1206329769">
    <w:abstractNumId w:val="19"/>
  </w:num>
  <w:num w:numId="6" w16cid:durableId="776363746">
    <w:abstractNumId w:val="6"/>
  </w:num>
  <w:num w:numId="7" w16cid:durableId="614169450">
    <w:abstractNumId w:val="18"/>
  </w:num>
  <w:num w:numId="8" w16cid:durableId="334235364">
    <w:abstractNumId w:val="14"/>
  </w:num>
  <w:num w:numId="9" w16cid:durableId="57483220">
    <w:abstractNumId w:val="11"/>
  </w:num>
  <w:num w:numId="10" w16cid:durableId="872109732">
    <w:abstractNumId w:val="16"/>
  </w:num>
  <w:num w:numId="11" w16cid:durableId="565452798">
    <w:abstractNumId w:val="3"/>
  </w:num>
  <w:num w:numId="12" w16cid:durableId="2003122808">
    <w:abstractNumId w:val="4"/>
  </w:num>
  <w:num w:numId="13" w16cid:durableId="604731450">
    <w:abstractNumId w:val="8"/>
  </w:num>
  <w:num w:numId="14" w16cid:durableId="1030299717">
    <w:abstractNumId w:val="0"/>
  </w:num>
  <w:num w:numId="15" w16cid:durableId="461382018">
    <w:abstractNumId w:val="12"/>
  </w:num>
  <w:num w:numId="16" w16cid:durableId="365260255">
    <w:abstractNumId w:val="13"/>
  </w:num>
  <w:num w:numId="17" w16cid:durableId="1163282413">
    <w:abstractNumId w:val="2"/>
  </w:num>
  <w:num w:numId="18" w16cid:durableId="225606180">
    <w:abstractNumId w:val="5"/>
  </w:num>
  <w:num w:numId="19" w16cid:durableId="1536843838">
    <w:abstractNumId w:val="17"/>
  </w:num>
  <w:num w:numId="20" w16cid:durableId="19238335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5BB0"/>
    <w:rsid w:val="00006F59"/>
    <w:rsid w:val="0001025F"/>
    <w:rsid w:val="0001222D"/>
    <w:rsid w:val="00013D73"/>
    <w:rsid w:val="00016F04"/>
    <w:rsid w:val="0002155A"/>
    <w:rsid w:val="000270E6"/>
    <w:rsid w:val="00027F0B"/>
    <w:rsid w:val="00031EAF"/>
    <w:rsid w:val="00033390"/>
    <w:rsid w:val="000442CC"/>
    <w:rsid w:val="00055312"/>
    <w:rsid w:val="00056C43"/>
    <w:rsid w:val="00057963"/>
    <w:rsid w:val="000609DE"/>
    <w:rsid w:val="000716AB"/>
    <w:rsid w:val="00071AB8"/>
    <w:rsid w:val="00087073"/>
    <w:rsid w:val="00087C01"/>
    <w:rsid w:val="00094663"/>
    <w:rsid w:val="000A1843"/>
    <w:rsid w:val="000B1FF7"/>
    <w:rsid w:val="000B4024"/>
    <w:rsid w:val="000C060A"/>
    <w:rsid w:val="000D6816"/>
    <w:rsid w:val="000E7C5E"/>
    <w:rsid w:val="000F1AD8"/>
    <w:rsid w:val="000F414C"/>
    <w:rsid w:val="000F5C0E"/>
    <w:rsid w:val="001010D3"/>
    <w:rsid w:val="0011037E"/>
    <w:rsid w:val="0012211C"/>
    <w:rsid w:val="00123979"/>
    <w:rsid w:val="0013343F"/>
    <w:rsid w:val="001363C7"/>
    <w:rsid w:val="00161E13"/>
    <w:rsid w:val="00164AE0"/>
    <w:rsid w:val="0017120C"/>
    <w:rsid w:val="00172DDC"/>
    <w:rsid w:val="00172F3A"/>
    <w:rsid w:val="001918F1"/>
    <w:rsid w:val="00197205"/>
    <w:rsid w:val="001B143B"/>
    <w:rsid w:val="001B21CA"/>
    <w:rsid w:val="001B3010"/>
    <w:rsid w:val="001B7ABB"/>
    <w:rsid w:val="001C0DAE"/>
    <w:rsid w:val="001C218A"/>
    <w:rsid w:val="001D1AB9"/>
    <w:rsid w:val="001D62B5"/>
    <w:rsid w:val="001E2436"/>
    <w:rsid w:val="002000AA"/>
    <w:rsid w:val="0020150A"/>
    <w:rsid w:val="00204109"/>
    <w:rsid w:val="00213670"/>
    <w:rsid w:val="00215516"/>
    <w:rsid w:val="002267D2"/>
    <w:rsid w:val="0022697D"/>
    <w:rsid w:val="00247BDE"/>
    <w:rsid w:val="00264C7C"/>
    <w:rsid w:val="00266820"/>
    <w:rsid w:val="00270443"/>
    <w:rsid w:val="00270EE2"/>
    <w:rsid w:val="00272A7B"/>
    <w:rsid w:val="00275C6A"/>
    <w:rsid w:val="0028428D"/>
    <w:rsid w:val="0028709F"/>
    <w:rsid w:val="00295D18"/>
    <w:rsid w:val="00297052"/>
    <w:rsid w:val="00297352"/>
    <w:rsid w:val="00297785"/>
    <w:rsid w:val="002A0F8D"/>
    <w:rsid w:val="002A2F4A"/>
    <w:rsid w:val="002A50FE"/>
    <w:rsid w:val="002B6E44"/>
    <w:rsid w:val="002B6FC2"/>
    <w:rsid w:val="002C4EFD"/>
    <w:rsid w:val="002C5914"/>
    <w:rsid w:val="002E44AB"/>
    <w:rsid w:val="002E7898"/>
    <w:rsid w:val="002F317F"/>
    <w:rsid w:val="002F3A64"/>
    <w:rsid w:val="00306EC1"/>
    <w:rsid w:val="003078CA"/>
    <w:rsid w:val="003109CC"/>
    <w:rsid w:val="00314FAF"/>
    <w:rsid w:val="00315C21"/>
    <w:rsid w:val="00334B56"/>
    <w:rsid w:val="00340039"/>
    <w:rsid w:val="00340DFB"/>
    <w:rsid w:val="00343B47"/>
    <w:rsid w:val="0034404F"/>
    <w:rsid w:val="00345F01"/>
    <w:rsid w:val="00354A2D"/>
    <w:rsid w:val="0035635F"/>
    <w:rsid w:val="003617AE"/>
    <w:rsid w:val="003651AC"/>
    <w:rsid w:val="00366120"/>
    <w:rsid w:val="00367462"/>
    <w:rsid w:val="003705D6"/>
    <w:rsid w:val="003751C7"/>
    <w:rsid w:val="00376116"/>
    <w:rsid w:val="003831F1"/>
    <w:rsid w:val="0039082A"/>
    <w:rsid w:val="003A1A7A"/>
    <w:rsid w:val="003B0518"/>
    <w:rsid w:val="003B6569"/>
    <w:rsid w:val="003C4C96"/>
    <w:rsid w:val="003C55E0"/>
    <w:rsid w:val="003D0079"/>
    <w:rsid w:val="003D7A00"/>
    <w:rsid w:val="003E0E25"/>
    <w:rsid w:val="003E2621"/>
    <w:rsid w:val="003E6944"/>
    <w:rsid w:val="003F04B1"/>
    <w:rsid w:val="00400EBA"/>
    <w:rsid w:val="00403634"/>
    <w:rsid w:val="00404592"/>
    <w:rsid w:val="0040544F"/>
    <w:rsid w:val="00411B17"/>
    <w:rsid w:val="0041222D"/>
    <w:rsid w:val="004179EE"/>
    <w:rsid w:val="00421608"/>
    <w:rsid w:val="0043414C"/>
    <w:rsid w:val="00443DCA"/>
    <w:rsid w:val="00444A53"/>
    <w:rsid w:val="00445991"/>
    <w:rsid w:val="00450BE7"/>
    <w:rsid w:val="00455B00"/>
    <w:rsid w:val="0046042E"/>
    <w:rsid w:val="00466939"/>
    <w:rsid w:val="00471FE8"/>
    <w:rsid w:val="0048026E"/>
    <w:rsid w:val="004807A9"/>
    <w:rsid w:val="004813EE"/>
    <w:rsid w:val="004856AD"/>
    <w:rsid w:val="0049175F"/>
    <w:rsid w:val="00493278"/>
    <w:rsid w:val="004932E8"/>
    <w:rsid w:val="004B2F64"/>
    <w:rsid w:val="004C1619"/>
    <w:rsid w:val="004D11AF"/>
    <w:rsid w:val="004E0876"/>
    <w:rsid w:val="004E2FF7"/>
    <w:rsid w:val="004F0D19"/>
    <w:rsid w:val="004F314D"/>
    <w:rsid w:val="004F62E8"/>
    <w:rsid w:val="004F78F8"/>
    <w:rsid w:val="005019AA"/>
    <w:rsid w:val="005119EA"/>
    <w:rsid w:val="00512E2E"/>
    <w:rsid w:val="005147DA"/>
    <w:rsid w:val="00515745"/>
    <w:rsid w:val="00516942"/>
    <w:rsid w:val="005233F3"/>
    <w:rsid w:val="0052365C"/>
    <w:rsid w:val="00526081"/>
    <w:rsid w:val="00536496"/>
    <w:rsid w:val="00540C3F"/>
    <w:rsid w:val="005426DB"/>
    <w:rsid w:val="00550113"/>
    <w:rsid w:val="0055082B"/>
    <w:rsid w:val="00552B57"/>
    <w:rsid w:val="005752DD"/>
    <w:rsid w:val="00582542"/>
    <w:rsid w:val="005872DD"/>
    <w:rsid w:val="00591C75"/>
    <w:rsid w:val="00592D10"/>
    <w:rsid w:val="00593A5F"/>
    <w:rsid w:val="00595775"/>
    <w:rsid w:val="005A4DB0"/>
    <w:rsid w:val="005A5281"/>
    <w:rsid w:val="005A7B8E"/>
    <w:rsid w:val="005B012B"/>
    <w:rsid w:val="005B0C87"/>
    <w:rsid w:val="005B26AE"/>
    <w:rsid w:val="005C3E9E"/>
    <w:rsid w:val="005C4031"/>
    <w:rsid w:val="005D5A5A"/>
    <w:rsid w:val="005D72FC"/>
    <w:rsid w:val="005E2281"/>
    <w:rsid w:val="005E667C"/>
    <w:rsid w:val="005E6A1D"/>
    <w:rsid w:val="005F077C"/>
    <w:rsid w:val="005F58A6"/>
    <w:rsid w:val="0061744F"/>
    <w:rsid w:val="0062164B"/>
    <w:rsid w:val="006300CD"/>
    <w:rsid w:val="0063017E"/>
    <w:rsid w:val="00631D4F"/>
    <w:rsid w:val="006323E8"/>
    <w:rsid w:val="00632D38"/>
    <w:rsid w:val="006351FD"/>
    <w:rsid w:val="006371FB"/>
    <w:rsid w:val="006413D8"/>
    <w:rsid w:val="00646629"/>
    <w:rsid w:val="0066351C"/>
    <w:rsid w:val="006651CC"/>
    <w:rsid w:val="00677012"/>
    <w:rsid w:val="006825B4"/>
    <w:rsid w:val="006829BA"/>
    <w:rsid w:val="00682AF2"/>
    <w:rsid w:val="00682B9F"/>
    <w:rsid w:val="00687628"/>
    <w:rsid w:val="006958F3"/>
    <w:rsid w:val="006A3C8A"/>
    <w:rsid w:val="006A3E61"/>
    <w:rsid w:val="006C262B"/>
    <w:rsid w:val="006D3C1D"/>
    <w:rsid w:val="006E0DCF"/>
    <w:rsid w:val="006F0CDD"/>
    <w:rsid w:val="006F3B81"/>
    <w:rsid w:val="006F4F79"/>
    <w:rsid w:val="00702BC3"/>
    <w:rsid w:val="007036FE"/>
    <w:rsid w:val="00705A50"/>
    <w:rsid w:val="00705B37"/>
    <w:rsid w:val="00707C1A"/>
    <w:rsid w:val="0071023D"/>
    <w:rsid w:val="00717762"/>
    <w:rsid w:val="0072313A"/>
    <w:rsid w:val="00737434"/>
    <w:rsid w:val="00742606"/>
    <w:rsid w:val="00744971"/>
    <w:rsid w:val="00747569"/>
    <w:rsid w:val="007562EE"/>
    <w:rsid w:val="00760218"/>
    <w:rsid w:val="00761547"/>
    <w:rsid w:val="00761F4F"/>
    <w:rsid w:val="007628B0"/>
    <w:rsid w:val="00762B8B"/>
    <w:rsid w:val="007630C1"/>
    <w:rsid w:val="00773B59"/>
    <w:rsid w:val="00782E10"/>
    <w:rsid w:val="007900EF"/>
    <w:rsid w:val="007943C1"/>
    <w:rsid w:val="00797131"/>
    <w:rsid w:val="007A0D55"/>
    <w:rsid w:val="007A6510"/>
    <w:rsid w:val="007B51C4"/>
    <w:rsid w:val="007C3183"/>
    <w:rsid w:val="007C6BC6"/>
    <w:rsid w:val="007E2419"/>
    <w:rsid w:val="007E66E2"/>
    <w:rsid w:val="007F038C"/>
    <w:rsid w:val="007F1FFD"/>
    <w:rsid w:val="007F222B"/>
    <w:rsid w:val="007F2C14"/>
    <w:rsid w:val="00801A0E"/>
    <w:rsid w:val="00803659"/>
    <w:rsid w:val="0080662C"/>
    <w:rsid w:val="00807D79"/>
    <w:rsid w:val="00817CFE"/>
    <w:rsid w:val="0083460C"/>
    <w:rsid w:val="00846212"/>
    <w:rsid w:val="008468E0"/>
    <w:rsid w:val="008508BA"/>
    <w:rsid w:val="00850934"/>
    <w:rsid w:val="00852ADD"/>
    <w:rsid w:val="00861C6C"/>
    <w:rsid w:val="00870323"/>
    <w:rsid w:val="00877D03"/>
    <w:rsid w:val="00877E96"/>
    <w:rsid w:val="00887B37"/>
    <w:rsid w:val="00890598"/>
    <w:rsid w:val="00891DFC"/>
    <w:rsid w:val="008932B5"/>
    <w:rsid w:val="00895426"/>
    <w:rsid w:val="00895F3C"/>
    <w:rsid w:val="00897CF0"/>
    <w:rsid w:val="008A29F2"/>
    <w:rsid w:val="008A6317"/>
    <w:rsid w:val="008A7525"/>
    <w:rsid w:val="008B7914"/>
    <w:rsid w:val="008C5D2A"/>
    <w:rsid w:val="008C7AF4"/>
    <w:rsid w:val="008D1079"/>
    <w:rsid w:val="008D375F"/>
    <w:rsid w:val="008F65C3"/>
    <w:rsid w:val="009050B7"/>
    <w:rsid w:val="009061B8"/>
    <w:rsid w:val="0091639C"/>
    <w:rsid w:val="00922519"/>
    <w:rsid w:val="009262E4"/>
    <w:rsid w:val="0092741D"/>
    <w:rsid w:val="009311AA"/>
    <w:rsid w:val="00932E7E"/>
    <w:rsid w:val="009442E8"/>
    <w:rsid w:val="00952524"/>
    <w:rsid w:val="0095426C"/>
    <w:rsid w:val="00965865"/>
    <w:rsid w:val="00967730"/>
    <w:rsid w:val="00971074"/>
    <w:rsid w:val="00974BCB"/>
    <w:rsid w:val="009856EC"/>
    <w:rsid w:val="00985B04"/>
    <w:rsid w:val="00992986"/>
    <w:rsid w:val="00995D86"/>
    <w:rsid w:val="009A1E58"/>
    <w:rsid w:val="009A5453"/>
    <w:rsid w:val="009A7883"/>
    <w:rsid w:val="009C0ECC"/>
    <w:rsid w:val="009C2A12"/>
    <w:rsid w:val="009C4E0D"/>
    <w:rsid w:val="009C4FDC"/>
    <w:rsid w:val="009C54C0"/>
    <w:rsid w:val="009D3E06"/>
    <w:rsid w:val="009D44F9"/>
    <w:rsid w:val="009D638D"/>
    <w:rsid w:val="009E4885"/>
    <w:rsid w:val="009E547D"/>
    <w:rsid w:val="009F0A85"/>
    <w:rsid w:val="009F7528"/>
    <w:rsid w:val="009F7F43"/>
    <w:rsid w:val="00A01EBE"/>
    <w:rsid w:val="00A05623"/>
    <w:rsid w:val="00A07DB6"/>
    <w:rsid w:val="00A1554D"/>
    <w:rsid w:val="00A172E0"/>
    <w:rsid w:val="00A221A3"/>
    <w:rsid w:val="00A223D5"/>
    <w:rsid w:val="00A35E7B"/>
    <w:rsid w:val="00A37D1C"/>
    <w:rsid w:val="00A47249"/>
    <w:rsid w:val="00A513FD"/>
    <w:rsid w:val="00A539AD"/>
    <w:rsid w:val="00A65558"/>
    <w:rsid w:val="00A6730D"/>
    <w:rsid w:val="00A75EDC"/>
    <w:rsid w:val="00A81287"/>
    <w:rsid w:val="00A81E50"/>
    <w:rsid w:val="00A8210A"/>
    <w:rsid w:val="00A83E49"/>
    <w:rsid w:val="00A84221"/>
    <w:rsid w:val="00A84B7A"/>
    <w:rsid w:val="00A9099E"/>
    <w:rsid w:val="00A91FB7"/>
    <w:rsid w:val="00A9298F"/>
    <w:rsid w:val="00AB1984"/>
    <w:rsid w:val="00AC4CB3"/>
    <w:rsid w:val="00AC7261"/>
    <w:rsid w:val="00AC742F"/>
    <w:rsid w:val="00AC774F"/>
    <w:rsid w:val="00AC780D"/>
    <w:rsid w:val="00AD4B3A"/>
    <w:rsid w:val="00AF3D62"/>
    <w:rsid w:val="00B0104B"/>
    <w:rsid w:val="00B03A35"/>
    <w:rsid w:val="00B057B6"/>
    <w:rsid w:val="00B104E6"/>
    <w:rsid w:val="00B10C3C"/>
    <w:rsid w:val="00B20773"/>
    <w:rsid w:val="00B22870"/>
    <w:rsid w:val="00B268D0"/>
    <w:rsid w:val="00B30448"/>
    <w:rsid w:val="00B31315"/>
    <w:rsid w:val="00B40162"/>
    <w:rsid w:val="00B41ACE"/>
    <w:rsid w:val="00B41EEC"/>
    <w:rsid w:val="00B43212"/>
    <w:rsid w:val="00B4523F"/>
    <w:rsid w:val="00B50156"/>
    <w:rsid w:val="00B518AD"/>
    <w:rsid w:val="00B60A96"/>
    <w:rsid w:val="00B60EB6"/>
    <w:rsid w:val="00B701A1"/>
    <w:rsid w:val="00B72343"/>
    <w:rsid w:val="00B76C94"/>
    <w:rsid w:val="00B772D0"/>
    <w:rsid w:val="00B83117"/>
    <w:rsid w:val="00B84116"/>
    <w:rsid w:val="00B85BAF"/>
    <w:rsid w:val="00B91B81"/>
    <w:rsid w:val="00B96799"/>
    <w:rsid w:val="00B96A82"/>
    <w:rsid w:val="00BC2122"/>
    <w:rsid w:val="00BC7632"/>
    <w:rsid w:val="00BD48A9"/>
    <w:rsid w:val="00BD7EC6"/>
    <w:rsid w:val="00BE2147"/>
    <w:rsid w:val="00BE73FA"/>
    <w:rsid w:val="00BF0353"/>
    <w:rsid w:val="00BF4A94"/>
    <w:rsid w:val="00C00976"/>
    <w:rsid w:val="00C02303"/>
    <w:rsid w:val="00C14017"/>
    <w:rsid w:val="00C22307"/>
    <w:rsid w:val="00C2515F"/>
    <w:rsid w:val="00C267D2"/>
    <w:rsid w:val="00C26AEA"/>
    <w:rsid w:val="00C26B64"/>
    <w:rsid w:val="00C371DF"/>
    <w:rsid w:val="00C37FF9"/>
    <w:rsid w:val="00C41B4A"/>
    <w:rsid w:val="00C44B4C"/>
    <w:rsid w:val="00C46734"/>
    <w:rsid w:val="00C5105D"/>
    <w:rsid w:val="00C53220"/>
    <w:rsid w:val="00C621A7"/>
    <w:rsid w:val="00C7277F"/>
    <w:rsid w:val="00CA3347"/>
    <w:rsid w:val="00CA51EB"/>
    <w:rsid w:val="00CC299A"/>
    <w:rsid w:val="00CC7465"/>
    <w:rsid w:val="00CD2E70"/>
    <w:rsid w:val="00CD326F"/>
    <w:rsid w:val="00CD4A09"/>
    <w:rsid w:val="00CD5E93"/>
    <w:rsid w:val="00CE37A3"/>
    <w:rsid w:val="00CF286D"/>
    <w:rsid w:val="00CF2EE2"/>
    <w:rsid w:val="00D03DBE"/>
    <w:rsid w:val="00D11A68"/>
    <w:rsid w:val="00D11A69"/>
    <w:rsid w:val="00D14046"/>
    <w:rsid w:val="00D2242C"/>
    <w:rsid w:val="00D327A3"/>
    <w:rsid w:val="00D34C82"/>
    <w:rsid w:val="00D36BFA"/>
    <w:rsid w:val="00D379EC"/>
    <w:rsid w:val="00D424F6"/>
    <w:rsid w:val="00D512A1"/>
    <w:rsid w:val="00D538D5"/>
    <w:rsid w:val="00D56420"/>
    <w:rsid w:val="00D5730F"/>
    <w:rsid w:val="00D5798B"/>
    <w:rsid w:val="00D671D8"/>
    <w:rsid w:val="00D732A6"/>
    <w:rsid w:val="00D769C5"/>
    <w:rsid w:val="00D81A20"/>
    <w:rsid w:val="00D81AFD"/>
    <w:rsid w:val="00D8321A"/>
    <w:rsid w:val="00D86972"/>
    <w:rsid w:val="00D86D55"/>
    <w:rsid w:val="00D94B94"/>
    <w:rsid w:val="00DB0646"/>
    <w:rsid w:val="00DC2C48"/>
    <w:rsid w:val="00DC3472"/>
    <w:rsid w:val="00DC525E"/>
    <w:rsid w:val="00DC535C"/>
    <w:rsid w:val="00DD4C6F"/>
    <w:rsid w:val="00DD7A2C"/>
    <w:rsid w:val="00DE5117"/>
    <w:rsid w:val="00DF234A"/>
    <w:rsid w:val="00DF310B"/>
    <w:rsid w:val="00DF33C7"/>
    <w:rsid w:val="00E00CDD"/>
    <w:rsid w:val="00E076BE"/>
    <w:rsid w:val="00E07E37"/>
    <w:rsid w:val="00E13456"/>
    <w:rsid w:val="00E1610C"/>
    <w:rsid w:val="00E16D73"/>
    <w:rsid w:val="00E21503"/>
    <w:rsid w:val="00E27F0A"/>
    <w:rsid w:val="00E37DC0"/>
    <w:rsid w:val="00E40CED"/>
    <w:rsid w:val="00E4231E"/>
    <w:rsid w:val="00E44AC7"/>
    <w:rsid w:val="00E5084C"/>
    <w:rsid w:val="00E53F2E"/>
    <w:rsid w:val="00E60A16"/>
    <w:rsid w:val="00E81611"/>
    <w:rsid w:val="00E82B6E"/>
    <w:rsid w:val="00E83535"/>
    <w:rsid w:val="00E835C5"/>
    <w:rsid w:val="00E84D1C"/>
    <w:rsid w:val="00E942B8"/>
    <w:rsid w:val="00E9683D"/>
    <w:rsid w:val="00EA2775"/>
    <w:rsid w:val="00EA7D7F"/>
    <w:rsid w:val="00EB2FA2"/>
    <w:rsid w:val="00EB49CD"/>
    <w:rsid w:val="00EB769A"/>
    <w:rsid w:val="00EC3A35"/>
    <w:rsid w:val="00ED353D"/>
    <w:rsid w:val="00EE17F2"/>
    <w:rsid w:val="00EE188A"/>
    <w:rsid w:val="00EE270E"/>
    <w:rsid w:val="00EE6755"/>
    <w:rsid w:val="00EF2AC7"/>
    <w:rsid w:val="00EF4CCD"/>
    <w:rsid w:val="00F032B2"/>
    <w:rsid w:val="00F16297"/>
    <w:rsid w:val="00F17428"/>
    <w:rsid w:val="00F314E8"/>
    <w:rsid w:val="00F31D4C"/>
    <w:rsid w:val="00F323A2"/>
    <w:rsid w:val="00F33B57"/>
    <w:rsid w:val="00F33D5C"/>
    <w:rsid w:val="00F34C1F"/>
    <w:rsid w:val="00F356D6"/>
    <w:rsid w:val="00F37D37"/>
    <w:rsid w:val="00F60A13"/>
    <w:rsid w:val="00F60ACE"/>
    <w:rsid w:val="00F64D5A"/>
    <w:rsid w:val="00F72FB0"/>
    <w:rsid w:val="00F737A4"/>
    <w:rsid w:val="00F906F4"/>
    <w:rsid w:val="00F91800"/>
    <w:rsid w:val="00F9208E"/>
    <w:rsid w:val="00F93B19"/>
    <w:rsid w:val="00F95CCE"/>
    <w:rsid w:val="00FA54FF"/>
    <w:rsid w:val="00FA70F5"/>
    <w:rsid w:val="00FB4629"/>
    <w:rsid w:val="00FB6A07"/>
    <w:rsid w:val="00FB6FB1"/>
    <w:rsid w:val="00FC6D4E"/>
    <w:rsid w:val="00FD3128"/>
    <w:rsid w:val="00FE0EEA"/>
    <w:rsid w:val="00FE2121"/>
    <w:rsid w:val="00FF1712"/>
    <w:rsid w:val="00FF6D3D"/>
    <w:rsid w:val="024D7E2C"/>
    <w:rsid w:val="05142466"/>
    <w:rsid w:val="06FC0B7E"/>
    <w:rsid w:val="0D2EB883"/>
    <w:rsid w:val="0D8163B6"/>
    <w:rsid w:val="1B514A14"/>
    <w:rsid w:val="1BB32F19"/>
    <w:rsid w:val="1F2C3AF5"/>
    <w:rsid w:val="1FF4886A"/>
    <w:rsid w:val="22D2584A"/>
    <w:rsid w:val="28751A95"/>
    <w:rsid w:val="2889D0F5"/>
    <w:rsid w:val="29FA8189"/>
    <w:rsid w:val="2C00A012"/>
    <w:rsid w:val="389994B3"/>
    <w:rsid w:val="3B30A011"/>
    <w:rsid w:val="3B93C128"/>
    <w:rsid w:val="3CFBE104"/>
    <w:rsid w:val="401C3D6A"/>
    <w:rsid w:val="461B415A"/>
    <w:rsid w:val="467F9A7B"/>
    <w:rsid w:val="510454D8"/>
    <w:rsid w:val="5395A1E2"/>
    <w:rsid w:val="55C8C69D"/>
    <w:rsid w:val="5D8505AD"/>
    <w:rsid w:val="6F81B597"/>
    <w:rsid w:val="71443FBB"/>
    <w:rsid w:val="7563E76A"/>
    <w:rsid w:val="79A6159C"/>
    <w:rsid w:val="7A023738"/>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FF5B0223-01D5-45A2-B0D4-608622B8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448"/>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Textoindependiente">
    <w:name w:val="Body Text"/>
    <w:basedOn w:val="Normal"/>
    <w:link w:val="TextoindependienteCar"/>
    <w:rsid w:val="003831F1"/>
    <w:pPr>
      <w:spacing w:after="120"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rsid w:val="003831F1"/>
    <w:rPr>
      <w:rFonts w:ascii="Times New Roman" w:eastAsia="Times New Roman" w:hAnsi="Times New Roman" w:cs="Times New Roman"/>
      <w:sz w:val="24"/>
      <w:szCs w:val="24"/>
      <w:lang w:eastAsia="es-CO"/>
    </w:rPr>
  </w:style>
  <w:style w:type="character" w:customStyle="1" w:styleId="baj">
    <w:name w:val="b_aj"/>
    <w:basedOn w:val="Fuentedeprrafopredeter"/>
    <w:rsid w:val="003831F1"/>
  </w:style>
  <w:style w:type="paragraph" w:styleId="NormalWeb">
    <w:name w:val="Normal (Web)"/>
    <w:basedOn w:val="Normal"/>
    <w:link w:val="NormalWebCar"/>
    <w:uiPriority w:val="99"/>
    <w:unhideWhenUsed/>
    <w:rsid w:val="003831F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3831F1"/>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B701A1"/>
    <w:rPr>
      <w:b/>
      <w:bCs/>
    </w:rPr>
  </w:style>
  <w:style w:type="paragraph" w:styleId="Textonotaalfinal">
    <w:name w:val="endnote text"/>
    <w:basedOn w:val="Normal"/>
    <w:link w:val="TextonotaalfinalCar"/>
    <w:uiPriority w:val="99"/>
    <w:semiHidden/>
    <w:unhideWhenUsed/>
    <w:rsid w:val="0092741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2741D"/>
    <w:rPr>
      <w:sz w:val="20"/>
      <w:szCs w:val="20"/>
    </w:rPr>
  </w:style>
  <w:style w:type="character" w:styleId="Refdenotaalfinal">
    <w:name w:val="endnote reference"/>
    <w:basedOn w:val="Fuentedeprrafopredeter"/>
    <w:uiPriority w:val="99"/>
    <w:semiHidden/>
    <w:unhideWhenUsed/>
    <w:rsid w:val="009274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199842">
      <w:bodyDiv w:val="1"/>
      <w:marLeft w:val="0"/>
      <w:marRight w:val="0"/>
      <w:marTop w:val="0"/>
      <w:marBottom w:val="0"/>
      <w:divBdr>
        <w:top w:val="none" w:sz="0" w:space="0" w:color="auto"/>
        <w:left w:val="none" w:sz="0" w:space="0" w:color="auto"/>
        <w:bottom w:val="none" w:sz="0" w:space="0" w:color="auto"/>
        <w:right w:val="none" w:sz="0" w:space="0" w:color="auto"/>
      </w:divBdr>
      <w:divsChild>
        <w:div w:id="962033340">
          <w:marLeft w:val="0"/>
          <w:marRight w:val="0"/>
          <w:marTop w:val="0"/>
          <w:marBottom w:val="0"/>
          <w:divBdr>
            <w:top w:val="none" w:sz="0" w:space="0" w:color="auto"/>
            <w:left w:val="none" w:sz="0" w:space="0" w:color="auto"/>
            <w:bottom w:val="none" w:sz="0" w:space="0" w:color="auto"/>
            <w:right w:val="none" w:sz="0" w:space="0" w:color="auto"/>
          </w:divBdr>
          <w:divsChild>
            <w:div w:id="242228191">
              <w:marLeft w:val="0"/>
              <w:marRight w:val="0"/>
              <w:marTop w:val="0"/>
              <w:marBottom w:val="0"/>
              <w:divBdr>
                <w:top w:val="none" w:sz="0" w:space="0" w:color="auto"/>
                <w:left w:val="none" w:sz="0" w:space="0" w:color="auto"/>
                <w:bottom w:val="none" w:sz="0" w:space="0" w:color="auto"/>
                <w:right w:val="none" w:sz="0" w:space="0" w:color="auto"/>
              </w:divBdr>
            </w:div>
            <w:div w:id="1105493713">
              <w:marLeft w:val="0"/>
              <w:marRight w:val="0"/>
              <w:marTop w:val="0"/>
              <w:marBottom w:val="0"/>
              <w:divBdr>
                <w:top w:val="none" w:sz="0" w:space="0" w:color="auto"/>
                <w:left w:val="none" w:sz="0" w:space="0" w:color="auto"/>
                <w:bottom w:val="none" w:sz="0" w:space="0" w:color="auto"/>
                <w:right w:val="none" w:sz="0" w:space="0" w:color="auto"/>
              </w:divBdr>
            </w:div>
          </w:divsChild>
        </w:div>
        <w:div w:id="647977330">
          <w:marLeft w:val="0"/>
          <w:marRight w:val="0"/>
          <w:marTop w:val="0"/>
          <w:marBottom w:val="0"/>
          <w:divBdr>
            <w:top w:val="none" w:sz="0" w:space="0" w:color="auto"/>
            <w:left w:val="none" w:sz="0" w:space="0" w:color="auto"/>
            <w:bottom w:val="none" w:sz="0" w:space="0" w:color="auto"/>
            <w:right w:val="none" w:sz="0" w:space="0" w:color="auto"/>
          </w:divBdr>
        </w:div>
        <w:div w:id="2094814914">
          <w:marLeft w:val="0"/>
          <w:marRight w:val="0"/>
          <w:marTop w:val="0"/>
          <w:marBottom w:val="0"/>
          <w:divBdr>
            <w:top w:val="none" w:sz="0" w:space="0" w:color="auto"/>
            <w:left w:val="none" w:sz="0" w:space="0" w:color="auto"/>
            <w:bottom w:val="none" w:sz="0" w:space="0" w:color="auto"/>
            <w:right w:val="none" w:sz="0" w:space="0" w:color="auto"/>
          </w:divBdr>
        </w:div>
        <w:div w:id="1865555074">
          <w:marLeft w:val="0"/>
          <w:marRight w:val="0"/>
          <w:marTop w:val="0"/>
          <w:marBottom w:val="0"/>
          <w:divBdr>
            <w:top w:val="none" w:sz="0" w:space="0" w:color="auto"/>
            <w:left w:val="none" w:sz="0" w:space="0" w:color="auto"/>
            <w:bottom w:val="none" w:sz="0" w:space="0" w:color="auto"/>
            <w:right w:val="none" w:sz="0" w:space="0" w:color="auto"/>
          </w:divBdr>
        </w:div>
        <w:div w:id="1099373323">
          <w:marLeft w:val="0"/>
          <w:marRight w:val="0"/>
          <w:marTop w:val="0"/>
          <w:marBottom w:val="0"/>
          <w:divBdr>
            <w:top w:val="none" w:sz="0" w:space="0" w:color="auto"/>
            <w:left w:val="none" w:sz="0" w:space="0" w:color="auto"/>
            <w:bottom w:val="none" w:sz="0" w:space="0" w:color="auto"/>
            <w:right w:val="none" w:sz="0" w:space="0" w:color="auto"/>
          </w:divBdr>
        </w:div>
        <w:div w:id="402148195">
          <w:marLeft w:val="0"/>
          <w:marRight w:val="0"/>
          <w:marTop w:val="0"/>
          <w:marBottom w:val="0"/>
          <w:divBdr>
            <w:top w:val="none" w:sz="0" w:space="0" w:color="auto"/>
            <w:left w:val="none" w:sz="0" w:space="0" w:color="auto"/>
            <w:bottom w:val="none" w:sz="0" w:space="0" w:color="auto"/>
            <w:right w:val="none" w:sz="0" w:space="0" w:color="auto"/>
          </w:divBdr>
        </w:div>
        <w:div w:id="869148962">
          <w:marLeft w:val="0"/>
          <w:marRight w:val="0"/>
          <w:marTop w:val="0"/>
          <w:marBottom w:val="0"/>
          <w:divBdr>
            <w:top w:val="none" w:sz="0" w:space="0" w:color="auto"/>
            <w:left w:val="none" w:sz="0" w:space="0" w:color="auto"/>
            <w:bottom w:val="none" w:sz="0" w:space="0" w:color="auto"/>
            <w:right w:val="none" w:sz="0" w:space="0" w:color="auto"/>
          </w:divBdr>
        </w:div>
      </w:divsChild>
    </w:div>
    <w:div w:id="758019348">
      <w:bodyDiv w:val="1"/>
      <w:marLeft w:val="0"/>
      <w:marRight w:val="0"/>
      <w:marTop w:val="0"/>
      <w:marBottom w:val="0"/>
      <w:divBdr>
        <w:top w:val="none" w:sz="0" w:space="0" w:color="auto"/>
        <w:left w:val="none" w:sz="0" w:space="0" w:color="auto"/>
        <w:bottom w:val="none" w:sz="0" w:space="0" w:color="auto"/>
        <w:right w:val="none" w:sz="0" w:space="0" w:color="auto"/>
      </w:divBdr>
      <w:divsChild>
        <w:div w:id="1870601818">
          <w:marLeft w:val="0"/>
          <w:marRight w:val="0"/>
          <w:marTop w:val="0"/>
          <w:marBottom w:val="0"/>
          <w:divBdr>
            <w:top w:val="none" w:sz="0" w:space="0" w:color="auto"/>
            <w:left w:val="none" w:sz="0" w:space="0" w:color="auto"/>
            <w:bottom w:val="none" w:sz="0" w:space="0" w:color="auto"/>
            <w:right w:val="none" w:sz="0" w:space="0" w:color="auto"/>
          </w:divBdr>
          <w:divsChild>
            <w:div w:id="1311061061">
              <w:marLeft w:val="0"/>
              <w:marRight w:val="0"/>
              <w:marTop w:val="0"/>
              <w:marBottom w:val="0"/>
              <w:divBdr>
                <w:top w:val="none" w:sz="0" w:space="0" w:color="auto"/>
                <w:left w:val="none" w:sz="0" w:space="0" w:color="auto"/>
                <w:bottom w:val="none" w:sz="0" w:space="0" w:color="auto"/>
                <w:right w:val="none" w:sz="0" w:space="0" w:color="auto"/>
              </w:divBdr>
            </w:div>
            <w:div w:id="1154109218">
              <w:marLeft w:val="0"/>
              <w:marRight w:val="0"/>
              <w:marTop w:val="0"/>
              <w:marBottom w:val="0"/>
              <w:divBdr>
                <w:top w:val="none" w:sz="0" w:space="0" w:color="auto"/>
                <w:left w:val="none" w:sz="0" w:space="0" w:color="auto"/>
                <w:bottom w:val="none" w:sz="0" w:space="0" w:color="auto"/>
                <w:right w:val="none" w:sz="0" w:space="0" w:color="auto"/>
              </w:divBdr>
            </w:div>
          </w:divsChild>
        </w:div>
        <w:div w:id="83652239">
          <w:marLeft w:val="0"/>
          <w:marRight w:val="0"/>
          <w:marTop w:val="0"/>
          <w:marBottom w:val="0"/>
          <w:divBdr>
            <w:top w:val="none" w:sz="0" w:space="0" w:color="auto"/>
            <w:left w:val="none" w:sz="0" w:space="0" w:color="auto"/>
            <w:bottom w:val="none" w:sz="0" w:space="0" w:color="auto"/>
            <w:right w:val="none" w:sz="0" w:space="0" w:color="auto"/>
          </w:divBdr>
        </w:div>
        <w:div w:id="38285096">
          <w:marLeft w:val="0"/>
          <w:marRight w:val="0"/>
          <w:marTop w:val="0"/>
          <w:marBottom w:val="0"/>
          <w:divBdr>
            <w:top w:val="none" w:sz="0" w:space="0" w:color="auto"/>
            <w:left w:val="none" w:sz="0" w:space="0" w:color="auto"/>
            <w:bottom w:val="none" w:sz="0" w:space="0" w:color="auto"/>
            <w:right w:val="none" w:sz="0" w:space="0" w:color="auto"/>
          </w:divBdr>
        </w:div>
        <w:div w:id="625356295">
          <w:marLeft w:val="0"/>
          <w:marRight w:val="0"/>
          <w:marTop w:val="0"/>
          <w:marBottom w:val="0"/>
          <w:divBdr>
            <w:top w:val="none" w:sz="0" w:space="0" w:color="auto"/>
            <w:left w:val="none" w:sz="0" w:space="0" w:color="auto"/>
            <w:bottom w:val="none" w:sz="0" w:space="0" w:color="auto"/>
            <w:right w:val="none" w:sz="0" w:space="0" w:color="auto"/>
          </w:divBdr>
        </w:div>
        <w:div w:id="1744374432">
          <w:marLeft w:val="0"/>
          <w:marRight w:val="0"/>
          <w:marTop w:val="0"/>
          <w:marBottom w:val="0"/>
          <w:divBdr>
            <w:top w:val="none" w:sz="0" w:space="0" w:color="auto"/>
            <w:left w:val="none" w:sz="0" w:space="0" w:color="auto"/>
            <w:bottom w:val="none" w:sz="0" w:space="0" w:color="auto"/>
            <w:right w:val="none" w:sz="0" w:space="0" w:color="auto"/>
          </w:divBdr>
        </w:div>
        <w:div w:id="956908339">
          <w:marLeft w:val="0"/>
          <w:marRight w:val="0"/>
          <w:marTop w:val="0"/>
          <w:marBottom w:val="0"/>
          <w:divBdr>
            <w:top w:val="none" w:sz="0" w:space="0" w:color="auto"/>
            <w:left w:val="none" w:sz="0" w:space="0" w:color="auto"/>
            <w:bottom w:val="none" w:sz="0" w:space="0" w:color="auto"/>
            <w:right w:val="none" w:sz="0" w:space="0" w:color="auto"/>
          </w:divBdr>
        </w:div>
        <w:div w:id="619990519">
          <w:marLeft w:val="0"/>
          <w:marRight w:val="0"/>
          <w:marTop w:val="0"/>
          <w:marBottom w:val="0"/>
          <w:divBdr>
            <w:top w:val="none" w:sz="0" w:space="0" w:color="auto"/>
            <w:left w:val="none" w:sz="0" w:space="0" w:color="auto"/>
            <w:bottom w:val="none" w:sz="0" w:space="0" w:color="auto"/>
            <w:right w:val="none" w:sz="0" w:space="0" w:color="auto"/>
          </w:divBdr>
        </w:div>
      </w:divsChild>
    </w:div>
    <w:div w:id="1136603833">
      <w:bodyDiv w:val="1"/>
      <w:marLeft w:val="0"/>
      <w:marRight w:val="0"/>
      <w:marTop w:val="0"/>
      <w:marBottom w:val="0"/>
      <w:divBdr>
        <w:top w:val="none" w:sz="0" w:space="0" w:color="auto"/>
        <w:left w:val="none" w:sz="0" w:space="0" w:color="auto"/>
        <w:bottom w:val="none" w:sz="0" w:space="0" w:color="auto"/>
        <w:right w:val="none" w:sz="0" w:space="0" w:color="auto"/>
      </w:divBdr>
      <w:divsChild>
        <w:div w:id="1114327990">
          <w:marLeft w:val="0"/>
          <w:marRight w:val="0"/>
          <w:marTop w:val="0"/>
          <w:marBottom w:val="0"/>
          <w:divBdr>
            <w:top w:val="none" w:sz="0" w:space="0" w:color="auto"/>
            <w:left w:val="none" w:sz="0" w:space="0" w:color="auto"/>
            <w:bottom w:val="none" w:sz="0" w:space="0" w:color="auto"/>
            <w:right w:val="none" w:sz="0" w:space="0" w:color="auto"/>
          </w:divBdr>
        </w:div>
        <w:div w:id="540704521">
          <w:marLeft w:val="0"/>
          <w:marRight w:val="0"/>
          <w:marTop w:val="0"/>
          <w:marBottom w:val="0"/>
          <w:divBdr>
            <w:top w:val="none" w:sz="0" w:space="0" w:color="auto"/>
            <w:left w:val="none" w:sz="0" w:space="0" w:color="auto"/>
            <w:bottom w:val="none" w:sz="0" w:space="0" w:color="auto"/>
            <w:right w:val="none" w:sz="0" w:space="0" w:color="auto"/>
          </w:divBdr>
        </w:div>
        <w:div w:id="711005620">
          <w:marLeft w:val="0"/>
          <w:marRight w:val="0"/>
          <w:marTop w:val="0"/>
          <w:marBottom w:val="0"/>
          <w:divBdr>
            <w:top w:val="none" w:sz="0" w:space="0" w:color="auto"/>
            <w:left w:val="none" w:sz="0" w:space="0" w:color="auto"/>
            <w:bottom w:val="none" w:sz="0" w:space="0" w:color="auto"/>
            <w:right w:val="none" w:sz="0" w:space="0" w:color="auto"/>
          </w:divBdr>
        </w:div>
        <w:div w:id="718667878">
          <w:marLeft w:val="0"/>
          <w:marRight w:val="0"/>
          <w:marTop w:val="0"/>
          <w:marBottom w:val="0"/>
          <w:divBdr>
            <w:top w:val="none" w:sz="0" w:space="0" w:color="auto"/>
            <w:left w:val="none" w:sz="0" w:space="0" w:color="auto"/>
            <w:bottom w:val="none" w:sz="0" w:space="0" w:color="auto"/>
            <w:right w:val="none" w:sz="0" w:space="0" w:color="auto"/>
          </w:divBdr>
        </w:div>
        <w:div w:id="1050770078">
          <w:marLeft w:val="0"/>
          <w:marRight w:val="0"/>
          <w:marTop w:val="0"/>
          <w:marBottom w:val="0"/>
          <w:divBdr>
            <w:top w:val="none" w:sz="0" w:space="0" w:color="auto"/>
            <w:left w:val="none" w:sz="0" w:space="0" w:color="auto"/>
            <w:bottom w:val="none" w:sz="0" w:space="0" w:color="auto"/>
            <w:right w:val="none" w:sz="0" w:space="0" w:color="auto"/>
          </w:divBdr>
        </w:div>
        <w:div w:id="520247703">
          <w:marLeft w:val="0"/>
          <w:marRight w:val="0"/>
          <w:marTop w:val="0"/>
          <w:marBottom w:val="0"/>
          <w:divBdr>
            <w:top w:val="none" w:sz="0" w:space="0" w:color="auto"/>
            <w:left w:val="none" w:sz="0" w:space="0" w:color="auto"/>
            <w:bottom w:val="none" w:sz="0" w:space="0" w:color="auto"/>
            <w:right w:val="none" w:sz="0" w:space="0" w:color="auto"/>
          </w:divBdr>
        </w:div>
        <w:div w:id="216555608">
          <w:marLeft w:val="0"/>
          <w:marRight w:val="0"/>
          <w:marTop w:val="0"/>
          <w:marBottom w:val="0"/>
          <w:divBdr>
            <w:top w:val="none" w:sz="0" w:space="0" w:color="auto"/>
            <w:left w:val="none" w:sz="0" w:space="0" w:color="auto"/>
            <w:bottom w:val="none" w:sz="0" w:space="0" w:color="auto"/>
            <w:right w:val="none" w:sz="0" w:space="0" w:color="auto"/>
          </w:divBdr>
        </w:div>
        <w:div w:id="1038241922">
          <w:marLeft w:val="0"/>
          <w:marRight w:val="0"/>
          <w:marTop w:val="0"/>
          <w:marBottom w:val="0"/>
          <w:divBdr>
            <w:top w:val="none" w:sz="0" w:space="0" w:color="auto"/>
            <w:left w:val="none" w:sz="0" w:space="0" w:color="auto"/>
            <w:bottom w:val="none" w:sz="0" w:space="0" w:color="auto"/>
            <w:right w:val="none" w:sz="0" w:space="0" w:color="auto"/>
          </w:divBdr>
        </w:div>
        <w:div w:id="1383673187">
          <w:marLeft w:val="0"/>
          <w:marRight w:val="0"/>
          <w:marTop w:val="0"/>
          <w:marBottom w:val="0"/>
          <w:divBdr>
            <w:top w:val="none" w:sz="0" w:space="0" w:color="auto"/>
            <w:left w:val="none" w:sz="0" w:space="0" w:color="auto"/>
            <w:bottom w:val="none" w:sz="0" w:space="0" w:color="auto"/>
            <w:right w:val="none" w:sz="0" w:space="0" w:color="auto"/>
          </w:divBdr>
          <w:divsChild>
            <w:div w:id="1998146154">
              <w:marLeft w:val="-75"/>
              <w:marRight w:val="0"/>
              <w:marTop w:val="30"/>
              <w:marBottom w:val="30"/>
              <w:divBdr>
                <w:top w:val="none" w:sz="0" w:space="0" w:color="auto"/>
                <w:left w:val="none" w:sz="0" w:space="0" w:color="auto"/>
                <w:bottom w:val="none" w:sz="0" w:space="0" w:color="auto"/>
                <w:right w:val="none" w:sz="0" w:space="0" w:color="auto"/>
              </w:divBdr>
              <w:divsChild>
                <w:div w:id="1402017358">
                  <w:marLeft w:val="0"/>
                  <w:marRight w:val="0"/>
                  <w:marTop w:val="0"/>
                  <w:marBottom w:val="0"/>
                  <w:divBdr>
                    <w:top w:val="none" w:sz="0" w:space="0" w:color="auto"/>
                    <w:left w:val="none" w:sz="0" w:space="0" w:color="auto"/>
                    <w:bottom w:val="none" w:sz="0" w:space="0" w:color="auto"/>
                    <w:right w:val="none" w:sz="0" w:space="0" w:color="auto"/>
                  </w:divBdr>
                  <w:divsChild>
                    <w:div w:id="1009528487">
                      <w:marLeft w:val="0"/>
                      <w:marRight w:val="0"/>
                      <w:marTop w:val="0"/>
                      <w:marBottom w:val="0"/>
                      <w:divBdr>
                        <w:top w:val="none" w:sz="0" w:space="0" w:color="auto"/>
                        <w:left w:val="none" w:sz="0" w:space="0" w:color="auto"/>
                        <w:bottom w:val="none" w:sz="0" w:space="0" w:color="auto"/>
                        <w:right w:val="none" w:sz="0" w:space="0" w:color="auto"/>
                      </w:divBdr>
                    </w:div>
                  </w:divsChild>
                </w:div>
                <w:div w:id="1518349192">
                  <w:marLeft w:val="0"/>
                  <w:marRight w:val="0"/>
                  <w:marTop w:val="0"/>
                  <w:marBottom w:val="0"/>
                  <w:divBdr>
                    <w:top w:val="none" w:sz="0" w:space="0" w:color="auto"/>
                    <w:left w:val="none" w:sz="0" w:space="0" w:color="auto"/>
                    <w:bottom w:val="none" w:sz="0" w:space="0" w:color="auto"/>
                    <w:right w:val="none" w:sz="0" w:space="0" w:color="auto"/>
                  </w:divBdr>
                  <w:divsChild>
                    <w:div w:id="954559498">
                      <w:marLeft w:val="0"/>
                      <w:marRight w:val="0"/>
                      <w:marTop w:val="0"/>
                      <w:marBottom w:val="0"/>
                      <w:divBdr>
                        <w:top w:val="none" w:sz="0" w:space="0" w:color="auto"/>
                        <w:left w:val="none" w:sz="0" w:space="0" w:color="auto"/>
                        <w:bottom w:val="none" w:sz="0" w:space="0" w:color="auto"/>
                        <w:right w:val="none" w:sz="0" w:space="0" w:color="auto"/>
                      </w:divBdr>
                    </w:div>
                  </w:divsChild>
                </w:div>
                <w:div w:id="220795026">
                  <w:marLeft w:val="0"/>
                  <w:marRight w:val="0"/>
                  <w:marTop w:val="0"/>
                  <w:marBottom w:val="0"/>
                  <w:divBdr>
                    <w:top w:val="none" w:sz="0" w:space="0" w:color="auto"/>
                    <w:left w:val="none" w:sz="0" w:space="0" w:color="auto"/>
                    <w:bottom w:val="none" w:sz="0" w:space="0" w:color="auto"/>
                    <w:right w:val="none" w:sz="0" w:space="0" w:color="auto"/>
                  </w:divBdr>
                  <w:divsChild>
                    <w:div w:id="481049074">
                      <w:marLeft w:val="0"/>
                      <w:marRight w:val="0"/>
                      <w:marTop w:val="0"/>
                      <w:marBottom w:val="0"/>
                      <w:divBdr>
                        <w:top w:val="none" w:sz="0" w:space="0" w:color="auto"/>
                        <w:left w:val="none" w:sz="0" w:space="0" w:color="auto"/>
                        <w:bottom w:val="none" w:sz="0" w:space="0" w:color="auto"/>
                        <w:right w:val="none" w:sz="0" w:space="0" w:color="auto"/>
                      </w:divBdr>
                    </w:div>
                    <w:div w:id="2131821138">
                      <w:marLeft w:val="0"/>
                      <w:marRight w:val="0"/>
                      <w:marTop w:val="0"/>
                      <w:marBottom w:val="0"/>
                      <w:divBdr>
                        <w:top w:val="none" w:sz="0" w:space="0" w:color="auto"/>
                        <w:left w:val="none" w:sz="0" w:space="0" w:color="auto"/>
                        <w:bottom w:val="none" w:sz="0" w:space="0" w:color="auto"/>
                        <w:right w:val="none" w:sz="0" w:space="0" w:color="auto"/>
                      </w:divBdr>
                    </w:div>
                  </w:divsChild>
                </w:div>
                <w:div w:id="1518227050">
                  <w:marLeft w:val="0"/>
                  <w:marRight w:val="0"/>
                  <w:marTop w:val="0"/>
                  <w:marBottom w:val="0"/>
                  <w:divBdr>
                    <w:top w:val="none" w:sz="0" w:space="0" w:color="auto"/>
                    <w:left w:val="none" w:sz="0" w:space="0" w:color="auto"/>
                    <w:bottom w:val="none" w:sz="0" w:space="0" w:color="auto"/>
                    <w:right w:val="none" w:sz="0" w:space="0" w:color="auto"/>
                  </w:divBdr>
                  <w:divsChild>
                    <w:div w:id="893539471">
                      <w:marLeft w:val="0"/>
                      <w:marRight w:val="0"/>
                      <w:marTop w:val="0"/>
                      <w:marBottom w:val="0"/>
                      <w:divBdr>
                        <w:top w:val="none" w:sz="0" w:space="0" w:color="auto"/>
                        <w:left w:val="none" w:sz="0" w:space="0" w:color="auto"/>
                        <w:bottom w:val="none" w:sz="0" w:space="0" w:color="auto"/>
                        <w:right w:val="none" w:sz="0" w:space="0" w:color="auto"/>
                      </w:divBdr>
                    </w:div>
                    <w:div w:id="31295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018143">
          <w:marLeft w:val="0"/>
          <w:marRight w:val="0"/>
          <w:marTop w:val="0"/>
          <w:marBottom w:val="0"/>
          <w:divBdr>
            <w:top w:val="none" w:sz="0" w:space="0" w:color="auto"/>
            <w:left w:val="none" w:sz="0" w:space="0" w:color="auto"/>
            <w:bottom w:val="none" w:sz="0" w:space="0" w:color="auto"/>
            <w:right w:val="none" w:sz="0" w:space="0" w:color="auto"/>
          </w:divBdr>
        </w:div>
        <w:div w:id="1191335630">
          <w:marLeft w:val="0"/>
          <w:marRight w:val="0"/>
          <w:marTop w:val="0"/>
          <w:marBottom w:val="0"/>
          <w:divBdr>
            <w:top w:val="none" w:sz="0" w:space="0" w:color="auto"/>
            <w:left w:val="none" w:sz="0" w:space="0" w:color="auto"/>
            <w:bottom w:val="none" w:sz="0" w:space="0" w:color="auto"/>
            <w:right w:val="none" w:sz="0" w:space="0" w:color="auto"/>
          </w:divBdr>
        </w:div>
        <w:div w:id="828668285">
          <w:marLeft w:val="0"/>
          <w:marRight w:val="0"/>
          <w:marTop w:val="0"/>
          <w:marBottom w:val="0"/>
          <w:divBdr>
            <w:top w:val="none" w:sz="0" w:space="0" w:color="auto"/>
            <w:left w:val="none" w:sz="0" w:space="0" w:color="auto"/>
            <w:bottom w:val="none" w:sz="0" w:space="0" w:color="auto"/>
            <w:right w:val="none" w:sz="0" w:space="0" w:color="auto"/>
          </w:divBdr>
        </w:div>
        <w:div w:id="1342126496">
          <w:marLeft w:val="0"/>
          <w:marRight w:val="0"/>
          <w:marTop w:val="0"/>
          <w:marBottom w:val="0"/>
          <w:divBdr>
            <w:top w:val="none" w:sz="0" w:space="0" w:color="auto"/>
            <w:left w:val="none" w:sz="0" w:space="0" w:color="auto"/>
            <w:bottom w:val="none" w:sz="0" w:space="0" w:color="auto"/>
            <w:right w:val="none" w:sz="0" w:space="0" w:color="auto"/>
          </w:divBdr>
        </w:div>
        <w:div w:id="1389575831">
          <w:marLeft w:val="0"/>
          <w:marRight w:val="0"/>
          <w:marTop w:val="0"/>
          <w:marBottom w:val="0"/>
          <w:divBdr>
            <w:top w:val="none" w:sz="0" w:space="0" w:color="auto"/>
            <w:left w:val="none" w:sz="0" w:space="0" w:color="auto"/>
            <w:bottom w:val="none" w:sz="0" w:space="0" w:color="auto"/>
            <w:right w:val="none" w:sz="0" w:space="0" w:color="auto"/>
          </w:divBdr>
        </w:div>
        <w:div w:id="1256793149">
          <w:marLeft w:val="0"/>
          <w:marRight w:val="0"/>
          <w:marTop w:val="0"/>
          <w:marBottom w:val="0"/>
          <w:divBdr>
            <w:top w:val="none" w:sz="0" w:space="0" w:color="auto"/>
            <w:left w:val="none" w:sz="0" w:space="0" w:color="auto"/>
            <w:bottom w:val="none" w:sz="0" w:space="0" w:color="auto"/>
            <w:right w:val="none" w:sz="0" w:space="0" w:color="auto"/>
          </w:divBdr>
        </w:div>
        <w:div w:id="1296137959">
          <w:marLeft w:val="0"/>
          <w:marRight w:val="0"/>
          <w:marTop w:val="0"/>
          <w:marBottom w:val="0"/>
          <w:divBdr>
            <w:top w:val="none" w:sz="0" w:space="0" w:color="auto"/>
            <w:left w:val="none" w:sz="0" w:space="0" w:color="auto"/>
            <w:bottom w:val="none" w:sz="0" w:space="0" w:color="auto"/>
            <w:right w:val="none" w:sz="0" w:space="0" w:color="auto"/>
          </w:divBdr>
        </w:div>
        <w:div w:id="526719427">
          <w:marLeft w:val="0"/>
          <w:marRight w:val="0"/>
          <w:marTop w:val="0"/>
          <w:marBottom w:val="0"/>
          <w:divBdr>
            <w:top w:val="none" w:sz="0" w:space="0" w:color="auto"/>
            <w:left w:val="none" w:sz="0" w:space="0" w:color="auto"/>
            <w:bottom w:val="none" w:sz="0" w:space="0" w:color="auto"/>
            <w:right w:val="none" w:sz="0" w:space="0" w:color="auto"/>
          </w:divBdr>
        </w:div>
        <w:div w:id="1679379945">
          <w:marLeft w:val="0"/>
          <w:marRight w:val="0"/>
          <w:marTop w:val="0"/>
          <w:marBottom w:val="0"/>
          <w:divBdr>
            <w:top w:val="none" w:sz="0" w:space="0" w:color="auto"/>
            <w:left w:val="none" w:sz="0" w:space="0" w:color="auto"/>
            <w:bottom w:val="none" w:sz="0" w:space="0" w:color="auto"/>
            <w:right w:val="none" w:sz="0" w:space="0" w:color="auto"/>
          </w:divBdr>
        </w:div>
        <w:div w:id="367067427">
          <w:marLeft w:val="0"/>
          <w:marRight w:val="0"/>
          <w:marTop w:val="0"/>
          <w:marBottom w:val="0"/>
          <w:divBdr>
            <w:top w:val="none" w:sz="0" w:space="0" w:color="auto"/>
            <w:left w:val="none" w:sz="0" w:space="0" w:color="auto"/>
            <w:bottom w:val="none" w:sz="0" w:space="0" w:color="auto"/>
            <w:right w:val="none" w:sz="0" w:space="0" w:color="auto"/>
          </w:divBdr>
        </w:div>
        <w:div w:id="664673391">
          <w:marLeft w:val="0"/>
          <w:marRight w:val="0"/>
          <w:marTop w:val="0"/>
          <w:marBottom w:val="0"/>
          <w:divBdr>
            <w:top w:val="none" w:sz="0" w:space="0" w:color="auto"/>
            <w:left w:val="none" w:sz="0" w:space="0" w:color="auto"/>
            <w:bottom w:val="none" w:sz="0" w:space="0" w:color="auto"/>
            <w:right w:val="none" w:sz="0" w:space="0" w:color="auto"/>
          </w:divBdr>
        </w:div>
        <w:div w:id="1319843391">
          <w:marLeft w:val="0"/>
          <w:marRight w:val="0"/>
          <w:marTop w:val="0"/>
          <w:marBottom w:val="0"/>
          <w:divBdr>
            <w:top w:val="none" w:sz="0" w:space="0" w:color="auto"/>
            <w:left w:val="none" w:sz="0" w:space="0" w:color="auto"/>
            <w:bottom w:val="none" w:sz="0" w:space="0" w:color="auto"/>
            <w:right w:val="none" w:sz="0" w:space="0" w:color="auto"/>
          </w:divBdr>
        </w:div>
        <w:div w:id="550653137">
          <w:marLeft w:val="0"/>
          <w:marRight w:val="0"/>
          <w:marTop w:val="0"/>
          <w:marBottom w:val="0"/>
          <w:divBdr>
            <w:top w:val="none" w:sz="0" w:space="0" w:color="auto"/>
            <w:left w:val="none" w:sz="0" w:space="0" w:color="auto"/>
            <w:bottom w:val="none" w:sz="0" w:space="0" w:color="auto"/>
            <w:right w:val="none" w:sz="0" w:space="0" w:color="auto"/>
          </w:divBdr>
        </w:div>
        <w:div w:id="31351481">
          <w:marLeft w:val="0"/>
          <w:marRight w:val="0"/>
          <w:marTop w:val="0"/>
          <w:marBottom w:val="0"/>
          <w:divBdr>
            <w:top w:val="none" w:sz="0" w:space="0" w:color="auto"/>
            <w:left w:val="none" w:sz="0" w:space="0" w:color="auto"/>
            <w:bottom w:val="none" w:sz="0" w:space="0" w:color="auto"/>
            <w:right w:val="none" w:sz="0" w:space="0" w:color="auto"/>
          </w:divBdr>
        </w:div>
        <w:div w:id="1745882632">
          <w:marLeft w:val="0"/>
          <w:marRight w:val="0"/>
          <w:marTop w:val="0"/>
          <w:marBottom w:val="0"/>
          <w:divBdr>
            <w:top w:val="none" w:sz="0" w:space="0" w:color="auto"/>
            <w:left w:val="none" w:sz="0" w:space="0" w:color="auto"/>
            <w:bottom w:val="none" w:sz="0" w:space="0" w:color="auto"/>
            <w:right w:val="none" w:sz="0" w:space="0" w:color="auto"/>
          </w:divBdr>
        </w:div>
        <w:div w:id="1287204101">
          <w:marLeft w:val="0"/>
          <w:marRight w:val="0"/>
          <w:marTop w:val="0"/>
          <w:marBottom w:val="0"/>
          <w:divBdr>
            <w:top w:val="none" w:sz="0" w:space="0" w:color="auto"/>
            <w:left w:val="none" w:sz="0" w:space="0" w:color="auto"/>
            <w:bottom w:val="none" w:sz="0" w:space="0" w:color="auto"/>
            <w:right w:val="none" w:sz="0" w:space="0" w:color="auto"/>
          </w:divBdr>
        </w:div>
        <w:div w:id="1094937043">
          <w:marLeft w:val="0"/>
          <w:marRight w:val="0"/>
          <w:marTop w:val="0"/>
          <w:marBottom w:val="0"/>
          <w:divBdr>
            <w:top w:val="none" w:sz="0" w:space="0" w:color="auto"/>
            <w:left w:val="none" w:sz="0" w:space="0" w:color="auto"/>
            <w:bottom w:val="none" w:sz="0" w:space="0" w:color="auto"/>
            <w:right w:val="none" w:sz="0" w:space="0" w:color="auto"/>
          </w:divBdr>
        </w:div>
        <w:div w:id="1846673888">
          <w:marLeft w:val="0"/>
          <w:marRight w:val="0"/>
          <w:marTop w:val="0"/>
          <w:marBottom w:val="0"/>
          <w:divBdr>
            <w:top w:val="none" w:sz="0" w:space="0" w:color="auto"/>
            <w:left w:val="none" w:sz="0" w:space="0" w:color="auto"/>
            <w:bottom w:val="none" w:sz="0" w:space="0" w:color="auto"/>
            <w:right w:val="none" w:sz="0" w:space="0" w:color="auto"/>
          </w:divBdr>
        </w:div>
        <w:div w:id="1980576584">
          <w:marLeft w:val="0"/>
          <w:marRight w:val="0"/>
          <w:marTop w:val="0"/>
          <w:marBottom w:val="0"/>
          <w:divBdr>
            <w:top w:val="none" w:sz="0" w:space="0" w:color="auto"/>
            <w:left w:val="none" w:sz="0" w:space="0" w:color="auto"/>
            <w:bottom w:val="none" w:sz="0" w:space="0" w:color="auto"/>
            <w:right w:val="none" w:sz="0" w:space="0" w:color="auto"/>
          </w:divBdr>
        </w:div>
        <w:div w:id="1707558529">
          <w:marLeft w:val="0"/>
          <w:marRight w:val="0"/>
          <w:marTop w:val="0"/>
          <w:marBottom w:val="0"/>
          <w:divBdr>
            <w:top w:val="none" w:sz="0" w:space="0" w:color="auto"/>
            <w:left w:val="none" w:sz="0" w:space="0" w:color="auto"/>
            <w:bottom w:val="none" w:sz="0" w:space="0" w:color="auto"/>
            <w:right w:val="none" w:sz="0" w:space="0" w:color="auto"/>
          </w:divBdr>
        </w:div>
        <w:div w:id="1925870662">
          <w:marLeft w:val="0"/>
          <w:marRight w:val="0"/>
          <w:marTop w:val="0"/>
          <w:marBottom w:val="0"/>
          <w:divBdr>
            <w:top w:val="none" w:sz="0" w:space="0" w:color="auto"/>
            <w:left w:val="none" w:sz="0" w:space="0" w:color="auto"/>
            <w:bottom w:val="none" w:sz="0" w:space="0" w:color="auto"/>
            <w:right w:val="none" w:sz="0" w:space="0" w:color="auto"/>
          </w:divBdr>
        </w:div>
        <w:div w:id="1343817153">
          <w:marLeft w:val="0"/>
          <w:marRight w:val="0"/>
          <w:marTop w:val="0"/>
          <w:marBottom w:val="0"/>
          <w:divBdr>
            <w:top w:val="none" w:sz="0" w:space="0" w:color="auto"/>
            <w:left w:val="none" w:sz="0" w:space="0" w:color="auto"/>
            <w:bottom w:val="none" w:sz="0" w:space="0" w:color="auto"/>
            <w:right w:val="none" w:sz="0" w:space="0" w:color="auto"/>
          </w:divBdr>
        </w:div>
        <w:div w:id="1107189566">
          <w:marLeft w:val="0"/>
          <w:marRight w:val="0"/>
          <w:marTop w:val="0"/>
          <w:marBottom w:val="0"/>
          <w:divBdr>
            <w:top w:val="none" w:sz="0" w:space="0" w:color="auto"/>
            <w:left w:val="none" w:sz="0" w:space="0" w:color="auto"/>
            <w:bottom w:val="none" w:sz="0" w:space="0" w:color="auto"/>
            <w:right w:val="none" w:sz="0" w:space="0" w:color="auto"/>
          </w:divBdr>
        </w:div>
        <w:div w:id="2047949044">
          <w:marLeft w:val="0"/>
          <w:marRight w:val="0"/>
          <w:marTop w:val="0"/>
          <w:marBottom w:val="0"/>
          <w:divBdr>
            <w:top w:val="none" w:sz="0" w:space="0" w:color="auto"/>
            <w:left w:val="none" w:sz="0" w:space="0" w:color="auto"/>
            <w:bottom w:val="none" w:sz="0" w:space="0" w:color="auto"/>
            <w:right w:val="none" w:sz="0" w:space="0" w:color="auto"/>
          </w:divBdr>
        </w:div>
        <w:div w:id="1960796024">
          <w:marLeft w:val="0"/>
          <w:marRight w:val="0"/>
          <w:marTop w:val="0"/>
          <w:marBottom w:val="0"/>
          <w:divBdr>
            <w:top w:val="none" w:sz="0" w:space="0" w:color="auto"/>
            <w:left w:val="none" w:sz="0" w:space="0" w:color="auto"/>
            <w:bottom w:val="none" w:sz="0" w:space="0" w:color="auto"/>
            <w:right w:val="none" w:sz="0" w:space="0" w:color="auto"/>
          </w:divBdr>
        </w:div>
        <w:div w:id="517932732">
          <w:marLeft w:val="0"/>
          <w:marRight w:val="0"/>
          <w:marTop w:val="0"/>
          <w:marBottom w:val="0"/>
          <w:divBdr>
            <w:top w:val="none" w:sz="0" w:space="0" w:color="auto"/>
            <w:left w:val="none" w:sz="0" w:space="0" w:color="auto"/>
            <w:bottom w:val="none" w:sz="0" w:space="0" w:color="auto"/>
            <w:right w:val="none" w:sz="0" w:space="0" w:color="auto"/>
          </w:divBdr>
        </w:div>
        <w:div w:id="1988776173">
          <w:marLeft w:val="0"/>
          <w:marRight w:val="0"/>
          <w:marTop w:val="0"/>
          <w:marBottom w:val="0"/>
          <w:divBdr>
            <w:top w:val="none" w:sz="0" w:space="0" w:color="auto"/>
            <w:left w:val="none" w:sz="0" w:space="0" w:color="auto"/>
            <w:bottom w:val="none" w:sz="0" w:space="0" w:color="auto"/>
            <w:right w:val="none" w:sz="0" w:space="0" w:color="auto"/>
          </w:divBdr>
        </w:div>
        <w:div w:id="827210521">
          <w:marLeft w:val="0"/>
          <w:marRight w:val="0"/>
          <w:marTop w:val="0"/>
          <w:marBottom w:val="0"/>
          <w:divBdr>
            <w:top w:val="none" w:sz="0" w:space="0" w:color="auto"/>
            <w:left w:val="none" w:sz="0" w:space="0" w:color="auto"/>
            <w:bottom w:val="none" w:sz="0" w:space="0" w:color="auto"/>
            <w:right w:val="none" w:sz="0" w:space="0" w:color="auto"/>
          </w:divBdr>
        </w:div>
        <w:div w:id="1099371793">
          <w:marLeft w:val="0"/>
          <w:marRight w:val="0"/>
          <w:marTop w:val="0"/>
          <w:marBottom w:val="0"/>
          <w:divBdr>
            <w:top w:val="none" w:sz="0" w:space="0" w:color="auto"/>
            <w:left w:val="none" w:sz="0" w:space="0" w:color="auto"/>
            <w:bottom w:val="none" w:sz="0" w:space="0" w:color="auto"/>
            <w:right w:val="none" w:sz="0" w:space="0" w:color="auto"/>
          </w:divBdr>
        </w:div>
        <w:div w:id="1113475262">
          <w:marLeft w:val="0"/>
          <w:marRight w:val="0"/>
          <w:marTop w:val="0"/>
          <w:marBottom w:val="0"/>
          <w:divBdr>
            <w:top w:val="none" w:sz="0" w:space="0" w:color="auto"/>
            <w:left w:val="none" w:sz="0" w:space="0" w:color="auto"/>
            <w:bottom w:val="none" w:sz="0" w:space="0" w:color="auto"/>
            <w:right w:val="none" w:sz="0" w:space="0" w:color="auto"/>
          </w:divBdr>
        </w:div>
        <w:div w:id="1185901364">
          <w:marLeft w:val="0"/>
          <w:marRight w:val="0"/>
          <w:marTop w:val="0"/>
          <w:marBottom w:val="0"/>
          <w:divBdr>
            <w:top w:val="none" w:sz="0" w:space="0" w:color="auto"/>
            <w:left w:val="none" w:sz="0" w:space="0" w:color="auto"/>
            <w:bottom w:val="none" w:sz="0" w:space="0" w:color="auto"/>
            <w:right w:val="none" w:sz="0" w:space="0" w:color="auto"/>
          </w:divBdr>
        </w:div>
        <w:div w:id="1628926953">
          <w:marLeft w:val="0"/>
          <w:marRight w:val="0"/>
          <w:marTop w:val="0"/>
          <w:marBottom w:val="0"/>
          <w:divBdr>
            <w:top w:val="none" w:sz="0" w:space="0" w:color="auto"/>
            <w:left w:val="none" w:sz="0" w:space="0" w:color="auto"/>
            <w:bottom w:val="none" w:sz="0" w:space="0" w:color="auto"/>
            <w:right w:val="none" w:sz="0" w:space="0" w:color="auto"/>
          </w:divBdr>
        </w:div>
        <w:div w:id="1752315980">
          <w:marLeft w:val="0"/>
          <w:marRight w:val="0"/>
          <w:marTop w:val="0"/>
          <w:marBottom w:val="0"/>
          <w:divBdr>
            <w:top w:val="none" w:sz="0" w:space="0" w:color="auto"/>
            <w:left w:val="none" w:sz="0" w:space="0" w:color="auto"/>
            <w:bottom w:val="none" w:sz="0" w:space="0" w:color="auto"/>
            <w:right w:val="none" w:sz="0" w:space="0" w:color="auto"/>
          </w:divBdr>
        </w:div>
        <w:div w:id="1386904990">
          <w:marLeft w:val="0"/>
          <w:marRight w:val="0"/>
          <w:marTop w:val="0"/>
          <w:marBottom w:val="0"/>
          <w:divBdr>
            <w:top w:val="none" w:sz="0" w:space="0" w:color="auto"/>
            <w:left w:val="none" w:sz="0" w:space="0" w:color="auto"/>
            <w:bottom w:val="none" w:sz="0" w:space="0" w:color="auto"/>
            <w:right w:val="none" w:sz="0" w:space="0" w:color="auto"/>
          </w:divBdr>
        </w:div>
        <w:div w:id="858544905">
          <w:marLeft w:val="0"/>
          <w:marRight w:val="0"/>
          <w:marTop w:val="0"/>
          <w:marBottom w:val="0"/>
          <w:divBdr>
            <w:top w:val="none" w:sz="0" w:space="0" w:color="auto"/>
            <w:left w:val="none" w:sz="0" w:space="0" w:color="auto"/>
            <w:bottom w:val="none" w:sz="0" w:space="0" w:color="auto"/>
            <w:right w:val="none" w:sz="0" w:space="0" w:color="auto"/>
          </w:divBdr>
        </w:div>
        <w:div w:id="540824559">
          <w:marLeft w:val="0"/>
          <w:marRight w:val="0"/>
          <w:marTop w:val="0"/>
          <w:marBottom w:val="0"/>
          <w:divBdr>
            <w:top w:val="none" w:sz="0" w:space="0" w:color="auto"/>
            <w:left w:val="none" w:sz="0" w:space="0" w:color="auto"/>
            <w:bottom w:val="none" w:sz="0" w:space="0" w:color="auto"/>
            <w:right w:val="none" w:sz="0" w:space="0" w:color="auto"/>
          </w:divBdr>
          <w:divsChild>
            <w:div w:id="1731079932">
              <w:marLeft w:val="-75"/>
              <w:marRight w:val="0"/>
              <w:marTop w:val="30"/>
              <w:marBottom w:val="30"/>
              <w:divBdr>
                <w:top w:val="none" w:sz="0" w:space="0" w:color="auto"/>
                <w:left w:val="none" w:sz="0" w:space="0" w:color="auto"/>
                <w:bottom w:val="none" w:sz="0" w:space="0" w:color="auto"/>
                <w:right w:val="none" w:sz="0" w:space="0" w:color="auto"/>
              </w:divBdr>
              <w:divsChild>
                <w:div w:id="1804541316">
                  <w:marLeft w:val="0"/>
                  <w:marRight w:val="0"/>
                  <w:marTop w:val="0"/>
                  <w:marBottom w:val="0"/>
                  <w:divBdr>
                    <w:top w:val="none" w:sz="0" w:space="0" w:color="auto"/>
                    <w:left w:val="none" w:sz="0" w:space="0" w:color="auto"/>
                    <w:bottom w:val="none" w:sz="0" w:space="0" w:color="auto"/>
                    <w:right w:val="none" w:sz="0" w:space="0" w:color="auto"/>
                  </w:divBdr>
                  <w:divsChild>
                    <w:div w:id="2099672672">
                      <w:marLeft w:val="0"/>
                      <w:marRight w:val="0"/>
                      <w:marTop w:val="0"/>
                      <w:marBottom w:val="0"/>
                      <w:divBdr>
                        <w:top w:val="none" w:sz="0" w:space="0" w:color="auto"/>
                        <w:left w:val="none" w:sz="0" w:space="0" w:color="auto"/>
                        <w:bottom w:val="none" w:sz="0" w:space="0" w:color="auto"/>
                        <w:right w:val="none" w:sz="0" w:space="0" w:color="auto"/>
                      </w:divBdr>
                    </w:div>
                  </w:divsChild>
                </w:div>
                <w:div w:id="810632330">
                  <w:marLeft w:val="0"/>
                  <w:marRight w:val="0"/>
                  <w:marTop w:val="0"/>
                  <w:marBottom w:val="0"/>
                  <w:divBdr>
                    <w:top w:val="none" w:sz="0" w:space="0" w:color="auto"/>
                    <w:left w:val="none" w:sz="0" w:space="0" w:color="auto"/>
                    <w:bottom w:val="none" w:sz="0" w:space="0" w:color="auto"/>
                    <w:right w:val="none" w:sz="0" w:space="0" w:color="auto"/>
                  </w:divBdr>
                  <w:divsChild>
                    <w:div w:id="1826238428">
                      <w:marLeft w:val="0"/>
                      <w:marRight w:val="0"/>
                      <w:marTop w:val="0"/>
                      <w:marBottom w:val="0"/>
                      <w:divBdr>
                        <w:top w:val="none" w:sz="0" w:space="0" w:color="auto"/>
                        <w:left w:val="none" w:sz="0" w:space="0" w:color="auto"/>
                        <w:bottom w:val="none" w:sz="0" w:space="0" w:color="auto"/>
                        <w:right w:val="none" w:sz="0" w:space="0" w:color="auto"/>
                      </w:divBdr>
                    </w:div>
                  </w:divsChild>
                </w:div>
                <w:div w:id="1309365112">
                  <w:marLeft w:val="0"/>
                  <w:marRight w:val="0"/>
                  <w:marTop w:val="0"/>
                  <w:marBottom w:val="0"/>
                  <w:divBdr>
                    <w:top w:val="none" w:sz="0" w:space="0" w:color="auto"/>
                    <w:left w:val="none" w:sz="0" w:space="0" w:color="auto"/>
                    <w:bottom w:val="none" w:sz="0" w:space="0" w:color="auto"/>
                    <w:right w:val="none" w:sz="0" w:space="0" w:color="auto"/>
                  </w:divBdr>
                  <w:divsChild>
                    <w:div w:id="71586520">
                      <w:marLeft w:val="0"/>
                      <w:marRight w:val="0"/>
                      <w:marTop w:val="0"/>
                      <w:marBottom w:val="0"/>
                      <w:divBdr>
                        <w:top w:val="none" w:sz="0" w:space="0" w:color="auto"/>
                        <w:left w:val="none" w:sz="0" w:space="0" w:color="auto"/>
                        <w:bottom w:val="none" w:sz="0" w:space="0" w:color="auto"/>
                        <w:right w:val="none" w:sz="0" w:space="0" w:color="auto"/>
                      </w:divBdr>
                    </w:div>
                  </w:divsChild>
                </w:div>
                <w:div w:id="1938632477">
                  <w:marLeft w:val="0"/>
                  <w:marRight w:val="0"/>
                  <w:marTop w:val="0"/>
                  <w:marBottom w:val="0"/>
                  <w:divBdr>
                    <w:top w:val="none" w:sz="0" w:space="0" w:color="auto"/>
                    <w:left w:val="none" w:sz="0" w:space="0" w:color="auto"/>
                    <w:bottom w:val="none" w:sz="0" w:space="0" w:color="auto"/>
                    <w:right w:val="none" w:sz="0" w:space="0" w:color="auto"/>
                  </w:divBdr>
                  <w:divsChild>
                    <w:div w:id="1396510537">
                      <w:marLeft w:val="0"/>
                      <w:marRight w:val="0"/>
                      <w:marTop w:val="0"/>
                      <w:marBottom w:val="0"/>
                      <w:divBdr>
                        <w:top w:val="none" w:sz="0" w:space="0" w:color="auto"/>
                        <w:left w:val="none" w:sz="0" w:space="0" w:color="auto"/>
                        <w:bottom w:val="none" w:sz="0" w:space="0" w:color="auto"/>
                        <w:right w:val="none" w:sz="0" w:space="0" w:color="auto"/>
                      </w:divBdr>
                    </w:div>
                  </w:divsChild>
                </w:div>
                <w:div w:id="78061384">
                  <w:marLeft w:val="0"/>
                  <w:marRight w:val="0"/>
                  <w:marTop w:val="0"/>
                  <w:marBottom w:val="0"/>
                  <w:divBdr>
                    <w:top w:val="none" w:sz="0" w:space="0" w:color="auto"/>
                    <w:left w:val="none" w:sz="0" w:space="0" w:color="auto"/>
                    <w:bottom w:val="none" w:sz="0" w:space="0" w:color="auto"/>
                    <w:right w:val="none" w:sz="0" w:space="0" w:color="auto"/>
                  </w:divBdr>
                  <w:divsChild>
                    <w:div w:id="2047673468">
                      <w:marLeft w:val="0"/>
                      <w:marRight w:val="0"/>
                      <w:marTop w:val="0"/>
                      <w:marBottom w:val="0"/>
                      <w:divBdr>
                        <w:top w:val="none" w:sz="0" w:space="0" w:color="auto"/>
                        <w:left w:val="none" w:sz="0" w:space="0" w:color="auto"/>
                        <w:bottom w:val="none" w:sz="0" w:space="0" w:color="auto"/>
                        <w:right w:val="none" w:sz="0" w:space="0" w:color="auto"/>
                      </w:divBdr>
                    </w:div>
                  </w:divsChild>
                </w:div>
                <w:div w:id="582881689">
                  <w:marLeft w:val="0"/>
                  <w:marRight w:val="0"/>
                  <w:marTop w:val="0"/>
                  <w:marBottom w:val="0"/>
                  <w:divBdr>
                    <w:top w:val="none" w:sz="0" w:space="0" w:color="auto"/>
                    <w:left w:val="none" w:sz="0" w:space="0" w:color="auto"/>
                    <w:bottom w:val="none" w:sz="0" w:space="0" w:color="auto"/>
                    <w:right w:val="none" w:sz="0" w:space="0" w:color="auto"/>
                  </w:divBdr>
                  <w:divsChild>
                    <w:div w:id="317348571">
                      <w:marLeft w:val="0"/>
                      <w:marRight w:val="0"/>
                      <w:marTop w:val="0"/>
                      <w:marBottom w:val="0"/>
                      <w:divBdr>
                        <w:top w:val="none" w:sz="0" w:space="0" w:color="auto"/>
                        <w:left w:val="none" w:sz="0" w:space="0" w:color="auto"/>
                        <w:bottom w:val="none" w:sz="0" w:space="0" w:color="auto"/>
                        <w:right w:val="none" w:sz="0" w:space="0" w:color="auto"/>
                      </w:divBdr>
                    </w:div>
                  </w:divsChild>
                </w:div>
                <w:div w:id="1044256115">
                  <w:marLeft w:val="0"/>
                  <w:marRight w:val="0"/>
                  <w:marTop w:val="0"/>
                  <w:marBottom w:val="0"/>
                  <w:divBdr>
                    <w:top w:val="none" w:sz="0" w:space="0" w:color="auto"/>
                    <w:left w:val="none" w:sz="0" w:space="0" w:color="auto"/>
                    <w:bottom w:val="none" w:sz="0" w:space="0" w:color="auto"/>
                    <w:right w:val="none" w:sz="0" w:space="0" w:color="auto"/>
                  </w:divBdr>
                  <w:divsChild>
                    <w:div w:id="521165065">
                      <w:marLeft w:val="0"/>
                      <w:marRight w:val="0"/>
                      <w:marTop w:val="0"/>
                      <w:marBottom w:val="0"/>
                      <w:divBdr>
                        <w:top w:val="none" w:sz="0" w:space="0" w:color="auto"/>
                        <w:left w:val="none" w:sz="0" w:space="0" w:color="auto"/>
                        <w:bottom w:val="none" w:sz="0" w:space="0" w:color="auto"/>
                        <w:right w:val="none" w:sz="0" w:space="0" w:color="auto"/>
                      </w:divBdr>
                    </w:div>
                  </w:divsChild>
                </w:div>
                <w:div w:id="2044399274">
                  <w:marLeft w:val="0"/>
                  <w:marRight w:val="0"/>
                  <w:marTop w:val="0"/>
                  <w:marBottom w:val="0"/>
                  <w:divBdr>
                    <w:top w:val="none" w:sz="0" w:space="0" w:color="auto"/>
                    <w:left w:val="none" w:sz="0" w:space="0" w:color="auto"/>
                    <w:bottom w:val="none" w:sz="0" w:space="0" w:color="auto"/>
                    <w:right w:val="none" w:sz="0" w:space="0" w:color="auto"/>
                  </w:divBdr>
                  <w:divsChild>
                    <w:div w:id="1786149062">
                      <w:marLeft w:val="0"/>
                      <w:marRight w:val="0"/>
                      <w:marTop w:val="0"/>
                      <w:marBottom w:val="0"/>
                      <w:divBdr>
                        <w:top w:val="none" w:sz="0" w:space="0" w:color="auto"/>
                        <w:left w:val="none" w:sz="0" w:space="0" w:color="auto"/>
                        <w:bottom w:val="none" w:sz="0" w:space="0" w:color="auto"/>
                        <w:right w:val="none" w:sz="0" w:space="0" w:color="auto"/>
                      </w:divBdr>
                    </w:div>
                  </w:divsChild>
                </w:div>
                <w:div w:id="785734727">
                  <w:marLeft w:val="0"/>
                  <w:marRight w:val="0"/>
                  <w:marTop w:val="0"/>
                  <w:marBottom w:val="0"/>
                  <w:divBdr>
                    <w:top w:val="none" w:sz="0" w:space="0" w:color="auto"/>
                    <w:left w:val="none" w:sz="0" w:space="0" w:color="auto"/>
                    <w:bottom w:val="none" w:sz="0" w:space="0" w:color="auto"/>
                    <w:right w:val="none" w:sz="0" w:space="0" w:color="auto"/>
                  </w:divBdr>
                  <w:divsChild>
                    <w:div w:id="228075184">
                      <w:marLeft w:val="0"/>
                      <w:marRight w:val="0"/>
                      <w:marTop w:val="0"/>
                      <w:marBottom w:val="0"/>
                      <w:divBdr>
                        <w:top w:val="none" w:sz="0" w:space="0" w:color="auto"/>
                        <w:left w:val="none" w:sz="0" w:space="0" w:color="auto"/>
                        <w:bottom w:val="none" w:sz="0" w:space="0" w:color="auto"/>
                        <w:right w:val="none" w:sz="0" w:space="0" w:color="auto"/>
                      </w:divBdr>
                    </w:div>
                  </w:divsChild>
                </w:div>
                <w:div w:id="347219704">
                  <w:marLeft w:val="0"/>
                  <w:marRight w:val="0"/>
                  <w:marTop w:val="0"/>
                  <w:marBottom w:val="0"/>
                  <w:divBdr>
                    <w:top w:val="none" w:sz="0" w:space="0" w:color="auto"/>
                    <w:left w:val="none" w:sz="0" w:space="0" w:color="auto"/>
                    <w:bottom w:val="none" w:sz="0" w:space="0" w:color="auto"/>
                    <w:right w:val="none" w:sz="0" w:space="0" w:color="auto"/>
                  </w:divBdr>
                  <w:divsChild>
                    <w:div w:id="1165783302">
                      <w:marLeft w:val="0"/>
                      <w:marRight w:val="0"/>
                      <w:marTop w:val="0"/>
                      <w:marBottom w:val="0"/>
                      <w:divBdr>
                        <w:top w:val="none" w:sz="0" w:space="0" w:color="auto"/>
                        <w:left w:val="none" w:sz="0" w:space="0" w:color="auto"/>
                        <w:bottom w:val="none" w:sz="0" w:space="0" w:color="auto"/>
                        <w:right w:val="none" w:sz="0" w:space="0" w:color="auto"/>
                      </w:divBdr>
                    </w:div>
                  </w:divsChild>
                </w:div>
                <w:div w:id="1924676503">
                  <w:marLeft w:val="0"/>
                  <w:marRight w:val="0"/>
                  <w:marTop w:val="0"/>
                  <w:marBottom w:val="0"/>
                  <w:divBdr>
                    <w:top w:val="none" w:sz="0" w:space="0" w:color="auto"/>
                    <w:left w:val="none" w:sz="0" w:space="0" w:color="auto"/>
                    <w:bottom w:val="none" w:sz="0" w:space="0" w:color="auto"/>
                    <w:right w:val="none" w:sz="0" w:space="0" w:color="auto"/>
                  </w:divBdr>
                  <w:divsChild>
                    <w:div w:id="73281309">
                      <w:marLeft w:val="0"/>
                      <w:marRight w:val="0"/>
                      <w:marTop w:val="0"/>
                      <w:marBottom w:val="0"/>
                      <w:divBdr>
                        <w:top w:val="none" w:sz="0" w:space="0" w:color="auto"/>
                        <w:left w:val="none" w:sz="0" w:space="0" w:color="auto"/>
                        <w:bottom w:val="none" w:sz="0" w:space="0" w:color="auto"/>
                        <w:right w:val="none" w:sz="0" w:space="0" w:color="auto"/>
                      </w:divBdr>
                    </w:div>
                  </w:divsChild>
                </w:div>
                <w:div w:id="536968497">
                  <w:marLeft w:val="0"/>
                  <w:marRight w:val="0"/>
                  <w:marTop w:val="0"/>
                  <w:marBottom w:val="0"/>
                  <w:divBdr>
                    <w:top w:val="none" w:sz="0" w:space="0" w:color="auto"/>
                    <w:left w:val="none" w:sz="0" w:space="0" w:color="auto"/>
                    <w:bottom w:val="none" w:sz="0" w:space="0" w:color="auto"/>
                    <w:right w:val="none" w:sz="0" w:space="0" w:color="auto"/>
                  </w:divBdr>
                  <w:divsChild>
                    <w:div w:id="74816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47444">
          <w:marLeft w:val="0"/>
          <w:marRight w:val="0"/>
          <w:marTop w:val="0"/>
          <w:marBottom w:val="0"/>
          <w:divBdr>
            <w:top w:val="none" w:sz="0" w:space="0" w:color="auto"/>
            <w:left w:val="none" w:sz="0" w:space="0" w:color="auto"/>
            <w:bottom w:val="none" w:sz="0" w:space="0" w:color="auto"/>
            <w:right w:val="none" w:sz="0" w:space="0" w:color="auto"/>
          </w:divBdr>
          <w:divsChild>
            <w:div w:id="255019433">
              <w:marLeft w:val="0"/>
              <w:marRight w:val="0"/>
              <w:marTop w:val="0"/>
              <w:marBottom w:val="0"/>
              <w:divBdr>
                <w:top w:val="none" w:sz="0" w:space="0" w:color="auto"/>
                <w:left w:val="none" w:sz="0" w:space="0" w:color="auto"/>
                <w:bottom w:val="none" w:sz="0" w:space="0" w:color="auto"/>
                <w:right w:val="none" w:sz="0" w:space="0" w:color="auto"/>
              </w:divBdr>
            </w:div>
            <w:div w:id="1766850989">
              <w:marLeft w:val="0"/>
              <w:marRight w:val="0"/>
              <w:marTop w:val="0"/>
              <w:marBottom w:val="0"/>
              <w:divBdr>
                <w:top w:val="none" w:sz="0" w:space="0" w:color="auto"/>
                <w:left w:val="none" w:sz="0" w:space="0" w:color="auto"/>
                <w:bottom w:val="none" w:sz="0" w:space="0" w:color="auto"/>
                <w:right w:val="none" w:sz="0" w:space="0" w:color="auto"/>
              </w:divBdr>
            </w:div>
            <w:div w:id="1377466146">
              <w:marLeft w:val="0"/>
              <w:marRight w:val="0"/>
              <w:marTop w:val="0"/>
              <w:marBottom w:val="0"/>
              <w:divBdr>
                <w:top w:val="none" w:sz="0" w:space="0" w:color="auto"/>
                <w:left w:val="none" w:sz="0" w:space="0" w:color="auto"/>
                <w:bottom w:val="none" w:sz="0" w:space="0" w:color="auto"/>
                <w:right w:val="none" w:sz="0" w:space="0" w:color="auto"/>
              </w:divBdr>
            </w:div>
            <w:div w:id="87047744">
              <w:marLeft w:val="0"/>
              <w:marRight w:val="0"/>
              <w:marTop w:val="0"/>
              <w:marBottom w:val="0"/>
              <w:divBdr>
                <w:top w:val="none" w:sz="0" w:space="0" w:color="auto"/>
                <w:left w:val="none" w:sz="0" w:space="0" w:color="auto"/>
                <w:bottom w:val="none" w:sz="0" w:space="0" w:color="auto"/>
                <w:right w:val="none" w:sz="0" w:space="0" w:color="auto"/>
              </w:divBdr>
            </w:div>
            <w:div w:id="1126778121">
              <w:marLeft w:val="0"/>
              <w:marRight w:val="0"/>
              <w:marTop w:val="0"/>
              <w:marBottom w:val="0"/>
              <w:divBdr>
                <w:top w:val="none" w:sz="0" w:space="0" w:color="auto"/>
                <w:left w:val="none" w:sz="0" w:space="0" w:color="auto"/>
                <w:bottom w:val="none" w:sz="0" w:space="0" w:color="auto"/>
                <w:right w:val="none" w:sz="0" w:space="0" w:color="auto"/>
              </w:divBdr>
            </w:div>
            <w:div w:id="23139659">
              <w:marLeft w:val="0"/>
              <w:marRight w:val="0"/>
              <w:marTop w:val="0"/>
              <w:marBottom w:val="0"/>
              <w:divBdr>
                <w:top w:val="none" w:sz="0" w:space="0" w:color="auto"/>
                <w:left w:val="none" w:sz="0" w:space="0" w:color="auto"/>
                <w:bottom w:val="none" w:sz="0" w:space="0" w:color="auto"/>
                <w:right w:val="none" w:sz="0" w:space="0" w:color="auto"/>
              </w:divBdr>
            </w:div>
            <w:div w:id="1539048447">
              <w:marLeft w:val="0"/>
              <w:marRight w:val="0"/>
              <w:marTop w:val="0"/>
              <w:marBottom w:val="0"/>
              <w:divBdr>
                <w:top w:val="none" w:sz="0" w:space="0" w:color="auto"/>
                <w:left w:val="none" w:sz="0" w:space="0" w:color="auto"/>
                <w:bottom w:val="none" w:sz="0" w:space="0" w:color="auto"/>
                <w:right w:val="none" w:sz="0" w:space="0" w:color="auto"/>
              </w:divBdr>
            </w:div>
            <w:div w:id="415782352">
              <w:marLeft w:val="0"/>
              <w:marRight w:val="0"/>
              <w:marTop w:val="0"/>
              <w:marBottom w:val="0"/>
              <w:divBdr>
                <w:top w:val="none" w:sz="0" w:space="0" w:color="auto"/>
                <w:left w:val="none" w:sz="0" w:space="0" w:color="auto"/>
                <w:bottom w:val="none" w:sz="0" w:space="0" w:color="auto"/>
                <w:right w:val="none" w:sz="0" w:space="0" w:color="auto"/>
              </w:divBdr>
            </w:div>
            <w:div w:id="771508548">
              <w:marLeft w:val="0"/>
              <w:marRight w:val="0"/>
              <w:marTop w:val="0"/>
              <w:marBottom w:val="0"/>
              <w:divBdr>
                <w:top w:val="none" w:sz="0" w:space="0" w:color="auto"/>
                <w:left w:val="none" w:sz="0" w:space="0" w:color="auto"/>
                <w:bottom w:val="none" w:sz="0" w:space="0" w:color="auto"/>
                <w:right w:val="none" w:sz="0" w:space="0" w:color="auto"/>
              </w:divBdr>
            </w:div>
            <w:div w:id="391467202">
              <w:marLeft w:val="0"/>
              <w:marRight w:val="0"/>
              <w:marTop w:val="0"/>
              <w:marBottom w:val="0"/>
              <w:divBdr>
                <w:top w:val="none" w:sz="0" w:space="0" w:color="auto"/>
                <w:left w:val="none" w:sz="0" w:space="0" w:color="auto"/>
                <w:bottom w:val="none" w:sz="0" w:space="0" w:color="auto"/>
                <w:right w:val="none" w:sz="0" w:space="0" w:color="auto"/>
              </w:divBdr>
            </w:div>
            <w:div w:id="139585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445685115">
      <w:bodyDiv w:val="1"/>
      <w:marLeft w:val="0"/>
      <w:marRight w:val="0"/>
      <w:marTop w:val="0"/>
      <w:marBottom w:val="0"/>
      <w:divBdr>
        <w:top w:val="none" w:sz="0" w:space="0" w:color="auto"/>
        <w:left w:val="none" w:sz="0" w:space="0" w:color="auto"/>
        <w:bottom w:val="none" w:sz="0" w:space="0" w:color="auto"/>
        <w:right w:val="none" w:sz="0" w:space="0" w:color="auto"/>
      </w:divBdr>
    </w:div>
    <w:div w:id="1493715350">
      <w:bodyDiv w:val="1"/>
      <w:marLeft w:val="0"/>
      <w:marRight w:val="0"/>
      <w:marTop w:val="0"/>
      <w:marBottom w:val="0"/>
      <w:divBdr>
        <w:top w:val="none" w:sz="0" w:space="0" w:color="auto"/>
        <w:left w:val="none" w:sz="0" w:space="0" w:color="auto"/>
        <w:bottom w:val="none" w:sz="0" w:space="0" w:color="auto"/>
        <w:right w:val="none" w:sz="0" w:space="0" w:color="auto"/>
      </w:divBdr>
      <w:divsChild>
        <w:div w:id="779302432">
          <w:marLeft w:val="0"/>
          <w:marRight w:val="0"/>
          <w:marTop w:val="0"/>
          <w:marBottom w:val="0"/>
          <w:divBdr>
            <w:top w:val="none" w:sz="0" w:space="0" w:color="auto"/>
            <w:left w:val="none" w:sz="0" w:space="0" w:color="auto"/>
            <w:bottom w:val="none" w:sz="0" w:space="0" w:color="auto"/>
            <w:right w:val="none" w:sz="0" w:space="0" w:color="auto"/>
          </w:divBdr>
        </w:div>
        <w:div w:id="101413394">
          <w:marLeft w:val="0"/>
          <w:marRight w:val="0"/>
          <w:marTop w:val="0"/>
          <w:marBottom w:val="0"/>
          <w:divBdr>
            <w:top w:val="none" w:sz="0" w:space="0" w:color="auto"/>
            <w:left w:val="none" w:sz="0" w:space="0" w:color="auto"/>
            <w:bottom w:val="none" w:sz="0" w:space="0" w:color="auto"/>
            <w:right w:val="none" w:sz="0" w:space="0" w:color="auto"/>
          </w:divBdr>
        </w:div>
        <w:div w:id="1417510064">
          <w:marLeft w:val="0"/>
          <w:marRight w:val="0"/>
          <w:marTop w:val="0"/>
          <w:marBottom w:val="0"/>
          <w:divBdr>
            <w:top w:val="none" w:sz="0" w:space="0" w:color="auto"/>
            <w:left w:val="none" w:sz="0" w:space="0" w:color="auto"/>
            <w:bottom w:val="none" w:sz="0" w:space="0" w:color="auto"/>
            <w:right w:val="none" w:sz="0" w:space="0" w:color="auto"/>
          </w:divBdr>
        </w:div>
        <w:div w:id="300773524">
          <w:marLeft w:val="0"/>
          <w:marRight w:val="0"/>
          <w:marTop w:val="0"/>
          <w:marBottom w:val="0"/>
          <w:divBdr>
            <w:top w:val="none" w:sz="0" w:space="0" w:color="auto"/>
            <w:left w:val="none" w:sz="0" w:space="0" w:color="auto"/>
            <w:bottom w:val="none" w:sz="0" w:space="0" w:color="auto"/>
            <w:right w:val="none" w:sz="0" w:space="0" w:color="auto"/>
          </w:divBdr>
        </w:div>
        <w:div w:id="402341018">
          <w:marLeft w:val="0"/>
          <w:marRight w:val="0"/>
          <w:marTop w:val="0"/>
          <w:marBottom w:val="0"/>
          <w:divBdr>
            <w:top w:val="none" w:sz="0" w:space="0" w:color="auto"/>
            <w:left w:val="none" w:sz="0" w:space="0" w:color="auto"/>
            <w:bottom w:val="none" w:sz="0" w:space="0" w:color="auto"/>
            <w:right w:val="none" w:sz="0" w:space="0" w:color="auto"/>
          </w:divBdr>
        </w:div>
        <w:div w:id="1990552890">
          <w:marLeft w:val="0"/>
          <w:marRight w:val="0"/>
          <w:marTop w:val="0"/>
          <w:marBottom w:val="0"/>
          <w:divBdr>
            <w:top w:val="none" w:sz="0" w:space="0" w:color="auto"/>
            <w:left w:val="none" w:sz="0" w:space="0" w:color="auto"/>
            <w:bottom w:val="none" w:sz="0" w:space="0" w:color="auto"/>
            <w:right w:val="none" w:sz="0" w:space="0" w:color="auto"/>
          </w:divBdr>
        </w:div>
        <w:div w:id="1938830025">
          <w:marLeft w:val="0"/>
          <w:marRight w:val="0"/>
          <w:marTop w:val="0"/>
          <w:marBottom w:val="0"/>
          <w:divBdr>
            <w:top w:val="none" w:sz="0" w:space="0" w:color="auto"/>
            <w:left w:val="none" w:sz="0" w:space="0" w:color="auto"/>
            <w:bottom w:val="none" w:sz="0" w:space="0" w:color="auto"/>
            <w:right w:val="none" w:sz="0" w:space="0" w:color="auto"/>
          </w:divBdr>
        </w:div>
        <w:div w:id="1768963953">
          <w:marLeft w:val="0"/>
          <w:marRight w:val="0"/>
          <w:marTop w:val="0"/>
          <w:marBottom w:val="0"/>
          <w:divBdr>
            <w:top w:val="none" w:sz="0" w:space="0" w:color="auto"/>
            <w:left w:val="none" w:sz="0" w:space="0" w:color="auto"/>
            <w:bottom w:val="none" w:sz="0" w:space="0" w:color="auto"/>
            <w:right w:val="none" w:sz="0" w:space="0" w:color="auto"/>
          </w:divBdr>
        </w:div>
        <w:div w:id="406271202">
          <w:marLeft w:val="0"/>
          <w:marRight w:val="0"/>
          <w:marTop w:val="0"/>
          <w:marBottom w:val="0"/>
          <w:divBdr>
            <w:top w:val="none" w:sz="0" w:space="0" w:color="auto"/>
            <w:left w:val="none" w:sz="0" w:space="0" w:color="auto"/>
            <w:bottom w:val="none" w:sz="0" w:space="0" w:color="auto"/>
            <w:right w:val="none" w:sz="0" w:space="0" w:color="auto"/>
          </w:divBdr>
          <w:divsChild>
            <w:div w:id="472214339">
              <w:marLeft w:val="-75"/>
              <w:marRight w:val="0"/>
              <w:marTop w:val="30"/>
              <w:marBottom w:val="30"/>
              <w:divBdr>
                <w:top w:val="none" w:sz="0" w:space="0" w:color="auto"/>
                <w:left w:val="none" w:sz="0" w:space="0" w:color="auto"/>
                <w:bottom w:val="none" w:sz="0" w:space="0" w:color="auto"/>
                <w:right w:val="none" w:sz="0" w:space="0" w:color="auto"/>
              </w:divBdr>
              <w:divsChild>
                <w:div w:id="292827044">
                  <w:marLeft w:val="0"/>
                  <w:marRight w:val="0"/>
                  <w:marTop w:val="0"/>
                  <w:marBottom w:val="0"/>
                  <w:divBdr>
                    <w:top w:val="none" w:sz="0" w:space="0" w:color="auto"/>
                    <w:left w:val="none" w:sz="0" w:space="0" w:color="auto"/>
                    <w:bottom w:val="none" w:sz="0" w:space="0" w:color="auto"/>
                    <w:right w:val="none" w:sz="0" w:space="0" w:color="auto"/>
                  </w:divBdr>
                  <w:divsChild>
                    <w:div w:id="1755852970">
                      <w:marLeft w:val="0"/>
                      <w:marRight w:val="0"/>
                      <w:marTop w:val="0"/>
                      <w:marBottom w:val="0"/>
                      <w:divBdr>
                        <w:top w:val="none" w:sz="0" w:space="0" w:color="auto"/>
                        <w:left w:val="none" w:sz="0" w:space="0" w:color="auto"/>
                        <w:bottom w:val="none" w:sz="0" w:space="0" w:color="auto"/>
                        <w:right w:val="none" w:sz="0" w:space="0" w:color="auto"/>
                      </w:divBdr>
                    </w:div>
                  </w:divsChild>
                </w:div>
                <w:div w:id="2086411702">
                  <w:marLeft w:val="0"/>
                  <w:marRight w:val="0"/>
                  <w:marTop w:val="0"/>
                  <w:marBottom w:val="0"/>
                  <w:divBdr>
                    <w:top w:val="none" w:sz="0" w:space="0" w:color="auto"/>
                    <w:left w:val="none" w:sz="0" w:space="0" w:color="auto"/>
                    <w:bottom w:val="none" w:sz="0" w:space="0" w:color="auto"/>
                    <w:right w:val="none" w:sz="0" w:space="0" w:color="auto"/>
                  </w:divBdr>
                  <w:divsChild>
                    <w:div w:id="1146628429">
                      <w:marLeft w:val="0"/>
                      <w:marRight w:val="0"/>
                      <w:marTop w:val="0"/>
                      <w:marBottom w:val="0"/>
                      <w:divBdr>
                        <w:top w:val="none" w:sz="0" w:space="0" w:color="auto"/>
                        <w:left w:val="none" w:sz="0" w:space="0" w:color="auto"/>
                        <w:bottom w:val="none" w:sz="0" w:space="0" w:color="auto"/>
                        <w:right w:val="none" w:sz="0" w:space="0" w:color="auto"/>
                      </w:divBdr>
                    </w:div>
                  </w:divsChild>
                </w:div>
                <w:div w:id="1266041043">
                  <w:marLeft w:val="0"/>
                  <w:marRight w:val="0"/>
                  <w:marTop w:val="0"/>
                  <w:marBottom w:val="0"/>
                  <w:divBdr>
                    <w:top w:val="none" w:sz="0" w:space="0" w:color="auto"/>
                    <w:left w:val="none" w:sz="0" w:space="0" w:color="auto"/>
                    <w:bottom w:val="none" w:sz="0" w:space="0" w:color="auto"/>
                    <w:right w:val="none" w:sz="0" w:space="0" w:color="auto"/>
                  </w:divBdr>
                  <w:divsChild>
                    <w:div w:id="1368793816">
                      <w:marLeft w:val="0"/>
                      <w:marRight w:val="0"/>
                      <w:marTop w:val="0"/>
                      <w:marBottom w:val="0"/>
                      <w:divBdr>
                        <w:top w:val="none" w:sz="0" w:space="0" w:color="auto"/>
                        <w:left w:val="none" w:sz="0" w:space="0" w:color="auto"/>
                        <w:bottom w:val="none" w:sz="0" w:space="0" w:color="auto"/>
                        <w:right w:val="none" w:sz="0" w:space="0" w:color="auto"/>
                      </w:divBdr>
                    </w:div>
                    <w:div w:id="1303464473">
                      <w:marLeft w:val="0"/>
                      <w:marRight w:val="0"/>
                      <w:marTop w:val="0"/>
                      <w:marBottom w:val="0"/>
                      <w:divBdr>
                        <w:top w:val="none" w:sz="0" w:space="0" w:color="auto"/>
                        <w:left w:val="none" w:sz="0" w:space="0" w:color="auto"/>
                        <w:bottom w:val="none" w:sz="0" w:space="0" w:color="auto"/>
                        <w:right w:val="none" w:sz="0" w:space="0" w:color="auto"/>
                      </w:divBdr>
                    </w:div>
                  </w:divsChild>
                </w:div>
                <w:div w:id="744766954">
                  <w:marLeft w:val="0"/>
                  <w:marRight w:val="0"/>
                  <w:marTop w:val="0"/>
                  <w:marBottom w:val="0"/>
                  <w:divBdr>
                    <w:top w:val="none" w:sz="0" w:space="0" w:color="auto"/>
                    <w:left w:val="none" w:sz="0" w:space="0" w:color="auto"/>
                    <w:bottom w:val="none" w:sz="0" w:space="0" w:color="auto"/>
                    <w:right w:val="none" w:sz="0" w:space="0" w:color="auto"/>
                  </w:divBdr>
                  <w:divsChild>
                    <w:div w:id="1907915331">
                      <w:marLeft w:val="0"/>
                      <w:marRight w:val="0"/>
                      <w:marTop w:val="0"/>
                      <w:marBottom w:val="0"/>
                      <w:divBdr>
                        <w:top w:val="none" w:sz="0" w:space="0" w:color="auto"/>
                        <w:left w:val="none" w:sz="0" w:space="0" w:color="auto"/>
                        <w:bottom w:val="none" w:sz="0" w:space="0" w:color="auto"/>
                        <w:right w:val="none" w:sz="0" w:space="0" w:color="auto"/>
                      </w:divBdr>
                    </w:div>
                    <w:div w:id="46454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755074">
          <w:marLeft w:val="0"/>
          <w:marRight w:val="0"/>
          <w:marTop w:val="0"/>
          <w:marBottom w:val="0"/>
          <w:divBdr>
            <w:top w:val="none" w:sz="0" w:space="0" w:color="auto"/>
            <w:left w:val="none" w:sz="0" w:space="0" w:color="auto"/>
            <w:bottom w:val="none" w:sz="0" w:space="0" w:color="auto"/>
            <w:right w:val="none" w:sz="0" w:space="0" w:color="auto"/>
          </w:divBdr>
        </w:div>
        <w:div w:id="1604025283">
          <w:marLeft w:val="0"/>
          <w:marRight w:val="0"/>
          <w:marTop w:val="0"/>
          <w:marBottom w:val="0"/>
          <w:divBdr>
            <w:top w:val="none" w:sz="0" w:space="0" w:color="auto"/>
            <w:left w:val="none" w:sz="0" w:space="0" w:color="auto"/>
            <w:bottom w:val="none" w:sz="0" w:space="0" w:color="auto"/>
            <w:right w:val="none" w:sz="0" w:space="0" w:color="auto"/>
          </w:divBdr>
        </w:div>
        <w:div w:id="17538798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 w:id="640041616">
          <w:marLeft w:val="0"/>
          <w:marRight w:val="0"/>
          <w:marTop w:val="0"/>
          <w:marBottom w:val="0"/>
          <w:divBdr>
            <w:top w:val="none" w:sz="0" w:space="0" w:color="auto"/>
            <w:left w:val="none" w:sz="0" w:space="0" w:color="auto"/>
            <w:bottom w:val="none" w:sz="0" w:space="0" w:color="auto"/>
            <w:right w:val="none" w:sz="0" w:space="0" w:color="auto"/>
          </w:divBdr>
        </w:div>
        <w:div w:id="596719647">
          <w:marLeft w:val="0"/>
          <w:marRight w:val="0"/>
          <w:marTop w:val="0"/>
          <w:marBottom w:val="0"/>
          <w:divBdr>
            <w:top w:val="none" w:sz="0" w:space="0" w:color="auto"/>
            <w:left w:val="none" w:sz="0" w:space="0" w:color="auto"/>
            <w:bottom w:val="none" w:sz="0" w:space="0" w:color="auto"/>
            <w:right w:val="none" w:sz="0" w:space="0" w:color="auto"/>
          </w:divBdr>
        </w:div>
        <w:div w:id="190730576">
          <w:marLeft w:val="0"/>
          <w:marRight w:val="0"/>
          <w:marTop w:val="0"/>
          <w:marBottom w:val="0"/>
          <w:divBdr>
            <w:top w:val="none" w:sz="0" w:space="0" w:color="auto"/>
            <w:left w:val="none" w:sz="0" w:space="0" w:color="auto"/>
            <w:bottom w:val="none" w:sz="0" w:space="0" w:color="auto"/>
            <w:right w:val="none" w:sz="0" w:space="0" w:color="auto"/>
          </w:divBdr>
        </w:div>
        <w:div w:id="373122724">
          <w:marLeft w:val="0"/>
          <w:marRight w:val="0"/>
          <w:marTop w:val="0"/>
          <w:marBottom w:val="0"/>
          <w:divBdr>
            <w:top w:val="none" w:sz="0" w:space="0" w:color="auto"/>
            <w:left w:val="none" w:sz="0" w:space="0" w:color="auto"/>
            <w:bottom w:val="none" w:sz="0" w:space="0" w:color="auto"/>
            <w:right w:val="none" w:sz="0" w:space="0" w:color="auto"/>
          </w:divBdr>
        </w:div>
        <w:div w:id="1088231097">
          <w:marLeft w:val="0"/>
          <w:marRight w:val="0"/>
          <w:marTop w:val="0"/>
          <w:marBottom w:val="0"/>
          <w:divBdr>
            <w:top w:val="none" w:sz="0" w:space="0" w:color="auto"/>
            <w:left w:val="none" w:sz="0" w:space="0" w:color="auto"/>
            <w:bottom w:val="none" w:sz="0" w:space="0" w:color="auto"/>
            <w:right w:val="none" w:sz="0" w:space="0" w:color="auto"/>
          </w:divBdr>
        </w:div>
        <w:div w:id="856701897">
          <w:marLeft w:val="0"/>
          <w:marRight w:val="0"/>
          <w:marTop w:val="0"/>
          <w:marBottom w:val="0"/>
          <w:divBdr>
            <w:top w:val="none" w:sz="0" w:space="0" w:color="auto"/>
            <w:left w:val="none" w:sz="0" w:space="0" w:color="auto"/>
            <w:bottom w:val="none" w:sz="0" w:space="0" w:color="auto"/>
            <w:right w:val="none" w:sz="0" w:space="0" w:color="auto"/>
          </w:divBdr>
        </w:div>
        <w:div w:id="496268867">
          <w:marLeft w:val="0"/>
          <w:marRight w:val="0"/>
          <w:marTop w:val="0"/>
          <w:marBottom w:val="0"/>
          <w:divBdr>
            <w:top w:val="none" w:sz="0" w:space="0" w:color="auto"/>
            <w:left w:val="none" w:sz="0" w:space="0" w:color="auto"/>
            <w:bottom w:val="none" w:sz="0" w:space="0" w:color="auto"/>
            <w:right w:val="none" w:sz="0" w:space="0" w:color="auto"/>
          </w:divBdr>
        </w:div>
        <w:div w:id="202594069">
          <w:marLeft w:val="0"/>
          <w:marRight w:val="0"/>
          <w:marTop w:val="0"/>
          <w:marBottom w:val="0"/>
          <w:divBdr>
            <w:top w:val="none" w:sz="0" w:space="0" w:color="auto"/>
            <w:left w:val="none" w:sz="0" w:space="0" w:color="auto"/>
            <w:bottom w:val="none" w:sz="0" w:space="0" w:color="auto"/>
            <w:right w:val="none" w:sz="0" w:space="0" w:color="auto"/>
          </w:divBdr>
        </w:div>
        <w:div w:id="1879202602">
          <w:marLeft w:val="0"/>
          <w:marRight w:val="0"/>
          <w:marTop w:val="0"/>
          <w:marBottom w:val="0"/>
          <w:divBdr>
            <w:top w:val="none" w:sz="0" w:space="0" w:color="auto"/>
            <w:left w:val="none" w:sz="0" w:space="0" w:color="auto"/>
            <w:bottom w:val="none" w:sz="0" w:space="0" w:color="auto"/>
            <w:right w:val="none" w:sz="0" w:space="0" w:color="auto"/>
          </w:divBdr>
        </w:div>
        <w:div w:id="2049446384">
          <w:marLeft w:val="0"/>
          <w:marRight w:val="0"/>
          <w:marTop w:val="0"/>
          <w:marBottom w:val="0"/>
          <w:divBdr>
            <w:top w:val="none" w:sz="0" w:space="0" w:color="auto"/>
            <w:left w:val="none" w:sz="0" w:space="0" w:color="auto"/>
            <w:bottom w:val="none" w:sz="0" w:space="0" w:color="auto"/>
            <w:right w:val="none" w:sz="0" w:space="0" w:color="auto"/>
          </w:divBdr>
        </w:div>
        <w:div w:id="531378777">
          <w:marLeft w:val="0"/>
          <w:marRight w:val="0"/>
          <w:marTop w:val="0"/>
          <w:marBottom w:val="0"/>
          <w:divBdr>
            <w:top w:val="none" w:sz="0" w:space="0" w:color="auto"/>
            <w:left w:val="none" w:sz="0" w:space="0" w:color="auto"/>
            <w:bottom w:val="none" w:sz="0" w:space="0" w:color="auto"/>
            <w:right w:val="none" w:sz="0" w:space="0" w:color="auto"/>
          </w:divBdr>
        </w:div>
        <w:div w:id="304701031">
          <w:marLeft w:val="0"/>
          <w:marRight w:val="0"/>
          <w:marTop w:val="0"/>
          <w:marBottom w:val="0"/>
          <w:divBdr>
            <w:top w:val="none" w:sz="0" w:space="0" w:color="auto"/>
            <w:left w:val="none" w:sz="0" w:space="0" w:color="auto"/>
            <w:bottom w:val="none" w:sz="0" w:space="0" w:color="auto"/>
            <w:right w:val="none" w:sz="0" w:space="0" w:color="auto"/>
          </w:divBdr>
        </w:div>
        <w:div w:id="1146123438">
          <w:marLeft w:val="0"/>
          <w:marRight w:val="0"/>
          <w:marTop w:val="0"/>
          <w:marBottom w:val="0"/>
          <w:divBdr>
            <w:top w:val="none" w:sz="0" w:space="0" w:color="auto"/>
            <w:left w:val="none" w:sz="0" w:space="0" w:color="auto"/>
            <w:bottom w:val="none" w:sz="0" w:space="0" w:color="auto"/>
            <w:right w:val="none" w:sz="0" w:space="0" w:color="auto"/>
          </w:divBdr>
        </w:div>
        <w:div w:id="1529098437">
          <w:marLeft w:val="0"/>
          <w:marRight w:val="0"/>
          <w:marTop w:val="0"/>
          <w:marBottom w:val="0"/>
          <w:divBdr>
            <w:top w:val="none" w:sz="0" w:space="0" w:color="auto"/>
            <w:left w:val="none" w:sz="0" w:space="0" w:color="auto"/>
            <w:bottom w:val="none" w:sz="0" w:space="0" w:color="auto"/>
            <w:right w:val="none" w:sz="0" w:space="0" w:color="auto"/>
          </w:divBdr>
        </w:div>
        <w:div w:id="383217734">
          <w:marLeft w:val="0"/>
          <w:marRight w:val="0"/>
          <w:marTop w:val="0"/>
          <w:marBottom w:val="0"/>
          <w:divBdr>
            <w:top w:val="none" w:sz="0" w:space="0" w:color="auto"/>
            <w:left w:val="none" w:sz="0" w:space="0" w:color="auto"/>
            <w:bottom w:val="none" w:sz="0" w:space="0" w:color="auto"/>
            <w:right w:val="none" w:sz="0" w:space="0" w:color="auto"/>
          </w:divBdr>
        </w:div>
        <w:div w:id="1265764953">
          <w:marLeft w:val="0"/>
          <w:marRight w:val="0"/>
          <w:marTop w:val="0"/>
          <w:marBottom w:val="0"/>
          <w:divBdr>
            <w:top w:val="none" w:sz="0" w:space="0" w:color="auto"/>
            <w:left w:val="none" w:sz="0" w:space="0" w:color="auto"/>
            <w:bottom w:val="none" w:sz="0" w:space="0" w:color="auto"/>
            <w:right w:val="none" w:sz="0" w:space="0" w:color="auto"/>
          </w:divBdr>
        </w:div>
        <w:div w:id="2511796">
          <w:marLeft w:val="0"/>
          <w:marRight w:val="0"/>
          <w:marTop w:val="0"/>
          <w:marBottom w:val="0"/>
          <w:divBdr>
            <w:top w:val="none" w:sz="0" w:space="0" w:color="auto"/>
            <w:left w:val="none" w:sz="0" w:space="0" w:color="auto"/>
            <w:bottom w:val="none" w:sz="0" w:space="0" w:color="auto"/>
            <w:right w:val="none" w:sz="0" w:space="0" w:color="auto"/>
          </w:divBdr>
        </w:div>
        <w:div w:id="823936675">
          <w:marLeft w:val="0"/>
          <w:marRight w:val="0"/>
          <w:marTop w:val="0"/>
          <w:marBottom w:val="0"/>
          <w:divBdr>
            <w:top w:val="none" w:sz="0" w:space="0" w:color="auto"/>
            <w:left w:val="none" w:sz="0" w:space="0" w:color="auto"/>
            <w:bottom w:val="none" w:sz="0" w:space="0" w:color="auto"/>
            <w:right w:val="none" w:sz="0" w:space="0" w:color="auto"/>
          </w:divBdr>
        </w:div>
        <w:div w:id="31997233">
          <w:marLeft w:val="0"/>
          <w:marRight w:val="0"/>
          <w:marTop w:val="0"/>
          <w:marBottom w:val="0"/>
          <w:divBdr>
            <w:top w:val="none" w:sz="0" w:space="0" w:color="auto"/>
            <w:left w:val="none" w:sz="0" w:space="0" w:color="auto"/>
            <w:bottom w:val="none" w:sz="0" w:space="0" w:color="auto"/>
            <w:right w:val="none" w:sz="0" w:space="0" w:color="auto"/>
          </w:divBdr>
        </w:div>
        <w:div w:id="617297727">
          <w:marLeft w:val="0"/>
          <w:marRight w:val="0"/>
          <w:marTop w:val="0"/>
          <w:marBottom w:val="0"/>
          <w:divBdr>
            <w:top w:val="none" w:sz="0" w:space="0" w:color="auto"/>
            <w:left w:val="none" w:sz="0" w:space="0" w:color="auto"/>
            <w:bottom w:val="none" w:sz="0" w:space="0" w:color="auto"/>
            <w:right w:val="none" w:sz="0" w:space="0" w:color="auto"/>
          </w:divBdr>
        </w:div>
        <w:div w:id="1938519869">
          <w:marLeft w:val="0"/>
          <w:marRight w:val="0"/>
          <w:marTop w:val="0"/>
          <w:marBottom w:val="0"/>
          <w:divBdr>
            <w:top w:val="none" w:sz="0" w:space="0" w:color="auto"/>
            <w:left w:val="none" w:sz="0" w:space="0" w:color="auto"/>
            <w:bottom w:val="none" w:sz="0" w:space="0" w:color="auto"/>
            <w:right w:val="none" w:sz="0" w:space="0" w:color="auto"/>
          </w:divBdr>
        </w:div>
        <w:div w:id="2062559037">
          <w:marLeft w:val="0"/>
          <w:marRight w:val="0"/>
          <w:marTop w:val="0"/>
          <w:marBottom w:val="0"/>
          <w:divBdr>
            <w:top w:val="none" w:sz="0" w:space="0" w:color="auto"/>
            <w:left w:val="none" w:sz="0" w:space="0" w:color="auto"/>
            <w:bottom w:val="none" w:sz="0" w:space="0" w:color="auto"/>
            <w:right w:val="none" w:sz="0" w:space="0" w:color="auto"/>
          </w:divBdr>
        </w:div>
        <w:div w:id="1822844571">
          <w:marLeft w:val="0"/>
          <w:marRight w:val="0"/>
          <w:marTop w:val="0"/>
          <w:marBottom w:val="0"/>
          <w:divBdr>
            <w:top w:val="none" w:sz="0" w:space="0" w:color="auto"/>
            <w:left w:val="none" w:sz="0" w:space="0" w:color="auto"/>
            <w:bottom w:val="none" w:sz="0" w:space="0" w:color="auto"/>
            <w:right w:val="none" w:sz="0" w:space="0" w:color="auto"/>
          </w:divBdr>
        </w:div>
        <w:div w:id="1645040689">
          <w:marLeft w:val="0"/>
          <w:marRight w:val="0"/>
          <w:marTop w:val="0"/>
          <w:marBottom w:val="0"/>
          <w:divBdr>
            <w:top w:val="none" w:sz="0" w:space="0" w:color="auto"/>
            <w:left w:val="none" w:sz="0" w:space="0" w:color="auto"/>
            <w:bottom w:val="none" w:sz="0" w:space="0" w:color="auto"/>
            <w:right w:val="none" w:sz="0" w:space="0" w:color="auto"/>
          </w:divBdr>
        </w:div>
        <w:div w:id="1879970847">
          <w:marLeft w:val="0"/>
          <w:marRight w:val="0"/>
          <w:marTop w:val="0"/>
          <w:marBottom w:val="0"/>
          <w:divBdr>
            <w:top w:val="none" w:sz="0" w:space="0" w:color="auto"/>
            <w:left w:val="none" w:sz="0" w:space="0" w:color="auto"/>
            <w:bottom w:val="none" w:sz="0" w:space="0" w:color="auto"/>
            <w:right w:val="none" w:sz="0" w:space="0" w:color="auto"/>
          </w:divBdr>
        </w:div>
        <w:div w:id="1856731024">
          <w:marLeft w:val="0"/>
          <w:marRight w:val="0"/>
          <w:marTop w:val="0"/>
          <w:marBottom w:val="0"/>
          <w:divBdr>
            <w:top w:val="none" w:sz="0" w:space="0" w:color="auto"/>
            <w:left w:val="none" w:sz="0" w:space="0" w:color="auto"/>
            <w:bottom w:val="none" w:sz="0" w:space="0" w:color="auto"/>
            <w:right w:val="none" w:sz="0" w:space="0" w:color="auto"/>
          </w:divBdr>
        </w:div>
        <w:div w:id="78446712">
          <w:marLeft w:val="0"/>
          <w:marRight w:val="0"/>
          <w:marTop w:val="0"/>
          <w:marBottom w:val="0"/>
          <w:divBdr>
            <w:top w:val="none" w:sz="0" w:space="0" w:color="auto"/>
            <w:left w:val="none" w:sz="0" w:space="0" w:color="auto"/>
            <w:bottom w:val="none" w:sz="0" w:space="0" w:color="auto"/>
            <w:right w:val="none" w:sz="0" w:space="0" w:color="auto"/>
          </w:divBdr>
        </w:div>
        <w:div w:id="1950159621">
          <w:marLeft w:val="0"/>
          <w:marRight w:val="0"/>
          <w:marTop w:val="0"/>
          <w:marBottom w:val="0"/>
          <w:divBdr>
            <w:top w:val="none" w:sz="0" w:space="0" w:color="auto"/>
            <w:left w:val="none" w:sz="0" w:space="0" w:color="auto"/>
            <w:bottom w:val="none" w:sz="0" w:space="0" w:color="auto"/>
            <w:right w:val="none" w:sz="0" w:space="0" w:color="auto"/>
          </w:divBdr>
        </w:div>
        <w:div w:id="560409205">
          <w:marLeft w:val="0"/>
          <w:marRight w:val="0"/>
          <w:marTop w:val="0"/>
          <w:marBottom w:val="0"/>
          <w:divBdr>
            <w:top w:val="none" w:sz="0" w:space="0" w:color="auto"/>
            <w:left w:val="none" w:sz="0" w:space="0" w:color="auto"/>
            <w:bottom w:val="none" w:sz="0" w:space="0" w:color="auto"/>
            <w:right w:val="none" w:sz="0" w:space="0" w:color="auto"/>
          </w:divBdr>
        </w:div>
        <w:div w:id="1887643229">
          <w:marLeft w:val="0"/>
          <w:marRight w:val="0"/>
          <w:marTop w:val="0"/>
          <w:marBottom w:val="0"/>
          <w:divBdr>
            <w:top w:val="none" w:sz="0" w:space="0" w:color="auto"/>
            <w:left w:val="none" w:sz="0" w:space="0" w:color="auto"/>
            <w:bottom w:val="none" w:sz="0" w:space="0" w:color="auto"/>
            <w:right w:val="none" w:sz="0" w:space="0" w:color="auto"/>
          </w:divBdr>
        </w:div>
        <w:div w:id="1393230721">
          <w:marLeft w:val="0"/>
          <w:marRight w:val="0"/>
          <w:marTop w:val="0"/>
          <w:marBottom w:val="0"/>
          <w:divBdr>
            <w:top w:val="none" w:sz="0" w:space="0" w:color="auto"/>
            <w:left w:val="none" w:sz="0" w:space="0" w:color="auto"/>
            <w:bottom w:val="none" w:sz="0" w:space="0" w:color="auto"/>
            <w:right w:val="none" w:sz="0" w:space="0" w:color="auto"/>
          </w:divBdr>
        </w:div>
        <w:div w:id="820652898">
          <w:marLeft w:val="0"/>
          <w:marRight w:val="0"/>
          <w:marTop w:val="0"/>
          <w:marBottom w:val="0"/>
          <w:divBdr>
            <w:top w:val="none" w:sz="0" w:space="0" w:color="auto"/>
            <w:left w:val="none" w:sz="0" w:space="0" w:color="auto"/>
            <w:bottom w:val="none" w:sz="0" w:space="0" w:color="auto"/>
            <w:right w:val="none" w:sz="0" w:space="0" w:color="auto"/>
          </w:divBdr>
          <w:divsChild>
            <w:div w:id="119737096">
              <w:marLeft w:val="-75"/>
              <w:marRight w:val="0"/>
              <w:marTop w:val="30"/>
              <w:marBottom w:val="30"/>
              <w:divBdr>
                <w:top w:val="none" w:sz="0" w:space="0" w:color="auto"/>
                <w:left w:val="none" w:sz="0" w:space="0" w:color="auto"/>
                <w:bottom w:val="none" w:sz="0" w:space="0" w:color="auto"/>
                <w:right w:val="none" w:sz="0" w:space="0" w:color="auto"/>
              </w:divBdr>
              <w:divsChild>
                <w:div w:id="1001814881">
                  <w:marLeft w:val="0"/>
                  <w:marRight w:val="0"/>
                  <w:marTop w:val="0"/>
                  <w:marBottom w:val="0"/>
                  <w:divBdr>
                    <w:top w:val="none" w:sz="0" w:space="0" w:color="auto"/>
                    <w:left w:val="none" w:sz="0" w:space="0" w:color="auto"/>
                    <w:bottom w:val="none" w:sz="0" w:space="0" w:color="auto"/>
                    <w:right w:val="none" w:sz="0" w:space="0" w:color="auto"/>
                  </w:divBdr>
                  <w:divsChild>
                    <w:div w:id="1638334716">
                      <w:marLeft w:val="0"/>
                      <w:marRight w:val="0"/>
                      <w:marTop w:val="0"/>
                      <w:marBottom w:val="0"/>
                      <w:divBdr>
                        <w:top w:val="none" w:sz="0" w:space="0" w:color="auto"/>
                        <w:left w:val="none" w:sz="0" w:space="0" w:color="auto"/>
                        <w:bottom w:val="none" w:sz="0" w:space="0" w:color="auto"/>
                        <w:right w:val="none" w:sz="0" w:space="0" w:color="auto"/>
                      </w:divBdr>
                    </w:div>
                  </w:divsChild>
                </w:div>
                <w:div w:id="452022432">
                  <w:marLeft w:val="0"/>
                  <w:marRight w:val="0"/>
                  <w:marTop w:val="0"/>
                  <w:marBottom w:val="0"/>
                  <w:divBdr>
                    <w:top w:val="none" w:sz="0" w:space="0" w:color="auto"/>
                    <w:left w:val="none" w:sz="0" w:space="0" w:color="auto"/>
                    <w:bottom w:val="none" w:sz="0" w:space="0" w:color="auto"/>
                    <w:right w:val="none" w:sz="0" w:space="0" w:color="auto"/>
                  </w:divBdr>
                  <w:divsChild>
                    <w:div w:id="1418550693">
                      <w:marLeft w:val="0"/>
                      <w:marRight w:val="0"/>
                      <w:marTop w:val="0"/>
                      <w:marBottom w:val="0"/>
                      <w:divBdr>
                        <w:top w:val="none" w:sz="0" w:space="0" w:color="auto"/>
                        <w:left w:val="none" w:sz="0" w:space="0" w:color="auto"/>
                        <w:bottom w:val="none" w:sz="0" w:space="0" w:color="auto"/>
                        <w:right w:val="none" w:sz="0" w:space="0" w:color="auto"/>
                      </w:divBdr>
                    </w:div>
                  </w:divsChild>
                </w:div>
                <w:div w:id="1313682413">
                  <w:marLeft w:val="0"/>
                  <w:marRight w:val="0"/>
                  <w:marTop w:val="0"/>
                  <w:marBottom w:val="0"/>
                  <w:divBdr>
                    <w:top w:val="none" w:sz="0" w:space="0" w:color="auto"/>
                    <w:left w:val="none" w:sz="0" w:space="0" w:color="auto"/>
                    <w:bottom w:val="none" w:sz="0" w:space="0" w:color="auto"/>
                    <w:right w:val="none" w:sz="0" w:space="0" w:color="auto"/>
                  </w:divBdr>
                  <w:divsChild>
                    <w:div w:id="964459654">
                      <w:marLeft w:val="0"/>
                      <w:marRight w:val="0"/>
                      <w:marTop w:val="0"/>
                      <w:marBottom w:val="0"/>
                      <w:divBdr>
                        <w:top w:val="none" w:sz="0" w:space="0" w:color="auto"/>
                        <w:left w:val="none" w:sz="0" w:space="0" w:color="auto"/>
                        <w:bottom w:val="none" w:sz="0" w:space="0" w:color="auto"/>
                        <w:right w:val="none" w:sz="0" w:space="0" w:color="auto"/>
                      </w:divBdr>
                    </w:div>
                  </w:divsChild>
                </w:div>
                <w:div w:id="1736315885">
                  <w:marLeft w:val="0"/>
                  <w:marRight w:val="0"/>
                  <w:marTop w:val="0"/>
                  <w:marBottom w:val="0"/>
                  <w:divBdr>
                    <w:top w:val="none" w:sz="0" w:space="0" w:color="auto"/>
                    <w:left w:val="none" w:sz="0" w:space="0" w:color="auto"/>
                    <w:bottom w:val="none" w:sz="0" w:space="0" w:color="auto"/>
                    <w:right w:val="none" w:sz="0" w:space="0" w:color="auto"/>
                  </w:divBdr>
                  <w:divsChild>
                    <w:div w:id="509175384">
                      <w:marLeft w:val="0"/>
                      <w:marRight w:val="0"/>
                      <w:marTop w:val="0"/>
                      <w:marBottom w:val="0"/>
                      <w:divBdr>
                        <w:top w:val="none" w:sz="0" w:space="0" w:color="auto"/>
                        <w:left w:val="none" w:sz="0" w:space="0" w:color="auto"/>
                        <w:bottom w:val="none" w:sz="0" w:space="0" w:color="auto"/>
                        <w:right w:val="none" w:sz="0" w:space="0" w:color="auto"/>
                      </w:divBdr>
                    </w:div>
                  </w:divsChild>
                </w:div>
                <w:div w:id="759641153">
                  <w:marLeft w:val="0"/>
                  <w:marRight w:val="0"/>
                  <w:marTop w:val="0"/>
                  <w:marBottom w:val="0"/>
                  <w:divBdr>
                    <w:top w:val="none" w:sz="0" w:space="0" w:color="auto"/>
                    <w:left w:val="none" w:sz="0" w:space="0" w:color="auto"/>
                    <w:bottom w:val="none" w:sz="0" w:space="0" w:color="auto"/>
                    <w:right w:val="none" w:sz="0" w:space="0" w:color="auto"/>
                  </w:divBdr>
                  <w:divsChild>
                    <w:div w:id="1730030629">
                      <w:marLeft w:val="0"/>
                      <w:marRight w:val="0"/>
                      <w:marTop w:val="0"/>
                      <w:marBottom w:val="0"/>
                      <w:divBdr>
                        <w:top w:val="none" w:sz="0" w:space="0" w:color="auto"/>
                        <w:left w:val="none" w:sz="0" w:space="0" w:color="auto"/>
                        <w:bottom w:val="none" w:sz="0" w:space="0" w:color="auto"/>
                        <w:right w:val="none" w:sz="0" w:space="0" w:color="auto"/>
                      </w:divBdr>
                    </w:div>
                  </w:divsChild>
                </w:div>
                <w:div w:id="1222401433">
                  <w:marLeft w:val="0"/>
                  <w:marRight w:val="0"/>
                  <w:marTop w:val="0"/>
                  <w:marBottom w:val="0"/>
                  <w:divBdr>
                    <w:top w:val="none" w:sz="0" w:space="0" w:color="auto"/>
                    <w:left w:val="none" w:sz="0" w:space="0" w:color="auto"/>
                    <w:bottom w:val="none" w:sz="0" w:space="0" w:color="auto"/>
                    <w:right w:val="none" w:sz="0" w:space="0" w:color="auto"/>
                  </w:divBdr>
                  <w:divsChild>
                    <w:div w:id="848254377">
                      <w:marLeft w:val="0"/>
                      <w:marRight w:val="0"/>
                      <w:marTop w:val="0"/>
                      <w:marBottom w:val="0"/>
                      <w:divBdr>
                        <w:top w:val="none" w:sz="0" w:space="0" w:color="auto"/>
                        <w:left w:val="none" w:sz="0" w:space="0" w:color="auto"/>
                        <w:bottom w:val="none" w:sz="0" w:space="0" w:color="auto"/>
                        <w:right w:val="none" w:sz="0" w:space="0" w:color="auto"/>
                      </w:divBdr>
                    </w:div>
                  </w:divsChild>
                </w:div>
                <w:div w:id="604652719">
                  <w:marLeft w:val="0"/>
                  <w:marRight w:val="0"/>
                  <w:marTop w:val="0"/>
                  <w:marBottom w:val="0"/>
                  <w:divBdr>
                    <w:top w:val="none" w:sz="0" w:space="0" w:color="auto"/>
                    <w:left w:val="none" w:sz="0" w:space="0" w:color="auto"/>
                    <w:bottom w:val="none" w:sz="0" w:space="0" w:color="auto"/>
                    <w:right w:val="none" w:sz="0" w:space="0" w:color="auto"/>
                  </w:divBdr>
                  <w:divsChild>
                    <w:div w:id="1664354082">
                      <w:marLeft w:val="0"/>
                      <w:marRight w:val="0"/>
                      <w:marTop w:val="0"/>
                      <w:marBottom w:val="0"/>
                      <w:divBdr>
                        <w:top w:val="none" w:sz="0" w:space="0" w:color="auto"/>
                        <w:left w:val="none" w:sz="0" w:space="0" w:color="auto"/>
                        <w:bottom w:val="none" w:sz="0" w:space="0" w:color="auto"/>
                        <w:right w:val="none" w:sz="0" w:space="0" w:color="auto"/>
                      </w:divBdr>
                    </w:div>
                  </w:divsChild>
                </w:div>
                <w:div w:id="1730567640">
                  <w:marLeft w:val="0"/>
                  <w:marRight w:val="0"/>
                  <w:marTop w:val="0"/>
                  <w:marBottom w:val="0"/>
                  <w:divBdr>
                    <w:top w:val="none" w:sz="0" w:space="0" w:color="auto"/>
                    <w:left w:val="none" w:sz="0" w:space="0" w:color="auto"/>
                    <w:bottom w:val="none" w:sz="0" w:space="0" w:color="auto"/>
                    <w:right w:val="none" w:sz="0" w:space="0" w:color="auto"/>
                  </w:divBdr>
                  <w:divsChild>
                    <w:div w:id="299457518">
                      <w:marLeft w:val="0"/>
                      <w:marRight w:val="0"/>
                      <w:marTop w:val="0"/>
                      <w:marBottom w:val="0"/>
                      <w:divBdr>
                        <w:top w:val="none" w:sz="0" w:space="0" w:color="auto"/>
                        <w:left w:val="none" w:sz="0" w:space="0" w:color="auto"/>
                        <w:bottom w:val="none" w:sz="0" w:space="0" w:color="auto"/>
                        <w:right w:val="none" w:sz="0" w:space="0" w:color="auto"/>
                      </w:divBdr>
                    </w:div>
                  </w:divsChild>
                </w:div>
                <w:div w:id="1380206714">
                  <w:marLeft w:val="0"/>
                  <w:marRight w:val="0"/>
                  <w:marTop w:val="0"/>
                  <w:marBottom w:val="0"/>
                  <w:divBdr>
                    <w:top w:val="none" w:sz="0" w:space="0" w:color="auto"/>
                    <w:left w:val="none" w:sz="0" w:space="0" w:color="auto"/>
                    <w:bottom w:val="none" w:sz="0" w:space="0" w:color="auto"/>
                    <w:right w:val="none" w:sz="0" w:space="0" w:color="auto"/>
                  </w:divBdr>
                  <w:divsChild>
                    <w:div w:id="1473207264">
                      <w:marLeft w:val="0"/>
                      <w:marRight w:val="0"/>
                      <w:marTop w:val="0"/>
                      <w:marBottom w:val="0"/>
                      <w:divBdr>
                        <w:top w:val="none" w:sz="0" w:space="0" w:color="auto"/>
                        <w:left w:val="none" w:sz="0" w:space="0" w:color="auto"/>
                        <w:bottom w:val="none" w:sz="0" w:space="0" w:color="auto"/>
                        <w:right w:val="none" w:sz="0" w:space="0" w:color="auto"/>
                      </w:divBdr>
                    </w:div>
                  </w:divsChild>
                </w:div>
                <w:div w:id="783887840">
                  <w:marLeft w:val="0"/>
                  <w:marRight w:val="0"/>
                  <w:marTop w:val="0"/>
                  <w:marBottom w:val="0"/>
                  <w:divBdr>
                    <w:top w:val="none" w:sz="0" w:space="0" w:color="auto"/>
                    <w:left w:val="none" w:sz="0" w:space="0" w:color="auto"/>
                    <w:bottom w:val="none" w:sz="0" w:space="0" w:color="auto"/>
                    <w:right w:val="none" w:sz="0" w:space="0" w:color="auto"/>
                  </w:divBdr>
                  <w:divsChild>
                    <w:div w:id="391007685">
                      <w:marLeft w:val="0"/>
                      <w:marRight w:val="0"/>
                      <w:marTop w:val="0"/>
                      <w:marBottom w:val="0"/>
                      <w:divBdr>
                        <w:top w:val="none" w:sz="0" w:space="0" w:color="auto"/>
                        <w:left w:val="none" w:sz="0" w:space="0" w:color="auto"/>
                        <w:bottom w:val="none" w:sz="0" w:space="0" w:color="auto"/>
                        <w:right w:val="none" w:sz="0" w:space="0" w:color="auto"/>
                      </w:divBdr>
                    </w:div>
                  </w:divsChild>
                </w:div>
                <w:div w:id="1923175719">
                  <w:marLeft w:val="0"/>
                  <w:marRight w:val="0"/>
                  <w:marTop w:val="0"/>
                  <w:marBottom w:val="0"/>
                  <w:divBdr>
                    <w:top w:val="none" w:sz="0" w:space="0" w:color="auto"/>
                    <w:left w:val="none" w:sz="0" w:space="0" w:color="auto"/>
                    <w:bottom w:val="none" w:sz="0" w:space="0" w:color="auto"/>
                    <w:right w:val="none" w:sz="0" w:space="0" w:color="auto"/>
                  </w:divBdr>
                  <w:divsChild>
                    <w:div w:id="2130782350">
                      <w:marLeft w:val="0"/>
                      <w:marRight w:val="0"/>
                      <w:marTop w:val="0"/>
                      <w:marBottom w:val="0"/>
                      <w:divBdr>
                        <w:top w:val="none" w:sz="0" w:space="0" w:color="auto"/>
                        <w:left w:val="none" w:sz="0" w:space="0" w:color="auto"/>
                        <w:bottom w:val="none" w:sz="0" w:space="0" w:color="auto"/>
                        <w:right w:val="none" w:sz="0" w:space="0" w:color="auto"/>
                      </w:divBdr>
                    </w:div>
                  </w:divsChild>
                </w:div>
                <w:div w:id="895628892">
                  <w:marLeft w:val="0"/>
                  <w:marRight w:val="0"/>
                  <w:marTop w:val="0"/>
                  <w:marBottom w:val="0"/>
                  <w:divBdr>
                    <w:top w:val="none" w:sz="0" w:space="0" w:color="auto"/>
                    <w:left w:val="none" w:sz="0" w:space="0" w:color="auto"/>
                    <w:bottom w:val="none" w:sz="0" w:space="0" w:color="auto"/>
                    <w:right w:val="none" w:sz="0" w:space="0" w:color="auto"/>
                  </w:divBdr>
                  <w:divsChild>
                    <w:div w:id="130627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653480">
          <w:marLeft w:val="0"/>
          <w:marRight w:val="0"/>
          <w:marTop w:val="0"/>
          <w:marBottom w:val="0"/>
          <w:divBdr>
            <w:top w:val="none" w:sz="0" w:space="0" w:color="auto"/>
            <w:left w:val="none" w:sz="0" w:space="0" w:color="auto"/>
            <w:bottom w:val="none" w:sz="0" w:space="0" w:color="auto"/>
            <w:right w:val="none" w:sz="0" w:space="0" w:color="auto"/>
          </w:divBdr>
          <w:divsChild>
            <w:div w:id="1350252561">
              <w:marLeft w:val="0"/>
              <w:marRight w:val="0"/>
              <w:marTop w:val="0"/>
              <w:marBottom w:val="0"/>
              <w:divBdr>
                <w:top w:val="none" w:sz="0" w:space="0" w:color="auto"/>
                <w:left w:val="none" w:sz="0" w:space="0" w:color="auto"/>
                <w:bottom w:val="none" w:sz="0" w:space="0" w:color="auto"/>
                <w:right w:val="none" w:sz="0" w:space="0" w:color="auto"/>
              </w:divBdr>
            </w:div>
            <w:div w:id="2013486617">
              <w:marLeft w:val="0"/>
              <w:marRight w:val="0"/>
              <w:marTop w:val="0"/>
              <w:marBottom w:val="0"/>
              <w:divBdr>
                <w:top w:val="none" w:sz="0" w:space="0" w:color="auto"/>
                <w:left w:val="none" w:sz="0" w:space="0" w:color="auto"/>
                <w:bottom w:val="none" w:sz="0" w:space="0" w:color="auto"/>
                <w:right w:val="none" w:sz="0" w:space="0" w:color="auto"/>
              </w:divBdr>
            </w:div>
            <w:div w:id="7830872">
              <w:marLeft w:val="0"/>
              <w:marRight w:val="0"/>
              <w:marTop w:val="0"/>
              <w:marBottom w:val="0"/>
              <w:divBdr>
                <w:top w:val="none" w:sz="0" w:space="0" w:color="auto"/>
                <w:left w:val="none" w:sz="0" w:space="0" w:color="auto"/>
                <w:bottom w:val="none" w:sz="0" w:space="0" w:color="auto"/>
                <w:right w:val="none" w:sz="0" w:space="0" w:color="auto"/>
              </w:divBdr>
            </w:div>
            <w:div w:id="1397515039">
              <w:marLeft w:val="0"/>
              <w:marRight w:val="0"/>
              <w:marTop w:val="0"/>
              <w:marBottom w:val="0"/>
              <w:divBdr>
                <w:top w:val="none" w:sz="0" w:space="0" w:color="auto"/>
                <w:left w:val="none" w:sz="0" w:space="0" w:color="auto"/>
                <w:bottom w:val="none" w:sz="0" w:space="0" w:color="auto"/>
                <w:right w:val="none" w:sz="0" w:space="0" w:color="auto"/>
              </w:divBdr>
            </w:div>
            <w:div w:id="991373274">
              <w:marLeft w:val="0"/>
              <w:marRight w:val="0"/>
              <w:marTop w:val="0"/>
              <w:marBottom w:val="0"/>
              <w:divBdr>
                <w:top w:val="none" w:sz="0" w:space="0" w:color="auto"/>
                <w:left w:val="none" w:sz="0" w:space="0" w:color="auto"/>
                <w:bottom w:val="none" w:sz="0" w:space="0" w:color="auto"/>
                <w:right w:val="none" w:sz="0" w:space="0" w:color="auto"/>
              </w:divBdr>
            </w:div>
            <w:div w:id="1736246736">
              <w:marLeft w:val="0"/>
              <w:marRight w:val="0"/>
              <w:marTop w:val="0"/>
              <w:marBottom w:val="0"/>
              <w:divBdr>
                <w:top w:val="none" w:sz="0" w:space="0" w:color="auto"/>
                <w:left w:val="none" w:sz="0" w:space="0" w:color="auto"/>
                <w:bottom w:val="none" w:sz="0" w:space="0" w:color="auto"/>
                <w:right w:val="none" w:sz="0" w:space="0" w:color="auto"/>
              </w:divBdr>
            </w:div>
            <w:div w:id="880481531">
              <w:marLeft w:val="0"/>
              <w:marRight w:val="0"/>
              <w:marTop w:val="0"/>
              <w:marBottom w:val="0"/>
              <w:divBdr>
                <w:top w:val="none" w:sz="0" w:space="0" w:color="auto"/>
                <w:left w:val="none" w:sz="0" w:space="0" w:color="auto"/>
                <w:bottom w:val="none" w:sz="0" w:space="0" w:color="auto"/>
                <w:right w:val="none" w:sz="0" w:space="0" w:color="auto"/>
              </w:divBdr>
            </w:div>
            <w:div w:id="1191725204">
              <w:marLeft w:val="0"/>
              <w:marRight w:val="0"/>
              <w:marTop w:val="0"/>
              <w:marBottom w:val="0"/>
              <w:divBdr>
                <w:top w:val="none" w:sz="0" w:space="0" w:color="auto"/>
                <w:left w:val="none" w:sz="0" w:space="0" w:color="auto"/>
                <w:bottom w:val="none" w:sz="0" w:space="0" w:color="auto"/>
                <w:right w:val="none" w:sz="0" w:space="0" w:color="auto"/>
              </w:divBdr>
            </w:div>
            <w:div w:id="1098209581">
              <w:marLeft w:val="0"/>
              <w:marRight w:val="0"/>
              <w:marTop w:val="0"/>
              <w:marBottom w:val="0"/>
              <w:divBdr>
                <w:top w:val="none" w:sz="0" w:space="0" w:color="auto"/>
                <w:left w:val="none" w:sz="0" w:space="0" w:color="auto"/>
                <w:bottom w:val="none" w:sz="0" w:space="0" w:color="auto"/>
                <w:right w:val="none" w:sz="0" w:space="0" w:color="auto"/>
              </w:divBdr>
            </w:div>
            <w:div w:id="1162964092">
              <w:marLeft w:val="0"/>
              <w:marRight w:val="0"/>
              <w:marTop w:val="0"/>
              <w:marBottom w:val="0"/>
              <w:divBdr>
                <w:top w:val="none" w:sz="0" w:space="0" w:color="auto"/>
                <w:left w:val="none" w:sz="0" w:space="0" w:color="auto"/>
                <w:bottom w:val="none" w:sz="0" w:space="0" w:color="auto"/>
                <w:right w:val="none" w:sz="0" w:space="0" w:color="auto"/>
              </w:divBdr>
            </w:div>
            <w:div w:id="13487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circul%20ares/circular_externa_unica_version_3_vf49.pdf"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s.chavarro@gobiernobogota.gov.co" TargetMode="External"/><Relationship Id="rId17" Type="http://schemas.openxmlformats.org/officeDocument/2006/relationships/hyperlink" Target="https://www.colombiacompra.gov.co/sala-deprensa/boletin-digital"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lombiacompra.gov.co/manuales-guias-y-pliegostipo/manuales-y-guias"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content/04-documentos-tipode-licitacion-de-obra-publica-para-proyectos-de-infraestructurasocia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4471</Words>
  <Characters>24235</Characters>
  <Application>Microsoft Office Word</Application>
  <DocSecurity>0</DocSecurity>
  <Lines>484</Lines>
  <Paragraphs>116</Paragraphs>
  <ScaleCrop>false</ScaleCrop>
  <Company/>
  <LinksUpToDate>false</LinksUpToDate>
  <CharactersWithSpaces>28590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Keila Margarita Reyes Cassiani</cp:lastModifiedBy>
  <cp:revision>7</cp:revision>
  <dcterms:created xsi:type="dcterms:W3CDTF">2024-08-01T11:44:00Z</dcterms:created>
  <dcterms:modified xsi:type="dcterms:W3CDTF">2025-10-06T23:13:00Z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