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7A023738" w:rsidP="05142466" w:rsidRDefault="7A023738" w14:paraId="37E7406C" w14:textId="5DCA06AE">
      <w:pPr>
        <w:spacing w:before="0" w:beforeAutospacing="off" w:after="0" w:afterAutospacing="off"/>
        <w:jc w:val="both"/>
      </w:pPr>
      <w:r w:rsidRPr="05142466" w:rsidR="7A023738">
        <w:rPr>
          <w:rFonts w:ascii="Arial" w:hAnsi="Arial" w:eastAsia="Arial" w:cs="Arial"/>
          <w:b w:val="1"/>
          <w:bCs w:val="1"/>
          <w:noProof w:val="0"/>
          <w:sz w:val="22"/>
          <w:szCs w:val="22"/>
          <w:lang w:val="es-CO"/>
        </w:rPr>
        <w:t>DOCUMENTOS TIPO – Fundamento jurídico – Aplicación</w:t>
      </w:r>
    </w:p>
    <w:p w:rsidR="7A023738" w:rsidP="05142466" w:rsidRDefault="7A023738" w14:paraId="67D5422E" w14:textId="31DEDD54">
      <w:pPr>
        <w:spacing w:before="0" w:beforeAutospacing="off" w:after="0" w:afterAutospacing="off"/>
        <w:jc w:val="both"/>
      </w:pPr>
      <w:r w:rsidRPr="05142466" w:rsidR="7A023738">
        <w:rPr>
          <w:rFonts w:ascii="Arial" w:hAnsi="Arial" w:eastAsia="Arial" w:cs="Arial"/>
          <w:noProof w:val="0"/>
          <w:sz w:val="20"/>
          <w:szCs w:val="20"/>
          <w:lang w:val="es-CO"/>
        </w:rPr>
        <w:t xml:space="preserve"> </w:t>
      </w:r>
    </w:p>
    <w:p w:rsidR="7A023738" w:rsidP="05142466" w:rsidRDefault="7A023738" w14:paraId="4B56A9DD" w14:textId="56E2F89E">
      <w:pPr>
        <w:spacing w:before="120" w:beforeAutospacing="off" w:after="120" w:afterAutospacing="off"/>
        <w:jc w:val="both"/>
      </w:pPr>
      <w:r w:rsidRPr="05142466" w:rsidR="7A023738">
        <w:rPr>
          <w:rFonts w:ascii="Arial" w:hAnsi="Arial" w:eastAsia="Arial" w:cs="Arial"/>
          <w:noProof w:val="0"/>
          <w:sz w:val="20"/>
          <w:szCs w:val="20"/>
          <w:lang w:val="es-ES"/>
        </w:rPr>
        <w:t xml:space="preserve">De la norma descrita se concluía lo siguiente: i) la adopción de los documentos tipo estaba en cabeza del gobierno nacional; </w:t>
      </w:r>
      <w:r w:rsidRPr="05142466" w:rsidR="7A023738">
        <w:rPr>
          <w:rFonts w:ascii="Arial" w:hAnsi="Arial" w:eastAsia="Arial" w:cs="Arial"/>
          <w:noProof w:val="0"/>
          <w:sz w:val="20"/>
          <w:szCs w:val="20"/>
          <w:lang w:val="es-ES"/>
        </w:rPr>
        <w:t>ii</w:t>
      </w:r>
      <w:r w:rsidRPr="05142466" w:rsidR="7A023738">
        <w:rPr>
          <w:rFonts w:ascii="Arial" w:hAnsi="Arial" w:eastAsia="Arial" w:cs="Arial"/>
          <w:noProof w:val="0"/>
          <w:sz w:val="20"/>
          <w:szCs w:val="20"/>
          <w:lang w:val="es-ES"/>
        </w:rPr>
        <w:t xml:space="preserve">) estos debían relacionarse con procesos de obras públicas, interventoría para las obras públicas, interventoría para consultoría de estudios y diseños y, finalmente, consultoría en ingeniería para obras; </w:t>
      </w:r>
      <w:r w:rsidRPr="05142466" w:rsidR="7A023738">
        <w:rPr>
          <w:rFonts w:ascii="Arial" w:hAnsi="Arial" w:eastAsia="Arial" w:cs="Arial"/>
          <w:noProof w:val="0"/>
          <w:sz w:val="20"/>
          <w:szCs w:val="20"/>
          <w:lang w:val="es-ES"/>
        </w:rPr>
        <w:t>iii</w:t>
      </w:r>
      <w:r w:rsidRPr="05142466" w:rsidR="7A023738">
        <w:rPr>
          <w:rFonts w:ascii="Arial" w:hAnsi="Arial" w:eastAsia="Arial" w:cs="Arial"/>
          <w:noProof w:val="0"/>
          <w:sz w:val="20"/>
          <w:szCs w:val="20"/>
          <w:lang w:val="es-ES"/>
        </w:rPr>
        <w:t xml:space="preserve">) eran de obligatorio cumplimiento por parte de todas las entidades sometidas al Estatuto General de Contratación de la Administración Pública; </w:t>
      </w:r>
      <w:r w:rsidRPr="05142466" w:rsidR="7A023738">
        <w:rPr>
          <w:rFonts w:ascii="Arial" w:hAnsi="Arial" w:eastAsia="Arial" w:cs="Arial"/>
          <w:noProof w:val="0"/>
          <w:sz w:val="20"/>
          <w:szCs w:val="20"/>
          <w:lang w:val="es-ES"/>
        </w:rPr>
        <w:t>iv</w:t>
      </w:r>
      <w:r w:rsidRPr="05142466" w:rsidR="7A023738">
        <w:rPr>
          <w:rFonts w:ascii="Arial" w:hAnsi="Arial" w:eastAsia="Arial" w:cs="Arial"/>
          <w:noProof w:val="0"/>
          <w:sz w:val="20"/>
          <w:szCs w:val="20"/>
          <w:lang w:val="es-ES"/>
        </w:rPr>
        <w:t xml:space="preserve">) en los documentos tipo se indicarían las condiciones generales de los requisitos habilitantes, así como los factores técnicos y económicos de escogencia, según correspondiera para cada modalidad de selección; v) el gobierno nacional tenía la facultad de adoptar documentos tipo en otros contratos o procesos de selección; por último, vi) los documentos tipo serían adoptados por categorías de acuerdo con la cuantía de la contratación. </w:t>
      </w:r>
    </w:p>
    <w:p w:rsidR="7A023738" w:rsidP="05142466" w:rsidRDefault="7A023738" w14:paraId="530DE46F" w14:textId="1AD99F41">
      <w:pPr>
        <w:spacing w:before="0" w:beforeAutospacing="off" w:after="0" w:afterAutospacing="off"/>
        <w:jc w:val="both"/>
      </w:pPr>
      <w:r w:rsidRPr="05142466" w:rsidR="7A023738">
        <w:rPr>
          <w:rFonts w:ascii="Arial" w:hAnsi="Arial" w:eastAsia="Arial" w:cs="Arial"/>
          <w:noProof w:val="0"/>
          <w:sz w:val="20"/>
          <w:szCs w:val="20"/>
          <w:lang w:val="es"/>
        </w:rPr>
        <w:t>Esta norma fue estudiada por la Corte Constitucional en la Sentencia C-119 de 2020. Al respecto, indicó que la adopción de los documentos tipo no afectaba la autonomía de las entidades territoriales, en cuanto la estandarización se predicaba únicamente de los requisitos habilitantes y los criterios de escogencia, elementos propios del procedimiento de selección del contratista, materia en la que existe reserva de ley y que no se encuentra atribuida a la regulación de las entidades territoriales. De igual manera, se establece que esta autonomía se garantiza con la identificación autónoma de sus necesidades y la configuración de los elementos del contrato</w:t>
      </w:r>
    </w:p>
    <w:p w:rsidR="7A023738" w:rsidP="05142466" w:rsidRDefault="7A023738" w14:paraId="1F44741B" w14:textId="2A306311">
      <w:pPr>
        <w:spacing w:before="0" w:beforeAutospacing="off" w:after="0" w:afterAutospacing="off"/>
        <w:jc w:val="both"/>
      </w:pPr>
      <w:r w:rsidRPr="05142466" w:rsidR="7A023738">
        <w:rPr>
          <w:rFonts w:ascii="Arial" w:hAnsi="Arial" w:eastAsia="Arial" w:cs="Arial"/>
          <w:b w:val="1"/>
          <w:bCs w:val="1"/>
          <w:noProof w:val="0"/>
          <w:sz w:val="20"/>
          <w:szCs w:val="20"/>
          <w:lang w:val="es-CO"/>
        </w:rPr>
        <w:t xml:space="preserve"> </w:t>
      </w:r>
    </w:p>
    <w:p w:rsidR="7A023738" w:rsidP="05142466" w:rsidRDefault="7A023738" w14:paraId="39A2E98F" w14:textId="06CF5697">
      <w:pPr>
        <w:spacing w:before="0" w:beforeAutospacing="off" w:after="0" w:afterAutospacing="off"/>
        <w:jc w:val="both"/>
      </w:pPr>
      <w:r w:rsidRPr="05142466" w:rsidR="7A023738">
        <w:rPr>
          <w:rFonts w:ascii="Arial" w:hAnsi="Arial" w:eastAsia="Arial" w:cs="Arial"/>
          <w:b w:val="1"/>
          <w:bCs w:val="1"/>
          <w:noProof w:val="0"/>
          <w:sz w:val="22"/>
          <w:szCs w:val="22"/>
          <w:lang w:val="es-CO"/>
        </w:rPr>
        <w:t xml:space="preserve">DOCUMENTOS TIPO DE INFRAESTRUCTURA SOCIAL – Generalidades </w:t>
      </w:r>
    </w:p>
    <w:p w:rsidR="7A023738" w:rsidP="05142466" w:rsidRDefault="7A023738" w14:paraId="47E5F223" w14:textId="5E350464">
      <w:pPr>
        <w:spacing w:before="0" w:beforeAutospacing="off" w:after="0" w:afterAutospacing="off"/>
        <w:jc w:val="both"/>
      </w:pPr>
      <w:r w:rsidRPr="05142466" w:rsidR="7A023738">
        <w:rPr>
          <w:rFonts w:ascii="Arial" w:hAnsi="Arial" w:eastAsia="Arial" w:cs="Arial"/>
          <w:noProof w:val="0"/>
          <w:sz w:val="20"/>
          <w:szCs w:val="20"/>
          <w:lang w:val="es"/>
        </w:rPr>
        <w:t xml:space="preserve"> </w:t>
      </w:r>
    </w:p>
    <w:p w:rsidR="7A023738" w:rsidP="05142466" w:rsidRDefault="7A023738" w14:paraId="33AD9465" w14:textId="69E9A7AA">
      <w:pPr>
        <w:spacing w:before="0" w:beforeAutospacing="off" w:after="0" w:afterAutospacing="off"/>
        <w:jc w:val="both"/>
      </w:pPr>
      <w:r w:rsidRPr="05142466" w:rsidR="7A023738">
        <w:rPr>
          <w:rFonts w:ascii="Arial" w:hAnsi="Arial" w:eastAsia="Arial" w:cs="Arial"/>
          <w:noProof w:val="0"/>
          <w:sz w:val="20"/>
          <w:szCs w:val="20"/>
          <w:lang w:val="es-CO"/>
        </w:rPr>
        <w:t xml:space="preserve">En desarrollo de la Ley 2022 de 2020, la Agencia Nacional de Contratación Pública – Colombia Compra Eficiente expidió la Resolución 219 del 6 de agosto de 2021, </w:t>
      </w:r>
      <w:r w:rsidRPr="05142466" w:rsidR="7A023738">
        <w:rPr>
          <w:rFonts w:ascii="Arial" w:hAnsi="Arial" w:eastAsia="Arial" w:cs="Arial"/>
          <w:i w:val="1"/>
          <w:iCs w:val="1"/>
          <w:noProof w:val="0"/>
          <w:sz w:val="20"/>
          <w:szCs w:val="20"/>
          <w:lang w:val="es-CO"/>
        </w:rPr>
        <w:t>“Por la cual se adoptan los documentos tipo para los procesos de licitación de obra pública de infraestructura social”</w:t>
      </w:r>
      <w:r w:rsidRPr="05142466" w:rsidR="7A023738">
        <w:rPr>
          <w:rFonts w:ascii="Arial" w:hAnsi="Arial" w:eastAsia="Arial" w:cs="Arial"/>
          <w:noProof w:val="0"/>
          <w:sz w:val="20"/>
          <w:szCs w:val="20"/>
          <w:lang w:val="es-CO"/>
        </w:rPr>
        <w:t>. Dentro de esta categoría fue incluida la infraestructura asociada a los sectores de la salud, el educativo y el de cultura, recreación y deporte,</w:t>
      </w:r>
      <w:r w:rsidRPr="05142466" w:rsidR="7A023738">
        <w:rPr>
          <w:rFonts w:ascii="Arial" w:hAnsi="Arial" w:eastAsia="Arial" w:cs="Arial"/>
          <w:noProof w:val="0"/>
          <w:sz w:val="20"/>
          <w:szCs w:val="20"/>
          <w:lang w:val="es"/>
        </w:rPr>
        <w:t xml:space="preserve"> tal como lo establece el parágrafo 2 del artículo 2 de la resolución indicada, de la siguiente manera: </w:t>
      </w:r>
    </w:p>
    <w:p w:rsidR="7A023738" w:rsidP="05142466" w:rsidRDefault="7A023738" w14:paraId="11FE0E2E" w14:textId="0266A0F1">
      <w:pPr>
        <w:spacing w:before="0" w:beforeAutospacing="off" w:after="120" w:afterAutospacing="off"/>
        <w:jc w:val="both"/>
      </w:pPr>
      <w:r w:rsidRPr="05142466" w:rsidR="7A023738">
        <w:rPr>
          <w:rFonts w:ascii="Arial" w:hAnsi="Arial" w:eastAsia="Arial" w:cs="Arial"/>
          <w:noProof w:val="0"/>
          <w:sz w:val="20"/>
          <w:szCs w:val="20"/>
          <w:lang w:val="es"/>
        </w:rPr>
        <w:t>[…]</w:t>
      </w:r>
    </w:p>
    <w:p w:rsidR="7A023738" w:rsidP="05142466" w:rsidRDefault="7A023738" w14:paraId="54CC796F" w14:textId="1D52D289">
      <w:pPr>
        <w:spacing w:before="0" w:beforeAutospacing="off" w:after="120" w:afterAutospacing="off"/>
        <w:jc w:val="both"/>
      </w:pPr>
      <w:r w:rsidRPr="05142466" w:rsidR="7A023738">
        <w:rPr>
          <w:rFonts w:ascii="Arial" w:hAnsi="Arial" w:eastAsia="Arial" w:cs="Arial"/>
          <w:noProof w:val="0"/>
          <w:sz w:val="20"/>
          <w:szCs w:val="20"/>
          <w:lang w:val="es"/>
        </w:rPr>
        <w:t xml:space="preserve">Cabe anotar que </w:t>
      </w:r>
      <w:r w:rsidRPr="05142466" w:rsidR="7A023738">
        <w:rPr>
          <w:rFonts w:ascii="Arial" w:hAnsi="Arial" w:eastAsia="Arial" w:cs="Arial"/>
          <w:noProof w:val="0"/>
          <w:sz w:val="20"/>
          <w:szCs w:val="20"/>
          <w:lang w:val="es-CO"/>
        </w:rPr>
        <w:t xml:space="preserve">la Resolución 219 del 6 de agosto de 2021 contiene los documentos tipo que aplican </w:t>
      </w:r>
      <w:r w:rsidRPr="05142466" w:rsidR="7A023738">
        <w:rPr>
          <w:rFonts w:ascii="Arial" w:hAnsi="Arial" w:eastAsia="Arial" w:cs="Arial"/>
          <w:noProof w:val="0"/>
          <w:sz w:val="20"/>
          <w:szCs w:val="20"/>
          <w:lang w:val="es"/>
        </w:rPr>
        <w:t>de forma transversal a los proyectos de infraestructura social en los sectores educativo, salud, cultura, recreación y deporte. Estos documentos son el documento base, los anexos, los formatos, los formularios y las matrices, los cuales se complementarán con cada una de las resoluciones que adoptan las matrices de experiencia y los anexos de glosario para cada uno de los sectores, definiendo así su alcance y vigencia.</w:t>
      </w:r>
    </w:p>
    <w:p w:rsidR="7A023738" w:rsidP="05142466" w:rsidRDefault="7A023738" w14:paraId="0BEF9FB4" w14:textId="2103792B">
      <w:pPr>
        <w:spacing w:before="0" w:beforeAutospacing="off" w:after="0" w:afterAutospacing="off"/>
        <w:jc w:val="both"/>
      </w:pPr>
      <w:r w:rsidRPr="05142466" w:rsidR="7A023738">
        <w:rPr>
          <w:rFonts w:ascii="Arial" w:hAnsi="Arial" w:eastAsia="Arial" w:cs="Arial"/>
          <w:noProof w:val="0"/>
          <w:sz w:val="20"/>
          <w:szCs w:val="20"/>
          <w:lang w:val="es-ES"/>
        </w:rPr>
        <w:t xml:space="preserve">En consecuencia, en materia de infraestructura social debe tenerse en cuenta que existen dos (2) clases de documentos tipo que se integran en cada proceso: i) los documentos </w:t>
      </w:r>
      <w:r w:rsidRPr="05142466" w:rsidR="7A023738">
        <w:rPr>
          <w:rFonts w:ascii="Arial" w:hAnsi="Arial" w:eastAsia="Arial" w:cs="Arial"/>
          <w:i w:val="1"/>
          <w:iCs w:val="1"/>
          <w:noProof w:val="0"/>
          <w:sz w:val="20"/>
          <w:szCs w:val="20"/>
          <w:lang w:val="es-ES"/>
        </w:rPr>
        <w:t>transversales</w:t>
      </w:r>
      <w:r w:rsidRPr="05142466" w:rsidR="7A023738">
        <w:rPr>
          <w:rFonts w:ascii="Arial" w:hAnsi="Arial" w:eastAsia="Arial" w:cs="Arial"/>
          <w:noProof w:val="0"/>
          <w:sz w:val="20"/>
          <w:szCs w:val="20"/>
          <w:lang w:val="es-ES"/>
        </w:rPr>
        <w:t xml:space="preserve"> a todos los sectores de infraestructura social, es decir, el documento base, los anexos, los formatos, los formularios y las matrices adoptados mediante la Resolución No. 219 de 2021; y </w:t>
      </w:r>
      <w:r w:rsidRPr="05142466" w:rsidR="7A023738">
        <w:rPr>
          <w:rFonts w:ascii="Arial" w:hAnsi="Arial" w:eastAsia="Arial" w:cs="Arial"/>
          <w:noProof w:val="0"/>
          <w:sz w:val="20"/>
          <w:szCs w:val="20"/>
          <w:lang w:val="es-ES"/>
        </w:rPr>
        <w:t>ii</w:t>
      </w:r>
      <w:r w:rsidRPr="05142466" w:rsidR="7A023738">
        <w:rPr>
          <w:rFonts w:ascii="Arial" w:hAnsi="Arial" w:eastAsia="Arial" w:cs="Arial"/>
          <w:noProof w:val="0"/>
          <w:sz w:val="20"/>
          <w:szCs w:val="20"/>
          <w:lang w:val="es-ES"/>
        </w:rPr>
        <w:t xml:space="preserve">) los documentos tipo </w:t>
      </w:r>
      <w:r w:rsidRPr="05142466" w:rsidR="7A023738">
        <w:rPr>
          <w:rFonts w:ascii="Arial" w:hAnsi="Arial" w:eastAsia="Arial" w:cs="Arial"/>
          <w:i w:val="1"/>
          <w:iCs w:val="1"/>
          <w:noProof w:val="0"/>
          <w:sz w:val="20"/>
          <w:szCs w:val="20"/>
          <w:lang w:val="es-ES"/>
        </w:rPr>
        <w:t>complementarios</w:t>
      </w:r>
      <w:r w:rsidRPr="05142466" w:rsidR="7A023738">
        <w:rPr>
          <w:rFonts w:ascii="Arial" w:hAnsi="Arial" w:eastAsia="Arial" w:cs="Arial"/>
          <w:noProof w:val="0"/>
          <w:sz w:val="20"/>
          <w:szCs w:val="20"/>
          <w:lang w:val="es-ES"/>
        </w:rPr>
        <w:t>,</w:t>
      </w:r>
      <w:r w:rsidRPr="05142466" w:rsidR="7A023738">
        <w:rPr>
          <w:rFonts w:ascii="Arial" w:hAnsi="Arial" w:eastAsia="Arial" w:cs="Arial"/>
          <w:i w:val="1"/>
          <w:iCs w:val="1"/>
          <w:noProof w:val="0"/>
          <w:sz w:val="20"/>
          <w:szCs w:val="20"/>
          <w:lang w:val="es-ES"/>
        </w:rPr>
        <w:t xml:space="preserve"> </w:t>
      </w:r>
      <w:r w:rsidRPr="05142466" w:rsidR="7A023738">
        <w:rPr>
          <w:rFonts w:ascii="Arial" w:hAnsi="Arial" w:eastAsia="Arial" w:cs="Arial"/>
          <w:noProof w:val="0"/>
          <w:sz w:val="20"/>
          <w:szCs w:val="20"/>
          <w:lang w:val="es-ES"/>
        </w:rPr>
        <w:t>referentes a la matriz de experiencia y el glosario, los cuales han sido adoptados en la resolución para cada sector específico. En este orden de ideas, la Agencia ha expedido tres documentos tipo complementarios de infraestructura social: la Resolución 220 del 6 de agosto de 2021, “Por la cual se adoptan los documentos tipo complementarios para los procesos de licitación de obra pública de infraestructura social relacionados con el sector educativo”; la Resolución 392 de 2021 del 18 de noviembre de 2021, “Por la cual se adoptan los documentos tipo complementarios para los procesos de licitación de obra pública de infraestructura social relacionados con el sector salud” y la Resolución 454 de 2021 del 16 de diciembre de 2021, “Por la cual se adoptan los documentos tipo complementarios para los procesos de licitación de obra pública de infraestructura social relacionados con el Sector cultura, recreación y deporte”.</w:t>
      </w:r>
    </w:p>
    <w:p w:rsidR="7A023738" w:rsidP="05142466" w:rsidRDefault="7A023738" w14:paraId="471E7CE2" w14:textId="040C9E1B">
      <w:pPr>
        <w:spacing w:before="0" w:beforeAutospacing="off" w:after="0" w:afterAutospacing="off"/>
        <w:jc w:val="both"/>
      </w:pPr>
      <w:r w:rsidRPr="05142466" w:rsidR="7A023738">
        <w:rPr>
          <w:rFonts w:ascii="Arial" w:hAnsi="Arial" w:eastAsia="Arial" w:cs="Arial"/>
          <w:noProof w:val="0"/>
          <w:sz w:val="20"/>
          <w:szCs w:val="20"/>
          <w:lang w:val="es"/>
        </w:rPr>
        <w:t xml:space="preserve"> </w:t>
      </w:r>
    </w:p>
    <w:p w:rsidR="7A023738" w:rsidP="05142466" w:rsidRDefault="7A023738" w14:paraId="3EF0BAC5" w14:textId="4E961B3B">
      <w:pPr>
        <w:spacing w:before="0" w:beforeAutospacing="off" w:after="0" w:afterAutospacing="off"/>
        <w:jc w:val="both"/>
      </w:pPr>
      <w:r w:rsidRPr="05142466" w:rsidR="7A023738">
        <w:rPr>
          <w:rFonts w:ascii="Arial" w:hAnsi="Arial" w:eastAsia="Arial" w:cs="Arial"/>
          <w:b w:val="1"/>
          <w:bCs w:val="1"/>
          <w:noProof w:val="0"/>
          <w:sz w:val="22"/>
          <w:szCs w:val="22"/>
          <w:lang w:val="es"/>
        </w:rPr>
        <w:t>DOCUMENTOS TIPO DE INFRAESTRUCTURA SOCIAL – Factor Técnico Ambiental</w:t>
      </w:r>
    </w:p>
    <w:p w:rsidR="7A023738" w:rsidP="05142466" w:rsidRDefault="7A023738" w14:paraId="6CEF99CA" w14:textId="303CEE1A">
      <w:pPr>
        <w:spacing w:before="0" w:beforeAutospacing="off" w:after="0" w:afterAutospacing="off"/>
        <w:jc w:val="both"/>
      </w:pPr>
      <w:r w:rsidRPr="05142466" w:rsidR="7A023738">
        <w:rPr>
          <w:rFonts w:ascii="Arial" w:hAnsi="Arial" w:eastAsia="Arial" w:cs="Arial"/>
          <w:b w:val="1"/>
          <w:bCs w:val="1"/>
          <w:noProof w:val="0"/>
          <w:sz w:val="22"/>
          <w:szCs w:val="22"/>
          <w:lang w:val="es-MX"/>
        </w:rPr>
        <w:t xml:space="preserve"> </w:t>
      </w:r>
    </w:p>
    <w:p w:rsidR="7A023738" w:rsidP="05142466" w:rsidRDefault="7A023738" w14:paraId="25505F53" w14:textId="382D3B49">
      <w:pPr>
        <w:spacing w:before="0" w:beforeAutospacing="off" w:after="0" w:afterAutospacing="off"/>
        <w:jc w:val="both"/>
      </w:pPr>
      <w:r w:rsidRPr="05142466" w:rsidR="7A023738">
        <w:rPr>
          <w:rFonts w:ascii="Arial" w:hAnsi="Arial" w:eastAsia="Arial" w:cs="Arial"/>
          <w:noProof w:val="0"/>
          <w:sz w:val="20"/>
          <w:szCs w:val="20"/>
          <w:lang w:val="es"/>
        </w:rPr>
        <w:t>Nótese como la fijación de los factores de sostenibilidad técnico ambiental derivan de un análisis propio de la Entidad, es decir, son potestativos de la Entidad, y esta, con fundamento en el principio de planeación, verificará la pertinencia o no de incluir estos factores. En todo caso, y ante eventos particulares que la misma Entidad identifique, como la insuficiencia del espacio físico del predio, por ejemplo, el puntaje inicialmente destinado al factor de sostenibilidad técnico ambiental se trasladará al factor de calidad, tal y como lo indica el documento base.</w:t>
      </w:r>
    </w:p>
    <w:p w:rsidR="05142466" w:rsidP="05142466" w:rsidRDefault="05142466" w14:paraId="4305099A" w14:textId="6F54ABEC">
      <w:pPr>
        <w:pStyle w:val="Normal"/>
        <w:spacing w:after="0" w:line="240" w:lineRule="auto"/>
        <w:jc w:val="right"/>
      </w:pPr>
    </w:p>
    <w:p w:rsidR="001918F1" w:rsidP="461B415A" w:rsidRDefault="001918F1" w14:paraId="11C19278" w14:textId="0EB4A85A">
      <w:pPr>
        <w:pStyle w:val="Normal"/>
        <w:spacing w:after="0" w:line="240" w:lineRule="auto"/>
        <w:jc w:val="right"/>
      </w:pPr>
      <w:r w:rsidR="55C8C69D">
        <w:drawing>
          <wp:inline wp14:editId="7AED24F0" wp14:anchorId="46615674">
            <wp:extent cx="2809875" cy="847725"/>
            <wp:effectExtent l="0" t="0" r="0" b="0"/>
            <wp:docPr id="2065873395" name="" title=""/>
            <wp:cNvGraphicFramePr>
              <a:graphicFrameLocks noChangeAspect="1"/>
            </wp:cNvGraphicFramePr>
            <a:graphic>
              <a:graphicData uri="http://schemas.openxmlformats.org/drawingml/2006/picture">
                <pic:pic>
                  <pic:nvPicPr>
                    <pic:cNvPr id="0" name=""/>
                    <pic:cNvPicPr/>
                  </pic:nvPicPr>
                  <pic:blipFill>
                    <a:blip r:embed="Rcf8d0d814b5f4abb">
                      <a:extLst>
                        <a:ext xmlns:a="http://schemas.openxmlformats.org/drawingml/2006/main" uri="{28A0092B-C50C-407E-A947-70E740481C1C}">
                          <a14:useLocalDpi val="0"/>
                        </a:ext>
                      </a:extLst>
                    </a:blip>
                    <a:stretch>
                      <a:fillRect/>
                    </a:stretch>
                  </pic:blipFill>
                  <pic:spPr>
                    <a:xfrm>
                      <a:off x="0" y="0"/>
                      <a:ext cx="2809875" cy="847725"/>
                    </a:xfrm>
                    <a:prstGeom prst="rect">
                      <a:avLst/>
                    </a:prstGeom>
                  </pic:spPr>
                </pic:pic>
              </a:graphicData>
            </a:graphic>
          </wp:inline>
        </w:drawing>
      </w:r>
    </w:p>
    <w:p w:rsidRPr="005D5A5A" w:rsidR="00B30448" w:rsidP="005D5A5A" w:rsidRDefault="00B30448" w14:paraId="28047E8C" w14:textId="61CE5CD0">
      <w:pPr>
        <w:spacing w:after="0" w:line="240" w:lineRule="auto"/>
        <w:rPr>
          <w:rFonts w:ascii="Verdana" w:hAnsi="Verdana" w:eastAsia="Geomanist Light" w:cs="Arial"/>
          <w:lang w:val="es-MX"/>
        </w:rPr>
      </w:pPr>
      <w:r w:rsidRPr="005D5A5A">
        <w:rPr>
          <w:rFonts w:ascii="Verdana" w:hAnsi="Verdana" w:eastAsia="Geomanist Light" w:cs="Arial"/>
          <w:lang w:val="es-MX"/>
        </w:rPr>
        <w:t>Bogotá D.C., </w:t>
      </w:r>
      <w:r w:rsidR="00CC7465">
        <w:rPr>
          <w:rFonts w:ascii="Verdana" w:hAnsi="Verdana" w:eastAsia="Geomanist Light" w:cs="Arial"/>
          <w:lang w:val="es-MX"/>
        </w:rPr>
        <w:t>18</w:t>
      </w:r>
      <w:r w:rsidR="00FE0EEA">
        <w:rPr>
          <w:rFonts w:ascii="Verdana" w:hAnsi="Verdana" w:eastAsia="Geomanist Light" w:cs="Arial"/>
          <w:lang w:val="es-MX"/>
        </w:rPr>
        <w:t xml:space="preserve"> de julio de 2024.</w:t>
      </w:r>
    </w:p>
    <w:p w:rsidRPr="005D5A5A" w:rsidR="00B30448" w:rsidP="005D5A5A" w:rsidRDefault="00B30448" w14:paraId="1715E5B1" w14:textId="0ED43AD0">
      <w:pPr>
        <w:spacing w:after="0" w:line="240" w:lineRule="auto"/>
        <w:jc w:val="both"/>
        <w:rPr>
          <w:rFonts w:ascii="Verdana" w:hAnsi="Verdana" w:eastAsia="Calibri" w:cs="Arial"/>
          <w:lang w:val="es-ES"/>
        </w:rPr>
      </w:pPr>
    </w:p>
    <w:p w:rsidRPr="00CC7465" w:rsidR="00CC7465" w:rsidP="00CC7465" w:rsidRDefault="00CC7465" w14:paraId="0C58F22E" w14:textId="77777777">
      <w:pPr>
        <w:tabs>
          <w:tab w:val="left" w:pos="426"/>
        </w:tabs>
        <w:spacing w:after="0" w:line="276" w:lineRule="auto"/>
        <w:jc w:val="both"/>
        <w:rPr>
          <w:rFonts w:ascii="Verdana" w:hAnsi="Verdana" w:eastAsia="Calibri" w:cs="Arial"/>
          <w:lang w:val="es-419" w:eastAsia="es-ES"/>
        </w:rPr>
      </w:pPr>
      <w:r w:rsidRPr="00CC7465">
        <w:rPr>
          <w:rFonts w:ascii="Verdana" w:hAnsi="Verdana" w:eastAsia="Calibri" w:cs="Arial"/>
          <w:lang w:val="es-MX" w:eastAsia="es-ES"/>
        </w:rPr>
        <w:t>Señor</w:t>
      </w:r>
      <w:r w:rsidRPr="00CC7465">
        <w:rPr>
          <w:rFonts w:ascii="Verdana" w:hAnsi="Verdana" w:eastAsia="Calibri" w:cs="Arial"/>
          <w:lang w:val="es-419" w:eastAsia="es-ES"/>
        </w:rPr>
        <w:t> </w:t>
      </w:r>
    </w:p>
    <w:p w:rsidRPr="00CC7465" w:rsidR="00CC7465" w:rsidP="00CC7465" w:rsidRDefault="00CC7465" w14:paraId="4B4F7A65" w14:textId="77777777">
      <w:pPr>
        <w:tabs>
          <w:tab w:val="left" w:pos="426"/>
        </w:tabs>
        <w:spacing w:after="0" w:line="276" w:lineRule="auto"/>
        <w:jc w:val="both"/>
        <w:rPr>
          <w:rFonts w:ascii="Verdana" w:hAnsi="Verdana" w:eastAsia="Calibri" w:cs="Arial"/>
          <w:lang w:val="es-419" w:eastAsia="es-ES"/>
        </w:rPr>
      </w:pPr>
      <w:r w:rsidRPr="00CC7465">
        <w:rPr>
          <w:rFonts w:ascii="Verdana" w:hAnsi="Verdana" w:eastAsia="Calibri" w:cs="Arial"/>
          <w:lang w:val="es-MX" w:eastAsia="es-ES"/>
        </w:rPr>
        <w:t>ANDRES FELIPE CHAVARRO GUTIERREZ</w:t>
      </w:r>
      <w:r w:rsidRPr="00CC7465">
        <w:rPr>
          <w:rFonts w:ascii="Verdana" w:hAnsi="Verdana" w:eastAsia="Calibri" w:cs="Arial"/>
          <w:lang w:val="es-419" w:eastAsia="es-ES"/>
        </w:rPr>
        <w:t> </w:t>
      </w:r>
    </w:p>
    <w:p w:rsidRPr="00CC7465" w:rsidR="00CC7465" w:rsidP="00CC7465" w:rsidRDefault="00CC7465" w14:paraId="43174A8F" w14:textId="77777777">
      <w:pPr>
        <w:tabs>
          <w:tab w:val="left" w:pos="426"/>
        </w:tabs>
        <w:spacing w:after="0" w:line="276" w:lineRule="auto"/>
        <w:jc w:val="both"/>
        <w:rPr>
          <w:rFonts w:ascii="Verdana" w:hAnsi="Verdana" w:eastAsia="Calibri" w:cs="Arial"/>
          <w:lang w:val="es-419" w:eastAsia="es-ES"/>
        </w:rPr>
      </w:pPr>
      <w:r w:rsidRPr="00CC7465">
        <w:rPr>
          <w:rFonts w:ascii="Verdana" w:hAnsi="Verdana" w:eastAsia="Calibri" w:cs="Arial"/>
          <w:lang w:val="es-MX" w:eastAsia="es-ES"/>
        </w:rPr>
        <w:t>oficina de infraestructura</w:t>
      </w:r>
      <w:r w:rsidRPr="00CC7465">
        <w:rPr>
          <w:rFonts w:ascii="Verdana" w:hAnsi="Verdana" w:eastAsia="Calibri" w:cs="Arial"/>
          <w:lang w:val="es-419" w:eastAsia="es-ES"/>
        </w:rPr>
        <w:t> </w:t>
      </w:r>
    </w:p>
    <w:p w:rsidRPr="00CC7465" w:rsidR="00CC7465" w:rsidP="00CC7465" w:rsidRDefault="00CC7465" w14:paraId="6F942FEE" w14:textId="77777777">
      <w:pPr>
        <w:tabs>
          <w:tab w:val="left" w:pos="426"/>
        </w:tabs>
        <w:spacing w:after="0" w:line="276" w:lineRule="auto"/>
        <w:jc w:val="both"/>
        <w:rPr>
          <w:rFonts w:ascii="Verdana" w:hAnsi="Verdana" w:eastAsia="Calibri" w:cs="Arial"/>
          <w:lang w:val="es-419" w:eastAsia="es-ES"/>
        </w:rPr>
      </w:pPr>
      <w:r w:rsidRPr="00CC7465">
        <w:rPr>
          <w:rFonts w:ascii="Verdana" w:hAnsi="Verdana" w:eastAsia="Calibri" w:cs="Arial"/>
          <w:lang w:val="es-MX" w:eastAsia="es-ES"/>
        </w:rPr>
        <w:t>Alcaldía Local de Barrios Unidos </w:t>
      </w:r>
      <w:r w:rsidRPr="00CC7465">
        <w:rPr>
          <w:rFonts w:ascii="Verdana" w:hAnsi="Verdana" w:eastAsia="Calibri" w:cs="Arial"/>
          <w:lang w:val="es-419" w:eastAsia="es-ES"/>
        </w:rPr>
        <w:t> </w:t>
      </w:r>
    </w:p>
    <w:p w:rsidRPr="00CC7465" w:rsidR="00CC7465" w:rsidP="00CC7465" w:rsidRDefault="00CC7465" w14:paraId="22FFB174" w14:textId="77777777">
      <w:pPr>
        <w:tabs>
          <w:tab w:val="left" w:pos="426"/>
        </w:tabs>
        <w:spacing w:after="0" w:line="276" w:lineRule="auto"/>
        <w:jc w:val="both"/>
        <w:rPr>
          <w:rFonts w:ascii="Verdana" w:hAnsi="Verdana" w:eastAsia="Calibri" w:cs="Arial"/>
          <w:lang w:val="es-419" w:eastAsia="es-ES"/>
        </w:rPr>
      </w:pPr>
      <w:hyperlink w:tgtFrame="_blank" w:history="1" r:id="rId11">
        <w:r w:rsidRPr="00CC7465">
          <w:rPr>
            <w:rStyle w:val="Hipervnculo"/>
            <w:rFonts w:ascii="Verdana" w:hAnsi="Verdana" w:eastAsia="Calibri" w:cs="Arial"/>
            <w:lang w:val="es-419" w:eastAsia="es-ES"/>
          </w:rPr>
          <w:t>andres.chavarro@gobiernobogota.gov.co</w:t>
        </w:r>
      </w:hyperlink>
      <w:r w:rsidRPr="00CC7465">
        <w:rPr>
          <w:rFonts w:ascii="Verdana" w:hAnsi="Verdana" w:eastAsia="Calibri" w:cs="Arial"/>
          <w:lang w:val="es-419" w:eastAsia="es-ES"/>
        </w:rPr>
        <w:t>  </w:t>
      </w:r>
    </w:p>
    <w:p w:rsidRPr="00CC7465" w:rsidR="00CC7465" w:rsidP="00CC7465" w:rsidRDefault="00CC7465" w14:paraId="46476982" w14:textId="77777777">
      <w:pPr>
        <w:tabs>
          <w:tab w:val="left" w:pos="426"/>
        </w:tabs>
        <w:spacing w:after="0" w:line="276" w:lineRule="auto"/>
        <w:jc w:val="both"/>
        <w:rPr>
          <w:rFonts w:ascii="Verdana" w:hAnsi="Verdana" w:eastAsia="Calibri" w:cs="Arial"/>
          <w:lang w:val="es-419" w:eastAsia="es-ES"/>
        </w:rPr>
      </w:pPr>
      <w:r w:rsidRPr="00CC7465">
        <w:rPr>
          <w:rFonts w:ascii="Verdana" w:hAnsi="Verdana" w:eastAsia="Calibri" w:cs="Arial"/>
          <w:lang w:val="en-US" w:eastAsia="es-ES"/>
        </w:rPr>
        <w:t>Ciudad</w:t>
      </w:r>
      <w:r w:rsidRPr="00CC7465">
        <w:rPr>
          <w:rFonts w:ascii="Verdana" w:hAnsi="Verdana" w:eastAsia="Calibri" w:cs="Arial"/>
          <w:lang w:val="es-419" w:eastAsia="es-ES"/>
        </w:rPr>
        <w:t> </w:t>
      </w:r>
    </w:p>
    <w:p w:rsidRPr="00CC7465" w:rsidR="00CC7465" w:rsidP="00CC7465" w:rsidRDefault="00CC7465" w14:paraId="3CA78D2C" w14:textId="77777777">
      <w:pPr>
        <w:tabs>
          <w:tab w:val="left" w:pos="426"/>
        </w:tabs>
        <w:spacing w:after="0" w:line="276" w:lineRule="auto"/>
        <w:jc w:val="both"/>
        <w:rPr>
          <w:rFonts w:ascii="Verdana" w:hAnsi="Verdana" w:eastAsia="Calibri" w:cs="Arial"/>
          <w:lang w:val="es-419" w:eastAsia="es-ES"/>
        </w:rPr>
      </w:pPr>
      <w:r w:rsidRPr="00CC7465">
        <w:rPr>
          <w:rFonts w:ascii="Verdana" w:hAnsi="Verdana" w:eastAsia="Calibri" w:cs="Arial"/>
          <w:lang w:val="es-419" w:eastAsia="es-ES"/>
        </w:rPr>
        <w:t> </w:t>
      </w:r>
    </w:p>
    <w:p w:rsidRPr="00CC7465" w:rsidR="00CC7465" w:rsidP="2889D0F5" w:rsidRDefault="00CC7465" w14:paraId="137C9019" w14:textId="626AA90E">
      <w:pPr>
        <w:tabs>
          <w:tab w:val="left" w:pos="426"/>
        </w:tabs>
        <w:spacing w:after="0" w:line="276" w:lineRule="auto"/>
        <w:ind w:left="2124" w:firstLine="708"/>
        <w:jc w:val="both"/>
        <w:rPr>
          <w:rFonts w:ascii="Verdana" w:hAnsi="Verdana" w:eastAsia="Calibri" w:cs="Arial"/>
          <w:lang w:val="es-419" w:eastAsia="es-ES"/>
        </w:rPr>
      </w:pPr>
      <w:r w:rsidRPr="2889D0F5" w:rsidR="401C3D6A">
        <w:rPr>
          <w:rFonts w:ascii="Verdana" w:hAnsi="Verdana" w:eastAsia="Calibri" w:cs="Arial"/>
          <w:lang w:val="es-419" w:eastAsia="es-ES"/>
        </w:rPr>
        <w:t>C-154</w:t>
      </w:r>
    </w:p>
    <w:p w:rsidRPr="00CC7465" w:rsidR="00CC7465" w:rsidP="2889D0F5" w:rsidRDefault="00CC7465" w14:paraId="02DFAEE0" w14:textId="7632E935">
      <w:pPr>
        <w:tabs>
          <w:tab w:val="left" w:pos="426"/>
        </w:tabs>
        <w:spacing w:after="0" w:line="276" w:lineRule="auto"/>
        <w:ind w:left="2124" w:firstLine="708"/>
        <w:jc w:val="both"/>
        <w:rPr>
          <w:rFonts w:ascii="Verdana" w:hAnsi="Verdana" w:eastAsia="Calibri" w:cs="Arial"/>
          <w:lang w:val="es-419" w:eastAsia="es-ES"/>
        </w:rPr>
      </w:pPr>
      <w:r w:rsidRPr="2889D0F5" w:rsidR="00CC7465">
        <w:rPr>
          <w:rFonts w:ascii="Verdana" w:hAnsi="Verdana" w:eastAsia="Calibri" w:cs="Arial"/>
          <w:lang w:val="es-419" w:eastAsia="es-ES"/>
        </w:rPr>
        <w:t> </w:t>
      </w: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2609"/>
        <w:gridCol w:w="6229"/>
      </w:tblGrid>
      <w:tr w:rsidRPr="00CC7465" w:rsidR="00CC7465" w:rsidTr="00CC7465" w14:paraId="04026BAD" w14:textId="77777777">
        <w:trPr>
          <w:trHeight w:val="855"/>
        </w:trPr>
        <w:tc>
          <w:tcPr>
            <w:tcW w:w="2670" w:type="dxa"/>
            <w:tcBorders>
              <w:top w:val="nil"/>
              <w:left w:val="nil"/>
              <w:bottom w:val="nil"/>
              <w:right w:val="nil"/>
            </w:tcBorders>
            <w:shd w:val="clear" w:color="auto" w:fill="auto"/>
            <w:hideMark/>
          </w:tcPr>
          <w:p w:rsidRPr="00CC7465" w:rsidR="00CC7465" w:rsidP="00CC7465" w:rsidRDefault="00CC7465" w14:paraId="5A446B57" w14:textId="77777777">
            <w:pPr>
              <w:tabs>
                <w:tab w:val="left" w:pos="426"/>
              </w:tabs>
              <w:spacing w:after="0" w:line="276" w:lineRule="auto"/>
              <w:jc w:val="both"/>
              <w:rPr>
                <w:rFonts w:ascii="Verdana" w:hAnsi="Verdana" w:eastAsia="Calibri" w:cs="Arial"/>
                <w:lang w:val="es-419" w:eastAsia="es-ES"/>
              </w:rPr>
            </w:pPr>
            <w:r w:rsidRPr="00CC7465">
              <w:rPr>
                <w:rFonts w:ascii="Verdana" w:hAnsi="Verdana" w:eastAsia="Calibri" w:cs="Arial"/>
                <w:b/>
                <w:bCs/>
                <w:lang w:val="es-MX" w:eastAsia="es-ES"/>
              </w:rPr>
              <w:t>Temas:                   </w:t>
            </w:r>
            <w:r w:rsidRPr="00CC7465">
              <w:rPr>
                <w:rFonts w:ascii="Verdana" w:hAnsi="Verdana" w:eastAsia="Calibri" w:cs="Arial"/>
                <w:b/>
                <w:bCs/>
                <w:lang w:val="es-419" w:eastAsia="es-ES"/>
              </w:rPr>
              <w:t> </w:t>
            </w:r>
            <w:r w:rsidRPr="00CC7465">
              <w:rPr>
                <w:rFonts w:ascii="Verdana" w:hAnsi="Verdana" w:eastAsia="Calibri" w:cs="Arial"/>
                <w:lang w:val="es-419" w:eastAsia="es-ES"/>
              </w:rPr>
              <w:t> </w:t>
            </w:r>
          </w:p>
        </w:tc>
        <w:tc>
          <w:tcPr>
            <w:tcW w:w="6720" w:type="dxa"/>
            <w:tcBorders>
              <w:top w:val="nil"/>
              <w:left w:val="nil"/>
              <w:bottom w:val="nil"/>
              <w:right w:val="nil"/>
            </w:tcBorders>
            <w:shd w:val="clear" w:color="auto" w:fill="auto"/>
            <w:hideMark/>
          </w:tcPr>
          <w:p w:rsidRPr="00CC7465" w:rsidR="00CC7465" w:rsidP="00CC7465" w:rsidRDefault="00CC7465" w14:paraId="0DD6C9A5" w14:textId="77777777">
            <w:pPr>
              <w:tabs>
                <w:tab w:val="left" w:pos="426"/>
              </w:tabs>
              <w:spacing w:after="0" w:line="276" w:lineRule="auto"/>
              <w:jc w:val="both"/>
              <w:rPr>
                <w:rFonts w:ascii="Verdana" w:hAnsi="Verdana" w:eastAsia="Calibri" w:cs="Arial"/>
                <w:lang w:val="es-419" w:eastAsia="es-ES"/>
              </w:rPr>
            </w:pPr>
            <w:r w:rsidRPr="00CC7465">
              <w:rPr>
                <w:rFonts w:ascii="Verdana" w:hAnsi="Verdana" w:eastAsia="Calibri" w:cs="Arial"/>
                <w:lang w:val="es-MX" w:eastAsia="es-ES"/>
              </w:rPr>
              <w:t>DOCUMENTOS TIPO – Resolución 275 de 2022 / DOCUMENTOS TIPO DE INFRAESTRUCTURA SECTOR SOCIAL – Resolución 219 de 2021 – Documentos Tipo – Formato 12 - factor de sostenibilidad técnico ambiental agregado.</w:t>
            </w:r>
            <w:r w:rsidRPr="00CC7465">
              <w:rPr>
                <w:rFonts w:ascii="Verdana" w:hAnsi="Verdana" w:eastAsia="Calibri" w:cs="Arial"/>
                <w:lang w:val="es-419" w:eastAsia="es-ES"/>
              </w:rPr>
              <w:t>  </w:t>
            </w:r>
          </w:p>
        </w:tc>
      </w:tr>
      <w:tr w:rsidRPr="00CC7465" w:rsidR="00CC7465" w:rsidTr="00CC7465" w14:paraId="49B63A52" w14:textId="77777777">
        <w:trPr>
          <w:trHeight w:val="300"/>
        </w:trPr>
        <w:tc>
          <w:tcPr>
            <w:tcW w:w="2670" w:type="dxa"/>
            <w:tcBorders>
              <w:top w:val="nil"/>
              <w:left w:val="nil"/>
              <w:bottom w:val="nil"/>
              <w:right w:val="nil"/>
            </w:tcBorders>
            <w:shd w:val="clear" w:color="auto" w:fill="auto"/>
            <w:hideMark/>
          </w:tcPr>
          <w:p w:rsidRPr="00CC7465" w:rsidR="00CC7465" w:rsidP="00CC7465" w:rsidRDefault="00CC7465" w14:paraId="6BE9902E" w14:textId="77777777">
            <w:pPr>
              <w:tabs>
                <w:tab w:val="left" w:pos="426"/>
              </w:tabs>
              <w:spacing w:after="0" w:line="276" w:lineRule="auto"/>
              <w:jc w:val="both"/>
              <w:rPr>
                <w:rFonts w:ascii="Verdana" w:hAnsi="Verdana" w:eastAsia="Calibri" w:cs="Arial"/>
                <w:lang w:val="es-419" w:eastAsia="es-ES"/>
              </w:rPr>
            </w:pPr>
            <w:r w:rsidRPr="00CC7465">
              <w:rPr>
                <w:rFonts w:ascii="Verdana" w:hAnsi="Verdana" w:eastAsia="Calibri" w:cs="Arial"/>
                <w:lang w:val="es-419" w:eastAsia="es-ES"/>
              </w:rPr>
              <w:t> </w:t>
            </w:r>
          </w:p>
          <w:p w:rsidRPr="00CC7465" w:rsidR="00CC7465" w:rsidP="00CC7465" w:rsidRDefault="00CC7465" w14:paraId="7A4D27B9" w14:textId="77777777">
            <w:pPr>
              <w:tabs>
                <w:tab w:val="left" w:pos="426"/>
              </w:tabs>
              <w:spacing w:after="0" w:line="276" w:lineRule="auto"/>
              <w:jc w:val="both"/>
              <w:rPr>
                <w:rFonts w:ascii="Verdana" w:hAnsi="Verdana" w:eastAsia="Calibri" w:cs="Arial"/>
                <w:lang w:val="es-419" w:eastAsia="es-ES"/>
              </w:rPr>
            </w:pPr>
            <w:r w:rsidRPr="00CC7465">
              <w:rPr>
                <w:rFonts w:ascii="Verdana" w:hAnsi="Verdana" w:eastAsia="Calibri" w:cs="Arial"/>
                <w:b/>
                <w:bCs/>
                <w:lang w:val="es-MX" w:eastAsia="es-ES"/>
              </w:rPr>
              <w:t>Radicación:               </w:t>
            </w:r>
            <w:r w:rsidRPr="00CC7465">
              <w:rPr>
                <w:rFonts w:ascii="Verdana" w:hAnsi="Verdana" w:eastAsia="Calibri" w:cs="Arial"/>
                <w:b/>
                <w:bCs/>
                <w:lang w:val="es-419" w:eastAsia="es-ES"/>
              </w:rPr>
              <w:t> </w:t>
            </w:r>
            <w:r w:rsidRPr="00CC7465">
              <w:rPr>
                <w:rFonts w:ascii="Verdana" w:hAnsi="Verdana" w:eastAsia="Calibri" w:cs="Arial"/>
                <w:lang w:val="es-419" w:eastAsia="es-ES"/>
              </w:rPr>
              <w:t> </w:t>
            </w:r>
          </w:p>
        </w:tc>
        <w:tc>
          <w:tcPr>
            <w:tcW w:w="6720" w:type="dxa"/>
            <w:tcBorders>
              <w:top w:val="nil"/>
              <w:left w:val="nil"/>
              <w:bottom w:val="nil"/>
              <w:right w:val="nil"/>
            </w:tcBorders>
            <w:shd w:val="clear" w:color="auto" w:fill="auto"/>
            <w:hideMark/>
          </w:tcPr>
          <w:p w:rsidRPr="00CC7465" w:rsidR="00CC7465" w:rsidP="00CC7465" w:rsidRDefault="00CC7465" w14:paraId="7CF9DD83" w14:textId="77777777">
            <w:pPr>
              <w:tabs>
                <w:tab w:val="left" w:pos="426"/>
              </w:tabs>
              <w:spacing w:after="0" w:line="276" w:lineRule="auto"/>
              <w:jc w:val="both"/>
              <w:rPr>
                <w:rFonts w:ascii="Verdana" w:hAnsi="Verdana" w:eastAsia="Calibri" w:cs="Arial"/>
                <w:lang w:val="es-419" w:eastAsia="es-ES"/>
              </w:rPr>
            </w:pPr>
            <w:r w:rsidRPr="00CC7465">
              <w:rPr>
                <w:rFonts w:ascii="Verdana" w:hAnsi="Verdana" w:eastAsia="Calibri" w:cs="Arial"/>
                <w:lang w:val="es-419" w:eastAsia="es-ES"/>
              </w:rPr>
              <w:t> </w:t>
            </w:r>
          </w:p>
          <w:p w:rsidRPr="00CC7465" w:rsidR="00CC7465" w:rsidP="00CC7465" w:rsidRDefault="00CC7465" w14:paraId="18B3EDCB" w14:textId="77777777">
            <w:pPr>
              <w:tabs>
                <w:tab w:val="left" w:pos="426"/>
              </w:tabs>
              <w:spacing w:after="0" w:line="276" w:lineRule="auto"/>
              <w:jc w:val="both"/>
              <w:rPr>
                <w:rFonts w:ascii="Verdana" w:hAnsi="Verdana" w:eastAsia="Calibri" w:cs="Arial"/>
                <w:lang w:val="es-419" w:eastAsia="es-ES"/>
              </w:rPr>
            </w:pPr>
            <w:r w:rsidRPr="00CC7465">
              <w:rPr>
                <w:rFonts w:ascii="Verdana" w:hAnsi="Verdana" w:eastAsia="Calibri" w:cs="Arial"/>
                <w:lang w:val="es-MX" w:eastAsia="es-ES"/>
              </w:rPr>
              <w:t>Respuesta a consulta con radicado No. P20240605005825</w:t>
            </w:r>
            <w:r w:rsidRPr="00CC7465">
              <w:rPr>
                <w:rFonts w:ascii="Verdana" w:hAnsi="Verdana" w:eastAsia="Calibri" w:cs="Arial"/>
                <w:lang w:val="es-419" w:eastAsia="es-ES"/>
              </w:rPr>
              <w:t>  </w:t>
            </w:r>
          </w:p>
        </w:tc>
      </w:tr>
    </w:tbl>
    <w:p w:rsidRPr="00CC7465" w:rsidR="00CC7465" w:rsidP="00CC7465" w:rsidRDefault="00CC7465" w14:paraId="6EE830C1" w14:textId="77777777">
      <w:pPr>
        <w:tabs>
          <w:tab w:val="left" w:pos="426"/>
        </w:tabs>
        <w:spacing w:after="0" w:line="276" w:lineRule="auto"/>
        <w:jc w:val="both"/>
        <w:rPr>
          <w:rFonts w:ascii="Verdana" w:hAnsi="Verdana" w:eastAsia="Calibri" w:cs="Arial"/>
          <w:lang w:val="es-419" w:eastAsia="es-ES"/>
        </w:rPr>
      </w:pPr>
      <w:r w:rsidRPr="00CC7465">
        <w:rPr>
          <w:rFonts w:ascii="Verdana" w:hAnsi="Verdana" w:eastAsia="Calibri" w:cs="Arial"/>
          <w:lang w:val="es-419" w:eastAsia="es-ES"/>
        </w:rPr>
        <w:t> </w:t>
      </w:r>
    </w:p>
    <w:p w:rsidRPr="00CC7465" w:rsidR="00CC7465" w:rsidP="00CC7465" w:rsidRDefault="00CC7465" w14:paraId="5CA35B91" w14:textId="77777777">
      <w:pPr>
        <w:tabs>
          <w:tab w:val="left" w:pos="426"/>
        </w:tabs>
        <w:spacing w:after="0" w:line="276" w:lineRule="auto"/>
        <w:jc w:val="both"/>
        <w:rPr>
          <w:rFonts w:ascii="Verdana" w:hAnsi="Verdana" w:eastAsia="Calibri" w:cs="Arial"/>
          <w:lang w:val="es-419" w:eastAsia="es-ES"/>
        </w:rPr>
      </w:pPr>
      <w:r w:rsidRPr="00CC7465">
        <w:rPr>
          <w:rFonts w:ascii="Verdana" w:hAnsi="Verdana" w:eastAsia="Calibri" w:cs="Arial"/>
          <w:lang w:val="es-MX" w:eastAsia="es-ES"/>
        </w:rPr>
        <w:t>Respetado señor Chavarro. </w:t>
      </w:r>
      <w:r w:rsidRPr="00CC7465">
        <w:rPr>
          <w:rFonts w:ascii="Verdana" w:hAnsi="Verdana" w:eastAsia="Calibri" w:cs="Arial"/>
          <w:lang w:val="es-419" w:eastAsia="es-ES"/>
        </w:rPr>
        <w:t> </w:t>
      </w:r>
    </w:p>
    <w:p w:rsidRPr="00CC7465" w:rsidR="00CC7465" w:rsidP="00CC7465" w:rsidRDefault="00CC7465" w14:paraId="01FCA278" w14:textId="77777777">
      <w:pPr>
        <w:tabs>
          <w:tab w:val="left" w:pos="426"/>
        </w:tabs>
        <w:spacing w:after="0" w:line="276" w:lineRule="auto"/>
        <w:jc w:val="both"/>
        <w:rPr>
          <w:rFonts w:ascii="Verdana" w:hAnsi="Verdana" w:eastAsia="Calibri" w:cs="Arial"/>
          <w:lang w:val="es-419" w:eastAsia="es-ES"/>
        </w:rPr>
      </w:pPr>
      <w:r w:rsidRPr="00CC7465">
        <w:rPr>
          <w:rFonts w:ascii="Verdana" w:hAnsi="Verdana" w:eastAsia="Calibri" w:cs="Arial"/>
          <w:lang w:val="es-419" w:eastAsia="es-ES"/>
        </w:rPr>
        <w:t> </w:t>
      </w:r>
    </w:p>
    <w:p w:rsidRPr="00CC7465" w:rsidR="00CC7465" w:rsidP="00CC7465" w:rsidRDefault="00CC7465" w14:paraId="53F1926F" w14:textId="381EBA6A">
      <w:pPr>
        <w:tabs>
          <w:tab w:val="left" w:pos="426"/>
        </w:tabs>
        <w:spacing w:after="0" w:line="276" w:lineRule="auto"/>
        <w:jc w:val="both"/>
        <w:rPr>
          <w:rFonts w:ascii="Verdana" w:hAnsi="Verdana" w:eastAsia="Calibri" w:cs="Arial"/>
          <w:lang w:val="es-419" w:eastAsia="es-ES"/>
        </w:rPr>
      </w:pPr>
      <w:r w:rsidRPr="00CC7465">
        <w:rPr>
          <w:rFonts w:ascii="Verdana" w:hAnsi="Verdana" w:eastAsia="Calibri" w:cs="Arial"/>
          <w:lang w:eastAsia="es-ES"/>
        </w:rPr>
        <w:t>En ejercicio de la competencia otorgada por los artículos 3, numeral 5º, y 11, numeral 8º, del Decreto Ley 4170 de 2011, la Agencia Nacional de Contratación Pública – Colombia Compra Eficiente– responde su solicitud del 05 de junio de 2024, relacionado con los Documentos Tipo del sector Social. En dicha petición usted manifiesta lo siguiente:</w:t>
      </w:r>
      <w:r w:rsidRPr="00CC7465">
        <w:rPr>
          <w:rFonts w:ascii="Verdana" w:hAnsi="Verdana" w:eastAsia="Calibri" w:cs="Arial"/>
          <w:lang w:val="es-419" w:eastAsia="es-ES"/>
        </w:rPr>
        <w:t> </w:t>
      </w:r>
    </w:p>
    <w:p w:rsidRPr="00CC7465" w:rsidR="00CC7465" w:rsidP="00CC7465" w:rsidRDefault="00CC7465" w14:paraId="758B990B" w14:textId="77777777">
      <w:pPr>
        <w:tabs>
          <w:tab w:val="left" w:pos="426"/>
        </w:tabs>
        <w:spacing w:after="0" w:line="276" w:lineRule="auto"/>
        <w:jc w:val="both"/>
        <w:rPr>
          <w:rFonts w:ascii="Verdana" w:hAnsi="Verdana" w:eastAsia="Calibri" w:cs="Arial"/>
          <w:lang w:val="es-419" w:eastAsia="es-ES"/>
        </w:rPr>
      </w:pPr>
      <w:r w:rsidRPr="00CC7465">
        <w:rPr>
          <w:rFonts w:ascii="Verdana" w:hAnsi="Verdana" w:eastAsia="Calibri" w:cs="Arial"/>
          <w:lang w:val="es-419" w:eastAsia="es-ES"/>
        </w:rPr>
        <w:t> </w:t>
      </w:r>
    </w:p>
    <w:p w:rsidRPr="00CC7465" w:rsidR="00CC7465" w:rsidP="00CC7465" w:rsidRDefault="00CC7465" w14:paraId="1E869AAC" w14:textId="77777777">
      <w:pPr>
        <w:tabs>
          <w:tab w:val="left" w:pos="426"/>
        </w:tabs>
        <w:spacing w:after="0" w:line="276" w:lineRule="auto"/>
        <w:ind w:left="426"/>
        <w:jc w:val="both"/>
        <w:rPr>
          <w:rFonts w:ascii="Verdana" w:hAnsi="Verdana" w:eastAsia="Calibri" w:cs="Arial"/>
          <w:lang w:val="es-419" w:eastAsia="es-ES"/>
        </w:rPr>
      </w:pPr>
      <w:r w:rsidRPr="00CC7465">
        <w:rPr>
          <w:rFonts w:ascii="Verdana" w:hAnsi="Verdana" w:eastAsia="Calibri" w:cs="Arial"/>
          <w:i/>
          <w:iCs/>
          <w:lang w:eastAsia="es-ES"/>
        </w:rPr>
        <w:t xml:space="preserve">“(…) El documento de pliego tipo de infraestructura social, específicamente en el ítem de 4.3.2 INSTALACIÓN DE CICLO-PARQUEADEROS. La razón de esta consulta es que por parte de nosotros deseamos saber cuál es el alcance de este, es decir, si este ítem implica solamente la instalación </w:t>
      </w:r>
      <w:proofErr w:type="gramStart"/>
      <w:r w:rsidRPr="00CC7465">
        <w:rPr>
          <w:rFonts w:ascii="Verdana" w:hAnsi="Verdana" w:eastAsia="Calibri" w:cs="Arial"/>
          <w:i/>
          <w:iCs/>
          <w:lang w:eastAsia="es-ES"/>
        </w:rPr>
        <w:t>de los ciclo</w:t>
      </w:r>
      <w:proofErr w:type="gramEnd"/>
      <w:r w:rsidRPr="00CC7465">
        <w:rPr>
          <w:rFonts w:ascii="Verdana" w:hAnsi="Verdana" w:eastAsia="Calibri" w:cs="Arial"/>
          <w:i/>
          <w:iCs/>
          <w:lang w:eastAsia="es-ES"/>
        </w:rPr>
        <w:t xml:space="preserve"> parqueaderos o si también incluye el suministro (…)”</w:t>
      </w:r>
      <w:r w:rsidRPr="00CC7465">
        <w:rPr>
          <w:rFonts w:ascii="Verdana" w:hAnsi="Verdana" w:eastAsia="Calibri" w:cs="Arial"/>
          <w:lang w:val="es-419" w:eastAsia="es-ES"/>
        </w:rPr>
        <w:t> </w:t>
      </w:r>
    </w:p>
    <w:p w:rsidRPr="00CC7465" w:rsidR="00CC7465" w:rsidP="00CC7465" w:rsidRDefault="00CC7465" w14:paraId="2CE879D3" w14:textId="77777777">
      <w:pPr>
        <w:tabs>
          <w:tab w:val="left" w:pos="426"/>
        </w:tabs>
        <w:spacing w:after="0" w:line="276" w:lineRule="auto"/>
        <w:jc w:val="both"/>
        <w:rPr>
          <w:rFonts w:ascii="Verdana" w:hAnsi="Verdana" w:eastAsia="Calibri" w:cs="Arial"/>
          <w:lang w:val="es-419" w:eastAsia="es-ES"/>
        </w:rPr>
      </w:pPr>
      <w:r w:rsidRPr="00CC7465">
        <w:rPr>
          <w:rFonts w:ascii="Verdana" w:hAnsi="Verdana" w:eastAsia="Calibri" w:cs="Arial"/>
          <w:lang w:val="es-419" w:eastAsia="es-ES"/>
        </w:rPr>
        <w:t> </w:t>
      </w:r>
    </w:p>
    <w:p w:rsidR="00CC7465" w:rsidP="00CC7465" w:rsidRDefault="00CC7465" w14:paraId="135BF4FE" w14:textId="09FBE86B">
      <w:pPr>
        <w:tabs>
          <w:tab w:val="left" w:pos="426"/>
        </w:tabs>
        <w:spacing w:after="0" w:line="276" w:lineRule="auto"/>
        <w:jc w:val="both"/>
        <w:rPr>
          <w:rFonts w:ascii="Verdana" w:hAnsi="Verdana" w:eastAsia="Calibri" w:cs="Arial"/>
          <w:lang w:eastAsia="es-ES"/>
        </w:rPr>
      </w:pPr>
      <w:r w:rsidRPr="00CC7465">
        <w:rPr>
          <w:rFonts w:ascii="Verdana" w:hAnsi="Verdana" w:eastAsia="Calibri"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sidRPr="00CC7465">
        <w:rPr>
          <w:rFonts w:ascii="Verdana" w:hAnsi="Verdana" w:eastAsia="Calibri" w:cs="Arial"/>
          <w:lang w:eastAsia="es-ES"/>
        </w:rPr>
        <w:lastRenderedPageBreak/>
        <w:t>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w:t>
      </w:r>
      <w:r w:rsidRPr="00CC7465">
        <w:rPr>
          <w:rFonts w:ascii="Verdana" w:hAnsi="Verdana" w:eastAsia="Calibri" w:cs="Arial"/>
          <w:lang w:eastAsia="es-ES"/>
        </w:rPr>
        <w:t xml:space="preserve"> </w:t>
      </w:r>
      <w:r w:rsidRPr="00CC7465">
        <w:rPr>
          <w:rFonts w:ascii="Verdana" w:hAnsi="Verdana" w:eastAsia="Calibri" w:cs="Arial"/>
          <w:lang w:eastAsia="es-ES"/>
        </w:rPr>
        <w:t xml:space="preserve">Esta competencia de interpretación de normas generales, por definición, no puede extenderse a la resolución de controversias, ni a brindar asesorías sobre casos puntuales. </w:t>
      </w:r>
    </w:p>
    <w:p w:rsidR="00CC7465" w:rsidP="00CC7465" w:rsidRDefault="00CC7465" w14:paraId="71B74E1C" w14:textId="77777777">
      <w:pPr>
        <w:tabs>
          <w:tab w:val="left" w:pos="426"/>
        </w:tabs>
        <w:spacing w:after="0" w:line="276" w:lineRule="auto"/>
        <w:jc w:val="both"/>
        <w:rPr>
          <w:rFonts w:ascii="Verdana" w:hAnsi="Verdana" w:eastAsia="Calibri" w:cs="Arial"/>
          <w:lang w:eastAsia="es-ES"/>
        </w:rPr>
      </w:pPr>
      <w:r>
        <w:rPr>
          <w:rFonts w:ascii="Verdana" w:hAnsi="Verdana" w:eastAsia="Calibri" w:cs="Arial"/>
          <w:lang w:eastAsia="es-ES"/>
        </w:rPr>
        <w:tab/>
      </w:r>
      <w:r w:rsidRPr="00CC7465">
        <w:rPr>
          <w:rFonts w:ascii="Verdana" w:hAnsi="Verdana" w:eastAsia="Calibri" w:cs="Arial"/>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rsidR="00CC7465" w:rsidP="00CC7465" w:rsidRDefault="00CC7465" w14:paraId="35BD6440" w14:textId="77777777">
      <w:pPr>
        <w:tabs>
          <w:tab w:val="left" w:pos="426"/>
        </w:tabs>
        <w:spacing w:after="0" w:line="276" w:lineRule="auto"/>
        <w:jc w:val="both"/>
        <w:rPr>
          <w:rFonts w:ascii="Verdana" w:hAnsi="Verdana" w:eastAsia="Calibri" w:cs="Arial"/>
          <w:lang w:eastAsia="es-ES"/>
        </w:rPr>
      </w:pPr>
    </w:p>
    <w:p w:rsidR="00CC7465" w:rsidP="00056C43" w:rsidRDefault="00CC7465" w14:paraId="4C8DC51A" w14:textId="75CF5D18">
      <w:pPr>
        <w:pStyle w:val="Prrafodelista"/>
        <w:numPr>
          <w:ilvl w:val="0"/>
          <w:numId w:val="11"/>
        </w:numPr>
        <w:jc w:val="both"/>
        <w:rPr>
          <w:rFonts w:ascii="Verdana" w:hAnsi="Verdana"/>
          <w:b/>
          <w:bCs/>
        </w:rPr>
      </w:pPr>
      <w:r w:rsidRPr="00056C43">
        <w:rPr>
          <w:rFonts w:ascii="Verdana" w:hAnsi="Verdana"/>
          <w:b/>
          <w:bCs/>
        </w:rPr>
        <w:t xml:space="preserve">Problema planteado: </w:t>
      </w:r>
    </w:p>
    <w:p w:rsidRPr="00056C43" w:rsidR="00056C43" w:rsidP="00056C43" w:rsidRDefault="00056C43" w14:paraId="6C141A5F" w14:textId="77777777">
      <w:pPr>
        <w:pStyle w:val="Prrafodelista"/>
        <w:ind w:left="1080"/>
        <w:jc w:val="both"/>
        <w:rPr>
          <w:rFonts w:ascii="Verdana" w:hAnsi="Verdana"/>
          <w:b/>
          <w:bCs/>
        </w:rPr>
      </w:pPr>
    </w:p>
    <w:p w:rsidRPr="00CC7465" w:rsidR="00CC7465" w:rsidP="00CC7465" w:rsidRDefault="00CC7465" w14:paraId="2B3E3452" w14:textId="3DBBB488">
      <w:pPr>
        <w:tabs>
          <w:tab w:val="left" w:pos="426"/>
        </w:tabs>
        <w:spacing w:line="276" w:lineRule="auto"/>
        <w:jc w:val="both"/>
        <w:rPr>
          <w:rFonts w:ascii="Verdana" w:hAnsi="Verdana" w:eastAsia="Calibri" w:cs="Arial"/>
          <w:lang w:eastAsia="es-ES"/>
        </w:rPr>
      </w:pPr>
      <w:r>
        <w:rPr>
          <w:rFonts w:ascii="Verdana" w:hAnsi="Verdana" w:eastAsia="Calibri" w:cs="Arial"/>
          <w:lang w:eastAsia="es-ES"/>
        </w:rPr>
        <w:tab/>
      </w:r>
      <w:r w:rsidRPr="00CC7465">
        <w:rPr>
          <w:rFonts w:ascii="Verdana" w:hAnsi="Verdana" w:eastAsia="Calibri" w:cs="Arial"/>
          <w:lang w:eastAsia="es-ES"/>
        </w:rPr>
        <w:t xml:space="preserve">De acuerdo con el contenido de su solicitud, esta Agencia resolverá la siguiente consulta: El documento de pliego tipo de infraestructura social, específicamente en el ítem de 4.3.2 INSTALACIÓN DE CICLO-PARQUEADEROS. La razón de esta consulta es que por parte de nosotros deseamos saber cuál es el alcance de este, es decir, si este ítem implica solamente la instalación </w:t>
      </w:r>
      <w:proofErr w:type="gramStart"/>
      <w:r w:rsidRPr="00CC7465">
        <w:rPr>
          <w:rFonts w:ascii="Verdana" w:hAnsi="Verdana" w:eastAsia="Calibri" w:cs="Arial"/>
          <w:lang w:eastAsia="es-ES"/>
        </w:rPr>
        <w:t>de los ciclo</w:t>
      </w:r>
      <w:proofErr w:type="gramEnd"/>
      <w:r w:rsidRPr="00CC7465">
        <w:rPr>
          <w:rFonts w:ascii="Verdana" w:hAnsi="Verdana" w:eastAsia="Calibri" w:cs="Arial"/>
          <w:lang w:eastAsia="es-ES"/>
        </w:rPr>
        <w:t xml:space="preserve"> parqueaderos o si también incluye el suministro” </w:t>
      </w:r>
    </w:p>
    <w:p w:rsidR="00CC7465" w:rsidP="00CC7465" w:rsidRDefault="00CC7465" w14:paraId="5063761C" w14:textId="77777777">
      <w:pPr>
        <w:spacing w:after="0" w:line="240" w:lineRule="auto"/>
        <w:jc w:val="both"/>
        <w:rPr>
          <w:rFonts w:ascii="Verdana" w:hAnsi="Verdana"/>
        </w:rPr>
      </w:pPr>
    </w:p>
    <w:p w:rsidRPr="00EF1097" w:rsidR="00CC7465" w:rsidP="00056C43" w:rsidRDefault="00CC7465" w14:paraId="12B6DF60" w14:textId="77777777">
      <w:pPr>
        <w:pStyle w:val="Prrafodelista"/>
        <w:numPr>
          <w:ilvl w:val="0"/>
          <w:numId w:val="11"/>
        </w:numPr>
        <w:jc w:val="both"/>
        <w:rPr>
          <w:rFonts w:ascii="Verdana" w:hAnsi="Verdana"/>
          <w:b/>
          <w:bCs/>
        </w:rPr>
      </w:pPr>
      <w:r>
        <w:rPr>
          <w:rFonts w:ascii="Verdana" w:hAnsi="Verdana"/>
          <w:b/>
          <w:bCs/>
        </w:rPr>
        <w:t>Respuesta:</w:t>
      </w:r>
    </w:p>
    <w:p w:rsidRPr="000271A9" w:rsidR="00CC7465" w:rsidP="00CC7465" w:rsidRDefault="00CC7465" w14:paraId="0CA426C4" w14:textId="77777777">
      <w:pPr>
        <w:spacing w:after="0" w:line="240" w:lineRule="auto"/>
        <w:jc w:val="both"/>
        <w:rPr>
          <w:rFonts w:ascii="Verdana" w:hAnsi="Verdana"/>
          <w:b/>
          <w:bCs/>
          <w:lang w:val="es-ES"/>
        </w:rPr>
      </w:pPr>
    </w:p>
    <w:tbl>
      <w:tblPr>
        <w:tblStyle w:val="Tablaconcuadrcula"/>
        <w:tblW w:w="0" w:type="auto"/>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ook w:val="04A0" w:firstRow="1" w:lastRow="0" w:firstColumn="1" w:lastColumn="0" w:noHBand="0" w:noVBand="1"/>
      </w:tblPr>
      <w:tblGrid>
        <w:gridCol w:w="8828"/>
      </w:tblGrid>
      <w:tr w:rsidRPr="000271A9" w:rsidR="00CC7465" w:rsidTr="00E97223" w14:paraId="2FB6FDAF" w14:textId="77777777">
        <w:tc>
          <w:tcPr>
            <w:tcW w:w="8828" w:type="dxa"/>
            <w:tcBorders>
              <w:top w:val="dotted" w:color="auto" w:sz="4" w:space="0"/>
              <w:left w:val="dotted" w:color="auto" w:sz="4" w:space="0"/>
              <w:bottom w:val="dotted" w:color="auto" w:sz="4" w:space="0"/>
              <w:right w:val="dotted" w:color="auto" w:sz="4" w:space="0"/>
            </w:tcBorders>
            <w:hideMark/>
          </w:tcPr>
          <w:p w:rsidR="005F58A6" w:rsidP="00E97223" w:rsidRDefault="00CC7465" w14:paraId="12DC62D7" w14:textId="77777777">
            <w:pPr>
              <w:jc w:val="both"/>
              <w:rPr>
                <w:rFonts w:ascii="Verdana" w:hAnsi="Verdana"/>
              </w:rPr>
            </w:pPr>
            <w:r w:rsidRPr="00CC7465">
              <w:rPr>
                <w:rFonts w:ascii="Verdana" w:hAnsi="Verdana"/>
              </w:rPr>
              <w:t xml:space="preserve">El numeral 4.3.2. INSTALACIÓN DE CICLO-PARQUEADEROS, del documento base del sector social, que determina que: </w:t>
            </w:r>
          </w:p>
          <w:p w:rsidR="005F58A6" w:rsidP="00E97223" w:rsidRDefault="005F58A6" w14:paraId="487FA25E" w14:textId="77777777">
            <w:pPr>
              <w:jc w:val="both"/>
              <w:rPr>
                <w:rFonts w:ascii="Verdana" w:hAnsi="Verdana"/>
              </w:rPr>
            </w:pPr>
          </w:p>
          <w:p w:rsidR="005F58A6" w:rsidP="005F58A6" w:rsidRDefault="00CC7465" w14:paraId="785CBF8B" w14:textId="77777777">
            <w:pPr>
              <w:ind w:left="708"/>
              <w:jc w:val="both"/>
              <w:rPr>
                <w:rFonts w:ascii="Verdana" w:hAnsi="Verdana"/>
              </w:rPr>
            </w:pPr>
            <w:r w:rsidRPr="00CC7465">
              <w:rPr>
                <w:rFonts w:ascii="Verdana" w:hAnsi="Verdana"/>
              </w:rPr>
              <w:t xml:space="preserve">[La Entidad deberá tener la certeza plena que cuenta con un espacio disponible en el predio en el cual se desarrollará la obra pública para establecer el presente factor de ponderación y las condiciones físicas y reales del predio que hagan viable técnicamente la instalación de ciclo-parqueaderos.] </w:t>
            </w:r>
          </w:p>
          <w:p w:rsidR="005F58A6" w:rsidP="005F58A6" w:rsidRDefault="005F58A6" w14:paraId="777C573C" w14:textId="77777777">
            <w:pPr>
              <w:ind w:left="708"/>
              <w:jc w:val="both"/>
              <w:rPr>
                <w:rFonts w:ascii="Verdana" w:hAnsi="Verdana"/>
              </w:rPr>
            </w:pPr>
          </w:p>
          <w:p w:rsidR="005F58A6" w:rsidP="005F58A6" w:rsidRDefault="00CC7465" w14:paraId="3C0F415F" w14:textId="77777777">
            <w:pPr>
              <w:ind w:left="708"/>
              <w:jc w:val="both"/>
              <w:rPr>
                <w:rFonts w:ascii="Verdana" w:hAnsi="Verdana"/>
              </w:rPr>
            </w:pPr>
            <w:r w:rsidRPr="00CC7465">
              <w:rPr>
                <w:rFonts w:ascii="Verdana" w:hAnsi="Verdana"/>
              </w:rPr>
              <w:t xml:space="preserve">El Proponente que se comprometa a través del Formato 12 a instalar por cuenta propia una (1) estación de ciclo-parqueaderos empleando </w:t>
            </w:r>
            <w:r w:rsidRPr="00CC7465">
              <w:rPr>
                <w:rFonts w:ascii="Verdana" w:hAnsi="Verdana"/>
              </w:rPr>
              <w:lastRenderedPageBreak/>
              <w:t xml:space="preserve">materiales reciclados, el cual puede ser de forma horizontal o vertical, según la disponibilidad de espacio que cuente el predio en el cual será adelantado el proyecto de infraestructura social, será acreedor de [la Entidad establecerá el puntaje respectivo para este factor siempre y cuando no sea mayor a nueve (9) puntos]. </w:t>
            </w:r>
          </w:p>
          <w:p w:rsidR="005F58A6" w:rsidP="005F58A6" w:rsidRDefault="005F58A6" w14:paraId="60CAF0C8" w14:textId="77777777">
            <w:pPr>
              <w:ind w:left="708"/>
              <w:jc w:val="both"/>
              <w:rPr>
                <w:rFonts w:ascii="Verdana" w:hAnsi="Verdana"/>
              </w:rPr>
            </w:pPr>
          </w:p>
          <w:p w:rsidR="00CC7465" w:rsidP="005F58A6" w:rsidRDefault="00CC7465" w14:paraId="617F3E53" w14:textId="304BA378">
            <w:pPr>
              <w:ind w:left="708"/>
              <w:jc w:val="both"/>
              <w:rPr>
                <w:rFonts w:ascii="Verdana" w:hAnsi="Verdana"/>
              </w:rPr>
            </w:pPr>
            <w:r w:rsidRPr="00CC7465">
              <w:rPr>
                <w:rFonts w:ascii="Verdana" w:hAnsi="Verdana"/>
              </w:rPr>
              <w:t>Para el ofrecimiento realizado, la Entidad, de acuerdo con el área del predio y disponibilidad de un espacio para la ubicación de bicicletas, definirá la cantidad de bicicletas que se podrán ubicar en los ciclo-parqueaderos teniendo en cuenta la siguiente tabla:</w:t>
            </w:r>
          </w:p>
          <w:p w:rsidR="00CC7465" w:rsidP="00E97223" w:rsidRDefault="00CC7465" w14:paraId="76EE3206" w14:textId="77777777">
            <w:pPr>
              <w:jc w:val="both"/>
              <w:rPr>
                <w:rFonts w:ascii="Verdana" w:hAnsi="Verdana"/>
              </w:rPr>
            </w:pPr>
          </w:p>
          <w:tbl>
            <w:tblPr>
              <w:tblStyle w:val="Tablaconcuadrcula"/>
              <w:tblW w:w="0" w:type="auto"/>
              <w:tblLook w:val="04A0" w:firstRow="1" w:lastRow="0" w:firstColumn="1" w:lastColumn="0" w:noHBand="0" w:noVBand="1"/>
            </w:tblPr>
            <w:tblGrid>
              <w:gridCol w:w="1590"/>
              <w:gridCol w:w="2268"/>
              <w:gridCol w:w="4744"/>
            </w:tblGrid>
            <w:tr w:rsidR="005F58A6" w:rsidTr="005F58A6" w14:paraId="1EAF4E70" w14:textId="77777777">
              <w:tc>
                <w:tcPr>
                  <w:tcW w:w="1590" w:type="dxa"/>
                  <w:shd w:val="clear" w:color="auto" w:fill="000000" w:themeFill="text1"/>
                </w:tcPr>
                <w:p w:rsidRPr="005F58A6" w:rsidR="005F58A6" w:rsidP="00E97223" w:rsidRDefault="005F58A6" w14:paraId="4E4F67BC" w14:textId="499C6DE8">
                  <w:pPr>
                    <w:jc w:val="both"/>
                    <w:rPr>
                      <w:rFonts w:ascii="Verdana" w:hAnsi="Verdana"/>
                      <w:sz w:val="16"/>
                      <w:szCs w:val="16"/>
                    </w:rPr>
                  </w:pPr>
                  <w:r w:rsidRPr="005F58A6">
                    <w:rPr>
                      <w:rFonts w:ascii="Verdana" w:hAnsi="Verdana"/>
                      <w:sz w:val="16"/>
                      <w:szCs w:val="16"/>
                    </w:rPr>
                    <w:t>Alternat</w:t>
                  </w:r>
                  <w:r w:rsidRPr="005F58A6">
                    <w:rPr>
                      <w:rFonts w:ascii="Verdana" w:hAnsi="Verdana"/>
                      <w:sz w:val="16"/>
                      <w:szCs w:val="16"/>
                    </w:rPr>
                    <w:t xml:space="preserve">iva </w:t>
                  </w:r>
                </w:p>
              </w:tc>
              <w:tc>
                <w:tcPr>
                  <w:tcW w:w="2268" w:type="dxa"/>
                  <w:shd w:val="clear" w:color="auto" w:fill="000000" w:themeFill="text1"/>
                </w:tcPr>
                <w:p w:rsidRPr="005F58A6" w:rsidR="005F58A6" w:rsidP="00E97223" w:rsidRDefault="005F58A6" w14:paraId="574B794D" w14:textId="1BCE0390">
                  <w:pPr>
                    <w:jc w:val="both"/>
                    <w:rPr>
                      <w:rFonts w:ascii="Verdana" w:hAnsi="Verdana"/>
                      <w:sz w:val="16"/>
                      <w:szCs w:val="16"/>
                    </w:rPr>
                  </w:pPr>
                  <w:r w:rsidRPr="005F58A6">
                    <w:rPr>
                      <w:rFonts w:ascii="Verdana" w:hAnsi="Verdana"/>
                      <w:sz w:val="16"/>
                      <w:szCs w:val="16"/>
                    </w:rPr>
                    <w:t>M2 del predio</w:t>
                  </w:r>
                </w:p>
              </w:tc>
              <w:tc>
                <w:tcPr>
                  <w:tcW w:w="4744" w:type="dxa"/>
                  <w:shd w:val="clear" w:color="auto" w:fill="000000" w:themeFill="text1"/>
                </w:tcPr>
                <w:p w:rsidRPr="005F58A6" w:rsidR="005F58A6" w:rsidP="00E97223" w:rsidRDefault="005F58A6" w14:paraId="05796F4B" w14:textId="7757B748">
                  <w:pPr>
                    <w:jc w:val="both"/>
                    <w:rPr>
                      <w:rFonts w:ascii="Verdana" w:hAnsi="Verdana"/>
                      <w:sz w:val="16"/>
                      <w:szCs w:val="16"/>
                    </w:rPr>
                  </w:pPr>
                  <w:r w:rsidRPr="005F58A6">
                    <w:rPr>
                      <w:rFonts w:ascii="Verdana" w:hAnsi="Verdana"/>
                      <w:sz w:val="16"/>
                      <w:szCs w:val="16"/>
                    </w:rPr>
                    <w:t>Cantidad de bicicletas que se permitirá ubicar en el ciclo parqueaderos</w:t>
                  </w:r>
                </w:p>
              </w:tc>
            </w:tr>
            <w:tr w:rsidR="005F58A6" w:rsidTr="005F58A6" w14:paraId="11225581" w14:textId="77777777">
              <w:tc>
                <w:tcPr>
                  <w:tcW w:w="1590" w:type="dxa"/>
                </w:tcPr>
                <w:p w:rsidRPr="005F58A6" w:rsidR="005F58A6" w:rsidP="005F58A6" w:rsidRDefault="005F58A6" w14:paraId="4660EF63" w14:textId="50855F68">
                  <w:pPr>
                    <w:jc w:val="both"/>
                    <w:rPr>
                      <w:rFonts w:ascii="Verdana" w:hAnsi="Verdana"/>
                      <w:sz w:val="16"/>
                      <w:szCs w:val="16"/>
                    </w:rPr>
                  </w:pPr>
                  <w:r w:rsidRPr="005F58A6">
                    <w:rPr>
                      <w:rFonts w:ascii="Verdana" w:hAnsi="Verdana"/>
                      <w:sz w:val="16"/>
                      <w:szCs w:val="16"/>
                    </w:rPr>
                    <w:t>1</w:t>
                  </w:r>
                </w:p>
              </w:tc>
              <w:tc>
                <w:tcPr>
                  <w:tcW w:w="2268" w:type="dxa"/>
                </w:tcPr>
                <w:p w:rsidRPr="005F58A6" w:rsidR="005F58A6" w:rsidP="005F58A6" w:rsidRDefault="005F58A6" w14:paraId="0FCC747F" w14:textId="2DA03DAC">
                  <w:pPr>
                    <w:jc w:val="both"/>
                    <w:rPr>
                      <w:rFonts w:ascii="Verdana" w:hAnsi="Verdana"/>
                      <w:sz w:val="16"/>
                      <w:szCs w:val="16"/>
                    </w:rPr>
                  </w:pPr>
                  <w:r w:rsidRPr="005F58A6">
                    <w:rPr>
                      <w:rFonts w:ascii="Verdana" w:hAnsi="Verdana"/>
                      <w:sz w:val="16"/>
                      <w:szCs w:val="16"/>
                    </w:rPr>
                    <w:t>Menor o igual a 2.000</w:t>
                  </w:r>
                </w:p>
              </w:tc>
              <w:tc>
                <w:tcPr>
                  <w:tcW w:w="4744" w:type="dxa"/>
                </w:tcPr>
                <w:p w:rsidRPr="005F58A6" w:rsidR="005F58A6" w:rsidP="005F58A6" w:rsidRDefault="005F58A6" w14:paraId="319DE336" w14:textId="776AABF3">
                  <w:pPr>
                    <w:jc w:val="both"/>
                    <w:rPr>
                      <w:rFonts w:ascii="Verdana" w:hAnsi="Verdana"/>
                      <w:sz w:val="16"/>
                      <w:szCs w:val="16"/>
                    </w:rPr>
                  </w:pPr>
                  <w:r w:rsidRPr="005F58A6">
                    <w:rPr>
                      <w:rFonts w:ascii="Verdana" w:hAnsi="Verdana"/>
                      <w:sz w:val="16"/>
                      <w:szCs w:val="16"/>
                    </w:rPr>
                    <w:t>[La Entidad definirá la cantidad de bicicletas que se permitirá ubicar en el ciclo parqueaderos entre el rango de mínimo 5 – máximo 10]</w:t>
                  </w:r>
                </w:p>
              </w:tc>
            </w:tr>
            <w:tr w:rsidR="005F58A6" w:rsidTr="005F58A6" w14:paraId="2120F9F8" w14:textId="77777777">
              <w:tc>
                <w:tcPr>
                  <w:tcW w:w="1590" w:type="dxa"/>
                </w:tcPr>
                <w:p w:rsidRPr="005F58A6" w:rsidR="005F58A6" w:rsidP="005F58A6" w:rsidRDefault="005F58A6" w14:paraId="77EE36F3" w14:textId="573AE3D5">
                  <w:pPr>
                    <w:jc w:val="both"/>
                    <w:rPr>
                      <w:rFonts w:ascii="Verdana" w:hAnsi="Verdana"/>
                      <w:sz w:val="16"/>
                      <w:szCs w:val="16"/>
                    </w:rPr>
                  </w:pPr>
                  <w:r w:rsidRPr="005F58A6">
                    <w:rPr>
                      <w:rFonts w:ascii="Verdana" w:hAnsi="Verdana"/>
                      <w:sz w:val="16"/>
                      <w:szCs w:val="16"/>
                    </w:rPr>
                    <w:t>2</w:t>
                  </w:r>
                </w:p>
              </w:tc>
              <w:tc>
                <w:tcPr>
                  <w:tcW w:w="2268" w:type="dxa"/>
                </w:tcPr>
                <w:p w:rsidRPr="005F58A6" w:rsidR="005F58A6" w:rsidP="005F58A6" w:rsidRDefault="005F58A6" w14:paraId="08BF0B8E" w14:textId="52537985">
                  <w:pPr>
                    <w:jc w:val="both"/>
                    <w:rPr>
                      <w:rFonts w:ascii="Verdana" w:hAnsi="Verdana"/>
                      <w:sz w:val="16"/>
                      <w:szCs w:val="16"/>
                    </w:rPr>
                  </w:pPr>
                  <w:r w:rsidRPr="005F58A6">
                    <w:rPr>
                      <w:rFonts w:ascii="Verdana" w:hAnsi="Verdana"/>
                      <w:sz w:val="16"/>
                      <w:szCs w:val="16"/>
                    </w:rPr>
                    <w:t>Entre 2.001 y 8.000</w:t>
                  </w:r>
                </w:p>
              </w:tc>
              <w:tc>
                <w:tcPr>
                  <w:tcW w:w="4744" w:type="dxa"/>
                </w:tcPr>
                <w:p w:rsidRPr="005F58A6" w:rsidR="005F58A6" w:rsidP="005F58A6" w:rsidRDefault="005F58A6" w14:paraId="242B030E" w14:textId="6769C10D">
                  <w:pPr>
                    <w:jc w:val="both"/>
                    <w:rPr>
                      <w:rFonts w:ascii="Verdana" w:hAnsi="Verdana"/>
                      <w:sz w:val="16"/>
                      <w:szCs w:val="16"/>
                    </w:rPr>
                  </w:pPr>
                  <w:r w:rsidRPr="005F58A6">
                    <w:rPr>
                      <w:rFonts w:ascii="Verdana" w:hAnsi="Verdana"/>
                      <w:sz w:val="16"/>
                      <w:szCs w:val="16"/>
                    </w:rPr>
                    <w:t>[La Entidad definirá la cantidad de bicicletas que se permitirá ubicar en el ciclo parqueaderos entre el rango de mínimo 5 – máximo 12]</w:t>
                  </w:r>
                </w:p>
              </w:tc>
            </w:tr>
            <w:tr w:rsidR="005F58A6" w:rsidTr="005F58A6" w14:paraId="73D39A69" w14:textId="77777777">
              <w:tc>
                <w:tcPr>
                  <w:tcW w:w="1590" w:type="dxa"/>
                </w:tcPr>
                <w:p w:rsidRPr="005F58A6" w:rsidR="005F58A6" w:rsidP="005F58A6" w:rsidRDefault="005F58A6" w14:paraId="29D7BDDB" w14:textId="458D6ADF">
                  <w:pPr>
                    <w:jc w:val="both"/>
                    <w:rPr>
                      <w:rFonts w:ascii="Verdana" w:hAnsi="Verdana"/>
                      <w:sz w:val="16"/>
                      <w:szCs w:val="16"/>
                    </w:rPr>
                  </w:pPr>
                  <w:r w:rsidRPr="005F58A6">
                    <w:rPr>
                      <w:rFonts w:ascii="Verdana" w:hAnsi="Verdana"/>
                      <w:sz w:val="16"/>
                      <w:szCs w:val="16"/>
                    </w:rPr>
                    <w:t xml:space="preserve">3 </w:t>
                  </w:r>
                </w:p>
              </w:tc>
              <w:tc>
                <w:tcPr>
                  <w:tcW w:w="2268" w:type="dxa"/>
                </w:tcPr>
                <w:p w:rsidRPr="005F58A6" w:rsidR="005F58A6" w:rsidP="005F58A6" w:rsidRDefault="005F58A6" w14:paraId="549B33E1" w14:textId="5D49C739">
                  <w:pPr>
                    <w:jc w:val="both"/>
                    <w:rPr>
                      <w:rFonts w:ascii="Verdana" w:hAnsi="Verdana"/>
                      <w:sz w:val="16"/>
                      <w:szCs w:val="16"/>
                    </w:rPr>
                  </w:pPr>
                  <w:r w:rsidRPr="005F58A6">
                    <w:rPr>
                      <w:rFonts w:ascii="Verdana" w:hAnsi="Verdana"/>
                      <w:sz w:val="16"/>
                      <w:szCs w:val="16"/>
                    </w:rPr>
                    <w:t>Mayor o igual a 8.001</w:t>
                  </w:r>
                </w:p>
              </w:tc>
              <w:tc>
                <w:tcPr>
                  <w:tcW w:w="4744" w:type="dxa"/>
                </w:tcPr>
                <w:p w:rsidRPr="005F58A6" w:rsidR="005F58A6" w:rsidP="005F58A6" w:rsidRDefault="005F58A6" w14:paraId="612216DA" w14:textId="5E89A226">
                  <w:pPr>
                    <w:jc w:val="both"/>
                    <w:rPr>
                      <w:rFonts w:ascii="Verdana" w:hAnsi="Verdana"/>
                      <w:sz w:val="16"/>
                      <w:szCs w:val="16"/>
                    </w:rPr>
                  </w:pPr>
                  <w:r w:rsidRPr="005F58A6">
                    <w:rPr>
                      <w:rFonts w:ascii="Verdana" w:hAnsi="Verdana"/>
                      <w:sz w:val="16"/>
                      <w:szCs w:val="16"/>
                    </w:rPr>
                    <w:t>[La Entidad definirá la cantidad de bicicletas que se permitirá ubicar en el ciclo parqueaderos entre el rango de mínimo 5 – máximo 14]</w:t>
                  </w:r>
                </w:p>
              </w:tc>
            </w:tr>
          </w:tbl>
          <w:p w:rsidR="00CC7465" w:rsidP="00E97223" w:rsidRDefault="00CC7465" w14:paraId="09245263" w14:textId="77777777">
            <w:pPr>
              <w:jc w:val="both"/>
              <w:rPr>
                <w:rFonts w:ascii="Verdana" w:hAnsi="Verdana"/>
              </w:rPr>
            </w:pPr>
          </w:p>
          <w:p w:rsidR="005F58A6" w:rsidP="005F58A6" w:rsidRDefault="00CC7465" w14:paraId="0E5896F3" w14:textId="77777777">
            <w:pPr>
              <w:ind w:left="708"/>
              <w:jc w:val="both"/>
              <w:rPr>
                <w:rFonts w:ascii="Verdana" w:hAnsi="Verdana"/>
              </w:rPr>
            </w:pPr>
            <w:r w:rsidRPr="00CC7465">
              <w:rPr>
                <w:rFonts w:ascii="Verdana" w:hAnsi="Verdana"/>
              </w:rPr>
              <w:t xml:space="preserve">[La Entidad escogerá la alternativa de la tabla anterior en función de los metros cuadrados (m 2) del predio en el cual se desarrollará el proyecto de infraestructura social y el espacio físico disponible con el que cuenta.] Para el presente ofrecimiento el Contratista debe garantizar las condiciones de calidad y durabilidad del material reciclado; sin embargo, en caso de no ser posible la implementación del ciclo-parqueadero en materiales reciclados, será válida en materiales convencionales bajo los mismos supuestos de calidad y durabilidad. El mantenimiento y conservación de los ciclo-parqueaderos será responsabilidad de la Entidad Estatal, o a quien esta designe y no del Contratista.” En este sentido el Proponente que se comprometa a través del Formato 12 a instalar por cuenta propia una (1) estación de ciclo-parqueaderos empleando materiales reciclados, el cual puede ser de forma horizontal o vertical, según la disponibilidad de espacio que cuente el predio en el cual será adelantado el proyecto de infraestructura social, será acreedor del puntaje que la Entidad haya estimado para el proceso, es decir que se compromete por cuenta y riesgo y que una vez ofrecidos, tendrán el carácter de obligación contractual a instalar dentro del proyecto y con materiales reciclados de ser posible el ciclo-parqueadero en las condiciones de espacio y cantidad establecidas en el proceso por parte de la Entidad, asumiendo los costos asociados a su implementación, lo </w:t>
            </w:r>
            <w:r w:rsidRPr="00CC7465">
              <w:rPr>
                <w:rFonts w:ascii="Verdana" w:hAnsi="Verdana"/>
              </w:rPr>
              <w:lastRenderedPageBreak/>
              <w:t xml:space="preserve">anterior, de conformidad con las condiciones establecidas dentro del numeral 4.3: </w:t>
            </w:r>
          </w:p>
          <w:p w:rsidR="005F58A6" w:rsidP="005F58A6" w:rsidRDefault="00CC7465" w14:paraId="5D838B4A" w14:textId="77777777">
            <w:pPr>
              <w:ind w:left="708"/>
              <w:jc w:val="both"/>
              <w:rPr>
                <w:rFonts w:ascii="Verdana" w:hAnsi="Verdana"/>
              </w:rPr>
            </w:pPr>
            <w:r w:rsidRPr="00CC7465">
              <w:rPr>
                <w:rFonts w:ascii="Verdana" w:hAnsi="Verdana"/>
              </w:rPr>
              <w:t xml:space="preserve">“(…) Para la obtención de puntaje por este factor, se tendrán en cuenta las siguientes consideraciones: </w:t>
            </w:r>
          </w:p>
          <w:p w:rsidRPr="005F58A6" w:rsidR="005F58A6" w:rsidP="005F58A6" w:rsidRDefault="00CC7465" w14:paraId="405912C2" w14:textId="34316CBA">
            <w:pPr>
              <w:pStyle w:val="Prrafodelista"/>
              <w:numPr>
                <w:ilvl w:val="0"/>
                <w:numId w:val="14"/>
              </w:numPr>
              <w:jc w:val="both"/>
              <w:rPr>
                <w:rFonts w:ascii="Verdana" w:hAnsi="Verdana"/>
                <w:sz w:val="22"/>
                <w:lang w:val="es-CO"/>
              </w:rPr>
            </w:pPr>
            <w:r w:rsidRPr="005F58A6">
              <w:rPr>
                <w:rFonts w:ascii="Verdana" w:hAnsi="Verdana"/>
                <w:sz w:val="22"/>
                <w:lang w:val="es-CO"/>
              </w:rPr>
              <w:t xml:space="preserve">Los costos asociados a la implementación de los elementos que componen este factor serán asumidos por el Contratista. </w:t>
            </w:r>
          </w:p>
          <w:p w:rsidRPr="005F58A6" w:rsidR="005F58A6" w:rsidP="005F58A6" w:rsidRDefault="00CC7465" w14:paraId="19998A18" w14:textId="77777777">
            <w:pPr>
              <w:pStyle w:val="Prrafodelista"/>
              <w:numPr>
                <w:ilvl w:val="0"/>
                <w:numId w:val="14"/>
              </w:numPr>
              <w:jc w:val="both"/>
              <w:rPr>
                <w:rFonts w:ascii="Verdana" w:hAnsi="Verdana"/>
                <w:sz w:val="22"/>
                <w:lang w:val="es-CO"/>
              </w:rPr>
            </w:pPr>
            <w:r w:rsidRPr="005F58A6">
              <w:rPr>
                <w:rFonts w:ascii="Verdana" w:hAnsi="Verdana"/>
                <w:sz w:val="22"/>
                <w:lang w:val="es-CO"/>
              </w:rPr>
              <w:t xml:space="preserve"> La verificación del ofrecimiento se hará por parte de la interventoría en la ejecución del Contrato. </w:t>
            </w:r>
          </w:p>
          <w:p w:rsidRPr="005F58A6" w:rsidR="005F58A6" w:rsidP="005F58A6" w:rsidRDefault="00CC7465" w14:paraId="42FC6911" w14:textId="77777777">
            <w:pPr>
              <w:pStyle w:val="Prrafodelista"/>
              <w:numPr>
                <w:ilvl w:val="0"/>
                <w:numId w:val="14"/>
              </w:numPr>
              <w:jc w:val="both"/>
              <w:rPr>
                <w:rFonts w:ascii="Verdana" w:hAnsi="Verdana"/>
                <w:sz w:val="22"/>
                <w:lang w:val="es-CO"/>
              </w:rPr>
            </w:pPr>
            <w:r w:rsidRPr="005F58A6">
              <w:rPr>
                <w:rFonts w:ascii="Verdana" w:hAnsi="Verdana"/>
                <w:sz w:val="22"/>
                <w:lang w:val="es-CO"/>
              </w:rPr>
              <w:t xml:space="preserve">Si el Contratista durante la ejecución del contrato no cumple con estos compromisos, que se convierten en obligaciones contractuales, la Entidad podrá acudir a las multas para conminar al Contratista a su cumplimiento, de acuerdo con lo pactado en el Contrato. </w:t>
            </w:r>
          </w:p>
          <w:p w:rsidRPr="005F58A6" w:rsidR="00CC7465" w:rsidP="005F58A6" w:rsidRDefault="00CC7465" w14:paraId="48924D94" w14:textId="31F83226">
            <w:pPr>
              <w:ind w:left="1416"/>
              <w:jc w:val="both"/>
              <w:rPr>
                <w:rFonts w:ascii="Verdana" w:hAnsi="Verdana"/>
              </w:rPr>
            </w:pPr>
            <w:r w:rsidRPr="005F58A6">
              <w:rPr>
                <w:rFonts w:ascii="Verdana" w:hAnsi="Verdana"/>
              </w:rPr>
              <w:t xml:space="preserve">Las actividades derivadas del ofrecimiento realizado son adicionales a aquellas propias de la ejecución del Contrato de obra y del cumplimiento de las obligaciones impuestas por las autorizaciones, permisos, licencias ambientales, licencias de construcción, planes de </w:t>
            </w:r>
            <w:r w:rsidRPr="005F58A6" w:rsidR="005F58A6">
              <w:rPr>
                <w:rFonts w:ascii="Verdana" w:hAnsi="Verdana"/>
              </w:rPr>
              <w:t>manejo ambiental, planes de ordenamiento territorial, requeridos para el desarrollo de la obra. (…)”</w:t>
            </w:r>
          </w:p>
        </w:tc>
      </w:tr>
    </w:tbl>
    <w:p w:rsidRPr="000271A9" w:rsidR="00CC7465" w:rsidP="00CC7465" w:rsidRDefault="00CC7465" w14:paraId="1A2EF107" w14:textId="77777777">
      <w:pPr>
        <w:spacing w:after="0" w:line="240" w:lineRule="auto"/>
        <w:jc w:val="both"/>
        <w:rPr>
          <w:rFonts w:ascii="Verdana" w:hAnsi="Verdana"/>
          <w:b/>
          <w:bCs/>
          <w:lang w:val="es-ES"/>
        </w:rPr>
      </w:pPr>
      <w:commentRangeStart w:id="0"/>
      <w:commentRangeEnd w:id="0"/>
      <w:r w:rsidRPr="000271A9">
        <w:rPr>
          <w:rFonts w:ascii="Verdana" w:hAnsi="Verdana"/>
        </w:rPr>
        <w:lastRenderedPageBreak/>
        <w:commentReference w:id="0"/>
      </w:r>
    </w:p>
    <w:p w:rsidRPr="005F58A6" w:rsidR="00CC7465" w:rsidP="005F58A6" w:rsidRDefault="00CC7465" w14:paraId="15E153D7" w14:textId="0793A870">
      <w:pPr>
        <w:pStyle w:val="Prrafodelista"/>
        <w:numPr>
          <w:ilvl w:val="0"/>
          <w:numId w:val="15"/>
        </w:numPr>
        <w:jc w:val="both"/>
        <w:rPr>
          <w:rFonts w:ascii="Verdana" w:hAnsi="Verdana"/>
          <w:b/>
          <w:bCs/>
          <w:lang w:val="es-ES"/>
        </w:rPr>
      </w:pPr>
      <w:r w:rsidRPr="005F58A6">
        <w:rPr>
          <w:rFonts w:ascii="Verdana" w:hAnsi="Verdana"/>
          <w:b/>
          <w:bCs/>
          <w:lang w:val="es-ES"/>
        </w:rPr>
        <w:t>Razones de la respuesta:</w:t>
      </w:r>
    </w:p>
    <w:p w:rsidR="005F58A6" w:rsidP="00CC7465" w:rsidRDefault="005F58A6" w14:paraId="6258E957" w14:textId="77777777">
      <w:pPr>
        <w:tabs>
          <w:tab w:val="left" w:pos="426"/>
        </w:tabs>
        <w:spacing w:after="0" w:line="276" w:lineRule="auto"/>
        <w:jc w:val="both"/>
        <w:rPr>
          <w:rFonts w:ascii="Verdana" w:hAnsi="Verdana"/>
        </w:rPr>
      </w:pPr>
      <w:r w:rsidRPr="005F58A6">
        <w:rPr>
          <w:rFonts w:ascii="Verdana" w:hAnsi="Verdana"/>
        </w:rPr>
        <w:t xml:space="preserve">Lo anterior se sustenta en las siguientes consideraciones: </w:t>
      </w:r>
    </w:p>
    <w:p w:rsidR="005F58A6" w:rsidP="005F58A6" w:rsidRDefault="005F58A6" w14:paraId="498F9B71" w14:textId="77777777">
      <w:pPr>
        <w:tabs>
          <w:tab w:val="left" w:pos="426"/>
        </w:tabs>
        <w:spacing w:line="276" w:lineRule="auto"/>
        <w:jc w:val="both"/>
        <w:rPr>
          <w:rFonts w:ascii="Verdana" w:hAnsi="Verdana"/>
        </w:rPr>
      </w:pPr>
      <w:r w:rsidRPr="005F58A6">
        <w:rPr>
          <w:rFonts w:ascii="Verdana" w:hAnsi="Verdana"/>
        </w:rPr>
        <w:t xml:space="preserve">Con el fin de absolver el interrogante planteado en su consulta, se analizarán los siguientes temas: i) fundamentos jurídicos y evolución normativa de los documentos tipo e </w:t>
      </w:r>
      <w:proofErr w:type="spellStart"/>
      <w:r w:rsidRPr="005F58A6">
        <w:rPr>
          <w:rFonts w:ascii="Verdana" w:hAnsi="Verdana"/>
        </w:rPr>
        <w:t>ii</w:t>
      </w:r>
      <w:proofErr w:type="spellEnd"/>
      <w:r w:rsidRPr="005F58A6">
        <w:rPr>
          <w:rFonts w:ascii="Verdana" w:hAnsi="Verdana"/>
        </w:rPr>
        <w:t xml:space="preserve">) implementación y ámbito de aplicación de factor de sostenibilidad técnico ambiental agregado contenidos en los documentos tipo de licitación de obra pública de infraestructura social, aclarando la fijación de los factores de sostenibilidad técnico ambiental derivan de un análisis propio de la Entidad, es decir, son potestativos de ésta, y esta, con fundamento en el principio de planeación, verificará la pertinencia o no de incluir estos factores. </w:t>
      </w:r>
    </w:p>
    <w:p w:rsidR="005F58A6" w:rsidP="005F58A6" w:rsidRDefault="005F58A6" w14:paraId="3B63DD9B" w14:textId="77777777">
      <w:pPr>
        <w:pStyle w:val="Prrafodelista"/>
        <w:numPr>
          <w:ilvl w:val="0"/>
          <w:numId w:val="17"/>
        </w:numPr>
        <w:tabs>
          <w:tab w:val="left" w:pos="426"/>
        </w:tabs>
        <w:spacing w:line="276" w:lineRule="auto"/>
        <w:jc w:val="both"/>
        <w:rPr>
          <w:rFonts w:ascii="Verdana" w:hAnsi="Verdana"/>
          <w:sz w:val="22"/>
          <w:lang w:val="es-CO"/>
        </w:rPr>
      </w:pPr>
      <w:r w:rsidRPr="005F58A6">
        <w:rPr>
          <w:rFonts w:ascii="Verdana" w:hAnsi="Verdana"/>
          <w:sz w:val="22"/>
          <w:lang w:val="es-CO"/>
        </w:rPr>
        <w:t xml:space="preserve">En relación con los fundamentos jurídicos y evolución normativa de los documentos tipo del sector Social a que hace referencia su consulta, es necesario destacar que en desarrollo de la Ley 2022 de 2020, la Agencia Nacional de Contratación Pública – Colombia Compra Eficiente expidió la Resolución 219 del 6 de agosto de 2021, “Por la cual se adoptan los documentos tipo para los procesos de licitación de obra pública de infraestructura social”. Dentro de esta categoría fue incluida la </w:t>
      </w:r>
      <w:r w:rsidRPr="005F58A6">
        <w:rPr>
          <w:rFonts w:ascii="Verdana" w:hAnsi="Verdana"/>
          <w:sz w:val="22"/>
          <w:lang w:val="es-CO"/>
        </w:rPr>
        <w:lastRenderedPageBreak/>
        <w:t xml:space="preserve">infraestructura asociada a los sectores de la salud, el educativo y el de cultura, recreación y deporte, tal como lo establece el parágrafo 2 del artículo 2 de la resolución indicada, de la siguiente manera: </w:t>
      </w:r>
    </w:p>
    <w:p w:rsidR="005F58A6" w:rsidP="005F58A6" w:rsidRDefault="005F58A6" w14:paraId="0EEE410B" w14:textId="77777777">
      <w:pPr>
        <w:pStyle w:val="Prrafodelista"/>
        <w:tabs>
          <w:tab w:val="left" w:pos="426"/>
        </w:tabs>
        <w:spacing w:line="276" w:lineRule="auto"/>
        <w:ind w:left="1416"/>
        <w:jc w:val="both"/>
        <w:rPr>
          <w:rFonts w:ascii="Verdana" w:hAnsi="Verdana"/>
          <w:sz w:val="22"/>
          <w:lang w:val="es-CO"/>
        </w:rPr>
      </w:pPr>
      <w:r w:rsidRPr="005F58A6">
        <w:rPr>
          <w:rFonts w:ascii="Verdana" w:hAnsi="Verdana"/>
          <w:sz w:val="22"/>
          <w:lang w:val="es-CO"/>
        </w:rPr>
        <w:t xml:space="preserve">“Estos documentos tipo aplicarán a los proyectos de infraestructura social, tales como, sector educativo, sector salud y sector cultural, recreación y deporte, de conformidad con cada una de las resoluciones que expida la Agencia Nacional de Contratación Pública -Colombia Compra Eficiente-, donde se precisará el alcance concreto de estos documentos tipo; sin perjuicio de que se incluyan otros tipos de infraestructura social.” </w:t>
      </w:r>
    </w:p>
    <w:p w:rsidR="005F58A6" w:rsidP="005F58A6" w:rsidRDefault="005F58A6" w14:paraId="2D694C79" w14:textId="77777777">
      <w:pPr>
        <w:pStyle w:val="Prrafodelista"/>
        <w:numPr>
          <w:ilvl w:val="0"/>
          <w:numId w:val="17"/>
        </w:numPr>
        <w:tabs>
          <w:tab w:val="left" w:pos="426"/>
        </w:tabs>
        <w:spacing w:line="276" w:lineRule="auto"/>
        <w:jc w:val="both"/>
        <w:rPr>
          <w:rFonts w:ascii="Verdana" w:hAnsi="Verdana"/>
          <w:sz w:val="22"/>
          <w:lang w:val="es-CO"/>
        </w:rPr>
      </w:pPr>
      <w:r w:rsidRPr="005F58A6">
        <w:rPr>
          <w:rFonts w:ascii="Verdana" w:hAnsi="Verdana"/>
          <w:sz w:val="22"/>
          <w:lang w:val="es-CO"/>
        </w:rPr>
        <w:t xml:space="preserve">Como puede observarse, la Resolución 219 de 2021 contiene un listado enunciativo de los sectores relacionados con los proyectos de infraestructura social a los cuales aplican los documentos tipo –educativo; salud; cultura, recreación y deporte–. También precisa que el alcance de cada sector estará dado por las resoluciones posteriores que expida la Agencia. A su vez, esas resoluciones desarrollarán las matrices de experiencia y los glosarios que definirán concretamente cada sector, mediante los cuales se precisará de forma detallada su ámbito de aplicación. </w:t>
      </w:r>
    </w:p>
    <w:p w:rsidR="005F58A6" w:rsidP="005F58A6" w:rsidRDefault="005F58A6" w14:paraId="0395EA93" w14:textId="77777777">
      <w:pPr>
        <w:pStyle w:val="Prrafodelista"/>
        <w:numPr>
          <w:ilvl w:val="0"/>
          <w:numId w:val="17"/>
        </w:numPr>
        <w:tabs>
          <w:tab w:val="left" w:pos="426"/>
        </w:tabs>
        <w:spacing w:line="276" w:lineRule="auto"/>
        <w:jc w:val="both"/>
        <w:rPr>
          <w:rFonts w:ascii="Verdana" w:hAnsi="Verdana"/>
          <w:sz w:val="22"/>
          <w:lang w:val="es-CO"/>
        </w:rPr>
      </w:pPr>
      <w:r w:rsidRPr="005F58A6">
        <w:rPr>
          <w:rFonts w:ascii="Verdana" w:hAnsi="Verdana"/>
          <w:sz w:val="22"/>
          <w:lang w:val="es-CO"/>
        </w:rPr>
        <w:t>Así lo señala el parágrafo 3 del artículo 2, que dispone lo siguiente: “Los documentos tipo de infraestructura social empezarán a regir para cada sector, esto es, educativo, salud y cultura, recreación y deporte, de acuerdo con lo dispuesto en las resoluciones mediante las cuales se adopten cada una de las matrices de experiencia y glosarios aplicables a cada sector”. En concordancia, el “Documento Base” de licitación de obra pública de infraestructura social prescribe en la parte introductoria que “Este Documento Tipo de “infraestructura social” aplica a los procesos que correspondan a las actividades definidas en las matrices de</w:t>
      </w:r>
      <w:r w:rsidRPr="005F58A6">
        <w:rPr>
          <w:sz w:val="22"/>
          <w:lang w:val="es-CO"/>
        </w:rPr>
        <w:t xml:space="preserve"> </w:t>
      </w:r>
      <w:r w:rsidRPr="005F58A6">
        <w:rPr>
          <w:rFonts w:ascii="Verdana" w:hAnsi="Verdana"/>
          <w:sz w:val="22"/>
          <w:lang w:val="es-CO"/>
        </w:rPr>
        <w:t xml:space="preserve">experiencia, expedidas por la Agencia Nacional de Contratación Pública – Colombia Compra Eficiente para los sectores educativo, salud y cultura, recreación y deporte, sin perjuicio de que dicha Agencia incluya otros tipos de “infraestructura social”. </w:t>
      </w:r>
    </w:p>
    <w:p w:rsidR="005F58A6" w:rsidP="005F58A6" w:rsidRDefault="005F58A6" w14:paraId="32D355EE" w14:textId="77777777">
      <w:pPr>
        <w:pStyle w:val="Prrafodelista"/>
        <w:numPr>
          <w:ilvl w:val="0"/>
          <w:numId w:val="17"/>
        </w:numPr>
        <w:tabs>
          <w:tab w:val="left" w:pos="426"/>
        </w:tabs>
        <w:spacing w:line="276" w:lineRule="auto"/>
        <w:jc w:val="both"/>
        <w:rPr>
          <w:rFonts w:ascii="Verdana" w:hAnsi="Verdana"/>
          <w:sz w:val="22"/>
          <w:lang w:val="es-CO"/>
        </w:rPr>
      </w:pPr>
      <w:r w:rsidRPr="005F58A6">
        <w:rPr>
          <w:rFonts w:ascii="Verdana" w:hAnsi="Verdana"/>
          <w:sz w:val="22"/>
          <w:lang w:val="es-CO"/>
        </w:rPr>
        <w:t xml:space="preserve">Cabe anotar que la Resolución 219 del 6 de agosto de 2021 contiene los documentos tipo que aplican de forma transversal a los proyectos de infraestructura social en los sectores educativo, salud, cultura, recreación y deporte. Estos documentos son el documento base, los anexos, los formatos, los formularios y las matrices, los cuales se complementarán </w:t>
      </w:r>
      <w:r w:rsidRPr="005F58A6">
        <w:rPr>
          <w:rFonts w:ascii="Verdana" w:hAnsi="Verdana"/>
          <w:sz w:val="22"/>
          <w:lang w:val="es-CO"/>
        </w:rPr>
        <w:lastRenderedPageBreak/>
        <w:t xml:space="preserve">con cada una de las resoluciones que adoptan las matrices de experiencia y los anexos de glosario para cada uno de los sectores, definiendo así su alcance y vigencia. </w:t>
      </w:r>
    </w:p>
    <w:p w:rsidR="005F58A6" w:rsidP="005F58A6" w:rsidRDefault="005F58A6" w14:paraId="04A67330" w14:textId="77777777">
      <w:pPr>
        <w:pStyle w:val="Prrafodelista"/>
        <w:numPr>
          <w:ilvl w:val="0"/>
          <w:numId w:val="17"/>
        </w:numPr>
        <w:tabs>
          <w:tab w:val="left" w:pos="426"/>
        </w:tabs>
        <w:spacing w:line="276" w:lineRule="auto"/>
        <w:jc w:val="both"/>
        <w:rPr>
          <w:rFonts w:ascii="Verdana" w:hAnsi="Verdana"/>
          <w:sz w:val="22"/>
          <w:lang w:val="es-CO"/>
        </w:rPr>
      </w:pPr>
      <w:r w:rsidRPr="005F58A6">
        <w:rPr>
          <w:rFonts w:ascii="Verdana" w:hAnsi="Verdana"/>
          <w:sz w:val="22"/>
          <w:lang w:val="es-CO"/>
        </w:rPr>
        <w:t xml:space="preserve">En consecuencia, en materia de infraestructura social, acotando su consulta este sector, debe tenerse en cuenta que existen dos (2) clases de documentos tipo que se integran en cada proceso: i) los documentos transversales a todos los sectores de infraestructura social, es decir, el documento base, los anexos, los formatos, los formularios y las matrices adoptados mediante la Resolución No. 219 de 2021; y </w:t>
      </w:r>
      <w:proofErr w:type="spellStart"/>
      <w:r w:rsidRPr="005F58A6">
        <w:rPr>
          <w:rFonts w:ascii="Verdana" w:hAnsi="Verdana"/>
          <w:sz w:val="22"/>
          <w:lang w:val="es-CO"/>
        </w:rPr>
        <w:t>ii</w:t>
      </w:r>
      <w:proofErr w:type="spellEnd"/>
      <w:r w:rsidRPr="005F58A6">
        <w:rPr>
          <w:rFonts w:ascii="Verdana" w:hAnsi="Verdana"/>
          <w:sz w:val="22"/>
          <w:lang w:val="es-CO"/>
        </w:rPr>
        <w:t xml:space="preserve">) los documentos tipo complementarios, referentes a la matriz de experiencia y el glosario, los cuales han sido adoptados en la resolución para cada sector específico. </w:t>
      </w:r>
    </w:p>
    <w:p w:rsidR="005F58A6" w:rsidP="005F58A6" w:rsidRDefault="005F58A6" w14:paraId="79CBE8F5" w14:textId="77777777">
      <w:pPr>
        <w:pStyle w:val="Prrafodelista"/>
        <w:numPr>
          <w:ilvl w:val="0"/>
          <w:numId w:val="17"/>
        </w:numPr>
        <w:tabs>
          <w:tab w:val="left" w:pos="426"/>
        </w:tabs>
        <w:spacing w:line="276" w:lineRule="auto"/>
        <w:jc w:val="both"/>
        <w:rPr>
          <w:rFonts w:ascii="Verdana" w:hAnsi="Verdana"/>
          <w:sz w:val="22"/>
          <w:lang w:val="es-CO"/>
        </w:rPr>
      </w:pPr>
      <w:r w:rsidRPr="005F58A6">
        <w:rPr>
          <w:rFonts w:ascii="Verdana" w:hAnsi="Verdana"/>
          <w:sz w:val="22"/>
          <w:lang w:val="es-CO"/>
        </w:rPr>
        <w:t xml:space="preserve">En este orden de ideas, la Agencia ha expedido tres documentos tipo complementarios de infraestructura social: la Resolución 220 del 6 de agosto de 2021, “Por la cual se adoptan los documentos tipo complementarios para los procesos de licitación de obra pública de infraestructura social relacionados con el sector educativo”; la Resolución 392 de 2021 del 18 de noviembre de 2021, “Por la cual se adoptan los documentos tipo complementarios para los procesos de licitación de obra pública de infraestructura social relacionados con el sector salud” y la Resolución 454 de 2021 del 16 de diciembre de 2021, “Por la cual se adoptan los documentos tipo complementarios para los procesos de licitación de obra pública de infraestructura social relacionados con el Sector cultura, recreación y deporte”. </w:t>
      </w:r>
    </w:p>
    <w:p w:rsidR="005F58A6" w:rsidP="005F58A6" w:rsidRDefault="005F58A6" w14:paraId="6CE4E23E" w14:textId="77777777">
      <w:pPr>
        <w:pStyle w:val="Prrafodelista"/>
        <w:numPr>
          <w:ilvl w:val="0"/>
          <w:numId w:val="17"/>
        </w:numPr>
        <w:tabs>
          <w:tab w:val="left" w:pos="426"/>
        </w:tabs>
        <w:spacing w:line="276" w:lineRule="auto"/>
        <w:jc w:val="both"/>
        <w:rPr>
          <w:rFonts w:ascii="Verdana" w:hAnsi="Verdana"/>
          <w:sz w:val="22"/>
          <w:lang w:val="es-CO"/>
        </w:rPr>
      </w:pPr>
      <w:r w:rsidRPr="005F58A6">
        <w:rPr>
          <w:rFonts w:ascii="Verdana" w:hAnsi="Verdana"/>
          <w:sz w:val="22"/>
          <w:lang w:val="es-CO"/>
        </w:rPr>
        <w:t>Debe destacarse que, en principio, las Resoluciones 219 y 220 del 6 de agosto de 2021 señalaban como fecha de inicio de implementación de estos documentos tipo el 30 de agosto de 2021. No obstante, diferentes entidades de los sectores involucrados, solicitaron a esta Agencia el aplazamiento de dicha fecha de aplicación, con el propósito de generar una mejor aproximación, apropiación y capacitación sobre el contenido de estos documentos, motivo por el cual se expidió la Resolución 261 del 27 de agosto de 2021, la cual aplazó la aplicación obligatoria de los documentos tipo de obra pública de infraestructura social y los</w:t>
      </w:r>
      <w:r>
        <w:rPr>
          <w:rFonts w:ascii="Verdana" w:hAnsi="Verdana"/>
          <w:sz w:val="22"/>
          <w:lang w:val="es-CO"/>
        </w:rPr>
        <w:t xml:space="preserve"> </w:t>
      </w:r>
      <w:r w:rsidRPr="005F58A6">
        <w:rPr>
          <w:rFonts w:ascii="Verdana" w:hAnsi="Verdana"/>
          <w:sz w:val="22"/>
          <w:lang w:val="es-CO"/>
        </w:rPr>
        <w:t xml:space="preserve">complementarios del sector educativo para aquellos procesos “[…] cuyo aviso de convocatoria sea publicado a partir del 2 de noviembre del 2021”. </w:t>
      </w:r>
    </w:p>
    <w:p w:rsidR="005F58A6" w:rsidP="005F58A6" w:rsidRDefault="005F58A6" w14:paraId="5934AC3F" w14:textId="77777777">
      <w:pPr>
        <w:pStyle w:val="Prrafodelista"/>
        <w:numPr>
          <w:ilvl w:val="0"/>
          <w:numId w:val="17"/>
        </w:numPr>
        <w:tabs>
          <w:tab w:val="left" w:pos="426"/>
        </w:tabs>
        <w:spacing w:line="276" w:lineRule="auto"/>
        <w:jc w:val="both"/>
        <w:rPr>
          <w:rFonts w:ascii="Verdana" w:hAnsi="Verdana"/>
          <w:sz w:val="22"/>
          <w:lang w:val="es-CO"/>
        </w:rPr>
      </w:pPr>
      <w:r w:rsidRPr="005F58A6">
        <w:rPr>
          <w:rFonts w:ascii="Verdana" w:hAnsi="Verdana"/>
          <w:sz w:val="22"/>
          <w:lang w:val="es-CO"/>
        </w:rPr>
        <w:t xml:space="preserve">Sin embargo, el 2 de noviembre de 2021 se expidió la Resolución 336 de 2021, “Por la cual se aplaza y se dispone la implementación gradual y progresiva de los Documentos tipo de obra pública de infraestructura </w:t>
      </w:r>
      <w:r w:rsidRPr="005F58A6">
        <w:rPr>
          <w:rFonts w:ascii="Verdana" w:hAnsi="Verdana"/>
          <w:sz w:val="22"/>
          <w:lang w:val="es-CO"/>
        </w:rPr>
        <w:lastRenderedPageBreak/>
        <w:t xml:space="preserve">social”, aplicable para los tres documentos tipo complementarios que se habían expedido. </w:t>
      </w:r>
    </w:p>
    <w:p w:rsidR="005F58A6" w:rsidP="005F58A6" w:rsidRDefault="005F58A6" w14:paraId="02D6BC46" w14:textId="77777777">
      <w:pPr>
        <w:pStyle w:val="Prrafodelista"/>
        <w:numPr>
          <w:ilvl w:val="0"/>
          <w:numId w:val="17"/>
        </w:numPr>
        <w:tabs>
          <w:tab w:val="left" w:pos="426"/>
        </w:tabs>
        <w:spacing w:line="276" w:lineRule="auto"/>
        <w:jc w:val="both"/>
        <w:rPr>
          <w:rFonts w:ascii="Verdana" w:hAnsi="Verdana"/>
          <w:sz w:val="22"/>
          <w:lang w:val="es-CO"/>
        </w:rPr>
      </w:pPr>
      <w:r w:rsidRPr="005F58A6">
        <w:rPr>
          <w:rFonts w:ascii="Verdana" w:hAnsi="Verdana"/>
          <w:sz w:val="22"/>
          <w:lang w:val="es-CO"/>
        </w:rPr>
        <w:t xml:space="preserve">En este contexto, sobre la base de las reglas de vigencia de los documentos tipo de infraestructura social transversales y los tres documentos tipo complementarios expedidos, es importante resaltar que, de conformidad con el parágrafo 2 de la Resolución 219 de 2021 los documentos tipo de infraestructura social “[…] aplicarán a los proyectos de infraestructura social, tales como, sector educativo, sector salud y sector cultural, recreación y deporte, de conformidad con cada una de las resoluciones que expida la Agencia Nacional de Contratación Pública - Colombia Compra Eficiente-, donde se precisará el alcance concreto de estos documentos tipo; sin perjuicio de que se incluyan otros tipos de infraestructura social”. </w:t>
      </w:r>
    </w:p>
    <w:p w:rsidR="005F58A6" w:rsidP="005F58A6" w:rsidRDefault="005F58A6" w14:paraId="685BA1E6" w14:textId="77777777">
      <w:pPr>
        <w:pStyle w:val="Prrafodelista"/>
        <w:numPr>
          <w:ilvl w:val="0"/>
          <w:numId w:val="17"/>
        </w:numPr>
        <w:tabs>
          <w:tab w:val="left" w:pos="426"/>
        </w:tabs>
        <w:spacing w:line="276" w:lineRule="auto"/>
        <w:jc w:val="both"/>
        <w:rPr>
          <w:rFonts w:ascii="Verdana" w:hAnsi="Verdana"/>
          <w:sz w:val="22"/>
          <w:lang w:val="es-CO"/>
        </w:rPr>
      </w:pPr>
      <w:r w:rsidRPr="005F58A6">
        <w:rPr>
          <w:rFonts w:ascii="Verdana" w:hAnsi="Verdana"/>
          <w:sz w:val="22"/>
          <w:lang w:val="es-CO"/>
        </w:rPr>
        <w:t xml:space="preserve">Ahora bien, conforme a la consulta planteada, resulta pertinente hacer mención </w:t>
      </w:r>
      <w:proofErr w:type="gramStart"/>
      <w:r w:rsidRPr="005F58A6">
        <w:rPr>
          <w:rFonts w:ascii="Verdana" w:hAnsi="Verdana"/>
          <w:sz w:val="22"/>
          <w:lang w:val="es-CO"/>
        </w:rPr>
        <w:t>a</w:t>
      </w:r>
      <w:proofErr w:type="gramEnd"/>
      <w:r w:rsidRPr="005F58A6">
        <w:rPr>
          <w:rFonts w:ascii="Verdana" w:hAnsi="Verdana"/>
          <w:sz w:val="22"/>
          <w:lang w:val="es-CO"/>
        </w:rPr>
        <w:t xml:space="preserve"> lo consagrado en el numeral 4.3, del documento base de Licitación de Obra Pública de Infraestructura Social, sobre los factores de sostenibilidad técnico ambiental agregado, al respecto el documento base señala lo siguiente: </w:t>
      </w:r>
    </w:p>
    <w:p w:rsidRPr="00056C43" w:rsidR="005F58A6" w:rsidP="005F58A6" w:rsidRDefault="005F58A6" w14:paraId="1D99BDBE" w14:textId="77777777">
      <w:pPr>
        <w:pStyle w:val="Prrafodelista"/>
        <w:tabs>
          <w:tab w:val="left" w:pos="426"/>
        </w:tabs>
        <w:spacing w:line="276" w:lineRule="auto"/>
        <w:ind w:left="1440"/>
        <w:jc w:val="both"/>
        <w:rPr>
          <w:rFonts w:ascii="Verdana" w:hAnsi="Verdana"/>
          <w:i/>
          <w:iCs/>
          <w:sz w:val="20"/>
          <w:szCs w:val="20"/>
          <w:lang w:val="es-CO"/>
        </w:rPr>
      </w:pPr>
      <w:r w:rsidRPr="00056C43">
        <w:rPr>
          <w:rFonts w:ascii="Verdana" w:hAnsi="Verdana"/>
          <w:i/>
          <w:iCs/>
          <w:sz w:val="20"/>
          <w:szCs w:val="20"/>
          <w:lang w:val="es-CO"/>
        </w:rPr>
        <w:t xml:space="preserve">“[La Entidad analizará la pertinencia de establecer uno (1) o dos (2) de los siguientes factores técnico-ambientales agregados, asociados con el proyecto de infraestructura social, distribuyendo el puntaje total de nueve (9) puntos entre los factores escogidos. En caso de que no se considere procedente ninguno de los mismos, la Entidad dejará la constancia del análisis realizado y la improcedencia de estos, en el Estudio Previo, ya sea por causas atribuibles al espacio físico en el predio, zonas verdes, o los aspectos directamente relacionados con el predio en el cual se desarrollará la obra pública. </w:t>
      </w:r>
    </w:p>
    <w:p w:rsidRPr="00056C43" w:rsidR="00056C43" w:rsidP="005F58A6" w:rsidRDefault="005F58A6" w14:paraId="722B59A1" w14:textId="77777777">
      <w:pPr>
        <w:pStyle w:val="Prrafodelista"/>
        <w:tabs>
          <w:tab w:val="left" w:pos="426"/>
        </w:tabs>
        <w:spacing w:line="276" w:lineRule="auto"/>
        <w:ind w:left="1440"/>
        <w:jc w:val="both"/>
        <w:rPr>
          <w:rFonts w:ascii="Verdana" w:hAnsi="Verdana"/>
          <w:i/>
          <w:iCs/>
          <w:sz w:val="20"/>
          <w:szCs w:val="20"/>
          <w:lang w:val="es-CO"/>
        </w:rPr>
      </w:pPr>
      <w:r w:rsidRPr="00056C43">
        <w:rPr>
          <w:rFonts w:ascii="Verdana" w:hAnsi="Verdana"/>
          <w:i/>
          <w:iCs/>
          <w:sz w:val="20"/>
          <w:szCs w:val="20"/>
          <w:lang w:val="es-CO"/>
        </w:rPr>
        <w:t xml:space="preserve">En este último caso, en el cual no sean procedentes los mencionados factores, los nueve (9) puntos serán sumados al factor de calidad. De este modo, el factor de calidad tendrá un total de diecinueve (19) puntos.] </w:t>
      </w:r>
    </w:p>
    <w:p w:rsidR="00056C43" w:rsidP="005F58A6" w:rsidRDefault="005F58A6" w14:paraId="25B4DA6E" w14:textId="77777777">
      <w:pPr>
        <w:pStyle w:val="Prrafodelista"/>
        <w:tabs>
          <w:tab w:val="left" w:pos="426"/>
        </w:tabs>
        <w:spacing w:line="276" w:lineRule="auto"/>
        <w:ind w:left="1440"/>
        <w:jc w:val="both"/>
        <w:rPr>
          <w:sz w:val="22"/>
          <w:lang w:val="es-CO"/>
        </w:rPr>
      </w:pPr>
      <w:r w:rsidRPr="00056C43">
        <w:rPr>
          <w:rFonts w:ascii="Verdana" w:hAnsi="Verdana"/>
          <w:i/>
          <w:iCs/>
          <w:sz w:val="20"/>
          <w:szCs w:val="20"/>
          <w:lang w:val="es-CO"/>
        </w:rPr>
        <w:t>Nótese como la fijación de los factores de sostenibilidad técnico ambiental derivan de un análisis propio de la Entidad, es decir, son potestativos de la Entidad, y esta, con fundamento en el principio de planeación, verificará la pertinencia o no de incluir estos factores. En todo caso, y ante eventos particulares que la misma</w:t>
      </w:r>
      <w:r w:rsidRPr="00056C43">
        <w:rPr>
          <w:rFonts w:ascii="Verdana" w:hAnsi="Verdana"/>
          <w:i/>
          <w:iCs/>
          <w:sz w:val="18"/>
          <w:szCs w:val="18"/>
          <w:lang w:val="es-CO"/>
        </w:rPr>
        <w:t xml:space="preserve"> </w:t>
      </w:r>
      <w:r w:rsidRPr="00056C43">
        <w:rPr>
          <w:rFonts w:ascii="Verdana" w:hAnsi="Verdana"/>
          <w:i/>
          <w:iCs/>
          <w:sz w:val="20"/>
          <w:szCs w:val="20"/>
          <w:lang w:val="es-CO"/>
        </w:rPr>
        <w:t>Entidad identifique, como la insuficiencia del espacio físico del predio, por ejemplo, el puntaje inicialmente destinado al factor de sostenibilidad técnico ambiental se trasladará al factor de calidad, tal y como lo indica el documento base.</w:t>
      </w:r>
      <w:r w:rsidRPr="00056C43" w:rsidR="00056C43">
        <w:rPr>
          <w:sz w:val="22"/>
          <w:lang w:val="es-CO"/>
        </w:rPr>
        <w:t xml:space="preserve"> </w:t>
      </w:r>
    </w:p>
    <w:p w:rsidR="00056C43" w:rsidP="005F58A6" w:rsidRDefault="00056C43" w14:paraId="1129C5C6" w14:textId="77777777">
      <w:pPr>
        <w:pStyle w:val="Prrafodelista"/>
        <w:tabs>
          <w:tab w:val="left" w:pos="426"/>
        </w:tabs>
        <w:spacing w:line="276" w:lineRule="auto"/>
        <w:ind w:left="1440"/>
        <w:jc w:val="both"/>
        <w:rPr>
          <w:rFonts w:ascii="Verdana" w:hAnsi="Verdana"/>
          <w:i/>
          <w:iCs/>
          <w:sz w:val="20"/>
          <w:szCs w:val="20"/>
          <w:lang w:val="es-CO"/>
        </w:rPr>
      </w:pPr>
      <w:r w:rsidRPr="00056C43">
        <w:rPr>
          <w:rFonts w:ascii="Verdana" w:hAnsi="Verdana"/>
          <w:i/>
          <w:iCs/>
          <w:sz w:val="20"/>
          <w:szCs w:val="20"/>
          <w:lang w:val="es-CO"/>
        </w:rPr>
        <w:lastRenderedPageBreak/>
        <w:t xml:space="preserve">Bajo estas consideraciones, corresponde a cada entidad pública, en ejercicio de su competencia y previa valoración de los elementos fácticos y jurídicos, determinar si es procedente o no la adecuación del factor de sostenibilidad técnico ambiental para un caso en específico. Al tratarse de un análisis que se debe realizar en cada caso concreto, la Agencia,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w:t>
      </w:r>
    </w:p>
    <w:p w:rsidR="00056C43" w:rsidP="005F58A6" w:rsidRDefault="00056C43" w14:paraId="11053E5E" w14:textId="77777777">
      <w:pPr>
        <w:pStyle w:val="Prrafodelista"/>
        <w:tabs>
          <w:tab w:val="left" w:pos="426"/>
        </w:tabs>
        <w:spacing w:line="276" w:lineRule="auto"/>
        <w:ind w:left="1440"/>
        <w:jc w:val="both"/>
        <w:rPr>
          <w:rFonts w:ascii="Verdana" w:hAnsi="Verdana"/>
          <w:i/>
          <w:iCs/>
          <w:sz w:val="20"/>
          <w:szCs w:val="20"/>
          <w:lang w:val="es-CO"/>
        </w:rPr>
      </w:pPr>
      <w:r w:rsidRPr="00056C43">
        <w:rPr>
          <w:rFonts w:ascii="Verdana" w:hAnsi="Verdana"/>
          <w:i/>
          <w:iCs/>
          <w:sz w:val="20"/>
          <w:szCs w:val="20"/>
          <w:lang w:val="es-CO"/>
        </w:rPr>
        <w:t xml:space="preserve">En respuesta a su consulta “(…) El documento de pliego tipo de infraestructura social, específicamente en el ítem de 4.3.2 INSTALACIÓN DE CICLO-PARQUEADEROS. La razón de esta consulta es que por parte de nosotros deseamos saber cuál es el alcance de este, es decir, si este ítem implica solamente la instalación </w:t>
      </w:r>
      <w:proofErr w:type="gramStart"/>
      <w:r w:rsidRPr="00056C43">
        <w:rPr>
          <w:rFonts w:ascii="Verdana" w:hAnsi="Verdana"/>
          <w:i/>
          <w:iCs/>
          <w:sz w:val="20"/>
          <w:szCs w:val="20"/>
          <w:lang w:val="es-CO"/>
        </w:rPr>
        <w:t>de los ciclo</w:t>
      </w:r>
      <w:proofErr w:type="gramEnd"/>
      <w:r w:rsidRPr="00056C43">
        <w:rPr>
          <w:rFonts w:ascii="Verdana" w:hAnsi="Verdana"/>
          <w:i/>
          <w:iCs/>
          <w:sz w:val="20"/>
          <w:szCs w:val="20"/>
          <w:lang w:val="es-CO"/>
        </w:rPr>
        <w:t xml:space="preserve"> parqueaderos o si también incluye el suministro (SIC)”. (Énfasis fuera de texto) </w:t>
      </w:r>
    </w:p>
    <w:p w:rsidR="00056C43" w:rsidP="005F58A6" w:rsidRDefault="00056C43" w14:paraId="6C73F4F7" w14:textId="77777777">
      <w:pPr>
        <w:pStyle w:val="Prrafodelista"/>
        <w:tabs>
          <w:tab w:val="left" w:pos="426"/>
        </w:tabs>
        <w:spacing w:line="276" w:lineRule="auto"/>
        <w:ind w:left="1440"/>
        <w:jc w:val="both"/>
        <w:rPr>
          <w:rFonts w:ascii="Verdana" w:hAnsi="Verdana"/>
          <w:i/>
          <w:iCs/>
          <w:sz w:val="20"/>
          <w:szCs w:val="20"/>
          <w:lang w:val="es-CO"/>
        </w:rPr>
      </w:pPr>
      <w:r w:rsidRPr="00056C43">
        <w:rPr>
          <w:rFonts w:ascii="Verdana" w:hAnsi="Verdana"/>
          <w:i/>
          <w:iCs/>
          <w:sz w:val="20"/>
          <w:szCs w:val="20"/>
          <w:lang w:val="es-CO"/>
        </w:rPr>
        <w:t xml:space="preserve">Conforme a lo expuesto, los documentos tipo expedidos por esta Agencia son de obligatorio cumplimiento para las entidades sometidas al Estatuto General de Contratación de la Administración Pública, quienes deben aplicarlos en aquellos procesos cuyos objetos contractuales se subsuman dentro de alguna de las actividades establecidas de forma detallada en las matrices de experiencia de los documentos tipo proferidos para los diferentes sectores. Por tanto, para determinar si una entidad estatal se encuentra obligada o no aplicar documentos tipo para un proyecto en específico, le corresponde identificar, de manera preliminar, el tipo de infraestructura sobre la cual recae el objeto a contratar, acorde con lo señalado en la respectiva matriz de experiencia. </w:t>
      </w:r>
    </w:p>
    <w:p w:rsidR="00056C43" w:rsidP="005F58A6" w:rsidRDefault="00056C43" w14:paraId="35F99936" w14:textId="77777777">
      <w:pPr>
        <w:pStyle w:val="Prrafodelista"/>
        <w:tabs>
          <w:tab w:val="left" w:pos="426"/>
        </w:tabs>
        <w:spacing w:line="276" w:lineRule="auto"/>
        <w:ind w:left="1440"/>
        <w:jc w:val="both"/>
        <w:rPr>
          <w:rFonts w:ascii="Verdana" w:hAnsi="Verdana"/>
          <w:i/>
          <w:iCs/>
          <w:sz w:val="20"/>
          <w:szCs w:val="20"/>
          <w:lang w:val="es-CO"/>
        </w:rPr>
      </w:pPr>
      <w:r w:rsidRPr="00056C43">
        <w:rPr>
          <w:rFonts w:ascii="Verdana" w:hAnsi="Verdana"/>
          <w:i/>
          <w:iCs/>
          <w:sz w:val="20"/>
          <w:szCs w:val="20"/>
          <w:lang w:val="es-CO"/>
        </w:rPr>
        <w:t xml:space="preserve">Las actividades contempladas en las matrices de experiencia de cada sector deben interpretarse de acuerdo con las definiciones que consagran los glosarios adoptados para cada uno de ellos, pues en estas se determinan las nociones necesarias para entender que se incluyen las actividades de obra pública respecto de la infraestructura educativa, en salud o de cultura, recreación y deporte. </w:t>
      </w:r>
    </w:p>
    <w:p w:rsidR="00056C43" w:rsidP="005F58A6" w:rsidRDefault="00056C43" w14:paraId="5A7F72E9" w14:textId="77777777">
      <w:pPr>
        <w:pStyle w:val="Prrafodelista"/>
        <w:tabs>
          <w:tab w:val="left" w:pos="426"/>
        </w:tabs>
        <w:spacing w:line="276" w:lineRule="auto"/>
        <w:ind w:left="1440"/>
        <w:jc w:val="both"/>
        <w:rPr>
          <w:rFonts w:ascii="Verdana" w:hAnsi="Verdana"/>
          <w:i/>
          <w:iCs/>
          <w:sz w:val="20"/>
          <w:szCs w:val="20"/>
          <w:lang w:val="es-CO"/>
        </w:rPr>
      </w:pPr>
      <w:r w:rsidRPr="00056C43">
        <w:rPr>
          <w:rFonts w:ascii="Verdana" w:hAnsi="Verdana"/>
          <w:i/>
          <w:iCs/>
          <w:sz w:val="20"/>
          <w:szCs w:val="20"/>
          <w:lang w:val="es-CO"/>
        </w:rPr>
        <w:t xml:space="preserve">Visto lo consagrado en el numeral 4.3, del documento base de Licitación de Obra Pública de Infraestructura Social, sobre los factores de sostenibilidad técnico ambiental agregado, es claro que: </w:t>
      </w:r>
    </w:p>
    <w:p w:rsidR="00056C43" w:rsidP="005F58A6" w:rsidRDefault="00056C43" w14:paraId="453F430E" w14:textId="77777777">
      <w:pPr>
        <w:pStyle w:val="Prrafodelista"/>
        <w:tabs>
          <w:tab w:val="left" w:pos="426"/>
        </w:tabs>
        <w:spacing w:line="276" w:lineRule="auto"/>
        <w:ind w:left="1440"/>
        <w:jc w:val="both"/>
        <w:rPr>
          <w:rFonts w:ascii="Verdana" w:hAnsi="Verdana"/>
          <w:i/>
          <w:iCs/>
          <w:sz w:val="20"/>
          <w:szCs w:val="20"/>
          <w:lang w:val="es-CO"/>
        </w:rPr>
      </w:pPr>
      <w:r w:rsidRPr="00056C43">
        <w:rPr>
          <w:rFonts w:ascii="Verdana" w:hAnsi="Verdana"/>
          <w:i/>
          <w:iCs/>
          <w:sz w:val="20"/>
          <w:szCs w:val="20"/>
          <w:lang w:val="es-CO"/>
        </w:rPr>
        <w:t xml:space="preserve">La Entidad asignará un puntaje de nueve (9) puntos al proponente que se comprometa a ofrecer alguno de los elementos que conforman el factor de sostenibilidad técnico ambiental agregado, mediante la suscripción del Formato 12, en el cual bajo la gravedad de juramento conste el compromiso que asume y el ofrecimiento realizado. Los ofrecimientos efectuados serán opcionales para los Proponentes que producto del </w:t>
      </w:r>
      <w:r w:rsidRPr="00056C43">
        <w:rPr>
          <w:rFonts w:ascii="Verdana" w:hAnsi="Verdana"/>
          <w:i/>
          <w:iCs/>
          <w:sz w:val="20"/>
          <w:szCs w:val="20"/>
          <w:lang w:val="es-CO"/>
        </w:rPr>
        <w:lastRenderedPageBreak/>
        <w:t xml:space="preserve">análisis hecho se encuentren en la capacidad de materializarlos y cumplirlos, por lo que los Proponentes que no presenten el Formato 12 no serán acreedores de puntaje por este factor. </w:t>
      </w:r>
    </w:p>
    <w:p w:rsidR="005F58A6" w:rsidP="005F58A6" w:rsidRDefault="00056C43" w14:paraId="273DC15F" w14:textId="66682ACF">
      <w:pPr>
        <w:pStyle w:val="Prrafodelista"/>
        <w:tabs>
          <w:tab w:val="left" w:pos="426"/>
        </w:tabs>
        <w:spacing w:line="276" w:lineRule="auto"/>
        <w:ind w:left="1440"/>
        <w:jc w:val="both"/>
        <w:rPr>
          <w:rFonts w:ascii="Verdana" w:hAnsi="Verdana"/>
          <w:i/>
          <w:iCs/>
          <w:sz w:val="20"/>
          <w:szCs w:val="20"/>
          <w:lang w:val="es-CO"/>
        </w:rPr>
      </w:pPr>
      <w:r w:rsidRPr="00056C43">
        <w:rPr>
          <w:rFonts w:ascii="Verdana" w:hAnsi="Verdana"/>
          <w:i/>
          <w:iCs/>
          <w:sz w:val="20"/>
          <w:szCs w:val="20"/>
          <w:lang w:val="es-CO"/>
        </w:rPr>
        <w:t>Las medidas implementadas en este factor son por cuenta y riesgo del Proponente y, una vez ofrecidos, tendrán el carácter de obligación contractual. Por lo tanto, será objeto de vigilancia por la interventoría en la ejecución del Contrato de obra (...)” (Énfasis nuestro)</w:t>
      </w:r>
    </w:p>
    <w:p w:rsidR="00056C43" w:rsidP="005F58A6" w:rsidRDefault="00056C43" w14:paraId="737808EB" w14:textId="77777777">
      <w:pPr>
        <w:pStyle w:val="Prrafodelista"/>
        <w:tabs>
          <w:tab w:val="left" w:pos="426"/>
        </w:tabs>
        <w:spacing w:line="276" w:lineRule="auto"/>
        <w:ind w:left="1440"/>
        <w:jc w:val="both"/>
        <w:rPr>
          <w:rFonts w:ascii="Verdana" w:hAnsi="Verdana"/>
          <w:sz w:val="22"/>
          <w:lang w:val="es-CO"/>
        </w:rPr>
      </w:pPr>
    </w:p>
    <w:p w:rsidRPr="00EF1097" w:rsidR="00056C43" w:rsidP="00056C43" w:rsidRDefault="00056C43" w14:paraId="515162FF" w14:textId="251FB94E">
      <w:pPr>
        <w:pStyle w:val="Prrafodelista"/>
        <w:numPr>
          <w:ilvl w:val="0"/>
          <w:numId w:val="18"/>
        </w:numPr>
        <w:jc w:val="both"/>
        <w:rPr>
          <w:rFonts w:ascii="Verdana" w:hAnsi="Verdana"/>
          <w:b/>
          <w:bCs/>
        </w:rPr>
      </w:pPr>
      <w:r w:rsidRPr="00056C43">
        <w:rPr>
          <w:rFonts w:ascii="Verdana" w:hAnsi="Verdana"/>
          <w:b/>
          <w:bCs/>
          <w:lang w:val="es-CO"/>
        </w:rPr>
        <w:t>Referencias normativas, jurisprudenciales y otras fuentes:</w:t>
      </w:r>
    </w:p>
    <w:p w:rsidRPr="000271A9" w:rsidR="00056C43" w:rsidP="00056C43" w:rsidRDefault="00056C43" w14:paraId="3A4FACF3" w14:textId="77777777">
      <w:pPr>
        <w:spacing w:after="0" w:line="240" w:lineRule="auto"/>
        <w:jc w:val="both"/>
        <w:rPr>
          <w:rFonts w:ascii="Verdana" w:hAnsi="Verdana"/>
          <w:b/>
          <w:bCs/>
          <w:lang w:val="es-ES"/>
        </w:rPr>
      </w:pPr>
    </w:p>
    <w:tbl>
      <w:tblPr>
        <w:tblStyle w:val="Tablaconcuadrcula"/>
        <w:tblW w:w="0" w:type="auto"/>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ook w:val="04A0" w:firstRow="1" w:lastRow="0" w:firstColumn="1" w:lastColumn="0" w:noHBand="0" w:noVBand="1"/>
      </w:tblPr>
      <w:tblGrid>
        <w:gridCol w:w="8828"/>
      </w:tblGrid>
      <w:tr w:rsidRPr="000271A9" w:rsidR="00056C43" w:rsidTr="00E97223" w14:paraId="73EF7A42" w14:textId="77777777">
        <w:tc>
          <w:tcPr>
            <w:tcW w:w="8828" w:type="dxa"/>
            <w:tcBorders>
              <w:top w:val="dotted" w:color="auto" w:sz="4" w:space="0"/>
              <w:left w:val="dotted" w:color="auto" w:sz="4" w:space="0"/>
              <w:bottom w:val="dotted" w:color="auto" w:sz="4" w:space="0"/>
              <w:right w:val="dotted" w:color="auto" w:sz="4" w:space="0"/>
            </w:tcBorders>
            <w:hideMark/>
          </w:tcPr>
          <w:p w:rsidRPr="00056C43" w:rsidR="00056C43" w:rsidP="00056C43" w:rsidRDefault="00056C43" w14:paraId="5024FB79" w14:textId="77777777">
            <w:pPr>
              <w:pStyle w:val="Prrafodelista"/>
              <w:numPr>
                <w:ilvl w:val="0"/>
                <w:numId w:val="19"/>
              </w:numPr>
              <w:jc w:val="both"/>
              <w:rPr>
                <w:rFonts w:ascii="Verdana" w:hAnsi="Verdana"/>
              </w:rPr>
            </w:pPr>
            <w:r w:rsidRPr="00056C43">
              <w:rPr>
                <w:rFonts w:ascii="Verdana" w:hAnsi="Verdana"/>
                <w:sz w:val="22"/>
                <w:szCs w:val="20"/>
              </w:rPr>
              <w:t xml:space="preserve">Ley 2022 de 2020, artículo 1. </w:t>
            </w:r>
          </w:p>
          <w:p w:rsidRPr="00056C43" w:rsidR="00056C43" w:rsidP="00056C43" w:rsidRDefault="00056C43" w14:paraId="10E684AD" w14:textId="64F3D56A">
            <w:pPr>
              <w:pStyle w:val="Prrafodelista"/>
              <w:numPr>
                <w:ilvl w:val="0"/>
                <w:numId w:val="19"/>
              </w:numPr>
              <w:jc w:val="both"/>
              <w:rPr>
                <w:rFonts w:ascii="Verdana" w:hAnsi="Verdana"/>
              </w:rPr>
            </w:pPr>
            <w:r w:rsidRPr="00056C43">
              <w:rPr>
                <w:rFonts w:ascii="Verdana" w:hAnsi="Verdana"/>
                <w:sz w:val="22"/>
                <w:szCs w:val="20"/>
              </w:rPr>
              <w:t xml:space="preserve">Circular Externa Única del 27 de diciembre de 2023. Disponible en: </w:t>
            </w:r>
            <w:hyperlink w:history="1" r:id="rId16">
              <w:r w:rsidRPr="00B82DC9">
                <w:rPr>
                  <w:rStyle w:val="Hipervnculo"/>
                  <w:rFonts w:ascii="Verdana" w:hAnsi="Verdana"/>
                  <w:sz w:val="22"/>
                  <w:szCs w:val="20"/>
                </w:rPr>
                <w:t>https://www.colombiacompra.gov.co/sites/cce_public/files/cce_circul ares/circular_externa_unica_version_3_vf49.pdf</w:t>
              </w:r>
            </w:hyperlink>
            <w:r>
              <w:rPr>
                <w:rFonts w:ascii="Verdana" w:hAnsi="Verdana"/>
                <w:sz w:val="22"/>
                <w:szCs w:val="20"/>
              </w:rPr>
              <w:t xml:space="preserve"> </w:t>
            </w:r>
            <w:r w:rsidRPr="00056C43">
              <w:rPr>
                <w:rFonts w:ascii="Verdana" w:hAnsi="Verdana"/>
                <w:sz w:val="22"/>
                <w:szCs w:val="20"/>
              </w:rPr>
              <w:t xml:space="preserve"> </w:t>
            </w:r>
          </w:p>
          <w:p w:rsidRPr="00056C43" w:rsidR="00056C43" w:rsidP="00056C43" w:rsidRDefault="00056C43" w14:paraId="08147B6D" w14:textId="14EF368E">
            <w:pPr>
              <w:pStyle w:val="Prrafodelista"/>
              <w:numPr>
                <w:ilvl w:val="0"/>
                <w:numId w:val="19"/>
              </w:numPr>
              <w:jc w:val="both"/>
              <w:rPr>
                <w:rFonts w:ascii="Verdana" w:hAnsi="Verdana"/>
              </w:rPr>
            </w:pPr>
            <w:r w:rsidRPr="00056C43">
              <w:rPr>
                <w:rFonts w:ascii="Verdana" w:hAnsi="Verdana"/>
                <w:sz w:val="22"/>
                <w:szCs w:val="20"/>
              </w:rPr>
              <w:t xml:space="preserve">Resolución 219 de 2021 de la Agencia Nacional de Contratación Pública–Colombia Compra Eficiente–. Disponible en: </w:t>
            </w:r>
            <w:hyperlink w:history="1" r:id="rId17">
              <w:r w:rsidRPr="00B82DC9">
                <w:rPr>
                  <w:rStyle w:val="Hipervnculo"/>
                  <w:rFonts w:ascii="Verdana" w:hAnsi="Verdana"/>
                  <w:sz w:val="22"/>
                  <w:szCs w:val="20"/>
                </w:rPr>
                <w:t>https://www.colombiacompra.gov.co/content/04-documentos-tipode-licitacion-de-obra-publica-para-proyectos-de-infraestructurasocial</w:t>
              </w:r>
            </w:hyperlink>
            <w:r w:rsidRPr="00056C43">
              <w:rPr>
                <w:rFonts w:ascii="Verdana" w:hAnsi="Verdana"/>
                <w:sz w:val="22"/>
                <w:szCs w:val="20"/>
              </w:rPr>
              <w:t xml:space="preserve"> </w:t>
            </w:r>
          </w:p>
          <w:p w:rsidRPr="00056C43" w:rsidR="00056C43" w:rsidP="00056C43" w:rsidRDefault="00056C43" w14:paraId="61EF7AFD" w14:textId="4F1241F9">
            <w:pPr>
              <w:pStyle w:val="Prrafodelista"/>
              <w:numPr>
                <w:ilvl w:val="0"/>
                <w:numId w:val="19"/>
              </w:numPr>
              <w:jc w:val="both"/>
              <w:rPr>
                <w:rFonts w:ascii="Verdana" w:hAnsi="Verdana"/>
              </w:rPr>
            </w:pPr>
            <w:r w:rsidRPr="00056C43">
              <w:rPr>
                <w:rFonts w:ascii="Verdana" w:hAnsi="Verdana"/>
                <w:sz w:val="22"/>
                <w:szCs w:val="20"/>
              </w:rPr>
              <w:t>Jurisprudencia del Consejo de Estado. Disponible en: https://relatori a.colombiacompra.gov.co/providencias-consejo-de-estado/</w:t>
            </w:r>
            <w:r>
              <w:rPr>
                <w:rFonts w:ascii="Verdana" w:hAnsi="Verdana"/>
                <w:sz w:val="22"/>
                <w:szCs w:val="20"/>
              </w:rPr>
              <w:t xml:space="preserve"> </w:t>
            </w:r>
            <w:r w:rsidRPr="00056C43">
              <w:rPr>
                <w:rFonts w:ascii="Verdana" w:hAnsi="Verdana"/>
                <w:sz w:val="22"/>
                <w:szCs w:val="20"/>
              </w:rPr>
              <w:t xml:space="preserve"> </w:t>
            </w:r>
          </w:p>
          <w:p w:rsidRPr="00056C43" w:rsidR="00056C43" w:rsidP="00056C43" w:rsidRDefault="00056C43" w14:paraId="77D9A72E" w14:textId="1D8C5333">
            <w:pPr>
              <w:pStyle w:val="Prrafodelista"/>
              <w:numPr>
                <w:ilvl w:val="0"/>
                <w:numId w:val="19"/>
              </w:numPr>
              <w:jc w:val="both"/>
              <w:rPr>
                <w:rFonts w:ascii="Verdana" w:hAnsi="Verdana"/>
              </w:rPr>
            </w:pPr>
            <w:r w:rsidRPr="00056C43">
              <w:rPr>
                <w:rFonts w:ascii="Verdana" w:hAnsi="Verdana"/>
                <w:sz w:val="22"/>
                <w:szCs w:val="20"/>
              </w:rPr>
              <w:t xml:space="preserve">Guías y manuales expedidos por la ANCP-CCE. Disponible en: </w:t>
            </w:r>
            <w:hyperlink w:history="1" r:id="rId18">
              <w:r w:rsidRPr="00B82DC9">
                <w:rPr>
                  <w:rStyle w:val="Hipervnculo"/>
                  <w:rFonts w:ascii="Verdana" w:hAnsi="Verdana"/>
                  <w:sz w:val="22"/>
                  <w:szCs w:val="20"/>
                </w:rPr>
                <w:t>https://www.colombiacompra.gov.co/manuales-guias-y-pliegostipo/manuales-y-guias</w:t>
              </w:r>
            </w:hyperlink>
            <w:r>
              <w:rPr>
                <w:rFonts w:ascii="Verdana" w:hAnsi="Verdana"/>
                <w:sz w:val="22"/>
                <w:szCs w:val="20"/>
              </w:rPr>
              <w:t xml:space="preserve"> </w:t>
            </w:r>
          </w:p>
        </w:tc>
      </w:tr>
    </w:tbl>
    <w:p w:rsidRPr="000271A9" w:rsidR="00056C43" w:rsidP="00056C43" w:rsidRDefault="00056C43" w14:paraId="45321B34" w14:textId="77777777">
      <w:pPr>
        <w:spacing w:after="0" w:line="240" w:lineRule="auto"/>
        <w:jc w:val="both"/>
        <w:rPr>
          <w:rFonts w:ascii="Verdana" w:hAnsi="Verdana"/>
          <w:b/>
          <w:bCs/>
          <w:lang w:val="es-ES"/>
        </w:rPr>
      </w:pPr>
      <w:commentRangeStart w:id="1"/>
      <w:commentRangeEnd w:id="1"/>
      <w:r w:rsidRPr="000271A9">
        <w:rPr>
          <w:rFonts w:ascii="Verdana" w:hAnsi="Verdana"/>
        </w:rPr>
        <w:commentReference w:id="1"/>
      </w:r>
    </w:p>
    <w:p w:rsidRPr="00EF1097" w:rsidR="00056C43" w:rsidP="00056C43" w:rsidRDefault="00056C43" w14:paraId="774B4683" w14:textId="58F57D55">
      <w:pPr>
        <w:pStyle w:val="Prrafodelista"/>
        <w:numPr>
          <w:ilvl w:val="0"/>
          <w:numId w:val="18"/>
        </w:numPr>
        <w:jc w:val="both"/>
        <w:rPr>
          <w:rFonts w:ascii="Verdana" w:hAnsi="Verdana"/>
          <w:b/>
          <w:bCs/>
        </w:rPr>
      </w:pPr>
      <w:r w:rsidRPr="00056C43">
        <w:rPr>
          <w:rFonts w:ascii="Verdana" w:hAnsi="Verdana"/>
          <w:b/>
          <w:bCs/>
          <w:lang w:val="es-CO"/>
        </w:rPr>
        <w:t>Doctrina de la Agencia Nacional de Contratación Pública:</w:t>
      </w:r>
    </w:p>
    <w:p w:rsidR="00056C43" w:rsidP="004856AD" w:rsidRDefault="00056C43" w14:paraId="46FFA7AB" w14:textId="77777777">
      <w:pPr>
        <w:tabs>
          <w:tab w:val="left" w:pos="426"/>
        </w:tabs>
        <w:spacing w:after="0" w:line="276" w:lineRule="auto"/>
        <w:jc w:val="both"/>
        <w:rPr>
          <w:rFonts w:ascii="Verdana" w:hAnsi="Verdana" w:eastAsia="Times New Roman" w:cs="Arial"/>
          <w:color w:val="000000" w:themeColor="text1"/>
          <w:lang w:val="es-MX"/>
        </w:rPr>
      </w:pPr>
    </w:p>
    <w:p w:rsidR="00A65558" w:rsidP="004856AD" w:rsidRDefault="00056C43" w14:paraId="580FE73C" w14:textId="5801E04F">
      <w:pPr>
        <w:tabs>
          <w:tab w:val="left" w:pos="426"/>
        </w:tabs>
        <w:spacing w:after="0" w:line="276" w:lineRule="auto"/>
        <w:jc w:val="both"/>
        <w:rPr>
          <w:rFonts w:ascii="Verdana" w:hAnsi="Verdana" w:eastAsia="Times New Roman" w:cs="Arial"/>
          <w:color w:val="000000" w:themeColor="text1"/>
        </w:rPr>
      </w:pPr>
      <w:r>
        <w:rPr>
          <w:rFonts w:ascii="Verdana" w:hAnsi="Verdana" w:eastAsia="Times New Roman" w:cs="Arial"/>
          <w:color w:val="000000" w:themeColor="text1"/>
          <w:lang w:val="es-MX"/>
        </w:rPr>
        <w:tab/>
      </w:r>
      <w:r w:rsidRPr="00056C43">
        <w:rPr>
          <w:rFonts w:ascii="Verdana" w:hAnsi="Verdana" w:eastAsia="Times New Roman" w:cs="Arial"/>
          <w:color w:val="000000" w:themeColor="text1"/>
        </w:rPr>
        <w:t xml:space="preserve">La Agencia Nacional de Contratación Pública – Colombia Compra Eficiente se pronunció sobre la definición y el alcance de los documentos tipo en las siguientes consultas C-144 del 2 de marzo de 2020, C-143 del 18 de marzo de 2020, C-286 del 26 de mayo de 2020, C-450 del 3 de agosto de 2020, C-643 del 26 de octubre de 2020, C-773 del 14 de enero de 2021, C-789 del 19 de enero de 2021, C-064 del 8 de marzo de 2021 y C-157 del 13 de abril del 2021, C-244 del 4 de mayo de 2021, C-224 del 20 de mayo de 2020, C-233 del 24 de mayo de 2021, C-251 del 2 de junio de 2021 y C-273 del 11 de junio de 2021, C-375 de 27 de septiembre de 2021, C536 de 29 de septiembre de 2021, C-719 de 24 de enero de 2022, C-090 de 16 de marzo de 2022, C-302 del 11 de mayo de 2022, C-410 del 23 de junio de 2022, C436 del 6 de julio de 2022, C-242 del 2 de mayo de 2022, C-360 de 2022, entre otros. De otra parte, la Agencia </w:t>
      </w:r>
      <w:r w:rsidRPr="00056C43">
        <w:rPr>
          <w:rFonts w:ascii="Verdana" w:hAnsi="Verdana" w:eastAsia="Times New Roman" w:cs="Arial"/>
          <w:color w:val="000000" w:themeColor="text1"/>
        </w:rPr>
        <w:lastRenderedPageBreak/>
        <w:t>también ha tenido la oportunidad de pronunciarse en diferentes ocasiones sobre el alcance del artículo 56 de la Ley 2195 de 2022, específicamente, a partir del concepto C-082 del 2 de marzo de 2022, cuya tesis ha sido desarrollada y complementada en los conceptos C-033 del 4 de marzo de 2022, C-049 del 7 de marzo de 2022, C-059 del 8 de marzo de 2022, C-065 del 9 de marzo de 2022, C-066 del 28 de enero de 2022, C-089 del 22 de marzo de 2022, C-101 del 22 de marzo de 2022, C-120 del 22 de marzo de 2022, C-160 del 5 de abril de 2022, C-168 del 24 de marzo de 2022, C-197 del 12 de abril de 2022, C-198 del 12 de abril de 2022, C-215 del 22 de abril de 2022, C-244 del 2 de mayo de 2022, C-255 del 4 de mayo de 2022, C-259 del 3 de mayo de 2022, C-260 del 4 de mayo de 2022, C269 del 6 de mayo de 2022, C-320 del 20 de mayo de 2022, C-341 del 27 de mayo</w:t>
      </w:r>
      <w:r>
        <w:rPr>
          <w:rFonts w:ascii="Verdana" w:hAnsi="Verdana" w:eastAsia="Times New Roman" w:cs="Arial"/>
          <w:color w:val="000000" w:themeColor="text1"/>
        </w:rPr>
        <w:t xml:space="preserve"> </w:t>
      </w:r>
      <w:r w:rsidRPr="00056C43">
        <w:rPr>
          <w:rFonts w:ascii="Verdana" w:hAnsi="Verdana" w:eastAsia="Times New Roman" w:cs="Arial"/>
          <w:color w:val="000000" w:themeColor="text1"/>
        </w:rPr>
        <w:t xml:space="preserve">de 2022, C-382 del 27 de mayo de 2022, C-388 del 15 de junio de 2022, C-423 del 5 de julio de 2022, C-449 del 25 de julio de 2022, C-453 del 15 de julio de 2022, C483 del 5 de agosto de 2022, C-488 del 29 de julio de 2022, C-496 del 3 de agosto de 2022, C-501 del 29 de julio de 2022, C-556 el 3 de agosto de 2022 y finalmente, en el Concepto C-486 de 2022 relacionados con los nuevos elementos interpretativos. Estos y otros conceptos se encuentran disponibles para consulta en el Sistema de relatoría de la Agencia, al cual se puede acceder a través del siguiente enlace: </w:t>
      </w:r>
      <w:hyperlink w:history="1" r:id="rId19">
        <w:r w:rsidRPr="00B82DC9">
          <w:rPr>
            <w:rStyle w:val="Hipervnculo"/>
            <w:rFonts w:ascii="Verdana" w:hAnsi="Verdana" w:eastAsia="Times New Roman" w:cs="Arial"/>
          </w:rPr>
          <w:t>https://relatoria.colombiacompra.gov.co/busqueda/conceptos</w:t>
        </w:r>
      </w:hyperlink>
      <w:r w:rsidRPr="00056C43">
        <w:rPr>
          <w:rFonts w:ascii="Verdana" w:hAnsi="Verdana" w:eastAsia="Times New Roman" w:cs="Arial"/>
          <w:color w:val="000000" w:themeColor="text1"/>
        </w:rPr>
        <w:t>.</w:t>
      </w:r>
      <w:r>
        <w:rPr>
          <w:rFonts w:ascii="Verdana" w:hAnsi="Verdana" w:eastAsia="Times New Roman" w:cs="Arial"/>
          <w:color w:val="000000" w:themeColor="text1"/>
        </w:rPr>
        <w:t xml:space="preserve"> </w:t>
      </w:r>
    </w:p>
    <w:p w:rsidR="00056C43" w:rsidP="004856AD" w:rsidRDefault="00056C43" w14:paraId="68B89ED6" w14:textId="63E865D0">
      <w:pPr>
        <w:tabs>
          <w:tab w:val="left" w:pos="426"/>
        </w:tabs>
        <w:spacing w:after="0" w:line="276" w:lineRule="auto"/>
        <w:jc w:val="both"/>
        <w:rPr>
          <w:rFonts w:ascii="Verdana" w:hAnsi="Verdana" w:eastAsia="Times New Roman" w:cs="Arial"/>
          <w:color w:val="000000" w:themeColor="text1"/>
        </w:rPr>
      </w:pPr>
      <w:r>
        <w:rPr>
          <w:rFonts w:ascii="Verdana" w:hAnsi="Verdana" w:eastAsia="Times New Roman" w:cs="Arial"/>
          <w:color w:val="000000" w:themeColor="text1"/>
        </w:rPr>
        <w:tab/>
      </w:r>
      <w:r w:rsidRPr="00056C43">
        <w:rPr>
          <w:rFonts w:ascii="Verdana" w:hAnsi="Verdana" w:eastAsia="Times New Roman" w:cs="Arial"/>
          <w:color w:val="000000" w:themeColor="text1"/>
        </w:rPr>
        <w:t xml:space="preserve">También le invitamos a consultar las versiones I y II de 2024 del Boletín de Relatoría de la Subdirección de Gestión Contractual, las cuales puede descargar en la página web de la Agencia: </w:t>
      </w:r>
      <w:hyperlink w:history="1" r:id="rId20">
        <w:r w:rsidRPr="00B82DC9">
          <w:rPr>
            <w:rStyle w:val="Hipervnculo"/>
            <w:rFonts w:ascii="Verdana" w:hAnsi="Verdana" w:eastAsia="Times New Roman" w:cs="Arial"/>
          </w:rPr>
          <w:t>https://www.colombiacompra.gov.co/sala-deprensa/boletin-digital</w:t>
        </w:r>
      </w:hyperlink>
      <w:r>
        <w:rPr>
          <w:rFonts w:ascii="Verdana" w:hAnsi="Verdana" w:eastAsia="Times New Roman" w:cs="Arial"/>
          <w:color w:val="000000" w:themeColor="text1"/>
        </w:rPr>
        <w:t xml:space="preserve"> </w:t>
      </w:r>
      <w:r w:rsidRPr="00056C43">
        <w:rPr>
          <w:rFonts w:ascii="Verdana" w:hAnsi="Verdana" w:eastAsia="Times New Roman" w:cs="Arial"/>
          <w:color w:val="000000" w:themeColor="text1"/>
        </w:rPr>
        <w:t xml:space="preserve"> </w:t>
      </w:r>
    </w:p>
    <w:p w:rsidRPr="00CC7465" w:rsidR="00056C43" w:rsidP="004856AD" w:rsidRDefault="00056C43" w14:paraId="60ED651B" w14:textId="6596B80D">
      <w:pPr>
        <w:tabs>
          <w:tab w:val="left" w:pos="426"/>
        </w:tabs>
        <w:spacing w:after="0" w:line="276" w:lineRule="auto"/>
        <w:jc w:val="both"/>
        <w:rPr>
          <w:rFonts w:ascii="Verdana" w:hAnsi="Verdana" w:eastAsia="Times New Roman" w:cs="Arial"/>
          <w:color w:val="000000" w:themeColor="text1"/>
          <w:lang w:val="es-419"/>
        </w:rPr>
      </w:pPr>
      <w:r>
        <w:rPr>
          <w:rFonts w:ascii="Verdana" w:hAnsi="Verdana" w:eastAsia="Times New Roman" w:cs="Arial"/>
          <w:color w:val="000000" w:themeColor="text1"/>
        </w:rPr>
        <w:tab/>
      </w:r>
      <w:r w:rsidRPr="00056C43">
        <w:rPr>
          <w:rFonts w:ascii="Verdana" w:hAnsi="Verdana" w:eastAsia="Times New Roman" w:cs="Arial"/>
          <w:color w:val="000000" w:themeColor="text1"/>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rsidR="00056C43" w:rsidP="004856AD" w:rsidRDefault="00056C43" w14:paraId="7371B48D" w14:textId="77777777">
      <w:pPr>
        <w:tabs>
          <w:tab w:val="left" w:pos="426"/>
        </w:tabs>
        <w:spacing w:after="0" w:line="276" w:lineRule="auto"/>
        <w:jc w:val="both"/>
        <w:rPr>
          <w:rFonts w:ascii="Verdana" w:hAnsi="Verdana" w:eastAsia="Times New Roman" w:cs="Arial"/>
          <w:color w:val="000000" w:themeColor="text1"/>
        </w:rPr>
      </w:pPr>
    </w:p>
    <w:p w:rsidR="004856AD" w:rsidP="004856AD" w:rsidRDefault="00A65558" w14:paraId="09E43EB5" w14:textId="621FA7B5">
      <w:pPr>
        <w:tabs>
          <w:tab w:val="left" w:pos="426"/>
        </w:tabs>
        <w:spacing w:after="0" w:line="276" w:lineRule="auto"/>
        <w:jc w:val="both"/>
        <w:rPr>
          <w:rFonts w:ascii="Verdana" w:hAnsi="Verdana" w:eastAsia="Times New Roman" w:cs="Arial"/>
          <w:color w:val="000000" w:themeColor="text1"/>
        </w:rPr>
      </w:pPr>
      <w:r>
        <w:rPr>
          <w:rFonts w:ascii="Verdana" w:hAnsi="Verdana" w:eastAsia="Times New Roman" w:cs="Arial"/>
          <w:color w:val="000000" w:themeColor="text1"/>
        </w:rPr>
        <w:t>Cordial</w:t>
      </w:r>
      <w:r w:rsidRPr="008C6876" w:rsidR="004856AD">
        <w:rPr>
          <w:rFonts w:ascii="Verdana" w:hAnsi="Verdana" w:eastAsia="Times New Roman" w:cs="Arial"/>
          <w:color w:val="000000" w:themeColor="text1"/>
        </w:rPr>
        <w:t>mente,</w:t>
      </w:r>
    </w:p>
    <w:p w:rsidR="004856AD" w:rsidP="004856AD" w:rsidRDefault="00A65558" w14:paraId="14464DD8" w14:textId="286DEF62">
      <w:pPr>
        <w:tabs>
          <w:tab w:val="left" w:pos="426"/>
        </w:tabs>
        <w:spacing w:after="0" w:line="276" w:lineRule="auto"/>
        <w:jc w:val="center"/>
        <w:rPr>
          <w:rFonts w:ascii="Verdana" w:hAnsi="Verdana" w:eastAsia="Times New Roman" w:cs="Arial"/>
          <w:color w:val="000000" w:themeColor="text1"/>
        </w:rPr>
      </w:pPr>
      <w:r w:rsidRPr="00A65558">
        <w:rPr>
          <w:rFonts w:ascii="Verdana" w:hAnsi="Verdana" w:eastAsia="Times New Roman" w:cs="Arial"/>
          <w:noProof/>
          <w:color w:val="000000" w:themeColor="text1"/>
        </w:rPr>
        <w:lastRenderedPageBreak/>
        <w:drawing>
          <wp:inline distT="0" distB="0" distL="0" distR="0" wp14:anchorId="0BABC5EA" wp14:editId="6F7CF91E">
            <wp:extent cx="3703320" cy="1592580"/>
            <wp:effectExtent l="0" t="0" r="0" b="7620"/>
            <wp:docPr id="179873750"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exto&#10;&#10;Descripción generada automáticament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703320" cy="1592580"/>
                    </a:xfrm>
                    <a:prstGeom prst="rect">
                      <a:avLst/>
                    </a:prstGeom>
                    <a:noFill/>
                    <a:ln>
                      <a:noFill/>
                    </a:ln>
                  </pic:spPr>
                </pic:pic>
              </a:graphicData>
            </a:graphic>
          </wp:inline>
        </w:drawing>
      </w:r>
      <w:r w:rsidRPr="00A65558">
        <w:rPr>
          <w:rFonts w:ascii="Verdana" w:hAnsi="Verdana" w:eastAsia="Times New Roman" w:cs="Arial"/>
          <w:color w:val="000000" w:themeColor="text1"/>
        </w:rPr>
        <w:br/>
      </w:r>
    </w:p>
    <w:p w:rsidRPr="008506A0" w:rsidR="00A65558" w:rsidP="004856AD" w:rsidRDefault="00A65558" w14:paraId="63403D2D" w14:textId="77777777">
      <w:pPr>
        <w:tabs>
          <w:tab w:val="left" w:pos="426"/>
        </w:tabs>
        <w:spacing w:after="0" w:line="276" w:lineRule="auto"/>
        <w:jc w:val="center"/>
        <w:rPr>
          <w:rFonts w:ascii="Verdana" w:hAnsi="Verdana" w:eastAsia="Times New Roman" w:cs="Arial"/>
          <w:color w:val="000000" w:themeColor="text1"/>
        </w:rPr>
      </w:pPr>
    </w:p>
    <w:tbl>
      <w:tblPr>
        <w:tblW w:w="5670" w:type="dxa"/>
        <w:tblBorders>
          <w:top w:val="nil"/>
          <w:left w:val="nil"/>
          <w:bottom w:val="nil"/>
          <w:right w:val="nil"/>
          <w:insideH w:val="nil"/>
          <w:insideV w:val="nil"/>
        </w:tblBorders>
        <w:tblLayout w:type="fixed"/>
        <w:tblLook w:val="0400" w:firstRow="0" w:lastRow="0" w:firstColumn="0" w:lastColumn="0" w:noHBand="0" w:noVBand="1"/>
      </w:tblPr>
      <w:tblGrid>
        <w:gridCol w:w="993"/>
        <w:gridCol w:w="4677"/>
      </w:tblGrid>
      <w:tr w:rsidRPr="008C6876" w:rsidR="004856AD" w:rsidTr="00A65558" w14:paraId="590A04C7" w14:textId="77777777">
        <w:trPr>
          <w:trHeight w:val="260"/>
        </w:trPr>
        <w:tc>
          <w:tcPr>
            <w:tcW w:w="993" w:type="dxa"/>
            <w:vAlign w:val="center"/>
          </w:tcPr>
          <w:p w:rsidRPr="008C6876" w:rsidR="004856AD" w:rsidP="0012112A" w:rsidRDefault="004856AD" w14:paraId="682511C3" w14:textId="77777777">
            <w:pPr>
              <w:spacing w:after="0" w:line="276" w:lineRule="auto"/>
              <w:rPr>
                <w:rFonts w:ascii="Verdana" w:hAnsi="Verdana" w:cs="Arial"/>
                <w:bCs/>
                <w:sz w:val="16"/>
                <w:szCs w:val="16"/>
                <w:lang w:eastAsia="es-CO"/>
              </w:rPr>
            </w:pPr>
            <w:r w:rsidRPr="008C6876">
              <w:rPr>
                <w:rFonts w:ascii="Verdana" w:hAnsi="Verdana" w:cs="Arial"/>
                <w:bCs/>
                <w:sz w:val="16"/>
                <w:szCs w:val="16"/>
                <w:lang w:eastAsia="es-CO"/>
              </w:rPr>
              <w:t>Elaboró:</w:t>
            </w:r>
          </w:p>
        </w:tc>
        <w:tc>
          <w:tcPr>
            <w:tcW w:w="4677" w:type="dxa"/>
            <w:tcBorders>
              <w:top w:val="nil"/>
              <w:left w:val="nil"/>
              <w:bottom w:val="dotted" w:color="7F7F7F" w:sz="4" w:space="0"/>
              <w:right w:val="nil"/>
            </w:tcBorders>
            <w:vAlign w:val="center"/>
          </w:tcPr>
          <w:p w:rsidR="00A65558" w:rsidP="0012112A" w:rsidRDefault="00A65558" w14:paraId="43136705" w14:textId="77777777">
            <w:pPr>
              <w:spacing w:after="0" w:line="240" w:lineRule="auto"/>
              <w:rPr>
                <w:rFonts w:ascii="Verdana" w:hAnsi="Verdana" w:cs="Arial"/>
                <w:sz w:val="16"/>
                <w:szCs w:val="16"/>
                <w:lang w:eastAsia="es-CO"/>
              </w:rPr>
            </w:pPr>
            <w:r w:rsidRPr="00A65558">
              <w:rPr>
                <w:rFonts w:ascii="Verdana" w:hAnsi="Verdana" w:cs="Arial"/>
                <w:sz w:val="16"/>
                <w:szCs w:val="16"/>
                <w:lang w:eastAsia="es-CO"/>
              </w:rPr>
              <w:t>Alexandra Rodríguez Motta</w:t>
            </w:r>
          </w:p>
          <w:p w:rsidRPr="008C6876" w:rsidR="004856AD" w:rsidP="0012112A" w:rsidRDefault="004856AD" w14:paraId="0B9472EF" w14:textId="5A63F3D5">
            <w:pPr>
              <w:spacing w:after="0" w:line="240" w:lineRule="auto"/>
              <w:rPr>
                <w:rFonts w:ascii="Verdana" w:hAnsi="Verdana" w:cs="Arial"/>
                <w:sz w:val="16"/>
                <w:szCs w:val="16"/>
                <w:lang w:eastAsia="es-CO"/>
              </w:rPr>
            </w:pPr>
            <w:r w:rsidRPr="008C6876">
              <w:rPr>
                <w:rFonts w:ascii="Verdana" w:hAnsi="Verdana" w:cs="Arial"/>
                <w:sz w:val="16"/>
                <w:szCs w:val="16"/>
                <w:lang w:eastAsia="es-CO"/>
              </w:rPr>
              <w:t>Contratista Subdirección de Gestión Contractual</w:t>
            </w:r>
          </w:p>
        </w:tc>
      </w:tr>
      <w:tr w:rsidRPr="008C6876" w:rsidR="004856AD" w:rsidTr="0012112A" w14:paraId="59085C4E" w14:textId="77777777">
        <w:trPr>
          <w:trHeight w:val="330"/>
        </w:trPr>
        <w:tc>
          <w:tcPr>
            <w:tcW w:w="993" w:type="dxa"/>
            <w:vAlign w:val="center"/>
          </w:tcPr>
          <w:p w:rsidRPr="008C6876" w:rsidR="004856AD" w:rsidP="0012112A" w:rsidRDefault="004856AD" w14:paraId="70662AD8" w14:textId="77777777">
            <w:pPr>
              <w:spacing w:after="0" w:line="276" w:lineRule="auto"/>
              <w:rPr>
                <w:rFonts w:ascii="Verdana" w:hAnsi="Verdana" w:cs="Arial"/>
                <w:bCs/>
                <w:sz w:val="16"/>
                <w:szCs w:val="16"/>
                <w:lang w:eastAsia="es-CO"/>
              </w:rPr>
            </w:pPr>
            <w:r w:rsidRPr="008C6876">
              <w:rPr>
                <w:rFonts w:ascii="Verdana" w:hAnsi="Verdana" w:cs="Arial"/>
                <w:bCs/>
                <w:sz w:val="16"/>
                <w:szCs w:val="16"/>
                <w:lang w:eastAsia="es-CO"/>
              </w:rPr>
              <w:t>Revisó:</w:t>
            </w:r>
          </w:p>
        </w:tc>
        <w:tc>
          <w:tcPr>
            <w:tcW w:w="4677" w:type="dxa"/>
            <w:tcBorders>
              <w:top w:val="dotted" w:color="7F7F7F" w:sz="4" w:space="0"/>
              <w:left w:val="nil"/>
              <w:bottom w:val="dotted" w:color="7F7F7F" w:sz="4" w:space="0"/>
              <w:right w:val="nil"/>
            </w:tcBorders>
            <w:vAlign w:val="center"/>
          </w:tcPr>
          <w:p w:rsidR="00A65558" w:rsidP="0012112A" w:rsidRDefault="00A65558" w14:paraId="5E5166B0" w14:textId="77777777">
            <w:pPr>
              <w:spacing w:after="0" w:line="240" w:lineRule="auto"/>
              <w:rPr>
                <w:rFonts w:ascii="Verdana" w:hAnsi="Verdana" w:cs="Arial"/>
                <w:sz w:val="16"/>
                <w:szCs w:val="16"/>
                <w:lang w:eastAsia="es-CO"/>
              </w:rPr>
            </w:pPr>
            <w:r w:rsidRPr="00A65558">
              <w:rPr>
                <w:rFonts w:ascii="Verdana" w:hAnsi="Verdana" w:cs="Arial"/>
                <w:sz w:val="16"/>
                <w:szCs w:val="16"/>
                <w:lang w:eastAsia="es-CO"/>
              </w:rPr>
              <w:t>Juan David Cárdenas Cabeza</w:t>
            </w:r>
          </w:p>
          <w:p w:rsidRPr="008C6876" w:rsidR="004856AD" w:rsidP="0012112A" w:rsidRDefault="00A65558" w14:paraId="6200F01C" w14:textId="06B16857">
            <w:pPr>
              <w:spacing w:after="0" w:line="240" w:lineRule="auto"/>
              <w:rPr>
                <w:rFonts w:ascii="Verdana" w:hAnsi="Verdana" w:cs="Arial"/>
                <w:sz w:val="16"/>
                <w:szCs w:val="16"/>
                <w:lang w:eastAsia="es-CO"/>
              </w:rPr>
            </w:pPr>
            <w:r w:rsidRPr="008C6876">
              <w:rPr>
                <w:rFonts w:ascii="Verdana" w:hAnsi="Verdana" w:cs="Arial"/>
                <w:sz w:val="16"/>
                <w:szCs w:val="16"/>
                <w:lang w:eastAsia="es-CO"/>
              </w:rPr>
              <w:t>Contratista Subdirección de Gestión Contractual</w:t>
            </w:r>
          </w:p>
        </w:tc>
      </w:tr>
      <w:tr w:rsidRPr="008C6876" w:rsidR="004856AD" w:rsidTr="0012112A" w14:paraId="12DD1A30" w14:textId="77777777">
        <w:trPr>
          <w:trHeight w:val="300"/>
        </w:trPr>
        <w:tc>
          <w:tcPr>
            <w:tcW w:w="993" w:type="dxa"/>
            <w:vAlign w:val="center"/>
          </w:tcPr>
          <w:p w:rsidRPr="008C6876" w:rsidR="004856AD" w:rsidP="0012112A" w:rsidRDefault="004856AD" w14:paraId="30C9F906" w14:textId="77777777">
            <w:pPr>
              <w:spacing w:after="0" w:line="276" w:lineRule="auto"/>
              <w:rPr>
                <w:rFonts w:ascii="Verdana" w:hAnsi="Verdana" w:cs="Arial"/>
                <w:bCs/>
                <w:sz w:val="16"/>
                <w:szCs w:val="16"/>
                <w:lang w:eastAsia="es-CO"/>
              </w:rPr>
            </w:pPr>
            <w:r w:rsidRPr="008C6876">
              <w:rPr>
                <w:rFonts w:ascii="Verdana" w:hAnsi="Verdana" w:cs="Arial"/>
                <w:bCs/>
                <w:sz w:val="16"/>
                <w:szCs w:val="16"/>
                <w:lang w:eastAsia="es-CO"/>
              </w:rPr>
              <w:t>Aprobó:</w:t>
            </w:r>
          </w:p>
        </w:tc>
        <w:tc>
          <w:tcPr>
            <w:tcW w:w="4677" w:type="dxa"/>
            <w:tcBorders>
              <w:top w:val="dotted" w:color="7F7F7F" w:sz="4" w:space="0"/>
              <w:left w:val="nil"/>
              <w:bottom w:val="dotted" w:color="7F7F7F" w:sz="4" w:space="0"/>
              <w:right w:val="nil"/>
            </w:tcBorders>
            <w:vAlign w:val="center"/>
          </w:tcPr>
          <w:p w:rsidRPr="008C6876" w:rsidR="004856AD" w:rsidP="0012112A" w:rsidRDefault="004856AD" w14:paraId="4F63291B" w14:textId="77777777">
            <w:pPr>
              <w:spacing w:after="0" w:line="240" w:lineRule="auto"/>
              <w:rPr>
                <w:rFonts w:ascii="Verdana" w:hAnsi="Verdana" w:cs="Arial"/>
                <w:sz w:val="16"/>
                <w:szCs w:val="16"/>
                <w:lang w:eastAsia="es-CO"/>
              </w:rPr>
            </w:pPr>
            <w:r w:rsidRPr="008C6876">
              <w:rPr>
                <w:rFonts w:ascii="Verdana" w:hAnsi="Verdana" w:cs="Arial"/>
                <w:sz w:val="16"/>
                <w:szCs w:val="16"/>
                <w:lang w:eastAsia="es-CO"/>
              </w:rPr>
              <w:t xml:space="preserve"> Carolina Quintero </w:t>
            </w:r>
            <w:proofErr w:type="spellStart"/>
            <w:r w:rsidRPr="008C6876">
              <w:rPr>
                <w:rFonts w:ascii="Verdana" w:hAnsi="Verdana" w:cs="Arial"/>
                <w:sz w:val="16"/>
                <w:szCs w:val="16"/>
                <w:lang w:eastAsia="es-CO"/>
              </w:rPr>
              <w:t>Gacharná</w:t>
            </w:r>
            <w:proofErr w:type="spellEnd"/>
          </w:p>
          <w:p w:rsidRPr="008C6876" w:rsidR="004856AD" w:rsidP="0012112A" w:rsidRDefault="004856AD" w14:paraId="2A2CC70D" w14:textId="77777777">
            <w:pPr>
              <w:spacing w:after="0" w:line="240" w:lineRule="auto"/>
              <w:rPr>
                <w:rFonts w:ascii="Verdana" w:hAnsi="Verdana" w:cs="Arial"/>
                <w:sz w:val="16"/>
                <w:szCs w:val="16"/>
                <w:lang w:eastAsia="es-CO"/>
              </w:rPr>
            </w:pPr>
            <w:r w:rsidRPr="008C6876">
              <w:rPr>
                <w:rFonts w:ascii="Verdana" w:hAnsi="Verdana" w:cs="Arial"/>
                <w:sz w:val="16"/>
                <w:szCs w:val="16"/>
                <w:lang w:eastAsia="es-CO"/>
              </w:rPr>
              <w:t>Subdirectora de Gestión Contractual ANCP – CCE</w:t>
            </w:r>
          </w:p>
        </w:tc>
      </w:tr>
    </w:tbl>
    <w:p w:rsidRPr="008C6876" w:rsidR="004856AD" w:rsidP="004856AD" w:rsidRDefault="004856AD" w14:paraId="47425C75" w14:textId="77777777">
      <w:pPr>
        <w:spacing w:after="0"/>
        <w:rPr>
          <w:rFonts w:ascii="Verdana" w:hAnsi="Verdana"/>
        </w:rPr>
      </w:pPr>
    </w:p>
    <w:p w:rsidRPr="004856AD" w:rsidR="5D8505AD" w:rsidP="004856AD" w:rsidRDefault="5D8505AD" w14:paraId="0083C991" w14:textId="62C71FF5">
      <w:pPr>
        <w:spacing w:after="0" w:line="240" w:lineRule="auto"/>
        <w:rPr>
          <w:rFonts w:ascii="Verdana" w:hAnsi="Verdana" w:eastAsia="Times New Roman" w:cs="Arial"/>
          <w:sz w:val="24"/>
          <w:szCs w:val="24"/>
          <w:lang w:eastAsia="es-ES"/>
        </w:rPr>
      </w:pPr>
    </w:p>
    <w:sectPr w:rsidRPr="004856AD" w:rsidR="5D8505AD" w:rsidSect="00C44B4C">
      <w:headerReference w:type="default" r:id="rId22"/>
      <w:footerReference w:type="default" r:id="rId23"/>
      <w:pgSz w:w="12240" w:h="15840" w:orient="portrait" w:code="1"/>
      <w:pgMar w:top="1418" w:right="1701" w:bottom="1418" w:left="1701"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nitials="ANCP-CCE" w:author="ANCP-CCE" w:date="2024-07-02T10:36:00Z" w:id="0">
    <w:p w:rsidR="00CC7465" w:rsidP="00CC7465" w:rsidRDefault="00CC7465" w14:paraId="1C595ADA" w14:textId="77777777">
      <w:pPr>
        <w:pStyle w:val="Textocomentario"/>
      </w:pPr>
      <w:r>
        <w:rPr>
          <w:rStyle w:val="Refdecomentario"/>
        </w:rPr>
        <w:annotationRef/>
      </w:r>
      <w:r>
        <w:rPr>
          <w:b/>
          <w:bCs/>
        </w:rPr>
        <w:t xml:space="preserve">PARTE 9. RESPUESTA. </w:t>
      </w:r>
      <w:r>
        <w:t xml:space="preserve">En esta parte del documento se debe relatar de manera breve y concreta la respuesta al problema jurídico, planteado, acompañada de sus razones principales. Esto manera tal que el lector avance en la lectura del concepto conociendo de antemano el sentido de la respuesta. </w:t>
      </w:r>
    </w:p>
    <w:p w:rsidR="00CC7465" w:rsidP="00CC7465" w:rsidRDefault="00CC7465" w14:paraId="2AFF2727" w14:textId="77777777">
      <w:pPr>
        <w:pStyle w:val="Textocomentario"/>
      </w:pPr>
    </w:p>
    <w:p w:rsidR="00CC7465" w:rsidP="00CC7465" w:rsidRDefault="00CC7465" w14:paraId="198DCFBF" w14:textId="77777777">
      <w:pPr>
        <w:pStyle w:val="Textocomentario"/>
      </w:pPr>
      <w:r>
        <w:t xml:space="preserve">Es imprescindible que está parte del concepto responda de manera integra a los interrogantes objeto de la consulta. </w:t>
      </w:r>
    </w:p>
    <w:p w:rsidR="00CC7465" w:rsidP="00CC7465" w:rsidRDefault="00CC7465" w14:paraId="70679E49" w14:textId="77777777">
      <w:pPr>
        <w:pStyle w:val="Textocomentario"/>
      </w:pPr>
    </w:p>
    <w:p w:rsidR="00CC7465" w:rsidP="00CC7465" w:rsidRDefault="00CC7465" w14:paraId="523056CC" w14:textId="77777777">
      <w:pPr>
        <w:pStyle w:val="Textocomentario"/>
      </w:pPr>
      <w:r>
        <w:t xml:space="preserve">Se recomienda incluir un párrafo por pregunta, salvo que las preguntas formuladas por el peticionario puedan ser resueltas con las mismas consideraciones por versar del mismo tema. </w:t>
      </w:r>
    </w:p>
  </w:comment>
  <w:comment w:initials="ANCP-CCE" w:author="ANCP-CCE" w:date="2024-07-02T10:36:00Z" w:id="1">
    <w:p w:rsidR="00056C43" w:rsidP="00056C43" w:rsidRDefault="00056C43" w14:paraId="2E4A8304" w14:textId="77777777">
      <w:pPr>
        <w:pStyle w:val="Textocomentario"/>
      </w:pPr>
      <w:r>
        <w:rPr>
          <w:rStyle w:val="Refdecomentario"/>
        </w:rPr>
        <w:annotationRef/>
      </w:r>
      <w:r>
        <w:rPr>
          <w:b/>
          <w:bCs/>
        </w:rPr>
        <w:t xml:space="preserve">PARTE 9. RESPUESTA. </w:t>
      </w:r>
      <w:r>
        <w:t xml:space="preserve">En esta parte del documento se debe relatar de manera breve y concreta la respuesta al problema jurídico, planteado, acompañada de sus razones principales. Esto manera tal que el lector avance en la lectura del concepto conociendo de antemano el sentido de la respuesta. </w:t>
      </w:r>
    </w:p>
    <w:p w:rsidR="00056C43" w:rsidP="00056C43" w:rsidRDefault="00056C43" w14:paraId="7B910438" w14:textId="77777777">
      <w:pPr>
        <w:pStyle w:val="Textocomentario"/>
      </w:pPr>
    </w:p>
    <w:p w:rsidR="00056C43" w:rsidP="00056C43" w:rsidRDefault="00056C43" w14:paraId="055BDB66" w14:textId="77777777">
      <w:pPr>
        <w:pStyle w:val="Textocomentario"/>
      </w:pPr>
      <w:r>
        <w:t xml:space="preserve">Es imprescindible que está parte del concepto responda de manera integra a los interrogantes objeto de la consulta. </w:t>
      </w:r>
    </w:p>
    <w:p w:rsidR="00056C43" w:rsidP="00056C43" w:rsidRDefault="00056C43" w14:paraId="2FFC7FB1" w14:textId="77777777">
      <w:pPr>
        <w:pStyle w:val="Textocomentario"/>
      </w:pPr>
    </w:p>
    <w:p w:rsidR="00056C43" w:rsidP="00056C43" w:rsidRDefault="00056C43" w14:paraId="04BB8684" w14:textId="77777777">
      <w:pPr>
        <w:pStyle w:val="Textocomentario"/>
      </w:pPr>
      <w:r>
        <w:t xml:space="preserve">Se recomienda incluir un párrafo por pregunta, salvo que las preguntas formuladas por el peticionario puedan ser resueltas con las mismas consideraciones por versar del mismo tema.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523056CC" w15:done="0"/>
  <w15:commentEx w15:paraId="04BB8684"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34163529" w16cex:dateUtc="2024-07-24T12:34:00Z"/>
  <w16cex:commentExtensible w16cex:durableId="31B0FE96" w16cex:dateUtc="2024-07-24T12:3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523056CC" w16cid:durableId="34163529"/>
  <w16cid:commentId w16cid:paraId="04BB8684" w16cid:durableId="31B0FE9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8508BA" w:rsidP="00B30448" w:rsidRDefault="008508BA" w14:paraId="507E1B40" w14:textId="77777777">
      <w:pPr>
        <w:spacing w:after="0" w:line="240" w:lineRule="auto"/>
      </w:pPr>
      <w:r>
        <w:separator/>
      </w:r>
    </w:p>
  </w:endnote>
  <w:endnote w:type="continuationSeparator" w:id="0">
    <w:p w:rsidR="008508BA" w:rsidP="00B30448" w:rsidRDefault="008508BA" w14:paraId="3B9025C4" w14:textId="77777777">
      <w:pPr>
        <w:spacing w:after="0" w:line="240" w:lineRule="auto"/>
      </w:pPr>
      <w:r>
        <w:continuationSeparator/>
      </w:r>
    </w:p>
  </w:endnote>
  <w:endnote w:type="continuationNotice" w:id="1">
    <w:p w:rsidR="008508BA" w:rsidRDefault="008508BA" w14:paraId="077EC380"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Bold">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Pr="00174B77" w:rsidR="00A81E50" w:rsidP="00A81E50" w:rsidRDefault="00A81E50" w14:paraId="2FD9C0E4" w14:textId="77777777">
    <w:pPr>
      <w:pBdr>
        <w:top w:val="single" w:color="auto" w:sz="4" w:space="1"/>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hAnsi="Verdana" w:eastAsiaTheme="majorEastAsia" w:cstheme="majorBidi"/>
        <w:b/>
        <w:bCs/>
        <w:sz w:val="16"/>
        <w:szCs w:val="16"/>
        <w:lang w:val="es-ES"/>
      </w:rPr>
      <w:t xml:space="preserve">pág. </w:t>
    </w:r>
    <w:r w:rsidRPr="002E1330">
      <w:rPr>
        <w:rFonts w:ascii="Verdana" w:hAnsi="Verdana" w:eastAsiaTheme="minorEastAsia"/>
        <w:b/>
        <w:bCs/>
        <w:sz w:val="16"/>
        <w:szCs w:val="16"/>
      </w:rPr>
      <w:fldChar w:fldCharType="begin"/>
    </w:r>
    <w:r w:rsidRPr="002E1330">
      <w:rPr>
        <w:rFonts w:ascii="Verdana" w:hAnsi="Verdana"/>
        <w:b/>
        <w:bCs/>
        <w:sz w:val="16"/>
        <w:szCs w:val="16"/>
      </w:rPr>
      <w:instrText>PAGE    \* MERGEFORMAT</w:instrText>
    </w:r>
    <w:r w:rsidRPr="002E1330">
      <w:rPr>
        <w:rFonts w:ascii="Verdana" w:hAnsi="Verdana" w:eastAsiaTheme="minorEastAsia"/>
        <w:b/>
        <w:bCs/>
        <w:sz w:val="16"/>
        <w:szCs w:val="16"/>
      </w:rPr>
      <w:fldChar w:fldCharType="separate"/>
    </w:r>
    <w:r>
      <w:rPr>
        <w:rFonts w:ascii="Verdana" w:hAnsi="Verdana" w:eastAsiaTheme="minorEastAsia"/>
        <w:b/>
        <w:bCs/>
        <w:sz w:val="16"/>
        <w:szCs w:val="16"/>
      </w:rPr>
      <w:t>1</w:t>
    </w:r>
    <w:r w:rsidRPr="002E1330">
      <w:rPr>
        <w:rFonts w:ascii="Verdana" w:hAnsi="Verdana" w:eastAsiaTheme="majorEastAsi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rsidR="00A81E50" w:rsidP="00A81E50" w:rsidRDefault="00A81E50" w14:paraId="4FC9CAA9" w14:textId="77777777">
    <w:pPr>
      <w:spacing w:after="0"/>
      <w:jc w:val="both"/>
      <w:rPr>
        <w:rFonts w:ascii="Verdana" w:hAnsi="Verdana"/>
        <w:sz w:val="18"/>
        <w:szCs w:val="18"/>
      </w:rPr>
    </w:pPr>
    <w:r w:rsidRPr="00E41027">
      <w:rPr>
        <w:rFonts w:ascii="Verdana" w:hAnsi="Verdana"/>
        <w:sz w:val="18"/>
        <w:szCs w:val="18"/>
      </w:rPr>
      <w:t>Dirección: Carrera 7 # 26 – 20 - Bogotá, Colombia</w:t>
    </w:r>
  </w:p>
  <w:p w:rsidRPr="00E41027" w:rsidR="00A81E50" w:rsidP="00A81E50" w:rsidRDefault="00A81E50" w14:paraId="0B709B73" w14:textId="77777777">
    <w:pPr>
      <w:spacing w:after="0"/>
      <w:jc w:val="both"/>
      <w:rPr>
        <w:rFonts w:ascii="Verdana" w:hAnsi="Verdana"/>
        <w:sz w:val="18"/>
        <w:szCs w:val="18"/>
      </w:rPr>
    </w:pPr>
    <w:r w:rsidRPr="00E41027">
      <w:rPr>
        <w:rFonts w:ascii="Verdana" w:hAnsi="Verdana"/>
        <w:sz w:val="18"/>
        <w:szCs w:val="18"/>
      </w:rPr>
      <w:t>Mesa de servicio: (+57) 601 7456788</w:t>
    </w:r>
  </w:p>
  <w:p w:rsidR="00DD7A2C" w:rsidP="00C00976" w:rsidRDefault="00A81E50" w14:paraId="224AB27F" w14:textId="77777777">
    <w:pPr>
      <w:pBdr>
        <w:top w:val="nil"/>
        <w:left w:val="nil"/>
        <w:bottom w:val="nil"/>
        <w:right w:val="nil"/>
        <w:between w:val="nil"/>
      </w:pBdr>
      <w:tabs>
        <w:tab w:val="center" w:pos="4419"/>
        <w:tab w:val="right" w:pos="8838"/>
        <w:tab w:val="center" w:pos="5400"/>
      </w:tabs>
      <w:spacing w:after="0"/>
      <w:rPr>
        <w:rFonts w:ascii="Verdana" w:hAnsi="Verdana"/>
        <w:sz w:val="20"/>
        <w:szCs w:val="20"/>
      </w:rPr>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20"/>
        <w:szCs w:val="20"/>
      </w:rPr>
      <w:t xml:space="preserve">         </w:t>
    </w:r>
  </w:p>
  <w:p w:rsidR="00A81E50" w:rsidP="00DD7A2C" w:rsidRDefault="00A81E50" w14:paraId="2B8DBB2A" w14:textId="26AE77D2">
    <w:pPr>
      <w:pBdr>
        <w:top w:val="nil"/>
        <w:left w:val="nil"/>
        <w:bottom w:val="nil"/>
        <w:right w:val="nil"/>
        <w:between w:val="nil"/>
      </w:pBdr>
      <w:tabs>
        <w:tab w:val="center" w:pos="4419"/>
        <w:tab w:val="right" w:pos="8838"/>
        <w:tab w:val="center" w:pos="5400"/>
      </w:tabs>
      <w:spacing w:after="0"/>
      <w:jc w:val="right"/>
    </w:pPr>
    <w:r>
      <w:rPr>
        <w:rFonts w:ascii="Verdana" w:hAnsi="Verdana"/>
        <w:sz w:val="20"/>
        <w:szCs w:val="20"/>
      </w:rPr>
      <w:t xml:space="preserve"> </w:t>
    </w:r>
    <w:r w:rsidRPr="00A211EE">
      <w:rPr>
        <w:rFonts w:ascii="Verdana" w:hAnsi="Verdana" w:eastAsia="Geo" w:cs="Geo"/>
        <w:bCs/>
        <w:color w:val="000000"/>
        <w:sz w:val="16"/>
        <w:szCs w:val="16"/>
        <w:lang w:eastAsia="es-CO"/>
      </w:rPr>
      <w:t>Código: CCE-REC-FM-13 Versión</w:t>
    </w:r>
    <w:r w:rsidRPr="00A211EE">
      <w:rPr>
        <w:rFonts w:ascii="Verdana" w:hAnsi="Verdana" w:eastAsia="Arial Nova" w:cs="Arial Nova"/>
        <w:bCs/>
        <w:color w:val="000000"/>
        <w:sz w:val="16"/>
        <w:szCs w:val="16"/>
        <w:lang w:eastAsia="es-CO"/>
      </w:rPr>
      <w:t>:</w:t>
    </w:r>
    <w:r w:rsidRPr="00A211EE">
      <w:rPr>
        <w:rFonts w:ascii="Verdana" w:hAnsi="Verdana" w:eastAsia="Arial Nova" w:cs="Arial Nova"/>
        <w:b/>
        <w:color w:val="000000"/>
        <w:sz w:val="16"/>
        <w:szCs w:val="16"/>
        <w:lang w:eastAsia="es-CO"/>
      </w:rPr>
      <w:t xml:space="preserve"> </w:t>
    </w:r>
    <w:r w:rsidRPr="00A211EE">
      <w:rPr>
        <w:rFonts w:ascii="Verdana" w:hAnsi="Verdana" w:eastAsia="Geo" w:cs="Geo"/>
        <w:sz w:val="16"/>
        <w:szCs w:val="16"/>
        <w:lang w:eastAsia="es-CO"/>
      </w:rPr>
      <w:t>01 Fecha:15-06-2023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8508BA" w:rsidP="00B30448" w:rsidRDefault="008508BA" w14:paraId="07E42980" w14:textId="77777777">
      <w:pPr>
        <w:spacing w:after="0" w:line="240" w:lineRule="auto"/>
      </w:pPr>
      <w:r>
        <w:separator/>
      </w:r>
    </w:p>
  </w:footnote>
  <w:footnote w:type="continuationSeparator" w:id="0">
    <w:p w:rsidR="008508BA" w:rsidP="00B30448" w:rsidRDefault="008508BA" w14:paraId="6B098856" w14:textId="77777777">
      <w:pPr>
        <w:spacing w:after="0" w:line="240" w:lineRule="auto"/>
      </w:pPr>
      <w:r>
        <w:continuationSeparator/>
      </w:r>
    </w:p>
  </w:footnote>
  <w:footnote w:type="continuationNotice" w:id="1">
    <w:p w:rsidR="008508BA" w:rsidRDefault="008508BA" w14:paraId="56073293"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006F59" w:rsidP="00006F59" w:rsidRDefault="00006F59" w14:paraId="5F149BFF" w14:textId="77777777">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4812B632" wp14:editId="2E35C64A">
          <wp:simplePos x="0" y="0"/>
          <wp:positionH relativeFrom="margin">
            <wp:align>center</wp:align>
          </wp:positionH>
          <wp:positionV relativeFrom="paragraph">
            <wp:posOffset>-250190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8240" behindDoc="0" locked="0" layoutInCell="1" allowOverlap="1" wp14:anchorId="292DC36A" wp14:editId="6004C65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rsidR="00006F59" w:rsidP="00006F59" w:rsidRDefault="00006F59" w14:paraId="34B171C2" w14:textId="77777777">
    <w:pPr>
      <w:pStyle w:val="Encabezado"/>
      <w:jc w:val="center"/>
    </w:pPr>
  </w:p>
  <w:p w:rsidR="00006F59" w:rsidP="00006F59" w:rsidRDefault="00006F59" w14:paraId="1665FD71" w14:textId="77777777">
    <w:pPr>
      <w:pStyle w:val="Encabezado"/>
    </w:pPr>
  </w:p>
  <w:p w:rsidR="00006F59" w:rsidP="00006F59" w:rsidRDefault="00006F59" w14:paraId="61B882FC" w14:textId="77777777">
    <w:pPr>
      <w:spacing w:after="0"/>
      <w:rPr>
        <w:rFonts w:ascii="Verdana" w:hAnsi="Verdana"/>
        <w:b/>
        <w:bCs/>
        <w:sz w:val="24"/>
        <w:szCs w:val="24"/>
      </w:rPr>
    </w:pPr>
  </w:p>
  <w:p w:rsidRPr="00006F59" w:rsidR="00B30448" w:rsidP="00526081" w:rsidRDefault="00006F59" w14:paraId="68E0C024" w14:textId="1397968E">
    <w:pPr>
      <w:tabs>
        <w:tab w:val="left" w:pos="6217"/>
      </w:tabs>
      <w:spacing w:after="0"/>
    </w:pPr>
    <w:r w:rsidRPr="00A211EE">
      <w:rPr>
        <w:rFonts w:ascii="Verdana" w:hAnsi="Verdana"/>
        <w:b/>
        <w:bCs/>
        <w:sz w:val="24"/>
        <w:szCs w:val="24"/>
      </w:rPr>
      <w:t>FORMATO 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B65CF2"/>
    <w:multiLevelType w:val="hybridMultilevel"/>
    <w:tmpl w:val="3282F59C"/>
    <w:lvl w:ilvl="0" w:tplc="77521894">
      <w:start w:val="1"/>
      <w:numFmt w:val="upperRoman"/>
      <w:lvlText w:val="%1."/>
      <w:lvlJc w:val="left"/>
      <w:pPr>
        <w:ind w:left="2136" w:hanging="720"/>
      </w:pPr>
      <w:rPr>
        <w:rFonts w:hint="default"/>
      </w:rPr>
    </w:lvl>
    <w:lvl w:ilvl="1" w:tplc="580A0019" w:tentative="1">
      <w:start w:val="1"/>
      <w:numFmt w:val="lowerLetter"/>
      <w:lvlText w:val="%2."/>
      <w:lvlJc w:val="left"/>
      <w:pPr>
        <w:ind w:left="2496" w:hanging="360"/>
      </w:pPr>
    </w:lvl>
    <w:lvl w:ilvl="2" w:tplc="580A001B" w:tentative="1">
      <w:start w:val="1"/>
      <w:numFmt w:val="lowerRoman"/>
      <w:lvlText w:val="%3."/>
      <w:lvlJc w:val="right"/>
      <w:pPr>
        <w:ind w:left="3216" w:hanging="180"/>
      </w:pPr>
    </w:lvl>
    <w:lvl w:ilvl="3" w:tplc="580A000F" w:tentative="1">
      <w:start w:val="1"/>
      <w:numFmt w:val="decimal"/>
      <w:lvlText w:val="%4."/>
      <w:lvlJc w:val="left"/>
      <w:pPr>
        <w:ind w:left="3936" w:hanging="360"/>
      </w:pPr>
    </w:lvl>
    <w:lvl w:ilvl="4" w:tplc="580A0019" w:tentative="1">
      <w:start w:val="1"/>
      <w:numFmt w:val="lowerLetter"/>
      <w:lvlText w:val="%5."/>
      <w:lvlJc w:val="left"/>
      <w:pPr>
        <w:ind w:left="4656" w:hanging="360"/>
      </w:pPr>
    </w:lvl>
    <w:lvl w:ilvl="5" w:tplc="580A001B" w:tentative="1">
      <w:start w:val="1"/>
      <w:numFmt w:val="lowerRoman"/>
      <w:lvlText w:val="%6."/>
      <w:lvlJc w:val="right"/>
      <w:pPr>
        <w:ind w:left="5376" w:hanging="180"/>
      </w:pPr>
    </w:lvl>
    <w:lvl w:ilvl="6" w:tplc="580A000F" w:tentative="1">
      <w:start w:val="1"/>
      <w:numFmt w:val="decimal"/>
      <w:lvlText w:val="%7."/>
      <w:lvlJc w:val="left"/>
      <w:pPr>
        <w:ind w:left="6096" w:hanging="360"/>
      </w:pPr>
    </w:lvl>
    <w:lvl w:ilvl="7" w:tplc="580A0019" w:tentative="1">
      <w:start w:val="1"/>
      <w:numFmt w:val="lowerLetter"/>
      <w:lvlText w:val="%8."/>
      <w:lvlJc w:val="left"/>
      <w:pPr>
        <w:ind w:left="6816" w:hanging="360"/>
      </w:pPr>
    </w:lvl>
    <w:lvl w:ilvl="8" w:tplc="580A001B" w:tentative="1">
      <w:start w:val="1"/>
      <w:numFmt w:val="lowerRoman"/>
      <w:lvlText w:val="%9."/>
      <w:lvlJc w:val="right"/>
      <w:pPr>
        <w:ind w:left="7536" w:hanging="180"/>
      </w:pPr>
    </w:lvl>
  </w:abstractNum>
  <w:abstractNum w:abstractNumId="1" w15:restartNumberingAfterBreak="0">
    <w:nsid w:val="01C06310"/>
    <w:multiLevelType w:val="multilevel"/>
    <w:tmpl w:val="47FE4C7E"/>
    <w:lvl w:ilvl="0">
      <w:start w:val="1"/>
      <w:numFmt w:val="upperRoman"/>
      <w:lvlText w:val="%1."/>
      <w:lvlJc w:val="right"/>
      <w:pPr>
        <w:ind w:left="1494" w:hanging="360"/>
      </w:pPr>
      <w:rPr>
        <w:b/>
        <w:color w:val="000000" w:themeColor="text1"/>
      </w:rPr>
    </w:lvl>
    <w:lvl w:ilvl="1">
      <w:start w:val="2"/>
      <w:numFmt w:val="decimal"/>
      <w:isLgl/>
      <w:lvlText w:val="%1.%2"/>
      <w:lvlJc w:val="left"/>
      <w:pPr>
        <w:ind w:left="1134" w:hanging="360"/>
      </w:pPr>
    </w:lvl>
    <w:lvl w:ilvl="2">
      <w:start w:val="1"/>
      <w:numFmt w:val="decimal"/>
      <w:isLgl/>
      <w:lvlText w:val="%1.%2.%3"/>
      <w:lvlJc w:val="left"/>
      <w:pPr>
        <w:ind w:left="1854" w:hanging="720"/>
      </w:pPr>
    </w:lvl>
    <w:lvl w:ilvl="3">
      <w:start w:val="1"/>
      <w:numFmt w:val="decimal"/>
      <w:isLgl/>
      <w:lvlText w:val="%1.%2.%3.%4"/>
      <w:lvlJc w:val="left"/>
      <w:pPr>
        <w:ind w:left="1854" w:hanging="720"/>
      </w:pPr>
    </w:lvl>
    <w:lvl w:ilvl="4">
      <w:start w:val="1"/>
      <w:numFmt w:val="decimal"/>
      <w:isLgl/>
      <w:lvlText w:val="%1.%2.%3.%4.%5"/>
      <w:lvlJc w:val="left"/>
      <w:pPr>
        <w:ind w:left="2214" w:hanging="1080"/>
      </w:pPr>
    </w:lvl>
    <w:lvl w:ilvl="5">
      <w:start w:val="1"/>
      <w:numFmt w:val="decimal"/>
      <w:isLgl/>
      <w:lvlText w:val="%1.%2.%3.%4.%5.%6"/>
      <w:lvlJc w:val="left"/>
      <w:pPr>
        <w:ind w:left="2214" w:hanging="1080"/>
      </w:pPr>
    </w:lvl>
    <w:lvl w:ilvl="6">
      <w:start w:val="1"/>
      <w:numFmt w:val="decimal"/>
      <w:isLgl/>
      <w:lvlText w:val="%1.%2.%3.%4.%5.%6.%7"/>
      <w:lvlJc w:val="left"/>
      <w:pPr>
        <w:ind w:left="2574" w:hanging="1440"/>
      </w:pPr>
    </w:lvl>
    <w:lvl w:ilvl="7">
      <w:start w:val="1"/>
      <w:numFmt w:val="decimal"/>
      <w:isLgl/>
      <w:lvlText w:val="%1.%2.%3.%4.%5.%6.%7.%8"/>
      <w:lvlJc w:val="left"/>
      <w:pPr>
        <w:ind w:left="2574" w:hanging="1440"/>
      </w:pPr>
    </w:lvl>
    <w:lvl w:ilvl="8">
      <w:start w:val="1"/>
      <w:numFmt w:val="decimal"/>
      <w:isLgl/>
      <w:lvlText w:val="%1.%2.%3.%4.%5.%6.%7.%8.%9"/>
      <w:lvlJc w:val="left"/>
      <w:pPr>
        <w:ind w:left="2934" w:hanging="1800"/>
      </w:pPr>
    </w:lvl>
  </w:abstractNum>
  <w:abstractNum w:abstractNumId="2" w15:restartNumberingAfterBreak="0">
    <w:nsid w:val="0DF100D8"/>
    <w:multiLevelType w:val="hybridMultilevel"/>
    <w:tmpl w:val="3BB0570E"/>
    <w:lvl w:ilvl="0" w:tplc="580A0001">
      <w:start w:val="1"/>
      <w:numFmt w:val="bullet"/>
      <w:lvlText w:val=""/>
      <w:lvlJc w:val="left"/>
      <w:pPr>
        <w:ind w:left="720" w:hanging="360"/>
      </w:pPr>
      <w:rPr>
        <w:rFonts w:hint="default" w:ascii="Symbol" w:hAnsi="Symbol"/>
      </w:rPr>
    </w:lvl>
    <w:lvl w:ilvl="1" w:tplc="580A0003">
      <w:start w:val="1"/>
      <w:numFmt w:val="bullet"/>
      <w:lvlText w:val="o"/>
      <w:lvlJc w:val="left"/>
      <w:pPr>
        <w:ind w:left="1440" w:hanging="360"/>
      </w:pPr>
      <w:rPr>
        <w:rFonts w:hint="default" w:ascii="Courier New" w:hAnsi="Courier New" w:cs="Courier New"/>
      </w:rPr>
    </w:lvl>
    <w:lvl w:ilvl="2" w:tplc="580A0005" w:tentative="1">
      <w:start w:val="1"/>
      <w:numFmt w:val="bullet"/>
      <w:lvlText w:val=""/>
      <w:lvlJc w:val="left"/>
      <w:pPr>
        <w:ind w:left="2160" w:hanging="360"/>
      </w:pPr>
      <w:rPr>
        <w:rFonts w:hint="default" w:ascii="Wingdings" w:hAnsi="Wingdings"/>
      </w:rPr>
    </w:lvl>
    <w:lvl w:ilvl="3" w:tplc="580A0001" w:tentative="1">
      <w:start w:val="1"/>
      <w:numFmt w:val="bullet"/>
      <w:lvlText w:val=""/>
      <w:lvlJc w:val="left"/>
      <w:pPr>
        <w:ind w:left="2880" w:hanging="360"/>
      </w:pPr>
      <w:rPr>
        <w:rFonts w:hint="default" w:ascii="Symbol" w:hAnsi="Symbol"/>
      </w:rPr>
    </w:lvl>
    <w:lvl w:ilvl="4" w:tplc="580A0003" w:tentative="1">
      <w:start w:val="1"/>
      <w:numFmt w:val="bullet"/>
      <w:lvlText w:val="o"/>
      <w:lvlJc w:val="left"/>
      <w:pPr>
        <w:ind w:left="3600" w:hanging="360"/>
      </w:pPr>
      <w:rPr>
        <w:rFonts w:hint="default" w:ascii="Courier New" w:hAnsi="Courier New" w:cs="Courier New"/>
      </w:rPr>
    </w:lvl>
    <w:lvl w:ilvl="5" w:tplc="580A0005" w:tentative="1">
      <w:start w:val="1"/>
      <w:numFmt w:val="bullet"/>
      <w:lvlText w:val=""/>
      <w:lvlJc w:val="left"/>
      <w:pPr>
        <w:ind w:left="4320" w:hanging="360"/>
      </w:pPr>
      <w:rPr>
        <w:rFonts w:hint="default" w:ascii="Wingdings" w:hAnsi="Wingdings"/>
      </w:rPr>
    </w:lvl>
    <w:lvl w:ilvl="6" w:tplc="580A0001" w:tentative="1">
      <w:start w:val="1"/>
      <w:numFmt w:val="bullet"/>
      <w:lvlText w:val=""/>
      <w:lvlJc w:val="left"/>
      <w:pPr>
        <w:ind w:left="5040" w:hanging="360"/>
      </w:pPr>
      <w:rPr>
        <w:rFonts w:hint="default" w:ascii="Symbol" w:hAnsi="Symbol"/>
      </w:rPr>
    </w:lvl>
    <w:lvl w:ilvl="7" w:tplc="580A0003" w:tentative="1">
      <w:start w:val="1"/>
      <w:numFmt w:val="bullet"/>
      <w:lvlText w:val="o"/>
      <w:lvlJc w:val="left"/>
      <w:pPr>
        <w:ind w:left="5760" w:hanging="360"/>
      </w:pPr>
      <w:rPr>
        <w:rFonts w:hint="default" w:ascii="Courier New" w:hAnsi="Courier New" w:cs="Courier New"/>
      </w:rPr>
    </w:lvl>
    <w:lvl w:ilvl="8" w:tplc="580A0005" w:tentative="1">
      <w:start w:val="1"/>
      <w:numFmt w:val="bullet"/>
      <w:lvlText w:val=""/>
      <w:lvlJc w:val="left"/>
      <w:pPr>
        <w:ind w:left="6480" w:hanging="360"/>
      </w:pPr>
      <w:rPr>
        <w:rFonts w:hint="default" w:ascii="Wingdings" w:hAnsi="Wingdings"/>
      </w:rPr>
    </w:lvl>
  </w:abstractNum>
  <w:abstractNum w:abstractNumId="3" w15:restartNumberingAfterBreak="0">
    <w:nsid w:val="0EA6317D"/>
    <w:multiLevelType w:val="hybridMultilevel"/>
    <w:tmpl w:val="3C7A85FC"/>
    <w:lvl w:ilvl="0" w:tplc="01C08E36">
      <w:start w:val="1"/>
      <w:numFmt w:val="upperRoman"/>
      <w:lvlText w:val="%1."/>
      <w:lvlJc w:val="left"/>
      <w:pPr>
        <w:ind w:left="1080" w:hanging="72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4" w15:restartNumberingAfterBreak="0">
    <w:nsid w:val="16C416DE"/>
    <w:multiLevelType w:val="multilevel"/>
    <w:tmpl w:val="E304CA9A"/>
    <w:lvl w:ilvl="0">
      <w:start w:val="2"/>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5" w15:restartNumberingAfterBreak="0">
    <w:nsid w:val="189B2230"/>
    <w:multiLevelType w:val="hybridMultilevel"/>
    <w:tmpl w:val="372A92AE"/>
    <w:lvl w:ilvl="0" w:tplc="C1A6A0E0">
      <w:start w:val="4"/>
      <w:numFmt w:val="upperRoman"/>
      <w:lvlText w:val="%1."/>
      <w:lvlJc w:val="left"/>
      <w:pPr>
        <w:ind w:left="1080" w:hanging="72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6" w15:restartNumberingAfterBreak="0">
    <w:nsid w:val="1E8C274E"/>
    <w:multiLevelType w:val="hybridMultilevel"/>
    <w:tmpl w:val="95DA53EC"/>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7" w15:restartNumberingAfterBreak="0">
    <w:nsid w:val="27341EAA"/>
    <w:multiLevelType w:val="hybridMultilevel"/>
    <w:tmpl w:val="3EB4D5E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2CFF7C1D"/>
    <w:multiLevelType w:val="hybridMultilevel"/>
    <w:tmpl w:val="696EF856"/>
    <w:lvl w:ilvl="0" w:tplc="4D96D3BC">
      <w:start w:val="1"/>
      <w:numFmt w:val="upperRoman"/>
      <w:lvlText w:val="%1."/>
      <w:lvlJc w:val="left"/>
      <w:pPr>
        <w:ind w:left="1428" w:hanging="720"/>
      </w:pPr>
      <w:rPr>
        <w:rFonts w:hint="default"/>
      </w:rPr>
    </w:lvl>
    <w:lvl w:ilvl="1" w:tplc="580A0019" w:tentative="1">
      <w:start w:val="1"/>
      <w:numFmt w:val="lowerLetter"/>
      <w:lvlText w:val="%2."/>
      <w:lvlJc w:val="left"/>
      <w:pPr>
        <w:ind w:left="1788" w:hanging="360"/>
      </w:pPr>
    </w:lvl>
    <w:lvl w:ilvl="2" w:tplc="580A001B" w:tentative="1">
      <w:start w:val="1"/>
      <w:numFmt w:val="lowerRoman"/>
      <w:lvlText w:val="%3."/>
      <w:lvlJc w:val="right"/>
      <w:pPr>
        <w:ind w:left="2508" w:hanging="180"/>
      </w:pPr>
    </w:lvl>
    <w:lvl w:ilvl="3" w:tplc="580A000F" w:tentative="1">
      <w:start w:val="1"/>
      <w:numFmt w:val="decimal"/>
      <w:lvlText w:val="%4."/>
      <w:lvlJc w:val="left"/>
      <w:pPr>
        <w:ind w:left="3228" w:hanging="360"/>
      </w:pPr>
    </w:lvl>
    <w:lvl w:ilvl="4" w:tplc="580A0019" w:tentative="1">
      <w:start w:val="1"/>
      <w:numFmt w:val="lowerLetter"/>
      <w:lvlText w:val="%5."/>
      <w:lvlJc w:val="left"/>
      <w:pPr>
        <w:ind w:left="3948" w:hanging="360"/>
      </w:pPr>
    </w:lvl>
    <w:lvl w:ilvl="5" w:tplc="580A001B" w:tentative="1">
      <w:start w:val="1"/>
      <w:numFmt w:val="lowerRoman"/>
      <w:lvlText w:val="%6."/>
      <w:lvlJc w:val="right"/>
      <w:pPr>
        <w:ind w:left="4668" w:hanging="180"/>
      </w:pPr>
    </w:lvl>
    <w:lvl w:ilvl="6" w:tplc="580A000F" w:tentative="1">
      <w:start w:val="1"/>
      <w:numFmt w:val="decimal"/>
      <w:lvlText w:val="%7."/>
      <w:lvlJc w:val="left"/>
      <w:pPr>
        <w:ind w:left="5388" w:hanging="360"/>
      </w:pPr>
    </w:lvl>
    <w:lvl w:ilvl="7" w:tplc="580A0019" w:tentative="1">
      <w:start w:val="1"/>
      <w:numFmt w:val="lowerLetter"/>
      <w:lvlText w:val="%8."/>
      <w:lvlJc w:val="left"/>
      <w:pPr>
        <w:ind w:left="6108" w:hanging="360"/>
      </w:pPr>
    </w:lvl>
    <w:lvl w:ilvl="8" w:tplc="580A001B" w:tentative="1">
      <w:start w:val="1"/>
      <w:numFmt w:val="lowerRoman"/>
      <w:lvlText w:val="%9."/>
      <w:lvlJc w:val="right"/>
      <w:pPr>
        <w:ind w:left="6828" w:hanging="180"/>
      </w:pPr>
    </w:lvl>
  </w:abstractNum>
  <w:abstractNum w:abstractNumId="9" w15:restartNumberingAfterBreak="0">
    <w:nsid w:val="318E5EF0"/>
    <w:multiLevelType w:val="hybridMultilevel"/>
    <w:tmpl w:val="BAEA2E58"/>
    <w:lvl w:ilvl="0" w:tplc="040A0001">
      <w:start w:val="1"/>
      <w:numFmt w:val="bullet"/>
      <w:lvlText w:val=""/>
      <w:lvlJc w:val="left"/>
      <w:pPr>
        <w:ind w:left="720" w:hanging="360"/>
      </w:pPr>
      <w:rPr>
        <w:rFonts w:hint="default" w:ascii="Symbol" w:hAnsi="Symbol"/>
      </w:rPr>
    </w:lvl>
    <w:lvl w:ilvl="1" w:tplc="040A0003" w:tentative="1">
      <w:start w:val="1"/>
      <w:numFmt w:val="bullet"/>
      <w:lvlText w:val="o"/>
      <w:lvlJc w:val="left"/>
      <w:pPr>
        <w:ind w:left="1440" w:hanging="360"/>
      </w:pPr>
      <w:rPr>
        <w:rFonts w:hint="default" w:ascii="Courier New" w:hAnsi="Courier New" w:cs="Courier New"/>
      </w:rPr>
    </w:lvl>
    <w:lvl w:ilvl="2" w:tplc="040A0005" w:tentative="1">
      <w:start w:val="1"/>
      <w:numFmt w:val="bullet"/>
      <w:lvlText w:val=""/>
      <w:lvlJc w:val="left"/>
      <w:pPr>
        <w:ind w:left="2160" w:hanging="360"/>
      </w:pPr>
      <w:rPr>
        <w:rFonts w:hint="default" w:ascii="Wingdings" w:hAnsi="Wingdings"/>
      </w:rPr>
    </w:lvl>
    <w:lvl w:ilvl="3" w:tplc="040A0001" w:tentative="1">
      <w:start w:val="1"/>
      <w:numFmt w:val="bullet"/>
      <w:lvlText w:val=""/>
      <w:lvlJc w:val="left"/>
      <w:pPr>
        <w:ind w:left="2880" w:hanging="360"/>
      </w:pPr>
      <w:rPr>
        <w:rFonts w:hint="default" w:ascii="Symbol" w:hAnsi="Symbol"/>
      </w:rPr>
    </w:lvl>
    <w:lvl w:ilvl="4" w:tplc="040A0003" w:tentative="1">
      <w:start w:val="1"/>
      <w:numFmt w:val="bullet"/>
      <w:lvlText w:val="o"/>
      <w:lvlJc w:val="left"/>
      <w:pPr>
        <w:ind w:left="3600" w:hanging="360"/>
      </w:pPr>
      <w:rPr>
        <w:rFonts w:hint="default" w:ascii="Courier New" w:hAnsi="Courier New" w:cs="Courier New"/>
      </w:rPr>
    </w:lvl>
    <w:lvl w:ilvl="5" w:tplc="040A0005" w:tentative="1">
      <w:start w:val="1"/>
      <w:numFmt w:val="bullet"/>
      <w:lvlText w:val=""/>
      <w:lvlJc w:val="left"/>
      <w:pPr>
        <w:ind w:left="4320" w:hanging="360"/>
      </w:pPr>
      <w:rPr>
        <w:rFonts w:hint="default" w:ascii="Wingdings" w:hAnsi="Wingdings"/>
      </w:rPr>
    </w:lvl>
    <w:lvl w:ilvl="6" w:tplc="040A0001" w:tentative="1">
      <w:start w:val="1"/>
      <w:numFmt w:val="bullet"/>
      <w:lvlText w:val=""/>
      <w:lvlJc w:val="left"/>
      <w:pPr>
        <w:ind w:left="5040" w:hanging="360"/>
      </w:pPr>
      <w:rPr>
        <w:rFonts w:hint="default" w:ascii="Symbol" w:hAnsi="Symbol"/>
      </w:rPr>
    </w:lvl>
    <w:lvl w:ilvl="7" w:tplc="040A0003" w:tentative="1">
      <w:start w:val="1"/>
      <w:numFmt w:val="bullet"/>
      <w:lvlText w:val="o"/>
      <w:lvlJc w:val="left"/>
      <w:pPr>
        <w:ind w:left="5760" w:hanging="360"/>
      </w:pPr>
      <w:rPr>
        <w:rFonts w:hint="default" w:ascii="Courier New" w:hAnsi="Courier New" w:cs="Courier New"/>
      </w:rPr>
    </w:lvl>
    <w:lvl w:ilvl="8" w:tplc="040A0005" w:tentative="1">
      <w:start w:val="1"/>
      <w:numFmt w:val="bullet"/>
      <w:lvlText w:val=""/>
      <w:lvlJc w:val="left"/>
      <w:pPr>
        <w:ind w:left="6480" w:hanging="360"/>
      </w:pPr>
      <w:rPr>
        <w:rFonts w:hint="default" w:ascii="Wingdings" w:hAnsi="Wingdings"/>
      </w:rPr>
    </w:lvl>
  </w:abstractNum>
  <w:abstractNum w:abstractNumId="10" w15:restartNumberingAfterBreak="0">
    <w:nsid w:val="39D726F5"/>
    <w:multiLevelType w:val="hybridMultilevel"/>
    <w:tmpl w:val="7BDC1A10"/>
    <w:lvl w:ilvl="0" w:tplc="040A0001">
      <w:start w:val="1"/>
      <w:numFmt w:val="bullet"/>
      <w:lvlText w:val=""/>
      <w:lvlJc w:val="left"/>
      <w:pPr>
        <w:ind w:left="6" w:hanging="360"/>
      </w:pPr>
      <w:rPr>
        <w:rFonts w:hint="default" w:ascii="Symbol" w:hAnsi="Symbol"/>
      </w:rPr>
    </w:lvl>
    <w:lvl w:ilvl="1" w:tplc="040A0003" w:tentative="1">
      <w:start w:val="1"/>
      <w:numFmt w:val="bullet"/>
      <w:lvlText w:val="o"/>
      <w:lvlJc w:val="left"/>
      <w:pPr>
        <w:ind w:left="726" w:hanging="360"/>
      </w:pPr>
      <w:rPr>
        <w:rFonts w:hint="default" w:ascii="Courier New" w:hAnsi="Courier New" w:cs="Courier New"/>
      </w:rPr>
    </w:lvl>
    <w:lvl w:ilvl="2" w:tplc="040A0005" w:tentative="1">
      <w:start w:val="1"/>
      <w:numFmt w:val="bullet"/>
      <w:lvlText w:val=""/>
      <w:lvlJc w:val="left"/>
      <w:pPr>
        <w:ind w:left="1446" w:hanging="360"/>
      </w:pPr>
      <w:rPr>
        <w:rFonts w:hint="default" w:ascii="Wingdings" w:hAnsi="Wingdings"/>
      </w:rPr>
    </w:lvl>
    <w:lvl w:ilvl="3" w:tplc="040A0001" w:tentative="1">
      <w:start w:val="1"/>
      <w:numFmt w:val="bullet"/>
      <w:lvlText w:val=""/>
      <w:lvlJc w:val="left"/>
      <w:pPr>
        <w:ind w:left="2166" w:hanging="360"/>
      </w:pPr>
      <w:rPr>
        <w:rFonts w:hint="default" w:ascii="Symbol" w:hAnsi="Symbol"/>
      </w:rPr>
    </w:lvl>
    <w:lvl w:ilvl="4" w:tplc="040A0003" w:tentative="1">
      <w:start w:val="1"/>
      <w:numFmt w:val="bullet"/>
      <w:lvlText w:val="o"/>
      <w:lvlJc w:val="left"/>
      <w:pPr>
        <w:ind w:left="2886" w:hanging="360"/>
      </w:pPr>
      <w:rPr>
        <w:rFonts w:hint="default" w:ascii="Courier New" w:hAnsi="Courier New" w:cs="Courier New"/>
      </w:rPr>
    </w:lvl>
    <w:lvl w:ilvl="5" w:tplc="040A0005" w:tentative="1">
      <w:start w:val="1"/>
      <w:numFmt w:val="bullet"/>
      <w:lvlText w:val=""/>
      <w:lvlJc w:val="left"/>
      <w:pPr>
        <w:ind w:left="3606" w:hanging="360"/>
      </w:pPr>
      <w:rPr>
        <w:rFonts w:hint="default" w:ascii="Wingdings" w:hAnsi="Wingdings"/>
      </w:rPr>
    </w:lvl>
    <w:lvl w:ilvl="6" w:tplc="040A0001" w:tentative="1">
      <w:start w:val="1"/>
      <w:numFmt w:val="bullet"/>
      <w:lvlText w:val=""/>
      <w:lvlJc w:val="left"/>
      <w:pPr>
        <w:ind w:left="4326" w:hanging="360"/>
      </w:pPr>
      <w:rPr>
        <w:rFonts w:hint="default" w:ascii="Symbol" w:hAnsi="Symbol"/>
      </w:rPr>
    </w:lvl>
    <w:lvl w:ilvl="7" w:tplc="040A0003" w:tentative="1">
      <w:start w:val="1"/>
      <w:numFmt w:val="bullet"/>
      <w:lvlText w:val="o"/>
      <w:lvlJc w:val="left"/>
      <w:pPr>
        <w:ind w:left="5046" w:hanging="360"/>
      </w:pPr>
      <w:rPr>
        <w:rFonts w:hint="default" w:ascii="Courier New" w:hAnsi="Courier New" w:cs="Courier New"/>
      </w:rPr>
    </w:lvl>
    <w:lvl w:ilvl="8" w:tplc="040A0005" w:tentative="1">
      <w:start w:val="1"/>
      <w:numFmt w:val="bullet"/>
      <w:lvlText w:val=""/>
      <w:lvlJc w:val="left"/>
      <w:pPr>
        <w:ind w:left="5766" w:hanging="360"/>
      </w:pPr>
      <w:rPr>
        <w:rFonts w:hint="default" w:ascii="Wingdings" w:hAnsi="Wingdings"/>
      </w:rPr>
    </w:lvl>
  </w:abstractNum>
  <w:abstractNum w:abstractNumId="11" w15:restartNumberingAfterBreak="0">
    <w:nsid w:val="3CEB31C5"/>
    <w:multiLevelType w:val="multilevel"/>
    <w:tmpl w:val="17C2AED0"/>
    <w:lvl w:ilvl="0">
      <w:start w:val="3"/>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2" w15:restartNumberingAfterBreak="0">
    <w:nsid w:val="40536352"/>
    <w:multiLevelType w:val="hybridMultilevel"/>
    <w:tmpl w:val="3BFEF5E8"/>
    <w:lvl w:ilvl="0" w:tplc="0F0C8582">
      <w:start w:val="3"/>
      <w:numFmt w:val="upperRoman"/>
      <w:lvlText w:val="%1."/>
      <w:lvlJc w:val="left"/>
      <w:pPr>
        <w:ind w:left="2136" w:hanging="72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3" w15:restartNumberingAfterBreak="0">
    <w:nsid w:val="4C8F5A50"/>
    <w:multiLevelType w:val="hybridMultilevel"/>
    <w:tmpl w:val="F7BA2FD4"/>
    <w:lvl w:ilvl="0" w:tplc="580A0001">
      <w:start w:val="1"/>
      <w:numFmt w:val="bullet"/>
      <w:lvlText w:val=""/>
      <w:lvlJc w:val="left"/>
      <w:pPr>
        <w:ind w:left="1147" w:hanging="360"/>
      </w:pPr>
      <w:rPr>
        <w:rFonts w:hint="default" w:ascii="Symbol" w:hAnsi="Symbol"/>
      </w:rPr>
    </w:lvl>
    <w:lvl w:ilvl="1" w:tplc="580A0003" w:tentative="1">
      <w:start w:val="1"/>
      <w:numFmt w:val="bullet"/>
      <w:lvlText w:val="o"/>
      <w:lvlJc w:val="left"/>
      <w:pPr>
        <w:ind w:left="1867" w:hanging="360"/>
      </w:pPr>
      <w:rPr>
        <w:rFonts w:hint="default" w:ascii="Courier New" w:hAnsi="Courier New" w:cs="Courier New"/>
      </w:rPr>
    </w:lvl>
    <w:lvl w:ilvl="2" w:tplc="580A0005" w:tentative="1">
      <w:start w:val="1"/>
      <w:numFmt w:val="bullet"/>
      <w:lvlText w:val=""/>
      <w:lvlJc w:val="left"/>
      <w:pPr>
        <w:ind w:left="2587" w:hanging="360"/>
      </w:pPr>
      <w:rPr>
        <w:rFonts w:hint="default" w:ascii="Wingdings" w:hAnsi="Wingdings"/>
      </w:rPr>
    </w:lvl>
    <w:lvl w:ilvl="3" w:tplc="580A0001" w:tentative="1">
      <w:start w:val="1"/>
      <w:numFmt w:val="bullet"/>
      <w:lvlText w:val=""/>
      <w:lvlJc w:val="left"/>
      <w:pPr>
        <w:ind w:left="3307" w:hanging="360"/>
      </w:pPr>
      <w:rPr>
        <w:rFonts w:hint="default" w:ascii="Symbol" w:hAnsi="Symbol"/>
      </w:rPr>
    </w:lvl>
    <w:lvl w:ilvl="4" w:tplc="580A0003" w:tentative="1">
      <w:start w:val="1"/>
      <w:numFmt w:val="bullet"/>
      <w:lvlText w:val="o"/>
      <w:lvlJc w:val="left"/>
      <w:pPr>
        <w:ind w:left="4027" w:hanging="360"/>
      </w:pPr>
      <w:rPr>
        <w:rFonts w:hint="default" w:ascii="Courier New" w:hAnsi="Courier New" w:cs="Courier New"/>
      </w:rPr>
    </w:lvl>
    <w:lvl w:ilvl="5" w:tplc="580A0005" w:tentative="1">
      <w:start w:val="1"/>
      <w:numFmt w:val="bullet"/>
      <w:lvlText w:val=""/>
      <w:lvlJc w:val="left"/>
      <w:pPr>
        <w:ind w:left="4747" w:hanging="360"/>
      </w:pPr>
      <w:rPr>
        <w:rFonts w:hint="default" w:ascii="Wingdings" w:hAnsi="Wingdings"/>
      </w:rPr>
    </w:lvl>
    <w:lvl w:ilvl="6" w:tplc="580A0001" w:tentative="1">
      <w:start w:val="1"/>
      <w:numFmt w:val="bullet"/>
      <w:lvlText w:val=""/>
      <w:lvlJc w:val="left"/>
      <w:pPr>
        <w:ind w:left="5467" w:hanging="360"/>
      </w:pPr>
      <w:rPr>
        <w:rFonts w:hint="default" w:ascii="Symbol" w:hAnsi="Symbol"/>
      </w:rPr>
    </w:lvl>
    <w:lvl w:ilvl="7" w:tplc="580A0003" w:tentative="1">
      <w:start w:val="1"/>
      <w:numFmt w:val="bullet"/>
      <w:lvlText w:val="o"/>
      <w:lvlJc w:val="left"/>
      <w:pPr>
        <w:ind w:left="6187" w:hanging="360"/>
      </w:pPr>
      <w:rPr>
        <w:rFonts w:hint="default" w:ascii="Courier New" w:hAnsi="Courier New" w:cs="Courier New"/>
      </w:rPr>
    </w:lvl>
    <w:lvl w:ilvl="8" w:tplc="580A0005" w:tentative="1">
      <w:start w:val="1"/>
      <w:numFmt w:val="bullet"/>
      <w:lvlText w:val=""/>
      <w:lvlJc w:val="left"/>
      <w:pPr>
        <w:ind w:left="6907" w:hanging="360"/>
      </w:pPr>
      <w:rPr>
        <w:rFonts w:hint="default" w:ascii="Wingdings" w:hAnsi="Wingdings"/>
      </w:rPr>
    </w:lvl>
  </w:abstractNum>
  <w:abstractNum w:abstractNumId="14" w15:restartNumberingAfterBreak="0">
    <w:nsid w:val="58E80ACA"/>
    <w:multiLevelType w:val="multilevel"/>
    <w:tmpl w:val="4D44BBB2"/>
    <w:lvl w:ilvl="0">
      <w:start w:val="2"/>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5" w15:restartNumberingAfterBreak="0">
    <w:nsid w:val="60D401C1"/>
    <w:multiLevelType w:val="hybridMultilevel"/>
    <w:tmpl w:val="87EE4DBA"/>
    <w:lvl w:ilvl="0" w:tplc="FFFFFFFF">
      <w:start w:val="4"/>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65506FE4"/>
    <w:multiLevelType w:val="multilevel"/>
    <w:tmpl w:val="AAF4BCFA"/>
    <w:lvl w:ilvl="0">
      <w:start w:val="4"/>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7" w15:restartNumberingAfterBreak="0">
    <w:nsid w:val="684E39B7"/>
    <w:multiLevelType w:val="hybridMultilevel"/>
    <w:tmpl w:val="E774DC7E"/>
    <w:lvl w:ilvl="0" w:tplc="580A0001">
      <w:start w:val="1"/>
      <w:numFmt w:val="bullet"/>
      <w:lvlText w:val=""/>
      <w:lvlJc w:val="left"/>
      <w:pPr>
        <w:ind w:left="720" w:hanging="360"/>
      </w:pPr>
      <w:rPr>
        <w:rFonts w:hint="default" w:ascii="Symbol" w:hAnsi="Symbol"/>
      </w:rPr>
    </w:lvl>
    <w:lvl w:ilvl="1" w:tplc="580A0003" w:tentative="1">
      <w:start w:val="1"/>
      <w:numFmt w:val="bullet"/>
      <w:lvlText w:val="o"/>
      <w:lvlJc w:val="left"/>
      <w:pPr>
        <w:ind w:left="1440" w:hanging="360"/>
      </w:pPr>
      <w:rPr>
        <w:rFonts w:hint="default" w:ascii="Courier New" w:hAnsi="Courier New" w:cs="Courier New"/>
      </w:rPr>
    </w:lvl>
    <w:lvl w:ilvl="2" w:tplc="580A0005" w:tentative="1">
      <w:start w:val="1"/>
      <w:numFmt w:val="bullet"/>
      <w:lvlText w:val=""/>
      <w:lvlJc w:val="left"/>
      <w:pPr>
        <w:ind w:left="2160" w:hanging="360"/>
      </w:pPr>
      <w:rPr>
        <w:rFonts w:hint="default" w:ascii="Wingdings" w:hAnsi="Wingdings"/>
      </w:rPr>
    </w:lvl>
    <w:lvl w:ilvl="3" w:tplc="580A0001" w:tentative="1">
      <w:start w:val="1"/>
      <w:numFmt w:val="bullet"/>
      <w:lvlText w:val=""/>
      <w:lvlJc w:val="left"/>
      <w:pPr>
        <w:ind w:left="2880" w:hanging="360"/>
      </w:pPr>
      <w:rPr>
        <w:rFonts w:hint="default" w:ascii="Symbol" w:hAnsi="Symbol"/>
      </w:rPr>
    </w:lvl>
    <w:lvl w:ilvl="4" w:tplc="580A0003" w:tentative="1">
      <w:start w:val="1"/>
      <w:numFmt w:val="bullet"/>
      <w:lvlText w:val="o"/>
      <w:lvlJc w:val="left"/>
      <w:pPr>
        <w:ind w:left="3600" w:hanging="360"/>
      </w:pPr>
      <w:rPr>
        <w:rFonts w:hint="default" w:ascii="Courier New" w:hAnsi="Courier New" w:cs="Courier New"/>
      </w:rPr>
    </w:lvl>
    <w:lvl w:ilvl="5" w:tplc="580A0005" w:tentative="1">
      <w:start w:val="1"/>
      <w:numFmt w:val="bullet"/>
      <w:lvlText w:val=""/>
      <w:lvlJc w:val="left"/>
      <w:pPr>
        <w:ind w:left="4320" w:hanging="360"/>
      </w:pPr>
      <w:rPr>
        <w:rFonts w:hint="default" w:ascii="Wingdings" w:hAnsi="Wingdings"/>
      </w:rPr>
    </w:lvl>
    <w:lvl w:ilvl="6" w:tplc="580A0001" w:tentative="1">
      <w:start w:val="1"/>
      <w:numFmt w:val="bullet"/>
      <w:lvlText w:val=""/>
      <w:lvlJc w:val="left"/>
      <w:pPr>
        <w:ind w:left="5040" w:hanging="360"/>
      </w:pPr>
      <w:rPr>
        <w:rFonts w:hint="default" w:ascii="Symbol" w:hAnsi="Symbol"/>
      </w:rPr>
    </w:lvl>
    <w:lvl w:ilvl="7" w:tplc="580A0003" w:tentative="1">
      <w:start w:val="1"/>
      <w:numFmt w:val="bullet"/>
      <w:lvlText w:val="o"/>
      <w:lvlJc w:val="left"/>
      <w:pPr>
        <w:ind w:left="5760" w:hanging="360"/>
      </w:pPr>
      <w:rPr>
        <w:rFonts w:hint="default" w:ascii="Courier New" w:hAnsi="Courier New" w:cs="Courier New"/>
      </w:rPr>
    </w:lvl>
    <w:lvl w:ilvl="8" w:tplc="580A0005" w:tentative="1">
      <w:start w:val="1"/>
      <w:numFmt w:val="bullet"/>
      <w:lvlText w:val=""/>
      <w:lvlJc w:val="left"/>
      <w:pPr>
        <w:ind w:left="6480" w:hanging="360"/>
      </w:pPr>
      <w:rPr>
        <w:rFonts w:hint="default" w:ascii="Wingdings" w:hAnsi="Wingdings"/>
      </w:rPr>
    </w:lvl>
  </w:abstractNum>
  <w:abstractNum w:abstractNumId="18" w15:restartNumberingAfterBreak="0">
    <w:nsid w:val="6A9C2239"/>
    <w:multiLevelType w:val="multilevel"/>
    <w:tmpl w:val="43406D58"/>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9" w15:restartNumberingAfterBreak="0">
    <w:nsid w:val="7D585FD4"/>
    <w:multiLevelType w:val="hybridMultilevel"/>
    <w:tmpl w:val="09BE1512"/>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num w:numId="1" w16cid:durableId="1330140246">
    <w:abstractNumId w:val="1"/>
  </w:num>
  <w:num w:numId="2" w16cid:durableId="1492209491">
    <w:abstractNumId w:val="9"/>
  </w:num>
  <w:num w:numId="3" w16cid:durableId="679089576">
    <w:abstractNumId w:val="10"/>
  </w:num>
  <w:num w:numId="4" w16cid:durableId="1270817427">
    <w:abstractNumId w:val="7"/>
  </w:num>
  <w:num w:numId="5" w16cid:durableId="1206329769">
    <w:abstractNumId w:val="19"/>
  </w:num>
  <w:num w:numId="6" w16cid:durableId="776363746">
    <w:abstractNumId w:val="6"/>
  </w:num>
  <w:num w:numId="7" w16cid:durableId="614169450">
    <w:abstractNumId w:val="18"/>
  </w:num>
  <w:num w:numId="8" w16cid:durableId="334235364">
    <w:abstractNumId w:val="14"/>
  </w:num>
  <w:num w:numId="9" w16cid:durableId="57483220">
    <w:abstractNumId w:val="11"/>
  </w:num>
  <w:num w:numId="10" w16cid:durableId="872109732">
    <w:abstractNumId w:val="16"/>
  </w:num>
  <w:num w:numId="11" w16cid:durableId="565452798">
    <w:abstractNumId w:val="3"/>
  </w:num>
  <w:num w:numId="12" w16cid:durableId="2003122808">
    <w:abstractNumId w:val="4"/>
  </w:num>
  <w:num w:numId="13" w16cid:durableId="604731450">
    <w:abstractNumId w:val="8"/>
  </w:num>
  <w:num w:numId="14" w16cid:durableId="1030299717">
    <w:abstractNumId w:val="0"/>
  </w:num>
  <w:num w:numId="15" w16cid:durableId="461382018">
    <w:abstractNumId w:val="12"/>
  </w:num>
  <w:num w:numId="16" w16cid:durableId="365260255">
    <w:abstractNumId w:val="13"/>
  </w:num>
  <w:num w:numId="17" w16cid:durableId="1163282413">
    <w:abstractNumId w:val="2"/>
  </w:num>
  <w:num w:numId="18" w16cid:durableId="225606180">
    <w:abstractNumId w:val="5"/>
  </w:num>
  <w:num w:numId="19" w16cid:durableId="1536843838">
    <w:abstractNumId w:val="17"/>
  </w:num>
  <w:num w:numId="20" w16cid:durableId="1923833505">
    <w:abstractNumId w:val="1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ANCP-CCE">
    <w15:presenceInfo w15:providerId="None" w15:userId="ANCP-CC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trackRevisions w:val="false"/>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5BB0"/>
    <w:rsid w:val="00006F59"/>
    <w:rsid w:val="0001025F"/>
    <w:rsid w:val="0001222D"/>
    <w:rsid w:val="00013D73"/>
    <w:rsid w:val="00016F04"/>
    <w:rsid w:val="0002155A"/>
    <w:rsid w:val="000270E6"/>
    <w:rsid w:val="00027F0B"/>
    <w:rsid w:val="00031EAF"/>
    <w:rsid w:val="00033390"/>
    <w:rsid w:val="000442CC"/>
    <w:rsid w:val="00055312"/>
    <w:rsid w:val="00056C43"/>
    <w:rsid w:val="00057963"/>
    <w:rsid w:val="000609DE"/>
    <w:rsid w:val="000716AB"/>
    <w:rsid w:val="00071AB8"/>
    <w:rsid w:val="00087073"/>
    <w:rsid w:val="00087C01"/>
    <w:rsid w:val="00094663"/>
    <w:rsid w:val="000A1843"/>
    <w:rsid w:val="000B1FF7"/>
    <w:rsid w:val="000B4024"/>
    <w:rsid w:val="000C060A"/>
    <w:rsid w:val="000D6816"/>
    <w:rsid w:val="000E7C5E"/>
    <w:rsid w:val="000F1AD8"/>
    <w:rsid w:val="000F414C"/>
    <w:rsid w:val="000F5C0E"/>
    <w:rsid w:val="001010D3"/>
    <w:rsid w:val="0011037E"/>
    <w:rsid w:val="0012211C"/>
    <w:rsid w:val="00123979"/>
    <w:rsid w:val="0013343F"/>
    <w:rsid w:val="001363C7"/>
    <w:rsid w:val="00161E13"/>
    <w:rsid w:val="00164AE0"/>
    <w:rsid w:val="0017120C"/>
    <w:rsid w:val="00172DDC"/>
    <w:rsid w:val="00172F3A"/>
    <w:rsid w:val="001918F1"/>
    <w:rsid w:val="00197205"/>
    <w:rsid w:val="001B143B"/>
    <w:rsid w:val="001B21CA"/>
    <w:rsid w:val="001B3010"/>
    <w:rsid w:val="001B7ABB"/>
    <w:rsid w:val="001C0DAE"/>
    <w:rsid w:val="001C218A"/>
    <w:rsid w:val="001D1AB9"/>
    <w:rsid w:val="001D62B5"/>
    <w:rsid w:val="001E2436"/>
    <w:rsid w:val="002000AA"/>
    <w:rsid w:val="0020150A"/>
    <w:rsid w:val="00204109"/>
    <w:rsid w:val="00213670"/>
    <w:rsid w:val="00215516"/>
    <w:rsid w:val="002267D2"/>
    <w:rsid w:val="0022697D"/>
    <w:rsid w:val="00247BDE"/>
    <w:rsid w:val="00264C7C"/>
    <w:rsid w:val="00266820"/>
    <w:rsid w:val="00270443"/>
    <w:rsid w:val="00270EE2"/>
    <w:rsid w:val="00272A7B"/>
    <w:rsid w:val="00275C6A"/>
    <w:rsid w:val="0028428D"/>
    <w:rsid w:val="0028709F"/>
    <w:rsid w:val="00295D18"/>
    <w:rsid w:val="00297052"/>
    <w:rsid w:val="00297352"/>
    <w:rsid w:val="00297785"/>
    <w:rsid w:val="002A0F8D"/>
    <w:rsid w:val="002A2F4A"/>
    <w:rsid w:val="002A50FE"/>
    <w:rsid w:val="002B6E44"/>
    <w:rsid w:val="002B6FC2"/>
    <w:rsid w:val="002C4EFD"/>
    <w:rsid w:val="002C5914"/>
    <w:rsid w:val="002E44AB"/>
    <w:rsid w:val="002E7898"/>
    <w:rsid w:val="002F317F"/>
    <w:rsid w:val="002F3A64"/>
    <w:rsid w:val="00306EC1"/>
    <w:rsid w:val="003078CA"/>
    <w:rsid w:val="00314FAF"/>
    <w:rsid w:val="00315C21"/>
    <w:rsid w:val="00334B56"/>
    <w:rsid w:val="00340039"/>
    <w:rsid w:val="00340DFB"/>
    <w:rsid w:val="00343B47"/>
    <w:rsid w:val="0034404F"/>
    <w:rsid w:val="00345F01"/>
    <w:rsid w:val="00354A2D"/>
    <w:rsid w:val="0035635F"/>
    <w:rsid w:val="003617AE"/>
    <w:rsid w:val="003651AC"/>
    <w:rsid w:val="00366120"/>
    <w:rsid w:val="00367462"/>
    <w:rsid w:val="003705D6"/>
    <w:rsid w:val="003751C7"/>
    <w:rsid w:val="00376116"/>
    <w:rsid w:val="003831F1"/>
    <w:rsid w:val="0039082A"/>
    <w:rsid w:val="003A1A7A"/>
    <w:rsid w:val="003B0518"/>
    <w:rsid w:val="003B6569"/>
    <w:rsid w:val="003C4C96"/>
    <w:rsid w:val="003C55E0"/>
    <w:rsid w:val="003D0079"/>
    <w:rsid w:val="003D7A00"/>
    <w:rsid w:val="003E0E25"/>
    <w:rsid w:val="003E2621"/>
    <w:rsid w:val="003E6944"/>
    <w:rsid w:val="003F04B1"/>
    <w:rsid w:val="00400EBA"/>
    <w:rsid w:val="00403634"/>
    <w:rsid w:val="00404592"/>
    <w:rsid w:val="0040544F"/>
    <w:rsid w:val="00411B17"/>
    <w:rsid w:val="0041222D"/>
    <w:rsid w:val="004179EE"/>
    <w:rsid w:val="00421608"/>
    <w:rsid w:val="0043414C"/>
    <w:rsid w:val="00443DCA"/>
    <w:rsid w:val="00444A53"/>
    <w:rsid w:val="00445991"/>
    <w:rsid w:val="00450BE7"/>
    <w:rsid w:val="00455B00"/>
    <w:rsid w:val="0046042E"/>
    <w:rsid w:val="00466939"/>
    <w:rsid w:val="00471FE8"/>
    <w:rsid w:val="0048026E"/>
    <w:rsid w:val="004807A9"/>
    <w:rsid w:val="004813EE"/>
    <w:rsid w:val="004856AD"/>
    <w:rsid w:val="0049175F"/>
    <w:rsid w:val="00493278"/>
    <w:rsid w:val="004932E8"/>
    <w:rsid w:val="004B2F64"/>
    <w:rsid w:val="004C1619"/>
    <w:rsid w:val="004D11AF"/>
    <w:rsid w:val="004E0876"/>
    <w:rsid w:val="004E2FF7"/>
    <w:rsid w:val="004F0D19"/>
    <w:rsid w:val="004F314D"/>
    <w:rsid w:val="004F62E8"/>
    <w:rsid w:val="004F78F8"/>
    <w:rsid w:val="005019AA"/>
    <w:rsid w:val="005119EA"/>
    <w:rsid w:val="00512E2E"/>
    <w:rsid w:val="005147DA"/>
    <w:rsid w:val="00515745"/>
    <w:rsid w:val="00516942"/>
    <w:rsid w:val="005233F3"/>
    <w:rsid w:val="0052365C"/>
    <w:rsid w:val="00526081"/>
    <w:rsid w:val="00536496"/>
    <w:rsid w:val="00540C3F"/>
    <w:rsid w:val="005426DB"/>
    <w:rsid w:val="00550113"/>
    <w:rsid w:val="0055082B"/>
    <w:rsid w:val="00552B57"/>
    <w:rsid w:val="005752DD"/>
    <w:rsid w:val="00582542"/>
    <w:rsid w:val="005872DD"/>
    <w:rsid w:val="00591C75"/>
    <w:rsid w:val="00592D10"/>
    <w:rsid w:val="00593A5F"/>
    <w:rsid w:val="00595775"/>
    <w:rsid w:val="005A4DB0"/>
    <w:rsid w:val="005A5281"/>
    <w:rsid w:val="005A7B8E"/>
    <w:rsid w:val="005B012B"/>
    <w:rsid w:val="005B0C87"/>
    <w:rsid w:val="005B26AE"/>
    <w:rsid w:val="005C3E9E"/>
    <w:rsid w:val="005C4031"/>
    <w:rsid w:val="005D5A5A"/>
    <w:rsid w:val="005D72FC"/>
    <w:rsid w:val="005E2281"/>
    <w:rsid w:val="005E667C"/>
    <w:rsid w:val="005E6A1D"/>
    <w:rsid w:val="005F077C"/>
    <w:rsid w:val="005F58A6"/>
    <w:rsid w:val="0061744F"/>
    <w:rsid w:val="0062164B"/>
    <w:rsid w:val="006300CD"/>
    <w:rsid w:val="0063017E"/>
    <w:rsid w:val="00631D4F"/>
    <w:rsid w:val="006323E8"/>
    <w:rsid w:val="00632D38"/>
    <w:rsid w:val="006351FD"/>
    <w:rsid w:val="006371FB"/>
    <w:rsid w:val="006413D8"/>
    <w:rsid w:val="00646629"/>
    <w:rsid w:val="0066351C"/>
    <w:rsid w:val="006651CC"/>
    <w:rsid w:val="00677012"/>
    <w:rsid w:val="006825B4"/>
    <w:rsid w:val="006829BA"/>
    <w:rsid w:val="00682AF2"/>
    <w:rsid w:val="00682B9F"/>
    <w:rsid w:val="00687628"/>
    <w:rsid w:val="006958F3"/>
    <w:rsid w:val="006A3C8A"/>
    <w:rsid w:val="006A3E61"/>
    <w:rsid w:val="006C262B"/>
    <w:rsid w:val="006D3C1D"/>
    <w:rsid w:val="006E0DCF"/>
    <w:rsid w:val="006F0CDD"/>
    <w:rsid w:val="006F3B81"/>
    <w:rsid w:val="006F4F79"/>
    <w:rsid w:val="00702BC3"/>
    <w:rsid w:val="007036FE"/>
    <w:rsid w:val="00705A50"/>
    <w:rsid w:val="00705B37"/>
    <w:rsid w:val="00707C1A"/>
    <w:rsid w:val="0071023D"/>
    <w:rsid w:val="00717762"/>
    <w:rsid w:val="0072313A"/>
    <w:rsid w:val="00737434"/>
    <w:rsid w:val="00742606"/>
    <w:rsid w:val="00744971"/>
    <w:rsid w:val="00747569"/>
    <w:rsid w:val="007562EE"/>
    <w:rsid w:val="00760218"/>
    <w:rsid w:val="00761547"/>
    <w:rsid w:val="00761F4F"/>
    <w:rsid w:val="007628B0"/>
    <w:rsid w:val="00762B8B"/>
    <w:rsid w:val="007630C1"/>
    <w:rsid w:val="00773B59"/>
    <w:rsid w:val="00782E10"/>
    <w:rsid w:val="007900EF"/>
    <w:rsid w:val="007943C1"/>
    <w:rsid w:val="00797131"/>
    <w:rsid w:val="007A0D55"/>
    <w:rsid w:val="007A6510"/>
    <w:rsid w:val="007B51C4"/>
    <w:rsid w:val="007C3183"/>
    <w:rsid w:val="007C6BC6"/>
    <w:rsid w:val="007E2419"/>
    <w:rsid w:val="007E66E2"/>
    <w:rsid w:val="007F038C"/>
    <w:rsid w:val="007F1FFD"/>
    <w:rsid w:val="007F222B"/>
    <w:rsid w:val="007F2C14"/>
    <w:rsid w:val="00801A0E"/>
    <w:rsid w:val="00803659"/>
    <w:rsid w:val="0080662C"/>
    <w:rsid w:val="00807D79"/>
    <w:rsid w:val="00817CFE"/>
    <w:rsid w:val="0083460C"/>
    <w:rsid w:val="00846212"/>
    <w:rsid w:val="008468E0"/>
    <w:rsid w:val="008508BA"/>
    <w:rsid w:val="00850934"/>
    <w:rsid w:val="00852ADD"/>
    <w:rsid w:val="00861C6C"/>
    <w:rsid w:val="00870323"/>
    <w:rsid w:val="00877D03"/>
    <w:rsid w:val="00877E96"/>
    <w:rsid w:val="00887B37"/>
    <w:rsid w:val="00890598"/>
    <w:rsid w:val="00891DFC"/>
    <w:rsid w:val="008932B5"/>
    <w:rsid w:val="00895426"/>
    <w:rsid w:val="00895F3C"/>
    <w:rsid w:val="00897CF0"/>
    <w:rsid w:val="008A29F2"/>
    <w:rsid w:val="008A6317"/>
    <w:rsid w:val="008A7525"/>
    <w:rsid w:val="008B7914"/>
    <w:rsid w:val="008C5D2A"/>
    <w:rsid w:val="008C7AF4"/>
    <w:rsid w:val="008D1079"/>
    <w:rsid w:val="008D375F"/>
    <w:rsid w:val="008F65C3"/>
    <w:rsid w:val="009050B7"/>
    <w:rsid w:val="009061B8"/>
    <w:rsid w:val="0091639C"/>
    <w:rsid w:val="00922519"/>
    <w:rsid w:val="009262E4"/>
    <w:rsid w:val="0092741D"/>
    <w:rsid w:val="009311AA"/>
    <w:rsid w:val="00932E7E"/>
    <w:rsid w:val="009442E8"/>
    <w:rsid w:val="00952524"/>
    <w:rsid w:val="0095426C"/>
    <w:rsid w:val="00965865"/>
    <w:rsid w:val="00967730"/>
    <w:rsid w:val="00971074"/>
    <w:rsid w:val="00974BCB"/>
    <w:rsid w:val="009856EC"/>
    <w:rsid w:val="00985B04"/>
    <w:rsid w:val="00992986"/>
    <w:rsid w:val="00995D86"/>
    <w:rsid w:val="009A1E58"/>
    <w:rsid w:val="009A5453"/>
    <w:rsid w:val="009A7883"/>
    <w:rsid w:val="009C0ECC"/>
    <w:rsid w:val="009C2A12"/>
    <w:rsid w:val="009C4E0D"/>
    <w:rsid w:val="009C4FDC"/>
    <w:rsid w:val="009C54C0"/>
    <w:rsid w:val="009D3E06"/>
    <w:rsid w:val="009D44F9"/>
    <w:rsid w:val="009D638D"/>
    <w:rsid w:val="009E4885"/>
    <w:rsid w:val="009E547D"/>
    <w:rsid w:val="009F0A85"/>
    <w:rsid w:val="009F7528"/>
    <w:rsid w:val="009F7F43"/>
    <w:rsid w:val="00A01EBE"/>
    <w:rsid w:val="00A05623"/>
    <w:rsid w:val="00A07DB6"/>
    <w:rsid w:val="00A1554D"/>
    <w:rsid w:val="00A172E0"/>
    <w:rsid w:val="00A221A3"/>
    <w:rsid w:val="00A223D5"/>
    <w:rsid w:val="00A35E7B"/>
    <w:rsid w:val="00A37D1C"/>
    <w:rsid w:val="00A47249"/>
    <w:rsid w:val="00A513FD"/>
    <w:rsid w:val="00A539AD"/>
    <w:rsid w:val="00A65558"/>
    <w:rsid w:val="00A6730D"/>
    <w:rsid w:val="00A75EDC"/>
    <w:rsid w:val="00A81287"/>
    <w:rsid w:val="00A81E50"/>
    <w:rsid w:val="00A8210A"/>
    <w:rsid w:val="00A83E49"/>
    <w:rsid w:val="00A84221"/>
    <w:rsid w:val="00A84B7A"/>
    <w:rsid w:val="00A9099E"/>
    <w:rsid w:val="00A91FB7"/>
    <w:rsid w:val="00A9298F"/>
    <w:rsid w:val="00AB1984"/>
    <w:rsid w:val="00AC4CB3"/>
    <w:rsid w:val="00AC7261"/>
    <w:rsid w:val="00AC742F"/>
    <w:rsid w:val="00AC774F"/>
    <w:rsid w:val="00AC780D"/>
    <w:rsid w:val="00AD4B3A"/>
    <w:rsid w:val="00AF3D62"/>
    <w:rsid w:val="00B0104B"/>
    <w:rsid w:val="00B03A35"/>
    <w:rsid w:val="00B057B6"/>
    <w:rsid w:val="00B104E6"/>
    <w:rsid w:val="00B10C3C"/>
    <w:rsid w:val="00B20773"/>
    <w:rsid w:val="00B22870"/>
    <w:rsid w:val="00B268D0"/>
    <w:rsid w:val="00B30448"/>
    <w:rsid w:val="00B31315"/>
    <w:rsid w:val="00B40162"/>
    <w:rsid w:val="00B41ACE"/>
    <w:rsid w:val="00B43212"/>
    <w:rsid w:val="00B4523F"/>
    <w:rsid w:val="00B50156"/>
    <w:rsid w:val="00B518AD"/>
    <w:rsid w:val="00B60A96"/>
    <w:rsid w:val="00B60EB6"/>
    <w:rsid w:val="00B701A1"/>
    <w:rsid w:val="00B72343"/>
    <w:rsid w:val="00B76C94"/>
    <w:rsid w:val="00B772D0"/>
    <w:rsid w:val="00B83117"/>
    <w:rsid w:val="00B84116"/>
    <w:rsid w:val="00B85BAF"/>
    <w:rsid w:val="00B91B81"/>
    <w:rsid w:val="00B96799"/>
    <w:rsid w:val="00B96A82"/>
    <w:rsid w:val="00BC2122"/>
    <w:rsid w:val="00BC7632"/>
    <w:rsid w:val="00BD48A9"/>
    <w:rsid w:val="00BD7EC6"/>
    <w:rsid w:val="00BE2147"/>
    <w:rsid w:val="00BE73FA"/>
    <w:rsid w:val="00BF0353"/>
    <w:rsid w:val="00BF4A94"/>
    <w:rsid w:val="00C00976"/>
    <w:rsid w:val="00C02303"/>
    <w:rsid w:val="00C14017"/>
    <w:rsid w:val="00C22307"/>
    <w:rsid w:val="00C2515F"/>
    <w:rsid w:val="00C267D2"/>
    <w:rsid w:val="00C26AEA"/>
    <w:rsid w:val="00C26B64"/>
    <w:rsid w:val="00C371DF"/>
    <w:rsid w:val="00C37FF9"/>
    <w:rsid w:val="00C41B4A"/>
    <w:rsid w:val="00C44B4C"/>
    <w:rsid w:val="00C46734"/>
    <w:rsid w:val="00C5105D"/>
    <w:rsid w:val="00C53220"/>
    <w:rsid w:val="00C621A7"/>
    <w:rsid w:val="00C7277F"/>
    <w:rsid w:val="00CA3347"/>
    <w:rsid w:val="00CA51EB"/>
    <w:rsid w:val="00CC299A"/>
    <w:rsid w:val="00CC7465"/>
    <w:rsid w:val="00CD2E70"/>
    <w:rsid w:val="00CD326F"/>
    <w:rsid w:val="00CD4A09"/>
    <w:rsid w:val="00CD5E93"/>
    <w:rsid w:val="00CE37A3"/>
    <w:rsid w:val="00CF2EE2"/>
    <w:rsid w:val="00D03DBE"/>
    <w:rsid w:val="00D11A68"/>
    <w:rsid w:val="00D11A69"/>
    <w:rsid w:val="00D14046"/>
    <w:rsid w:val="00D2242C"/>
    <w:rsid w:val="00D327A3"/>
    <w:rsid w:val="00D34C82"/>
    <w:rsid w:val="00D36BFA"/>
    <w:rsid w:val="00D379EC"/>
    <w:rsid w:val="00D424F6"/>
    <w:rsid w:val="00D512A1"/>
    <w:rsid w:val="00D538D5"/>
    <w:rsid w:val="00D56420"/>
    <w:rsid w:val="00D5730F"/>
    <w:rsid w:val="00D5798B"/>
    <w:rsid w:val="00D671D8"/>
    <w:rsid w:val="00D732A6"/>
    <w:rsid w:val="00D769C5"/>
    <w:rsid w:val="00D81A20"/>
    <w:rsid w:val="00D81AFD"/>
    <w:rsid w:val="00D8321A"/>
    <w:rsid w:val="00D86972"/>
    <w:rsid w:val="00D86D55"/>
    <w:rsid w:val="00D94B94"/>
    <w:rsid w:val="00DB0646"/>
    <w:rsid w:val="00DC2C48"/>
    <w:rsid w:val="00DC3472"/>
    <w:rsid w:val="00DC525E"/>
    <w:rsid w:val="00DC535C"/>
    <w:rsid w:val="00DD4C6F"/>
    <w:rsid w:val="00DD7A2C"/>
    <w:rsid w:val="00DE5117"/>
    <w:rsid w:val="00DF234A"/>
    <w:rsid w:val="00DF310B"/>
    <w:rsid w:val="00DF33C7"/>
    <w:rsid w:val="00E00CDD"/>
    <w:rsid w:val="00E076BE"/>
    <w:rsid w:val="00E07E37"/>
    <w:rsid w:val="00E13456"/>
    <w:rsid w:val="00E1610C"/>
    <w:rsid w:val="00E16D73"/>
    <w:rsid w:val="00E21503"/>
    <w:rsid w:val="00E27F0A"/>
    <w:rsid w:val="00E37DC0"/>
    <w:rsid w:val="00E40CED"/>
    <w:rsid w:val="00E4231E"/>
    <w:rsid w:val="00E44AC7"/>
    <w:rsid w:val="00E5084C"/>
    <w:rsid w:val="00E53F2E"/>
    <w:rsid w:val="00E60A16"/>
    <w:rsid w:val="00E81611"/>
    <w:rsid w:val="00E82B6E"/>
    <w:rsid w:val="00E83535"/>
    <w:rsid w:val="00E835C5"/>
    <w:rsid w:val="00E84D1C"/>
    <w:rsid w:val="00E942B8"/>
    <w:rsid w:val="00E9683D"/>
    <w:rsid w:val="00EA2775"/>
    <w:rsid w:val="00EA7D7F"/>
    <w:rsid w:val="00EB2FA2"/>
    <w:rsid w:val="00EB49CD"/>
    <w:rsid w:val="00EB769A"/>
    <w:rsid w:val="00EC3A35"/>
    <w:rsid w:val="00ED353D"/>
    <w:rsid w:val="00EE17F2"/>
    <w:rsid w:val="00EE188A"/>
    <w:rsid w:val="00EE270E"/>
    <w:rsid w:val="00EE6755"/>
    <w:rsid w:val="00EF2AC7"/>
    <w:rsid w:val="00EF4CCD"/>
    <w:rsid w:val="00F032B2"/>
    <w:rsid w:val="00F16297"/>
    <w:rsid w:val="00F17428"/>
    <w:rsid w:val="00F314E8"/>
    <w:rsid w:val="00F31D4C"/>
    <w:rsid w:val="00F323A2"/>
    <w:rsid w:val="00F33B57"/>
    <w:rsid w:val="00F33D5C"/>
    <w:rsid w:val="00F34C1F"/>
    <w:rsid w:val="00F356D6"/>
    <w:rsid w:val="00F37D37"/>
    <w:rsid w:val="00F60A13"/>
    <w:rsid w:val="00F60ACE"/>
    <w:rsid w:val="00F64D5A"/>
    <w:rsid w:val="00F72FB0"/>
    <w:rsid w:val="00F737A4"/>
    <w:rsid w:val="00F906F4"/>
    <w:rsid w:val="00F91800"/>
    <w:rsid w:val="00F9208E"/>
    <w:rsid w:val="00F93B19"/>
    <w:rsid w:val="00F95CCE"/>
    <w:rsid w:val="00FA54FF"/>
    <w:rsid w:val="00FA70F5"/>
    <w:rsid w:val="00FB4629"/>
    <w:rsid w:val="00FB6A07"/>
    <w:rsid w:val="00FB6FB1"/>
    <w:rsid w:val="00FC6D4E"/>
    <w:rsid w:val="00FD3128"/>
    <w:rsid w:val="00FE0EEA"/>
    <w:rsid w:val="00FE2121"/>
    <w:rsid w:val="00FF1712"/>
    <w:rsid w:val="00FF6D3D"/>
    <w:rsid w:val="024D7E2C"/>
    <w:rsid w:val="05142466"/>
    <w:rsid w:val="06FC0B7E"/>
    <w:rsid w:val="0D2EB883"/>
    <w:rsid w:val="0D8163B6"/>
    <w:rsid w:val="1B514A14"/>
    <w:rsid w:val="1BB32F19"/>
    <w:rsid w:val="1F2C3AF5"/>
    <w:rsid w:val="1FF4886A"/>
    <w:rsid w:val="22D2584A"/>
    <w:rsid w:val="28751A95"/>
    <w:rsid w:val="2889D0F5"/>
    <w:rsid w:val="29FA8189"/>
    <w:rsid w:val="2C00A012"/>
    <w:rsid w:val="389994B3"/>
    <w:rsid w:val="3B30A011"/>
    <w:rsid w:val="3B93C128"/>
    <w:rsid w:val="3CFBE104"/>
    <w:rsid w:val="401C3D6A"/>
    <w:rsid w:val="461B415A"/>
    <w:rsid w:val="467F9A7B"/>
    <w:rsid w:val="510454D8"/>
    <w:rsid w:val="5395A1E2"/>
    <w:rsid w:val="55C8C69D"/>
    <w:rsid w:val="5D8505AD"/>
    <w:rsid w:val="6F81B597"/>
    <w:rsid w:val="71443FBB"/>
    <w:rsid w:val="7563E76A"/>
    <w:rsid w:val="79A6159C"/>
    <w:rsid w:val="7A023738"/>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FF5B0223-01D5-45A2-B0D4-608622B858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B30448"/>
  </w:style>
  <w:style w:type="paragraph" w:styleId="Ttulo1">
    <w:name w:val="heading 1"/>
    <w:basedOn w:val="Normal"/>
    <w:link w:val="Ttulo1Car"/>
    <w:uiPriority w:val="9"/>
    <w:qFormat/>
    <w:rsid w:val="00CD2E70"/>
    <w:pPr>
      <w:spacing w:before="100" w:beforeAutospacing="1" w:after="100" w:afterAutospacing="1" w:line="240" w:lineRule="auto"/>
      <w:outlineLvl w:val="0"/>
    </w:pPr>
    <w:rPr>
      <w:rFonts w:ascii="Times New Roman" w:hAnsi="Times New Roman" w:eastAsia="Times New Roman" w:cs="Times New Roman"/>
      <w:b/>
      <w:bCs/>
      <w:kern w:val="36"/>
      <w:sz w:val="48"/>
      <w:szCs w:val="48"/>
      <w:lang w:eastAsia="es-ES_tradnl"/>
    </w:rPr>
  </w:style>
  <w:style w:type="character" w:styleId="Fuentedeprrafopredeter" w:default="1">
    <w:name w:val="Default Paragraph Font"/>
    <w:uiPriority w:val="1"/>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styleId="TextonotapieCar1" w:customStyle="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styleId="Appelnotedebasde" w:customStyle="1">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styleId="TextocomentarioCar" w:customStyle="1">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styleId="AsuntodelcomentarioCar" w:customStyle="1">
    <w:name w:val="Asunto del comentario Car"/>
    <w:basedOn w:val="TextocomentarioCar"/>
    <w:link w:val="Asuntodelcomentario"/>
    <w:uiPriority w:val="99"/>
    <w:semiHidden/>
    <w:rsid w:val="00A37D1C"/>
    <w:rPr>
      <w:b/>
      <w:bCs/>
      <w:sz w:val="20"/>
      <w:szCs w:val="20"/>
    </w:rPr>
  </w:style>
  <w:style w:type="paragraph" w:styleId="Normal11pt" w:customStyle="1">
    <w:name w:val="Normal + 11 pt"/>
    <w:aliases w:val="Negro,Justificado,Izquierda:  -0,95 cm,Derecha:  0,04 cm"/>
    <w:basedOn w:val="Normal"/>
    <w:uiPriority w:val="99"/>
    <w:rsid w:val="00B76C94"/>
    <w:pPr>
      <w:spacing w:after="0" w:line="240" w:lineRule="auto"/>
      <w:ind w:left="-540"/>
      <w:jc w:val="both"/>
    </w:pPr>
    <w:rPr>
      <w:rFonts w:ascii="Arial" w:hAnsi="Arial" w:eastAsia="Times New Roman" w:cs="Arial"/>
      <w:color w:val="000000"/>
      <w:lang w:val="es-ES_tradnl" w:eastAsia="es-ES"/>
    </w:rPr>
  </w:style>
  <w:style w:type="paragraph" w:styleId="Revisin">
    <w:name w:val="Revision"/>
    <w:hidden/>
    <w:uiPriority w:val="99"/>
    <w:semiHidden/>
    <w:rsid w:val="00F64D5A"/>
    <w:pPr>
      <w:spacing w:after="0" w:line="240" w:lineRule="auto"/>
    </w:pPr>
  </w:style>
  <w:style w:type="character" w:styleId="cf01" w:customStyle="1">
    <w:name w:val="cf01"/>
    <w:basedOn w:val="Fuentedeprrafopredeter"/>
    <w:rsid w:val="005019AA"/>
    <w:rPr>
      <w:rFonts w:hint="default" w:ascii="Segoe UI" w:hAnsi="Segoe UI" w:cs="Segoe UI"/>
      <w:i/>
      <w:iCs/>
      <w:sz w:val="18"/>
      <w:szCs w:val="18"/>
    </w:rPr>
  </w:style>
  <w:style w:type="character" w:styleId="normaltextrun" w:customStyle="1">
    <w:name w:val="normaltextrun"/>
    <w:basedOn w:val="Fuentedeprrafopredeter"/>
    <w:rsid w:val="5D8505AD"/>
  </w:style>
  <w:style w:type="character" w:styleId="eop" w:customStyle="1">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E84D1C"/>
    <w:pPr>
      <w:spacing w:after="0" w:line="240" w:lineRule="auto"/>
      <w:ind w:left="720"/>
      <w:contextualSpacing/>
    </w:pPr>
    <w:rPr>
      <w:sz w:val="24"/>
      <w:lang w:val="es-MX"/>
    </w:rPr>
  </w:style>
  <w:style w:type="character" w:styleId="PrrafodelistaCar" w:customStyle="1">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4D1C"/>
    <w:rPr>
      <w:sz w:val="24"/>
      <w:lang w:val="es-MX"/>
    </w:rPr>
  </w:style>
  <w:style w:type="character" w:styleId="Ttulo1Car" w:customStyle="1">
    <w:name w:val="Título 1 Car"/>
    <w:basedOn w:val="Fuentedeprrafopredeter"/>
    <w:link w:val="Ttulo1"/>
    <w:uiPriority w:val="9"/>
    <w:rsid w:val="00CD2E70"/>
    <w:rPr>
      <w:rFonts w:ascii="Times New Roman" w:hAnsi="Times New Roman" w:eastAsia="Times New Roman" w:cs="Times New Roman"/>
      <w:b/>
      <w:bCs/>
      <w:kern w:val="36"/>
      <w:sz w:val="48"/>
      <w:szCs w:val="48"/>
      <w:lang w:eastAsia="es-ES_tradnl"/>
    </w:rPr>
  </w:style>
  <w:style w:type="paragraph" w:styleId="paragraph" w:customStyle="1">
    <w:name w:val="paragraph"/>
    <w:basedOn w:val="Normal"/>
    <w:rsid w:val="00CD2E70"/>
    <w:pPr>
      <w:spacing w:before="100" w:beforeAutospacing="1" w:after="100" w:afterAutospacing="1" w:line="240" w:lineRule="auto"/>
    </w:pPr>
    <w:rPr>
      <w:rFonts w:ascii="Times New Roman" w:hAnsi="Times New Roman" w:eastAsia="Times New Roman" w:cs="Times New Roman"/>
      <w:sz w:val="24"/>
      <w:szCs w:val="24"/>
      <w:lang w:eastAsia="es-ES_tradnl"/>
    </w:rPr>
  </w:style>
  <w:style w:type="character" w:styleId="superscript" w:customStyle="1">
    <w:name w:val="superscript"/>
    <w:basedOn w:val="Fuentedeprrafopredeter"/>
    <w:rsid w:val="003651AC"/>
  </w:style>
  <w:style w:type="paragraph" w:styleId="Textoindependiente">
    <w:name w:val="Body Text"/>
    <w:basedOn w:val="Normal"/>
    <w:link w:val="TextoindependienteCar"/>
    <w:rsid w:val="003831F1"/>
    <w:pPr>
      <w:spacing w:after="120" w:line="240" w:lineRule="auto"/>
    </w:pPr>
    <w:rPr>
      <w:rFonts w:ascii="Times New Roman" w:hAnsi="Times New Roman" w:eastAsia="Times New Roman" w:cs="Times New Roman"/>
      <w:sz w:val="24"/>
      <w:szCs w:val="24"/>
      <w:lang w:eastAsia="es-CO"/>
    </w:rPr>
  </w:style>
  <w:style w:type="character" w:styleId="TextoindependienteCar" w:customStyle="1">
    <w:name w:val="Texto independiente Car"/>
    <w:basedOn w:val="Fuentedeprrafopredeter"/>
    <w:link w:val="Textoindependiente"/>
    <w:rsid w:val="003831F1"/>
    <w:rPr>
      <w:rFonts w:ascii="Times New Roman" w:hAnsi="Times New Roman" w:eastAsia="Times New Roman" w:cs="Times New Roman"/>
      <w:sz w:val="24"/>
      <w:szCs w:val="24"/>
      <w:lang w:eastAsia="es-CO"/>
    </w:rPr>
  </w:style>
  <w:style w:type="character" w:styleId="baj" w:customStyle="1">
    <w:name w:val="b_aj"/>
    <w:basedOn w:val="Fuentedeprrafopredeter"/>
    <w:rsid w:val="003831F1"/>
  </w:style>
  <w:style w:type="paragraph" w:styleId="NormalWeb">
    <w:name w:val="Normal (Web)"/>
    <w:basedOn w:val="Normal"/>
    <w:link w:val="NormalWebCar"/>
    <w:uiPriority w:val="99"/>
    <w:unhideWhenUsed/>
    <w:rsid w:val="003831F1"/>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NormalWebCar" w:customStyle="1">
    <w:name w:val="Normal (Web) Car"/>
    <w:link w:val="NormalWeb"/>
    <w:uiPriority w:val="99"/>
    <w:rsid w:val="003831F1"/>
    <w:rPr>
      <w:rFonts w:ascii="Times New Roman" w:hAnsi="Times New Roman" w:eastAsia="Times New Roman" w:cs="Times New Roman"/>
      <w:sz w:val="24"/>
      <w:szCs w:val="24"/>
      <w:lang w:eastAsia="es-CO"/>
    </w:rPr>
  </w:style>
  <w:style w:type="character" w:styleId="Textoennegrita">
    <w:name w:val="Strong"/>
    <w:basedOn w:val="Fuentedeprrafopredeter"/>
    <w:uiPriority w:val="22"/>
    <w:qFormat/>
    <w:rsid w:val="00B701A1"/>
    <w:rPr>
      <w:b/>
      <w:bCs/>
    </w:rPr>
  </w:style>
  <w:style w:type="paragraph" w:styleId="Textonotaalfinal">
    <w:name w:val="endnote text"/>
    <w:basedOn w:val="Normal"/>
    <w:link w:val="TextonotaalfinalCar"/>
    <w:uiPriority w:val="99"/>
    <w:semiHidden/>
    <w:unhideWhenUsed/>
    <w:rsid w:val="0092741D"/>
    <w:pPr>
      <w:spacing w:after="0" w:line="240" w:lineRule="auto"/>
    </w:pPr>
    <w:rPr>
      <w:sz w:val="20"/>
      <w:szCs w:val="20"/>
    </w:rPr>
  </w:style>
  <w:style w:type="character" w:styleId="TextonotaalfinalCar" w:customStyle="1">
    <w:name w:val="Texto nota al final Car"/>
    <w:basedOn w:val="Fuentedeprrafopredeter"/>
    <w:link w:val="Textonotaalfinal"/>
    <w:uiPriority w:val="99"/>
    <w:semiHidden/>
    <w:rsid w:val="0092741D"/>
    <w:rPr>
      <w:sz w:val="20"/>
      <w:szCs w:val="20"/>
    </w:rPr>
  </w:style>
  <w:style w:type="character" w:styleId="Refdenotaalfinal">
    <w:name w:val="endnote reference"/>
    <w:basedOn w:val="Fuentedeprrafopredeter"/>
    <w:uiPriority w:val="99"/>
    <w:semiHidden/>
    <w:unhideWhenUsed/>
    <w:rsid w:val="0092741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65199842">
      <w:bodyDiv w:val="1"/>
      <w:marLeft w:val="0"/>
      <w:marRight w:val="0"/>
      <w:marTop w:val="0"/>
      <w:marBottom w:val="0"/>
      <w:divBdr>
        <w:top w:val="none" w:sz="0" w:space="0" w:color="auto"/>
        <w:left w:val="none" w:sz="0" w:space="0" w:color="auto"/>
        <w:bottom w:val="none" w:sz="0" w:space="0" w:color="auto"/>
        <w:right w:val="none" w:sz="0" w:space="0" w:color="auto"/>
      </w:divBdr>
      <w:divsChild>
        <w:div w:id="962033340">
          <w:marLeft w:val="0"/>
          <w:marRight w:val="0"/>
          <w:marTop w:val="0"/>
          <w:marBottom w:val="0"/>
          <w:divBdr>
            <w:top w:val="none" w:sz="0" w:space="0" w:color="auto"/>
            <w:left w:val="none" w:sz="0" w:space="0" w:color="auto"/>
            <w:bottom w:val="none" w:sz="0" w:space="0" w:color="auto"/>
            <w:right w:val="none" w:sz="0" w:space="0" w:color="auto"/>
          </w:divBdr>
          <w:divsChild>
            <w:div w:id="242228191">
              <w:marLeft w:val="0"/>
              <w:marRight w:val="0"/>
              <w:marTop w:val="0"/>
              <w:marBottom w:val="0"/>
              <w:divBdr>
                <w:top w:val="none" w:sz="0" w:space="0" w:color="auto"/>
                <w:left w:val="none" w:sz="0" w:space="0" w:color="auto"/>
                <w:bottom w:val="none" w:sz="0" w:space="0" w:color="auto"/>
                <w:right w:val="none" w:sz="0" w:space="0" w:color="auto"/>
              </w:divBdr>
            </w:div>
            <w:div w:id="1105493713">
              <w:marLeft w:val="0"/>
              <w:marRight w:val="0"/>
              <w:marTop w:val="0"/>
              <w:marBottom w:val="0"/>
              <w:divBdr>
                <w:top w:val="none" w:sz="0" w:space="0" w:color="auto"/>
                <w:left w:val="none" w:sz="0" w:space="0" w:color="auto"/>
                <w:bottom w:val="none" w:sz="0" w:space="0" w:color="auto"/>
                <w:right w:val="none" w:sz="0" w:space="0" w:color="auto"/>
              </w:divBdr>
            </w:div>
          </w:divsChild>
        </w:div>
        <w:div w:id="647977330">
          <w:marLeft w:val="0"/>
          <w:marRight w:val="0"/>
          <w:marTop w:val="0"/>
          <w:marBottom w:val="0"/>
          <w:divBdr>
            <w:top w:val="none" w:sz="0" w:space="0" w:color="auto"/>
            <w:left w:val="none" w:sz="0" w:space="0" w:color="auto"/>
            <w:bottom w:val="none" w:sz="0" w:space="0" w:color="auto"/>
            <w:right w:val="none" w:sz="0" w:space="0" w:color="auto"/>
          </w:divBdr>
        </w:div>
        <w:div w:id="2094814914">
          <w:marLeft w:val="0"/>
          <w:marRight w:val="0"/>
          <w:marTop w:val="0"/>
          <w:marBottom w:val="0"/>
          <w:divBdr>
            <w:top w:val="none" w:sz="0" w:space="0" w:color="auto"/>
            <w:left w:val="none" w:sz="0" w:space="0" w:color="auto"/>
            <w:bottom w:val="none" w:sz="0" w:space="0" w:color="auto"/>
            <w:right w:val="none" w:sz="0" w:space="0" w:color="auto"/>
          </w:divBdr>
        </w:div>
        <w:div w:id="1865555074">
          <w:marLeft w:val="0"/>
          <w:marRight w:val="0"/>
          <w:marTop w:val="0"/>
          <w:marBottom w:val="0"/>
          <w:divBdr>
            <w:top w:val="none" w:sz="0" w:space="0" w:color="auto"/>
            <w:left w:val="none" w:sz="0" w:space="0" w:color="auto"/>
            <w:bottom w:val="none" w:sz="0" w:space="0" w:color="auto"/>
            <w:right w:val="none" w:sz="0" w:space="0" w:color="auto"/>
          </w:divBdr>
        </w:div>
        <w:div w:id="1099373323">
          <w:marLeft w:val="0"/>
          <w:marRight w:val="0"/>
          <w:marTop w:val="0"/>
          <w:marBottom w:val="0"/>
          <w:divBdr>
            <w:top w:val="none" w:sz="0" w:space="0" w:color="auto"/>
            <w:left w:val="none" w:sz="0" w:space="0" w:color="auto"/>
            <w:bottom w:val="none" w:sz="0" w:space="0" w:color="auto"/>
            <w:right w:val="none" w:sz="0" w:space="0" w:color="auto"/>
          </w:divBdr>
        </w:div>
        <w:div w:id="402148195">
          <w:marLeft w:val="0"/>
          <w:marRight w:val="0"/>
          <w:marTop w:val="0"/>
          <w:marBottom w:val="0"/>
          <w:divBdr>
            <w:top w:val="none" w:sz="0" w:space="0" w:color="auto"/>
            <w:left w:val="none" w:sz="0" w:space="0" w:color="auto"/>
            <w:bottom w:val="none" w:sz="0" w:space="0" w:color="auto"/>
            <w:right w:val="none" w:sz="0" w:space="0" w:color="auto"/>
          </w:divBdr>
        </w:div>
        <w:div w:id="869148962">
          <w:marLeft w:val="0"/>
          <w:marRight w:val="0"/>
          <w:marTop w:val="0"/>
          <w:marBottom w:val="0"/>
          <w:divBdr>
            <w:top w:val="none" w:sz="0" w:space="0" w:color="auto"/>
            <w:left w:val="none" w:sz="0" w:space="0" w:color="auto"/>
            <w:bottom w:val="none" w:sz="0" w:space="0" w:color="auto"/>
            <w:right w:val="none" w:sz="0" w:space="0" w:color="auto"/>
          </w:divBdr>
        </w:div>
      </w:divsChild>
    </w:div>
    <w:div w:id="758019348">
      <w:bodyDiv w:val="1"/>
      <w:marLeft w:val="0"/>
      <w:marRight w:val="0"/>
      <w:marTop w:val="0"/>
      <w:marBottom w:val="0"/>
      <w:divBdr>
        <w:top w:val="none" w:sz="0" w:space="0" w:color="auto"/>
        <w:left w:val="none" w:sz="0" w:space="0" w:color="auto"/>
        <w:bottom w:val="none" w:sz="0" w:space="0" w:color="auto"/>
        <w:right w:val="none" w:sz="0" w:space="0" w:color="auto"/>
      </w:divBdr>
      <w:divsChild>
        <w:div w:id="1870601818">
          <w:marLeft w:val="0"/>
          <w:marRight w:val="0"/>
          <w:marTop w:val="0"/>
          <w:marBottom w:val="0"/>
          <w:divBdr>
            <w:top w:val="none" w:sz="0" w:space="0" w:color="auto"/>
            <w:left w:val="none" w:sz="0" w:space="0" w:color="auto"/>
            <w:bottom w:val="none" w:sz="0" w:space="0" w:color="auto"/>
            <w:right w:val="none" w:sz="0" w:space="0" w:color="auto"/>
          </w:divBdr>
          <w:divsChild>
            <w:div w:id="1311061061">
              <w:marLeft w:val="0"/>
              <w:marRight w:val="0"/>
              <w:marTop w:val="0"/>
              <w:marBottom w:val="0"/>
              <w:divBdr>
                <w:top w:val="none" w:sz="0" w:space="0" w:color="auto"/>
                <w:left w:val="none" w:sz="0" w:space="0" w:color="auto"/>
                <w:bottom w:val="none" w:sz="0" w:space="0" w:color="auto"/>
                <w:right w:val="none" w:sz="0" w:space="0" w:color="auto"/>
              </w:divBdr>
            </w:div>
            <w:div w:id="1154109218">
              <w:marLeft w:val="0"/>
              <w:marRight w:val="0"/>
              <w:marTop w:val="0"/>
              <w:marBottom w:val="0"/>
              <w:divBdr>
                <w:top w:val="none" w:sz="0" w:space="0" w:color="auto"/>
                <w:left w:val="none" w:sz="0" w:space="0" w:color="auto"/>
                <w:bottom w:val="none" w:sz="0" w:space="0" w:color="auto"/>
                <w:right w:val="none" w:sz="0" w:space="0" w:color="auto"/>
              </w:divBdr>
            </w:div>
          </w:divsChild>
        </w:div>
        <w:div w:id="83652239">
          <w:marLeft w:val="0"/>
          <w:marRight w:val="0"/>
          <w:marTop w:val="0"/>
          <w:marBottom w:val="0"/>
          <w:divBdr>
            <w:top w:val="none" w:sz="0" w:space="0" w:color="auto"/>
            <w:left w:val="none" w:sz="0" w:space="0" w:color="auto"/>
            <w:bottom w:val="none" w:sz="0" w:space="0" w:color="auto"/>
            <w:right w:val="none" w:sz="0" w:space="0" w:color="auto"/>
          </w:divBdr>
        </w:div>
        <w:div w:id="38285096">
          <w:marLeft w:val="0"/>
          <w:marRight w:val="0"/>
          <w:marTop w:val="0"/>
          <w:marBottom w:val="0"/>
          <w:divBdr>
            <w:top w:val="none" w:sz="0" w:space="0" w:color="auto"/>
            <w:left w:val="none" w:sz="0" w:space="0" w:color="auto"/>
            <w:bottom w:val="none" w:sz="0" w:space="0" w:color="auto"/>
            <w:right w:val="none" w:sz="0" w:space="0" w:color="auto"/>
          </w:divBdr>
        </w:div>
        <w:div w:id="625356295">
          <w:marLeft w:val="0"/>
          <w:marRight w:val="0"/>
          <w:marTop w:val="0"/>
          <w:marBottom w:val="0"/>
          <w:divBdr>
            <w:top w:val="none" w:sz="0" w:space="0" w:color="auto"/>
            <w:left w:val="none" w:sz="0" w:space="0" w:color="auto"/>
            <w:bottom w:val="none" w:sz="0" w:space="0" w:color="auto"/>
            <w:right w:val="none" w:sz="0" w:space="0" w:color="auto"/>
          </w:divBdr>
        </w:div>
        <w:div w:id="1744374432">
          <w:marLeft w:val="0"/>
          <w:marRight w:val="0"/>
          <w:marTop w:val="0"/>
          <w:marBottom w:val="0"/>
          <w:divBdr>
            <w:top w:val="none" w:sz="0" w:space="0" w:color="auto"/>
            <w:left w:val="none" w:sz="0" w:space="0" w:color="auto"/>
            <w:bottom w:val="none" w:sz="0" w:space="0" w:color="auto"/>
            <w:right w:val="none" w:sz="0" w:space="0" w:color="auto"/>
          </w:divBdr>
        </w:div>
        <w:div w:id="956908339">
          <w:marLeft w:val="0"/>
          <w:marRight w:val="0"/>
          <w:marTop w:val="0"/>
          <w:marBottom w:val="0"/>
          <w:divBdr>
            <w:top w:val="none" w:sz="0" w:space="0" w:color="auto"/>
            <w:left w:val="none" w:sz="0" w:space="0" w:color="auto"/>
            <w:bottom w:val="none" w:sz="0" w:space="0" w:color="auto"/>
            <w:right w:val="none" w:sz="0" w:space="0" w:color="auto"/>
          </w:divBdr>
        </w:div>
        <w:div w:id="619990519">
          <w:marLeft w:val="0"/>
          <w:marRight w:val="0"/>
          <w:marTop w:val="0"/>
          <w:marBottom w:val="0"/>
          <w:divBdr>
            <w:top w:val="none" w:sz="0" w:space="0" w:color="auto"/>
            <w:left w:val="none" w:sz="0" w:space="0" w:color="auto"/>
            <w:bottom w:val="none" w:sz="0" w:space="0" w:color="auto"/>
            <w:right w:val="none" w:sz="0" w:space="0" w:color="auto"/>
          </w:divBdr>
        </w:div>
      </w:divsChild>
    </w:div>
    <w:div w:id="1136603833">
      <w:bodyDiv w:val="1"/>
      <w:marLeft w:val="0"/>
      <w:marRight w:val="0"/>
      <w:marTop w:val="0"/>
      <w:marBottom w:val="0"/>
      <w:divBdr>
        <w:top w:val="none" w:sz="0" w:space="0" w:color="auto"/>
        <w:left w:val="none" w:sz="0" w:space="0" w:color="auto"/>
        <w:bottom w:val="none" w:sz="0" w:space="0" w:color="auto"/>
        <w:right w:val="none" w:sz="0" w:space="0" w:color="auto"/>
      </w:divBdr>
      <w:divsChild>
        <w:div w:id="1114327990">
          <w:marLeft w:val="0"/>
          <w:marRight w:val="0"/>
          <w:marTop w:val="0"/>
          <w:marBottom w:val="0"/>
          <w:divBdr>
            <w:top w:val="none" w:sz="0" w:space="0" w:color="auto"/>
            <w:left w:val="none" w:sz="0" w:space="0" w:color="auto"/>
            <w:bottom w:val="none" w:sz="0" w:space="0" w:color="auto"/>
            <w:right w:val="none" w:sz="0" w:space="0" w:color="auto"/>
          </w:divBdr>
        </w:div>
        <w:div w:id="540704521">
          <w:marLeft w:val="0"/>
          <w:marRight w:val="0"/>
          <w:marTop w:val="0"/>
          <w:marBottom w:val="0"/>
          <w:divBdr>
            <w:top w:val="none" w:sz="0" w:space="0" w:color="auto"/>
            <w:left w:val="none" w:sz="0" w:space="0" w:color="auto"/>
            <w:bottom w:val="none" w:sz="0" w:space="0" w:color="auto"/>
            <w:right w:val="none" w:sz="0" w:space="0" w:color="auto"/>
          </w:divBdr>
        </w:div>
        <w:div w:id="711005620">
          <w:marLeft w:val="0"/>
          <w:marRight w:val="0"/>
          <w:marTop w:val="0"/>
          <w:marBottom w:val="0"/>
          <w:divBdr>
            <w:top w:val="none" w:sz="0" w:space="0" w:color="auto"/>
            <w:left w:val="none" w:sz="0" w:space="0" w:color="auto"/>
            <w:bottom w:val="none" w:sz="0" w:space="0" w:color="auto"/>
            <w:right w:val="none" w:sz="0" w:space="0" w:color="auto"/>
          </w:divBdr>
        </w:div>
        <w:div w:id="718667878">
          <w:marLeft w:val="0"/>
          <w:marRight w:val="0"/>
          <w:marTop w:val="0"/>
          <w:marBottom w:val="0"/>
          <w:divBdr>
            <w:top w:val="none" w:sz="0" w:space="0" w:color="auto"/>
            <w:left w:val="none" w:sz="0" w:space="0" w:color="auto"/>
            <w:bottom w:val="none" w:sz="0" w:space="0" w:color="auto"/>
            <w:right w:val="none" w:sz="0" w:space="0" w:color="auto"/>
          </w:divBdr>
        </w:div>
        <w:div w:id="1050770078">
          <w:marLeft w:val="0"/>
          <w:marRight w:val="0"/>
          <w:marTop w:val="0"/>
          <w:marBottom w:val="0"/>
          <w:divBdr>
            <w:top w:val="none" w:sz="0" w:space="0" w:color="auto"/>
            <w:left w:val="none" w:sz="0" w:space="0" w:color="auto"/>
            <w:bottom w:val="none" w:sz="0" w:space="0" w:color="auto"/>
            <w:right w:val="none" w:sz="0" w:space="0" w:color="auto"/>
          </w:divBdr>
        </w:div>
        <w:div w:id="520247703">
          <w:marLeft w:val="0"/>
          <w:marRight w:val="0"/>
          <w:marTop w:val="0"/>
          <w:marBottom w:val="0"/>
          <w:divBdr>
            <w:top w:val="none" w:sz="0" w:space="0" w:color="auto"/>
            <w:left w:val="none" w:sz="0" w:space="0" w:color="auto"/>
            <w:bottom w:val="none" w:sz="0" w:space="0" w:color="auto"/>
            <w:right w:val="none" w:sz="0" w:space="0" w:color="auto"/>
          </w:divBdr>
        </w:div>
        <w:div w:id="216555608">
          <w:marLeft w:val="0"/>
          <w:marRight w:val="0"/>
          <w:marTop w:val="0"/>
          <w:marBottom w:val="0"/>
          <w:divBdr>
            <w:top w:val="none" w:sz="0" w:space="0" w:color="auto"/>
            <w:left w:val="none" w:sz="0" w:space="0" w:color="auto"/>
            <w:bottom w:val="none" w:sz="0" w:space="0" w:color="auto"/>
            <w:right w:val="none" w:sz="0" w:space="0" w:color="auto"/>
          </w:divBdr>
        </w:div>
        <w:div w:id="1038241922">
          <w:marLeft w:val="0"/>
          <w:marRight w:val="0"/>
          <w:marTop w:val="0"/>
          <w:marBottom w:val="0"/>
          <w:divBdr>
            <w:top w:val="none" w:sz="0" w:space="0" w:color="auto"/>
            <w:left w:val="none" w:sz="0" w:space="0" w:color="auto"/>
            <w:bottom w:val="none" w:sz="0" w:space="0" w:color="auto"/>
            <w:right w:val="none" w:sz="0" w:space="0" w:color="auto"/>
          </w:divBdr>
        </w:div>
        <w:div w:id="1383673187">
          <w:marLeft w:val="0"/>
          <w:marRight w:val="0"/>
          <w:marTop w:val="0"/>
          <w:marBottom w:val="0"/>
          <w:divBdr>
            <w:top w:val="none" w:sz="0" w:space="0" w:color="auto"/>
            <w:left w:val="none" w:sz="0" w:space="0" w:color="auto"/>
            <w:bottom w:val="none" w:sz="0" w:space="0" w:color="auto"/>
            <w:right w:val="none" w:sz="0" w:space="0" w:color="auto"/>
          </w:divBdr>
          <w:divsChild>
            <w:div w:id="1998146154">
              <w:marLeft w:val="-75"/>
              <w:marRight w:val="0"/>
              <w:marTop w:val="30"/>
              <w:marBottom w:val="30"/>
              <w:divBdr>
                <w:top w:val="none" w:sz="0" w:space="0" w:color="auto"/>
                <w:left w:val="none" w:sz="0" w:space="0" w:color="auto"/>
                <w:bottom w:val="none" w:sz="0" w:space="0" w:color="auto"/>
                <w:right w:val="none" w:sz="0" w:space="0" w:color="auto"/>
              </w:divBdr>
              <w:divsChild>
                <w:div w:id="1402017358">
                  <w:marLeft w:val="0"/>
                  <w:marRight w:val="0"/>
                  <w:marTop w:val="0"/>
                  <w:marBottom w:val="0"/>
                  <w:divBdr>
                    <w:top w:val="none" w:sz="0" w:space="0" w:color="auto"/>
                    <w:left w:val="none" w:sz="0" w:space="0" w:color="auto"/>
                    <w:bottom w:val="none" w:sz="0" w:space="0" w:color="auto"/>
                    <w:right w:val="none" w:sz="0" w:space="0" w:color="auto"/>
                  </w:divBdr>
                  <w:divsChild>
                    <w:div w:id="1009528487">
                      <w:marLeft w:val="0"/>
                      <w:marRight w:val="0"/>
                      <w:marTop w:val="0"/>
                      <w:marBottom w:val="0"/>
                      <w:divBdr>
                        <w:top w:val="none" w:sz="0" w:space="0" w:color="auto"/>
                        <w:left w:val="none" w:sz="0" w:space="0" w:color="auto"/>
                        <w:bottom w:val="none" w:sz="0" w:space="0" w:color="auto"/>
                        <w:right w:val="none" w:sz="0" w:space="0" w:color="auto"/>
                      </w:divBdr>
                    </w:div>
                  </w:divsChild>
                </w:div>
                <w:div w:id="1518349192">
                  <w:marLeft w:val="0"/>
                  <w:marRight w:val="0"/>
                  <w:marTop w:val="0"/>
                  <w:marBottom w:val="0"/>
                  <w:divBdr>
                    <w:top w:val="none" w:sz="0" w:space="0" w:color="auto"/>
                    <w:left w:val="none" w:sz="0" w:space="0" w:color="auto"/>
                    <w:bottom w:val="none" w:sz="0" w:space="0" w:color="auto"/>
                    <w:right w:val="none" w:sz="0" w:space="0" w:color="auto"/>
                  </w:divBdr>
                  <w:divsChild>
                    <w:div w:id="954559498">
                      <w:marLeft w:val="0"/>
                      <w:marRight w:val="0"/>
                      <w:marTop w:val="0"/>
                      <w:marBottom w:val="0"/>
                      <w:divBdr>
                        <w:top w:val="none" w:sz="0" w:space="0" w:color="auto"/>
                        <w:left w:val="none" w:sz="0" w:space="0" w:color="auto"/>
                        <w:bottom w:val="none" w:sz="0" w:space="0" w:color="auto"/>
                        <w:right w:val="none" w:sz="0" w:space="0" w:color="auto"/>
                      </w:divBdr>
                    </w:div>
                  </w:divsChild>
                </w:div>
                <w:div w:id="220795026">
                  <w:marLeft w:val="0"/>
                  <w:marRight w:val="0"/>
                  <w:marTop w:val="0"/>
                  <w:marBottom w:val="0"/>
                  <w:divBdr>
                    <w:top w:val="none" w:sz="0" w:space="0" w:color="auto"/>
                    <w:left w:val="none" w:sz="0" w:space="0" w:color="auto"/>
                    <w:bottom w:val="none" w:sz="0" w:space="0" w:color="auto"/>
                    <w:right w:val="none" w:sz="0" w:space="0" w:color="auto"/>
                  </w:divBdr>
                  <w:divsChild>
                    <w:div w:id="481049074">
                      <w:marLeft w:val="0"/>
                      <w:marRight w:val="0"/>
                      <w:marTop w:val="0"/>
                      <w:marBottom w:val="0"/>
                      <w:divBdr>
                        <w:top w:val="none" w:sz="0" w:space="0" w:color="auto"/>
                        <w:left w:val="none" w:sz="0" w:space="0" w:color="auto"/>
                        <w:bottom w:val="none" w:sz="0" w:space="0" w:color="auto"/>
                        <w:right w:val="none" w:sz="0" w:space="0" w:color="auto"/>
                      </w:divBdr>
                    </w:div>
                    <w:div w:id="2131821138">
                      <w:marLeft w:val="0"/>
                      <w:marRight w:val="0"/>
                      <w:marTop w:val="0"/>
                      <w:marBottom w:val="0"/>
                      <w:divBdr>
                        <w:top w:val="none" w:sz="0" w:space="0" w:color="auto"/>
                        <w:left w:val="none" w:sz="0" w:space="0" w:color="auto"/>
                        <w:bottom w:val="none" w:sz="0" w:space="0" w:color="auto"/>
                        <w:right w:val="none" w:sz="0" w:space="0" w:color="auto"/>
                      </w:divBdr>
                    </w:div>
                  </w:divsChild>
                </w:div>
                <w:div w:id="1518227050">
                  <w:marLeft w:val="0"/>
                  <w:marRight w:val="0"/>
                  <w:marTop w:val="0"/>
                  <w:marBottom w:val="0"/>
                  <w:divBdr>
                    <w:top w:val="none" w:sz="0" w:space="0" w:color="auto"/>
                    <w:left w:val="none" w:sz="0" w:space="0" w:color="auto"/>
                    <w:bottom w:val="none" w:sz="0" w:space="0" w:color="auto"/>
                    <w:right w:val="none" w:sz="0" w:space="0" w:color="auto"/>
                  </w:divBdr>
                  <w:divsChild>
                    <w:div w:id="893539471">
                      <w:marLeft w:val="0"/>
                      <w:marRight w:val="0"/>
                      <w:marTop w:val="0"/>
                      <w:marBottom w:val="0"/>
                      <w:divBdr>
                        <w:top w:val="none" w:sz="0" w:space="0" w:color="auto"/>
                        <w:left w:val="none" w:sz="0" w:space="0" w:color="auto"/>
                        <w:bottom w:val="none" w:sz="0" w:space="0" w:color="auto"/>
                        <w:right w:val="none" w:sz="0" w:space="0" w:color="auto"/>
                      </w:divBdr>
                    </w:div>
                    <w:div w:id="312955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1018143">
          <w:marLeft w:val="0"/>
          <w:marRight w:val="0"/>
          <w:marTop w:val="0"/>
          <w:marBottom w:val="0"/>
          <w:divBdr>
            <w:top w:val="none" w:sz="0" w:space="0" w:color="auto"/>
            <w:left w:val="none" w:sz="0" w:space="0" w:color="auto"/>
            <w:bottom w:val="none" w:sz="0" w:space="0" w:color="auto"/>
            <w:right w:val="none" w:sz="0" w:space="0" w:color="auto"/>
          </w:divBdr>
        </w:div>
        <w:div w:id="1191335630">
          <w:marLeft w:val="0"/>
          <w:marRight w:val="0"/>
          <w:marTop w:val="0"/>
          <w:marBottom w:val="0"/>
          <w:divBdr>
            <w:top w:val="none" w:sz="0" w:space="0" w:color="auto"/>
            <w:left w:val="none" w:sz="0" w:space="0" w:color="auto"/>
            <w:bottom w:val="none" w:sz="0" w:space="0" w:color="auto"/>
            <w:right w:val="none" w:sz="0" w:space="0" w:color="auto"/>
          </w:divBdr>
        </w:div>
        <w:div w:id="828668285">
          <w:marLeft w:val="0"/>
          <w:marRight w:val="0"/>
          <w:marTop w:val="0"/>
          <w:marBottom w:val="0"/>
          <w:divBdr>
            <w:top w:val="none" w:sz="0" w:space="0" w:color="auto"/>
            <w:left w:val="none" w:sz="0" w:space="0" w:color="auto"/>
            <w:bottom w:val="none" w:sz="0" w:space="0" w:color="auto"/>
            <w:right w:val="none" w:sz="0" w:space="0" w:color="auto"/>
          </w:divBdr>
        </w:div>
        <w:div w:id="1342126496">
          <w:marLeft w:val="0"/>
          <w:marRight w:val="0"/>
          <w:marTop w:val="0"/>
          <w:marBottom w:val="0"/>
          <w:divBdr>
            <w:top w:val="none" w:sz="0" w:space="0" w:color="auto"/>
            <w:left w:val="none" w:sz="0" w:space="0" w:color="auto"/>
            <w:bottom w:val="none" w:sz="0" w:space="0" w:color="auto"/>
            <w:right w:val="none" w:sz="0" w:space="0" w:color="auto"/>
          </w:divBdr>
        </w:div>
        <w:div w:id="1389575831">
          <w:marLeft w:val="0"/>
          <w:marRight w:val="0"/>
          <w:marTop w:val="0"/>
          <w:marBottom w:val="0"/>
          <w:divBdr>
            <w:top w:val="none" w:sz="0" w:space="0" w:color="auto"/>
            <w:left w:val="none" w:sz="0" w:space="0" w:color="auto"/>
            <w:bottom w:val="none" w:sz="0" w:space="0" w:color="auto"/>
            <w:right w:val="none" w:sz="0" w:space="0" w:color="auto"/>
          </w:divBdr>
        </w:div>
        <w:div w:id="1256793149">
          <w:marLeft w:val="0"/>
          <w:marRight w:val="0"/>
          <w:marTop w:val="0"/>
          <w:marBottom w:val="0"/>
          <w:divBdr>
            <w:top w:val="none" w:sz="0" w:space="0" w:color="auto"/>
            <w:left w:val="none" w:sz="0" w:space="0" w:color="auto"/>
            <w:bottom w:val="none" w:sz="0" w:space="0" w:color="auto"/>
            <w:right w:val="none" w:sz="0" w:space="0" w:color="auto"/>
          </w:divBdr>
        </w:div>
        <w:div w:id="1296137959">
          <w:marLeft w:val="0"/>
          <w:marRight w:val="0"/>
          <w:marTop w:val="0"/>
          <w:marBottom w:val="0"/>
          <w:divBdr>
            <w:top w:val="none" w:sz="0" w:space="0" w:color="auto"/>
            <w:left w:val="none" w:sz="0" w:space="0" w:color="auto"/>
            <w:bottom w:val="none" w:sz="0" w:space="0" w:color="auto"/>
            <w:right w:val="none" w:sz="0" w:space="0" w:color="auto"/>
          </w:divBdr>
        </w:div>
        <w:div w:id="526719427">
          <w:marLeft w:val="0"/>
          <w:marRight w:val="0"/>
          <w:marTop w:val="0"/>
          <w:marBottom w:val="0"/>
          <w:divBdr>
            <w:top w:val="none" w:sz="0" w:space="0" w:color="auto"/>
            <w:left w:val="none" w:sz="0" w:space="0" w:color="auto"/>
            <w:bottom w:val="none" w:sz="0" w:space="0" w:color="auto"/>
            <w:right w:val="none" w:sz="0" w:space="0" w:color="auto"/>
          </w:divBdr>
        </w:div>
        <w:div w:id="1679379945">
          <w:marLeft w:val="0"/>
          <w:marRight w:val="0"/>
          <w:marTop w:val="0"/>
          <w:marBottom w:val="0"/>
          <w:divBdr>
            <w:top w:val="none" w:sz="0" w:space="0" w:color="auto"/>
            <w:left w:val="none" w:sz="0" w:space="0" w:color="auto"/>
            <w:bottom w:val="none" w:sz="0" w:space="0" w:color="auto"/>
            <w:right w:val="none" w:sz="0" w:space="0" w:color="auto"/>
          </w:divBdr>
        </w:div>
        <w:div w:id="367067427">
          <w:marLeft w:val="0"/>
          <w:marRight w:val="0"/>
          <w:marTop w:val="0"/>
          <w:marBottom w:val="0"/>
          <w:divBdr>
            <w:top w:val="none" w:sz="0" w:space="0" w:color="auto"/>
            <w:left w:val="none" w:sz="0" w:space="0" w:color="auto"/>
            <w:bottom w:val="none" w:sz="0" w:space="0" w:color="auto"/>
            <w:right w:val="none" w:sz="0" w:space="0" w:color="auto"/>
          </w:divBdr>
        </w:div>
        <w:div w:id="664673391">
          <w:marLeft w:val="0"/>
          <w:marRight w:val="0"/>
          <w:marTop w:val="0"/>
          <w:marBottom w:val="0"/>
          <w:divBdr>
            <w:top w:val="none" w:sz="0" w:space="0" w:color="auto"/>
            <w:left w:val="none" w:sz="0" w:space="0" w:color="auto"/>
            <w:bottom w:val="none" w:sz="0" w:space="0" w:color="auto"/>
            <w:right w:val="none" w:sz="0" w:space="0" w:color="auto"/>
          </w:divBdr>
        </w:div>
        <w:div w:id="1319843391">
          <w:marLeft w:val="0"/>
          <w:marRight w:val="0"/>
          <w:marTop w:val="0"/>
          <w:marBottom w:val="0"/>
          <w:divBdr>
            <w:top w:val="none" w:sz="0" w:space="0" w:color="auto"/>
            <w:left w:val="none" w:sz="0" w:space="0" w:color="auto"/>
            <w:bottom w:val="none" w:sz="0" w:space="0" w:color="auto"/>
            <w:right w:val="none" w:sz="0" w:space="0" w:color="auto"/>
          </w:divBdr>
        </w:div>
        <w:div w:id="550653137">
          <w:marLeft w:val="0"/>
          <w:marRight w:val="0"/>
          <w:marTop w:val="0"/>
          <w:marBottom w:val="0"/>
          <w:divBdr>
            <w:top w:val="none" w:sz="0" w:space="0" w:color="auto"/>
            <w:left w:val="none" w:sz="0" w:space="0" w:color="auto"/>
            <w:bottom w:val="none" w:sz="0" w:space="0" w:color="auto"/>
            <w:right w:val="none" w:sz="0" w:space="0" w:color="auto"/>
          </w:divBdr>
        </w:div>
        <w:div w:id="31351481">
          <w:marLeft w:val="0"/>
          <w:marRight w:val="0"/>
          <w:marTop w:val="0"/>
          <w:marBottom w:val="0"/>
          <w:divBdr>
            <w:top w:val="none" w:sz="0" w:space="0" w:color="auto"/>
            <w:left w:val="none" w:sz="0" w:space="0" w:color="auto"/>
            <w:bottom w:val="none" w:sz="0" w:space="0" w:color="auto"/>
            <w:right w:val="none" w:sz="0" w:space="0" w:color="auto"/>
          </w:divBdr>
        </w:div>
        <w:div w:id="1745882632">
          <w:marLeft w:val="0"/>
          <w:marRight w:val="0"/>
          <w:marTop w:val="0"/>
          <w:marBottom w:val="0"/>
          <w:divBdr>
            <w:top w:val="none" w:sz="0" w:space="0" w:color="auto"/>
            <w:left w:val="none" w:sz="0" w:space="0" w:color="auto"/>
            <w:bottom w:val="none" w:sz="0" w:space="0" w:color="auto"/>
            <w:right w:val="none" w:sz="0" w:space="0" w:color="auto"/>
          </w:divBdr>
        </w:div>
        <w:div w:id="1287204101">
          <w:marLeft w:val="0"/>
          <w:marRight w:val="0"/>
          <w:marTop w:val="0"/>
          <w:marBottom w:val="0"/>
          <w:divBdr>
            <w:top w:val="none" w:sz="0" w:space="0" w:color="auto"/>
            <w:left w:val="none" w:sz="0" w:space="0" w:color="auto"/>
            <w:bottom w:val="none" w:sz="0" w:space="0" w:color="auto"/>
            <w:right w:val="none" w:sz="0" w:space="0" w:color="auto"/>
          </w:divBdr>
        </w:div>
        <w:div w:id="1094937043">
          <w:marLeft w:val="0"/>
          <w:marRight w:val="0"/>
          <w:marTop w:val="0"/>
          <w:marBottom w:val="0"/>
          <w:divBdr>
            <w:top w:val="none" w:sz="0" w:space="0" w:color="auto"/>
            <w:left w:val="none" w:sz="0" w:space="0" w:color="auto"/>
            <w:bottom w:val="none" w:sz="0" w:space="0" w:color="auto"/>
            <w:right w:val="none" w:sz="0" w:space="0" w:color="auto"/>
          </w:divBdr>
        </w:div>
        <w:div w:id="1846673888">
          <w:marLeft w:val="0"/>
          <w:marRight w:val="0"/>
          <w:marTop w:val="0"/>
          <w:marBottom w:val="0"/>
          <w:divBdr>
            <w:top w:val="none" w:sz="0" w:space="0" w:color="auto"/>
            <w:left w:val="none" w:sz="0" w:space="0" w:color="auto"/>
            <w:bottom w:val="none" w:sz="0" w:space="0" w:color="auto"/>
            <w:right w:val="none" w:sz="0" w:space="0" w:color="auto"/>
          </w:divBdr>
        </w:div>
        <w:div w:id="1980576584">
          <w:marLeft w:val="0"/>
          <w:marRight w:val="0"/>
          <w:marTop w:val="0"/>
          <w:marBottom w:val="0"/>
          <w:divBdr>
            <w:top w:val="none" w:sz="0" w:space="0" w:color="auto"/>
            <w:left w:val="none" w:sz="0" w:space="0" w:color="auto"/>
            <w:bottom w:val="none" w:sz="0" w:space="0" w:color="auto"/>
            <w:right w:val="none" w:sz="0" w:space="0" w:color="auto"/>
          </w:divBdr>
        </w:div>
        <w:div w:id="1707558529">
          <w:marLeft w:val="0"/>
          <w:marRight w:val="0"/>
          <w:marTop w:val="0"/>
          <w:marBottom w:val="0"/>
          <w:divBdr>
            <w:top w:val="none" w:sz="0" w:space="0" w:color="auto"/>
            <w:left w:val="none" w:sz="0" w:space="0" w:color="auto"/>
            <w:bottom w:val="none" w:sz="0" w:space="0" w:color="auto"/>
            <w:right w:val="none" w:sz="0" w:space="0" w:color="auto"/>
          </w:divBdr>
        </w:div>
        <w:div w:id="1925870662">
          <w:marLeft w:val="0"/>
          <w:marRight w:val="0"/>
          <w:marTop w:val="0"/>
          <w:marBottom w:val="0"/>
          <w:divBdr>
            <w:top w:val="none" w:sz="0" w:space="0" w:color="auto"/>
            <w:left w:val="none" w:sz="0" w:space="0" w:color="auto"/>
            <w:bottom w:val="none" w:sz="0" w:space="0" w:color="auto"/>
            <w:right w:val="none" w:sz="0" w:space="0" w:color="auto"/>
          </w:divBdr>
        </w:div>
        <w:div w:id="1343817153">
          <w:marLeft w:val="0"/>
          <w:marRight w:val="0"/>
          <w:marTop w:val="0"/>
          <w:marBottom w:val="0"/>
          <w:divBdr>
            <w:top w:val="none" w:sz="0" w:space="0" w:color="auto"/>
            <w:left w:val="none" w:sz="0" w:space="0" w:color="auto"/>
            <w:bottom w:val="none" w:sz="0" w:space="0" w:color="auto"/>
            <w:right w:val="none" w:sz="0" w:space="0" w:color="auto"/>
          </w:divBdr>
        </w:div>
        <w:div w:id="1107189566">
          <w:marLeft w:val="0"/>
          <w:marRight w:val="0"/>
          <w:marTop w:val="0"/>
          <w:marBottom w:val="0"/>
          <w:divBdr>
            <w:top w:val="none" w:sz="0" w:space="0" w:color="auto"/>
            <w:left w:val="none" w:sz="0" w:space="0" w:color="auto"/>
            <w:bottom w:val="none" w:sz="0" w:space="0" w:color="auto"/>
            <w:right w:val="none" w:sz="0" w:space="0" w:color="auto"/>
          </w:divBdr>
        </w:div>
        <w:div w:id="2047949044">
          <w:marLeft w:val="0"/>
          <w:marRight w:val="0"/>
          <w:marTop w:val="0"/>
          <w:marBottom w:val="0"/>
          <w:divBdr>
            <w:top w:val="none" w:sz="0" w:space="0" w:color="auto"/>
            <w:left w:val="none" w:sz="0" w:space="0" w:color="auto"/>
            <w:bottom w:val="none" w:sz="0" w:space="0" w:color="auto"/>
            <w:right w:val="none" w:sz="0" w:space="0" w:color="auto"/>
          </w:divBdr>
        </w:div>
        <w:div w:id="1960796024">
          <w:marLeft w:val="0"/>
          <w:marRight w:val="0"/>
          <w:marTop w:val="0"/>
          <w:marBottom w:val="0"/>
          <w:divBdr>
            <w:top w:val="none" w:sz="0" w:space="0" w:color="auto"/>
            <w:left w:val="none" w:sz="0" w:space="0" w:color="auto"/>
            <w:bottom w:val="none" w:sz="0" w:space="0" w:color="auto"/>
            <w:right w:val="none" w:sz="0" w:space="0" w:color="auto"/>
          </w:divBdr>
        </w:div>
        <w:div w:id="517932732">
          <w:marLeft w:val="0"/>
          <w:marRight w:val="0"/>
          <w:marTop w:val="0"/>
          <w:marBottom w:val="0"/>
          <w:divBdr>
            <w:top w:val="none" w:sz="0" w:space="0" w:color="auto"/>
            <w:left w:val="none" w:sz="0" w:space="0" w:color="auto"/>
            <w:bottom w:val="none" w:sz="0" w:space="0" w:color="auto"/>
            <w:right w:val="none" w:sz="0" w:space="0" w:color="auto"/>
          </w:divBdr>
        </w:div>
        <w:div w:id="1988776173">
          <w:marLeft w:val="0"/>
          <w:marRight w:val="0"/>
          <w:marTop w:val="0"/>
          <w:marBottom w:val="0"/>
          <w:divBdr>
            <w:top w:val="none" w:sz="0" w:space="0" w:color="auto"/>
            <w:left w:val="none" w:sz="0" w:space="0" w:color="auto"/>
            <w:bottom w:val="none" w:sz="0" w:space="0" w:color="auto"/>
            <w:right w:val="none" w:sz="0" w:space="0" w:color="auto"/>
          </w:divBdr>
        </w:div>
        <w:div w:id="827210521">
          <w:marLeft w:val="0"/>
          <w:marRight w:val="0"/>
          <w:marTop w:val="0"/>
          <w:marBottom w:val="0"/>
          <w:divBdr>
            <w:top w:val="none" w:sz="0" w:space="0" w:color="auto"/>
            <w:left w:val="none" w:sz="0" w:space="0" w:color="auto"/>
            <w:bottom w:val="none" w:sz="0" w:space="0" w:color="auto"/>
            <w:right w:val="none" w:sz="0" w:space="0" w:color="auto"/>
          </w:divBdr>
        </w:div>
        <w:div w:id="1099371793">
          <w:marLeft w:val="0"/>
          <w:marRight w:val="0"/>
          <w:marTop w:val="0"/>
          <w:marBottom w:val="0"/>
          <w:divBdr>
            <w:top w:val="none" w:sz="0" w:space="0" w:color="auto"/>
            <w:left w:val="none" w:sz="0" w:space="0" w:color="auto"/>
            <w:bottom w:val="none" w:sz="0" w:space="0" w:color="auto"/>
            <w:right w:val="none" w:sz="0" w:space="0" w:color="auto"/>
          </w:divBdr>
        </w:div>
        <w:div w:id="1113475262">
          <w:marLeft w:val="0"/>
          <w:marRight w:val="0"/>
          <w:marTop w:val="0"/>
          <w:marBottom w:val="0"/>
          <w:divBdr>
            <w:top w:val="none" w:sz="0" w:space="0" w:color="auto"/>
            <w:left w:val="none" w:sz="0" w:space="0" w:color="auto"/>
            <w:bottom w:val="none" w:sz="0" w:space="0" w:color="auto"/>
            <w:right w:val="none" w:sz="0" w:space="0" w:color="auto"/>
          </w:divBdr>
        </w:div>
        <w:div w:id="1185901364">
          <w:marLeft w:val="0"/>
          <w:marRight w:val="0"/>
          <w:marTop w:val="0"/>
          <w:marBottom w:val="0"/>
          <w:divBdr>
            <w:top w:val="none" w:sz="0" w:space="0" w:color="auto"/>
            <w:left w:val="none" w:sz="0" w:space="0" w:color="auto"/>
            <w:bottom w:val="none" w:sz="0" w:space="0" w:color="auto"/>
            <w:right w:val="none" w:sz="0" w:space="0" w:color="auto"/>
          </w:divBdr>
        </w:div>
        <w:div w:id="1628926953">
          <w:marLeft w:val="0"/>
          <w:marRight w:val="0"/>
          <w:marTop w:val="0"/>
          <w:marBottom w:val="0"/>
          <w:divBdr>
            <w:top w:val="none" w:sz="0" w:space="0" w:color="auto"/>
            <w:left w:val="none" w:sz="0" w:space="0" w:color="auto"/>
            <w:bottom w:val="none" w:sz="0" w:space="0" w:color="auto"/>
            <w:right w:val="none" w:sz="0" w:space="0" w:color="auto"/>
          </w:divBdr>
        </w:div>
        <w:div w:id="1752315980">
          <w:marLeft w:val="0"/>
          <w:marRight w:val="0"/>
          <w:marTop w:val="0"/>
          <w:marBottom w:val="0"/>
          <w:divBdr>
            <w:top w:val="none" w:sz="0" w:space="0" w:color="auto"/>
            <w:left w:val="none" w:sz="0" w:space="0" w:color="auto"/>
            <w:bottom w:val="none" w:sz="0" w:space="0" w:color="auto"/>
            <w:right w:val="none" w:sz="0" w:space="0" w:color="auto"/>
          </w:divBdr>
        </w:div>
        <w:div w:id="1386904990">
          <w:marLeft w:val="0"/>
          <w:marRight w:val="0"/>
          <w:marTop w:val="0"/>
          <w:marBottom w:val="0"/>
          <w:divBdr>
            <w:top w:val="none" w:sz="0" w:space="0" w:color="auto"/>
            <w:left w:val="none" w:sz="0" w:space="0" w:color="auto"/>
            <w:bottom w:val="none" w:sz="0" w:space="0" w:color="auto"/>
            <w:right w:val="none" w:sz="0" w:space="0" w:color="auto"/>
          </w:divBdr>
        </w:div>
        <w:div w:id="858544905">
          <w:marLeft w:val="0"/>
          <w:marRight w:val="0"/>
          <w:marTop w:val="0"/>
          <w:marBottom w:val="0"/>
          <w:divBdr>
            <w:top w:val="none" w:sz="0" w:space="0" w:color="auto"/>
            <w:left w:val="none" w:sz="0" w:space="0" w:color="auto"/>
            <w:bottom w:val="none" w:sz="0" w:space="0" w:color="auto"/>
            <w:right w:val="none" w:sz="0" w:space="0" w:color="auto"/>
          </w:divBdr>
        </w:div>
        <w:div w:id="540824559">
          <w:marLeft w:val="0"/>
          <w:marRight w:val="0"/>
          <w:marTop w:val="0"/>
          <w:marBottom w:val="0"/>
          <w:divBdr>
            <w:top w:val="none" w:sz="0" w:space="0" w:color="auto"/>
            <w:left w:val="none" w:sz="0" w:space="0" w:color="auto"/>
            <w:bottom w:val="none" w:sz="0" w:space="0" w:color="auto"/>
            <w:right w:val="none" w:sz="0" w:space="0" w:color="auto"/>
          </w:divBdr>
          <w:divsChild>
            <w:div w:id="1731079932">
              <w:marLeft w:val="-75"/>
              <w:marRight w:val="0"/>
              <w:marTop w:val="30"/>
              <w:marBottom w:val="30"/>
              <w:divBdr>
                <w:top w:val="none" w:sz="0" w:space="0" w:color="auto"/>
                <w:left w:val="none" w:sz="0" w:space="0" w:color="auto"/>
                <w:bottom w:val="none" w:sz="0" w:space="0" w:color="auto"/>
                <w:right w:val="none" w:sz="0" w:space="0" w:color="auto"/>
              </w:divBdr>
              <w:divsChild>
                <w:div w:id="1804541316">
                  <w:marLeft w:val="0"/>
                  <w:marRight w:val="0"/>
                  <w:marTop w:val="0"/>
                  <w:marBottom w:val="0"/>
                  <w:divBdr>
                    <w:top w:val="none" w:sz="0" w:space="0" w:color="auto"/>
                    <w:left w:val="none" w:sz="0" w:space="0" w:color="auto"/>
                    <w:bottom w:val="none" w:sz="0" w:space="0" w:color="auto"/>
                    <w:right w:val="none" w:sz="0" w:space="0" w:color="auto"/>
                  </w:divBdr>
                  <w:divsChild>
                    <w:div w:id="2099672672">
                      <w:marLeft w:val="0"/>
                      <w:marRight w:val="0"/>
                      <w:marTop w:val="0"/>
                      <w:marBottom w:val="0"/>
                      <w:divBdr>
                        <w:top w:val="none" w:sz="0" w:space="0" w:color="auto"/>
                        <w:left w:val="none" w:sz="0" w:space="0" w:color="auto"/>
                        <w:bottom w:val="none" w:sz="0" w:space="0" w:color="auto"/>
                        <w:right w:val="none" w:sz="0" w:space="0" w:color="auto"/>
                      </w:divBdr>
                    </w:div>
                  </w:divsChild>
                </w:div>
                <w:div w:id="810632330">
                  <w:marLeft w:val="0"/>
                  <w:marRight w:val="0"/>
                  <w:marTop w:val="0"/>
                  <w:marBottom w:val="0"/>
                  <w:divBdr>
                    <w:top w:val="none" w:sz="0" w:space="0" w:color="auto"/>
                    <w:left w:val="none" w:sz="0" w:space="0" w:color="auto"/>
                    <w:bottom w:val="none" w:sz="0" w:space="0" w:color="auto"/>
                    <w:right w:val="none" w:sz="0" w:space="0" w:color="auto"/>
                  </w:divBdr>
                  <w:divsChild>
                    <w:div w:id="1826238428">
                      <w:marLeft w:val="0"/>
                      <w:marRight w:val="0"/>
                      <w:marTop w:val="0"/>
                      <w:marBottom w:val="0"/>
                      <w:divBdr>
                        <w:top w:val="none" w:sz="0" w:space="0" w:color="auto"/>
                        <w:left w:val="none" w:sz="0" w:space="0" w:color="auto"/>
                        <w:bottom w:val="none" w:sz="0" w:space="0" w:color="auto"/>
                        <w:right w:val="none" w:sz="0" w:space="0" w:color="auto"/>
                      </w:divBdr>
                    </w:div>
                  </w:divsChild>
                </w:div>
                <w:div w:id="1309365112">
                  <w:marLeft w:val="0"/>
                  <w:marRight w:val="0"/>
                  <w:marTop w:val="0"/>
                  <w:marBottom w:val="0"/>
                  <w:divBdr>
                    <w:top w:val="none" w:sz="0" w:space="0" w:color="auto"/>
                    <w:left w:val="none" w:sz="0" w:space="0" w:color="auto"/>
                    <w:bottom w:val="none" w:sz="0" w:space="0" w:color="auto"/>
                    <w:right w:val="none" w:sz="0" w:space="0" w:color="auto"/>
                  </w:divBdr>
                  <w:divsChild>
                    <w:div w:id="71586520">
                      <w:marLeft w:val="0"/>
                      <w:marRight w:val="0"/>
                      <w:marTop w:val="0"/>
                      <w:marBottom w:val="0"/>
                      <w:divBdr>
                        <w:top w:val="none" w:sz="0" w:space="0" w:color="auto"/>
                        <w:left w:val="none" w:sz="0" w:space="0" w:color="auto"/>
                        <w:bottom w:val="none" w:sz="0" w:space="0" w:color="auto"/>
                        <w:right w:val="none" w:sz="0" w:space="0" w:color="auto"/>
                      </w:divBdr>
                    </w:div>
                  </w:divsChild>
                </w:div>
                <w:div w:id="1938632477">
                  <w:marLeft w:val="0"/>
                  <w:marRight w:val="0"/>
                  <w:marTop w:val="0"/>
                  <w:marBottom w:val="0"/>
                  <w:divBdr>
                    <w:top w:val="none" w:sz="0" w:space="0" w:color="auto"/>
                    <w:left w:val="none" w:sz="0" w:space="0" w:color="auto"/>
                    <w:bottom w:val="none" w:sz="0" w:space="0" w:color="auto"/>
                    <w:right w:val="none" w:sz="0" w:space="0" w:color="auto"/>
                  </w:divBdr>
                  <w:divsChild>
                    <w:div w:id="1396510537">
                      <w:marLeft w:val="0"/>
                      <w:marRight w:val="0"/>
                      <w:marTop w:val="0"/>
                      <w:marBottom w:val="0"/>
                      <w:divBdr>
                        <w:top w:val="none" w:sz="0" w:space="0" w:color="auto"/>
                        <w:left w:val="none" w:sz="0" w:space="0" w:color="auto"/>
                        <w:bottom w:val="none" w:sz="0" w:space="0" w:color="auto"/>
                        <w:right w:val="none" w:sz="0" w:space="0" w:color="auto"/>
                      </w:divBdr>
                    </w:div>
                  </w:divsChild>
                </w:div>
                <w:div w:id="78061384">
                  <w:marLeft w:val="0"/>
                  <w:marRight w:val="0"/>
                  <w:marTop w:val="0"/>
                  <w:marBottom w:val="0"/>
                  <w:divBdr>
                    <w:top w:val="none" w:sz="0" w:space="0" w:color="auto"/>
                    <w:left w:val="none" w:sz="0" w:space="0" w:color="auto"/>
                    <w:bottom w:val="none" w:sz="0" w:space="0" w:color="auto"/>
                    <w:right w:val="none" w:sz="0" w:space="0" w:color="auto"/>
                  </w:divBdr>
                  <w:divsChild>
                    <w:div w:id="2047673468">
                      <w:marLeft w:val="0"/>
                      <w:marRight w:val="0"/>
                      <w:marTop w:val="0"/>
                      <w:marBottom w:val="0"/>
                      <w:divBdr>
                        <w:top w:val="none" w:sz="0" w:space="0" w:color="auto"/>
                        <w:left w:val="none" w:sz="0" w:space="0" w:color="auto"/>
                        <w:bottom w:val="none" w:sz="0" w:space="0" w:color="auto"/>
                        <w:right w:val="none" w:sz="0" w:space="0" w:color="auto"/>
                      </w:divBdr>
                    </w:div>
                  </w:divsChild>
                </w:div>
                <w:div w:id="582881689">
                  <w:marLeft w:val="0"/>
                  <w:marRight w:val="0"/>
                  <w:marTop w:val="0"/>
                  <w:marBottom w:val="0"/>
                  <w:divBdr>
                    <w:top w:val="none" w:sz="0" w:space="0" w:color="auto"/>
                    <w:left w:val="none" w:sz="0" w:space="0" w:color="auto"/>
                    <w:bottom w:val="none" w:sz="0" w:space="0" w:color="auto"/>
                    <w:right w:val="none" w:sz="0" w:space="0" w:color="auto"/>
                  </w:divBdr>
                  <w:divsChild>
                    <w:div w:id="317348571">
                      <w:marLeft w:val="0"/>
                      <w:marRight w:val="0"/>
                      <w:marTop w:val="0"/>
                      <w:marBottom w:val="0"/>
                      <w:divBdr>
                        <w:top w:val="none" w:sz="0" w:space="0" w:color="auto"/>
                        <w:left w:val="none" w:sz="0" w:space="0" w:color="auto"/>
                        <w:bottom w:val="none" w:sz="0" w:space="0" w:color="auto"/>
                        <w:right w:val="none" w:sz="0" w:space="0" w:color="auto"/>
                      </w:divBdr>
                    </w:div>
                  </w:divsChild>
                </w:div>
                <w:div w:id="1044256115">
                  <w:marLeft w:val="0"/>
                  <w:marRight w:val="0"/>
                  <w:marTop w:val="0"/>
                  <w:marBottom w:val="0"/>
                  <w:divBdr>
                    <w:top w:val="none" w:sz="0" w:space="0" w:color="auto"/>
                    <w:left w:val="none" w:sz="0" w:space="0" w:color="auto"/>
                    <w:bottom w:val="none" w:sz="0" w:space="0" w:color="auto"/>
                    <w:right w:val="none" w:sz="0" w:space="0" w:color="auto"/>
                  </w:divBdr>
                  <w:divsChild>
                    <w:div w:id="521165065">
                      <w:marLeft w:val="0"/>
                      <w:marRight w:val="0"/>
                      <w:marTop w:val="0"/>
                      <w:marBottom w:val="0"/>
                      <w:divBdr>
                        <w:top w:val="none" w:sz="0" w:space="0" w:color="auto"/>
                        <w:left w:val="none" w:sz="0" w:space="0" w:color="auto"/>
                        <w:bottom w:val="none" w:sz="0" w:space="0" w:color="auto"/>
                        <w:right w:val="none" w:sz="0" w:space="0" w:color="auto"/>
                      </w:divBdr>
                    </w:div>
                  </w:divsChild>
                </w:div>
                <w:div w:id="2044399274">
                  <w:marLeft w:val="0"/>
                  <w:marRight w:val="0"/>
                  <w:marTop w:val="0"/>
                  <w:marBottom w:val="0"/>
                  <w:divBdr>
                    <w:top w:val="none" w:sz="0" w:space="0" w:color="auto"/>
                    <w:left w:val="none" w:sz="0" w:space="0" w:color="auto"/>
                    <w:bottom w:val="none" w:sz="0" w:space="0" w:color="auto"/>
                    <w:right w:val="none" w:sz="0" w:space="0" w:color="auto"/>
                  </w:divBdr>
                  <w:divsChild>
                    <w:div w:id="1786149062">
                      <w:marLeft w:val="0"/>
                      <w:marRight w:val="0"/>
                      <w:marTop w:val="0"/>
                      <w:marBottom w:val="0"/>
                      <w:divBdr>
                        <w:top w:val="none" w:sz="0" w:space="0" w:color="auto"/>
                        <w:left w:val="none" w:sz="0" w:space="0" w:color="auto"/>
                        <w:bottom w:val="none" w:sz="0" w:space="0" w:color="auto"/>
                        <w:right w:val="none" w:sz="0" w:space="0" w:color="auto"/>
                      </w:divBdr>
                    </w:div>
                  </w:divsChild>
                </w:div>
                <w:div w:id="785734727">
                  <w:marLeft w:val="0"/>
                  <w:marRight w:val="0"/>
                  <w:marTop w:val="0"/>
                  <w:marBottom w:val="0"/>
                  <w:divBdr>
                    <w:top w:val="none" w:sz="0" w:space="0" w:color="auto"/>
                    <w:left w:val="none" w:sz="0" w:space="0" w:color="auto"/>
                    <w:bottom w:val="none" w:sz="0" w:space="0" w:color="auto"/>
                    <w:right w:val="none" w:sz="0" w:space="0" w:color="auto"/>
                  </w:divBdr>
                  <w:divsChild>
                    <w:div w:id="228075184">
                      <w:marLeft w:val="0"/>
                      <w:marRight w:val="0"/>
                      <w:marTop w:val="0"/>
                      <w:marBottom w:val="0"/>
                      <w:divBdr>
                        <w:top w:val="none" w:sz="0" w:space="0" w:color="auto"/>
                        <w:left w:val="none" w:sz="0" w:space="0" w:color="auto"/>
                        <w:bottom w:val="none" w:sz="0" w:space="0" w:color="auto"/>
                        <w:right w:val="none" w:sz="0" w:space="0" w:color="auto"/>
                      </w:divBdr>
                    </w:div>
                  </w:divsChild>
                </w:div>
                <w:div w:id="347219704">
                  <w:marLeft w:val="0"/>
                  <w:marRight w:val="0"/>
                  <w:marTop w:val="0"/>
                  <w:marBottom w:val="0"/>
                  <w:divBdr>
                    <w:top w:val="none" w:sz="0" w:space="0" w:color="auto"/>
                    <w:left w:val="none" w:sz="0" w:space="0" w:color="auto"/>
                    <w:bottom w:val="none" w:sz="0" w:space="0" w:color="auto"/>
                    <w:right w:val="none" w:sz="0" w:space="0" w:color="auto"/>
                  </w:divBdr>
                  <w:divsChild>
                    <w:div w:id="1165783302">
                      <w:marLeft w:val="0"/>
                      <w:marRight w:val="0"/>
                      <w:marTop w:val="0"/>
                      <w:marBottom w:val="0"/>
                      <w:divBdr>
                        <w:top w:val="none" w:sz="0" w:space="0" w:color="auto"/>
                        <w:left w:val="none" w:sz="0" w:space="0" w:color="auto"/>
                        <w:bottom w:val="none" w:sz="0" w:space="0" w:color="auto"/>
                        <w:right w:val="none" w:sz="0" w:space="0" w:color="auto"/>
                      </w:divBdr>
                    </w:div>
                  </w:divsChild>
                </w:div>
                <w:div w:id="1924676503">
                  <w:marLeft w:val="0"/>
                  <w:marRight w:val="0"/>
                  <w:marTop w:val="0"/>
                  <w:marBottom w:val="0"/>
                  <w:divBdr>
                    <w:top w:val="none" w:sz="0" w:space="0" w:color="auto"/>
                    <w:left w:val="none" w:sz="0" w:space="0" w:color="auto"/>
                    <w:bottom w:val="none" w:sz="0" w:space="0" w:color="auto"/>
                    <w:right w:val="none" w:sz="0" w:space="0" w:color="auto"/>
                  </w:divBdr>
                  <w:divsChild>
                    <w:div w:id="73281309">
                      <w:marLeft w:val="0"/>
                      <w:marRight w:val="0"/>
                      <w:marTop w:val="0"/>
                      <w:marBottom w:val="0"/>
                      <w:divBdr>
                        <w:top w:val="none" w:sz="0" w:space="0" w:color="auto"/>
                        <w:left w:val="none" w:sz="0" w:space="0" w:color="auto"/>
                        <w:bottom w:val="none" w:sz="0" w:space="0" w:color="auto"/>
                        <w:right w:val="none" w:sz="0" w:space="0" w:color="auto"/>
                      </w:divBdr>
                    </w:div>
                  </w:divsChild>
                </w:div>
                <w:div w:id="536968497">
                  <w:marLeft w:val="0"/>
                  <w:marRight w:val="0"/>
                  <w:marTop w:val="0"/>
                  <w:marBottom w:val="0"/>
                  <w:divBdr>
                    <w:top w:val="none" w:sz="0" w:space="0" w:color="auto"/>
                    <w:left w:val="none" w:sz="0" w:space="0" w:color="auto"/>
                    <w:bottom w:val="none" w:sz="0" w:space="0" w:color="auto"/>
                    <w:right w:val="none" w:sz="0" w:space="0" w:color="auto"/>
                  </w:divBdr>
                  <w:divsChild>
                    <w:div w:id="74816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247444">
          <w:marLeft w:val="0"/>
          <w:marRight w:val="0"/>
          <w:marTop w:val="0"/>
          <w:marBottom w:val="0"/>
          <w:divBdr>
            <w:top w:val="none" w:sz="0" w:space="0" w:color="auto"/>
            <w:left w:val="none" w:sz="0" w:space="0" w:color="auto"/>
            <w:bottom w:val="none" w:sz="0" w:space="0" w:color="auto"/>
            <w:right w:val="none" w:sz="0" w:space="0" w:color="auto"/>
          </w:divBdr>
          <w:divsChild>
            <w:div w:id="255019433">
              <w:marLeft w:val="0"/>
              <w:marRight w:val="0"/>
              <w:marTop w:val="0"/>
              <w:marBottom w:val="0"/>
              <w:divBdr>
                <w:top w:val="none" w:sz="0" w:space="0" w:color="auto"/>
                <w:left w:val="none" w:sz="0" w:space="0" w:color="auto"/>
                <w:bottom w:val="none" w:sz="0" w:space="0" w:color="auto"/>
                <w:right w:val="none" w:sz="0" w:space="0" w:color="auto"/>
              </w:divBdr>
            </w:div>
            <w:div w:id="1766850989">
              <w:marLeft w:val="0"/>
              <w:marRight w:val="0"/>
              <w:marTop w:val="0"/>
              <w:marBottom w:val="0"/>
              <w:divBdr>
                <w:top w:val="none" w:sz="0" w:space="0" w:color="auto"/>
                <w:left w:val="none" w:sz="0" w:space="0" w:color="auto"/>
                <w:bottom w:val="none" w:sz="0" w:space="0" w:color="auto"/>
                <w:right w:val="none" w:sz="0" w:space="0" w:color="auto"/>
              </w:divBdr>
            </w:div>
            <w:div w:id="1377466146">
              <w:marLeft w:val="0"/>
              <w:marRight w:val="0"/>
              <w:marTop w:val="0"/>
              <w:marBottom w:val="0"/>
              <w:divBdr>
                <w:top w:val="none" w:sz="0" w:space="0" w:color="auto"/>
                <w:left w:val="none" w:sz="0" w:space="0" w:color="auto"/>
                <w:bottom w:val="none" w:sz="0" w:space="0" w:color="auto"/>
                <w:right w:val="none" w:sz="0" w:space="0" w:color="auto"/>
              </w:divBdr>
            </w:div>
            <w:div w:id="87047744">
              <w:marLeft w:val="0"/>
              <w:marRight w:val="0"/>
              <w:marTop w:val="0"/>
              <w:marBottom w:val="0"/>
              <w:divBdr>
                <w:top w:val="none" w:sz="0" w:space="0" w:color="auto"/>
                <w:left w:val="none" w:sz="0" w:space="0" w:color="auto"/>
                <w:bottom w:val="none" w:sz="0" w:space="0" w:color="auto"/>
                <w:right w:val="none" w:sz="0" w:space="0" w:color="auto"/>
              </w:divBdr>
            </w:div>
            <w:div w:id="1126778121">
              <w:marLeft w:val="0"/>
              <w:marRight w:val="0"/>
              <w:marTop w:val="0"/>
              <w:marBottom w:val="0"/>
              <w:divBdr>
                <w:top w:val="none" w:sz="0" w:space="0" w:color="auto"/>
                <w:left w:val="none" w:sz="0" w:space="0" w:color="auto"/>
                <w:bottom w:val="none" w:sz="0" w:space="0" w:color="auto"/>
                <w:right w:val="none" w:sz="0" w:space="0" w:color="auto"/>
              </w:divBdr>
            </w:div>
            <w:div w:id="23139659">
              <w:marLeft w:val="0"/>
              <w:marRight w:val="0"/>
              <w:marTop w:val="0"/>
              <w:marBottom w:val="0"/>
              <w:divBdr>
                <w:top w:val="none" w:sz="0" w:space="0" w:color="auto"/>
                <w:left w:val="none" w:sz="0" w:space="0" w:color="auto"/>
                <w:bottom w:val="none" w:sz="0" w:space="0" w:color="auto"/>
                <w:right w:val="none" w:sz="0" w:space="0" w:color="auto"/>
              </w:divBdr>
            </w:div>
            <w:div w:id="1539048447">
              <w:marLeft w:val="0"/>
              <w:marRight w:val="0"/>
              <w:marTop w:val="0"/>
              <w:marBottom w:val="0"/>
              <w:divBdr>
                <w:top w:val="none" w:sz="0" w:space="0" w:color="auto"/>
                <w:left w:val="none" w:sz="0" w:space="0" w:color="auto"/>
                <w:bottom w:val="none" w:sz="0" w:space="0" w:color="auto"/>
                <w:right w:val="none" w:sz="0" w:space="0" w:color="auto"/>
              </w:divBdr>
            </w:div>
            <w:div w:id="415782352">
              <w:marLeft w:val="0"/>
              <w:marRight w:val="0"/>
              <w:marTop w:val="0"/>
              <w:marBottom w:val="0"/>
              <w:divBdr>
                <w:top w:val="none" w:sz="0" w:space="0" w:color="auto"/>
                <w:left w:val="none" w:sz="0" w:space="0" w:color="auto"/>
                <w:bottom w:val="none" w:sz="0" w:space="0" w:color="auto"/>
                <w:right w:val="none" w:sz="0" w:space="0" w:color="auto"/>
              </w:divBdr>
            </w:div>
            <w:div w:id="771508548">
              <w:marLeft w:val="0"/>
              <w:marRight w:val="0"/>
              <w:marTop w:val="0"/>
              <w:marBottom w:val="0"/>
              <w:divBdr>
                <w:top w:val="none" w:sz="0" w:space="0" w:color="auto"/>
                <w:left w:val="none" w:sz="0" w:space="0" w:color="auto"/>
                <w:bottom w:val="none" w:sz="0" w:space="0" w:color="auto"/>
                <w:right w:val="none" w:sz="0" w:space="0" w:color="auto"/>
              </w:divBdr>
            </w:div>
            <w:div w:id="391467202">
              <w:marLeft w:val="0"/>
              <w:marRight w:val="0"/>
              <w:marTop w:val="0"/>
              <w:marBottom w:val="0"/>
              <w:divBdr>
                <w:top w:val="none" w:sz="0" w:space="0" w:color="auto"/>
                <w:left w:val="none" w:sz="0" w:space="0" w:color="auto"/>
                <w:bottom w:val="none" w:sz="0" w:space="0" w:color="auto"/>
                <w:right w:val="none" w:sz="0" w:space="0" w:color="auto"/>
              </w:divBdr>
            </w:div>
            <w:div w:id="1395853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445685115">
      <w:bodyDiv w:val="1"/>
      <w:marLeft w:val="0"/>
      <w:marRight w:val="0"/>
      <w:marTop w:val="0"/>
      <w:marBottom w:val="0"/>
      <w:divBdr>
        <w:top w:val="none" w:sz="0" w:space="0" w:color="auto"/>
        <w:left w:val="none" w:sz="0" w:space="0" w:color="auto"/>
        <w:bottom w:val="none" w:sz="0" w:space="0" w:color="auto"/>
        <w:right w:val="none" w:sz="0" w:space="0" w:color="auto"/>
      </w:divBdr>
    </w:div>
    <w:div w:id="1493715350">
      <w:bodyDiv w:val="1"/>
      <w:marLeft w:val="0"/>
      <w:marRight w:val="0"/>
      <w:marTop w:val="0"/>
      <w:marBottom w:val="0"/>
      <w:divBdr>
        <w:top w:val="none" w:sz="0" w:space="0" w:color="auto"/>
        <w:left w:val="none" w:sz="0" w:space="0" w:color="auto"/>
        <w:bottom w:val="none" w:sz="0" w:space="0" w:color="auto"/>
        <w:right w:val="none" w:sz="0" w:space="0" w:color="auto"/>
      </w:divBdr>
      <w:divsChild>
        <w:div w:id="779302432">
          <w:marLeft w:val="0"/>
          <w:marRight w:val="0"/>
          <w:marTop w:val="0"/>
          <w:marBottom w:val="0"/>
          <w:divBdr>
            <w:top w:val="none" w:sz="0" w:space="0" w:color="auto"/>
            <w:left w:val="none" w:sz="0" w:space="0" w:color="auto"/>
            <w:bottom w:val="none" w:sz="0" w:space="0" w:color="auto"/>
            <w:right w:val="none" w:sz="0" w:space="0" w:color="auto"/>
          </w:divBdr>
        </w:div>
        <w:div w:id="101413394">
          <w:marLeft w:val="0"/>
          <w:marRight w:val="0"/>
          <w:marTop w:val="0"/>
          <w:marBottom w:val="0"/>
          <w:divBdr>
            <w:top w:val="none" w:sz="0" w:space="0" w:color="auto"/>
            <w:left w:val="none" w:sz="0" w:space="0" w:color="auto"/>
            <w:bottom w:val="none" w:sz="0" w:space="0" w:color="auto"/>
            <w:right w:val="none" w:sz="0" w:space="0" w:color="auto"/>
          </w:divBdr>
        </w:div>
        <w:div w:id="1417510064">
          <w:marLeft w:val="0"/>
          <w:marRight w:val="0"/>
          <w:marTop w:val="0"/>
          <w:marBottom w:val="0"/>
          <w:divBdr>
            <w:top w:val="none" w:sz="0" w:space="0" w:color="auto"/>
            <w:left w:val="none" w:sz="0" w:space="0" w:color="auto"/>
            <w:bottom w:val="none" w:sz="0" w:space="0" w:color="auto"/>
            <w:right w:val="none" w:sz="0" w:space="0" w:color="auto"/>
          </w:divBdr>
        </w:div>
        <w:div w:id="300773524">
          <w:marLeft w:val="0"/>
          <w:marRight w:val="0"/>
          <w:marTop w:val="0"/>
          <w:marBottom w:val="0"/>
          <w:divBdr>
            <w:top w:val="none" w:sz="0" w:space="0" w:color="auto"/>
            <w:left w:val="none" w:sz="0" w:space="0" w:color="auto"/>
            <w:bottom w:val="none" w:sz="0" w:space="0" w:color="auto"/>
            <w:right w:val="none" w:sz="0" w:space="0" w:color="auto"/>
          </w:divBdr>
        </w:div>
        <w:div w:id="402341018">
          <w:marLeft w:val="0"/>
          <w:marRight w:val="0"/>
          <w:marTop w:val="0"/>
          <w:marBottom w:val="0"/>
          <w:divBdr>
            <w:top w:val="none" w:sz="0" w:space="0" w:color="auto"/>
            <w:left w:val="none" w:sz="0" w:space="0" w:color="auto"/>
            <w:bottom w:val="none" w:sz="0" w:space="0" w:color="auto"/>
            <w:right w:val="none" w:sz="0" w:space="0" w:color="auto"/>
          </w:divBdr>
        </w:div>
        <w:div w:id="1990552890">
          <w:marLeft w:val="0"/>
          <w:marRight w:val="0"/>
          <w:marTop w:val="0"/>
          <w:marBottom w:val="0"/>
          <w:divBdr>
            <w:top w:val="none" w:sz="0" w:space="0" w:color="auto"/>
            <w:left w:val="none" w:sz="0" w:space="0" w:color="auto"/>
            <w:bottom w:val="none" w:sz="0" w:space="0" w:color="auto"/>
            <w:right w:val="none" w:sz="0" w:space="0" w:color="auto"/>
          </w:divBdr>
        </w:div>
        <w:div w:id="1938830025">
          <w:marLeft w:val="0"/>
          <w:marRight w:val="0"/>
          <w:marTop w:val="0"/>
          <w:marBottom w:val="0"/>
          <w:divBdr>
            <w:top w:val="none" w:sz="0" w:space="0" w:color="auto"/>
            <w:left w:val="none" w:sz="0" w:space="0" w:color="auto"/>
            <w:bottom w:val="none" w:sz="0" w:space="0" w:color="auto"/>
            <w:right w:val="none" w:sz="0" w:space="0" w:color="auto"/>
          </w:divBdr>
        </w:div>
        <w:div w:id="1768963953">
          <w:marLeft w:val="0"/>
          <w:marRight w:val="0"/>
          <w:marTop w:val="0"/>
          <w:marBottom w:val="0"/>
          <w:divBdr>
            <w:top w:val="none" w:sz="0" w:space="0" w:color="auto"/>
            <w:left w:val="none" w:sz="0" w:space="0" w:color="auto"/>
            <w:bottom w:val="none" w:sz="0" w:space="0" w:color="auto"/>
            <w:right w:val="none" w:sz="0" w:space="0" w:color="auto"/>
          </w:divBdr>
        </w:div>
        <w:div w:id="406271202">
          <w:marLeft w:val="0"/>
          <w:marRight w:val="0"/>
          <w:marTop w:val="0"/>
          <w:marBottom w:val="0"/>
          <w:divBdr>
            <w:top w:val="none" w:sz="0" w:space="0" w:color="auto"/>
            <w:left w:val="none" w:sz="0" w:space="0" w:color="auto"/>
            <w:bottom w:val="none" w:sz="0" w:space="0" w:color="auto"/>
            <w:right w:val="none" w:sz="0" w:space="0" w:color="auto"/>
          </w:divBdr>
          <w:divsChild>
            <w:div w:id="472214339">
              <w:marLeft w:val="-75"/>
              <w:marRight w:val="0"/>
              <w:marTop w:val="30"/>
              <w:marBottom w:val="30"/>
              <w:divBdr>
                <w:top w:val="none" w:sz="0" w:space="0" w:color="auto"/>
                <w:left w:val="none" w:sz="0" w:space="0" w:color="auto"/>
                <w:bottom w:val="none" w:sz="0" w:space="0" w:color="auto"/>
                <w:right w:val="none" w:sz="0" w:space="0" w:color="auto"/>
              </w:divBdr>
              <w:divsChild>
                <w:div w:id="292827044">
                  <w:marLeft w:val="0"/>
                  <w:marRight w:val="0"/>
                  <w:marTop w:val="0"/>
                  <w:marBottom w:val="0"/>
                  <w:divBdr>
                    <w:top w:val="none" w:sz="0" w:space="0" w:color="auto"/>
                    <w:left w:val="none" w:sz="0" w:space="0" w:color="auto"/>
                    <w:bottom w:val="none" w:sz="0" w:space="0" w:color="auto"/>
                    <w:right w:val="none" w:sz="0" w:space="0" w:color="auto"/>
                  </w:divBdr>
                  <w:divsChild>
                    <w:div w:id="1755852970">
                      <w:marLeft w:val="0"/>
                      <w:marRight w:val="0"/>
                      <w:marTop w:val="0"/>
                      <w:marBottom w:val="0"/>
                      <w:divBdr>
                        <w:top w:val="none" w:sz="0" w:space="0" w:color="auto"/>
                        <w:left w:val="none" w:sz="0" w:space="0" w:color="auto"/>
                        <w:bottom w:val="none" w:sz="0" w:space="0" w:color="auto"/>
                        <w:right w:val="none" w:sz="0" w:space="0" w:color="auto"/>
                      </w:divBdr>
                    </w:div>
                  </w:divsChild>
                </w:div>
                <w:div w:id="2086411702">
                  <w:marLeft w:val="0"/>
                  <w:marRight w:val="0"/>
                  <w:marTop w:val="0"/>
                  <w:marBottom w:val="0"/>
                  <w:divBdr>
                    <w:top w:val="none" w:sz="0" w:space="0" w:color="auto"/>
                    <w:left w:val="none" w:sz="0" w:space="0" w:color="auto"/>
                    <w:bottom w:val="none" w:sz="0" w:space="0" w:color="auto"/>
                    <w:right w:val="none" w:sz="0" w:space="0" w:color="auto"/>
                  </w:divBdr>
                  <w:divsChild>
                    <w:div w:id="1146628429">
                      <w:marLeft w:val="0"/>
                      <w:marRight w:val="0"/>
                      <w:marTop w:val="0"/>
                      <w:marBottom w:val="0"/>
                      <w:divBdr>
                        <w:top w:val="none" w:sz="0" w:space="0" w:color="auto"/>
                        <w:left w:val="none" w:sz="0" w:space="0" w:color="auto"/>
                        <w:bottom w:val="none" w:sz="0" w:space="0" w:color="auto"/>
                        <w:right w:val="none" w:sz="0" w:space="0" w:color="auto"/>
                      </w:divBdr>
                    </w:div>
                  </w:divsChild>
                </w:div>
                <w:div w:id="1266041043">
                  <w:marLeft w:val="0"/>
                  <w:marRight w:val="0"/>
                  <w:marTop w:val="0"/>
                  <w:marBottom w:val="0"/>
                  <w:divBdr>
                    <w:top w:val="none" w:sz="0" w:space="0" w:color="auto"/>
                    <w:left w:val="none" w:sz="0" w:space="0" w:color="auto"/>
                    <w:bottom w:val="none" w:sz="0" w:space="0" w:color="auto"/>
                    <w:right w:val="none" w:sz="0" w:space="0" w:color="auto"/>
                  </w:divBdr>
                  <w:divsChild>
                    <w:div w:id="1368793816">
                      <w:marLeft w:val="0"/>
                      <w:marRight w:val="0"/>
                      <w:marTop w:val="0"/>
                      <w:marBottom w:val="0"/>
                      <w:divBdr>
                        <w:top w:val="none" w:sz="0" w:space="0" w:color="auto"/>
                        <w:left w:val="none" w:sz="0" w:space="0" w:color="auto"/>
                        <w:bottom w:val="none" w:sz="0" w:space="0" w:color="auto"/>
                        <w:right w:val="none" w:sz="0" w:space="0" w:color="auto"/>
                      </w:divBdr>
                    </w:div>
                    <w:div w:id="1303464473">
                      <w:marLeft w:val="0"/>
                      <w:marRight w:val="0"/>
                      <w:marTop w:val="0"/>
                      <w:marBottom w:val="0"/>
                      <w:divBdr>
                        <w:top w:val="none" w:sz="0" w:space="0" w:color="auto"/>
                        <w:left w:val="none" w:sz="0" w:space="0" w:color="auto"/>
                        <w:bottom w:val="none" w:sz="0" w:space="0" w:color="auto"/>
                        <w:right w:val="none" w:sz="0" w:space="0" w:color="auto"/>
                      </w:divBdr>
                    </w:div>
                  </w:divsChild>
                </w:div>
                <w:div w:id="744766954">
                  <w:marLeft w:val="0"/>
                  <w:marRight w:val="0"/>
                  <w:marTop w:val="0"/>
                  <w:marBottom w:val="0"/>
                  <w:divBdr>
                    <w:top w:val="none" w:sz="0" w:space="0" w:color="auto"/>
                    <w:left w:val="none" w:sz="0" w:space="0" w:color="auto"/>
                    <w:bottom w:val="none" w:sz="0" w:space="0" w:color="auto"/>
                    <w:right w:val="none" w:sz="0" w:space="0" w:color="auto"/>
                  </w:divBdr>
                  <w:divsChild>
                    <w:div w:id="1907915331">
                      <w:marLeft w:val="0"/>
                      <w:marRight w:val="0"/>
                      <w:marTop w:val="0"/>
                      <w:marBottom w:val="0"/>
                      <w:divBdr>
                        <w:top w:val="none" w:sz="0" w:space="0" w:color="auto"/>
                        <w:left w:val="none" w:sz="0" w:space="0" w:color="auto"/>
                        <w:bottom w:val="none" w:sz="0" w:space="0" w:color="auto"/>
                        <w:right w:val="none" w:sz="0" w:space="0" w:color="auto"/>
                      </w:divBdr>
                    </w:div>
                    <w:div w:id="464545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9755074">
          <w:marLeft w:val="0"/>
          <w:marRight w:val="0"/>
          <w:marTop w:val="0"/>
          <w:marBottom w:val="0"/>
          <w:divBdr>
            <w:top w:val="none" w:sz="0" w:space="0" w:color="auto"/>
            <w:left w:val="none" w:sz="0" w:space="0" w:color="auto"/>
            <w:bottom w:val="none" w:sz="0" w:space="0" w:color="auto"/>
            <w:right w:val="none" w:sz="0" w:space="0" w:color="auto"/>
          </w:divBdr>
        </w:div>
        <w:div w:id="1604025283">
          <w:marLeft w:val="0"/>
          <w:marRight w:val="0"/>
          <w:marTop w:val="0"/>
          <w:marBottom w:val="0"/>
          <w:divBdr>
            <w:top w:val="none" w:sz="0" w:space="0" w:color="auto"/>
            <w:left w:val="none" w:sz="0" w:space="0" w:color="auto"/>
            <w:bottom w:val="none" w:sz="0" w:space="0" w:color="auto"/>
            <w:right w:val="none" w:sz="0" w:space="0" w:color="auto"/>
          </w:divBdr>
        </w:div>
        <w:div w:id="175387988">
          <w:marLeft w:val="0"/>
          <w:marRight w:val="0"/>
          <w:marTop w:val="0"/>
          <w:marBottom w:val="0"/>
          <w:divBdr>
            <w:top w:val="none" w:sz="0" w:space="0" w:color="auto"/>
            <w:left w:val="none" w:sz="0" w:space="0" w:color="auto"/>
            <w:bottom w:val="none" w:sz="0" w:space="0" w:color="auto"/>
            <w:right w:val="none" w:sz="0" w:space="0" w:color="auto"/>
          </w:divBdr>
        </w:div>
        <w:div w:id="1739014650">
          <w:marLeft w:val="0"/>
          <w:marRight w:val="0"/>
          <w:marTop w:val="0"/>
          <w:marBottom w:val="0"/>
          <w:divBdr>
            <w:top w:val="none" w:sz="0" w:space="0" w:color="auto"/>
            <w:left w:val="none" w:sz="0" w:space="0" w:color="auto"/>
            <w:bottom w:val="none" w:sz="0" w:space="0" w:color="auto"/>
            <w:right w:val="none" w:sz="0" w:space="0" w:color="auto"/>
          </w:divBdr>
        </w:div>
        <w:div w:id="640041616">
          <w:marLeft w:val="0"/>
          <w:marRight w:val="0"/>
          <w:marTop w:val="0"/>
          <w:marBottom w:val="0"/>
          <w:divBdr>
            <w:top w:val="none" w:sz="0" w:space="0" w:color="auto"/>
            <w:left w:val="none" w:sz="0" w:space="0" w:color="auto"/>
            <w:bottom w:val="none" w:sz="0" w:space="0" w:color="auto"/>
            <w:right w:val="none" w:sz="0" w:space="0" w:color="auto"/>
          </w:divBdr>
        </w:div>
        <w:div w:id="596719647">
          <w:marLeft w:val="0"/>
          <w:marRight w:val="0"/>
          <w:marTop w:val="0"/>
          <w:marBottom w:val="0"/>
          <w:divBdr>
            <w:top w:val="none" w:sz="0" w:space="0" w:color="auto"/>
            <w:left w:val="none" w:sz="0" w:space="0" w:color="auto"/>
            <w:bottom w:val="none" w:sz="0" w:space="0" w:color="auto"/>
            <w:right w:val="none" w:sz="0" w:space="0" w:color="auto"/>
          </w:divBdr>
        </w:div>
        <w:div w:id="190730576">
          <w:marLeft w:val="0"/>
          <w:marRight w:val="0"/>
          <w:marTop w:val="0"/>
          <w:marBottom w:val="0"/>
          <w:divBdr>
            <w:top w:val="none" w:sz="0" w:space="0" w:color="auto"/>
            <w:left w:val="none" w:sz="0" w:space="0" w:color="auto"/>
            <w:bottom w:val="none" w:sz="0" w:space="0" w:color="auto"/>
            <w:right w:val="none" w:sz="0" w:space="0" w:color="auto"/>
          </w:divBdr>
        </w:div>
        <w:div w:id="373122724">
          <w:marLeft w:val="0"/>
          <w:marRight w:val="0"/>
          <w:marTop w:val="0"/>
          <w:marBottom w:val="0"/>
          <w:divBdr>
            <w:top w:val="none" w:sz="0" w:space="0" w:color="auto"/>
            <w:left w:val="none" w:sz="0" w:space="0" w:color="auto"/>
            <w:bottom w:val="none" w:sz="0" w:space="0" w:color="auto"/>
            <w:right w:val="none" w:sz="0" w:space="0" w:color="auto"/>
          </w:divBdr>
        </w:div>
        <w:div w:id="1088231097">
          <w:marLeft w:val="0"/>
          <w:marRight w:val="0"/>
          <w:marTop w:val="0"/>
          <w:marBottom w:val="0"/>
          <w:divBdr>
            <w:top w:val="none" w:sz="0" w:space="0" w:color="auto"/>
            <w:left w:val="none" w:sz="0" w:space="0" w:color="auto"/>
            <w:bottom w:val="none" w:sz="0" w:space="0" w:color="auto"/>
            <w:right w:val="none" w:sz="0" w:space="0" w:color="auto"/>
          </w:divBdr>
        </w:div>
        <w:div w:id="856701897">
          <w:marLeft w:val="0"/>
          <w:marRight w:val="0"/>
          <w:marTop w:val="0"/>
          <w:marBottom w:val="0"/>
          <w:divBdr>
            <w:top w:val="none" w:sz="0" w:space="0" w:color="auto"/>
            <w:left w:val="none" w:sz="0" w:space="0" w:color="auto"/>
            <w:bottom w:val="none" w:sz="0" w:space="0" w:color="auto"/>
            <w:right w:val="none" w:sz="0" w:space="0" w:color="auto"/>
          </w:divBdr>
        </w:div>
        <w:div w:id="496268867">
          <w:marLeft w:val="0"/>
          <w:marRight w:val="0"/>
          <w:marTop w:val="0"/>
          <w:marBottom w:val="0"/>
          <w:divBdr>
            <w:top w:val="none" w:sz="0" w:space="0" w:color="auto"/>
            <w:left w:val="none" w:sz="0" w:space="0" w:color="auto"/>
            <w:bottom w:val="none" w:sz="0" w:space="0" w:color="auto"/>
            <w:right w:val="none" w:sz="0" w:space="0" w:color="auto"/>
          </w:divBdr>
        </w:div>
        <w:div w:id="202594069">
          <w:marLeft w:val="0"/>
          <w:marRight w:val="0"/>
          <w:marTop w:val="0"/>
          <w:marBottom w:val="0"/>
          <w:divBdr>
            <w:top w:val="none" w:sz="0" w:space="0" w:color="auto"/>
            <w:left w:val="none" w:sz="0" w:space="0" w:color="auto"/>
            <w:bottom w:val="none" w:sz="0" w:space="0" w:color="auto"/>
            <w:right w:val="none" w:sz="0" w:space="0" w:color="auto"/>
          </w:divBdr>
        </w:div>
        <w:div w:id="1879202602">
          <w:marLeft w:val="0"/>
          <w:marRight w:val="0"/>
          <w:marTop w:val="0"/>
          <w:marBottom w:val="0"/>
          <w:divBdr>
            <w:top w:val="none" w:sz="0" w:space="0" w:color="auto"/>
            <w:left w:val="none" w:sz="0" w:space="0" w:color="auto"/>
            <w:bottom w:val="none" w:sz="0" w:space="0" w:color="auto"/>
            <w:right w:val="none" w:sz="0" w:space="0" w:color="auto"/>
          </w:divBdr>
        </w:div>
        <w:div w:id="2049446384">
          <w:marLeft w:val="0"/>
          <w:marRight w:val="0"/>
          <w:marTop w:val="0"/>
          <w:marBottom w:val="0"/>
          <w:divBdr>
            <w:top w:val="none" w:sz="0" w:space="0" w:color="auto"/>
            <w:left w:val="none" w:sz="0" w:space="0" w:color="auto"/>
            <w:bottom w:val="none" w:sz="0" w:space="0" w:color="auto"/>
            <w:right w:val="none" w:sz="0" w:space="0" w:color="auto"/>
          </w:divBdr>
        </w:div>
        <w:div w:id="531378777">
          <w:marLeft w:val="0"/>
          <w:marRight w:val="0"/>
          <w:marTop w:val="0"/>
          <w:marBottom w:val="0"/>
          <w:divBdr>
            <w:top w:val="none" w:sz="0" w:space="0" w:color="auto"/>
            <w:left w:val="none" w:sz="0" w:space="0" w:color="auto"/>
            <w:bottom w:val="none" w:sz="0" w:space="0" w:color="auto"/>
            <w:right w:val="none" w:sz="0" w:space="0" w:color="auto"/>
          </w:divBdr>
        </w:div>
        <w:div w:id="304701031">
          <w:marLeft w:val="0"/>
          <w:marRight w:val="0"/>
          <w:marTop w:val="0"/>
          <w:marBottom w:val="0"/>
          <w:divBdr>
            <w:top w:val="none" w:sz="0" w:space="0" w:color="auto"/>
            <w:left w:val="none" w:sz="0" w:space="0" w:color="auto"/>
            <w:bottom w:val="none" w:sz="0" w:space="0" w:color="auto"/>
            <w:right w:val="none" w:sz="0" w:space="0" w:color="auto"/>
          </w:divBdr>
        </w:div>
        <w:div w:id="1146123438">
          <w:marLeft w:val="0"/>
          <w:marRight w:val="0"/>
          <w:marTop w:val="0"/>
          <w:marBottom w:val="0"/>
          <w:divBdr>
            <w:top w:val="none" w:sz="0" w:space="0" w:color="auto"/>
            <w:left w:val="none" w:sz="0" w:space="0" w:color="auto"/>
            <w:bottom w:val="none" w:sz="0" w:space="0" w:color="auto"/>
            <w:right w:val="none" w:sz="0" w:space="0" w:color="auto"/>
          </w:divBdr>
        </w:div>
        <w:div w:id="1529098437">
          <w:marLeft w:val="0"/>
          <w:marRight w:val="0"/>
          <w:marTop w:val="0"/>
          <w:marBottom w:val="0"/>
          <w:divBdr>
            <w:top w:val="none" w:sz="0" w:space="0" w:color="auto"/>
            <w:left w:val="none" w:sz="0" w:space="0" w:color="auto"/>
            <w:bottom w:val="none" w:sz="0" w:space="0" w:color="auto"/>
            <w:right w:val="none" w:sz="0" w:space="0" w:color="auto"/>
          </w:divBdr>
        </w:div>
        <w:div w:id="383217734">
          <w:marLeft w:val="0"/>
          <w:marRight w:val="0"/>
          <w:marTop w:val="0"/>
          <w:marBottom w:val="0"/>
          <w:divBdr>
            <w:top w:val="none" w:sz="0" w:space="0" w:color="auto"/>
            <w:left w:val="none" w:sz="0" w:space="0" w:color="auto"/>
            <w:bottom w:val="none" w:sz="0" w:space="0" w:color="auto"/>
            <w:right w:val="none" w:sz="0" w:space="0" w:color="auto"/>
          </w:divBdr>
        </w:div>
        <w:div w:id="1265764953">
          <w:marLeft w:val="0"/>
          <w:marRight w:val="0"/>
          <w:marTop w:val="0"/>
          <w:marBottom w:val="0"/>
          <w:divBdr>
            <w:top w:val="none" w:sz="0" w:space="0" w:color="auto"/>
            <w:left w:val="none" w:sz="0" w:space="0" w:color="auto"/>
            <w:bottom w:val="none" w:sz="0" w:space="0" w:color="auto"/>
            <w:right w:val="none" w:sz="0" w:space="0" w:color="auto"/>
          </w:divBdr>
        </w:div>
        <w:div w:id="2511796">
          <w:marLeft w:val="0"/>
          <w:marRight w:val="0"/>
          <w:marTop w:val="0"/>
          <w:marBottom w:val="0"/>
          <w:divBdr>
            <w:top w:val="none" w:sz="0" w:space="0" w:color="auto"/>
            <w:left w:val="none" w:sz="0" w:space="0" w:color="auto"/>
            <w:bottom w:val="none" w:sz="0" w:space="0" w:color="auto"/>
            <w:right w:val="none" w:sz="0" w:space="0" w:color="auto"/>
          </w:divBdr>
        </w:div>
        <w:div w:id="823936675">
          <w:marLeft w:val="0"/>
          <w:marRight w:val="0"/>
          <w:marTop w:val="0"/>
          <w:marBottom w:val="0"/>
          <w:divBdr>
            <w:top w:val="none" w:sz="0" w:space="0" w:color="auto"/>
            <w:left w:val="none" w:sz="0" w:space="0" w:color="auto"/>
            <w:bottom w:val="none" w:sz="0" w:space="0" w:color="auto"/>
            <w:right w:val="none" w:sz="0" w:space="0" w:color="auto"/>
          </w:divBdr>
        </w:div>
        <w:div w:id="31997233">
          <w:marLeft w:val="0"/>
          <w:marRight w:val="0"/>
          <w:marTop w:val="0"/>
          <w:marBottom w:val="0"/>
          <w:divBdr>
            <w:top w:val="none" w:sz="0" w:space="0" w:color="auto"/>
            <w:left w:val="none" w:sz="0" w:space="0" w:color="auto"/>
            <w:bottom w:val="none" w:sz="0" w:space="0" w:color="auto"/>
            <w:right w:val="none" w:sz="0" w:space="0" w:color="auto"/>
          </w:divBdr>
        </w:div>
        <w:div w:id="617297727">
          <w:marLeft w:val="0"/>
          <w:marRight w:val="0"/>
          <w:marTop w:val="0"/>
          <w:marBottom w:val="0"/>
          <w:divBdr>
            <w:top w:val="none" w:sz="0" w:space="0" w:color="auto"/>
            <w:left w:val="none" w:sz="0" w:space="0" w:color="auto"/>
            <w:bottom w:val="none" w:sz="0" w:space="0" w:color="auto"/>
            <w:right w:val="none" w:sz="0" w:space="0" w:color="auto"/>
          </w:divBdr>
        </w:div>
        <w:div w:id="1938519869">
          <w:marLeft w:val="0"/>
          <w:marRight w:val="0"/>
          <w:marTop w:val="0"/>
          <w:marBottom w:val="0"/>
          <w:divBdr>
            <w:top w:val="none" w:sz="0" w:space="0" w:color="auto"/>
            <w:left w:val="none" w:sz="0" w:space="0" w:color="auto"/>
            <w:bottom w:val="none" w:sz="0" w:space="0" w:color="auto"/>
            <w:right w:val="none" w:sz="0" w:space="0" w:color="auto"/>
          </w:divBdr>
        </w:div>
        <w:div w:id="2062559037">
          <w:marLeft w:val="0"/>
          <w:marRight w:val="0"/>
          <w:marTop w:val="0"/>
          <w:marBottom w:val="0"/>
          <w:divBdr>
            <w:top w:val="none" w:sz="0" w:space="0" w:color="auto"/>
            <w:left w:val="none" w:sz="0" w:space="0" w:color="auto"/>
            <w:bottom w:val="none" w:sz="0" w:space="0" w:color="auto"/>
            <w:right w:val="none" w:sz="0" w:space="0" w:color="auto"/>
          </w:divBdr>
        </w:div>
        <w:div w:id="1822844571">
          <w:marLeft w:val="0"/>
          <w:marRight w:val="0"/>
          <w:marTop w:val="0"/>
          <w:marBottom w:val="0"/>
          <w:divBdr>
            <w:top w:val="none" w:sz="0" w:space="0" w:color="auto"/>
            <w:left w:val="none" w:sz="0" w:space="0" w:color="auto"/>
            <w:bottom w:val="none" w:sz="0" w:space="0" w:color="auto"/>
            <w:right w:val="none" w:sz="0" w:space="0" w:color="auto"/>
          </w:divBdr>
        </w:div>
        <w:div w:id="1645040689">
          <w:marLeft w:val="0"/>
          <w:marRight w:val="0"/>
          <w:marTop w:val="0"/>
          <w:marBottom w:val="0"/>
          <w:divBdr>
            <w:top w:val="none" w:sz="0" w:space="0" w:color="auto"/>
            <w:left w:val="none" w:sz="0" w:space="0" w:color="auto"/>
            <w:bottom w:val="none" w:sz="0" w:space="0" w:color="auto"/>
            <w:right w:val="none" w:sz="0" w:space="0" w:color="auto"/>
          </w:divBdr>
        </w:div>
        <w:div w:id="1879970847">
          <w:marLeft w:val="0"/>
          <w:marRight w:val="0"/>
          <w:marTop w:val="0"/>
          <w:marBottom w:val="0"/>
          <w:divBdr>
            <w:top w:val="none" w:sz="0" w:space="0" w:color="auto"/>
            <w:left w:val="none" w:sz="0" w:space="0" w:color="auto"/>
            <w:bottom w:val="none" w:sz="0" w:space="0" w:color="auto"/>
            <w:right w:val="none" w:sz="0" w:space="0" w:color="auto"/>
          </w:divBdr>
        </w:div>
        <w:div w:id="1856731024">
          <w:marLeft w:val="0"/>
          <w:marRight w:val="0"/>
          <w:marTop w:val="0"/>
          <w:marBottom w:val="0"/>
          <w:divBdr>
            <w:top w:val="none" w:sz="0" w:space="0" w:color="auto"/>
            <w:left w:val="none" w:sz="0" w:space="0" w:color="auto"/>
            <w:bottom w:val="none" w:sz="0" w:space="0" w:color="auto"/>
            <w:right w:val="none" w:sz="0" w:space="0" w:color="auto"/>
          </w:divBdr>
        </w:div>
        <w:div w:id="78446712">
          <w:marLeft w:val="0"/>
          <w:marRight w:val="0"/>
          <w:marTop w:val="0"/>
          <w:marBottom w:val="0"/>
          <w:divBdr>
            <w:top w:val="none" w:sz="0" w:space="0" w:color="auto"/>
            <w:left w:val="none" w:sz="0" w:space="0" w:color="auto"/>
            <w:bottom w:val="none" w:sz="0" w:space="0" w:color="auto"/>
            <w:right w:val="none" w:sz="0" w:space="0" w:color="auto"/>
          </w:divBdr>
        </w:div>
        <w:div w:id="1950159621">
          <w:marLeft w:val="0"/>
          <w:marRight w:val="0"/>
          <w:marTop w:val="0"/>
          <w:marBottom w:val="0"/>
          <w:divBdr>
            <w:top w:val="none" w:sz="0" w:space="0" w:color="auto"/>
            <w:left w:val="none" w:sz="0" w:space="0" w:color="auto"/>
            <w:bottom w:val="none" w:sz="0" w:space="0" w:color="auto"/>
            <w:right w:val="none" w:sz="0" w:space="0" w:color="auto"/>
          </w:divBdr>
        </w:div>
        <w:div w:id="560409205">
          <w:marLeft w:val="0"/>
          <w:marRight w:val="0"/>
          <w:marTop w:val="0"/>
          <w:marBottom w:val="0"/>
          <w:divBdr>
            <w:top w:val="none" w:sz="0" w:space="0" w:color="auto"/>
            <w:left w:val="none" w:sz="0" w:space="0" w:color="auto"/>
            <w:bottom w:val="none" w:sz="0" w:space="0" w:color="auto"/>
            <w:right w:val="none" w:sz="0" w:space="0" w:color="auto"/>
          </w:divBdr>
        </w:div>
        <w:div w:id="1887643229">
          <w:marLeft w:val="0"/>
          <w:marRight w:val="0"/>
          <w:marTop w:val="0"/>
          <w:marBottom w:val="0"/>
          <w:divBdr>
            <w:top w:val="none" w:sz="0" w:space="0" w:color="auto"/>
            <w:left w:val="none" w:sz="0" w:space="0" w:color="auto"/>
            <w:bottom w:val="none" w:sz="0" w:space="0" w:color="auto"/>
            <w:right w:val="none" w:sz="0" w:space="0" w:color="auto"/>
          </w:divBdr>
        </w:div>
        <w:div w:id="1393230721">
          <w:marLeft w:val="0"/>
          <w:marRight w:val="0"/>
          <w:marTop w:val="0"/>
          <w:marBottom w:val="0"/>
          <w:divBdr>
            <w:top w:val="none" w:sz="0" w:space="0" w:color="auto"/>
            <w:left w:val="none" w:sz="0" w:space="0" w:color="auto"/>
            <w:bottom w:val="none" w:sz="0" w:space="0" w:color="auto"/>
            <w:right w:val="none" w:sz="0" w:space="0" w:color="auto"/>
          </w:divBdr>
        </w:div>
        <w:div w:id="820652898">
          <w:marLeft w:val="0"/>
          <w:marRight w:val="0"/>
          <w:marTop w:val="0"/>
          <w:marBottom w:val="0"/>
          <w:divBdr>
            <w:top w:val="none" w:sz="0" w:space="0" w:color="auto"/>
            <w:left w:val="none" w:sz="0" w:space="0" w:color="auto"/>
            <w:bottom w:val="none" w:sz="0" w:space="0" w:color="auto"/>
            <w:right w:val="none" w:sz="0" w:space="0" w:color="auto"/>
          </w:divBdr>
          <w:divsChild>
            <w:div w:id="119737096">
              <w:marLeft w:val="-75"/>
              <w:marRight w:val="0"/>
              <w:marTop w:val="30"/>
              <w:marBottom w:val="30"/>
              <w:divBdr>
                <w:top w:val="none" w:sz="0" w:space="0" w:color="auto"/>
                <w:left w:val="none" w:sz="0" w:space="0" w:color="auto"/>
                <w:bottom w:val="none" w:sz="0" w:space="0" w:color="auto"/>
                <w:right w:val="none" w:sz="0" w:space="0" w:color="auto"/>
              </w:divBdr>
              <w:divsChild>
                <w:div w:id="1001814881">
                  <w:marLeft w:val="0"/>
                  <w:marRight w:val="0"/>
                  <w:marTop w:val="0"/>
                  <w:marBottom w:val="0"/>
                  <w:divBdr>
                    <w:top w:val="none" w:sz="0" w:space="0" w:color="auto"/>
                    <w:left w:val="none" w:sz="0" w:space="0" w:color="auto"/>
                    <w:bottom w:val="none" w:sz="0" w:space="0" w:color="auto"/>
                    <w:right w:val="none" w:sz="0" w:space="0" w:color="auto"/>
                  </w:divBdr>
                  <w:divsChild>
                    <w:div w:id="1638334716">
                      <w:marLeft w:val="0"/>
                      <w:marRight w:val="0"/>
                      <w:marTop w:val="0"/>
                      <w:marBottom w:val="0"/>
                      <w:divBdr>
                        <w:top w:val="none" w:sz="0" w:space="0" w:color="auto"/>
                        <w:left w:val="none" w:sz="0" w:space="0" w:color="auto"/>
                        <w:bottom w:val="none" w:sz="0" w:space="0" w:color="auto"/>
                        <w:right w:val="none" w:sz="0" w:space="0" w:color="auto"/>
                      </w:divBdr>
                    </w:div>
                  </w:divsChild>
                </w:div>
                <w:div w:id="452022432">
                  <w:marLeft w:val="0"/>
                  <w:marRight w:val="0"/>
                  <w:marTop w:val="0"/>
                  <w:marBottom w:val="0"/>
                  <w:divBdr>
                    <w:top w:val="none" w:sz="0" w:space="0" w:color="auto"/>
                    <w:left w:val="none" w:sz="0" w:space="0" w:color="auto"/>
                    <w:bottom w:val="none" w:sz="0" w:space="0" w:color="auto"/>
                    <w:right w:val="none" w:sz="0" w:space="0" w:color="auto"/>
                  </w:divBdr>
                  <w:divsChild>
                    <w:div w:id="1418550693">
                      <w:marLeft w:val="0"/>
                      <w:marRight w:val="0"/>
                      <w:marTop w:val="0"/>
                      <w:marBottom w:val="0"/>
                      <w:divBdr>
                        <w:top w:val="none" w:sz="0" w:space="0" w:color="auto"/>
                        <w:left w:val="none" w:sz="0" w:space="0" w:color="auto"/>
                        <w:bottom w:val="none" w:sz="0" w:space="0" w:color="auto"/>
                        <w:right w:val="none" w:sz="0" w:space="0" w:color="auto"/>
                      </w:divBdr>
                    </w:div>
                  </w:divsChild>
                </w:div>
                <w:div w:id="1313682413">
                  <w:marLeft w:val="0"/>
                  <w:marRight w:val="0"/>
                  <w:marTop w:val="0"/>
                  <w:marBottom w:val="0"/>
                  <w:divBdr>
                    <w:top w:val="none" w:sz="0" w:space="0" w:color="auto"/>
                    <w:left w:val="none" w:sz="0" w:space="0" w:color="auto"/>
                    <w:bottom w:val="none" w:sz="0" w:space="0" w:color="auto"/>
                    <w:right w:val="none" w:sz="0" w:space="0" w:color="auto"/>
                  </w:divBdr>
                  <w:divsChild>
                    <w:div w:id="964459654">
                      <w:marLeft w:val="0"/>
                      <w:marRight w:val="0"/>
                      <w:marTop w:val="0"/>
                      <w:marBottom w:val="0"/>
                      <w:divBdr>
                        <w:top w:val="none" w:sz="0" w:space="0" w:color="auto"/>
                        <w:left w:val="none" w:sz="0" w:space="0" w:color="auto"/>
                        <w:bottom w:val="none" w:sz="0" w:space="0" w:color="auto"/>
                        <w:right w:val="none" w:sz="0" w:space="0" w:color="auto"/>
                      </w:divBdr>
                    </w:div>
                  </w:divsChild>
                </w:div>
                <w:div w:id="1736315885">
                  <w:marLeft w:val="0"/>
                  <w:marRight w:val="0"/>
                  <w:marTop w:val="0"/>
                  <w:marBottom w:val="0"/>
                  <w:divBdr>
                    <w:top w:val="none" w:sz="0" w:space="0" w:color="auto"/>
                    <w:left w:val="none" w:sz="0" w:space="0" w:color="auto"/>
                    <w:bottom w:val="none" w:sz="0" w:space="0" w:color="auto"/>
                    <w:right w:val="none" w:sz="0" w:space="0" w:color="auto"/>
                  </w:divBdr>
                  <w:divsChild>
                    <w:div w:id="509175384">
                      <w:marLeft w:val="0"/>
                      <w:marRight w:val="0"/>
                      <w:marTop w:val="0"/>
                      <w:marBottom w:val="0"/>
                      <w:divBdr>
                        <w:top w:val="none" w:sz="0" w:space="0" w:color="auto"/>
                        <w:left w:val="none" w:sz="0" w:space="0" w:color="auto"/>
                        <w:bottom w:val="none" w:sz="0" w:space="0" w:color="auto"/>
                        <w:right w:val="none" w:sz="0" w:space="0" w:color="auto"/>
                      </w:divBdr>
                    </w:div>
                  </w:divsChild>
                </w:div>
                <w:div w:id="759641153">
                  <w:marLeft w:val="0"/>
                  <w:marRight w:val="0"/>
                  <w:marTop w:val="0"/>
                  <w:marBottom w:val="0"/>
                  <w:divBdr>
                    <w:top w:val="none" w:sz="0" w:space="0" w:color="auto"/>
                    <w:left w:val="none" w:sz="0" w:space="0" w:color="auto"/>
                    <w:bottom w:val="none" w:sz="0" w:space="0" w:color="auto"/>
                    <w:right w:val="none" w:sz="0" w:space="0" w:color="auto"/>
                  </w:divBdr>
                  <w:divsChild>
                    <w:div w:id="1730030629">
                      <w:marLeft w:val="0"/>
                      <w:marRight w:val="0"/>
                      <w:marTop w:val="0"/>
                      <w:marBottom w:val="0"/>
                      <w:divBdr>
                        <w:top w:val="none" w:sz="0" w:space="0" w:color="auto"/>
                        <w:left w:val="none" w:sz="0" w:space="0" w:color="auto"/>
                        <w:bottom w:val="none" w:sz="0" w:space="0" w:color="auto"/>
                        <w:right w:val="none" w:sz="0" w:space="0" w:color="auto"/>
                      </w:divBdr>
                    </w:div>
                  </w:divsChild>
                </w:div>
                <w:div w:id="1222401433">
                  <w:marLeft w:val="0"/>
                  <w:marRight w:val="0"/>
                  <w:marTop w:val="0"/>
                  <w:marBottom w:val="0"/>
                  <w:divBdr>
                    <w:top w:val="none" w:sz="0" w:space="0" w:color="auto"/>
                    <w:left w:val="none" w:sz="0" w:space="0" w:color="auto"/>
                    <w:bottom w:val="none" w:sz="0" w:space="0" w:color="auto"/>
                    <w:right w:val="none" w:sz="0" w:space="0" w:color="auto"/>
                  </w:divBdr>
                  <w:divsChild>
                    <w:div w:id="848254377">
                      <w:marLeft w:val="0"/>
                      <w:marRight w:val="0"/>
                      <w:marTop w:val="0"/>
                      <w:marBottom w:val="0"/>
                      <w:divBdr>
                        <w:top w:val="none" w:sz="0" w:space="0" w:color="auto"/>
                        <w:left w:val="none" w:sz="0" w:space="0" w:color="auto"/>
                        <w:bottom w:val="none" w:sz="0" w:space="0" w:color="auto"/>
                        <w:right w:val="none" w:sz="0" w:space="0" w:color="auto"/>
                      </w:divBdr>
                    </w:div>
                  </w:divsChild>
                </w:div>
                <w:div w:id="604652719">
                  <w:marLeft w:val="0"/>
                  <w:marRight w:val="0"/>
                  <w:marTop w:val="0"/>
                  <w:marBottom w:val="0"/>
                  <w:divBdr>
                    <w:top w:val="none" w:sz="0" w:space="0" w:color="auto"/>
                    <w:left w:val="none" w:sz="0" w:space="0" w:color="auto"/>
                    <w:bottom w:val="none" w:sz="0" w:space="0" w:color="auto"/>
                    <w:right w:val="none" w:sz="0" w:space="0" w:color="auto"/>
                  </w:divBdr>
                  <w:divsChild>
                    <w:div w:id="1664354082">
                      <w:marLeft w:val="0"/>
                      <w:marRight w:val="0"/>
                      <w:marTop w:val="0"/>
                      <w:marBottom w:val="0"/>
                      <w:divBdr>
                        <w:top w:val="none" w:sz="0" w:space="0" w:color="auto"/>
                        <w:left w:val="none" w:sz="0" w:space="0" w:color="auto"/>
                        <w:bottom w:val="none" w:sz="0" w:space="0" w:color="auto"/>
                        <w:right w:val="none" w:sz="0" w:space="0" w:color="auto"/>
                      </w:divBdr>
                    </w:div>
                  </w:divsChild>
                </w:div>
                <w:div w:id="1730567640">
                  <w:marLeft w:val="0"/>
                  <w:marRight w:val="0"/>
                  <w:marTop w:val="0"/>
                  <w:marBottom w:val="0"/>
                  <w:divBdr>
                    <w:top w:val="none" w:sz="0" w:space="0" w:color="auto"/>
                    <w:left w:val="none" w:sz="0" w:space="0" w:color="auto"/>
                    <w:bottom w:val="none" w:sz="0" w:space="0" w:color="auto"/>
                    <w:right w:val="none" w:sz="0" w:space="0" w:color="auto"/>
                  </w:divBdr>
                  <w:divsChild>
                    <w:div w:id="299457518">
                      <w:marLeft w:val="0"/>
                      <w:marRight w:val="0"/>
                      <w:marTop w:val="0"/>
                      <w:marBottom w:val="0"/>
                      <w:divBdr>
                        <w:top w:val="none" w:sz="0" w:space="0" w:color="auto"/>
                        <w:left w:val="none" w:sz="0" w:space="0" w:color="auto"/>
                        <w:bottom w:val="none" w:sz="0" w:space="0" w:color="auto"/>
                        <w:right w:val="none" w:sz="0" w:space="0" w:color="auto"/>
                      </w:divBdr>
                    </w:div>
                  </w:divsChild>
                </w:div>
                <w:div w:id="1380206714">
                  <w:marLeft w:val="0"/>
                  <w:marRight w:val="0"/>
                  <w:marTop w:val="0"/>
                  <w:marBottom w:val="0"/>
                  <w:divBdr>
                    <w:top w:val="none" w:sz="0" w:space="0" w:color="auto"/>
                    <w:left w:val="none" w:sz="0" w:space="0" w:color="auto"/>
                    <w:bottom w:val="none" w:sz="0" w:space="0" w:color="auto"/>
                    <w:right w:val="none" w:sz="0" w:space="0" w:color="auto"/>
                  </w:divBdr>
                  <w:divsChild>
                    <w:div w:id="1473207264">
                      <w:marLeft w:val="0"/>
                      <w:marRight w:val="0"/>
                      <w:marTop w:val="0"/>
                      <w:marBottom w:val="0"/>
                      <w:divBdr>
                        <w:top w:val="none" w:sz="0" w:space="0" w:color="auto"/>
                        <w:left w:val="none" w:sz="0" w:space="0" w:color="auto"/>
                        <w:bottom w:val="none" w:sz="0" w:space="0" w:color="auto"/>
                        <w:right w:val="none" w:sz="0" w:space="0" w:color="auto"/>
                      </w:divBdr>
                    </w:div>
                  </w:divsChild>
                </w:div>
                <w:div w:id="783887840">
                  <w:marLeft w:val="0"/>
                  <w:marRight w:val="0"/>
                  <w:marTop w:val="0"/>
                  <w:marBottom w:val="0"/>
                  <w:divBdr>
                    <w:top w:val="none" w:sz="0" w:space="0" w:color="auto"/>
                    <w:left w:val="none" w:sz="0" w:space="0" w:color="auto"/>
                    <w:bottom w:val="none" w:sz="0" w:space="0" w:color="auto"/>
                    <w:right w:val="none" w:sz="0" w:space="0" w:color="auto"/>
                  </w:divBdr>
                  <w:divsChild>
                    <w:div w:id="391007685">
                      <w:marLeft w:val="0"/>
                      <w:marRight w:val="0"/>
                      <w:marTop w:val="0"/>
                      <w:marBottom w:val="0"/>
                      <w:divBdr>
                        <w:top w:val="none" w:sz="0" w:space="0" w:color="auto"/>
                        <w:left w:val="none" w:sz="0" w:space="0" w:color="auto"/>
                        <w:bottom w:val="none" w:sz="0" w:space="0" w:color="auto"/>
                        <w:right w:val="none" w:sz="0" w:space="0" w:color="auto"/>
                      </w:divBdr>
                    </w:div>
                  </w:divsChild>
                </w:div>
                <w:div w:id="1923175719">
                  <w:marLeft w:val="0"/>
                  <w:marRight w:val="0"/>
                  <w:marTop w:val="0"/>
                  <w:marBottom w:val="0"/>
                  <w:divBdr>
                    <w:top w:val="none" w:sz="0" w:space="0" w:color="auto"/>
                    <w:left w:val="none" w:sz="0" w:space="0" w:color="auto"/>
                    <w:bottom w:val="none" w:sz="0" w:space="0" w:color="auto"/>
                    <w:right w:val="none" w:sz="0" w:space="0" w:color="auto"/>
                  </w:divBdr>
                  <w:divsChild>
                    <w:div w:id="2130782350">
                      <w:marLeft w:val="0"/>
                      <w:marRight w:val="0"/>
                      <w:marTop w:val="0"/>
                      <w:marBottom w:val="0"/>
                      <w:divBdr>
                        <w:top w:val="none" w:sz="0" w:space="0" w:color="auto"/>
                        <w:left w:val="none" w:sz="0" w:space="0" w:color="auto"/>
                        <w:bottom w:val="none" w:sz="0" w:space="0" w:color="auto"/>
                        <w:right w:val="none" w:sz="0" w:space="0" w:color="auto"/>
                      </w:divBdr>
                    </w:div>
                  </w:divsChild>
                </w:div>
                <w:div w:id="895628892">
                  <w:marLeft w:val="0"/>
                  <w:marRight w:val="0"/>
                  <w:marTop w:val="0"/>
                  <w:marBottom w:val="0"/>
                  <w:divBdr>
                    <w:top w:val="none" w:sz="0" w:space="0" w:color="auto"/>
                    <w:left w:val="none" w:sz="0" w:space="0" w:color="auto"/>
                    <w:bottom w:val="none" w:sz="0" w:space="0" w:color="auto"/>
                    <w:right w:val="none" w:sz="0" w:space="0" w:color="auto"/>
                  </w:divBdr>
                  <w:divsChild>
                    <w:div w:id="1306277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653480">
          <w:marLeft w:val="0"/>
          <w:marRight w:val="0"/>
          <w:marTop w:val="0"/>
          <w:marBottom w:val="0"/>
          <w:divBdr>
            <w:top w:val="none" w:sz="0" w:space="0" w:color="auto"/>
            <w:left w:val="none" w:sz="0" w:space="0" w:color="auto"/>
            <w:bottom w:val="none" w:sz="0" w:space="0" w:color="auto"/>
            <w:right w:val="none" w:sz="0" w:space="0" w:color="auto"/>
          </w:divBdr>
          <w:divsChild>
            <w:div w:id="1350252561">
              <w:marLeft w:val="0"/>
              <w:marRight w:val="0"/>
              <w:marTop w:val="0"/>
              <w:marBottom w:val="0"/>
              <w:divBdr>
                <w:top w:val="none" w:sz="0" w:space="0" w:color="auto"/>
                <w:left w:val="none" w:sz="0" w:space="0" w:color="auto"/>
                <w:bottom w:val="none" w:sz="0" w:space="0" w:color="auto"/>
                <w:right w:val="none" w:sz="0" w:space="0" w:color="auto"/>
              </w:divBdr>
            </w:div>
            <w:div w:id="2013486617">
              <w:marLeft w:val="0"/>
              <w:marRight w:val="0"/>
              <w:marTop w:val="0"/>
              <w:marBottom w:val="0"/>
              <w:divBdr>
                <w:top w:val="none" w:sz="0" w:space="0" w:color="auto"/>
                <w:left w:val="none" w:sz="0" w:space="0" w:color="auto"/>
                <w:bottom w:val="none" w:sz="0" w:space="0" w:color="auto"/>
                <w:right w:val="none" w:sz="0" w:space="0" w:color="auto"/>
              </w:divBdr>
            </w:div>
            <w:div w:id="7830872">
              <w:marLeft w:val="0"/>
              <w:marRight w:val="0"/>
              <w:marTop w:val="0"/>
              <w:marBottom w:val="0"/>
              <w:divBdr>
                <w:top w:val="none" w:sz="0" w:space="0" w:color="auto"/>
                <w:left w:val="none" w:sz="0" w:space="0" w:color="auto"/>
                <w:bottom w:val="none" w:sz="0" w:space="0" w:color="auto"/>
                <w:right w:val="none" w:sz="0" w:space="0" w:color="auto"/>
              </w:divBdr>
            </w:div>
            <w:div w:id="1397515039">
              <w:marLeft w:val="0"/>
              <w:marRight w:val="0"/>
              <w:marTop w:val="0"/>
              <w:marBottom w:val="0"/>
              <w:divBdr>
                <w:top w:val="none" w:sz="0" w:space="0" w:color="auto"/>
                <w:left w:val="none" w:sz="0" w:space="0" w:color="auto"/>
                <w:bottom w:val="none" w:sz="0" w:space="0" w:color="auto"/>
                <w:right w:val="none" w:sz="0" w:space="0" w:color="auto"/>
              </w:divBdr>
            </w:div>
            <w:div w:id="991373274">
              <w:marLeft w:val="0"/>
              <w:marRight w:val="0"/>
              <w:marTop w:val="0"/>
              <w:marBottom w:val="0"/>
              <w:divBdr>
                <w:top w:val="none" w:sz="0" w:space="0" w:color="auto"/>
                <w:left w:val="none" w:sz="0" w:space="0" w:color="auto"/>
                <w:bottom w:val="none" w:sz="0" w:space="0" w:color="auto"/>
                <w:right w:val="none" w:sz="0" w:space="0" w:color="auto"/>
              </w:divBdr>
            </w:div>
            <w:div w:id="1736246736">
              <w:marLeft w:val="0"/>
              <w:marRight w:val="0"/>
              <w:marTop w:val="0"/>
              <w:marBottom w:val="0"/>
              <w:divBdr>
                <w:top w:val="none" w:sz="0" w:space="0" w:color="auto"/>
                <w:left w:val="none" w:sz="0" w:space="0" w:color="auto"/>
                <w:bottom w:val="none" w:sz="0" w:space="0" w:color="auto"/>
                <w:right w:val="none" w:sz="0" w:space="0" w:color="auto"/>
              </w:divBdr>
            </w:div>
            <w:div w:id="880481531">
              <w:marLeft w:val="0"/>
              <w:marRight w:val="0"/>
              <w:marTop w:val="0"/>
              <w:marBottom w:val="0"/>
              <w:divBdr>
                <w:top w:val="none" w:sz="0" w:space="0" w:color="auto"/>
                <w:left w:val="none" w:sz="0" w:space="0" w:color="auto"/>
                <w:bottom w:val="none" w:sz="0" w:space="0" w:color="auto"/>
                <w:right w:val="none" w:sz="0" w:space="0" w:color="auto"/>
              </w:divBdr>
            </w:div>
            <w:div w:id="1191725204">
              <w:marLeft w:val="0"/>
              <w:marRight w:val="0"/>
              <w:marTop w:val="0"/>
              <w:marBottom w:val="0"/>
              <w:divBdr>
                <w:top w:val="none" w:sz="0" w:space="0" w:color="auto"/>
                <w:left w:val="none" w:sz="0" w:space="0" w:color="auto"/>
                <w:bottom w:val="none" w:sz="0" w:space="0" w:color="auto"/>
                <w:right w:val="none" w:sz="0" w:space="0" w:color="auto"/>
              </w:divBdr>
            </w:div>
            <w:div w:id="1098209581">
              <w:marLeft w:val="0"/>
              <w:marRight w:val="0"/>
              <w:marTop w:val="0"/>
              <w:marBottom w:val="0"/>
              <w:divBdr>
                <w:top w:val="none" w:sz="0" w:space="0" w:color="auto"/>
                <w:left w:val="none" w:sz="0" w:space="0" w:color="auto"/>
                <w:bottom w:val="none" w:sz="0" w:space="0" w:color="auto"/>
                <w:right w:val="none" w:sz="0" w:space="0" w:color="auto"/>
              </w:divBdr>
            </w:div>
            <w:div w:id="1162964092">
              <w:marLeft w:val="0"/>
              <w:marRight w:val="0"/>
              <w:marTop w:val="0"/>
              <w:marBottom w:val="0"/>
              <w:divBdr>
                <w:top w:val="none" w:sz="0" w:space="0" w:color="auto"/>
                <w:left w:val="none" w:sz="0" w:space="0" w:color="auto"/>
                <w:bottom w:val="none" w:sz="0" w:space="0" w:color="auto"/>
                <w:right w:val="none" w:sz="0" w:space="0" w:color="auto"/>
              </w:divBdr>
            </w:div>
            <w:div w:id="134874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microsoft.com/office/2011/relationships/commentsExtended" Target="commentsExtended.xml" Id="rId13" /><Relationship Type="http://schemas.openxmlformats.org/officeDocument/2006/relationships/hyperlink" Target="https://www.colombiacompra.gov.co/manuales-guias-y-pliegostipo/manuales-y-guias" TargetMode="External" Id="rId18" /><Relationship Type="http://schemas.openxmlformats.org/officeDocument/2006/relationships/theme" Target="theme/theme1.xml" Id="rId26" /><Relationship Type="http://schemas.openxmlformats.org/officeDocument/2006/relationships/customXml" Target="../customXml/item3.xml" Id="rId3" /><Relationship Type="http://schemas.openxmlformats.org/officeDocument/2006/relationships/image" Target="media/image1.png" Id="rId21" /><Relationship Type="http://schemas.openxmlformats.org/officeDocument/2006/relationships/settings" Target="settings.xml" Id="rId7" /><Relationship Type="http://schemas.openxmlformats.org/officeDocument/2006/relationships/comments" Target="comments.xml" Id="rId12" /><Relationship Type="http://schemas.openxmlformats.org/officeDocument/2006/relationships/hyperlink" Target="https://www.colombiacompra.gov.co/content/04-documentos-tipode-licitacion-de-obra-publica-para-proyectos-de-infraestructurasocial" TargetMode="External" Id="rId17" /><Relationship Type="http://schemas.microsoft.com/office/2011/relationships/people" Target="people.xml" Id="rId25" /><Relationship Type="http://schemas.openxmlformats.org/officeDocument/2006/relationships/customXml" Target="../customXml/item2.xml" Id="rId2" /><Relationship Type="http://schemas.openxmlformats.org/officeDocument/2006/relationships/hyperlink" Target="https://www.colombiacompra.gov.co/sites/cce_public/files/cce_circul%20ares/circular_externa_unica_version_3_vf49.pdf" TargetMode="External" Id="rId16" /><Relationship Type="http://schemas.openxmlformats.org/officeDocument/2006/relationships/hyperlink" Target="https://www.colombiacompra.gov.co/sala-deprensa/boletin-digital" TargetMode="Externa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mailto:andres.chavarro@gobiernobogota.gov.co" TargetMode="External" Id="rId11" /><Relationship Type="http://schemas.openxmlformats.org/officeDocument/2006/relationships/fontTable" Target="fontTable.xml" Id="rId24" /><Relationship Type="http://schemas.openxmlformats.org/officeDocument/2006/relationships/numbering" Target="numbering.xml" Id="rId5" /><Relationship Type="http://schemas.microsoft.com/office/2018/08/relationships/commentsExtensible" Target="commentsExtensible.xml" Id="rId15" /><Relationship Type="http://schemas.openxmlformats.org/officeDocument/2006/relationships/footer" Target="footer1.xml" Id="rId23" /><Relationship Type="http://schemas.openxmlformats.org/officeDocument/2006/relationships/endnotes" Target="endnotes.xml" Id="rId10" /><Relationship Type="http://schemas.openxmlformats.org/officeDocument/2006/relationships/hyperlink" Target="https://relatoria.colombiacompra.gov.co/busqueda/conceptos" TargetMode="External" Id="rId19" /><Relationship Type="http://schemas.openxmlformats.org/officeDocument/2006/relationships/customXml" Target="../customXml/item4.xml" Id="rId4" /><Relationship Type="http://schemas.openxmlformats.org/officeDocument/2006/relationships/footnotes" Target="footnotes.xml" Id="rId9" /><Relationship Type="http://schemas.microsoft.com/office/2016/09/relationships/commentsIds" Target="commentsIds.xml" Id="rId14" /><Relationship Type="http://schemas.openxmlformats.org/officeDocument/2006/relationships/header" Target="header1.xml" Id="rId22" /><Relationship Type="http://schemas.openxmlformats.org/officeDocument/2006/relationships/image" Target="/media/image4.png" Id="Rcf8d0d814b5f4abb" /></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SharedWithUsers xmlns="a6cb9e4b-f1d1-4245-83ec-6cad768d538a">
      <UserInfo>
        <DisplayName>Alejandro Sarmiento</DisplayName>
        <AccountId>129</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3.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4.xml><?xml version="1.0" encoding="utf-8"?>
<ds:datastoreItem xmlns:ds="http://schemas.openxmlformats.org/officeDocument/2006/customXml" ds:itemID="{06F8AB61-4B8C-4292-AD00-5B9AA853CC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ANCP-SGC</dc:creator>
  <keywords/>
  <dc:description/>
  <lastModifiedBy>Alexandra Rodriguez Motta</lastModifiedBy>
  <revision>6</revision>
  <dcterms:created xsi:type="dcterms:W3CDTF">2024-08-01T11:44:00.0000000Z</dcterms:created>
  <dcterms:modified xsi:type="dcterms:W3CDTF">2024-08-09T22:18:59.3533502Z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