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5C1C1" w14:textId="77777777" w:rsidR="00C15107" w:rsidRDefault="00C15107" w:rsidP="00B76E5B">
      <w:pPr>
        <w:spacing w:after="0" w:line="276" w:lineRule="auto"/>
        <w:jc w:val="both"/>
        <w:rPr>
          <w:rFonts w:ascii="Verdana" w:hAnsi="Verdana" w:cs="Arial"/>
        </w:rPr>
      </w:pPr>
      <w:bookmarkStart w:id="0" w:name="_Hlk141954836"/>
    </w:p>
    <w:p w14:paraId="6378606B" w14:textId="77777777" w:rsidR="00C15107" w:rsidRPr="00C15107" w:rsidRDefault="00C15107" w:rsidP="00C15107">
      <w:pPr>
        <w:spacing w:after="0" w:line="240" w:lineRule="auto"/>
        <w:jc w:val="both"/>
        <w:rPr>
          <w:rFonts w:ascii="Verdana" w:eastAsia="Times New Roman" w:hAnsi="Verdana" w:cs="Arial"/>
          <w:b/>
          <w:bCs/>
          <w:sz w:val="20"/>
          <w:szCs w:val="20"/>
          <w:lang w:val="es-MX"/>
        </w:rPr>
      </w:pPr>
      <w:r w:rsidRPr="00C15107">
        <w:rPr>
          <w:rFonts w:ascii="Verdana" w:eastAsia="Times New Roman" w:hAnsi="Verdana" w:cs="Arial"/>
          <w:b/>
          <w:bCs/>
          <w:sz w:val="20"/>
          <w:szCs w:val="20"/>
          <w:lang w:val="es-MX"/>
        </w:rPr>
        <w:t>PUBLICIDAD SECOP – Entidades exceptuadas – Estatuto general de contratación – Modificación del artículo 53 – Ley 2195 de 2022</w:t>
      </w:r>
    </w:p>
    <w:p w14:paraId="1C17C569" w14:textId="77777777" w:rsidR="00C15107" w:rsidRPr="00C15107" w:rsidRDefault="00C15107" w:rsidP="00C15107">
      <w:pPr>
        <w:spacing w:after="0" w:line="240" w:lineRule="auto"/>
        <w:jc w:val="both"/>
        <w:rPr>
          <w:rFonts w:ascii="Verdana" w:eastAsia="Times New Roman" w:hAnsi="Verdana" w:cs="Arial"/>
          <w:b/>
          <w:bCs/>
          <w:sz w:val="20"/>
          <w:szCs w:val="20"/>
          <w:lang w:val="es-MX"/>
        </w:rPr>
      </w:pPr>
    </w:p>
    <w:p w14:paraId="56FD0D22" w14:textId="77777777" w:rsidR="00C15107" w:rsidRPr="00C15107" w:rsidRDefault="00C15107" w:rsidP="00C15107">
      <w:pPr>
        <w:spacing w:after="0" w:line="240" w:lineRule="auto"/>
        <w:jc w:val="both"/>
        <w:rPr>
          <w:rFonts w:ascii="Verdana" w:eastAsia="Times New Roman" w:hAnsi="Verdana" w:cs="Arial"/>
          <w:sz w:val="20"/>
          <w:szCs w:val="20"/>
          <w:lang w:val="es-MX"/>
        </w:rPr>
      </w:pPr>
      <w:r w:rsidRPr="00C15107">
        <w:rPr>
          <w:rFonts w:ascii="Verdana" w:eastAsia="Times New Roman" w:hAnsi="Verdana" w:cs="Arial"/>
          <w:sz w:val="20"/>
          <w:szCs w:val="20"/>
          <w:lang w:val="es-MX"/>
        </w:rPr>
        <w:t xml:space="preserve">El principio de publicidad impone a las autoridades el deber de dar a conocer sus actos, contratos y decisiones, para que se divulguen y eventualmente se controlen dichas actuaciones. Es por eso </w:t>
      </w:r>
      <w:proofErr w:type="gramStart"/>
      <w:r w:rsidRPr="00C15107">
        <w:rPr>
          <w:rFonts w:ascii="Verdana" w:eastAsia="Times New Roman" w:hAnsi="Verdana" w:cs="Arial"/>
          <w:sz w:val="20"/>
          <w:szCs w:val="20"/>
          <w:lang w:val="es-MX"/>
        </w:rPr>
        <w:t>que</w:t>
      </w:r>
      <w:proofErr w:type="gramEnd"/>
      <w:r w:rsidRPr="00C15107">
        <w:rPr>
          <w:rFonts w:ascii="Verdana" w:eastAsia="Times New Roman" w:hAnsi="Verdana" w:cs="Arial"/>
          <w:sz w:val="20"/>
          <w:szCs w:val="20"/>
          <w:lang w:val="es-MX"/>
        </w:rPr>
        <w:t>, en materia de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p>
    <w:p w14:paraId="44EDAFD6" w14:textId="77777777" w:rsidR="00C15107" w:rsidRPr="00C15107" w:rsidRDefault="00C15107" w:rsidP="00C15107">
      <w:pPr>
        <w:spacing w:after="0" w:line="240" w:lineRule="auto"/>
        <w:jc w:val="both"/>
        <w:rPr>
          <w:rFonts w:ascii="Verdana" w:eastAsia="Times New Roman" w:hAnsi="Verdana" w:cs="Arial"/>
          <w:sz w:val="20"/>
          <w:szCs w:val="20"/>
          <w:lang w:val="es-MX"/>
        </w:rPr>
      </w:pPr>
    </w:p>
    <w:p w14:paraId="6D7F8074" w14:textId="77777777" w:rsidR="00C15107" w:rsidRPr="00C15107" w:rsidRDefault="00C15107" w:rsidP="00C15107">
      <w:pPr>
        <w:spacing w:after="0" w:line="240" w:lineRule="auto"/>
        <w:jc w:val="both"/>
        <w:rPr>
          <w:rFonts w:ascii="Verdana" w:eastAsia="Times New Roman" w:hAnsi="Verdana" w:cs="Arial"/>
          <w:sz w:val="20"/>
          <w:szCs w:val="20"/>
          <w:lang w:val="es-MX"/>
        </w:rPr>
      </w:pPr>
      <w:r w:rsidRPr="00C15107">
        <w:rPr>
          <w:rFonts w:ascii="Verdana" w:eastAsia="Times New Roman" w:hAnsi="Verdana" w:cs="Arial"/>
          <w:sz w:val="20"/>
          <w:szCs w:val="20"/>
          <w:lang w:val="es-MX"/>
        </w:rPr>
        <w:t>La Ley 2195 de 2022, por medio de la cual se adoptan medidas en materia de transparencia, prevención y lucha contra la corrupción. Según lo dispone su artículo 1,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esta Ley, que lleva por título “Disposiciones en materia contractual para la moralización y la transparencia», se ubica el artículo 53, mediante el cual se adiciona el artículo 13 de la Ley 1150 de 2007. La referida disposición les asigna la obligación a las entidades estatales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w:t>
      </w:r>
    </w:p>
    <w:p w14:paraId="6669E3FF" w14:textId="77777777" w:rsidR="00C15107" w:rsidRPr="00C15107" w:rsidRDefault="00C15107" w:rsidP="00B76E5B">
      <w:pPr>
        <w:spacing w:after="0" w:line="276" w:lineRule="auto"/>
        <w:jc w:val="both"/>
        <w:rPr>
          <w:rFonts w:ascii="Verdana" w:hAnsi="Verdana" w:cs="Arial"/>
          <w:lang w:val="es-MX"/>
        </w:rPr>
      </w:pPr>
    </w:p>
    <w:p w14:paraId="0855307D" w14:textId="77777777" w:rsidR="00C15107" w:rsidRDefault="00C15107" w:rsidP="00B76E5B">
      <w:pPr>
        <w:spacing w:after="0" w:line="276" w:lineRule="auto"/>
        <w:jc w:val="both"/>
        <w:rPr>
          <w:rFonts w:ascii="Verdana" w:hAnsi="Verdana" w:cs="Arial"/>
        </w:rPr>
      </w:pPr>
    </w:p>
    <w:p w14:paraId="48A4ED05" w14:textId="77777777" w:rsidR="00C15107" w:rsidRPr="00C15107" w:rsidRDefault="00C15107" w:rsidP="00C15107">
      <w:pPr>
        <w:spacing w:after="0" w:line="240" w:lineRule="auto"/>
        <w:jc w:val="both"/>
        <w:rPr>
          <w:rFonts w:ascii="Verdana" w:eastAsia="Times New Roman" w:hAnsi="Verdana" w:cs="Arial"/>
          <w:b/>
          <w:bCs/>
          <w:lang w:val="es-MX"/>
        </w:rPr>
      </w:pPr>
      <w:r w:rsidRPr="00C15107">
        <w:rPr>
          <w:rFonts w:ascii="Verdana" w:eastAsia="Times New Roman" w:hAnsi="Verdana" w:cs="Arial"/>
          <w:b/>
          <w:bCs/>
          <w:lang w:val="es-MX"/>
        </w:rPr>
        <w:t>SECOP II – Deber de publicidad – Entidades exceptuadas – Documentos relacionados con la actividad contractual</w:t>
      </w:r>
    </w:p>
    <w:p w14:paraId="7A25C5C2" w14:textId="77777777" w:rsidR="00C15107" w:rsidRPr="00C15107" w:rsidRDefault="00C15107" w:rsidP="00C15107">
      <w:pPr>
        <w:spacing w:after="0" w:line="240" w:lineRule="auto"/>
        <w:jc w:val="both"/>
        <w:rPr>
          <w:rFonts w:ascii="Verdana" w:eastAsia="Times New Roman" w:hAnsi="Verdana" w:cs="Arial"/>
          <w:b/>
          <w:bCs/>
          <w:lang w:val="es-MX"/>
        </w:rPr>
      </w:pPr>
    </w:p>
    <w:p w14:paraId="1620A7BA" w14:textId="77777777" w:rsidR="00C15107" w:rsidRPr="00C15107" w:rsidRDefault="00C15107" w:rsidP="00C15107">
      <w:pPr>
        <w:spacing w:after="0" w:line="240" w:lineRule="auto"/>
        <w:jc w:val="both"/>
        <w:rPr>
          <w:rFonts w:ascii="Verdana" w:eastAsia="Times New Roman" w:hAnsi="Verdana" w:cs="Arial"/>
          <w:lang w:val="es-MX"/>
        </w:rPr>
      </w:pPr>
      <w:r w:rsidRPr="00C15107">
        <w:rPr>
          <w:rFonts w:ascii="Verdana" w:eastAsia="Times New Roman" w:hAnsi="Verdana" w:cs="Arial"/>
          <w:lang w:val="es-MX"/>
        </w:rPr>
        <w:t>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pueden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documentación pública.</w:t>
      </w:r>
    </w:p>
    <w:p w14:paraId="7DCF54F8" w14:textId="77777777" w:rsidR="00C15107" w:rsidRPr="00C15107" w:rsidRDefault="00C15107" w:rsidP="00C15107">
      <w:pPr>
        <w:spacing w:after="0" w:line="240" w:lineRule="auto"/>
        <w:jc w:val="both"/>
        <w:rPr>
          <w:rFonts w:ascii="Verdana" w:eastAsia="Times New Roman" w:hAnsi="Verdana" w:cs="Arial"/>
          <w:lang w:val="es-MX"/>
        </w:rPr>
      </w:pPr>
    </w:p>
    <w:p w14:paraId="6168634E" w14:textId="243B733D" w:rsidR="00C15107" w:rsidRPr="00C15107" w:rsidRDefault="00C15107" w:rsidP="00C15107">
      <w:pPr>
        <w:spacing w:after="0" w:line="276" w:lineRule="auto"/>
        <w:jc w:val="both"/>
        <w:rPr>
          <w:rFonts w:ascii="Verdana" w:eastAsia="Times New Roman" w:hAnsi="Verdana" w:cs="Arial"/>
          <w:lang w:val="es-MX"/>
        </w:rPr>
      </w:pPr>
      <w:r w:rsidRPr="00C15107">
        <w:rPr>
          <w:rFonts w:ascii="Verdana" w:eastAsia="Times New Roman" w:hAnsi="Verdana" w:cs="Arial"/>
          <w:lang w:val="es-MX"/>
        </w:rPr>
        <w:t xml:space="preserve">En cuanto a los documentos que deben ser publicados en el SECOP II a efectos de dar cumplimiento al mandato consagrado en el artículo 53 de la Ley 2195 de 2022, </w:t>
      </w:r>
      <w:r w:rsidRPr="00C15107">
        <w:rPr>
          <w:rFonts w:ascii="Verdana" w:eastAsia="Times New Roman" w:hAnsi="Verdana" w:cs="Arial"/>
          <w:lang w:val="es-MX"/>
        </w:rPr>
        <w:lastRenderedPageBreak/>
        <w:t>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 por lo que no puede colegirse que los procesos de contratación relacionados con asuntos “no misionales” estén per se excluidos del deber de publicidad.</w:t>
      </w:r>
    </w:p>
    <w:p w14:paraId="553E3E14" w14:textId="77777777" w:rsidR="00C15107" w:rsidRPr="00C15107" w:rsidRDefault="00C15107" w:rsidP="00C15107">
      <w:pPr>
        <w:spacing w:after="0" w:line="276" w:lineRule="auto"/>
        <w:jc w:val="both"/>
        <w:rPr>
          <w:rFonts w:ascii="Verdana" w:eastAsia="Times New Roman" w:hAnsi="Verdana" w:cs="Arial"/>
          <w:lang w:val="es-MX"/>
        </w:rPr>
      </w:pPr>
    </w:p>
    <w:p w14:paraId="6A1CA453" w14:textId="77777777" w:rsidR="00C15107" w:rsidRPr="00C15107" w:rsidRDefault="00C15107" w:rsidP="00C15107">
      <w:pPr>
        <w:spacing w:after="0" w:line="240" w:lineRule="auto"/>
        <w:rPr>
          <w:rFonts w:ascii="Verdana" w:eastAsia="Times New Roman" w:hAnsi="Verdana" w:cs="Arial"/>
        </w:rPr>
      </w:pPr>
      <w:r w:rsidRPr="00C15107">
        <w:rPr>
          <w:rFonts w:ascii="Verdana" w:eastAsia="Times New Roman" w:hAnsi="Verdana" w:cs="Arial"/>
          <w:b/>
          <w:bCs/>
          <w:lang w:val="es-ES"/>
        </w:rPr>
        <w:t>PRINCIPIO DE PUBLICIDAD - Naturaleza</w:t>
      </w:r>
      <w:r w:rsidRPr="00C15107">
        <w:rPr>
          <w:rFonts w:ascii="Verdana" w:eastAsia="Times New Roman" w:hAnsi="Verdana" w:cs="Arial"/>
        </w:rPr>
        <w:t xml:space="preserve"> </w:t>
      </w:r>
    </w:p>
    <w:p w14:paraId="67D8F178" w14:textId="77777777" w:rsidR="00C15107" w:rsidRPr="00C15107" w:rsidRDefault="00C15107" w:rsidP="00C15107">
      <w:pPr>
        <w:spacing w:after="0" w:line="240" w:lineRule="auto"/>
        <w:rPr>
          <w:rFonts w:ascii="Verdana" w:eastAsia="Times New Roman" w:hAnsi="Verdana" w:cs="Arial"/>
        </w:rPr>
      </w:pPr>
    </w:p>
    <w:p w14:paraId="08B48953" w14:textId="77777777" w:rsidR="00C15107" w:rsidRPr="00C15107" w:rsidRDefault="00C15107" w:rsidP="00C15107">
      <w:pPr>
        <w:spacing w:after="0" w:line="240" w:lineRule="auto"/>
        <w:jc w:val="both"/>
        <w:rPr>
          <w:rFonts w:ascii="Verdana" w:eastAsia="Times New Roman" w:hAnsi="Verdana" w:cs="Arial"/>
          <w:color w:val="000000" w:themeColor="text1"/>
          <w:lang w:val="es-ES" w:eastAsia="es-ES"/>
        </w:rPr>
      </w:pPr>
      <w:r w:rsidRPr="00C15107">
        <w:rPr>
          <w:rFonts w:ascii="Verdana" w:eastAsia="Times New Roman" w:hAnsi="Verdana" w:cs="Arial"/>
          <w:lang w:val="es-ES" w:eastAsia="es-ES"/>
        </w:rPr>
        <w:t xml:space="preserve">Uno de los postulados más importantes de un Estado Social y Democrático de Derecho es el principio de </w:t>
      </w:r>
      <w:r w:rsidRPr="00C15107">
        <w:rPr>
          <w:rFonts w:ascii="Verdana" w:eastAsia="Times New Roman" w:hAnsi="Verdana" w:cs="Arial"/>
          <w:i/>
          <w:iCs/>
          <w:lang w:val="es-ES" w:eastAsia="es-ES"/>
        </w:rPr>
        <w:t>publicidad</w:t>
      </w:r>
      <w:r w:rsidRPr="00C15107">
        <w:rPr>
          <w:rFonts w:ascii="Verdana" w:eastAsia="Times New Roman" w:hAnsi="Verdana" w:cs="Arial"/>
          <w:lang w:val="es-ES" w:eastAsia="es-ES"/>
        </w:rPr>
        <w:t xml:space="preserve">, pues este permite que las actuaciones de las autoridades gocen de visibilidad. La Constitución Política de 1991 consagra en varios artículos la publicidad como un principio rector del Estado colombiano. Entre </w:t>
      </w:r>
      <w:r w:rsidRPr="00C15107">
        <w:rPr>
          <w:rFonts w:ascii="Verdana" w:eastAsia="Times New Roman" w:hAnsi="Verdana" w:cs="Arial"/>
          <w:color w:val="000000" w:themeColor="text1"/>
          <w:lang w:val="es-ES" w:eastAsia="es-ES"/>
        </w:rPr>
        <w:t xml:space="preserve">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702E63A3" w14:textId="77777777" w:rsidR="00C15107" w:rsidRPr="00C15107" w:rsidRDefault="00C15107" w:rsidP="00C15107">
      <w:pPr>
        <w:spacing w:after="0" w:line="276" w:lineRule="auto"/>
        <w:jc w:val="both"/>
        <w:rPr>
          <w:rFonts w:ascii="Verdana" w:hAnsi="Verdana" w:cs="Arial"/>
          <w:lang w:val="es-ES"/>
        </w:rPr>
      </w:pPr>
    </w:p>
    <w:p w14:paraId="5EEAEFDA" w14:textId="77777777" w:rsidR="00C15107" w:rsidRPr="00C15107" w:rsidRDefault="00C15107" w:rsidP="00C15107">
      <w:pPr>
        <w:spacing w:after="0" w:line="240" w:lineRule="auto"/>
        <w:jc w:val="both"/>
        <w:rPr>
          <w:rFonts w:ascii="Verdana" w:eastAsia="Times New Roman" w:hAnsi="Verdana" w:cs="Arial"/>
          <w:b/>
          <w:color w:val="000000"/>
        </w:rPr>
      </w:pPr>
      <w:r w:rsidRPr="00C15107">
        <w:rPr>
          <w:rFonts w:ascii="Verdana" w:eastAsia="Times New Roman" w:hAnsi="Verdana" w:cs="Arial"/>
          <w:b/>
          <w:color w:val="000000"/>
        </w:rPr>
        <w:t xml:space="preserve">ACCESO A DOCUMENTACIÓN PÚBLICA – Derecho fundamental – Transparencia – Información contractual </w:t>
      </w:r>
    </w:p>
    <w:p w14:paraId="7600715B" w14:textId="77777777" w:rsidR="00C15107" w:rsidRPr="00C15107" w:rsidRDefault="00C15107" w:rsidP="00C15107">
      <w:pPr>
        <w:tabs>
          <w:tab w:val="left" w:pos="1816"/>
        </w:tabs>
        <w:spacing w:after="0" w:line="240" w:lineRule="auto"/>
        <w:jc w:val="both"/>
        <w:rPr>
          <w:rFonts w:ascii="Verdana" w:eastAsia="Times New Roman" w:hAnsi="Verdana" w:cs="Arial"/>
          <w:b/>
          <w:color w:val="000000"/>
        </w:rPr>
      </w:pPr>
      <w:r w:rsidRPr="00C15107">
        <w:rPr>
          <w:rFonts w:ascii="Verdana" w:eastAsia="Times New Roman" w:hAnsi="Verdana" w:cs="Arial"/>
          <w:b/>
          <w:color w:val="000000"/>
        </w:rPr>
        <w:t xml:space="preserve"> </w:t>
      </w:r>
      <w:r w:rsidRPr="00C15107">
        <w:rPr>
          <w:rFonts w:ascii="Verdana" w:eastAsia="Times New Roman" w:hAnsi="Verdana" w:cs="Arial"/>
          <w:b/>
          <w:color w:val="000000"/>
        </w:rPr>
        <w:tab/>
      </w:r>
      <w:r w:rsidRPr="00C15107">
        <w:rPr>
          <w:rFonts w:ascii="Verdana" w:eastAsia="Times New Roman" w:hAnsi="Verdana" w:cs="Arial"/>
          <w:color w:val="000000"/>
        </w:rPr>
        <w:t xml:space="preserve"> </w:t>
      </w:r>
    </w:p>
    <w:p w14:paraId="0A09B73C" w14:textId="77777777" w:rsidR="00C15107" w:rsidRPr="00C15107" w:rsidRDefault="00C15107" w:rsidP="00C15107">
      <w:pPr>
        <w:spacing w:after="0" w:line="240" w:lineRule="auto"/>
        <w:jc w:val="both"/>
        <w:rPr>
          <w:rFonts w:ascii="Verdana" w:eastAsia="Times New Roman" w:hAnsi="Verdana" w:cs="Arial"/>
          <w:color w:val="000000" w:themeColor="text1"/>
          <w:lang w:val="es-ES"/>
        </w:rPr>
      </w:pPr>
      <w:r w:rsidRPr="00C15107">
        <w:rPr>
          <w:rFonts w:ascii="Verdana" w:eastAsia="Times New Roman" w:hAnsi="Verdana" w:cs="Arial"/>
          <w:color w:val="000000" w:themeColor="text1"/>
          <w:lang w:val="es-ES" w:eastAsia="es-ES"/>
        </w:rPr>
        <w:t xml:space="preserve">El principio de publicidad impone a las autoridades administrativas el deber de dar a conocer sus actos, contratos y decisiones, para que se divulguen y, eventualmente, se controlen dichas actuaciones. Es por eso </w:t>
      </w:r>
      <w:proofErr w:type="gramStart"/>
      <w:r w:rsidRPr="00C15107">
        <w:rPr>
          <w:rFonts w:ascii="Verdana" w:eastAsia="Times New Roman" w:hAnsi="Verdana" w:cs="Arial"/>
          <w:color w:val="000000" w:themeColor="text1"/>
          <w:lang w:val="es-ES" w:eastAsia="es-ES"/>
        </w:rPr>
        <w:t>que</w:t>
      </w:r>
      <w:proofErr w:type="gramEnd"/>
      <w:r w:rsidRPr="00C15107">
        <w:rPr>
          <w:rFonts w:ascii="Verdana" w:eastAsia="Times New Roman" w:hAnsi="Verdana" w:cs="Arial"/>
          <w:color w:val="000000" w:themeColor="text1"/>
          <w:lang w:val="es-ES" w:eastAsia="es-ES"/>
        </w:rPr>
        <w:t>, en la contratación estatal, el literal c) del artículo 3 de la Ley 1150 de 2007 establece el Sistema Electrónico para la Contratación Pública – en adelante SECOP– como un mecanismo que “contará con la información oficial de la contratación realizada con dineros públicos, para lo cual establecerá los patrones a que haya lugar y se encargará de su difusión a través de canales electrónicos”</w:t>
      </w:r>
      <w:r w:rsidRPr="00C15107">
        <w:rPr>
          <w:rFonts w:ascii="Verdana" w:eastAsia="Times New Roman" w:hAnsi="Verdana" w:cs="Arial"/>
          <w:color w:val="000000" w:themeColor="text1"/>
          <w:lang w:val="es-ES"/>
        </w:rPr>
        <w:t xml:space="preserve">. </w:t>
      </w:r>
    </w:p>
    <w:p w14:paraId="646A5926" w14:textId="77777777" w:rsidR="00C15107" w:rsidRPr="00C15107" w:rsidRDefault="00C15107" w:rsidP="00C15107">
      <w:pPr>
        <w:spacing w:after="0" w:line="276" w:lineRule="auto"/>
        <w:jc w:val="both"/>
        <w:rPr>
          <w:rFonts w:ascii="Verdana" w:hAnsi="Verdana" w:cs="Arial"/>
          <w:lang w:val="es-ES"/>
        </w:rPr>
      </w:pPr>
    </w:p>
    <w:p w14:paraId="029D14F8" w14:textId="77777777" w:rsidR="00C15107" w:rsidRDefault="00C15107" w:rsidP="00B76E5B">
      <w:pPr>
        <w:spacing w:after="0" w:line="276" w:lineRule="auto"/>
        <w:jc w:val="both"/>
        <w:rPr>
          <w:rFonts w:ascii="Verdana" w:hAnsi="Verdana" w:cs="Arial"/>
        </w:rPr>
      </w:pPr>
    </w:p>
    <w:p w14:paraId="54322F32" w14:textId="77777777" w:rsidR="00C15107" w:rsidRDefault="00C15107" w:rsidP="00B76E5B">
      <w:pPr>
        <w:spacing w:after="0" w:line="276" w:lineRule="auto"/>
        <w:jc w:val="both"/>
        <w:rPr>
          <w:rFonts w:ascii="Verdana" w:hAnsi="Verdana" w:cs="Arial"/>
        </w:rPr>
      </w:pPr>
    </w:p>
    <w:p w14:paraId="3083AC90" w14:textId="77777777" w:rsidR="00C15107" w:rsidRDefault="00C15107" w:rsidP="00B76E5B">
      <w:pPr>
        <w:spacing w:after="0" w:line="276" w:lineRule="auto"/>
        <w:jc w:val="both"/>
        <w:rPr>
          <w:rFonts w:ascii="Verdana" w:hAnsi="Verdana" w:cs="Arial"/>
        </w:rPr>
      </w:pPr>
    </w:p>
    <w:p w14:paraId="302D7B0C" w14:textId="77777777" w:rsidR="00C15107" w:rsidRDefault="00C15107" w:rsidP="00B76E5B">
      <w:pPr>
        <w:spacing w:after="0" w:line="276" w:lineRule="auto"/>
        <w:jc w:val="both"/>
        <w:rPr>
          <w:rFonts w:ascii="Verdana" w:hAnsi="Verdana" w:cs="Arial"/>
        </w:rPr>
      </w:pPr>
    </w:p>
    <w:p w14:paraId="43F1EC5A" w14:textId="77777777" w:rsidR="00C15107" w:rsidRDefault="00C15107" w:rsidP="00B76E5B">
      <w:pPr>
        <w:spacing w:after="0" w:line="276" w:lineRule="auto"/>
        <w:jc w:val="both"/>
        <w:rPr>
          <w:rFonts w:ascii="Verdana" w:hAnsi="Verdana" w:cs="Arial"/>
        </w:rPr>
      </w:pPr>
    </w:p>
    <w:p w14:paraId="6570FA42" w14:textId="77777777" w:rsidR="00C15107" w:rsidRDefault="00C15107" w:rsidP="00B76E5B">
      <w:pPr>
        <w:spacing w:after="0" w:line="276" w:lineRule="auto"/>
        <w:jc w:val="both"/>
        <w:rPr>
          <w:rFonts w:ascii="Verdana" w:hAnsi="Verdana" w:cs="Arial"/>
        </w:rPr>
      </w:pPr>
    </w:p>
    <w:p w14:paraId="68D6DEAC" w14:textId="77777777" w:rsidR="00C15107" w:rsidRDefault="00C15107" w:rsidP="00B76E5B">
      <w:pPr>
        <w:spacing w:after="0" w:line="276" w:lineRule="auto"/>
        <w:jc w:val="both"/>
        <w:rPr>
          <w:rFonts w:ascii="Verdana" w:hAnsi="Verdana" w:cs="Arial"/>
        </w:rPr>
      </w:pPr>
    </w:p>
    <w:p w14:paraId="49254832" w14:textId="77777777" w:rsidR="00C15107" w:rsidRDefault="00C15107" w:rsidP="00B76E5B">
      <w:pPr>
        <w:spacing w:after="0" w:line="276" w:lineRule="auto"/>
        <w:jc w:val="both"/>
        <w:rPr>
          <w:rFonts w:ascii="Verdana" w:hAnsi="Verdana" w:cs="Arial"/>
        </w:rPr>
      </w:pPr>
    </w:p>
    <w:p w14:paraId="1BB6CCAF" w14:textId="4169FEC0" w:rsidR="00B76E5B" w:rsidRPr="00574CE1" w:rsidRDefault="00B76E5B" w:rsidP="00B76E5B">
      <w:pPr>
        <w:spacing w:after="0" w:line="276" w:lineRule="auto"/>
        <w:jc w:val="both"/>
        <w:rPr>
          <w:rFonts w:ascii="Verdana" w:hAnsi="Verdana" w:cs="Arial"/>
        </w:rPr>
      </w:pPr>
      <w:r w:rsidRPr="00574CE1">
        <w:rPr>
          <w:rFonts w:ascii="Verdana" w:hAnsi="Verdana" w:cs="Arial"/>
        </w:rPr>
        <w:lastRenderedPageBreak/>
        <w:t>Bogotá D.C., [Día] [</w:t>
      </w:r>
      <w:proofErr w:type="spellStart"/>
      <w:r w:rsidRPr="00574CE1">
        <w:rPr>
          <w:rFonts w:ascii="Verdana" w:hAnsi="Verdana" w:cs="Arial"/>
        </w:rPr>
        <w:t>Mes.NombreCapitalizado</w:t>
      </w:r>
      <w:proofErr w:type="spellEnd"/>
      <w:r w:rsidRPr="00574CE1">
        <w:rPr>
          <w:rFonts w:ascii="Verdana" w:hAnsi="Verdana" w:cs="Arial"/>
        </w:rPr>
        <w:t>] [Año]</w:t>
      </w:r>
      <w:r w:rsidRPr="00574CE1">
        <w:rPr>
          <w:rFonts w:ascii="Verdana" w:hAnsi="Verdana" w:cs="Arial"/>
        </w:rPr>
        <w:tab/>
      </w:r>
    </w:p>
    <w:p w14:paraId="4ED7211A" w14:textId="45483565" w:rsidR="00B76E5B" w:rsidRDefault="00C15107" w:rsidP="00B76E5B">
      <w:pPr>
        <w:pStyle w:val="Sinespaciado"/>
        <w:spacing w:line="276" w:lineRule="auto"/>
        <w:rPr>
          <w:rFonts w:ascii="Verdana" w:hAnsi="Verdana" w:cs="Arial"/>
        </w:rPr>
      </w:pPr>
      <w:r w:rsidRPr="00C15107">
        <w:rPr>
          <w:rFonts w:ascii="Verdana" w:hAnsi="Verdana" w:cs="Arial"/>
        </w:rPr>
        <w:drawing>
          <wp:anchor distT="0" distB="0" distL="114300" distR="114300" simplePos="0" relativeHeight="251658240" behindDoc="1" locked="0" layoutInCell="1" allowOverlap="1" wp14:anchorId="31830E17" wp14:editId="790349A6">
            <wp:simplePos x="0" y="0"/>
            <wp:positionH relativeFrom="column">
              <wp:posOffset>2555387</wp:posOffset>
            </wp:positionH>
            <wp:positionV relativeFrom="paragraph">
              <wp:posOffset>9915</wp:posOffset>
            </wp:positionV>
            <wp:extent cx="3381375" cy="1038225"/>
            <wp:effectExtent l="0" t="0" r="9525" b="9525"/>
            <wp:wrapTight wrapText="bothSides">
              <wp:wrapPolygon edited="0">
                <wp:start x="0" y="0"/>
                <wp:lineTo x="0" y="21402"/>
                <wp:lineTo x="21539" y="21402"/>
                <wp:lineTo x="21539" y="0"/>
                <wp:lineTo x="0" y="0"/>
              </wp:wrapPolygon>
            </wp:wrapTight>
            <wp:docPr id="191413238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132385"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381375" cy="1038225"/>
                    </a:xfrm>
                    <a:prstGeom prst="rect">
                      <a:avLst/>
                    </a:prstGeom>
                  </pic:spPr>
                </pic:pic>
              </a:graphicData>
            </a:graphic>
          </wp:anchor>
        </w:drawing>
      </w:r>
    </w:p>
    <w:p w14:paraId="70CD3B8A" w14:textId="4C006059" w:rsidR="00C15107" w:rsidRDefault="00C15107" w:rsidP="00B76E5B">
      <w:pPr>
        <w:pStyle w:val="Sinespaciado"/>
        <w:spacing w:line="276" w:lineRule="auto"/>
        <w:rPr>
          <w:rFonts w:ascii="Verdana" w:hAnsi="Verdana" w:cs="Arial"/>
        </w:rPr>
      </w:pPr>
    </w:p>
    <w:p w14:paraId="10F05D29" w14:textId="616D9DB6" w:rsidR="00C15107" w:rsidRDefault="00C15107" w:rsidP="00B76E5B">
      <w:pPr>
        <w:pStyle w:val="Sinespaciado"/>
        <w:spacing w:line="276" w:lineRule="auto"/>
        <w:rPr>
          <w:rFonts w:ascii="Verdana" w:hAnsi="Verdana" w:cs="Arial"/>
        </w:rPr>
      </w:pPr>
    </w:p>
    <w:p w14:paraId="64D8037B" w14:textId="77777777" w:rsidR="00C15107" w:rsidRDefault="00C15107" w:rsidP="00B76E5B">
      <w:pPr>
        <w:pStyle w:val="Sinespaciado"/>
        <w:spacing w:line="276" w:lineRule="auto"/>
        <w:rPr>
          <w:rFonts w:ascii="Verdana" w:hAnsi="Verdana" w:cs="Arial"/>
        </w:rPr>
      </w:pPr>
    </w:p>
    <w:p w14:paraId="7F10A892" w14:textId="77777777" w:rsidR="00C15107" w:rsidRPr="00574CE1" w:rsidRDefault="00C15107" w:rsidP="00B76E5B">
      <w:pPr>
        <w:pStyle w:val="Sinespaciado"/>
        <w:spacing w:line="276" w:lineRule="auto"/>
        <w:rPr>
          <w:rFonts w:ascii="Verdana" w:hAnsi="Verdana" w:cs="Arial"/>
        </w:rPr>
      </w:pPr>
    </w:p>
    <w:p w14:paraId="5B2D4016" w14:textId="77777777" w:rsidR="00C15107" w:rsidRDefault="00C15107" w:rsidP="00B76E5B">
      <w:pPr>
        <w:spacing w:after="0"/>
        <w:rPr>
          <w:rFonts w:ascii="Verdana" w:eastAsia="Calibri" w:hAnsi="Verdana" w:cs="Arial"/>
        </w:rPr>
      </w:pPr>
    </w:p>
    <w:p w14:paraId="2E1DBFE2" w14:textId="7E353B34" w:rsidR="00B76E5B" w:rsidRPr="00574CE1" w:rsidRDefault="00B76E5B" w:rsidP="00B76E5B">
      <w:pPr>
        <w:spacing w:after="0"/>
        <w:rPr>
          <w:rFonts w:ascii="Verdana" w:eastAsia="Calibri" w:hAnsi="Verdana" w:cs="Arial"/>
        </w:rPr>
      </w:pPr>
      <w:r w:rsidRPr="00574CE1">
        <w:rPr>
          <w:rFonts w:ascii="Verdana" w:eastAsia="Calibri" w:hAnsi="Verdana" w:cs="Arial"/>
        </w:rPr>
        <w:t>Señora</w:t>
      </w:r>
    </w:p>
    <w:p w14:paraId="465707FC" w14:textId="77777777" w:rsidR="00B76E5B" w:rsidRPr="00574CE1" w:rsidRDefault="00B76E5B" w:rsidP="00B76E5B">
      <w:pPr>
        <w:spacing w:after="0"/>
        <w:rPr>
          <w:rFonts w:ascii="Verdana" w:eastAsia="Calibri" w:hAnsi="Verdana" w:cs="Arial"/>
        </w:rPr>
      </w:pPr>
      <w:r w:rsidRPr="00574CE1">
        <w:rPr>
          <w:rFonts w:ascii="Verdana" w:eastAsia="Calibri" w:hAnsi="Verdana" w:cs="Arial"/>
        </w:rPr>
        <w:t>Nereida Peñaranda Gómez</w:t>
      </w:r>
    </w:p>
    <w:p w14:paraId="13DA21F2" w14:textId="77777777" w:rsidR="00B76E5B" w:rsidRPr="00574CE1" w:rsidRDefault="00B76E5B" w:rsidP="00B76E5B">
      <w:pPr>
        <w:spacing w:after="0"/>
        <w:rPr>
          <w:rFonts w:ascii="Verdana" w:eastAsia="Calibri" w:hAnsi="Verdana" w:cs="Arial"/>
        </w:rPr>
      </w:pPr>
      <w:r w:rsidRPr="00574CE1">
        <w:rPr>
          <w:rFonts w:ascii="Verdana" w:eastAsia="Calibri" w:hAnsi="Verdana" w:cs="Arial"/>
        </w:rPr>
        <w:t xml:space="preserve">Rio de Oro, Cesar </w:t>
      </w:r>
    </w:p>
    <w:p w14:paraId="3254FAC3" w14:textId="77777777" w:rsidR="00B76E5B" w:rsidRPr="00574CE1" w:rsidRDefault="00B76E5B" w:rsidP="00B76E5B">
      <w:pPr>
        <w:spacing w:after="0"/>
        <w:rPr>
          <w:rFonts w:ascii="Verdana" w:eastAsia="Calibri" w:hAnsi="Verdana" w:cs="Arial"/>
          <w:bCs/>
        </w:rPr>
      </w:pPr>
    </w:p>
    <w:p w14:paraId="0124C703" w14:textId="77777777" w:rsidR="00B76E5B" w:rsidRPr="00574CE1" w:rsidRDefault="00B76E5B" w:rsidP="00B76E5B">
      <w:pPr>
        <w:spacing w:after="0"/>
        <w:rPr>
          <w:rFonts w:ascii="Verdana" w:eastAsia="Calibri" w:hAnsi="Verdana" w:cs="Arial"/>
        </w:rPr>
      </w:pPr>
    </w:p>
    <w:p w14:paraId="7AF36C18" w14:textId="11EEAB3C" w:rsidR="00B76E5B" w:rsidRPr="00574CE1" w:rsidRDefault="00B76E5B" w:rsidP="00B76E5B">
      <w:pPr>
        <w:pStyle w:val="Sinespaciado"/>
        <w:spacing w:line="276" w:lineRule="auto"/>
        <w:ind w:left="708" w:firstLine="708"/>
        <w:jc w:val="both"/>
        <w:rPr>
          <w:rFonts w:ascii="Verdana" w:hAnsi="Verdana" w:cs="Arial"/>
          <w:b/>
          <w:bCs/>
        </w:rPr>
      </w:pPr>
      <w:r w:rsidRPr="00574CE1">
        <w:rPr>
          <w:rFonts w:ascii="Verdana" w:eastAsia="Calibri" w:hAnsi="Verdana" w:cs="Arial"/>
          <w:b/>
          <w:bCs/>
          <w:lang w:val="es-ES" w:eastAsia="es-ES"/>
        </w:rPr>
        <w:t>Concepto C- 2</w:t>
      </w:r>
      <w:r w:rsidR="00E93683">
        <w:rPr>
          <w:rFonts w:ascii="Verdana" w:eastAsia="Calibri" w:hAnsi="Verdana" w:cs="Arial"/>
          <w:b/>
          <w:bCs/>
          <w:lang w:val="es-ES" w:eastAsia="es-ES"/>
        </w:rPr>
        <w:t>6</w:t>
      </w:r>
      <w:r w:rsidRPr="00574CE1">
        <w:rPr>
          <w:rFonts w:ascii="Verdana" w:eastAsia="Calibri" w:hAnsi="Verdana" w:cs="Arial"/>
          <w:b/>
          <w:bCs/>
          <w:lang w:val="es-ES" w:eastAsia="es-ES"/>
        </w:rPr>
        <w:t>3 de 2024</w:t>
      </w:r>
    </w:p>
    <w:p w14:paraId="6786C2CA" w14:textId="77777777" w:rsidR="00B76E5B" w:rsidRPr="00574CE1" w:rsidRDefault="00B76E5B" w:rsidP="00B76E5B">
      <w:pPr>
        <w:jc w:val="center"/>
        <w:rPr>
          <w:rFonts w:ascii="Verdana" w:eastAsia="Calibri" w:hAnsi="Verdana" w:cs="Arial"/>
          <w:b/>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76E5B" w:rsidRPr="00574CE1" w14:paraId="70AB8A52" w14:textId="77777777" w:rsidTr="00920D34">
        <w:tc>
          <w:tcPr>
            <w:tcW w:w="2689" w:type="dxa"/>
            <w:hideMark/>
          </w:tcPr>
          <w:p w14:paraId="37EB9E51" w14:textId="77777777" w:rsidR="00B76E5B" w:rsidRPr="00574CE1" w:rsidRDefault="00B76E5B" w:rsidP="00920D34">
            <w:pPr>
              <w:rPr>
                <w:rFonts w:ascii="Verdana" w:eastAsia="Calibri" w:hAnsi="Verdana" w:cs="Arial"/>
              </w:rPr>
            </w:pPr>
            <w:r w:rsidRPr="00574CE1">
              <w:rPr>
                <w:rFonts w:ascii="Verdana" w:eastAsia="Calibri" w:hAnsi="Verdana" w:cs="Arial"/>
                <w:b/>
              </w:rPr>
              <w:t>Temas:</w:t>
            </w:r>
            <w:r w:rsidRPr="00574CE1">
              <w:rPr>
                <w:rFonts w:ascii="Verdana" w:eastAsia="Calibri" w:hAnsi="Verdana" w:cs="Arial"/>
              </w:rPr>
              <w:t xml:space="preserve">           </w:t>
            </w:r>
          </w:p>
        </w:tc>
        <w:tc>
          <w:tcPr>
            <w:tcW w:w="6237" w:type="dxa"/>
            <w:hideMark/>
          </w:tcPr>
          <w:p w14:paraId="65256895" w14:textId="77777777" w:rsidR="00B76E5B" w:rsidRPr="00574CE1" w:rsidRDefault="00B76E5B" w:rsidP="00920D34">
            <w:pPr>
              <w:jc w:val="both"/>
              <w:rPr>
                <w:rFonts w:ascii="Verdana" w:eastAsia="Arial" w:hAnsi="Verdana" w:cs="Arial"/>
                <w:lang w:val="es-MX" w:eastAsia="es-ES_tradnl"/>
              </w:rPr>
            </w:pPr>
            <w:r w:rsidRPr="00574CE1">
              <w:rPr>
                <w:rFonts w:ascii="Verdana" w:hAnsi="Verdana" w:cs="Arial"/>
                <w:bCs/>
                <w:lang w:val="es-MX" w:eastAsia="es-ES_tradnl"/>
              </w:rPr>
              <w:t>PUBLICIDAD SECOP – Entidades exceptuadas – Estatuto general de contratación – Modificación del artículo 53 – Ley 2195 de 2022 /</w:t>
            </w:r>
            <w:r w:rsidRPr="00574CE1">
              <w:rPr>
                <w:rFonts w:ascii="Verdana" w:hAnsi="Verdana"/>
              </w:rPr>
              <w:t xml:space="preserve"> </w:t>
            </w:r>
            <w:r w:rsidRPr="00574CE1">
              <w:rPr>
                <w:rFonts w:ascii="Verdana" w:hAnsi="Verdana" w:cs="Arial"/>
                <w:bCs/>
                <w:lang w:val="es-MX" w:eastAsia="es-ES_tradnl"/>
              </w:rPr>
              <w:t>SECOP II – Deber de publicidad – Entidades exceptuadas – Documentos relacionados con la actividad contractual – Reserva de la información pública.</w:t>
            </w:r>
          </w:p>
          <w:p w14:paraId="672A1031" w14:textId="77777777" w:rsidR="00B76E5B" w:rsidRPr="00574CE1" w:rsidRDefault="00B76E5B" w:rsidP="00920D34">
            <w:pPr>
              <w:jc w:val="both"/>
              <w:rPr>
                <w:rFonts w:ascii="Verdana" w:eastAsia="Calibri" w:hAnsi="Verdana" w:cs="Arial"/>
              </w:rPr>
            </w:pPr>
          </w:p>
          <w:p w14:paraId="53BC0F80" w14:textId="77777777" w:rsidR="00B76E5B" w:rsidRPr="00574CE1" w:rsidRDefault="00B76E5B" w:rsidP="00920D34">
            <w:pPr>
              <w:jc w:val="both"/>
              <w:rPr>
                <w:rFonts w:ascii="Verdana" w:eastAsia="Calibri" w:hAnsi="Verdana" w:cs="Arial"/>
                <w:highlight w:val="yellow"/>
              </w:rPr>
            </w:pPr>
          </w:p>
        </w:tc>
      </w:tr>
      <w:tr w:rsidR="00B76E5B" w:rsidRPr="00574CE1" w14:paraId="523C04AB" w14:textId="77777777" w:rsidTr="00920D34">
        <w:tc>
          <w:tcPr>
            <w:tcW w:w="2689" w:type="dxa"/>
          </w:tcPr>
          <w:p w14:paraId="7FE67069" w14:textId="77777777" w:rsidR="00B76E5B" w:rsidRPr="00574CE1" w:rsidRDefault="00B76E5B" w:rsidP="00920D34">
            <w:pPr>
              <w:rPr>
                <w:rFonts w:ascii="Verdana" w:eastAsia="Calibri" w:hAnsi="Verdana" w:cs="Arial"/>
                <w:b/>
              </w:rPr>
            </w:pPr>
            <w:r w:rsidRPr="00574CE1">
              <w:rPr>
                <w:rFonts w:ascii="Verdana" w:eastAsia="Calibri" w:hAnsi="Verdana" w:cs="Arial"/>
                <w:b/>
              </w:rPr>
              <w:t>Radicación:</w:t>
            </w:r>
            <w:r w:rsidRPr="00574CE1">
              <w:rPr>
                <w:rFonts w:ascii="Verdana" w:eastAsia="Calibri" w:hAnsi="Verdana" w:cs="Arial"/>
              </w:rPr>
              <w:t xml:space="preserve">                              </w:t>
            </w:r>
          </w:p>
        </w:tc>
        <w:tc>
          <w:tcPr>
            <w:tcW w:w="6237" w:type="dxa"/>
          </w:tcPr>
          <w:p w14:paraId="46735977" w14:textId="77777777" w:rsidR="00B76E5B" w:rsidRPr="00574CE1" w:rsidRDefault="00B76E5B" w:rsidP="00920D34">
            <w:pPr>
              <w:jc w:val="right"/>
              <w:rPr>
                <w:rFonts w:ascii="Verdana" w:eastAsia="Calibri" w:hAnsi="Verdana" w:cs="Arial"/>
              </w:rPr>
            </w:pPr>
            <w:r w:rsidRPr="00574CE1">
              <w:rPr>
                <w:rFonts w:ascii="Verdana" w:eastAsia="Calibri" w:hAnsi="Verdana" w:cs="Arial"/>
              </w:rPr>
              <w:t>Respuesta a consulta No. P20240523005348</w:t>
            </w:r>
          </w:p>
        </w:tc>
      </w:tr>
    </w:tbl>
    <w:p w14:paraId="638BF72D" w14:textId="77777777" w:rsidR="00B76E5B" w:rsidRPr="00574CE1" w:rsidRDefault="00B76E5B" w:rsidP="00B76E5B">
      <w:pPr>
        <w:jc w:val="both"/>
        <w:rPr>
          <w:rFonts w:ascii="Verdana" w:eastAsia="Calibri" w:hAnsi="Verdana" w:cs="Arial"/>
        </w:rPr>
      </w:pPr>
    </w:p>
    <w:p w14:paraId="0B965823" w14:textId="77777777" w:rsidR="00B76E5B" w:rsidRPr="00574CE1" w:rsidRDefault="00B76E5B" w:rsidP="00B76E5B">
      <w:pPr>
        <w:jc w:val="both"/>
        <w:rPr>
          <w:rFonts w:ascii="Verdana" w:eastAsia="Calibri" w:hAnsi="Verdana" w:cs="Arial"/>
        </w:rPr>
      </w:pPr>
    </w:p>
    <w:p w14:paraId="21BFE193" w14:textId="77777777" w:rsidR="00B76E5B" w:rsidRPr="00574CE1" w:rsidRDefault="00B76E5B" w:rsidP="00B76E5B">
      <w:pPr>
        <w:rPr>
          <w:rFonts w:ascii="Verdana" w:eastAsia="Calibri" w:hAnsi="Verdana" w:cs="Arial"/>
        </w:rPr>
      </w:pPr>
      <w:r w:rsidRPr="00574CE1">
        <w:rPr>
          <w:rFonts w:ascii="Verdana" w:eastAsia="Calibri" w:hAnsi="Verdana" w:cs="Arial"/>
        </w:rPr>
        <w:t>Estimado señora Peñaranda,</w:t>
      </w:r>
    </w:p>
    <w:p w14:paraId="593D9A58" w14:textId="77777777" w:rsidR="00B76E5B" w:rsidRPr="00574CE1" w:rsidRDefault="00B76E5B" w:rsidP="00B76E5B">
      <w:pPr>
        <w:pStyle w:val="Sinespaciado"/>
        <w:spacing w:line="276" w:lineRule="auto"/>
        <w:jc w:val="both"/>
        <w:rPr>
          <w:rFonts w:ascii="Verdana" w:hAnsi="Verdana" w:cs="Arial"/>
        </w:rPr>
      </w:pPr>
    </w:p>
    <w:p w14:paraId="2B5708EC" w14:textId="77777777" w:rsidR="00B76E5B" w:rsidRPr="00574CE1" w:rsidRDefault="00B76E5B" w:rsidP="00B76E5B">
      <w:pPr>
        <w:pStyle w:val="Sinespaciado"/>
        <w:spacing w:line="276" w:lineRule="auto"/>
        <w:jc w:val="both"/>
        <w:rPr>
          <w:rFonts w:ascii="Verdana" w:hAnsi="Verdana" w:cs="Arial"/>
        </w:rPr>
      </w:pPr>
    </w:p>
    <w:p w14:paraId="44FE0F3D" w14:textId="77777777" w:rsidR="00B76E5B" w:rsidRPr="00574CE1" w:rsidRDefault="00B76E5B" w:rsidP="00B76E5B">
      <w:pPr>
        <w:pStyle w:val="Sinespaciado"/>
        <w:spacing w:line="276" w:lineRule="auto"/>
        <w:jc w:val="both"/>
        <w:rPr>
          <w:rFonts w:ascii="Verdana" w:hAnsi="Verdana" w:cs="Arial"/>
        </w:rPr>
      </w:pPr>
      <w:r w:rsidRPr="00574CE1">
        <w:rPr>
          <w:rFonts w:ascii="Verdana" w:eastAsia="Calibri" w:hAnsi="Verdana" w:cs="Arial"/>
          <w:lang w:val="es-ES" w:eastAsia="es-ES"/>
        </w:rPr>
        <w:t>En ejercicio de la competencia otorgada por los artículos 3, numeral 5º, y 11, numeral 8º, del Decreto Ley 4170 de 2011,</w:t>
      </w:r>
      <w:r w:rsidRPr="00574CE1">
        <w:rPr>
          <w:rFonts w:ascii="Verdana" w:eastAsia="Arial MT" w:hAnsi="Verdana" w:cs="Arial MT"/>
          <w:lang w:val="es-ES" w:eastAsia="es-ES"/>
        </w:rPr>
        <w:t xml:space="preserve"> </w:t>
      </w:r>
      <w:r w:rsidRPr="00574CE1">
        <w:rPr>
          <w:rFonts w:ascii="Verdana" w:hAnsi="Verdana" w:cs="Arial"/>
        </w:rPr>
        <w:t xml:space="preserve">así como lo establecido en el artículo 4 de la Resolución 1707 de 2018 expedida por esta Entidad, </w:t>
      </w:r>
      <w:r w:rsidRPr="00574CE1">
        <w:rPr>
          <w:rFonts w:ascii="Verdana" w:eastAsia="Calibri" w:hAnsi="Verdana" w:cs="Arial"/>
          <w:lang w:val="es-ES" w:eastAsia="es-ES"/>
        </w:rPr>
        <w:t>la Agencia Nacional de Contratación Pública – Colombia Compra Eficiente– responde su solicitud de consulta de fecha 28 de junio de 2024, en la cual manifiesta lo siguiente</w:t>
      </w:r>
    </w:p>
    <w:p w14:paraId="619B7844" w14:textId="77777777" w:rsidR="00B76E5B" w:rsidRPr="00574CE1" w:rsidRDefault="00B76E5B" w:rsidP="00B76E5B">
      <w:pPr>
        <w:ind w:left="709" w:right="709"/>
        <w:jc w:val="both"/>
        <w:rPr>
          <w:rFonts w:ascii="Verdana" w:hAnsi="Verdana" w:cs="Arial"/>
          <w:i/>
          <w:iCs/>
          <w:sz w:val="20"/>
          <w:szCs w:val="20"/>
        </w:rPr>
      </w:pPr>
    </w:p>
    <w:p w14:paraId="6E703D89" w14:textId="77777777" w:rsidR="00FE4892" w:rsidRDefault="00B76E5B" w:rsidP="00B76E5B">
      <w:pPr>
        <w:pStyle w:val="Default"/>
        <w:ind w:left="709" w:right="709"/>
        <w:jc w:val="both"/>
        <w:rPr>
          <w:rFonts w:ascii="Verdana" w:eastAsia="Calibri" w:hAnsi="Verdana"/>
          <w:i/>
          <w:iCs/>
          <w:color w:val="auto"/>
          <w:sz w:val="20"/>
          <w:szCs w:val="20"/>
          <w:lang w:val="es-MX"/>
        </w:rPr>
      </w:pPr>
      <w:r w:rsidRPr="00574CE1">
        <w:rPr>
          <w:rFonts w:ascii="Verdana" w:eastAsia="Calibri" w:hAnsi="Verdana"/>
          <w:i/>
          <w:iCs/>
          <w:color w:val="auto"/>
          <w:sz w:val="20"/>
          <w:szCs w:val="20"/>
          <w:lang w:val="es-MX"/>
        </w:rPr>
        <w:t xml:space="preserve">“Solicito de manera formal se aclare si los documentos del proceso se deben publicar en el SECOP II de manera publicitaria es en el momento que se expidan los documentos de la etapa contractual (momento en el cual se ha seleccionado el proveedor) y que el tiempo de publicación es dentro de los tres (3) días siguientes a la fecha de su expedición (contrato) y sin tener en cuenta que los </w:t>
      </w:r>
      <w:r w:rsidRPr="00574CE1">
        <w:rPr>
          <w:rFonts w:ascii="Verdana" w:eastAsia="Calibri" w:hAnsi="Verdana"/>
          <w:i/>
          <w:iCs/>
          <w:color w:val="auto"/>
          <w:sz w:val="20"/>
          <w:szCs w:val="20"/>
          <w:lang w:val="es-MX"/>
        </w:rPr>
        <w:lastRenderedPageBreak/>
        <w:t>documentos de la etapa precontractual hayan sido expedidos con más de tres (3) días.</w:t>
      </w:r>
    </w:p>
    <w:p w14:paraId="2461B221" w14:textId="79822643" w:rsidR="00B76E5B" w:rsidRPr="00574CE1" w:rsidRDefault="00FE4892" w:rsidP="00B76E5B">
      <w:pPr>
        <w:pStyle w:val="Default"/>
        <w:ind w:left="709" w:right="709"/>
        <w:jc w:val="both"/>
        <w:rPr>
          <w:rFonts w:ascii="Verdana" w:hAnsi="Verdana"/>
          <w:i/>
          <w:iCs/>
          <w:color w:val="auto"/>
          <w:sz w:val="20"/>
          <w:szCs w:val="20"/>
        </w:rPr>
      </w:pPr>
      <w:proofErr w:type="gramStart"/>
      <w:r w:rsidRPr="00FE4892">
        <w:rPr>
          <w:rFonts w:ascii="Verdana" w:hAnsi="Verdana"/>
          <w:i/>
          <w:iCs/>
          <w:color w:val="auto"/>
          <w:sz w:val="20"/>
          <w:szCs w:val="20"/>
        </w:rPr>
        <w:t>Además</w:t>
      </w:r>
      <w:proofErr w:type="gramEnd"/>
      <w:r w:rsidRPr="00FE4892">
        <w:rPr>
          <w:rFonts w:ascii="Verdana" w:hAnsi="Verdana"/>
          <w:i/>
          <w:iCs/>
          <w:color w:val="auto"/>
          <w:sz w:val="20"/>
          <w:szCs w:val="20"/>
        </w:rPr>
        <w:t xml:space="preserve"> solcito sea enviando el manual de procedimientos régimen especial sin ofertas actualizado pues en la plataforma se encuentran desactualizados</w:t>
      </w:r>
      <w:r w:rsidR="00B76E5B" w:rsidRPr="00574CE1">
        <w:rPr>
          <w:rFonts w:ascii="Verdana" w:hAnsi="Verdana"/>
          <w:i/>
          <w:iCs/>
          <w:color w:val="auto"/>
          <w:sz w:val="20"/>
          <w:szCs w:val="20"/>
        </w:rPr>
        <w:t>”</w:t>
      </w:r>
    </w:p>
    <w:p w14:paraId="52FB6544" w14:textId="77777777" w:rsidR="00B76E5B" w:rsidRPr="00574CE1" w:rsidRDefault="00B76E5B" w:rsidP="00B76E5B">
      <w:pPr>
        <w:rPr>
          <w:rFonts w:ascii="Verdana" w:eastAsia="Calibri" w:hAnsi="Verdana" w:cs="Arial"/>
        </w:rPr>
      </w:pPr>
    </w:p>
    <w:p w14:paraId="1168D446" w14:textId="77777777" w:rsidR="00B76E5B" w:rsidRPr="00574CE1" w:rsidRDefault="00B76E5B" w:rsidP="00B76E5B">
      <w:pPr>
        <w:spacing w:after="0" w:line="276" w:lineRule="auto"/>
        <w:ind w:left="709" w:right="709"/>
        <w:jc w:val="both"/>
        <w:rPr>
          <w:rFonts w:ascii="Verdana" w:hAnsi="Verdana" w:cs="Arial"/>
        </w:rPr>
      </w:pPr>
    </w:p>
    <w:p w14:paraId="7DA42A7D" w14:textId="77777777" w:rsidR="00B76E5B" w:rsidRPr="00574CE1" w:rsidRDefault="00B76E5B" w:rsidP="00B76E5B">
      <w:pPr>
        <w:spacing w:after="120" w:line="276" w:lineRule="auto"/>
        <w:ind w:firstLine="709"/>
        <w:jc w:val="both"/>
        <w:rPr>
          <w:rFonts w:ascii="Verdana" w:eastAsia="Calibri" w:hAnsi="Verdana" w:cs="Arial"/>
          <w:szCs w:val="24"/>
          <w:lang w:val="es-ES_tradnl" w:eastAsia="es-ES_tradnl"/>
        </w:rPr>
      </w:pPr>
      <w:r w:rsidRPr="00574CE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74CE1">
        <w:rPr>
          <w:rFonts w:ascii="Verdana" w:eastAsia="Calibri" w:hAnsi="Verdana" w:cs="Arial"/>
          <w:szCs w:val="24"/>
          <w:lang w:val="es-ES_tradnl" w:eastAsia="es-ES_tradnl"/>
        </w:rPr>
        <w:tab/>
      </w:r>
    </w:p>
    <w:p w14:paraId="1DFEEBEF" w14:textId="77777777" w:rsidR="00B76E5B" w:rsidRPr="00574CE1" w:rsidRDefault="00B76E5B" w:rsidP="00B76E5B">
      <w:pPr>
        <w:spacing w:after="0" w:line="276" w:lineRule="auto"/>
        <w:ind w:firstLine="709"/>
        <w:jc w:val="both"/>
        <w:rPr>
          <w:rFonts w:ascii="Verdana" w:eastAsia="Calibri" w:hAnsi="Verdana" w:cs="Arial"/>
          <w:lang w:val="es-ES" w:eastAsia="es-ES"/>
        </w:rPr>
      </w:pPr>
      <w:r w:rsidRPr="00574CE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7ADE04D" w14:textId="77777777" w:rsidR="00B76E5B" w:rsidRPr="00574CE1" w:rsidRDefault="00B76E5B" w:rsidP="00B76E5B">
      <w:pPr>
        <w:spacing w:after="0" w:line="276" w:lineRule="auto"/>
        <w:ind w:firstLine="709"/>
        <w:jc w:val="both"/>
        <w:rPr>
          <w:rFonts w:ascii="Verdana" w:eastAsia="Calibri" w:hAnsi="Verdana" w:cs="Arial"/>
          <w:lang w:val="es-ES" w:eastAsia="es-ES"/>
        </w:rPr>
      </w:pPr>
    </w:p>
    <w:p w14:paraId="4482D7D1" w14:textId="77777777" w:rsidR="00B76E5B" w:rsidRPr="00574CE1" w:rsidRDefault="00B76E5B" w:rsidP="00B76E5B">
      <w:pPr>
        <w:pStyle w:val="Prrafodelista"/>
        <w:numPr>
          <w:ilvl w:val="0"/>
          <w:numId w:val="6"/>
        </w:numPr>
        <w:tabs>
          <w:tab w:val="left" w:pos="142"/>
          <w:tab w:val="left" w:pos="284"/>
        </w:tabs>
        <w:spacing w:after="0" w:line="276" w:lineRule="auto"/>
        <w:ind w:left="0" w:firstLine="0"/>
        <w:jc w:val="both"/>
        <w:rPr>
          <w:rFonts w:ascii="Verdana" w:eastAsia="Century Gothic" w:hAnsi="Verdana" w:cs="Century Gothic"/>
          <w:b/>
          <w:bCs/>
        </w:rPr>
      </w:pPr>
      <w:r w:rsidRPr="00574CE1">
        <w:rPr>
          <w:rFonts w:ascii="Verdana" w:eastAsia="Century Gothic" w:hAnsi="Verdana" w:cs="Century Gothic"/>
          <w:b/>
          <w:bCs/>
        </w:rPr>
        <w:t>Problema planteado:</w:t>
      </w:r>
    </w:p>
    <w:p w14:paraId="6A9E51B4" w14:textId="77777777" w:rsidR="00B76E5B" w:rsidRPr="00574CE1" w:rsidRDefault="00B76E5B" w:rsidP="00B76E5B">
      <w:pPr>
        <w:tabs>
          <w:tab w:val="left" w:pos="426"/>
        </w:tabs>
        <w:spacing w:after="0" w:line="276" w:lineRule="auto"/>
        <w:jc w:val="both"/>
        <w:rPr>
          <w:rFonts w:ascii="Verdana" w:eastAsia="Century Gothic" w:hAnsi="Verdana" w:cs="Century Gothic"/>
          <w:lang w:val="es-ES"/>
        </w:rPr>
      </w:pPr>
    </w:p>
    <w:p w14:paraId="56B14BFE" w14:textId="77777777" w:rsidR="00B76E5B" w:rsidRPr="00574CE1" w:rsidRDefault="00B76E5B" w:rsidP="00B76E5B">
      <w:pPr>
        <w:spacing w:after="0" w:line="276" w:lineRule="auto"/>
        <w:jc w:val="both"/>
        <w:rPr>
          <w:rFonts w:ascii="Verdana" w:eastAsia="Century Gothic" w:hAnsi="Verdana" w:cs="Century Gothic"/>
        </w:rPr>
      </w:pPr>
      <w:r w:rsidRPr="00574CE1">
        <w:rPr>
          <w:rFonts w:ascii="Verdana" w:eastAsia="Century Gothic" w:hAnsi="Verdana" w:cs="Century Gothic"/>
        </w:rPr>
        <w:t xml:space="preserve">De acuerdo con el contenido de su solicitud, esta Agencia resolverá el siguiente problema jurídico: En otras palabras, lo que se busca establecer con su petición </w:t>
      </w:r>
      <w:proofErr w:type="gramStart"/>
      <w:r w:rsidRPr="00574CE1">
        <w:rPr>
          <w:rFonts w:ascii="Verdana" w:eastAsia="Century Gothic" w:hAnsi="Verdana" w:cs="Century Gothic"/>
        </w:rPr>
        <w:t>es  ¿</w:t>
      </w:r>
      <w:proofErr w:type="gramEnd"/>
      <w:r w:rsidRPr="00574CE1">
        <w:rPr>
          <w:rFonts w:ascii="Verdana" w:eastAsia="Century Gothic" w:hAnsi="Verdana" w:cs="Century Gothic"/>
        </w:rPr>
        <w:t xml:space="preserve">Cómo debe computar el termino de publicación en SECOP II ? ¿este aplica a los documentos en la etapa </w:t>
      </w:r>
      <w:proofErr w:type="gramStart"/>
      <w:r w:rsidRPr="00574CE1">
        <w:rPr>
          <w:rFonts w:ascii="Verdana" w:eastAsia="Century Gothic" w:hAnsi="Verdana" w:cs="Century Gothic"/>
        </w:rPr>
        <w:t>pre contractual</w:t>
      </w:r>
      <w:proofErr w:type="gramEnd"/>
      <w:r w:rsidRPr="00574CE1">
        <w:rPr>
          <w:rFonts w:ascii="Verdana" w:eastAsia="Century Gothic" w:hAnsi="Verdana" w:cs="Century Gothic"/>
        </w:rPr>
        <w:t xml:space="preserve">? </w:t>
      </w:r>
    </w:p>
    <w:p w14:paraId="6ABD34CD" w14:textId="77777777" w:rsidR="00B76E5B" w:rsidRPr="00574CE1" w:rsidRDefault="00B76E5B" w:rsidP="00B76E5B">
      <w:pPr>
        <w:spacing w:after="0" w:line="276" w:lineRule="auto"/>
        <w:ind w:firstLine="709"/>
        <w:jc w:val="both"/>
        <w:rPr>
          <w:rFonts w:ascii="Verdana" w:eastAsia="Calibri" w:hAnsi="Verdana" w:cs="Arial"/>
          <w:lang w:eastAsia="es-ES"/>
        </w:rPr>
      </w:pPr>
    </w:p>
    <w:p w14:paraId="779F7B07" w14:textId="77777777" w:rsidR="00B76E5B" w:rsidRPr="00574CE1" w:rsidRDefault="00B76E5B" w:rsidP="00B76E5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C3FC496" w14:textId="77777777" w:rsidR="00B76E5B" w:rsidRPr="00574CE1" w:rsidRDefault="00B76E5B" w:rsidP="00B76E5B">
      <w:pPr>
        <w:pStyle w:val="Prrafodelista"/>
        <w:numPr>
          <w:ilvl w:val="0"/>
          <w:numId w:val="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74CE1">
        <w:rPr>
          <w:rFonts w:ascii="Verdana" w:eastAsia="Century Gothic" w:hAnsi="Verdana" w:cs="Century Gothic"/>
          <w:b/>
          <w:bCs/>
        </w:rPr>
        <w:t>Respuesta:</w:t>
      </w:r>
    </w:p>
    <w:p w14:paraId="756590DF" w14:textId="77777777" w:rsidR="00B76E5B" w:rsidRPr="00574CE1" w:rsidRDefault="00B76E5B" w:rsidP="00B76E5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394"/>
      </w:tblGrid>
      <w:tr w:rsidR="00B76E5B" w:rsidRPr="00574CE1" w14:paraId="45B60460" w14:textId="77777777" w:rsidTr="00920D34">
        <w:tc>
          <w:tcPr>
            <w:tcW w:w="8828" w:type="dxa"/>
            <w:shd w:val="clear" w:color="auto" w:fill="auto"/>
          </w:tcPr>
          <w:p w14:paraId="5473A7CF" w14:textId="77777777" w:rsidR="00B76E5B" w:rsidRPr="00574CE1" w:rsidRDefault="00B76E5B" w:rsidP="00920D34">
            <w:pPr>
              <w:spacing w:before="120" w:after="120" w:line="276" w:lineRule="auto"/>
              <w:ind w:firstLine="708"/>
              <w:jc w:val="both"/>
              <w:rPr>
                <w:rFonts w:ascii="Verdana" w:eastAsia="Calibri" w:hAnsi="Verdana" w:cs="Arial"/>
                <w:lang w:val="es-ES"/>
              </w:rPr>
            </w:pPr>
            <w:r w:rsidRPr="00574CE1">
              <w:rPr>
                <w:rFonts w:ascii="Verdana" w:eastAsia="Calibri" w:hAnsi="Verdana" w:cs="Arial"/>
                <w:lang w:val="es-ES"/>
              </w:rPr>
              <w:t xml:space="preserve">Conforme a la naturaleza transaccional de SECOP II, estos documentos se publican en tiempo real en la plataforma, en la medida en que de ello depende el avance del </w:t>
            </w:r>
            <w:r w:rsidRPr="00574CE1">
              <w:rPr>
                <w:rFonts w:ascii="Verdana" w:eastAsia="Calibri" w:hAnsi="Verdana" w:cs="Arial"/>
                <w:i/>
                <w:iCs/>
                <w:lang w:val="es-ES"/>
              </w:rPr>
              <w:t>Proceso de Contratación</w:t>
            </w:r>
            <w:r w:rsidRPr="00574CE1">
              <w:rPr>
                <w:rFonts w:ascii="Verdana" w:eastAsia="Calibri" w:hAnsi="Verdana" w:cs="Arial"/>
                <w:lang w:val="es-ES"/>
              </w:rPr>
              <w:t xml:space="preserve">, por lo que en estos casos no aplica el término de tres (3) días previsto en el artículo 2.2.1.1.1.7.1 del Decreto 1082 de 2015, con </w:t>
            </w:r>
            <w:r w:rsidRPr="00574CE1">
              <w:rPr>
                <w:rFonts w:ascii="Verdana" w:eastAsia="Calibri" w:hAnsi="Verdana" w:cs="Arial"/>
                <w:lang w:val="es-ES"/>
              </w:rPr>
              <w:lastRenderedPageBreak/>
              <w:t xml:space="preserve">excepción de las actuaciones que por su naturaleza deben ser producidas en medio físico y luego cargadas a la plataforma. </w:t>
            </w:r>
          </w:p>
          <w:p w14:paraId="42488EF5" w14:textId="77777777" w:rsidR="00B76E5B" w:rsidRDefault="00B76E5B" w:rsidP="00920D34">
            <w:pPr>
              <w:spacing w:line="276" w:lineRule="auto"/>
              <w:jc w:val="both"/>
              <w:rPr>
                <w:rFonts w:ascii="Verdana" w:eastAsia="Calibri" w:hAnsi="Verdana" w:cs="Arial"/>
                <w:lang w:val="es-ES"/>
              </w:rPr>
            </w:pPr>
            <w:r w:rsidRPr="00574CE1">
              <w:rPr>
                <w:rFonts w:ascii="Verdana" w:eastAsia="Calibri" w:hAnsi="Verdana" w:cs="Arial"/>
                <w:lang w:val="es-ES"/>
              </w:rPr>
              <w:t>Las entidades estatales regidas por el Estatuto General de Contratación de la Administración Pública, a las que no corresponda gestionar sus procesos a través de SECOP II, deben publicar en SECOP I los anteriores documentos, y disponen de los tres (3) días hábiles siguientes a la expedición para hacerlo, conforme lo dispone el artículo 2.2.1.1.1.7.1 del Decreto 1082 de 2015</w:t>
            </w:r>
            <w:r w:rsidRPr="00574CE1">
              <w:rPr>
                <w:rFonts w:ascii="Verdana" w:eastAsia="Calibri" w:hAnsi="Verdana" w:cs="Arial"/>
                <w:i/>
                <w:iCs/>
                <w:lang w:val="es-ES"/>
              </w:rPr>
              <w:t xml:space="preserve">. </w:t>
            </w:r>
            <w:r w:rsidRPr="00574CE1">
              <w:rPr>
                <w:rFonts w:ascii="Verdana" w:eastAsia="Calibri" w:hAnsi="Verdana" w:cs="Arial"/>
                <w:lang w:val="es-ES"/>
              </w:rPr>
              <w:t>En los procesos adelantados SECOP I, las ofertas diferentes de la del adjudicatario están exceptuadas del deber de publicidad</w:t>
            </w:r>
          </w:p>
          <w:p w14:paraId="17BFB4F2" w14:textId="27D34189" w:rsidR="00694F62" w:rsidRDefault="00694F62" w:rsidP="00694F62">
            <w:pPr>
              <w:pStyle w:val="xmsonormal"/>
            </w:pPr>
            <w:r>
              <w:rPr>
                <w:rFonts w:ascii="Verdana" w:hAnsi="Verdana"/>
                <w:color w:val="3A3A3A"/>
                <w:sz w:val="22"/>
                <w:szCs w:val="22"/>
              </w:rPr>
              <w:t xml:space="preserve">De acuerdo con lo requerido nos permitimos informar que la </w:t>
            </w:r>
            <w:r>
              <w:rPr>
                <w:rFonts w:ascii="Verdana" w:hAnsi="Verdana"/>
                <w:b/>
                <w:bCs/>
                <w:color w:val="3A3A3A"/>
                <w:sz w:val="22"/>
                <w:szCs w:val="22"/>
              </w:rPr>
              <w:t>Guía de uso de SECOP II – Módulo de Régimen Especial (sin ofertas)</w:t>
            </w:r>
            <w:r>
              <w:rPr>
                <w:rFonts w:ascii="Verdana" w:hAnsi="Verdana"/>
                <w:color w:val="3A3A3A"/>
                <w:sz w:val="22"/>
                <w:szCs w:val="22"/>
              </w:rPr>
              <w:t xml:space="preserve">, se encuentra en proceso de actualización, los cambios más recientes incluidos en dicho módulo se encuentran publicados en el minisitio de SECOP II, en la sección Ayuda a Usuarios de SECOP II - En la infografía del </w:t>
            </w:r>
            <w:proofErr w:type="spellStart"/>
            <w:r>
              <w:rPr>
                <w:rFonts w:ascii="Verdana" w:hAnsi="Verdana"/>
                <w:color w:val="3A3A3A"/>
                <w:sz w:val="22"/>
                <w:szCs w:val="22"/>
              </w:rPr>
              <w:t>Release</w:t>
            </w:r>
            <w:proofErr w:type="spellEnd"/>
            <w:r>
              <w:rPr>
                <w:rFonts w:ascii="Verdana" w:hAnsi="Verdana"/>
                <w:color w:val="3A3A3A"/>
                <w:sz w:val="22"/>
                <w:szCs w:val="22"/>
              </w:rPr>
              <w:t xml:space="preserve"> 23.4 del 09 de diciembre de 2023 que podrán encontrar en el siguiente enlace:</w:t>
            </w:r>
          </w:p>
          <w:p w14:paraId="308D783D" w14:textId="77777777" w:rsidR="00694F62" w:rsidRDefault="00694F62" w:rsidP="00694F62">
            <w:pPr>
              <w:pStyle w:val="xmsonormal"/>
            </w:pPr>
            <w:r>
              <w:rPr>
                <w:rFonts w:ascii="Verdana" w:hAnsi="Verdana"/>
                <w:color w:val="3A3A3A"/>
                <w:sz w:val="22"/>
                <w:szCs w:val="22"/>
              </w:rPr>
              <w:t> </w:t>
            </w:r>
          </w:p>
          <w:p w14:paraId="3E4A8B36" w14:textId="77777777" w:rsidR="00694F62" w:rsidRDefault="00694F62" w:rsidP="00694F62">
            <w:pPr>
              <w:pStyle w:val="xmsolistparagraph"/>
              <w:numPr>
                <w:ilvl w:val="0"/>
                <w:numId w:val="11"/>
              </w:numPr>
              <w:rPr>
                <w:rFonts w:eastAsia="Times New Roman"/>
                <w:color w:val="3A3A3A"/>
              </w:rPr>
            </w:pPr>
            <w:r>
              <w:rPr>
                <w:rFonts w:ascii="Verdana" w:eastAsia="Times New Roman" w:hAnsi="Verdana"/>
                <w:color w:val="3A3A3A"/>
                <w:sz w:val="22"/>
                <w:szCs w:val="22"/>
              </w:rPr>
              <w:t xml:space="preserve">Enlace ayudas a usuario del SECOP II: </w:t>
            </w:r>
            <w:hyperlink r:id="rId11" w:history="1">
              <w:r>
                <w:rPr>
                  <w:rStyle w:val="Hipervnculo"/>
                  <w:rFonts w:ascii="Verdana" w:eastAsia="Times New Roman" w:hAnsi="Verdana"/>
                  <w:sz w:val="22"/>
                  <w:szCs w:val="22"/>
                </w:rPr>
                <w:t>https://www.colombiacompra.gov.co/secop-ii/eres-formador-del-secop-ii-encuentra-material-de-apoyo-aqui</w:t>
              </w:r>
            </w:hyperlink>
            <w:r>
              <w:rPr>
                <w:rFonts w:ascii="Verdana" w:eastAsia="Times New Roman" w:hAnsi="Verdana"/>
                <w:color w:val="3A3A3A"/>
                <w:sz w:val="22"/>
                <w:szCs w:val="22"/>
              </w:rPr>
              <w:t xml:space="preserve"> </w:t>
            </w:r>
          </w:p>
          <w:p w14:paraId="4CCB624B" w14:textId="77777777" w:rsidR="00694F62" w:rsidRDefault="00694F62" w:rsidP="00694F62">
            <w:pPr>
              <w:pStyle w:val="xmsonormal"/>
            </w:pPr>
            <w:r>
              <w:rPr>
                <w:rFonts w:ascii="Verdana" w:hAnsi="Verdana"/>
                <w:color w:val="3A3A3A"/>
                <w:sz w:val="22"/>
                <w:szCs w:val="22"/>
              </w:rPr>
              <w:t> </w:t>
            </w:r>
          </w:p>
          <w:p w14:paraId="3186C29F" w14:textId="77777777" w:rsidR="00694F62" w:rsidRDefault="00694F62" w:rsidP="00694F62">
            <w:pPr>
              <w:pStyle w:val="xmsolistparagraph"/>
              <w:numPr>
                <w:ilvl w:val="0"/>
                <w:numId w:val="12"/>
              </w:numPr>
              <w:rPr>
                <w:rFonts w:eastAsia="Times New Roman"/>
                <w:color w:val="3A3A3A"/>
              </w:rPr>
            </w:pPr>
            <w:r>
              <w:rPr>
                <w:rFonts w:ascii="Verdana" w:eastAsia="Times New Roman" w:hAnsi="Verdana"/>
                <w:color w:val="3A3A3A"/>
                <w:sz w:val="22"/>
                <w:szCs w:val="22"/>
              </w:rPr>
              <w:t xml:space="preserve">Enlace infografía del 09 de diciembre de 2023: </w:t>
            </w:r>
            <w:hyperlink r:id="rId12" w:history="1">
              <w:r>
                <w:rPr>
                  <w:rStyle w:val="Hipervnculo"/>
                  <w:rFonts w:ascii="Verdana" w:eastAsia="Times New Roman" w:hAnsi="Verdana"/>
                  <w:sz w:val="22"/>
                  <w:szCs w:val="22"/>
                </w:rPr>
                <w:t>https://www.colombiacompra.gov.co/sites/cce_public/files/cce_infografias/idt_cambios_secop_ii.pdf</w:t>
              </w:r>
            </w:hyperlink>
          </w:p>
          <w:p w14:paraId="19E50C68" w14:textId="77777777" w:rsidR="00694F62" w:rsidRDefault="00694F62" w:rsidP="00694F62">
            <w:pPr>
              <w:pStyle w:val="xmsonormal"/>
            </w:pPr>
            <w:r>
              <w:rPr>
                <w:rFonts w:ascii="Verdana" w:hAnsi="Verdana"/>
                <w:color w:val="3A3A3A"/>
                <w:sz w:val="22"/>
                <w:szCs w:val="22"/>
              </w:rPr>
              <w:t> </w:t>
            </w:r>
          </w:p>
          <w:p w14:paraId="73F98025" w14:textId="03199F91" w:rsidR="00694F62" w:rsidRPr="00574CE1" w:rsidRDefault="00694F62" w:rsidP="00694F62">
            <w:pPr>
              <w:spacing w:line="276" w:lineRule="auto"/>
              <w:jc w:val="both"/>
              <w:rPr>
                <w:rFonts w:ascii="Verdana" w:eastAsia="Calibri" w:hAnsi="Verdana" w:cs="Arial"/>
                <w:lang w:val="es-ES"/>
              </w:rPr>
            </w:pPr>
            <w:r>
              <w:rPr>
                <w:rFonts w:ascii="Verdana" w:hAnsi="Verdana"/>
                <w:color w:val="3A3A3A"/>
                <w:lang w:val="es-ES"/>
              </w:rPr>
              <w:t>Tan pronto la nueva versión de la guía se encuentre publicada será notificada por los canales oficiales de la ANCP – CCE</w:t>
            </w:r>
          </w:p>
        </w:tc>
      </w:tr>
    </w:tbl>
    <w:p w14:paraId="72D2B74E" w14:textId="77777777" w:rsidR="00B76E5B" w:rsidRPr="00574CE1" w:rsidRDefault="00B76E5B" w:rsidP="00B76E5B">
      <w:pPr>
        <w:tabs>
          <w:tab w:val="left" w:pos="142"/>
          <w:tab w:val="left" w:pos="284"/>
        </w:tabs>
        <w:spacing w:after="0" w:line="276" w:lineRule="auto"/>
        <w:jc w:val="both"/>
        <w:rPr>
          <w:rFonts w:ascii="Verdana" w:eastAsia="Century Gothic" w:hAnsi="Verdana" w:cs="Century Gothic"/>
          <w:b/>
          <w:bCs/>
          <w:lang w:val="es-ES"/>
        </w:rPr>
      </w:pPr>
    </w:p>
    <w:p w14:paraId="18CF22C6" w14:textId="77777777" w:rsidR="00B76E5B" w:rsidRPr="00574CE1" w:rsidRDefault="00B76E5B" w:rsidP="00B76E5B">
      <w:pPr>
        <w:pStyle w:val="Prrafodelista"/>
        <w:numPr>
          <w:ilvl w:val="0"/>
          <w:numId w:val="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74CE1">
        <w:rPr>
          <w:rFonts w:ascii="Verdana" w:eastAsia="Century Gothic" w:hAnsi="Verdana" w:cs="Century Gothic"/>
          <w:b/>
          <w:bCs/>
        </w:rPr>
        <w:t>Razones de la respuesta:</w:t>
      </w:r>
    </w:p>
    <w:p w14:paraId="5D75CE16" w14:textId="77777777" w:rsidR="00B76E5B" w:rsidRPr="00574CE1" w:rsidRDefault="00B76E5B" w:rsidP="00B76E5B">
      <w:pPr>
        <w:spacing w:after="0" w:line="276" w:lineRule="auto"/>
        <w:jc w:val="both"/>
        <w:rPr>
          <w:rFonts w:ascii="Verdana" w:eastAsia="Calibri" w:hAnsi="Verdana" w:cs="Arial"/>
          <w:lang w:val="es-ES"/>
        </w:rPr>
      </w:pPr>
    </w:p>
    <w:p w14:paraId="0B6FF8C3" w14:textId="77777777" w:rsidR="00B76E5B" w:rsidRPr="00574CE1" w:rsidRDefault="00B76E5B" w:rsidP="00B76E5B">
      <w:pPr>
        <w:spacing w:after="0" w:line="276" w:lineRule="auto"/>
        <w:jc w:val="both"/>
        <w:rPr>
          <w:rFonts w:ascii="Verdana" w:eastAsia="Calibri" w:hAnsi="Verdana" w:cs="Arial"/>
          <w:lang w:val="es-ES"/>
        </w:rPr>
      </w:pPr>
      <w:r w:rsidRPr="00574CE1">
        <w:rPr>
          <w:rFonts w:ascii="Verdana" w:eastAsia="Calibri" w:hAnsi="Verdana" w:cs="Arial"/>
          <w:lang w:val="es-ES"/>
        </w:rPr>
        <w:t xml:space="preserve">Lo anterior se sustenta en las siguientes consideraciones: </w:t>
      </w:r>
    </w:p>
    <w:p w14:paraId="61A7115A" w14:textId="77777777" w:rsidR="00B76E5B" w:rsidRPr="00574CE1" w:rsidRDefault="00B76E5B" w:rsidP="00B76E5B">
      <w:pPr>
        <w:pStyle w:val="Prrafodelista"/>
        <w:numPr>
          <w:ilvl w:val="0"/>
          <w:numId w:val="9"/>
        </w:numPr>
        <w:spacing w:before="120" w:after="120" w:line="276" w:lineRule="auto"/>
        <w:jc w:val="both"/>
        <w:rPr>
          <w:rFonts w:ascii="Verdana" w:eastAsia="Calibri" w:hAnsi="Verdana" w:cs="Arial"/>
        </w:rPr>
      </w:pPr>
      <w:r w:rsidRPr="00574CE1">
        <w:rPr>
          <w:rFonts w:ascii="Verdana" w:eastAsia="Calibri" w:hAnsi="Verdana" w:cs="Arial"/>
        </w:rPr>
        <w:t xml:space="preserve">Las entidades públicas sometidas al Estatuto General de Contratación de la Administración Pública, que en virtud de su inclusión en el Anexo 1 de la Circular Externa No. 1 de 2019 expedida por la Agencia Nacional de Contratación Pública – Colombia Compra Eficiente, deban gestionar sus procesos de contratación a través de la plataforma SECOP II, de conformidad con el artículo 3 de la Ley 1150 de 2007, desarrollado por el artículo 2.2.1.1.1.7.1 del Decreto 1082 de 2015, así como según el literal g) del artículo 11 de la Ley 1712 de 2014 y los artículos 2.1.1.2.1.7, 2.1.1.2.1.8, 2.1.1.2.1.9 y 2.1.1.2.1.10 del Decreto 1081 de 2015, deben publicar en dicha plataforma, además del Plan Anual de Adquisiciones, todos los documentos, actos </w:t>
      </w:r>
      <w:r w:rsidRPr="00574CE1">
        <w:rPr>
          <w:rFonts w:ascii="Verdana" w:eastAsia="Calibri" w:hAnsi="Verdana" w:cs="Arial"/>
        </w:rPr>
        <w:lastRenderedPageBreak/>
        <w:t xml:space="preserve">administrativos o actuaciones producidos con ocasión del </w:t>
      </w:r>
      <w:r w:rsidRPr="00574CE1">
        <w:rPr>
          <w:rFonts w:ascii="Verdana" w:eastAsia="Calibri" w:hAnsi="Verdana" w:cs="Arial"/>
          <w:i/>
          <w:iCs/>
        </w:rPr>
        <w:t>Proceso de Contratación</w:t>
      </w:r>
      <w:r w:rsidRPr="00574CE1">
        <w:rPr>
          <w:rFonts w:ascii="Verdana" w:eastAsia="Calibri" w:hAnsi="Verdana" w:cs="Arial"/>
        </w:rPr>
        <w:t>. Dentro de tales documentos encontramos, entre otros, los siguientes:</w:t>
      </w:r>
      <w:r w:rsidRPr="00574CE1">
        <w:rPr>
          <w:rStyle w:val="Textoennegrita"/>
          <w:rFonts w:ascii="Verdana" w:hAnsi="Verdana" w:cs="Arial"/>
        </w:rPr>
        <w:t xml:space="preserve"> i) el estudio de oportunidad y conveniencia; </w:t>
      </w:r>
      <w:proofErr w:type="spellStart"/>
      <w:r w:rsidRPr="00574CE1">
        <w:rPr>
          <w:rStyle w:val="Textoennegrita"/>
          <w:rFonts w:ascii="Verdana" w:hAnsi="Verdana" w:cs="Arial"/>
        </w:rPr>
        <w:t>ii</w:t>
      </w:r>
      <w:proofErr w:type="spellEnd"/>
      <w:r w:rsidRPr="00574CE1">
        <w:rPr>
          <w:rStyle w:val="Textoennegrita"/>
          <w:rFonts w:ascii="Verdana" w:hAnsi="Verdana" w:cs="Arial"/>
        </w:rPr>
        <w:t xml:space="preserve">) </w:t>
      </w:r>
      <w:r w:rsidRPr="00574CE1">
        <w:rPr>
          <w:rFonts w:ascii="Verdana" w:hAnsi="Verdana" w:cs="Arial"/>
        </w:rPr>
        <w:t xml:space="preserve">los estudios y documentos previos –técnicos o no–; </w:t>
      </w:r>
      <w:proofErr w:type="spellStart"/>
      <w:r w:rsidRPr="00574CE1">
        <w:rPr>
          <w:rFonts w:ascii="Verdana" w:hAnsi="Verdana" w:cs="Arial"/>
        </w:rPr>
        <w:t>iii</w:t>
      </w:r>
      <w:proofErr w:type="spellEnd"/>
      <w:r w:rsidRPr="00574CE1">
        <w:rPr>
          <w:rFonts w:ascii="Verdana" w:hAnsi="Verdana" w:cs="Arial"/>
        </w:rPr>
        <w:t xml:space="preserve">) el  aviso de convocatoria; </w:t>
      </w:r>
      <w:proofErr w:type="spellStart"/>
      <w:r w:rsidRPr="00574CE1">
        <w:rPr>
          <w:rFonts w:ascii="Verdana" w:hAnsi="Verdana" w:cs="Arial"/>
        </w:rPr>
        <w:t>iv</w:t>
      </w:r>
      <w:proofErr w:type="spellEnd"/>
      <w:r w:rsidRPr="00574CE1">
        <w:rPr>
          <w:rFonts w:ascii="Verdana" w:hAnsi="Verdana" w:cs="Arial"/>
        </w:rPr>
        <w:t xml:space="preserve">) el proyecto de pliego de condiciones y las observaciones que le formulen; v) el pliego de condiciones o la invitación, así como las observaciones que se les realicen; vi) las actas de la audiencia de asignación de riesgos; </w:t>
      </w:r>
      <w:proofErr w:type="spellStart"/>
      <w:r w:rsidRPr="00574CE1">
        <w:rPr>
          <w:rFonts w:ascii="Verdana" w:hAnsi="Verdana" w:cs="Arial"/>
        </w:rPr>
        <w:t>vii</w:t>
      </w:r>
      <w:proofErr w:type="spellEnd"/>
      <w:r w:rsidRPr="00574CE1">
        <w:rPr>
          <w:rFonts w:ascii="Verdana" w:hAnsi="Verdana" w:cs="Arial"/>
        </w:rPr>
        <w:t xml:space="preserve">) el acta de cierre del plazo para presentar ofertas; </w:t>
      </w:r>
      <w:proofErr w:type="spellStart"/>
      <w:r w:rsidRPr="00574CE1">
        <w:rPr>
          <w:rFonts w:ascii="Verdana" w:hAnsi="Verdana" w:cs="Arial"/>
        </w:rPr>
        <w:t>viii</w:t>
      </w:r>
      <w:proofErr w:type="spellEnd"/>
      <w:r w:rsidRPr="00574CE1">
        <w:rPr>
          <w:rFonts w:ascii="Verdana" w:hAnsi="Verdana" w:cs="Arial"/>
        </w:rPr>
        <w:t xml:space="preserve">) las adendas; </w:t>
      </w:r>
      <w:proofErr w:type="spellStart"/>
      <w:r w:rsidRPr="00574CE1">
        <w:rPr>
          <w:rFonts w:ascii="Verdana" w:hAnsi="Verdana" w:cs="Arial"/>
        </w:rPr>
        <w:t>ix</w:t>
      </w:r>
      <w:proofErr w:type="spellEnd"/>
      <w:r w:rsidRPr="00574CE1">
        <w:rPr>
          <w:rFonts w:ascii="Verdana" w:hAnsi="Verdana" w:cs="Arial"/>
        </w:rPr>
        <w:t xml:space="preserve">) las ofertas del adjudicatario y los proponentes habilitados, así como las aclaraciones que se les realicen; x) el informe de precalificación y las observaciones que se formulen; xi) el informe de evaluación y las observaciones que se formulen; </w:t>
      </w:r>
      <w:proofErr w:type="spellStart"/>
      <w:r w:rsidRPr="00574CE1">
        <w:rPr>
          <w:rFonts w:ascii="Verdana" w:hAnsi="Verdana" w:cs="Arial"/>
        </w:rPr>
        <w:t>xii</w:t>
      </w:r>
      <w:proofErr w:type="spellEnd"/>
      <w:r w:rsidRPr="00574CE1">
        <w:rPr>
          <w:rFonts w:ascii="Verdana" w:hAnsi="Verdana" w:cs="Arial"/>
        </w:rPr>
        <w:t xml:space="preserve">) las respuestas a las observaciones; </w:t>
      </w:r>
      <w:proofErr w:type="spellStart"/>
      <w:r w:rsidRPr="00574CE1">
        <w:rPr>
          <w:rFonts w:ascii="Verdana" w:hAnsi="Verdana" w:cs="Arial"/>
        </w:rPr>
        <w:t>xiii</w:t>
      </w:r>
      <w:proofErr w:type="spellEnd"/>
      <w:r w:rsidRPr="00574CE1">
        <w:rPr>
          <w:rFonts w:ascii="Verdana" w:hAnsi="Verdana" w:cs="Arial"/>
        </w:rPr>
        <w:t xml:space="preserve">) el contrato y los otrosíes o modificaciones; </w:t>
      </w:r>
      <w:proofErr w:type="spellStart"/>
      <w:r w:rsidRPr="00574CE1">
        <w:rPr>
          <w:rFonts w:ascii="Verdana" w:hAnsi="Verdana" w:cs="Arial"/>
        </w:rPr>
        <w:t>xiv</w:t>
      </w:r>
      <w:proofErr w:type="spellEnd"/>
      <w:r w:rsidRPr="00574CE1">
        <w:rPr>
          <w:rFonts w:ascii="Verdana" w:hAnsi="Verdana" w:cs="Arial"/>
        </w:rPr>
        <w:t xml:space="preserve">) el acta de inicio; </w:t>
      </w:r>
      <w:proofErr w:type="spellStart"/>
      <w:r w:rsidRPr="00574CE1">
        <w:rPr>
          <w:rFonts w:ascii="Verdana" w:hAnsi="Verdana" w:cs="Arial"/>
        </w:rPr>
        <w:t>xv</w:t>
      </w:r>
      <w:proofErr w:type="spellEnd"/>
      <w:r w:rsidRPr="00574CE1">
        <w:rPr>
          <w:rFonts w:ascii="Verdana" w:hAnsi="Verdana" w:cs="Arial"/>
        </w:rPr>
        <w:t xml:space="preserve">) las garantías; </w:t>
      </w:r>
      <w:proofErr w:type="spellStart"/>
      <w:r w:rsidRPr="00574CE1">
        <w:rPr>
          <w:rFonts w:ascii="Verdana" w:hAnsi="Verdana" w:cs="Arial"/>
        </w:rPr>
        <w:t>xvi</w:t>
      </w:r>
      <w:proofErr w:type="spellEnd"/>
      <w:r w:rsidRPr="00574CE1">
        <w:rPr>
          <w:rFonts w:ascii="Verdana" w:hAnsi="Verdana" w:cs="Arial"/>
        </w:rPr>
        <w:t xml:space="preserve">) el acta de liquidación; </w:t>
      </w:r>
      <w:proofErr w:type="spellStart"/>
      <w:r w:rsidRPr="00574CE1">
        <w:rPr>
          <w:rFonts w:ascii="Verdana" w:hAnsi="Verdana" w:cs="Arial"/>
        </w:rPr>
        <w:t>xvii</w:t>
      </w:r>
      <w:proofErr w:type="spellEnd"/>
      <w:r w:rsidRPr="00574CE1">
        <w:rPr>
          <w:rFonts w:ascii="Verdana" w:hAnsi="Verdana" w:cs="Arial"/>
        </w:rPr>
        <w:t xml:space="preserve">) los actos administrativos expedidos con ocasión del procedimiento de selección o la ejecución del contrato, como las resoluciones de apertura, de adjudicación, las que se impongan multas, la cláusula penal o declaren la caducidad del contrato; </w:t>
      </w:r>
      <w:proofErr w:type="spellStart"/>
      <w:r w:rsidRPr="00574CE1">
        <w:rPr>
          <w:rFonts w:ascii="Verdana" w:hAnsi="Verdana" w:cs="Arial"/>
        </w:rPr>
        <w:t>xviii</w:t>
      </w:r>
      <w:proofErr w:type="spellEnd"/>
      <w:r w:rsidRPr="00574CE1">
        <w:rPr>
          <w:rFonts w:ascii="Verdana" w:hAnsi="Verdana" w:cs="Arial"/>
        </w:rPr>
        <w:t xml:space="preserve">) los documentos de los procesos por incumplimiento contractual que se lleven a cabo conforme al artículo 86 de la Ley 1474 de 2011, como la citación, las pruebas que se practiquen, la resolución que resuelve la actuación y demás documentos que se produzcan; </w:t>
      </w:r>
      <w:proofErr w:type="spellStart"/>
      <w:r w:rsidRPr="00574CE1">
        <w:rPr>
          <w:rFonts w:ascii="Verdana" w:hAnsi="Verdana" w:cs="Arial"/>
        </w:rPr>
        <w:t>ix</w:t>
      </w:r>
      <w:proofErr w:type="spellEnd"/>
      <w:r w:rsidRPr="00574CE1">
        <w:rPr>
          <w:rFonts w:ascii="Verdana" w:hAnsi="Verdana" w:cs="Arial"/>
        </w:rPr>
        <w:t xml:space="preserve">) las reclamaciones que presenten las partes y las respuestas que se expidan a las mismas; </w:t>
      </w:r>
      <w:proofErr w:type="spellStart"/>
      <w:r w:rsidRPr="00574CE1">
        <w:rPr>
          <w:rFonts w:ascii="Verdana" w:hAnsi="Verdana" w:cs="Arial"/>
        </w:rPr>
        <w:t>xx</w:t>
      </w:r>
      <w:proofErr w:type="spellEnd"/>
      <w:r w:rsidRPr="00574CE1">
        <w:rPr>
          <w:rFonts w:ascii="Verdana" w:hAnsi="Verdana" w:cs="Arial"/>
        </w:rPr>
        <w:t xml:space="preserve">) las actas de entrega o recibo, </w:t>
      </w:r>
      <w:proofErr w:type="spellStart"/>
      <w:r w:rsidRPr="00574CE1">
        <w:rPr>
          <w:rFonts w:ascii="Verdana" w:hAnsi="Verdana" w:cs="Arial"/>
        </w:rPr>
        <w:t>xxi</w:t>
      </w:r>
      <w:proofErr w:type="spellEnd"/>
      <w:r w:rsidRPr="00574CE1">
        <w:rPr>
          <w:rFonts w:ascii="Verdana" w:hAnsi="Verdana" w:cs="Arial"/>
        </w:rPr>
        <w:t xml:space="preserve">) los informes de supervisión y/o interventoría; </w:t>
      </w:r>
      <w:proofErr w:type="spellStart"/>
      <w:r w:rsidRPr="00574CE1">
        <w:rPr>
          <w:rFonts w:ascii="Verdana" w:hAnsi="Verdana" w:cs="Arial"/>
        </w:rPr>
        <w:t>xxii</w:t>
      </w:r>
      <w:proofErr w:type="spellEnd"/>
      <w:r w:rsidRPr="00574CE1">
        <w:rPr>
          <w:rFonts w:ascii="Verdana" w:hAnsi="Verdana" w:cs="Arial"/>
        </w:rPr>
        <w:t xml:space="preserve">) en cuanto a la ejecución, de conformidad con el artículo 2.1.1.2.1.8 de Decreto 1081 de 2015, deberán publicarse las aprobaciones, autorizaciones, requerimientos o informes del supervisor o del interventor, que prueben la ejecución del contrato; </w:t>
      </w:r>
      <w:proofErr w:type="spellStart"/>
      <w:r w:rsidRPr="00574CE1">
        <w:rPr>
          <w:rFonts w:ascii="Verdana" w:hAnsi="Verdana" w:cs="Arial"/>
        </w:rPr>
        <w:t>xxiii</w:t>
      </w:r>
      <w:proofErr w:type="spellEnd"/>
      <w:r w:rsidRPr="00574CE1">
        <w:rPr>
          <w:rFonts w:ascii="Verdana" w:hAnsi="Verdana" w:cs="Arial"/>
        </w:rPr>
        <w:t xml:space="preserve">) la liquidación unilateral y </w:t>
      </w:r>
      <w:proofErr w:type="spellStart"/>
      <w:r w:rsidRPr="00574CE1">
        <w:rPr>
          <w:rFonts w:ascii="Verdana" w:hAnsi="Verdana" w:cs="Arial"/>
        </w:rPr>
        <w:t>xxiv</w:t>
      </w:r>
      <w:proofErr w:type="spellEnd"/>
      <w:r w:rsidRPr="00574CE1">
        <w:rPr>
          <w:rFonts w:ascii="Verdana" w:hAnsi="Verdana" w:cs="Arial"/>
        </w:rPr>
        <w:t xml:space="preserve">) en general cualquier otro documento producido o expedido con ocasión del </w:t>
      </w:r>
      <w:r w:rsidRPr="00574CE1">
        <w:rPr>
          <w:rFonts w:ascii="Verdana" w:hAnsi="Verdana" w:cs="Arial"/>
          <w:i/>
          <w:iCs/>
        </w:rPr>
        <w:t>Proceso de Contratación</w:t>
      </w:r>
      <w:r w:rsidRPr="00574CE1">
        <w:rPr>
          <w:rFonts w:ascii="Verdana" w:hAnsi="Verdana" w:cs="Arial"/>
        </w:rPr>
        <w:t>, sin importar quién sea su autor –la Administración o el contratista–, con excepción de los que pertenecen a</w:t>
      </w:r>
      <w:r w:rsidRPr="00574CE1">
        <w:rPr>
          <w:rFonts w:ascii="Verdana" w:eastAsia="Arial" w:hAnsi="Verdana" w:cs="Arial"/>
        </w:rPr>
        <w:t xml:space="preserve">l marco de operaciones de bolsa de productos, expresamente excluidos de publicación por el artículo 2.2.1.1.1.7.1. del Decreto 1082 de 2015. </w:t>
      </w:r>
    </w:p>
    <w:p w14:paraId="61519298" w14:textId="77777777" w:rsidR="00B76E5B" w:rsidRPr="00574CE1" w:rsidRDefault="00B76E5B" w:rsidP="00B76E5B">
      <w:pPr>
        <w:spacing w:before="120" w:after="120" w:line="276" w:lineRule="auto"/>
        <w:ind w:firstLine="708"/>
        <w:jc w:val="both"/>
        <w:rPr>
          <w:rFonts w:ascii="Verdana" w:eastAsia="Calibri" w:hAnsi="Verdana" w:cs="Arial"/>
          <w:lang w:val="es-ES"/>
        </w:rPr>
      </w:pPr>
      <w:r w:rsidRPr="00574CE1">
        <w:rPr>
          <w:rFonts w:ascii="Verdana" w:eastAsia="Calibri" w:hAnsi="Verdana" w:cs="Arial"/>
          <w:lang w:val="es-ES"/>
        </w:rPr>
        <w:t xml:space="preserve">Conforme a la naturaleza transaccional de SECOP II, estos documentos se publican en tiempo real en la plataforma, en la medida en que de ello depende el avance del </w:t>
      </w:r>
      <w:r w:rsidRPr="00574CE1">
        <w:rPr>
          <w:rFonts w:ascii="Verdana" w:eastAsia="Calibri" w:hAnsi="Verdana" w:cs="Arial"/>
          <w:i/>
          <w:iCs/>
          <w:lang w:val="es-ES"/>
        </w:rPr>
        <w:t>Proceso de Contratación</w:t>
      </w:r>
      <w:r w:rsidRPr="00574CE1">
        <w:rPr>
          <w:rFonts w:ascii="Verdana" w:eastAsia="Calibri" w:hAnsi="Verdana" w:cs="Arial"/>
          <w:lang w:val="es-ES"/>
        </w:rPr>
        <w:t xml:space="preserve">, por lo que en estos casos no aplica el término de tres (3) días previsto en el artículo 2.2.1.1.1.7.1 del Decreto 1082 de 2015, con excepción de las actuaciones que por su naturaleza deben ser producidas en medio físico y luego cargadas a la plataforma. </w:t>
      </w:r>
    </w:p>
    <w:p w14:paraId="1171B673" w14:textId="77777777" w:rsidR="00B76E5B" w:rsidRPr="00574CE1" w:rsidRDefault="00B76E5B" w:rsidP="00B76E5B">
      <w:pPr>
        <w:pStyle w:val="Prrafodelista"/>
        <w:spacing w:line="276" w:lineRule="auto"/>
        <w:jc w:val="both"/>
        <w:rPr>
          <w:rFonts w:ascii="Verdana" w:eastAsia="Calibri" w:hAnsi="Verdana" w:cs="Arial"/>
        </w:rPr>
      </w:pPr>
      <w:r w:rsidRPr="00574CE1">
        <w:rPr>
          <w:rFonts w:ascii="Verdana" w:eastAsia="Calibri" w:hAnsi="Verdana" w:cs="Arial"/>
        </w:rPr>
        <w:lastRenderedPageBreak/>
        <w:t>Las entidades estatales regidas por el Estatuto General de Contratación de la Administración Pública, a las que no corresponda gestionar sus procesos a través de SECOP II, deben publicar en SECOP I los anteriores documentos, y disponen de los tres (3) días hábiles siguientes a la expedición para hacerlo, conforme lo dispone el artículo 2.2.1.1.1.7.1 del Decreto 1082 de 2015</w:t>
      </w:r>
      <w:r w:rsidRPr="00574CE1">
        <w:rPr>
          <w:rFonts w:ascii="Verdana" w:eastAsia="Calibri" w:hAnsi="Verdana" w:cs="Arial"/>
          <w:i/>
          <w:iCs/>
        </w:rPr>
        <w:t xml:space="preserve">. </w:t>
      </w:r>
      <w:r w:rsidRPr="00574CE1">
        <w:rPr>
          <w:rFonts w:ascii="Verdana" w:eastAsia="Calibri" w:hAnsi="Verdana" w:cs="Arial"/>
        </w:rPr>
        <w:t>En los procesos adelantados SECOP I, las ofertas diferentes de la del adjudicatario están exceptuadas del deber de publicidad.</w:t>
      </w:r>
    </w:p>
    <w:p w14:paraId="52711C76" w14:textId="77777777" w:rsidR="00B76E5B" w:rsidRPr="00574CE1" w:rsidRDefault="00B76E5B" w:rsidP="00B76E5B">
      <w:pPr>
        <w:pStyle w:val="Prrafodelista"/>
        <w:widowControl w:val="0"/>
        <w:numPr>
          <w:ilvl w:val="0"/>
          <w:numId w:val="10"/>
        </w:numPr>
        <w:tabs>
          <w:tab w:val="left" w:pos="728"/>
        </w:tabs>
        <w:autoSpaceDE w:val="0"/>
        <w:autoSpaceDN w:val="0"/>
        <w:spacing w:line="276" w:lineRule="auto"/>
        <w:jc w:val="both"/>
        <w:rPr>
          <w:rFonts w:ascii="Verdana" w:eastAsia="Arial" w:hAnsi="Verdana" w:cs="Arial"/>
          <w:b/>
        </w:rPr>
      </w:pPr>
      <w:r w:rsidRPr="00574CE1">
        <w:rPr>
          <w:rFonts w:ascii="Verdana" w:eastAsia="Arial" w:hAnsi="Verdana" w:cs="Arial"/>
        </w:rPr>
        <w:t xml:space="preserve">Para la Corte Constitucional el principio de publicidad es la garantía de las personas de conocer las actuaciones judiciales y administrativas y con base en ese conocimiento tener la posibilidad de exigir que se realicen conforme a la ley: </w:t>
      </w:r>
    </w:p>
    <w:p w14:paraId="585DCE08" w14:textId="77777777" w:rsidR="00B76E5B" w:rsidRPr="00574CE1" w:rsidRDefault="00B76E5B" w:rsidP="00B76E5B">
      <w:pPr>
        <w:widowControl w:val="0"/>
        <w:tabs>
          <w:tab w:val="left" w:pos="728"/>
        </w:tabs>
        <w:autoSpaceDE w:val="0"/>
        <w:autoSpaceDN w:val="0"/>
        <w:spacing w:line="276" w:lineRule="auto"/>
        <w:ind w:left="363"/>
        <w:jc w:val="both"/>
        <w:rPr>
          <w:rFonts w:ascii="Verdana" w:eastAsia="Arial" w:hAnsi="Verdana" w:cs="Arial"/>
          <w:lang w:val="es-ES"/>
        </w:rPr>
      </w:pPr>
    </w:p>
    <w:p w14:paraId="21B5E9B7" w14:textId="77777777" w:rsidR="00B76E5B" w:rsidRPr="00574CE1" w:rsidRDefault="00B76E5B" w:rsidP="00B76E5B">
      <w:pPr>
        <w:widowControl w:val="0"/>
        <w:tabs>
          <w:tab w:val="left" w:pos="728"/>
        </w:tabs>
        <w:autoSpaceDE w:val="0"/>
        <w:autoSpaceDN w:val="0"/>
        <w:ind w:left="363" w:right="709"/>
        <w:jc w:val="both"/>
        <w:rPr>
          <w:rFonts w:ascii="Verdana" w:eastAsia="Arial" w:hAnsi="Verdana" w:cs="Arial"/>
          <w:lang w:val="es-ES"/>
        </w:rPr>
      </w:pPr>
      <w:r w:rsidRPr="00574CE1">
        <w:rPr>
          <w:rFonts w:ascii="Verdana" w:eastAsia="Arial" w:hAnsi="Verdana" w:cs="Arial"/>
          <w:lang w:val="es-ES"/>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5AD3DF08" w14:textId="77777777" w:rsidR="00B76E5B" w:rsidRPr="00574CE1" w:rsidRDefault="00B76E5B" w:rsidP="00B76E5B">
      <w:pPr>
        <w:widowControl w:val="0"/>
        <w:tabs>
          <w:tab w:val="left" w:pos="728"/>
        </w:tabs>
        <w:autoSpaceDE w:val="0"/>
        <w:autoSpaceDN w:val="0"/>
        <w:ind w:left="363" w:right="709"/>
        <w:jc w:val="both"/>
        <w:rPr>
          <w:rFonts w:ascii="Verdana" w:eastAsia="Arial" w:hAnsi="Verdana" w:cs="Arial"/>
          <w:lang w:val="es-ES"/>
        </w:rPr>
      </w:pPr>
      <w:r w:rsidRPr="00574CE1">
        <w:rPr>
          <w:rFonts w:ascii="Verdana" w:eastAsia="Arial" w:hAnsi="Verdana" w:cs="Arial"/>
          <w:lang w:val="es-ES"/>
        </w:rPr>
        <w:t xml:space="preserve">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w:t>
      </w:r>
      <w:proofErr w:type="gramStart"/>
      <w:r w:rsidRPr="00574CE1">
        <w:rPr>
          <w:rFonts w:ascii="Verdana" w:eastAsia="Arial" w:hAnsi="Verdana" w:cs="Arial"/>
          <w:lang w:val="es-ES"/>
        </w:rPr>
        <w:t>autoridades públicas</w:t>
      </w:r>
      <w:proofErr w:type="gramEnd"/>
      <w:r w:rsidRPr="00574CE1">
        <w:rPr>
          <w:rFonts w:ascii="Verdana" w:eastAsia="Arial" w:hAnsi="Verdana" w:cs="Arial"/>
          <w:lang w:val="es-ES"/>
        </w:rPr>
        <w:t xml:space="preserve"> y, a través de ese conocimiento, a exigir que ellas se surtan conforme a la ley</w:t>
      </w:r>
      <w:r w:rsidRPr="00574CE1">
        <w:rPr>
          <w:rFonts w:ascii="Verdana" w:eastAsia="Arial" w:hAnsi="Verdana" w:cs="Arial"/>
          <w:vertAlign w:val="superscript"/>
          <w:lang w:val="es-ES"/>
        </w:rPr>
        <w:footnoteReference w:id="2"/>
      </w:r>
      <w:r w:rsidRPr="00574CE1">
        <w:rPr>
          <w:rFonts w:ascii="Verdana" w:eastAsia="Arial" w:hAnsi="Verdana" w:cs="Arial"/>
          <w:lang w:val="es-ES"/>
        </w:rPr>
        <w:t>.</w:t>
      </w:r>
    </w:p>
    <w:p w14:paraId="0D200FAC" w14:textId="77777777" w:rsidR="00B76E5B" w:rsidRPr="00574CE1" w:rsidRDefault="00B76E5B" w:rsidP="00B76E5B">
      <w:pPr>
        <w:widowControl w:val="0"/>
        <w:tabs>
          <w:tab w:val="left" w:pos="728"/>
        </w:tabs>
        <w:autoSpaceDE w:val="0"/>
        <w:autoSpaceDN w:val="0"/>
        <w:spacing w:after="120" w:line="276" w:lineRule="auto"/>
        <w:jc w:val="both"/>
        <w:rPr>
          <w:rFonts w:ascii="Verdana" w:eastAsia="Arial" w:hAnsi="Verdana" w:cs="Arial"/>
          <w:lang w:val="es-ES"/>
        </w:rPr>
      </w:pPr>
      <w:r w:rsidRPr="00574CE1">
        <w:rPr>
          <w:rFonts w:ascii="Verdana" w:eastAsia="Arial" w:hAnsi="Verdana" w:cs="Arial"/>
          <w:lang w:val="es-ES"/>
        </w:rPr>
        <w:tab/>
        <w:t>El principio de publicidad 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574CE1">
        <w:rPr>
          <w:rFonts w:ascii="Verdana" w:eastAsia="Arial" w:hAnsi="Verdana" w:cs="Arial"/>
          <w:vertAlign w:val="superscript"/>
          <w:lang w:val="es-ES"/>
        </w:rPr>
        <w:footnoteReference w:id="3"/>
      </w:r>
      <w:r w:rsidRPr="00574CE1">
        <w:rPr>
          <w:rFonts w:ascii="Verdana" w:eastAsia="Arial" w:hAnsi="Verdana" w:cs="Arial"/>
          <w:lang w:val="es-ES"/>
        </w:rPr>
        <w:t xml:space="preserve">. </w:t>
      </w:r>
    </w:p>
    <w:p w14:paraId="22060431" w14:textId="77777777" w:rsidR="00B76E5B" w:rsidRPr="00574CE1" w:rsidRDefault="00B76E5B" w:rsidP="00B76E5B">
      <w:pPr>
        <w:pStyle w:val="Prrafodelista"/>
        <w:spacing w:line="276" w:lineRule="auto"/>
        <w:jc w:val="both"/>
        <w:rPr>
          <w:rFonts w:ascii="Verdana" w:eastAsia="Arial" w:hAnsi="Verdana" w:cs="Arial"/>
        </w:rPr>
      </w:pPr>
      <w:r w:rsidRPr="00574CE1">
        <w:rPr>
          <w:rFonts w:ascii="Verdana" w:eastAsia="Arial" w:hAnsi="Verdana" w:cs="Arial"/>
        </w:rPr>
        <w:lastRenderedPageBreak/>
        <w:tab/>
        <w:t>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574CE1">
        <w:rPr>
          <w:rFonts w:ascii="Verdana" w:eastAsia="Arial" w:hAnsi="Verdana" w:cs="Arial"/>
          <w:vertAlign w:val="superscript"/>
        </w:rPr>
        <w:footnoteReference w:id="4"/>
      </w:r>
      <w:r w:rsidRPr="00574CE1">
        <w:rPr>
          <w:rFonts w:ascii="Verdana" w:eastAsia="Arial" w:hAnsi="Verdana" w:cs="Arial"/>
        </w:rPr>
        <w:t>. El principio de transparencia en la información alude al deber de los sujetos de proporcionar y facilitar el acceso a la misma en los términos más amplios posibles, y a través de los medios y procedimientos que establezca la ley</w:t>
      </w:r>
    </w:p>
    <w:p w14:paraId="5BDB82F2" w14:textId="77777777" w:rsidR="00B76E5B" w:rsidRPr="00574CE1" w:rsidRDefault="00B76E5B" w:rsidP="00B76E5B">
      <w:pPr>
        <w:pStyle w:val="Prrafodelista"/>
        <w:spacing w:line="276" w:lineRule="auto"/>
        <w:jc w:val="both"/>
        <w:rPr>
          <w:rFonts w:ascii="Verdana" w:eastAsia="Calibri" w:hAnsi="Verdana" w:cs="Arial"/>
        </w:rPr>
      </w:pPr>
    </w:p>
    <w:p w14:paraId="0F3B7222" w14:textId="77777777" w:rsidR="00B76E5B" w:rsidRPr="00574CE1" w:rsidRDefault="00B76E5B" w:rsidP="00B76E5B">
      <w:pPr>
        <w:pStyle w:val="Prrafodelista"/>
        <w:numPr>
          <w:ilvl w:val="0"/>
          <w:numId w:val="7"/>
        </w:numPr>
        <w:jc w:val="both"/>
        <w:rPr>
          <w:rFonts w:ascii="Verdana" w:hAnsi="Verdana" w:cs="Arial"/>
        </w:rPr>
      </w:pPr>
      <w:r w:rsidRPr="00574CE1">
        <w:rPr>
          <w:rFonts w:ascii="Verdana" w:hAnsi="Verdana" w:cs="Arial"/>
        </w:rPr>
        <w:t xml:space="preserve">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w:t>
      </w:r>
      <w:r w:rsidRPr="00574CE1">
        <w:rPr>
          <w:rStyle w:val="Refdenotaalpie"/>
          <w:rFonts w:ascii="Verdana" w:hAnsi="Verdana" w:cs="Arial"/>
        </w:rPr>
        <w:footnoteReference w:id="5"/>
      </w:r>
      <w:r w:rsidRPr="00574CE1">
        <w:rPr>
          <w:rFonts w:ascii="Verdana" w:hAnsi="Verdana" w:cs="Arial"/>
        </w:rPr>
        <w:t xml:space="preserve"> . El principio de transparencia en la información alude al deber de los sujetos de proporcionar y facilitar el acceso a la misma en los términos más amplios posibles, y a través de los medios y procedimientos legales. En el artículo 5 de dicha ley, se incluye dentro de la lista de sujetos obligados a todas las entidades públicas y, además, en el literal c) a las personas naturales y jurídicas, públicas o privadas, que presten </w:t>
      </w:r>
      <w:proofErr w:type="gramStart"/>
      <w:r w:rsidRPr="00574CE1">
        <w:rPr>
          <w:rFonts w:ascii="Verdana" w:hAnsi="Verdana" w:cs="Arial"/>
        </w:rPr>
        <w:t>función pública y servicios públicos</w:t>
      </w:r>
      <w:proofErr w:type="gramEnd"/>
      <w:r w:rsidRPr="00574CE1">
        <w:rPr>
          <w:rFonts w:ascii="Verdana" w:hAnsi="Verdana" w:cs="Arial"/>
        </w:rPr>
        <w:t xml:space="preserve"> respecto de la información directamente relacionada con la prestación del servicio público, adicionalmente, en el literal </w:t>
      </w:r>
      <w:r w:rsidRPr="00574CE1">
        <w:rPr>
          <w:rFonts w:ascii="Verdana" w:hAnsi="Verdana" w:cs="Arial"/>
        </w:rPr>
        <w:lastRenderedPageBreak/>
        <w:t>g) incluyó a las entidades que administren recursos de naturaleza u origen público</w:t>
      </w:r>
      <w:r w:rsidRPr="00574CE1">
        <w:rPr>
          <w:rStyle w:val="Refdenotaalpie"/>
          <w:rFonts w:ascii="Verdana" w:hAnsi="Verdana" w:cs="Arial"/>
        </w:rPr>
        <w:footnoteReference w:id="6"/>
      </w:r>
      <w:r w:rsidRPr="00574CE1">
        <w:rPr>
          <w:rFonts w:ascii="Verdana" w:hAnsi="Verdana" w:cs="Arial"/>
        </w:rPr>
        <w:t xml:space="preserve"> .</w:t>
      </w:r>
    </w:p>
    <w:p w14:paraId="76962B42" w14:textId="77777777" w:rsidR="00B76E5B" w:rsidRPr="00574CE1" w:rsidRDefault="00B76E5B" w:rsidP="00B76E5B">
      <w:pPr>
        <w:jc w:val="both"/>
        <w:rPr>
          <w:rFonts w:ascii="Verdana" w:hAnsi="Verdana" w:cs="Arial"/>
        </w:rPr>
      </w:pPr>
    </w:p>
    <w:p w14:paraId="7A0689EB" w14:textId="77777777" w:rsidR="00B76E5B" w:rsidRPr="00574CE1" w:rsidRDefault="00B76E5B" w:rsidP="00B76E5B">
      <w:pPr>
        <w:pStyle w:val="Prrafodelista"/>
        <w:jc w:val="both"/>
        <w:rPr>
          <w:rFonts w:ascii="Verdana" w:hAnsi="Verdana" w:cs="Arial"/>
        </w:rPr>
      </w:pPr>
      <w:r w:rsidRPr="00574CE1">
        <w:rPr>
          <w:rFonts w:ascii="Verdana" w:hAnsi="Verdana" w:cs="Arial"/>
        </w:rPr>
        <w:t xml:space="preserve">Uno de los deberes definidos en la Ley 1712 de 2014, que deben acatar los sujetos obligados, es publicar la información contractual en el SECOP. En efecto, el literal e) del artículo 9 señala que los sujetos obligados deben publicar la información relativo a su contratación. Así 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información esta, que también debe estar en el SECOP, adicionalmente el Decreto 1082 de 2015 reglamentó la materia estableciendo que la información contractual de los sujetos obligados que “contratan con cargo a recursos públicos”, debe hacerse en el Sistema Electrónico para la Contratación Pública  </w:t>
      </w:r>
      <w:r>
        <w:rPr>
          <w:rFonts w:ascii="Verdana" w:hAnsi="Verdana" w:cs="Arial"/>
        </w:rPr>
        <w:t>-</w:t>
      </w:r>
      <w:r w:rsidRPr="00574CE1">
        <w:rPr>
          <w:rFonts w:ascii="Verdana" w:hAnsi="Verdana" w:cs="Arial"/>
        </w:rPr>
        <w:t>SECOP</w:t>
      </w:r>
      <w:r>
        <w:rPr>
          <w:rFonts w:ascii="Verdana" w:hAnsi="Verdana" w:cs="Arial"/>
        </w:rPr>
        <w:t>-</w:t>
      </w:r>
      <w:r w:rsidRPr="00574CE1">
        <w:rPr>
          <w:rFonts w:ascii="Verdana" w:hAnsi="Verdana" w:cs="Arial"/>
        </w:rPr>
        <w:t>.</w:t>
      </w:r>
    </w:p>
    <w:p w14:paraId="67E601D1" w14:textId="77777777" w:rsidR="00B76E5B" w:rsidRPr="00574CE1" w:rsidRDefault="00B76E5B" w:rsidP="00B76E5B">
      <w:pPr>
        <w:spacing w:after="0" w:line="276" w:lineRule="auto"/>
        <w:ind w:left="360"/>
        <w:jc w:val="both"/>
        <w:rPr>
          <w:rFonts w:ascii="Verdana" w:eastAsia="Calibri" w:hAnsi="Verdana" w:cs="Arial"/>
        </w:rPr>
      </w:pPr>
    </w:p>
    <w:p w14:paraId="7DE09C18" w14:textId="77777777" w:rsidR="00B76E5B" w:rsidRPr="00574CE1" w:rsidRDefault="00B76E5B" w:rsidP="00B76E5B">
      <w:pPr>
        <w:pStyle w:val="Prrafodelista"/>
        <w:spacing w:line="276" w:lineRule="auto"/>
        <w:rPr>
          <w:rFonts w:ascii="Verdana" w:eastAsia="Calibri" w:hAnsi="Verdana"/>
        </w:rPr>
      </w:pPr>
    </w:p>
    <w:p w14:paraId="2CD13783" w14:textId="77777777" w:rsidR="00B76E5B" w:rsidRPr="00574CE1" w:rsidRDefault="00B76E5B" w:rsidP="00B76E5B">
      <w:pPr>
        <w:pStyle w:val="Prrafodelista"/>
        <w:numPr>
          <w:ilvl w:val="0"/>
          <w:numId w:val="7"/>
        </w:numPr>
        <w:spacing w:after="0" w:line="276" w:lineRule="auto"/>
        <w:jc w:val="both"/>
        <w:rPr>
          <w:rFonts w:ascii="Verdana" w:eastAsia="Calibri" w:hAnsi="Verdana" w:cs="Arial"/>
        </w:rPr>
      </w:pPr>
      <w:r w:rsidRPr="00574CE1">
        <w:rPr>
          <w:rFonts w:ascii="Verdana" w:eastAsia="Calibri" w:hAnsi="Verdana"/>
        </w:rPr>
        <w:t xml:space="preserve">En este orden de ideas, la Agencia ha expedido tres Documentos Tipo complementarios de infraestructura social. La Resolución 220 del 6 de agosto </w:t>
      </w:r>
      <w:r w:rsidRPr="00574CE1">
        <w:rPr>
          <w:rFonts w:ascii="Verdana" w:eastAsia="Calibri" w:hAnsi="Verdana"/>
        </w:rPr>
        <w:lastRenderedPageBreak/>
        <w:t xml:space="preserve">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w:t>
      </w:r>
      <w:bookmarkStart w:id="1" w:name="_Hlk109652495"/>
      <w:r w:rsidRPr="00574CE1">
        <w:rPr>
          <w:rFonts w:ascii="Verdana" w:eastAsia="Calibri" w:hAnsi="Verdana"/>
        </w:rPr>
        <w:t>cultura, recreación y deporte</w:t>
      </w:r>
      <w:bookmarkEnd w:id="1"/>
      <w:r w:rsidRPr="00574CE1">
        <w:rPr>
          <w:rFonts w:ascii="Verdana" w:eastAsia="Calibri" w:hAnsi="Verdana"/>
        </w:rPr>
        <w:t>».</w:t>
      </w:r>
      <w:r w:rsidRPr="00574CE1">
        <w:rPr>
          <w:rFonts w:ascii="Verdana" w:hAnsi="Verdana"/>
          <w:bCs/>
          <w:lang w:eastAsia="es-ES_tradnl"/>
        </w:rPr>
        <w:t xml:space="preserve"> El ámbito de aplicación de los Documentos Tipo de infraestructura social está determinado por las resoluciones mediante las cuales se implementan los documentos complementarios y que desarrollan las matrices de experiencia y los glosarios que definirán concretamente cada sector y que precisan de forma detallada su ámbito de aplicación. </w:t>
      </w:r>
    </w:p>
    <w:p w14:paraId="714B5A8E" w14:textId="77777777" w:rsidR="00B76E5B" w:rsidRPr="00574CE1" w:rsidRDefault="00B76E5B" w:rsidP="00B76E5B">
      <w:pPr>
        <w:pStyle w:val="Prrafodelista"/>
        <w:spacing w:line="276" w:lineRule="auto"/>
        <w:jc w:val="both"/>
        <w:rPr>
          <w:rFonts w:ascii="Verdana" w:eastAsia="Calibri" w:hAnsi="Verdana" w:cs="Arial"/>
        </w:rPr>
      </w:pPr>
    </w:p>
    <w:p w14:paraId="72DDDBBD" w14:textId="77777777" w:rsidR="00B76E5B" w:rsidRPr="00574CE1" w:rsidRDefault="00B76E5B" w:rsidP="00B76E5B">
      <w:pPr>
        <w:pStyle w:val="Prrafodelista"/>
        <w:numPr>
          <w:ilvl w:val="0"/>
          <w:numId w:val="7"/>
        </w:numPr>
        <w:spacing w:after="0" w:line="276" w:lineRule="auto"/>
        <w:jc w:val="both"/>
        <w:rPr>
          <w:rFonts w:ascii="Verdana" w:eastAsia="Calibri" w:hAnsi="Verdana" w:cs="Arial"/>
        </w:rPr>
      </w:pPr>
      <w:r w:rsidRPr="00574CE1">
        <w:rPr>
          <w:rFonts w:ascii="Verdana" w:hAnsi="Verdana" w:cs="Arial"/>
        </w:rPr>
        <w:t xml:space="preserve">Explicado lo anterior, es necesario establecer que se entiende por </w:t>
      </w:r>
      <w:r w:rsidRPr="00574CE1">
        <w:rPr>
          <w:rFonts w:ascii="Verdana" w:hAnsi="Verdana" w:cs="Arial"/>
          <w:i/>
          <w:iCs/>
        </w:rPr>
        <w:t xml:space="preserve">Plazas de Mercado. </w:t>
      </w:r>
      <w:r w:rsidRPr="00574CE1">
        <w:rPr>
          <w:rFonts w:ascii="Verdana" w:hAnsi="Verdana" w:cs="Arial"/>
        </w:rPr>
        <w:t>Al respecto, si bien no hay un concepto unificado es posible afirmar que las mismas son definidas como aquel espacio en el que tiene lugar el mercado de verduras, frutas, quesos, carnes, panes, etc., ya sea en un sitio abierto o cubierto</w:t>
      </w:r>
      <w:r w:rsidRPr="00574CE1">
        <w:rPr>
          <w:rStyle w:val="Refdenotaalpie"/>
          <w:rFonts w:ascii="Verdana" w:hAnsi="Verdana" w:cs="Arial"/>
        </w:rPr>
        <w:footnoteReference w:id="7"/>
      </w:r>
      <w:r w:rsidRPr="00574CE1">
        <w:rPr>
          <w:rFonts w:ascii="Verdana" w:hAnsi="Verdana" w:cs="Arial"/>
        </w:rPr>
        <w:t>, a través de las cuales el Estado ejerce la función de garantizar el suministro de los productos básicos de consumo doméstico a la comunidad</w:t>
      </w:r>
      <w:r w:rsidRPr="00574CE1">
        <w:rPr>
          <w:rStyle w:val="Refdenotaalpie"/>
          <w:rFonts w:ascii="Verdana" w:hAnsi="Verdana" w:cs="Arial"/>
        </w:rPr>
        <w:footnoteReference w:id="8"/>
      </w:r>
      <w:r w:rsidRPr="00574CE1">
        <w:rPr>
          <w:rFonts w:ascii="Verdana" w:hAnsi="Verdana" w:cs="Arial"/>
        </w:rPr>
        <w:t>. También es posible entenderlas como actividades, de carácter permanente o itinerante, que reúnen a comerciantes en espacios públicos construidos para comercializar bienes y servicios primordialmente de abastecimiento alimentario</w:t>
      </w:r>
      <w:r w:rsidRPr="00574CE1">
        <w:rPr>
          <w:rStyle w:val="Refdenotaalpie"/>
          <w:rFonts w:ascii="Verdana" w:hAnsi="Verdana" w:cs="Arial"/>
        </w:rPr>
        <w:footnoteReference w:id="9"/>
      </w:r>
      <w:r w:rsidRPr="00574CE1">
        <w:rPr>
          <w:rFonts w:ascii="Verdana" w:hAnsi="Verdana" w:cs="Arial"/>
        </w:rPr>
        <w:t xml:space="preserve">. </w:t>
      </w:r>
    </w:p>
    <w:p w14:paraId="4443E010" w14:textId="77777777" w:rsidR="00B76E5B" w:rsidRPr="00574CE1" w:rsidRDefault="00B76E5B" w:rsidP="00B76E5B">
      <w:pPr>
        <w:pStyle w:val="Prrafodelista"/>
        <w:spacing w:line="276" w:lineRule="auto"/>
        <w:rPr>
          <w:rFonts w:ascii="Verdana" w:hAnsi="Verdana" w:cs="Arial"/>
        </w:rPr>
      </w:pPr>
    </w:p>
    <w:p w14:paraId="7AF7B022" w14:textId="77777777" w:rsidR="00B76E5B" w:rsidRPr="00574CE1" w:rsidRDefault="00B76E5B" w:rsidP="00B76E5B">
      <w:pPr>
        <w:pStyle w:val="Prrafodelista"/>
        <w:numPr>
          <w:ilvl w:val="0"/>
          <w:numId w:val="7"/>
        </w:numPr>
        <w:spacing w:after="0" w:line="276" w:lineRule="auto"/>
        <w:jc w:val="both"/>
        <w:rPr>
          <w:rFonts w:ascii="Verdana" w:eastAsia="Calibri" w:hAnsi="Verdana" w:cs="Arial"/>
        </w:rPr>
      </w:pPr>
      <w:r w:rsidRPr="00574CE1">
        <w:rPr>
          <w:rFonts w:ascii="Verdana" w:hAnsi="Verdana" w:cs="Arial"/>
        </w:rPr>
        <w:t xml:space="preserve">Teniendo en cuenta el concepto de </w:t>
      </w:r>
      <w:r w:rsidRPr="00574CE1">
        <w:rPr>
          <w:rFonts w:ascii="Verdana" w:hAnsi="Verdana" w:cs="Arial"/>
          <w:i/>
          <w:iCs/>
          <w:lang w:eastAsia="es-ES_tradnl"/>
        </w:rPr>
        <w:t>Plazas de Mercado</w:t>
      </w:r>
      <w:r w:rsidRPr="00574CE1">
        <w:rPr>
          <w:rFonts w:ascii="Verdana" w:hAnsi="Verdana" w:cs="Arial"/>
        </w:rPr>
        <w:t xml:space="preserve"> antes descrito y el ámbito de aplicación de los Documentos Tipo trasversales de obra pública de infraestructura social y sus Documentos Tipo complementarios relacionados con los sectores de educación, salud, recreación y deporte, </w:t>
      </w:r>
      <w:r w:rsidRPr="00574CE1">
        <w:rPr>
          <w:rFonts w:ascii="Verdana" w:eastAsia="Times New Roman" w:hAnsi="Verdana" w:cs="Arial"/>
          <w:lang w:val="es-ES_tradnl" w:eastAsia="es-ES"/>
        </w:rPr>
        <w:t xml:space="preserve">es posible concluir que las </w:t>
      </w:r>
      <w:r w:rsidRPr="00574CE1">
        <w:rPr>
          <w:rFonts w:ascii="Verdana" w:hAnsi="Verdana" w:cs="Arial"/>
          <w:i/>
          <w:iCs/>
          <w:lang w:eastAsia="es-ES_tradnl"/>
        </w:rPr>
        <w:t>Plazas de Mercado</w:t>
      </w:r>
      <w:r w:rsidRPr="00574CE1">
        <w:rPr>
          <w:rFonts w:ascii="Verdana" w:hAnsi="Verdana" w:cs="Arial"/>
        </w:rPr>
        <w:t xml:space="preserve"> </w:t>
      </w:r>
      <w:r w:rsidRPr="00574CE1">
        <w:rPr>
          <w:rFonts w:ascii="Verdana" w:eastAsia="Times New Roman" w:hAnsi="Verdana" w:cs="Arial"/>
          <w:lang w:val="es-ES_tradnl" w:eastAsia="es-ES"/>
        </w:rPr>
        <w:t>no se encuentran incluidas en ninguno de los tres sectores de infraestructura social que cobija el documento tipo transversal ni los Documentos Tipo complementarios expedidos para cada sector y, por tanto, las obras tendientes a su intervención no se encuentran cobijadas por estos Documentos Tipo. De esta manera en los Procesos de Contratación que tengan por objeto este tipo de intervenciones no resultará aplicable el documento tipo expedido a través de la Resolución 219 de 2021, sin perjuicio de que la Entidad Estatal en el marco de la autonomía que le asiste decida aplicarlo a modo de buena práctica contractual.</w:t>
      </w:r>
    </w:p>
    <w:p w14:paraId="0B2CFEE4" w14:textId="77777777" w:rsidR="00B76E5B" w:rsidRPr="00574CE1" w:rsidRDefault="00B76E5B" w:rsidP="00B76E5B">
      <w:pPr>
        <w:pStyle w:val="Prrafodelista"/>
        <w:spacing w:line="276" w:lineRule="auto"/>
        <w:rPr>
          <w:rFonts w:ascii="Verdana" w:eastAsia="Times New Roman" w:hAnsi="Verdana" w:cs="Arial"/>
          <w:lang w:eastAsia="es-ES"/>
        </w:rPr>
      </w:pPr>
    </w:p>
    <w:p w14:paraId="583B3217" w14:textId="77777777" w:rsidR="00B76E5B" w:rsidRPr="00574CE1" w:rsidRDefault="00B76E5B" w:rsidP="00B76E5B">
      <w:pPr>
        <w:pStyle w:val="Prrafodelista"/>
        <w:numPr>
          <w:ilvl w:val="0"/>
          <w:numId w:val="10"/>
        </w:numPr>
        <w:jc w:val="both"/>
        <w:rPr>
          <w:rFonts w:ascii="Verdana" w:hAnsi="Verdana" w:cs="Arial"/>
        </w:rPr>
      </w:pPr>
      <w:r w:rsidRPr="00574CE1">
        <w:rPr>
          <w:rFonts w:ascii="Verdana" w:hAnsi="Verdana" w:cs="Arial"/>
        </w:rPr>
        <w:t>Las publicaciones que corresponde efectuar a las entidades estatales, como sujetos obligados por la normativa de la transparencia y acceso a la información pública, en particular en lo referente a la información contractual, antes que una derogación o subrogación del contenido del deber de publicidad regulado por el EGCAP, suponen una ampliación de su alcance, que lo hace trascender de la simple publicación de la información producida por la entidad estatal ” asociada a la noción de Documentos del Proceso. Esto en la medida en que, al establecerse la obligación de publicar los “ procedimientos ” y la “ información de la gestión contractual ” en el SECOP, se incorporó una visión omnicomprensiva de la actividad contractual que debe publicarse, comoquiera que la noción de procedimiento debe asimilarse a la de Proceso de Contratación, lo que implica que la publicación que corresponde a las entidades estatales, como sujetos obligados en el marco de la Ley 1712 de 2014, se extienda a todo el desarrollo del procedimiento, desde la etapa de planeación hasta el vencimiento de las garantías, incluyendo cada actuación que se produzca en ese lapso.</w:t>
      </w:r>
    </w:p>
    <w:p w14:paraId="71FD7E36" w14:textId="77777777" w:rsidR="00B76E5B" w:rsidRPr="00574CE1" w:rsidRDefault="00B76E5B" w:rsidP="00B76E5B">
      <w:pPr>
        <w:widowControl w:val="0"/>
        <w:autoSpaceDE w:val="0"/>
        <w:autoSpaceDN w:val="0"/>
        <w:spacing w:after="0" w:line="276" w:lineRule="auto"/>
        <w:jc w:val="both"/>
        <w:rPr>
          <w:rFonts w:ascii="Verdana" w:hAnsi="Verdana" w:cs="Arial"/>
        </w:rPr>
      </w:pPr>
    </w:p>
    <w:p w14:paraId="24DFC000" w14:textId="77777777" w:rsidR="00B76E5B" w:rsidRPr="00574CE1" w:rsidRDefault="00B76E5B" w:rsidP="00B76E5B">
      <w:pPr>
        <w:pStyle w:val="Prrafodelista"/>
        <w:numPr>
          <w:ilvl w:val="0"/>
          <w:numId w:val="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74CE1">
        <w:rPr>
          <w:rFonts w:ascii="Verdana" w:eastAsia="Century Gothic" w:hAnsi="Verdana" w:cs="Century Gothic"/>
          <w:b/>
          <w:bCs/>
        </w:rPr>
        <w:t>Referencias normativas, jurisprudenciales y otras fuentes:</w:t>
      </w:r>
    </w:p>
    <w:p w14:paraId="36D58682" w14:textId="77777777" w:rsidR="00B76E5B" w:rsidRPr="00574CE1" w:rsidRDefault="00B76E5B" w:rsidP="00B76E5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76E5B" w:rsidRPr="00574CE1" w14:paraId="2603EA53" w14:textId="77777777" w:rsidTr="00920D34">
        <w:trPr>
          <w:trHeight w:val="870"/>
        </w:trPr>
        <w:tc>
          <w:tcPr>
            <w:tcW w:w="8647" w:type="dxa"/>
          </w:tcPr>
          <w:p w14:paraId="38960025" w14:textId="77777777" w:rsidR="00B76E5B" w:rsidRPr="00574CE1" w:rsidRDefault="00B76E5B" w:rsidP="00B76E5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74CE1">
              <w:rPr>
                <w:rFonts w:ascii="Verdana" w:hAnsi="Verdana" w:cs="Arial"/>
              </w:rPr>
              <w:t>Ley 80 de 1993: Articulo 24 Numeral 4</w:t>
            </w:r>
          </w:p>
          <w:p w14:paraId="6D9059E4" w14:textId="77777777" w:rsidR="00B76E5B" w:rsidRPr="00574CE1" w:rsidRDefault="00B76E5B" w:rsidP="00B76E5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74CE1">
              <w:rPr>
                <w:rFonts w:ascii="Verdana" w:hAnsi="Verdana"/>
                <w:shd w:val="clear" w:color="auto" w:fill="FFFFFF"/>
              </w:rPr>
              <w:t>Ley 1150 de 2007: Artículo 3</w:t>
            </w:r>
          </w:p>
          <w:p w14:paraId="55D5607C" w14:textId="77777777" w:rsidR="00B76E5B" w:rsidRPr="00574CE1" w:rsidRDefault="00B76E5B" w:rsidP="00B76E5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74CE1">
              <w:rPr>
                <w:rFonts w:ascii="Verdana" w:hAnsi="Verdana" w:cs="Arial"/>
              </w:rPr>
              <w:lastRenderedPageBreak/>
              <w:t>Ley 1712 de 2014: Artículos 2 y 11</w:t>
            </w:r>
          </w:p>
          <w:p w14:paraId="75E35B2C" w14:textId="77777777" w:rsidR="00B76E5B" w:rsidRPr="00574CE1" w:rsidRDefault="00B76E5B" w:rsidP="00B76E5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74CE1">
              <w:rPr>
                <w:rFonts w:ascii="Verdana" w:hAnsi="Verdana"/>
                <w:shd w:val="clear" w:color="auto" w:fill="FFFFFF"/>
              </w:rPr>
              <w:t>Decreto 1082 de 2015: Artículos 2.2.1.1.1.3.1, 2.2.1.1.1.4.3 y 2.2.1.1.1.7.1 –</w:t>
            </w:r>
          </w:p>
          <w:p w14:paraId="2E2D96EE" w14:textId="77777777" w:rsidR="00B76E5B" w:rsidRPr="00574CE1" w:rsidRDefault="00B76E5B" w:rsidP="00B76E5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74CE1">
              <w:rPr>
                <w:rFonts w:ascii="Verdana" w:hAnsi="Verdana"/>
                <w:shd w:val="clear" w:color="auto" w:fill="FFFFFF"/>
              </w:rPr>
              <w:t xml:space="preserve"> Decreto 1081 de 2015: Artículos 2.1.1.2.1.7, 2.1.1.2.1.8, 2.1.1.2.1.9 y 2.1.1.2.1.10 </w:t>
            </w:r>
          </w:p>
        </w:tc>
      </w:tr>
    </w:tbl>
    <w:p w14:paraId="7F413F06" w14:textId="77777777" w:rsidR="00B76E5B" w:rsidRPr="00574CE1" w:rsidRDefault="00B76E5B" w:rsidP="00B76E5B">
      <w:pPr>
        <w:widowControl w:val="0"/>
        <w:autoSpaceDE w:val="0"/>
        <w:autoSpaceDN w:val="0"/>
        <w:spacing w:after="0" w:line="276" w:lineRule="auto"/>
        <w:jc w:val="both"/>
        <w:rPr>
          <w:rFonts w:ascii="Verdana" w:hAnsi="Verdana" w:cs="Arial"/>
        </w:rPr>
      </w:pPr>
    </w:p>
    <w:p w14:paraId="051BD753" w14:textId="77777777" w:rsidR="00B76E5B" w:rsidRPr="00574CE1" w:rsidRDefault="00B76E5B" w:rsidP="00B76E5B">
      <w:pPr>
        <w:pStyle w:val="Prrafodelista"/>
        <w:numPr>
          <w:ilvl w:val="0"/>
          <w:numId w:val="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74CE1">
        <w:rPr>
          <w:rFonts w:ascii="Verdana" w:eastAsia="Century Gothic" w:hAnsi="Verdana" w:cs="Century Gothic"/>
          <w:b/>
          <w:bCs/>
        </w:rPr>
        <w:t>Doctrina de la Agencia Nacional de Contratación Pública:</w:t>
      </w:r>
    </w:p>
    <w:p w14:paraId="18202E4C" w14:textId="77777777" w:rsidR="00B76E5B" w:rsidRPr="00574CE1" w:rsidRDefault="00B76E5B" w:rsidP="00B76E5B">
      <w:pPr>
        <w:widowControl w:val="0"/>
        <w:autoSpaceDE w:val="0"/>
        <w:autoSpaceDN w:val="0"/>
        <w:spacing w:after="0" w:line="276" w:lineRule="auto"/>
        <w:jc w:val="both"/>
        <w:rPr>
          <w:rFonts w:ascii="Verdana" w:hAnsi="Verdana" w:cs="Arial"/>
        </w:rPr>
      </w:pPr>
    </w:p>
    <w:p w14:paraId="259CD45B" w14:textId="77777777" w:rsidR="00B76E5B" w:rsidRPr="00574CE1" w:rsidRDefault="00B76E5B" w:rsidP="00B76E5B">
      <w:pPr>
        <w:ind w:firstLine="708"/>
        <w:jc w:val="both"/>
        <w:rPr>
          <w:rStyle w:val="normaltextrun"/>
          <w:rFonts w:ascii="Verdana" w:hAnsi="Verdana" w:cs="Arial"/>
        </w:rPr>
      </w:pPr>
      <w:r w:rsidRPr="00574CE1">
        <w:rPr>
          <w:rFonts w:ascii="Verdana" w:hAnsi="Verdana" w:cs="Arial"/>
        </w:rPr>
        <w:t>sobre el ámbito de la publicidad en el SECOP que ha sido estudiado en por esta Subdirección en los conceptos C-433 del 24 de julio de 2020, C-468 del 24 de julio de 2020, C-474 del 24 de julio de 2020, C-488 del 28 de julio de 2020, C-544 del 21 de agosto de 2020, C-575 del 27 de agosto de 2020, C-643 del 26 de octubre de 2020, C-661 del 17 de noviembre de 2020, C-068 del 22 abril de 2021, C-094 del 13 de abril de 2021, C-185 del 29 abril de 2021, C-348 del 13 junio de 2022, C-332 del 23 de mayo de 2022, C-379 del 22 de junio de 2022, C-480 del 18 julio de 2022, C-568 del 12 septiembre de 2022, C-797 del 23 de noviembre de 2022, C-817 del 05 de diciembre de 2022, C-014 del 23 de febrero de 2023, C- 024 del 06 de marzo de 2023, C-199 del 13 de junio de 2023, C-196 del 15 de junio de 2023, C-199 del 13 de junio de 2023 y C-314 del 1º de agosto de 2023, C–381 de 2023 . La tesis expuesta en estos conceptos se reitera en el presente escrito.</w:t>
      </w:r>
      <w:r w:rsidRPr="00574CE1">
        <w:rPr>
          <w:rStyle w:val="normaltextrun"/>
          <w:rFonts w:ascii="Verdana" w:hAnsi="Verdana" w:cs="Arial"/>
          <w:shd w:val="clear" w:color="auto" w:fill="FFFFFF"/>
          <w:lang w:val="es-ES"/>
        </w:rPr>
        <w:t xml:space="preserve"> Es</w:t>
      </w:r>
      <w:r w:rsidRPr="00574CE1">
        <w:rPr>
          <w:rFonts w:ascii="Verdana" w:hAnsi="Verdana"/>
        </w:rPr>
        <w:t>tos y otros conceptos se encuentran disponibles para consulta en el Sistema de relatoría de la Agencia, al cual se puede acceder a través del siguiente enlace:</w:t>
      </w:r>
      <w:r w:rsidRPr="00574CE1">
        <w:rPr>
          <w:rStyle w:val="normaltextrun"/>
          <w:rFonts w:ascii="Verdana" w:hAnsi="Verdana" w:cs="Arial"/>
          <w:shd w:val="clear" w:color="auto" w:fill="FFFFFF"/>
          <w:lang w:val="es-ES"/>
        </w:rPr>
        <w:t xml:space="preserve"> </w:t>
      </w:r>
      <w:hyperlink r:id="rId13" w:history="1">
        <w:r w:rsidRPr="00574CE1">
          <w:rPr>
            <w:rStyle w:val="Hipervnculo"/>
            <w:rFonts w:ascii="Verdana" w:hAnsi="Verdana" w:cs="Arial"/>
            <w:color w:val="auto"/>
            <w:shd w:val="clear" w:color="auto" w:fill="FFFFFF"/>
            <w:lang w:val="es-ES"/>
          </w:rPr>
          <w:t>https://relatoria.colombiacompra.gov.co/busqueda/conceptos</w:t>
        </w:r>
      </w:hyperlink>
      <w:r w:rsidRPr="00574CE1">
        <w:rPr>
          <w:rStyle w:val="normaltextrun"/>
          <w:rFonts w:ascii="Verdana" w:hAnsi="Verdana" w:cs="Arial"/>
          <w:shd w:val="clear" w:color="auto" w:fill="FFFFFF"/>
          <w:lang w:val="es-ES"/>
        </w:rPr>
        <w:t xml:space="preserve">. </w:t>
      </w:r>
    </w:p>
    <w:p w14:paraId="0C8B6A1F" w14:textId="77777777" w:rsidR="00B76E5B" w:rsidRPr="00574CE1" w:rsidRDefault="00B76E5B" w:rsidP="00B76E5B">
      <w:pPr>
        <w:widowControl w:val="0"/>
        <w:autoSpaceDE w:val="0"/>
        <w:autoSpaceDN w:val="0"/>
        <w:spacing w:after="0" w:line="276" w:lineRule="auto"/>
        <w:jc w:val="both"/>
        <w:rPr>
          <w:rStyle w:val="normaltextrun"/>
          <w:rFonts w:ascii="Verdana" w:hAnsi="Verdana" w:cs="Arial"/>
          <w:shd w:val="clear" w:color="auto" w:fill="FFFFFF"/>
          <w:lang w:val="es-ES"/>
        </w:rPr>
      </w:pPr>
    </w:p>
    <w:p w14:paraId="5B72F08A" w14:textId="77777777" w:rsidR="00B76E5B" w:rsidRPr="00574CE1" w:rsidRDefault="00B76E5B" w:rsidP="00B76E5B">
      <w:pPr>
        <w:widowControl w:val="0"/>
        <w:autoSpaceDE w:val="0"/>
        <w:autoSpaceDN w:val="0"/>
        <w:spacing w:after="0" w:line="276" w:lineRule="auto"/>
        <w:jc w:val="both"/>
        <w:rPr>
          <w:rStyle w:val="normaltextrun"/>
          <w:rFonts w:ascii="Verdana" w:hAnsi="Verdana" w:cs="Arial"/>
          <w:shd w:val="clear" w:color="auto" w:fill="FFFFFF"/>
          <w:lang w:val="es-ES"/>
        </w:rPr>
      </w:pPr>
      <w:r w:rsidRPr="00574CE1">
        <w:rPr>
          <w:rStyle w:val="normaltextrun"/>
          <w:rFonts w:ascii="Verdana" w:hAnsi="Verdana" w:cs="Arial"/>
          <w:shd w:val="clear" w:color="auto" w:fill="FFFFFF"/>
          <w:lang w:val="es-ES"/>
        </w:rPr>
        <w:t xml:space="preserve">También le invitamos a consultar las versiones I y II de 2024 del Boletín de Relatoría de la Subdirección de Gestión Contractual, las cuales puede descargar en la página web de la Agencia: </w:t>
      </w:r>
      <w:hyperlink r:id="rId14" w:history="1">
        <w:r w:rsidRPr="00574CE1">
          <w:rPr>
            <w:rStyle w:val="Hipervnculo"/>
            <w:rFonts w:ascii="Verdana" w:hAnsi="Verdana" w:cs="Arial"/>
            <w:color w:val="auto"/>
            <w:shd w:val="clear" w:color="auto" w:fill="FFFFFF"/>
            <w:lang w:val="es-ES"/>
          </w:rPr>
          <w:t>https://www.colombiacompra.gov.co/sala-de-prensa/boletin-digital</w:t>
        </w:r>
      </w:hyperlink>
      <w:r w:rsidRPr="00574CE1">
        <w:rPr>
          <w:rStyle w:val="normaltextrun"/>
          <w:rFonts w:ascii="Verdana" w:hAnsi="Verdana" w:cs="Arial"/>
          <w:shd w:val="clear" w:color="auto" w:fill="FFFFFF"/>
          <w:lang w:val="es-ES"/>
        </w:rPr>
        <w:t xml:space="preserve">      </w:t>
      </w:r>
    </w:p>
    <w:p w14:paraId="6382D0B2" w14:textId="77777777" w:rsidR="00B76E5B" w:rsidRPr="00574CE1" w:rsidRDefault="00B76E5B" w:rsidP="00B76E5B">
      <w:pPr>
        <w:spacing w:after="0" w:line="240" w:lineRule="auto"/>
        <w:jc w:val="both"/>
        <w:rPr>
          <w:rFonts w:ascii="Verdana" w:hAnsi="Verdana"/>
        </w:rPr>
      </w:pPr>
      <w:r w:rsidRPr="00574CE1">
        <w:rPr>
          <w:rFonts w:ascii="Verdana" w:hAnsi="Verdana"/>
        </w:rPr>
        <w:t xml:space="preserve">Por último, lo invitamos a seguirnos en las redes sociales en las cuales se difunde información institucional: </w:t>
      </w:r>
    </w:p>
    <w:p w14:paraId="2C8D3274" w14:textId="77777777" w:rsidR="00B76E5B" w:rsidRPr="00574CE1" w:rsidRDefault="00B76E5B" w:rsidP="00B76E5B">
      <w:pPr>
        <w:spacing w:after="0" w:line="240" w:lineRule="auto"/>
        <w:jc w:val="both"/>
        <w:rPr>
          <w:rFonts w:ascii="Verdana" w:hAnsi="Verdana"/>
        </w:rPr>
      </w:pPr>
    </w:p>
    <w:p w14:paraId="3FD5544C" w14:textId="77777777" w:rsidR="00B76E5B" w:rsidRPr="00574CE1" w:rsidRDefault="00B76E5B" w:rsidP="00B76E5B">
      <w:pPr>
        <w:spacing w:after="0" w:line="240" w:lineRule="auto"/>
        <w:jc w:val="both"/>
        <w:rPr>
          <w:rFonts w:ascii="Verdana" w:hAnsi="Verdana"/>
        </w:rPr>
      </w:pPr>
      <w:r w:rsidRPr="00574CE1">
        <w:rPr>
          <w:rFonts w:ascii="Verdana" w:hAnsi="Verdana"/>
        </w:rPr>
        <w:t xml:space="preserve">Twitter: </w:t>
      </w:r>
      <w:r w:rsidRPr="00574CE1">
        <w:rPr>
          <w:rStyle w:val="Hipervnculo"/>
          <w:rFonts w:ascii="Verdana" w:hAnsi="Verdana"/>
          <w:color w:val="auto"/>
        </w:rPr>
        <w:t>@colombiacompra</w:t>
      </w:r>
      <w:r w:rsidRPr="00574CE1">
        <w:rPr>
          <w:rFonts w:ascii="Verdana" w:hAnsi="Verdana"/>
        </w:rPr>
        <w:t xml:space="preserve"> </w:t>
      </w:r>
    </w:p>
    <w:p w14:paraId="760FBE60" w14:textId="77777777" w:rsidR="00B76E5B" w:rsidRPr="00574CE1" w:rsidRDefault="00B76E5B" w:rsidP="00B76E5B">
      <w:pPr>
        <w:spacing w:after="0" w:line="240" w:lineRule="auto"/>
        <w:jc w:val="both"/>
        <w:rPr>
          <w:rFonts w:ascii="Verdana" w:hAnsi="Verdana"/>
        </w:rPr>
      </w:pPr>
      <w:r w:rsidRPr="00574CE1">
        <w:rPr>
          <w:rFonts w:ascii="Verdana" w:hAnsi="Verdana"/>
        </w:rPr>
        <w:t xml:space="preserve">Facebook: </w:t>
      </w:r>
      <w:proofErr w:type="spellStart"/>
      <w:r w:rsidRPr="00574CE1">
        <w:rPr>
          <w:rStyle w:val="Hipervnculo"/>
          <w:rFonts w:ascii="Verdana" w:hAnsi="Verdana"/>
          <w:color w:val="auto"/>
        </w:rPr>
        <w:t>ColombiaCompraEficiente</w:t>
      </w:r>
      <w:proofErr w:type="spellEnd"/>
    </w:p>
    <w:p w14:paraId="55074FC0" w14:textId="77777777" w:rsidR="00B76E5B" w:rsidRPr="00574CE1" w:rsidRDefault="00B76E5B" w:rsidP="00B76E5B">
      <w:pPr>
        <w:spacing w:after="0" w:line="240" w:lineRule="auto"/>
        <w:jc w:val="both"/>
        <w:rPr>
          <w:rFonts w:ascii="Verdana" w:hAnsi="Verdana"/>
        </w:rPr>
      </w:pPr>
      <w:r w:rsidRPr="00574CE1">
        <w:rPr>
          <w:rFonts w:ascii="Verdana" w:hAnsi="Verdana"/>
        </w:rPr>
        <w:t xml:space="preserve">LinkedIn: </w:t>
      </w:r>
      <w:r w:rsidRPr="00574CE1">
        <w:rPr>
          <w:rStyle w:val="Hipervnculo"/>
          <w:rFonts w:ascii="Verdana" w:hAnsi="Verdana"/>
          <w:color w:val="auto"/>
        </w:rPr>
        <w:t>Agencia Nacional de Contratación Pública - Colombia Compra Eficiente</w:t>
      </w:r>
      <w:r w:rsidRPr="00574CE1">
        <w:rPr>
          <w:rFonts w:ascii="Verdana" w:hAnsi="Verdana"/>
        </w:rPr>
        <w:t xml:space="preserve"> Instagram: </w:t>
      </w:r>
      <w:r w:rsidRPr="00574CE1">
        <w:rPr>
          <w:rStyle w:val="Hipervnculo"/>
          <w:rFonts w:ascii="Verdana" w:hAnsi="Verdana"/>
          <w:color w:val="auto"/>
        </w:rPr>
        <w:t>@colombiacompraeficiente_cce</w:t>
      </w:r>
    </w:p>
    <w:p w14:paraId="148B61BA" w14:textId="77777777" w:rsidR="00B76E5B" w:rsidRPr="00574CE1" w:rsidRDefault="00B76E5B" w:rsidP="00B76E5B">
      <w:pPr>
        <w:widowControl w:val="0"/>
        <w:autoSpaceDE w:val="0"/>
        <w:autoSpaceDN w:val="0"/>
        <w:spacing w:after="0" w:line="276" w:lineRule="auto"/>
        <w:jc w:val="both"/>
        <w:rPr>
          <w:rFonts w:ascii="Verdana" w:hAnsi="Verdana" w:cs="Arial"/>
        </w:rPr>
      </w:pPr>
    </w:p>
    <w:p w14:paraId="4230E267" w14:textId="77777777" w:rsidR="00B76E5B" w:rsidRPr="00574CE1" w:rsidRDefault="00B76E5B" w:rsidP="00B76E5B">
      <w:pPr>
        <w:pStyle w:val="Sinespaciado"/>
        <w:spacing w:line="276" w:lineRule="auto"/>
        <w:jc w:val="both"/>
        <w:rPr>
          <w:rFonts w:ascii="Verdana" w:hAnsi="Verdana" w:cs="Arial"/>
        </w:rPr>
      </w:pPr>
      <w:bookmarkStart w:id="2" w:name="_Hlk34951122"/>
    </w:p>
    <w:bookmarkEnd w:id="0"/>
    <w:bookmarkEnd w:id="2"/>
    <w:p w14:paraId="686A6E58" w14:textId="77777777" w:rsidR="00B76E5B" w:rsidRPr="00574CE1" w:rsidRDefault="00B76E5B" w:rsidP="00B76E5B">
      <w:pPr>
        <w:spacing w:after="0" w:line="276" w:lineRule="auto"/>
        <w:rPr>
          <w:rFonts w:ascii="Verdana" w:eastAsia="Times New Roman" w:hAnsi="Verdana" w:cs="Arial"/>
          <w:lang w:eastAsia="es-CO"/>
        </w:rPr>
      </w:pPr>
      <w:r w:rsidRPr="00574CE1">
        <w:rPr>
          <w:rFonts w:ascii="Verdana" w:eastAsia="Times New Roman" w:hAnsi="Verdana" w:cs="Arial"/>
          <w:lang w:eastAsia="es-CO"/>
        </w:rPr>
        <w:t>Atentamente,</w:t>
      </w:r>
    </w:p>
    <w:p w14:paraId="56181982" w14:textId="77777777" w:rsidR="00B76E5B" w:rsidRPr="00574CE1" w:rsidRDefault="00B76E5B" w:rsidP="00B76E5B">
      <w:pPr>
        <w:tabs>
          <w:tab w:val="left" w:pos="709"/>
        </w:tabs>
        <w:spacing w:before="120" w:after="120" w:line="276" w:lineRule="auto"/>
        <w:jc w:val="center"/>
        <w:rPr>
          <w:rFonts w:ascii="Verdana" w:hAnsi="Verdana" w:cs="Arial"/>
        </w:rPr>
      </w:pPr>
      <w:r w:rsidRPr="00574CE1">
        <w:rPr>
          <w:rFonts w:ascii="Verdana" w:hAnsi="Verdana"/>
          <w:noProof/>
        </w:rPr>
        <w:lastRenderedPageBreak/>
        <w:drawing>
          <wp:inline distT="0" distB="0" distL="0" distR="0" wp14:anchorId="011AB405" wp14:editId="7878C202">
            <wp:extent cx="2874480" cy="1133598"/>
            <wp:effectExtent l="0" t="0" r="2540"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5"/>
                    <a:srcRect l="7068" t="24758" b="7281"/>
                    <a:stretch/>
                  </pic:blipFill>
                  <pic:spPr bwMode="auto">
                    <a:xfrm>
                      <a:off x="0" y="0"/>
                      <a:ext cx="2877838" cy="1134922"/>
                    </a:xfrm>
                    <a:prstGeom prst="rect">
                      <a:avLst/>
                    </a:prstGeom>
                    <a:ln>
                      <a:noFill/>
                    </a:ln>
                    <a:extLst>
                      <a:ext uri="{53640926-AAD7-44D8-BBD7-CCE9431645EC}">
                        <a14:shadowObscured xmlns:a14="http://schemas.microsoft.com/office/drawing/2010/main"/>
                      </a:ext>
                    </a:extLst>
                  </pic:spPr>
                </pic:pic>
              </a:graphicData>
            </a:graphic>
          </wp:inline>
        </w:drawing>
      </w:r>
    </w:p>
    <w:p w14:paraId="75976D82" w14:textId="77777777" w:rsidR="00B76E5B" w:rsidRPr="00574CE1" w:rsidRDefault="00B76E5B" w:rsidP="00B76E5B">
      <w:pPr>
        <w:tabs>
          <w:tab w:val="left" w:pos="709"/>
        </w:tabs>
        <w:spacing w:before="120" w:after="120" w:line="276" w:lineRule="auto"/>
        <w:jc w:val="center"/>
        <w:rPr>
          <w:rFonts w:ascii="Verdana" w:hAnsi="Verdana" w:cs="Arial"/>
        </w:rPr>
      </w:pPr>
    </w:p>
    <w:tbl>
      <w:tblPr>
        <w:tblW w:w="56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48"/>
        <w:gridCol w:w="4214"/>
        <w:gridCol w:w="708"/>
      </w:tblGrid>
      <w:tr w:rsidR="00B76E5B" w:rsidRPr="00574CE1" w14:paraId="575BA870" w14:textId="77777777" w:rsidTr="0397209A">
        <w:trPr>
          <w:trHeight w:val="315"/>
        </w:trPr>
        <w:tc>
          <w:tcPr>
            <w:tcW w:w="748" w:type="dxa"/>
            <w:tcBorders>
              <w:top w:val="nil"/>
              <w:left w:val="nil"/>
              <w:bottom w:val="nil"/>
              <w:right w:val="nil"/>
            </w:tcBorders>
            <w:vAlign w:val="center"/>
            <w:hideMark/>
          </w:tcPr>
          <w:p w14:paraId="4D5119E6"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Elaboró: </w:t>
            </w:r>
          </w:p>
        </w:tc>
        <w:tc>
          <w:tcPr>
            <w:tcW w:w="4214" w:type="dxa"/>
            <w:tcBorders>
              <w:top w:val="nil"/>
              <w:left w:val="nil"/>
              <w:bottom w:val="dotted" w:sz="6" w:space="0" w:color="7F7F7F" w:themeColor="text1" w:themeTint="80"/>
              <w:right w:val="nil"/>
            </w:tcBorders>
            <w:vAlign w:val="center"/>
            <w:hideMark/>
          </w:tcPr>
          <w:p w14:paraId="3B5B6831"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Andrés Ricardo Cabarcas Thorne</w:t>
            </w:r>
          </w:p>
          <w:p w14:paraId="3CB8FF43"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Analista T2-02 de la Subdirección de Gestión Contractual</w:t>
            </w:r>
          </w:p>
        </w:tc>
        <w:tc>
          <w:tcPr>
            <w:tcW w:w="708" w:type="dxa"/>
            <w:tcBorders>
              <w:top w:val="nil"/>
              <w:left w:val="nil"/>
              <w:bottom w:val="dotted" w:sz="6" w:space="0" w:color="7F7F7F" w:themeColor="text1" w:themeTint="80"/>
              <w:right w:val="nil"/>
            </w:tcBorders>
          </w:tcPr>
          <w:p w14:paraId="2025708E"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p>
        </w:tc>
      </w:tr>
      <w:tr w:rsidR="00B76E5B" w:rsidRPr="00574CE1" w14:paraId="5A4DA0D1" w14:textId="77777777" w:rsidTr="0397209A">
        <w:trPr>
          <w:trHeight w:val="315"/>
        </w:trPr>
        <w:tc>
          <w:tcPr>
            <w:tcW w:w="748" w:type="dxa"/>
            <w:tcBorders>
              <w:top w:val="nil"/>
              <w:left w:val="nil"/>
              <w:bottom w:val="nil"/>
              <w:right w:val="nil"/>
            </w:tcBorders>
            <w:vAlign w:val="center"/>
            <w:hideMark/>
          </w:tcPr>
          <w:p w14:paraId="7259BB02"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Revisó: </w:t>
            </w:r>
          </w:p>
        </w:tc>
        <w:tc>
          <w:tcPr>
            <w:tcW w:w="4214" w:type="dxa"/>
            <w:tcBorders>
              <w:top w:val="dotted" w:sz="6" w:space="0" w:color="7F7F7F" w:themeColor="text1" w:themeTint="80"/>
              <w:left w:val="nil"/>
              <w:bottom w:val="dotted" w:sz="6" w:space="0" w:color="7F7F7F" w:themeColor="text1" w:themeTint="80"/>
              <w:right w:val="nil"/>
            </w:tcBorders>
            <w:vAlign w:val="center"/>
            <w:hideMark/>
          </w:tcPr>
          <w:p w14:paraId="77683243"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Libardo Alberto Verjel De Filippis</w:t>
            </w:r>
          </w:p>
          <w:p w14:paraId="735D1BF6"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Experto G3-08 de la Subdirección de Gestión Contractual</w:t>
            </w:r>
          </w:p>
        </w:tc>
        <w:tc>
          <w:tcPr>
            <w:tcW w:w="708" w:type="dxa"/>
            <w:tcBorders>
              <w:top w:val="dotted" w:sz="6" w:space="0" w:color="7F7F7F" w:themeColor="text1" w:themeTint="80"/>
              <w:left w:val="nil"/>
              <w:bottom w:val="dotted" w:sz="6" w:space="0" w:color="7F7F7F" w:themeColor="text1" w:themeTint="80"/>
              <w:right w:val="nil"/>
            </w:tcBorders>
          </w:tcPr>
          <w:p w14:paraId="5606B4A9"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p>
        </w:tc>
      </w:tr>
      <w:tr w:rsidR="00B76E5B" w:rsidRPr="00574CE1" w14:paraId="21F83FFC" w14:textId="77777777" w:rsidTr="0397209A">
        <w:trPr>
          <w:trHeight w:val="300"/>
        </w:trPr>
        <w:tc>
          <w:tcPr>
            <w:tcW w:w="748" w:type="dxa"/>
            <w:tcBorders>
              <w:top w:val="nil"/>
              <w:left w:val="nil"/>
              <w:bottom w:val="nil"/>
              <w:right w:val="nil"/>
            </w:tcBorders>
            <w:vAlign w:val="center"/>
            <w:hideMark/>
          </w:tcPr>
          <w:p w14:paraId="6F1F6191"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eastAsia="es-CO"/>
              </w:rPr>
              <w:t>Aprobó: </w:t>
            </w:r>
          </w:p>
        </w:tc>
        <w:tc>
          <w:tcPr>
            <w:tcW w:w="4214" w:type="dxa"/>
            <w:tcBorders>
              <w:top w:val="dotted" w:sz="6" w:space="0" w:color="7F7F7F" w:themeColor="text1" w:themeTint="80"/>
              <w:left w:val="nil"/>
              <w:bottom w:val="dotted" w:sz="6" w:space="0" w:color="7F7F7F" w:themeColor="text1" w:themeTint="80"/>
              <w:right w:val="nil"/>
            </w:tcBorders>
            <w:vAlign w:val="center"/>
            <w:hideMark/>
          </w:tcPr>
          <w:p w14:paraId="21EEEA3E" w14:textId="77777777" w:rsidR="00B76E5B" w:rsidRPr="00574CE1" w:rsidRDefault="00B76E5B" w:rsidP="00920D34">
            <w:pPr>
              <w:spacing w:after="0" w:line="276" w:lineRule="auto"/>
              <w:textAlignment w:val="baseline"/>
              <w:rPr>
                <w:rFonts w:ascii="Verdana" w:eastAsia="Times New Roman" w:hAnsi="Verdana" w:cs="Arial"/>
                <w:sz w:val="14"/>
                <w:szCs w:val="14"/>
                <w:lang w:val="es-ES" w:eastAsia="es-CO"/>
              </w:rPr>
            </w:pPr>
            <w:r w:rsidRPr="0397209A">
              <w:rPr>
                <w:rFonts w:ascii="Verdana" w:eastAsia="Times New Roman" w:hAnsi="Verdana" w:cs="Arial"/>
                <w:sz w:val="14"/>
                <w:szCs w:val="14"/>
                <w:lang w:val="es-ES" w:eastAsia="es-CO"/>
              </w:rPr>
              <w:t xml:space="preserve">Carolina Quintero </w:t>
            </w:r>
            <w:proofErr w:type="spellStart"/>
            <w:r w:rsidRPr="0397209A">
              <w:rPr>
                <w:rFonts w:ascii="Verdana" w:eastAsia="Times New Roman" w:hAnsi="Verdana" w:cs="Arial"/>
                <w:sz w:val="14"/>
                <w:szCs w:val="14"/>
                <w:lang w:val="es-ES" w:eastAsia="es-CO"/>
              </w:rPr>
              <w:t>Gacharná</w:t>
            </w:r>
            <w:proofErr w:type="spellEnd"/>
          </w:p>
          <w:p w14:paraId="659D1C05" w14:textId="77777777" w:rsidR="00B76E5B" w:rsidRPr="00574CE1" w:rsidRDefault="00B76E5B" w:rsidP="00920D34">
            <w:pPr>
              <w:spacing w:after="0" w:line="276" w:lineRule="auto"/>
              <w:textAlignment w:val="baseline"/>
              <w:rPr>
                <w:rFonts w:ascii="Verdana" w:eastAsia="Times New Roman" w:hAnsi="Verdana" w:cs="Arial"/>
                <w:sz w:val="14"/>
                <w:szCs w:val="14"/>
                <w:lang w:eastAsia="es-CO"/>
              </w:rPr>
            </w:pPr>
            <w:r w:rsidRPr="00574CE1">
              <w:rPr>
                <w:rFonts w:ascii="Verdana" w:eastAsia="Times New Roman" w:hAnsi="Verdana" w:cs="Arial"/>
                <w:sz w:val="14"/>
                <w:szCs w:val="14"/>
                <w:lang w:val="es-ES_tradnl" w:eastAsia="es-CO"/>
              </w:rPr>
              <w:t>Subdirectora de Gestión Contractual ANCP-CCE</w:t>
            </w:r>
          </w:p>
        </w:tc>
        <w:tc>
          <w:tcPr>
            <w:tcW w:w="708" w:type="dxa"/>
            <w:tcBorders>
              <w:top w:val="dotted" w:sz="6" w:space="0" w:color="7F7F7F" w:themeColor="text1" w:themeTint="80"/>
              <w:left w:val="nil"/>
              <w:bottom w:val="dotted" w:sz="6" w:space="0" w:color="7F7F7F" w:themeColor="text1" w:themeTint="80"/>
              <w:right w:val="nil"/>
            </w:tcBorders>
          </w:tcPr>
          <w:p w14:paraId="5748E14E" w14:textId="77777777" w:rsidR="00B76E5B" w:rsidRPr="00574CE1" w:rsidRDefault="00B76E5B" w:rsidP="00920D34">
            <w:pPr>
              <w:spacing w:after="0" w:line="276" w:lineRule="auto"/>
              <w:textAlignment w:val="baseline"/>
              <w:rPr>
                <w:rFonts w:ascii="Verdana" w:eastAsia="Times New Roman" w:hAnsi="Verdana" w:cs="Arial"/>
                <w:sz w:val="14"/>
                <w:szCs w:val="14"/>
                <w:lang w:val="es-ES_tradnl" w:eastAsia="es-CO"/>
              </w:rPr>
            </w:pPr>
          </w:p>
        </w:tc>
      </w:tr>
    </w:tbl>
    <w:p w14:paraId="4BBB676F" w14:textId="77777777" w:rsidR="00B76E5B" w:rsidRPr="00574CE1" w:rsidRDefault="00B76E5B" w:rsidP="00B76E5B">
      <w:pPr>
        <w:spacing w:line="276" w:lineRule="auto"/>
        <w:rPr>
          <w:rFonts w:ascii="Verdana" w:hAnsi="Verdana"/>
        </w:rPr>
      </w:pPr>
    </w:p>
    <w:p w14:paraId="6F7BF2B3" w14:textId="77777777" w:rsidR="00B76E5B" w:rsidRPr="00574CE1" w:rsidRDefault="00B76E5B" w:rsidP="00B76E5B">
      <w:pPr>
        <w:spacing w:line="276" w:lineRule="auto"/>
        <w:rPr>
          <w:rFonts w:ascii="Verdana" w:hAnsi="Verdana"/>
        </w:rPr>
      </w:pPr>
    </w:p>
    <w:p w14:paraId="0F293BF4" w14:textId="5FCEE4EB" w:rsidR="00127233" w:rsidRPr="00B76E5B" w:rsidRDefault="00127233" w:rsidP="00B76E5B"/>
    <w:sectPr w:rsidR="00127233" w:rsidRPr="00B76E5B" w:rsidSect="00A211EE">
      <w:headerReference w:type="default" r:id="rId16"/>
      <w:footerReference w:type="default" r:id="rId17"/>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C689CA" w14:textId="77777777" w:rsidR="005B7355" w:rsidRDefault="005B7355" w:rsidP="004A1847">
      <w:pPr>
        <w:spacing w:after="0" w:line="240" w:lineRule="auto"/>
      </w:pPr>
      <w:r>
        <w:separator/>
      </w:r>
    </w:p>
  </w:endnote>
  <w:endnote w:type="continuationSeparator" w:id="0">
    <w:p w14:paraId="299676E7" w14:textId="77777777" w:rsidR="005B7355" w:rsidRDefault="005B7355" w:rsidP="004A1847">
      <w:pPr>
        <w:spacing w:after="0" w:line="240" w:lineRule="auto"/>
      </w:pPr>
      <w:r>
        <w:continuationSeparator/>
      </w:r>
    </w:p>
  </w:endnote>
  <w:endnote w:type="continuationNotice" w:id="1">
    <w:p w14:paraId="4C52F0A8" w14:textId="77777777" w:rsidR="005B7355" w:rsidRDefault="005B73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DAF56" w14:textId="77777777" w:rsidR="00A211EE" w:rsidRDefault="00A211EE" w:rsidP="00A211EE">
    <w:pPr>
      <w:spacing w:after="0"/>
      <w:rPr>
        <w:rFonts w:ascii="Verdana" w:hAnsi="Verdana"/>
        <w:b/>
        <w:bCs/>
        <w:sz w:val="20"/>
        <w:szCs w:val="20"/>
      </w:rPr>
    </w:pPr>
  </w:p>
  <w:p w14:paraId="4DAEE7DC" w14:textId="43FD1F7C" w:rsidR="00A211EE" w:rsidRPr="00174B77" w:rsidRDefault="00A211EE"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A01C741" w14:textId="77777777" w:rsidR="00A211EE" w:rsidRDefault="00A211EE"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4145D2CB" w14:textId="77777777" w:rsidR="00A211EE" w:rsidRPr="00E41027" w:rsidRDefault="00A211EE" w:rsidP="00A211EE">
    <w:pPr>
      <w:spacing w:after="0"/>
      <w:jc w:val="both"/>
      <w:rPr>
        <w:rFonts w:ascii="Verdana" w:hAnsi="Verdana"/>
        <w:sz w:val="18"/>
        <w:szCs w:val="18"/>
      </w:rPr>
    </w:pPr>
    <w:r w:rsidRPr="00E41027">
      <w:rPr>
        <w:rFonts w:ascii="Verdana" w:hAnsi="Verdana"/>
        <w:sz w:val="18"/>
        <w:szCs w:val="18"/>
      </w:rPr>
      <w:t>Mesa de servicio: (+57) 601 7456788</w:t>
    </w:r>
  </w:p>
  <w:p w14:paraId="73EB2D37" w14:textId="3BAD4CB6" w:rsidR="00A211EE" w:rsidRPr="00A211EE" w:rsidRDefault="00A211EE"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744661F5" w14:textId="20328581" w:rsidR="006219F8" w:rsidRDefault="006219F8"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883A1F" w14:textId="77777777" w:rsidR="005B7355" w:rsidRDefault="005B7355" w:rsidP="004A1847">
      <w:pPr>
        <w:spacing w:after="0" w:line="240" w:lineRule="auto"/>
      </w:pPr>
      <w:r>
        <w:separator/>
      </w:r>
    </w:p>
  </w:footnote>
  <w:footnote w:type="continuationSeparator" w:id="0">
    <w:p w14:paraId="55A7EF18" w14:textId="77777777" w:rsidR="005B7355" w:rsidRDefault="005B7355" w:rsidP="004A1847">
      <w:pPr>
        <w:spacing w:after="0" w:line="240" w:lineRule="auto"/>
      </w:pPr>
      <w:r>
        <w:continuationSeparator/>
      </w:r>
    </w:p>
  </w:footnote>
  <w:footnote w:type="continuationNotice" w:id="1">
    <w:p w14:paraId="6E04D43D" w14:textId="77777777" w:rsidR="005B7355" w:rsidRDefault="005B7355">
      <w:pPr>
        <w:spacing w:after="0" w:line="240" w:lineRule="auto"/>
      </w:pPr>
    </w:p>
  </w:footnote>
  <w:footnote w:id="2">
    <w:p w14:paraId="4BB7CEA6"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Style w:val="Refdenotaalpie"/>
          <w:rFonts w:ascii="Arial" w:hAnsi="Arial" w:cs="Arial"/>
          <w:color w:val="000000" w:themeColor="text1"/>
          <w:sz w:val="19"/>
          <w:szCs w:val="19"/>
        </w:rPr>
        <w:footnoteRef/>
      </w:r>
      <w:r w:rsidRPr="00851936">
        <w:rPr>
          <w:rFonts w:ascii="Arial" w:hAnsi="Arial" w:cs="Arial"/>
          <w:color w:val="000000" w:themeColor="text1"/>
          <w:sz w:val="19"/>
          <w:szCs w:val="19"/>
        </w:rPr>
        <w:t xml:space="preserve"> Corte Constitucional. Sentencia C- 341 del 4 de junio de 2014. M. P. Mauricio González Cuervo.</w:t>
      </w:r>
    </w:p>
    <w:p w14:paraId="657F8859" w14:textId="77777777" w:rsidR="00B76E5B" w:rsidRPr="00851936" w:rsidRDefault="00B76E5B" w:rsidP="00B76E5B">
      <w:pPr>
        <w:pStyle w:val="Textonotapie"/>
        <w:ind w:right="49" w:firstLine="709"/>
        <w:jc w:val="both"/>
        <w:rPr>
          <w:rFonts w:ascii="Arial" w:hAnsi="Arial" w:cs="Arial"/>
          <w:color w:val="000000" w:themeColor="text1"/>
          <w:sz w:val="19"/>
          <w:szCs w:val="19"/>
        </w:rPr>
      </w:pPr>
    </w:p>
  </w:footnote>
  <w:footnote w:id="3">
    <w:p w14:paraId="689EBA90"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Style w:val="Refdenotaalpie"/>
          <w:rFonts w:ascii="Arial" w:hAnsi="Arial" w:cs="Arial"/>
          <w:color w:val="000000" w:themeColor="text1"/>
          <w:sz w:val="19"/>
          <w:szCs w:val="19"/>
        </w:rPr>
        <w:footnoteRef/>
      </w:r>
      <w:r w:rsidRPr="00851936">
        <w:rPr>
          <w:rFonts w:ascii="Arial" w:hAnsi="Arial" w:cs="Arial"/>
          <w:color w:val="000000" w:themeColor="text1"/>
          <w:sz w:val="19"/>
          <w:szCs w:val="19"/>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C68064C"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Fonts w:ascii="Arial" w:hAnsi="Arial" w:cs="Arial"/>
          <w:color w:val="000000" w:themeColor="text1"/>
          <w:sz w:val="19"/>
          <w:szCs w:val="19"/>
        </w:rPr>
        <w:t>» Lo anterior, sin perjuicio de las publicaciones previstas en el numeral 3 del artículo 30 de la Ley 80 de 1993.</w:t>
      </w:r>
    </w:p>
    <w:p w14:paraId="2DC65F3D"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Fonts w:ascii="Arial" w:hAnsi="Arial" w:cs="Arial"/>
          <w:color w:val="000000" w:themeColor="text1"/>
          <w:sz w:val="19"/>
          <w:szCs w:val="19"/>
        </w:rPr>
        <w:t xml:space="preserve">»Con el fin de materializar los objetivos a que se refiere el inciso anterior, el Gobierno Nacional desarrollará el Sistema Electrónico para la Contratación Pública, Secop, el cual: </w:t>
      </w:r>
    </w:p>
    <w:p w14:paraId="2E406188"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Fonts w:ascii="Arial" w:hAnsi="Arial" w:cs="Arial"/>
          <w:color w:val="000000" w:themeColor="text1"/>
          <w:sz w:val="19"/>
          <w:szCs w:val="19"/>
        </w:rPr>
        <w:t>[…]</w:t>
      </w:r>
    </w:p>
    <w:p w14:paraId="76EA64FC"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Fonts w:ascii="Arial" w:hAnsi="Arial" w:cs="Arial"/>
          <w:color w:val="000000" w:themeColor="text1"/>
          <w:sz w:val="19"/>
          <w:szCs w:val="19"/>
        </w:rPr>
        <w:t xml:space="preserve">»c) Contará con la información oficial de la contratación realizada con dineros públicos, para lo cual establecerá los patrones a que haya lugar y se encargará de su difusión a través de canales electrónico». </w:t>
      </w:r>
    </w:p>
    <w:p w14:paraId="19311BCC" w14:textId="77777777" w:rsidR="00B76E5B" w:rsidRPr="00851936" w:rsidRDefault="00B76E5B" w:rsidP="00B76E5B">
      <w:pPr>
        <w:pStyle w:val="Textonotapie"/>
        <w:ind w:right="49"/>
        <w:jc w:val="both"/>
        <w:rPr>
          <w:rFonts w:ascii="Arial" w:hAnsi="Arial" w:cs="Arial"/>
          <w:color w:val="000000" w:themeColor="text1"/>
          <w:sz w:val="19"/>
          <w:szCs w:val="19"/>
        </w:rPr>
      </w:pPr>
    </w:p>
  </w:footnote>
  <w:footnote w:id="4">
    <w:p w14:paraId="0C042B84" w14:textId="77777777" w:rsidR="00B76E5B" w:rsidRPr="00851936" w:rsidRDefault="00B76E5B" w:rsidP="00B76E5B">
      <w:pPr>
        <w:pStyle w:val="Textonotapie"/>
        <w:ind w:right="49" w:firstLine="709"/>
        <w:jc w:val="both"/>
        <w:rPr>
          <w:rFonts w:ascii="Arial" w:hAnsi="Arial" w:cs="Arial"/>
          <w:color w:val="000000" w:themeColor="text1"/>
          <w:sz w:val="19"/>
          <w:szCs w:val="19"/>
        </w:rPr>
      </w:pPr>
      <w:r w:rsidRPr="00851936">
        <w:rPr>
          <w:rStyle w:val="Refdenotaalpie"/>
          <w:rFonts w:ascii="Arial" w:hAnsi="Arial" w:cs="Arial"/>
          <w:color w:val="000000" w:themeColor="text1"/>
          <w:sz w:val="19"/>
          <w:szCs w:val="19"/>
        </w:rPr>
        <w:footnoteRef/>
      </w:r>
      <w:r w:rsidRPr="00851936">
        <w:rPr>
          <w:rFonts w:ascii="Arial" w:hAnsi="Arial" w:cs="Arial"/>
          <w:color w:val="000000" w:themeColor="text1"/>
          <w:sz w:val="19"/>
          <w:szCs w:val="19"/>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17062898" w14:textId="77777777" w:rsidR="00B76E5B" w:rsidRPr="00851936" w:rsidRDefault="00B76E5B" w:rsidP="00B76E5B">
      <w:pPr>
        <w:pStyle w:val="Textonotapie"/>
        <w:ind w:right="49" w:firstLine="709"/>
        <w:jc w:val="both"/>
        <w:rPr>
          <w:rFonts w:ascii="Arial" w:hAnsi="Arial" w:cs="Arial"/>
          <w:color w:val="000000" w:themeColor="text1"/>
          <w:sz w:val="19"/>
          <w:szCs w:val="19"/>
        </w:rPr>
      </w:pPr>
    </w:p>
  </w:footnote>
  <w:footnote w:id="5">
    <w:p w14:paraId="62500730" w14:textId="77777777" w:rsidR="00B76E5B" w:rsidRPr="0055553F" w:rsidRDefault="00B76E5B" w:rsidP="00B76E5B">
      <w:pPr>
        <w:pStyle w:val="Textonotapie"/>
        <w:rPr>
          <w:rFonts w:ascii="Verdana" w:hAnsi="Verdana" w:cs="Arial"/>
          <w:sz w:val="14"/>
          <w:szCs w:val="14"/>
        </w:rPr>
      </w:pPr>
      <w:r w:rsidRPr="0055553F">
        <w:rPr>
          <w:rStyle w:val="Refdenotaalpie"/>
          <w:rFonts w:ascii="Verdana" w:hAnsi="Verdana" w:cs="Arial"/>
          <w:sz w:val="14"/>
          <w:szCs w:val="14"/>
        </w:rPr>
        <w:footnoteRef/>
      </w:r>
      <w:r w:rsidRPr="0055553F">
        <w:rPr>
          <w:rFonts w:ascii="Verdana" w:hAnsi="Verdana" w:cs="Arial"/>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3330B094" w14:textId="77777777" w:rsidR="00B76E5B" w:rsidRPr="0055553F" w:rsidRDefault="00B76E5B" w:rsidP="00B76E5B">
      <w:pPr>
        <w:pStyle w:val="Textonotapie"/>
        <w:rPr>
          <w:rFonts w:ascii="Verdana" w:hAnsi="Verdana" w:cs="Arial"/>
          <w:sz w:val="14"/>
          <w:szCs w:val="14"/>
        </w:rPr>
      </w:pPr>
    </w:p>
  </w:footnote>
  <w:footnote w:id="6">
    <w:p w14:paraId="6DF2E612" w14:textId="77777777" w:rsidR="00B76E5B" w:rsidRPr="0055553F" w:rsidRDefault="00B76E5B" w:rsidP="00B76E5B">
      <w:pPr>
        <w:pStyle w:val="Textonotapie"/>
        <w:spacing w:after="240"/>
        <w:jc w:val="both"/>
        <w:rPr>
          <w:rFonts w:ascii="Verdana" w:hAnsi="Verdana" w:cs="Arial"/>
          <w:sz w:val="14"/>
          <w:szCs w:val="14"/>
        </w:rPr>
      </w:pPr>
      <w:r w:rsidRPr="0055553F">
        <w:rPr>
          <w:rStyle w:val="Refdenotaalpie"/>
          <w:rFonts w:ascii="Verdana" w:hAnsi="Verdana" w:cs="Arial"/>
          <w:sz w:val="14"/>
          <w:szCs w:val="14"/>
        </w:rPr>
        <w:footnoteRef/>
      </w:r>
      <w:r w:rsidRPr="0055553F">
        <w:rPr>
          <w:rFonts w:ascii="Verdana" w:hAnsi="Verdana" w:cs="Arial"/>
          <w:sz w:val="14"/>
          <w:szCs w:val="14"/>
        </w:rPr>
        <w:t xml:space="preserve"> Ley 1712 de 2014: “Artículo 5. Ámbito de aplicación. Las disposiciones de esta ley serán aplicables a las siguientes personas en calidad de sujetos obligados:</w:t>
      </w:r>
    </w:p>
    <w:p w14:paraId="1A71253F"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 a) Toda entidad pública, incluyendo las pertenecientes a todas las Ramas del Poder Público, en todos los niveles de la estructura estatal, central o descentralizada por servicios o territorialmente, en los órdenes nacional, departamental, municipal y distrital. </w:t>
      </w:r>
    </w:p>
    <w:p w14:paraId="01AE9A29"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b) Los órganos, organismos y entidades estatales independientes o autónomos y de control. </w:t>
      </w:r>
    </w:p>
    <w:p w14:paraId="225CDA2F"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c) Las personas naturales y jurídicas, públicas o privadas, que presten función pública, que presten servicios públicos respecto de la información directamente relacionada con la prestación del servicio público.</w:t>
      </w:r>
    </w:p>
    <w:p w14:paraId="5F2AF4E6"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 d) Cualquier persona natural, jurídica o dependencia de persona jurídica que desempeñe función pública o de autoridad pública, respecto de la información directamente relacionada con el desempeño de su función.</w:t>
      </w:r>
    </w:p>
    <w:p w14:paraId="0E01F266"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 e) Las empresas públicas creadas por ley, las empresas del Estado y sociedades en que este tenga participación.</w:t>
      </w:r>
    </w:p>
    <w:p w14:paraId="7BBCFA88"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 f) Los partidos o movimientos políticos y los grupos significativos de ciudadanos.</w:t>
      </w:r>
    </w:p>
    <w:p w14:paraId="1BE43E8D"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 g) Las entidades que administren instituciones parafiscales, fondos o recursos de naturaleza u origen público. </w:t>
      </w:r>
    </w:p>
    <w:p w14:paraId="1E40668A"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 xml:space="preserve">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 </w:t>
      </w:r>
    </w:p>
    <w:p w14:paraId="27AA8244" w14:textId="77777777" w:rsidR="00B76E5B" w:rsidRPr="0055553F" w:rsidRDefault="00B76E5B" w:rsidP="00B76E5B">
      <w:pPr>
        <w:pStyle w:val="Textonotapie"/>
        <w:spacing w:after="240"/>
        <w:jc w:val="both"/>
        <w:rPr>
          <w:rFonts w:ascii="Verdana" w:hAnsi="Verdana" w:cs="Arial"/>
          <w:sz w:val="14"/>
          <w:szCs w:val="14"/>
        </w:rPr>
      </w:pPr>
      <w:r w:rsidRPr="0055553F">
        <w:rPr>
          <w:rFonts w:ascii="Verdana" w:hAnsi="Verdana" w:cs="Arial"/>
          <w:sz w:val="14"/>
          <w:szCs w:val="14"/>
        </w:rPr>
        <w:t>PARÁGRAFO 1o. No serán sujetos obligados aquellas personas naturales o jurídicas de carácter privado que sean usuarios de información pública”.</w:t>
      </w:r>
    </w:p>
  </w:footnote>
  <w:footnote w:id="7">
    <w:p w14:paraId="53544524" w14:textId="77777777" w:rsidR="00B76E5B" w:rsidRPr="00A172E0" w:rsidRDefault="00B76E5B" w:rsidP="00B76E5B">
      <w:pPr>
        <w:pStyle w:val="Textonotapie"/>
        <w:ind w:firstLine="708"/>
        <w:jc w:val="both"/>
        <w:rPr>
          <w:rFonts w:ascii="Verdana" w:hAnsi="Verdana" w:cs="Arial"/>
          <w:sz w:val="18"/>
          <w:szCs w:val="18"/>
        </w:rPr>
      </w:pPr>
      <w:r w:rsidRPr="00A172E0">
        <w:rPr>
          <w:rStyle w:val="Refdenotaalpie"/>
          <w:rFonts w:ascii="Verdana" w:hAnsi="Verdana" w:cs="Arial"/>
          <w:sz w:val="18"/>
          <w:szCs w:val="18"/>
        </w:rPr>
        <w:footnoteRef/>
      </w:r>
      <w:r>
        <w:rPr>
          <w:rFonts w:ascii="Verdana" w:hAnsi="Verdana" w:cs="Arial"/>
          <w:sz w:val="18"/>
          <w:szCs w:val="18"/>
        </w:rPr>
        <w:t xml:space="preserve"> </w:t>
      </w:r>
      <w:r w:rsidRPr="00A172E0">
        <w:rPr>
          <w:rFonts w:ascii="Verdana" w:hAnsi="Verdana" w:cs="Arial"/>
          <w:sz w:val="18"/>
          <w:szCs w:val="18"/>
        </w:rPr>
        <w:t xml:space="preserve">Definición tomada </w:t>
      </w:r>
      <w:hyperlink r:id="rId1" w:anchor=":~:text=Muchos%20tienen%20diferentes%20conceptos%20sobre,en%20un%20sitio%20abierto%20o" w:history="1">
        <w:r w:rsidRPr="00A172E0">
          <w:rPr>
            <w:rStyle w:val="Hipervnculo"/>
            <w:rFonts w:ascii="Verdana" w:hAnsi="Verdana" w:cs="Arial"/>
            <w:sz w:val="18"/>
            <w:szCs w:val="18"/>
          </w:rPr>
          <w:t>https://www.culturarecreacionydeporte.gov.co/es/bogotanitos/bogodatos/las-plazas-de-mercado-de-bogota#:~:text=Muchos%20tienen%20diferentes%20conceptos%20sobre,en%20un%20sitio%20abierto%20o</w:t>
        </w:r>
      </w:hyperlink>
      <w:r w:rsidRPr="00A172E0">
        <w:rPr>
          <w:rFonts w:ascii="Verdana" w:hAnsi="Verdana" w:cs="Arial"/>
          <w:sz w:val="18"/>
          <w:szCs w:val="18"/>
        </w:rPr>
        <w:t xml:space="preserve"> </w:t>
      </w:r>
    </w:p>
    <w:p w14:paraId="62ED5922" w14:textId="77777777" w:rsidR="00B76E5B" w:rsidRPr="00A172E0" w:rsidRDefault="00B76E5B" w:rsidP="00B76E5B">
      <w:pPr>
        <w:pStyle w:val="Textonotapie"/>
        <w:ind w:firstLine="708"/>
        <w:jc w:val="both"/>
        <w:rPr>
          <w:rFonts w:ascii="Verdana" w:hAnsi="Verdana" w:cs="Arial"/>
          <w:sz w:val="18"/>
          <w:szCs w:val="18"/>
        </w:rPr>
      </w:pPr>
    </w:p>
  </w:footnote>
  <w:footnote w:id="8">
    <w:p w14:paraId="46814C23" w14:textId="77777777" w:rsidR="00B76E5B" w:rsidRPr="00A172E0" w:rsidRDefault="00B76E5B" w:rsidP="00B76E5B">
      <w:pPr>
        <w:pStyle w:val="Textonotapie"/>
        <w:ind w:firstLine="708"/>
        <w:rPr>
          <w:rFonts w:ascii="Verdana" w:hAnsi="Verdana" w:cs="Arial"/>
          <w:sz w:val="18"/>
          <w:szCs w:val="18"/>
        </w:rPr>
      </w:pPr>
      <w:r w:rsidRPr="00A172E0">
        <w:rPr>
          <w:rStyle w:val="Refdenotaalpie"/>
          <w:rFonts w:ascii="Verdana" w:hAnsi="Verdana" w:cs="Arial"/>
          <w:sz w:val="18"/>
          <w:szCs w:val="18"/>
        </w:rPr>
        <w:footnoteRef/>
      </w:r>
      <w:r w:rsidRPr="00A172E0">
        <w:rPr>
          <w:rFonts w:ascii="Verdana" w:hAnsi="Verdana" w:cs="Arial"/>
          <w:sz w:val="18"/>
          <w:szCs w:val="18"/>
        </w:rPr>
        <w:t xml:space="preserve"> Instituto para la Economía Social de la Alcaldía Mayor de Bogotá D.C. Resolución No. 290 de 2014. </w:t>
      </w:r>
      <w:r w:rsidRPr="00A172E0">
        <w:rPr>
          <w:rFonts w:ascii="Verdana" w:hAnsi="Verdana" w:cs="Arial"/>
          <w:i/>
          <w:iCs/>
          <w:sz w:val="18"/>
          <w:szCs w:val="18"/>
        </w:rPr>
        <w:t>“Por la cual se expide el Reglamento Administrativo, Operativo y de Mantenimiento de las Plazas de Mercado del Distrito Capital”.</w:t>
      </w:r>
      <w:r w:rsidRPr="00A172E0">
        <w:rPr>
          <w:rFonts w:ascii="Verdana" w:hAnsi="Verdana" w:cs="Arial"/>
          <w:sz w:val="18"/>
          <w:szCs w:val="18"/>
        </w:rPr>
        <w:t xml:space="preserve"> Artículo 3. </w:t>
      </w:r>
    </w:p>
    <w:p w14:paraId="6952ABEF" w14:textId="77777777" w:rsidR="00B76E5B" w:rsidRPr="00A172E0" w:rsidRDefault="00B76E5B" w:rsidP="00B76E5B">
      <w:pPr>
        <w:pStyle w:val="Textonotapie"/>
        <w:ind w:firstLine="708"/>
        <w:rPr>
          <w:rFonts w:ascii="Verdana" w:hAnsi="Verdana" w:cs="Arial"/>
          <w:sz w:val="18"/>
          <w:szCs w:val="18"/>
        </w:rPr>
      </w:pPr>
    </w:p>
  </w:footnote>
  <w:footnote w:id="9">
    <w:p w14:paraId="239AEC22" w14:textId="77777777" w:rsidR="00B76E5B" w:rsidRPr="00A172E0" w:rsidRDefault="00B76E5B" w:rsidP="00B76E5B">
      <w:pPr>
        <w:pStyle w:val="Textonotapie"/>
        <w:ind w:firstLine="708"/>
        <w:jc w:val="both"/>
        <w:rPr>
          <w:rFonts w:ascii="Verdana" w:hAnsi="Verdana" w:cs="Arial"/>
          <w:sz w:val="18"/>
          <w:szCs w:val="18"/>
        </w:rPr>
      </w:pPr>
      <w:r w:rsidRPr="00A172E0">
        <w:rPr>
          <w:rStyle w:val="Refdenotaalpie"/>
          <w:rFonts w:ascii="Verdana" w:hAnsi="Verdana" w:cs="Arial"/>
          <w:sz w:val="18"/>
          <w:szCs w:val="18"/>
        </w:rPr>
        <w:footnoteRef/>
      </w:r>
      <w:r w:rsidRPr="00A172E0">
        <w:rPr>
          <w:rFonts w:ascii="Verdana" w:hAnsi="Verdana" w:cs="Arial"/>
          <w:sz w:val="18"/>
          <w:szCs w:val="18"/>
        </w:rPr>
        <w:t xml:space="preserve"> Instituto para la Economía Social de la Alcaldía Mayor de Bogotá D.C. Resolución No. 267 de 2020. </w:t>
      </w:r>
      <w:r w:rsidRPr="00A172E0">
        <w:rPr>
          <w:rFonts w:ascii="Verdana" w:eastAsia="Calibri" w:hAnsi="Verdana" w:cs="Arial"/>
          <w:sz w:val="18"/>
          <w:szCs w:val="18"/>
          <w:lang w:val="es-ES_tradnl"/>
        </w:rPr>
        <w:t>“</w:t>
      </w:r>
      <w:r w:rsidRPr="00A172E0">
        <w:rPr>
          <w:rFonts w:ascii="Verdana" w:hAnsi="Verdana" w:cs="Arial"/>
          <w:sz w:val="18"/>
          <w:szCs w:val="18"/>
        </w:rPr>
        <w:t>Artículo 3. Plazas de Mercado Distritales, Definición, función y misión. Las plazas de mercado son actividades, de carácter permanente o itinerante, que reúnen a comerciantes en espacios públicos construidos a efectos de comercializar bienes y servicios primordialmente de abastecimiento alimentario, para el cumplimiento de la misión y función del Sistema Distrital de Plazas de Mercado. El Sistema de Plazas de Mercado de propiedad del Distrito Capital, es el conjunto de medidas y acciones operativas, técnicas, económicas y jurídicas, que favorecen la prestación del servicio de suministro de alimentos. La misión de las plazas de mercado distritales es implementar el Plan Maestro de Abastecimiento y seguridad Alimentaria para Bogotá - PMASAB - conforme a la Política Pública de Seguridad Alimentaria y Nutricional - CONPES 09 de 2019, y en aquellas plazas reconocidas como atractivo turístico de la ciudad coordinará con el Instituto Distrital de Turismo - IDT- su aprovechamiento turístico</w:t>
      </w:r>
      <w:r w:rsidRPr="00A172E0">
        <w:rPr>
          <w:rFonts w:ascii="Verdana" w:eastAsia="Calibri" w:hAnsi="Verdana" w:cs="Arial"/>
          <w:sz w:val="18"/>
          <w:szCs w:val="18"/>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26E0CE9D" w:rsidR="00756841" w:rsidRDefault="00A211EE">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1963371B" wp14:editId="240CF296">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6AB0A4A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6537681" w14:textId="77777777" w:rsidR="00A211EE" w:rsidRDefault="00A211EE" w:rsidP="00A211EE">
    <w:pPr>
      <w:spacing w:after="0"/>
      <w:rPr>
        <w:rFonts w:ascii="Verdana" w:hAnsi="Verdana"/>
        <w:b/>
        <w:bCs/>
        <w:sz w:val="24"/>
        <w:szCs w:val="24"/>
      </w:rPr>
    </w:pPr>
  </w:p>
  <w:p w14:paraId="56E67371" w14:textId="77777777" w:rsidR="00A211EE" w:rsidRDefault="00A211EE" w:rsidP="00A211EE">
    <w:pPr>
      <w:spacing w:after="0" w:line="120" w:lineRule="auto"/>
      <w:rPr>
        <w:rFonts w:ascii="Verdana" w:hAnsi="Verdana"/>
        <w:b/>
        <w:bCs/>
        <w:sz w:val="24"/>
        <w:szCs w:val="24"/>
      </w:rPr>
    </w:pPr>
  </w:p>
  <w:p w14:paraId="57EAD95F" w14:textId="77777777" w:rsidR="00C15107" w:rsidRDefault="00C15107" w:rsidP="00A211EE">
    <w:pPr>
      <w:spacing w:after="0" w:line="120" w:lineRule="auto"/>
      <w:rPr>
        <w:rFonts w:ascii="Verdana" w:hAnsi="Verdana"/>
        <w:b/>
        <w:bCs/>
        <w:sz w:val="24"/>
        <w:szCs w:val="24"/>
      </w:rPr>
    </w:pPr>
  </w:p>
  <w:p w14:paraId="49D18D3D" w14:textId="77777777" w:rsidR="00C15107" w:rsidRPr="00A211EE" w:rsidRDefault="00C15107"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3833D91"/>
    <w:multiLevelType w:val="hybridMultilevel"/>
    <w:tmpl w:val="180CE1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057956"/>
    <w:multiLevelType w:val="multilevel"/>
    <w:tmpl w:val="300E0C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247C28"/>
    <w:multiLevelType w:val="multilevel"/>
    <w:tmpl w:val="DF74E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72A90290"/>
    <w:multiLevelType w:val="hybridMultilevel"/>
    <w:tmpl w:val="0C80D4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41274352">
    <w:abstractNumId w:val="0"/>
  </w:num>
  <w:num w:numId="7" w16cid:durableId="1492209491">
    <w:abstractNumId w:val="6"/>
  </w:num>
  <w:num w:numId="8" w16cid:durableId="679089576">
    <w:abstractNumId w:val="8"/>
  </w:num>
  <w:num w:numId="9" w16cid:durableId="1215779694">
    <w:abstractNumId w:val="9"/>
  </w:num>
  <w:num w:numId="10" w16cid:durableId="1677924500">
    <w:abstractNumId w:val="2"/>
  </w:num>
  <w:num w:numId="11" w16cid:durableId="1018695830">
    <w:abstractNumId w:val="3"/>
  </w:num>
  <w:num w:numId="12" w16cid:durableId="16677859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712EE"/>
    <w:rsid w:val="000A683E"/>
    <w:rsid w:val="000B19B9"/>
    <w:rsid w:val="000D0334"/>
    <w:rsid w:val="000E4556"/>
    <w:rsid w:val="000F6486"/>
    <w:rsid w:val="00127233"/>
    <w:rsid w:val="00170201"/>
    <w:rsid w:val="001B52B0"/>
    <w:rsid w:val="001E4177"/>
    <w:rsid w:val="001E7CB4"/>
    <w:rsid w:val="00263855"/>
    <w:rsid w:val="00280048"/>
    <w:rsid w:val="00293F8C"/>
    <w:rsid w:val="002951A0"/>
    <w:rsid w:val="002962BC"/>
    <w:rsid w:val="002A49AC"/>
    <w:rsid w:val="002A64FD"/>
    <w:rsid w:val="002C7430"/>
    <w:rsid w:val="002C7A84"/>
    <w:rsid w:val="002F3FC8"/>
    <w:rsid w:val="002F4432"/>
    <w:rsid w:val="00364476"/>
    <w:rsid w:val="00391635"/>
    <w:rsid w:val="003A4D7A"/>
    <w:rsid w:val="003A779E"/>
    <w:rsid w:val="003D0F4D"/>
    <w:rsid w:val="003E0499"/>
    <w:rsid w:val="003F3941"/>
    <w:rsid w:val="0042560E"/>
    <w:rsid w:val="004A1847"/>
    <w:rsid w:val="004A305D"/>
    <w:rsid w:val="004F21C4"/>
    <w:rsid w:val="004F685F"/>
    <w:rsid w:val="00516CA1"/>
    <w:rsid w:val="00516F79"/>
    <w:rsid w:val="005566E8"/>
    <w:rsid w:val="00574867"/>
    <w:rsid w:val="00594DCF"/>
    <w:rsid w:val="005B7355"/>
    <w:rsid w:val="005C5CDC"/>
    <w:rsid w:val="005C6095"/>
    <w:rsid w:val="005D476C"/>
    <w:rsid w:val="005E5DA4"/>
    <w:rsid w:val="005F04DD"/>
    <w:rsid w:val="006219F8"/>
    <w:rsid w:val="00665D70"/>
    <w:rsid w:val="00694F62"/>
    <w:rsid w:val="006F1A1E"/>
    <w:rsid w:val="00706C16"/>
    <w:rsid w:val="00756841"/>
    <w:rsid w:val="00762804"/>
    <w:rsid w:val="007649AB"/>
    <w:rsid w:val="007833AC"/>
    <w:rsid w:val="007C3DC2"/>
    <w:rsid w:val="007D375C"/>
    <w:rsid w:val="007E5497"/>
    <w:rsid w:val="00806F5F"/>
    <w:rsid w:val="00820278"/>
    <w:rsid w:val="008250F1"/>
    <w:rsid w:val="00860748"/>
    <w:rsid w:val="008843B6"/>
    <w:rsid w:val="00891928"/>
    <w:rsid w:val="008A446D"/>
    <w:rsid w:val="008B5C99"/>
    <w:rsid w:val="008F0EA7"/>
    <w:rsid w:val="0091596E"/>
    <w:rsid w:val="00923EEF"/>
    <w:rsid w:val="009419F9"/>
    <w:rsid w:val="00961B09"/>
    <w:rsid w:val="00962498"/>
    <w:rsid w:val="00965334"/>
    <w:rsid w:val="0097093E"/>
    <w:rsid w:val="009C71FA"/>
    <w:rsid w:val="009C72E7"/>
    <w:rsid w:val="00A17F13"/>
    <w:rsid w:val="00A20739"/>
    <w:rsid w:val="00A211EE"/>
    <w:rsid w:val="00A33C78"/>
    <w:rsid w:val="00A53CE0"/>
    <w:rsid w:val="00A84F8D"/>
    <w:rsid w:val="00AB0ADB"/>
    <w:rsid w:val="00AD788A"/>
    <w:rsid w:val="00B16D42"/>
    <w:rsid w:val="00B675BC"/>
    <w:rsid w:val="00B72CD3"/>
    <w:rsid w:val="00B72FFF"/>
    <w:rsid w:val="00B73AF8"/>
    <w:rsid w:val="00B76E5B"/>
    <w:rsid w:val="00BD4A47"/>
    <w:rsid w:val="00BD7F72"/>
    <w:rsid w:val="00C15107"/>
    <w:rsid w:val="00C24BBE"/>
    <w:rsid w:val="00C330EB"/>
    <w:rsid w:val="00C754BE"/>
    <w:rsid w:val="00CB6357"/>
    <w:rsid w:val="00CC1B26"/>
    <w:rsid w:val="00CD77D3"/>
    <w:rsid w:val="00D423A2"/>
    <w:rsid w:val="00D63AC2"/>
    <w:rsid w:val="00D7383B"/>
    <w:rsid w:val="00D825F4"/>
    <w:rsid w:val="00D83E2D"/>
    <w:rsid w:val="00DD28D8"/>
    <w:rsid w:val="00E009FC"/>
    <w:rsid w:val="00E10726"/>
    <w:rsid w:val="00E16408"/>
    <w:rsid w:val="00E20894"/>
    <w:rsid w:val="00E245AB"/>
    <w:rsid w:val="00E50AFE"/>
    <w:rsid w:val="00E70AF3"/>
    <w:rsid w:val="00E771DC"/>
    <w:rsid w:val="00E8772A"/>
    <w:rsid w:val="00E90F6B"/>
    <w:rsid w:val="00E92C27"/>
    <w:rsid w:val="00E93683"/>
    <w:rsid w:val="00EA0E3D"/>
    <w:rsid w:val="00EE1AA8"/>
    <w:rsid w:val="00EF4AAB"/>
    <w:rsid w:val="00F15DFD"/>
    <w:rsid w:val="00F31EDC"/>
    <w:rsid w:val="00F5664F"/>
    <w:rsid w:val="00F76AFC"/>
    <w:rsid w:val="00F76FB5"/>
    <w:rsid w:val="00FB5DD1"/>
    <w:rsid w:val="00FC2B5D"/>
    <w:rsid w:val="00FC5592"/>
    <w:rsid w:val="00FE4892"/>
    <w:rsid w:val="00FF1449"/>
    <w:rsid w:val="0397209A"/>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DEBE633-131D-410E-B89B-58D1CAB31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B76E5B"/>
    <w:rPr>
      <w:color w:val="0000FF"/>
      <w:u w:val="single"/>
    </w:rPr>
  </w:style>
  <w:style w:type="paragraph" w:styleId="Sinespaciado">
    <w:name w:val="No Spacing"/>
    <w:uiPriority w:val="1"/>
    <w:qFormat/>
    <w:rsid w:val="00B76E5B"/>
    <w:pPr>
      <w:spacing w:after="0" w:line="240" w:lineRule="auto"/>
    </w:pPr>
  </w:style>
  <w:style w:type="paragraph" w:customStyle="1" w:styleId="Appelnotedebasde">
    <w:name w:val="Appel note de bas de..."/>
    <w:basedOn w:val="Normal"/>
    <w:link w:val="Refdenotaalpie"/>
    <w:uiPriority w:val="99"/>
    <w:rsid w:val="00B76E5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76E5B"/>
    <w:rPr>
      <w:rFonts w:ascii="Geomanist Light" w:hAnsi="Geomanist Light"/>
      <w:lang w:val="es-ES"/>
    </w:rPr>
  </w:style>
  <w:style w:type="character" w:styleId="Textoennegrita">
    <w:name w:val="Strong"/>
    <w:basedOn w:val="Fuentedeprrafopredeter"/>
    <w:uiPriority w:val="22"/>
    <w:qFormat/>
    <w:rsid w:val="00B76E5B"/>
    <w:rPr>
      <w:b/>
      <w:bCs/>
    </w:rPr>
  </w:style>
  <w:style w:type="paragraph" w:customStyle="1" w:styleId="xmsonormal">
    <w:name w:val="x_msonormal"/>
    <w:basedOn w:val="Normal"/>
    <w:rsid w:val="00694F62"/>
    <w:pPr>
      <w:spacing w:after="0" w:line="240" w:lineRule="auto"/>
    </w:pPr>
    <w:rPr>
      <w:rFonts w:ascii="Aptos" w:hAnsi="Aptos" w:cs="Aptos"/>
      <w:sz w:val="24"/>
      <w:szCs w:val="24"/>
      <w:lang w:eastAsia="es-CO"/>
    </w:rPr>
  </w:style>
  <w:style w:type="paragraph" w:customStyle="1" w:styleId="xmsolistparagraph">
    <w:name w:val="x_msolistparagraph"/>
    <w:basedOn w:val="Normal"/>
    <w:rsid w:val="00694F62"/>
    <w:pPr>
      <w:spacing w:after="0" w:line="240" w:lineRule="auto"/>
      <w:ind w:left="720"/>
    </w:pPr>
    <w:rPr>
      <w:rFonts w:ascii="Aptos" w:hAnsi="Aptos" w:cs="Aptos"/>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5450657">
      <w:bodyDiv w:val="1"/>
      <w:marLeft w:val="0"/>
      <w:marRight w:val="0"/>
      <w:marTop w:val="0"/>
      <w:marBottom w:val="0"/>
      <w:divBdr>
        <w:top w:val="none" w:sz="0" w:space="0" w:color="auto"/>
        <w:left w:val="none" w:sz="0" w:space="0" w:color="auto"/>
        <w:bottom w:val="none" w:sz="0" w:space="0" w:color="auto"/>
        <w:right w:val="none" w:sz="0" w:space="0" w:color="auto"/>
      </w:divBdr>
    </w:div>
    <w:div w:id="544220673">
      <w:bodyDiv w:val="1"/>
      <w:marLeft w:val="0"/>
      <w:marRight w:val="0"/>
      <w:marTop w:val="0"/>
      <w:marBottom w:val="0"/>
      <w:divBdr>
        <w:top w:val="none" w:sz="0" w:space="0" w:color="auto"/>
        <w:left w:val="none" w:sz="0" w:space="0" w:color="auto"/>
        <w:bottom w:val="none" w:sz="0" w:space="0" w:color="auto"/>
        <w:right w:val="none" w:sz="0" w:space="0" w:color="auto"/>
      </w:divBdr>
    </w:div>
    <w:div w:id="837841387">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447582299">
      <w:bodyDiv w:val="1"/>
      <w:marLeft w:val="0"/>
      <w:marRight w:val="0"/>
      <w:marTop w:val="0"/>
      <w:marBottom w:val="0"/>
      <w:divBdr>
        <w:top w:val="none" w:sz="0" w:space="0" w:color="auto"/>
        <w:left w:val="none" w:sz="0" w:space="0" w:color="auto"/>
        <w:bottom w:val="none" w:sz="0" w:space="0" w:color="auto"/>
        <w:right w:val="none" w:sz="0" w:space="0" w:color="auto"/>
      </w:divBdr>
    </w:div>
    <w:div w:id="2033333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cce_infografias%2Fidt_cambios_secop_ii.pdf&amp;data=05%7C02%7Candres.cabarcas%40colombiacompra.gov.co%7C1191c7e4bc554b41821c08dca0598ace%7C7b09041e245149d08cb179d5e3d8c1be%7C0%7C0%7C638561553692394043%7CUnknown%7CTWFpbGZsb3d8eyJWIjoiMC4wLjAwMDAiLCJQIjoiV2luMzIiLCJBTiI6Ik1haWwiLCJXVCI6Mn0%3D%7C0%7C%7C%7C&amp;sdata=makolFvaxqMKvFgAVPvsJxkqVJnZ7KT95uUIywN4h%2Fw%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colombiacompra.gov.co%2Fsecop-ii%2Feres-formador-del-secop-ii-encuentra-material-de-apoyo-aqui&amp;data=05%7C02%7Candres.cabarcas%40colombiacompra.gov.co%7C1191c7e4bc554b41821c08dca0598ace%7C7b09041e245149d08cb179d5e3d8c1be%7C0%7C0%7C638561553692378814%7CUnknown%7CTWFpbGZsb3d8eyJWIjoiMC4wLjAwMDAiLCJQIjoiV2luMzIiLCJBTiI6Ik1haWwiLCJXVCI6Mn0%3D%7C0%7C%7C%7C&amp;sdata=aNbtqOXtcmBqCPb2E%2BrOOizSRVJC5LBJItZwaoAV8OU%3D&amp;reserved=0"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ala-de-prensa/boletin-digita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ulturarecreacionydeporte.gov.co/es/bogotanitos/bogodatos/las-plazas-de-mercado-de-bogot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SharedWithUsers xmlns="a6cb9e4b-f1d1-4245-83ec-6cad768d538a">
      <UserInfo>
        <DisplayName>Andrés Ricardo Cabarcas Thorne</DisplayName>
        <AccountId>736</AccountId>
        <AccountType/>
      </UserInfo>
      <UserInfo>
        <DisplayName>Libardo Alberto Verjel De Filippis</DisplayName>
        <AccountId>226</AccountId>
        <AccountType/>
      </UserInfo>
    </SharedWithUsers>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235339-776A-4318-BD4E-2676844FC7D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13</Pages>
  <Words>4057</Words>
  <Characters>22318</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2023-01-10T18:18:00Z</cp:lastPrinted>
  <dcterms:created xsi:type="dcterms:W3CDTF">2024-07-09T22:38:00Z</dcterms:created>
  <dcterms:modified xsi:type="dcterms:W3CDTF">2024-07-23T14:42:00Z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