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F1CA7" w14:textId="77777777" w:rsidR="00F7025D" w:rsidRPr="00D6662D" w:rsidRDefault="00F7025D" w:rsidP="00F7025D">
      <w:pPr>
        <w:jc w:val="both"/>
        <w:rPr>
          <w:rFonts w:ascii="Verdana" w:hAnsi="Verdana" w:cs="Arial"/>
          <w:b/>
          <w:bCs/>
        </w:rPr>
      </w:pPr>
      <w:r w:rsidRPr="00D6662D">
        <w:rPr>
          <w:rFonts w:ascii="Verdana" w:hAnsi="Verdana" w:cs="Arial"/>
          <w:b/>
          <w:bCs/>
        </w:rPr>
        <w:t xml:space="preserve">RIESGOS – Normativa </w:t>
      </w:r>
    </w:p>
    <w:p w14:paraId="54AB07EF" w14:textId="77777777" w:rsidR="00F7025D" w:rsidRPr="00D6662D" w:rsidRDefault="00F7025D" w:rsidP="00F7025D">
      <w:pPr>
        <w:jc w:val="both"/>
        <w:rPr>
          <w:rFonts w:ascii="Verdana" w:hAnsi="Verdana" w:cs="Arial"/>
        </w:rPr>
      </w:pPr>
      <w:r w:rsidRPr="00D6662D">
        <w:rPr>
          <w:rFonts w:ascii="Verdana" w:hAnsi="Verdana" w:cs="Arial"/>
        </w:rPr>
        <w:t>[…] la expedición de la Ley 1150 de 2007 se propendió porque durante la planeación de los procesos de contratación las entidades estatales estimaran de forma anticipada las posibles eventualidades que puedan generarse durante la ejecución del contrato. […] Como resultado de la promulgación de la Ley 1150 de 2007, en relación con los riesgos, el artículo 4, obliga a las entidades estatales a estimar, tipificar y asignar los riesgos parte del contrato dentro de los pliegos de condiciones o en sus equivalentes. […] Por su parte, el Decreto 1082 de 2015 reiteró, en los siguientes términos, la obligación que tienen las entidades estatales de tipificar, estimar y asignar los riesgos previsibles que surjan durante la ejecución contractual dentro del pliego de condiciones</w:t>
      </w:r>
    </w:p>
    <w:p w14:paraId="405C50CA" w14:textId="77777777" w:rsidR="00F7025D" w:rsidRPr="00D6662D" w:rsidRDefault="00F7025D" w:rsidP="00F7025D">
      <w:pPr>
        <w:jc w:val="both"/>
        <w:rPr>
          <w:rFonts w:ascii="Verdana" w:hAnsi="Verdana" w:cs="Arial"/>
          <w:b/>
          <w:bCs/>
        </w:rPr>
      </w:pPr>
      <w:r w:rsidRPr="00D6662D">
        <w:rPr>
          <w:rFonts w:ascii="Verdana" w:hAnsi="Verdana" w:cs="Arial"/>
          <w:b/>
          <w:bCs/>
        </w:rPr>
        <w:t>RIESGOS – CONPES – Definición</w:t>
      </w:r>
    </w:p>
    <w:p w14:paraId="30941D9D" w14:textId="77777777" w:rsidR="00F7025D" w:rsidRPr="00D6662D" w:rsidRDefault="00F7025D" w:rsidP="00F7025D">
      <w:pPr>
        <w:jc w:val="both"/>
        <w:textAlignment w:val="baseline"/>
        <w:rPr>
          <w:rFonts w:ascii="Verdana" w:hAnsi="Verdana" w:cs="Arial"/>
        </w:rPr>
      </w:pPr>
      <w:r w:rsidRPr="00D6662D">
        <w:rPr>
          <w:rFonts w:ascii="Verdana" w:hAnsi="Verdana" w:cs="Arial"/>
        </w:rPr>
        <w:t xml:space="preserve">[…] con la expedición del CONPES 3107 de 2011 se establecieron lineamientos en materia de «Política de Manejo de Riesgo Contractual del Estado para Procesos de Participación Privada en Infraestructura» […] de tal forma, el CONPES estableció que en la medida que «una asignación adecuada de los riesgos minimiza el costo de su mitigación» es necesario que los riesgos sean asumidos por quién mejor los controla en la relación contractual, lo que implica que sean asignados e identificados correctamente. […] 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 </w:t>
      </w:r>
    </w:p>
    <w:p w14:paraId="3D40EDC5" w14:textId="77777777" w:rsidR="00F7025D" w:rsidRPr="00D6662D" w:rsidRDefault="00F7025D" w:rsidP="00F7025D">
      <w:pPr>
        <w:jc w:val="both"/>
        <w:rPr>
          <w:rFonts w:ascii="Verdana" w:hAnsi="Verdana" w:cs="Arial"/>
        </w:rPr>
      </w:pPr>
      <w:r w:rsidRPr="00D6662D">
        <w:rPr>
          <w:rFonts w:ascii="Verdana" w:hAnsi="Verdana" w:cs="Arial"/>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w:t>
      </w:r>
      <w:r w:rsidRPr="00D6662D">
        <w:rPr>
          <w:rFonts w:ascii="Verdana" w:hAnsi="Verdana" w:cs="Arial"/>
        </w:rPr>
        <w:lastRenderedPageBreak/>
        <w:t xml:space="preserve">precontractual para el establecimiento de los riesgos previsibles de la contratación». </w:t>
      </w:r>
    </w:p>
    <w:p w14:paraId="7EEE815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Decreto Ley 4170 de 2011 – Naturaleza jurídica – Objeto</w:t>
      </w:r>
    </w:p>
    <w:p w14:paraId="1EE41011" w14:textId="77777777" w:rsidR="00F7025D" w:rsidRPr="00D6662D" w:rsidRDefault="00F7025D" w:rsidP="00F7025D">
      <w:pPr>
        <w:jc w:val="both"/>
        <w:rPr>
          <w:rFonts w:ascii="Verdana" w:hAnsi="Verdana" w:cs="Arial"/>
        </w:rPr>
      </w:pPr>
      <w:r w:rsidRPr="00D6662D">
        <w:rPr>
          <w:rFonts w:ascii="Verdana"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2E491798" w14:textId="77777777" w:rsidR="00F7025D" w:rsidRPr="00D6662D" w:rsidRDefault="00F7025D" w:rsidP="00F7025D">
      <w:pPr>
        <w:jc w:val="both"/>
        <w:rPr>
          <w:rFonts w:ascii="Verdana" w:hAnsi="Verdana" w:cs="Arial"/>
        </w:rPr>
      </w:pPr>
      <w:r w:rsidRPr="00D6662D">
        <w:rPr>
          <w:rFonts w:ascii="Verdana" w:hAnsi="Verdana" w:cs="Aria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451AFDA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Funciones – Expedición – Guías – Manuales – Circulares</w:t>
      </w:r>
    </w:p>
    <w:p w14:paraId="3780FA68" w14:textId="77777777" w:rsidR="00F7025D" w:rsidRPr="00D6662D" w:rsidRDefault="00F7025D" w:rsidP="00F7025D">
      <w:pPr>
        <w:pStyle w:val="Textoindependiente"/>
        <w:jc w:val="both"/>
        <w:rPr>
          <w:rFonts w:ascii="Verdana" w:hAnsi="Verdana" w:cs="Arial"/>
        </w:rPr>
      </w:pPr>
      <w:r w:rsidRPr="00D6662D">
        <w:rPr>
          <w:rFonts w:ascii="Verdana" w:hAnsi="Verdana" w:cs="Arial"/>
        </w:rPr>
        <w:t>En ejercicio de estas competencias conferidas por el Decreto Ley 4170 de 2011, Colombia Compra Eficiente ha expedido Guías, Manuales, Circulares y los Documentos Tipo, los cuales pueden ser calificados como herramientas de apoyo a los partícipes de la contratación pública.</w:t>
      </w:r>
    </w:p>
    <w:p w14:paraId="6A13375A" w14:textId="77777777" w:rsidR="00F7025D" w:rsidRPr="00D6662D" w:rsidRDefault="00F7025D" w:rsidP="00F7025D">
      <w:pPr>
        <w:jc w:val="both"/>
        <w:rPr>
          <w:rFonts w:ascii="Verdana" w:hAnsi="Verdana" w:cs="Arial"/>
          <w:b/>
        </w:rPr>
      </w:pPr>
      <w:r w:rsidRPr="00D6662D">
        <w:rPr>
          <w:rFonts w:ascii="Verdana" w:hAnsi="Verdana" w:cs="Arial"/>
          <w:b/>
        </w:rPr>
        <w:t>MANUALES – Colombia Compra Eficiente – Definición</w:t>
      </w:r>
    </w:p>
    <w:p w14:paraId="7E3F7426" w14:textId="77777777" w:rsidR="00F7025D" w:rsidRPr="00D6662D" w:rsidRDefault="00F7025D" w:rsidP="00F7025D">
      <w:pPr>
        <w:jc w:val="both"/>
        <w:rPr>
          <w:rFonts w:ascii="Verdana" w:hAnsi="Verdana" w:cs="Arial"/>
        </w:rPr>
      </w:pPr>
      <w:r w:rsidRPr="00D6662D">
        <w:rPr>
          <w:rFonts w:ascii="Verdana" w:hAnsi="Verdana" w:cs="Arial"/>
        </w:rPr>
        <w:t xml:space="preserve">[…]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w:t>
      </w:r>
      <w:r w:rsidRPr="00D6662D">
        <w:rPr>
          <w:rFonts w:ascii="Verdana" w:hAnsi="Verdana" w:cs="Arial"/>
        </w:rPr>
        <w:lastRenderedPageBreak/>
        <w:t>verificar los requisitos habilitantes o para el manejo de los acuerdos comerciales en los procesos de contratación.</w:t>
      </w:r>
    </w:p>
    <w:p w14:paraId="6357CAB1" w14:textId="77777777" w:rsidR="00F7025D" w:rsidRPr="00D6662D" w:rsidRDefault="00F7025D" w:rsidP="00F7025D">
      <w:pPr>
        <w:jc w:val="both"/>
        <w:rPr>
          <w:rFonts w:ascii="Verdana" w:hAnsi="Verdana" w:cs="Arial"/>
          <w:b/>
          <w:bCs/>
        </w:rPr>
      </w:pPr>
      <w:r w:rsidRPr="00D6662D">
        <w:rPr>
          <w:rFonts w:ascii="Verdana" w:hAnsi="Verdana" w:cs="Arial"/>
          <w:b/>
          <w:bCs/>
        </w:rPr>
        <w:t>OBLIGATORIEDAD – Actos – Colombia Compra Eficiente</w:t>
      </w:r>
    </w:p>
    <w:p w14:paraId="3A07CFED" w14:textId="77777777" w:rsidR="00F7025D" w:rsidRPr="00D6662D" w:rsidRDefault="00F7025D" w:rsidP="00F7025D">
      <w:pPr>
        <w:jc w:val="both"/>
        <w:rPr>
          <w:rFonts w:ascii="Verdana" w:hAnsi="Verdana" w:cs="Arial"/>
        </w:rPr>
      </w:pPr>
      <w:r w:rsidRPr="00D6662D">
        <w:rPr>
          <w:rFonts w:ascii="Verdana" w:hAnsi="Verdana" w:cs="Arial"/>
        </w:rPr>
        <w:t xml:space="preserve">En otras palabras, lo que define la obligatoriedad de determinado acto que expida la entidad no es que se adopte mediante Circular Externa, sino que el contenido sea de aquellos cuya regulación ha sido encargada por el legislador o el </w:t>
      </w:r>
      <w:proofErr w:type="gramStart"/>
      <w:r w:rsidRPr="00D6662D">
        <w:rPr>
          <w:rFonts w:ascii="Verdana" w:hAnsi="Verdana" w:cs="Arial"/>
        </w:rPr>
        <w:t>Presidente</w:t>
      </w:r>
      <w:proofErr w:type="gramEnd"/>
      <w:r w:rsidRPr="00D6662D">
        <w:rPr>
          <w:rFonts w:ascii="Verdana" w:hAnsi="Verdana" w:cs="Arial"/>
        </w:rPr>
        <w:t xml:space="preserve"> de la República a la Agencia Nacional de Contratación Pública. Lo anterior hace referencia a uno de los elementos de los actos administrativos: la competencia.</w:t>
      </w:r>
    </w:p>
    <w:p w14:paraId="58C098F4" w14:textId="77777777" w:rsidR="00F7025D" w:rsidRPr="00D6662D" w:rsidRDefault="00F7025D" w:rsidP="00F7025D">
      <w:pPr>
        <w:jc w:val="both"/>
        <w:rPr>
          <w:rFonts w:ascii="Verdana" w:hAnsi="Verdana" w:cs="Arial"/>
        </w:rPr>
      </w:pPr>
      <w:r w:rsidRPr="00D6662D">
        <w:rPr>
          <w:rFonts w:ascii="Verdana"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6FB8AB05" w14:textId="77777777" w:rsidR="00F7025D" w:rsidRPr="00D6662D" w:rsidRDefault="00F7025D" w:rsidP="00F7025D">
      <w:pPr>
        <w:jc w:val="both"/>
        <w:rPr>
          <w:rFonts w:ascii="Verdana" w:hAnsi="Verdana" w:cs="Arial"/>
          <w:b/>
          <w:bCs/>
        </w:rPr>
      </w:pPr>
      <w:r w:rsidRPr="00D6662D">
        <w:rPr>
          <w:rFonts w:ascii="Verdana" w:hAnsi="Verdana" w:cs="Arial"/>
          <w:b/>
          <w:bCs/>
        </w:rPr>
        <w:t>MANUAL PARA LA IDENTIFICACIÓN Y COBERTURA DEL RIESGO EN LOS PROCESOS DE CONTRATACIÓN – No obligatoriedad – Nulidad – Norma que otorgaba competencia</w:t>
      </w:r>
    </w:p>
    <w:p w14:paraId="1A85CB9D"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19E115FC"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Por ello, al declararse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6B15371E" w14:textId="77777777" w:rsidR="00F7025D" w:rsidRPr="00D6662D" w:rsidRDefault="00F7025D" w:rsidP="00F7025D">
      <w:pPr>
        <w:jc w:val="both"/>
        <w:rPr>
          <w:rFonts w:ascii="Verdana" w:hAnsi="Verdana" w:cs="Arial"/>
        </w:rPr>
      </w:pPr>
    </w:p>
    <w:p w14:paraId="27F05A2F" w14:textId="77777777" w:rsidR="00F7025D" w:rsidRPr="00D6662D" w:rsidRDefault="00F7025D" w:rsidP="00F7025D">
      <w:pPr>
        <w:jc w:val="both"/>
        <w:rPr>
          <w:rFonts w:ascii="Verdana" w:hAnsi="Verdana" w:cs="Arial"/>
        </w:rPr>
      </w:pPr>
    </w:p>
    <w:p w14:paraId="4AC08049" w14:textId="77777777" w:rsidR="00F7025D" w:rsidRPr="00D6662D" w:rsidRDefault="00F7025D" w:rsidP="00F7025D">
      <w:pPr>
        <w:spacing w:after="0" w:line="240" w:lineRule="auto"/>
        <w:rPr>
          <w:rFonts w:ascii="Verdana" w:eastAsia="Geomanist Light" w:hAnsi="Verdana" w:cs="Arial"/>
          <w:color w:val="000000" w:themeColor="text1"/>
        </w:rPr>
      </w:pPr>
    </w:p>
    <w:p w14:paraId="560647BC" w14:textId="77777777" w:rsidR="00F7025D" w:rsidRPr="00D6662D" w:rsidRDefault="00F7025D" w:rsidP="00F7025D">
      <w:pPr>
        <w:spacing w:after="0" w:line="240" w:lineRule="auto"/>
        <w:rPr>
          <w:rFonts w:ascii="Verdana" w:eastAsia="Geomanist Light" w:hAnsi="Verdana" w:cs="Arial"/>
          <w:color w:val="000000" w:themeColor="text1"/>
          <w:lang w:val="es-MX"/>
        </w:rPr>
      </w:pPr>
    </w:p>
    <w:p w14:paraId="49FAE19F"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38AE60F0"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14C9984E"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14E495E5"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0573674"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4CD0C5D3"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004206A6"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0005BD5D"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773E4EF5"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C6801BB"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D17367B"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6E91D476"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6B90B384"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943CA83"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8BCCB4C"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6DCFF5ED"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5E1A84B3"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3A61ADC1"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5053A013"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3330E660"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7602B2CF"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6092A968"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7579DE82"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5F5A185C"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1E657A6F"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3616B537"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032BDFF"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55AFB042"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5009BEE6"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20ED5F1D"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4D66A20B"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756356E9"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7F0A1D74"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4218F23D" w14:textId="77777777" w:rsidR="00F7025D" w:rsidRDefault="00F7025D" w:rsidP="00F7025D">
      <w:pPr>
        <w:spacing w:after="0" w:line="240" w:lineRule="auto"/>
        <w:rPr>
          <w:rFonts w:ascii="Verdana" w:eastAsia="Geomanist Light" w:hAnsi="Verdana" w:cs="Arial"/>
          <w:color w:val="000000" w:themeColor="text1"/>
          <w:lang w:val="es-MX"/>
        </w:rPr>
      </w:pPr>
    </w:p>
    <w:p w14:paraId="5211D4D1" w14:textId="77777777" w:rsidR="00F7025D" w:rsidRPr="00EF46B1" w:rsidRDefault="00F7025D" w:rsidP="00F7025D">
      <w:pPr>
        <w:spacing w:after="0" w:line="240" w:lineRule="auto"/>
        <w:rPr>
          <w:rFonts w:ascii="Verdana" w:eastAsia="Geomanist Light" w:hAnsi="Verdana" w:cs="Arial"/>
          <w:color w:val="000000" w:themeColor="text1"/>
          <w:lang w:val="es-MX"/>
        </w:rPr>
      </w:pPr>
    </w:p>
    <w:p w14:paraId="4FC1D0DD" w14:textId="4EBD07B2" w:rsidR="00F7025D" w:rsidRDefault="003B6A61" w:rsidP="00F7025D">
      <w:pPr>
        <w:spacing w:after="0" w:line="240" w:lineRule="auto"/>
        <w:jc w:val="both"/>
        <w:rPr>
          <w:rFonts w:ascii="Verdana" w:eastAsia="Geomanist Light" w:hAnsi="Verdana" w:cs="Arial"/>
          <w:color w:val="000000" w:themeColor="text1"/>
          <w:lang w:val="es-MX"/>
        </w:rPr>
      </w:pPr>
      <w:r w:rsidRPr="003B6A61">
        <w:rPr>
          <w:rFonts w:ascii="Verdana" w:eastAsia="Calibri" w:hAnsi="Verdana" w:cs="Arial"/>
          <w:color w:val="000000"/>
          <w:lang w:val="es-ES"/>
        </w:rPr>
        <w:lastRenderedPageBreak/>
        <w:drawing>
          <wp:anchor distT="0" distB="0" distL="114300" distR="114300" simplePos="0" relativeHeight="251658240" behindDoc="1" locked="0" layoutInCell="1" allowOverlap="1" wp14:anchorId="45098E63" wp14:editId="23BE8339">
            <wp:simplePos x="0" y="0"/>
            <wp:positionH relativeFrom="column">
              <wp:posOffset>3483166</wp:posOffset>
            </wp:positionH>
            <wp:positionV relativeFrom="paragraph">
              <wp:posOffset>-15420</wp:posOffset>
            </wp:positionV>
            <wp:extent cx="2581635" cy="743054"/>
            <wp:effectExtent l="0" t="0" r="0" b="0"/>
            <wp:wrapNone/>
            <wp:docPr id="18700420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42089"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581635" cy="743054"/>
                    </a:xfrm>
                    <a:prstGeom prst="rect">
                      <a:avLst/>
                    </a:prstGeom>
                  </pic:spPr>
                </pic:pic>
              </a:graphicData>
            </a:graphic>
          </wp:anchor>
        </w:drawing>
      </w:r>
      <w:r w:rsidRPr="003B6A61">
        <w:rPr>
          <w:rFonts w:ascii="Verdana" w:eastAsia="Geomanist Light" w:hAnsi="Verdana" w:cs="Arial"/>
          <w:color w:val="000000" w:themeColor="text1"/>
          <w:lang w:val="es-MX"/>
        </w:rPr>
        <w:t xml:space="preserve">Bogotá D.C., 16 </w:t>
      </w:r>
      <w:proofErr w:type="gramStart"/>
      <w:r w:rsidRPr="003B6A61">
        <w:rPr>
          <w:rFonts w:ascii="Verdana" w:eastAsia="Geomanist Light" w:hAnsi="Verdana" w:cs="Arial"/>
          <w:color w:val="000000" w:themeColor="text1"/>
          <w:lang w:val="es-MX"/>
        </w:rPr>
        <w:t>Agosto</w:t>
      </w:r>
      <w:proofErr w:type="gramEnd"/>
      <w:r w:rsidRPr="003B6A61">
        <w:rPr>
          <w:rFonts w:ascii="Verdana" w:eastAsia="Geomanist Light" w:hAnsi="Verdana" w:cs="Arial"/>
          <w:color w:val="000000" w:themeColor="text1"/>
          <w:lang w:val="es-MX"/>
        </w:rPr>
        <w:t xml:space="preserve"> 2024</w:t>
      </w:r>
    </w:p>
    <w:p w14:paraId="78C07001" w14:textId="442EB405" w:rsidR="003B6A61" w:rsidRPr="00D6662D" w:rsidRDefault="003B6A61" w:rsidP="00F7025D">
      <w:pPr>
        <w:spacing w:after="0" w:line="240" w:lineRule="auto"/>
        <w:jc w:val="both"/>
        <w:rPr>
          <w:rFonts w:ascii="Verdana" w:eastAsia="Calibri" w:hAnsi="Verdana" w:cs="Arial"/>
          <w:color w:val="000000"/>
          <w:lang w:val="es-ES"/>
        </w:rPr>
      </w:pPr>
    </w:p>
    <w:p w14:paraId="59768FB1" w14:textId="77777777" w:rsidR="00F7025D" w:rsidRPr="00D6662D" w:rsidRDefault="00F7025D" w:rsidP="00F7025D">
      <w:pPr>
        <w:spacing w:after="0" w:line="240" w:lineRule="auto"/>
        <w:jc w:val="both"/>
        <w:rPr>
          <w:rFonts w:ascii="Verdana" w:eastAsia="Calibri" w:hAnsi="Verdana" w:cs="Arial"/>
          <w:lang w:val="es-ES" w:eastAsia="es-ES"/>
        </w:rPr>
      </w:pPr>
      <w:r w:rsidRPr="00D6662D">
        <w:rPr>
          <w:rFonts w:ascii="Verdana" w:eastAsia="Calibri" w:hAnsi="Verdana" w:cs="Arial"/>
          <w:lang w:val="es-ES" w:eastAsia="es-ES"/>
        </w:rPr>
        <w:t>Señora:</w:t>
      </w:r>
    </w:p>
    <w:p w14:paraId="3473583C" w14:textId="77777777" w:rsidR="00F7025D" w:rsidRPr="00D6662D" w:rsidRDefault="00F7025D" w:rsidP="00F7025D">
      <w:pPr>
        <w:spacing w:after="0" w:line="240" w:lineRule="auto"/>
        <w:rPr>
          <w:rFonts w:ascii="Verdana" w:eastAsia="Calibri" w:hAnsi="Verdana" w:cs="Arial"/>
          <w:b/>
          <w:lang w:val="es-ES_tradnl" w:eastAsia="es-ES_tradnl"/>
        </w:rPr>
      </w:pPr>
      <w:r w:rsidRPr="00D6662D">
        <w:rPr>
          <w:rFonts w:ascii="Verdana" w:eastAsia="Calibri" w:hAnsi="Verdana" w:cs="Arial"/>
          <w:b/>
          <w:lang w:val="es-ES_tradnl" w:eastAsia="es-ES_tradnl"/>
        </w:rPr>
        <w:t>LUZ HELENA PATERMINA MORA</w:t>
      </w:r>
    </w:p>
    <w:p w14:paraId="480CD4F5" w14:textId="77777777" w:rsidR="00F7025D" w:rsidRPr="00D6662D" w:rsidRDefault="00F7025D" w:rsidP="00F7025D">
      <w:pPr>
        <w:spacing w:after="0" w:line="240" w:lineRule="auto"/>
        <w:rPr>
          <w:rFonts w:ascii="Verdana" w:eastAsia="Calibri" w:hAnsi="Verdana" w:cs="Arial"/>
          <w:bCs/>
          <w:lang w:val="es-ES_tradnl" w:eastAsia="es-ES_tradnl"/>
        </w:rPr>
      </w:pPr>
      <w:r w:rsidRPr="00D6662D">
        <w:rPr>
          <w:rFonts w:ascii="Verdana" w:eastAsia="Calibri" w:hAnsi="Verdana" w:cs="Arial"/>
          <w:bCs/>
          <w:lang w:val="es-ES_tradnl" w:eastAsia="es-ES_tradnl"/>
        </w:rPr>
        <w:t xml:space="preserve">Representante Legal </w:t>
      </w:r>
    </w:p>
    <w:p w14:paraId="2F5288B5" w14:textId="77777777" w:rsidR="00F7025D" w:rsidRPr="00D6662D" w:rsidRDefault="00F7025D" w:rsidP="00F7025D">
      <w:pPr>
        <w:spacing w:after="0" w:line="240" w:lineRule="auto"/>
        <w:rPr>
          <w:rFonts w:ascii="Verdana" w:eastAsia="Calibri" w:hAnsi="Verdana" w:cs="Arial"/>
          <w:u w:val="single"/>
          <w:lang w:val="es-ES" w:eastAsia="es-ES"/>
        </w:rPr>
      </w:pPr>
      <w:hyperlink r:id="rId12" w:history="1">
        <w:r w:rsidRPr="00D6662D">
          <w:rPr>
            <w:rStyle w:val="Hipervnculo"/>
            <w:rFonts w:ascii="Verdana" w:eastAsia="Calibri" w:hAnsi="Verdana" w:cs="Arial"/>
            <w:lang w:val="es-ES" w:eastAsia="es-ES"/>
          </w:rPr>
          <w:t>lepaternina@cdinfraestrutura.com.co</w:t>
        </w:r>
      </w:hyperlink>
    </w:p>
    <w:p w14:paraId="0C534918" w14:textId="77777777" w:rsidR="00F7025D" w:rsidRPr="00D6662D" w:rsidRDefault="00F7025D" w:rsidP="00F7025D">
      <w:pPr>
        <w:spacing w:after="0" w:line="240" w:lineRule="auto"/>
        <w:rPr>
          <w:rFonts w:ascii="Verdana" w:eastAsia="Calibri" w:hAnsi="Verdana" w:cs="Arial"/>
          <w:b/>
          <w:bCs/>
          <w:lang w:val="es-ES" w:eastAsia="es-ES"/>
        </w:rPr>
      </w:pPr>
      <w:r w:rsidRPr="00D6662D">
        <w:rPr>
          <w:rFonts w:ascii="Verdana" w:eastAsia="Calibri" w:hAnsi="Verdana" w:cs="Arial"/>
          <w:lang w:val="es-ES" w:eastAsia="es-ES"/>
        </w:rPr>
        <w:t>Bogotá D.C</w:t>
      </w:r>
    </w:p>
    <w:p w14:paraId="7227E02D"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p w14:paraId="7ED022F8"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F7025D" w:rsidRPr="00EF46B1" w14:paraId="51792BF8" w14:textId="77777777" w:rsidTr="00610E87">
        <w:trPr>
          <w:trHeight w:val="884"/>
        </w:trPr>
        <w:tc>
          <w:tcPr>
            <w:tcW w:w="2835" w:type="dxa"/>
          </w:tcPr>
          <w:p w14:paraId="11DA716B" w14:textId="77777777" w:rsidR="00F7025D" w:rsidRPr="00D6662D" w:rsidRDefault="00F7025D" w:rsidP="001C79B1">
            <w:pPr>
              <w:jc w:val="both"/>
              <w:rPr>
                <w:rFonts w:ascii="Verdana" w:eastAsia="Calibri" w:hAnsi="Verdana" w:cs="Arial"/>
                <w:b/>
                <w:bCs/>
                <w:highlight w:val="yellow"/>
                <w:lang w:val="es-ES_tradnl" w:eastAsia="es-ES_tradnl"/>
              </w:rPr>
            </w:pPr>
          </w:p>
        </w:tc>
        <w:tc>
          <w:tcPr>
            <w:tcW w:w="5954" w:type="dxa"/>
          </w:tcPr>
          <w:p w14:paraId="043DC9F3" w14:textId="6D6B2530" w:rsidR="00F7025D" w:rsidRPr="00E42DCA" w:rsidRDefault="00F7025D" w:rsidP="001C79B1">
            <w:pPr>
              <w:jc w:val="both"/>
              <w:rPr>
                <w:rFonts w:ascii="Verdana" w:eastAsia="Calibri" w:hAnsi="Verdana" w:cs="Arial"/>
                <w:b/>
                <w:bCs/>
                <w:lang w:val="es-ES" w:eastAsia="es-ES"/>
              </w:rPr>
            </w:pPr>
            <w:r w:rsidRPr="00E42DCA">
              <w:rPr>
                <w:rFonts w:ascii="Verdana" w:eastAsia="Calibri" w:hAnsi="Verdana" w:cs="Arial"/>
                <w:b/>
                <w:bCs/>
                <w:lang w:val="es-ES" w:eastAsia="es-ES"/>
              </w:rPr>
              <w:t>Concepto C- 2</w:t>
            </w:r>
            <w:r w:rsidR="00E92B49">
              <w:rPr>
                <w:rFonts w:ascii="Verdana" w:eastAsia="Calibri" w:hAnsi="Verdana" w:cs="Arial"/>
                <w:b/>
                <w:bCs/>
                <w:lang w:val="es-ES" w:eastAsia="es-ES"/>
              </w:rPr>
              <w:t>88</w:t>
            </w:r>
            <w:r w:rsidRPr="00E42DCA">
              <w:rPr>
                <w:rFonts w:ascii="Verdana" w:eastAsia="Calibri" w:hAnsi="Verdana" w:cs="Arial"/>
                <w:b/>
                <w:bCs/>
                <w:lang w:val="es-ES" w:eastAsia="es-ES"/>
              </w:rPr>
              <w:t xml:space="preserve"> de 2024</w:t>
            </w:r>
          </w:p>
        </w:tc>
      </w:tr>
      <w:tr w:rsidR="00F7025D" w:rsidRPr="00EF46B1" w14:paraId="576F3A4F" w14:textId="77777777" w:rsidTr="00610E87">
        <w:trPr>
          <w:trHeight w:val="884"/>
        </w:trPr>
        <w:tc>
          <w:tcPr>
            <w:tcW w:w="2835" w:type="dxa"/>
          </w:tcPr>
          <w:p w14:paraId="3098A7E1" w14:textId="77777777" w:rsidR="00F7025D" w:rsidRPr="00D6662D" w:rsidRDefault="00F7025D" w:rsidP="001C79B1">
            <w:pPr>
              <w:jc w:val="both"/>
              <w:rPr>
                <w:rFonts w:ascii="Verdana" w:eastAsia="Calibri" w:hAnsi="Verdana" w:cs="Arial"/>
                <w:color w:val="000000"/>
                <w:lang w:val="es-ES_tradnl" w:eastAsia="es-ES_tradnl"/>
              </w:rPr>
            </w:pPr>
            <w:r w:rsidRPr="00D6662D">
              <w:rPr>
                <w:rFonts w:ascii="Verdana" w:eastAsia="Calibri" w:hAnsi="Verdana" w:cs="Arial"/>
                <w:b/>
                <w:color w:val="000000"/>
                <w:lang w:val="es-ES_tradnl" w:eastAsia="es-ES_tradnl"/>
              </w:rPr>
              <w:t>Temas:</w:t>
            </w:r>
            <w:r w:rsidRPr="00D6662D">
              <w:rPr>
                <w:rFonts w:ascii="Verdana" w:eastAsia="Calibri" w:hAnsi="Verdana" w:cs="Arial"/>
                <w:color w:val="000000"/>
                <w:lang w:val="es-ES_tradnl" w:eastAsia="es-ES_tradnl"/>
              </w:rPr>
              <w:t xml:space="preserve">                   </w:t>
            </w:r>
          </w:p>
        </w:tc>
        <w:tc>
          <w:tcPr>
            <w:tcW w:w="5954" w:type="dxa"/>
          </w:tcPr>
          <w:p w14:paraId="6B6D33F5" w14:textId="77777777" w:rsidR="00F7025D" w:rsidRPr="00D6662D" w:rsidRDefault="00F7025D" w:rsidP="00610E87">
            <w:pPr>
              <w:spacing w:line="276" w:lineRule="auto"/>
              <w:ind w:left="708" w:hanging="708"/>
              <w:jc w:val="both"/>
              <w:rPr>
                <w:rFonts w:ascii="Verdana" w:eastAsia="Calibri" w:hAnsi="Verdana" w:cs="Arial"/>
                <w:lang w:val="es-ES" w:eastAsia="es-ES"/>
              </w:rPr>
            </w:pPr>
            <w:r w:rsidRPr="00D6662D">
              <w:rPr>
                <w:rFonts w:ascii="Verdana" w:eastAsia="Calibri" w:hAnsi="Verdana" w:cs="Arial"/>
                <w:lang w:val="es-ES" w:eastAsia="es-ES"/>
              </w:rPr>
              <w:t>RIESGOS – Normativa / RIESGOS – CONPES – Definición / COLOMBIA COMPRA EFICIENTE – Decreto Ley 4170 de 2011 – Naturaleza jurídica – Objeto / COLOMBIA COMPRA EFICIENTE – Funciones – Expedición – Guías – Manuales – Circulares / MANUALES – Colombia Compra Eficiente – Definición / GUÍAS – Colombia Compra Eficiente – Definición / OBLIGATORIEDAD – Actos – Colombia Compra Eficiente / MANUAL PARA LA IDENTIFICACIÓN Y COBERTURA DEL RIESGO EN LOS PROCESOS DE CONTRATACIÓN – No obligatoriedad.</w:t>
            </w:r>
          </w:p>
        </w:tc>
      </w:tr>
      <w:tr w:rsidR="00F7025D" w:rsidRPr="00EF46B1" w14:paraId="7867F9FB" w14:textId="77777777" w:rsidTr="00610E87">
        <w:tc>
          <w:tcPr>
            <w:tcW w:w="2835" w:type="dxa"/>
          </w:tcPr>
          <w:p w14:paraId="611CCFB9" w14:textId="77777777" w:rsidR="00F7025D" w:rsidRPr="00D6662D" w:rsidRDefault="00F7025D" w:rsidP="001C79B1">
            <w:pPr>
              <w:jc w:val="both"/>
              <w:rPr>
                <w:rFonts w:ascii="Verdana" w:eastAsia="Calibri" w:hAnsi="Verdana" w:cs="Arial"/>
                <w:b/>
                <w:lang w:val="es-ES_tradnl" w:eastAsia="es-ES_tradnl"/>
              </w:rPr>
            </w:pPr>
            <w:r w:rsidRPr="00D6662D">
              <w:rPr>
                <w:rFonts w:ascii="Verdana" w:eastAsia="Calibri" w:hAnsi="Verdana" w:cs="Arial"/>
                <w:b/>
                <w:lang w:val="es-ES_tradnl" w:eastAsia="es-ES_tradnl"/>
              </w:rPr>
              <w:t>Radicación:</w:t>
            </w:r>
            <w:r w:rsidRPr="00D6662D">
              <w:rPr>
                <w:rFonts w:ascii="Verdana" w:eastAsia="Calibri" w:hAnsi="Verdana" w:cs="Arial"/>
                <w:lang w:val="es-ES_tradnl" w:eastAsia="es-ES_tradnl"/>
              </w:rPr>
              <w:t xml:space="preserve">               </w:t>
            </w:r>
          </w:p>
        </w:tc>
        <w:tc>
          <w:tcPr>
            <w:tcW w:w="5954" w:type="dxa"/>
          </w:tcPr>
          <w:p w14:paraId="2959E30C" w14:textId="77777777" w:rsidR="00F7025D" w:rsidRPr="00D6662D" w:rsidRDefault="00F7025D" w:rsidP="001C79B1">
            <w:pPr>
              <w:jc w:val="both"/>
              <w:rPr>
                <w:rFonts w:ascii="Verdana" w:eastAsia="Calibri" w:hAnsi="Verdana" w:cs="Arial"/>
                <w:lang w:val="es-ES_tradnl" w:eastAsia="es-ES_tradnl"/>
              </w:rPr>
            </w:pPr>
            <w:r w:rsidRPr="00D6662D">
              <w:rPr>
                <w:rFonts w:ascii="Verdana" w:eastAsia="Calibri" w:hAnsi="Verdana" w:cs="Arial"/>
                <w:lang w:val="es-ES_tradnl" w:eastAsia="es-ES_tradnl"/>
              </w:rPr>
              <w:t>Respuesta a consulta con radicado No. P202</w:t>
            </w:r>
            <w:r>
              <w:rPr>
                <w:rFonts w:ascii="Verdana" w:eastAsia="Calibri" w:hAnsi="Verdana" w:cs="Arial"/>
                <w:lang w:val="es-ES_tradnl" w:eastAsia="es-ES_tradnl"/>
              </w:rPr>
              <w:t>407030067</w:t>
            </w:r>
          </w:p>
        </w:tc>
      </w:tr>
    </w:tbl>
    <w:p w14:paraId="47EDFBFB"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0FE8B84F"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6DF3664B"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 xml:space="preserve">Estimada señora </w:t>
      </w:r>
      <w:proofErr w:type="spellStart"/>
      <w:r>
        <w:rPr>
          <w:rFonts w:ascii="Verdana" w:eastAsia="Calibri" w:hAnsi="Verdana" w:cs="Arial"/>
          <w:lang w:val="es-ES" w:eastAsia="es-ES"/>
        </w:rPr>
        <w:t>Patermina</w:t>
      </w:r>
      <w:proofErr w:type="spellEnd"/>
      <w:r w:rsidRPr="00D6662D">
        <w:rPr>
          <w:rFonts w:ascii="Verdana" w:eastAsia="Calibri" w:hAnsi="Verdana" w:cs="Arial"/>
          <w:lang w:val="es-ES" w:eastAsia="es-ES"/>
        </w:rPr>
        <w:t xml:space="preserve">: </w:t>
      </w:r>
    </w:p>
    <w:p w14:paraId="2DA842E8" w14:textId="77777777" w:rsidR="00F7025D" w:rsidRPr="00D6662D" w:rsidRDefault="00F7025D" w:rsidP="00F7025D">
      <w:pPr>
        <w:tabs>
          <w:tab w:val="left" w:pos="3768"/>
        </w:tabs>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ab/>
      </w:r>
    </w:p>
    <w:p w14:paraId="2B1B9B45"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En ejercicio de la competencia otorgada por los artículos 3, numeral 5º, y 11, numeral 8º, del Decreto Ley 4170 de 2011,</w:t>
      </w:r>
      <w:r w:rsidRPr="00D6662D">
        <w:rPr>
          <w:rFonts w:ascii="Verdana" w:eastAsia="Arial MT" w:hAnsi="Verdana" w:cs="Arial MT"/>
          <w:lang w:val="es-ES" w:eastAsia="es-ES"/>
        </w:rPr>
        <w:t xml:space="preserve"> </w:t>
      </w:r>
      <w:r w:rsidRPr="00D6662D">
        <w:rPr>
          <w:rFonts w:ascii="Verdana" w:hAnsi="Verdana" w:cs="Arial"/>
        </w:rPr>
        <w:t xml:space="preserve">así como lo establecido en el artículo 4 de la Resolución 1707 de 2018 expedida por esta Entidad, </w:t>
      </w:r>
      <w:r w:rsidRPr="00D6662D">
        <w:rPr>
          <w:rFonts w:ascii="Verdana" w:eastAsia="Calibri" w:hAnsi="Verdana" w:cs="Arial"/>
          <w:lang w:val="es-ES" w:eastAsia="es-ES"/>
        </w:rPr>
        <w:t xml:space="preserve">la Agencia Nacional de Contratación Pública – Colombia Compra Eficiente– responde su solicitud de consulta de fecha 04 de julio de 2024, en la cual manifiesta lo siguiente: </w:t>
      </w:r>
    </w:p>
    <w:p w14:paraId="5D206980" w14:textId="77777777" w:rsidR="00F7025D" w:rsidRPr="00D6662D" w:rsidRDefault="00F7025D" w:rsidP="00F7025D">
      <w:pPr>
        <w:spacing w:after="0" w:line="276" w:lineRule="auto"/>
        <w:jc w:val="both"/>
        <w:rPr>
          <w:rFonts w:ascii="Verdana" w:eastAsia="Calibri" w:hAnsi="Verdana" w:cs="Arial"/>
          <w:lang w:val="es-ES" w:eastAsia="es-ES"/>
        </w:rPr>
      </w:pPr>
    </w:p>
    <w:p w14:paraId="3F7C3F9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bookmarkStart w:id="0" w:name="_Hlk95313578"/>
      <w:r w:rsidRPr="00EF46B1">
        <w:rPr>
          <w:rStyle w:val="normaltextrun"/>
          <w:rFonts w:ascii="Verdana" w:hAnsi="Verdana" w:cs="Arial"/>
          <w:shd w:val="clear" w:color="auto" w:fill="FFFFFF"/>
          <w:lang w:val="es-ES"/>
        </w:rPr>
        <w:lastRenderedPageBreak/>
        <w:t>1. El primero de los interrogantes está relacionado sobre la necesidad de aclarar ¿si el “</w:t>
      </w:r>
      <w:bookmarkStart w:id="1" w:name="_Hlk172128101"/>
      <w:r w:rsidRPr="00EF46B1">
        <w:rPr>
          <w:rStyle w:val="normaltextrun"/>
          <w:rFonts w:ascii="Verdana" w:hAnsi="Verdana" w:cs="Arial"/>
          <w:shd w:val="clear" w:color="auto" w:fill="FFFFFF"/>
          <w:lang w:val="es-ES"/>
        </w:rPr>
        <w:t>Manual para la Identificación y Cobertura del Riesgo en los Procesos de Contratación</w:t>
      </w:r>
      <w:bookmarkEnd w:id="1"/>
      <w:r w:rsidRPr="00EF46B1">
        <w:rPr>
          <w:rStyle w:val="normaltextrun"/>
          <w:rFonts w:ascii="Verdana" w:hAnsi="Verdana" w:cs="Arial"/>
          <w:shd w:val="clear" w:color="auto" w:fill="FFFFFF"/>
          <w:lang w:val="es-ES"/>
        </w:rPr>
        <w:t xml:space="preserve">” debe ser aplicado obligatoriamente en todos sus aspectos por las Entidad Públicas o si por el contrario, dicho manual se puede considerar únicamente como una guía orientativa para la elaboración de las matrices de riesgos, permitiendo a las entidades cierta flexibilidad en su </w:t>
      </w:r>
      <w:proofErr w:type="gramStart"/>
      <w:r w:rsidRPr="00EF46B1">
        <w:rPr>
          <w:rStyle w:val="normaltextrun"/>
          <w:rFonts w:ascii="Verdana" w:hAnsi="Verdana" w:cs="Arial"/>
          <w:shd w:val="clear" w:color="auto" w:fill="FFFFFF"/>
          <w:lang w:val="es-ES"/>
        </w:rPr>
        <w:t>aplicación?.</w:t>
      </w:r>
      <w:proofErr w:type="gramEnd"/>
    </w:p>
    <w:p w14:paraId="1CA194B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7DD34E8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2. Por otro lado, acorde con el Manual para la identificación y cobertura del Riesgo, publicado en la web https://www.colombiacompra.gov.co/sites/cce_public/files/cce_documents/cce_manual_cobertura_riesgo.pdf, respecto del punto B Estructura de la administración de Riesgos, “La administración de Riesgos es el conjunto de procesos dirigidos a proteger a la Entidad Estatal de los eventos en el Proceso de Contratación. </w:t>
      </w:r>
    </w:p>
    <w:p w14:paraId="2E7787C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“La administración de Riesgos permite reducir la probabilidad de ocurrencia del evento y de su impacto en el Proceso de Contratación”</w:t>
      </w:r>
    </w:p>
    <w:p w14:paraId="3AA099C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3E3797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propone administrar los Riesgos del Proceso de Contratación siguiendo los pasos enumerados a continuación: </w:t>
      </w:r>
    </w:p>
    <w:p w14:paraId="75C44B6D"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8E8FC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1. Establecer el contexto en el cual se adelanta el Proceso de Contratación.</w:t>
      </w:r>
    </w:p>
    <w:p w14:paraId="262EB6D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2. Identificar y clasificar los Riesgos del Proceso de Contratación.</w:t>
      </w:r>
    </w:p>
    <w:p w14:paraId="6928042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3. Evaluar y calificar los Riesgos.</w:t>
      </w:r>
    </w:p>
    <w:p w14:paraId="3F344E0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4. Asignar y tratar los Riesgos.</w:t>
      </w:r>
    </w:p>
    <w:p w14:paraId="54A1E75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5. Monitorear y revisar la gestión de los Riesgos.”</w:t>
      </w:r>
    </w:p>
    <w:p w14:paraId="6234C00E"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1CB8D5EB"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Sobre el particular, surge la siguiente pregunta, respecto de los pasos 1 a 5 antes indicados, ¿corresponden estos al proceso de planeación del proceso contractual?, es decir, durante el proceso de planeación y estructuración contractual se debe establecer el contexto de dicho proceso de contratación, identificar y clasificar los riesgos para luego evaluarlos y calificarlos y posteriormente asignarlos consolidados en una matriz de riesgos, que es objeto de </w:t>
      </w:r>
      <w:r w:rsidRPr="00EF46B1">
        <w:rPr>
          <w:rStyle w:val="normaltextrun"/>
          <w:rFonts w:ascii="Verdana" w:hAnsi="Verdana" w:cs="Arial"/>
          <w:shd w:val="clear" w:color="auto" w:fill="FFFFFF"/>
          <w:lang w:val="es-ES"/>
        </w:rPr>
        <w:lastRenderedPageBreak/>
        <w:t xml:space="preserve">socialización en la audiencia de riesgos que predica la Ley 1150 de 2007 en su artículo cuarto?. </w:t>
      </w:r>
    </w:p>
    <w:p w14:paraId="79F3635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9382CE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Si ello es correcto, el párrafo a continuación del mismo punto B de la guía indica:</w:t>
      </w:r>
    </w:p>
    <w:p w14:paraId="4B1F30EC"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A49E8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recomienda a las Entidades Estatales elaborar la matriz de la Tabla 1 que incluya todos los Riesgos identificados del Proceso de Contratación, estableciendo su clasificación, la probabilidad de ocurrencia estimada, su impacto, la parte que debe asumir el Riesgo, los tratamientos que se puedan realizar y las características del monitoreo más adecuado para administrarlo, como se muestra a continuación: </w:t>
      </w:r>
    </w:p>
    <w:p w14:paraId="7461B3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6338998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w:t>
      </w:r>
      <w:bookmarkEnd w:id="0"/>
      <w:r w:rsidRPr="00EF46B1">
        <w:rPr>
          <w:rStyle w:val="normaltextrun"/>
          <w:rFonts w:ascii="Verdana" w:hAnsi="Verdana" w:cs="Arial"/>
          <w:shd w:val="clear" w:color="auto" w:fill="FFFFFF"/>
          <w:lang w:val="es-ES"/>
        </w:rPr>
        <w:t>.</w:t>
      </w:r>
    </w:p>
    <w:p w14:paraId="0D6670F1"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2E07771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Comedidamente solicitamos nos indiquen si nuestro entendimiento es correcto y si bien en la matriz se debe hacer referencia a los Tratamientos/Controles a ser implementados, las columnas subsiguientes corresponden a las acciones a desarrollar durante la etapa de ejecución contractual, es decir del monitoreo y revisión se puede establecer el impacto después del tratamiento en caso que los riesgos identificados en la etapa de planeación efectivamente se materialicen durante la ejecución contractual y de esta manera hacer un correcto seguimiento y monitoreo del acontecer contractual.</w:t>
      </w:r>
    </w:p>
    <w:p w14:paraId="6F6F6C6A" w14:textId="77777777" w:rsidR="00F7025D" w:rsidRPr="00EF46B1" w:rsidRDefault="00F7025D" w:rsidP="00F7025D">
      <w:pPr>
        <w:spacing w:after="0" w:line="240" w:lineRule="auto"/>
        <w:ind w:left="709" w:right="709"/>
        <w:jc w:val="both"/>
        <w:rPr>
          <w:rFonts w:ascii="Verdana" w:hAnsi="Verdana" w:cs="Arial"/>
          <w:color w:val="7030A0"/>
          <w:shd w:val="clear" w:color="auto" w:fill="FFFFFF"/>
          <w:lang w:val="es-ES"/>
        </w:rPr>
      </w:pPr>
    </w:p>
    <w:p w14:paraId="209F02EA" w14:textId="77777777" w:rsidR="00F7025D" w:rsidRPr="00D6662D" w:rsidRDefault="00F7025D" w:rsidP="00F7025D">
      <w:pPr>
        <w:spacing w:after="120" w:line="276" w:lineRule="auto"/>
        <w:jc w:val="both"/>
        <w:rPr>
          <w:rFonts w:ascii="Verdana" w:eastAsia="Calibri" w:hAnsi="Verdana" w:cs="Arial"/>
          <w:color w:val="000000"/>
          <w:lang w:val="es-ES_tradnl" w:eastAsia="es-ES_tradnl"/>
        </w:rPr>
      </w:pPr>
      <w:r w:rsidRPr="00D6662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D6662D">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D6662D">
        <w:rPr>
          <w:rFonts w:ascii="Verdana" w:eastAsia="Calibri" w:hAnsi="Verdana" w:cs="Arial"/>
          <w:color w:val="000000"/>
          <w:lang w:val="es-ES_tradnl" w:eastAsia="es-ES_tradnl"/>
        </w:rPr>
        <w:tab/>
      </w:r>
    </w:p>
    <w:p w14:paraId="0F3F8DC6" w14:textId="77777777" w:rsidR="00F7025D" w:rsidRPr="00D6662D" w:rsidRDefault="00F7025D" w:rsidP="00F7025D">
      <w:pPr>
        <w:spacing w:after="0" w:line="276" w:lineRule="auto"/>
        <w:jc w:val="both"/>
        <w:rPr>
          <w:rFonts w:ascii="Verdana" w:eastAsia="Calibri" w:hAnsi="Verdana" w:cs="Arial"/>
          <w:color w:val="000000"/>
          <w:lang w:val="es-ES" w:eastAsia="es-ES"/>
        </w:rPr>
      </w:pPr>
      <w:r w:rsidRPr="00D6662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w:t>
      </w:r>
      <w:r w:rsidRPr="00D6662D">
        <w:rPr>
          <w:rFonts w:ascii="Verdana" w:eastAsia="Calibri" w:hAnsi="Verdana" w:cs="Arial"/>
          <w:color w:val="7030A0"/>
          <w:lang w:val="es-ES" w:eastAsia="es-ES"/>
        </w:rPr>
        <w:t xml:space="preserve"> </w:t>
      </w:r>
      <w:r w:rsidRPr="00D6662D">
        <w:rPr>
          <w:rFonts w:ascii="Verdana" w:eastAsia="Calibri" w:hAnsi="Verdana" w:cs="Arial"/>
          <w:color w:val="000000"/>
          <w:lang w:val="es-ES" w:eastAsia="es-ES"/>
        </w:rPr>
        <w:t>problema</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jurídico</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 xml:space="preserve">de su consulta. </w:t>
      </w:r>
    </w:p>
    <w:p w14:paraId="142E9257" w14:textId="77777777" w:rsidR="00F7025D" w:rsidRPr="00D6662D" w:rsidRDefault="00F7025D" w:rsidP="00F7025D">
      <w:pPr>
        <w:spacing w:after="0" w:line="276" w:lineRule="auto"/>
        <w:ind w:firstLine="709"/>
        <w:jc w:val="both"/>
        <w:rPr>
          <w:rFonts w:ascii="Verdana" w:eastAsia="Calibri" w:hAnsi="Verdana" w:cs="Arial"/>
          <w:color w:val="000000"/>
          <w:lang w:val="es-ES" w:eastAsia="es-ES"/>
        </w:rPr>
      </w:pPr>
    </w:p>
    <w:p w14:paraId="59B0C9ED" w14:textId="77777777" w:rsidR="00F7025D" w:rsidRPr="00D6662D" w:rsidRDefault="00F7025D" w:rsidP="00F7025D">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D6662D">
        <w:rPr>
          <w:rFonts w:ascii="Verdana" w:eastAsia="Century Gothic" w:hAnsi="Verdana" w:cs="Century Gothic"/>
          <w:b/>
          <w:bCs/>
          <w:lang w:val="es-ES"/>
        </w:rPr>
        <w:t>Problema planteado:</w:t>
      </w:r>
    </w:p>
    <w:p w14:paraId="6E3F7D62" w14:textId="77777777" w:rsidR="00F7025D" w:rsidRPr="00D6662D" w:rsidRDefault="00F7025D" w:rsidP="00F7025D">
      <w:pPr>
        <w:tabs>
          <w:tab w:val="left" w:pos="426"/>
        </w:tabs>
        <w:spacing w:after="0" w:line="276" w:lineRule="auto"/>
        <w:jc w:val="both"/>
        <w:rPr>
          <w:rFonts w:ascii="Verdana" w:eastAsia="Century Gothic" w:hAnsi="Verdana" w:cs="Century Gothic"/>
          <w:lang w:val="es-ES"/>
        </w:rPr>
      </w:pPr>
    </w:p>
    <w:p w14:paraId="14BA1536"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De acuerdo con el contenido de su solicitud, esta Agencia resolverá los siguientes problemas jurídicos: ¿Es vinculante el Manual para la Identificación y Cobertura del Riesgo en los Procesos de Contratación, o se puede considerar como una guía orientativa?; ¿Los pasos del 1 al 5 de la matriz de riesgos, del Manual en mención hacen parte del proceso de planeación de la contratación?</w:t>
      </w:r>
    </w:p>
    <w:p w14:paraId="41CC6ECA" w14:textId="77777777" w:rsidR="00F7025D" w:rsidRPr="00D6662D" w:rsidRDefault="00F7025D" w:rsidP="00F7025D">
      <w:pPr>
        <w:spacing w:after="0" w:line="276" w:lineRule="auto"/>
        <w:jc w:val="both"/>
        <w:rPr>
          <w:rFonts w:ascii="Verdana" w:eastAsia="Calibri" w:hAnsi="Verdana" w:cs="Arial"/>
          <w:color w:val="7030A0"/>
          <w:lang w:val="es-ES"/>
        </w:rPr>
      </w:pPr>
    </w:p>
    <w:p w14:paraId="5AC321BC" w14:textId="77777777" w:rsidR="00F7025D" w:rsidRPr="00EF46B1" w:rsidRDefault="00F7025D" w:rsidP="00F7025D">
      <w:pPr>
        <w:spacing w:after="0" w:line="240" w:lineRule="auto"/>
        <w:ind w:right="709"/>
        <w:jc w:val="both"/>
        <w:rPr>
          <w:rStyle w:val="normaltextrun"/>
          <w:rFonts w:ascii="Verdana" w:hAnsi="Verdana" w:cs="Arial"/>
          <w:color w:val="7030A0"/>
          <w:shd w:val="clear" w:color="auto" w:fill="FFFFFF"/>
          <w:lang w:val="es-ES"/>
        </w:rPr>
      </w:pPr>
      <w:r w:rsidRPr="00D6662D">
        <w:rPr>
          <w:rFonts w:ascii="Verdana" w:eastAsia="Century Gothic" w:hAnsi="Verdana" w:cs="Century Gothic"/>
          <w:b/>
          <w:bCs/>
          <w:lang w:val="es-ES"/>
        </w:rPr>
        <w:t xml:space="preserve">Respuesta: </w:t>
      </w:r>
    </w:p>
    <w:p w14:paraId="0AF207C9"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2215F5F"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Esta entidad se permite pronunciarse al respecto: </w:t>
      </w:r>
    </w:p>
    <w:p w14:paraId="55547F93" w14:textId="77777777" w:rsidR="00F7025D" w:rsidRPr="00D6662D" w:rsidRDefault="00F7025D" w:rsidP="00F7025D">
      <w:pPr>
        <w:pStyle w:val="Textoindependiente"/>
        <w:ind w:right="49"/>
        <w:jc w:val="both"/>
        <w:rPr>
          <w:rFonts w:ascii="Verdana" w:hAnsi="Verdana" w:cs="Arial"/>
        </w:rPr>
      </w:pPr>
      <w:r w:rsidRPr="00D6662D">
        <w:rPr>
          <w:rFonts w:ascii="Verdana" w:eastAsia="Century Gothic" w:hAnsi="Verdana" w:cs="Century Gothic"/>
        </w:rPr>
        <w:t>¿Es vinculante el Manual para la Identificación y Cobertura del Riesgo en los Procesos de Contratación, o se puede considerar como una guía orientativa?</w:t>
      </w:r>
    </w:p>
    <w:p w14:paraId="25AF0FDC"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En primer lugar, es importante aclarar, que 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48003327"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Así las cosas, una vez declarada la nulidad del literal a) del numeral 2 del artículo 159 del Decreto 1510 de 2013, el Consejo de Estado determinó que las guías o </w:t>
      </w:r>
      <w:r w:rsidRPr="00D6662D">
        <w:rPr>
          <w:rFonts w:ascii="Verdana" w:hAnsi="Verdana" w:cs="Arial"/>
        </w:rPr>
        <w:lastRenderedPageBreak/>
        <w:t>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4AB73CE7"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¿Los pasos del 1 al 5 de la matriz de riesgos, del Manual en mención hacen parte del proceso de planeación de la contratación?</w:t>
      </w:r>
    </w:p>
    <w:p w14:paraId="72A84CAC" w14:textId="77777777" w:rsidR="00F7025D" w:rsidRPr="00D6662D" w:rsidRDefault="00F7025D" w:rsidP="00F7025D">
      <w:pPr>
        <w:spacing w:after="0" w:line="276" w:lineRule="auto"/>
        <w:jc w:val="both"/>
        <w:rPr>
          <w:rFonts w:ascii="Verdana" w:eastAsia="Century Gothic" w:hAnsi="Verdana" w:cs="Century Gothic"/>
        </w:rPr>
      </w:pPr>
    </w:p>
    <w:p w14:paraId="3D924BC2" w14:textId="77777777" w:rsidR="00F7025D" w:rsidRPr="00D6662D" w:rsidRDefault="00F7025D" w:rsidP="00F7025D">
      <w:pPr>
        <w:spacing w:line="276" w:lineRule="auto"/>
        <w:jc w:val="both"/>
        <w:textAlignment w:val="baseline"/>
        <w:rPr>
          <w:rFonts w:ascii="Verdana" w:hAnsi="Verdana" w:cs="Arial"/>
          <w:lang w:val="es-ES" w:eastAsia="es-CO"/>
        </w:rPr>
      </w:pPr>
      <w:r w:rsidRPr="00D6662D">
        <w:rPr>
          <w:rFonts w:ascii="Verdana" w:hAnsi="Verdana" w:cs="Arial"/>
          <w:lang w:val="es-ES"/>
        </w:rPr>
        <w:t>La Agencia Nacional de Contratación Pública – Colombia Compra Eficiente expidió el «Manual para la identificación y cobertura del Riesgo en los Procesos de Contratación»</w:t>
      </w:r>
      <w:r w:rsidRPr="00D6662D">
        <w:rPr>
          <w:rStyle w:val="Refdenotaalpie"/>
          <w:rFonts w:ascii="Verdana" w:hAnsi="Verdana" w:cs="Arial"/>
          <w:lang w:val="es-ES"/>
        </w:rPr>
        <w:footnoteReference w:id="2"/>
      </w:r>
      <w:r w:rsidRPr="00D6662D">
        <w:rPr>
          <w:rFonts w:ascii="Verdana" w:hAnsi="Verdana" w:cs="Arial"/>
          <w:lang w:val="es-ES"/>
        </w:rPr>
        <w:t xml:space="preserve"> </w:t>
      </w:r>
      <w:r w:rsidRPr="00D6662D">
        <w:rPr>
          <w:rFonts w:ascii="Verdana" w:hAnsi="Verdana" w:cs="Arial"/>
          <w:lang w:val="es-ES" w:eastAsia="es-CO"/>
        </w:rPr>
        <w:t xml:space="preserve">establece que, para administrar los riesgos en los procesos de contratación del Estado, </w:t>
      </w:r>
      <w:r>
        <w:rPr>
          <w:rFonts w:ascii="Verdana" w:hAnsi="Verdana" w:cs="Arial"/>
          <w:lang w:val="es-ES" w:eastAsia="es-CO"/>
        </w:rPr>
        <w:t xml:space="preserve">es importante </w:t>
      </w:r>
      <w:proofErr w:type="gramStart"/>
      <w:r>
        <w:rPr>
          <w:rFonts w:ascii="Verdana" w:hAnsi="Verdana" w:cs="Arial"/>
          <w:lang w:val="es-ES" w:eastAsia="es-CO"/>
        </w:rPr>
        <w:t>revisar</w:t>
      </w:r>
      <w:r w:rsidRPr="00D6662D">
        <w:rPr>
          <w:rFonts w:ascii="Verdana" w:hAnsi="Verdana" w:cs="Arial"/>
          <w:lang w:val="es-ES" w:eastAsia="es-CO"/>
        </w:rPr>
        <w:t xml:space="preserve">  los</w:t>
      </w:r>
      <w:proofErr w:type="gramEnd"/>
      <w:r w:rsidRPr="00D6662D">
        <w:rPr>
          <w:rFonts w:ascii="Verdana" w:hAnsi="Verdana" w:cs="Arial"/>
          <w:lang w:val="es-ES" w:eastAsia="es-CO"/>
        </w:rPr>
        <w:t xml:space="preserve"> siguientes pasos, los cuales coinciden con la organización y/o estructuración del manual en comento: </w:t>
      </w:r>
    </w:p>
    <w:p w14:paraId="30713342"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Establecer el contexto en el cual se adelanta el Proceso de Contratación.  </w:t>
      </w:r>
    </w:p>
    <w:p w14:paraId="01C8466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Identificar y clasificar los Riesgos del Proceso de Contratación.  </w:t>
      </w:r>
    </w:p>
    <w:p w14:paraId="7B4134E1"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Evaluar, calificar y estimar los riesgos  </w:t>
      </w:r>
    </w:p>
    <w:p w14:paraId="0F9691AE"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Asignar y tratar los Riesgos.  </w:t>
      </w:r>
    </w:p>
    <w:p w14:paraId="1E5F870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Monitorear y revisar la gestión de los Riesgos. </w:t>
      </w:r>
    </w:p>
    <w:p w14:paraId="51CB973E" w14:textId="77777777" w:rsidR="00F7025D" w:rsidRPr="00D6662D" w:rsidRDefault="00F7025D" w:rsidP="00F7025D">
      <w:pPr>
        <w:spacing w:after="0" w:line="276" w:lineRule="auto"/>
        <w:ind w:left="705"/>
        <w:jc w:val="both"/>
        <w:textAlignment w:val="baseline"/>
        <w:rPr>
          <w:rFonts w:ascii="Verdana" w:hAnsi="Verdana" w:cs="Arial"/>
          <w:lang w:eastAsia="es-CO"/>
        </w:rPr>
      </w:pPr>
    </w:p>
    <w:p w14:paraId="0A7609DB"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w:t>
      </w:r>
      <w:r w:rsidRPr="00D6662D">
        <w:rPr>
          <w:rFonts w:ascii="Verdana" w:hAnsi="Verdana" w:cs="Arial"/>
          <w:lang w:val="es-ES" w:eastAsia="es-CO"/>
        </w:rPr>
        <w:lastRenderedPageBreak/>
        <w:t>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D6662D">
        <w:rPr>
          <w:rStyle w:val="Refdenotaalpie"/>
          <w:rFonts w:ascii="Verdana" w:hAnsi="Verdana" w:cs="Arial"/>
          <w:lang w:val="es-ES" w:eastAsia="es-CO"/>
        </w:rPr>
        <w:footnoteReference w:id="3"/>
      </w:r>
      <w:r w:rsidRPr="00D6662D">
        <w:rPr>
          <w:rFonts w:ascii="Verdana" w:hAnsi="Verdana" w:cs="Arial"/>
          <w:lang w:val="es-ES" w:eastAsia="es-CO"/>
        </w:rPr>
        <w:t>.</w:t>
      </w:r>
    </w:p>
    <w:p w14:paraId="6D64D259"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En dicho manual, la Agencia de Contratación </w:t>
      </w:r>
      <w:r w:rsidRPr="00D6662D">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D6662D">
        <w:rPr>
          <w:rFonts w:ascii="Verdana" w:hAnsi="Verdana" w:cs="Arial"/>
          <w:lang w:val="es-ES" w:eastAsia="es-CO"/>
        </w:rPr>
        <w:t>exposición del proceso de contratación frente a los diferentes riesgos que se puedan presentar, por ejemplo, la identificación de:</w:t>
      </w:r>
    </w:p>
    <w:p w14:paraId="4FE69E96" w14:textId="77777777" w:rsidR="00F7025D" w:rsidRPr="00EF46B1" w:rsidRDefault="00F7025D" w:rsidP="00F7025D">
      <w:pPr>
        <w:autoSpaceDE w:val="0"/>
        <w:autoSpaceDN w:val="0"/>
        <w:adjustRightInd w:val="0"/>
        <w:ind w:left="709" w:right="709"/>
        <w:jc w:val="both"/>
        <w:rPr>
          <w:rFonts w:ascii="Verdana" w:hAnsi="Verdana" w:cs="Arial"/>
        </w:rPr>
      </w:pPr>
      <w:r w:rsidRPr="00EF46B1">
        <w:rPr>
          <w:rFonts w:ascii="Verdana" w:hAnsi="Verdana" w:cs="Arial"/>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EF46B1">
        <w:rPr>
          <w:rStyle w:val="Refdenotaalpie"/>
          <w:rFonts w:ascii="Verdana" w:hAnsi="Verdana" w:cs="Arial"/>
        </w:rPr>
        <w:footnoteReference w:id="4"/>
      </w:r>
      <w:r w:rsidRPr="00EF46B1">
        <w:rPr>
          <w:rFonts w:ascii="Verdana" w:hAnsi="Verdana" w:cs="Arial"/>
        </w:rPr>
        <w:t>.»</w:t>
      </w:r>
    </w:p>
    <w:p w14:paraId="5D5EBCE1" w14:textId="77777777" w:rsidR="00F7025D" w:rsidRPr="00D6662D" w:rsidRDefault="00F7025D" w:rsidP="00F7025D">
      <w:pPr>
        <w:spacing w:after="120" w:line="276" w:lineRule="auto"/>
        <w:jc w:val="both"/>
        <w:textAlignment w:val="baseline"/>
        <w:rPr>
          <w:rFonts w:ascii="Verdana" w:hAnsi="Verdana" w:cs="Arial"/>
        </w:rPr>
      </w:pPr>
      <w:r w:rsidRPr="00D6662D">
        <w:rPr>
          <w:rFonts w:ascii="Verdana" w:hAnsi="Verdana" w:cs="Arial"/>
          <w:lang w:val="es-ES" w:eastAsia="es-CO"/>
        </w:rPr>
        <w:t xml:space="preserve">Finalmente, una adecuada administración de riesgos permite: </w:t>
      </w:r>
      <w:r w:rsidRPr="00D6662D">
        <w:rPr>
          <w:rFonts w:ascii="Verdana" w:hAnsi="Verdana" w:cs="Arial"/>
        </w:rPr>
        <w:t>«</w:t>
      </w:r>
      <w:r w:rsidRPr="00D6662D">
        <w:rPr>
          <w:rFonts w:ascii="Verdana" w:hAnsi="Verdana" w:cs="Arial"/>
          <w:lang w:eastAsia="es-CO"/>
        </w:rPr>
        <w:t>(i) proporcionar un mayor nivel de certeza y conocimiento para la toma de decisiones relacionadas con el Proceso de Contratación; (</w:t>
      </w:r>
      <w:proofErr w:type="spellStart"/>
      <w:r w:rsidRPr="00D6662D">
        <w:rPr>
          <w:rFonts w:ascii="Verdana" w:hAnsi="Verdana" w:cs="Arial"/>
          <w:lang w:eastAsia="es-CO"/>
        </w:rPr>
        <w:t>ii</w:t>
      </w:r>
      <w:proofErr w:type="spellEnd"/>
      <w:r w:rsidRPr="00D6662D">
        <w:rPr>
          <w:rFonts w:ascii="Verdana" w:hAnsi="Verdana" w:cs="Arial"/>
          <w:lang w:eastAsia="es-CO"/>
        </w:rPr>
        <w:t>) mejorar la planeación de contingencias del Proceso de Contratación; (</w:t>
      </w:r>
      <w:proofErr w:type="spellStart"/>
      <w:r w:rsidRPr="00D6662D">
        <w:rPr>
          <w:rFonts w:ascii="Verdana" w:hAnsi="Verdana" w:cs="Arial"/>
          <w:lang w:eastAsia="es-CO"/>
        </w:rPr>
        <w:t>iii</w:t>
      </w:r>
      <w:proofErr w:type="spellEnd"/>
      <w:r w:rsidRPr="00D6662D">
        <w:rPr>
          <w:rFonts w:ascii="Verdana" w:hAnsi="Verdana" w:cs="Arial"/>
          <w:lang w:eastAsia="es-CO"/>
        </w:rPr>
        <w:t xml:space="preserve">) incrementar el grado de confianza entre </w:t>
      </w:r>
      <w:proofErr w:type="gramStart"/>
      <w:r w:rsidRPr="00D6662D">
        <w:rPr>
          <w:rFonts w:ascii="Verdana" w:hAnsi="Verdana" w:cs="Arial"/>
          <w:lang w:eastAsia="es-CO"/>
        </w:rPr>
        <w:t>la partes</w:t>
      </w:r>
      <w:proofErr w:type="gramEnd"/>
      <w:r w:rsidRPr="00D6662D">
        <w:rPr>
          <w:rFonts w:ascii="Verdana" w:hAnsi="Verdana" w:cs="Arial"/>
          <w:lang w:eastAsia="es-CO"/>
        </w:rPr>
        <w:t xml:space="preserve"> del Proceso de Contratación; y (iv) reducir la posibilidad de litigios; entre otro</w:t>
      </w:r>
      <w:r w:rsidRPr="00D6662D">
        <w:rPr>
          <w:rFonts w:ascii="Verdana" w:hAnsi="Verdana" w:cs="Arial"/>
        </w:rPr>
        <w:t>»</w:t>
      </w:r>
      <w:r w:rsidRPr="00D6662D">
        <w:rPr>
          <w:rStyle w:val="Refdenotaalpie"/>
          <w:rFonts w:ascii="Verdana" w:hAnsi="Verdana" w:cs="Arial"/>
        </w:rPr>
        <w:footnoteReference w:id="5"/>
      </w:r>
      <w:r w:rsidRPr="00D6662D">
        <w:rPr>
          <w:rFonts w:ascii="Verdana" w:hAnsi="Verdana" w:cs="Arial"/>
        </w:rPr>
        <w:t>.</w:t>
      </w:r>
    </w:p>
    <w:p w14:paraId="1680DC28" w14:textId="77777777" w:rsidR="00F7025D" w:rsidRPr="00D6662D" w:rsidRDefault="00F7025D" w:rsidP="00F7025D">
      <w:pPr>
        <w:spacing w:after="120" w:line="276" w:lineRule="auto"/>
        <w:jc w:val="both"/>
        <w:textAlignment w:val="baseline"/>
        <w:rPr>
          <w:rFonts w:ascii="Verdana" w:hAnsi="Verdana" w:cs="Arial"/>
          <w:lang w:eastAsia="es-CO"/>
        </w:rPr>
      </w:pPr>
      <w:r w:rsidRPr="00D6662D">
        <w:rPr>
          <w:rFonts w:ascii="Verdana" w:hAnsi="Verdana" w:cs="Arial"/>
          <w:lang w:eastAsia="es-CO"/>
        </w:rPr>
        <w:lastRenderedPageBreak/>
        <w:t>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D6662D">
        <w:rPr>
          <w:rStyle w:val="Refdenotaalpie"/>
          <w:rFonts w:ascii="Verdana" w:hAnsi="Verdana" w:cs="Arial"/>
          <w:lang w:eastAsia="es-CO"/>
        </w:rPr>
        <w:footnoteReference w:id="6"/>
      </w:r>
      <w:r w:rsidRPr="00D6662D">
        <w:rPr>
          <w:rFonts w:ascii="Verdana" w:hAnsi="Verdana" w:cs="Arial"/>
          <w:lang w:eastAsia="es-CO"/>
        </w:rPr>
        <w:t xml:space="preserve">. </w:t>
      </w:r>
    </w:p>
    <w:p w14:paraId="688AAAE4"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Con fundamento en lo anterior, corresponde a cada entidad efectuar en la fase de planeación el análisis inicial de los riesgos previsibles asociados al procedimiento de selección. Desde luego, el resultado de este ejercicio depende de la naturaleza del objeto contractual, de su cuantía, del plazo de ejecución, de la situación económica del momento, entre otros factores. Tratándose de la volatilidad del dólar y en general de los fenómenos financieros globales que pueden incidir sobre el valor del contrato, las entidades estatales y los interesados tienen, en principio, el deber de tipificar, estimar y asignar este riesgo, siempre y cuando sea </w:t>
      </w:r>
      <w:r w:rsidRPr="00D6662D">
        <w:rPr>
          <w:rFonts w:ascii="Verdana" w:hAnsi="Verdana" w:cs="Arial"/>
          <w:i/>
          <w:iCs/>
          <w:lang w:val="es-ES" w:eastAsia="es-CO"/>
        </w:rPr>
        <w:t>previsible</w:t>
      </w:r>
      <w:r w:rsidRPr="00D6662D">
        <w:rPr>
          <w:rFonts w:ascii="Verdana" w:hAnsi="Verdana" w:cs="Arial"/>
          <w:lang w:val="es-ES" w:eastAsia="es-CO"/>
        </w:rPr>
        <w:t>. Los riesgos imprevisibles que afecten la ecuación contractual podrían dar lugar al deber de restablecimiento del equilibrio económico del contrato, en los términos de los artículos 4, numeral 3</w:t>
      </w:r>
      <w:r w:rsidRPr="00D6662D">
        <w:rPr>
          <w:rStyle w:val="Refdenotaalpie"/>
          <w:rFonts w:ascii="Verdana" w:hAnsi="Verdana" w:cs="Arial"/>
          <w:lang w:val="es-ES" w:eastAsia="es-CO"/>
        </w:rPr>
        <w:footnoteReference w:id="7"/>
      </w:r>
      <w:r w:rsidRPr="00D6662D">
        <w:rPr>
          <w:rFonts w:ascii="Verdana" w:hAnsi="Verdana" w:cs="Arial"/>
          <w:lang w:val="es-ES" w:eastAsia="es-CO"/>
        </w:rPr>
        <w:t xml:space="preserve"> y 5, numeral 1</w:t>
      </w:r>
      <w:r w:rsidRPr="00D6662D">
        <w:rPr>
          <w:rStyle w:val="Refdenotaalpie"/>
          <w:rFonts w:ascii="Verdana" w:hAnsi="Verdana" w:cs="Arial"/>
          <w:lang w:val="es-ES" w:eastAsia="es-CO"/>
        </w:rPr>
        <w:footnoteReference w:id="8"/>
      </w:r>
      <w:r w:rsidRPr="00D6662D">
        <w:rPr>
          <w:rFonts w:ascii="Verdana" w:hAnsi="Verdana" w:cs="Arial"/>
          <w:lang w:val="es-ES" w:eastAsia="es-CO"/>
        </w:rPr>
        <w:t xml:space="preserve">, de la </w:t>
      </w:r>
      <w:bookmarkStart w:id="2" w:name="_Hlk172127444"/>
      <w:r w:rsidRPr="00D6662D">
        <w:rPr>
          <w:rFonts w:ascii="Verdana" w:hAnsi="Verdana" w:cs="Arial"/>
          <w:lang w:val="es-ES" w:eastAsia="es-CO"/>
        </w:rPr>
        <w:t>Ley 80 de 1993</w:t>
      </w:r>
      <w:bookmarkEnd w:id="2"/>
      <w:r w:rsidRPr="00D6662D">
        <w:rPr>
          <w:rFonts w:ascii="Verdana" w:hAnsi="Verdana" w:cs="Arial"/>
          <w:lang w:val="es-ES" w:eastAsia="es-CO"/>
        </w:rPr>
        <w:t>.</w:t>
      </w:r>
    </w:p>
    <w:p w14:paraId="2ACAEE28" w14:textId="77777777" w:rsidR="00F7025D" w:rsidRPr="00E42DCA"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hAnsi="Verdana" w:cs="Arial"/>
          <w:b/>
          <w:bCs/>
          <w:lang w:val="es-ES" w:eastAsia="es-CO"/>
        </w:rPr>
      </w:pPr>
      <w:r w:rsidRPr="00E42DCA">
        <w:rPr>
          <w:rFonts w:ascii="Verdana" w:hAnsi="Verdana" w:cs="Arial"/>
          <w:b/>
          <w:bCs/>
          <w:lang w:val="es-ES" w:eastAsia="es-CO"/>
        </w:rPr>
        <w:lastRenderedPageBreak/>
        <w:t xml:space="preserve">Razones de la respuesta: </w:t>
      </w:r>
    </w:p>
    <w:p w14:paraId="461F3BA3"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r w:rsidRPr="00D6662D">
        <w:rPr>
          <w:rFonts w:ascii="Verdana" w:hAnsi="Verdana" w:cs="Arial"/>
          <w:lang w:val="es-ES" w:eastAsia="es-CO"/>
        </w:rPr>
        <w:t xml:space="preserve">Lo anterior se sustenta en las siguientes consideraciones: </w:t>
      </w:r>
    </w:p>
    <w:p w14:paraId="373FC484" w14:textId="77777777" w:rsidR="00F7025D" w:rsidRPr="00EF46B1"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p>
    <w:p w14:paraId="2462CFCD" w14:textId="77777777" w:rsidR="00F7025D" w:rsidRPr="00D6662D" w:rsidRDefault="00F7025D" w:rsidP="00F7025D">
      <w:pPr>
        <w:pStyle w:val="Textoindependiente"/>
        <w:ind w:right="42"/>
        <w:jc w:val="both"/>
        <w:rPr>
          <w:rFonts w:ascii="Verdana" w:hAnsi="Verdana" w:cs="Arial"/>
        </w:rPr>
      </w:pPr>
      <w:bookmarkStart w:id="3" w:name="_Hlk172124037"/>
      <w:r>
        <w:rPr>
          <w:rFonts w:ascii="Verdana" w:hAnsi="Verdana" w:cs="Arial"/>
          <w:lang w:val="es-ES" w:eastAsia="es-CO"/>
        </w:rPr>
        <w:t>En virtud de lo expuesto anteriormente y b</w:t>
      </w:r>
      <w:r w:rsidRPr="00D6662D">
        <w:rPr>
          <w:rFonts w:ascii="Verdana" w:hAnsi="Verdana" w:cs="Arial"/>
        </w:rPr>
        <w:t>ajo las denominaciones de Guías, Manuales, instructivos y protocolos muchas entidades del Estado han adoptado herramientas e instrumentos para definir criterios técnicos, fijar procedimientos, estandarizar procesos y establecer metodologías y no existe un significado unívoco que defina cada herramienta</w:t>
      </w:r>
      <w:bookmarkEnd w:id="3"/>
      <w:r w:rsidRPr="00D6662D">
        <w:rPr>
          <w:rStyle w:val="Refdenotaalpie"/>
          <w:rFonts w:ascii="Verdana" w:hAnsi="Verdana" w:cs="Arial"/>
        </w:rPr>
        <w:footnoteReference w:id="9"/>
      </w:r>
      <w:r w:rsidRPr="00D6662D">
        <w:rPr>
          <w:rFonts w:ascii="Verdana" w:hAnsi="Verdana" w:cs="Arial"/>
        </w:rPr>
        <w:t>.</w:t>
      </w:r>
    </w:p>
    <w:p w14:paraId="7DCAA8C3" w14:textId="77777777" w:rsidR="00F7025D" w:rsidRPr="00D6662D" w:rsidRDefault="00F7025D" w:rsidP="00F7025D">
      <w:pPr>
        <w:pStyle w:val="Textoindependiente"/>
        <w:ind w:right="42"/>
        <w:jc w:val="both"/>
        <w:rPr>
          <w:rFonts w:ascii="Verdana" w:hAnsi="Verdana" w:cs="Arial"/>
        </w:rPr>
      </w:pPr>
      <w:r w:rsidRPr="00D6662D">
        <w:rPr>
          <w:rFonts w:ascii="Verdana" w:hAnsi="Verdana" w:cs="Arial"/>
        </w:rPr>
        <w:t xml:space="preserve">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w:t>
      </w:r>
      <w:r w:rsidRPr="00D6662D">
        <w:rPr>
          <w:rFonts w:ascii="Verdana" w:hAnsi="Verdana" w:cs="Arial"/>
        </w:rPr>
        <w:lastRenderedPageBreak/>
        <w:t>requisitos habilitantes o para el manejo de los acuerdos comerciales en los procesos de contratación.</w:t>
      </w:r>
    </w:p>
    <w:p w14:paraId="62B93101" w14:textId="77777777" w:rsidR="00F7025D" w:rsidRPr="00DD31C7" w:rsidRDefault="00F7025D" w:rsidP="00F7025D">
      <w:pPr>
        <w:pStyle w:val="Textoindependiente"/>
        <w:spacing w:before="1"/>
        <w:ind w:right="42"/>
        <w:jc w:val="both"/>
        <w:rPr>
          <w:rFonts w:ascii="Verdana" w:hAnsi="Verdana" w:cs="Arial"/>
        </w:rPr>
      </w:pPr>
      <w:r w:rsidRPr="00D6662D">
        <w:rPr>
          <w:rFonts w:ascii="Verdana" w:hAnsi="Verdana" w:cs="Arial"/>
        </w:rPr>
        <w:t xml:space="preserve">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 </w:t>
      </w:r>
    </w:p>
    <w:p w14:paraId="7599F06A" w14:textId="77777777" w:rsidR="00F7025D" w:rsidRPr="00DD31C7" w:rsidRDefault="00F7025D" w:rsidP="00F7025D">
      <w:pPr>
        <w:spacing w:after="0" w:line="276" w:lineRule="auto"/>
        <w:jc w:val="both"/>
        <w:rPr>
          <w:rFonts w:ascii="Verdana" w:eastAsia="Calibri" w:hAnsi="Verdana" w:cs="Arial"/>
          <w:lang w:val="es-ES"/>
        </w:rPr>
      </w:pPr>
    </w:p>
    <w:p w14:paraId="2DA918C8"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2.1 Obligatoriedad de los Instrumentos de Colombia Compra Eficiente</w:t>
      </w:r>
    </w:p>
    <w:p w14:paraId="4B287750" w14:textId="77777777" w:rsidR="00F7025D" w:rsidRPr="00DD31C7" w:rsidRDefault="00F7025D" w:rsidP="00F7025D">
      <w:pPr>
        <w:spacing w:after="0" w:line="276" w:lineRule="auto"/>
        <w:jc w:val="both"/>
        <w:rPr>
          <w:rFonts w:ascii="Verdana" w:eastAsia="Calibri" w:hAnsi="Verdana" w:cs="Arial"/>
          <w:lang w:val="es-ES"/>
        </w:rPr>
      </w:pPr>
    </w:p>
    <w:p w14:paraId="6A761CEA" w14:textId="77777777" w:rsidR="00F7025D" w:rsidRPr="00DD31C7"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Hasta 2016, los Manuales y Guías de Colombia Compra Eficiente eran obligatorios solo si se adoptaban a través de circulares externas publicadas en el Diario Oficial. </w:t>
      </w:r>
      <w:r>
        <w:rPr>
          <w:rFonts w:ascii="Verdana" w:eastAsia="Calibri" w:hAnsi="Verdana" w:cs="Arial"/>
          <w:lang w:val="es-ES"/>
        </w:rPr>
        <w:t>Como también l</w:t>
      </w:r>
      <w:r w:rsidRPr="00DD31C7">
        <w:rPr>
          <w:rFonts w:ascii="Verdana" w:eastAsia="Calibri" w:hAnsi="Verdana" w:cs="Arial"/>
          <w:lang w:val="es-ES"/>
        </w:rPr>
        <w:t>as circulares externas, como actos administrativos generales, eran vinculantes para el Sistema de Compra Pública. Manuales y guías, en cambio, solo tenían carácter de recomendación a menos que se adoptaran mediante una circular externa o un acto administrativo con fundamento legal. En 2017, se adoptó un enfoque más sustantivo que considera obligatorio cualquier acto de Colombia Compra Eficiente siempre y cuando esté respaldado por una competencia legal o reglamentaria. Así, los manuales y guías con base en tal competencia son obligatorios, mientras que aquellos sin dicha base son solo recomendaciones de buenas prácticas.</w:t>
      </w:r>
    </w:p>
    <w:p w14:paraId="50402994" w14:textId="77777777" w:rsidR="00F7025D" w:rsidRPr="00DD31C7" w:rsidRDefault="00F7025D" w:rsidP="00F7025D">
      <w:pPr>
        <w:spacing w:after="0" w:line="276" w:lineRule="auto"/>
        <w:jc w:val="both"/>
        <w:rPr>
          <w:rFonts w:ascii="Verdana" w:eastAsia="Calibri" w:hAnsi="Verdana" w:cs="Arial"/>
          <w:b/>
          <w:bCs/>
          <w:lang w:val="es-ES"/>
        </w:rPr>
      </w:pPr>
    </w:p>
    <w:p w14:paraId="4887F42C"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2.2. Riesgos en la Contratación Estatal</w:t>
      </w:r>
    </w:p>
    <w:p w14:paraId="22AF1AEC" w14:textId="77777777" w:rsidR="00F7025D" w:rsidRPr="00DD31C7" w:rsidRDefault="00F7025D" w:rsidP="00F7025D">
      <w:pPr>
        <w:spacing w:after="0" w:line="276" w:lineRule="auto"/>
        <w:jc w:val="both"/>
        <w:rPr>
          <w:rFonts w:ascii="Verdana" w:eastAsia="Calibri" w:hAnsi="Verdana" w:cs="Arial"/>
          <w:lang w:val="es-ES"/>
        </w:rPr>
      </w:pPr>
    </w:p>
    <w:p w14:paraId="32A88888" w14:textId="77777777" w:rsidR="00F7025D"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El riesgo en la contratación estatal se define como la posibilidad de eventos que puedan afectar la ejecución del contrato, según la RAE y literatura internacional. El Decreto 423 de 2001 y la Ley 1150 de 2007 establecieron que las entidades estatales deben estimar, tipificar y asignar riesgos previsibles en los pliegos de condiciones. El CONPES 3107 de 2011 y el CONPES 3714 de 2011 introdujeron lineamientos para la adecuada asignación y gestión de riesgos, subrayando la importancia de información precisa y la identificación de riesgos previsibles. El Decreto 1082 de 2015 reforzó esta obligación, exigiendo que los pliegos incluyan información detallada sobre riesgos y su mitigación. Las entidades estatales y </w:t>
      </w:r>
      <w:r w:rsidRPr="00DD31C7">
        <w:rPr>
          <w:rFonts w:ascii="Verdana" w:eastAsia="Calibri" w:hAnsi="Verdana" w:cs="Arial"/>
          <w:lang w:val="es-ES"/>
        </w:rPr>
        <w:lastRenderedPageBreak/>
        <w:t>los participantes deben colaborar en la estimación y asignación de riesgos, con audiencias obligatorias para discutir estos riesgos en procesos de licitación pública.</w:t>
      </w:r>
    </w:p>
    <w:p w14:paraId="068A971C" w14:textId="77777777" w:rsidR="00F7025D" w:rsidRDefault="00F7025D" w:rsidP="00F7025D">
      <w:pPr>
        <w:spacing w:after="0" w:line="276" w:lineRule="auto"/>
        <w:jc w:val="both"/>
        <w:rPr>
          <w:rFonts w:ascii="Verdana" w:eastAsia="Calibri" w:hAnsi="Verdana" w:cs="Arial"/>
          <w:lang w:val="es-ES"/>
        </w:rPr>
      </w:pPr>
    </w:p>
    <w:p w14:paraId="0DD3CE83" w14:textId="77777777" w:rsidR="00F7025D" w:rsidRDefault="00F7025D" w:rsidP="00F7025D">
      <w:pPr>
        <w:spacing w:after="0" w:line="276" w:lineRule="auto"/>
        <w:jc w:val="both"/>
        <w:rPr>
          <w:rFonts w:ascii="Verdana" w:eastAsia="Calibri" w:hAnsi="Verdana" w:cs="Arial"/>
          <w:lang w:val="es-ES"/>
        </w:rPr>
      </w:pPr>
    </w:p>
    <w:p w14:paraId="11A63A0E" w14:textId="77777777" w:rsidR="00F7025D" w:rsidRPr="00EF46B1" w:rsidRDefault="00F7025D" w:rsidP="00F7025D">
      <w:pPr>
        <w:spacing w:after="0" w:line="276" w:lineRule="auto"/>
        <w:jc w:val="both"/>
        <w:rPr>
          <w:rFonts w:ascii="Verdana" w:eastAsia="Calibri" w:hAnsi="Verdana" w:cs="Arial"/>
          <w:lang w:val="es-ES"/>
        </w:rPr>
      </w:pPr>
    </w:p>
    <w:p w14:paraId="310DE2FC"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Referencias normativas, jurisprudenciales y otras fuentes:</w:t>
      </w:r>
    </w:p>
    <w:p w14:paraId="7CC9A45A" w14:textId="77777777" w:rsidR="00F7025D" w:rsidRPr="00D6662D" w:rsidRDefault="00F7025D" w:rsidP="00F7025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025D" w:rsidRPr="00EF46B1" w14:paraId="4A947C16" w14:textId="77777777" w:rsidTr="001C79B1">
        <w:trPr>
          <w:trHeight w:val="870"/>
        </w:trPr>
        <w:tc>
          <w:tcPr>
            <w:tcW w:w="8647" w:type="dxa"/>
          </w:tcPr>
          <w:p w14:paraId="5EB3037C"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Ley 4170 de 2011</w:t>
            </w:r>
          </w:p>
          <w:p w14:paraId="14999061"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Ley 80 de 1993</w:t>
            </w:r>
          </w:p>
          <w:p w14:paraId="62449507" w14:textId="77777777" w:rsidR="00F7025D" w:rsidRPr="00EF46B1" w:rsidRDefault="00F7025D" w:rsidP="00F7025D">
            <w:pPr>
              <w:pStyle w:val="Textonotapie"/>
              <w:numPr>
                <w:ilvl w:val="0"/>
                <w:numId w:val="13"/>
              </w:numPr>
              <w:jc w:val="both"/>
              <w:rPr>
                <w:rFonts w:ascii="Verdana" w:hAnsi="Verdana" w:cs="Arial"/>
                <w:sz w:val="22"/>
                <w:szCs w:val="22"/>
              </w:rPr>
            </w:pPr>
            <w:r w:rsidRPr="00EF46B1">
              <w:rPr>
                <w:rFonts w:ascii="Verdana" w:hAnsi="Verdana" w:cs="Arial"/>
                <w:sz w:val="22"/>
                <w:szCs w:val="22"/>
              </w:rPr>
              <w:t>Ley 1437 de 2011, artículo 65 y 66 de la misma ley.</w:t>
            </w:r>
          </w:p>
          <w:p w14:paraId="7C162BC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1082 de 2015 </w:t>
            </w:r>
          </w:p>
          <w:p w14:paraId="799B0D6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Conpes 3107 de 2011</w:t>
            </w:r>
          </w:p>
          <w:p w14:paraId="4C5EB9AE"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1068 de 2015</w:t>
            </w:r>
          </w:p>
          <w:p w14:paraId="69063322" w14:textId="77777777" w:rsidR="00F7025D" w:rsidRPr="00EF46B1" w:rsidRDefault="00F7025D" w:rsidP="00F7025D">
            <w:pPr>
              <w:pStyle w:val="Prrafodelista"/>
              <w:numPr>
                <w:ilvl w:val="0"/>
                <w:numId w:val="13"/>
              </w:numPr>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Manual para la Identificación y Cobertura del Riesgo en los Procesos de Contratación. Disponible en: </w:t>
            </w:r>
            <w:hyperlink r:id="rId13" w:history="1">
              <w:r w:rsidRPr="00EF46B1">
                <w:rPr>
                  <w:rStyle w:val="Hipervnculo"/>
                  <w:rFonts w:ascii="Verdana" w:hAnsi="Verdana" w:cs="Arial"/>
                  <w:shd w:val="clear" w:color="auto" w:fill="FFFFFF"/>
                  <w:lang w:val="es-ES"/>
                </w:rPr>
                <w:t>https://www.colombiacompra.gov.co/sites/cce_public/files/cce_documents/cce_manual_cobertura_riesgo.pdf</w:t>
              </w:r>
            </w:hyperlink>
            <w:r w:rsidRPr="00EF46B1">
              <w:rPr>
                <w:rStyle w:val="normaltextrun"/>
                <w:rFonts w:ascii="Verdana" w:hAnsi="Verdana" w:cs="Arial"/>
                <w:shd w:val="clear" w:color="auto" w:fill="FFFFFF"/>
                <w:lang w:val="es-ES"/>
              </w:rPr>
              <w:t xml:space="preserve"> </w:t>
            </w:r>
          </w:p>
          <w:p w14:paraId="2DE480E9" w14:textId="77777777" w:rsidR="00F7025D" w:rsidRPr="00EF46B1" w:rsidRDefault="00F7025D" w:rsidP="00F7025D">
            <w:pPr>
              <w:pStyle w:val="Prrafodelista"/>
              <w:numPr>
                <w:ilvl w:val="0"/>
                <w:numId w:val="13"/>
              </w:numPr>
              <w:tabs>
                <w:tab w:val="left" w:pos="4805"/>
                <w:tab w:val="left" w:pos="8980"/>
              </w:tabs>
              <w:jc w:val="both"/>
              <w:rPr>
                <w:rFonts w:ascii="Verdana" w:hAnsi="Verdana" w:cs="Arial"/>
              </w:rPr>
            </w:pPr>
            <w:r w:rsidRPr="00EF46B1">
              <w:rPr>
                <w:rFonts w:ascii="Verdana" w:hAnsi="Verdana" w:cs="Arial"/>
              </w:rPr>
              <w:t xml:space="preserve">Circular Externa Única de Colombia Compra Eficiente. Disponible en: </w:t>
            </w:r>
            <w:hyperlink r:id="rId14" w:history="1">
              <w:r w:rsidRPr="00EF46B1">
                <w:rPr>
                  <w:rStyle w:val="Hipervnculo"/>
                  <w:rFonts w:ascii="Verdana" w:hAnsi="Verdana" w:cs="Arial"/>
                </w:rPr>
                <w:t>https://www.colombiacompra.gov.co/sites/cce_public/files/cce_circulares/cce_circular_unica.pdf</w:t>
              </w:r>
            </w:hyperlink>
            <w:r w:rsidRPr="00EF46B1">
              <w:rPr>
                <w:rFonts w:ascii="Verdana" w:hAnsi="Verdana" w:cs="Arial"/>
              </w:rPr>
              <w:t xml:space="preserve"> </w:t>
            </w:r>
          </w:p>
          <w:p w14:paraId="32323127" w14:textId="77777777" w:rsidR="00F7025D" w:rsidRPr="00EF46B1" w:rsidRDefault="00F7025D" w:rsidP="001C79B1">
            <w:pPr>
              <w:pStyle w:val="Prrafodelista"/>
              <w:widowControl w:val="0"/>
              <w:autoSpaceDE w:val="0"/>
              <w:autoSpaceDN w:val="0"/>
              <w:spacing w:after="120" w:line="276" w:lineRule="auto"/>
              <w:contextualSpacing w:val="0"/>
              <w:jc w:val="both"/>
              <w:rPr>
                <w:rFonts w:ascii="Verdana" w:hAnsi="Verdana" w:cs="Arial"/>
              </w:rPr>
            </w:pPr>
            <w:r w:rsidRPr="00EF46B1">
              <w:rPr>
                <w:rFonts w:ascii="Verdana" w:hAnsi="Verdana" w:cs="Arial"/>
                <w:color w:val="7030A0"/>
              </w:rPr>
              <w:t xml:space="preserve"> </w:t>
            </w:r>
          </w:p>
        </w:tc>
      </w:tr>
    </w:tbl>
    <w:p w14:paraId="3D692671" w14:textId="77777777" w:rsidR="00F7025D" w:rsidRPr="00EF46B1" w:rsidRDefault="00F7025D" w:rsidP="00F7025D">
      <w:pPr>
        <w:widowControl w:val="0"/>
        <w:autoSpaceDE w:val="0"/>
        <w:autoSpaceDN w:val="0"/>
        <w:spacing w:after="0" w:line="276" w:lineRule="auto"/>
        <w:jc w:val="both"/>
        <w:rPr>
          <w:rFonts w:ascii="Verdana" w:hAnsi="Verdana" w:cs="Arial"/>
        </w:rPr>
      </w:pPr>
    </w:p>
    <w:p w14:paraId="05F49DB6"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Doctrina de la Agencia Nacional de Contratación Pública:</w:t>
      </w:r>
    </w:p>
    <w:p w14:paraId="14530EBC"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168FDF0" w14:textId="77777777" w:rsidR="00F7025D" w:rsidRPr="00EF46B1" w:rsidRDefault="00F7025D" w:rsidP="00F7025D">
      <w:pPr>
        <w:rPr>
          <w:rStyle w:val="normaltextrun"/>
          <w:rFonts w:ascii="Verdana" w:eastAsia="Calibri" w:hAnsi="Verdana" w:cs="Arial"/>
          <w:b/>
        </w:rPr>
      </w:pPr>
      <w:r w:rsidRPr="00D6662D">
        <w:rPr>
          <w:rStyle w:val="normaltextrun"/>
          <w:rFonts w:ascii="Verdana" w:hAnsi="Verdana" w:cs="Arial"/>
          <w:shd w:val="clear" w:color="auto" w:fill="FFFFFF"/>
          <w:lang w:val="es-ES"/>
        </w:rPr>
        <w:t xml:space="preserve">Sobre el ámbito de aplicación de </w:t>
      </w:r>
      <w:r w:rsidRPr="00EF46B1">
        <w:rPr>
          <w:rFonts w:ascii="Verdana" w:eastAsia="Calibri" w:hAnsi="Verdana" w:cs="Arial"/>
          <w:bCs/>
        </w:rPr>
        <w:t>concepto C –519 de 2021,</w:t>
      </w:r>
      <w:r w:rsidRPr="00EF46B1">
        <w:rPr>
          <w:rFonts w:ascii="Verdana" w:hAnsi="Verdana"/>
        </w:rPr>
        <w:t xml:space="preserve"> </w:t>
      </w:r>
      <w:r w:rsidRPr="00EF46B1">
        <w:rPr>
          <w:rFonts w:ascii="Verdana" w:eastAsia="Calibri" w:hAnsi="Verdana" w:cs="Arial"/>
          <w:bCs/>
        </w:rPr>
        <w:t xml:space="preserve">Concepto C –451 de 2021. </w:t>
      </w:r>
      <w:r w:rsidRPr="00D6662D">
        <w:rPr>
          <w:rStyle w:val="normaltextrun"/>
          <w:rFonts w:ascii="Verdana" w:hAnsi="Verdana" w:cs="Arial"/>
          <w:shd w:val="clear" w:color="auto" w:fill="FFFFFF"/>
          <w:lang w:val="es-ES"/>
        </w:rPr>
        <w:t>Es</w:t>
      </w:r>
      <w:r w:rsidRPr="00D6662D">
        <w:rPr>
          <w:rFonts w:ascii="Verdana" w:hAnsi="Verdana"/>
        </w:rPr>
        <w:t>tos y otros conceptos se encuentran disponibles para consulta en el Sistema de relatoría de la Agencia, al cual se puede acceder a través del siguiente enlace:</w:t>
      </w:r>
      <w:r w:rsidRPr="00D6662D">
        <w:rPr>
          <w:rStyle w:val="normaltextrun"/>
          <w:rFonts w:ascii="Verdana" w:hAnsi="Verdana" w:cs="Arial"/>
          <w:shd w:val="clear" w:color="auto" w:fill="FFFFFF"/>
          <w:lang w:val="es-ES"/>
        </w:rPr>
        <w:t xml:space="preserve"> </w:t>
      </w:r>
      <w:hyperlink r:id="rId15" w:history="1">
        <w:r w:rsidRPr="00D6662D">
          <w:rPr>
            <w:rStyle w:val="Hipervnculo"/>
            <w:rFonts w:ascii="Verdana" w:hAnsi="Verdana" w:cs="Arial"/>
            <w:color w:val="auto"/>
            <w:shd w:val="clear" w:color="auto" w:fill="FFFFFF"/>
            <w:lang w:val="es-ES"/>
          </w:rPr>
          <w:t>https://relatoria.colombiacompra.gov.co/busqueda/conceptos</w:t>
        </w:r>
      </w:hyperlink>
      <w:r w:rsidRPr="00D6662D">
        <w:rPr>
          <w:rStyle w:val="normaltextrun"/>
          <w:rFonts w:ascii="Verdana" w:hAnsi="Verdana" w:cs="Arial"/>
          <w:shd w:val="clear" w:color="auto" w:fill="FFFFFF"/>
          <w:lang w:val="es-ES"/>
        </w:rPr>
        <w:t>.</w:t>
      </w:r>
    </w:p>
    <w:p w14:paraId="43E2D081"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5C96A"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6662D">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D6662D">
        <w:rPr>
          <w:rStyle w:val="normaltextrun"/>
          <w:rFonts w:ascii="Verdana" w:hAnsi="Verdana" w:cs="Arial"/>
          <w:color w:val="FF0000"/>
          <w:shd w:val="clear" w:color="auto" w:fill="FFFFFF"/>
          <w:lang w:val="es-ES"/>
        </w:rPr>
        <w:t xml:space="preserve"> </w:t>
      </w:r>
      <w:hyperlink r:id="rId16" w:history="1">
        <w:r w:rsidRPr="00D6662D">
          <w:rPr>
            <w:rStyle w:val="Hipervnculo"/>
            <w:rFonts w:ascii="Verdana" w:hAnsi="Verdana" w:cs="Arial"/>
            <w:shd w:val="clear" w:color="auto" w:fill="FFFFFF"/>
            <w:lang w:val="es-ES"/>
          </w:rPr>
          <w:t>https://www.colombiacompra.gov.co/sala-de-prensa/boletin-digital</w:t>
        </w:r>
      </w:hyperlink>
      <w:r w:rsidRPr="00E42DCA">
        <w:rPr>
          <w:rStyle w:val="normaltextrun"/>
          <w:rFonts w:ascii="Verdana" w:hAnsi="Verdana" w:cs="Arial"/>
          <w:shd w:val="clear" w:color="auto" w:fill="FFFFFF"/>
          <w:lang w:val="es-ES"/>
        </w:rPr>
        <w:t xml:space="preserve">. </w:t>
      </w:r>
    </w:p>
    <w:p w14:paraId="2EECDE92" w14:textId="77777777" w:rsidR="00F7025D" w:rsidRDefault="00F7025D" w:rsidP="00F7025D">
      <w:pPr>
        <w:spacing w:after="0" w:line="240" w:lineRule="auto"/>
        <w:jc w:val="both"/>
        <w:rPr>
          <w:rFonts w:ascii="Verdana" w:hAnsi="Verdana"/>
        </w:rPr>
      </w:pPr>
    </w:p>
    <w:p w14:paraId="502352A4"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Por último, lo invitamos a seguirnos en las redes sociales en las cuales se difunde información institucional: </w:t>
      </w:r>
    </w:p>
    <w:p w14:paraId="762641FB" w14:textId="77777777" w:rsidR="00F7025D" w:rsidRPr="00D6662D" w:rsidRDefault="00F7025D" w:rsidP="00F7025D">
      <w:pPr>
        <w:spacing w:after="0" w:line="240" w:lineRule="auto"/>
        <w:jc w:val="both"/>
        <w:rPr>
          <w:rFonts w:ascii="Verdana" w:hAnsi="Verdana"/>
        </w:rPr>
      </w:pPr>
    </w:p>
    <w:p w14:paraId="34BE234F"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Twitter: </w:t>
      </w:r>
      <w:r w:rsidRPr="00D6662D">
        <w:rPr>
          <w:rStyle w:val="Hipervnculo"/>
          <w:rFonts w:ascii="Verdana" w:hAnsi="Verdana"/>
          <w:color w:val="4472C4" w:themeColor="accent1"/>
        </w:rPr>
        <w:t>@colombiacompra</w:t>
      </w:r>
      <w:r w:rsidRPr="00D6662D">
        <w:rPr>
          <w:rFonts w:ascii="Verdana" w:hAnsi="Verdana"/>
          <w:color w:val="4472C4" w:themeColor="accent1"/>
        </w:rPr>
        <w:t xml:space="preserve"> </w:t>
      </w:r>
    </w:p>
    <w:p w14:paraId="7D5D618A"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Facebook: </w:t>
      </w:r>
      <w:r w:rsidRPr="00D6662D">
        <w:rPr>
          <w:rStyle w:val="Hipervnculo"/>
          <w:rFonts w:ascii="Verdana" w:hAnsi="Verdana"/>
          <w:color w:val="4472C4" w:themeColor="accent1"/>
        </w:rPr>
        <w:t>ColombiaCompraEficiente</w:t>
      </w:r>
    </w:p>
    <w:p w14:paraId="0273F528"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LinkedIn: </w:t>
      </w:r>
      <w:r w:rsidRPr="00D6662D">
        <w:rPr>
          <w:rStyle w:val="Hipervnculo"/>
          <w:rFonts w:ascii="Verdana" w:hAnsi="Verdana"/>
          <w:color w:val="4472C4" w:themeColor="accent1"/>
        </w:rPr>
        <w:t>Agencia Nacional de Contratación Pública - Colombia Compra Eficiente</w:t>
      </w:r>
      <w:r w:rsidRPr="00D6662D">
        <w:rPr>
          <w:rFonts w:ascii="Verdana" w:hAnsi="Verdana"/>
          <w:color w:val="4472C4" w:themeColor="accent1"/>
        </w:rPr>
        <w:t xml:space="preserve"> </w:t>
      </w:r>
      <w:r w:rsidRPr="00D6662D">
        <w:rPr>
          <w:rFonts w:ascii="Verdana" w:hAnsi="Verdana"/>
        </w:rPr>
        <w:t xml:space="preserve">Instagram: </w:t>
      </w:r>
      <w:r w:rsidRPr="00D6662D">
        <w:rPr>
          <w:rStyle w:val="Hipervnculo"/>
          <w:rFonts w:ascii="Verdana" w:hAnsi="Verdana"/>
          <w:color w:val="4472C4" w:themeColor="accent1"/>
        </w:rPr>
        <w:t>@colombiacompraeficiente_cce</w:t>
      </w:r>
    </w:p>
    <w:p w14:paraId="3590A320" w14:textId="77777777" w:rsidR="00F7025D" w:rsidRPr="00D6662D" w:rsidRDefault="00F7025D" w:rsidP="00F7025D">
      <w:pPr>
        <w:widowControl w:val="0"/>
        <w:autoSpaceDE w:val="0"/>
        <w:autoSpaceDN w:val="0"/>
        <w:spacing w:after="0" w:line="276" w:lineRule="auto"/>
        <w:jc w:val="both"/>
        <w:rPr>
          <w:rFonts w:ascii="Verdana" w:hAnsi="Verdana" w:cs="Arial"/>
        </w:rPr>
      </w:pPr>
    </w:p>
    <w:p w14:paraId="08CEC0D2" w14:textId="77777777" w:rsidR="00F7025D" w:rsidRPr="00D6662D" w:rsidRDefault="00F7025D" w:rsidP="00F7025D">
      <w:pPr>
        <w:widowControl w:val="0"/>
        <w:autoSpaceDE w:val="0"/>
        <w:autoSpaceDN w:val="0"/>
        <w:spacing w:after="0" w:line="276" w:lineRule="auto"/>
        <w:jc w:val="both"/>
        <w:rPr>
          <w:rFonts w:ascii="Verdana" w:hAnsi="Verdana" w:cs="Arial"/>
          <w:lang w:val="es-ES_tradnl"/>
        </w:rPr>
      </w:pPr>
      <w:r w:rsidRPr="00D6662D">
        <w:rPr>
          <w:rFonts w:ascii="Verdana" w:hAnsi="Verdana" w:cs="Arial"/>
        </w:rPr>
        <w:t xml:space="preserve">Este concepto tiene el alcance previsto en el artículo 28 del Código de Procedimiento Administrativo y de lo Contencioso Administrativo </w:t>
      </w:r>
      <w:r w:rsidRPr="00D6662D">
        <w:rPr>
          <w:rFonts w:ascii="Verdana" w:hAnsi="Verdana" w:cs="Arial"/>
          <w:lang w:val="es-ES_tradnl"/>
        </w:rPr>
        <w:t>y las expresiones aquí utilizadas con mayúscula inicial deben ser entendidas con el significado que les otorga el artículo 2.2.1.1.1.3.1. del Decreto 1082 de 2015.</w:t>
      </w:r>
    </w:p>
    <w:p w14:paraId="7EC7F99F"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8C057F3" w14:textId="77777777" w:rsidR="00F7025D" w:rsidRPr="00D6662D" w:rsidRDefault="00F7025D" w:rsidP="00F7025D">
      <w:pPr>
        <w:spacing w:after="0" w:line="240" w:lineRule="auto"/>
        <w:rPr>
          <w:rFonts w:ascii="Verdana" w:hAnsi="Verdana" w:cs="Arial"/>
          <w:lang w:eastAsia="es-CO"/>
        </w:rPr>
      </w:pPr>
      <w:r w:rsidRPr="00D6662D">
        <w:rPr>
          <w:rFonts w:ascii="Verdana" w:eastAsia="Times New Roman" w:hAnsi="Verdana" w:cs="Arial"/>
          <w:lang w:eastAsia="es-CO"/>
        </w:rPr>
        <w:t>Atentamente,</w:t>
      </w:r>
      <w:r w:rsidRPr="00D6662D">
        <w:rPr>
          <w:rFonts w:ascii="Verdana" w:hAnsi="Verdana" w:cs="Arial"/>
          <w:lang w:eastAsia="es-CO"/>
        </w:rPr>
        <w:t xml:space="preserve"> </w:t>
      </w:r>
    </w:p>
    <w:p w14:paraId="65FAE39C" w14:textId="77777777" w:rsidR="00F7025D" w:rsidRPr="00EF46B1" w:rsidRDefault="00F7025D" w:rsidP="00F7025D">
      <w:pPr>
        <w:spacing w:line="276" w:lineRule="auto"/>
        <w:jc w:val="center"/>
        <w:rPr>
          <w:rFonts w:ascii="Verdana" w:hAnsi="Verdana" w:cs="Arial"/>
          <w:color w:val="000000"/>
          <w:lang w:val="es-ES_tradnl" w:eastAsia="es-CO"/>
        </w:rPr>
      </w:pPr>
      <w:r w:rsidRPr="00EF46B1">
        <w:rPr>
          <w:rFonts w:ascii="Verdana" w:hAnsi="Verdana"/>
          <w:noProof/>
        </w:rPr>
        <w:drawing>
          <wp:inline distT="0" distB="0" distL="0" distR="0" wp14:anchorId="2B528F08" wp14:editId="1945E3E0">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7"/>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6"/>
        <w:gridCol w:w="5375"/>
      </w:tblGrid>
      <w:tr w:rsidR="00F7025D" w:rsidRPr="00EF46B1" w14:paraId="225C0255" w14:textId="77777777" w:rsidTr="001C79B1">
        <w:trPr>
          <w:trHeight w:val="315"/>
        </w:trPr>
        <w:tc>
          <w:tcPr>
            <w:tcW w:w="893" w:type="dxa"/>
            <w:vAlign w:val="center"/>
            <w:hideMark/>
          </w:tcPr>
          <w:p w14:paraId="64FACBCF"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Elaboró:</w:t>
            </w:r>
          </w:p>
        </w:tc>
        <w:tc>
          <w:tcPr>
            <w:tcW w:w="5628" w:type="dxa"/>
            <w:tcBorders>
              <w:top w:val="nil"/>
              <w:left w:val="nil"/>
              <w:bottom w:val="dotted" w:sz="4" w:space="0" w:color="7F7F7F" w:themeColor="text1" w:themeTint="80"/>
              <w:right w:val="nil"/>
            </w:tcBorders>
            <w:vAlign w:val="center"/>
            <w:hideMark/>
          </w:tcPr>
          <w:p w14:paraId="0469B2DF" w14:textId="77777777" w:rsidR="00F7025D" w:rsidRPr="00EF46B1" w:rsidRDefault="00F7025D" w:rsidP="001C79B1">
            <w:pPr>
              <w:contextualSpacing/>
              <w:rPr>
                <w:rStyle w:val="normaltextrun"/>
                <w:rFonts w:ascii="Verdana" w:hAnsi="Verdana"/>
              </w:rPr>
            </w:pPr>
            <w:r w:rsidRPr="00EF46B1">
              <w:rPr>
                <w:rStyle w:val="normaltextrun"/>
                <w:rFonts w:ascii="Verdana" w:eastAsia="Arial" w:hAnsi="Verdana" w:cs="Arial"/>
              </w:rPr>
              <w:t>Ximena Moreno</w:t>
            </w:r>
          </w:p>
          <w:p w14:paraId="65FFD35A" w14:textId="77777777" w:rsidR="00F7025D" w:rsidRPr="00EF46B1" w:rsidRDefault="00F7025D" w:rsidP="001C79B1">
            <w:pPr>
              <w:contextualSpacing/>
              <w:rPr>
                <w:rFonts w:ascii="Verdana" w:eastAsia="Arial" w:hAnsi="Verdana" w:cs="Arial"/>
              </w:rPr>
            </w:pPr>
            <w:r w:rsidRPr="00EF46B1">
              <w:rPr>
                <w:rStyle w:val="normaltextrun"/>
                <w:rFonts w:ascii="Verdana" w:eastAsia="Arial" w:hAnsi="Verdana" w:cs="Arial"/>
              </w:rPr>
              <w:t>Contratista de la Subdirección de Gestión Contractual</w:t>
            </w:r>
          </w:p>
        </w:tc>
      </w:tr>
      <w:tr w:rsidR="00F7025D" w:rsidRPr="00EF46B1" w14:paraId="2646422A" w14:textId="77777777" w:rsidTr="001C79B1">
        <w:trPr>
          <w:trHeight w:val="330"/>
        </w:trPr>
        <w:tc>
          <w:tcPr>
            <w:tcW w:w="893" w:type="dxa"/>
            <w:vAlign w:val="center"/>
            <w:hideMark/>
          </w:tcPr>
          <w:p w14:paraId="3ED23A2A"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0E3B72" w14:textId="77777777" w:rsidR="00F7025D" w:rsidRPr="00F7025D" w:rsidRDefault="00F7025D" w:rsidP="001C79B1">
            <w:pPr>
              <w:pStyle w:val="paragraph"/>
              <w:spacing w:before="0" w:beforeAutospacing="0" w:after="0" w:afterAutospacing="0"/>
              <w:contextualSpacing/>
              <w:textAlignment w:val="baseline"/>
              <w:rPr>
                <w:rStyle w:val="normaltextrun"/>
                <w:rFonts w:ascii="Verdana" w:hAnsi="Verdana" w:cs="Arial"/>
                <w:sz w:val="22"/>
                <w:szCs w:val="22"/>
                <w:lang w:val="es-ES"/>
              </w:rPr>
            </w:pPr>
            <w:r w:rsidRPr="00F7025D">
              <w:rPr>
                <w:rStyle w:val="normaltextrun"/>
                <w:rFonts w:ascii="Verdana" w:hAnsi="Verdana" w:cs="Arial"/>
                <w:sz w:val="22"/>
                <w:szCs w:val="22"/>
                <w:lang w:val="es-ES"/>
              </w:rPr>
              <w:t xml:space="preserve">Adriana Katerine López Rodríguez </w:t>
            </w:r>
          </w:p>
          <w:p w14:paraId="170B4441" w14:textId="77777777" w:rsidR="00F7025D" w:rsidRPr="00EF46B1" w:rsidRDefault="00F7025D" w:rsidP="001C79B1">
            <w:pPr>
              <w:pStyle w:val="paragraph"/>
              <w:spacing w:before="0" w:beforeAutospacing="0" w:after="0" w:afterAutospacing="0"/>
              <w:contextualSpacing/>
              <w:textAlignment w:val="baseline"/>
              <w:rPr>
                <w:rFonts w:ascii="Verdana" w:hAnsi="Verdana" w:cs="Segoe UI"/>
                <w:sz w:val="22"/>
                <w:szCs w:val="22"/>
              </w:rPr>
            </w:pPr>
            <w:r w:rsidRPr="00F7025D">
              <w:rPr>
                <w:rStyle w:val="normaltextrun"/>
                <w:rFonts w:ascii="Verdana" w:hAnsi="Verdana" w:cs="Arial"/>
                <w:sz w:val="22"/>
                <w:szCs w:val="22"/>
                <w:lang w:val="es-ES"/>
              </w:rPr>
              <w:t>Contratista de la Subdirección de Gestión Contractual</w:t>
            </w:r>
            <w:r w:rsidRPr="00F7025D">
              <w:rPr>
                <w:rStyle w:val="eop"/>
                <w:rFonts w:ascii="Verdana" w:hAnsi="Verdana" w:cs="Arial"/>
                <w:sz w:val="22"/>
                <w:szCs w:val="22"/>
              </w:rPr>
              <w:t> </w:t>
            </w:r>
          </w:p>
        </w:tc>
      </w:tr>
      <w:tr w:rsidR="00F7025D" w:rsidRPr="00EF46B1" w14:paraId="7AAE2296" w14:textId="77777777" w:rsidTr="001C79B1">
        <w:trPr>
          <w:trHeight w:val="300"/>
        </w:trPr>
        <w:tc>
          <w:tcPr>
            <w:tcW w:w="893" w:type="dxa"/>
            <w:vAlign w:val="center"/>
          </w:tcPr>
          <w:p w14:paraId="706502D9"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2B2482"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val="pt-BR" w:eastAsia="es-ES"/>
              </w:rPr>
              <w:t>Carolina Quintero Gacharná</w:t>
            </w:r>
          </w:p>
          <w:p w14:paraId="08247BCD"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eastAsia="es-ES"/>
              </w:rPr>
              <w:t>Subdirectora</w:t>
            </w:r>
            <w:r w:rsidRPr="00EF46B1">
              <w:rPr>
                <w:rFonts w:ascii="Verdana" w:eastAsia="Calibri" w:hAnsi="Verdana" w:cs="Arial"/>
                <w:lang w:val="pt-BR" w:eastAsia="es-ES"/>
              </w:rPr>
              <w:t xml:space="preserve"> de Gestión </w:t>
            </w:r>
            <w:proofErr w:type="spellStart"/>
            <w:r w:rsidRPr="00EF46B1">
              <w:rPr>
                <w:rFonts w:ascii="Verdana" w:eastAsia="Calibri" w:hAnsi="Verdana" w:cs="Arial"/>
                <w:lang w:val="pt-BR" w:eastAsia="es-ES"/>
              </w:rPr>
              <w:t>Contractual</w:t>
            </w:r>
            <w:proofErr w:type="spellEnd"/>
            <w:r w:rsidRPr="00EF46B1">
              <w:rPr>
                <w:rFonts w:ascii="Verdana" w:eastAsia="Calibri" w:hAnsi="Verdana" w:cs="Arial"/>
                <w:lang w:val="pt-BR" w:eastAsia="es-ES"/>
              </w:rPr>
              <w:t xml:space="preserve"> ANCP – CCE</w:t>
            </w:r>
          </w:p>
        </w:tc>
      </w:tr>
    </w:tbl>
    <w:p w14:paraId="0571E0C3" w14:textId="77777777" w:rsidR="00F7025D" w:rsidRPr="00D6662D" w:rsidRDefault="00F7025D" w:rsidP="00F7025D">
      <w:pPr>
        <w:spacing w:after="0" w:line="240" w:lineRule="auto"/>
        <w:rPr>
          <w:rFonts w:ascii="Verdana" w:eastAsia="Times New Roman" w:hAnsi="Verdana" w:cs="Arial"/>
          <w:lang w:eastAsia="es-ES"/>
        </w:rPr>
      </w:pPr>
    </w:p>
    <w:p w14:paraId="7CC84D83" w14:textId="77777777" w:rsidR="00F7025D" w:rsidRPr="00EF46B1" w:rsidRDefault="00F7025D" w:rsidP="00F7025D">
      <w:pPr>
        <w:rPr>
          <w:rFonts w:ascii="Verdana" w:hAnsi="Verdana"/>
        </w:rPr>
      </w:pPr>
    </w:p>
    <w:p w14:paraId="0083C991" w14:textId="5C765C2F" w:rsidR="5D8505AD" w:rsidRPr="00F7025D" w:rsidRDefault="5D8505AD" w:rsidP="00F7025D"/>
    <w:sectPr w:rsidR="5D8505AD" w:rsidRPr="00F7025D"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881840" w14:textId="77777777" w:rsidR="007463F8" w:rsidRDefault="007463F8" w:rsidP="00B30448">
      <w:pPr>
        <w:spacing w:after="0" w:line="240" w:lineRule="auto"/>
      </w:pPr>
      <w:r>
        <w:separator/>
      </w:r>
    </w:p>
  </w:endnote>
  <w:endnote w:type="continuationSeparator" w:id="0">
    <w:p w14:paraId="50B01EA0" w14:textId="77777777" w:rsidR="007463F8" w:rsidRDefault="007463F8" w:rsidP="00B30448">
      <w:pPr>
        <w:spacing w:after="0" w:line="240" w:lineRule="auto"/>
      </w:pPr>
      <w:r>
        <w:continuationSeparator/>
      </w:r>
    </w:p>
  </w:endnote>
  <w:endnote w:type="continuationNotice" w:id="1">
    <w:p w14:paraId="30E7AF30" w14:textId="77777777" w:rsidR="007463F8" w:rsidRDefault="007463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4141E1" w14:textId="77777777" w:rsidR="007463F8" w:rsidRDefault="007463F8" w:rsidP="00B30448">
      <w:pPr>
        <w:spacing w:after="0" w:line="240" w:lineRule="auto"/>
      </w:pPr>
      <w:r>
        <w:separator/>
      </w:r>
    </w:p>
  </w:footnote>
  <w:footnote w:type="continuationSeparator" w:id="0">
    <w:p w14:paraId="6E5F4ED7" w14:textId="77777777" w:rsidR="007463F8" w:rsidRDefault="007463F8" w:rsidP="00B30448">
      <w:pPr>
        <w:spacing w:after="0" w:line="240" w:lineRule="auto"/>
      </w:pPr>
      <w:r>
        <w:continuationSeparator/>
      </w:r>
    </w:p>
  </w:footnote>
  <w:footnote w:type="continuationNotice" w:id="1">
    <w:p w14:paraId="656EBED4" w14:textId="77777777" w:rsidR="007463F8" w:rsidRDefault="007463F8">
      <w:pPr>
        <w:spacing w:after="0" w:line="240" w:lineRule="auto"/>
      </w:pPr>
    </w:p>
  </w:footnote>
  <w:footnote w:id="2">
    <w:p w14:paraId="2943C42B" w14:textId="77777777" w:rsidR="00F7025D" w:rsidRPr="00350925" w:rsidRDefault="00F7025D" w:rsidP="00F7025D">
      <w:pPr>
        <w:pStyle w:val="Textoindependiente"/>
        <w:ind w:right="49" w:firstLine="708"/>
        <w:jc w:val="both"/>
        <w:rPr>
          <w:sz w:val="19"/>
          <w:szCs w:val="19"/>
        </w:rPr>
      </w:pPr>
      <w:r w:rsidRPr="00350925">
        <w:rPr>
          <w:rStyle w:val="Refdenotaalpie"/>
          <w:sz w:val="19"/>
          <w:szCs w:val="19"/>
        </w:rPr>
        <w:footnoteRef/>
      </w:r>
      <w:r w:rsidRPr="00350925">
        <w:rPr>
          <w:sz w:val="19"/>
          <w:szCs w:val="19"/>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27C97D84" w14:textId="77777777" w:rsidR="00F7025D" w:rsidRPr="00350925" w:rsidRDefault="00F7025D" w:rsidP="00F7025D">
      <w:pPr>
        <w:pStyle w:val="Textonotapie"/>
        <w:jc w:val="both"/>
        <w:rPr>
          <w:rFonts w:ascii="Arial" w:hAnsi="Arial" w:cs="Arial"/>
          <w:sz w:val="19"/>
          <w:szCs w:val="19"/>
          <w:lang w:val="es-ES"/>
        </w:rPr>
      </w:pPr>
    </w:p>
  </w:footnote>
  <w:footnote w:id="3">
    <w:p w14:paraId="77E0E6E6" w14:textId="77777777" w:rsidR="00F7025D" w:rsidRPr="00350925" w:rsidRDefault="00F7025D" w:rsidP="00F7025D">
      <w:pPr>
        <w:pStyle w:val="Textonotapie"/>
        <w:ind w:firstLine="708"/>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Así se establece en el «</w:t>
      </w:r>
      <w:r w:rsidRPr="00350925">
        <w:rPr>
          <w:rFonts w:ascii="Arial" w:eastAsia="Calibri" w:hAnsi="Arial" w:cs="Arial"/>
          <w:color w:val="000000" w:themeColor="text1"/>
          <w:sz w:val="19"/>
          <w:szCs w:val="19"/>
        </w:rPr>
        <w:t>Manual para la Identificación y Cobertura del Riesgo en los Procesos de Contratación</w:t>
      </w:r>
      <w:r w:rsidRPr="00350925">
        <w:rPr>
          <w:rFonts w:ascii="Arial" w:hAnsi="Arial" w:cs="Arial"/>
          <w:sz w:val="19"/>
          <w:szCs w:val="19"/>
        </w:rPr>
        <w:t>»: «5. Monitorear los Riesgos.</w:t>
      </w:r>
    </w:p>
    <w:p w14:paraId="0A06FD5E" w14:textId="77777777" w:rsidR="00F7025D" w:rsidRPr="00350925" w:rsidRDefault="00F7025D" w:rsidP="00F7025D">
      <w:pPr>
        <w:pStyle w:val="Textonotapie"/>
        <w:ind w:firstLine="708"/>
        <w:jc w:val="both"/>
        <w:rPr>
          <w:rFonts w:ascii="Arial" w:hAnsi="Arial" w:cs="Arial"/>
          <w:sz w:val="19"/>
          <w:szCs w:val="19"/>
        </w:rPr>
      </w:pPr>
      <w:r w:rsidRPr="00350925">
        <w:rPr>
          <w:rFonts w:ascii="Arial" w:hAnsi="Arial" w:cs="Arial"/>
          <w:sz w:val="19"/>
          <w:szCs w:val="19"/>
        </w:rPr>
        <w:t>»</w:t>
      </w:r>
      <w:r>
        <w:rPr>
          <w:rFonts w:ascii="Arial" w:hAnsi="Arial" w:cs="Arial"/>
          <w:sz w:val="19"/>
          <w:szCs w:val="19"/>
        </w:rPr>
        <w:t xml:space="preserve"> </w:t>
      </w:r>
      <w:r w:rsidRPr="00350925">
        <w:rPr>
          <w:rFonts w:ascii="Arial" w:hAnsi="Arial" w:cs="Arial"/>
          <w:sz w:val="19"/>
          <w:szCs w:val="19"/>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50925">
        <w:rPr>
          <w:rFonts w:ascii="Arial" w:hAnsi="Arial" w:cs="Arial"/>
          <w:i/>
          <w:iCs/>
          <w:sz w:val="19"/>
          <w:szCs w:val="19"/>
        </w:rPr>
        <w:t>revisar si es necesario hacer ajustes al plan de tratamiento de acuerdo con las circunstancias</w:t>
      </w:r>
      <w:r w:rsidRPr="00350925">
        <w:rPr>
          <w:rFonts w:ascii="Arial" w:hAnsi="Arial" w:cs="Arial"/>
          <w:sz w:val="19"/>
          <w:szCs w:val="19"/>
        </w:rPr>
        <w:t>» (Cursiva fuera del original).</w:t>
      </w:r>
    </w:p>
  </w:footnote>
  <w:footnote w:id="4">
    <w:p w14:paraId="4932C3B5" w14:textId="77777777" w:rsidR="00F7025D" w:rsidRPr="00350925" w:rsidRDefault="00F7025D" w:rsidP="00F7025D">
      <w:pPr>
        <w:pStyle w:val="Textonotapie"/>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Manual para la identificación y cobertura del Riesgo en los Procesos de Contratación. </w:t>
      </w:r>
    </w:p>
  </w:footnote>
  <w:footnote w:id="5">
    <w:p w14:paraId="3B8AD850" w14:textId="77777777" w:rsidR="00F7025D" w:rsidRPr="00350925" w:rsidRDefault="00F7025D" w:rsidP="00F7025D">
      <w:pPr>
        <w:pStyle w:val="Textonotapie"/>
        <w:ind w:firstLine="708"/>
        <w:jc w:val="both"/>
        <w:rPr>
          <w:rFonts w:ascii="Arial" w:hAnsi="Arial" w:cs="Arial"/>
          <w:sz w:val="19"/>
          <w:szCs w:val="19"/>
          <w:lang w:val="es-CO"/>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Ibíd. </w:t>
      </w:r>
    </w:p>
  </w:footnote>
  <w:footnote w:id="6">
    <w:p w14:paraId="58993B92" w14:textId="77777777" w:rsidR="00F7025D" w:rsidRPr="00350925" w:rsidRDefault="00F7025D" w:rsidP="00F7025D">
      <w:pPr>
        <w:pStyle w:val="Textonotapie"/>
        <w:ind w:firstLine="708"/>
        <w:jc w:val="both"/>
        <w:rPr>
          <w:lang w:val="es-CO"/>
        </w:rPr>
      </w:pPr>
      <w:r w:rsidRPr="00350925">
        <w:rPr>
          <w:rStyle w:val="Refdenotaalpie"/>
        </w:rPr>
        <w:footnoteRef/>
      </w:r>
      <w:r w:rsidRPr="00350925">
        <w:t xml:space="preserve"> </w:t>
      </w:r>
      <w:r w:rsidRPr="00350925">
        <w:rPr>
          <w:rFonts w:ascii="Arial" w:hAnsi="Arial" w:cs="Arial"/>
          <w:sz w:val="19"/>
          <w:szCs w:val="19"/>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7">
    <w:p w14:paraId="098F26F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«Para la consecución de los fines de que trata el artículo anterior, las entidades estatales:</w:t>
      </w:r>
    </w:p>
    <w:p w14:paraId="53D65374" w14:textId="77777777" w:rsidR="00F7025D" w:rsidRPr="005745DD" w:rsidRDefault="00F7025D" w:rsidP="00F7025D">
      <w:pPr>
        <w:ind w:firstLine="709"/>
        <w:jc w:val="both"/>
        <w:rPr>
          <w:rFonts w:ascii="Arial" w:hAnsi="Arial" w:cs="Arial"/>
          <w:sz w:val="19"/>
          <w:szCs w:val="19"/>
          <w:lang w:val="es-ES"/>
        </w:rPr>
      </w:pPr>
      <w:r w:rsidRPr="005745DD">
        <w:rPr>
          <w:rFonts w:ascii="Arial" w:hAnsi="Arial" w:cs="Arial"/>
          <w:sz w:val="19"/>
          <w:szCs w:val="19"/>
          <w:lang w:val="es-ES"/>
        </w:rPr>
        <w:t>» […] 3o. Solicitarán la actualización o la revisión de los precios cuando se produzcan fenómenos que alteren en su contra el equilibrio económico o financiero del contrato».</w:t>
      </w:r>
    </w:p>
    <w:p w14:paraId="604C69CC" w14:textId="77777777" w:rsidR="00F7025D" w:rsidRPr="005745DD" w:rsidRDefault="00F7025D" w:rsidP="00F7025D">
      <w:pPr>
        <w:pStyle w:val="Textonotapie"/>
        <w:ind w:firstLine="709"/>
        <w:jc w:val="both"/>
        <w:rPr>
          <w:rFonts w:ascii="Arial" w:hAnsi="Arial" w:cs="Arial"/>
          <w:sz w:val="19"/>
          <w:szCs w:val="19"/>
          <w:lang w:val="es-ES"/>
        </w:rPr>
      </w:pPr>
    </w:p>
  </w:footnote>
  <w:footnote w:id="8">
    <w:p w14:paraId="6E839D1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w:t>
      </w:r>
      <w:r w:rsidRPr="005745DD">
        <w:rPr>
          <w:rFonts w:ascii="Arial" w:hAnsi="Arial" w:cs="Arial"/>
          <w:sz w:val="19"/>
          <w:szCs w:val="19"/>
        </w:rPr>
        <w:t>Para</w:t>
      </w:r>
      <w:r w:rsidRPr="005745DD">
        <w:rPr>
          <w:rFonts w:ascii="Arial" w:hAnsi="Arial" w:cs="Arial"/>
          <w:sz w:val="19"/>
          <w:szCs w:val="19"/>
          <w:lang w:val="es-ES"/>
        </w:rPr>
        <w:t xml:space="preserve"> la realización de los fines de que trata el artículo 3o. de esta Ley, los contratistas:</w:t>
      </w:r>
    </w:p>
    <w:p w14:paraId="4A2E3700"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1o. Tendrán derecho a recibir oportunamente la remuneración pactada y a que el valor intrínseco de la misma no se altere o modifique durante la vigencia del contrato.</w:t>
      </w:r>
    </w:p>
    <w:p w14:paraId="6A00C4F4"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p>
  </w:footnote>
  <w:footnote w:id="9">
    <w:p w14:paraId="3A90A932" w14:textId="77777777" w:rsidR="00F7025D" w:rsidRPr="00B560EE" w:rsidRDefault="00F7025D" w:rsidP="00F7025D">
      <w:pPr>
        <w:tabs>
          <w:tab w:val="left" w:pos="426"/>
          <w:tab w:val="left" w:pos="2087"/>
          <w:tab w:val="left" w:pos="3424"/>
          <w:tab w:val="left" w:pos="4701"/>
          <w:tab w:val="left" w:pos="5341"/>
          <w:tab w:val="left" w:pos="5920"/>
          <w:tab w:val="left" w:pos="7487"/>
          <w:tab w:val="left" w:pos="8037"/>
          <w:tab w:val="left" w:pos="8524"/>
        </w:tabs>
        <w:ind w:firstLine="709"/>
        <w:jc w:val="both"/>
        <w:rPr>
          <w:rFonts w:ascii="Arial" w:hAnsi="Arial" w:cs="Arial"/>
          <w:sz w:val="19"/>
          <w:szCs w:val="19"/>
        </w:rPr>
      </w:pPr>
      <w:r w:rsidRPr="00B560EE">
        <w:rPr>
          <w:rStyle w:val="Refdenotaalpie"/>
          <w:rFonts w:ascii="Arial" w:hAnsi="Arial" w:cs="Arial"/>
          <w:sz w:val="19"/>
          <w:szCs w:val="19"/>
        </w:rPr>
        <w:footnoteRef/>
      </w:r>
      <w:r w:rsidRPr="00B560EE">
        <w:rPr>
          <w:rFonts w:ascii="Arial" w:hAnsi="Arial" w:cs="Arial"/>
          <w:sz w:val="19"/>
          <w:szCs w:val="19"/>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sidRPr="00B560EE">
        <w:rPr>
          <w:rFonts w:ascii="Arial" w:hAnsi="Arial" w:cs="Arial"/>
          <w:sz w:val="19"/>
          <w:szCs w:val="19"/>
        </w:rPr>
        <w:tab/>
        <w:t>relacionada con los procedimientos de la entidad»: https://www.colciencias.gov.co/sites/default/files/ckeditor_files/G102PR01-procedimiento-elaboracion- control.pdf</w:t>
      </w:r>
    </w:p>
    <w:p w14:paraId="5AB7B3DC" w14:textId="77777777" w:rsidR="00F7025D" w:rsidRPr="00B560EE" w:rsidRDefault="00F7025D" w:rsidP="00F7025D">
      <w:pPr>
        <w:jc w:val="both"/>
        <w:rPr>
          <w:rFonts w:ascii="Arial" w:hAnsi="Arial" w:cs="Arial"/>
          <w:sz w:val="19"/>
          <w:szCs w:val="19"/>
        </w:rPr>
      </w:pPr>
      <w:r w:rsidRPr="00B560EE">
        <w:rPr>
          <w:rFonts w:ascii="Arial" w:hAnsi="Arial" w:cs="Arial"/>
          <w:sz w:val="19"/>
          <w:szCs w:val="19"/>
        </w:rPr>
        <w:t xml:space="preserve">Para la Autoridad Nacional de Licencias Ambientales los manuales y guías </w:t>
      </w:r>
      <w:r w:rsidRPr="00B560EE">
        <w:rPr>
          <w:rFonts w:ascii="Arial" w:hAnsi="Arial" w:cs="Arial"/>
          <w:sz w:val="19"/>
          <w:szCs w:val="19"/>
          <w:lang w:val="es-MX"/>
        </w:rPr>
        <w:t>«</w:t>
      </w:r>
      <w:r w:rsidRPr="00B560EE">
        <w:rPr>
          <w:rFonts w:ascii="Arial" w:hAnsi="Arial" w:cs="Arial"/>
          <w:sz w:val="19"/>
          <w:szCs w:val="19"/>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1">
        <w:r w:rsidRPr="00B560EE">
          <w:rPr>
            <w:rFonts w:ascii="Arial" w:hAnsi="Arial" w:cs="Arial"/>
            <w:sz w:val="19"/>
            <w:szCs w:val="19"/>
          </w:rPr>
          <w:t>http://portal.anla.gov.co/manuales-y-guias</w:t>
        </w:r>
      </w:hyperlink>
    </w:p>
    <w:p w14:paraId="547BF0D0" w14:textId="77777777" w:rsidR="00F7025D" w:rsidRPr="00B560EE" w:rsidRDefault="00F7025D" w:rsidP="00F7025D">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F6F64BE"/>
    <w:multiLevelType w:val="hybridMultilevel"/>
    <w:tmpl w:val="F5A09EF0"/>
    <w:lvl w:ilvl="0" w:tplc="92788410">
      <w:start w:val="1"/>
      <w:numFmt w:val="decimal"/>
      <w:lvlText w:val="%1."/>
      <w:lvlJc w:val="left"/>
      <w:pPr>
        <w:ind w:left="1425" w:hanging="360"/>
      </w:pPr>
      <w:rPr>
        <w:rFonts w:hint="default"/>
      </w:rPr>
    </w:lvl>
    <w:lvl w:ilvl="1" w:tplc="240A0019" w:tentative="1">
      <w:start w:val="1"/>
      <w:numFmt w:val="lowerLetter"/>
      <w:lvlText w:val="%2."/>
      <w:lvlJc w:val="left"/>
      <w:pPr>
        <w:ind w:left="2145" w:hanging="360"/>
      </w:pPr>
    </w:lvl>
    <w:lvl w:ilvl="2" w:tplc="240A001B" w:tentative="1">
      <w:start w:val="1"/>
      <w:numFmt w:val="lowerRoman"/>
      <w:lvlText w:val="%3."/>
      <w:lvlJc w:val="right"/>
      <w:pPr>
        <w:ind w:left="2865" w:hanging="180"/>
      </w:pPr>
    </w:lvl>
    <w:lvl w:ilvl="3" w:tplc="240A000F" w:tentative="1">
      <w:start w:val="1"/>
      <w:numFmt w:val="decimal"/>
      <w:lvlText w:val="%4."/>
      <w:lvlJc w:val="left"/>
      <w:pPr>
        <w:ind w:left="3585" w:hanging="360"/>
      </w:pPr>
    </w:lvl>
    <w:lvl w:ilvl="4" w:tplc="240A0019" w:tentative="1">
      <w:start w:val="1"/>
      <w:numFmt w:val="lowerLetter"/>
      <w:lvlText w:val="%5."/>
      <w:lvlJc w:val="left"/>
      <w:pPr>
        <w:ind w:left="4305" w:hanging="360"/>
      </w:pPr>
    </w:lvl>
    <w:lvl w:ilvl="5" w:tplc="240A001B" w:tentative="1">
      <w:start w:val="1"/>
      <w:numFmt w:val="lowerRoman"/>
      <w:lvlText w:val="%6."/>
      <w:lvlJc w:val="right"/>
      <w:pPr>
        <w:ind w:left="5025" w:hanging="180"/>
      </w:pPr>
    </w:lvl>
    <w:lvl w:ilvl="6" w:tplc="240A000F" w:tentative="1">
      <w:start w:val="1"/>
      <w:numFmt w:val="decimal"/>
      <w:lvlText w:val="%7."/>
      <w:lvlJc w:val="left"/>
      <w:pPr>
        <w:ind w:left="5745" w:hanging="360"/>
      </w:pPr>
    </w:lvl>
    <w:lvl w:ilvl="7" w:tplc="240A0019" w:tentative="1">
      <w:start w:val="1"/>
      <w:numFmt w:val="lowerLetter"/>
      <w:lvlText w:val="%8."/>
      <w:lvlJc w:val="left"/>
      <w:pPr>
        <w:ind w:left="6465" w:hanging="360"/>
      </w:pPr>
    </w:lvl>
    <w:lvl w:ilvl="8" w:tplc="240A001B" w:tentative="1">
      <w:start w:val="1"/>
      <w:numFmt w:val="lowerRoman"/>
      <w:lvlText w:val="%9."/>
      <w:lvlJc w:val="right"/>
      <w:pPr>
        <w:ind w:left="7185"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42501D3"/>
    <w:multiLevelType w:val="hybridMultilevel"/>
    <w:tmpl w:val="374602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8886460"/>
    <w:multiLevelType w:val="hybridMultilevel"/>
    <w:tmpl w:val="59BAC92C"/>
    <w:lvl w:ilvl="0" w:tplc="6556F346">
      <w:start w:val="1"/>
      <w:numFmt w:val="decimal"/>
      <w:lvlText w:val="%1."/>
      <w:lvlJc w:val="left"/>
      <w:pPr>
        <w:ind w:left="972" w:hanging="360"/>
      </w:pPr>
      <w:rPr>
        <w:rFonts w:hint="default"/>
      </w:rPr>
    </w:lvl>
    <w:lvl w:ilvl="1" w:tplc="240A0019" w:tentative="1">
      <w:start w:val="1"/>
      <w:numFmt w:val="lowerLetter"/>
      <w:lvlText w:val="%2."/>
      <w:lvlJc w:val="left"/>
      <w:pPr>
        <w:ind w:left="1692" w:hanging="360"/>
      </w:pPr>
    </w:lvl>
    <w:lvl w:ilvl="2" w:tplc="240A001B" w:tentative="1">
      <w:start w:val="1"/>
      <w:numFmt w:val="lowerRoman"/>
      <w:lvlText w:val="%3."/>
      <w:lvlJc w:val="right"/>
      <w:pPr>
        <w:ind w:left="2412" w:hanging="180"/>
      </w:pPr>
    </w:lvl>
    <w:lvl w:ilvl="3" w:tplc="240A000F" w:tentative="1">
      <w:start w:val="1"/>
      <w:numFmt w:val="decimal"/>
      <w:lvlText w:val="%4."/>
      <w:lvlJc w:val="left"/>
      <w:pPr>
        <w:ind w:left="3132" w:hanging="360"/>
      </w:pPr>
    </w:lvl>
    <w:lvl w:ilvl="4" w:tplc="240A0019" w:tentative="1">
      <w:start w:val="1"/>
      <w:numFmt w:val="lowerLetter"/>
      <w:lvlText w:val="%5."/>
      <w:lvlJc w:val="left"/>
      <w:pPr>
        <w:ind w:left="3852" w:hanging="360"/>
      </w:pPr>
    </w:lvl>
    <w:lvl w:ilvl="5" w:tplc="240A001B" w:tentative="1">
      <w:start w:val="1"/>
      <w:numFmt w:val="lowerRoman"/>
      <w:lvlText w:val="%6."/>
      <w:lvlJc w:val="right"/>
      <w:pPr>
        <w:ind w:left="4572" w:hanging="180"/>
      </w:pPr>
    </w:lvl>
    <w:lvl w:ilvl="6" w:tplc="240A000F" w:tentative="1">
      <w:start w:val="1"/>
      <w:numFmt w:val="decimal"/>
      <w:lvlText w:val="%7."/>
      <w:lvlJc w:val="left"/>
      <w:pPr>
        <w:ind w:left="5292" w:hanging="360"/>
      </w:pPr>
    </w:lvl>
    <w:lvl w:ilvl="7" w:tplc="240A0019" w:tentative="1">
      <w:start w:val="1"/>
      <w:numFmt w:val="lowerLetter"/>
      <w:lvlText w:val="%8."/>
      <w:lvlJc w:val="left"/>
      <w:pPr>
        <w:ind w:left="6012" w:hanging="360"/>
      </w:pPr>
    </w:lvl>
    <w:lvl w:ilvl="8" w:tplc="240A001B" w:tentative="1">
      <w:start w:val="1"/>
      <w:numFmt w:val="lowerRoman"/>
      <w:lvlText w:val="%9."/>
      <w:lvlJc w:val="right"/>
      <w:pPr>
        <w:ind w:left="6732" w:hanging="180"/>
      </w:pPr>
    </w:lvl>
  </w:abstractNum>
  <w:abstractNum w:abstractNumId="11"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2" w15:restartNumberingAfterBreak="0">
    <w:nsid w:val="781C0F7C"/>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5"/>
  </w:num>
  <w:num w:numId="8" w16cid:durableId="679089576">
    <w:abstractNumId w:val="7"/>
  </w:num>
  <w:num w:numId="9" w16cid:durableId="38668947">
    <w:abstractNumId w:val="11"/>
  </w:num>
  <w:num w:numId="10" w16cid:durableId="530729171">
    <w:abstractNumId w:val="12"/>
  </w:num>
  <w:num w:numId="11" w16cid:durableId="1332373419">
    <w:abstractNumId w:val="4"/>
  </w:num>
  <w:num w:numId="12" w16cid:durableId="1335765048">
    <w:abstractNumId w:val="10"/>
  </w:num>
  <w:num w:numId="13" w16cid:durableId="2605763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05F81"/>
    <w:rsid w:val="0001025F"/>
    <w:rsid w:val="0001222D"/>
    <w:rsid w:val="000135EB"/>
    <w:rsid w:val="00015D2B"/>
    <w:rsid w:val="00031584"/>
    <w:rsid w:val="00032A0E"/>
    <w:rsid w:val="00033C4D"/>
    <w:rsid w:val="00037347"/>
    <w:rsid w:val="000442CC"/>
    <w:rsid w:val="000556D4"/>
    <w:rsid w:val="00061AA2"/>
    <w:rsid w:val="000716AB"/>
    <w:rsid w:val="00082E4C"/>
    <w:rsid w:val="000849D5"/>
    <w:rsid w:val="0008528F"/>
    <w:rsid w:val="000A563E"/>
    <w:rsid w:val="000A6E0C"/>
    <w:rsid w:val="000A7A56"/>
    <w:rsid w:val="000B1FF7"/>
    <w:rsid w:val="000B2513"/>
    <w:rsid w:val="000B4024"/>
    <w:rsid w:val="000B6EA6"/>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A7A97"/>
    <w:rsid w:val="001B143B"/>
    <w:rsid w:val="001B21CA"/>
    <w:rsid w:val="001C04FC"/>
    <w:rsid w:val="001C25A3"/>
    <w:rsid w:val="001C5D03"/>
    <w:rsid w:val="001C7771"/>
    <w:rsid w:val="001D117D"/>
    <w:rsid w:val="001D62FF"/>
    <w:rsid w:val="001F3F48"/>
    <w:rsid w:val="002000AA"/>
    <w:rsid w:val="00204109"/>
    <w:rsid w:val="00211E6E"/>
    <w:rsid w:val="00212A46"/>
    <w:rsid w:val="0021401D"/>
    <w:rsid w:val="002146B8"/>
    <w:rsid w:val="00215516"/>
    <w:rsid w:val="00246693"/>
    <w:rsid w:val="002515CF"/>
    <w:rsid w:val="002527C2"/>
    <w:rsid w:val="00263BB6"/>
    <w:rsid w:val="00270443"/>
    <w:rsid w:val="00270EE2"/>
    <w:rsid w:val="00272972"/>
    <w:rsid w:val="00286491"/>
    <w:rsid w:val="002A0F8D"/>
    <w:rsid w:val="002A1C03"/>
    <w:rsid w:val="002B6E44"/>
    <w:rsid w:val="002C2DE8"/>
    <w:rsid w:val="002C44DA"/>
    <w:rsid w:val="002E1DB5"/>
    <w:rsid w:val="002E70C0"/>
    <w:rsid w:val="002F6CCB"/>
    <w:rsid w:val="0030001A"/>
    <w:rsid w:val="0030461E"/>
    <w:rsid w:val="00322559"/>
    <w:rsid w:val="0032756A"/>
    <w:rsid w:val="00334EF8"/>
    <w:rsid w:val="00336408"/>
    <w:rsid w:val="00340DFB"/>
    <w:rsid w:val="00341913"/>
    <w:rsid w:val="0034404F"/>
    <w:rsid w:val="00356980"/>
    <w:rsid w:val="00367462"/>
    <w:rsid w:val="00371ECA"/>
    <w:rsid w:val="00372748"/>
    <w:rsid w:val="0037332A"/>
    <w:rsid w:val="0038151A"/>
    <w:rsid w:val="0039082A"/>
    <w:rsid w:val="00390C21"/>
    <w:rsid w:val="00391884"/>
    <w:rsid w:val="003A37BD"/>
    <w:rsid w:val="003B6A61"/>
    <w:rsid w:val="003B6D94"/>
    <w:rsid w:val="003C4C96"/>
    <w:rsid w:val="003C55E0"/>
    <w:rsid w:val="003E486B"/>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C5BCE"/>
    <w:rsid w:val="004D11AF"/>
    <w:rsid w:val="00500DFA"/>
    <w:rsid w:val="005019AA"/>
    <w:rsid w:val="005021BB"/>
    <w:rsid w:val="005116D4"/>
    <w:rsid w:val="005139E7"/>
    <w:rsid w:val="005147DA"/>
    <w:rsid w:val="00515FB5"/>
    <w:rsid w:val="00521D66"/>
    <w:rsid w:val="0052365C"/>
    <w:rsid w:val="005271EB"/>
    <w:rsid w:val="005426DB"/>
    <w:rsid w:val="005446FB"/>
    <w:rsid w:val="0055082B"/>
    <w:rsid w:val="00552503"/>
    <w:rsid w:val="00552B57"/>
    <w:rsid w:val="00557DA1"/>
    <w:rsid w:val="0056322C"/>
    <w:rsid w:val="0058743A"/>
    <w:rsid w:val="005A4DB0"/>
    <w:rsid w:val="005A6AB4"/>
    <w:rsid w:val="005A7B8E"/>
    <w:rsid w:val="005B012B"/>
    <w:rsid w:val="005B0C87"/>
    <w:rsid w:val="005D23F6"/>
    <w:rsid w:val="005D2FA8"/>
    <w:rsid w:val="005E2281"/>
    <w:rsid w:val="005E667C"/>
    <w:rsid w:val="005F077C"/>
    <w:rsid w:val="005F63D0"/>
    <w:rsid w:val="005F7973"/>
    <w:rsid w:val="00606123"/>
    <w:rsid w:val="00610E87"/>
    <w:rsid w:val="0061690E"/>
    <w:rsid w:val="00627361"/>
    <w:rsid w:val="0063017E"/>
    <w:rsid w:val="00631B28"/>
    <w:rsid w:val="00643FE6"/>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6F7AAA"/>
    <w:rsid w:val="00705B37"/>
    <w:rsid w:val="00711FD9"/>
    <w:rsid w:val="00735062"/>
    <w:rsid w:val="007373D7"/>
    <w:rsid w:val="007463F8"/>
    <w:rsid w:val="00746BA5"/>
    <w:rsid w:val="00751D23"/>
    <w:rsid w:val="00757732"/>
    <w:rsid w:val="00761608"/>
    <w:rsid w:val="00770577"/>
    <w:rsid w:val="00777666"/>
    <w:rsid w:val="0078159B"/>
    <w:rsid w:val="00782E10"/>
    <w:rsid w:val="0078706B"/>
    <w:rsid w:val="00790836"/>
    <w:rsid w:val="00797131"/>
    <w:rsid w:val="007A3C1D"/>
    <w:rsid w:val="007B0E89"/>
    <w:rsid w:val="007B285D"/>
    <w:rsid w:val="007C6BC6"/>
    <w:rsid w:val="00804861"/>
    <w:rsid w:val="00807D79"/>
    <w:rsid w:val="00811B0F"/>
    <w:rsid w:val="00813634"/>
    <w:rsid w:val="00822821"/>
    <w:rsid w:val="00831C29"/>
    <w:rsid w:val="008431EF"/>
    <w:rsid w:val="008468E0"/>
    <w:rsid w:val="00871B59"/>
    <w:rsid w:val="00877D03"/>
    <w:rsid w:val="00877E96"/>
    <w:rsid w:val="008806CA"/>
    <w:rsid w:val="008815E5"/>
    <w:rsid w:val="008877BA"/>
    <w:rsid w:val="00887B37"/>
    <w:rsid w:val="008909B9"/>
    <w:rsid w:val="00891DFC"/>
    <w:rsid w:val="008A1313"/>
    <w:rsid w:val="008B12B4"/>
    <w:rsid w:val="008B7914"/>
    <w:rsid w:val="008C5D2A"/>
    <w:rsid w:val="008C7AF4"/>
    <w:rsid w:val="008D4E57"/>
    <w:rsid w:val="008D529F"/>
    <w:rsid w:val="008E43AF"/>
    <w:rsid w:val="008F5CC8"/>
    <w:rsid w:val="009061B8"/>
    <w:rsid w:val="0091008B"/>
    <w:rsid w:val="00911EA2"/>
    <w:rsid w:val="00916C7D"/>
    <w:rsid w:val="0092575D"/>
    <w:rsid w:val="009341DA"/>
    <w:rsid w:val="009430F9"/>
    <w:rsid w:val="009442E8"/>
    <w:rsid w:val="00946BD0"/>
    <w:rsid w:val="0095426C"/>
    <w:rsid w:val="0096263D"/>
    <w:rsid w:val="00970087"/>
    <w:rsid w:val="00971074"/>
    <w:rsid w:val="0097275C"/>
    <w:rsid w:val="00975FAD"/>
    <w:rsid w:val="00995D86"/>
    <w:rsid w:val="009A35EB"/>
    <w:rsid w:val="009A4F19"/>
    <w:rsid w:val="009A5453"/>
    <w:rsid w:val="009B4D94"/>
    <w:rsid w:val="009C2871"/>
    <w:rsid w:val="009D3C33"/>
    <w:rsid w:val="009D7F3A"/>
    <w:rsid w:val="009E4885"/>
    <w:rsid w:val="009F56D5"/>
    <w:rsid w:val="00A012BD"/>
    <w:rsid w:val="00A07D76"/>
    <w:rsid w:val="00A07DB6"/>
    <w:rsid w:val="00A10A73"/>
    <w:rsid w:val="00A170B3"/>
    <w:rsid w:val="00A223D5"/>
    <w:rsid w:val="00A37D1C"/>
    <w:rsid w:val="00A5453E"/>
    <w:rsid w:val="00A56F6C"/>
    <w:rsid w:val="00A76C8C"/>
    <w:rsid w:val="00A85F30"/>
    <w:rsid w:val="00A9099E"/>
    <w:rsid w:val="00A91FB7"/>
    <w:rsid w:val="00A9298F"/>
    <w:rsid w:val="00A97878"/>
    <w:rsid w:val="00AA0351"/>
    <w:rsid w:val="00AA5F4A"/>
    <w:rsid w:val="00AB1984"/>
    <w:rsid w:val="00AB52B1"/>
    <w:rsid w:val="00AC4CB3"/>
    <w:rsid w:val="00AC780D"/>
    <w:rsid w:val="00AD036B"/>
    <w:rsid w:val="00AD1996"/>
    <w:rsid w:val="00AD4099"/>
    <w:rsid w:val="00AD4901"/>
    <w:rsid w:val="00B01F10"/>
    <w:rsid w:val="00B02FE0"/>
    <w:rsid w:val="00B057B6"/>
    <w:rsid w:val="00B24CFD"/>
    <w:rsid w:val="00B30448"/>
    <w:rsid w:val="00B34786"/>
    <w:rsid w:val="00B400EC"/>
    <w:rsid w:val="00B40162"/>
    <w:rsid w:val="00B41ACE"/>
    <w:rsid w:val="00B44076"/>
    <w:rsid w:val="00B50156"/>
    <w:rsid w:val="00B518AD"/>
    <w:rsid w:val="00B52A94"/>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91364"/>
    <w:rsid w:val="00CA3347"/>
    <w:rsid w:val="00CC299A"/>
    <w:rsid w:val="00CD03E3"/>
    <w:rsid w:val="00CE4D89"/>
    <w:rsid w:val="00CE6BDA"/>
    <w:rsid w:val="00CF72F1"/>
    <w:rsid w:val="00D03DBE"/>
    <w:rsid w:val="00D072C0"/>
    <w:rsid w:val="00D120AE"/>
    <w:rsid w:val="00D3077B"/>
    <w:rsid w:val="00D34C82"/>
    <w:rsid w:val="00D3757A"/>
    <w:rsid w:val="00D45EFD"/>
    <w:rsid w:val="00D504A9"/>
    <w:rsid w:val="00D5206D"/>
    <w:rsid w:val="00D52C59"/>
    <w:rsid w:val="00D6662D"/>
    <w:rsid w:val="00D7177D"/>
    <w:rsid w:val="00D81311"/>
    <w:rsid w:val="00DB201E"/>
    <w:rsid w:val="00DC0E68"/>
    <w:rsid w:val="00DD25ED"/>
    <w:rsid w:val="00DD31C7"/>
    <w:rsid w:val="00DE0D6E"/>
    <w:rsid w:val="00DE402D"/>
    <w:rsid w:val="00E0003B"/>
    <w:rsid w:val="00E1610C"/>
    <w:rsid w:val="00E16D73"/>
    <w:rsid w:val="00E23E9E"/>
    <w:rsid w:val="00E25722"/>
    <w:rsid w:val="00E27F0A"/>
    <w:rsid w:val="00E368C0"/>
    <w:rsid w:val="00E4231E"/>
    <w:rsid w:val="00E42DCA"/>
    <w:rsid w:val="00E4302C"/>
    <w:rsid w:val="00E44AC7"/>
    <w:rsid w:val="00E45F4B"/>
    <w:rsid w:val="00E60A16"/>
    <w:rsid w:val="00E74678"/>
    <w:rsid w:val="00E82B6E"/>
    <w:rsid w:val="00E92B49"/>
    <w:rsid w:val="00E94258"/>
    <w:rsid w:val="00E9513D"/>
    <w:rsid w:val="00E96C18"/>
    <w:rsid w:val="00EA0B15"/>
    <w:rsid w:val="00EA2232"/>
    <w:rsid w:val="00EA2E61"/>
    <w:rsid w:val="00EA7D7F"/>
    <w:rsid w:val="00EB02F4"/>
    <w:rsid w:val="00EB2FA2"/>
    <w:rsid w:val="00EB5315"/>
    <w:rsid w:val="00EB769A"/>
    <w:rsid w:val="00EC3A35"/>
    <w:rsid w:val="00EE17F2"/>
    <w:rsid w:val="00EE3138"/>
    <w:rsid w:val="00EF2AC7"/>
    <w:rsid w:val="00EF400A"/>
    <w:rsid w:val="00EF46B1"/>
    <w:rsid w:val="00EF5699"/>
    <w:rsid w:val="00EF6BE4"/>
    <w:rsid w:val="00EF6E5D"/>
    <w:rsid w:val="00F07764"/>
    <w:rsid w:val="00F12517"/>
    <w:rsid w:val="00F131DD"/>
    <w:rsid w:val="00F16BA1"/>
    <w:rsid w:val="00F21E83"/>
    <w:rsid w:val="00F24435"/>
    <w:rsid w:val="00F30C0F"/>
    <w:rsid w:val="00F314E8"/>
    <w:rsid w:val="00F323A2"/>
    <w:rsid w:val="00F33B57"/>
    <w:rsid w:val="00F33D5C"/>
    <w:rsid w:val="00F34E90"/>
    <w:rsid w:val="00F356D6"/>
    <w:rsid w:val="00F53BE2"/>
    <w:rsid w:val="00F55684"/>
    <w:rsid w:val="00F56196"/>
    <w:rsid w:val="00F64D5A"/>
    <w:rsid w:val="00F7025D"/>
    <w:rsid w:val="00F709CD"/>
    <w:rsid w:val="00F906F4"/>
    <w:rsid w:val="00FA0716"/>
    <w:rsid w:val="00FA1465"/>
    <w:rsid w:val="00FA5063"/>
    <w:rsid w:val="00FB4629"/>
    <w:rsid w:val="00FB509F"/>
    <w:rsid w:val="00FB6FB1"/>
    <w:rsid w:val="00FB7063"/>
    <w:rsid w:val="00FB7C94"/>
    <w:rsid w:val="00FC7056"/>
    <w:rsid w:val="00FD1E42"/>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39590889">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manual_cobertura_riesgo.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epaternina@cdinfraestrutura.com.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circulares/cce_circular_unica.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ortal.anla.gov.c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3766</Words>
  <Characters>20717</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Gloria Ximena Moreno Guio</cp:lastModifiedBy>
  <cp:revision>2</cp:revision>
  <dcterms:created xsi:type="dcterms:W3CDTF">2024-08-26T23:38:00Z</dcterms:created>
  <dcterms:modified xsi:type="dcterms:W3CDTF">2024-08-26T23:38:00Z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