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1E294A" w14:textId="77777777" w:rsidR="00D36A36" w:rsidRDefault="00D36A36" w:rsidP="00D36A36">
      <w:pPr>
        <w:spacing w:after="0" w:line="240" w:lineRule="auto"/>
        <w:rPr>
          <w:rFonts w:ascii="Verdana" w:eastAsia="Geomanist Light" w:hAnsi="Verdana" w:cs="Arial"/>
          <w:color w:val="000000" w:themeColor="text1"/>
          <w:lang w:val="es-MX"/>
        </w:rPr>
      </w:pPr>
    </w:p>
    <w:p w14:paraId="4422FC3C" w14:textId="77777777" w:rsidR="00D36A36" w:rsidRDefault="00D36A36" w:rsidP="00D36A36">
      <w:pPr>
        <w:spacing w:after="0" w:line="240" w:lineRule="auto"/>
        <w:rPr>
          <w:rFonts w:ascii="Verdana" w:eastAsia="Geomanist Light" w:hAnsi="Verdana" w:cs="Arial"/>
          <w:color w:val="000000" w:themeColor="text1"/>
          <w:lang w:val="es-MX"/>
        </w:rPr>
      </w:pPr>
    </w:p>
    <w:p w14:paraId="0D33697C" w14:textId="2994218C" w:rsidR="00D36A36" w:rsidRPr="00847ADD" w:rsidRDefault="00033BE7" w:rsidP="00D36A36">
      <w:pPr>
        <w:spacing w:after="0" w:line="240" w:lineRule="auto"/>
        <w:rPr>
          <w:rFonts w:ascii="Verdana" w:eastAsia="Calibri" w:hAnsi="Verdana" w:cs="Arial"/>
          <w:b/>
          <w:bCs/>
          <w:lang w:val="es-ES" w:eastAsia="es-ES"/>
        </w:rPr>
      </w:pPr>
      <w:r w:rsidRPr="00847ADD">
        <w:rPr>
          <w:rFonts w:ascii="Verdana" w:eastAsia="Calibri" w:hAnsi="Verdana" w:cs="Arial"/>
          <w:b/>
          <w:bCs/>
          <w:lang w:val="es-ES" w:eastAsia="es-ES"/>
        </w:rPr>
        <w:t>FUNCIÓN PÚBLICA</w:t>
      </w:r>
    </w:p>
    <w:p w14:paraId="08626BCE" w14:textId="77777777" w:rsidR="00D36A36" w:rsidRPr="00847ADD" w:rsidRDefault="00D36A36" w:rsidP="00D36A36">
      <w:pPr>
        <w:spacing w:after="0" w:line="240" w:lineRule="auto"/>
        <w:rPr>
          <w:rFonts w:ascii="Verdana" w:eastAsia="Calibri" w:hAnsi="Verdana" w:cs="Arial"/>
          <w:b/>
          <w:bCs/>
          <w:lang w:val="es-ES" w:eastAsia="es-ES"/>
        </w:rPr>
      </w:pPr>
    </w:p>
    <w:p w14:paraId="46DADED1" w14:textId="381478B0" w:rsidR="002A541B" w:rsidRPr="00847ADD" w:rsidRDefault="002A541B" w:rsidP="00586971">
      <w:pPr>
        <w:spacing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“En sentido amplio la noción de función pública atañe al conjunto de las actividades que realiza el Estado, a través de los órganos de las ramas del poder público, de los órganos autónomos e independientes, (art. 113) y de las demás entidades o agencias públicas, en orden a alcanzar sus diferentes fines.</w:t>
      </w:r>
    </w:p>
    <w:p w14:paraId="55A2CB9F" w14:textId="77777777" w:rsidR="002A541B" w:rsidRPr="00847ADD" w:rsidRDefault="002A541B" w:rsidP="00586971">
      <w:pPr>
        <w:spacing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En un sentido restringido se habla de función pública, referida al conjunto de principios y reglas que se aplican a quienes tienen vínculo laboral subordinado con los distintos organismos del Estado. Por lo mismo, empleado, funcionario o trabajador es el servidor público que esta investido regularmente de una función, que desarrolla dentro del radio de competencia que le asigna la Constitución, la ley o el reglamento (C.P. art. 123).</w:t>
      </w:r>
    </w:p>
    <w:p w14:paraId="616A687A" w14:textId="77777777" w:rsidR="002A541B" w:rsidRPr="00847ADD" w:rsidRDefault="002A541B" w:rsidP="00586971">
      <w:pPr>
        <w:spacing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w:t>
      </w:r>
    </w:p>
    <w:p w14:paraId="3C56C3CD" w14:textId="4B1C581A" w:rsidR="002A541B" w:rsidRPr="00847ADD" w:rsidRDefault="002A541B" w:rsidP="00586971">
      <w:pPr>
        <w:spacing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 xml:space="preserve">Es función pública, como dice </w:t>
      </w:r>
      <w:r w:rsidRPr="00847ADD">
        <w:rPr>
          <w:rFonts w:ascii="Verdana" w:eastAsia="Calibri" w:hAnsi="Verdana" w:cs="Arial"/>
          <w:sz w:val="20"/>
          <w:szCs w:val="20"/>
          <w:lang w:val="es-ES"/>
        </w:rPr>
        <w:t>Maggiore toda</w:t>
      </w:r>
      <w:r w:rsidRPr="00847ADD">
        <w:rPr>
          <w:rFonts w:ascii="Verdana" w:eastAsia="Calibri" w:hAnsi="Verdana" w:cs="Arial"/>
          <w:sz w:val="20"/>
          <w:szCs w:val="20"/>
          <w:lang w:val="es-ES"/>
        </w:rPr>
        <w:t xml:space="preserve"> actividad que realice fines propios del Estado, aunque la ejerzan personas extrañas a la administración pública.</w:t>
      </w:r>
    </w:p>
    <w:p w14:paraId="5D9AA921" w14:textId="5FBA3365" w:rsidR="002A541B" w:rsidRPr="00847ADD" w:rsidRDefault="002A541B" w:rsidP="00586971">
      <w:pPr>
        <w:spacing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En esta perspectiva la función pública se valora objetivamente, haciendo abstracción de quienes la ejercen o son investidos de ella, y considerando que por esta vía el sujeto que la ejerce participa o colabora en la realización de las funciones y cometidos del Estado.</w:t>
      </w:r>
    </w:p>
    <w:p w14:paraId="5AD90A25" w14:textId="115737B9" w:rsidR="00E8732C" w:rsidRPr="00847ADD" w:rsidRDefault="002A541B" w:rsidP="00586971">
      <w:pPr>
        <w:spacing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Para efectos de dicha valoración, poco interesa que dichas funciones se ejerzan en forma temporal o permanente, porque las normas de la Constitución regulan ambos tipos de situaciones, como se deduce de la preceptiva de los artículos 123, 131, 210, 246 y 365 de la Constitución.”</w:t>
      </w:r>
    </w:p>
    <w:p w14:paraId="42CE6254" w14:textId="196CB976" w:rsidR="00D36A36" w:rsidRPr="00847ADD" w:rsidRDefault="00D36A36" w:rsidP="00704591">
      <w:pPr>
        <w:spacing w:line="240" w:lineRule="auto"/>
        <w:jc w:val="both"/>
        <w:rPr>
          <w:rFonts w:ascii="Verdana" w:eastAsia="Calibri" w:hAnsi="Verdana" w:cs="Arial"/>
          <w:sz w:val="20"/>
          <w:szCs w:val="20"/>
          <w:lang w:val="es-ES"/>
        </w:rPr>
      </w:pPr>
    </w:p>
    <w:p w14:paraId="029EF59B" w14:textId="616ACD0E" w:rsidR="00D36A36" w:rsidRPr="00847ADD" w:rsidRDefault="00826EC1" w:rsidP="00D36A36">
      <w:pPr>
        <w:spacing w:after="0" w:line="276" w:lineRule="auto"/>
        <w:jc w:val="both"/>
        <w:rPr>
          <w:rFonts w:ascii="Verdana" w:eastAsia="Calibri" w:hAnsi="Verdana" w:cs="Arial"/>
          <w:b/>
          <w:bCs/>
        </w:rPr>
      </w:pPr>
      <w:r w:rsidRPr="00847ADD">
        <w:rPr>
          <w:rFonts w:ascii="Verdana" w:eastAsia="Calibri" w:hAnsi="Verdana" w:cs="Arial"/>
          <w:b/>
          <w:bCs/>
          <w:lang w:val="es-ES" w:eastAsia="es-ES"/>
        </w:rPr>
        <w:t xml:space="preserve">CONTRATO DE PRESTACIÓN DE SERVICIOS – Concepto </w:t>
      </w:r>
      <w:r w:rsidRPr="00847ADD">
        <w:rPr>
          <w:rFonts w:ascii="Verdana" w:eastAsia="Calibri" w:hAnsi="Verdana" w:cs="Arial"/>
          <w:b/>
          <w:bCs/>
          <w:lang w:val="es-ES" w:eastAsia="es-ES"/>
        </w:rPr>
        <w:t>– Características</w:t>
      </w:r>
    </w:p>
    <w:p w14:paraId="2740DA8E" w14:textId="77777777" w:rsidR="00D36A36" w:rsidRPr="00847ADD" w:rsidRDefault="00D36A36" w:rsidP="00D36A36">
      <w:pPr>
        <w:spacing w:after="0" w:line="240" w:lineRule="auto"/>
        <w:rPr>
          <w:rFonts w:ascii="Verdana" w:eastAsia="Geomanist Light" w:hAnsi="Verdana" w:cs="Arial"/>
          <w:b/>
          <w:bCs/>
          <w:lang w:val="es-ES"/>
        </w:rPr>
      </w:pPr>
    </w:p>
    <w:p w14:paraId="5B1CDD4F" w14:textId="3E86445C" w:rsidR="00A13494" w:rsidRPr="00847ADD" w:rsidRDefault="00233A17" w:rsidP="00D36A36">
      <w:pPr>
        <w:spacing w:after="0"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r w:rsidRPr="00847ADD">
        <w:rPr>
          <w:rFonts w:ascii="Verdana" w:eastAsia="Calibri" w:hAnsi="Verdana" w:cs="Arial"/>
          <w:sz w:val="20"/>
          <w:szCs w:val="20"/>
          <w:lang w:val="es-ES"/>
        </w:rPr>
        <w:t>.</w:t>
      </w:r>
      <w:r w:rsidR="00D36A36" w:rsidRPr="00847ADD">
        <w:rPr>
          <w:rFonts w:ascii="Verdana" w:eastAsia="Calibri" w:hAnsi="Verdana" w:cs="Arial"/>
          <w:sz w:val="20"/>
          <w:szCs w:val="20"/>
          <w:lang w:val="es-ES"/>
        </w:rPr>
        <w:t xml:space="preserve"> </w:t>
      </w:r>
    </w:p>
    <w:p w14:paraId="7F7C54DF" w14:textId="16039A31" w:rsidR="00A13494" w:rsidRPr="00847ADD" w:rsidRDefault="00A13494" w:rsidP="00D36A36">
      <w:pPr>
        <w:spacing w:after="0" w:line="240" w:lineRule="auto"/>
        <w:jc w:val="both"/>
        <w:rPr>
          <w:rFonts w:ascii="Verdana" w:eastAsia="Calibri" w:hAnsi="Verdana" w:cs="Arial"/>
          <w:sz w:val="20"/>
          <w:szCs w:val="20"/>
          <w:lang w:val="es-ES"/>
        </w:rPr>
      </w:pPr>
      <w:r w:rsidRPr="00847ADD">
        <w:rPr>
          <w:rFonts w:ascii="Verdana" w:eastAsia="Calibri" w:hAnsi="Verdana" w:cs="Arial"/>
          <w:sz w:val="20"/>
          <w:szCs w:val="20"/>
          <w:lang w:val="es-ES"/>
        </w:rPr>
        <w:t>[…]</w:t>
      </w:r>
    </w:p>
    <w:p w14:paraId="7E0D499C" w14:textId="58879A30" w:rsidR="00D36A36" w:rsidRPr="00847ADD" w:rsidRDefault="00A13494" w:rsidP="00D36A36">
      <w:pPr>
        <w:spacing w:after="0" w:line="240" w:lineRule="auto"/>
        <w:jc w:val="both"/>
        <w:rPr>
          <w:rFonts w:ascii="Verdana" w:eastAsia="Geomanist Light" w:hAnsi="Verdana" w:cs="Arial"/>
          <w:b/>
          <w:bCs/>
          <w:sz w:val="20"/>
          <w:szCs w:val="20"/>
          <w:lang w:val="es-ES"/>
        </w:rPr>
      </w:pPr>
      <w:r w:rsidRPr="00847ADD">
        <w:rPr>
          <w:rFonts w:ascii="Verdana" w:eastAsia="Calibri" w:hAnsi="Verdana" w:cs="Arial"/>
          <w:sz w:val="20"/>
          <w:szCs w:val="20"/>
          <w:lang w:val="es-ES"/>
        </w:rPr>
        <w:t xml:space="preserve">El contrato de prestación de servicio al tener un objeto especifico, le asiste a la parte contratista cumplir con este conforme con las estipulaciones de los documentos precontractuales, en especial las obligaciones generales y específicas allí </w:t>
      </w:r>
      <w:r w:rsidR="00233A17" w:rsidRPr="00847ADD">
        <w:rPr>
          <w:rFonts w:ascii="Verdana" w:eastAsia="Calibri" w:hAnsi="Verdana" w:cs="Arial"/>
          <w:sz w:val="20"/>
          <w:szCs w:val="20"/>
          <w:lang w:val="es-ES"/>
        </w:rPr>
        <w:t>pactadas.</w:t>
      </w:r>
    </w:p>
    <w:p w14:paraId="5ECDD636" w14:textId="77777777" w:rsidR="00D36A36" w:rsidRPr="00847ADD" w:rsidRDefault="00D36A36" w:rsidP="00D36A36">
      <w:pPr>
        <w:spacing w:after="0" w:line="240" w:lineRule="auto"/>
        <w:rPr>
          <w:rFonts w:ascii="Verdana" w:eastAsia="Geomanist Light" w:hAnsi="Verdana" w:cs="Arial"/>
          <w:lang w:val="es-MX"/>
        </w:rPr>
      </w:pPr>
    </w:p>
    <w:p w14:paraId="1AFCF92A" w14:textId="77777777" w:rsidR="000B4754" w:rsidRPr="00BA5F9B" w:rsidRDefault="000B4754" w:rsidP="000B4754">
      <w:pPr>
        <w:spacing w:after="0" w:line="240" w:lineRule="auto"/>
        <w:rPr>
          <w:rFonts w:ascii="Verdana" w:eastAsia="Calibri" w:hAnsi="Verdana" w:cs="Arial"/>
          <w:b/>
          <w:bCs/>
          <w:lang w:val="es-ES" w:eastAsia="es-ES"/>
        </w:rPr>
      </w:pPr>
      <w:r w:rsidRPr="00BA5F9B">
        <w:rPr>
          <w:rFonts w:ascii="Verdana" w:eastAsia="Calibri" w:hAnsi="Verdana" w:cs="Arial"/>
          <w:b/>
          <w:bCs/>
          <w:lang w:val="es-ES" w:eastAsia="es-ES"/>
        </w:rPr>
        <w:t>INHABILIDADES E INCOMPATIBILIDADES ― Límites a la capacidad ― Régimen</w:t>
      </w:r>
    </w:p>
    <w:p w14:paraId="75EF935A" w14:textId="77777777" w:rsidR="000B4754" w:rsidRPr="00BA5F9B" w:rsidRDefault="000B4754" w:rsidP="000B4754">
      <w:pPr>
        <w:spacing w:after="0" w:line="240" w:lineRule="auto"/>
        <w:rPr>
          <w:rFonts w:ascii="Verdana" w:eastAsia="Calibri" w:hAnsi="Verdana" w:cs="Arial"/>
          <w:b/>
          <w:bCs/>
          <w:lang w:val="es-ES" w:eastAsia="es-ES"/>
        </w:rPr>
      </w:pPr>
    </w:p>
    <w:p w14:paraId="02F4CE66" w14:textId="77777777" w:rsidR="000B4754" w:rsidRPr="00BA5F9B" w:rsidRDefault="000B4754" w:rsidP="000B4754">
      <w:pPr>
        <w:spacing w:line="240" w:lineRule="auto"/>
        <w:jc w:val="both"/>
        <w:rPr>
          <w:rFonts w:ascii="Verdana" w:eastAsia="Calibri" w:hAnsi="Verdana" w:cs="Arial"/>
          <w:sz w:val="20"/>
          <w:szCs w:val="20"/>
          <w:lang w:val="es-ES"/>
        </w:rPr>
      </w:pPr>
      <w:r w:rsidRPr="00BA5F9B">
        <w:rPr>
          <w:rFonts w:ascii="Verdana" w:eastAsia="Calibri" w:hAnsi="Verdana" w:cs="Arial"/>
          <w:sz w:val="20"/>
          <w:szCs w:val="20"/>
          <w:lang w:val="es-ES"/>
        </w:rPr>
        <w:lastRenderedPageBreak/>
        <w:t>[…]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049EC559" w14:textId="77777777" w:rsidR="000B4754" w:rsidRPr="00BA5F9B" w:rsidRDefault="000B4754" w:rsidP="000B4754">
      <w:pPr>
        <w:spacing w:line="240" w:lineRule="auto"/>
        <w:jc w:val="both"/>
        <w:rPr>
          <w:rFonts w:ascii="Verdana" w:eastAsia="Calibri" w:hAnsi="Verdana" w:cs="Arial"/>
          <w:sz w:val="20"/>
          <w:szCs w:val="20"/>
          <w:lang w:val="es-ES"/>
        </w:rPr>
      </w:pPr>
    </w:p>
    <w:p w14:paraId="5A0593D7" w14:textId="77777777" w:rsidR="000B4754" w:rsidRPr="00BA5F9B" w:rsidRDefault="000B4754" w:rsidP="000B4754">
      <w:pPr>
        <w:spacing w:after="0" w:line="276" w:lineRule="auto"/>
        <w:jc w:val="both"/>
        <w:rPr>
          <w:rFonts w:ascii="Verdana" w:eastAsia="Calibri" w:hAnsi="Verdana" w:cs="Arial"/>
          <w:b/>
          <w:bCs/>
        </w:rPr>
      </w:pPr>
      <w:r w:rsidRPr="00BA5F9B">
        <w:rPr>
          <w:rFonts w:ascii="Verdana" w:eastAsia="Calibri" w:hAnsi="Verdana" w:cs="Arial"/>
          <w:b/>
          <w:bCs/>
          <w:lang w:val="es-ES" w:eastAsia="es-ES"/>
        </w:rPr>
        <w:t xml:space="preserve">INHABILIDADES E INCOMPATIBILIDADES ― Concepto </w:t>
      </w:r>
    </w:p>
    <w:p w14:paraId="23058BE5" w14:textId="77777777" w:rsidR="000B4754" w:rsidRPr="00BA5F9B" w:rsidRDefault="000B4754" w:rsidP="000B4754">
      <w:pPr>
        <w:spacing w:after="0" w:line="240" w:lineRule="auto"/>
        <w:rPr>
          <w:rFonts w:ascii="Verdana" w:eastAsia="Geomanist Light" w:hAnsi="Verdana" w:cs="Arial"/>
          <w:b/>
          <w:bCs/>
          <w:lang w:val="es-ES"/>
        </w:rPr>
      </w:pPr>
    </w:p>
    <w:p w14:paraId="26D490DB" w14:textId="77777777" w:rsidR="000B4754" w:rsidRPr="00BA5F9B" w:rsidRDefault="000B4754" w:rsidP="000B4754">
      <w:pPr>
        <w:spacing w:after="0" w:line="240" w:lineRule="auto"/>
        <w:jc w:val="both"/>
        <w:rPr>
          <w:rFonts w:ascii="Verdana" w:eastAsia="Calibri" w:hAnsi="Verdana" w:cs="Arial"/>
          <w:sz w:val="20"/>
          <w:szCs w:val="20"/>
          <w:lang w:val="es-ES"/>
        </w:rPr>
      </w:pPr>
      <w:r w:rsidRPr="00BA5F9B">
        <w:rPr>
          <w:rFonts w:ascii="Verdana" w:eastAsia="Calibri" w:hAnsi="Verdana" w:cs="Arial"/>
          <w:sz w:val="20"/>
          <w:szCs w:val="20"/>
          <w:lang w:val="es-ES"/>
        </w:rPr>
        <w:t>[…]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43C5F208" w14:textId="77777777" w:rsidR="000B4754" w:rsidRPr="00BA5F9B" w:rsidRDefault="000B4754" w:rsidP="000B4754">
      <w:pPr>
        <w:spacing w:after="0" w:line="240" w:lineRule="auto"/>
        <w:jc w:val="both"/>
        <w:rPr>
          <w:rFonts w:ascii="Verdana" w:eastAsia="Geomanist Light" w:hAnsi="Verdana" w:cs="Arial"/>
          <w:b/>
          <w:bCs/>
          <w:sz w:val="20"/>
          <w:szCs w:val="20"/>
          <w:lang w:val="es-ES"/>
        </w:rPr>
      </w:pPr>
    </w:p>
    <w:p w14:paraId="1BE2F9E5" w14:textId="77777777" w:rsidR="000B4754" w:rsidRPr="00BA5F9B" w:rsidRDefault="000B4754" w:rsidP="000B4754">
      <w:pPr>
        <w:spacing w:after="0" w:line="240" w:lineRule="auto"/>
        <w:rPr>
          <w:rFonts w:ascii="Verdana" w:eastAsia="Geomanist Light" w:hAnsi="Verdana" w:cs="Arial"/>
          <w:lang w:val="es-MX"/>
        </w:rPr>
      </w:pPr>
    </w:p>
    <w:p w14:paraId="6D9989A0" w14:textId="7C951736" w:rsidR="000B4754" w:rsidRPr="00BA5F9B" w:rsidRDefault="000B4754" w:rsidP="000B4754">
      <w:pPr>
        <w:spacing w:after="0" w:line="240" w:lineRule="auto"/>
        <w:rPr>
          <w:rFonts w:ascii="Verdana" w:eastAsia="Calibri" w:hAnsi="Verdana" w:cs="Arial"/>
          <w:b/>
          <w:bCs/>
          <w:lang w:val="es-ES" w:eastAsia="es-ES"/>
        </w:rPr>
      </w:pPr>
      <w:r w:rsidRPr="00BA5F9B">
        <w:rPr>
          <w:rFonts w:ascii="Verdana" w:eastAsia="Calibri" w:hAnsi="Verdana" w:cs="Arial"/>
          <w:b/>
          <w:bCs/>
          <w:lang w:val="es-ES" w:eastAsia="es-ES"/>
        </w:rPr>
        <w:t>INHABILIDADES E INCOMPATIBILIDADES ― Interpretación restrictiva</w:t>
      </w:r>
    </w:p>
    <w:p w14:paraId="3641AB3F" w14:textId="77777777" w:rsidR="000B4754" w:rsidRPr="00BA5F9B" w:rsidRDefault="000B4754" w:rsidP="000B4754">
      <w:pPr>
        <w:spacing w:after="0" w:line="240" w:lineRule="auto"/>
        <w:rPr>
          <w:rFonts w:ascii="Verdana" w:eastAsia="Geomanist Light" w:hAnsi="Verdana" w:cs="Arial"/>
          <w:b/>
          <w:bCs/>
          <w:lang w:val="es-ES"/>
        </w:rPr>
      </w:pPr>
    </w:p>
    <w:p w14:paraId="10536DED" w14:textId="77777777" w:rsidR="000B4754" w:rsidRDefault="000B4754" w:rsidP="000B4754">
      <w:pPr>
        <w:spacing w:after="0" w:line="240" w:lineRule="auto"/>
        <w:jc w:val="both"/>
        <w:rPr>
          <w:rFonts w:ascii="Verdana" w:eastAsia="Calibri" w:hAnsi="Verdana" w:cs="Arial"/>
          <w:sz w:val="20"/>
          <w:szCs w:val="20"/>
          <w:lang w:val="es-ES"/>
        </w:rPr>
      </w:pPr>
      <w:r w:rsidRPr="00BA5F9B">
        <w:rPr>
          <w:rFonts w:ascii="Verdana" w:eastAsia="Calibri" w:hAnsi="Verdana" w:cs="Arial"/>
          <w:sz w:val="20"/>
          <w:szCs w:val="20"/>
          <w:lang w:val="es-ES"/>
        </w:rPr>
        <w:t>[..]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63E7134C" w14:textId="77777777" w:rsidR="003C562D" w:rsidRDefault="003C562D" w:rsidP="00D36A36">
      <w:pPr>
        <w:spacing w:after="0" w:line="240" w:lineRule="auto"/>
        <w:rPr>
          <w:rFonts w:ascii="Verdana" w:eastAsia="Geomanist Light" w:hAnsi="Verdana" w:cs="Arial"/>
          <w:color w:val="000000" w:themeColor="text1"/>
          <w:lang w:val="es-MX"/>
        </w:rPr>
      </w:pPr>
    </w:p>
    <w:p w14:paraId="22DDB658" w14:textId="77777777" w:rsidR="00D36A36" w:rsidRDefault="00D36A36" w:rsidP="00D36A36">
      <w:pPr>
        <w:spacing w:after="0" w:line="240" w:lineRule="auto"/>
        <w:rPr>
          <w:rFonts w:ascii="Verdana" w:eastAsia="Geomanist Light" w:hAnsi="Verdana" w:cs="Arial"/>
          <w:color w:val="000000" w:themeColor="text1"/>
          <w:lang w:val="es-MX"/>
        </w:rPr>
      </w:pPr>
    </w:p>
    <w:p w14:paraId="2EA91261" w14:textId="77777777" w:rsidR="00D36A36" w:rsidRDefault="00D36A36" w:rsidP="00D36A36">
      <w:pPr>
        <w:spacing w:after="0" w:line="240" w:lineRule="auto"/>
        <w:rPr>
          <w:rFonts w:ascii="Verdana" w:eastAsia="Geomanist Light" w:hAnsi="Verdana" w:cs="Arial"/>
          <w:color w:val="000000" w:themeColor="text1"/>
          <w:lang w:val="es-MX"/>
        </w:rPr>
      </w:pPr>
    </w:p>
    <w:p w14:paraId="2732E6DC" w14:textId="77777777" w:rsidR="00D36A36" w:rsidRDefault="00D36A36" w:rsidP="00D36A36">
      <w:pPr>
        <w:spacing w:after="0" w:line="240" w:lineRule="auto"/>
        <w:rPr>
          <w:rFonts w:ascii="Verdana" w:eastAsia="Geomanist Light" w:hAnsi="Verdana" w:cs="Arial"/>
          <w:color w:val="000000" w:themeColor="text1"/>
          <w:lang w:val="es-MX"/>
        </w:rPr>
      </w:pPr>
    </w:p>
    <w:p w14:paraId="23FA6774" w14:textId="77777777" w:rsidR="00D36A36" w:rsidRDefault="00D36A36" w:rsidP="00D36A36">
      <w:pPr>
        <w:spacing w:after="0" w:line="240" w:lineRule="auto"/>
        <w:rPr>
          <w:rFonts w:ascii="Verdana" w:eastAsia="Geomanist Light" w:hAnsi="Verdana" w:cs="Arial"/>
          <w:color w:val="000000" w:themeColor="text1"/>
          <w:lang w:val="es-MX"/>
        </w:rPr>
      </w:pPr>
    </w:p>
    <w:p w14:paraId="65DB3C48" w14:textId="77777777" w:rsidR="00D36A36" w:rsidRDefault="00D36A36" w:rsidP="00D36A36">
      <w:pPr>
        <w:spacing w:after="0" w:line="240" w:lineRule="auto"/>
        <w:rPr>
          <w:rFonts w:ascii="Verdana" w:eastAsia="Geomanist Light" w:hAnsi="Verdana" w:cs="Arial"/>
          <w:color w:val="000000" w:themeColor="text1"/>
          <w:lang w:val="es-MX"/>
        </w:rPr>
      </w:pPr>
    </w:p>
    <w:p w14:paraId="0DF0753C" w14:textId="77777777" w:rsidR="00D36A36" w:rsidRDefault="00D36A36" w:rsidP="00D36A36">
      <w:pPr>
        <w:spacing w:after="0" w:line="240" w:lineRule="auto"/>
        <w:rPr>
          <w:rFonts w:ascii="Verdana" w:eastAsia="Geomanist Light" w:hAnsi="Verdana" w:cs="Arial"/>
          <w:color w:val="000000" w:themeColor="text1"/>
          <w:lang w:val="es-MX"/>
        </w:rPr>
      </w:pPr>
    </w:p>
    <w:p w14:paraId="6D125D1C" w14:textId="77777777" w:rsidR="00D36A36" w:rsidRDefault="00D36A36" w:rsidP="00D36A36">
      <w:pPr>
        <w:spacing w:after="0" w:line="240" w:lineRule="auto"/>
        <w:rPr>
          <w:rFonts w:ascii="Verdana" w:eastAsia="Geomanist Light" w:hAnsi="Verdana" w:cs="Arial"/>
          <w:color w:val="000000" w:themeColor="text1"/>
          <w:lang w:val="es-MX"/>
        </w:rPr>
      </w:pPr>
    </w:p>
    <w:p w14:paraId="0EEF30D6" w14:textId="77777777" w:rsidR="00D36A36" w:rsidRDefault="00D36A36" w:rsidP="00D36A36">
      <w:pPr>
        <w:spacing w:after="0" w:line="240" w:lineRule="auto"/>
        <w:rPr>
          <w:rFonts w:ascii="Verdana" w:eastAsia="Geomanist Light" w:hAnsi="Verdana" w:cs="Arial"/>
          <w:color w:val="000000" w:themeColor="text1"/>
          <w:lang w:val="es-MX"/>
        </w:rPr>
      </w:pPr>
    </w:p>
    <w:p w14:paraId="3EED815D" w14:textId="77777777" w:rsidR="00D36A36" w:rsidRDefault="00D36A36" w:rsidP="00D36A36">
      <w:pPr>
        <w:spacing w:after="0" w:line="240" w:lineRule="auto"/>
        <w:rPr>
          <w:rFonts w:ascii="Verdana" w:eastAsia="Geomanist Light" w:hAnsi="Verdana" w:cs="Arial"/>
          <w:color w:val="000000" w:themeColor="text1"/>
          <w:lang w:val="es-MX"/>
        </w:rPr>
      </w:pPr>
    </w:p>
    <w:p w14:paraId="6B05F578" w14:textId="77777777" w:rsidR="00D36A36" w:rsidRDefault="00D36A36" w:rsidP="00D36A36">
      <w:pPr>
        <w:spacing w:after="0" w:line="240" w:lineRule="auto"/>
        <w:rPr>
          <w:rFonts w:ascii="Verdana" w:eastAsia="Geomanist Light" w:hAnsi="Verdana" w:cs="Arial"/>
          <w:color w:val="000000" w:themeColor="text1"/>
          <w:lang w:val="es-MX"/>
        </w:rPr>
      </w:pPr>
    </w:p>
    <w:p w14:paraId="6327B922" w14:textId="77777777" w:rsidR="003C562D" w:rsidRDefault="003C562D" w:rsidP="00D36A36">
      <w:pPr>
        <w:spacing w:after="0" w:line="240" w:lineRule="auto"/>
        <w:rPr>
          <w:rFonts w:ascii="Verdana" w:eastAsia="Geomanist Light" w:hAnsi="Verdana" w:cs="Arial"/>
          <w:color w:val="000000" w:themeColor="text1"/>
          <w:lang w:val="es-MX"/>
        </w:rPr>
      </w:pPr>
    </w:p>
    <w:p w14:paraId="545ABA25" w14:textId="77777777" w:rsidR="003C562D" w:rsidRDefault="003C562D" w:rsidP="00D36A36">
      <w:pPr>
        <w:spacing w:after="0" w:line="240" w:lineRule="auto"/>
        <w:rPr>
          <w:rFonts w:ascii="Verdana" w:eastAsia="Geomanist Light" w:hAnsi="Verdana" w:cs="Arial"/>
          <w:color w:val="000000" w:themeColor="text1"/>
          <w:lang w:val="es-MX"/>
        </w:rPr>
      </w:pPr>
    </w:p>
    <w:p w14:paraId="4745BFCB" w14:textId="77777777" w:rsidR="00B75379" w:rsidRDefault="00B75379" w:rsidP="00D36A36">
      <w:pPr>
        <w:spacing w:after="0" w:line="240" w:lineRule="auto"/>
        <w:rPr>
          <w:rFonts w:ascii="Verdana" w:eastAsia="Geomanist Light" w:hAnsi="Verdana" w:cs="Arial"/>
          <w:color w:val="000000" w:themeColor="text1"/>
          <w:lang w:val="es-MX"/>
        </w:rPr>
      </w:pPr>
    </w:p>
    <w:p w14:paraId="5AC85533" w14:textId="77777777" w:rsidR="00B75379" w:rsidRDefault="00B75379" w:rsidP="00D36A36">
      <w:pPr>
        <w:spacing w:after="0" w:line="240" w:lineRule="auto"/>
        <w:rPr>
          <w:rFonts w:ascii="Verdana" w:eastAsia="Geomanist Light" w:hAnsi="Verdana" w:cs="Arial"/>
          <w:color w:val="000000" w:themeColor="text1"/>
          <w:lang w:val="es-MX"/>
        </w:rPr>
      </w:pPr>
    </w:p>
    <w:p w14:paraId="66CF54AB" w14:textId="77777777" w:rsidR="00D36A36" w:rsidRDefault="00D36A36" w:rsidP="00D36A36">
      <w:pPr>
        <w:spacing w:after="0" w:line="240" w:lineRule="auto"/>
        <w:rPr>
          <w:rFonts w:ascii="Verdana" w:eastAsia="Geomanist Light" w:hAnsi="Verdana" w:cs="Arial"/>
          <w:color w:val="000000" w:themeColor="text1"/>
          <w:lang w:val="es-MX"/>
        </w:rPr>
      </w:pPr>
    </w:p>
    <w:p w14:paraId="3AF020A7" w14:textId="77777777" w:rsidR="00D36A36" w:rsidRDefault="00D36A36" w:rsidP="00D36A36">
      <w:pPr>
        <w:spacing w:after="0" w:line="240" w:lineRule="auto"/>
        <w:rPr>
          <w:rFonts w:ascii="Verdana" w:eastAsia="Geomanist Light" w:hAnsi="Verdana" w:cs="Arial"/>
          <w:color w:val="000000" w:themeColor="text1"/>
          <w:lang w:val="es-MX"/>
        </w:rPr>
      </w:pPr>
    </w:p>
    <w:p w14:paraId="3163A004" w14:textId="76B75822" w:rsidR="00F76580" w:rsidRPr="00593A5F" w:rsidRDefault="00F76580" w:rsidP="00F76580">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E7F02" w:rsidRPr="007E7F02">
        <w:rPr>
          <w:rFonts w:ascii="Verdana" w:eastAsia="Geomanist Light" w:hAnsi="Verdana" w:cs="Arial"/>
          <w:color w:val="201F1E"/>
        </w:rPr>
        <w:t>23 de Agosto de 2024</w:t>
      </w:r>
    </w:p>
    <w:p w14:paraId="55FE7B17" w14:textId="77777777" w:rsidR="00F76580" w:rsidRPr="00593A5F" w:rsidRDefault="00F76580" w:rsidP="00F76580">
      <w:pPr>
        <w:spacing w:after="0" w:line="240" w:lineRule="auto"/>
        <w:jc w:val="both"/>
        <w:rPr>
          <w:rFonts w:ascii="Verdana" w:eastAsia="Calibri" w:hAnsi="Verdana" w:cs="Arial"/>
          <w:color w:val="000000"/>
          <w:lang w:val="es-ES"/>
        </w:rPr>
      </w:pPr>
    </w:p>
    <w:p w14:paraId="1EC4FFB1" w14:textId="2CB9DF25" w:rsidR="00F76580" w:rsidRPr="00B96799" w:rsidRDefault="007E7F02" w:rsidP="00F76580">
      <w:pPr>
        <w:spacing w:after="0" w:line="240" w:lineRule="auto"/>
        <w:jc w:val="both"/>
        <w:rPr>
          <w:rFonts w:ascii="Verdana" w:eastAsia="Calibri" w:hAnsi="Verdana" w:cs="Arial"/>
          <w:lang w:val="es-ES" w:eastAsia="es-ES"/>
        </w:rPr>
      </w:pPr>
      <w:r w:rsidRPr="007E7F02">
        <w:rPr>
          <w:rFonts w:ascii="Verdana" w:eastAsia="Calibri" w:hAnsi="Verdana" w:cs="Arial"/>
          <w:b/>
          <w:noProof/>
          <w:lang w:val="es-ES_tradnl" w:eastAsia="es-ES_tradnl"/>
        </w:rPr>
        <w:drawing>
          <wp:anchor distT="0" distB="0" distL="114300" distR="114300" simplePos="0" relativeHeight="251658240" behindDoc="0" locked="0" layoutInCell="1" allowOverlap="1" wp14:anchorId="64CD198C" wp14:editId="71B25FBC">
            <wp:simplePos x="0" y="0"/>
            <wp:positionH relativeFrom="margin">
              <wp:align>right</wp:align>
            </wp:positionH>
            <wp:positionV relativeFrom="paragraph">
              <wp:posOffset>10089</wp:posOffset>
            </wp:positionV>
            <wp:extent cx="3276600" cy="942975"/>
            <wp:effectExtent l="0" t="0" r="0" b="9525"/>
            <wp:wrapNone/>
            <wp:docPr id="149712617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126172"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276600" cy="942975"/>
                    </a:xfrm>
                    <a:prstGeom prst="rect">
                      <a:avLst/>
                    </a:prstGeom>
                  </pic:spPr>
                </pic:pic>
              </a:graphicData>
            </a:graphic>
          </wp:anchor>
        </w:drawing>
      </w:r>
      <w:r w:rsidR="00F76580" w:rsidRPr="00B96799">
        <w:rPr>
          <w:rFonts w:ascii="Verdana" w:eastAsia="Calibri" w:hAnsi="Verdana" w:cs="Arial"/>
          <w:lang w:val="es-ES" w:eastAsia="es-ES"/>
        </w:rPr>
        <w:t>Señora</w:t>
      </w:r>
    </w:p>
    <w:p w14:paraId="0691F715" w14:textId="0BE6B4FC" w:rsidR="00F76580" w:rsidRPr="00B96799" w:rsidRDefault="00F76580" w:rsidP="00F76580">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Luisa Fernanda Osorio Uribe</w:t>
      </w:r>
    </w:p>
    <w:p w14:paraId="28C08293" w14:textId="77777777" w:rsidR="00F76580" w:rsidRPr="00F76580" w:rsidRDefault="00000000" w:rsidP="00F76580">
      <w:pPr>
        <w:spacing w:after="0" w:line="240" w:lineRule="auto"/>
        <w:rPr>
          <w:rFonts w:ascii="Verdana" w:eastAsia="Calibri" w:hAnsi="Verdana" w:cs="Arial"/>
          <w:color w:val="4472C4" w:themeColor="accent1"/>
          <w:u w:val="single"/>
          <w:lang w:val="es-ES" w:eastAsia="es-ES"/>
        </w:rPr>
      </w:pPr>
      <w:hyperlink r:id="rId12" w:history="1">
        <w:r w:rsidR="00F76580" w:rsidRPr="00F76580">
          <w:rPr>
            <w:rStyle w:val="Hipervnculo"/>
            <w:rFonts w:ascii="Verdana" w:eastAsia="Calibri" w:hAnsi="Verdana" w:cs="Arial"/>
            <w:color w:val="4472C4" w:themeColor="accent1"/>
            <w:lang w:val="es-ES" w:eastAsia="es-ES"/>
          </w:rPr>
          <w:t>luisa.osorio1101@gmail.com</w:t>
        </w:r>
      </w:hyperlink>
    </w:p>
    <w:p w14:paraId="7C5DFFBD" w14:textId="77777777" w:rsidR="00F76580" w:rsidRPr="00B96799" w:rsidRDefault="00F76580" w:rsidP="00F76580">
      <w:pPr>
        <w:spacing w:after="0" w:line="240" w:lineRule="auto"/>
        <w:rPr>
          <w:rFonts w:ascii="Verdana" w:eastAsia="Calibri" w:hAnsi="Verdana" w:cs="Arial"/>
          <w:b/>
          <w:bCs/>
          <w:lang w:val="es-ES" w:eastAsia="es-ES"/>
        </w:rPr>
      </w:pPr>
      <w:r w:rsidRPr="00B96799">
        <w:rPr>
          <w:rFonts w:ascii="Verdana" w:eastAsia="Calibri" w:hAnsi="Verdana" w:cs="Arial"/>
          <w:lang w:val="es-ES" w:eastAsia="es-ES"/>
        </w:rPr>
        <w:t>Chía, Cundinamarca</w:t>
      </w:r>
    </w:p>
    <w:p w14:paraId="3D28FAA9" w14:textId="77777777" w:rsidR="00F76580" w:rsidRPr="00593A5F" w:rsidRDefault="00F76580" w:rsidP="00F76580">
      <w:pPr>
        <w:spacing w:after="0" w:line="240" w:lineRule="auto"/>
        <w:rPr>
          <w:rFonts w:ascii="Verdana" w:eastAsia="Calibri" w:hAnsi="Verdana" w:cs="Arial"/>
          <w:b/>
          <w:bCs/>
          <w:color w:val="000000"/>
          <w:lang w:val="es-ES_tradnl" w:eastAsia="es-ES_tradnl"/>
        </w:rPr>
      </w:pPr>
    </w:p>
    <w:p w14:paraId="6824E8C1" w14:textId="77777777" w:rsidR="00F76580" w:rsidRPr="00593A5F" w:rsidRDefault="00F76580" w:rsidP="00F7658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76580" w:rsidRPr="00AC3E1A" w14:paraId="17531B05" w14:textId="77777777" w:rsidTr="00550B56">
        <w:trPr>
          <w:trHeight w:val="884"/>
        </w:trPr>
        <w:tc>
          <w:tcPr>
            <w:tcW w:w="2689" w:type="dxa"/>
          </w:tcPr>
          <w:p w14:paraId="6B021944" w14:textId="77777777" w:rsidR="00F76580" w:rsidRPr="00AC3E1A" w:rsidRDefault="00F76580" w:rsidP="00550B56">
            <w:pPr>
              <w:jc w:val="both"/>
              <w:rPr>
                <w:rFonts w:ascii="Verdana" w:eastAsia="Calibri" w:hAnsi="Verdana" w:cs="Arial"/>
                <w:b/>
                <w:bCs/>
                <w:lang w:val="es-ES_tradnl" w:eastAsia="es-ES_tradnl"/>
              </w:rPr>
            </w:pPr>
          </w:p>
        </w:tc>
        <w:tc>
          <w:tcPr>
            <w:tcW w:w="6100" w:type="dxa"/>
          </w:tcPr>
          <w:p w14:paraId="4A9027C9" w14:textId="77777777" w:rsidR="00F76580" w:rsidRPr="00AC3E1A" w:rsidRDefault="00F76580" w:rsidP="00550B56">
            <w:pPr>
              <w:jc w:val="both"/>
              <w:rPr>
                <w:rFonts w:ascii="Verdana" w:eastAsia="Calibri" w:hAnsi="Verdana" w:cs="Arial"/>
                <w:b/>
                <w:bCs/>
                <w:lang w:val="es-ES" w:eastAsia="es-ES"/>
              </w:rPr>
            </w:pPr>
            <w:r w:rsidRPr="00AC3E1A">
              <w:rPr>
                <w:rFonts w:ascii="Verdana" w:eastAsia="Calibri" w:hAnsi="Verdana" w:cs="Arial"/>
                <w:b/>
                <w:bCs/>
                <w:lang w:val="es-ES" w:eastAsia="es-ES"/>
              </w:rPr>
              <w:t>Concepto C- 322 de 2024</w:t>
            </w:r>
          </w:p>
        </w:tc>
      </w:tr>
      <w:tr w:rsidR="00F76580" w:rsidRPr="00AC3E1A" w14:paraId="19FED3C5" w14:textId="77777777" w:rsidTr="00550B56">
        <w:trPr>
          <w:trHeight w:val="884"/>
        </w:trPr>
        <w:tc>
          <w:tcPr>
            <w:tcW w:w="2689" w:type="dxa"/>
          </w:tcPr>
          <w:p w14:paraId="6A404FDA" w14:textId="77777777" w:rsidR="00F76580" w:rsidRPr="00AC3E1A" w:rsidRDefault="00F76580" w:rsidP="00550B56">
            <w:pPr>
              <w:jc w:val="both"/>
              <w:rPr>
                <w:rFonts w:ascii="Verdana" w:eastAsia="Calibri" w:hAnsi="Verdana" w:cs="Arial"/>
                <w:lang w:val="es-ES_tradnl" w:eastAsia="es-ES_tradnl"/>
              </w:rPr>
            </w:pPr>
            <w:r w:rsidRPr="00AC3E1A">
              <w:rPr>
                <w:rFonts w:ascii="Verdana" w:eastAsia="Calibri" w:hAnsi="Verdana" w:cs="Arial"/>
                <w:b/>
                <w:lang w:val="es-ES_tradnl" w:eastAsia="es-ES_tradnl"/>
              </w:rPr>
              <w:t>Temas:</w:t>
            </w:r>
            <w:r w:rsidRPr="00AC3E1A">
              <w:rPr>
                <w:rFonts w:ascii="Verdana" w:eastAsia="Calibri" w:hAnsi="Verdana" w:cs="Arial"/>
                <w:lang w:val="es-ES_tradnl" w:eastAsia="es-ES_tradnl"/>
              </w:rPr>
              <w:t xml:space="preserve">                   </w:t>
            </w:r>
          </w:p>
        </w:tc>
        <w:tc>
          <w:tcPr>
            <w:tcW w:w="6100" w:type="dxa"/>
          </w:tcPr>
          <w:p w14:paraId="40445183" w14:textId="7C019221" w:rsidR="00F76580" w:rsidRPr="00AC3E1A" w:rsidRDefault="00CB4ECF" w:rsidP="00550B56">
            <w:pPr>
              <w:spacing w:line="276" w:lineRule="auto"/>
              <w:jc w:val="both"/>
              <w:rPr>
                <w:rFonts w:ascii="Verdana" w:eastAsia="Calibri" w:hAnsi="Verdana" w:cs="Arial"/>
                <w:lang w:val="es-ES" w:eastAsia="es-ES"/>
              </w:rPr>
            </w:pPr>
            <w:r w:rsidRPr="009C6440">
              <w:rPr>
                <w:rFonts w:ascii="Verdana" w:eastAsia="Calibri" w:hAnsi="Verdana" w:cs="Arial"/>
                <w:lang w:eastAsia="es-ES"/>
              </w:rPr>
              <w:t xml:space="preserve">CONTRATO DE PRESTACIÓN DE SERVICIOS </w:t>
            </w:r>
            <w:r w:rsidR="00F86E70">
              <w:rPr>
                <w:rFonts w:ascii="Verdana" w:eastAsia="Calibri" w:hAnsi="Verdana" w:cs="Arial"/>
                <w:lang w:eastAsia="es-ES"/>
              </w:rPr>
              <w:t>-</w:t>
            </w:r>
            <w:r w:rsidRPr="009C6440">
              <w:rPr>
                <w:rFonts w:ascii="Verdana" w:eastAsia="Calibri" w:hAnsi="Verdana" w:cs="Arial"/>
                <w:lang w:eastAsia="es-ES"/>
              </w:rPr>
              <w:t xml:space="preserve"> Características</w:t>
            </w:r>
            <w:r>
              <w:rPr>
                <w:rFonts w:ascii="Verdana" w:eastAsia="Calibri" w:hAnsi="Verdana" w:cs="Arial"/>
                <w:lang w:eastAsia="es-ES"/>
              </w:rPr>
              <w:t xml:space="preserve"> </w:t>
            </w:r>
            <w:r w:rsidR="00F76580" w:rsidRPr="00AC3E1A">
              <w:rPr>
                <w:rFonts w:ascii="Verdana" w:eastAsia="Calibri" w:hAnsi="Verdana" w:cs="Arial"/>
                <w:lang w:val="es-ES" w:eastAsia="es-ES"/>
              </w:rPr>
              <w:t xml:space="preserve">/ </w:t>
            </w:r>
            <w:r w:rsidR="005D4D74" w:rsidRPr="005D4D74">
              <w:rPr>
                <w:rFonts w:ascii="Verdana" w:eastAsia="Calibri" w:hAnsi="Verdana" w:cs="Arial"/>
                <w:lang w:val="es-ES" w:eastAsia="es-ES"/>
              </w:rPr>
              <w:t xml:space="preserve">INHABILIDADES E INCOMPATIBILIDADES ― Límites a la capacidad ― Régimen / INHABILIDADES E INCOMPATIBILIDADES ― Concepto / INHABILIDADES E INCOMPATIBILIDADES ― Interpretación restrictiva </w:t>
            </w:r>
            <w:r w:rsidR="004B6FF3">
              <w:rPr>
                <w:rFonts w:ascii="Verdana" w:eastAsia="Calibri" w:hAnsi="Verdana" w:cs="Arial"/>
                <w:lang w:val="es-ES" w:eastAsia="es-ES"/>
              </w:rPr>
              <w:t>/ FUNCIÓN PÚBLICA</w:t>
            </w:r>
          </w:p>
          <w:p w14:paraId="17F7D6F9" w14:textId="77777777" w:rsidR="00F76580" w:rsidRPr="00AC3E1A" w:rsidRDefault="00F76580" w:rsidP="00550B56">
            <w:pPr>
              <w:spacing w:line="276" w:lineRule="auto"/>
              <w:jc w:val="both"/>
              <w:rPr>
                <w:rFonts w:ascii="Verdana" w:eastAsia="Calibri" w:hAnsi="Verdana" w:cs="Arial"/>
                <w:lang w:val="es-ES" w:eastAsia="es-ES"/>
              </w:rPr>
            </w:pPr>
          </w:p>
        </w:tc>
      </w:tr>
      <w:tr w:rsidR="00F76580" w:rsidRPr="00AC3E1A" w14:paraId="7C994D86" w14:textId="77777777" w:rsidTr="00550B56">
        <w:tc>
          <w:tcPr>
            <w:tcW w:w="2689" w:type="dxa"/>
          </w:tcPr>
          <w:p w14:paraId="600EE0B7" w14:textId="77777777" w:rsidR="00F76580" w:rsidRPr="00AC3E1A" w:rsidRDefault="00F76580" w:rsidP="00550B56">
            <w:pPr>
              <w:jc w:val="both"/>
              <w:rPr>
                <w:rFonts w:ascii="Verdana" w:eastAsia="Calibri" w:hAnsi="Verdana" w:cs="Arial"/>
                <w:b/>
                <w:lang w:val="es-ES_tradnl" w:eastAsia="es-ES_tradnl"/>
              </w:rPr>
            </w:pPr>
            <w:r w:rsidRPr="00AC3E1A">
              <w:rPr>
                <w:rFonts w:ascii="Verdana" w:eastAsia="Calibri" w:hAnsi="Verdana" w:cs="Arial"/>
                <w:b/>
                <w:lang w:val="es-ES_tradnl" w:eastAsia="es-ES_tradnl"/>
              </w:rPr>
              <w:t>Radicación:</w:t>
            </w:r>
            <w:r w:rsidRPr="00AC3E1A">
              <w:rPr>
                <w:rFonts w:ascii="Verdana" w:eastAsia="Calibri" w:hAnsi="Verdana" w:cs="Arial"/>
                <w:lang w:val="es-ES_tradnl" w:eastAsia="es-ES_tradnl"/>
              </w:rPr>
              <w:t xml:space="preserve">               </w:t>
            </w:r>
          </w:p>
        </w:tc>
        <w:tc>
          <w:tcPr>
            <w:tcW w:w="6100" w:type="dxa"/>
          </w:tcPr>
          <w:p w14:paraId="35CFB681" w14:textId="77777777" w:rsidR="00F76580" w:rsidRPr="00AC3E1A" w:rsidRDefault="00F76580" w:rsidP="00550B56">
            <w:pPr>
              <w:jc w:val="both"/>
              <w:rPr>
                <w:rFonts w:ascii="Verdana" w:eastAsia="Calibri" w:hAnsi="Verdana" w:cs="Arial"/>
                <w:lang w:val="es-ES_tradnl" w:eastAsia="es-ES_tradnl"/>
              </w:rPr>
            </w:pPr>
            <w:r w:rsidRPr="00AC3E1A">
              <w:rPr>
                <w:rFonts w:ascii="Verdana" w:eastAsia="Calibri" w:hAnsi="Verdana" w:cs="Arial"/>
                <w:lang w:val="es-ES_tradnl" w:eastAsia="es-ES_tradnl"/>
              </w:rPr>
              <w:t>Respuesta a consulta con radicado No. P20240710007032</w:t>
            </w:r>
          </w:p>
        </w:tc>
      </w:tr>
    </w:tbl>
    <w:p w14:paraId="204005A4" w14:textId="77777777" w:rsidR="00F76580" w:rsidRPr="00AC3E1A" w:rsidRDefault="00F76580" w:rsidP="00F76580">
      <w:pPr>
        <w:spacing w:after="0" w:line="240" w:lineRule="auto"/>
        <w:jc w:val="both"/>
        <w:rPr>
          <w:rFonts w:ascii="Verdana" w:eastAsia="Calibri" w:hAnsi="Verdana" w:cs="Arial"/>
          <w:lang w:val="es-ES_tradnl" w:eastAsia="es-ES_tradnl"/>
        </w:rPr>
      </w:pPr>
    </w:p>
    <w:p w14:paraId="53253713" w14:textId="77777777" w:rsidR="00F76580" w:rsidRPr="00AC3E1A" w:rsidRDefault="00F76580" w:rsidP="00F76580">
      <w:pPr>
        <w:spacing w:after="0" w:line="240" w:lineRule="auto"/>
        <w:jc w:val="both"/>
        <w:rPr>
          <w:rFonts w:ascii="Verdana" w:eastAsia="Calibri" w:hAnsi="Verdana" w:cs="Arial"/>
          <w:lang w:val="es-ES_tradnl" w:eastAsia="es-ES_tradnl"/>
        </w:rPr>
      </w:pPr>
    </w:p>
    <w:p w14:paraId="55BEAD37" w14:textId="77777777" w:rsidR="00F76580" w:rsidRPr="00AC3E1A" w:rsidRDefault="00F76580" w:rsidP="00F76580">
      <w:pPr>
        <w:spacing w:after="0" w:line="276" w:lineRule="auto"/>
        <w:jc w:val="both"/>
        <w:rPr>
          <w:rFonts w:ascii="Verdana" w:eastAsia="Calibri" w:hAnsi="Verdana" w:cs="Arial"/>
          <w:lang w:val="es-ES" w:eastAsia="es-ES"/>
        </w:rPr>
      </w:pPr>
      <w:r w:rsidRPr="00AC3E1A">
        <w:rPr>
          <w:rFonts w:ascii="Verdana" w:eastAsia="Calibri" w:hAnsi="Verdana" w:cs="Arial"/>
          <w:lang w:val="es-ES" w:eastAsia="es-ES"/>
        </w:rPr>
        <w:t xml:space="preserve">Estimado señora Luisa: </w:t>
      </w:r>
    </w:p>
    <w:p w14:paraId="0F08049B" w14:textId="77777777" w:rsidR="00F76580" w:rsidRPr="00AC3E1A" w:rsidRDefault="00F76580" w:rsidP="00F76580">
      <w:pPr>
        <w:tabs>
          <w:tab w:val="left" w:pos="3768"/>
        </w:tabs>
        <w:spacing w:after="0" w:line="276" w:lineRule="auto"/>
        <w:jc w:val="both"/>
        <w:rPr>
          <w:rFonts w:ascii="Verdana" w:eastAsia="Calibri" w:hAnsi="Verdana" w:cs="Arial"/>
          <w:lang w:val="es-ES" w:eastAsia="es-ES"/>
        </w:rPr>
      </w:pPr>
      <w:r w:rsidRPr="00AC3E1A">
        <w:rPr>
          <w:rFonts w:ascii="Verdana" w:eastAsia="Calibri" w:hAnsi="Verdana" w:cs="Arial"/>
          <w:lang w:val="es-ES" w:eastAsia="es-ES"/>
        </w:rPr>
        <w:tab/>
      </w:r>
    </w:p>
    <w:p w14:paraId="41A557D2" w14:textId="77777777" w:rsidR="00F76580" w:rsidRPr="00AC3E1A" w:rsidRDefault="00F76580" w:rsidP="00F76580">
      <w:pPr>
        <w:spacing w:after="0" w:line="276" w:lineRule="auto"/>
        <w:jc w:val="both"/>
        <w:rPr>
          <w:rFonts w:ascii="Verdana" w:eastAsia="Calibri" w:hAnsi="Verdana" w:cs="Arial"/>
          <w:lang w:val="es-ES" w:eastAsia="es-ES"/>
        </w:rPr>
      </w:pPr>
      <w:r w:rsidRPr="00AC3E1A">
        <w:rPr>
          <w:rFonts w:ascii="Verdana" w:eastAsia="Calibri" w:hAnsi="Verdana" w:cs="Arial"/>
          <w:lang w:val="es-ES" w:eastAsia="es-ES"/>
        </w:rPr>
        <w:t>En ejercicio de la competencia otorgada por los artículos 3, numeral 5º, y 11, numeral 8º, del Decreto Ley 4170 de 2011,</w:t>
      </w:r>
      <w:r w:rsidRPr="00AC3E1A">
        <w:rPr>
          <w:rFonts w:ascii="Verdana" w:eastAsia="Arial MT" w:hAnsi="Verdana" w:cs="Arial MT"/>
          <w:lang w:val="es-ES" w:eastAsia="es-ES"/>
        </w:rPr>
        <w:t xml:space="preserve"> </w:t>
      </w:r>
      <w:r w:rsidRPr="00AC3E1A">
        <w:rPr>
          <w:rFonts w:ascii="Verdana" w:hAnsi="Verdana" w:cs="Arial"/>
        </w:rPr>
        <w:t xml:space="preserve">así como lo establecido en el artículo 4 de la Resolución 1707 de 2018 expedida por esta Entidad, </w:t>
      </w:r>
      <w:r w:rsidRPr="00AC3E1A">
        <w:rPr>
          <w:rFonts w:ascii="Verdana" w:eastAsia="Calibri" w:hAnsi="Verdana" w:cs="Arial"/>
          <w:lang w:val="es-ES" w:eastAsia="es-ES"/>
        </w:rPr>
        <w:t xml:space="preserve">la Agencia Nacional de Contratación Pública – Colombia Compra Eficiente– responde su solicitud de consulta de fecha 20 de mayo de 2024, remitida por el Departamento Administrativo de la Función Pública con oficio remisorio No. 20242040458081 del 9 de julio de 2024, en la cual manifiesta lo siguiente: </w:t>
      </w:r>
    </w:p>
    <w:p w14:paraId="7F26DEE3" w14:textId="77777777" w:rsidR="00F76580" w:rsidRPr="00AC3E1A" w:rsidRDefault="00F76580" w:rsidP="00F76580">
      <w:pPr>
        <w:pStyle w:val="Prrafodelista"/>
        <w:tabs>
          <w:tab w:val="left" w:pos="142"/>
          <w:tab w:val="left" w:pos="284"/>
        </w:tabs>
        <w:spacing w:line="276" w:lineRule="auto"/>
        <w:ind w:left="0"/>
        <w:jc w:val="both"/>
        <w:rPr>
          <w:rFonts w:ascii="Verdana" w:eastAsia="Century Gothic" w:hAnsi="Verdana" w:cs="Century Gothic"/>
          <w:b/>
          <w:bCs/>
        </w:rPr>
      </w:pPr>
    </w:p>
    <w:p w14:paraId="1141B53C" w14:textId="77777777" w:rsidR="00F76580" w:rsidRPr="00AC3E1A" w:rsidRDefault="00F76580" w:rsidP="00F76580">
      <w:pPr>
        <w:spacing w:after="0" w:line="240" w:lineRule="auto"/>
        <w:ind w:left="709" w:right="709"/>
        <w:jc w:val="both"/>
        <w:rPr>
          <w:rFonts w:ascii="Verdana" w:eastAsia="Century Gothic" w:hAnsi="Verdana" w:cs="Century Gothic"/>
          <w:sz w:val="20"/>
          <w:szCs w:val="20"/>
          <w:lang w:val="es-ES"/>
        </w:rPr>
      </w:pPr>
      <w:bookmarkStart w:id="0" w:name="_Hlk95313578"/>
      <w:r w:rsidRPr="00AC3E1A">
        <w:rPr>
          <w:rFonts w:ascii="Verdana" w:eastAsia="Century Gothic" w:hAnsi="Verdana" w:cs="Century Gothic"/>
          <w:sz w:val="20"/>
          <w:szCs w:val="20"/>
          <w:lang w:val="es-ES"/>
        </w:rPr>
        <w:t>“</w:t>
      </w:r>
      <w:r w:rsidRPr="00AC3E1A">
        <w:rPr>
          <w:rStyle w:val="normaltextrun"/>
          <w:rFonts w:ascii="Verdana" w:hAnsi="Verdana" w:cs="Arial"/>
          <w:sz w:val="20"/>
          <w:szCs w:val="20"/>
          <w:shd w:val="clear" w:color="auto" w:fill="FFFFFF"/>
          <w:lang w:val="es-ES"/>
        </w:rPr>
        <w:t xml:space="preserve">DE ACUERDO CON EL ARTÍCULO 70 DE LA LEY 1952 DE 2019, TAMBIÉN SON SUJETOS DISCIPLINABLES LOS PARTICULARES QUE EJERZAN FUNCIONES PÚBLICAS. EN RELACIÓN CON ELLO SE PREGUNTA: 1. ¿LAS FUNCIONES DE INSPECCIÓN, VIGILANCIA Y CONTROL QUE REALIZA UNA ENTIDAD DEPARTAMENTAL SON CONSIDERADAS FUNCIONES PÚBLICAS? 2. SI UN PARTICULAR ES CONTRATADO PARA APOYAR LAS ACTIVIDADES DE INSPECCIÓN, VIGILANCIA Y CONTROL DE UNA ENTIDAD DEPARTAMENTAL Y TIENE UNO O MÁS CONTRATOS DE PRESTACIÓN DE SERVICIOS CON ENTIDADES QUE SON OBJETO DE VIGILANCIA POR PARTE DE LA ENTIDAD Y ELLO TIENE RELACIÓN CON EL OBJETO POR EL </w:t>
      </w:r>
      <w:r w:rsidRPr="00AC3E1A">
        <w:rPr>
          <w:rStyle w:val="normaltextrun"/>
          <w:rFonts w:ascii="Verdana" w:hAnsi="Verdana" w:cs="Arial"/>
          <w:sz w:val="20"/>
          <w:szCs w:val="20"/>
          <w:shd w:val="clear" w:color="auto" w:fill="FFFFFF"/>
          <w:lang w:val="es-ES"/>
        </w:rPr>
        <w:lastRenderedPageBreak/>
        <w:t>CUAL FUE CONTRATADO POR LA ENTIDAD TERRITORIAL, ¿INCURRIRÍA EN LA CAUSAL DE INHABILIDAD O INCOMPATIBILIDAD DEL NUMERAL 4 DEL ARTÍCULO 56 DE LA LEY 1952 DE 2019? 3. EN CASO DE SER AFIRMATIVA LA RESPUESTA ANTERIOR, ¿EL PARTICULAR SERÍA UN SUJETO DISCIPLINABLE?</w:t>
      </w:r>
      <w:r w:rsidRPr="00AC3E1A">
        <w:rPr>
          <w:rFonts w:ascii="Verdana" w:eastAsia="Century Gothic" w:hAnsi="Verdana" w:cs="Century Gothic"/>
          <w:sz w:val="20"/>
          <w:szCs w:val="20"/>
          <w:lang w:val="es-ES"/>
        </w:rPr>
        <w:t>”</w:t>
      </w:r>
      <w:bookmarkEnd w:id="0"/>
      <w:r w:rsidRPr="00AC3E1A">
        <w:rPr>
          <w:rFonts w:ascii="Verdana" w:eastAsia="Century Gothic" w:hAnsi="Verdana" w:cs="Century Gothic"/>
          <w:sz w:val="20"/>
          <w:szCs w:val="20"/>
          <w:lang w:val="es-ES"/>
        </w:rPr>
        <w:t>.</w:t>
      </w:r>
    </w:p>
    <w:p w14:paraId="20D2818F" w14:textId="77777777" w:rsidR="00F76580" w:rsidRPr="00AC3E1A" w:rsidRDefault="00F76580" w:rsidP="00F76580">
      <w:pPr>
        <w:pStyle w:val="Prrafodelista"/>
        <w:tabs>
          <w:tab w:val="left" w:pos="142"/>
          <w:tab w:val="left" w:pos="284"/>
        </w:tabs>
        <w:spacing w:line="276" w:lineRule="auto"/>
        <w:ind w:left="0"/>
        <w:jc w:val="both"/>
        <w:rPr>
          <w:rFonts w:ascii="Verdana" w:eastAsia="Century Gothic" w:hAnsi="Verdana" w:cs="Century Gothic"/>
          <w:b/>
          <w:bCs/>
        </w:rPr>
      </w:pPr>
    </w:p>
    <w:p w14:paraId="46C11EB8" w14:textId="77777777" w:rsidR="00F76580" w:rsidRPr="00AC3E1A" w:rsidRDefault="00F76580" w:rsidP="00F76580">
      <w:pPr>
        <w:spacing w:after="120" w:line="276" w:lineRule="auto"/>
        <w:ind w:firstLine="709"/>
        <w:jc w:val="both"/>
        <w:rPr>
          <w:rFonts w:ascii="Verdana" w:eastAsia="Calibri" w:hAnsi="Verdana" w:cs="Arial"/>
          <w:szCs w:val="24"/>
          <w:lang w:val="es-ES_tradnl" w:eastAsia="es-ES_tradnl"/>
        </w:rPr>
      </w:pPr>
      <w:r w:rsidRPr="00AC3E1A">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Adicionalmente, es importante tener en cuenta que el artículo 226, numeral 3 de la Ley 1564 de 2012, establece</w:t>
      </w:r>
      <w:r w:rsidRPr="00AC3E1A">
        <w:rPr>
          <w:rFonts w:ascii="Verdana" w:eastAsia="Calibri" w:hAnsi="Verdana" w:cs="Arial"/>
          <w:szCs w:val="24"/>
          <w:lang w:val="es-ES" w:eastAsia="es-ES_tradnl"/>
        </w:rPr>
        <w:t xml:space="preserve"> no serán admisibles los dictámenes periciales que versen sobre puntos de derecho.</w:t>
      </w:r>
      <w:r w:rsidRPr="00AC3E1A">
        <w:rPr>
          <w:rFonts w:ascii="Verdana" w:eastAsia="Calibri" w:hAnsi="Verdana" w:cs="Arial"/>
          <w:szCs w:val="24"/>
          <w:lang w:val="es-ES_tradnl" w:eastAsia="es-ES_tradnl"/>
        </w:rPr>
        <w:tab/>
      </w:r>
    </w:p>
    <w:p w14:paraId="79C45587" w14:textId="3C76A360" w:rsidR="00F76580" w:rsidRPr="00AC3E1A" w:rsidRDefault="00F76580" w:rsidP="00F76580">
      <w:pPr>
        <w:spacing w:after="0" w:line="276" w:lineRule="auto"/>
        <w:ind w:firstLine="709"/>
        <w:jc w:val="both"/>
        <w:rPr>
          <w:rFonts w:ascii="Verdana" w:eastAsia="Calibri" w:hAnsi="Verdana" w:cs="Arial"/>
          <w:lang w:val="es-ES" w:eastAsia="es-ES"/>
        </w:rPr>
      </w:pPr>
      <w:r w:rsidRPr="00AC3E1A">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00B569C6">
        <w:rPr>
          <w:rFonts w:ascii="Verdana" w:eastAsia="Calibri" w:hAnsi="Verdana" w:cs="Arial"/>
          <w:lang w:val="es-ES" w:eastAsia="es-ES"/>
        </w:rPr>
        <w:t>, para lo cual se abordaran asuntos generales del servicio público y función pública sin transgredir las competencias del Departamento Administrativo de la Función Pública y la discrecionalidad de las entidades estatales.</w:t>
      </w:r>
    </w:p>
    <w:p w14:paraId="7C121054" w14:textId="77777777" w:rsidR="00F76580" w:rsidRPr="00AC3E1A" w:rsidRDefault="00F76580" w:rsidP="00F76580">
      <w:pPr>
        <w:spacing w:after="0" w:line="276" w:lineRule="auto"/>
        <w:ind w:firstLine="709"/>
        <w:jc w:val="both"/>
        <w:rPr>
          <w:rFonts w:ascii="Verdana" w:eastAsia="Calibri" w:hAnsi="Verdana" w:cs="Arial"/>
          <w:lang w:val="es-ES" w:eastAsia="es-ES"/>
        </w:rPr>
      </w:pPr>
    </w:p>
    <w:p w14:paraId="5C09631F" w14:textId="77777777" w:rsidR="00F76580" w:rsidRPr="00AC3E1A" w:rsidRDefault="00F76580" w:rsidP="00F7658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C3E1A">
        <w:rPr>
          <w:rFonts w:ascii="Verdana" w:eastAsia="Century Gothic" w:hAnsi="Verdana" w:cs="Century Gothic"/>
          <w:b/>
          <w:bCs/>
        </w:rPr>
        <w:t>Problema planteado:</w:t>
      </w:r>
    </w:p>
    <w:p w14:paraId="6F2C78CC" w14:textId="77777777" w:rsidR="00F76580" w:rsidRPr="00AC3E1A" w:rsidRDefault="00F76580" w:rsidP="00F76580">
      <w:pPr>
        <w:tabs>
          <w:tab w:val="left" w:pos="426"/>
        </w:tabs>
        <w:spacing w:after="0" w:line="276" w:lineRule="auto"/>
        <w:jc w:val="both"/>
        <w:rPr>
          <w:rFonts w:ascii="Verdana" w:eastAsia="Century Gothic" w:hAnsi="Verdana" w:cs="Century Gothic"/>
          <w:lang w:val="es-ES"/>
        </w:rPr>
      </w:pPr>
    </w:p>
    <w:p w14:paraId="18231077" w14:textId="2E666A59" w:rsidR="00F76580" w:rsidRPr="00AC3E1A" w:rsidRDefault="00F76580" w:rsidP="00F76580">
      <w:pPr>
        <w:spacing w:after="0" w:line="276" w:lineRule="auto"/>
        <w:jc w:val="both"/>
        <w:rPr>
          <w:rFonts w:ascii="Verdana" w:eastAsia="Century Gothic" w:hAnsi="Verdana" w:cs="Century Gothic"/>
        </w:rPr>
      </w:pPr>
      <w:r w:rsidRPr="00AC3E1A">
        <w:rPr>
          <w:rFonts w:ascii="Verdana" w:eastAsia="Century Gothic" w:hAnsi="Verdana" w:cs="Century Gothic"/>
        </w:rPr>
        <w:t>De acuerdo con el contenido de su solicitud, esta Agencia resolverá los siguientes problemas jurídicos: (I) ¿</w:t>
      </w:r>
      <w:r w:rsidRPr="00AC3E1A">
        <w:rPr>
          <w:rStyle w:val="TextonotapieCar"/>
          <w:rFonts w:ascii="Verdana" w:hAnsi="Verdana" w:cs="Arial"/>
          <w:shd w:val="clear" w:color="auto" w:fill="FFFFFF"/>
          <w:lang w:val="es-ES"/>
        </w:rPr>
        <w:t>las</w:t>
      </w:r>
      <w:r w:rsidRPr="00AC3E1A">
        <w:rPr>
          <w:rStyle w:val="normaltextrun"/>
          <w:rFonts w:ascii="Verdana" w:hAnsi="Verdana" w:cs="Arial"/>
          <w:shd w:val="clear" w:color="auto" w:fill="FFFFFF"/>
          <w:lang w:val="es-ES"/>
        </w:rPr>
        <w:t xml:space="preserve"> funciones de inspección, vigilancia y control realizadas por una entidad departamental son consideradas funciones públicas</w:t>
      </w:r>
      <w:r w:rsidRPr="00AC3E1A">
        <w:rPr>
          <w:rFonts w:ascii="Verdana" w:eastAsia="Century Gothic" w:hAnsi="Verdana" w:cs="Century Gothic"/>
        </w:rPr>
        <w:t>?, (II)</w:t>
      </w:r>
      <w:r w:rsidRPr="00AC3E1A">
        <w:rPr>
          <w:rFonts w:ascii="Verdana" w:hAnsi="Verdana"/>
        </w:rPr>
        <w:t xml:space="preserve"> ¿</w:t>
      </w:r>
      <w:r w:rsidRPr="00AC3E1A">
        <w:rPr>
          <w:rFonts w:ascii="Verdana" w:eastAsia="Century Gothic" w:hAnsi="Verdana" w:cs="Century Gothic"/>
        </w:rPr>
        <w:t xml:space="preserve">incurriría en la causal de inhabilidad o incompatibilidad contemplada en el numeral 4 del artículo 56 de la ley 1952 de 2019 un </w:t>
      </w:r>
      <w:r w:rsidR="00381AAA">
        <w:rPr>
          <w:rFonts w:ascii="Verdana" w:eastAsia="Century Gothic" w:hAnsi="Verdana" w:cs="Century Gothic"/>
        </w:rPr>
        <w:t>contratista</w:t>
      </w:r>
      <w:r w:rsidR="00381AAA" w:rsidRPr="00AC3E1A">
        <w:rPr>
          <w:rFonts w:ascii="Verdana" w:eastAsia="Century Gothic" w:hAnsi="Verdana" w:cs="Century Gothic"/>
        </w:rPr>
        <w:t xml:space="preserve"> </w:t>
      </w:r>
      <w:r w:rsidRPr="00AC3E1A">
        <w:rPr>
          <w:rFonts w:ascii="Verdana" w:eastAsia="Century Gothic" w:hAnsi="Verdana" w:cs="Century Gothic"/>
        </w:rPr>
        <w:t xml:space="preserve">que desempeñe labores de inspección, vigilancia y control para una entidad estatal y a la vez </w:t>
      </w:r>
      <w:r w:rsidRPr="00AC3E1A">
        <w:rPr>
          <w:rFonts w:ascii="Verdana" w:eastAsia="Century Gothic" w:hAnsi="Verdana" w:cs="Century Gothic"/>
        </w:rPr>
        <w:lastRenderedPageBreak/>
        <w:t xml:space="preserve">esté ejecutando contratos de prestación de servicios con entidades objeto de vigilancia?, y, por último, si fuere afirmativa la respuesta a la pregunta anterior, (III) ¿sería un sujeto disciplinable? </w:t>
      </w:r>
    </w:p>
    <w:p w14:paraId="143B5D81" w14:textId="77777777" w:rsidR="00F76580" w:rsidRPr="00AC3E1A" w:rsidRDefault="00F76580" w:rsidP="00F76580">
      <w:pPr>
        <w:spacing w:after="0" w:line="276" w:lineRule="auto"/>
        <w:jc w:val="both"/>
        <w:rPr>
          <w:rFonts w:ascii="Verdana" w:eastAsia="Calibri" w:hAnsi="Verdana" w:cs="Arial"/>
          <w:lang w:val="es-ES"/>
        </w:rPr>
      </w:pPr>
    </w:p>
    <w:p w14:paraId="447EE126" w14:textId="77777777" w:rsidR="00F76580" w:rsidRPr="00AC3E1A" w:rsidRDefault="00F76580" w:rsidP="00F7658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3E1A">
        <w:rPr>
          <w:rFonts w:ascii="Verdana" w:eastAsia="Century Gothic" w:hAnsi="Verdana" w:cs="Century Gothic"/>
          <w:b/>
          <w:bCs/>
        </w:rPr>
        <w:t>Respuesta:</w:t>
      </w:r>
    </w:p>
    <w:p w14:paraId="52904CFD" w14:textId="77777777" w:rsidR="00F76580" w:rsidRPr="00AC3E1A" w:rsidRDefault="00F76580" w:rsidP="00F7658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76580" w:rsidRPr="00AC3E1A" w14:paraId="74EACBCE" w14:textId="77777777" w:rsidTr="00550B56">
        <w:tc>
          <w:tcPr>
            <w:tcW w:w="8828" w:type="dxa"/>
            <w:shd w:val="clear" w:color="auto" w:fill="auto"/>
          </w:tcPr>
          <w:p w14:paraId="1134FC7E" w14:textId="3F562C60" w:rsidR="001255A1" w:rsidRDefault="00B569C6" w:rsidP="00131877">
            <w:pPr>
              <w:spacing w:line="276" w:lineRule="auto"/>
              <w:jc w:val="both"/>
              <w:rPr>
                <w:rFonts w:ascii="Verdana" w:eastAsia="Calibri" w:hAnsi="Verdana" w:cs="Arial"/>
              </w:rPr>
            </w:pPr>
            <w:r w:rsidRPr="00811B1B">
              <w:rPr>
                <w:rFonts w:ascii="Verdana" w:eastAsia="Calibri" w:hAnsi="Verdana" w:cs="Arial"/>
              </w:rPr>
              <w:t xml:space="preserve">Frente al primer interrogante planteado, </w:t>
            </w:r>
            <w:r w:rsidR="00EE2F97">
              <w:rPr>
                <w:rFonts w:ascii="Verdana" w:eastAsia="Calibri" w:hAnsi="Verdana" w:cs="Arial"/>
              </w:rPr>
              <w:t>la función pública se traduce</w:t>
            </w:r>
            <w:r w:rsidR="001255A1">
              <w:rPr>
                <w:rFonts w:ascii="Verdana" w:eastAsia="Calibri" w:hAnsi="Verdana" w:cs="Arial"/>
              </w:rPr>
              <w:t xml:space="preserve"> como la materialización de las funciones inherentes al estado, es decir, </w:t>
            </w:r>
            <w:r w:rsidR="001255A1" w:rsidRPr="001255A1">
              <w:rPr>
                <w:rFonts w:ascii="Verdana" w:eastAsia="Calibri" w:hAnsi="Verdana" w:cs="Arial"/>
              </w:rPr>
              <w:t>atañe al </w:t>
            </w:r>
            <w:r w:rsidR="001255A1" w:rsidRPr="00811B1B">
              <w:rPr>
                <w:rFonts w:ascii="Verdana" w:eastAsia="Calibri" w:hAnsi="Verdana" w:cs="Arial"/>
              </w:rPr>
              <w:t>conjunto de las actividades que realiza el Estado</w:t>
            </w:r>
            <w:r w:rsidR="001255A1" w:rsidRPr="001255A1">
              <w:rPr>
                <w:rFonts w:ascii="Verdana" w:eastAsia="Calibri" w:hAnsi="Verdana" w:cs="Arial"/>
              </w:rPr>
              <w:t xml:space="preserve">, a través de los órganos de las ramas del poder público, de los órganos autónomos e independientes, y de las demás entidades o agencias públicas, </w:t>
            </w:r>
            <w:r w:rsidR="000E50D9">
              <w:rPr>
                <w:rStyle w:val="Refdenotaalpie"/>
                <w:rFonts w:ascii="Verdana" w:eastAsia="Calibri" w:hAnsi="Verdana" w:cs="Arial"/>
              </w:rPr>
              <w:footnoteReference w:id="1"/>
            </w:r>
            <w:r w:rsidR="001255A1" w:rsidRPr="001255A1">
              <w:rPr>
                <w:rFonts w:ascii="Verdana" w:eastAsia="Calibri" w:hAnsi="Verdana" w:cs="Arial"/>
              </w:rPr>
              <w:t>en orden a alcanzar sus diferentes fines.</w:t>
            </w:r>
          </w:p>
          <w:p w14:paraId="4BE31AF0" w14:textId="77777777" w:rsidR="00EE2F97" w:rsidRDefault="00EE2F97" w:rsidP="00131877">
            <w:pPr>
              <w:spacing w:line="276" w:lineRule="auto"/>
              <w:jc w:val="both"/>
              <w:rPr>
                <w:rFonts w:ascii="Verdana" w:eastAsia="Calibri" w:hAnsi="Verdana" w:cs="Arial"/>
              </w:rPr>
            </w:pPr>
          </w:p>
          <w:p w14:paraId="11117D4B" w14:textId="6B20F1C8" w:rsidR="00131877" w:rsidRDefault="00EE2F97" w:rsidP="00131877">
            <w:pPr>
              <w:spacing w:line="276" w:lineRule="auto"/>
              <w:jc w:val="both"/>
              <w:rPr>
                <w:rFonts w:ascii="Verdana" w:eastAsia="Calibri" w:hAnsi="Verdana" w:cs="Arial"/>
              </w:rPr>
            </w:pPr>
            <w:r>
              <w:rPr>
                <w:rFonts w:ascii="Verdana" w:eastAsia="Calibri" w:hAnsi="Verdana" w:cs="Arial"/>
              </w:rPr>
              <w:t xml:space="preserve">En ese sentido, es pertinente </w:t>
            </w:r>
            <w:r w:rsidR="00E61A35" w:rsidRPr="00811B1B">
              <w:rPr>
                <w:rFonts w:ascii="Verdana" w:eastAsia="Calibri" w:hAnsi="Verdana" w:cs="Arial"/>
              </w:rPr>
              <w:t xml:space="preserve">señalar que la función administrativa </w:t>
            </w:r>
            <w:r w:rsidR="00131877" w:rsidRPr="00131877">
              <w:rPr>
                <w:rFonts w:ascii="Verdana" w:eastAsia="Calibri" w:hAnsi="Verdana" w:cs="Arial"/>
              </w:rPr>
              <w:t>de inspección</w:t>
            </w:r>
            <w:r w:rsidR="00E61A35" w:rsidRPr="00811B1B">
              <w:rPr>
                <w:rFonts w:ascii="Verdana" w:eastAsia="Calibri" w:hAnsi="Verdana" w:cs="Arial"/>
              </w:rPr>
              <w:t xml:space="preserve">, vigilancia </w:t>
            </w:r>
            <w:r w:rsidR="00131877" w:rsidRPr="00131877">
              <w:rPr>
                <w:rFonts w:ascii="Verdana" w:eastAsia="Calibri" w:hAnsi="Verdana" w:cs="Arial"/>
              </w:rPr>
              <w:t xml:space="preserve">y </w:t>
            </w:r>
            <w:r w:rsidR="001255A1" w:rsidRPr="00131877">
              <w:rPr>
                <w:rFonts w:ascii="Verdana" w:eastAsia="Calibri" w:hAnsi="Verdana" w:cs="Arial"/>
              </w:rPr>
              <w:t>control</w:t>
            </w:r>
            <w:r w:rsidR="001255A1" w:rsidRPr="001255A1">
              <w:rPr>
                <w:rFonts w:ascii="Verdana" w:eastAsia="Calibri" w:hAnsi="Verdana" w:cs="Arial"/>
              </w:rPr>
              <w:t xml:space="preserve"> </w:t>
            </w:r>
            <w:r w:rsidR="0070065E">
              <w:rPr>
                <w:rFonts w:ascii="Verdana" w:eastAsia="Calibri" w:hAnsi="Verdana" w:cs="Arial"/>
              </w:rPr>
              <w:t>es</w:t>
            </w:r>
            <w:r w:rsidR="00E61A35" w:rsidRPr="00811B1B">
              <w:rPr>
                <w:rFonts w:ascii="Verdana" w:eastAsia="Calibri" w:hAnsi="Verdana" w:cs="Arial"/>
              </w:rPr>
              <w:t xml:space="preserve"> ejercida por el Estado conforme a la naturaleza jurídica de cada entidad</w:t>
            </w:r>
            <w:r w:rsidR="00131877" w:rsidRPr="00811B1B">
              <w:rPr>
                <w:rFonts w:ascii="Verdana" w:eastAsia="Calibri" w:hAnsi="Verdana" w:cs="Arial"/>
              </w:rPr>
              <w:t xml:space="preserve">, para lo cual debe entonces estudiarse la naturaleza de </w:t>
            </w:r>
            <w:r w:rsidR="00131877">
              <w:rPr>
                <w:rFonts w:ascii="Verdana" w:eastAsia="Calibri" w:hAnsi="Verdana" w:cs="Arial"/>
              </w:rPr>
              <w:t xml:space="preserve">esta y </w:t>
            </w:r>
            <w:r w:rsidR="00131877" w:rsidRPr="00811B1B">
              <w:rPr>
                <w:rFonts w:ascii="Verdana" w:eastAsia="Calibri" w:hAnsi="Verdana" w:cs="Arial"/>
              </w:rPr>
              <w:t xml:space="preserve">las </w:t>
            </w:r>
            <w:r w:rsidR="00131877">
              <w:rPr>
                <w:rFonts w:ascii="Verdana" w:eastAsia="Calibri" w:hAnsi="Verdana" w:cs="Arial"/>
              </w:rPr>
              <w:t xml:space="preserve">competencias que le fueron asignadas conforme a la constitución y </w:t>
            </w:r>
            <w:r w:rsidR="00B255F4">
              <w:rPr>
                <w:rFonts w:ascii="Verdana" w:eastAsia="Calibri" w:hAnsi="Verdana" w:cs="Arial"/>
              </w:rPr>
              <w:t>la ley</w:t>
            </w:r>
            <w:r w:rsidR="00131877" w:rsidRPr="00811B1B">
              <w:rPr>
                <w:rFonts w:ascii="Verdana" w:eastAsia="Calibri" w:hAnsi="Verdana" w:cs="Arial"/>
              </w:rPr>
              <w:t xml:space="preserve">. </w:t>
            </w:r>
          </w:p>
          <w:p w14:paraId="1120D09C" w14:textId="77777777" w:rsidR="00131877" w:rsidRDefault="00131877" w:rsidP="00131877">
            <w:pPr>
              <w:spacing w:line="276" w:lineRule="auto"/>
              <w:jc w:val="both"/>
              <w:rPr>
                <w:rFonts w:ascii="Verdana" w:eastAsia="Calibri" w:hAnsi="Verdana" w:cs="Arial"/>
              </w:rPr>
            </w:pPr>
          </w:p>
          <w:p w14:paraId="4EEBF694" w14:textId="605BEAAC" w:rsidR="00131877" w:rsidRDefault="00131877" w:rsidP="00131877">
            <w:pPr>
              <w:spacing w:line="276" w:lineRule="auto"/>
              <w:jc w:val="both"/>
              <w:rPr>
                <w:rFonts w:ascii="Verdana" w:eastAsia="Calibri" w:hAnsi="Verdana" w:cs="Arial"/>
              </w:rPr>
            </w:pPr>
            <w:r w:rsidRPr="00811B1B">
              <w:rPr>
                <w:rFonts w:ascii="Verdana" w:eastAsia="Calibri" w:hAnsi="Verdana" w:cs="Arial"/>
              </w:rPr>
              <w:t>De tal manera que, únicamente esta Agencia puede pronunciarse sobre la naturaleza de la función administrativa y los servicios públicos que desarrollan</w:t>
            </w:r>
            <w:r>
              <w:rPr>
                <w:rFonts w:ascii="Verdana" w:eastAsia="Calibri" w:hAnsi="Verdana" w:cs="Arial"/>
              </w:rPr>
              <w:t xml:space="preserve"> las entidades públicas dentro de la prestación del servicio público</w:t>
            </w:r>
            <w:r w:rsidR="0070065E">
              <w:rPr>
                <w:rFonts w:ascii="Verdana" w:eastAsia="Calibri" w:hAnsi="Verdana" w:cs="Arial"/>
              </w:rPr>
              <w:t xml:space="preserve"> relacionada con el contrato en sus diferentes prestaciones, ya sea obra, bien o servicios</w:t>
            </w:r>
            <w:r>
              <w:rPr>
                <w:rFonts w:ascii="Verdana" w:eastAsia="Calibri" w:hAnsi="Verdana" w:cs="Arial"/>
              </w:rPr>
              <w:t>, sin interferir en las competencias asignadas al Departamento Administrativo de la Función Pública.</w:t>
            </w:r>
          </w:p>
          <w:p w14:paraId="0A236485" w14:textId="4CFC1C28" w:rsidR="00B255F4" w:rsidRDefault="00B255F4" w:rsidP="00131877">
            <w:pPr>
              <w:spacing w:line="276" w:lineRule="auto"/>
              <w:jc w:val="both"/>
              <w:rPr>
                <w:rFonts w:ascii="Verdana" w:eastAsia="Calibri" w:hAnsi="Verdana" w:cs="Arial"/>
              </w:rPr>
            </w:pPr>
          </w:p>
          <w:p w14:paraId="6A2A9A5A" w14:textId="77777777" w:rsidR="00131877" w:rsidRPr="00811B1B" w:rsidRDefault="00131877" w:rsidP="00811B1B">
            <w:pPr>
              <w:spacing w:line="276" w:lineRule="auto"/>
              <w:jc w:val="both"/>
              <w:rPr>
                <w:rFonts w:ascii="Verdana" w:eastAsia="Calibri" w:hAnsi="Verdana" w:cs="Arial"/>
              </w:rPr>
            </w:pPr>
          </w:p>
          <w:p w14:paraId="75304B80" w14:textId="06AE7A17" w:rsidR="00C82882" w:rsidRDefault="00F76580" w:rsidP="00811B1B">
            <w:pPr>
              <w:spacing w:line="276" w:lineRule="auto"/>
              <w:jc w:val="both"/>
              <w:rPr>
                <w:rFonts w:ascii="Verdana" w:eastAsia="Calibri" w:hAnsi="Verdana" w:cs="Arial"/>
              </w:rPr>
            </w:pPr>
            <w:r w:rsidRPr="00811B1B">
              <w:rPr>
                <w:rFonts w:ascii="Verdana" w:eastAsia="Calibri" w:hAnsi="Verdana" w:cs="Arial"/>
              </w:rPr>
              <w:t>En relación con su segunda pregunta,</w:t>
            </w:r>
            <w:r w:rsidR="008D7A22">
              <w:rPr>
                <w:rFonts w:ascii="Verdana" w:eastAsia="Calibri" w:hAnsi="Verdana" w:cs="Arial"/>
              </w:rPr>
              <w:t xml:space="preserve"> los contratistas del estado pueden verso dentro de </w:t>
            </w:r>
            <w:r w:rsidR="008D7A22" w:rsidRPr="008D7A22">
              <w:rPr>
                <w:rFonts w:ascii="Verdana" w:eastAsia="Calibri" w:hAnsi="Verdana" w:cs="Arial"/>
              </w:rPr>
              <w:t>las</w:t>
            </w:r>
            <w:r w:rsidR="00381AAA" w:rsidRPr="00811B1B">
              <w:rPr>
                <w:rFonts w:ascii="Verdana" w:eastAsia="Calibri" w:hAnsi="Verdana" w:cs="Arial"/>
              </w:rPr>
              <w:t xml:space="preserve"> inhabilidades</w:t>
            </w:r>
            <w:r w:rsidR="008D7A22">
              <w:rPr>
                <w:rFonts w:ascii="Verdana" w:eastAsia="Calibri" w:hAnsi="Verdana" w:cs="Arial"/>
              </w:rPr>
              <w:t>,</w:t>
            </w:r>
            <w:r w:rsidR="00381AAA" w:rsidRPr="00811B1B">
              <w:rPr>
                <w:rFonts w:ascii="Verdana" w:eastAsia="Calibri" w:hAnsi="Verdana" w:cs="Arial"/>
              </w:rPr>
              <w:t xml:space="preserve"> incompatibilidades</w:t>
            </w:r>
            <w:r w:rsidR="00C82882" w:rsidRPr="00811B1B">
              <w:rPr>
                <w:rFonts w:ascii="Verdana" w:eastAsia="Calibri" w:hAnsi="Verdana" w:cs="Arial"/>
              </w:rPr>
              <w:t xml:space="preserve"> </w:t>
            </w:r>
            <w:r w:rsidR="008D7A22">
              <w:rPr>
                <w:rFonts w:ascii="Verdana" w:eastAsia="Calibri" w:hAnsi="Verdana" w:cs="Arial"/>
              </w:rPr>
              <w:t xml:space="preserve">y conflicto de intereses en virtud de los contratos de prestación de servicios que estos suscriben, es por esto </w:t>
            </w:r>
            <w:r w:rsidR="00B1650E">
              <w:rPr>
                <w:rFonts w:ascii="Verdana" w:eastAsia="Calibri" w:hAnsi="Verdana" w:cs="Arial"/>
              </w:rPr>
              <w:t>por lo que</w:t>
            </w:r>
            <w:r w:rsidR="008D7A22">
              <w:rPr>
                <w:rFonts w:ascii="Verdana" w:eastAsia="Calibri" w:hAnsi="Verdana" w:cs="Arial"/>
              </w:rPr>
              <w:t xml:space="preserve"> le asiste tanto a la entidad como al contratista estipular de forma clara dentro del proceso de contratación las actividades a las cual se encuentra obligado</w:t>
            </w:r>
            <w:r w:rsidR="00B1650E">
              <w:rPr>
                <w:rFonts w:ascii="Verdana" w:eastAsia="Calibri" w:hAnsi="Verdana" w:cs="Arial"/>
              </w:rPr>
              <w:t xml:space="preserve"> y verificar que no se encuentre inmerso dentro de algunas de las causales señaladas en la norma y en caso que estas sean sobrevinientes, indicar el conflicto de intereses al cual podría enfrentarse.</w:t>
            </w:r>
          </w:p>
          <w:p w14:paraId="617395B7" w14:textId="77777777" w:rsidR="00C82882" w:rsidRPr="00811B1B" w:rsidRDefault="00C82882" w:rsidP="00811B1B">
            <w:pPr>
              <w:spacing w:line="276" w:lineRule="auto"/>
              <w:jc w:val="both"/>
              <w:rPr>
                <w:rFonts w:ascii="Verdana" w:eastAsia="Calibri" w:hAnsi="Verdana" w:cs="Arial"/>
              </w:rPr>
            </w:pPr>
          </w:p>
          <w:p w14:paraId="16CE6516" w14:textId="50FCC67C" w:rsidR="00F76580" w:rsidRPr="00811B1B" w:rsidRDefault="00F76580" w:rsidP="00811B1B">
            <w:pPr>
              <w:spacing w:line="276" w:lineRule="auto"/>
              <w:ind w:left="360"/>
              <w:jc w:val="both"/>
              <w:rPr>
                <w:rFonts w:ascii="Verdana" w:eastAsia="Calibri" w:hAnsi="Verdana" w:cs="Arial"/>
              </w:rPr>
            </w:pPr>
            <w:r w:rsidRPr="00811B1B">
              <w:rPr>
                <w:rFonts w:ascii="Verdana" w:eastAsia="Calibri" w:hAnsi="Verdana" w:cs="Arial"/>
              </w:rPr>
              <w:lastRenderedPageBreak/>
              <w:t xml:space="preserve">Adicionalmente, es menester explicar que las </w:t>
            </w:r>
            <w:r w:rsidRPr="00811B1B">
              <w:rPr>
                <w:rFonts w:ascii="Verdana" w:eastAsia="Times New Roman" w:hAnsi="Verdana" w:cs="Arial"/>
                <w:lang w:val="es-ES_tradnl" w:eastAsia="es-ES"/>
              </w:rPr>
              <w:t xml:space="preserve">inhabilidades e incompatibilidades son restricciones que establece el legislador para limitar la capacidad de contratación de las personas naturales o jurídicas para contratar con el estado, estas son </w:t>
            </w:r>
            <w:r w:rsidRPr="00811B1B">
              <w:rPr>
                <w:rFonts w:ascii="Verdana" w:eastAsia="Times New Roman" w:hAnsi="Verdana" w:cs="Arial"/>
                <w:lang w:eastAsia="es-ES"/>
              </w:rPr>
              <w:t xml:space="preserve">son taxativas, expresas y </w:t>
            </w:r>
            <w:r w:rsidRPr="00811B1B">
              <w:rPr>
                <w:rFonts w:ascii="Verdana" w:eastAsia="Times New Roman" w:hAnsi="Verdana" w:cs="Arial"/>
                <w:lang w:val="es-ES_tradnl" w:eastAsia="es-ES"/>
              </w:rPr>
              <w:t>gozan de una interpretación restrictiva, la cual excluye cualquier analogía o entendimiento de la norma alejado a lo estrictamente expresado en la Ley.</w:t>
            </w:r>
          </w:p>
          <w:p w14:paraId="4AB0B829" w14:textId="77777777" w:rsidR="008D7A22" w:rsidRDefault="008D7A22" w:rsidP="008D7A22">
            <w:pPr>
              <w:spacing w:line="276" w:lineRule="auto"/>
              <w:jc w:val="both"/>
              <w:rPr>
                <w:rFonts w:ascii="Verdana" w:eastAsia="Calibri" w:hAnsi="Verdana" w:cs="Arial"/>
              </w:rPr>
            </w:pPr>
          </w:p>
          <w:p w14:paraId="0708BA96" w14:textId="1ECAC8C8" w:rsidR="00F76580" w:rsidRPr="00811B1B" w:rsidRDefault="00B1650E" w:rsidP="00811B1B">
            <w:pPr>
              <w:spacing w:line="276" w:lineRule="auto"/>
              <w:jc w:val="both"/>
              <w:rPr>
                <w:rFonts w:ascii="Verdana" w:eastAsia="Calibri" w:hAnsi="Verdana" w:cs="Arial"/>
              </w:rPr>
            </w:pPr>
            <w:r>
              <w:rPr>
                <w:rFonts w:ascii="Verdana" w:eastAsia="Calibri" w:hAnsi="Verdana" w:cs="Arial"/>
              </w:rPr>
              <w:t xml:space="preserve">Por último, respecto a la determinación si el sujeto es disciplinable o </w:t>
            </w:r>
            <w:proofErr w:type="gramStart"/>
            <w:r>
              <w:rPr>
                <w:rFonts w:ascii="Verdana" w:eastAsia="Calibri" w:hAnsi="Verdana" w:cs="Arial"/>
              </w:rPr>
              <w:t xml:space="preserve">no, </w:t>
            </w:r>
            <w:r w:rsidR="00F76580" w:rsidRPr="00811B1B">
              <w:rPr>
                <w:rFonts w:ascii="Verdana" w:eastAsia="Calibri" w:hAnsi="Verdana" w:cs="Arial"/>
              </w:rPr>
              <w:t xml:space="preserve"> que</w:t>
            </w:r>
            <w:proofErr w:type="gramEnd"/>
            <w:r w:rsidR="00F76580" w:rsidRPr="00811B1B">
              <w:rPr>
                <w:rFonts w:ascii="Verdana" w:eastAsia="Calibri" w:hAnsi="Verdana" w:cs="Arial"/>
              </w:rPr>
              <w:t xml:space="preserve"> esta agencia carece de competencia para determinar estos asuntos,</w:t>
            </w:r>
            <w:r>
              <w:rPr>
                <w:rFonts w:ascii="Verdana" w:eastAsia="Calibri" w:hAnsi="Verdana" w:cs="Arial"/>
              </w:rPr>
              <w:t xml:space="preserve"> por lo cual </w:t>
            </w:r>
            <w:r w:rsidR="00F76580" w:rsidRPr="00811B1B">
              <w:rPr>
                <w:rFonts w:ascii="Verdana" w:eastAsia="Calibri" w:hAnsi="Verdana" w:cs="Arial"/>
              </w:rPr>
              <w:t xml:space="preserve"> serán la entidad estatal contratante y la Procuraduría las encargadas de determinar si el contratista se encuentra inmerso dentro de la causal prevista, siendo una falta relacionada con el régimen de inhabilidades</w:t>
            </w:r>
            <w:r w:rsidR="008D7A22" w:rsidRPr="00811B1B">
              <w:rPr>
                <w:rFonts w:ascii="Verdana" w:eastAsia="Calibri" w:hAnsi="Verdana" w:cs="Arial"/>
              </w:rPr>
              <w:t>,</w:t>
            </w:r>
            <w:r w:rsidR="00F76580" w:rsidRPr="00811B1B">
              <w:rPr>
                <w:rFonts w:ascii="Verdana" w:eastAsia="Calibri" w:hAnsi="Verdana" w:cs="Arial"/>
              </w:rPr>
              <w:t xml:space="preserve"> incompatibilidades</w:t>
            </w:r>
            <w:r w:rsidR="008D7A22" w:rsidRPr="00811B1B">
              <w:rPr>
                <w:rFonts w:ascii="Verdana" w:eastAsia="Calibri" w:hAnsi="Verdana" w:cs="Arial"/>
              </w:rPr>
              <w:t xml:space="preserve"> y conflicto de intereses a los que refiere la norma</w:t>
            </w:r>
            <w:r>
              <w:rPr>
                <w:rFonts w:ascii="Verdana" w:eastAsia="Calibri" w:hAnsi="Verdana" w:cs="Arial"/>
              </w:rPr>
              <w:t>.</w:t>
            </w:r>
          </w:p>
        </w:tc>
      </w:tr>
    </w:tbl>
    <w:p w14:paraId="6E998A54" w14:textId="77777777" w:rsidR="00F76580" w:rsidRPr="00AC3E1A" w:rsidRDefault="00F76580" w:rsidP="00F76580">
      <w:pPr>
        <w:tabs>
          <w:tab w:val="left" w:pos="142"/>
          <w:tab w:val="left" w:pos="284"/>
        </w:tabs>
        <w:spacing w:after="0" w:line="276" w:lineRule="auto"/>
        <w:jc w:val="both"/>
        <w:rPr>
          <w:rFonts w:ascii="Verdana" w:eastAsia="Century Gothic" w:hAnsi="Verdana" w:cs="Century Gothic"/>
          <w:b/>
          <w:bCs/>
          <w:lang w:val="es-ES"/>
        </w:rPr>
      </w:pPr>
    </w:p>
    <w:p w14:paraId="135CB952" w14:textId="77777777" w:rsidR="00F76580" w:rsidRPr="00AC3E1A" w:rsidRDefault="00F76580" w:rsidP="00F7658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3E1A">
        <w:rPr>
          <w:rFonts w:ascii="Verdana" w:eastAsia="Century Gothic" w:hAnsi="Verdana" w:cs="Century Gothic"/>
          <w:b/>
          <w:bCs/>
        </w:rPr>
        <w:t>Razones de la respuesta:</w:t>
      </w:r>
    </w:p>
    <w:p w14:paraId="673E3B8E" w14:textId="77777777" w:rsidR="00F76580" w:rsidRPr="00AC3E1A" w:rsidRDefault="00F76580" w:rsidP="00F76580">
      <w:pPr>
        <w:spacing w:after="0" w:line="276" w:lineRule="auto"/>
        <w:jc w:val="both"/>
        <w:rPr>
          <w:rFonts w:ascii="Verdana" w:eastAsia="Calibri" w:hAnsi="Verdana" w:cs="Arial"/>
          <w:lang w:val="es-ES"/>
        </w:rPr>
      </w:pPr>
    </w:p>
    <w:p w14:paraId="597F9C56" w14:textId="77777777" w:rsidR="00F76580" w:rsidRPr="00AC3E1A" w:rsidRDefault="00F76580" w:rsidP="00F76580">
      <w:pPr>
        <w:spacing w:after="0" w:line="276" w:lineRule="auto"/>
        <w:jc w:val="both"/>
        <w:rPr>
          <w:rFonts w:ascii="Verdana" w:eastAsia="Calibri" w:hAnsi="Verdana" w:cs="Arial"/>
          <w:lang w:val="es-ES"/>
        </w:rPr>
      </w:pPr>
      <w:r w:rsidRPr="00AC3E1A">
        <w:rPr>
          <w:rFonts w:ascii="Verdana" w:eastAsia="Calibri" w:hAnsi="Verdana" w:cs="Arial"/>
          <w:lang w:val="es-ES"/>
        </w:rPr>
        <w:t xml:space="preserve">Lo anterior se sustenta en las siguientes consideraciones: </w:t>
      </w:r>
    </w:p>
    <w:p w14:paraId="0F9D82B6" w14:textId="77777777" w:rsidR="00F76580" w:rsidRPr="00AC3E1A" w:rsidRDefault="00F76580" w:rsidP="00F76580">
      <w:pPr>
        <w:spacing w:after="0" w:line="276" w:lineRule="auto"/>
        <w:jc w:val="both"/>
        <w:rPr>
          <w:rFonts w:ascii="Verdana" w:eastAsia="Calibri" w:hAnsi="Verdana" w:cs="Arial"/>
          <w:lang w:val="es-ES"/>
        </w:rPr>
      </w:pPr>
    </w:p>
    <w:p w14:paraId="27984AAC" w14:textId="393A1510" w:rsidR="00173017" w:rsidRPr="00811B1B" w:rsidRDefault="00F76580" w:rsidP="00131877">
      <w:pPr>
        <w:pStyle w:val="Prrafodelista"/>
        <w:numPr>
          <w:ilvl w:val="0"/>
          <w:numId w:val="17"/>
        </w:numPr>
        <w:spacing w:after="0" w:line="276" w:lineRule="auto"/>
        <w:jc w:val="both"/>
      </w:pPr>
      <w:r w:rsidRPr="00AC3E1A">
        <w:rPr>
          <w:rFonts w:ascii="Verdana" w:eastAsia="Calibri" w:hAnsi="Verdana" w:cs="Arial"/>
        </w:rPr>
        <w:t>La Función Pública es definida por la Corte Constitucional en la sentencia C-563 de 1998</w:t>
      </w:r>
      <w:r w:rsidRPr="00AC3E1A">
        <w:rPr>
          <w:rStyle w:val="Refdenotaalpie"/>
          <w:rFonts w:ascii="Verdana" w:eastAsia="Calibri" w:hAnsi="Verdana" w:cs="Arial"/>
        </w:rPr>
        <w:footnoteReference w:id="2"/>
      </w:r>
      <w:r w:rsidRPr="00AC3E1A">
        <w:rPr>
          <w:rFonts w:ascii="Verdana" w:eastAsia="Calibri" w:hAnsi="Verdana" w:cs="Arial"/>
        </w:rPr>
        <w:t>, con ponencia de los Magistrados Ponentes Dr. Antonio Barrera Carbonell y Dr. Carlos Gaviria Díaz, de la siguiente manera:</w:t>
      </w:r>
    </w:p>
    <w:p w14:paraId="15815A32" w14:textId="77777777" w:rsidR="00131877" w:rsidRPr="00AC3E1A" w:rsidRDefault="00131877" w:rsidP="00811B1B">
      <w:pPr>
        <w:pStyle w:val="Prrafodelista"/>
        <w:spacing w:after="0" w:line="276" w:lineRule="auto"/>
        <w:jc w:val="both"/>
      </w:pPr>
    </w:p>
    <w:p w14:paraId="70BD05F7"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r w:rsidRPr="00AC3E1A">
        <w:rPr>
          <w:rFonts w:ascii="Verdana" w:eastAsia="Calibri" w:hAnsi="Verdana" w:cs="Arial"/>
          <w:sz w:val="20"/>
          <w:szCs w:val="20"/>
        </w:rPr>
        <w:t>“En sentido amplio la noción de función pública atañe al conjunto de las actividades que realiza el Estado, a través de los órganos de las ramas del poder público, de los órganos autónomos e independientes, (art. 113) y de las demás entidades o agencias públicas, en orden a alcanzar sus diferentes fines.</w:t>
      </w:r>
    </w:p>
    <w:p w14:paraId="1E9AD65C" w14:textId="77777777" w:rsidR="00F76580" w:rsidRPr="00AC3E1A" w:rsidRDefault="00F76580" w:rsidP="00F76580">
      <w:pPr>
        <w:spacing w:after="0" w:line="240" w:lineRule="auto"/>
        <w:ind w:left="709" w:right="709"/>
        <w:jc w:val="both"/>
        <w:rPr>
          <w:rFonts w:ascii="Verdana" w:eastAsia="Calibri" w:hAnsi="Verdana" w:cs="Arial"/>
          <w:sz w:val="20"/>
          <w:szCs w:val="20"/>
          <w:lang w:val="es-ES"/>
        </w:rPr>
      </w:pPr>
    </w:p>
    <w:p w14:paraId="351E4431"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r w:rsidRPr="00AC3E1A">
        <w:rPr>
          <w:rFonts w:ascii="Verdana" w:eastAsia="Calibri" w:hAnsi="Verdana" w:cs="Arial"/>
          <w:sz w:val="20"/>
          <w:szCs w:val="20"/>
        </w:rPr>
        <w:t>En un sentido restringido se habla de función pública, referida al conjunto de principios y reglas que se aplican a quienes tienen vínculo laboral subordinado con los distintos organismos del Estado. Por lo mismo, empleado, funcionario o trabajador es el servidor público que esta investido regularmente de una función, que desarrolla dentro del radio de competencia que le asigna la Constitución, la ley o el reglamento (C.P. art. 123).</w:t>
      </w:r>
    </w:p>
    <w:p w14:paraId="652ACB30"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r w:rsidRPr="00AC3E1A">
        <w:rPr>
          <w:rFonts w:ascii="Verdana" w:eastAsia="Calibri" w:hAnsi="Verdana" w:cs="Arial"/>
          <w:sz w:val="20"/>
          <w:szCs w:val="20"/>
        </w:rPr>
        <w:t>[…]</w:t>
      </w:r>
    </w:p>
    <w:p w14:paraId="35C1E3E7"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r w:rsidRPr="00AC3E1A">
        <w:rPr>
          <w:rFonts w:ascii="Verdana" w:eastAsia="Calibri" w:hAnsi="Verdana" w:cs="Arial"/>
          <w:sz w:val="20"/>
          <w:szCs w:val="20"/>
        </w:rPr>
        <w:t>Es función pública, como dice Maggiore</w:t>
      </w:r>
      <w:r w:rsidRPr="00AC3E1A">
        <w:rPr>
          <w:rStyle w:val="Refdenotaalpie"/>
          <w:rFonts w:ascii="Verdana" w:eastAsia="Calibri" w:hAnsi="Verdana" w:cs="Arial"/>
          <w:sz w:val="20"/>
          <w:szCs w:val="20"/>
        </w:rPr>
        <w:footnoteReference w:id="3"/>
      </w:r>
      <w:r w:rsidRPr="00AC3E1A">
        <w:rPr>
          <w:rFonts w:ascii="Verdana" w:eastAsia="Calibri" w:hAnsi="Verdana" w:cs="Arial"/>
          <w:sz w:val="20"/>
          <w:szCs w:val="20"/>
        </w:rPr>
        <w:t xml:space="preserve"> toda actividad que realice fines propios del Estado, aunque la ejerzan personas extrañas a la administración pública.</w:t>
      </w:r>
    </w:p>
    <w:p w14:paraId="6A50EB3C"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p>
    <w:p w14:paraId="3D5D403A"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r w:rsidRPr="00AC3E1A">
        <w:rPr>
          <w:rFonts w:ascii="Verdana" w:eastAsia="Calibri" w:hAnsi="Verdana" w:cs="Arial"/>
          <w:sz w:val="20"/>
          <w:szCs w:val="20"/>
        </w:rPr>
        <w:lastRenderedPageBreak/>
        <w:t>En esta perspectiva la función pública se valora objetivamente, haciendo abstracción de quienes la ejercen o son investidos de ella, y considerando que por esta vía el sujeto que la ejerce participa o colabora en la realización de las funciones y cometidos del Estado.</w:t>
      </w:r>
    </w:p>
    <w:p w14:paraId="3D75CC55"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p>
    <w:p w14:paraId="6B2CBBDB" w14:textId="77777777" w:rsidR="00F76580" w:rsidRPr="00AC3E1A" w:rsidRDefault="00F76580" w:rsidP="00F76580">
      <w:pPr>
        <w:pStyle w:val="Prrafodelista"/>
        <w:spacing w:after="0" w:line="240" w:lineRule="auto"/>
        <w:ind w:left="709" w:right="709"/>
        <w:jc w:val="both"/>
        <w:rPr>
          <w:rFonts w:ascii="Verdana" w:eastAsia="Calibri" w:hAnsi="Verdana" w:cs="Arial"/>
          <w:sz w:val="20"/>
          <w:szCs w:val="20"/>
        </w:rPr>
      </w:pPr>
      <w:r w:rsidRPr="00AC3E1A">
        <w:rPr>
          <w:rFonts w:ascii="Verdana" w:eastAsia="Calibri" w:hAnsi="Verdana" w:cs="Arial"/>
          <w:sz w:val="20"/>
          <w:szCs w:val="20"/>
        </w:rPr>
        <w:t>Para efectos de dicha valoración, poco interesa que dichas funciones se ejerzan en forma temporal o permanente, porque las normas de la Constitución regulan ambos tipos de situaciones, como se deduce de la preceptiva de los artículos 123, 131, 210, 246 y 365 de la Constitución.”</w:t>
      </w:r>
    </w:p>
    <w:p w14:paraId="2E2FBEBD" w14:textId="77777777" w:rsidR="00F76580" w:rsidRPr="00AC3E1A" w:rsidRDefault="00F76580" w:rsidP="00F76580">
      <w:pPr>
        <w:pStyle w:val="Prrafodelista"/>
        <w:spacing w:after="0" w:line="276" w:lineRule="auto"/>
        <w:jc w:val="both"/>
      </w:pPr>
    </w:p>
    <w:p w14:paraId="702FABCD" w14:textId="0448BE14" w:rsidR="00173017" w:rsidRPr="00811B1B" w:rsidRDefault="00173017" w:rsidP="00F76580">
      <w:pPr>
        <w:pStyle w:val="Prrafodelista"/>
        <w:numPr>
          <w:ilvl w:val="0"/>
          <w:numId w:val="19"/>
        </w:numPr>
        <w:spacing w:after="0" w:line="276" w:lineRule="auto"/>
        <w:jc w:val="both"/>
        <w:rPr>
          <w:rFonts w:ascii="Verdana" w:hAnsi="Verdana" w:cs="Arial"/>
          <w:noProof/>
          <w:lang w:val="es-ES_tradnl"/>
        </w:rPr>
      </w:pPr>
      <w:r>
        <w:rPr>
          <w:rFonts w:ascii="Verdana" w:hAnsi="Verdana" w:cs="Arial"/>
          <w:noProof/>
          <w:lang w:val="es-CO"/>
        </w:rPr>
        <w:t>Ahora bien,</w:t>
      </w:r>
      <w:r w:rsidRPr="00173017">
        <w:rPr>
          <w:rFonts w:ascii="Verdana" w:hAnsi="Verdana" w:cs="Arial"/>
          <w:noProof/>
          <w:lang w:val="es-CO"/>
        </w:rPr>
        <w:t xml:space="preserve"> frente al ejercicio de funciones públicas por particulares, la Constitución Política de 1991 consagra:</w:t>
      </w:r>
    </w:p>
    <w:p w14:paraId="616F80B8" w14:textId="77777777" w:rsidR="00173017" w:rsidRDefault="00173017" w:rsidP="00173017">
      <w:pPr>
        <w:pStyle w:val="Prrafodelista"/>
        <w:spacing w:after="0" w:line="276" w:lineRule="auto"/>
        <w:jc w:val="both"/>
        <w:rPr>
          <w:rFonts w:ascii="Verdana" w:hAnsi="Verdana" w:cs="Arial"/>
          <w:noProof/>
          <w:lang w:val="es-CO"/>
        </w:rPr>
      </w:pPr>
    </w:p>
    <w:p w14:paraId="7B3B7DDB" w14:textId="640CFDBF"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xml:space="preserve"> “ </w:t>
      </w:r>
      <w:r w:rsidRPr="00173017">
        <w:rPr>
          <w:rFonts w:ascii="Verdana" w:hAnsi="Verdana" w:cs="Arial"/>
          <w:b/>
          <w:bCs/>
          <w:noProof/>
          <w:lang w:val="es-CO"/>
        </w:rPr>
        <w:t xml:space="preserve">Articulo 123 </w:t>
      </w:r>
      <w:r w:rsidRPr="00173017">
        <w:rPr>
          <w:rFonts w:ascii="Verdana" w:hAnsi="Verdana" w:cs="Arial"/>
          <w:noProof/>
          <w:lang w:val="es-CO"/>
        </w:rPr>
        <w:t>. Son servidores públicos los miembros de las corporaciones públicas, los empleados y trabajadores del Estado y de sus entidades descentralizadas territorialmente y por servicios. Los servidores públicos están al servicio del Estado y de la comunidad; ejercerán sus funciones en la forma prevista por la Constitución, la ley y el reglamento. La ley determinará el régimen aplicable a los particulares que temporalmente desempeñen funciones públicas y regulará su ejercicio. ”</w:t>
      </w:r>
    </w:p>
    <w:p w14:paraId="70355E8D" w14:textId="77777777" w:rsidR="00173017" w:rsidRDefault="00173017" w:rsidP="00173017">
      <w:pPr>
        <w:spacing w:after="0" w:line="276" w:lineRule="auto"/>
        <w:jc w:val="both"/>
        <w:rPr>
          <w:rFonts w:ascii="Verdana" w:hAnsi="Verdana" w:cs="Arial"/>
          <w:noProof/>
        </w:rPr>
      </w:pPr>
    </w:p>
    <w:p w14:paraId="5EDFD922" w14:textId="77777777" w:rsidR="00173017" w:rsidRDefault="00173017" w:rsidP="00173017">
      <w:pPr>
        <w:spacing w:after="0" w:line="276" w:lineRule="auto"/>
        <w:jc w:val="both"/>
        <w:rPr>
          <w:rFonts w:ascii="Verdana" w:hAnsi="Verdana" w:cs="Arial"/>
          <w:noProof/>
        </w:rPr>
      </w:pPr>
    </w:p>
    <w:p w14:paraId="4C159DA3" w14:textId="533978E5" w:rsidR="00173017" w:rsidRPr="00811B1B" w:rsidRDefault="00173017" w:rsidP="00811B1B">
      <w:pPr>
        <w:pStyle w:val="Prrafodelista"/>
        <w:numPr>
          <w:ilvl w:val="0"/>
          <w:numId w:val="19"/>
        </w:numPr>
        <w:spacing w:after="0" w:line="276" w:lineRule="auto"/>
        <w:jc w:val="both"/>
        <w:rPr>
          <w:rFonts w:ascii="Verdana" w:hAnsi="Verdana" w:cs="Arial"/>
          <w:noProof/>
        </w:rPr>
      </w:pPr>
      <w:r w:rsidRPr="00811B1B">
        <w:rPr>
          <w:rFonts w:ascii="Verdana" w:hAnsi="Verdana" w:cs="Arial"/>
          <w:noProof/>
        </w:rPr>
        <w:t xml:space="preserve">De acuerdo con lo anterior, los particulares pueden desempeñar temporalmente funciones públicas y el régimen aplicable y la regulación de su ejercicio será determinado por la ley. Al respecto, el Consejo de Estado, Sala de lo Contencioso Administrativo, Sección Tercera, Consejera ponente: María Elena Giraldo Gómez, en sentencia con Radicación número: ACU-1016 del 18 de noviembre de 1999, señaló: </w:t>
      </w:r>
    </w:p>
    <w:p w14:paraId="0C515912" w14:textId="77777777" w:rsidR="00173017" w:rsidRDefault="00173017" w:rsidP="00173017">
      <w:pPr>
        <w:pStyle w:val="Prrafodelista"/>
        <w:spacing w:after="0" w:line="276" w:lineRule="auto"/>
        <w:jc w:val="both"/>
        <w:rPr>
          <w:rFonts w:ascii="Verdana" w:hAnsi="Verdana" w:cs="Arial"/>
          <w:noProof/>
          <w:lang w:val="es-CO"/>
        </w:rPr>
      </w:pPr>
    </w:p>
    <w:p w14:paraId="4F411E13" w14:textId="7777777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xml:space="preserve">“ La Función Pública es toda actividad ejercida por los órganos del Estado para la realización de sus fines. (…) </w:t>
      </w:r>
    </w:p>
    <w:p w14:paraId="4B1CA975" w14:textId="77777777" w:rsidR="00173017" w:rsidRDefault="00173017" w:rsidP="00173017">
      <w:pPr>
        <w:pStyle w:val="Prrafodelista"/>
        <w:spacing w:after="0" w:line="276" w:lineRule="auto"/>
        <w:jc w:val="both"/>
        <w:rPr>
          <w:rFonts w:ascii="Verdana" w:hAnsi="Verdana" w:cs="Arial"/>
          <w:noProof/>
          <w:lang w:val="es-CO"/>
        </w:rPr>
      </w:pPr>
    </w:p>
    <w:p w14:paraId="3BC89EB6" w14:textId="7777777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xml:space="preserve">El Servicio público es una actividad que desarrolla la Administración, en forma directa o delegada, con el objeto de satisfacer las necesidades de los administrados, esto es: el interés general. Por tanto, son diferentes los conceptos de función pública y servicio público. </w:t>
      </w:r>
    </w:p>
    <w:p w14:paraId="44D35E14" w14:textId="77777777" w:rsidR="00173017" w:rsidRDefault="00173017" w:rsidP="00173017">
      <w:pPr>
        <w:pStyle w:val="Prrafodelista"/>
        <w:spacing w:after="0" w:line="276" w:lineRule="auto"/>
        <w:jc w:val="both"/>
        <w:rPr>
          <w:rFonts w:ascii="Verdana" w:hAnsi="Verdana" w:cs="Arial"/>
          <w:noProof/>
          <w:lang w:val="es-CO"/>
        </w:rPr>
      </w:pPr>
    </w:p>
    <w:p w14:paraId="3811A64F" w14:textId="7777777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xml:space="preserve">Así lo ha señalado reconocida parte de la doctrina. En efecto, Roberto Dromi sobre el punto dice: “ funciones públicas. Atañen a la defensa exterior, para resguardo de supremas necesidades de orden y paz y a la </w:t>
      </w:r>
      <w:r w:rsidRPr="00173017">
        <w:rPr>
          <w:rFonts w:ascii="Verdana" w:hAnsi="Verdana" w:cs="Arial"/>
          <w:noProof/>
          <w:lang w:val="es-CO"/>
        </w:rPr>
        <w:lastRenderedPageBreak/>
        <w:t>actuación del derecho, para la tutela de los propios valores jurídicos como orden, seguridad y justicia. ( )”</w:t>
      </w:r>
      <w:r w:rsidRPr="00811B1B">
        <w:rPr>
          <w:rFonts w:ascii="Verdana" w:hAnsi="Verdana" w:cs="Arial"/>
          <w:noProof/>
          <w:lang w:val="es-CO"/>
        </w:rPr>
        <w:t xml:space="preserve"> </w:t>
      </w:r>
    </w:p>
    <w:p w14:paraId="5ECE97B1" w14:textId="77777777" w:rsidR="00173017" w:rsidRDefault="00173017" w:rsidP="00173017">
      <w:pPr>
        <w:pStyle w:val="Prrafodelista"/>
        <w:spacing w:after="0" w:line="276" w:lineRule="auto"/>
        <w:jc w:val="both"/>
        <w:rPr>
          <w:rFonts w:ascii="Verdana" w:hAnsi="Verdana" w:cs="Arial"/>
          <w:noProof/>
          <w:lang w:val="es-CO"/>
        </w:rPr>
      </w:pPr>
    </w:p>
    <w:p w14:paraId="27863592" w14:textId="30343B2A" w:rsidR="00173017" w:rsidRDefault="00173017" w:rsidP="00173017">
      <w:pPr>
        <w:pStyle w:val="Prrafodelista"/>
        <w:spacing w:after="0" w:line="276" w:lineRule="auto"/>
        <w:jc w:val="both"/>
        <w:rPr>
          <w:rFonts w:ascii="Verdana" w:hAnsi="Verdana" w:cs="Arial"/>
          <w:noProof/>
          <w:lang w:val="es-CO"/>
        </w:rPr>
      </w:pPr>
      <w:r w:rsidRPr="00811B1B">
        <w:rPr>
          <w:rFonts w:ascii="Verdana" w:hAnsi="Verdana" w:cs="Arial"/>
          <w:noProof/>
          <w:lang w:val="es-CO"/>
        </w:rPr>
        <w:t>“ servicios públicos: Se refieren a prestaciones o servicios de interés comunitario, que no son de forzosa ejecución estatal directa.”</w:t>
      </w:r>
    </w:p>
    <w:p w14:paraId="0A1CFAA7" w14:textId="77777777" w:rsidR="00173017" w:rsidRDefault="00173017" w:rsidP="00173017">
      <w:pPr>
        <w:pStyle w:val="Prrafodelista"/>
        <w:spacing w:after="0" w:line="276" w:lineRule="auto"/>
        <w:jc w:val="both"/>
        <w:rPr>
          <w:rFonts w:ascii="Verdana" w:hAnsi="Verdana" w:cs="Arial"/>
          <w:noProof/>
          <w:lang w:val="es-CO"/>
        </w:rPr>
      </w:pPr>
    </w:p>
    <w:p w14:paraId="6035B484" w14:textId="77777777" w:rsidR="00173017" w:rsidRDefault="00173017" w:rsidP="00173017">
      <w:pPr>
        <w:pStyle w:val="Prrafodelista"/>
        <w:spacing w:after="0" w:line="276" w:lineRule="auto"/>
        <w:jc w:val="both"/>
        <w:rPr>
          <w:rFonts w:ascii="Verdana" w:hAnsi="Verdana" w:cs="Arial"/>
          <w:noProof/>
          <w:lang w:val="es-CO"/>
        </w:rPr>
      </w:pPr>
    </w:p>
    <w:p w14:paraId="794A1FFC" w14:textId="77777777" w:rsidR="00173017" w:rsidRDefault="00173017" w:rsidP="00173017">
      <w:pPr>
        <w:pStyle w:val="Prrafodelista"/>
        <w:spacing w:after="0" w:line="276" w:lineRule="auto"/>
        <w:jc w:val="both"/>
        <w:rPr>
          <w:rFonts w:ascii="Verdana" w:hAnsi="Verdana" w:cs="Arial"/>
          <w:noProof/>
          <w:lang w:val="es-CO"/>
        </w:rPr>
      </w:pPr>
    </w:p>
    <w:p w14:paraId="04A96626" w14:textId="7777777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 ) La Sala en reciente providencia dictada dentro del expediente ACU 798 señaló las diferencias entre función pública y servicio público; manifestó:</w:t>
      </w:r>
    </w:p>
    <w:p w14:paraId="397C4F9F" w14:textId="77777777" w:rsidR="00173017" w:rsidRDefault="00173017" w:rsidP="00173017">
      <w:pPr>
        <w:pStyle w:val="Prrafodelista"/>
        <w:spacing w:after="0" w:line="276" w:lineRule="auto"/>
        <w:jc w:val="both"/>
        <w:rPr>
          <w:rFonts w:ascii="Verdana" w:hAnsi="Verdana" w:cs="Arial"/>
          <w:noProof/>
          <w:lang w:val="es-CO"/>
        </w:rPr>
      </w:pPr>
    </w:p>
    <w:p w14:paraId="25127BA6" w14:textId="77777777" w:rsidR="00173017" w:rsidRDefault="00173017" w:rsidP="00173017">
      <w:pPr>
        <w:pStyle w:val="Prrafodelista"/>
        <w:spacing w:after="0" w:line="276" w:lineRule="auto"/>
        <w:jc w:val="both"/>
        <w:rPr>
          <w:rFonts w:ascii="Verdana" w:hAnsi="Verdana" w:cs="Arial"/>
          <w:noProof/>
          <w:lang w:val="es-CO"/>
        </w:rPr>
      </w:pPr>
      <w:r>
        <w:rPr>
          <w:rFonts w:ascii="Verdana" w:hAnsi="Verdana" w:cs="Arial"/>
          <w:noProof/>
          <w:lang w:val="es-CO"/>
        </w:rPr>
        <w:t>“</w:t>
      </w:r>
      <w:r w:rsidRPr="00173017">
        <w:rPr>
          <w:rFonts w:ascii="Verdana" w:hAnsi="Verdana" w:cs="Arial"/>
          <w:noProof/>
          <w:lang w:val="es-CO"/>
        </w:rPr>
        <w:t>El manejo que generalmente se hace de la función pública se ha reducido exclusivamente al ámbito del derecho administrativo, para significar la relación que une al servidor público con la administración, y en tal sentido entonces se entiende, con carácter totalmente restringido como, el conjunto de regímenes de administración laboral aplicables a las personas que prestan sus servicios al Estado, cuando es lo cierto que, el concepto de función pública tiene una connotación mucho mayor.</w:t>
      </w:r>
    </w:p>
    <w:p w14:paraId="1F5A9A50" w14:textId="77777777" w:rsidR="00173017" w:rsidRDefault="00173017" w:rsidP="00173017">
      <w:pPr>
        <w:pStyle w:val="Prrafodelista"/>
        <w:spacing w:after="0" w:line="276" w:lineRule="auto"/>
        <w:jc w:val="both"/>
        <w:rPr>
          <w:rFonts w:ascii="Verdana" w:hAnsi="Verdana" w:cs="Arial"/>
          <w:noProof/>
          <w:lang w:val="es-CO"/>
        </w:rPr>
      </w:pPr>
    </w:p>
    <w:p w14:paraId="5C8A6AAF" w14:textId="7777777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xml:space="preserve"> En efecto, función pública es toda actividad ejercida por los órganos del Estado para la realización de sus fines y, excepcionalmente, por expresa delegación legal o por concesión, por parte de los particulares; pero, ‘ </w:t>
      </w:r>
      <w:r w:rsidRPr="00173017">
        <w:rPr>
          <w:rFonts w:ascii="Verdana" w:hAnsi="Verdana" w:cs="Arial"/>
          <w:b/>
          <w:bCs/>
          <w:noProof/>
          <w:lang w:val="es-CO"/>
        </w:rPr>
        <w:t xml:space="preserve">es de señalar que la función pública significa una actividad de Estado que no puede jamás concebirse como análoga a la de un particular, aun cuando se tratara de una empresa ’ ; </w:t>
      </w:r>
      <w:r w:rsidRPr="00173017">
        <w:rPr>
          <w:rFonts w:ascii="Verdana" w:hAnsi="Verdana" w:cs="Arial"/>
          <w:noProof/>
          <w:lang w:val="es-CO"/>
        </w:rPr>
        <w:t xml:space="preserve">por manera que no resulta acertado deducir que toda prestación de un servicio público comporta el ejercicio de función pública, aunque, en ocasiones, bien puede existir coincidencia entre el ejercicio de ésta y la prestación de aquél ( ). </w:t>
      </w:r>
    </w:p>
    <w:p w14:paraId="2736CB8A" w14:textId="77777777" w:rsidR="00173017" w:rsidRDefault="00173017" w:rsidP="00173017">
      <w:pPr>
        <w:pStyle w:val="Prrafodelista"/>
        <w:spacing w:after="0" w:line="276" w:lineRule="auto"/>
        <w:jc w:val="both"/>
        <w:rPr>
          <w:rFonts w:ascii="Verdana" w:hAnsi="Verdana" w:cs="Arial"/>
          <w:noProof/>
          <w:lang w:val="es-CO"/>
        </w:rPr>
      </w:pPr>
    </w:p>
    <w:p w14:paraId="0A22E7DE" w14:textId="2FF3635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xml:space="preserve">Sobre el particular, la doctrina inclusive tiene precisada la diferencia existente entre </w:t>
      </w:r>
      <w:r w:rsidRPr="00173017">
        <w:rPr>
          <w:rFonts w:ascii="Verdana" w:hAnsi="Verdana" w:cs="Arial"/>
          <w:b/>
          <w:bCs/>
          <w:noProof/>
          <w:lang w:val="es-CO"/>
        </w:rPr>
        <w:t xml:space="preserve">función pública </w:t>
      </w:r>
      <w:r w:rsidRPr="00173017">
        <w:rPr>
          <w:rFonts w:ascii="Verdana" w:hAnsi="Verdana" w:cs="Arial"/>
          <w:noProof/>
          <w:lang w:val="es-CO"/>
        </w:rPr>
        <w:t xml:space="preserve">y </w:t>
      </w:r>
      <w:r w:rsidRPr="00173017">
        <w:rPr>
          <w:rFonts w:ascii="Verdana" w:hAnsi="Verdana" w:cs="Arial"/>
          <w:b/>
          <w:bCs/>
          <w:noProof/>
          <w:lang w:val="es-CO"/>
        </w:rPr>
        <w:t xml:space="preserve">servicio público </w:t>
      </w:r>
      <w:r w:rsidRPr="00173017">
        <w:rPr>
          <w:rFonts w:ascii="Verdana" w:hAnsi="Verdana" w:cs="Arial"/>
          <w:noProof/>
          <w:lang w:val="es-CO"/>
        </w:rPr>
        <w:t xml:space="preserve">, que, si bien son dos figuras próximas en el ámbito del derecho público, cada una de ellas posee su propia caracterización y tipificación que las diferencia entre sí, ‘ esta distinción procede de la doctrina italiana y fue elaborada frente a la pretensión inicial de que «toda tarea administrativa es constitutiva de servicios públicos» hoy ya desechada. No obstante, puede decirse que la función pública participa en todo caso del poder del Estado, y que es de </w:t>
      </w:r>
      <w:r w:rsidRPr="00173017">
        <w:rPr>
          <w:rFonts w:ascii="Verdana" w:hAnsi="Verdana" w:cs="Arial"/>
          <w:noProof/>
          <w:lang w:val="es-CO"/>
        </w:rPr>
        <w:lastRenderedPageBreak/>
        <w:t>carácter siempre jurídico, mientras que el servicio público es de carácter material y técnico y en muchas de sus manifestaciones no puede utilizar el poder público (por ejemplo, y en la mayoría de los casos, para imponer coactivamente su utilización).” (Negrilla fuera de texto)</w:t>
      </w:r>
    </w:p>
    <w:p w14:paraId="686838CC" w14:textId="77777777" w:rsidR="00173017" w:rsidRPr="00811B1B" w:rsidRDefault="00173017" w:rsidP="00811B1B">
      <w:pPr>
        <w:pStyle w:val="Prrafodelista"/>
        <w:spacing w:after="0" w:line="276" w:lineRule="auto"/>
        <w:jc w:val="both"/>
        <w:rPr>
          <w:rFonts w:ascii="Verdana" w:hAnsi="Verdana" w:cs="Arial"/>
          <w:noProof/>
          <w:lang w:val="es-CO"/>
        </w:rPr>
      </w:pPr>
    </w:p>
    <w:p w14:paraId="7E070A05" w14:textId="77777777" w:rsidR="00B1650E" w:rsidRPr="00811B1B" w:rsidRDefault="00173017" w:rsidP="00F76580">
      <w:pPr>
        <w:pStyle w:val="Prrafodelista"/>
        <w:numPr>
          <w:ilvl w:val="0"/>
          <w:numId w:val="19"/>
        </w:numPr>
        <w:spacing w:after="0" w:line="276" w:lineRule="auto"/>
        <w:jc w:val="both"/>
        <w:rPr>
          <w:rFonts w:ascii="Verdana" w:hAnsi="Verdana" w:cs="Arial"/>
          <w:noProof/>
          <w:lang w:val="es-ES_tradnl"/>
        </w:rPr>
      </w:pPr>
      <w:r w:rsidRPr="00173017">
        <w:rPr>
          <w:rFonts w:ascii="Verdana" w:hAnsi="Verdana" w:cs="Arial"/>
          <w:noProof/>
          <w:lang w:val="es-CO"/>
        </w:rPr>
        <w:t>Conforme lo señala el Consejo de Estado, función pública es toda actividad ejercida por los órganos del Estado para la realización de sus fines y, excepcionalmente, por expresa delegación legal o por concesión, por parte de los particulares.</w:t>
      </w:r>
    </w:p>
    <w:p w14:paraId="0F8A7621" w14:textId="45EBB18B" w:rsidR="00173017" w:rsidRPr="00811B1B" w:rsidRDefault="00173017" w:rsidP="00811B1B">
      <w:pPr>
        <w:pStyle w:val="Prrafodelista"/>
        <w:spacing w:after="0" w:line="276" w:lineRule="auto"/>
        <w:jc w:val="both"/>
        <w:rPr>
          <w:rFonts w:ascii="Verdana" w:hAnsi="Verdana" w:cs="Arial"/>
          <w:noProof/>
          <w:lang w:val="es-ES_tradnl"/>
        </w:rPr>
      </w:pPr>
      <w:r w:rsidRPr="00173017">
        <w:rPr>
          <w:rFonts w:ascii="Verdana" w:hAnsi="Verdana" w:cs="Arial"/>
          <w:noProof/>
          <w:lang w:val="es-CO"/>
        </w:rPr>
        <w:t xml:space="preserve"> </w:t>
      </w:r>
    </w:p>
    <w:p w14:paraId="18FFA19A" w14:textId="77777777" w:rsidR="00173017" w:rsidRPr="00811B1B" w:rsidRDefault="00173017" w:rsidP="00F76580">
      <w:pPr>
        <w:pStyle w:val="Prrafodelista"/>
        <w:numPr>
          <w:ilvl w:val="0"/>
          <w:numId w:val="19"/>
        </w:numPr>
        <w:spacing w:after="0" w:line="276" w:lineRule="auto"/>
        <w:jc w:val="both"/>
        <w:rPr>
          <w:rFonts w:ascii="Verdana" w:hAnsi="Verdana" w:cs="Arial"/>
          <w:noProof/>
          <w:lang w:val="es-ES_tradnl"/>
        </w:rPr>
      </w:pPr>
      <w:r w:rsidRPr="00173017">
        <w:rPr>
          <w:rFonts w:ascii="Verdana" w:hAnsi="Verdana" w:cs="Arial"/>
          <w:noProof/>
          <w:lang w:val="es-CO"/>
        </w:rPr>
        <w:t xml:space="preserve">De otra parte, la Sala de Casación Penal de la Corte Suprema de Justicia, señaló: </w:t>
      </w:r>
    </w:p>
    <w:p w14:paraId="2480790A" w14:textId="77777777" w:rsidR="00173017" w:rsidRDefault="00173017" w:rsidP="00173017">
      <w:pPr>
        <w:pStyle w:val="Prrafodelista"/>
        <w:spacing w:after="0" w:line="276" w:lineRule="auto"/>
        <w:jc w:val="both"/>
        <w:rPr>
          <w:rFonts w:ascii="Verdana" w:hAnsi="Verdana" w:cs="Arial"/>
          <w:noProof/>
          <w:lang w:val="es-CO"/>
        </w:rPr>
      </w:pPr>
    </w:p>
    <w:p w14:paraId="7898DCA4" w14:textId="2A9BB1C7" w:rsidR="00173017" w:rsidRDefault="00173017" w:rsidP="00173017">
      <w:pPr>
        <w:pStyle w:val="Prrafodelista"/>
        <w:spacing w:after="0" w:line="276" w:lineRule="auto"/>
        <w:jc w:val="both"/>
        <w:rPr>
          <w:rFonts w:ascii="Verdana" w:hAnsi="Verdana" w:cs="Arial"/>
          <w:noProof/>
          <w:lang w:val="es-CO"/>
        </w:rPr>
      </w:pPr>
      <w:r w:rsidRPr="00173017">
        <w:rPr>
          <w:rFonts w:ascii="Verdana" w:hAnsi="Verdana" w:cs="Arial"/>
          <w:noProof/>
          <w:lang w:val="es-CO"/>
        </w:rPr>
        <w:t>“ El particular que contrata con la administración pública se compromete a ejecutar una labor o una prestación conforme al objeto del contrato y en virtud de ese convenio, de conformidad con los artículos 123 - 3 y 210- 2 de la C. P., puede ejercer funciones públicas temporalmente o en forma permanente, siendo la naturaleza de esa función la que permite determinar si puede por extensión asimilarse a un servidor público para efectos penales, ejemplo de tales eventualidades son las concesiones, la administración delegada o el manejo de bienes o recursos públicos ”</w:t>
      </w:r>
      <w:r>
        <w:rPr>
          <w:rStyle w:val="Refdenotaalpie"/>
          <w:rFonts w:ascii="Verdana" w:hAnsi="Verdana" w:cs="Arial"/>
          <w:noProof/>
          <w:lang w:val="es-ES_tradnl"/>
        </w:rPr>
        <w:footnoteReference w:id="4"/>
      </w:r>
    </w:p>
    <w:p w14:paraId="77E7E727" w14:textId="77777777" w:rsidR="00173017" w:rsidRDefault="00173017" w:rsidP="00173017">
      <w:pPr>
        <w:spacing w:after="0" w:line="276" w:lineRule="auto"/>
        <w:jc w:val="both"/>
        <w:rPr>
          <w:rFonts w:ascii="Verdana" w:hAnsi="Verdana" w:cs="Arial"/>
          <w:noProof/>
          <w:lang w:val="es-ES_tradnl"/>
        </w:rPr>
      </w:pPr>
    </w:p>
    <w:p w14:paraId="4E104366" w14:textId="77777777" w:rsidR="00173017" w:rsidRDefault="00173017" w:rsidP="00173017">
      <w:pPr>
        <w:spacing w:after="0" w:line="276" w:lineRule="auto"/>
        <w:jc w:val="both"/>
        <w:rPr>
          <w:rFonts w:ascii="Verdana" w:hAnsi="Verdana" w:cs="Arial"/>
          <w:noProof/>
          <w:lang w:val="es-ES_tradnl"/>
        </w:rPr>
      </w:pPr>
    </w:p>
    <w:p w14:paraId="548BDD09" w14:textId="77777777" w:rsidR="00173017" w:rsidRDefault="00173017" w:rsidP="00173017">
      <w:pPr>
        <w:pStyle w:val="Prrafodelista"/>
        <w:numPr>
          <w:ilvl w:val="0"/>
          <w:numId w:val="19"/>
        </w:numPr>
        <w:spacing w:after="0" w:line="276" w:lineRule="auto"/>
        <w:jc w:val="both"/>
        <w:rPr>
          <w:rFonts w:ascii="Verdana" w:hAnsi="Verdana" w:cs="Arial"/>
          <w:noProof/>
        </w:rPr>
      </w:pPr>
      <w:r w:rsidRPr="00811B1B">
        <w:rPr>
          <w:rFonts w:ascii="Verdana" w:hAnsi="Verdana" w:cs="Arial"/>
          <w:noProof/>
        </w:rPr>
        <w:t>Ahora bien, la anterior postura tiene como fundamento principal, la sentencia de constitucionalidad C 563 de 1998 , la cual consideró conforme al texto superior el artículo 56 de la Ley 80 de 1993, sobre la base de expresar:</w:t>
      </w:r>
    </w:p>
    <w:p w14:paraId="30A2243C" w14:textId="77777777" w:rsidR="00173017" w:rsidRDefault="00173017" w:rsidP="00173017">
      <w:pPr>
        <w:pStyle w:val="Prrafodelista"/>
        <w:spacing w:after="0" w:line="276" w:lineRule="auto"/>
        <w:jc w:val="both"/>
        <w:rPr>
          <w:rFonts w:ascii="Verdana" w:hAnsi="Verdana" w:cs="Arial"/>
          <w:noProof/>
        </w:rPr>
      </w:pPr>
    </w:p>
    <w:p w14:paraId="32DF4626" w14:textId="511BC003" w:rsidR="00173017" w:rsidRDefault="00173017" w:rsidP="00173017">
      <w:pPr>
        <w:pStyle w:val="Prrafodelista"/>
        <w:spacing w:after="0" w:line="276" w:lineRule="auto"/>
        <w:jc w:val="both"/>
        <w:rPr>
          <w:rFonts w:ascii="Verdana" w:hAnsi="Verdana" w:cs="Arial"/>
          <w:noProof/>
        </w:rPr>
      </w:pPr>
      <w:r w:rsidRPr="00811B1B">
        <w:rPr>
          <w:rFonts w:ascii="Verdana" w:hAnsi="Verdana" w:cs="Arial"/>
          <w:noProof/>
        </w:rPr>
        <w:t xml:space="preserve"> “ Simplemente el legislador, como autoridad competente para definir la política criminal, ha considerado que la responsabilidad penal de las personas con las cuales el Estado ha celebrado contratos para desarrollar una obra o cometido determinados, debe ser igual a la de los miembros de las corporaciones públicas, los empleados y trabajadores del Estado, o la de funcionarios al servicio de entidades descentralizadas territorialmente y por servicios. Tal tratamiento que, se insiste, no implica convertir al particular en un servidor público, tiene una justificación </w:t>
      </w:r>
      <w:r w:rsidRPr="00811B1B">
        <w:rPr>
          <w:rFonts w:ascii="Verdana" w:hAnsi="Verdana" w:cs="Arial"/>
          <w:noProof/>
        </w:rPr>
        <w:lastRenderedPageBreak/>
        <w:t>objetiva y razonable, pues pretende garantizar que los fines que se persiguen con la contratación administrativa y los principios constitucionales que rigen todos los actos de la administración, se cumplan a cabalidad, sin que sean menguados o interferidos por alguien que, en principio, no está vinculado por ellos. En otras palabras, la responsabilidad que en este caso se predica de ciertos particulares, no se deriva de la calidad del actor, sino de la especial implicación envuelta en su rol, relacionado directamente con una finalidad de interés público”.</w:t>
      </w:r>
    </w:p>
    <w:p w14:paraId="0A977D9D" w14:textId="77777777" w:rsidR="00612B7D" w:rsidRDefault="00612B7D" w:rsidP="00612B7D">
      <w:pPr>
        <w:spacing w:after="0" w:line="276" w:lineRule="auto"/>
        <w:jc w:val="both"/>
        <w:rPr>
          <w:rFonts w:ascii="Verdana" w:hAnsi="Verdana" w:cs="Arial"/>
          <w:noProof/>
        </w:rPr>
      </w:pPr>
    </w:p>
    <w:p w14:paraId="557ADD02" w14:textId="77777777" w:rsidR="00612B7D" w:rsidRDefault="00612B7D" w:rsidP="00612B7D">
      <w:pPr>
        <w:spacing w:after="0" w:line="276" w:lineRule="auto"/>
        <w:jc w:val="both"/>
        <w:rPr>
          <w:rFonts w:ascii="Verdana" w:hAnsi="Verdana" w:cs="Arial"/>
          <w:noProof/>
        </w:rPr>
      </w:pPr>
    </w:p>
    <w:p w14:paraId="6763384E" w14:textId="77777777" w:rsidR="00612B7D" w:rsidRDefault="00612B7D" w:rsidP="00612B7D">
      <w:pPr>
        <w:pStyle w:val="Prrafodelista"/>
        <w:numPr>
          <w:ilvl w:val="0"/>
          <w:numId w:val="19"/>
        </w:numPr>
        <w:spacing w:after="0" w:line="276" w:lineRule="auto"/>
        <w:jc w:val="both"/>
        <w:rPr>
          <w:rFonts w:ascii="Verdana" w:hAnsi="Verdana" w:cs="Arial"/>
          <w:noProof/>
        </w:rPr>
      </w:pPr>
      <w:r w:rsidRPr="00811B1B">
        <w:rPr>
          <w:rFonts w:ascii="Verdana" w:hAnsi="Verdana" w:cs="Arial"/>
          <w:noProof/>
        </w:rPr>
        <w:t xml:space="preserve">La Corte Constitucional arribó a esa conclusión a partir de los siguientes adicionales razonamientos: </w:t>
      </w:r>
    </w:p>
    <w:p w14:paraId="586F5C7B" w14:textId="77777777" w:rsidR="00612B7D" w:rsidRDefault="00612B7D" w:rsidP="00612B7D">
      <w:pPr>
        <w:pStyle w:val="Prrafodelista"/>
        <w:spacing w:after="0" w:line="276" w:lineRule="auto"/>
        <w:jc w:val="both"/>
        <w:rPr>
          <w:rFonts w:ascii="Verdana" w:hAnsi="Verdana" w:cs="Arial"/>
          <w:noProof/>
        </w:rPr>
      </w:pPr>
    </w:p>
    <w:p w14:paraId="0A9C19EE" w14:textId="77777777" w:rsidR="00612B7D" w:rsidRDefault="00612B7D" w:rsidP="00612B7D">
      <w:pPr>
        <w:pStyle w:val="Prrafodelista"/>
        <w:spacing w:after="0" w:line="276" w:lineRule="auto"/>
        <w:jc w:val="both"/>
        <w:rPr>
          <w:rFonts w:ascii="Verdana" w:hAnsi="Verdana" w:cs="Arial"/>
          <w:noProof/>
          <w:lang w:val="es-CO"/>
        </w:rPr>
      </w:pPr>
      <w:r>
        <w:rPr>
          <w:rFonts w:ascii="Verdana" w:hAnsi="Verdana" w:cs="Arial"/>
          <w:noProof/>
        </w:rPr>
        <w:t>“</w:t>
      </w:r>
      <w:r w:rsidRPr="00811B1B">
        <w:rPr>
          <w:rFonts w:ascii="Verdana" w:hAnsi="Verdana" w:cs="Arial"/>
          <w:noProof/>
        </w:rPr>
        <w:t>Los contratistas, como sujetos particulares, no pierden su calidad de tales porque su vinculación jurídica a la entidad estatal no les confiere una investidura pública, pues si bien por el contrato reciben el encargo de realizar una actividad o prestación de interés o utilidad pública, con</w:t>
      </w:r>
      <w:r>
        <w:rPr>
          <w:rFonts w:ascii="Verdana" w:hAnsi="Verdana" w:cs="Arial"/>
          <w:noProof/>
        </w:rPr>
        <w:t xml:space="preserve"> </w:t>
      </w:r>
      <w:r w:rsidRPr="00612B7D">
        <w:rPr>
          <w:rFonts w:ascii="Verdana" w:hAnsi="Verdana" w:cs="Arial"/>
          <w:noProof/>
          <w:lang w:val="es-CO"/>
        </w:rPr>
        <w:t xml:space="preserve">autonomía y cierta libertad operativa frente al organismo contratante, ello no conlleva de suyo el ejercicio de una función pública. </w:t>
      </w:r>
    </w:p>
    <w:p w14:paraId="58A67F2F" w14:textId="77777777" w:rsidR="00612B7D" w:rsidRDefault="00612B7D" w:rsidP="00612B7D">
      <w:pPr>
        <w:pStyle w:val="Prrafodelista"/>
        <w:spacing w:after="0" w:line="276" w:lineRule="auto"/>
        <w:jc w:val="both"/>
        <w:rPr>
          <w:rFonts w:ascii="Verdana" w:hAnsi="Verdana" w:cs="Arial"/>
          <w:noProof/>
          <w:lang w:val="es-CO"/>
        </w:rPr>
      </w:pPr>
    </w:p>
    <w:p w14:paraId="0421D150" w14:textId="77777777" w:rsidR="00612B7D" w:rsidRDefault="00612B7D" w:rsidP="00612B7D">
      <w:pPr>
        <w:pStyle w:val="Prrafodelista"/>
        <w:spacing w:after="0" w:line="276" w:lineRule="auto"/>
        <w:jc w:val="both"/>
        <w:rPr>
          <w:rFonts w:ascii="Verdana" w:hAnsi="Verdana" w:cs="Arial"/>
          <w:noProof/>
          <w:lang w:val="es-CO"/>
        </w:rPr>
      </w:pPr>
      <w:r w:rsidRPr="00612B7D">
        <w:rPr>
          <w:rFonts w:ascii="Verdana" w:hAnsi="Verdana" w:cs="Arial"/>
          <w:noProof/>
          <w:lang w:val="es-CO"/>
        </w:rPr>
        <w:t xml:space="preserve">Lo anterior es evidente, si se observa que el propósito de la entidad estatal no es el de transferir funciones públicas a los contratistas, las cuales conserva, sino la de conseguir la ejecución práctica del objeto contractual, en aras de realizar materialmente los cometidos públicos a ella asignados. Por lo tanto, por ejemplo, en el contrato de obra pública el contratista no es receptor de una función pública, su labor que es estrictamente material y no jurídica, se reduce a construir o reparar la obra pública que requiere el ente estatal para alcanzar los fines que le son propios. Lo mismo puede predicarse, por regla general, cuando se trata de la realización de otros objetos contractuales (suministro de bienes y servicios, compraventa de bienes muebles, etc.). </w:t>
      </w:r>
    </w:p>
    <w:p w14:paraId="01F20BA4" w14:textId="77777777" w:rsidR="00612B7D" w:rsidRDefault="00612B7D" w:rsidP="00612B7D">
      <w:pPr>
        <w:pStyle w:val="Prrafodelista"/>
        <w:spacing w:after="0" w:line="276" w:lineRule="auto"/>
        <w:jc w:val="both"/>
        <w:rPr>
          <w:rFonts w:ascii="Verdana" w:hAnsi="Verdana" w:cs="Arial"/>
          <w:noProof/>
          <w:lang w:val="es-CO"/>
        </w:rPr>
      </w:pPr>
    </w:p>
    <w:p w14:paraId="30FA64E4" w14:textId="77777777" w:rsidR="00612B7D" w:rsidRDefault="00612B7D" w:rsidP="00612B7D">
      <w:pPr>
        <w:pStyle w:val="Prrafodelista"/>
        <w:spacing w:after="0" w:line="276" w:lineRule="auto"/>
        <w:jc w:val="both"/>
        <w:rPr>
          <w:rFonts w:ascii="Verdana" w:hAnsi="Verdana" w:cs="Arial"/>
          <w:noProof/>
          <w:lang w:val="es-CO"/>
        </w:rPr>
      </w:pPr>
      <w:r w:rsidRPr="00612B7D">
        <w:rPr>
          <w:rFonts w:ascii="Verdana" w:hAnsi="Verdana" w:cs="Arial"/>
          <w:noProof/>
          <w:lang w:val="es-CO"/>
        </w:rPr>
        <w:t xml:space="preserve">En las circunstancias descritas, el contratista se constituye en un colaborador o instrumento de la entidad estatal para la realización de actividades o prestaciones que interesan a los fines públicos, pero no en un delegatario o depositario de sus funciones. </w:t>
      </w:r>
    </w:p>
    <w:p w14:paraId="5538BAB7" w14:textId="77777777" w:rsidR="00612B7D" w:rsidRDefault="00612B7D" w:rsidP="00612B7D">
      <w:pPr>
        <w:pStyle w:val="Prrafodelista"/>
        <w:spacing w:after="0" w:line="276" w:lineRule="auto"/>
        <w:jc w:val="both"/>
        <w:rPr>
          <w:rFonts w:ascii="Verdana" w:hAnsi="Verdana" w:cs="Arial"/>
          <w:noProof/>
          <w:lang w:val="es-CO"/>
        </w:rPr>
      </w:pPr>
    </w:p>
    <w:p w14:paraId="3B649A43" w14:textId="77777777" w:rsidR="00612B7D" w:rsidRDefault="00612B7D" w:rsidP="00612B7D">
      <w:pPr>
        <w:pStyle w:val="Prrafodelista"/>
        <w:spacing w:after="0" w:line="276" w:lineRule="auto"/>
        <w:jc w:val="both"/>
        <w:rPr>
          <w:rFonts w:ascii="Verdana" w:hAnsi="Verdana" w:cs="Arial"/>
          <w:noProof/>
          <w:lang w:val="es-CO"/>
        </w:rPr>
      </w:pPr>
      <w:r w:rsidRPr="00612B7D">
        <w:rPr>
          <w:rFonts w:ascii="Verdana" w:hAnsi="Verdana" w:cs="Arial"/>
          <w:noProof/>
          <w:lang w:val="es-CO"/>
        </w:rPr>
        <w:t xml:space="preserve">Sin embargo, conviene advertir que el contrato excepcionalmente puede constituir una forma, autorizada por la ley, de atribuir funciones públicas </w:t>
      </w:r>
      <w:r w:rsidRPr="00612B7D">
        <w:rPr>
          <w:rFonts w:ascii="Verdana" w:hAnsi="Verdana" w:cs="Arial"/>
          <w:noProof/>
          <w:lang w:val="es-CO"/>
        </w:rPr>
        <w:lastRenderedPageBreak/>
        <w:t xml:space="preserve">a un particular; ello acontece cuando la labor del contratista no se traduce y se agota con la simple ejecución material de una labor o prestación específicas, sino en el desarrollo de cometidos estatales que comportan la asunción de prerrogativas propias del poder público, como ocurre en los casos en que adquiere el carácter de concesionario, o administrador delegado o se le encomienda la prestación de un servicio público a cargo del Estado, o el recaudo de caudales o el manejo de bienes públicos, etc. </w:t>
      </w:r>
    </w:p>
    <w:p w14:paraId="69BE40D7" w14:textId="77777777" w:rsidR="00612B7D" w:rsidRDefault="00612B7D" w:rsidP="00612B7D">
      <w:pPr>
        <w:pStyle w:val="Prrafodelista"/>
        <w:spacing w:after="0" w:line="276" w:lineRule="auto"/>
        <w:jc w:val="both"/>
        <w:rPr>
          <w:rFonts w:ascii="Verdana" w:hAnsi="Verdana" w:cs="Arial"/>
          <w:noProof/>
          <w:lang w:val="es-CO"/>
        </w:rPr>
      </w:pPr>
    </w:p>
    <w:p w14:paraId="1D6A2790" w14:textId="2815DCA4" w:rsidR="00612B7D" w:rsidRDefault="00612B7D" w:rsidP="00612B7D">
      <w:pPr>
        <w:pStyle w:val="Prrafodelista"/>
        <w:spacing w:after="0" w:line="276" w:lineRule="auto"/>
        <w:jc w:val="both"/>
        <w:rPr>
          <w:rFonts w:ascii="Verdana" w:hAnsi="Verdana" w:cs="Arial"/>
          <w:noProof/>
          <w:lang w:val="es-CO"/>
        </w:rPr>
      </w:pPr>
      <w:r w:rsidRPr="00612B7D">
        <w:rPr>
          <w:rFonts w:ascii="Verdana" w:hAnsi="Verdana" w:cs="Arial"/>
          <w:noProof/>
          <w:lang w:val="es-CO"/>
        </w:rPr>
        <w:t>En consecuencia, cuando el particular es titular de funciones públicas, correlativamente asume las consiguientes responsabilidades públicas, con todas las consecuencias que ella conlleva, en los aspectos civiles y penales, e incluso disciplinarios, según lo disponga el legislador”.</w:t>
      </w:r>
    </w:p>
    <w:p w14:paraId="450FCD75" w14:textId="77777777" w:rsidR="008514A8" w:rsidRDefault="008514A8" w:rsidP="008514A8">
      <w:pPr>
        <w:spacing w:after="0" w:line="276" w:lineRule="auto"/>
        <w:jc w:val="both"/>
        <w:rPr>
          <w:rFonts w:ascii="Verdana" w:hAnsi="Verdana" w:cs="Arial"/>
          <w:noProof/>
        </w:rPr>
      </w:pPr>
    </w:p>
    <w:p w14:paraId="62ADE7C4" w14:textId="77777777" w:rsidR="008514A8" w:rsidRDefault="008514A8" w:rsidP="008514A8">
      <w:pPr>
        <w:spacing w:after="0" w:line="276" w:lineRule="auto"/>
        <w:jc w:val="both"/>
        <w:rPr>
          <w:rFonts w:ascii="Verdana" w:hAnsi="Verdana" w:cs="Arial"/>
          <w:noProof/>
        </w:rPr>
      </w:pPr>
    </w:p>
    <w:p w14:paraId="3832E860" w14:textId="53337F34" w:rsidR="008514A8" w:rsidRPr="00811B1B" w:rsidRDefault="008514A8" w:rsidP="008514A8">
      <w:pPr>
        <w:pStyle w:val="Prrafodelista"/>
        <w:numPr>
          <w:ilvl w:val="0"/>
          <w:numId w:val="19"/>
        </w:numPr>
        <w:spacing w:after="0" w:line="276" w:lineRule="auto"/>
        <w:jc w:val="both"/>
        <w:rPr>
          <w:rFonts w:ascii="Verdana" w:hAnsi="Verdana" w:cs="Arial"/>
          <w:noProof/>
        </w:rPr>
      </w:pPr>
      <w:r w:rsidRPr="008514A8">
        <w:rPr>
          <w:rFonts w:ascii="Verdana" w:hAnsi="Verdana" w:cs="Arial"/>
          <w:noProof/>
          <w:lang w:val="es-CO"/>
        </w:rPr>
        <w:t>Como se observa, a partir de la doctrina constitucional establecida en la sentencia C 563 de 1998, que aun cuando el artículo 56 de la Ley 80 de 1993 asigna la calidad de servidor público para efectos penales al contratista, interventor, consultor y asesor en todo lo concerniente a la celebración de contratos, tal condición solamente se adquiere cuando con motivo del vínculo contractual el particular asume funciones públicas, es decir, cuando el contrato implica la transferencia de una función de esa naturaleza, no cuando su objeto es distinto, como sucede si la actividad se circunscribe a una labor simplemente material.</w:t>
      </w:r>
    </w:p>
    <w:p w14:paraId="6DF9A19A" w14:textId="77777777" w:rsidR="008514A8" w:rsidRPr="00811B1B" w:rsidRDefault="008514A8" w:rsidP="00811B1B">
      <w:pPr>
        <w:pStyle w:val="Prrafodelista"/>
        <w:spacing w:after="0" w:line="276" w:lineRule="auto"/>
        <w:jc w:val="both"/>
        <w:rPr>
          <w:rFonts w:ascii="Verdana" w:hAnsi="Verdana" w:cs="Arial"/>
          <w:noProof/>
        </w:rPr>
      </w:pPr>
    </w:p>
    <w:p w14:paraId="116825C4" w14:textId="77777777" w:rsidR="008514A8" w:rsidRPr="00811B1B" w:rsidRDefault="008514A8" w:rsidP="008514A8">
      <w:pPr>
        <w:pStyle w:val="Prrafodelista"/>
        <w:numPr>
          <w:ilvl w:val="0"/>
          <w:numId w:val="19"/>
        </w:numPr>
        <w:spacing w:after="0" w:line="276" w:lineRule="auto"/>
        <w:jc w:val="both"/>
        <w:rPr>
          <w:rFonts w:ascii="Verdana" w:hAnsi="Verdana" w:cs="Arial"/>
          <w:noProof/>
          <w:lang w:val="es-ES_tradnl"/>
        </w:rPr>
      </w:pPr>
      <w:r w:rsidRPr="008514A8">
        <w:rPr>
          <w:rFonts w:ascii="Verdana" w:hAnsi="Verdana" w:cs="Arial"/>
          <w:noProof/>
          <w:lang w:val="es-CO"/>
        </w:rPr>
        <w:t>El anterior criterio jurisprudencial fue ratificado por la Corte Suprema de Justicia en las sentencias de casación como la proferida el 13 de marzo de 2006, en la cual la Sala expresó lo siguiente:</w:t>
      </w:r>
    </w:p>
    <w:p w14:paraId="637D9476" w14:textId="77777777" w:rsidR="008514A8" w:rsidRPr="00811B1B" w:rsidRDefault="008514A8" w:rsidP="00811B1B">
      <w:pPr>
        <w:pStyle w:val="Prrafodelista"/>
        <w:rPr>
          <w:rFonts w:ascii="Verdana" w:hAnsi="Verdana" w:cs="Arial"/>
          <w:noProof/>
          <w:lang w:val="es-CO"/>
        </w:rPr>
      </w:pPr>
    </w:p>
    <w:p w14:paraId="4CD897E0" w14:textId="77777777" w:rsidR="008514A8" w:rsidRPr="00811B1B" w:rsidRDefault="008514A8" w:rsidP="00811B1B">
      <w:pPr>
        <w:pStyle w:val="Prrafodelista"/>
        <w:spacing w:after="0" w:line="276" w:lineRule="auto"/>
        <w:jc w:val="both"/>
        <w:rPr>
          <w:rFonts w:ascii="Verdana" w:hAnsi="Verdana" w:cs="Arial"/>
          <w:noProof/>
          <w:lang w:val="es-ES_tradnl"/>
        </w:rPr>
      </w:pPr>
      <w:r w:rsidRPr="008514A8">
        <w:rPr>
          <w:rFonts w:ascii="Verdana" w:hAnsi="Verdana" w:cs="Arial"/>
          <w:noProof/>
          <w:lang w:val="es-CO"/>
        </w:rPr>
        <w:t xml:space="preserve"> “ Para abordar el análisis de este puntual tema, se hace indispensable estudiar primero lo relacionado con la calidad que ostentaba el procesado </w:t>
      </w:r>
      <w:r w:rsidRPr="008514A8">
        <w:rPr>
          <w:rFonts w:ascii="Verdana" w:hAnsi="Verdana" w:cs="Arial"/>
          <w:b/>
          <w:bCs/>
          <w:noProof/>
          <w:lang w:val="es-CO"/>
        </w:rPr>
        <w:t xml:space="preserve">Fernando Hely Mejía Álvarez </w:t>
      </w:r>
      <w:r w:rsidRPr="008514A8">
        <w:rPr>
          <w:rFonts w:ascii="Verdana" w:hAnsi="Verdana" w:cs="Arial"/>
          <w:noProof/>
          <w:lang w:val="es-CO"/>
        </w:rPr>
        <w:t xml:space="preserve">cuando suscribió con el municipio de Garagoa el mencionado contrato de obra para la ampliación del acueducto rural “ Bancos de Páramos ” , es decir, si por razón de ese acto jurídico público adquirió una función pública y, por ende, la condición de servidor público, o siguió siendo un particular, aspecto jurídico que determina, para efectos de los términos de la prescripción, si se aplica el incremento de la tercera parte que establece el inciso quinto del artículo 83 de la Ley 599 de 2000 (antes artículo 82 del Decreto 100 de 1980). </w:t>
      </w:r>
    </w:p>
    <w:p w14:paraId="2C475D38" w14:textId="77777777" w:rsidR="008514A8" w:rsidRPr="00811B1B" w:rsidRDefault="008514A8" w:rsidP="00811B1B">
      <w:pPr>
        <w:pStyle w:val="Prrafodelista"/>
        <w:rPr>
          <w:rFonts w:ascii="Verdana" w:hAnsi="Verdana" w:cs="Arial"/>
          <w:noProof/>
          <w:lang w:val="es-CO"/>
        </w:rPr>
      </w:pPr>
    </w:p>
    <w:p w14:paraId="297456E5" w14:textId="77777777" w:rsidR="008514A8" w:rsidRDefault="008514A8" w:rsidP="008514A8">
      <w:pPr>
        <w:pStyle w:val="Prrafodelista"/>
        <w:spacing w:after="0" w:line="276" w:lineRule="auto"/>
        <w:jc w:val="both"/>
        <w:rPr>
          <w:rFonts w:ascii="Verdana" w:hAnsi="Verdana" w:cs="Arial"/>
          <w:noProof/>
          <w:lang w:val="es-CO"/>
        </w:rPr>
      </w:pPr>
      <w:r w:rsidRPr="008514A8">
        <w:rPr>
          <w:rFonts w:ascii="Verdana" w:hAnsi="Verdana" w:cs="Arial"/>
          <w:noProof/>
          <w:lang w:val="es-CO"/>
        </w:rPr>
        <w:lastRenderedPageBreak/>
        <w:t>En efecto, tradicionalmente ha venido sosteniendo la jurisprudencia de la Sala de Casación Penal que a partir de la entrada en vigencia de la ley 80 de 1993, para efectos penales, el contratista, el interventor, el consultor y el asesor en un proceso de contratación estatal, cumplen funciones públicas en lo concerniente a la celebración, ejecución y liquidación de los contratos que celebren con entidades estatales, y les atribuyó la responsabilidad que en esa materia le señala la ley a los servidores públicos.</w:t>
      </w:r>
    </w:p>
    <w:p w14:paraId="75BB2814" w14:textId="77777777" w:rsidR="008514A8" w:rsidRDefault="008514A8" w:rsidP="008514A8">
      <w:pPr>
        <w:pStyle w:val="Prrafodelista"/>
        <w:spacing w:after="0" w:line="276" w:lineRule="auto"/>
        <w:jc w:val="both"/>
        <w:rPr>
          <w:rFonts w:ascii="Verdana" w:hAnsi="Verdana" w:cs="Arial"/>
          <w:noProof/>
          <w:lang w:val="es-CO"/>
        </w:rPr>
      </w:pPr>
    </w:p>
    <w:p w14:paraId="5F5D4CE3" w14:textId="77777777" w:rsidR="008514A8" w:rsidRDefault="008514A8" w:rsidP="008514A8">
      <w:pPr>
        <w:pStyle w:val="Prrafodelista"/>
        <w:spacing w:after="0" w:line="276" w:lineRule="auto"/>
        <w:jc w:val="both"/>
        <w:rPr>
          <w:rFonts w:ascii="Verdana" w:hAnsi="Verdana" w:cs="Arial"/>
          <w:noProof/>
          <w:lang w:val="es-CO"/>
        </w:rPr>
      </w:pPr>
      <w:r w:rsidRPr="008514A8">
        <w:rPr>
          <w:rFonts w:ascii="Verdana" w:hAnsi="Verdana" w:cs="Arial"/>
          <w:noProof/>
          <w:lang w:val="es-CO"/>
        </w:rPr>
        <w:t xml:space="preserve"> No obstante, también la jurisprudencia ha comenzado a decantar el punto, es decir, si los contratistas, como sujetos particulares, pierden su calidad de tal por razón de su vinculación jurídica contractual con la entidad estatal. </w:t>
      </w:r>
    </w:p>
    <w:p w14:paraId="6261194F" w14:textId="77777777" w:rsidR="008514A8" w:rsidRDefault="008514A8" w:rsidP="008514A8">
      <w:pPr>
        <w:pStyle w:val="Prrafodelista"/>
        <w:spacing w:after="0" w:line="276" w:lineRule="auto"/>
        <w:jc w:val="both"/>
        <w:rPr>
          <w:rFonts w:ascii="Verdana" w:hAnsi="Verdana" w:cs="Arial"/>
          <w:noProof/>
          <w:lang w:val="es-CO"/>
        </w:rPr>
      </w:pPr>
    </w:p>
    <w:p w14:paraId="7FE598FD" w14:textId="77777777" w:rsidR="008514A8" w:rsidRDefault="008514A8" w:rsidP="008514A8">
      <w:pPr>
        <w:pStyle w:val="Prrafodelista"/>
        <w:spacing w:after="0" w:line="276" w:lineRule="auto"/>
        <w:jc w:val="both"/>
        <w:rPr>
          <w:rFonts w:ascii="Verdana" w:hAnsi="Verdana" w:cs="Arial"/>
          <w:noProof/>
          <w:lang w:val="es-CO"/>
        </w:rPr>
      </w:pPr>
      <w:r w:rsidRPr="008514A8">
        <w:rPr>
          <w:rFonts w:ascii="Verdana" w:hAnsi="Verdana" w:cs="Arial"/>
          <w:noProof/>
          <w:lang w:val="es-CO"/>
        </w:rPr>
        <w:t>F</w:t>
      </w:r>
      <w:r w:rsidRPr="00811B1B">
        <w:rPr>
          <w:rFonts w:ascii="Verdana" w:hAnsi="Verdana" w:cs="Arial"/>
          <w:noProof/>
          <w:lang w:val="es-CO"/>
        </w:rPr>
        <w:t xml:space="preserve">rente a ello es indispensable destacar que para llegar a dicha conclusión, se hace necesario establecer, en cada evento, si las funciones que debe prestar el particular por razón del acuerdo o de la contratación, consiste en desarrollar funciones públicas o simplemente se limita a realizar un acto material en el cual no se involucra la función pública propia del Estado, pues esa situación define su calidad de servidor público a partir del momento que suscriba el convenio. </w:t>
      </w:r>
    </w:p>
    <w:p w14:paraId="0EDEDFE7" w14:textId="77777777" w:rsidR="008514A8" w:rsidRDefault="008514A8" w:rsidP="008514A8">
      <w:pPr>
        <w:pStyle w:val="Prrafodelista"/>
        <w:spacing w:after="0" w:line="276" w:lineRule="auto"/>
        <w:jc w:val="both"/>
        <w:rPr>
          <w:rFonts w:ascii="Verdana" w:hAnsi="Verdana" w:cs="Arial"/>
          <w:noProof/>
          <w:lang w:val="es-CO"/>
        </w:rPr>
      </w:pPr>
    </w:p>
    <w:p w14:paraId="7AA4F953" w14:textId="77777777" w:rsidR="008514A8" w:rsidRDefault="008514A8" w:rsidP="008514A8">
      <w:pPr>
        <w:pStyle w:val="Prrafodelista"/>
        <w:spacing w:after="0" w:line="276" w:lineRule="auto"/>
        <w:jc w:val="both"/>
        <w:rPr>
          <w:rFonts w:ascii="Verdana" w:hAnsi="Verdana" w:cs="Arial"/>
          <w:noProof/>
          <w:lang w:val="es-CO"/>
        </w:rPr>
      </w:pPr>
      <w:r w:rsidRPr="00811B1B">
        <w:rPr>
          <w:rFonts w:ascii="Verdana" w:hAnsi="Verdana" w:cs="Arial"/>
          <w:noProof/>
          <w:lang w:val="es-CO"/>
        </w:rPr>
        <w:t xml:space="preserve">Por ello, si el objeto del contrato administrativo no tiene como finalidad transferir funciones públicas al contratista, sino la de conseguir la ejecución práctica del objeto contractual, con el fin de realizar materialmente los cometidos propios del contrato, necesario es concluir que la investidura de servidor público no cobija al particular. </w:t>
      </w:r>
    </w:p>
    <w:p w14:paraId="0546D410" w14:textId="77777777" w:rsidR="008514A8" w:rsidRDefault="008514A8" w:rsidP="008514A8">
      <w:pPr>
        <w:pStyle w:val="Prrafodelista"/>
        <w:spacing w:after="0" w:line="276" w:lineRule="auto"/>
        <w:jc w:val="both"/>
        <w:rPr>
          <w:rFonts w:ascii="Verdana" w:hAnsi="Verdana" w:cs="Arial"/>
          <w:noProof/>
          <w:lang w:val="es-CO"/>
        </w:rPr>
      </w:pPr>
    </w:p>
    <w:p w14:paraId="6813C6FD" w14:textId="77777777" w:rsidR="008514A8" w:rsidRDefault="008514A8" w:rsidP="008514A8">
      <w:pPr>
        <w:pStyle w:val="Prrafodelista"/>
        <w:spacing w:after="0" w:line="276" w:lineRule="auto"/>
        <w:jc w:val="both"/>
        <w:rPr>
          <w:rFonts w:ascii="Verdana" w:hAnsi="Verdana" w:cs="Arial"/>
          <w:noProof/>
          <w:lang w:val="es-CO"/>
        </w:rPr>
      </w:pPr>
      <w:r w:rsidRPr="00811B1B">
        <w:rPr>
          <w:rFonts w:ascii="Verdana" w:hAnsi="Verdana" w:cs="Arial"/>
          <w:noProof/>
          <w:lang w:val="es-CO"/>
        </w:rPr>
        <w:t>En otras palabras, en este evento, se repite, el contratista se constituye en un colaborador de la entidad estatal con la que celebra el contrato administrativo para la realización de actividades que propenden por la utilidad pública, pero no en calidad de delegatario o depositario de sus funciones. Contrario sería cuando por virtud del contrato, el particular</w:t>
      </w:r>
      <w:r>
        <w:rPr>
          <w:rFonts w:ascii="Verdana" w:hAnsi="Verdana" w:cs="Arial"/>
          <w:noProof/>
          <w:lang w:val="es-CO"/>
        </w:rPr>
        <w:t xml:space="preserve"> </w:t>
      </w:r>
      <w:r w:rsidRPr="008514A8">
        <w:rPr>
          <w:rFonts w:ascii="Verdana" w:hAnsi="Verdana" w:cs="Arial"/>
          <w:noProof/>
          <w:lang w:val="es-CO"/>
        </w:rPr>
        <w:t xml:space="preserve">adquiere el carácter de concesionario, administrador delegado o se le encomienda la prestación de un servicio público a cargo del Estado, el recaudo de caudales o el manejo de bienes públicos, actividades éstas que necesariamente llevan al traslado de la función pública y, por lo mismo, el particular adquiere, transitoria o permanentemente, según el caso, la calidad de servidor público. </w:t>
      </w:r>
    </w:p>
    <w:p w14:paraId="59C71811" w14:textId="77777777" w:rsidR="008514A8" w:rsidRDefault="008514A8" w:rsidP="008514A8">
      <w:pPr>
        <w:pStyle w:val="Prrafodelista"/>
        <w:spacing w:after="0" w:line="276" w:lineRule="auto"/>
        <w:jc w:val="both"/>
        <w:rPr>
          <w:rFonts w:ascii="Verdana" w:hAnsi="Verdana" w:cs="Arial"/>
          <w:noProof/>
          <w:lang w:val="es-CO"/>
        </w:rPr>
      </w:pPr>
    </w:p>
    <w:p w14:paraId="1367E9D9" w14:textId="77777777" w:rsidR="008514A8" w:rsidRDefault="008514A8" w:rsidP="008514A8">
      <w:pPr>
        <w:pStyle w:val="Prrafodelista"/>
        <w:spacing w:after="0" w:line="276" w:lineRule="auto"/>
        <w:jc w:val="both"/>
        <w:rPr>
          <w:rFonts w:ascii="Verdana" w:hAnsi="Verdana" w:cs="Arial"/>
          <w:noProof/>
          <w:lang w:val="es-CO"/>
        </w:rPr>
      </w:pPr>
      <w:r w:rsidRPr="008514A8">
        <w:rPr>
          <w:rFonts w:ascii="Verdana" w:hAnsi="Verdana" w:cs="Arial"/>
          <w:noProof/>
          <w:lang w:val="es-CO"/>
        </w:rPr>
        <w:t xml:space="preserve">Ello tiene su razón de ser jurídica, en la medida en que la función pública radica en cabeza del Estado. Sin embargo, como la Constitución y la ley prevén que es posible delegar dicha función, lógico es concluir que el particular, adquirente de la función pública, se convierta en servidor público. </w:t>
      </w:r>
    </w:p>
    <w:p w14:paraId="62342E95" w14:textId="77777777" w:rsidR="008514A8" w:rsidRDefault="008514A8" w:rsidP="008514A8">
      <w:pPr>
        <w:pStyle w:val="Prrafodelista"/>
        <w:spacing w:after="0" w:line="276" w:lineRule="auto"/>
        <w:jc w:val="both"/>
        <w:rPr>
          <w:rFonts w:ascii="Verdana" w:hAnsi="Verdana" w:cs="Arial"/>
          <w:noProof/>
          <w:lang w:val="es-CO"/>
        </w:rPr>
      </w:pPr>
    </w:p>
    <w:p w14:paraId="72B42617" w14:textId="436A5B0F" w:rsidR="008514A8" w:rsidRPr="00811B1B" w:rsidRDefault="008514A8" w:rsidP="00811B1B">
      <w:pPr>
        <w:pStyle w:val="Prrafodelista"/>
        <w:spacing w:after="0" w:line="276" w:lineRule="auto"/>
        <w:jc w:val="both"/>
        <w:rPr>
          <w:rFonts w:ascii="Verdana" w:hAnsi="Verdana" w:cs="Arial"/>
          <w:noProof/>
          <w:lang w:val="es-CO"/>
        </w:rPr>
      </w:pPr>
      <w:r w:rsidRPr="008514A8">
        <w:rPr>
          <w:rFonts w:ascii="Verdana" w:hAnsi="Verdana" w:cs="Arial"/>
          <w:noProof/>
          <w:lang w:val="es-CO"/>
        </w:rPr>
        <w:t>En síntesis, cuando el particular, con motivo de la contratación pública, asume funciones públicas propias del Estado, se encuentra cobijado con la investidura de servidor público. Por el contrario, cuando dicho particular presta sus servicios para ejecutar obras de utilidad pública u objetos similares, no pierde esa calidad, en la medida en que su labor constituye una utilidad pública por razón del servicio contratado y no una función pública”.</w:t>
      </w:r>
    </w:p>
    <w:p w14:paraId="04264402" w14:textId="77777777" w:rsidR="008514A8" w:rsidRPr="00811B1B" w:rsidRDefault="008514A8" w:rsidP="00811B1B">
      <w:pPr>
        <w:pStyle w:val="Prrafodelista"/>
        <w:rPr>
          <w:rFonts w:ascii="Verdana" w:hAnsi="Verdana" w:cs="Arial"/>
          <w:noProof/>
          <w:lang w:val="es-ES_tradnl"/>
        </w:rPr>
      </w:pPr>
    </w:p>
    <w:p w14:paraId="09147EAD" w14:textId="77777777" w:rsidR="001255A1" w:rsidRPr="00811B1B" w:rsidRDefault="001255A1" w:rsidP="008514A8">
      <w:pPr>
        <w:pStyle w:val="Prrafodelista"/>
        <w:numPr>
          <w:ilvl w:val="0"/>
          <w:numId w:val="19"/>
        </w:numPr>
        <w:spacing w:after="0" w:line="276" w:lineRule="auto"/>
        <w:jc w:val="both"/>
        <w:rPr>
          <w:rFonts w:ascii="Verdana" w:hAnsi="Verdana" w:cs="Arial"/>
          <w:noProof/>
          <w:lang w:val="es-ES_tradnl"/>
        </w:rPr>
      </w:pPr>
      <w:r w:rsidRPr="001255A1">
        <w:rPr>
          <w:rFonts w:ascii="Verdana" w:hAnsi="Verdana" w:cs="Arial"/>
          <w:noProof/>
          <w:lang w:val="es-CO"/>
        </w:rPr>
        <w:t xml:space="preserve">La Corte Constitucional, en sentencia C-037 del 2003, consideró lo siguiente: </w:t>
      </w:r>
    </w:p>
    <w:p w14:paraId="7681466D" w14:textId="77777777" w:rsidR="001255A1" w:rsidRDefault="001255A1" w:rsidP="001255A1">
      <w:pPr>
        <w:pStyle w:val="Prrafodelista"/>
        <w:spacing w:after="0" w:line="276" w:lineRule="auto"/>
        <w:jc w:val="both"/>
        <w:rPr>
          <w:rFonts w:ascii="Verdana" w:hAnsi="Verdana" w:cs="Arial"/>
          <w:noProof/>
          <w:lang w:val="es-CO"/>
        </w:rPr>
      </w:pPr>
    </w:p>
    <w:p w14:paraId="0D257FB4" w14:textId="77777777" w:rsidR="001255A1" w:rsidRDefault="001255A1" w:rsidP="001255A1">
      <w:pPr>
        <w:pStyle w:val="Prrafodelista"/>
        <w:spacing w:after="0" w:line="276" w:lineRule="auto"/>
        <w:jc w:val="both"/>
        <w:rPr>
          <w:rFonts w:ascii="Verdana" w:hAnsi="Verdana" w:cs="Arial"/>
          <w:noProof/>
          <w:lang w:val="es-CO"/>
        </w:rPr>
      </w:pPr>
      <w:r w:rsidRPr="001255A1">
        <w:rPr>
          <w:rFonts w:ascii="Verdana" w:hAnsi="Verdana" w:cs="Arial"/>
          <w:noProof/>
          <w:lang w:val="es-CO"/>
        </w:rPr>
        <w:t xml:space="preserve">“ De la evolución jurisprudencial que se ha destacado se desprende entonces que el criterio esencial para determinar si un particular puede ser sujeto o no del control disciplinario, lo constituye el hecho de que este cumpla o no funciones públicas. ( … ) si bien en un sentido amplio podría considerarse como función pública todo lo que atañe al Estado, cabe precisar que la Constitución distingue claramente los conceptos de función pública y de servicio público y les asigna contenidos y ámbitos normativos diferentes que impiden asimilar dichas nociones, lo que implica específicamente que no se pueda confundir el ejercicio de función pública, con la prestación de servicios públicos ( …) </w:t>
      </w:r>
    </w:p>
    <w:p w14:paraId="49AF215B" w14:textId="77777777" w:rsidR="001255A1" w:rsidRDefault="001255A1" w:rsidP="001255A1">
      <w:pPr>
        <w:pStyle w:val="Prrafodelista"/>
        <w:spacing w:after="0" w:line="276" w:lineRule="auto"/>
        <w:jc w:val="both"/>
        <w:rPr>
          <w:rFonts w:ascii="Verdana" w:hAnsi="Verdana" w:cs="Arial"/>
          <w:noProof/>
          <w:lang w:val="es-CO"/>
        </w:rPr>
      </w:pPr>
    </w:p>
    <w:p w14:paraId="045BFD37" w14:textId="77777777" w:rsidR="001255A1" w:rsidRDefault="001255A1" w:rsidP="001255A1">
      <w:pPr>
        <w:pStyle w:val="Prrafodelista"/>
        <w:spacing w:after="0" w:line="276" w:lineRule="auto"/>
        <w:jc w:val="both"/>
        <w:rPr>
          <w:rFonts w:ascii="Verdana" w:hAnsi="Verdana" w:cs="Arial"/>
          <w:b/>
          <w:bCs/>
          <w:noProof/>
          <w:lang w:val="es-CO"/>
        </w:rPr>
      </w:pPr>
      <w:r w:rsidRPr="001255A1">
        <w:rPr>
          <w:rFonts w:ascii="Verdana" w:hAnsi="Verdana" w:cs="Arial"/>
          <w:noProof/>
          <w:lang w:val="es-CO"/>
        </w:rPr>
        <w:t xml:space="preserve">El servicio público se manifiesta esencialmente en prestaciones a particulares. </w:t>
      </w:r>
      <w:r w:rsidRPr="001255A1">
        <w:rPr>
          <w:rFonts w:ascii="Verdana" w:hAnsi="Verdana" w:cs="Arial"/>
          <w:b/>
          <w:bCs/>
          <w:noProof/>
          <w:lang w:val="es-CO"/>
        </w:rPr>
        <w:t>La función pública se manifiesta a través de otros</w:t>
      </w:r>
      <w:r>
        <w:rPr>
          <w:rFonts w:ascii="Verdana" w:hAnsi="Verdana" w:cs="Arial"/>
          <w:b/>
          <w:bCs/>
          <w:noProof/>
          <w:lang w:val="es-CO"/>
        </w:rPr>
        <w:t xml:space="preserve"> </w:t>
      </w:r>
      <w:r w:rsidRPr="001255A1">
        <w:rPr>
          <w:rFonts w:ascii="Verdana" w:hAnsi="Verdana" w:cs="Arial"/>
          <w:b/>
          <w:bCs/>
          <w:noProof/>
          <w:lang w:val="es-CO"/>
        </w:rPr>
        <w:t xml:space="preserve">mecanismos que requieren de las potestades públicas y que significan, en general, ejercicio de autoridad inherente del Estado. </w:t>
      </w:r>
    </w:p>
    <w:p w14:paraId="52D7BA9D" w14:textId="77777777" w:rsidR="001255A1" w:rsidRDefault="001255A1" w:rsidP="001255A1">
      <w:pPr>
        <w:pStyle w:val="Prrafodelista"/>
        <w:spacing w:after="0" w:line="276" w:lineRule="auto"/>
        <w:jc w:val="both"/>
        <w:rPr>
          <w:rFonts w:ascii="Verdana" w:hAnsi="Verdana" w:cs="Arial"/>
          <w:noProof/>
          <w:lang w:val="es-CO"/>
        </w:rPr>
      </w:pPr>
    </w:p>
    <w:p w14:paraId="14943D0E" w14:textId="77777777" w:rsidR="001255A1" w:rsidRDefault="001255A1" w:rsidP="001255A1">
      <w:pPr>
        <w:pStyle w:val="Prrafodelista"/>
        <w:spacing w:after="0" w:line="276" w:lineRule="auto"/>
        <w:jc w:val="both"/>
        <w:rPr>
          <w:rFonts w:ascii="Verdana" w:hAnsi="Verdana" w:cs="Arial"/>
          <w:noProof/>
          <w:lang w:val="es-CO"/>
        </w:rPr>
      </w:pPr>
      <w:r w:rsidRPr="00811B1B">
        <w:rPr>
          <w:rFonts w:ascii="Verdana" w:hAnsi="Verdana" w:cs="Arial"/>
          <w:noProof/>
          <w:lang w:val="es-CO"/>
        </w:rPr>
        <w:t>( … ) en el caso de las funciones públicas, que corresponde ejercer a los servidores públicos y solo de manera excepcional puede ser encargado su ejercicio a particulares (art. 123-2) (…)</w:t>
      </w:r>
    </w:p>
    <w:p w14:paraId="3D76CFA6" w14:textId="77777777" w:rsidR="001255A1" w:rsidRDefault="001255A1" w:rsidP="001255A1">
      <w:pPr>
        <w:pStyle w:val="Prrafodelista"/>
        <w:spacing w:after="0" w:line="276" w:lineRule="auto"/>
        <w:jc w:val="both"/>
        <w:rPr>
          <w:rFonts w:ascii="Verdana" w:hAnsi="Verdana" w:cs="Arial"/>
          <w:noProof/>
          <w:lang w:val="es-CO"/>
        </w:rPr>
      </w:pPr>
    </w:p>
    <w:p w14:paraId="079B62DA" w14:textId="77777777" w:rsidR="001255A1" w:rsidRDefault="001255A1" w:rsidP="001255A1">
      <w:pPr>
        <w:pStyle w:val="Prrafodelista"/>
        <w:spacing w:after="0" w:line="276" w:lineRule="auto"/>
        <w:jc w:val="both"/>
        <w:rPr>
          <w:rFonts w:ascii="Verdana" w:hAnsi="Verdana" w:cs="Arial"/>
          <w:noProof/>
          <w:lang w:val="es-CO"/>
        </w:rPr>
      </w:pPr>
      <w:r w:rsidRPr="00811B1B">
        <w:rPr>
          <w:rFonts w:ascii="Verdana" w:hAnsi="Verdana" w:cs="Arial"/>
          <w:noProof/>
          <w:lang w:val="es-CO"/>
        </w:rPr>
        <w:lastRenderedPageBreak/>
        <w:t xml:space="preserve"> ( … ) Solamente en el caso de que dicha prestación haga necesario el ejercicio de determinadas potestades inherentes al Estado , que hayan sido determinadas en forma expresa por el legislador, al particular encargado de la misma, habrá lugar a la aplicación en su caso de dicho régimen y ello exclusivamente en relación con el ejercicio de dichas potestades. En este orden de ideas, para efectos de control disciplinario será solamente en el caso en que la prestación del servicio público haga necesario el ejercicio de funciones públicas, entendidas como exteriorización de las potestades inherentes al Estado -que se traducen generalmente en señalamiento de conductas, expedición de actos unilaterales y ejercicio de coerción - , que el particular estará sometido, en relación con dicho ejercicio, al régimen disciplinario. </w:t>
      </w:r>
    </w:p>
    <w:p w14:paraId="2D2D64E9" w14:textId="77777777" w:rsidR="001255A1" w:rsidRDefault="001255A1" w:rsidP="001255A1">
      <w:pPr>
        <w:pStyle w:val="Prrafodelista"/>
        <w:spacing w:after="0" w:line="276" w:lineRule="auto"/>
        <w:jc w:val="both"/>
        <w:rPr>
          <w:rFonts w:ascii="Verdana" w:hAnsi="Verdana" w:cs="Arial"/>
          <w:noProof/>
          <w:lang w:val="es-CO"/>
        </w:rPr>
      </w:pPr>
    </w:p>
    <w:p w14:paraId="382AF10B" w14:textId="1291F5FE" w:rsidR="001255A1" w:rsidRDefault="001255A1" w:rsidP="001255A1">
      <w:pPr>
        <w:pStyle w:val="Prrafodelista"/>
        <w:spacing w:after="0" w:line="276" w:lineRule="auto"/>
        <w:jc w:val="both"/>
        <w:rPr>
          <w:rFonts w:ascii="Verdana" w:hAnsi="Verdana" w:cs="Arial"/>
          <w:noProof/>
          <w:lang w:val="es-CO"/>
        </w:rPr>
      </w:pPr>
      <w:r w:rsidRPr="00811B1B">
        <w:rPr>
          <w:rFonts w:ascii="Verdana" w:hAnsi="Verdana" w:cs="Arial"/>
          <w:noProof/>
          <w:lang w:val="es-CO"/>
        </w:rPr>
        <w:t>No sobra reiterar que en este supuesto necesariamente la posibilidad de que el particular pueda hacer uso de dichas potestades inherentes al Estado debe estar respaldada en una habilitación expresa de la ley” (Negrilla fuera de texto).</w:t>
      </w:r>
    </w:p>
    <w:p w14:paraId="7AED83FA" w14:textId="77777777" w:rsidR="005D2467" w:rsidRDefault="005D2467" w:rsidP="005D2467">
      <w:pPr>
        <w:spacing w:after="0" w:line="276" w:lineRule="auto"/>
        <w:jc w:val="both"/>
        <w:rPr>
          <w:rFonts w:ascii="Verdana" w:hAnsi="Verdana" w:cs="Arial"/>
          <w:noProof/>
        </w:rPr>
      </w:pPr>
    </w:p>
    <w:p w14:paraId="2768F954" w14:textId="6E280393" w:rsidR="005D2467" w:rsidRPr="00811B1B" w:rsidRDefault="005D2467" w:rsidP="00811B1B">
      <w:pPr>
        <w:pStyle w:val="Prrafodelista"/>
        <w:numPr>
          <w:ilvl w:val="0"/>
          <w:numId w:val="19"/>
        </w:numPr>
        <w:spacing w:line="276" w:lineRule="auto"/>
        <w:jc w:val="both"/>
        <w:rPr>
          <w:rFonts w:ascii="Verdana" w:eastAsia="Calibri" w:hAnsi="Verdana" w:cs="Arial"/>
        </w:rPr>
      </w:pPr>
      <w:r>
        <w:rPr>
          <w:rFonts w:ascii="Verdana" w:eastAsia="Calibri" w:hAnsi="Verdana" w:cs="Arial"/>
        </w:rPr>
        <w:t xml:space="preserve">En conclusión, </w:t>
      </w:r>
      <w:r w:rsidRPr="00811B1B">
        <w:rPr>
          <w:rFonts w:ascii="Verdana" w:eastAsia="Calibri" w:hAnsi="Verdana" w:cs="Arial"/>
        </w:rPr>
        <w:t>la función pública se traduce como la materialización de las funciones inherentes al estado, es decir, atañe al conjunto de las actividades que realiza el Estado, a través de los órganos de las ramas del poder público, de los órganos autónomos e independientes, y de las demás entidades o agencias públicas,</w:t>
      </w:r>
      <w:r>
        <w:rPr>
          <w:rFonts w:ascii="Verdana" w:eastAsia="Calibri" w:hAnsi="Verdana" w:cs="Arial"/>
        </w:rPr>
        <w:t xml:space="preserve"> </w:t>
      </w:r>
      <w:r w:rsidRPr="00811B1B">
        <w:rPr>
          <w:rFonts w:ascii="Verdana" w:eastAsia="Calibri" w:hAnsi="Verdana" w:cs="Arial"/>
        </w:rPr>
        <w:t>en orden a alcanzar sus diferentes fines.</w:t>
      </w:r>
      <w:r>
        <w:rPr>
          <w:rFonts w:ascii="Verdana" w:eastAsia="Calibri" w:hAnsi="Verdana" w:cs="Arial"/>
        </w:rPr>
        <w:t xml:space="preserve"> </w:t>
      </w:r>
      <w:r w:rsidRPr="00811B1B">
        <w:rPr>
          <w:rFonts w:ascii="Verdana" w:eastAsia="Calibri" w:hAnsi="Verdana" w:cs="Arial"/>
        </w:rPr>
        <w:t xml:space="preserve">En ese sentido, es pertinente señalar que la función administrativa de inspección, vigilancia y control son ejercidas por el Estado conforme a la naturaleza jurídica de cada entidad, para lo cual debe entonces estudiarse la naturaleza de esta y las competencias que le fueron asignadas conforme a la constitución y </w:t>
      </w:r>
      <w:proofErr w:type="gramStart"/>
      <w:r w:rsidRPr="00811B1B">
        <w:rPr>
          <w:rFonts w:ascii="Verdana" w:eastAsia="Calibri" w:hAnsi="Verdana" w:cs="Arial"/>
        </w:rPr>
        <w:t>la  ley</w:t>
      </w:r>
      <w:proofErr w:type="gramEnd"/>
      <w:r w:rsidRPr="00811B1B">
        <w:rPr>
          <w:rFonts w:ascii="Verdana" w:eastAsia="Calibri" w:hAnsi="Verdana" w:cs="Arial"/>
        </w:rPr>
        <w:t xml:space="preserve">. </w:t>
      </w:r>
    </w:p>
    <w:p w14:paraId="1F08E690" w14:textId="77777777" w:rsidR="001255A1" w:rsidRPr="00811B1B" w:rsidRDefault="001255A1" w:rsidP="00811B1B">
      <w:pPr>
        <w:pStyle w:val="Prrafodelista"/>
        <w:spacing w:after="0" w:line="276" w:lineRule="auto"/>
        <w:jc w:val="both"/>
        <w:rPr>
          <w:rFonts w:ascii="Verdana" w:hAnsi="Verdana" w:cs="Arial"/>
          <w:noProof/>
          <w:lang w:val="es-CO"/>
        </w:rPr>
      </w:pPr>
    </w:p>
    <w:p w14:paraId="6482D055" w14:textId="379C0F6D" w:rsidR="00F76580" w:rsidRPr="00AC3E1A" w:rsidRDefault="005D2467" w:rsidP="00F76580">
      <w:pPr>
        <w:spacing w:line="276" w:lineRule="auto"/>
        <w:ind w:left="709" w:right="709"/>
        <w:jc w:val="both"/>
        <w:rPr>
          <w:rFonts w:ascii="Verdana" w:hAnsi="Verdana" w:cs="Arial"/>
          <w:noProof/>
          <w:sz w:val="21"/>
          <w:szCs w:val="21"/>
          <w:lang w:val="es-ES_tradnl"/>
        </w:rPr>
      </w:pPr>
      <w:r>
        <w:rPr>
          <w:rFonts w:ascii="Verdana" w:hAnsi="Verdana" w:cs="Arial"/>
          <w:noProof/>
          <w:lang w:val="es-ES_tradnl"/>
        </w:rPr>
        <w:t>Por otro lado, frente al segundo interrogante planetado, e</w:t>
      </w:r>
      <w:r w:rsidR="00F76580" w:rsidRPr="00AC3E1A">
        <w:rPr>
          <w:rFonts w:ascii="Verdana" w:hAnsi="Verdana" w:cs="Arial"/>
          <w:noProof/>
          <w:lang w:val="es-ES_tradnl"/>
        </w:rPr>
        <w:t xml:space="preserve">l contrato de prestación de servicios es un contrato estatal típico, regulado en el numeral 3º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w:t>
      </w:r>
      <w:r w:rsidR="00F76580" w:rsidRPr="00AC3E1A">
        <w:rPr>
          <w:rFonts w:ascii="Verdana" w:hAnsi="Verdana" w:cs="Arial"/>
          <w:noProof/>
          <w:lang w:val="es-ES_tradnl"/>
        </w:rPr>
        <w:lastRenderedPageBreak/>
        <w:t xml:space="preserve">prestaciones sociales y se celebrarán por el término estrictamente indispensable”. </w:t>
      </w:r>
    </w:p>
    <w:p w14:paraId="097F2B5E" w14:textId="77777777" w:rsidR="00F76580" w:rsidRDefault="00F76580" w:rsidP="00F76580">
      <w:pPr>
        <w:pStyle w:val="Prrafodelista"/>
        <w:numPr>
          <w:ilvl w:val="0"/>
          <w:numId w:val="19"/>
        </w:numPr>
        <w:spacing w:after="120" w:line="276" w:lineRule="auto"/>
        <w:jc w:val="both"/>
        <w:rPr>
          <w:rFonts w:ascii="Verdana" w:hAnsi="Verdana" w:cs="Arial"/>
          <w:noProof/>
          <w:lang w:val="es-ES_tradnl"/>
        </w:rPr>
      </w:pPr>
      <w:r w:rsidRPr="00AC3E1A">
        <w:rPr>
          <w:rFonts w:ascii="Verdana" w:hAnsi="Verdana" w:cs="Arial"/>
          <w:noProof/>
          <w:lang w:val="es-ES_tradnl"/>
        </w:rPr>
        <w:t>En Sentencia de Unificación Jurisprudencial del 9 de septiembre de 2021, proferida por el Consejo de Estado</w:t>
      </w:r>
      <w:r w:rsidRPr="00AC3E1A">
        <w:rPr>
          <w:rStyle w:val="Refdenotaalpie"/>
          <w:rFonts w:ascii="Verdana" w:hAnsi="Verdana" w:cs="Arial"/>
          <w:noProof/>
          <w:lang w:val="es-ES_tradnl"/>
        </w:rPr>
        <w:footnoteReference w:id="5"/>
      </w:r>
      <w:r w:rsidRPr="00AC3E1A">
        <w:rPr>
          <w:rFonts w:ascii="Verdana" w:hAnsi="Verdana" w:cs="Arial"/>
          <w:noProof/>
          <w:lang w:val="es-ES_tradnl"/>
        </w:rPr>
        <w:t>, es posible señalar las siguientes características del contrato de prestación de servicios:</w:t>
      </w:r>
    </w:p>
    <w:p w14:paraId="431045BE" w14:textId="77777777" w:rsidR="00AF5804" w:rsidRPr="00AC3E1A" w:rsidRDefault="00AF5804" w:rsidP="00AF5804">
      <w:pPr>
        <w:pStyle w:val="Prrafodelista"/>
        <w:spacing w:after="120" w:line="276" w:lineRule="auto"/>
        <w:jc w:val="both"/>
        <w:rPr>
          <w:rFonts w:ascii="Verdana" w:hAnsi="Verdana" w:cs="Arial"/>
          <w:noProof/>
          <w:lang w:val="es-ES_tradnl"/>
        </w:rPr>
      </w:pPr>
    </w:p>
    <w:p w14:paraId="6EAF6A7F"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(i) Sólo puede celebrarse para realizar “actividades relacionadas con la administración o funcionamiento de la entidad”</w:t>
      </w:r>
      <w:r w:rsidRPr="00AC3E1A">
        <w:rPr>
          <w:rStyle w:val="Refdenotaalpie"/>
          <w:rFonts w:ascii="Verdana" w:hAnsi="Verdana" w:cs="Arial"/>
          <w:noProof/>
          <w:lang w:val="es-ES_tradnl"/>
        </w:rPr>
        <w:t xml:space="preserve"> </w:t>
      </w:r>
      <w:r w:rsidRPr="00AC3E1A">
        <w:rPr>
          <w:rStyle w:val="Refdenotaalpie"/>
          <w:rFonts w:ascii="Verdana" w:hAnsi="Verdana" w:cs="Arial"/>
          <w:noProof/>
          <w:lang w:val="es-ES_tradnl"/>
        </w:rPr>
        <w:footnoteReference w:id="6"/>
      </w:r>
      <w:r w:rsidRPr="00AC3E1A">
        <w:rPr>
          <w:rFonts w:ascii="Verdana" w:hAnsi="Verdana" w:cs="Arial"/>
          <w:noProof/>
          <w:lang w:val="es-ES_tradnl"/>
        </w:rPr>
        <w:t>, es decir, que hagan parte de su giro ordinario o quehacer cotidiano.</w:t>
      </w:r>
    </w:p>
    <w:p w14:paraId="5A957090"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(ii) 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w:t>
      </w:r>
      <w:r w:rsidRPr="00AC3E1A">
        <w:rPr>
          <w:rStyle w:val="Refdenotaalpie"/>
          <w:rFonts w:ascii="Verdana" w:hAnsi="Verdana" w:cs="Arial"/>
          <w:noProof/>
          <w:lang w:val="es-ES_tradnl"/>
        </w:rPr>
        <w:footnoteReference w:id="7"/>
      </w:r>
      <w:r w:rsidRPr="00AC3E1A">
        <w:rPr>
          <w:rFonts w:ascii="Verdana" w:hAnsi="Verdana" w:cs="Arial"/>
          <w:noProof/>
          <w:lang w:val="es-ES_tradnl"/>
        </w:rPr>
        <w:t>.</w:t>
      </w:r>
    </w:p>
    <w:p w14:paraId="320C29D7"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(iii) Si bien se celebran para obtener la prestación personal de un servicio, se diferencian del contrato de trabajo en que quien celebra el contrato de prestación de servicios debe mantener autonomía e independencia en la ejecución de la labor, lo que implica que no debe existir subordinación ni dependencia, que es uno de los elementos constitutivos del vínculo laboral</w:t>
      </w:r>
      <w:r w:rsidRPr="00AC3E1A">
        <w:rPr>
          <w:rStyle w:val="Refdenotaalpie"/>
          <w:rFonts w:ascii="Verdana" w:hAnsi="Verdana" w:cs="Arial"/>
          <w:noProof/>
          <w:lang w:val="es-ES_tradnl"/>
        </w:rPr>
        <w:footnoteReference w:id="8"/>
      </w:r>
      <w:r w:rsidRPr="00AC3E1A">
        <w:rPr>
          <w:rFonts w:ascii="Verdana" w:hAnsi="Verdana" w:cs="Arial"/>
          <w:noProof/>
          <w:lang w:val="es-ES_tradnl"/>
        </w:rPr>
        <w:t xml:space="preserve">. </w:t>
      </w:r>
    </w:p>
    <w:p w14:paraId="17ADFBAB"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 xml:space="preserve">(iv) Deben ser temporales. La sentencia de unificación jurisprudencial atrás referida señaló sobre la duración del contrato de prestación de servicios que este sólo puede celebrarse por el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w:t>
      </w:r>
      <w:r w:rsidRPr="00AC3E1A">
        <w:rPr>
          <w:rFonts w:ascii="Verdana" w:hAnsi="Verdana" w:cs="Arial"/>
          <w:noProof/>
          <w:lang w:val="es-ES_tradnl"/>
        </w:rPr>
        <w:lastRenderedPageBreak/>
        <w:t>sin perjuicio de las prórrogas excepcionales que puedan acordarse para garantizar su cumplimiento”.</w:t>
      </w:r>
    </w:p>
    <w:p w14:paraId="089C8B71"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(v) Se celebran a través de la modalidad de contratación directa, con independencia de la cuantía y el tipo de servicio profesional, siempre que su objeto no sea la consultoría. Ello, toda vez que, según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AC3E1A">
        <w:rPr>
          <w:rStyle w:val="Refdenotaalpie"/>
          <w:rFonts w:ascii="Verdana" w:hAnsi="Verdana" w:cs="Arial"/>
          <w:noProof/>
          <w:lang w:val="es-ES_tradnl"/>
        </w:rPr>
        <w:footnoteReference w:id="9"/>
      </w:r>
      <w:r w:rsidRPr="00AC3E1A">
        <w:rPr>
          <w:rFonts w:ascii="Verdana" w:hAnsi="Verdana" w:cs="Arial"/>
          <w:noProof/>
          <w:lang w:val="es-ES_tradnl"/>
        </w:rPr>
        <w:t xml:space="preserve">. Lo anterior, también se deriva del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p>
    <w:p w14:paraId="789E29FE"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(vi) Para su celebración no se requiere expedir un acto administrativo de justificación de la contratación directa</w:t>
      </w:r>
      <w:r w:rsidRPr="00AC3E1A">
        <w:rPr>
          <w:rStyle w:val="Refdenotaalpie"/>
          <w:rFonts w:ascii="Verdana" w:hAnsi="Verdana" w:cs="Arial"/>
          <w:noProof/>
          <w:lang w:val="es-ES_tradnl"/>
        </w:rPr>
        <w:footnoteReference w:id="10"/>
      </w:r>
      <w:r w:rsidRPr="00AC3E1A">
        <w:rPr>
          <w:rFonts w:ascii="Verdana" w:hAnsi="Verdana" w:cs="Arial"/>
          <w:noProof/>
          <w:lang w:val="es-ES_tradnl"/>
        </w:rPr>
        <w:t>.</w:t>
      </w:r>
    </w:p>
    <w:p w14:paraId="66BDDB19"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propias de su naturaleza. Así se infiere del artículo 14, numeral 2º, de la Ley 80 de 1993</w:t>
      </w:r>
      <w:r w:rsidRPr="00AC3E1A">
        <w:rPr>
          <w:rStyle w:val="Refdenotaalpie"/>
          <w:rFonts w:ascii="Verdana" w:hAnsi="Verdana" w:cs="Arial"/>
          <w:noProof/>
          <w:lang w:val="es-ES_tradnl"/>
        </w:rPr>
        <w:footnoteReference w:id="11"/>
      </w:r>
      <w:r w:rsidRPr="00AC3E1A">
        <w:rPr>
          <w:rFonts w:ascii="Verdana" w:hAnsi="Verdana" w:cs="Arial"/>
          <w:noProof/>
          <w:lang w:val="es-ES_tradnl"/>
        </w:rPr>
        <w:t>.</w:t>
      </w:r>
    </w:p>
    <w:p w14:paraId="1C8B4898"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lastRenderedPageBreak/>
        <w:t>(viii) No es obligatoria la liquidación de estos contratos, como lo establece el artículo 217 del Decreto 019 de 2012, que modificó el artículo 60 de la Ley 80 de 1993</w:t>
      </w:r>
      <w:r w:rsidRPr="00AC3E1A">
        <w:rPr>
          <w:rStyle w:val="Refdenotaalpie"/>
          <w:rFonts w:ascii="Verdana" w:hAnsi="Verdana" w:cs="Arial"/>
          <w:noProof/>
          <w:lang w:val="es-ES_tradnl"/>
        </w:rPr>
        <w:footnoteReference w:id="12"/>
      </w:r>
      <w:r w:rsidRPr="00AC3E1A">
        <w:rPr>
          <w:rFonts w:ascii="Verdana" w:hAnsi="Verdana" w:cs="Arial"/>
          <w:noProof/>
          <w:lang w:val="es-ES_tradnl"/>
        </w:rPr>
        <w:t>.</w:t>
      </w:r>
    </w:p>
    <w:p w14:paraId="266CA206"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(ix) Para su celebración el contratista no requiere estar inscrito en el Registro Único de Proponentes -en adelante RUP-, como lo señala el artículo 6º de la Ley 1150 de 2007</w:t>
      </w:r>
      <w:r w:rsidRPr="00AC3E1A">
        <w:rPr>
          <w:rStyle w:val="Refdenotaalpie"/>
          <w:rFonts w:ascii="Verdana" w:hAnsi="Verdana" w:cs="Arial"/>
          <w:noProof/>
          <w:lang w:val="es-ES_tradnl"/>
        </w:rPr>
        <w:footnoteReference w:id="13"/>
      </w:r>
      <w:r w:rsidRPr="00AC3E1A">
        <w:rPr>
          <w:rFonts w:ascii="Verdana" w:hAnsi="Verdana" w:cs="Arial"/>
          <w:noProof/>
          <w:lang w:val="es-ES_tradnl"/>
        </w:rPr>
        <w:t>.</w:t>
      </w:r>
    </w:p>
    <w:p w14:paraId="30907980"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(x) No es obligatoria la exigencia de garantías</w:t>
      </w:r>
      <w:r w:rsidRPr="00AC3E1A">
        <w:rPr>
          <w:rStyle w:val="Refdenotaalpie"/>
          <w:rFonts w:ascii="Verdana" w:hAnsi="Verdana" w:cs="Arial"/>
          <w:noProof/>
          <w:lang w:val="es-ES_tradnl"/>
        </w:rPr>
        <w:footnoteReference w:id="14"/>
      </w:r>
      <w:r w:rsidRPr="00AC3E1A">
        <w:rPr>
          <w:rFonts w:ascii="Verdana" w:hAnsi="Verdana" w:cs="Arial"/>
          <w:noProof/>
          <w:lang w:val="es-ES_tradnl"/>
        </w:rPr>
        <w:t>.</w:t>
      </w:r>
    </w:p>
    <w:p w14:paraId="3191FB9E"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(xi) Como los demás contratos estatales, se trata de un contrato solemne que debe constar por escrito y debe ser publicado en el SECOP.</w:t>
      </w:r>
    </w:p>
    <w:p w14:paraId="486EA740" w14:textId="77777777" w:rsidR="00F76580" w:rsidRPr="00AC3E1A" w:rsidRDefault="00F76580" w:rsidP="00F76580">
      <w:pPr>
        <w:pStyle w:val="Prrafodelista"/>
        <w:spacing w:after="120" w:line="276" w:lineRule="auto"/>
        <w:jc w:val="both"/>
        <w:rPr>
          <w:rFonts w:ascii="Verdana" w:hAnsi="Verdana" w:cs="Arial"/>
          <w:noProof/>
          <w:lang w:val="es-ES_tradnl"/>
        </w:rPr>
      </w:pPr>
      <w:r w:rsidRPr="00AC3E1A">
        <w:rPr>
          <w:rFonts w:ascii="Verdana" w:hAnsi="Verdana" w:cs="Arial"/>
          <w:noProof/>
          <w:lang w:val="es-ES_tradnl"/>
        </w:rPr>
        <w:t>(xii)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r w:rsidRPr="00AC3E1A">
        <w:rPr>
          <w:rStyle w:val="Refdenotaalpie"/>
          <w:rFonts w:ascii="Verdana" w:hAnsi="Verdana" w:cs="Arial"/>
          <w:noProof/>
          <w:lang w:val="es-ES_tradnl"/>
        </w:rPr>
        <w:footnoteReference w:id="15"/>
      </w:r>
      <w:r w:rsidRPr="00AC3E1A">
        <w:rPr>
          <w:rFonts w:ascii="Verdana" w:hAnsi="Verdana" w:cs="Arial"/>
          <w:noProof/>
          <w:lang w:val="es-ES_tradnl"/>
        </w:rPr>
        <w:t xml:space="preserve">. </w:t>
      </w:r>
    </w:p>
    <w:p w14:paraId="1A27ACDD" w14:textId="77777777" w:rsidR="00F703AC" w:rsidRPr="00811B1B" w:rsidRDefault="00F76580" w:rsidP="00F76580">
      <w:pPr>
        <w:pStyle w:val="Prrafodelista"/>
        <w:numPr>
          <w:ilvl w:val="0"/>
          <w:numId w:val="17"/>
        </w:numPr>
        <w:spacing w:after="0" w:line="276" w:lineRule="auto"/>
        <w:jc w:val="both"/>
        <w:rPr>
          <w:rFonts w:asciiTheme="minorHAnsi" w:hAnsiTheme="minorHAnsi"/>
        </w:rPr>
      </w:pPr>
      <w:r w:rsidRPr="00AC3E1A">
        <w:rPr>
          <w:rFonts w:ascii="Verdana" w:hAnsi="Verdana"/>
        </w:rPr>
        <w:t>El contrato de prestación de servicio al tener un objeto especifico, le asiste a la parte contratista cumplir con este conforme con las estipulaciones de los documentos precontractuales, en especial las obligaciones generales y específicas allí pactadas.</w:t>
      </w:r>
    </w:p>
    <w:p w14:paraId="69CAAE1A" w14:textId="77777777" w:rsidR="00B1650E" w:rsidRPr="00811B1B" w:rsidRDefault="00B1650E" w:rsidP="00811B1B">
      <w:pPr>
        <w:pStyle w:val="Prrafodelista"/>
        <w:spacing w:after="0" w:line="276" w:lineRule="auto"/>
        <w:jc w:val="both"/>
        <w:rPr>
          <w:rFonts w:asciiTheme="minorHAnsi" w:hAnsiTheme="minorHAnsi"/>
        </w:rPr>
      </w:pPr>
    </w:p>
    <w:p w14:paraId="422BBAA8" w14:textId="6C3394A7" w:rsidR="00B1650E" w:rsidRPr="00AC3E1A" w:rsidRDefault="00F76580" w:rsidP="00811B1B">
      <w:pPr>
        <w:pStyle w:val="Prrafodelista"/>
        <w:spacing w:after="0" w:line="276" w:lineRule="auto"/>
        <w:jc w:val="both"/>
        <w:rPr>
          <w:rFonts w:asciiTheme="minorHAnsi" w:hAnsiTheme="minorHAnsi"/>
        </w:rPr>
      </w:pPr>
      <w:r w:rsidRPr="00AC3E1A">
        <w:rPr>
          <w:rFonts w:ascii="Verdana" w:hAnsi="Verdana"/>
        </w:rPr>
        <w:t xml:space="preserve"> En el caso de los contratistas que tienen a cargo otros contratos de prestación de servicios con objetos que presuntamente puedan generar </w:t>
      </w:r>
      <w:r w:rsidRPr="00AC3E1A">
        <w:rPr>
          <w:rFonts w:ascii="Verdana" w:hAnsi="Verdana"/>
        </w:rPr>
        <w:lastRenderedPageBreak/>
        <w:t xml:space="preserve">conflictos de interés, </w:t>
      </w:r>
      <w:r w:rsidR="005D2467">
        <w:rPr>
          <w:rFonts w:ascii="Verdana" w:hAnsi="Verdana"/>
        </w:rPr>
        <w:t>se debe estudiar el régimen de inhabilidades e incompatibilidades para contratar con el estado.</w:t>
      </w:r>
    </w:p>
    <w:p w14:paraId="3482DACA" w14:textId="7B76419E" w:rsidR="00F76580" w:rsidRPr="00AC3E1A" w:rsidRDefault="00F76580" w:rsidP="00811B1B">
      <w:pPr>
        <w:pStyle w:val="Prrafodelista"/>
        <w:spacing w:after="0" w:line="276" w:lineRule="auto"/>
        <w:jc w:val="both"/>
        <w:rPr>
          <w:rFonts w:asciiTheme="minorHAnsi" w:hAnsiTheme="minorHAnsi"/>
        </w:rPr>
      </w:pPr>
    </w:p>
    <w:p w14:paraId="5C08C961" w14:textId="500CD583" w:rsidR="00F76580" w:rsidRPr="00AC3E1A" w:rsidRDefault="006E6896" w:rsidP="00F76580">
      <w:pPr>
        <w:pStyle w:val="Prrafodelista"/>
        <w:numPr>
          <w:ilvl w:val="0"/>
          <w:numId w:val="17"/>
        </w:numPr>
        <w:spacing w:after="0" w:line="276" w:lineRule="auto"/>
        <w:jc w:val="both"/>
        <w:rPr>
          <w:rFonts w:ascii="Verdana" w:eastAsia="Calibri" w:hAnsi="Verdana" w:cs="Arial"/>
        </w:rPr>
      </w:pPr>
      <w:r>
        <w:rPr>
          <w:rFonts w:ascii="Verdana" w:eastAsia="Calibri" w:hAnsi="Verdana" w:cs="Arial"/>
        </w:rPr>
        <w:t>Las</w:t>
      </w:r>
      <w:r w:rsidRPr="00AC3E1A">
        <w:rPr>
          <w:rFonts w:ascii="Verdana" w:eastAsia="Calibri" w:hAnsi="Verdana" w:cs="Arial"/>
        </w:rPr>
        <w:t xml:space="preserve"> inhabilidades</w:t>
      </w:r>
      <w:r w:rsidR="00F76580" w:rsidRPr="00AC3E1A">
        <w:rPr>
          <w:rFonts w:ascii="Verdana" w:eastAsia="Calibri" w:hAnsi="Verdana" w:cs="Arial"/>
        </w:rPr>
        <w:t xml:space="preserve">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582267A0" w14:textId="77777777" w:rsidR="00F76580" w:rsidRPr="00AC3E1A" w:rsidRDefault="00F76580" w:rsidP="00F76580">
      <w:pPr>
        <w:pStyle w:val="Prrafodelista"/>
        <w:spacing w:line="276" w:lineRule="auto"/>
        <w:jc w:val="both"/>
        <w:rPr>
          <w:rFonts w:ascii="Verdana" w:eastAsia="Calibri" w:hAnsi="Verdana" w:cs="Arial"/>
        </w:rPr>
      </w:pPr>
    </w:p>
    <w:p w14:paraId="3AEE59B7" w14:textId="77777777" w:rsidR="00F76580" w:rsidRPr="00AC3E1A" w:rsidRDefault="00F76580" w:rsidP="00F76580">
      <w:pPr>
        <w:pStyle w:val="Prrafodelista"/>
        <w:numPr>
          <w:ilvl w:val="0"/>
          <w:numId w:val="17"/>
        </w:numPr>
        <w:spacing w:after="120" w:line="276" w:lineRule="auto"/>
        <w:jc w:val="both"/>
        <w:rPr>
          <w:rFonts w:ascii="Verdana" w:eastAsia="Aptos" w:hAnsi="Verdana" w:cs="Arial"/>
          <w:lang w:val="es-MX"/>
        </w:rPr>
      </w:pPr>
      <w:r w:rsidRPr="00AC3E1A">
        <w:rPr>
          <w:rFonts w:ascii="Verdana" w:eastAsia="Aptos" w:hAnsi="Verdana" w:cs="Arial"/>
          <w:lang w:val="es-MX"/>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AC3E1A">
        <w:rPr>
          <w:rFonts w:ascii="Verdana" w:hAnsi="Verdana"/>
          <w:vertAlign w:val="superscript"/>
          <w:lang w:val="es-MX"/>
        </w:rPr>
        <w:footnoteReference w:id="16"/>
      </w:r>
      <w:r w:rsidRPr="00AC3E1A">
        <w:rPr>
          <w:rFonts w:ascii="Verdana" w:eastAsia="Aptos" w:hAnsi="Verdana" w:cs="Arial"/>
          <w:lang w:val="es-MX"/>
        </w:rPr>
        <w:t xml:space="preserve">. </w:t>
      </w:r>
    </w:p>
    <w:p w14:paraId="64F48D3B" w14:textId="77777777" w:rsidR="00F76580" w:rsidRPr="00AC3E1A" w:rsidRDefault="00F76580" w:rsidP="00F76580">
      <w:pPr>
        <w:pStyle w:val="Prrafodelista"/>
        <w:rPr>
          <w:rFonts w:ascii="Verdana" w:eastAsia="Aptos" w:hAnsi="Verdana" w:cs="Arial"/>
          <w:lang w:val="es-MX"/>
        </w:rPr>
      </w:pPr>
    </w:p>
    <w:p w14:paraId="14DB02C7" w14:textId="77777777" w:rsidR="00F76580" w:rsidRPr="00AC3E1A" w:rsidRDefault="00F76580" w:rsidP="00F76580">
      <w:pPr>
        <w:pStyle w:val="Prrafodelista"/>
        <w:numPr>
          <w:ilvl w:val="0"/>
          <w:numId w:val="17"/>
        </w:numPr>
        <w:spacing w:after="0" w:line="276" w:lineRule="auto"/>
        <w:jc w:val="both"/>
        <w:rPr>
          <w:rFonts w:ascii="Verdana" w:eastAsia="Aptos" w:hAnsi="Verdana" w:cs="Arial"/>
          <w:lang w:val="es-MX"/>
        </w:rPr>
      </w:pPr>
      <w:r w:rsidRPr="00AC3E1A">
        <w:rPr>
          <w:rFonts w:ascii="Verdana" w:eastAsia="Aptos" w:hAnsi="Verdana" w:cs="Arial"/>
          <w:lang w:val="es-MX"/>
        </w:rPr>
        <w:t xml:space="preserve">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310646D0" w14:textId="77777777" w:rsidR="00F76580" w:rsidRPr="00AC3E1A" w:rsidRDefault="00F76580" w:rsidP="00F76580">
      <w:pPr>
        <w:pStyle w:val="Prrafodelista"/>
        <w:spacing w:after="0" w:line="276" w:lineRule="auto"/>
        <w:jc w:val="both"/>
        <w:rPr>
          <w:rFonts w:ascii="Verdana" w:eastAsia="Times New Roman" w:hAnsi="Verdana" w:cs="Arial"/>
          <w:shd w:val="clear" w:color="auto" w:fill="FFFFFF"/>
          <w:lang w:eastAsia="es-ES_tradnl"/>
        </w:rPr>
      </w:pPr>
    </w:p>
    <w:p w14:paraId="58D76E15" w14:textId="77777777" w:rsidR="00F76580" w:rsidRPr="00AC3E1A" w:rsidRDefault="00F76580" w:rsidP="00F76580">
      <w:pPr>
        <w:pStyle w:val="Prrafodelista"/>
        <w:spacing w:after="0" w:line="240" w:lineRule="auto"/>
        <w:ind w:left="709" w:right="709"/>
        <w:jc w:val="both"/>
        <w:rPr>
          <w:rFonts w:ascii="Verdana" w:eastAsia="Times New Roman" w:hAnsi="Verdana" w:cs="Arial"/>
          <w:sz w:val="20"/>
          <w:szCs w:val="20"/>
          <w:lang w:eastAsia="es-MX"/>
        </w:rPr>
      </w:pPr>
      <w:r w:rsidRPr="00AC3E1A">
        <w:rPr>
          <w:rFonts w:ascii="Verdana" w:eastAsia="Times New Roman" w:hAnsi="Verdana" w:cs="Arial"/>
          <w:sz w:val="20"/>
          <w:szCs w:val="20"/>
          <w:lang w:eastAsia="es-MX"/>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AC3E1A">
        <w:rPr>
          <w:rFonts w:ascii="Verdana" w:eastAsia="Times New Roman" w:hAnsi="Verdana" w:cs="Arial"/>
          <w:sz w:val="20"/>
          <w:szCs w:val="20"/>
          <w:lang w:eastAsia="es-MX"/>
        </w:rPr>
        <w:t>incompatibilidades,</w:t>
      </w:r>
      <w:proofErr w:type="gramEnd"/>
      <w:r w:rsidRPr="00AC3E1A">
        <w:rPr>
          <w:rFonts w:ascii="Verdana" w:eastAsia="Times New Roman" w:hAnsi="Verdana" w:cs="Arial"/>
          <w:sz w:val="20"/>
          <w:szCs w:val="20"/>
          <w:lang w:eastAsia="es-MX"/>
        </w:rPr>
        <w:t xml:space="preserve"> se erige en causal de nulidad del contrato celebrado en esas condiciones (ley 80 de 1993, art. 44).</w:t>
      </w:r>
    </w:p>
    <w:p w14:paraId="5BA6F145" w14:textId="77777777" w:rsidR="00F76580" w:rsidRPr="00AC3E1A" w:rsidRDefault="00F76580" w:rsidP="00F76580">
      <w:pPr>
        <w:pStyle w:val="Prrafodelista"/>
        <w:spacing w:after="0" w:line="240" w:lineRule="auto"/>
        <w:ind w:left="709" w:right="709"/>
        <w:jc w:val="both"/>
        <w:rPr>
          <w:rFonts w:ascii="Verdana" w:eastAsia="Times New Roman" w:hAnsi="Verdana" w:cs="Arial"/>
          <w:sz w:val="20"/>
          <w:szCs w:val="20"/>
          <w:lang w:eastAsia="es-MX"/>
        </w:rPr>
      </w:pPr>
    </w:p>
    <w:p w14:paraId="2E82D582" w14:textId="77777777" w:rsidR="00F76580" w:rsidRDefault="00F76580" w:rsidP="00F76580">
      <w:pPr>
        <w:pStyle w:val="Prrafodelista"/>
        <w:spacing w:after="0" w:line="240" w:lineRule="auto"/>
        <w:ind w:left="709" w:right="709"/>
        <w:jc w:val="both"/>
        <w:rPr>
          <w:rFonts w:ascii="Verdana" w:eastAsia="Times New Roman" w:hAnsi="Verdana" w:cs="Arial"/>
          <w:sz w:val="20"/>
          <w:szCs w:val="20"/>
          <w:lang w:eastAsia="es-MX"/>
        </w:rPr>
      </w:pPr>
      <w:r w:rsidRPr="00AC3E1A">
        <w:rPr>
          <w:rFonts w:ascii="Verdana" w:eastAsia="Times New Roman" w:hAnsi="Verdana" w:cs="Arial"/>
          <w:sz w:val="20"/>
          <w:szCs w:val="20"/>
          <w:lang w:eastAsia="es-MX"/>
        </w:rPr>
        <w:t xml:space="preserve">El carácter reconocidamente </w:t>
      </w:r>
      <w:r w:rsidRPr="00AC3E1A">
        <w:rPr>
          <w:rFonts w:ascii="Verdana" w:eastAsia="Times New Roman" w:hAnsi="Verdana" w:cs="Arial"/>
          <w:sz w:val="20"/>
          <w:szCs w:val="20"/>
          <w:u w:val="single"/>
          <w:lang w:eastAsia="es-MX"/>
        </w:rPr>
        <w:t>taxativo y restrictivo</w:t>
      </w:r>
      <w:r w:rsidRPr="00AC3E1A">
        <w:rPr>
          <w:rFonts w:ascii="Verdana" w:eastAsia="Times New Roman" w:hAnsi="Verdana" w:cs="Arial"/>
          <w:sz w:val="20"/>
          <w:szCs w:val="20"/>
          <w:lang w:eastAsia="es-MX"/>
        </w:rPr>
        <w:t xml:space="preserve">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AC3E1A">
        <w:rPr>
          <w:rFonts w:ascii="Verdana" w:hAnsi="Verdana"/>
          <w:sz w:val="20"/>
          <w:szCs w:val="20"/>
          <w:vertAlign w:val="superscript"/>
          <w:lang w:eastAsia="es-MX"/>
        </w:rPr>
        <w:footnoteReference w:id="17"/>
      </w:r>
      <w:r w:rsidRPr="00AC3E1A">
        <w:rPr>
          <w:rFonts w:ascii="Verdana" w:eastAsia="Times New Roman" w:hAnsi="Verdana" w:cs="Arial"/>
          <w:sz w:val="20"/>
          <w:szCs w:val="20"/>
          <w:lang w:eastAsia="es-MX"/>
        </w:rPr>
        <w:t>(Énfasis fuera de texto).</w:t>
      </w:r>
    </w:p>
    <w:p w14:paraId="3FC0877C" w14:textId="77777777" w:rsidR="00BE0DFA" w:rsidRDefault="00BE0DFA" w:rsidP="00BE0DFA">
      <w:pPr>
        <w:spacing w:after="0" w:line="240" w:lineRule="auto"/>
        <w:ind w:right="709"/>
        <w:jc w:val="both"/>
        <w:rPr>
          <w:rFonts w:ascii="Verdana" w:eastAsia="Times New Roman" w:hAnsi="Verdana" w:cs="Arial"/>
          <w:sz w:val="20"/>
          <w:szCs w:val="20"/>
          <w:lang w:eastAsia="es-MX"/>
        </w:rPr>
      </w:pPr>
    </w:p>
    <w:p w14:paraId="30411898" w14:textId="3B3060DE" w:rsidR="008D7A22" w:rsidRDefault="00BE0DFA" w:rsidP="008D7A22">
      <w:pPr>
        <w:pStyle w:val="Prrafodelista"/>
        <w:numPr>
          <w:ilvl w:val="0"/>
          <w:numId w:val="21"/>
        </w:numPr>
        <w:spacing w:after="0" w:line="240" w:lineRule="auto"/>
        <w:ind w:right="709"/>
        <w:jc w:val="both"/>
        <w:rPr>
          <w:rFonts w:ascii="Verdana" w:eastAsia="Times New Roman" w:hAnsi="Verdana" w:cs="Arial"/>
          <w:sz w:val="20"/>
          <w:szCs w:val="20"/>
          <w:lang w:eastAsia="es-MX"/>
        </w:rPr>
      </w:pPr>
      <w:r>
        <w:rPr>
          <w:rFonts w:ascii="Verdana" w:eastAsia="Times New Roman" w:hAnsi="Verdana" w:cs="Arial"/>
          <w:sz w:val="20"/>
          <w:szCs w:val="20"/>
          <w:lang w:val="es-CO" w:eastAsia="es-MX"/>
        </w:rPr>
        <w:t xml:space="preserve">En ese sentido </w:t>
      </w:r>
      <w:r w:rsidRPr="00BE0DFA">
        <w:rPr>
          <w:rFonts w:ascii="Verdana" w:eastAsia="Times New Roman" w:hAnsi="Verdana" w:cs="Arial"/>
          <w:sz w:val="20"/>
          <w:szCs w:val="20"/>
          <w:lang w:val="es-CO" w:eastAsia="es-MX"/>
        </w:rPr>
        <w:t xml:space="preserve">los artículos 25, 40 y </w:t>
      </w:r>
      <w:proofErr w:type="spellStart"/>
      <w:r w:rsidRPr="00BE0DFA">
        <w:rPr>
          <w:rFonts w:ascii="Verdana" w:eastAsia="Times New Roman" w:hAnsi="Verdana" w:cs="Arial"/>
          <w:sz w:val="20"/>
          <w:szCs w:val="20"/>
          <w:lang w:val="es-CO" w:eastAsia="es-MX"/>
        </w:rPr>
        <w:t>s.s</w:t>
      </w:r>
      <w:proofErr w:type="spellEnd"/>
      <w:r w:rsidRPr="00BE0DFA">
        <w:rPr>
          <w:rFonts w:ascii="Verdana" w:eastAsia="Times New Roman" w:hAnsi="Verdana" w:cs="Arial"/>
          <w:sz w:val="20"/>
          <w:szCs w:val="20"/>
          <w:lang w:val="es-CO" w:eastAsia="es-MX"/>
        </w:rPr>
        <w:t xml:space="preserve"> de la Ley disciplinaria 1952 de 2019 establecen inhabilidades o incompatibilidades para los particulares que cumplen una función pública como es el caso de los contratistas en general del Estado</w:t>
      </w:r>
      <w:r>
        <w:rPr>
          <w:rFonts w:ascii="Verdana" w:eastAsia="Times New Roman" w:hAnsi="Verdana" w:cs="Arial"/>
          <w:sz w:val="20"/>
          <w:szCs w:val="20"/>
          <w:lang w:val="es-CO" w:eastAsia="es-MX"/>
        </w:rPr>
        <w:t xml:space="preserve">, vinculados por </w:t>
      </w:r>
      <w:r w:rsidRPr="00811B1B">
        <w:rPr>
          <w:rFonts w:ascii="Verdana" w:eastAsia="Times New Roman" w:hAnsi="Verdana" w:cs="Arial"/>
          <w:sz w:val="20"/>
          <w:szCs w:val="20"/>
          <w:lang w:eastAsia="es-MX"/>
        </w:rPr>
        <w:t xml:space="preserve">intermedio de un contrato de prestación de servicios profesionales </w:t>
      </w:r>
      <w:r>
        <w:rPr>
          <w:rFonts w:ascii="Verdana" w:eastAsia="Times New Roman" w:hAnsi="Verdana" w:cs="Arial"/>
          <w:sz w:val="20"/>
          <w:szCs w:val="20"/>
          <w:lang w:eastAsia="es-MX"/>
        </w:rPr>
        <w:t xml:space="preserve">y </w:t>
      </w:r>
      <w:r w:rsidRPr="00811B1B">
        <w:rPr>
          <w:rFonts w:ascii="Verdana" w:eastAsia="Times New Roman" w:hAnsi="Verdana" w:cs="Arial"/>
          <w:sz w:val="20"/>
          <w:szCs w:val="20"/>
          <w:lang w:eastAsia="es-MX"/>
        </w:rPr>
        <w:t>se les aplica la normativa disciplinaria y serán responsables en los términos del artículo 53 de la Ley 80 de 1993 Modificado por el art. 82 , Ley 1474 de 2011 , modificado por el art. 2 de la Ley 1882 de 2018 que dispone que “ los asesores externos y consultores, como es el caso de los contratistas responderán civil, fiscal, penal y disciplinariamente tanto por el cumplimiento de las obligaciones derivadas del contrato de consultoría o asesoría, celebrado por ellos, como por los hechos u omisiones que les fueren imputables constitutivos de incumplimiento de las obligaciones correspondientes a tales contratos y que causen daño o perjuicio a las entidades, derivados de la celebración y ejecución de contratos respecto de los cuales hayan ejercido o ejerzan las actividades de consultoría o asesoría incluyendo la etapa de liquidación de los mismos”.</w:t>
      </w:r>
    </w:p>
    <w:p w14:paraId="040D7CCF" w14:textId="77777777" w:rsidR="00B1650E" w:rsidRDefault="00B1650E" w:rsidP="00811B1B">
      <w:pPr>
        <w:pStyle w:val="Prrafodelista"/>
        <w:spacing w:after="0" w:line="240" w:lineRule="auto"/>
        <w:ind w:right="709"/>
        <w:jc w:val="both"/>
        <w:rPr>
          <w:rFonts w:ascii="Verdana" w:eastAsia="Times New Roman" w:hAnsi="Verdana" w:cs="Arial"/>
          <w:sz w:val="20"/>
          <w:szCs w:val="20"/>
          <w:lang w:eastAsia="es-MX"/>
        </w:rPr>
      </w:pPr>
    </w:p>
    <w:p w14:paraId="7514F731" w14:textId="7C29E1B4" w:rsidR="008D7A22" w:rsidRDefault="008D7A22" w:rsidP="008D7A22">
      <w:pPr>
        <w:pStyle w:val="Prrafodelista"/>
        <w:numPr>
          <w:ilvl w:val="0"/>
          <w:numId w:val="21"/>
        </w:numPr>
        <w:spacing w:after="0" w:line="240" w:lineRule="auto"/>
        <w:ind w:right="709"/>
        <w:jc w:val="both"/>
        <w:rPr>
          <w:rFonts w:ascii="Verdana" w:eastAsia="Times New Roman" w:hAnsi="Verdana" w:cs="Arial"/>
          <w:sz w:val="20"/>
          <w:szCs w:val="20"/>
          <w:lang w:eastAsia="es-MX"/>
        </w:rPr>
      </w:pPr>
      <w:r w:rsidRPr="00811B1B">
        <w:rPr>
          <w:rFonts w:ascii="Verdana" w:eastAsia="Times New Roman" w:hAnsi="Verdana" w:cs="Arial"/>
          <w:sz w:val="20"/>
          <w:szCs w:val="20"/>
          <w:lang w:eastAsia="es-MX"/>
        </w:rPr>
        <w:t>Así mismo, el artículo 56 de la Ley 1952 contempla las faltas relacionadas con el régimen de incompatibilidades, inhabilidades, impedimentos y conflictos de intereses</w:t>
      </w:r>
      <w:r>
        <w:rPr>
          <w:rFonts w:ascii="Verdana" w:eastAsia="Times New Roman" w:hAnsi="Verdana" w:cs="Arial"/>
          <w:sz w:val="20"/>
          <w:szCs w:val="20"/>
          <w:lang w:eastAsia="es-MX"/>
        </w:rPr>
        <w:t>, dentro los numerales 1 y 4 de la norma ibidem señalan:</w:t>
      </w:r>
    </w:p>
    <w:p w14:paraId="78C1A449" w14:textId="77777777" w:rsidR="008D7A22" w:rsidRPr="00811B1B" w:rsidRDefault="008D7A22" w:rsidP="008D7A22">
      <w:pPr>
        <w:pStyle w:val="Prrafodelista"/>
        <w:spacing w:after="0" w:line="240" w:lineRule="auto"/>
        <w:ind w:right="709"/>
        <w:jc w:val="both"/>
        <w:rPr>
          <w:rFonts w:ascii="Verdana" w:eastAsia="Times New Roman" w:hAnsi="Verdana" w:cs="Arial"/>
          <w:i/>
          <w:iCs/>
          <w:sz w:val="20"/>
          <w:szCs w:val="20"/>
          <w:lang w:eastAsia="es-MX"/>
        </w:rPr>
      </w:pPr>
      <w:r w:rsidRPr="00811B1B">
        <w:rPr>
          <w:rFonts w:ascii="Verdana" w:eastAsia="Times New Roman" w:hAnsi="Verdana" w:cs="Arial"/>
          <w:i/>
          <w:iCs/>
          <w:sz w:val="20"/>
          <w:szCs w:val="20"/>
          <w:lang w:eastAsia="es-MX"/>
        </w:rPr>
        <w:t>(…)”</w:t>
      </w:r>
    </w:p>
    <w:p w14:paraId="723EA2E0" w14:textId="77777777" w:rsidR="008D7A22" w:rsidRPr="00811B1B" w:rsidRDefault="008D7A22" w:rsidP="008D7A22">
      <w:pPr>
        <w:pStyle w:val="Prrafodelista"/>
        <w:spacing w:after="0" w:line="240" w:lineRule="auto"/>
        <w:ind w:right="709"/>
        <w:jc w:val="both"/>
        <w:rPr>
          <w:rFonts w:ascii="Verdana" w:eastAsia="Times New Roman" w:hAnsi="Verdana" w:cs="Arial"/>
          <w:i/>
          <w:iCs/>
          <w:sz w:val="20"/>
          <w:szCs w:val="20"/>
          <w:lang w:eastAsia="es-MX"/>
        </w:rPr>
      </w:pPr>
    </w:p>
    <w:p w14:paraId="4B361AE9" w14:textId="77777777" w:rsidR="008D7A22" w:rsidRPr="00811B1B" w:rsidRDefault="008D7A22" w:rsidP="008D7A22">
      <w:pPr>
        <w:pStyle w:val="Prrafodelista"/>
        <w:numPr>
          <w:ilvl w:val="0"/>
          <w:numId w:val="23"/>
        </w:numPr>
        <w:spacing w:after="0" w:line="240" w:lineRule="auto"/>
        <w:ind w:right="709"/>
        <w:jc w:val="both"/>
        <w:rPr>
          <w:rFonts w:ascii="Verdana" w:eastAsia="Times New Roman" w:hAnsi="Verdana" w:cs="Arial"/>
          <w:i/>
          <w:iCs/>
          <w:sz w:val="20"/>
          <w:szCs w:val="20"/>
          <w:lang w:eastAsia="es-MX"/>
        </w:rPr>
      </w:pPr>
      <w:r w:rsidRPr="00811B1B">
        <w:rPr>
          <w:rFonts w:ascii="Verdana" w:eastAsia="Times New Roman" w:hAnsi="Verdana" w:cs="Arial"/>
          <w:i/>
          <w:iCs/>
          <w:sz w:val="20"/>
          <w:szCs w:val="20"/>
          <w:lang w:eastAsia="es-MX"/>
        </w:rPr>
        <w:t>Actuar u omitir, a pesar de la existencia de causales de incompatibilidad, inhabilidad y conflicto de intereses, de acuerdo con las previsiones constitucionales y legales.</w:t>
      </w:r>
    </w:p>
    <w:p w14:paraId="79CF509D" w14:textId="77777777" w:rsidR="008D7A22" w:rsidRPr="00811B1B" w:rsidRDefault="008D7A22" w:rsidP="00811B1B">
      <w:pPr>
        <w:pStyle w:val="Prrafodelista"/>
        <w:spacing w:after="0" w:line="240" w:lineRule="auto"/>
        <w:ind w:right="709"/>
        <w:jc w:val="both"/>
        <w:rPr>
          <w:rFonts w:ascii="Verdana" w:eastAsia="Times New Roman" w:hAnsi="Verdana" w:cs="Arial"/>
          <w:i/>
          <w:iCs/>
          <w:sz w:val="20"/>
          <w:szCs w:val="20"/>
          <w:lang w:eastAsia="es-MX"/>
        </w:rPr>
      </w:pPr>
    </w:p>
    <w:p w14:paraId="5C35F8EC" w14:textId="6ED96726" w:rsidR="008D7A22" w:rsidRPr="00811B1B" w:rsidRDefault="008D7A22" w:rsidP="00811B1B">
      <w:pPr>
        <w:spacing w:after="0" w:line="240" w:lineRule="auto"/>
        <w:ind w:left="360" w:right="709"/>
        <w:jc w:val="both"/>
        <w:rPr>
          <w:rFonts w:ascii="Verdana" w:eastAsia="Times New Roman" w:hAnsi="Verdana" w:cs="Arial"/>
          <w:i/>
          <w:iCs/>
          <w:sz w:val="20"/>
          <w:szCs w:val="20"/>
          <w:lang w:eastAsia="es-MX"/>
        </w:rPr>
      </w:pPr>
      <w:r w:rsidRPr="00811B1B">
        <w:rPr>
          <w:rFonts w:ascii="Verdana" w:eastAsia="Times New Roman" w:hAnsi="Verdana" w:cs="Arial"/>
          <w:i/>
          <w:iCs/>
          <w:sz w:val="20"/>
          <w:szCs w:val="20"/>
          <w:lang w:eastAsia="es-MX"/>
        </w:rPr>
        <w:t xml:space="preserve">4. Prestar, a título personal o por interpuesta persona, servicios de asistencia, representación o asesoría en asuntos relacionados con las funciones propias del cargo, o permitir que ello ocurra, hasta por el término de un (1) año después de la dejación del cargo, con respecto del organismo, entidad o corporación en la cual presto sus servicios, y para la prestación de servicios </w:t>
      </w:r>
      <w:r w:rsidRPr="00811B1B">
        <w:rPr>
          <w:rFonts w:ascii="Verdana" w:eastAsia="Times New Roman" w:hAnsi="Verdana" w:cs="Arial"/>
          <w:i/>
          <w:iCs/>
          <w:sz w:val="20"/>
          <w:szCs w:val="20"/>
          <w:lang w:eastAsia="es-MX"/>
        </w:rPr>
        <w:lastRenderedPageBreak/>
        <w:t>de asistencia, representación o asesoría a quienes estuvieron sujetos a la inspección, vigilancia, control o regulación de la entidad, corporación u organismo al que haya estado vinculado. (…)”</w:t>
      </w:r>
    </w:p>
    <w:p w14:paraId="742A77B9" w14:textId="77777777" w:rsidR="008D7A22" w:rsidRPr="008D7A22" w:rsidRDefault="008D7A22" w:rsidP="00811B1B">
      <w:pPr>
        <w:pStyle w:val="Prrafodelista"/>
        <w:spacing w:after="0" w:line="240" w:lineRule="auto"/>
        <w:ind w:left="1125" w:right="709"/>
        <w:jc w:val="both"/>
        <w:rPr>
          <w:rFonts w:ascii="Verdana" w:eastAsia="Times New Roman" w:hAnsi="Verdana" w:cs="Arial"/>
          <w:sz w:val="20"/>
          <w:szCs w:val="20"/>
          <w:lang w:eastAsia="es-MX"/>
        </w:rPr>
      </w:pPr>
    </w:p>
    <w:p w14:paraId="14E0A2F9" w14:textId="77777777" w:rsidR="008D7A22" w:rsidRPr="00811B1B" w:rsidRDefault="008D7A22" w:rsidP="00811B1B">
      <w:pPr>
        <w:pStyle w:val="Prrafodelista"/>
        <w:spacing w:after="0" w:line="240" w:lineRule="auto"/>
        <w:ind w:right="709"/>
        <w:jc w:val="both"/>
        <w:rPr>
          <w:rFonts w:ascii="Verdana" w:eastAsia="Times New Roman" w:hAnsi="Verdana" w:cs="Arial"/>
          <w:sz w:val="20"/>
          <w:szCs w:val="20"/>
          <w:lang w:eastAsia="es-MX"/>
        </w:rPr>
      </w:pPr>
    </w:p>
    <w:p w14:paraId="2C74573F" w14:textId="205334F0" w:rsidR="008D7A22" w:rsidRPr="00811B1B" w:rsidRDefault="00BE0DFA" w:rsidP="00B1650E">
      <w:pPr>
        <w:pStyle w:val="Prrafodelista"/>
        <w:numPr>
          <w:ilvl w:val="0"/>
          <w:numId w:val="21"/>
        </w:numPr>
        <w:spacing w:after="0" w:line="240" w:lineRule="auto"/>
        <w:ind w:right="709"/>
        <w:jc w:val="both"/>
        <w:rPr>
          <w:rFonts w:ascii="Verdana" w:eastAsia="Times New Roman" w:hAnsi="Verdana" w:cs="Arial"/>
          <w:sz w:val="20"/>
          <w:szCs w:val="20"/>
          <w:lang w:eastAsia="es-MX"/>
        </w:rPr>
      </w:pPr>
      <w:r w:rsidRPr="008D7A22">
        <w:rPr>
          <w:rFonts w:ascii="Verdana" w:eastAsia="Times New Roman" w:hAnsi="Verdana" w:cs="Arial"/>
          <w:sz w:val="20"/>
          <w:szCs w:val="20"/>
          <w:lang w:eastAsia="es-MX"/>
        </w:rPr>
        <w:t xml:space="preserve">En conclusión, al ser las inhabilidades  e incompatibilidades taxativas, estas no admiten interpretación en extenso, no obstante, no es </w:t>
      </w:r>
      <w:r w:rsidR="008D7A22" w:rsidRPr="008D7A22">
        <w:rPr>
          <w:rFonts w:ascii="Verdana" w:eastAsia="Times New Roman" w:hAnsi="Verdana" w:cs="Arial"/>
          <w:sz w:val="20"/>
          <w:szCs w:val="20"/>
          <w:lang w:eastAsia="es-MX"/>
        </w:rPr>
        <w:t>óbice</w:t>
      </w:r>
      <w:r w:rsidRPr="008D7A22">
        <w:rPr>
          <w:rFonts w:ascii="Verdana" w:eastAsia="Times New Roman" w:hAnsi="Verdana" w:cs="Arial"/>
          <w:sz w:val="20"/>
          <w:szCs w:val="20"/>
          <w:lang w:eastAsia="es-MX"/>
        </w:rPr>
        <w:t xml:space="preserve"> de que dentro de la ejecución de un contrato de prestación de servicio se presente conflicto de intereses entre el contratista que desarrolla la actividad para la cual fue contratado y  sobre quien ejerce la función de inspección, vigilancia y control, situación en la cual deberá declararse impedido</w:t>
      </w:r>
      <w:r w:rsidR="008D7A22" w:rsidRPr="008D7A22">
        <w:rPr>
          <w:rFonts w:ascii="Verdana" w:eastAsia="Times New Roman" w:hAnsi="Verdana" w:cs="Arial"/>
          <w:sz w:val="20"/>
          <w:szCs w:val="20"/>
          <w:lang w:eastAsia="es-MX"/>
        </w:rPr>
        <w:t>, debido a que podría verse inmerso de conformidad a las actividades que desarrolla en una de las faltas contempladas en el artículo 56 de la Ley 1952 de 2019.</w:t>
      </w:r>
    </w:p>
    <w:p w14:paraId="71393A24" w14:textId="77777777" w:rsidR="00F76580" w:rsidRPr="00AC3E1A" w:rsidRDefault="00F76580" w:rsidP="00F76580">
      <w:pPr>
        <w:widowControl w:val="0"/>
        <w:autoSpaceDE w:val="0"/>
        <w:autoSpaceDN w:val="0"/>
        <w:spacing w:after="0" w:line="276" w:lineRule="auto"/>
        <w:jc w:val="both"/>
        <w:rPr>
          <w:rFonts w:ascii="Verdana" w:hAnsi="Verdana" w:cs="Arial"/>
        </w:rPr>
      </w:pPr>
    </w:p>
    <w:p w14:paraId="3B7867EC" w14:textId="77777777" w:rsidR="00F76580" w:rsidRPr="00AC3E1A" w:rsidRDefault="00F76580" w:rsidP="00811B1B">
      <w:pPr>
        <w:pStyle w:val="Prrafodelista"/>
        <w:numPr>
          <w:ilvl w:val="0"/>
          <w:numId w:val="23"/>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3E1A">
        <w:rPr>
          <w:rFonts w:ascii="Verdana" w:eastAsia="Century Gothic" w:hAnsi="Verdana" w:cs="Century Gothic"/>
          <w:b/>
          <w:bCs/>
        </w:rPr>
        <w:t>Referencias normativas, jurisprudenciales y otras fuentes:</w:t>
      </w:r>
    </w:p>
    <w:p w14:paraId="1537917E" w14:textId="77777777" w:rsidR="00F76580" w:rsidRPr="00AC3E1A" w:rsidRDefault="00F76580" w:rsidP="00F7658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6580" w:rsidRPr="00AC3E1A" w14:paraId="51C95D94" w14:textId="77777777" w:rsidTr="00550B56">
        <w:trPr>
          <w:trHeight w:val="870"/>
        </w:trPr>
        <w:tc>
          <w:tcPr>
            <w:tcW w:w="8647" w:type="dxa"/>
          </w:tcPr>
          <w:p w14:paraId="0FD55090" w14:textId="77777777" w:rsidR="00F76580" w:rsidRPr="00AC3E1A" w:rsidRDefault="00F76580" w:rsidP="00F76580">
            <w:pPr>
              <w:pStyle w:val="Prrafodelista"/>
              <w:widowControl w:val="0"/>
              <w:numPr>
                <w:ilvl w:val="0"/>
                <w:numId w:val="18"/>
              </w:numPr>
              <w:autoSpaceDE w:val="0"/>
              <w:autoSpaceDN w:val="0"/>
              <w:spacing w:after="120" w:line="276" w:lineRule="auto"/>
              <w:jc w:val="both"/>
              <w:rPr>
                <w:rFonts w:ascii="Verdana" w:hAnsi="Verdana" w:cs="Arial"/>
              </w:rPr>
            </w:pPr>
            <w:r w:rsidRPr="00AC3E1A">
              <w:rPr>
                <w:rFonts w:ascii="Verdana" w:hAnsi="Verdana" w:cs="Arial"/>
              </w:rPr>
              <w:t>Corte Constitucional. Sentencia C-563 de 1998. Magistrados ponentes: Dr. Antonio Barrera Carbonell y Dr. Carlos Gaviria Diaz. Expediente D-1989.</w:t>
            </w:r>
          </w:p>
          <w:p w14:paraId="05806A39" w14:textId="77777777" w:rsidR="00F76580" w:rsidRPr="00AC3E1A" w:rsidRDefault="00F76580" w:rsidP="00F76580">
            <w:pPr>
              <w:pStyle w:val="Prrafodelista"/>
              <w:widowControl w:val="0"/>
              <w:numPr>
                <w:ilvl w:val="0"/>
                <w:numId w:val="18"/>
              </w:numPr>
              <w:autoSpaceDE w:val="0"/>
              <w:autoSpaceDN w:val="0"/>
              <w:spacing w:after="120" w:line="276" w:lineRule="auto"/>
              <w:jc w:val="both"/>
              <w:rPr>
                <w:rFonts w:ascii="Verdana" w:hAnsi="Verdana" w:cs="Arial"/>
                <w:lang w:val="es-CO"/>
              </w:rPr>
            </w:pPr>
            <w:r w:rsidRPr="00AC3E1A">
              <w:rPr>
                <w:rFonts w:ascii="Verdana" w:hAnsi="Verdana" w:cs="Arial"/>
                <w:lang w:val="es-ES_tradnl"/>
              </w:rPr>
              <w:t>Ley 80 de 1993:</w:t>
            </w:r>
            <w:r w:rsidRPr="00AC3E1A">
              <w:rPr>
                <w:rFonts w:ascii="Verdana" w:hAnsi="Verdana"/>
              </w:rPr>
              <w:t xml:space="preserve"> </w:t>
            </w:r>
            <w:r w:rsidRPr="00AC3E1A">
              <w:rPr>
                <w:rFonts w:ascii="Verdana" w:hAnsi="Verdana" w:cs="Arial"/>
                <w:lang w:val="es-ES_tradnl"/>
              </w:rPr>
              <w:t xml:space="preserve">artículos 8, </w:t>
            </w:r>
            <w:r w:rsidRPr="00AC3E1A">
              <w:rPr>
                <w:rFonts w:ascii="Verdana" w:hAnsi="Verdana" w:cs="Arial"/>
                <w:lang w:val="es-CO"/>
              </w:rPr>
              <w:t>25 numeral 7°</w:t>
            </w:r>
            <w:r w:rsidRPr="00AC3E1A">
              <w:rPr>
                <w:rFonts w:ascii="Verdana" w:hAnsi="Verdana" w:cs="Arial"/>
              </w:rPr>
              <w:t xml:space="preserve"> y</w:t>
            </w:r>
            <w:r w:rsidRPr="00AC3E1A">
              <w:rPr>
                <w:rFonts w:ascii="Verdana" w:hAnsi="Verdana" w:cs="Arial"/>
                <w:lang w:val="es-CO"/>
              </w:rPr>
              <w:t xml:space="preserve"> </w:t>
            </w:r>
            <w:r w:rsidRPr="00AC3E1A">
              <w:rPr>
                <w:rFonts w:ascii="Verdana" w:hAnsi="Verdana" w:cs="Arial"/>
                <w:lang w:val="es-ES_tradnl"/>
              </w:rPr>
              <w:t xml:space="preserve">32 numeral 3º. </w:t>
            </w:r>
          </w:p>
          <w:p w14:paraId="5952CD2B" w14:textId="77777777" w:rsidR="00F76580" w:rsidRPr="00811B1B" w:rsidRDefault="00F76580" w:rsidP="00F76580">
            <w:pPr>
              <w:pStyle w:val="Prrafodelista"/>
              <w:widowControl w:val="0"/>
              <w:numPr>
                <w:ilvl w:val="0"/>
                <w:numId w:val="18"/>
              </w:numPr>
              <w:autoSpaceDE w:val="0"/>
              <w:autoSpaceDN w:val="0"/>
              <w:spacing w:after="120" w:line="276" w:lineRule="auto"/>
              <w:jc w:val="both"/>
              <w:rPr>
                <w:rFonts w:ascii="Verdana" w:hAnsi="Verdana" w:cs="Arial"/>
              </w:rPr>
            </w:pPr>
            <w:r w:rsidRPr="00AC3E1A">
              <w:rPr>
                <w:rFonts w:ascii="Verdana" w:hAnsi="Verdana" w:cs="Arial"/>
                <w:lang w:val="es-ES_tradnl"/>
              </w:rPr>
              <w:t>Ley 1150 de 2007: artículo 2 numeral 4 literal h).</w:t>
            </w:r>
          </w:p>
          <w:p w14:paraId="2A77D23E" w14:textId="3AF0F5C1" w:rsidR="00B1650E" w:rsidRPr="00AC3E1A" w:rsidRDefault="00B1650E" w:rsidP="00F76580">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lang w:val="es-ES_tradnl"/>
              </w:rPr>
              <w:t>Ley 9252 de 2019.</w:t>
            </w:r>
          </w:p>
        </w:tc>
      </w:tr>
    </w:tbl>
    <w:p w14:paraId="3517D46D" w14:textId="77777777" w:rsidR="00F76580" w:rsidRPr="00AC3E1A" w:rsidRDefault="00F76580" w:rsidP="00F76580">
      <w:pPr>
        <w:widowControl w:val="0"/>
        <w:autoSpaceDE w:val="0"/>
        <w:autoSpaceDN w:val="0"/>
        <w:spacing w:after="0" w:line="276" w:lineRule="auto"/>
        <w:jc w:val="both"/>
        <w:rPr>
          <w:rFonts w:ascii="Verdana" w:hAnsi="Verdana" w:cs="Arial"/>
        </w:rPr>
      </w:pPr>
    </w:p>
    <w:p w14:paraId="6E3D3562" w14:textId="77777777" w:rsidR="00F76580" w:rsidRPr="00AC3E1A" w:rsidRDefault="00F76580" w:rsidP="00811B1B">
      <w:pPr>
        <w:pStyle w:val="Prrafodelista"/>
        <w:numPr>
          <w:ilvl w:val="0"/>
          <w:numId w:val="23"/>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3E1A">
        <w:rPr>
          <w:rFonts w:ascii="Verdana" w:eastAsia="Century Gothic" w:hAnsi="Verdana" w:cs="Century Gothic"/>
          <w:b/>
          <w:bCs/>
        </w:rPr>
        <w:t>Doctrina de la Agencia Nacional de Contratación Pública:</w:t>
      </w:r>
    </w:p>
    <w:p w14:paraId="3D35DDFF" w14:textId="77777777" w:rsidR="00F76580" w:rsidRPr="00AC3E1A" w:rsidRDefault="00F76580" w:rsidP="00F76580">
      <w:pPr>
        <w:widowControl w:val="0"/>
        <w:autoSpaceDE w:val="0"/>
        <w:autoSpaceDN w:val="0"/>
        <w:spacing w:after="0" w:line="276" w:lineRule="auto"/>
        <w:jc w:val="both"/>
        <w:rPr>
          <w:rFonts w:ascii="Verdana" w:hAnsi="Verdana" w:cs="Arial"/>
        </w:rPr>
      </w:pPr>
    </w:p>
    <w:p w14:paraId="569260F8" w14:textId="7D02C60A" w:rsidR="00F76580" w:rsidRDefault="00F76580" w:rsidP="00F7658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AC3E1A">
        <w:rPr>
          <w:rStyle w:val="normaltextrun"/>
          <w:rFonts w:ascii="Verdana" w:hAnsi="Verdana" w:cs="Arial"/>
          <w:shd w:val="clear" w:color="auto" w:fill="FFFFFF"/>
          <w:lang w:val="es-ES"/>
        </w:rPr>
        <w:t xml:space="preserve">Sobre el contrato de prestación de servicios profesionales se ha pronunciado esta Subdirección en los conceptos 4201912000005478 del 25 de septiembre de 2019, 4201912000006692 del 12 de noviembre de 2019, C-090 del 24 de febrero de 2020, C-734 del 28 de noviembre de 2022, C-783 del 05 de diciembre de 2022, C-936 del 19 de diciembre de 2022, C-826 del 22 de diciembre de 2022, C-780 del 22 de diciembre de 2022, C-103 del 05 de mayo de 2023, C-286 del 26 de julio de 2023, C-334 del 17 de agosto de 2023, C-443 del 31 de octubre de 2023, C-463 del 22 de noviembre de 2023, C-472 del 11 de diciembre de 2023, C-067 del 16 de mayo de 2024, y C-172 del 25 de julio de 2024; sobre el régimen de inhabilidades e incompatibilidades en la contratación pública, sus criterios de interpretación –– y sus efectos en la capacidad contractual, entre otros, en los conceptos: C-090 del 24 de febrero de 2020, C-125 del 3 de marzo de 2020, C-157 del 17 de marzo de 2020, C-273 del 21 de mayo de 2020, C-402 del 26 de junio de 2020, C-386 del 24 de julio de 2020, C-701 del 6 de enero de 2021, C-004 del 12 de febrero de 2021, C-210 del 12 de mayo de </w:t>
      </w:r>
      <w:r w:rsidRPr="00AC3E1A">
        <w:rPr>
          <w:rStyle w:val="normaltextrun"/>
          <w:rFonts w:ascii="Verdana" w:hAnsi="Verdana" w:cs="Arial"/>
          <w:shd w:val="clear" w:color="auto" w:fill="FFFFFF"/>
          <w:lang w:val="es-ES"/>
        </w:rPr>
        <w:lastRenderedPageBreak/>
        <w:t>2021, C-275 del 11 de junio de 2021, 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y C-185 del 30 de julio de 2024</w:t>
      </w:r>
      <w:r w:rsidR="00A9285E">
        <w:rPr>
          <w:rStyle w:val="normaltextrun"/>
          <w:rFonts w:ascii="Verdana" w:hAnsi="Verdana" w:cs="Arial"/>
          <w:shd w:val="clear" w:color="auto" w:fill="FFFFFF"/>
          <w:lang w:val="es-ES"/>
        </w:rPr>
        <w:t>; y sobre</w:t>
      </w:r>
      <w:r w:rsidR="00C74BC1">
        <w:rPr>
          <w:rStyle w:val="normaltextrun"/>
          <w:rFonts w:ascii="Verdana" w:hAnsi="Verdana" w:cs="Arial"/>
          <w:shd w:val="clear" w:color="auto" w:fill="FFFFFF"/>
          <w:lang w:val="es-ES"/>
        </w:rPr>
        <w:t xml:space="preserve"> la definición de función pública en los conceptos: </w:t>
      </w:r>
      <w:r w:rsidR="00240005">
        <w:rPr>
          <w:rStyle w:val="normaltextrun"/>
          <w:rFonts w:ascii="Verdana" w:hAnsi="Verdana" w:cs="Arial"/>
          <w:shd w:val="clear" w:color="auto" w:fill="FFFFFF"/>
          <w:lang w:val="es-ES"/>
        </w:rPr>
        <w:t xml:space="preserve">C-098 del </w:t>
      </w:r>
      <w:r w:rsidR="00240005" w:rsidRPr="00240005">
        <w:rPr>
          <w:rFonts w:ascii="Verdana" w:hAnsi="Verdana" w:cs="Arial"/>
          <w:shd w:val="clear" w:color="auto" w:fill="FFFFFF"/>
        </w:rPr>
        <w:t>21 de agosto de 2024</w:t>
      </w:r>
      <w:r w:rsidR="00240005">
        <w:rPr>
          <w:rFonts w:ascii="Verdana" w:hAnsi="Verdana" w:cs="Arial"/>
          <w:shd w:val="clear" w:color="auto" w:fill="FFFFFF"/>
        </w:rPr>
        <w:t>,</w:t>
      </w:r>
      <w:r w:rsidRPr="00AC3E1A">
        <w:rPr>
          <w:rStyle w:val="normaltextrun"/>
          <w:rFonts w:ascii="Verdana" w:hAnsi="Verdana" w:cs="Arial"/>
          <w:shd w:val="clear" w:color="auto" w:fill="FFFFFF"/>
          <w:lang w:val="es-ES"/>
        </w:rPr>
        <w:t xml:space="preserve"> entre otros. Es</w:t>
      </w:r>
      <w:r w:rsidRPr="00AC3E1A">
        <w:rPr>
          <w:rFonts w:ascii="Verdana" w:hAnsi="Verdana"/>
        </w:rPr>
        <w:t xml:space="preserve">tos y otros conceptos se encuentran disponibles para consulta en el </w:t>
      </w:r>
      <w:r w:rsidRPr="00A1554D">
        <w:rPr>
          <w:rFonts w:ascii="Verdana" w:hAnsi="Verdana"/>
        </w:rPr>
        <w:t xml:space="preserve">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F76580">
          <w:rPr>
            <w:rStyle w:val="Hipervnculo"/>
            <w:rFonts w:ascii="Verdana" w:hAnsi="Verdana" w:cs="Arial"/>
            <w:color w:val="4472C4" w:themeColor="accent1"/>
            <w:shd w:val="clear" w:color="auto" w:fill="FFFFFF"/>
            <w:lang w:val="es-ES"/>
          </w:rPr>
          <w:t>https://relatoria.colombiacompra.gov.co/busqueda/conceptos</w:t>
        </w:r>
      </w:hyperlink>
      <w:r w:rsidRPr="00F76580">
        <w:rPr>
          <w:rStyle w:val="normaltextrun"/>
          <w:rFonts w:ascii="Verdana" w:hAnsi="Verdana" w:cs="Arial"/>
          <w:color w:val="4472C4" w:themeColor="accent1"/>
          <w:shd w:val="clear" w:color="auto" w:fill="FFFFFF"/>
          <w:lang w:val="es-ES"/>
        </w:rPr>
        <w:t xml:space="preserve">. </w:t>
      </w:r>
    </w:p>
    <w:p w14:paraId="489EE20F" w14:textId="77777777" w:rsidR="00F76580" w:rsidRDefault="00F76580" w:rsidP="00F7658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2533CBB" w14:textId="77777777" w:rsidR="00F76580" w:rsidRDefault="00F76580" w:rsidP="00F7658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4" w:history="1">
        <w:r w:rsidRPr="00F76580">
          <w:rPr>
            <w:rStyle w:val="Hipervnculo"/>
            <w:rFonts w:ascii="Verdana" w:hAnsi="Verdana" w:cs="Arial"/>
            <w:color w:val="4472C4" w:themeColor="accent1"/>
            <w:shd w:val="clear" w:color="auto" w:fill="FFFFFF"/>
            <w:lang w:val="es-ES"/>
          </w:rPr>
          <w:t>https://www.colombiacompra.gov.co/sala-de-prensa/boletin-digital</w:t>
        </w:r>
      </w:hyperlink>
      <w:r w:rsidRPr="00F76580">
        <w:rPr>
          <w:rStyle w:val="normaltextrun"/>
          <w:rFonts w:ascii="Verdana" w:hAnsi="Verdana" w:cs="Arial"/>
          <w:color w:val="4472C4" w:themeColor="accent1"/>
          <w:shd w:val="clear" w:color="auto" w:fill="FFFFFF"/>
          <w:lang w:val="es-ES"/>
        </w:rPr>
        <w:t xml:space="preserve">      </w:t>
      </w:r>
    </w:p>
    <w:p w14:paraId="1E4D9F43" w14:textId="77777777" w:rsidR="00F76580" w:rsidRPr="003E2460" w:rsidRDefault="00F76580" w:rsidP="00F76580">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2E39233" w14:textId="77777777" w:rsidR="00F76580" w:rsidRPr="003E2460" w:rsidRDefault="00F76580" w:rsidP="00F76580">
      <w:pPr>
        <w:spacing w:after="0" w:line="240" w:lineRule="auto"/>
        <w:jc w:val="both"/>
        <w:rPr>
          <w:rFonts w:ascii="Verdana" w:hAnsi="Verdana"/>
        </w:rPr>
      </w:pPr>
    </w:p>
    <w:p w14:paraId="0F6C8599" w14:textId="77777777" w:rsidR="00F76580" w:rsidRPr="003E2460" w:rsidRDefault="00F76580" w:rsidP="00F76580">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14DF49B" w14:textId="77777777" w:rsidR="00F76580" w:rsidRPr="003E2460" w:rsidRDefault="00F76580" w:rsidP="00F76580">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36ADB6BA" w14:textId="77777777" w:rsidR="00F76580" w:rsidRPr="003E2460" w:rsidRDefault="00F76580" w:rsidP="00F76580">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4147BDEF" w14:textId="77777777" w:rsidR="00F76580" w:rsidRPr="00593A5F" w:rsidRDefault="00F76580" w:rsidP="00F76580">
      <w:pPr>
        <w:widowControl w:val="0"/>
        <w:autoSpaceDE w:val="0"/>
        <w:autoSpaceDN w:val="0"/>
        <w:spacing w:after="0" w:line="276" w:lineRule="auto"/>
        <w:jc w:val="both"/>
        <w:rPr>
          <w:rFonts w:ascii="Verdana" w:hAnsi="Verdana" w:cs="Arial"/>
        </w:rPr>
      </w:pPr>
    </w:p>
    <w:p w14:paraId="784E54C9" w14:textId="77777777" w:rsidR="00F76580" w:rsidRPr="00593A5F" w:rsidRDefault="00F76580" w:rsidP="00F7658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017907D" w14:textId="77777777" w:rsidR="00F76580" w:rsidRPr="00593A5F" w:rsidRDefault="00F76580" w:rsidP="00F76580">
      <w:pPr>
        <w:widowControl w:val="0"/>
        <w:autoSpaceDE w:val="0"/>
        <w:autoSpaceDN w:val="0"/>
        <w:spacing w:after="0" w:line="276" w:lineRule="auto"/>
        <w:jc w:val="both"/>
        <w:rPr>
          <w:rFonts w:ascii="Verdana" w:hAnsi="Verdana" w:cs="Arial"/>
        </w:rPr>
      </w:pPr>
    </w:p>
    <w:p w14:paraId="530EF3C9" w14:textId="77777777" w:rsidR="00F76580" w:rsidRPr="00593A5F" w:rsidRDefault="00F76580" w:rsidP="00F7658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FAB40E7" w14:textId="041D8BF0" w:rsidR="00F76580" w:rsidRPr="00AC3E1A" w:rsidRDefault="007E7F02" w:rsidP="00F76580">
      <w:pPr>
        <w:spacing w:line="276" w:lineRule="auto"/>
        <w:jc w:val="center"/>
        <w:rPr>
          <w:rFonts w:ascii="Verdana" w:hAnsi="Verdana" w:cs="Arial"/>
          <w:lang w:val="es-ES_tradnl" w:eastAsia="es-CO"/>
        </w:rPr>
      </w:pPr>
      <w:r>
        <w:rPr>
          <w:noProof/>
        </w:rPr>
        <w:drawing>
          <wp:inline distT="0" distB="0" distL="0" distR="0" wp14:anchorId="21A22B45" wp14:editId="259186DC">
            <wp:extent cx="3771429" cy="1400000"/>
            <wp:effectExtent l="0" t="0" r="635" b="0"/>
            <wp:docPr id="119729258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292581" name="Imagen 1" descr="Texto&#10;&#10;Descripción generada automáticamente"/>
                    <pic:cNvPicPr/>
                  </pic:nvPicPr>
                  <pic:blipFill>
                    <a:blip r:embed="rId15"/>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76580" w:rsidRPr="00AC3E1A" w14:paraId="2820BCA0" w14:textId="77777777" w:rsidTr="00550B56">
        <w:trPr>
          <w:trHeight w:val="315"/>
        </w:trPr>
        <w:tc>
          <w:tcPr>
            <w:tcW w:w="893" w:type="dxa"/>
            <w:vAlign w:val="center"/>
            <w:hideMark/>
          </w:tcPr>
          <w:p w14:paraId="67E5EAC8" w14:textId="77777777" w:rsidR="00F76580" w:rsidRPr="00AC3E1A" w:rsidRDefault="00F76580" w:rsidP="00550B56">
            <w:pPr>
              <w:contextualSpacing/>
              <w:rPr>
                <w:rFonts w:ascii="Verdana" w:hAnsi="Verdana" w:cs="Arial"/>
                <w:sz w:val="16"/>
                <w:szCs w:val="16"/>
                <w:lang w:val="es-ES" w:eastAsia="es-ES"/>
              </w:rPr>
            </w:pPr>
            <w:r w:rsidRPr="00AC3E1A">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A6CE713" w14:textId="77777777" w:rsidR="00F76580" w:rsidRPr="00AC3E1A" w:rsidRDefault="00F76580" w:rsidP="00550B56">
            <w:pPr>
              <w:contextualSpacing/>
              <w:rPr>
                <w:rStyle w:val="normaltextrun"/>
                <w:rFonts w:ascii="Verdana" w:hAnsi="Verdana"/>
                <w:sz w:val="16"/>
                <w:szCs w:val="16"/>
              </w:rPr>
            </w:pPr>
            <w:r w:rsidRPr="00AC3E1A">
              <w:rPr>
                <w:rStyle w:val="normaltextrun"/>
                <w:rFonts w:ascii="Verdana" w:hAnsi="Verdana"/>
                <w:sz w:val="16"/>
                <w:szCs w:val="16"/>
              </w:rPr>
              <w:t>Santiago Alberto Herrera Morillo</w:t>
            </w:r>
          </w:p>
          <w:p w14:paraId="3EE9BDBC" w14:textId="77777777" w:rsidR="00F76580" w:rsidRPr="00AC3E1A" w:rsidRDefault="00F76580" w:rsidP="00550B56">
            <w:pPr>
              <w:contextualSpacing/>
              <w:rPr>
                <w:rFonts w:ascii="Verdana" w:eastAsia="Arial" w:hAnsi="Verdana" w:cs="Arial"/>
                <w:sz w:val="16"/>
                <w:szCs w:val="16"/>
              </w:rPr>
            </w:pPr>
            <w:r w:rsidRPr="00AC3E1A">
              <w:rPr>
                <w:rStyle w:val="normaltextrun"/>
                <w:rFonts w:ascii="Verdana" w:hAnsi="Verdana"/>
                <w:sz w:val="16"/>
                <w:szCs w:val="16"/>
              </w:rPr>
              <w:t xml:space="preserve">Analista T2-02 </w:t>
            </w:r>
            <w:r w:rsidRPr="00AC3E1A">
              <w:rPr>
                <w:rStyle w:val="normaltextrun"/>
                <w:rFonts w:ascii="Verdana" w:eastAsia="Arial" w:hAnsi="Verdana" w:cs="Arial"/>
                <w:sz w:val="16"/>
                <w:szCs w:val="16"/>
              </w:rPr>
              <w:t>de la Subdirección de Gestión Contractual</w:t>
            </w:r>
          </w:p>
        </w:tc>
      </w:tr>
      <w:tr w:rsidR="00F76580" w:rsidRPr="00AC3E1A" w14:paraId="7071CDB0" w14:textId="77777777" w:rsidTr="00550B56">
        <w:trPr>
          <w:trHeight w:val="330"/>
        </w:trPr>
        <w:tc>
          <w:tcPr>
            <w:tcW w:w="893" w:type="dxa"/>
            <w:vAlign w:val="center"/>
            <w:hideMark/>
          </w:tcPr>
          <w:p w14:paraId="0AF10C1D" w14:textId="77777777" w:rsidR="00F76580" w:rsidRPr="00AC3E1A" w:rsidRDefault="00F76580" w:rsidP="00550B56">
            <w:pPr>
              <w:contextualSpacing/>
              <w:rPr>
                <w:rFonts w:ascii="Verdana" w:hAnsi="Verdana" w:cs="Arial"/>
                <w:sz w:val="16"/>
                <w:szCs w:val="16"/>
                <w:lang w:val="es-ES" w:eastAsia="es-ES"/>
              </w:rPr>
            </w:pPr>
            <w:r w:rsidRPr="00AC3E1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6A5AAC" w14:textId="77777777" w:rsidR="00F76580" w:rsidRPr="00AC3E1A" w:rsidRDefault="00F76580" w:rsidP="00550B56">
            <w:pPr>
              <w:pStyle w:val="paragraph"/>
              <w:spacing w:before="0" w:beforeAutospacing="0" w:after="0" w:afterAutospacing="0"/>
              <w:contextualSpacing/>
              <w:textAlignment w:val="baseline"/>
              <w:rPr>
                <w:rStyle w:val="normaltextrun"/>
                <w:rFonts w:ascii="Verdana" w:hAnsi="Verdana" w:cs="Arial"/>
                <w:sz w:val="16"/>
                <w:szCs w:val="16"/>
                <w:lang w:val="es-ES"/>
              </w:rPr>
            </w:pPr>
            <w:r w:rsidRPr="00AC3E1A">
              <w:rPr>
                <w:rStyle w:val="normaltextrun"/>
                <w:rFonts w:ascii="Verdana" w:hAnsi="Verdana" w:cs="Arial"/>
                <w:sz w:val="16"/>
                <w:szCs w:val="16"/>
                <w:lang w:val="es-ES"/>
              </w:rPr>
              <w:t>Cielo Victoria González Meza</w:t>
            </w:r>
          </w:p>
          <w:p w14:paraId="772563C7" w14:textId="77777777" w:rsidR="00F76580" w:rsidRPr="00AC3E1A" w:rsidRDefault="00F76580" w:rsidP="00550B56">
            <w:pPr>
              <w:pStyle w:val="paragraph"/>
              <w:spacing w:before="0" w:beforeAutospacing="0" w:after="0" w:afterAutospacing="0"/>
              <w:contextualSpacing/>
              <w:textAlignment w:val="baseline"/>
              <w:rPr>
                <w:rFonts w:ascii="Verdana" w:hAnsi="Verdana" w:cs="Segoe UI"/>
                <w:sz w:val="16"/>
                <w:szCs w:val="16"/>
              </w:rPr>
            </w:pPr>
            <w:r w:rsidRPr="00AC3E1A">
              <w:rPr>
                <w:rStyle w:val="normaltextrun"/>
                <w:rFonts w:ascii="Verdana" w:hAnsi="Verdana" w:cs="Arial"/>
                <w:sz w:val="16"/>
                <w:szCs w:val="16"/>
                <w:lang w:val="es-ES"/>
              </w:rPr>
              <w:t>Contratista de la Subdirección de Gestión Contractual</w:t>
            </w:r>
            <w:r w:rsidRPr="00AC3E1A">
              <w:rPr>
                <w:rStyle w:val="eop"/>
                <w:rFonts w:ascii="Verdana" w:hAnsi="Verdana" w:cs="Arial"/>
                <w:sz w:val="16"/>
                <w:szCs w:val="16"/>
              </w:rPr>
              <w:t> </w:t>
            </w:r>
          </w:p>
        </w:tc>
      </w:tr>
      <w:tr w:rsidR="00F76580" w:rsidRPr="00AC3E1A" w14:paraId="716DBF23" w14:textId="77777777" w:rsidTr="00550B56">
        <w:trPr>
          <w:trHeight w:val="300"/>
        </w:trPr>
        <w:tc>
          <w:tcPr>
            <w:tcW w:w="893" w:type="dxa"/>
            <w:vAlign w:val="center"/>
          </w:tcPr>
          <w:p w14:paraId="58ECD7A4" w14:textId="77777777" w:rsidR="00F76580" w:rsidRPr="00AC3E1A" w:rsidRDefault="00F76580" w:rsidP="00550B56">
            <w:pPr>
              <w:contextualSpacing/>
              <w:rPr>
                <w:rFonts w:ascii="Verdana" w:hAnsi="Verdana" w:cs="Arial"/>
                <w:sz w:val="16"/>
                <w:szCs w:val="16"/>
                <w:lang w:val="es-ES" w:eastAsia="es-ES"/>
              </w:rPr>
            </w:pPr>
            <w:r w:rsidRPr="00AC3E1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198E6A" w14:textId="77777777" w:rsidR="00F76580" w:rsidRPr="00AC3E1A" w:rsidRDefault="00F76580" w:rsidP="00550B56">
            <w:pPr>
              <w:contextualSpacing/>
              <w:rPr>
                <w:rFonts w:ascii="Verdana" w:eastAsia="Calibri" w:hAnsi="Verdana" w:cs="Arial"/>
                <w:sz w:val="16"/>
                <w:szCs w:val="16"/>
                <w:lang w:val="pt-BR" w:eastAsia="es-ES"/>
              </w:rPr>
            </w:pPr>
            <w:r w:rsidRPr="00AC3E1A">
              <w:rPr>
                <w:rFonts w:ascii="Verdana" w:eastAsia="Calibri" w:hAnsi="Verdana" w:cs="Arial"/>
                <w:sz w:val="16"/>
                <w:szCs w:val="16"/>
                <w:lang w:val="pt-BR" w:eastAsia="es-ES"/>
              </w:rPr>
              <w:t>Carolina Quintero Gacharná</w:t>
            </w:r>
          </w:p>
          <w:p w14:paraId="1C793833" w14:textId="77777777" w:rsidR="00F76580" w:rsidRPr="00AC3E1A" w:rsidRDefault="00F76580" w:rsidP="00550B56">
            <w:pPr>
              <w:contextualSpacing/>
              <w:rPr>
                <w:rFonts w:ascii="Verdana" w:eastAsia="Calibri" w:hAnsi="Verdana" w:cs="Arial"/>
                <w:sz w:val="16"/>
                <w:szCs w:val="16"/>
                <w:lang w:val="pt-BR" w:eastAsia="es-ES"/>
              </w:rPr>
            </w:pPr>
            <w:r w:rsidRPr="00AC3E1A">
              <w:rPr>
                <w:rFonts w:ascii="Verdana" w:eastAsia="Calibri" w:hAnsi="Verdana" w:cs="Arial"/>
                <w:sz w:val="16"/>
                <w:szCs w:val="16"/>
                <w:lang w:eastAsia="es-ES"/>
              </w:rPr>
              <w:t>Subdirectora</w:t>
            </w:r>
            <w:r w:rsidRPr="00AC3E1A">
              <w:rPr>
                <w:rFonts w:ascii="Verdana" w:eastAsia="Calibri" w:hAnsi="Verdana" w:cs="Arial"/>
                <w:sz w:val="16"/>
                <w:szCs w:val="16"/>
                <w:lang w:val="pt-BR" w:eastAsia="es-ES"/>
              </w:rPr>
              <w:t xml:space="preserve"> de Gestión Contractual ANCP – CCE</w:t>
            </w:r>
          </w:p>
        </w:tc>
      </w:tr>
    </w:tbl>
    <w:p w14:paraId="1A4A8DEA" w14:textId="77777777" w:rsidR="00F76580" w:rsidRPr="00AC3E1A" w:rsidRDefault="00F76580" w:rsidP="00F76580">
      <w:pPr>
        <w:spacing w:after="0" w:line="240" w:lineRule="auto"/>
        <w:rPr>
          <w:rFonts w:ascii="Verdana" w:eastAsia="Times New Roman" w:hAnsi="Verdana" w:cs="Arial"/>
          <w:sz w:val="24"/>
          <w:szCs w:val="24"/>
          <w:lang w:eastAsia="es-ES"/>
        </w:rPr>
      </w:pPr>
    </w:p>
    <w:p w14:paraId="39330893" w14:textId="77777777" w:rsidR="00F76580" w:rsidRPr="00871B59" w:rsidRDefault="00F76580" w:rsidP="00F76580"/>
    <w:p w14:paraId="0F293BF4" w14:textId="7BBFAB11" w:rsidR="00127233" w:rsidRPr="00F76580" w:rsidRDefault="00127233" w:rsidP="00F76580"/>
    <w:sectPr w:rsidR="00127233" w:rsidRPr="00F7658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8A9ADF" w14:textId="77777777" w:rsidR="00AB5642" w:rsidRDefault="00AB5642" w:rsidP="004A1847">
      <w:pPr>
        <w:spacing w:after="0" w:line="240" w:lineRule="auto"/>
      </w:pPr>
      <w:r>
        <w:separator/>
      </w:r>
    </w:p>
  </w:endnote>
  <w:endnote w:type="continuationSeparator" w:id="0">
    <w:p w14:paraId="75C1590E" w14:textId="77777777" w:rsidR="00AB5642" w:rsidRDefault="00AB564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E74A7A" w14:textId="77777777" w:rsidR="00AB5642" w:rsidRDefault="00AB5642" w:rsidP="004A1847">
      <w:pPr>
        <w:spacing w:after="0" w:line="240" w:lineRule="auto"/>
      </w:pPr>
      <w:r>
        <w:separator/>
      </w:r>
    </w:p>
  </w:footnote>
  <w:footnote w:type="continuationSeparator" w:id="0">
    <w:p w14:paraId="59921494" w14:textId="77777777" w:rsidR="00AB5642" w:rsidRDefault="00AB5642" w:rsidP="004A1847">
      <w:pPr>
        <w:spacing w:after="0" w:line="240" w:lineRule="auto"/>
      </w:pPr>
      <w:r>
        <w:continuationSeparator/>
      </w:r>
    </w:p>
  </w:footnote>
  <w:footnote w:id="1">
    <w:p w14:paraId="27CB3F27" w14:textId="09C013EC" w:rsidR="000E50D9" w:rsidRPr="00811B1B" w:rsidRDefault="000E50D9">
      <w:pPr>
        <w:pStyle w:val="Textonotapie"/>
        <w:rPr>
          <w:lang w:val="es-ES"/>
        </w:rPr>
      </w:pPr>
      <w:r>
        <w:rPr>
          <w:rStyle w:val="Refdenotaalpie"/>
        </w:rPr>
        <w:footnoteRef/>
      </w:r>
      <w:r>
        <w:t xml:space="preserve"> </w:t>
      </w:r>
      <w:r>
        <w:rPr>
          <w:lang w:val="es-ES"/>
        </w:rPr>
        <w:t>Artículo 113 constitucional</w:t>
      </w:r>
    </w:p>
  </w:footnote>
  <w:footnote w:id="2">
    <w:p w14:paraId="6F876D1B" w14:textId="77777777" w:rsidR="00F76580" w:rsidRPr="00412A8F" w:rsidRDefault="00F76580" w:rsidP="00F76580">
      <w:pPr>
        <w:pStyle w:val="Textonotapie"/>
        <w:jc w:val="both"/>
        <w:rPr>
          <w:rFonts w:ascii="Verdana" w:hAnsi="Verdana"/>
          <w:color w:val="4472C4" w:themeColor="accent1"/>
          <w:sz w:val="14"/>
          <w:szCs w:val="14"/>
          <w:lang w:val="es-CO"/>
        </w:rPr>
      </w:pPr>
      <w:r w:rsidRPr="00412A8F">
        <w:rPr>
          <w:rStyle w:val="Refdenotaalpie"/>
          <w:rFonts w:ascii="Verdana" w:hAnsi="Verdana"/>
          <w:color w:val="4472C4" w:themeColor="accent1"/>
          <w:sz w:val="14"/>
          <w:szCs w:val="14"/>
        </w:rPr>
        <w:footnoteRef/>
      </w:r>
      <w:r w:rsidRPr="00412A8F">
        <w:rPr>
          <w:rFonts w:ascii="Verdana" w:hAnsi="Verdana"/>
          <w:color w:val="4472C4" w:themeColor="accent1"/>
          <w:sz w:val="14"/>
          <w:szCs w:val="14"/>
        </w:rPr>
        <w:t xml:space="preserve"> </w:t>
      </w:r>
      <w:hyperlink r:id="rId1" w:anchor="_ftn9" w:history="1">
        <w:r w:rsidRPr="00412A8F">
          <w:rPr>
            <w:rStyle w:val="Hipervnculo"/>
            <w:rFonts w:ascii="Verdana" w:hAnsi="Verdana"/>
            <w:color w:val="4472C4" w:themeColor="accent1"/>
            <w:sz w:val="14"/>
            <w:szCs w:val="14"/>
          </w:rPr>
          <w:t>https://www.funcionpublica.gov.co/eva/gestornormativo/norma.php?i=44252#_ftn9</w:t>
        </w:r>
      </w:hyperlink>
      <w:r w:rsidRPr="00412A8F">
        <w:rPr>
          <w:rFonts w:ascii="Verdana" w:hAnsi="Verdana"/>
          <w:color w:val="4472C4" w:themeColor="accent1"/>
          <w:sz w:val="14"/>
          <w:szCs w:val="14"/>
        </w:rPr>
        <w:t xml:space="preserve"> </w:t>
      </w:r>
    </w:p>
  </w:footnote>
  <w:footnote w:id="3">
    <w:p w14:paraId="3971876A" w14:textId="77777777" w:rsidR="00F76580" w:rsidRPr="00412A8F" w:rsidRDefault="00F76580" w:rsidP="00F76580">
      <w:pPr>
        <w:pStyle w:val="Textonotapie"/>
        <w:jc w:val="both"/>
        <w:rPr>
          <w:rFonts w:ascii="Verdana" w:hAnsi="Verdana"/>
          <w:sz w:val="14"/>
          <w:szCs w:val="14"/>
          <w:lang w:val="es-CO"/>
        </w:rPr>
      </w:pPr>
      <w:r w:rsidRPr="00412A8F">
        <w:rPr>
          <w:rStyle w:val="Refdenotaalpie"/>
          <w:rFonts w:ascii="Verdana" w:hAnsi="Verdana"/>
          <w:sz w:val="14"/>
          <w:szCs w:val="14"/>
        </w:rPr>
        <w:footnoteRef/>
      </w:r>
      <w:r w:rsidRPr="00412A8F">
        <w:rPr>
          <w:rFonts w:ascii="Verdana" w:hAnsi="Verdana"/>
          <w:sz w:val="14"/>
          <w:szCs w:val="14"/>
        </w:rPr>
        <w:t xml:space="preserve"> </w:t>
      </w:r>
      <w:r w:rsidRPr="00412A8F">
        <w:rPr>
          <w:rFonts w:ascii="Verdana" w:hAnsi="Verdana"/>
          <w:sz w:val="14"/>
          <w:szCs w:val="14"/>
          <w:lang w:val="es-CO"/>
        </w:rPr>
        <w:t>Giuseppe Maggiores, Derecho Penal, parte especial, Edt. Temis, 1955, p.137.</w:t>
      </w:r>
    </w:p>
  </w:footnote>
  <w:footnote w:id="4">
    <w:p w14:paraId="31FFDDB6" w14:textId="2A14C35A" w:rsidR="00173017" w:rsidRPr="00811B1B" w:rsidRDefault="00173017">
      <w:pPr>
        <w:pStyle w:val="Textonotapie"/>
        <w:rPr>
          <w:lang w:val="es-ES"/>
        </w:rPr>
      </w:pPr>
      <w:r>
        <w:rPr>
          <w:rStyle w:val="Refdenotaalpie"/>
        </w:rPr>
        <w:footnoteRef/>
      </w:r>
      <w:r>
        <w:t xml:space="preserve"> </w:t>
      </w:r>
      <w:r w:rsidRPr="00173017">
        <w:rPr>
          <w:lang w:val="es-CO"/>
        </w:rPr>
        <w:t>Sentencia de fecha 24 de agosto de 2010Proceso No. 31986, Magistrada Ponente: María del Rosario González de Lemos</w:t>
      </w:r>
    </w:p>
  </w:footnote>
  <w:footnote w:id="5">
    <w:p w14:paraId="5364C8D8" w14:textId="77777777" w:rsidR="00F76580" w:rsidRPr="00412A8F" w:rsidRDefault="00F76580" w:rsidP="00F76580">
      <w:pPr>
        <w:pStyle w:val="Textonotapie"/>
        <w:ind w:firstLine="709"/>
        <w:jc w:val="both"/>
        <w:rPr>
          <w:rFonts w:ascii="Verdana" w:hAnsi="Verdana" w:cs="Arial"/>
          <w:sz w:val="14"/>
          <w:szCs w:val="14"/>
        </w:rPr>
      </w:pPr>
      <w:r w:rsidRPr="00412A8F">
        <w:rPr>
          <w:rStyle w:val="Refdenotaalpie"/>
          <w:rFonts w:ascii="Verdana" w:hAnsi="Verdana" w:cs="Arial"/>
          <w:sz w:val="14"/>
          <w:szCs w:val="14"/>
        </w:rPr>
        <w:footnoteRef/>
      </w:r>
      <w:r w:rsidRPr="00412A8F">
        <w:rPr>
          <w:rFonts w:ascii="Verdana" w:hAnsi="Verdana" w:cs="Arial"/>
          <w:sz w:val="14"/>
          <w:szCs w:val="14"/>
        </w:rPr>
        <w:t xml:space="preserve"> Consejo de Estado. Sección Segunda. Sentencia del 9 de septiembre de 2021. Expediente No. 05001-23-33-000-2013-01143-01(1317-16). M.P. Dra. Sandra Lisset Ibarra Vélez. </w:t>
      </w:r>
    </w:p>
    <w:p w14:paraId="5C79F06A" w14:textId="77777777" w:rsidR="00F76580" w:rsidRPr="00412A8F" w:rsidRDefault="00F76580" w:rsidP="00F76580">
      <w:pPr>
        <w:pStyle w:val="Textonotapie"/>
        <w:ind w:firstLine="709"/>
        <w:jc w:val="both"/>
        <w:rPr>
          <w:rFonts w:ascii="Verdana" w:hAnsi="Verdana" w:cs="Arial"/>
          <w:sz w:val="14"/>
          <w:szCs w:val="14"/>
          <w:lang w:val="es-CO"/>
        </w:rPr>
      </w:pPr>
    </w:p>
  </w:footnote>
  <w:footnote w:id="6">
    <w:p w14:paraId="4D090C91" w14:textId="77777777" w:rsidR="00F76580" w:rsidRPr="00412A8F" w:rsidRDefault="00F76580" w:rsidP="00F76580">
      <w:pPr>
        <w:pStyle w:val="Textonotapie"/>
        <w:ind w:firstLine="709"/>
        <w:jc w:val="both"/>
        <w:rPr>
          <w:rFonts w:ascii="Verdana" w:hAnsi="Verdana" w:cs="Arial"/>
          <w:sz w:val="14"/>
          <w:szCs w:val="14"/>
        </w:rPr>
      </w:pPr>
      <w:r w:rsidRPr="00412A8F">
        <w:rPr>
          <w:rStyle w:val="Refdenotaalpie"/>
          <w:rFonts w:ascii="Verdana" w:hAnsi="Verdana" w:cs="Arial"/>
          <w:sz w:val="14"/>
          <w:szCs w:val="14"/>
        </w:rPr>
        <w:footnoteRef/>
      </w:r>
      <w:r w:rsidRPr="00412A8F">
        <w:rPr>
          <w:rFonts w:ascii="Verdana" w:hAnsi="Verdana" w:cs="Arial"/>
          <w:sz w:val="14"/>
          <w:szCs w:val="14"/>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6F33EC64" w14:textId="77777777" w:rsidR="00F76580" w:rsidRPr="00412A8F" w:rsidRDefault="00F76580" w:rsidP="00F76580">
      <w:pPr>
        <w:pStyle w:val="Textonotapie"/>
        <w:jc w:val="both"/>
        <w:rPr>
          <w:rFonts w:ascii="Verdana" w:hAnsi="Verdana"/>
          <w:sz w:val="14"/>
          <w:szCs w:val="14"/>
          <w:lang w:val="es-CO"/>
        </w:rPr>
      </w:pPr>
    </w:p>
  </w:footnote>
  <w:footnote w:id="7">
    <w:p w14:paraId="3600B0BD" w14:textId="77777777" w:rsidR="00F76580" w:rsidRPr="00412A8F" w:rsidRDefault="00F76580" w:rsidP="00F76580">
      <w:pPr>
        <w:pStyle w:val="Textonotapie"/>
        <w:ind w:firstLine="708"/>
        <w:jc w:val="both"/>
        <w:rPr>
          <w:rFonts w:ascii="Verdana" w:hAnsi="Verdana" w:cs="Arial"/>
          <w:sz w:val="14"/>
          <w:szCs w:val="14"/>
        </w:rPr>
      </w:pPr>
      <w:r w:rsidRPr="00412A8F">
        <w:rPr>
          <w:rStyle w:val="Refdenotaalpie"/>
          <w:rFonts w:ascii="Verdana" w:hAnsi="Verdana"/>
          <w:sz w:val="14"/>
          <w:szCs w:val="14"/>
        </w:rPr>
        <w:footnoteRef/>
      </w:r>
      <w:r w:rsidRPr="00412A8F">
        <w:rPr>
          <w:rFonts w:ascii="Verdana" w:hAnsi="Verdana"/>
          <w:sz w:val="14"/>
          <w:szCs w:val="14"/>
        </w:rPr>
        <w:t xml:space="preserve"> </w:t>
      </w:r>
      <w:r w:rsidRPr="00412A8F">
        <w:rPr>
          <w:rFonts w:ascii="Verdana" w:hAnsi="Verdana" w:cs="Arial"/>
          <w:sz w:val="14"/>
          <w:szCs w:val="14"/>
        </w:rPr>
        <w:t>Consejo de Estado. Sección Segunda. Sentencia del 9 de septiembre de 2021. Expediente No. 05001-23-33-000-2013-01143-01(1317-16). M.P. Dra. Sandra Lisset Ibarra Vélez.</w:t>
      </w:r>
    </w:p>
    <w:p w14:paraId="5389189A" w14:textId="77777777" w:rsidR="00F76580" w:rsidRPr="00412A8F" w:rsidRDefault="00F76580" w:rsidP="00F76580">
      <w:pPr>
        <w:pStyle w:val="Textonotapie"/>
        <w:ind w:firstLine="708"/>
        <w:jc w:val="both"/>
        <w:rPr>
          <w:rFonts w:ascii="Verdana" w:hAnsi="Verdana"/>
          <w:sz w:val="14"/>
          <w:szCs w:val="14"/>
        </w:rPr>
      </w:pPr>
    </w:p>
  </w:footnote>
  <w:footnote w:id="8">
    <w:p w14:paraId="4D81B2E5" w14:textId="77777777" w:rsidR="00F76580" w:rsidRPr="00412A8F" w:rsidRDefault="00F76580" w:rsidP="00F76580">
      <w:pPr>
        <w:pStyle w:val="Textonotapie"/>
        <w:ind w:firstLine="709"/>
        <w:jc w:val="both"/>
        <w:rPr>
          <w:rFonts w:ascii="Verdana" w:hAnsi="Verdana" w:cs="Arial"/>
          <w:sz w:val="14"/>
          <w:szCs w:val="14"/>
          <w:lang w:val="es-ES"/>
        </w:rPr>
      </w:pPr>
      <w:r w:rsidRPr="00412A8F">
        <w:rPr>
          <w:rStyle w:val="Refdenotaalpie"/>
          <w:rFonts w:ascii="Verdana" w:hAnsi="Verdana" w:cs="Arial"/>
          <w:sz w:val="14"/>
          <w:szCs w:val="14"/>
        </w:rPr>
        <w:footnoteRef/>
      </w:r>
      <w:r w:rsidRPr="00412A8F">
        <w:rPr>
          <w:rFonts w:ascii="Verdana" w:hAnsi="Verdana" w:cs="Arial"/>
          <w:sz w:val="14"/>
          <w:szCs w:val="14"/>
        </w:rPr>
        <w:t xml:space="preserve"> </w:t>
      </w:r>
      <w:r w:rsidRPr="00412A8F">
        <w:rPr>
          <w:rFonts w:ascii="Verdana" w:hAnsi="Verdana" w:cs="Arial"/>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03B8EB10" w14:textId="77777777" w:rsidR="00F76580" w:rsidRPr="00412A8F" w:rsidRDefault="00F76580" w:rsidP="00F76580">
      <w:pPr>
        <w:pStyle w:val="Textonotapie"/>
        <w:jc w:val="both"/>
        <w:rPr>
          <w:rFonts w:ascii="Verdana" w:hAnsi="Verdana"/>
          <w:sz w:val="14"/>
          <w:szCs w:val="14"/>
          <w:lang w:val="es-CO"/>
        </w:rPr>
      </w:pPr>
    </w:p>
  </w:footnote>
  <w:footnote w:id="9">
    <w:p w14:paraId="681E7F8E" w14:textId="77777777" w:rsidR="00F76580" w:rsidRPr="00412A8F" w:rsidRDefault="00F76580" w:rsidP="00F76580">
      <w:pPr>
        <w:pStyle w:val="Textonotapie"/>
        <w:ind w:firstLine="709"/>
        <w:jc w:val="both"/>
        <w:rPr>
          <w:rFonts w:ascii="Verdana" w:hAnsi="Verdana"/>
          <w:sz w:val="14"/>
          <w:szCs w:val="14"/>
          <w:lang w:val="es-CO"/>
        </w:rPr>
      </w:pPr>
      <w:r w:rsidRPr="00412A8F">
        <w:rPr>
          <w:rStyle w:val="Refdenotaalpie"/>
          <w:rFonts w:ascii="Verdana" w:hAnsi="Verdana"/>
          <w:sz w:val="14"/>
          <w:szCs w:val="14"/>
        </w:rPr>
        <w:footnoteRef/>
      </w:r>
      <w:r w:rsidRPr="00412A8F">
        <w:rPr>
          <w:rFonts w:ascii="Verdana" w:hAnsi="Verdana"/>
          <w:sz w:val="14"/>
          <w:szCs w:val="14"/>
        </w:rPr>
        <w:t xml:space="preserve"> </w:t>
      </w:r>
      <w:r w:rsidRPr="00412A8F">
        <w:rPr>
          <w:rFonts w:ascii="Verdana" w:hAnsi="Verdana" w:cs="Arial"/>
          <w:sz w:val="14"/>
          <w:szCs w:val="14"/>
          <w:lang w:val="es-ES"/>
        </w:rPr>
        <w:t>CONSEJO DE ESTADO. Sección Tercera. Subsección C. Sentencia de Unificación del 2 de diciembre de 2013. Exp. 41.719. C.P. Jaime Orlando Santofimio Gamboa.</w:t>
      </w:r>
      <w:r w:rsidRPr="00412A8F">
        <w:rPr>
          <w:rFonts w:ascii="Verdana" w:hAnsi="Verdana" w:cs="Arial"/>
          <w:sz w:val="14"/>
          <w:szCs w:val="14"/>
        </w:rPr>
        <w:t xml:space="preserve"> </w:t>
      </w:r>
      <w:r w:rsidRPr="00412A8F">
        <w:rPr>
          <w:rFonts w:ascii="Verdana" w:hAnsi="Verdana" w:cs="Arial"/>
          <w:sz w:val="14"/>
          <w:szCs w:val="14"/>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“Son también contratos de consultoría los que tienen por objeto la interventoría, asesoría, gerencia de obra o de proyectos, dirección, programación y la ejecución de diseños, planos, anteproyectos y proyectos.</w:t>
      </w:r>
      <w:r w:rsidRPr="00412A8F">
        <w:rPr>
          <w:rFonts w:ascii="Verdana" w:hAnsi="Verdana" w:cs="Arial"/>
          <w:sz w:val="14"/>
          <w:szCs w:val="14"/>
        </w:rPr>
        <w:t xml:space="preserve"> </w:t>
      </w:r>
      <w:r w:rsidRPr="00412A8F">
        <w:rPr>
          <w:rFonts w:ascii="Verdana" w:hAnsi="Verdana" w:cs="Arial"/>
          <w:sz w:val="14"/>
          <w:szCs w:val="14"/>
          <w:lang w:val="es-ES"/>
        </w:rPr>
        <w:t>Ninguna orden del interventor de una obra podrá darse verbalmente. Es obligatorio para el interventor entregar por escrito sus órdenes o sugerencias y ellas deben enmarcarse dentro de los términos del respectivo contrato”.</w:t>
      </w:r>
    </w:p>
  </w:footnote>
  <w:footnote w:id="10">
    <w:p w14:paraId="75105402" w14:textId="77777777" w:rsidR="00F76580" w:rsidRPr="00412A8F" w:rsidRDefault="00F76580" w:rsidP="00F76580">
      <w:pPr>
        <w:pStyle w:val="Textonotapie"/>
        <w:ind w:firstLine="709"/>
        <w:jc w:val="both"/>
        <w:rPr>
          <w:rFonts w:ascii="Verdana" w:hAnsi="Verdana" w:cs="Arial"/>
          <w:sz w:val="14"/>
          <w:szCs w:val="14"/>
        </w:rPr>
      </w:pPr>
      <w:r w:rsidRPr="00412A8F">
        <w:rPr>
          <w:rStyle w:val="Refdenotaalpie"/>
          <w:rFonts w:ascii="Verdana" w:hAnsi="Verdana"/>
          <w:sz w:val="14"/>
          <w:szCs w:val="14"/>
        </w:rPr>
        <w:footnoteRef/>
      </w:r>
      <w:r w:rsidRPr="00412A8F">
        <w:rPr>
          <w:rFonts w:ascii="Verdana" w:hAnsi="Verdana"/>
          <w:sz w:val="14"/>
          <w:szCs w:val="14"/>
        </w:rPr>
        <w:t xml:space="preserve"> </w:t>
      </w:r>
      <w:r w:rsidRPr="00412A8F">
        <w:rPr>
          <w:rFonts w:ascii="Verdana" w:hAnsi="Verdana" w:cs="Arial"/>
          <w:sz w:val="14"/>
          <w:szCs w:val="14"/>
        </w:rPr>
        <w:t>Así lo dispone el artículo 2.2.1.2.1.4.1. del Decreto 1082 de 2015: “La Entidad Estatal debe señalar en un acto administrativo la justificación para contratar bajo la modalidad de contratación directa, el cual debe contener:</w:t>
      </w:r>
    </w:p>
    <w:p w14:paraId="0E73C060" w14:textId="77777777" w:rsidR="00F76580" w:rsidRPr="00412A8F" w:rsidRDefault="00F76580" w:rsidP="00F76580">
      <w:pPr>
        <w:pStyle w:val="Textonotapie"/>
        <w:ind w:firstLine="709"/>
        <w:jc w:val="both"/>
        <w:rPr>
          <w:rFonts w:ascii="Verdana" w:hAnsi="Verdana" w:cs="Arial"/>
          <w:sz w:val="14"/>
          <w:szCs w:val="14"/>
        </w:rPr>
      </w:pPr>
      <w:r w:rsidRPr="00412A8F">
        <w:rPr>
          <w:rFonts w:ascii="Verdana" w:hAnsi="Verdana" w:cs="Arial"/>
          <w:sz w:val="14"/>
          <w:szCs w:val="14"/>
        </w:rPr>
        <w:t>1. La causal que invoca para contratar directamente.</w:t>
      </w:r>
    </w:p>
    <w:p w14:paraId="09A7C8DE" w14:textId="77777777" w:rsidR="00F76580" w:rsidRPr="00412A8F" w:rsidRDefault="00F76580" w:rsidP="00F76580">
      <w:pPr>
        <w:pStyle w:val="Textonotapie"/>
        <w:ind w:firstLine="709"/>
        <w:jc w:val="both"/>
        <w:rPr>
          <w:rFonts w:ascii="Verdana" w:hAnsi="Verdana" w:cs="Arial"/>
          <w:sz w:val="14"/>
          <w:szCs w:val="14"/>
        </w:rPr>
      </w:pPr>
      <w:r w:rsidRPr="00412A8F">
        <w:rPr>
          <w:rFonts w:ascii="Verdana" w:hAnsi="Verdana" w:cs="Arial"/>
          <w:sz w:val="14"/>
          <w:szCs w:val="14"/>
        </w:rPr>
        <w:t>2. El objeto del contrato.</w:t>
      </w:r>
    </w:p>
    <w:p w14:paraId="04D1A3A6" w14:textId="77777777" w:rsidR="00F76580" w:rsidRPr="00412A8F" w:rsidRDefault="00F76580" w:rsidP="00F76580">
      <w:pPr>
        <w:pStyle w:val="Textonotapie"/>
        <w:ind w:firstLine="709"/>
        <w:jc w:val="both"/>
        <w:rPr>
          <w:rFonts w:ascii="Verdana" w:hAnsi="Verdana" w:cs="Arial"/>
          <w:sz w:val="14"/>
          <w:szCs w:val="14"/>
        </w:rPr>
      </w:pPr>
      <w:r w:rsidRPr="00412A8F">
        <w:rPr>
          <w:rFonts w:ascii="Verdana" w:hAnsi="Verdana" w:cs="Arial"/>
          <w:sz w:val="14"/>
          <w:szCs w:val="14"/>
        </w:rPr>
        <w:t>3. El presupuesto para la contratación y las condiciones que exigirá al contratista.</w:t>
      </w:r>
    </w:p>
    <w:p w14:paraId="797FD737" w14:textId="77777777" w:rsidR="00F76580" w:rsidRPr="00412A8F" w:rsidRDefault="00F76580" w:rsidP="00F76580">
      <w:pPr>
        <w:pStyle w:val="Textonotapie"/>
        <w:ind w:firstLine="709"/>
        <w:jc w:val="both"/>
        <w:rPr>
          <w:rFonts w:ascii="Verdana" w:hAnsi="Verdana" w:cs="Arial"/>
          <w:sz w:val="14"/>
          <w:szCs w:val="14"/>
        </w:rPr>
      </w:pPr>
      <w:r w:rsidRPr="00412A8F">
        <w:rPr>
          <w:rFonts w:ascii="Verdana" w:hAnsi="Verdana" w:cs="Arial"/>
          <w:sz w:val="14"/>
          <w:szCs w:val="14"/>
        </w:rPr>
        <w:t>4. El lugar en el cual los interesados pueden consultar los estudios y documentos previos. Este acto administrativo no es necesario cuando el contrato a celebrar es de prestación de servicios profesionales y de apoyo a la gestión, y para los contratos de que tratan los literales (a) y (b) del artículo 2.2.1.2.1.4.3 del presente decreto”.</w:t>
      </w:r>
    </w:p>
    <w:p w14:paraId="387056DC" w14:textId="77777777" w:rsidR="00F76580" w:rsidRPr="00412A8F" w:rsidRDefault="00F76580" w:rsidP="00F76580">
      <w:pPr>
        <w:pStyle w:val="Textonotapie"/>
        <w:ind w:firstLine="709"/>
        <w:jc w:val="both"/>
        <w:rPr>
          <w:rFonts w:ascii="Verdana" w:hAnsi="Verdana"/>
          <w:sz w:val="14"/>
          <w:szCs w:val="14"/>
          <w:lang w:val="es-CO"/>
        </w:rPr>
      </w:pPr>
    </w:p>
  </w:footnote>
  <w:footnote w:id="11">
    <w:p w14:paraId="48C115C1" w14:textId="77777777" w:rsidR="00F76580" w:rsidRPr="00412A8F" w:rsidRDefault="00F76580" w:rsidP="00F76580">
      <w:pPr>
        <w:pStyle w:val="Textonotapie"/>
        <w:ind w:firstLine="709"/>
        <w:jc w:val="both"/>
        <w:rPr>
          <w:rFonts w:ascii="Verdana" w:hAnsi="Verdana" w:cs="Arial"/>
          <w:sz w:val="14"/>
          <w:szCs w:val="14"/>
          <w:lang w:val="es-ES"/>
        </w:rPr>
      </w:pPr>
      <w:r w:rsidRPr="00412A8F">
        <w:rPr>
          <w:rStyle w:val="Refdenotaalpie"/>
          <w:rFonts w:ascii="Verdana" w:hAnsi="Verdana" w:cs="Arial"/>
          <w:sz w:val="14"/>
          <w:szCs w:val="14"/>
        </w:rPr>
        <w:footnoteRef/>
      </w:r>
      <w:r w:rsidRPr="00412A8F">
        <w:rPr>
          <w:rFonts w:ascii="Verdana" w:hAnsi="Verdana" w:cs="Arial"/>
          <w:sz w:val="14"/>
          <w:szCs w:val="14"/>
        </w:rPr>
        <w:t xml:space="preserve"> </w:t>
      </w:r>
      <w:r w:rsidRPr="00412A8F">
        <w:rPr>
          <w:rFonts w:ascii="Verdana" w:hAnsi="Verdana" w:cs="Arial"/>
          <w:sz w:val="14"/>
          <w:szCs w:val="14"/>
          <w:lang w:val="es-ES"/>
        </w:rPr>
        <w:t xml:space="preserve">La norma expresa: “Art. 14. </w:t>
      </w:r>
      <w:r w:rsidRPr="00412A8F">
        <w:rPr>
          <w:rFonts w:ascii="Verdana" w:hAnsi="Verdana" w:cs="Arial"/>
          <w:sz w:val="14"/>
          <w:szCs w:val="14"/>
        </w:rPr>
        <w:t>P</w:t>
      </w:r>
      <w:r w:rsidRPr="00412A8F">
        <w:rPr>
          <w:rFonts w:ascii="Verdana" w:hAnsi="Verdana" w:cs="Arial"/>
          <w:sz w:val="14"/>
          <w:szCs w:val="14"/>
          <w:lang w:val="es-ES"/>
        </w:rPr>
        <w:t>ara el cumplimiento de los fines de la contratación, las entidades estatales al celebrar un contrato: (…) 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w:t>
      </w:r>
    </w:p>
    <w:p w14:paraId="326C732B" w14:textId="77777777" w:rsidR="00F76580" w:rsidRPr="00412A8F" w:rsidRDefault="00F76580" w:rsidP="00F76580">
      <w:pPr>
        <w:pStyle w:val="Textonotapie"/>
        <w:jc w:val="both"/>
        <w:rPr>
          <w:rFonts w:ascii="Verdana" w:hAnsi="Verdana"/>
          <w:sz w:val="14"/>
          <w:szCs w:val="14"/>
          <w:lang w:val="es-CO"/>
        </w:rPr>
      </w:pPr>
    </w:p>
  </w:footnote>
  <w:footnote w:id="12">
    <w:p w14:paraId="058AFB3C" w14:textId="77777777" w:rsidR="00F76580" w:rsidRPr="00412A8F" w:rsidRDefault="00F76580" w:rsidP="00F76580">
      <w:pPr>
        <w:pStyle w:val="Textonotapie"/>
        <w:ind w:firstLine="709"/>
        <w:jc w:val="both"/>
        <w:rPr>
          <w:rFonts w:ascii="Verdana" w:hAnsi="Verdana" w:cs="Arial"/>
          <w:sz w:val="14"/>
          <w:szCs w:val="14"/>
          <w:lang w:val="es-ES"/>
        </w:rPr>
      </w:pPr>
      <w:r w:rsidRPr="00412A8F">
        <w:rPr>
          <w:rStyle w:val="Refdenotaalpie"/>
          <w:rFonts w:ascii="Verdana" w:hAnsi="Verdana" w:cs="Arial"/>
          <w:sz w:val="14"/>
          <w:szCs w:val="14"/>
        </w:rPr>
        <w:footnoteRef/>
      </w:r>
      <w:r w:rsidRPr="00412A8F">
        <w:rPr>
          <w:rFonts w:ascii="Verdana" w:hAnsi="Verdana" w:cs="Arial"/>
          <w:sz w:val="14"/>
          <w:szCs w:val="14"/>
        </w:rPr>
        <w:t xml:space="preserve"> </w:t>
      </w:r>
      <w:r w:rsidRPr="00412A8F">
        <w:rPr>
          <w:rFonts w:ascii="Verdana" w:hAnsi="Verdana" w:cs="Arial"/>
          <w:sz w:val="14"/>
          <w:szCs w:val="14"/>
          <w:lang w:val="es-ES"/>
        </w:rPr>
        <w:t>La norma dispone: “La liquidación a que se refiere el presente artículo no será obligatoria en los contratos de prestación de servicios profesionales y de apoyo a la gestión”.</w:t>
      </w:r>
    </w:p>
    <w:p w14:paraId="3FD4F2A1" w14:textId="77777777" w:rsidR="00F76580" w:rsidRPr="00412A8F" w:rsidRDefault="00F76580" w:rsidP="00F76580">
      <w:pPr>
        <w:pStyle w:val="Textonotapie"/>
        <w:jc w:val="both"/>
        <w:rPr>
          <w:rFonts w:ascii="Verdana" w:hAnsi="Verdana"/>
          <w:sz w:val="14"/>
          <w:szCs w:val="14"/>
          <w:lang w:val="es-CO"/>
        </w:rPr>
      </w:pPr>
    </w:p>
  </w:footnote>
  <w:footnote w:id="13">
    <w:p w14:paraId="676CEF6A" w14:textId="77777777" w:rsidR="00F76580" w:rsidRPr="00412A8F" w:rsidRDefault="00F76580" w:rsidP="00F76580">
      <w:pPr>
        <w:pStyle w:val="Textonotapie"/>
        <w:ind w:firstLine="709"/>
        <w:jc w:val="both"/>
        <w:rPr>
          <w:rFonts w:ascii="Verdana" w:hAnsi="Verdana" w:cs="Arial"/>
          <w:sz w:val="14"/>
          <w:szCs w:val="14"/>
        </w:rPr>
      </w:pPr>
      <w:r w:rsidRPr="00412A8F">
        <w:rPr>
          <w:rStyle w:val="Refdenotaalpie"/>
          <w:rFonts w:ascii="Verdana" w:hAnsi="Verdana" w:cs="Arial"/>
          <w:sz w:val="14"/>
          <w:szCs w:val="14"/>
        </w:rPr>
        <w:footnoteRef/>
      </w:r>
      <w:r w:rsidRPr="00412A8F">
        <w:rPr>
          <w:rFonts w:ascii="Verdana" w:hAnsi="Verdana" w:cs="Arial"/>
          <w:sz w:val="14"/>
          <w:szCs w:val="14"/>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5929A90C" w14:textId="77777777" w:rsidR="00F76580" w:rsidRPr="00412A8F" w:rsidRDefault="00F76580" w:rsidP="00F76580">
      <w:pPr>
        <w:pStyle w:val="Textonotapie"/>
        <w:jc w:val="both"/>
        <w:rPr>
          <w:rFonts w:ascii="Verdana" w:hAnsi="Verdana"/>
          <w:sz w:val="14"/>
          <w:szCs w:val="14"/>
          <w:lang w:val="es-CO"/>
        </w:rPr>
      </w:pPr>
    </w:p>
  </w:footnote>
  <w:footnote w:id="14">
    <w:p w14:paraId="2E470EA6" w14:textId="77777777" w:rsidR="00F76580" w:rsidRPr="00412A8F" w:rsidRDefault="00F76580" w:rsidP="00F76580">
      <w:pPr>
        <w:pStyle w:val="Textonotapie"/>
        <w:ind w:firstLine="709"/>
        <w:jc w:val="both"/>
        <w:rPr>
          <w:rFonts w:ascii="Verdana" w:hAnsi="Verdana" w:cs="Arial"/>
          <w:sz w:val="14"/>
          <w:szCs w:val="14"/>
          <w:lang w:val="es-ES"/>
        </w:rPr>
      </w:pPr>
      <w:r w:rsidRPr="00412A8F">
        <w:rPr>
          <w:rStyle w:val="Refdenotaalpie"/>
          <w:rFonts w:ascii="Verdana" w:hAnsi="Verdana" w:cs="Arial"/>
          <w:sz w:val="14"/>
          <w:szCs w:val="14"/>
        </w:rPr>
        <w:footnoteRef/>
      </w:r>
      <w:r w:rsidRPr="00412A8F">
        <w:rPr>
          <w:rFonts w:ascii="Verdana" w:hAnsi="Verdana" w:cs="Arial"/>
          <w:sz w:val="14"/>
          <w:szCs w:val="14"/>
        </w:rPr>
        <w:t xml:space="preserve"> </w:t>
      </w:r>
      <w:r w:rsidRPr="00412A8F">
        <w:rPr>
          <w:rFonts w:ascii="Verdana" w:hAnsi="Verdana" w:cs="Arial"/>
          <w:sz w:val="14"/>
          <w:szCs w:val="14"/>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7709AF3F" w14:textId="77777777" w:rsidR="00F76580" w:rsidRPr="00412A8F" w:rsidRDefault="00F76580" w:rsidP="00F76580">
      <w:pPr>
        <w:pStyle w:val="Textonotapie"/>
        <w:jc w:val="both"/>
        <w:rPr>
          <w:rFonts w:ascii="Verdana" w:hAnsi="Verdana"/>
          <w:sz w:val="14"/>
          <w:szCs w:val="14"/>
          <w:lang w:val="es-CO"/>
        </w:rPr>
      </w:pPr>
    </w:p>
  </w:footnote>
  <w:footnote w:id="15">
    <w:p w14:paraId="499505E3" w14:textId="77777777" w:rsidR="00F76580" w:rsidRPr="00412A8F" w:rsidRDefault="00F76580" w:rsidP="00F76580">
      <w:pPr>
        <w:pStyle w:val="Textonotapie"/>
        <w:ind w:firstLine="709"/>
        <w:jc w:val="both"/>
        <w:rPr>
          <w:rFonts w:ascii="Verdana" w:hAnsi="Verdana" w:cs="Arial"/>
          <w:sz w:val="14"/>
          <w:szCs w:val="14"/>
          <w:lang w:val="es-CO"/>
        </w:rPr>
      </w:pPr>
      <w:r w:rsidRPr="00412A8F">
        <w:rPr>
          <w:rStyle w:val="Refdenotaalpie"/>
          <w:rFonts w:ascii="Verdana" w:hAnsi="Verdana" w:cs="Arial"/>
          <w:sz w:val="14"/>
          <w:szCs w:val="14"/>
        </w:rPr>
        <w:footnoteRef/>
      </w:r>
      <w:r w:rsidRPr="00412A8F">
        <w:rPr>
          <w:rFonts w:ascii="Verdana" w:hAnsi="Verdana" w:cs="Arial"/>
          <w:sz w:val="14"/>
          <w:szCs w:val="14"/>
        </w:rPr>
        <w:t xml:space="preserve"> </w:t>
      </w:r>
      <w:r w:rsidRPr="00412A8F">
        <w:rPr>
          <w:rFonts w:ascii="Verdana" w:hAnsi="Verdana" w:cs="Arial"/>
          <w:sz w:val="14"/>
          <w:szCs w:val="14"/>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w:t>
      </w:r>
      <w:r w:rsidRPr="00412A8F">
        <w:rPr>
          <w:rFonts w:ascii="Verdana" w:hAnsi="Verdana" w:cs="Arial"/>
          <w:sz w:val="14"/>
          <w:szCs w:val="14"/>
          <w:lang w:val="es-ES"/>
        </w:rPr>
        <w:softHyphen/>
        <w:t>comendarse a determinadas personas naturales, debe justificar esta situación en los estudios y documentos previos”.</w:t>
      </w:r>
    </w:p>
  </w:footnote>
  <w:footnote w:id="16">
    <w:p w14:paraId="750FB4FF" w14:textId="77777777" w:rsidR="00F76580" w:rsidRPr="00412A8F" w:rsidRDefault="00F76580" w:rsidP="00F76580">
      <w:pPr>
        <w:pStyle w:val="Textonotapie"/>
        <w:ind w:firstLine="708"/>
        <w:contextualSpacing/>
        <w:jc w:val="both"/>
        <w:rPr>
          <w:rFonts w:ascii="Verdana" w:hAnsi="Verdana" w:cs="Arial"/>
          <w:sz w:val="14"/>
          <w:szCs w:val="14"/>
          <w:lang w:val="pt-BR"/>
        </w:rPr>
      </w:pPr>
      <w:r w:rsidRPr="00412A8F">
        <w:rPr>
          <w:rStyle w:val="Refdenotaalpie"/>
          <w:rFonts w:ascii="Verdana" w:hAnsi="Verdana" w:cs="Arial"/>
          <w:sz w:val="14"/>
          <w:szCs w:val="14"/>
        </w:rPr>
        <w:footnoteRef/>
      </w:r>
      <w:r w:rsidRPr="00412A8F">
        <w:rPr>
          <w:rFonts w:ascii="Verdana" w:hAnsi="Verdana" w:cs="Arial"/>
          <w:sz w:val="14"/>
          <w:szCs w:val="14"/>
          <w:lang w:val="pt-BR"/>
        </w:rPr>
        <w:t xml:space="preserve"> Corte Constitucional. Sentencia C-1016 de 2012. M.P. Jorge Iván Palacio. </w:t>
      </w:r>
    </w:p>
    <w:p w14:paraId="769F8B2D" w14:textId="77777777" w:rsidR="00F76580" w:rsidRPr="00412A8F" w:rsidRDefault="00F76580" w:rsidP="00F76580">
      <w:pPr>
        <w:pStyle w:val="Textonotapie"/>
        <w:ind w:firstLine="708"/>
        <w:contextualSpacing/>
        <w:jc w:val="both"/>
        <w:rPr>
          <w:rFonts w:ascii="Verdana" w:hAnsi="Verdana" w:cs="Arial"/>
          <w:sz w:val="14"/>
          <w:szCs w:val="14"/>
          <w:lang w:val="pt-BR"/>
        </w:rPr>
      </w:pPr>
    </w:p>
  </w:footnote>
  <w:footnote w:id="17">
    <w:p w14:paraId="61AB36F4" w14:textId="77777777" w:rsidR="00F76580" w:rsidRPr="00412A8F" w:rsidRDefault="00F76580" w:rsidP="00F76580">
      <w:pPr>
        <w:pStyle w:val="Textonotapie"/>
        <w:ind w:firstLine="708"/>
        <w:contextualSpacing/>
        <w:jc w:val="both"/>
        <w:rPr>
          <w:rFonts w:ascii="Verdana" w:hAnsi="Verdana" w:cs="Arial"/>
          <w:sz w:val="14"/>
          <w:szCs w:val="14"/>
          <w:lang w:val="pt-BR"/>
        </w:rPr>
      </w:pPr>
      <w:r w:rsidRPr="00412A8F">
        <w:rPr>
          <w:rFonts w:ascii="Verdana" w:hAnsi="Verdana" w:cs="Arial"/>
          <w:sz w:val="14"/>
          <w:szCs w:val="14"/>
          <w:vertAlign w:val="superscript"/>
        </w:rPr>
        <w:footnoteRef/>
      </w:r>
      <w:r w:rsidRPr="00412A8F">
        <w:rPr>
          <w:rFonts w:ascii="Verdana" w:hAnsi="Verdana" w:cs="Arial"/>
          <w:sz w:val="14"/>
          <w:szCs w:val="14"/>
          <w:lang w:val="pt-BR"/>
        </w:rPr>
        <w:t xml:space="preserve"> Corte Constitucional. Sentencia C-415 de 1994. M.P. Eduardo </w:t>
      </w:r>
      <w:r w:rsidRPr="00412A8F">
        <w:rPr>
          <w:rFonts w:ascii="Verdana" w:hAnsi="Verdana" w:cs="Arial"/>
          <w:sz w:val="14"/>
          <w:szCs w:val="14"/>
          <w:lang w:val="es-CO"/>
        </w:rPr>
        <w:t>Cifuentes Muñoz.</w:t>
      </w:r>
      <w:r w:rsidRPr="00412A8F">
        <w:rPr>
          <w:rFonts w:ascii="Verdana" w:hAnsi="Verdana" w:cs="Arial"/>
          <w:sz w:val="14"/>
          <w:szCs w:val="14"/>
          <w:lang w:val="pt-BR"/>
        </w:rPr>
        <w:t xml:space="preserve"> </w:t>
      </w:r>
    </w:p>
    <w:p w14:paraId="0068275B" w14:textId="77777777" w:rsidR="00F76580" w:rsidRPr="00412A8F" w:rsidRDefault="00F76580" w:rsidP="00F76580">
      <w:pPr>
        <w:pStyle w:val="Textonotapie"/>
        <w:ind w:firstLine="708"/>
        <w:contextualSpacing/>
        <w:jc w:val="both"/>
        <w:rPr>
          <w:rFonts w:ascii="Verdana" w:hAnsi="Verdana" w:cs="Arial"/>
          <w:sz w:val="14"/>
          <w:szCs w:val="14"/>
          <w:lang w:val="pt-B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6D74A3CF" w:rsidR="008A446D" w:rsidRDefault="008A446D" w:rsidP="00061B2A">
    <w:pPr>
      <w:pStyle w:val="Encabezado"/>
      <w:spacing w:line="120" w:lineRule="auto"/>
    </w:pPr>
  </w:p>
  <w:p w14:paraId="5603676D" w14:textId="77777777" w:rsidR="00F76580" w:rsidRDefault="00F76580"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9219CA"/>
    <w:multiLevelType w:val="hybridMultilevel"/>
    <w:tmpl w:val="AF283F8E"/>
    <w:lvl w:ilvl="0" w:tplc="6C624B64">
      <w:start w:val="1"/>
      <w:numFmt w:val="decimal"/>
      <w:lvlText w:val="%1."/>
      <w:lvlJc w:val="left"/>
      <w:pPr>
        <w:ind w:left="1125" w:hanging="405"/>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9D11952"/>
    <w:multiLevelType w:val="hybridMultilevel"/>
    <w:tmpl w:val="7FDEE608"/>
    <w:lvl w:ilvl="0" w:tplc="89C856C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5F3D626D"/>
    <w:multiLevelType w:val="hybridMultilevel"/>
    <w:tmpl w:val="1310B95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B44281A"/>
    <w:multiLevelType w:val="hybridMultilevel"/>
    <w:tmpl w:val="8A066C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7C76013D"/>
    <w:multiLevelType w:val="hybridMultilevel"/>
    <w:tmpl w:val="598E2F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341274352">
    <w:abstractNumId w:val="0"/>
  </w:num>
  <w:num w:numId="17" w16cid:durableId="1492209491">
    <w:abstractNumId w:val="6"/>
  </w:num>
  <w:num w:numId="18" w16cid:durableId="679089576">
    <w:abstractNumId w:val="11"/>
  </w:num>
  <w:num w:numId="19" w16cid:durableId="1091896638">
    <w:abstractNumId w:val="19"/>
  </w:num>
  <w:num w:numId="20" w16cid:durableId="1690795124">
    <w:abstractNumId w:val="12"/>
  </w:num>
  <w:num w:numId="21" w16cid:durableId="2047827219">
    <w:abstractNumId w:val="20"/>
  </w:num>
  <w:num w:numId="22" w16cid:durableId="744036637">
    <w:abstractNumId w:val="3"/>
  </w:num>
  <w:num w:numId="23" w16cid:durableId="13396918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A4C"/>
    <w:rsid w:val="00033BE7"/>
    <w:rsid w:val="00052E8D"/>
    <w:rsid w:val="00061B2A"/>
    <w:rsid w:val="00070B30"/>
    <w:rsid w:val="00082362"/>
    <w:rsid w:val="000A683E"/>
    <w:rsid w:val="000B19B9"/>
    <w:rsid w:val="000B4754"/>
    <w:rsid w:val="000D0334"/>
    <w:rsid w:val="000E50D9"/>
    <w:rsid w:val="000F2682"/>
    <w:rsid w:val="000F6486"/>
    <w:rsid w:val="00125105"/>
    <w:rsid w:val="001255A1"/>
    <w:rsid w:val="00127233"/>
    <w:rsid w:val="00131877"/>
    <w:rsid w:val="00173017"/>
    <w:rsid w:val="001E4177"/>
    <w:rsid w:val="001F7DC6"/>
    <w:rsid w:val="00233A17"/>
    <w:rsid w:val="00240005"/>
    <w:rsid w:val="002421BB"/>
    <w:rsid w:val="0025796E"/>
    <w:rsid w:val="002707A2"/>
    <w:rsid w:val="00285C0E"/>
    <w:rsid w:val="00285FE6"/>
    <w:rsid w:val="002951A0"/>
    <w:rsid w:val="002962BC"/>
    <w:rsid w:val="002A093D"/>
    <w:rsid w:val="002A0DD0"/>
    <w:rsid w:val="002A49AC"/>
    <w:rsid w:val="002A541B"/>
    <w:rsid w:val="002A64FD"/>
    <w:rsid w:val="002C7A84"/>
    <w:rsid w:val="002E4FD9"/>
    <w:rsid w:val="00310791"/>
    <w:rsid w:val="00322A85"/>
    <w:rsid w:val="00324168"/>
    <w:rsid w:val="003448F4"/>
    <w:rsid w:val="003554DD"/>
    <w:rsid w:val="00374F5E"/>
    <w:rsid w:val="00377E3E"/>
    <w:rsid w:val="00381AAA"/>
    <w:rsid w:val="003A26D1"/>
    <w:rsid w:val="003A779E"/>
    <w:rsid w:val="003C562D"/>
    <w:rsid w:val="003D0F4D"/>
    <w:rsid w:val="003D5B0D"/>
    <w:rsid w:val="003E0499"/>
    <w:rsid w:val="003E64B7"/>
    <w:rsid w:val="003F3941"/>
    <w:rsid w:val="00406575"/>
    <w:rsid w:val="00412A8F"/>
    <w:rsid w:val="0042722E"/>
    <w:rsid w:val="0044528D"/>
    <w:rsid w:val="00487AE5"/>
    <w:rsid w:val="004A1847"/>
    <w:rsid w:val="004A305D"/>
    <w:rsid w:val="004B6FF3"/>
    <w:rsid w:val="004F21C4"/>
    <w:rsid w:val="004F685F"/>
    <w:rsid w:val="005566E8"/>
    <w:rsid w:val="00574867"/>
    <w:rsid w:val="00586971"/>
    <w:rsid w:val="00591460"/>
    <w:rsid w:val="00592628"/>
    <w:rsid w:val="005C3777"/>
    <w:rsid w:val="005C5CDC"/>
    <w:rsid w:val="005D2467"/>
    <w:rsid w:val="005D476C"/>
    <w:rsid w:val="005D4D74"/>
    <w:rsid w:val="006066A1"/>
    <w:rsid w:val="00610812"/>
    <w:rsid w:val="00612B7D"/>
    <w:rsid w:val="006219F8"/>
    <w:rsid w:val="00640536"/>
    <w:rsid w:val="00650FF7"/>
    <w:rsid w:val="00665D70"/>
    <w:rsid w:val="00671DAC"/>
    <w:rsid w:val="006900D9"/>
    <w:rsid w:val="006D12F8"/>
    <w:rsid w:val="006E6896"/>
    <w:rsid w:val="0070065E"/>
    <w:rsid w:val="00704591"/>
    <w:rsid w:val="00706C16"/>
    <w:rsid w:val="00746AC3"/>
    <w:rsid w:val="00756841"/>
    <w:rsid w:val="007649AB"/>
    <w:rsid w:val="00771D0C"/>
    <w:rsid w:val="007833AC"/>
    <w:rsid w:val="007B268C"/>
    <w:rsid w:val="007B7171"/>
    <w:rsid w:val="007C0C0F"/>
    <w:rsid w:val="007C2046"/>
    <w:rsid w:val="007C3DC2"/>
    <w:rsid w:val="007E5497"/>
    <w:rsid w:val="007E7F02"/>
    <w:rsid w:val="00806F5F"/>
    <w:rsid w:val="00811B1B"/>
    <w:rsid w:val="00820278"/>
    <w:rsid w:val="00826EC1"/>
    <w:rsid w:val="00847A9E"/>
    <w:rsid w:val="00847ADD"/>
    <w:rsid w:val="008514A8"/>
    <w:rsid w:val="008843B6"/>
    <w:rsid w:val="00891928"/>
    <w:rsid w:val="008A446D"/>
    <w:rsid w:val="008C1DEF"/>
    <w:rsid w:val="008D180B"/>
    <w:rsid w:val="008D7A22"/>
    <w:rsid w:val="008F0EA7"/>
    <w:rsid w:val="00910F7B"/>
    <w:rsid w:val="00923EEF"/>
    <w:rsid w:val="009419F9"/>
    <w:rsid w:val="0095685E"/>
    <w:rsid w:val="00961B09"/>
    <w:rsid w:val="00965334"/>
    <w:rsid w:val="0097093E"/>
    <w:rsid w:val="009951F8"/>
    <w:rsid w:val="009A0DFA"/>
    <w:rsid w:val="009B2D26"/>
    <w:rsid w:val="009C71FA"/>
    <w:rsid w:val="009C72E7"/>
    <w:rsid w:val="009D3058"/>
    <w:rsid w:val="009F3A13"/>
    <w:rsid w:val="00A122D3"/>
    <w:rsid w:val="00A13494"/>
    <w:rsid w:val="00A17F13"/>
    <w:rsid w:val="00A20739"/>
    <w:rsid w:val="00A33C78"/>
    <w:rsid w:val="00A9285E"/>
    <w:rsid w:val="00AB0ADB"/>
    <w:rsid w:val="00AB5642"/>
    <w:rsid w:val="00AF5804"/>
    <w:rsid w:val="00B01B1A"/>
    <w:rsid w:val="00B1650E"/>
    <w:rsid w:val="00B255F4"/>
    <w:rsid w:val="00B569C6"/>
    <w:rsid w:val="00B62B2E"/>
    <w:rsid w:val="00B72CD3"/>
    <w:rsid w:val="00B72FFF"/>
    <w:rsid w:val="00B75379"/>
    <w:rsid w:val="00B86B63"/>
    <w:rsid w:val="00BC3D36"/>
    <w:rsid w:val="00BD7F72"/>
    <w:rsid w:val="00BE0DFA"/>
    <w:rsid w:val="00C04FB3"/>
    <w:rsid w:val="00C330EB"/>
    <w:rsid w:val="00C74BC1"/>
    <w:rsid w:val="00C754BE"/>
    <w:rsid w:val="00C76B1C"/>
    <w:rsid w:val="00C82882"/>
    <w:rsid w:val="00CB4ECF"/>
    <w:rsid w:val="00CB6357"/>
    <w:rsid w:val="00CC1B26"/>
    <w:rsid w:val="00D36A36"/>
    <w:rsid w:val="00D423A2"/>
    <w:rsid w:val="00D520D8"/>
    <w:rsid w:val="00D63AC2"/>
    <w:rsid w:val="00D7383B"/>
    <w:rsid w:val="00DA231B"/>
    <w:rsid w:val="00DA23A0"/>
    <w:rsid w:val="00DB3C93"/>
    <w:rsid w:val="00DC39FC"/>
    <w:rsid w:val="00DF5254"/>
    <w:rsid w:val="00E16408"/>
    <w:rsid w:val="00E20894"/>
    <w:rsid w:val="00E245AB"/>
    <w:rsid w:val="00E2764C"/>
    <w:rsid w:val="00E27F2E"/>
    <w:rsid w:val="00E413EA"/>
    <w:rsid w:val="00E50AFE"/>
    <w:rsid w:val="00E61A35"/>
    <w:rsid w:val="00E75C92"/>
    <w:rsid w:val="00E771DC"/>
    <w:rsid w:val="00E8732C"/>
    <w:rsid w:val="00E8772A"/>
    <w:rsid w:val="00E90F6B"/>
    <w:rsid w:val="00E92C27"/>
    <w:rsid w:val="00EA0E3D"/>
    <w:rsid w:val="00EC38A7"/>
    <w:rsid w:val="00EE1AA8"/>
    <w:rsid w:val="00EE2F97"/>
    <w:rsid w:val="00F01A87"/>
    <w:rsid w:val="00F06120"/>
    <w:rsid w:val="00F31EDC"/>
    <w:rsid w:val="00F462B3"/>
    <w:rsid w:val="00F5664F"/>
    <w:rsid w:val="00F63EBC"/>
    <w:rsid w:val="00F666C4"/>
    <w:rsid w:val="00F703AC"/>
    <w:rsid w:val="00F76580"/>
    <w:rsid w:val="00F76AFC"/>
    <w:rsid w:val="00F82169"/>
    <w:rsid w:val="00F86E70"/>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2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7658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76580"/>
    <w:rPr>
      <w:rFonts w:ascii="Geomanist Light" w:hAnsi="Geomanist Light"/>
      <w:lang w:val="es-ES"/>
    </w:rPr>
  </w:style>
  <w:style w:type="character" w:styleId="Refdecomentario">
    <w:name w:val="annotation reference"/>
    <w:basedOn w:val="Fuentedeprrafopredeter"/>
    <w:uiPriority w:val="99"/>
    <w:semiHidden/>
    <w:unhideWhenUsed/>
    <w:rsid w:val="00AF5804"/>
    <w:rPr>
      <w:sz w:val="16"/>
      <w:szCs w:val="16"/>
    </w:rPr>
  </w:style>
  <w:style w:type="paragraph" w:styleId="Textocomentario">
    <w:name w:val="annotation text"/>
    <w:basedOn w:val="Normal"/>
    <w:link w:val="TextocomentarioCar"/>
    <w:uiPriority w:val="99"/>
    <w:unhideWhenUsed/>
    <w:rsid w:val="00AF5804"/>
    <w:pPr>
      <w:spacing w:line="240" w:lineRule="auto"/>
    </w:pPr>
    <w:rPr>
      <w:sz w:val="20"/>
      <w:szCs w:val="20"/>
    </w:rPr>
  </w:style>
  <w:style w:type="character" w:customStyle="1" w:styleId="TextocomentarioCar">
    <w:name w:val="Texto comentario Car"/>
    <w:basedOn w:val="Fuentedeprrafopredeter"/>
    <w:link w:val="Textocomentario"/>
    <w:uiPriority w:val="99"/>
    <w:rsid w:val="00AF5804"/>
    <w:rPr>
      <w:sz w:val="20"/>
      <w:szCs w:val="20"/>
    </w:rPr>
  </w:style>
  <w:style w:type="paragraph" w:styleId="Asuntodelcomentario">
    <w:name w:val="annotation subject"/>
    <w:basedOn w:val="Textocomentario"/>
    <w:next w:val="Textocomentario"/>
    <w:link w:val="AsuntodelcomentarioCar"/>
    <w:uiPriority w:val="99"/>
    <w:semiHidden/>
    <w:unhideWhenUsed/>
    <w:rsid w:val="00AF5804"/>
    <w:rPr>
      <w:b/>
      <w:bCs/>
    </w:rPr>
  </w:style>
  <w:style w:type="character" w:customStyle="1" w:styleId="AsuntodelcomentarioCar">
    <w:name w:val="Asunto del comentario Car"/>
    <w:basedOn w:val="TextocomentarioCar"/>
    <w:link w:val="Asuntodelcomentario"/>
    <w:uiPriority w:val="99"/>
    <w:semiHidden/>
    <w:rsid w:val="00AF58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994412">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819372453">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a.osorio1101@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ala-de-prensa/boletin-digita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funcionpublica.gov.co/eva/gestornormativo/norma.php?i=4425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8ae15d26-076e-464e-81a7-6f76a0fb3917">
      <UserInfo>
        <DisplayName>Poxta IOIP</DisplayName>
        <AccountId>719</AccountId>
        <AccountType/>
      </UserInfo>
    </SharedWithUsers>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90F6B6B-7A7F-482A-8040-9F01A8AA84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F862D-5718-4C2C-82BB-132B5EEB9124}">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22</Pages>
  <Words>6829</Words>
  <Characters>37561</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Santiago Alberto Herrera Morillo</cp:lastModifiedBy>
  <cp:revision>61</cp:revision>
  <cp:lastPrinted>2023-01-10T21:18:00Z</cp:lastPrinted>
  <dcterms:created xsi:type="dcterms:W3CDTF">2024-08-23T01:44:00Z</dcterms:created>
  <dcterms:modified xsi:type="dcterms:W3CDTF">2024-08-28T20:00:00Z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