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542547" w14:textId="5B7370CE" w:rsidR="00044392" w:rsidRPr="00044392" w:rsidRDefault="00044392" w:rsidP="00D731DF">
      <w:pPr>
        <w:spacing w:line="276" w:lineRule="auto"/>
        <w:ind w:right="758"/>
        <w:jc w:val="both"/>
        <w:rPr>
          <w:rFonts w:ascii="Verdana" w:eastAsia="Calibri" w:hAnsi="Verdana" w:cs="Arial"/>
          <w:b/>
          <w:bCs/>
          <w:color w:val="000000" w:themeColor="text1"/>
          <w:lang w:val="es-MX"/>
        </w:rPr>
      </w:pPr>
      <w:r w:rsidRPr="00044392">
        <w:rPr>
          <w:rFonts w:ascii="Verdana" w:eastAsia="Calibri" w:hAnsi="Verdana" w:cs="Arial"/>
          <w:b/>
          <w:bCs/>
          <w:color w:val="000000" w:themeColor="text1"/>
          <w:lang w:val="es-MX"/>
        </w:rPr>
        <w:t>CONTRATO</w:t>
      </w:r>
      <w:r w:rsidR="00945544">
        <w:rPr>
          <w:rFonts w:ascii="Verdana" w:eastAsia="Calibri" w:hAnsi="Verdana" w:cs="Arial"/>
          <w:b/>
          <w:bCs/>
          <w:color w:val="000000" w:themeColor="text1"/>
          <w:lang w:val="es-MX"/>
        </w:rPr>
        <w:t xml:space="preserve"> DE PRESTACIÓN DE SERVICIOS </w:t>
      </w:r>
      <w:r w:rsidRPr="00044392">
        <w:rPr>
          <w:rFonts w:ascii="Verdana" w:eastAsia="Calibri" w:hAnsi="Verdana" w:cs="Arial"/>
          <w:b/>
          <w:bCs/>
          <w:color w:val="000000" w:themeColor="text1"/>
          <w:lang w:val="es-MX"/>
        </w:rPr>
        <w:t>– Concepto – Requisitos y límites para su celebración</w:t>
      </w:r>
      <w:r w:rsidR="00D731DF">
        <w:rPr>
          <w:rFonts w:ascii="Verdana" w:eastAsia="Calibri" w:hAnsi="Verdana" w:cs="Arial"/>
          <w:b/>
          <w:bCs/>
          <w:color w:val="000000" w:themeColor="text1"/>
          <w:lang w:val="es-MX"/>
        </w:rPr>
        <w:t>:</w:t>
      </w:r>
    </w:p>
    <w:p w14:paraId="1026D2B0" w14:textId="77777777" w:rsidR="00044392" w:rsidRPr="00044392" w:rsidRDefault="00044392" w:rsidP="00044392">
      <w:pPr>
        <w:spacing w:line="240" w:lineRule="auto"/>
        <w:ind w:right="758"/>
        <w:jc w:val="both"/>
        <w:rPr>
          <w:rFonts w:ascii="Verdana" w:eastAsia="Calibri" w:hAnsi="Verdana" w:cs="Arial"/>
          <w:color w:val="000000" w:themeColor="text1"/>
          <w:lang w:val="es-MX"/>
        </w:rPr>
      </w:pPr>
      <w:r w:rsidRPr="00044392">
        <w:rPr>
          <w:rFonts w:ascii="Verdana" w:eastAsia="Calibri" w:hAnsi="Verdana" w:cs="Arial"/>
          <w:color w:val="000000" w:themeColor="text1"/>
          <w:lang w:val="es-MX"/>
        </w:rPr>
        <w:t xml:space="preserve">El contrato de prestación de servicios es uno de los tipos contractuales consagrados en el Estatuto General de Contratación de la Administración Pública, que pueden celebrar las entidades estatales. 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w:t>
      </w:r>
      <w:proofErr w:type="spellStart"/>
      <w:r w:rsidRPr="00044392">
        <w:rPr>
          <w:rFonts w:ascii="Verdana" w:eastAsia="Calibri" w:hAnsi="Verdana" w:cs="Arial"/>
          <w:color w:val="000000" w:themeColor="text1"/>
          <w:lang w:val="es-MX"/>
        </w:rPr>
        <w:t>ii</w:t>
      </w:r>
      <w:proofErr w:type="spellEnd"/>
      <w:r w:rsidRPr="00044392">
        <w:rPr>
          <w:rFonts w:ascii="Verdana" w:eastAsia="Calibri" w:hAnsi="Verdana" w:cs="Arial"/>
          <w:color w:val="000000" w:themeColor="text1"/>
          <w:lang w:val="es-MX"/>
        </w:rPr>
        <w:t xml:space="preserve">)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w:t>
      </w:r>
      <w:proofErr w:type="spellStart"/>
      <w:r w:rsidRPr="00044392">
        <w:rPr>
          <w:rFonts w:ascii="Verdana" w:eastAsia="Calibri" w:hAnsi="Verdana" w:cs="Arial"/>
          <w:color w:val="000000" w:themeColor="text1"/>
          <w:lang w:val="es-MX"/>
        </w:rPr>
        <w:t>iii</w:t>
      </w:r>
      <w:proofErr w:type="spellEnd"/>
      <w:r w:rsidRPr="00044392">
        <w:rPr>
          <w:rFonts w:ascii="Verdana" w:eastAsia="Calibri" w:hAnsi="Verdana" w:cs="Arial"/>
          <w:color w:val="000000" w:themeColor="text1"/>
          <w:lang w:val="es-MX"/>
        </w:rPr>
        <w:t>)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044392">
        <w:rPr>
          <w:rFonts w:ascii="Verdana" w:eastAsia="Calibri" w:hAnsi="Verdana" w:cs="Arial"/>
          <w:i/>
          <w:iCs/>
          <w:color w:val="000000" w:themeColor="text1"/>
          <w:lang w:val="es-MX"/>
        </w:rPr>
        <w:t>subordinación y dependencia</w:t>
      </w:r>
      <w:r w:rsidRPr="00044392">
        <w:rPr>
          <w:rFonts w:ascii="Verdana" w:eastAsia="Calibri" w:hAnsi="Verdana" w:cs="Arial"/>
          <w:color w:val="000000" w:themeColor="text1"/>
          <w:lang w:val="es-MX"/>
        </w:rPr>
        <w:t xml:space="preserve"> que es uno de los elementos constitutivos del vínculo laboral; iv) debe ser temporal; v) es un género que incluye, como especies, los contratos de prestación de servicios profesionales, los contratos de prestación de servicios de apoyo a la gestión y los contratos de prestación de servicios artísticos; vi) su celebración debe realizarse a través de la modalidad de contratación directa; </w:t>
      </w:r>
      <w:proofErr w:type="spellStart"/>
      <w:r w:rsidRPr="00044392">
        <w:rPr>
          <w:rFonts w:ascii="Verdana" w:eastAsia="Calibri" w:hAnsi="Verdana" w:cs="Arial"/>
          <w:color w:val="000000" w:themeColor="text1"/>
          <w:lang w:val="es-MX"/>
        </w:rPr>
        <w:t>vii</w:t>
      </w:r>
      <w:proofErr w:type="spellEnd"/>
      <w:r w:rsidRPr="00044392">
        <w:rPr>
          <w:rFonts w:ascii="Verdana" w:eastAsia="Calibri" w:hAnsi="Verdana" w:cs="Arial"/>
          <w:color w:val="000000" w:themeColor="text1"/>
          <w:lang w:val="es-MX"/>
        </w:rPr>
        <w:t xml:space="preserve">) para su celebración no se requiere la expedición del acto administrativo de justificación de la contratación directa; </w:t>
      </w:r>
      <w:proofErr w:type="spellStart"/>
      <w:r w:rsidRPr="00044392">
        <w:rPr>
          <w:rFonts w:ascii="Verdana" w:eastAsia="Calibri" w:hAnsi="Verdana" w:cs="Arial"/>
          <w:color w:val="000000" w:themeColor="text1"/>
          <w:lang w:val="es-MX"/>
        </w:rPr>
        <w:t>viii</w:t>
      </w:r>
      <w:proofErr w:type="spellEnd"/>
      <w:r w:rsidRPr="00044392">
        <w:rPr>
          <w:rFonts w:ascii="Verdana" w:eastAsia="Calibri" w:hAnsi="Verdana" w:cs="Arial"/>
          <w:color w:val="000000" w:themeColor="text1"/>
          <w:lang w:val="es-MX"/>
        </w:rPr>
        <w:t xml:space="preserve">) admite el pacto de cláusulas excepcionales; </w:t>
      </w:r>
      <w:proofErr w:type="spellStart"/>
      <w:r w:rsidRPr="00044392">
        <w:rPr>
          <w:rFonts w:ascii="Verdana" w:eastAsia="Calibri" w:hAnsi="Verdana" w:cs="Arial"/>
          <w:color w:val="000000" w:themeColor="text1"/>
          <w:lang w:val="es-MX"/>
        </w:rPr>
        <w:t>ix</w:t>
      </w:r>
      <w:proofErr w:type="spellEnd"/>
      <w:r w:rsidRPr="00044392">
        <w:rPr>
          <w:rFonts w:ascii="Verdana" w:eastAsia="Calibri" w:hAnsi="Verdana" w:cs="Arial"/>
          <w:color w:val="000000" w:themeColor="text1"/>
          <w:lang w:val="es-MX"/>
        </w:rPr>
        <w:t>) en algunos casos no es obligatoria la liquidación; x) para su celebración no se requiere inscripción en el Registro Único de Proponentes (RUP); xi) en él no son necesarias las garantías.</w:t>
      </w:r>
    </w:p>
    <w:p w14:paraId="39EA2372" w14:textId="5C0884A7" w:rsidR="00ED1B73" w:rsidRDefault="00082B90" w:rsidP="00B11C5D">
      <w:pPr>
        <w:spacing w:line="240" w:lineRule="auto"/>
        <w:ind w:right="758"/>
        <w:jc w:val="both"/>
        <w:rPr>
          <w:rFonts w:ascii="Verdana" w:eastAsia="Calibri" w:hAnsi="Verdana" w:cs="Arial"/>
          <w:b/>
          <w:bCs/>
          <w:color w:val="000000" w:themeColor="text1"/>
        </w:rPr>
      </w:pPr>
      <w:r w:rsidRPr="0006295E">
        <w:rPr>
          <w:rFonts w:ascii="Verdana" w:eastAsia="Calibri" w:hAnsi="Verdana" w:cs="Arial"/>
          <w:b/>
          <w:bCs/>
          <w:color w:val="000000" w:themeColor="text1"/>
        </w:rPr>
        <w:t>CONTRATO DE PRESTACIÓN DE SERVICIOS – Insuficiencia de personal – Condiciones – Decreto 1068 de 2015 – Artículo 2.8.4.4.5</w:t>
      </w:r>
      <w:r w:rsidR="005A406A" w:rsidRPr="0006295E">
        <w:rPr>
          <w:rFonts w:ascii="Verdana" w:eastAsia="Calibri" w:hAnsi="Verdana" w:cs="Arial"/>
          <w:b/>
          <w:bCs/>
          <w:color w:val="000000" w:themeColor="text1"/>
        </w:rPr>
        <w:t>:</w:t>
      </w:r>
    </w:p>
    <w:p w14:paraId="5B7B5B1F" w14:textId="1D517074" w:rsidR="0006295E" w:rsidRPr="0006295E" w:rsidRDefault="0006295E" w:rsidP="00B11C5D">
      <w:pPr>
        <w:spacing w:line="240" w:lineRule="auto"/>
        <w:ind w:right="758"/>
        <w:jc w:val="both"/>
        <w:rPr>
          <w:rFonts w:ascii="Verdana" w:eastAsia="Calibri" w:hAnsi="Verdana" w:cs="Arial"/>
          <w:b/>
          <w:bCs/>
          <w:color w:val="000000" w:themeColor="text1"/>
          <w:lang w:val="es-MX"/>
        </w:rPr>
      </w:pPr>
      <w:r w:rsidRPr="0006295E">
        <w:rPr>
          <w:rFonts w:ascii="Verdana" w:eastAsia="Calibri" w:hAnsi="Verdana" w:cs="Arial"/>
          <w:color w:val="000000" w:themeColor="text1"/>
          <w:lang w:val="es-MX"/>
        </w:rPr>
        <w:t xml:space="preserve">Establece una restricción en virtud de la cual, en principio, no resulta posible celebrar nuevos contratos de prestación de servicios, cuando la Entidad Estatal tiene vigentes relaciones contractuales vigentes de cualquier índole con un objeto igual al del contrato que se pretende </w:t>
      </w:r>
      <w:r w:rsidRPr="0006295E">
        <w:rPr>
          <w:rFonts w:ascii="Verdana" w:eastAsia="Calibri" w:hAnsi="Verdana" w:cs="Arial"/>
          <w:color w:val="000000" w:themeColor="text1"/>
          <w:lang w:val="es-MX"/>
        </w:rPr>
        <w:lastRenderedPageBreak/>
        <w:t>suscribir. Esto supone una especial carga argumentativa en la justificación de la necesidad, en procura de velar por una planeación adecuada de la contratación de prestación de servicios, de manera que no exista una pluralidad de contratistas vinculados a la Entidad Estatal para la prestación de los mismos servicios</w:t>
      </w:r>
    </w:p>
    <w:p w14:paraId="5525FF6D" w14:textId="77777777" w:rsidR="00ED1B73" w:rsidRPr="00E4307F" w:rsidRDefault="00ED1B73" w:rsidP="00E84E3F">
      <w:pPr>
        <w:spacing w:line="240" w:lineRule="auto"/>
        <w:ind w:left="709" w:right="758"/>
        <w:jc w:val="both"/>
        <w:rPr>
          <w:rFonts w:ascii="Verdana" w:eastAsia="Calibri" w:hAnsi="Verdana" w:cs="Arial"/>
          <w:color w:val="000000" w:themeColor="text1"/>
        </w:rPr>
      </w:pPr>
    </w:p>
    <w:p w14:paraId="5DB3BB29" w14:textId="77777777" w:rsidR="00581E2C" w:rsidRPr="00D711DC" w:rsidRDefault="00581E2C" w:rsidP="00581E2C">
      <w:pPr>
        <w:spacing w:before="100" w:beforeAutospacing="1" w:after="0" w:afterAutospacing="1" w:line="240" w:lineRule="auto"/>
        <w:jc w:val="both"/>
        <w:textAlignment w:val="baseline"/>
        <w:rPr>
          <w:rFonts w:ascii="Verdana" w:eastAsia="Times New Roman" w:hAnsi="Verdana" w:cs="Arial"/>
          <w:b/>
          <w:bCs/>
          <w:sz w:val="20"/>
          <w:szCs w:val="20"/>
          <w:lang w:eastAsia="es-MX"/>
        </w:rPr>
      </w:pPr>
    </w:p>
    <w:p w14:paraId="53200676" w14:textId="77777777" w:rsidR="00581E2C" w:rsidRPr="00E4307F" w:rsidRDefault="00581E2C" w:rsidP="00581E2C">
      <w:pPr>
        <w:spacing w:before="100" w:beforeAutospacing="1" w:after="100" w:afterAutospacing="1" w:line="240" w:lineRule="auto"/>
        <w:jc w:val="both"/>
        <w:textAlignment w:val="baseline"/>
        <w:rPr>
          <w:rFonts w:ascii="Verdana" w:eastAsia="Times New Roman" w:hAnsi="Verdana" w:cs="Arial"/>
          <w:lang w:eastAsia="es-MX"/>
        </w:rPr>
      </w:pPr>
    </w:p>
    <w:p w14:paraId="0EA4AC4B"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5E728167"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69DB232F"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16E1A8F4"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6A1B5B2D"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3685B294"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42209A74"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77D220F0"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53469E5B"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5735FCF9"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4D36B638"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46F97369"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6ACD60A7"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6401DAE1"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3636DF74" w14:textId="77777777" w:rsidR="00581E2C"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62F63F67" w14:textId="4CB9C427" w:rsidR="00581E2C" w:rsidRDefault="004A4362" w:rsidP="00581E2C">
      <w:pPr>
        <w:spacing w:after="0" w:line="240" w:lineRule="auto"/>
        <w:jc w:val="both"/>
        <w:rPr>
          <w:rFonts w:ascii="Verdana" w:eastAsia="Geomanist Light" w:hAnsi="Verdana" w:cs="Arial"/>
          <w:color w:val="000000" w:themeColor="text1"/>
          <w:lang w:val="es-MX"/>
        </w:rPr>
      </w:pPr>
      <w:r w:rsidRPr="004A4362">
        <w:rPr>
          <w:rFonts w:ascii="Verdana" w:eastAsia="Geomanist Light" w:hAnsi="Verdana" w:cs="Arial"/>
          <w:color w:val="000000" w:themeColor="text1"/>
          <w:lang w:val="es-MX"/>
        </w:rPr>
        <w:t xml:space="preserve">Bogotá D.C., 29 de </w:t>
      </w:r>
      <w:proofErr w:type="gramStart"/>
      <w:r w:rsidRPr="004A4362">
        <w:rPr>
          <w:rFonts w:ascii="Verdana" w:eastAsia="Geomanist Light" w:hAnsi="Verdana" w:cs="Arial"/>
          <w:color w:val="000000" w:themeColor="text1"/>
          <w:lang w:val="es-MX"/>
        </w:rPr>
        <w:t>Agosto</w:t>
      </w:r>
      <w:proofErr w:type="gramEnd"/>
      <w:r w:rsidRPr="004A4362">
        <w:rPr>
          <w:rFonts w:ascii="Verdana" w:eastAsia="Geomanist Light" w:hAnsi="Verdana" w:cs="Arial"/>
          <w:color w:val="000000" w:themeColor="text1"/>
          <w:lang w:val="es-MX"/>
        </w:rPr>
        <w:t xml:space="preserve"> de 2024</w:t>
      </w:r>
    </w:p>
    <w:p w14:paraId="22AF13B9" w14:textId="77777777" w:rsidR="004A4362" w:rsidRPr="00E4307F" w:rsidRDefault="004A4362" w:rsidP="00581E2C">
      <w:pPr>
        <w:spacing w:after="0" w:line="240" w:lineRule="auto"/>
        <w:jc w:val="both"/>
        <w:rPr>
          <w:rFonts w:ascii="Verdana" w:eastAsia="Calibri" w:hAnsi="Verdana" w:cs="Arial"/>
          <w:color w:val="000000"/>
          <w:lang w:val="es-ES"/>
        </w:rPr>
      </w:pPr>
    </w:p>
    <w:p w14:paraId="1BEB38FF" w14:textId="3C58DF62" w:rsidR="00581E2C" w:rsidRPr="00E4307F" w:rsidRDefault="00581E2C" w:rsidP="00581E2C">
      <w:pPr>
        <w:spacing w:after="0" w:line="240" w:lineRule="auto"/>
        <w:jc w:val="both"/>
        <w:rPr>
          <w:rFonts w:ascii="Verdana" w:eastAsia="Calibri" w:hAnsi="Verdana" w:cs="Arial"/>
          <w:lang w:val="es-ES" w:eastAsia="es-ES"/>
        </w:rPr>
      </w:pPr>
      <w:r w:rsidRPr="00E4307F">
        <w:rPr>
          <w:rFonts w:ascii="Verdana" w:eastAsia="Calibri" w:hAnsi="Verdana" w:cs="Arial"/>
          <w:lang w:val="es-ES" w:eastAsia="es-ES"/>
        </w:rPr>
        <w:t>Señora</w:t>
      </w:r>
    </w:p>
    <w:p w14:paraId="29F65BAA" w14:textId="7F588290" w:rsidR="00581E2C" w:rsidRPr="00E4307F" w:rsidRDefault="00581E2C" w:rsidP="00581E2C">
      <w:pPr>
        <w:spacing w:after="0" w:line="240" w:lineRule="auto"/>
        <w:rPr>
          <w:rFonts w:ascii="Verdana" w:eastAsia="Calibri" w:hAnsi="Verdana" w:cs="Arial"/>
          <w:b/>
          <w:bCs/>
          <w:lang w:val="es-ES" w:eastAsia="es-ES"/>
        </w:rPr>
      </w:pPr>
      <w:r w:rsidRPr="00E4307F">
        <w:rPr>
          <w:rFonts w:ascii="Verdana" w:eastAsia="Calibri" w:hAnsi="Verdana" w:cs="Arial"/>
          <w:b/>
          <w:bCs/>
          <w:lang w:val="es-ES" w:eastAsia="es-ES"/>
        </w:rPr>
        <w:t xml:space="preserve">Yury </w:t>
      </w:r>
      <w:proofErr w:type="spellStart"/>
      <w:r w:rsidRPr="00E4307F">
        <w:rPr>
          <w:rFonts w:ascii="Verdana" w:eastAsia="Calibri" w:hAnsi="Verdana" w:cs="Arial"/>
          <w:b/>
          <w:bCs/>
          <w:lang w:val="es-ES" w:eastAsia="es-ES"/>
        </w:rPr>
        <w:t>Marseli</w:t>
      </w:r>
      <w:proofErr w:type="spellEnd"/>
      <w:r w:rsidRPr="00E4307F">
        <w:rPr>
          <w:rFonts w:ascii="Verdana" w:eastAsia="Calibri" w:hAnsi="Verdana" w:cs="Arial"/>
          <w:b/>
          <w:bCs/>
          <w:lang w:val="es-ES" w:eastAsia="es-ES"/>
        </w:rPr>
        <w:t xml:space="preserve"> Hernández Monsalve</w:t>
      </w:r>
    </w:p>
    <w:p w14:paraId="6B27581B" w14:textId="664964D7" w:rsidR="00581E2C" w:rsidRPr="00E4307F" w:rsidRDefault="008A61E5" w:rsidP="00581E2C">
      <w:pPr>
        <w:spacing w:after="0" w:line="240" w:lineRule="auto"/>
        <w:rPr>
          <w:rFonts w:ascii="Verdana" w:eastAsia="Calibri" w:hAnsi="Verdana" w:cs="Arial"/>
          <w:lang w:val="es-ES" w:eastAsia="es-ES"/>
        </w:rPr>
      </w:pPr>
      <w:r w:rsidRPr="008A61E5">
        <w:rPr>
          <w:rFonts w:ascii="Verdana" w:eastAsia="Calibri" w:hAnsi="Verdana" w:cs="Arial"/>
          <w:lang w:val="es-ES" w:eastAsia="es-ES"/>
        </w:rPr>
        <w:drawing>
          <wp:anchor distT="0" distB="0" distL="114300" distR="114300" simplePos="0" relativeHeight="251658240" behindDoc="0" locked="0" layoutInCell="1" allowOverlap="1" wp14:anchorId="61071B4C" wp14:editId="1B93E530">
            <wp:simplePos x="0" y="0"/>
            <wp:positionH relativeFrom="column">
              <wp:posOffset>2430780</wp:posOffset>
            </wp:positionH>
            <wp:positionV relativeFrom="paragraph">
              <wp:posOffset>234315</wp:posOffset>
            </wp:positionV>
            <wp:extent cx="2975610" cy="841375"/>
            <wp:effectExtent l="0" t="0" r="0" b="0"/>
            <wp:wrapTopAndBottom/>
            <wp:docPr id="137663858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638589"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975610" cy="841375"/>
                    </a:xfrm>
                    <a:prstGeom prst="rect">
                      <a:avLst/>
                    </a:prstGeom>
                  </pic:spPr>
                </pic:pic>
              </a:graphicData>
            </a:graphic>
            <wp14:sizeRelH relativeFrom="margin">
              <wp14:pctWidth>0</wp14:pctWidth>
            </wp14:sizeRelH>
            <wp14:sizeRelV relativeFrom="margin">
              <wp14:pctHeight>0</wp14:pctHeight>
            </wp14:sizeRelV>
          </wp:anchor>
        </w:drawing>
      </w:r>
      <w:r w:rsidR="00581E2C" w:rsidRPr="00E4307F">
        <w:rPr>
          <w:rFonts w:ascii="Verdana" w:eastAsia="Calibri" w:hAnsi="Verdana" w:cs="Arial"/>
          <w:lang w:val="es-ES" w:eastAsia="es-ES"/>
        </w:rPr>
        <w:t>yuryhernandez@copnia.gov.co</w:t>
      </w:r>
    </w:p>
    <w:p w14:paraId="5F6BEB5C" w14:textId="2BDD5D19" w:rsidR="00581E2C" w:rsidRPr="00E4307F" w:rsidRDefault="00581E2C" w:rsidP="00581E2C">
      <w:pPr>
        <w:spacing w:after="0" w:line="240" w:lineRule="auto"/>
        <w:rPr>
          <w:rFonts w:ascii="Verdana" w:eastAsia="Calibri" w:hAnsi="Verdana" w:cs="Arial"/>
          <w:b/>
          <w:bCs/>
          <w:lang w:val="es-ES" w:eastAsia="es-ES"/>
        </w:rPr>
      </w:pPr>
      <w:proofErr w:type="spellStart"/>
      <w:r w:rsidRPr="00E4307F">
        <w:rPr>
          <w:rFonts w:ascii="Verdana" w:eastAsia="Calibri" w:hAnsi="Verdana" w:cs="Arial"/>
          <w:lang w:val="es-ES" w:eastAsia="es-ES"/>
        </w:rPr>
        <w:t>Bogotà</w:t>
      </w:r>
      <w:proofErr w:type="spellEnd"/>
      <w:r w:rsidRPr="00E4307F">
        <w:rPr>
          <w:rFonts w:ascii="Verdana" w:eastAsia="Calibri" w:hAnsi="Verdana" w:cs="Arial"/>
          <w:lang w:val="es-ES" w:eastAsia="es-ES"/>
        </w:rPr>
        <w:t xml:space="preserve"> D.C</w:t>
      </w:r>
      <w:r w:rsidR="008A61E5" w:rsidRPr="008A61E5">
        <w:rPr>
          <w:noProof/>
        </w:rPr>
        <w:t xml:space="preserve"> </w:t>
      </w:r>
    </w:p>
    <w:p w14:paraId="4A310376" w14:textId="5D257F93" w:rsidR="00581E2C" w:rsidRPr="00E4307F" w:rsidRDefault="00581E2C" w:rsidP="00581E2C">
      <w:pPr>
        <w:spacing w:after="0" w:line="240" w:lineRule="auto"/>
        <w:rPr>
          <w:rFonts w:ascii="Verdana" w:eastAsia="Calibri" w:hAnsi="Verdana" w:cs="Arial"/>
          <w:b/>
          <w:bCs/>
          <w:color w:val="000000"/>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81E2C" w:rsidRPr="00E4307F" w14:paraId="48E4A227" w14:textId="77777777" w:rsidTr="001537DF">
        <w:trPr>
          <w:trHeight w:val="608"/>
        </w:trPr>
        <w:tc>
          <w:tcPr>
            <w:tcW w:w="2689" w:type="dxa"/>
          </w:tcPr>
          <w:p w14:paraId="555E93F1" w14:textId="77777777" w:rsidR="00581E2C" w:rsidRPr="00E4307F" w:rsidRDefault="00581E2C" w:rsidP="00367512">
            <w:pPr>
              <w:jc w:val="both"/>
              <w:rPr>
                <w:rFonts w:ascii="Verdana" w:eastAsia="Calibri" w:hAnsi="Verdana" w:cs="Arial"/>
                <w:b/>
                <w:bCs/>
                <w:color w:val="7030A0"/>
                <w:lang w:val="es-ES_tradnl" w:eastAsia="es-ES_tradnl"/>
              </w:rPr>
            </w:pPr>
          </w:p>
        </w:tc>
        <w:tc>
          <w:tcPr>
            <w:tcW w:w="6100" w:type="dxa"/>
            <w:hideMark/>
          </w:tcPr>
          <w:p w14:paraId="285E68BB" w14:textId="77777777" w:rsidR="00581E2C" w:rsidRPr="00E4307F" w:rsidRDefault="00581E2C" w:rsidP="00367512">
            <w:pPr>
              <w:jc w:val="center"/>
              <w:rPr>
                <w:rFonts w:ascii="Verdana" w:eastAsia="Calibri" w:hAnsi="Verdana" w:cs="Arial"/>
                <w:b/>
                <w:bCs/>
                <w:color w:val="7030A0"/>
                <w:lang w:val="es-ES" w:eastAsia="es-ES"/>
              </w:rPr>
            </w:pPr>
            <w:r w:rsidRPr="00E4307F">
              <w:rPr>
                <w:rFonts w:ascii="Verdana" w:eastAsia="Calibri" w:hAnsi="Verdana" w:cs="Arial"/>
                <w:b/>
                <w:bCs/>
                <w:lang w:val="es-ES" w:eastAsia="es-ES"/>
              </w:rPr>
              <w:t>Concepto C- 348 de 2024</w:t>
            </w:r>
          </w:p>
        </w:tc>
      </w:tr>
      <w:tr w:rsidR="00581E2C" w:rsidRPr="00E4307F" w14:paraId="1D22D8AD" w14:textId="77777777" w:rsidTr="001537DF">
        <w:trPr>
          <w:trHeight w:val="884"/>
        </w:trPr>
        <w:tc>
          <w:tcPr>
            <w:tcW w:w="2689" w:type="dxa"/>
            <w:hideMark/>
          </w:tcPr>
          <w:p w14:paraId="062D924E" w14:textId="77777777" w:rsidR="00581E2C" w:rsidRPr="005F26B0" w:rsidRDefault="00581E2C" w:rsidP="00367512">
            <w:pPr>
              <w:jc w:val="both"/>
              <w:rPr>
                <w:rFonts w:ascii="Verdana" w:eastAsia="Calibri" w:hAnsi="Verdana" w:cs="Arial"/>
                <w:lang w:val="es-ES_tradnl" w:eastAsia="es-ES_tradnl"/>
              </w:rPr>
            </w:pPr>
            <w:r w:rsidRPr="005F26B0">
              <w:rPr>
                <w:rFonts w:ascii="Verdana" w:eastAsia="Calibri" w:hAnsi="Verdana" w:cs="Arial"/>
                <w:b/>
                <w:lang w:val="es-ES_tradnl" w:eastAsia="es-ES_tradnl"/>
              </w:rPr>
              <w:t>Temas:</w:t>
            </w:r>
            <w:r w:rsidRPr="005F26B0">
              <w:rPr>
                <w:rFonts w:ascii="Verdana" w:eastAsia="Calibri" w:hAnsi="Verdana" w:cs="Arial"/>
                <w:lang w:val="es-ES_tradnl" w:eastAsia="es-ES_tradnl"/>
              </w:rPr>
              <w:t xml:space="preserve">                   </w:t>
            </w:r>
          </w:p>
        </w:tc>
        <w:tc>
          <w:tcPr>
            <w:tcW w:w="6100" w:type="dxa"/>
          </w:tcPr>
          <w:p w14:paraId="1D526F8A" w14:textId="60983DA6" w:rsidR="00581E2C" w:rsidRPr="005F26B0" w:rsidRDefault="00581E2C" w:rsidP="00367512">
            <w:pPr>
              <w:spacing w:line="276" w:lineRule="auto"/>
              <w:jc w:val="both"/>
              <w:rPr>
                <w:rFonts w:ascii="Verdana" w:eastAsia="Calibri" w:hAnsi="Verdana" w:cs="Arial"/>
                <w:color w:val="000000" w:themeColor="text1"/>
              </w:rPr>
            </w:pPr>
            <w:r w:rsidRPr="005F26B0">
              <w:rPr>
                <w:rFonts w:ascii="Verdana" w:eastAsia="Calibri" w:hAnsi="Verdana" w:cs="Arial"/>
                <w:lang w:val="es-ES" w:eastAsia="es-ES"/>
              </w:rPr>
              <w:t xml:space="preserve"> </w:t>
            </w:r>
            <w:r w:rsidRPr="005F26B0">
              <w:rPr>
                <w:rFonts w:ascii="Verdana" w:hAnsi="Verdana" w:cs="Arial"/>
                <w:color w:val="000000" w:themeColor="text1"/>
                <w:lang w:val="es-ES_tradnl"/>
              </w:rPr>
              <w:t xml:space="preserve">CONTRATO DE PRESTACIÓN DE SERVICIOS ― Concepto ― Requisitos ― Características – límites / </w:t>
            </w:r>
            <w:r w:rsidRPr="005F26B0">
              <w:rPr>
                <w:rFonts w:ascii="Verdana" w:eastAsia="Calibri" w:hAnsi="Verdana" w:cs="Arial"/>
                <w:color w:val="000000" w:themeColor="text1"/>
              </w:rPr>
              <w:t>CONTRATO DE PRESTACIÓN DE SERVICIOS – Insuficiencia de personal – Condiciones – Decreto 1068 de 2015 – Artículo 2.8.4.4.5 / CONTRATO ESTATAL J</w:t>
            </w:r>
            <w:r w:rsidRPr="005F26B0">
              <w:rPr>
                <w:rFonts w:ascii="Verdana" w:eastAsia="Calibri" w:hAnsi="Verdana"/>
                <w:color w:val="000000" w:themeColor="text1"/>
              </w:rPr>
              <w:t>ustificación de la necesidad</w:t>
            </w:r>
            <w:r w:rsidR="005F26B0" w:rsidRPr="005F26B0">
              <w:rPr>
                <w:rFonts w:ascii="Verdana" w:eastAsia="Calibri" w:hAnsi="Verdana"/>
                <w:color w:val="000000" w:themeColor="text1"/>
              </w:rPr>
              <w:t>.</w:t>
            </w:r>
            <w:r w:rsidRPr="005F26B0">
              <w:rPr>
                <w:rFonts w:ascii="Verdana" w:eastAsia="Calibri" w:hAnsi="Verdana"/>
                <w:color w:val="000000" w:themeColor="text1"/>
              </w:rPr>
              <w:t xml:space="preserve"> </w:t>
            </w:r>
          </w:p>
          <w:p w14:paraId="7E8DB342" w14:textId="77777777" w:rsidR="00581E2C" w:rsidRPr="005F26B0" w:rsidRDefault="00581E2C" w:rsidP="00581E2C">
            <w:pPr>
              <w:pStyle w:val="Prrafodelista"/>
              <w:numPr>
                <w:ilvl w:val="0"/>
                <w:numId w:val="11"/>
              </w:numPr>
              <w:spacing w:line="276" w:lineRule="auto"/>
              <w:ind w:left="0"/>
              <w:jc w:val="both"/>
              <w:rPr>
                <w:rFonts w:ascii="Verdana" w:eastAsia="Calibri" w:hAnsi="Verdana" w:cs="Arial"/>
                <w:lang w:eastAsia="es-ES"/>
              </w:rPr>
            </w:pPr>
          </w:p>
        </w:tc>
      </w:tr>
      <w:tr w:rsidR="00581E2C" w:rsidRPr="00E4307F" w14:paraId="7FE06169" w14:textId="77777777" w:rsidTr="001537DF">
        <w:tc>
          <w:tcPr>
            <w:tcW w:w="2689" w:type="dxa"/>
            <w:hideMark/>
          </w:tcPr>
          <w:p w14:paraId="5CDF1553" w14:textId="77777777" w:rsidR="00581E2C" w:rsidRPr="00E4307F" w:rsidRDefault="00581E2C" w:rsidP="00367512">
            <w:pPr>
              <w:jc w:val="both"/>
              <w:rPr>
                <w:rFonts w:ascii="Verdana" w:eastAsia="Calibri" w:hAnsi="Verdana" w:cs="Arial"/>
                <w:b/>
                <w:color w:val="7030A0"/>
                <w:lang w:val="es-ES_tradnl" w:eastAsia="es-ES_tradnl"/>
              </w:rPr>
            </w:pPr>
            <w:r w:rsidRPr="00E4307F">
              <w:rPr>
                <w:rFonts w:ascii="Verdana" w:eastAsia="Calibri" w:hAnsi="Verdana" w:cs="Arial"/>
                <w:b/>
                <w:lang w:val="es-ES_tradnl" w:eastAsia="es-ES_tradnl"/>
              </w:rPr>
              <w:t>Radicación:</w:t>
            </w:r>
            <w:r w:rsidRPr="00E4307F">
              <w:rPr>
                <w:rFonts w:ascii="Verdana" w:eastAsia="Calibri" w:hAnsi="Verdana" w:cs="Arial"/>
                <w:lang w:val="es-ES_tradnl" w:eastAsia="es-ES_tradnl"/>
              </w:rPr>
              <w:t xml:space="preserve">               </w:t>
            </w:r>
          </w:p>
        </w:tc>
        <w:tc>
          <w:tcPr>
            <w:tcW w:w="6100" w:type="dxa"/>
            <w:hideMark/>
          </w:tcPr>
          <w:p w14:paraId="7541FEFF" w14:textId="77777777" w:rsidR="00581E2C" w:rsidRPr="00E4307F" w:rsidRDefault="00581E2C" w:rsidP="00367512">
            <w:pPr>
              <w:jc w:val="both"/>
              <w:rPr>
                <w:rFonts w:ascii="Verdana" w:eastAsia="Calibri" w:hAnsi="Verdana" w:cs="Arial"/>
                <w:color w:val="7030A0"/>
                <w:lang w:val="es-ES_tradnl" w:eastAsia="es-ES_tradnl"/>
              </w:rPr>
            </w:pPr>
            <w:r w:rsidRPr="00E4307F">
              <w:rPr>
                <w:rFonts w:ascii="Verdana" w:eastAsia="Calibri" w:hAnsi="Verdana" w:cs="Arial"/>
                <w:lang w:val="es-ES_tradnl" w:eastAsia="es-ES_tradnl"/>
              </w:rPr>
              <w:t>Respuesta a consulta con radicado No. P20240716007252</w:t>
            </w:r>
          </w:p>
        </w:tc>
      </w:tr>
    </w:tbl>
    <w:p w14:paraId="5E06052F" w14:textId="77777777" w:rsidR="00581E2C" w:rsidRPr="00E4307F" w:rsidRDefault="00581E2C" w:rsidP="00581E2C">
      <w:pPr>
        <w:spacing w:after="0" w:line="240" w:lineRule="auto"/>
        <w:jc w:val="both"/>
        <w:rPr>
          <w:rFonts w:ascii="Verdana" w:eastAsia="Calibri" w:hAnsi="Verdana" w:cs="Arial"/>
          <w:color w:val="000000"/>
          <w:lang w:val="es-ES_tradnl" w:eastAsia="es-ES_tradnl"/>
        </w:rPr>
      </w:pPr>
    </w:p>
    <w:p w14:paraId="2801C8A6" w14:textId="77777777" w:rsidR="00581E2C" w:rsidRPr="00E4307F" w:rsidRDefault="00581E2C" w:rsidP="00581E2C">
      <w:pPr>
        <w:spacing w:after="0" w:line="240" w:lineRule="auto"/>
        <w:jc w:val="both"/>
        <w:rPr>
          <w:rFonts w:ascii="Verdana" w:eastAsia="Calibri" w:hAnsi="Verdana" w:cs="Arial"/>
          <w:color w:val="000000"/>
          <w:lang w:val="es-ES_tradnl" w:eastAsia="es-ES_tradnl"/>
        </w:rPr>
      </w:pPr>
    </w:p>
    <w:p w14:paraId="677B4359" w14:textId="77777777" w:rsidR="00581E2C" w:rsidRPr="00E4307F" w:rsidRDefault="00581E2C" w:rsidP="00581E2C">
      <w:pPr>
        <w:spacing w:after="0" w:line="276" w:lineRule="auto"/>
        <w:jc w:val="both"/>
        <w:rPr>
          <w:rFonts w:ascii="Verdana" w:eastAsia="Calibri" w:hAnsi="Verdana" w:cs="Arial"/>
          <w:color w:val="000000" w:themeColor="text1"/>
          <w:lang w:val="es-ES" w:eastAsia="es-ES"/>
        </w:rPr>
      </w:pPr>
      <w:r w:rsidRPr="00E4307F">
        <w:rPr>
          <w:rFonts w:ascii="Verdana" w:eastAsia="Calibri" w:hAnsi="Verdana" w:cs="Arial"/>
          <w:color w:val="000000" w:themeColor="text1"/>
          <w:lang w:val="es-ES" w:eastAsia="es-ES"/>
        </w:rPr>
        <w:t xml:space="preserve">Estimada señora </w:t>
      </w:r>
      <w:r>
        <w:rPr>
          <w:rFonts w:ascii="Verdana" w:eastAsia="Calibri" w:hAnsi="Verdana" w:cs="Arial"/>
          <w:color w:val="000000" w:themeColor="text1"/>
          <w:lang w:val="es-ES" w:eastAsia="es-ES"/>
        </w:rPr>
        <w:t>Hernández</w:t>
      </w:r>
      <w:r w:rsidRPr="00E4307F">
        <w:rPr>
          <w:rFonts w:ascii="Verdana" w:eastAsia="Calibri" w:hAnsi="Verdana" w:cs="Arial"/>
          <w:color w:val="000000" w:themeColor="text1"/>
          <w:lang w:val="es-ES" w:eastAsia="es-ES"/>
        </w:rPr>
        <w:t xml:space="preserve">:  </w:t>
      </w:r>
    </w:p>
    <w:p w14:paraId="7ED38C43" w14:textId="77777777" w:rsidR="00581E2C" w:rsidRPr="00E4307F" w:rsidRDefault="00581E2C" w:rsidP="00581E2C">
      <w:pPr>
        <w:tabs>
          <w:tab w:val="left" w:pos="3768"/>
        </w:tabs>
        <w:spacing w:after="0" w:line="276" w:lineRule="auto"/>
        <w:jc w:val="both"/>
        <w:rPr>
          <w:rFonts w:ascii="Verdana" w:eastAsia="Calibri" w:hAnsi="Verdana" w:cs="Arial"/>
          <w:color w:val="000000" w:themeColor="text1"/>
          <w:lang w:val="es-ES" w:eastAsia="es-ES"/>
        </w:rPr>
      </w:pPr>
      <w:r w:rsidRPr="00E4307F">
        <w:rPr>
          <w:rFonts w:ascii="Verdana" w:eastAsia="Calibri" w:hAnsi="Verdana" w:cs="Arial"/>
          <w:color w:val="000000" w:themeColor="text1"/>
          <w:lang w:val="es-ES" w:eastAsia="es-ES"/>
        </w:rPr>
        <w:tab/>
      </w:r>
    </w:p>
    <w:p w14:paraId="14B8EBDD" w14:textId="77777777" w:rsidR="00581E2C" w:rsidRPr="00F312E3" w:rsidRDefault="00581E2C" w:rsidP="00581E2C">
      <w:pPr>
        <w:spacing w:after="120" w:line="276" w:lineRule="auto"/>
        <w:jc w:val="both"/>
        <w:rPr>
          <w:rFonts w:ascii="Verdana" w:hAnsi="Verdana" w:cs="Arial"/>
          <w:i/>
          <w:shd w:val="clear" w:color="auto" w:fill="FFFFFF"/>
          <w:lang w:val="es-ES"/>
        </w:rPr>
      </w:pPr>
      <w:r w:rsidRPr="00E4307F">
        <w:rPr>
          <w:rFonts w:ascii="Verdana" w:eastAsia="Calibri" w:hAnsi="Verdana" w:cs="Arial"/>
          <w:color w:val="000000" w:themeColor="text1"/>
          <w:lang w:val="es-ES" w:eastAsia="es-ES"/>
        </w:rPr>
        <w:t>En ejercicio de la competencia otorgada por los artículos 3, numeral 5º, y 11, numeral 8º, del Decreto Ley 4170 de 2011,</w:t>
      </w:r>
      <w:r w:rsidRPr="00E4307F">
        <w:rPr>
          <w:rFonts w:ascii="Verdana" w:eastAsia="Arial MT" w:hAnsi="Verdana" w:cs="Arial MT"/>
          <w:lang w:val="es-ES" w:eastAsia="es-ES"/>
        </w:rPr>
        <w:t xml:space="preserve"> </w:t>
      </w:r>
      <w:r w:rsidRPr="00E4307F">
        <w:rPr>
          <w:rFonts w:ascii="Verdana" w:hAnsi="Verdana" w:cs="Arial"/>
        </w:rPr>
        <w:t xml:space="preserve">así como lo establecido en el artículo 4 de la Resolución 1707 de 2018 expedida por esta Entidad, </w:t>
      </w:r>
      <w:r w:rsidRPr="00E4307F">
        <w:rPr>
          <w:rFonts w:ascii="Verdana" w:eastAsia="Calibri" w:hAnsi="Verdana" w:cs="Arial"/>
          <w:color w:val="000000" w:themeColor="text1"/>
          <w:lang w:val="es-ES" w:eastAsia="es-ES"/>
        </w:rPr>
        <w:t xml:space="preserve">la Agencia Nacional </w:t>
      </w:r>
      <w:r w:rsidRPr="00E4307F">
        <w:rPr>
          <w:rFonts w:ascii="Verdana" w:eastAsia="Calibri" w:hAnsi="Verdana" w:cs="Arial"/>
          <w:lang w:val="es-ES" w:eastAsia="es-ES"/>
        </w:rPr>
        <w:t xml:space="preserve">de Contratación Pública – Colombia Compra Eficiente– responde su solicitud de consulta de fecha 16 de julio de 2024, en la cual manifiesta lo siguiente: </w:t>
      </w:r>
      <w:bookmarkStart w:id="0" w:name="_Hlk95313578"/>
      <w:r w:rsidRPr="00F312E3">
        <w:rPr>
          <w:rFonts w:ascii="Verdana" w:eastAsia="Century Gothic" w:hAnsi="Verdana" w:cs="Century Gothic"/>
          <w:i/>
          <w:iCs/>
        </w:rPr>
        <w:t xml:space="preserve"> “</w:t>
      </w:r>
      <w:r w:rsidRPr="00F312E3">
        <w:rPr>
          <w:rStyle w:val="normaltextrun"/>
          <w:rFonts w:ascii="Verdana" w:hAnsi="Verdana" w:cs="Arial"/>
          <w:i/>
          <w:iCs/>
          <w:shd w:val="clear" w:color="auto" w:fill="FFFFFF"/>
          <w:lang w:val="es-ES"/>
        </w:rPr>
        <w:t>[…]</w:t>
      </w:r>
      <w:r w:rsidRPr="00A650F7">
        <w:rPr>
          <w:rStyle w:val="normaltextrun"/>
          <w:rFonts w:ascii="Verdana" w:hAnsi="Verdana" w:cs="Arial"/>
          <w:i/>
          <w:iCs/>
          <w:shd w:val="clear" w:color="auto" w:fill="FFFFFF"/>
          <w:lang w:val="es-ES"/>
        </w:rPr>
        <w:t xml:space="preserve"> </w:t>
      </w:r>
      <w:r w:rsidRPr="00F312E3">
        <w:rPr>
          <w:rStyle w:val="normaltextrun"/>
          <w:rFonts w:ascii="Verdana" w:hAnsi="Verdana" w:cs="Arial"/>
          <w:i/>
          <w:iCs/>
          <w:shd w:val="clear" w:color="auto" w:fill="FFFFFF"/>
          <w:lang w:val="es-ES"/>
        </w:rPr>
        <w:t>¿</w:t>
      </w:r>
      <w:r w:rsidRPr="00F312E3">
        <w:rPr>
          <w:rStyle w:val="normaltextrun"/>
          <w:rFonts w:ascii="Verdana" w:hAnsi="Verdana" w:cs="Arial"/>
          <w:i/>
          <w:shd w:val="clear" w:color="auto" w:fill="FFFFFF"/>
          <w:lang w:val="es-ES"/>
        </w:rPr>
        <w:t xml:space="preserve">Debe expedirse el certificado de inexistencia o insuficiencia de personal de planta para satisfacer la necesidad? o, por el contrario, ¿solo se expide dicha </w:t>
      </w:r>
      <w:r w:rsidRPr="00F312E3">
        <w:rPr>
          <w:rStyle w:val="normaltextrun"/>
          <w:rFonts w:ascii="Verdana" w:hAnsi="Verdana" w:cs="Arial"/>
          <w:i/>
          <w:shd w:val="clear" w:color="auto" w:fill="FFFFFF"/>
          <w:lang w:val="es-ES"/>
        </w:rPr>
        <w:lastRenderedPageBreak/>
        <w:t>certificación para contratos de prestación de servicios de apoyo a la gestión con personas naturales?</w:t>
      </w:r>
      <w:r w:rsidRPr="00F312E3">
        <w:rPr>
          <w:rFonts w:ascii="Verdana" w:eastAsia="Century Gothic" w:hAnsi="Verdana" w:cs="Century Gothic"/>
          <w:i/>
          <w:lang w:val="es-ES"/>
        </w:rPr>
        <w:t>”</w:t>
      </w:r>
      <w:bookmarkEnd w:id="0"/>
      <w:r w:rsidRPr="00F312E3">
        <w:rPr>
          <w:rFonts w:ascii="Verdana" w:eastAsia="Century Gothic" w:hAnsi="Verdana" w:cs="Century Gothic"/>
          <w:i/>
          <w:lang w:val="es-ES"/>
        </w:rPr>
        <w:t>.</w:t>
      </w:r>
    </w:p>
    <w:p w14:paraId="153D4B23" w14:textId="77777777" w:rsidR="00581E2C" w:rsidRPr="00E4307F" w:rsidRDefault="00581E2C" w:rsidP="00581E2C">
      <w:pPr>
        <w:spacing w:after="120" w:line="276" w:lineRule="auto"/>
        <w:ind w:firstLine="426"/>
        <w:jc w:val="both"/>
        <w:rPr>
          <w:rFonts w:ascii="Verdana" w:eastAsia="Calibri" w:hAnsi="Verdana" w:cs="Arial"/>
          <w:lang w:val="es-ES_tradnl" w:eastAsia="es-ES_tradnl"/>
        </w:rPr>
      </w:pPr>
      <w:r w:rsidRPr="00E4307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E4307F">
        <w:rPr>
          <w:rFonts w:ascii="Verdana" w:eastAsia="Calibri" w:hAnsi="Verdana" w:cs="Arial"/>
          <w:lang w:val="es-ES" w:eastAsia="es-ES"/>
        </w:rPr>
        <w:t xml:space="preserve">interpretación de normas generales, por definición, no puede extenderse a la resolución de controversias, ni a brindar asesorías sobre casos puntuales. </w:t>
      </w:r>
      <w:r w:rsidRPr="00E4307F">
        <w:rPr>
          <w:rFonts w:ascii="Verdana" w:eastAsia="Calibri" w:hAnsi="Verdana" w:cs="Arial"/>
          <w:lang w:val="es-ES_tradnl" w:eastAsia="es-ES_tradnl"/>
        </w:rPr>
        <w:tab/>
      </w:r>
    </w:p>
    <w:p w14:paraId="6B784CFD" w14:textId="77777777" w:rsidR="00581E2C" w:rsidRPr="00E4307F" w:rsidRDefault="00581E2C" w:rsidP="00581E2C">
      <w:pPr>
        <w:spacing w:after="0" w:line="276" w:lineRule="auto"/>
        <w:ind w:firstLine="426"/>
        <w:jc w:val="both"/>
        <w:rPr>
          <w:rFonts w:ascii="Verdana" w:eastAsia="Calibri" w:hAnsi="Verdana" w:cs="Arial"/>
          <w:lang w:val="es-ES" w:eastAsia="es-ES"/>
        </w:rPr>
      </w:pPr>
      <w:r w:rsidRPr="00E4307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12E667F" w14:textId="77777777" w:rsidR="00581E2C" w:rsidRPr="00E4307F" w:rsidRDefault="00581E2C" w:rsidP="00581E2C">
      <w:pPr>
        <w:pStyle w:val="Prrafodelista"/>
        <w:numPr>
          <w:ilvl w:val="0"/>
          <w:numId w:val="9"/>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Problema planteado:</w:t>
      </w:r>
    </w:p>
    <w:p w14:paraId="6C1ECEDB" w14:textId="77777777" w:rsidR="00581E2C" w:rsidRPr="00E4307F" w:rsidRDefault="00581E2C" w:rsidP="00581E2C">
      <w:pPr>
        <w:pStyle w:val="Prrafodelista"/>
        <w:tabs>
          <w:tab w:val="left" w:pos="142"/>
          <w:tab w:val="left" w:pos="284"/>
        </w:tabs>
        <w:spacing w:after="0" w:line="276" w:lineRule="auto"/>
        <w:ind w:left="0"/>
        <w:jc w:val="both"/>
        <w:rPr>
          <w:rFonts w:ascii="Verdana" w:eastAsia="Century Gothic" w:hAnsi="Verdana" w:cs="Century Gothic"/>
          <w:b/>
          <w:bCs/>
        </w:rPr>
      </w:pPr>
    </w:p>
    <w:p w14:paraId="74F294A7" w14:textId="77777777" w:rsidR="00581E2C" w:rsidRPr="00E4307F" w:rsidRDefault="00581E2C" w:rsidP="00581E2C">
      <w:pPr>
        <w:spacing w:after="0" w:line="276" w:lineRule="auto"/>
        <w:jc w:val="both"/>
        <w:rPr>
          <w:rFonts w:ascii="Verdana" w:eastAsia="Century Gothic" w:hAnsi="Verdana" w:cs="Century Gothic"/>
        </w:rPr>
      </w:pPr>
      <w:r w:rsidRPr="00E4307F">
        <w:rPr>
          <w:rFonts w:ascii="Verdana" w:eastAsia="Century Gothic" w:hAnsi="Verdana" w:cs="Century Gothic"/>
        </w:rPr>
        <w:t xml:space="preserve">De acuerdo con el contenido de su solicitud, esta Agencia resolverá los </w:t>
      </w:r>
      <w:r w:rsidRPr="00CE71BD">
        <w:rPr>
          <w:rFonts w:ascii="Verdana" w:eastAsia="Century Gothic" w:hAnsi="Verdana" w:cs="Century Gothic"/>
        </w:rPr>
        <w:t>siguiente</w:t>
      </w:r>
      <w:r>
        <w:rPr>
          <w:rFonts w:ascii="Verdana" w:eastAsia="Century Gothic" w:hAnsi="Verdana" w:cs="Century Gothic"/>
        </w:rPr>
        <w:t>s</w:t>
      </w:r>
      <w:r w:rsidRPr="00CE71BD">
        <w:rPr>
          <w:rFonts w:ascii="Verdana" w:eastAsia="Century Gothic" w:hAnsi="Verdana" w:cs="Century Gothic"/>
        </w:rPr>
        <w:t xml:space="preserve"> interrogante</w:t>
      </w:r>
      <w:r>
        <w:rPr>
          <w:rFonts w:ascii="Verdana" w:eastAsia="Century Gothic" w:hAnsi="Verdana" w:cs="Century Gothic"/>
        </w:rPr>
        <w:t>s</w:t>
      </w:r>
      <w:r w:rsidRPr="00E4307F">
        <w:rPr>
          <w:rFonts w:ascii="Verdana" w:eastAsia="Century Gothic" w:hAnsi="Verdana" w:cs="Century Gothic"/>
        </w:rPr>
        <w:t>:</w:t>
      </w:r>
      <w:r w:rsidRPr="00CE71BD">
        <w:rPr>
          <w:rFonts w:ascii="Verdana" w:eastAsia="Century Gothic" w:hAnsi="Verdana" w:cs="Century Gothic"/>
        </w:rPr>
        <w:t xml:space="preserve"> </w:t>
      </w:r>
      <w:r w:rsidRPr="00E4307F">
        <w:rPr>
          <w:rFonts w:ascii="Verdana" w:eastAsia="Century Gothic" w:hAnsi="Verdana" w:cs="Century Gothic"/>
        </w:rPr>
        <w:t>¿</w:t>
      </w:r>
      <w:r w:rsidRPr="00CE71BD">
        <w:rPr>
          <w:rFonts w:ascii="Verdana" w:eastAsia="Century Gothic" w:hAnsi="Verdana" w:cs="Century Gothic"/>
        </w:rPr>
        <w:t xml:space="preserve">Debe certificarse la </w:t>
      </w:r>
      <w:r w:rsidRPr="00E4307F">
        <w:rPr>
          <w:rFonts w:ascii="Verdana" w:eastAsia="Century Gothic" w:hAnsi="Verdana" w:cs="Century Gothic"/>
        </w:rPr>
        <w:t xml:space="preserve">insuficiencia de personal de planta para </w:t>
      </w:r>
      <w:r w:rsidRPr="00CE71BD">
        <w:rPr>
          <w:rFonts w:ascii="Verdana" w:eastAsia="Century Gothic" w:hAnsi="Verdana" w:cs="Century Gothic"/>
        </w:rPr>
        <w:t>celebrar cualquier tipo de contrato estatal? ¿o est</w:t>
      </w:r>
      <w:r>
        <w:rPr>
          <w:rFonts w:ascii="Verdana" w:eastAsia="Century Gothic" w:hAnsi="Verdana" w:cs="Century Gothic"/>
        </w:rPr>
        <w:t>o</w:t>
      </w:r>
      <w:r w:rsidRPr="00CE71BD">
        <w:rPr>
          <w:rFonts w:ascii="Verdana" w:eastAsia="Century Gothic" w:hAnsi="Verdana" w:cs="Century Gothic"/>
        </w:rPr>
        <w:t xml:space="preserve"> solo aplica para contratos de prestación de servicios?</w:t>
      </w:r>
    </w:p>
    <w:p w14:paraId="193DC208" w14:textId="77777777" w:rsidR="00581E2C" w:rsidRPr="00E4307F" w:rsidRDefault="00581E2C" w:rsidP="00581E2C">
      <w:pPr>
        <w:spacing w:after="0" w:line="276" w:lineRule="auto"/>
        <w:jc w:val="both"/>
        <w:rPr>
          <w:rFonts w:ascii="Verdana" w:hAnsi="Verdana"/>
        </w:rPr>
      </w:pPr>
    </w:p>
    <w:p w14:paraId="71496E04" w14:textId="77777777" w:rsidR="00581E2C" w:rsidRPr="00E4307F" w:rsidRDefault="00581E2C" w:rsidP="00581E2C">
      <w:pPr>
        <w:pStyle w:val="Prrafodelista"/>
        <w:numPr>
          <w:ilvl w:val="0"/>
          <w:numId w:val="9"/>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Respuesta:</w:t>
      </w:r>
    </w:p>
    <w:p w14:paraId="290E89BD" w14:textId="77777777" w:rsidR="00581E2C" w:rsidRPr="00E4307F" w:rsidRDefault="00581E2C" w:rsidP="00581E2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81E2C" w:rsidRPr="00E4307F" w14:paraId="469C89DD" w14:textId="77777777" w:rsidTr="00367512">
        <w:tc>
          <w:tcPr>
            <w:tcW w:w="8828" w:type="dxa"/>
            <w:tcBorders>
              <w:top w:val="dotted" w:sz="4" w:space="0" w:color="auto"/>
              <w:left w:val="dotted" w:sz="4" w:space="0" w:color="auto"/>
              <w:bottom w:val="dotted" w:sz="4" w:space="0" w:color="auto"/>
              <w:right w:val="dotted" w:sz="4" w:space="0" w:color="auto"/>
            </w:tcBorders>
            <w:hideMark/>
          </w:tcPr>
          <w:p w14:paraId="2DC6DBEC" w14:textId="77777777" w:rsidR="00581E2C" w:rsidRPr="00CE71BD" w:rsidRDefault="00581E2C" w:rsidP="00367512">
            <w:pPr>
              <w:spacing w:after="120" w:line="276" w:lineRule="auto"/>
              <w:jc w:val="both"/>
              <w:rPr>
                <w:rFonts w:ascii="Verdana" w:eastAsia="Calibri" w:hAnsi="Verdana" w:cs="Arial"/>
                <w:color w:val="000000" w:themeColor="text1"/>
                <w:lang w:val="es-MX"/>
              </w:rPr>
            </w:pPr>
            <w:r w:rsidRPr="00CE71BD">
              <w:rPr>
                <w:rFonts w:ascii="Verdana" w:eastAsia="Calibri" w:hAnsi="Verdana" w:cs="Arial"/>
                <w:color w:val="000000" w:themeColor="text1"/>
                <w:lang w:val="es-MX"/>
              </w:rPr>
              <w:t xml:space="preserve">De acuerdo con numeral 3° del artículo 32 de la Ley 80 de 1993 y el artículo 2.8.4.4.5 del Decreto 1068 de 2015, la insuficiencia de personal es presupuesto para la celebración de contratos de prestación de servicios, tanto con personas naturales como jurídicas. Esto significa que, para celebrar otros </w:t>
            </w:r>
            <w:r w:rsidRPr="00CE71BD">
              <w:rPr>
                <w:rFonts w:ascii="Verdana" w:eastAsia="Calibri" w:hAnsi="Verdana" w:cs="Arial"/>
                <w:color w:val="000000" w:themeColor="text1"/>
                <w:lang w:val="es-MX"/>
              </w:rPr>
              <w:lastRenderedPageBreak/>
              <w:t xml:space="preserve">tipos de contratos no es obligatorio certificar la insuficiencia de personal en los términos exigidos por el artículo 2.8.4.4.5 del Decreto 1068 de 2015. </w:t>
            </w:r>
          </w:p>
          <w:p w14:paraId="40EFB26B" w14:textId="77777777" w:rsidR="00581E2C" w:rsidRPr="00E4307F" w:rsidRDefault="00581E2C" w:rsidP="00367512">
            <w:pPr>
              <w:spacing w:after="120" w:line="276" w:lineRule="auto"/>
              <w:ind w:firstLine="709"/>
              <w:jc w:val="both"/>
              <w:rPr>
                <w:rFonts w:ascii="Verdana" w:eastAsia="Calibri" w:hAnsi="Verdana" w:cs="Arial"/>
                <w:color w:val="7030A0"/>
                <w:lang w:val="es-ES_tradnl"/>
              </w:rPr>
            </w:pPr>
            <w:r w:rsidRPr="00CE71BD">
              <w:rPr>
                <w:rFonts w:ascii="Verdana" w:eastAsia="Calibri" w:hAnsi="Verdana" w:cs="Arial"/>
                <w:color w:val="000000" w:themeColor="text1"/>
                <w:lang w:val="es-MX"/>
              </w:rPr>
              <w:t xml:space="preserve">No obstante, la descripción y justificación de la necesidad a satisfacer mediante el contrato estatal es un presupuesto común a todos los tipos contractuales, la cual debe plasmarse en los estudios y documentos previos, conforme lo exige el numeral 1 del artículo 2.2.1.1.2.1.1. del Decreto 1082 de 2015. En razón de esto, no es posible celebrar un contrato estatal sin una </w:t>
            </w:r>
            <w:proofErr w:type="gramStart"/>
            <w:r w:rsidRPr="00CE71BD">
              <w:rPr>
                <w:rFonts w:ascii="Verdana" w:eastAsia="Calibri" w:hAnsi="Verdana" w:cs="Arial"/>
                <w:color w:val="000000" w:themeColor="text1"/>
                <w:lang w:val="es-MX"/>
              </w:rPr>
              <w:t xml:space="preserve">justificación </w:t>
            </w:r>
            <w:r w:rsidRPr="00E4307F">
              <w:rPr>
                <w:rFonts w:ascii="Verdana" w:hAnsi="Verdana" w:cs="Arial"/>
                <w:noProof/>
                <w:lang w:val="es-ES_tradnl"/>
              </w:rPr>
              <w:t xml:space="preserve"> </w:t>
            </w:r>
            <w:r w:rsidRPr="00CE71BD">
              <w:rPr>
                <w:rFonts w:ascii="Verdana" w:hAnsi="Verdana" w:cs="Arial"/>
                <w:noProof/>
                <w:lang w:val="es-ES_tradnl"/>
              </w:rPr>
              <w:t>que</w:t>
            </w:r>
            <w:proofErr w:type="gramEnd"/>
            <w:r w:rsidRPr="00CE71BD">
              <w:rPr>
                <w:rFonts w:ascii="Verdana" w:hAnsi="Verdana" w:cs="Arial"/>
                <w:noProof/>
                <w:lang w:val="es-ES_tradnl"/>
              </w:rPr>
              <w:t xml:space="preserve"> de cuenta de las razones por las que se celebra el contrato y sus condiciones.</w:t>
            </w:r>
          </w:p>
        </w:tc>
      </w:tr>
    </w:tbl>
    <w:p w14:paraId="7E61B8B3" w14:textId="77777777" w:rsidR="00581E2C" w:rsidRPr="00E4307F" w:rsidRDefault="00581E2C" w:rsidP="00581E2C">
      <w:pPr>
        <w:tabs>
          <w:tab w:val="left" w:pos="142"/>
          <w:tab w:val="left" w:pos="284"/>
        </w:tabs>
        <w:spacing w:after="0" w:line="276" w:lineRule="auto"/>
        <w:jc w:val="both"/>
        <w:rPr>
          <w:rFonts w:ascii="Verdana" w:eastAsia="Century Gothic" w:hAnsi="Verdana" w:cs="Century Gothic"/>
          <w:b/>
          <w:bCs/>
          <w:lang w:val="es-ES"/>
        </w:rPr>
      </w:pPr>
    </w:p>
    <w:p w14:paraId="05F7ADEE" w14:textId="77777777" w:rsidR="00581E2C" w:rsidRPr="004129EC" w:rsidRDefault="00581E2C" w:rsidP="00581E2C">
      <w:pPr>
        <w:pStyle w:val="Prrafodelista"/>
        <w:numPr>
          <w:ilvl w:val="0"/>
          <w:numId w:val="9"/>
        </w:numPr>
        <w:tabs>
          <w:tab w:val="left" w:pos="142"/>
          <w:tab w:val="left" w:pos="284"/>
        </w:tabs>
        <w:spacing w:after="0" w:line="360" w:lineRule="auto"/>
        <w:ind w:left="0" w:firstLine="0"/>
        <w:jc w:val="both"/>
        <w:rPr>
          <w:rFonts w:ascii="Verdana" w:eastAsia="Century Gothic" w:hAnsi="Verdana" w:cs="Century Gothic"/>
          <w:b/>
          <w:bCs/>
        </w:rPr>
      </w:pPr>
      <w:r w:rsidRPr="00E4307F">
        <w:rPr>
          <w:rFonts w:ascii="Verdana" w:eastAsia="Century Gothic" w:hAnsi="Verdana" w:cs="Century Gothic"/>
          <w:b/>
          <w:bCs/>
        </w:rPr>
        <w:t>Razones de la respuesta:</w:t>
      </w:r>
    </w:p>
    <w:p w14:paraId="09D84387" w14:textId="77777777" w:rsidR="00581E2C" w:rsidRPr="00471C69" w:rsidRDefault="00581E2C" w:rsidP="00581E2C">
      <w:pPr>
        <w:spacing w:after="0" w:line="360" w:lineRule="auto"/>
        <w:jc w:val="both"/>
        <w:rPr>
          <w:rFonts w:ascii="Verdana" w:eastAsia="Calibri" w:hAnsi="Verdana" w:cs="Arial"/>
          <w:lang w:val="es-ES"/>
        </w:rPr>
      </w:pPr>
      <w:r w:rsidRPr="00E4307F">
        <w:rPr>
          <w:rFonts w:ascii="Verdana" w:eastAsia="Calibri" w:hAnsi="Verdana" w:cs="Arial"/>
          <w:lang w:val="es-ES"/>
        </w:rPr>
        <w:t xml:space="preserve">Lo anterior se sustenta en las siguientes consideraciones: </w:t>
      </w:r>
    </w:p>
    <w:p w14:paraId="48A35122" w14:textId="77777777" w:rsidR="00581E2C" w:rsidRPr="00E4307F" w:rsidRDefault="00581E2C" w:rsidP="00581E2C">
      <w:pPr>
        <w:jc w:val="both"/>
        <w:rPr>
          <w:rFonts w:ascii="Verdana" w:eastAsia="Calibri" w:hAnsi="Verdana" w:cs="Arial"/>
        </w:rPr>
      </w:pPr>
      <w:r w:rsidRPr="00E4307F">
        <w:rPr>
          <w:rFonts w:ascii="Verdana" w:hAnsi="Verdana" w:cs="Arial"/>
          <w:color w:val="000000" w:themeColor="text1"/>
        </w:rPr>
        <w:t xml:space="preserve">El contrato de prestación de servicios es un contrato estatal típico, regulado en el </w:t>
      </w:r>
      <w:r w:rsidRPr="00E4307F">
        <w:rPr>
          <w:rStyle w:val="Refdenotaalpie"/>
          <w:rFonts w:ascii="Verdana" w:hAnsi="Verdana" w:cs="Arial"/>
          <w:color w:val="000000" w:themeColor="text1"/>
        </w:rPr>
        <w:footnoteReference w:id="2"/>
      </w:r>
      <w:r w:rsidRPr="00E4307F">
        <w:rPr>
          <w:rFonts w:ascii="Verdana" w:hAnsi="Verdana" w:cs="Arial"/>
          <w:color w:val="000000" w:themeColor="text1"/>
        </w:rPr>
        <w:t xml:space="preserve">numeral 3 del artículo 32 de la Ley 80 de 1993, definido como </w:t>
      </w:r>
      <w:r w:rsidRPr="00E4307F">
        <w:rPr>
          <w:rFonts w:ascii="Verdana" w:hAnsi="Verdana" w:cs="Arial"/>
        </w:rPr>
        <w:t>el suscrito por las entidades del Estado con el objeto de apoyar y desarrollar actividades propias del funcionamiento y la administración de las entidades estatales. La norma</w:t>
      </w:r>
      <w:r w:rsidRPr="00E4307F">
        <w:rPr>
          <w:rFonts w:ascii="Verdana" w:hAnsi="Verdana" w:cs="Arial"/>
          <w:spacing w:val="-6"/>
        </w:rPr>
        <w:t xml:space="preserve"> </w:t>
      </w:r>
      <w:r w:rsidRPr="00E4307F">
        <w:rPr>
          <w:rFonts w:ascii="Verdana" w:hAnsi="Verdana" w:cs="Arial"/>
        </w:rPr>
        <w:t>señala:</w:t>
      </w:r>
    </w:p>
    <w:p w14:paraId="3C6C5CF1" w14:textId="77777777" w:rsidR="00581E2C" w:rsidRPr="00E4307F" w:rsidRDefault="00581E2C" w:rsidP="00581E2C">
      <w:pPr>
        <w:pStyle w:val="Textoindependiente"/>
        <w:ind w:right="709"/>
        <w:jc w:val="both"/>
        <w:rPr>
          <w:rFonts w:ascii="Verdana" w:hAnsi="Verdana"/>
        </w:rPr>
      </w:pPr>
      <w:r>
        <w:rPr>
          <w:rFonts w:ascii="Verdana" w:hAnsi="Verdana"/>
        </w:rPr>
        <w:t xml:space="preserve">          </w:t>
      </w:r>
      <w:r w:rsidRPr="00CE71BD">
        <w:rPr>
          <w:rFonts w:ascii="Verdana" w:hAnsi="Verdana"/>
        </w:rPr>
        <w:t>“</w:t>
      </w:r>
      <w:r w:rsidRPr="00E4307F">
        <w:rPr>
          <w:rFonts w:ascii="Verdana" w:hAnsi="Verdana"/>
        </w:rPr>
        <w:t xml:space="preserve">Artículo 32. De los Contratos Estatales. </w:t>
      </w:r>
    </w:p>
    <w:p w14:paraId="2436705B" w14:textId="77777777" w:rsidR="00581E2C" w:rsidRPr="00E4307F" w:rsidRDefault="00581E2C" w:rsidP="00581E2C">
      <w:pPr>
        <w:pStyle w:val="Textoindependiente"/>
        <w:ind w:left="709" w:right="709" w:firstLine="708"/>
        <w:jc w:val="both"/>
        <w:rPr>
          <w:rFonts w:ascii="Verdana" w:hAnsi="Verdana"/>
        </w:rPr>
      </w:pPr>
      <w:r w:rsidRPr="00E4307F">
        <w:rPr>
          <w:rFonts w:ascii="Verdana" w:hAnsi="Verdana"/>
        </w:rPr>
        <w:t>[…]</w:t>
      </w:r>
    </w:p>
    <w:p w14:paraId="57810EA0" w14:textId="77777777" w:rsidR="00581E2C" w:rsidRPr="00E4307F" w:rsidRDefault="00581E2C" w:rsidP="00581E2C">
      <w:pPr>
        <w:pStyle w:val="Textoindependiente"/>
        <w:ind w:right="709"/>
        <w:jc w:val="both"/>
        <w:rPr>
          <w:rFonts w:ascii="Verdana" w:hAnsi="Verdana"/>
          <w:i/>
          <w:iCs/>
        </w:rPr>
      </w:pPr>
      <w:r w:rsidRPr="00E4307F">
        <w:rPr>
          <w:rFonts w:ascii="Verdana" w:hAnsi="Verdana"/>
          <w:i/>
          <w:iCs/>
        </w:rPr>
        <w:t xml:space="preserve">          3. Contrato de Prestación de</w:t>
      </w:r>
      <w:r w:rsidRPr="00E4307F">
        <w:rPr>
          <w:rFonts w:ascii="Verdana" w:hAnsi="Verdana"/>
          <w:i/>
          <w:iCs/>
          <w:spacing w:val="-5"/>
        </w:rPr>
        <w:t xml:space="preserve"> </w:t>
      </w:r>
      <w:r w:rsidRPr="00E4307F">
        <w:rPr>
          <w:rFonts w:ascii="Verdana" w:hAnsi="Verdana"/>
          <w:i/>
          <w:iCs/>
        </w:rPr>
        <w:t>Servicios.</w:t>
      </w:r>
    </w:p>
    <w:p w14:paraId="0D1AF97A" w14:textId="77777777" w:rsidR="00581E2C" w:rsidRPr="00E4307F" w:rsidRDefault="00581E2C" w:rsidP="00581E2C">
      <w:pPr>
        <w:pStyle w:val="Textoindependiente"/>
        <w:ind w:left="709" w:right="709"/>
        <w:jc w:val="both"/>
        <w:rPr>
          <w:rFonts w:ascii="Verdana" w:hAnsi="Verdana"/>
          <w:i/>
          <w:iCs/>
        </w:rPr>
      </w:pPr>
      <w:r w:rsidRPr="00E4307F">
        <w:rPr>
          <w:rFonts w:ascii="Verdana" w:hAnsi="Verdana"/>
          <w:i/>
          <w:iCs/>
        </w:rPr>
        <w:t xml:space="preserve">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E4307F">
        <w:rPr>
          <w:rFonts w:ascii="Verdana" w:hAnsi="Verdana"/>
          <w:i/>
          <w:iCs/>
          <w:u w:val="single"/>
        </w:rPr>
        <w:t>no puedan realizarse con personal de planta o requieran conocimientos especializados</w:t>
      </w:r>
      <w:r w:rsidRPr="00E4307F">
        <w:rPr>
          <w:rFonts w:ascii="Verdana" w:hAnsi="Verdana"/>
          <w:i/>
          <w:iCs/>
        </w:rPr>
        <w:t>.</w:t>
      </w:r>
    </w:p>
    <w:p w14:paraId="5EE17FA1" w14:textId="77777777" w:rsidR="00581E2C" w:rsidRPr="00E4307F" w:rsidRDefault="00581E2C" w:rsidP="00581E2C">
      <w:pPr>
        <w:pStyle w:val="Textoindependiente"/>
        <w:ind w:left="709" w:right="709"/>
        <w:jc w:val="both"/>
        <w:rPr>
          <w:rFonts w:ascii="Verdana" w:hAnsi="Verdana"/>
          <w:i/>
          <w:iCs/>
        </w:rPr>
      </w:pPr>
    </w:p>
    <w:p w14:paraId="0BEA3A2E" w14:textId="77777777" w:rsidR="00581E2C" w:rsidRPr="00E4307F" w:rsidRDefault="00581E2C" w:rsidP="00581E2C">
      <w:pPr>
        <w:pStyle w:val="Textoindependiente"/>
        <w:ind w:left="709" w:right="709"/>
        <w:jc w:val="both"/>
        <w:rPr>
          <w:rFonts w:ascii="Verdana" w:hAnsi="Verdana"/>
        </w:rPr>
      </w:pPr>
      <w:r w:rsidRPr="00E4307F">
        <w:rPr>
          <w:rFonts w:ascii="Verdana" w:hAnsi="Verdana"/>
          <w:i/>
          <w:iCs/>
        </w:rPr>
        <w:lastRenderedPageBreak/>
        <w:t>En ningún caso estos contratos generan relación laboral ni prestaciones sociales y se celebrarán por el término estrictamente</w:t>
      </w:r>
      <w:r w:rsidRPr="00E4307F">
        <w:rPr>
          <w:rFonts w:ascii="Verdana" w:hAnsi="Verdana"/>
          <w:i/>
          <w:iCs/>
          <w:spacing w:val="-15"/>
        </w:rPr>
        <w:t xml:space="preserve"> </w:t>
      </w:r>
      <w:r w:rsidRPr="00E4307F">
        <w:rPr>
          <w:rFonts w:ascii="Verdana" w:hAnsi="Verdana"/>
          <w:i/>
          <w:iCs/>
        </w:rPr>
        <w:t>indispensable</w:t>
      </w:r>
      <w:r w:rsidRPr="00CE71BD">
        <w:rPr>
          <w:rFonts w:ascii="Verdana" w:hAnsi="Verdana"/>
          <w:i/>
          <w:iCs/>
        </w:rPr>
        <w:t>”.</w:t>
      </w:r>
      <w:r w:rsidRPr="00E4307F">
        <w:rPr>
          <w:rFonts w:ascii="Verdana" w:hAnsi="Verdana"/>
          <w:i/>
          <w:iCs/>
        </w:rPr>
        <w:t xml:space="preserve"> </w:t>
      </w:r>
      <w:r w:rsidRPr="00E4307F">
        <w:rPr>
          <w:rFonts w:ascii="Verdana" w:hAnsi="Verdana"/>
        </w:rPr>
        <w:t>(Énfasis fuera de texto)</w:t>
      </w:r>
    </w:p>
    <w:p w14:paraId="33C69F66" w14:textId="77777777" w:rsidR="00581E2C" w:rsidRPr="00E4307F" w:rsidRDefault="00581E2C" w:rsidP="00581E2C">
      <w:pPr>
        <w:pStyle w:val="Textoindependiente"/>
        <w:ind w:left="709" w:right="709"/>
        <w:jc w:val="both"/>
        <w:rPr>
          <w:rFonts w:ascii="Verdana" w:hAnsi="Verdana"/>
        </w:rPr>
      </w:pPr>
    </w:p>
    <w:p w14:paraId="65DDD7BB" w14:textId="77777777" w:rsidR="00581E2C" w:rsidRPr="00E4307F" w:rsidRDefault="00581E2C" w:rsidP="00581E2C">
      <w:pPr>
        <w:ind w:firstLine="708"/>
        <w:jc w:val="both"/>
        <w:rPr>
          <w:rFonts w:ascii="Verdana" w:eastAsia="Calibri" w:hAnsi="Verdana" w:cs="Arial"/>
          <w:color w:val="000000" w:themeColor="text1"/>
          <w:lang w:val="es-ES"/>
        </w:rPr>
      </w:pPr>
      <w:r w:rsidRPr="49F4DBA2">
        <w:rPr>
          <w:rFonts w:ascii="Verdana" w:eastAsia="Calibri" w:hAnsi="Verdana" w:cs="Arial"/>
          <w:color w:val="000000" w:themeColor="text1"/>
          <w:lang w:val="es-ES"/>
        </w:rPr>
        <w:t xml:space="preserve">La celebración de dicho contrato </w:t>
      </w:r>
      <w:r w:rsidRPr="00CE71BD">
        <w:rPr>
          <w:rFonts w:ascii="Verdana" w:eastAsia="Calibri" w:hAnsi="Verdana" w:cs="Arial"/>
          <w:color w:val="000000" w:themeColor="text1"/>
          <w:lang w:val="es-ES"/>
        </w:rPr>
        <w:t>puede</w:t>
      </w:r>
      <w:r w:rsidRPr="49F4DBA2">
        <w:rPr>
          <w:rFonts w:ascii="Verdana" w:eastAsia="Calibri" w:hAnsi="Verdana" w:cs="Arial"/>
          <w:color w:val="000000" w:themeColor="text1"/>
          <w:lang w:val="es-ES"/>
        </w:rPr>
        <w:t xml:space="preserve"> efectuarse a través de la modalidad de contratación directa. Así lo dispone el </w:t>
      </w:r>
      <w:r w:rsidRPr="49F4DBA2">
        <w:rPr>
          <w:rStyle w:val="Refdenotaalpie"/>
          <w:rFonts w:ascii="Verdana" w:eastAsia="Calibri" w:hAnsi="Verdana" w:cs="Arial"/>
          <w:color w:val="000000" w:themeColor="text1"/>
          <w:lang w:val="es-ES"/>
        </w:rPr>
        <w:footnoteReference w:id="3"/>
      </w:r>
      <w:r w:rsidRPr="49F4DBA2">
        <w:rPr>
          <w:rFonts w:ascii="Verdana" w:eastAsia="Calibri" w:hAnsi="Verdana" w:cs="Arial"/>
          <w:color w:val="000000" w:themeColor="text1"/>
          <w:lang w:val="es-ES"/>
        </w:rPr>
        <w:t>artículo 2, numeral 4º, literal h), de la Ley 1150 de 2007:</w:t>
      </w:r>
    </w:p>
    <w:p w14:paraId="0AAA0C4F" w14:textId="77777777" w:rsidR="00581E2C" w:rsidRPr="00E4307F" w:rsidRDefault="00581E2C" w:rsidP="00581E2C">
      <w:pPr>
        <w:spacing w:line="240" w:lineRule="auto"/>
        <w:ind w:left="709" w:right="758"/>
        <w:jc w:val="both"/>
        <w:rPr>
          <w:rFonts w:ascii="Verdana" w:eastAsia="Calibri" w:hAnsi="Verdana" w:cs="Arial"/>
          <w:color w:val="000000" w:themeColor="text1"/>
        </w:rPr>
      </w:pPr>
      <w:r w:rsidRPr="00CE71BD">
        <w:rPr>
          <w:rFonts w:ascii="Verdana" w:eastAsia="Calibri" w:hAnsi="Verdana" w:cs="Arial"/>
          <w:color w:val="000000" w:themeColor="text1"/>
        </w:rPr>
        <w:t>“</w:t>
      </w:r>
      <w:r w:rsidRPr="00E4307F">
        <w:rPr>
          <w:rFonts w:ascii="Verdana" w:eastAsia="Calibri" w:hAnsi="Verdana" w:cs="Arial"/>
          <w:color w:val="000000" w:themeColor="text1"/>
        </w:rPr>
        <w:t>La escogencia del contratista se efectuará con arreglo a las modalidades de selección de licitación pública, selección abreviada, concurso de méritos y contratación directa, con base en las siguientes reglas:</w:t>
      </w:r>
      <w:r w:rsidRPr="00E4307F">
        <w:rPr>
          <w:rFonts w:ascii="Verdana" w:eastAsia="Calibri" w:hAnsi="Verdana" w:cs="Arial"/>
          <w:color w:val="000000" w:themeColor="text1"/>
        </w:rPr>
        <w:tab/>
      </w:r>
      <w:r w:rsidRPr="00E4307F">
        <w:rPr>
          <w:rFonts w:ascii="Verdana" w:eastAsia="Calibri" w:hAnsi="Verdana" w:cs="Arial"/>
          <w:color w:val="000000" w:themeColor="text1"/>
        </w:rPr>
        <w:br/>
        <w:t>[…]</w:t>
      </w:r>
    </w:p>
    <w:p w14:paraId="38A6F157" w14:textId="77777777" w:rsidR="00581E2C" w:rsidRPr="00E4307F" w:rsidRDefault="00581E2C" w:rsidP="00581E2C">
      <w:pPr>
        <w:spacing w:line="240" w:lineRule="auto"/>
        <w:ind w:left="709" w:right="758"/>
        <w:jc w:val="both"/>
        <w:rPr>
          <w:rFonts w:ascii="Verdana" w:eastAsia="Calibri" w:hAnsi="Verdana" w:cs="Arial"/>
          <w:color w:val="000000" w:themeColor="text1"/>
        </w:rPr>
      </w:pPr>
      <w:r w:rsidRPr="00E4307F">
        <w:rPr>
          <w:rFonts w:ascii="Verdana" w:eastAsia="Calibri" w:hAnsi="Verdana" w:cs="Arial"/>
          <w:color w:val="000000" w:themeColor="text1"/>
        </w:rPr>
        <w:t xml:space="preserve">4. Contratación directa. La modalidad de selección de contratación </w:t>
      </w:r>
      <w:proofErr w:type="gramStart"/>
      <w:r w:rsidRPr="00E4307F">
        <w:rPr>
          <w:rFonts w:ascii="Verdana" w:eastAsia="Calibri" w:hAnsi="Verdana" w:cs="Arial"/>
          <w:color w:val="000000" w:themeColor="text1"/>
        </w:rPr>
        <w:t>directa,</w:t>
      </w:r>
      <w:proofErr w:type="gramEnd"/>
      <w:r w:rsidRPr="00E4307F">
        <w:rPr>
          <w:rFonts w:ascii="Verdana" w:eastAsia="Calibri" w:hAnsi="Verdana" w:cs="Arial"/>
          <w:color w:val="000000" w:themeColor="text1"/>
        </w:rPr>
        <w:t xml:space="preserve"> solamente procederá en los siguientes casos:</w:t>
      </w:r>
      <w:r w:rsidRPr="00E4307F">
        <w:rPr>
          <w:rFonts w:ascii="Verdana" w:eastAsia="Calibri" w:hAnsi="Verdana" w:cs="Arial"/>
          <w:color w:val="000000" w:themeColor="text1"/>
        </w:rPr>
        <w:tab/>
      </w:r>
      <w:r w:rsidRPr="00E4307F">
        <w:rPr>
          <w:rFonts w:ascii="Verdana" w:eastAsia="Calibri" w:hAnsi="Verdana" w:cs="Arial"/>
          <w:color w:val="000000" w:themeColor="text1"/>
        </w:rPr>
        <w:br/>
        <w:t>[…]</w:t>
      </w:r>
    </w:p>
    <w:p w14:paraId="77856ABF" w14:textId="77777777" w:rsidR="00581E2C" w:rsidRPr="00E4307F" w:rsidRDefault="00581E2C" w:rsidP="00581E2C">
      <w:pPr>
        <w:spacing w:line="240" w:lineRule="auto"/>
        <w:ind w:left="709" w:right="758"/>
        <w:jc w:val="both"/>
        <w:rPr>
          <w:rFonts w:ascii="Verdana" w:eastAsia="Calibri" w:hAnsi="Verdana" w:cs="Arial"/>
          <w:color w:val="000000" w:themeColor="text1"/>
        </w:rPr>
      </w:pPr>
      <w:r w:rsidRPr="00E4307F">
        <w:rPr>
          <w:rFonts w:ascii="Verdana" w:eastAsia="Calibri" w:hAnsi="Verdana" w:cs="Arial"/>
          <w:color w:val="000000" w:themeColor="text1"/>
        </w:rPr>
        <w:t>h) Para la prestación de servicios profesionales y de apoyo a la gestión, o para la ejecución de trabajos artísticos que sólo puedan encomendarse a determinadas personas naturales</w:t>
      </w:r>
      <w:r w:rsidRPr="00CE71BD">
        <w:rPr>
          <w:rFonts w:ascii="Verdana" w:eastAsia="Calibri" w:hAnsi="Verdana" w:cs="Arial"/>
          <w:color w:val="000000" w:themeColor="text1"/>
        </w:rPr>
        <w:t>”.</w:t>
      </w:r>
    </w:p>
    <w:p w14:paraId="545D20EA" w14:textId="77777777" w:rsidR="00581E2C" w:rsidRPr="00E4307F" w:rsidRDefault="00581E2C" w:rsidP="00581E2C">
      <w:pPr>
        <w:tabs>
          <w:tab w:val="left" w:pos="0"/>
        </w:tabs>
        <w:jc w:val="both"/>
        <w:rPr>
          <w:rFonts w:ascii="Verdana" w:hAnsi="Verdana" w:cs="Arial"/>
          <w:noProof/>
          <w:lang w:val="es-ES_tradnl"/>
        </w:rPr>
      </w:pPr>
      <w:r w:rsidRPr="00E4307F">
        <w:rPr>
          <w:rFonts w:ascii="Verdana" w:hAnsi="Verdana" w:cs="Arial"/>
          <w:noProof/>
          <w:lang w:val="es-ES_tradnl"/>
        </w:rPr>
        <w:tab/>
        <w:t xml:space="preserve">En tal sentido, el </w:t>
      </w:r>
      <w:r w:rsidRPr="00E4307F">
        <w:rPr>
          <w:rStyle w:val="Refdenotaalpie"/>
          <w:rFonts w:ascii="Verdana" w:hAnsi="Verdana" w:cs="Arial"/>
          <w:noProof/>
          <w:lang w:val="es-ES_tradnl"/>
        </w:rPr>
        <w:footnoteReference w:id="4"/>
      </w:r>
      <w:r w:rsidRPr="00E4307F">
        <w:rPr>
          <w:rFonts w:ascii="Verdana" w:hAnsi="Verdana" w:cs="Arial"/>
          <w:noProof/>
          <w:lang w:val="es-ES_tradnl"/>
        </w:rPr>
        <w:t>Decreto 1082 de 2015 en su artículo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13C490D8" w14:textId="77777777" w:rsidR="00581E2C" w:rsidRDefault="00581E2C" w:rsidP="00581E2C">
      <w:pPr>
        <w:spacing w:after="0" w:line="240" w:lineRule="auto"/>
        <w:ind w:left="708" w:right="709"/>
        <w:jc w:val="both"/>
        <w:rPr>
          <w:rFonts w:ascii="Verdana" w:hAnsi="Verdana" w:cs="Arial"/>
        </w:rPr>
      </w:pPr>
      <w:r w:rsidRPr="00CE71BD">
        <w:rPr>
          <w:rFonts w:ascii="Verdana" w:hAnsi="Verdana" w:cs="Arial"/>
        </w:rPr>
        <w:t>“</w:t>
      </w:r>
      <w:r w:rsidRPr="00E4307F">
        <w:rPr>
          <w:rFonts w:ascii="Verdana" w:hAnsi="Verdana" w:cs="Arial"/>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76F56E28" w14:textId="77777777" w:rsidR="00581E2C" w:rsidRPr="00E4307F" w:rsidRDefault="00581E2C" w:rsidP="00581E2C">
      <w:pPr>
        <w:spacing w:after="0" w:line="240" w:lineRule="auto"/>
        <w:ind w:left="708" w:right="709"/>
        <w:jc w:val="both"/>
        <w:rPr>
          <w:rFonts w:ascii="Verdana" w:hAnsi="Verdana" w:cs="Arial"/>
        </w:rPr>
      </w:pPr>
    </w:p>
    <w:p w14:paraId="408FDD82" w14:textId="77777777" w:rsidR="00581E2C" w:rsidRPr="00E4307F" w:rsidRDefault="00581E2C" w:rsidP="00581E2C">
      <w:pPr>
        <w:spacing w:after="0" w:line="240" w:lineRule="auto"/>
        <w:ind w:left="708" w:right="709"/>
        <w:jc w:val="both"/>
        <w:rPr>
          <w:rFonts w:ascii="Verdana" w:hAnsi="Verdana" w:cs="Arial"/>
        </w:rPr>
      </w:pPr>
      <w:r w:rsidRPr="00E4307F">
        <w:rPr>
          <w:rFonts w:ascii="Verdana" w:hAnsi="Verdana" w:cs="Arial"/>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A318A22" w14:textId="77777777" w:rsidR="00581E2C" w:rsidRPr="00E4307F" w:rsidRDefault="00581E2C" w:rsidP="00581E2C">
      <w:pPr>
        <w:spacing w:after="0" w:line="240" w:lineRule="auto"/>
        <w:ind w:left="708" w:right="709"/>
        <w:jc w:val="both"/>
        <w:rPr>
          <w:rFonts w:ascii="Verdana" w:hAnsi="Verdana" w:cs="Arial"/>
        </w:rPr>
      </w:pPr>
    </w:p>
    <w:p w14:paraId="098D2640" w14:textId="77777777" w:rsidR="00581E2C" w:rsidRPr="00E4307F" w:rsidRDefault="00581E2C" w:rsidP="00581E2C">
      <w:pPr>
        <w:spacing w:after="0" w:line="240" w:lineRule="auto"/>
        <w:ind w:left="708" w:right="709"/>
        <w:jc w:val="both"/>
        <w:rPr>
          <w:rFonts w:ascii="Verdana" w:hAnsi="Verdana" w:cs="Arial"/>
        </w:rPr>
      </w:pPr>
      <w:r w:rsidRPr="00E4307F">
        <w:rPr>
          <w:rFonts w:ascii="Verdana" w:hAnsi="Verdana" w:cs="Arial"/>
        </w:rPr>
        <w:t>La Entidad Estatal, para la contratación de trabajos artísticos que solamente puedan encomendarse a determinadas personas naturales, debe justificar esta situación en los estudios y documentos previos</w:t>
      </w:r>
      <w:r w:rsidRPr="00CE71BD">
        <w:rPr>
          <w:rFonts w:ascii="Verdana" w:hAnsi="Verdana" w:cs="Arial"/>
        </w:rPr>
        <w:t>”.</w:t>
      </w:r>
    </w:p>
    <w:p w14:paraId="07012E4F" w14:textId="77777777" w:rsidR="00581E2C" w:rsidRPr="00E4307F" w:rsidRDefault="00581E2C" w:rsidP="00581E2C">
      <w:pPr>
        <w:tabs>
          <w:tab w:val="left" w:pos="0"/>
        </w:tabs>
        <w:spacing w:after="0"/>
        <w:jc w:val="both"/>
        <w:rPr>
          <w:rFonts w:ascii="Verdana" w:hAnsi="Verdana" w:cs="Arial"/>
          <w:color w:val="000000" w:themeColor="text1"/>
          <w:lang w:val="es-ES_tradnl"/>
        </w:rPr>
      </w:pPr>
    </w:p>
    <w:p w14:paraId="535A43FF" w14:textId="77777777" w:rsidR="00581E2C" w:rsidRPr="00E4307F" w:rsidRDefault="00581E2C" w:rsidP="00581E2C">
      <w:pPr>
        <w:tabs>
          <w:tab w:val="left" w:pos="0"/>
        </w:tabs>
        <w:spacing w:after="120"/>
        <w:jc w:val="both"/>
        <w:rPr>
          <w:rFonts w:ascii="Verdana" w:hAnsi="Verdana" w:cs="Arial"/>
          <w:color w:val="000000" w:themeColor="text1"/>
          <w:lang w:val="es-ES_tradnl"/>
        </w:rPr>
      </w:pPr>
      <w:r w:rsidRPr="00E4307F">
        <w:rPr>
          <w:rFonts w:ascii="Verdana" w:hAnsi="Verdana" w:cs="Arial"/>
          <w:color w:val="000000" w:themeColor="text1"/>
          <w:lang w:val="es-ES_tradnl"/>
        </w:rPr>
        <w:tab/>
        <w:t>A partir de las disposiciones citadas, así como de la reciente Sentencia de Unificación de Jurisprudencial del 9 de septiembre de 2021, proferida por el Consejo de Estado</w:t>
      </w:r>
      <w:r w:rsidRPr="00E4307F">
        <w:rPr>
          <w:rStyle w:val="Refdenotaalpie"/>
          <w:rFonts w:ascii="Verdana" w:hAnsi="Verdana" w:cs="Arial"/>
          <w:bCs/>
          <w:lang w:val="es-ES"/>
        </w:rPr>
        <w:footnoteReference w:id="5"/>
      </w:r>
      <w:r w:rsidRPr="00E4307F">
        <w:rPr>
          <w:rFonts w:ascii="Verdana" w:hAnsi="Verdana" w:cs="Arial"/>
          <w:color w:val="000000" w:themeColor="text1"/>
          <w:lang w:val="es-ES_tradnl"/>
        </w:rPr>
        <w:t>, es posible señalar las siguientes características del contrato de prestación de servicios</w:t>
      </w:r>
      <w:r w:rsidRPr="00E4307F">
        <w:rPr>
          <w:rFonts w:ascii="Verdana" w:hAnsi="Verdana" w:cs="Arial"/>
          <w:noProof/>
          <w:lang w:val="es-ES_tradnl"/>
        </w:rPr>
        <w:t>:</w:t>
      </w:r>
    </w:p>
    <w:p w14:paraId="48EF696C" w14:textId="77777777" w:rsidR="00581E2C" w:rsidRPr="00E4307F" w:rsidRDefault="00581E2C" w:rsidP="00581E2C">
      <w:pPr>
        <w:spacing w:after="120"/>
        <w:ind w:firstLine="709"/>
        <w:jc w:val="both"/>
        <w:rPr>
          <w:rFonts w:ascii="Verdana" w:hAnsi="Verdana" w:cs="Arial"/>
          <w:noProof/>
          <w:lang w:val="es-ES_tradnl"/>
        </w:rPr>
      </w:pPr>
      <w:r w:rsidRPr="00E4307F">
        <w:rPr>
          <w:rFonts w:ascii="Verdana" w:hAnsi="Verdana" w:cs="Arial"/>
          <w:noProof/>
          <w:lang w:val="es-ES_tradnl"/>
        </w:rPr>
        <w:t>i) Solo puede celebrarse para realizar “actividades relacionadas con la administración o funcionamiento de la entidad”, es decir, que hagan parte de su giro ordinario o quehacer cotidiano.</w:t>
      </w:r>
    </w:p>
    <w:p w14:paraId="23AC41A2" w14:textId="77777777" w:rsidR="00581E2C" w:rsidRPr="00E4307F" w:rsidRDefault="00581E2C" w:rsidP="00581E2C">
      <w:pPr>
        <w:spacing w:after="120"/>
        <w:ind w:firstLine="709"/>
        <w:jc w:val="both"/>
        <w:rPr>
          <w:rFonts w:ascii="Verdana" w:hAnsi="Verdana" w:cs="Arial"/>
          <w:noProof/>
          <w:lang w:val="es-ES_tradnl"/>
        </w:rPr>
      </w:pPr>
      <w:r w:rsidRPr="00E4307F">
        <w:rPr>
          <w:rFonts w:ascii="Verdana" w:hAnsi="Verdana" w:cs="Arial"/>
          <w:noProof/>
          <w:lang w:val="es-ES_tradnl"/>
        </w:rPr>
        <w:t>ii) Respecto del tipo de personas que pueden ser contratadas, admite que se suscriba con personas naturales o jurídicas. Sin embargo, en cualquier caso, la entidad estatal debe justificar, en los estudios previos, que las actividades “no puedan realizarse con personal de planta o requieran conocimientos especializados”.</w:t>
      </w:r>
      <w:r w:rsidRPr="00E4307F">
        <w:rPr>
          <w:rStyle w:val="Refdenotaalpie"/>
          <w:rFonts w:ascii="Verdana" w:hAnsi="Verdana" w:cs="Arial"/>
          <w:noProof/>
          <w:lang w:val="es-ES_tradnl"/>
        </w:rPr>
        <w:footnoteReference w:id="6"/>
      </w:r>
      <w:r w:rsidRPr="00E4307F">
        <w:rPr>
          <w:rFonts w:ascii="Verdana" w:hAnsi="Verdana" w:cs="Arial"/>
          <w:noProof/>
          <w:lang w:val="es-ES_tradnl"/>
        </w:rPr>
        <w:t xml:space="preserve"> </w:t>
      </w:r>
    </w:p>
    <w:p w14:paraId="225E9ED3"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CE71BD">
        <w:rPr>
          <w:rFonts w:ascii="Verdana" w:hAnsi="Verdana" w:cs="Arial"/>
          <w:i/>
          <w:noProof/>
          <w:lang w:val="es-ES_tradnl"/>
        </w:rPr>
        <w:t xml:space="preserve">subordinación </w:t>
      </w:r>
      <w:r w:rsidRPr="00CE71BD">
        <w:rPr>
          <w:rFonts w:ascii="Verdana" w:hAnsi="Verdana" w:cs="Arial"/>
          <w:iCs/>
          <w:noProof/>
          <w:lang w:val="es-ES_tradnl"/>
        </w:rPr>
        <w:t>ni</w:t>
      </w:r>
      <w:r w:rsidRPr="00CE71BD">
        <w:rPr>
          <w:rFonts w:ascii="Verdana" w:hAnsi="Verdana" w:cs="Arial"/>
          <w:i/>
          <w:noProof/>
          <w:lang w:val="es-ES_tradnl"/>
        </w:rPr>
        <w:t xml:space="preserve"> dependencia</w:t>
      </w:r>
      <w:r w:rsidRPr="00CE71BD">
        <w:rPr>
          <w:rFonts w:ascii="Verdana" w:hAnsi="Verdana" w:cs="Arial"/>
          <w:iCs/>
          <w:noProof/>
          <w:lang w:val="es-ES_tradnl"/>
        </w:rPr>
        <w:t>,</w:t>
      </w:r>
      <w:r w:rsidRPr="00CE71BD">
        <w:rPr>
          <w:rFonts w:ascii="Verdana" w:hAnsi="Verdana" w:cs="Arial"/>
          <w:noProof/>
          <w:lang w:val="es-ES_tradnl"/>
        </w:rPr>
        <w:t xml:space="preserve"> que es uno de los elementos constitutivos del vínculo laboral</w:t>
      </w:r>
      <w:r w:rsidRPr="00CE71BD">
        <w:rPr>
          <w:rFonts w:ascii="Verdana" w:hAnsi="Verdana"/>
          <w:noProof/>
          <w:vertAlign w:val="superscript"/>
          <w:lang w:val="es-ES_tradnl"/>
        </w:rPr>
        <w:footnoteReference w:id="7"/>
      </w:r>
      <w:r w:rsidRPr="00CE71BD">
        <w:rPr>
          <w:rFonts w:ascii="Verdana" w:hAnsi="Verdana" w:cs="Arial"/>
          <w:noProof/>
          <w:lang w:val="es-ES_tradnl"/>
        </w:rPr>
        <w:t xml:space="preserve">. Por eso, el artículo 32, </w:t>
      </w:r>
      <w:r w:rsidRPr="00CE71BD">
        <w:rPr>
          <w:rFonts w:ascii="Verdana" w:hAnsi="Verdana" w:cs="Arial"/>
          <w:noProof/>
          <w:lang w:val="es-ES_tradnl"/>
        </w:rPr>
        <w:lastRenderedPageBreak/>
        <w:t xml:space="preserve">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CE71BD">
        <w:rPr>
          <w:rFonts w:ascii="Verdana" w:hAnsi="Verdana" w:cs="Arial"/>
          <w:i/>
          <w:noProof/>
          <w:lang w:val="es-ES_tradnl"/>
        </w:rPr>
        <w:t>no pueden</w:t>
      </w:r>
      <w:r w:rsidRPr="00CE71BD">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CE71BD">
        <w:rPr>
          <w:rFonts w:ascii="Verdana" w:hAnsi="Verdana"/>
          <w:noProof/>
          <w:vertAlign w:val="superscript"/>
          <w:lang w:val="es-ES_tradnl"/>
        </w:rPr>
        <w:footnoteReference w:id="8"/>
      </w:r>
      <w:r w:rsidRPr="00CE71BD">
        <w:rPr>
          <w:rFonts w:ascii="Verdana" w:hAnsi="Verdana" w:cs="Arial"/>
          <w:noProof/>
          <w:lang w:val="es-ES_tradnl"/>
        </w:rPr>
        <w:t xml:space="preserve">. </w:t>
      </w:r>
    </w:p>
    <w:p w14:paraId="22FFB642"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iv) Deben ser temporales. La mencionada Sentencia de Unificacion Jurisprudencial del Consejo de Estado,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46FFBEE5" w14:textId="77777777" w:rsidR="00581E2C" w:rsidRPr="00CE71BD" w:rsidRDefault="00581E2C" w:rsidP="00581E2C">
      <w:pPr>
        <w:tabs>
          <w:tab w:val="left" w:pos="0"/>
        </w:tabs>
        <w:spacing w:after="120" w:line="276" w:lineRule="auto"/>
        <w:jc w:val="both"/>
        <w:rPr>
          <w:rFonts w:ascii="Verdana" w:hAnsi="Verdana" w:cs="Arial"/>
          <w:noProof/>
          <w:lang w:val="es-ES_tradnl"/>
        </w:rPr>
      </w:pPr>
      <w:r w:rsidRPr="00CE71BD">
        <w:rPr>
          <w:rFonts w:ascii="Verdana" w:hAnsi="Verdana" w:cs="Arial"/>
          <w:lang w:val="es-MX"/>
        </w:rPr>
        <w:tab/>
        <w:t xml:space="preserve">De igual manera, señaló que “no cabe su empleo para la cobertura indefinida de necesidades permanentes o recurrentes”. </w:t>
      </w:r>
      <w:r w:rsidRPr="00CE71BD">
        <w:rPr>
          <w:rFonts w:ascii="Verdana" w:hAnsi="Verdana" w:cs="Arial"/>
          <w:noProof/>
          <w:lang w:val="es-ES_tradnl"/>
        </w:rPr>
        <w:t xml:space="preserve">En sentido similar se </w:t>
      </w:r>
      <w:r w:rsidRPr="00CE71BD">
        <w:rPr>
          <w:rFonts w:ascii="Verdana" w:hAnsi="Verdana" w:cs="Arial"/>
          <w:noProof/>
          <w:lang w:val="es-ES_tradnl"/>
        </w:rPr>
        <w:lastRenderedPageBreak/>
        <w:t>manifestó la Corte Constitucional en la sentencia C-154 de 1997, expresando que:</w:t>
      </w:r>
    </w:p>
    <w:p w14:paraId="5C4B2484" w14:textId="77777777" w:rsidR="00581E2C" w:rsidRPr="00CE71BD" w:rsidRDefault="00581E2C" w:rsidP="00581E2C">
      <w:pPr>
        <w:tabs>
          <w:tab w:val="left" w:pos="0"/>
        </w:tabs>
        <w:spacing w:after="0" w:line="276" w:lineRule="auto"/>
        <w:ind w:left="709" w:right="709"/>
        <w:jc w:val="both"/>
        <w:rPr>
          <w:rFonts w:ascii="Verdana" w:hAnsi="Verdana" w:cs="Arial"/>
          <w:noProof/>
          <w:sz w:val="20"/>
          <w:szCs w:val="20"/>
          <w:lang w:val="es-ES_tradnl"/>
        </w:rPr>
      </w:pPr>
      <w:r w:rsidRPr="00CE71BD">
        <w:rPr>
          <w:rFonts w:ascii="Verdana" w:eastAsia="Yu Gothic UI Semibold" w:hAnsi="Verdana" w:cs="Arial"/>
          <w:iCs/>
          <w:sz w:val="20"/>
          <w:szCs w:val="20"/>
          <w:lang w:eastAsia="es-MX"/>
        </w:rPr>
        <w:t>“</w:t>
      </w:r>
      <w:r w:rsidRPr="00CE71BD">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CE71BD">
        <w:rPr>
          <w:rFonts w:ascii="Verdana" w:hAnsi="Verdana"/>
          <w:noProof/>
          <w:sz w:val="20"/>
          <w:szCs w:val="20"/>
          <w:vertAlign w:val="superscript"/>
          <w:lang w:val="es-ES_tradnl"/>
        </w:rPr>
        <w:footnoteReference w:id="9"/>
      </w:r>
      <w:r w:rsidRPr="00CE71BD">
        <w:rPr>
          <w:rFonts w:ascii="Verdana" w:hAnsi="Verdana" w:cs="Arial"/>
          <w:noProof/>
          <w:sz w:val="20"/>
          <w:szCs w:val="20"/>
          <w:lang w:val="es-ES_tradnl"/>
        </w:rPr>
        <w:t>.</w:t>
      </w:r>
    </w:p>
    <w:p w14:paraId="49C4C72D" w14:textId="77777777" w:rsidR="00581E2C" w:rsidRPr="00CE71BD" w:rsidRDefault="00581E2C" w:rsidP="00581E2C">
      <w:pPr>
        <w:pStyle w:val="Prrafodelista"/>
        <w:tabs>
          <w:tab w:val="left" w:pos="0"/>
        </w:tabs>
        <w:spacing w:after="0" w:line="276" w:lineRule="auto"/>
        <w:ind w:left="1440"/>
        <w:jc w:val="both"/>
        <w:rPr>
          <w:rFonts w:ascii="Verdana" w:hAnsi="Verdana" w:cs="Arial"/>
          <w:noProof/>
          <w:lang w:val="es-ES_tradnl"/>
        </w:rPr>
      </w:pPr>
    </w:p>
    <w:p w14:paraId="1D19E06B" w14:textId="77777777" w:rsidR="00581E2C" w:rsidRPr="00CE71BD" w:rsidRDefault="00581E2C" w:rsidP="00581E2C">
      <w:pPr>
        <w:tabs>
          <w:tab w:val="left" w:pos="0"/>
        </w:tabs>
        <w:spacing w:after="120" w:line="276" w:lineRule="auto"/>
        <w:jc w:val="both"/>
        <w:rPr>
          <w:rFonts w:ascii="Verdana" w:eastAsia="Calibri" w:hAnsi="Verdana" w:cs="Arial"/>
          <w:color w:val="000000" w:themeColor="text1"/>
          <w:lang w:val="es-ES_tradnl"/>
        </w:rPr>
      </w:pPr>
      <w:r w:rsidRPr="00CE71BD">
        <w:rPr>
          <w:rFonts w:ascii="Verdana" w:hAnsi="Verdana" w:cs="Arial"/>
          <w:noProof/>
          <w:lang w:val="es-ES_tradnl"/>
        </w:rPr>
        <w:tab/>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CE71BD">
        <w:rPr>
          <w:rFonts w:ascii="Verdana" w:hAnsi="Verdana"/>
          <w:noProof/>
          <w:vertAlign w:val="superscript"/>
          <w:lang w:val="es-ES_tradnl"/>
        </w:rPr>
        <w:footnoteReference w:id="10"/>
      </w:r>
      <w:r w:rsidRPr="00CE71BD">
        <w:rPr>
          <w:rFonts w:ascii="Verdana" w:hAnsi="Verdana" w:cs="Arial"/>
          <w:noProof/>
          <w:lang w:val="es-ES_tradnl"/>
        </w:rPr>
        <w:t>. Esto también se deriva d</w:t>
      </w:r>
      <w:r w:rsidRPr="00CE71BD">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04C31EE6"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lastRenderedPageBreak/>
        <w:tab/>
        <w:t>vi) Para su celebración no se requiere expedir un acto administrativo de justificación de la contratación directa</w:t>
      </w:r>
      <w:r w:rsidRPr="00CE71BD">
        <w:rPr>
          <w:rFonts w:ascii="Verdana" w:hAnsi="Verdana"/>
          <w:noProof/>
          <w:vertAlign w:val="superscript"/>
          <w:lang w:val="es-ES_tradnl"/>
        </w:rPr>
        <w:footnoteReference w:id="11"/>
      </w:r>
      <w:r w:rsidRPr="00CE71BD">
        <w:rPr>
          <w:rFonts w:ascii="Verdana" w:hAnsi="Verdana" w:cs="Arial"/>
          <w:noProof/>
          <w:lang w:val="es-ES_tradnl"/>
        </w:rPr>
        <w:t>.</w:t>
      </w:r>
    </w:p>
    <w:p w14:paraId="4C850F9B"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CE71BD">
        <w:rPr>
          <w:rFonts w:ascii="Verdana" w:hAnsi="Verdana"/>
          <w:noProof/>
          <w:vertAlign w:val="superscript"/>
          <w:lang w:val="es-ES_tradnl"/>
        </w:rPr>
        <w:footnoteReference w:id="12"/>
      </w:r>
      <w:r w:rsidRPr="00CE71BD">
        <w:rPr>
          <w:rFonts w:ascii="Verdana" w:hAnsi="Verdana" w:cs="Arial"/>
          <w:noProof/>
          <w:lang w:val="es-ES_tradnl"/>
        </w:rPr>
        <w:t>.</w:t>
      </w:r>
    </w:p>
    <w:p w14:paraId="27B49409"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viii) No es obligatoria la liquidación de estos contratos, como lo establece el artículo 217 del Decreto 019 de 2012, que modificó el artículo 60 de la Ley 80 de 1993</w:t>
      </w:r>
      <w:r w:rsidRPr="00CE71BD">
        <w:rPr>
          <w:rFonts w:ascii="Verdana" w:hAnsi="Verdana"/>
          <w:noProof/>
          <w:vertAlign w:val="superscript"/>
          <w:lang w:val="es-ES_tradnl"/>
        </w:rPr>
        <w:footnoteReference w:id="13"/>
      </w:r>
      <w:r w:rsidRPr="00CE71BD">
        <w:rPr>
          <w:rFonts w:ascii="Verdana" w:hAnsi="Verdana" w:cs="Arial"/>
          <w:noProof/>
          <w:lang w:val="es-ES_tradnl"/>
        </w:rPr>
        <w:t>.</w:t>
      </w:r>
    </w:p>
    <w:p w14:paraId="559FF83B" w14:textId="77777777" w:rsidR="00581E2C" w:rsidRPr="00CE71BD" w:rsidRDefault="00581E2C" w:rsidP="00581E2C">
      <w:pPr>
        <w:tabs>
          <w:tab w:val="left" w:pos="0"/>
        </w:tabs>
        <w:spacing w:after="120" w:line="276" w:lineRule="auto"/>
        <w:jc w:val="both"/>
        <w:rPr>
          <w:rFonts w:ascii="Verdana" w:hAnsi="Verdana" w:cs="Arial"/>
          <w:noProof/>
          <w:lang w:val="es-ES_tradnl"/>
        </w:rPr>
      </w:pPr>
      <w:r w:rsidRPr="00CE71BD">
        <w:rPr>
          <w:rFonts w:ascii="Verdana" w:hAnsi="Verdana" w:cs="Arial"/>
          <w:noProof/>
          <w:lang w:val="es-ES_tradnl"/>
        </w:rPr>
        <w:t xml:space="preserve"> </w:t>
      </w:r>
      <w:r w:rsidRPr="00CE71BD">
        <w:rPr>
          <w:rFonts w:ascii="Verdana" w:hAnsi="Verdana" w:cs="Arial"/>
          <w:noProof/>
          <w:lang w:val="es-ES_tradnl"/>
        </w:rPr>
        <w:tab/>
        <w:t>ix) Para su celebración el contratista no requiere estar inscrito en el Registro Único de Proponentes –en adelante RUP–, como lo señala el artículo 6 de la Ley 1150 de 2007</w:t>
      </w:r>
      <w:r w:rsidRPr="00CE71BD">
        <w:rPr>
          <w:rFonts w:ascii="Verdana" w:hAnsi="Verdana"/>
          <w:noProof/>
          <w:vertAlign w:val="superscript"/>
          <w:lang w:val="es-ES_tradnl"/>
        </w:rPr>
        <w:footnoteReference w:id="14"/>
      </w:r>
      <w:r w:rsidRPr="00CE71BD">
        <w:rPr>
          <w:rFonts w:ascii="Verdana" w:hAnsi="Verdana" w:cs="Arial"/>
          <w:noProof/>
          <w:lang w:val="es-ES_tradnl"/>
        </w:rPr>
        <w:t>.</w:t>
      </w:r>
    </w:p>
    <w:p w14:paraId="7502DCE7"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lastRenderedPageBreak/>
        <w:tab/>
        <w:t xml:space="preserve">Además de las disposiciones hasta aquí mencionadas, para celebrar contratos de prestación de servicios las Entidades Estatales deben aplicar lo dispuesto en los artículos 2.8.4.4.5 y 2.8.4.4.6 del Decreto 1068 de 2015. La última de estas disposiciones establece una restricción para la celebración de contratos de prestación de servicios de manera continua en los que se pacte contraprestación mensual superior a la del jefe de la entidad. De otra parte, el artículo 2.8.4.4.5 establece ciertas condiciones y restricciones que deben observarse, al siguiente tenor: </w:t>
      </w:r>
    </w:p>
    <w:p w14:paraId="09E17239" w14:textId="77777777" w:rsidR="00581E2C" w:rsidRPr="00CE71BD" w:rsidRDefault="00581E2C" w:rsidP="00581E2C">
      <w:pPr>
        <w:spacing w:after="120" w:line="240" w:lineRule="auto"/>
        <w:ind w:left="720" w:right="616"/>
        <w:contextualSpacing/>
        <w:jc w:val="both"/>
        <w:textAlignment w:val="baseline"/>
        <w:rPr>
          <w:rFonts w:ascii="Verdana" w:eastAsia="Calibri" w:hAnsi="Verdana" w:cs="Arial"/>
          <w:color w:val="000000" w:themeColor="text1"/>
          <w:sz w:val="20"/>
          <w:szCs w:val="20"/>
          <w:lang w:val="es-MX"/>
        </w:rPr>
      </w:pPr>
      <w:bookmarkStart w:id="1" w:name="_Hlk171942664"/>
      <w:r w:rsidRPr="00CE71BD">
        <w:rPr>
          <w:rFonts w:ascii="Verdana" w:eastAsia="Calibri" w:hAnsi="Verdana" w:cs="Arial"/>
          <w:color w:val="000000" w:themeColor="text1"/>
          <w:sz w:val="20"/>
          <w:szCs w:val="20"/>
          <w:lang w:val="es-MX"/>
        </w:rPr>
        <w:t xml:space="preserve">“Artículo 2.8.4.4.5. </w:t>
      </w:r>
      <w:r w:rsidRPr="00CE71BD">
        <w:rPr>
          <w:rFonts w:ascii="Verdana" w:eastAsia="Calibri" w:hAnsi="Verdana" w:cs="Arial"/>
          <w:i/>
          <w:iCs/>
          <w:color w:val="000000" w:themeColor="text1"/>
          <w:sz w:val="20"/>
          <w:szCs w:val="20"/>
          <w:lang w:val="es-MX"/>
        </w:rPr>
        <w:t>Condiciones para contratar la prestación de servicios</w:t>
      </w:r>
      <w:r w:rsidRPr="00CE71BD">
        <w:rPr>
          <w:rFonts w:ascii="Verdana" w:eastAsia="Calibri" w:hAnsi="Verdana" w:cs="Arial"/>
          <w:color w:val="000000" w:themeColor="text1"/>
          <w:sz w:val="20"/>
          <w:szCs w:val="20"/>
          <w:lang w:val="es-MX"/>
        </w:rPr>
        <w:t>. </w:t>
      </w:r>
      <w:r w:rsidRPr="00F312E3">
        <w:rPr>
          <w:rFonts w:ascii="Verdana" w:eastAsia="Calibri" w:hAnsi="Verdana" w:cs="Arial"/>
          <w:i/>
          <w:iCs/>
          <w:color w:val="000000" w:themeColor="text1"/>
          <w:sz w:val="20"/>
          <w:szCs w:val="20"/>
          <w:u w:val="single"/>
          <w:lang w:val="es-MX"/>
        </w:rPr>
        <w:t>Los contratos de prestación de servicios con personas naturales o jurídicas, sólo se podrán celebrar</w:t>
      </w:r>
      <w:r w:rsidRPr="00CE71BD">
        <w:rPr>
          <w:rFonts w:ascii="Verdana" w:eastAsia="Calibri" w:hAnsi="Verdana" w:cs="Arial"/>
          <w:color w:val="000000" w:themeColor="text1"/>
          <w:sz w:val="20"/>
          <w:szCs w:val="20"/>
          <w:lang w:val="es-MX"/>
        </w:rPr>
        <w:t xml:space="preserve"> </w:t>
      </w:r>
      <w:r w:rsidRPr="00CE71BD">
        <w:rPr>
          <w:rFonts w:ascii="Verdana" w:eastAsia="Calibri" w:hAnsi="Verdana" w:cs="Arial"/>
          <w:i/>
          <w:iCs/>
          <w:color w:val="000000" w:themeColor="text1"/>
          <w:sz w:val="20"/>
          <w:szCs w:val="20"/>
          <w:u w:val="single"/>
          <w:lang w:val="es-MX"/>
        </w:rPr>
        <w:t>cuando no exista personal de planta con capacidad para realizar las actividades que se contratarán</w:t>
      </w:r>
      <w:r w:rsidRPr="00CE71BD">
        <w:rPr>
          <w:rFonts w:ascii="Verdana" w:eastAsia="Calibri" w:hAnsi="Verdana" w:cs="Arial"/>
          <w:color w:val="000000" w:themeColor="text1"/>
          <w:sz w:val="20"/>
          <w:szCs w:val="20"/>
          <w:lang w:val="es-MX"/>
        </w:rPr>
        <w:t>. </w:t>
      </w:r>
    </w:p>
    <w:p w14:paraId="28E7A231" w14:textId="77777777" w:rsidR="00581E2C" w:rsidRPr="00CE71BD" w:rsidRDefault="00581E2C" w:rsidP="00581E2C">
      <w:pPr>
        <w:spacing w:after="120" w:line="240" w:lineRule="auto"/>
        <w:ind w:left="720" w:right="616"/>
        <w:contextualSpacing/>
        <w:jc w:val="both"/>
        <w:textAlignment w:val="baseline"/>
        <w:rPr>
          <w:rFonts w:ascii="Verdana" w:eastAsia="Calibri" w:hAnsi="Verdana" w:cs="Arial"/>
          <w:color w:val="000000" w:themeColor="text1"/>
          <w:sz w:val="20"/>
          <w:szCs w:val="20"/>
          <w:lang w:val="es-MX"/>
        </w:rPr>
      </w:pPr>
    </w:p>
    <w:p w14:paraId="5945EF17" w14:textId="77777777" w:rsidR="00581E2C" w:rsidRPr="00F312E3" w:rsidRDefault="00581E2C" w:rsidP="00581E2C">
      <w:pPr>
        <w:spacing w:after="120" w:line="240" w:lineRule="auto"/>
        <w:ind w:left="720" w:right="758"/>
        <w:contextualSpacing/>
        <w:jc w:val="both"/>
        <w:textAlignment w:val="baseline"/>
        <w:rPr>
          <w:rFonts w:ascii="Verdana" w:eastAsia="Calibri" w:hAnsi="Verdana" w:cs="Arial"/>
          <w:i/>
          <w:iCs/>
          <w:color w:val="000000" w:themeColor="text1"/>
          <w:sz w:val="20"/>
          <w:szCs w:val="20"/>
          <w:u w:val="single"/>
          <w:lang w:val="es-MX"/>
        </w:rPr>
      </w:pPr>
      <w:r w:rsidRPr="00F312E3">
        <w:rPr>
          <w:rFonts w:ascii="Verdana" w:eastAsia="Calibri" w:hAnsi="Verdana" w:cs="Arial"/>
          <w:i/>
          <w:iCs/>
          <w:color w:val="000000" w:themeColor="text1"/>
          <w:sz w:val="20"/>
          <w:szCs w:val="20"/>
          <w:u w:val="single"/>
          <w:lang w:val="es-MX"/>
        </w:rPr>
        <w:t>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6AF23585" w14:textId="77777777" w:rsidR="00581E2C" w:rsidRPr="00CE71BD" w:rsidRDefault="00581E2C" w:rsidP="00581E2C">
      <w:pPr>
        <w:spacing w:after="120" w:line="240" w:lineRule="auto"/>
        <w:ind w:left="720" w:right="758"/>
        <w:contextualSpacing/>
        <w:jc w:val="both"/>
        <w:textAlignment w:val="baseline"/>
        <w:rPr>
          <w:rFonts w:ascii="Verdana" w:eastAsia="Calibri" w:hAnsi="Verdana" w:cs="Arial"/>
          <w:color w:val="000000" w:themeColor="text1"/>
          <w:sz w:val="20"/>
          <w:szCs w:val="20"/>
          <w:lang w:val="es-MX"/>
        </w:rPr>
      </w:pPr>
    </w:p>
    <w:p w14:paraId="68FC2C4B" w14:textId="77777777" w:rsidR="00581E2C" w:rsidRPr="00CE71BD" w:rsidRDefault="00581E2C" w:rsidP="00581E2C">
      <w:pPr>
        <w:spacing w:after="0" w:line="240" w:lineRule="auto"/>
        <w:ind w:left="720" w:right="758"/>
        <w:contextualSpacing/>
        <w:jc w:val="both"/>
        <w:textAlignment w:val="baseline"/>
        <w:rPr>
          <w:rFonts w:ascii="Verdana" w:eastAsia="Calibri" w:hAnsi="Verdana" w:cs="Arial"/>
          <w:color w:val="000000" w:themeColor="text1"/>
          <w:sz w:val="20"/>
          <w:szCs w:val="20"/>
          <w:lang w:val="es-MX"/>
        </w:rPr>
      </w:pPr>
      <w:r w:rsidRPr="00F312E3">
        <w:rPr>
          <w:rFonts w:ascii="Verdana" w:eastAsia="Calibri" w:hAnsi="Verdana" w:cs="Arial"/>
          <w:color w:val="000000" w:themeColor="text1"/>
          <w:sz w:val="20"/>
          <w:szCs w:val="20"/>
          <w:lang w:val="es-MX"/>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r w:rsidRPr="00CE71BD">
        <w:rPr>
          <w:rFonts w:ascii="Verdana" w:eastAsia="Calibri" w:hAnsi="Verdana" w:cs="Arial"/>
          <w:color w:val="000000" w:themeColor="text1"/>
          <w:sz w:val="20"/>
          <w:szCs w:val="20"/>
          <w:lang w:val="es-MX"/>
        </w:rPr>
        <w:t>”. [Énfasis fuera de texto].</w:t>
      </w:r>
    </w:p>
    <w:p w14:paraId="2D3C388D" w14:textId="77777777" w:rsidR="00581E2C" w:rsidRPr="00CE71BD" w:rsidRDefault="00581E2C" w:rsidP="00581E2C">
      <w:pPr>
        <w:spacing w:after="120" w:line="276" w:lineRule="auto"/>
        <w:ind w:left="720"/>
        <w:contextualSpacing/>
        <w:jc w:val="both"/>
        <w:rPr>
          <w:rFonts w:ascii="Verdana" w:eastAsia="Calibri" w:hAnsi="Verdana" w:cs="Arial"/>
          <w:color w:val="000000" w:themeColor="text1"/>
          <w:lang w:val="es-MX"/>
        </w:rPr>
      </w:pPr>
    </w:p>
    <w:p w14:paraId="7A5243FF" w14:textId="77777777" w:rsidR="00581E2C" w:rsidRPr="005F26B0" w:rsidRDefault="00581E2C" w:rsidP="00581E2C">
      <w:pPr>
        <w:spacing w:after="120" w:line="276" w:lineRule="auto"/>
        <w:ind w:right="51"/>
        <w:jc w:val="both"/>
        <w:textAlignment w:val="baseline"/>
        <w:rPr>
          <w:rFonts w:ascii="Verdana" w:eastAsia="Calibri" w:hAnsi="Verdana" w:cs="Arial"/>
          <w:color w:val="000000" w:themeColor="text1"/>
          <w:lang w:val="es-MX"/>
        </w:rPr>
      </w:pPr>
      <w:bookmarkStart w:id="2" w:name="_Hlk69119210"/>
      <w:r w:rsidRPr="00CE71BD">
        <w:rPr>
          <w:rFonts w:ascii="Verdana" w:eastAsia="Calibri" w:hAnsi="Verdana" w:cs="Arial"/>
          <w:color w:val="000000" w:themeColor="text1"/>
          <w:lang w:val="es-MX"/>
        </w:rPr>
        <w:tab/>
      </w:r>
      <w:r w:rsidRPr="005F26B0">
        <w:rPr>
          <w:rFonts w:ascii="Verdana" w:eastAsia="Calibri" w:hAnsi="Verdana" w:cs="Arial"/>
          <w:color w:val="000000" w:themeColor="text1"/>
          <w:lang w:val="es-MX"/>
        </w:rPr>
        <w:t xml:space="preserve">Conforme se desprende del primer inciso de la norma transcrita, solo resulta posible la celebrar contratos de prestación con personas naturales o jurídicas cuando la Entidad Estatal contratante no tiene personal de planta que pueda ejecutar las actividades que son materia de contratación. En </w:t>
      </w:r>
      <w:r w:rsidRPr="005F26B0">
        <w:rPr>
          <w:rFonts w:ascii="Verdana" w:eastAsia="Calibri" w:hAnsi="Verdana" w:cs="Arial"/>
          <w:color w:val="000000" w:themeColor="text1"/>
          <w:lang w:val="es-MX"/>
        </w:rPr>
        <w:lastRenderedPageBreak/>
        <w:t xml:space="preserve">concordancia con esto, el segundo inciso del artículo en cita establece los criterios en atención a las cuales se considera que una Entidad Estatal no tiene personal de planta para asumir determinadas actividades que deben ser proveídas a través de la tipología contractual contemplada en el numeral 3° del artículo 32 de la Ley 80 de 1993. Al respecto establece tres supuestos alternativos: i) Cuando de acuerdo con los manuales específicos, no existe personal que pueda desarrollar la actividad para la cual se requiere contrata; </w:t>
      </w:r>
      <w:proofErr w:type="spellStart"/>
      <w:r w:rsidRPr="005F26B0">
        <w:rPr>
          <w:rFonts w:ascii="Verdana" w:eastAsia="Calibri" w:hAnsi="Verdana" w:cs="Arial"/>
          <w:color w:val="000000" w:themeColor="text1"/>
          <w:lang w:val="es-MX"/>
        </w:rPr>
        <w:t>ii</w:t>
      </w:r>
      <w:proofErr w:type="spellEnd"/>
      <w:r w:rsidRPr="005F26B0">
        <w:rPr>
          <w:rFonts w:ascii="Verdana" w:eastAsia="Calibri" w:hAnsi="Verdana" w:cs="Arial"/>
          <w:color w:val="000000" w:themeColor="text1"/>
          <w:lang w:val="es-MX"/>
        </w:rPr>
        <w:t xml:space="preserve">) cuando el desarrollo de la actividad requiere un grado de especialización que implica la contratación del servicio; y </w:t>
      </w:r>
      <w:proofErr w:type="spellStart"/>
      <w:r w:rsidRPr="005F26B0">
        <w:rPr>
          <w:rFonts w:ascii="Verdana" w:eastAsia="Calibri" w:hAnsi="Verdana" w:cs="Arial"/>
          <w:color w:val="000000" w:themeColor="text1"/>
          <w:lang w:val="es-MX"/>
        </w:rPr>
        <w:t>iii</w:t>
      </w:r>
      <w:proofErr w:type="spellEnd"/>
      <w:r w:rsidRPr="005F26B0">
        <w:rPr>
          <w:rFonts w:ascii="Verdana" w:eastAsia="Calibri" w:hAnsi="Verdana" w:cs="Arial"/>
          <w:color w:val="000000" w:themeColor="text1"/>
          <w:lang w:val="es-MX"/>
        </w:rPr>
        <w:t xml:space="preserve">) cuando el desarrollo de la actividad requiere un grado de especialización que implica la contratación del servicio. En caso de que se configure alguno de estos supuestos, la Entidad Estatal podrá certificar la inexistencia o insuficiencia de personal y proceder a la celebración del contrato de prestación de servicios. </w:t>
      </w:r>
    </w:p>
    <w:p w14:paraId="4107987B" w14:textId="77777777" w:rsidR="00581E2C" w:rsidRPr="00CE71BD" w:rsidRDefault="00581E2C" w:rsidP="00581E2C">
      <w:pPr>
        <w:spacing w:after="120" w:line="276" w:lineRule="auto"/>
        <w:ind w:right="51"/>
        <w:jc w:val="both"/>
        <w:textAlignment w:val="baseline"/>
        <w:rPr>
          <w:rFonts w:ascii="Verdana" w:eastAsia="Calibri" w:hAnsi="Verdana" w:cs="Arial"/>
          <w:color w:val="000000" w:themeColor="text1"/>
          <w:lang w:val="es-MX"/>
        </w:rPr>
      </w:pPr>
      <w:r w:rsidRPr="005F26B0">
        <w:rPr>
          <w:rFonts w:ascii="Verdana" w:eastAsia="Calibri" w:hAnsi="Verdana" w:cs="Arial"/>
          <w:color w:val="000000" w:themeColor="text1"/>
          <w:lang w:val="es-MX"/>
        </w:rPr>
        <w:tab/>
        <w:t>De otra parte, el tercer inciso del artículo 2.8.4.4.5 del Decreto 1068 de 2015 establece una restricción en virtud de la cual, en principio, no resulta posible celebrar nuevos contratos de prestación de servicios, cuando la Entidad Estatal tiene vigentes relaciones contractuales vigentes de cualquier índole con un objeto igual al del contrato que se pretende suscribir. Esto supone una especial carga argumentativa en la justificación de la necesidad, en procura de velar por una planeación adecuada de la contratación de prestación de servicios, de manera que no exista una pluralidad de contratistas vinculados a la Entidad Estatal para la prestación de los mismos servicios.</w:t>
      </w:r>
      <w:r w:rsidRPr="00CE71BD">
        <w:rPr>
          <w:rFonts w:ascii="Verdana" w:eastAsia="Calibri" w:hAnsi="Verdana" w:cs="Arial"/>
          <w:color w:val="000000" w:themeColor="text1"/>
          <w:lang w:val="es-MX"/>
        </w:rPr>
        <w:t xml:space="preserve"> </w:t>
      </w:r>
    </w:p>
    <w:p w14:paraId="5B71707D" w14:textId="77777777" w:rsidR="00581E2C" w:rsidRPr="00CE71BD" w:rsidRDefault="00581E2C" w:rsidP="00581E2C">
      <w:pPr>
        <w:spacing w:after="120" w:line="276" w:lineRule="auto"/>
        <w:ind w:right="51"/>
        <w:jc w:val="both"/>
        <w:textAlignment w:val="baseline"/>
        <w:rPr>
          <w:rFonts w:ascii="Verdana" w:eastAsia="Calibri" w:hAnsi="Verdana" w:cs="Arial"/>
          <w:color w:val="000000" w:themeColor="text1"/>
          <w:lang w:val="es-MX"/>
        </w:rPr>
      </w:pPr>
      <w:r w:rsidRPr="00CE71BD">
        <w:rPr>
          <w:rFonts w:ascii="Verdana" w:eastAsia="Calibri" w:hAnsi="Verdana" w:cs="Arial"/>
          <w:color w:val="000000" w:themeColor="text1"/>
          <w:lang w:val="es-MX"/>
        </w:rPr>
        <w:t xml:space="preserve"> </w:t>
      </w:r>
      <w:r w:rsidRPr="00CE71BD">
        <w:rPr>
          <w:rFonts w:ascii="Verdana" w:eastAsia="Calibri" w:hAnsi="Verdana" w:cs="Arial"/>
          <w:color w:val="000000" w:themeColor="text1"/>
          <w:lang w:val="es-MX"/>
        </w:rPr>
        <w:tab/>
        <w:t xml:space="preserve">Sin perjuicio de lo anterior, el tercer inciso del artículo 2.8.4.4.5 establece como regla excepcional la posibilidad que se celebren nuevos contratos de prestación de servicios, a pesar de la vigencia de relaciones contractual con objetos similares, condicionando ello a la autorización expresa del jefe del respectivo órgano, ente o entidad contratante. Además del carácter expreso que debe tener dicha autorización, esta debe realizar con sustento en </w:t>
      </w:r>
      <w:r w:rsidRPr="00CE71BD">
        <w:rPr>
          <w:rFonts w:ascii="Verdana" w:eastAsia="Calibri" w:hAnsi="Verdana" w:cs="Arial"/>
          <w:color w:val="000000" w:themeColor="text1"/>
        </w:rPr>
        <w:t xml:space="preserve">sustentación sobre las especiales características y necesidades técnicas de las contrataciones a realizar, en virtud las cuales se hace necesario que los servicios sean prestados a través de más de una relación contractual. </w:t>
      </w:r>
      <w:r w:rsidRPr="00CE71BD">
        <w:rPr>
          <w:rFonts w:ascii="Verdana" w:eastAsia="Calibri" w:hAnsi="Verdana" w:cs="Arial"/>
          <w:color w:val="000000" w:themeColor="text1"/>
          <w:lang w:val="es-MX"/>
        </w:rPr>
        <w:t xml:space="preserve"> </w:t>
      </w:r>
    </w:p>
    <w:p w14:paraId="29F54207" w14:textId="77777777" w:rsidR="00581E2C" w:rsidRPr="00CE71BD" w:rsidRDefault="00581E2C" w:rsidP="00581E2C">
      <w:pPr>
        <w:spacing w:after="120" w:line="276" w:lineRule="auto"/>
        <w:ind w:firstLine="703"/>
        <w:jc w:val="both"/>
        <w:rPr>
          <w:rFonts w:ascii="Verdana" w:eastAsia="Calibri" w:hAnsi="Verdana" w:cs="Arial"/>
          <w:color w:val="000000" w:themeColor="text1"/>
          <w:lang w:val="es-MX"/>
        </w:rPr>
      </w:pPr>
      <w:r w:rsidRPr="00CE71BD">
        <w:rPr>
          <w:rFonts w:ascii="Verdana" w:eastAsia="Calibri" w:hAnsi="Verdana" w:cs="Arial"/>
          <w:color w:val="000000" w:themeColor="text1"/>
        </w:rPr>
        <w:t xml:space="preserve">De acuerdo con lo explicado, </w:t>
      </w:r>
      <w:r w:rsidRPr="00CE71BD">
        <w:rPr>
          <w:rStyle w:val="normaltextrun"/>
          <w:rFonts w:ascii="Verdana" w:hAnsi="Verdana" w:cs="Arial"/>
          <w:color w:val="000000"/>
        </w:rPr>
        <w:t xml:space="preserve">el </w:t>
      </w:r>
      <w:r w:rsidRPr="00CE71BD">
        <w:rPr>
          <w:rFonts w:ascii="Verdana" w:eastAsia="Calibri" w:hAnsi="Verdana" w:cs="Arial"/>
          <w:color w:val="000000" w:themeColor="text1"/>
          <w:lang w:val="es-MX"/>
        </w:rPr>
        <w:t xml:space="preserve">artículo 2.8.4.4.5 del Decreto 1068 de 2015, reglamenta la tipología contractual establecida en el numeral 3° del </w:t>
      </w:r>
      <w:r w:rsidRPr="00CE71BD">
        <w:rPr>
          <w:rFonts w:ascii="Verdana" w:eastAsia="Calibri" w:hAnsi="Verdana" w:cs="Arial"/>
          <w:color w:val="000000" w:themeColor="text1"/>
          <w:lang w:val="es-MX"/>
        </w:rPr>
        <w:lastRenderedPageBreak/>
        <w:t xml:space="preserve">artículo 32 de la Ley 80 de 1993, disposición legal que condiciona la celebración de contratos de prestación de servicios a los eventos en que las </w:t>
      </w:r>
      <w:r w:rsidRPr="00CE71BD">
        <w:rPr>
          <w:rFonts w:ascii="Verdana" w:eastAsia="Calibri" w:hAnsi="Verdana" w:cs="Arial"/>
          <w:color w:val="000000" w:themeColor="text1"/>
        </w:rPr>
        <w:t xml:space="preserve">actividades que requiere la entidad para satisfacer necesidades relacionadas con la administración o funcionamiento,   no puedan  ser desarrolladas por el personal de planta o requieran conocimientos especializados. De acuerdo con esto, lo que hace el artículo </w:t>
      </w:r>
      <w:r w:rsidRPr="00CE71BD">
        <w:rPr>
          <w:rFonts w:ascii="Verdana" w:eastAsia="Calibri" w:hAnsi="Verdana" w:cs="Arial"/>
          <w:color w:val="000000" w:themeColor="text1"/>
          <w:lang w:val="es-MX"/>
        </w:rPr>
        <w:t xml:space="preserve">2.8.4.4.5 del Decreto 1068 de 2015 es establecer las condiciones a partir de las cuales debe determinarse la insuficiencia del personal de planta, a efectos de cumplir con el referido presupuesto para la celebración de contratos de prestación de servicios. </w:t>
      </w:r>
    </w:p>
    <w:p w14:paraId="40F2DF7C" w14:textId="77777777" w:rsidR="00581E2C" w:rsidRPr="002F1B1C" w:rsidRDefault="00581E2C" w:rsidP="00581E2C">
      <w:pPr>
        <w:spacing w:after="120" w:line="276" w:lineRule="auto"/>
        <w:ind w:firstLine="703"/>
        <w:jc w:val="both"/>
        <w:rPr>
          <w:rFonts w:ascii="Verdana" w:eastAsia="Calibri" w:hAnsi="Verdana" w:cs="Arial"/>
          <w:color w:val="000000" w:themeColor="text1"/>
          <w:lang w:val="es-MX"/>
        </w:rPr>
      </w:pPr>
      <w:r w:rsidRPr="002F1B1C">
        <w:rPr>
          <w:rFonts w:ascii="Verdana" w:eastAsia="Calibri" w:hAnsi="Verdana" w:cs="Arial"/>
          <w:color w:val="000000" w:themeColor="text1"/>
          <w:lang w:val="es-MX"/>
        </w:rPr>
        <w:t>Con todo, en aras de responder el problema planteado se debe advertir que, lo establecido en el artículo 2.8.4.4.5 del Decreto 1068 de 2015, está exclusivamente dirigido a los contratos de prestación de servicios, independientemente de si celebren con personas naturales o jurídicas, tal como se desprende del primer inciso de dicha norma. En ese sentido, para la celebración de contratos enmarcados en otras tipologías contractuales distintas de la establecida en el numeral 3° del artículo 32 de la Ley 80 de 1993–</w:t>
      </w:r>
      <w:r w:rsidRPr="002F1B1C">
        <w:rPr>
          <w:rFonts w:ascii="Verdana" w:eastAsia="Calibri" w:hAnsi="Verdana" w:cs="Arial"/>
          <w:i/>
          <w:iCs/>
          <w:color w:val="000000" w:themeColor="text1"/>
          <w:lang w:val="es-MX"/>
        </w:rPr>
        <w:t>v.g</w:t>
      </w:r>
      <w:r w:rsidRPr="002F1B1C">
        <w:rPr>
          <w:rFonts w:ascii="Verdana" w:eastAsia="Calibri" w:hAnsi="Verdana" w:cs="Arial"/>
          <w:color w:val="000000" w:themeColor="text1"/>
          <w:lang w:val="es-MX"/>
        </w:rPr>
        <w:t xml:space="preserve">. Obra pública, suministro, compraventa, etc.–, no resulta obligatorio certificar la insuficiencia de personal con sujeción a la establecido en el artículo 2.8.4.4.5 del Decreto 1068 de 2015. </w:t>
      </w:r>
    </w:p>
    <w:p w14:paraId="407462D3" w14:textId="77777777" w:rsidR="00581E2C" w:rsidRPr="00CE71BD" w:rsidRDefault="00581E2C" w:rsidP="00581E2C">
      <w:pPr>
        <w:spacing w:after="120" w:line="276" w:lineRule="auto"/>
        <w:ind w:firstLine="703"/>
        <w:jc w:val="both"/>
        <w:rPr>
          <w:rStyle w:val="normaltextrun"/>
          <w:rFonts w:ascii="Verdana" w:hAnsi="Verdana" w:cs="Arial"/>
          <w:color w:val="000000"/>
        </w:rPr>
      </w:pPr>
      <w:r w:rsidRPr="002F1B1C">
        <w:rPr>
          <w:rFonts w:ascii="Verdana" w:eastAsia="Calibri" w:hAnsi="Verdana" w:cs="Arial"/>
          <w:color w:val="000000" w:themeColor="text1"/>
          <w:lang w:val="es-MX"/>
        </w:rPr>
        <w:t>Sin embargo, debe advertirse que la descripción y justificación de la necesidad a satisfacer mediante el contrato estatal, es un presupuesto general y común a todos los tipos contractuales, lo cual debe reflejarse en los estudios y documentos previos, de acuerdo con lo establecido en el numeral 1 del artículo 2.2.1.1.2.1.1. del Decreto 1082 de 2015. En ese sentido, si bien la certificación de la insuficiencia de personal regulada por el artículo 2.8.4.4.5 del Decreto 1068 de 2015 solo es aplicable a contratos de prestación de servicios, ello no quiere decir que las Entidades Estatales puedan celebrar contratos estatales de manera arbitraria, sin una justificación en la que establezca la razón por la que requiere celebrar el negocio jurídico y la forma en la que este satisface los fines de la contratación estatal a los que se refiere el artículo 3 de la Ley 80 de 1993</w:t>
      </w:r>
      <w:r w:rsidRPr="002F1B1C">
        <w:rPr>
          <w:rStyle w:val="Refdenotaalpie"/>
          <w:rFonts w:ascii="Verdana" w:eastAsia="Calibri" w:hAnsi="Verdana" w:cs="Arial"/>
          <w:color w:val="000000" w:themeColor="text1"/>
          <w:lang w:val="es-MX"/>
        </w:rPr>
        <w:footnoteReference w:id="15"/>
      </w:r>
      <w:r w:rsidRPr="002F1B1C">
        <w:rPr>
          <w:rFonts w:ascii="Verdana" w:eastAsia="Calibri" w:hAnsi="Verdana" w:cs="Arial"/>
          <w:color w:val="000000" w:themeColor="text1"/>
          <w:lang w:val="es-MX"/>
        </w:rPr>
        <w:t>.</w:t>
      </w:r>
    </w:p>
    <w:bookmarkEnd w:id="1"/>
    <w:bookmarkEnd w:id="2"/>
    <w:p w14:paraId="4C001D21" w14:textId="77777777" w:rsidR="00581E2C" w:rsidRPr="00CE71BD" w:rsidRDefault="00581E2C" w:rsidP="00581E2C">
      <w:pPr>
        <w:spacing w:after="120"/>
        <w:ind w:firstLine="709"/>
        <w:jc w:val="both"/>
        <w:rPr>
          <w:rFonts w:ascii="Verdana" w:hAnsi="Verdana" w:cs="Arial"/>
          <w:noProof/>
          <w:lang w:val="es-ES_tradnl"/>
        </w:rPr>
      </w:pPr>
    </w:p>
    <w:p w14:paraId="3B6A6B15" w14:textId="77777777" w:rsidR="00581E2C" w:rsidRPr="00E4307F" w:rsidRDefault="00581E2C" w:rsidP="00581E2C">
      <w:pPr>
        <w:pStyle w:val="Prrafodelista"/>
        <w:numPr>
          <w:ilvl w:val="0"/>
          <w:numId w:val="9"/>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Referencias normativas, jurisprudenciales y otras fuentes:</w:t>
      </w:r>
    </w:p>
    <w:p w14:paraId="7C9AD446" w14:textId="77777777" w:rsidR="00581E2C" w:rsidRPr="00E4307F" w:rsidRDefault="00581E2C" w:rsidP="00581E2C">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581E2C" w:rsidRPr="00E4307F" w14:paraId="2AF7C5FB" w14:textId="77777777" w:rsidTr="00367512">
        <w:trPr>
          <w:trHeight w:val="870"/>
        </w:trPr>
        <w:tc>
          <w:tcPr>
            <w:tcW w:w="8647" w:type="dxa"/>
            <w:tcBorders>
              <w:top w:val="dotted" w:sz="4" w:space="0" w:color="auto"/>
              <w:left w:val="dotted" w:sz="4" w:space="0" w:color="auto"/>
              <w:bottom w:val="dotted" w:sz="4" w:space="0" w:color="auto"/>
              <w:right w:val="dotted" w:sz="4" w:space="0" w:color="auto"/>
            </w:tcBorders>
          </w:tcPr>
          <w:p w14:paraId="5ACE84DA" w14:textId="77777777" w:rsidR="00581E2C" w:rsidRPr="00CE71BD" w:rsidRDefault="00581E2C" w:rsidP="00581E2C">
            <w:pPr>
              <w:numPr>
                <w:ilvl w:val="0"/>
                <w:numId w:val="12"/>
              </w:numPr>
              <w:spacing w:line="276" w:lineRule="auto"/>
              <w:contextualSpacing/>
              <w:jc w:val="both"/>
              <w:rPr>
                <w:rFonts w:ascii="Verdana" w:hAnsi="Verdana"/>
              </w:rPr>
            </w:pPr>
            <w:r w:rsidRPr="00CE71BD">
              <w:rPr>
                <w:rFonts w:ascii="Verdana" w:hAnsi="Verdana"/>
                <w:lang w:val="es-ES" w:eastAsia="es-ES"/>
              </w:rPr>
              <w:t>Decreto</w:t>
            </w:r>
            <w:r w:rsidRPr="00CE71BD">
              <w:rPr>
                <w:rFonts w:ascii="Verdana" w:hAnsi="Verdana"/>
              </w:rPr>
              <w:t xml:space="preserve"> 1068 de 2015 Artículo 2.8.4.4.5. Disponible en: </w:t>
            </w:r>
            <w:hyperlink r:id="rId12" w:history="1">
              <w:r w:rsidRPr="00CE71BD">
                <w:rPr>
                  <w:rFonts w:ascii="Verdana" w:hAnsi="Verdana"/>
                  <w:color w:val="0563C1" w:themeColor="hyperlink"/>
                  <w:u w:val="single"/>
                </w:rPr>
                <w:t>https://relatoria.colombiacompra.gov.co/normativa/decreto-1068-de-2015/</w:t>
              </w:r>
            </w:hyperlink>
          </w:p>
          <w:p w14:paraId="3FCB901D" w14:textId="77777777" w:rsidR="00581E2C" w:rsidRPr="00CE71BD" w:rsidRDefault="00581E2C" w:rsidP="00367512">
            <w:pPr>
              <w:spacing w:line="276" w:lineRule="auto"/>
              <w:rPr>
                <w:rFonts w:ascii="Verdana" w:hAnsi="Verdana"/>
              </w:rPr>
            </w:pPr>
          </w:p>
          <w:p w14:paraId="7F64781B" w14:textId="77777777" w:rsidR="00581E2C" w:rsidRPr="00CE71BD" w:rsidRDefault="00581E2C" w:rsidP="00581E2C">
            <w:pPr>
              <w:numPr>
                <w:ilvl w:val="0"/>
                <w:numId w:val="12"/>
              </w:numPr>
              <w:spacing w:line="276" w:lineRule="auto"/>
              <w:contextualSpacing/>
              <w:jc w:val="both"/>
              <w:rPr>
                <w:rFonts w:ascii="Verdana" w:hAnsi="Verdana"/>
              </w:rPr>
            </w:pPr>
            <w:r w:rsidRPr="00CE71BD">
              <w:rPr>
                <w:rFonts w:ascii="Verdana" w:hAnsi="Verdana"/>
              </w:rPr>
              <w:t xml:space="preserve">Ley 80 de 1993, artículo 32, numeral 3° Disponible en: </w:t>
            </w:r>
            <w:hyperlink r:id="rId13" w:history="1">
              <w:r w:rsidRPr="00CE71BD">
                <w:rPr>
                  <w:rFonts w:ascii="Verdana" w:hAnsi="Verdana"/>
                  <w:color w:val="0563C1" w:themeColor="hyperlink"/>
                  <w:u w:val="single"/>
                </w:rPr>
                <w:t>https://relatoria.colombiacompra.gov.co/normativa/ley-80-de-1993/</w:t>
              </w:r>
            </w:hyperlink>
          </w:p>
          <w:p w14:paraId="4C60A044" w14:textId="77777777" w:rsidR="00581E2C" w:rsidRPr="00CE71BD" w:rsidRDefault="00581E2C" w:rsidP="00367512">
            <w:pPr>
              <w:spacing w:line="276" w:lineRule="auto"/>
              <w:rPr>
                <w:rFonts w:ascii="Verdana" w:hAnsi="Verdana"/>
              </w:rPr>
            </w:pPr>
          </w:p>
          <w:p w14:paraId="31F11F4E" w14:textId="77777777" w:rsidR="00581E2C" w:rsidRPr="00CE71BD" w:rsidRDefault="00581E2C" w:rsidP="00581E2C">
            <w:pPr>
              <w:pStyle w:val="Sinespaciado"/>
              <w:numPr>
                <w:ilvl w:val="0"/>
                <w:numId w:val="13"/>
              </w:numPr>
              <w:spacing w:line="276" w:lineRule="auto"/>
              <w:jc w:val="both"/>
              <w:rPr>
                <w:rStyle w:val="Hipervnculo"/>
                <w:rFonts w:ascii="Verdana" w:hAnsi="Verdana"/>
              </w:rPr>
            </w:pPr>
            <w:r w:rsidRPr="00CE71BD">
              <w:rPr>
                <w:rFonts w:ascii="Verdana" w:hAnsi="Verdana"/>
              </w:rPr>
              <w:t>Guía para la incorporación de lineamientos de integridad en la contratación de prestación de servicios expedidos por la ANCP-CCE.</w:t>
            </w:r>
            <w:r w:rsidRPr="00CE71BD">
              <w:rPr>
                <w:rFonts w:ascii="Verdana" w:hAnsi="Verdana" w:cs="Arial"/>
                <w:color w:val="000000" w:themeColor="text1"/>
              </w:rPr>
              <w:t xml:space="preserve"> Disponible en</w:t>
            </w:r>
            <w:r w:rsidRPr="00CE71BD">
              <w:rPr>
                <w:rFonts w:ascii="Verdana" w:hAnsi="Verdana" w:cs="Arial"/>
                <w:color w:val="7030A0"/>
              </w:rPr>
              <w:t xml:space="preserve">: </w:t>
            </w:r>
            <w:r w:rsidRPr="00CE71BD">
              <w:rPr>
                <w:rFonts w:ascii="Verdana" w:hAnsi="Verdana"/>
              </w:rPr>
              <w:t xml:space="preserve"> </w:t>
            </w:r>
            <w:hyperlink r:id="rId14" w:history="1">
              <w:r w:rsidRPr="00CE71BD">
                <w:rPr>
                  <w:rStyle w:val="Hipervnculo"/>
                  <w:rFonts w:ascii="Verdana" w:hAnsi="Verdana"/>
                </w:rPr>
                <w:t>https://www.colombiacompra.gov.co/sites/cce_public/files/cce_documents/cceeicpgi23_guia_contratacion_prestacion_de_servicios_v1_11-07-2023_def_1_1.pdf</w:t>
              </w:r>
            </w:hyperlink>
          </w:p>
          <w:p w14:paraId="0A4ABB92" w14:textId="77777777" w:rsidR="00581E2C" w:rsidRPr="00CE71BD" w:rsidRDefault="00581E2C" w:rsidP="00367512">
            <w:pPr>
              <w:pStyle w:val="Sinespaciado"/>
              <w:ind w:left="720"/>
              <w:jc w:val="both"/>
              <w:rPr>
                <w:rFonts w:ascii="Verdana" w:hAnsi="Verdana"/>
              </w:rPr>
            </w:pPr>
          </w:p>
          <w:p w14:paraId="700A8769" w14:textId="77777777" w:rsidR="00581E2C" w:rsidRPr="00CE71BD" w:rsidRDefault="00581E2C" w:rsidP="00581E2C">
            <w:pPr>
              <w:pStyle w:val="Sinespaciado"/>
              <w:numPr>
                <w:ilvl w:val="0"/>
                <w:numId w:val="13"/>
              </w:numPr>
              <w:jc w:val="both"/>
              <w:rPr>
                <w:rFonts w:ascii="Verdana" w:hAnsi="Verdana"/>
              </w:rPr>
            </w:pPr>
            <w:r w:rsidRPr="00CE71BD">
              <w:rPr>
                <w:rFonts w:ascii="Verdana" w:hAnsi="Verdana"/>
              </w:rPr>
              <w:t xml:space="preserve">Guía para la incorporación de lineamientos de integridad en la contratación de prestación de servicios. Disponible en: </w:t>
            </w:r>
            <w:hyperlink r:id="rId15" w:history="1">
              <w:r w:rsidRPr="00CE71BD">
                <w:rPr>
                  <w:rStyle w:val="Hipervnculo"/>
                  <w:rFonts w:ascii="Verdana" w:hAnsi="Verdana"/>
                </w:rPr>
                <w:t>https://www.colombiacompra.gov.co/sites/cce_public/files/cce_documents/cce-eicp-gi-23_guia_contratacion_prestacion_de_servicios_v1_11-07-2023_def_1_1.pdf</w:t>
              </w:r>
            </w:hyperlink>
            <w:r w:rsidRPr="00CE71BD">
              <w:rPr>
                <w:rFonts w:ascii="Verdana" w:hAnsi="Verdana"/>
              </w:rPr>
              <w:t xml:space="preserve"> </w:t>
            </w:r>
          </w:p>
          <w:p w14:paraId="5EF9A9E6" w14:textId="77777777" w:rsidR="00581E2C" w:rsidRPr="00E4307F" w:rsidRDefault="00581E2C" w:rsidP="00581E2C">
            <w:pPr>
              <w:pStyle w:val="Prrafodelista"/>
              <w:widowControl w:val="0"/>
              <w:numPr>
                <w:ilvl w:val="0"/>
                <w:numId w:val="10"/>
              </w:numPr>
              <w:autoSpaceDE w:val="0"/>
              <w:autoSpaceDN w:val="0"/>
              <w:spacing w:after="120" w:line="276" w:lineRule="auto"/>
              <w:ind w:left="0"/>
              <w:jc w:val="both"/>
              <w:rPr>
                <w:rFonts w:ascii="Verdana" w:hAnsi="Verdana"/>
                <w:color w:val="000000" w:themeColor="text1"/>
              </w:rPr>
            </w:pPr>
          </w:p>
        </w:tc>
      </w:tr>
    </w:tbl>
    <w:p w14:paraId="7E72F776" w14:textId="77777777" w:rsidR="00581E2C" w:rsidRPr="00E4307F" w:rsidRDefault="00581E2C" w:rsidP="00581E2C">
      <w:pPr>
        <w:widowControl w:val="0"/>
        <w:autoSpaceDE w:val="0"/>
        <w:autoSpaceDN w:val="0"/>
        <w:spacing w:after="0" w:line="276" w:lineRule="auto"/>
        <w:jc w:val="both"/>
        <w:rPr>
          <w:rFonts w:ascii="Verdana" w:hAnsi="Verdana" w:cs="Arial"/>
        </w:rPr>
      </w:pPr>
    </w:p>
    <w:p w14:paraId="1B8C5C6F" w14:textId="77777777" w:rsidR="00581E2C" w:rsidRPr="00E4307F" w:rsidRDefault="00581E2C" w:rsidP="00581E2C">
      <w:pPr>
        <w:pStyle w:val="Prrafodelista"/>
        <w:numPr>
          <w:ilvl w:val="0"/>
          <w:numId w:val="9"/>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Doctrina de la Agencia Nacional de Contratación Pública:</w:t>
      </w:r>
    </w:p>
    <w:p w14:paraId="72C2DDD2" w14:textId="77777777" w:rsidR="00581E2C" w:rsidRPr="00E4307F" w:rsidRDefault="00581E2C" w:rsidP="00581E2C">
      <w:pPr>
        <w:spacing w:after="0" w:line="276" w:lineRule="auto"/>
        <w:jc w:val="both"/>
        <w:rPr>
          <w:rFonts w:ascii="Verdana" w:hAnsi="Verdana" w:cs="Arial"/>
        </w:rPr>
      </w:pPr>
    </w:p>
    <w:p w14:paraId="38C4B6C7" w14:textId="77777777" w:rsidR="00581E2C" w:rsidRPr="00CE71BD" w:rsidRDefault="00581E2C" w:rsidP="00581E2C">
      <w:pPr>
        <w:widowControl w:val="0"/>
        <w:autoSpaceDE w:val="0"/>
        <w:autoSpaceDN w:val="0"/>
        <w:spacing w:after="120" w:line="276" w:lineRule="auto"/>
        <w:jc w:val="both"/>
        <w:rPr>
          <w:rFonts w:ascii="Verdana" w:hAnsi="Verdana" w:cs="Arial"/>
          <w:color w:val="FF0000"/>
          <w:shd w:val="clear" w:color="auto" w:fill="FFFFFF"/>
          <w:lang w:val="es-ES"/>
        </w:rPr>
      </w:pPr>
      <w:r w:rsidRPr="00CE71BD">
        <w:rPr>
          <w:rFonts w:ascii="Verdana" w:eastAsia="Calibri" w:hAnsi="Verdana" w:cs="Arial"/>
          <w:color w:val="000000" w:themeColor="text1"/>
          <w:lang w:val="es-ES_tradnl"/>
        </w:rPr>
        <w:t xml:space="preserve">La Agencia Nacional de Contratación Pública – Colombia Compra Eficiente se pronunció sobre el concepto y límites del contrato de prestación de servicios </w:t>
      </w:r>
      <w:r w:rsidRPr="00CE71BD">
        <w:rPr>
          <w:rFonts w:ascii="Verdana" w:eastAsia="Calibri" w:hAnsi="Verdana" w:cs="Arial"/>
          <w:color w:val="000000" w:themeColor="text1"/>
          <w:lang w:val="es-ES_tradnl"/>
        </w:rPr>
        <w:lastRenderedPageBreak/>
        <w:t xml:space="preserve">profesionales, en los conceptos C-090 del </w:t>
      </w:r>
      <w:r w:rsidRPr="00CE71BD">
        <w:rPr>
          <w:rFonts w:ascii="Verdana" w:hAnsi="Verdana" w:cs="Arial"/>
          <w:color w:val="000000" w:themeColor="text1"/>
        </w:rPr>
        <w:t xml:space="preserve">24 de febrero de 2020, </w:t>
      </w:r>
      <w:r w:rsidRPr="00CE71BD">
        <w:rPr>
          <w:rFonts w:ascii="Verdana" w:hAnsi="Verdana" w:cs="Arial"/>
        </w:rPr>
        <w:t xml:space="preserve">C-105 del </w:t>
      </w:r>
      <w:r w:rsidRPr="00CE71BD">
        <w:rPr>
          <w:rFonts w:ascii="Verdana" w:eastAsia="Arial" w:hAnsi="Verdana" w:cs="Arial"/>
          <w:lang w:val="es-ES"/>
        </w:rPr>
        <w:t xml:space="preserve">12 de marzo 03 de 2020, C-156 del 3 de abril de 2020, </w:t>
      </w:r>
      <w:r w:rsidRPr="00CE71BD">
        <w:rPr>
          <w:rFonts w:ascii="Verdana" w:hAnsi="Verdana" w:cs="Arial"/>
        </w:rPr>
        <w:t xml:space="preserve">C-188 del </w:t>
      </w:r>
      <w:r w:rsidRPr="00CE71BD">
        <w:rPr>
          <w:rFonts w:ascii="Verdana" w:hAnsi="Verdana" w:cs="Arial"/>
          <w:color w:val="000000" w:themeColor="text1"/>
        </w:rPr>
        <w:t xml:space="preserve">13 de abril de 2020, </w:t>
      </w:r>
      <w:r w:rsidRPr="00CE71BD">
        <w:rPr>
          <w:rFonts w:ascii="Verdana" w:hAnsi="Verdana" w:cs="Arial"/>
        </w:rPr>
        <w:t xml:space="preserve">C-208 del </w:t>
      </w:r>
      <w:r w:rsidRPr="00CE71BD">
        <w:rPr>
          <w:rFonts w:ascii="Verdana" w:hAnsi="Verdana" w:cs="Arial"/>
          <w:color w:val="000000" w:themeColor="text1"/>
        </w:rPr>
        <w:t xml:space="preserve">24 de abril de 2020, </w:t>
      </w:r>
      <w:r w:rsidRPr="00CE71BD">
        <w:rPr>
          <w:rFonts w:ascii="Verdana" w:hAnsi="Verdana" w:cs="Arial"/>
          <w:noProof/>
          <w:lang w:val="es-ES_tradnl"/>
        </w:rPr>
        <w:t>No. C-138, C-005, C-006 y C-018 del 11 de mayo de 2020; C-175, C-320, C-053, C-255, C-282 y C-293 del 12 de mayo de 2020, C-288 del 27 de mayo de 2020, C-345 del 13 de mayo de 2020</w:t>
      </w:r>
      <w:r w:rsidRPr="00CE71BD">
        <w:rPr>
          <w:rFonts w:ascii="Verdana" w:hAnsi="Verdana" w:cs="Arial"/>
          <w:color w:val="000000" w:themeColor="text1"/>
        </w:rPr>
        <w:t xml:space="preserve">, </w:t>
      </w:r>
      <w:r w:rsidRPr="00CE71BD">
        <w:rPr>
          <w:rFonts w:ascii="Verdana" w:hAnsi="Verdana" w:cs="Arial"/>
          <w:color w:val="212529"/>
        </w:rPr>
        <w:t xml:space="preserve">C-414 </w:t>
      </w:r>
      <w:r w:rsidRPr="00CE71BD">
        <w:rPr>
          <w:rFonts w:ascii="Verdana" w:hAnsi="Verdana" w:cs="Arial"/>
        </w:rPr>
        <w:t xml:space="preserve">del 30 de junio de 2020, </w:t>
      </w:r>
      <w:r w:rsidRPr="00CE71BD">
        <w:rPr>
          <w:rFonts w:ascii="Verdana" w:hAnsi="Verdana" w:cs="Arial"/>
          <w:noProof/>
          <w:lang w:val="es-ES_tradnl"/>
        </w:rPr>
        <w:t>C-608 del 1 de octubre de 2020</w:t>
      </w:r>
      <w:r w:rsidRPr="00CE71BD">
        <w:rPr>
          <w:rFonts w:ascii="Verdana" w:hAnsi="Verdana" w:cs="Arial"/>
        </w:rPr>
        <w:t xml:space="preserve">, C-739 del 16 de diciembre de 2020, C-106 del 21 de abril de 2021, C-015 del 13 de febrero del 2024, C-089 del 3 de julio de 2024 C-250 del 12 de agosto de 2024, C-311 del 21 de agosto de 2024, entre otros. </w:t>
      </w:r>
      <w:r w:rsidRPr="00CE71BD">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6" w:tgtFrame="_blank" w:history="1">
        <w:r w:rsidRPr="00CE71BD">
          <w:rPr>
            <w:rStyle w:val="Hipervnculo"/>
            <w:rFonts w:ascii="Verdana" w:hAnsi="Verdana" w:cs="Arial"/>
            <w:shd w:val="clear" w:color="auto" w:fill="FFFFFF"/>
          </w:rPr>
          <w:t>https://relatoria.colombiacompra.gov.co/</w:t>
        </w:r>
      </w:hyperlink>
      <w:r w:rsidRPr="00CE71BD">
        <w:rPr>
          <w:rFonts w:ascii="Verdana" w:hAnsi="Verdana" w:cs="Arial"/>
          <w:color w:val="7030A0"/>
          <w:shd w:val="clear" w:color="auto" w:fill="FFFFFF"/>
        </w:rPr>
        <w:t xml:space="preserve"> . </w:t>
      </w:r>
      <w:r w:rsidRPr="00CE71BD">
        <w:rPr>
          <w:rFonts w:ascii="Verdana" w:hAnsi="Verdana" w:cs="Arial"/>
          <w:shd w:val="clear" w:color="auto" w:fill="FFFFFF"/>
        </w:rPr>
        <w:t>Te invitamos también a revisar la tercera edición del  Boletín de Relatoría de 2024 en el cual podrás consultar en detalle el marco normativo de documentos tipo: </w:t>
      </w:r>
      <w:hyperlink r:id="rId17" w:tgtFrame="_blank" w:tooltip="Dirección URL original: https://www.colombiacompra.gov.co/sites/cce_public/files/files_2020/boletin_de_realtoria_iii.pdf. Haga clic o pulse si confía en este vínculo." w:history="1">
        <w:r w:rsidRPr="00CE71BD">
          <w:rPr>
            <w:rStyle w:val="Hipervnculo"/>
            <w:rFonts w:ascii="Verdana" w:hAnsi="Verdana" w:cs="Arial"/>
            <w:shd w:val="clear" w:color="auto" w:fill="FFFFFF"/>
          </w:rPr>
          <w:t>https://www.colombiacompra.gov.co/sites/cce_public/files/files_2020/boletin_de_realtoria_iii.pdf</w:t>
        </w:r>
      </w:hyperlink>
      <w:r w:rsidRPr="00CE71BD">
        <w:rPr>
          <w:rFonts w:ascii="Verdana" w:hAnsi="Verdana" w:cs="Arial"/>
          <w:color w:val="7030A0"/>
          <w:shd w:val="clear" w:color="auto" w:fill="FFFFFF"/>
        </w:rPr>
        <w:t> </w:t>
      </w:r>
    </w:p>
    <w:p w14:paraId="6DA4C2F0" w14:textId="77777777" w:rsidR="00581E2C" w:rsidRPr="00CE71BD" w:rsidRDefault="00581E2C" w:rsidP="00581E2C">
      <w:pPr>
        <w:widowControl w:val="0"/>
        <w:autoSpaceDE w:val="0"/>
        <w:autoSpaceDN w:val="0"/>
        <w:spacing w:after="0" w:line="276" w:lineRule="auto"/>
        <w:ind w:firstLine="708"/>
        <w:jc w:val="both"/>
        <w:rPr>
          <w:rFonts w:ascii="Verdana" w:hAnsi="Verdana" w:cs="Arial"/>
          <w:color w:val="000000" w:themeColor="text1"/>
          <w:shd w:val="clear" w:color="auto" w:fill="FFFFFF"/>
        </w:rPr>
      </w:pPr>
      <w:r w:rsidRPr="00CE71BD">
        <w:rPr>
          <w:rFonts w:ascii="Verdana" w:hAnsi="Verdana" w:cs="Arial"/>
          <w:color w:val="000000" w:themeColor="text1"/>
          <w:shd w:val="clear" w:color="auto" w:fill="FFFFFF"/>
        </w:rPr>
        <w:t>De otra parte, te informamos que entre el 15 al 29 de agosto de 2024 estará disponible para comentarios la Guía para Promover la Participación de las MIPYMES en los Procesos de Compra y Contratación Pública. Esta nueva versión desarrolla lineamientos para la aplicación de los incentivos regulados por normas como la Ley 2069 de 2020 y los decretos 1860 de 2021, 142 de 2023 y el 874 de 2024. Te invitamos a participar dejando tus observaciones en los siguientes enlaces: </w:t>
      </w:r>
      <w:hyperlink r:id="rId18" w:tgtFrame="_blank" w:tooltip="Dirección URL original: https://www.sucop.gov.co/entidades/colombiacompra/Normativa?IDNorma=17363. Haga clic o pulse si confía en este vínculo." w:history="1">
        <w:r w:rsidRPr="00CE71BD">
          <w:rPr>
            <w:rStyle w:val="Hipervnculo"/>
            <w:rFonts w:ascii="Verdana" w:hAnsi="Verdana" w:cs="Arial"/>
            <w:shd w:val="clear" w:color="auto" w:fill="FFFFFF"/>
          </w:rPr>
          <w:t>https://www.sucop.gov.co/entidades/colombiacompra/Normativa?IDNorma=17363</w:t>
        </w:r>
      </w:hyperlink>
      <w:r w:rsidRPr="00CE71BD">
        <w:rPr>
          <w:rFonts w:ascii="Verdana" w:hAnsi="Verdana" w:cs="Arial"/>
          <w:color w:val="000000" w:themeColor="text1"/>
          <w:shd w:val="clear" w:color="auto" w:fill="FFFFFF"/>
        </w:rPr>
        <w:t xml:space="preserve"> y </w:t>
      </w:r>
      <w:hyperlink r:id="rId19" w:tgtFrame="_blank" w:tooltip="Dirección URL original: https://www.colombiacompra.gov.co/content/convocatorias. Haga clic o pulse si confía en este vínculo." w:history="1">
        <w:r w:rsidRPr="00CE71BD">
          <w:rPr>
            <w:rStyle w:val="Hipervnculo"/>
            <w:rFonts w:ascii="Verdana" w:hAnsi="Verdana" w:cs="Arial"/>
            <w:shd w:val="clear" w:color="auto" w:fill="FFFFFF"/>
          </w:rPr>
          <w:t>https://www.colombiacompra.gov.co/content/convocatorias</w:t>
        </w:r>
      </w:hyperlink>
      <w:r w:rsidRPr="00CE71BD">
        <w:rPr>
          <w:rFonts w:ascii="Verdana" w:hAnsi="Verdana" w:cs="Arial"/>
          <w:color w:val="000000" w:themeColor="text1"/>
          <w:shd w:val="clear" w:color="auto" w:fill="FFFFFF"/>
        </w:rPr>
        <w:t> </w:t>
      </w:r>
    </w:p>
    <w:p w14:paraId="64D75870" w14:textId="77777777" w:rsidR="00581E2C" w:rsidRPr="00CE71BD" w:rsidRDefault="00581E2C" w:rsidP="00581E2C">
      <w:pPr>
        <w:spacing w:after="0" w:line="240" w:lineRule="auto"/>
        <w:jc w:val="both"/>
        <w:rPr>
          <w:rFonts w:ascii="Verdana" w:hAnsi="Verdana"/>
        </w:rPr>
      </w:pPr>
    </w:p>
    <w:p w14:paraId="3468A637" w14:textId="77777777" w:rsidR="00581E2C" w:rsidRPr="00CE71BD" w:rsidRDefault="00581E2C" w:rsidP="00581E2C">
      <w:pPr>
        <w:spacing w:after="0" w:line="240" w:lineRule="auto"/>
        <w:jc w:val="both"/>
        <w:rPr>
          <w:rFonts w:ascii="Verdana" w:hAnsi="Verdana"/>
        </w:rPr>
      </w:pPr>
      <w:r w:rsidRPr="00CE71BD">
        <w:rPr>
          <w:rFonts w:ascii="Verdana" w:hAnsi="Verdana"/>
        </w:rPr>
        <w:t xml:space="preserve">Por último, lo invitamos a seguirnos en las redes sociales en las cuales se difunde información institucional: </w:t>
      </w:r>
    </w:p>
    <w:p w14:paraId="2DBD6A8B" w14:textId="77777777" w:rsidR="00581E2C" w:rsidRPr="00CE71BD" w:rsidRDefault="00581E2C" w:rsidP="00581E2C">
      <w:pPr>
        <w:spacing w:after="0" w:line="240" w:lineRule="auto"/>
        <w:jc w:val="both"/>
        <w:rPr>
          <w:rFonts w:ascii="Verdana" w:hAnsi="Verdana"/>
        </w:rPr>
      </w:pPr>
    </w:p>
    <w:p w14:paraId="56AD12D0" w14:textId="77777777" w:rsidR="00581E2C" w:rsidRPr="00CE71BD" w:rsidRDefault="00581E2C" w:rsidP="00581E2C">
      <w:pPr>
        <w:spacing w:after="0" w:line="240" w:lineRule="auto"/>
        <w:jc w:val="both"/>
        <w:rPr>
          <w:rFonts w:ascii="Verdana" w:hAnsi="Verdana"/>
        </w:rPr>
      </w:pPr>
      <w:r w:rsidRPr="00CE71BD">
        <w:rPr>
          <w:rFonts w:ascii="Verdana" w:hAnsi="Verdana"/>
        </w:rPr>
        <w:t xml:space="preserve">Twitter: </w:t>
      </w:r>
      <w:r w:rsidRPr="00CE71BD">
        <w:rPr>
          <w:rFonts w:ascii="Verdana" w:hAnsi="Verdana"/>
          <w:color w:val="4472C4" w:themeColor="accent1"/>
          <w:u w:val="single"/>
        </w:rPr>
        <w:t>@colombiacompra</w:t>
      </w:r>
      <w:r w:rsidRPr="00CE71BD">
        <w:rPr>
          <w:rFonts w:ascii="Verdana" w:hAnsi="Verdana"/>
          <w:color w:val="4472C4" w:themeColor="accent1"/>
        </w:rPr>
        <w:t xml:space="preserve"> </w:t>
      </w:r>
    </w:p>
    <w:p w14:paraId="48B797DE" w14:textId="77777777" w:rsidR="00581E2C" w:rsidRPr="00CE71BD" w:rsidRDefault="00581E2C" w:rsidP="00581E2C">
      <w:pPr>
        <w:spacing w:after="0" w:line="240" w:lineRule="auto"/>
        <w:jc w:val="both"/>
        <w:rPr>
          <w:rFonts w:ascii="Verdana" w:hAnsi="Verdana"/>
        </w:rPr>
      </w:pPr>
      <w:r w:rsidRPr="00CE71BD">
        <w:rPr>
          <w:rFonts w:ascii="Verdana" w:hAnsi="Verdana"/>
        </w:rPr>
        <w:t xml:space="preserve">Facebook: </w:t>
      </w:r>
      <w:r w:rsidRPr="00CE71BD">
        <w:rPr>
          <w:rFonts w:ascii="Verdana" w:hAnsi="Verdana"/>
          <w:color w:val="4472C4" w:themeColor="accent1"/>
          <w:u w:val="single"/>
        </w:rPr>
        <w:t>ColombiaCompraEficiente</w:t>
      </w:r>
    </w:p>
    <w:p w14:paraId="464A057A" w14:textId="77777777" w:rsidR="00581E2C" w:rsidRPr="00CE71BD" w:rsidRDefault="00581E2C" w:rsidP="00581E2C">
      <w:pPr>
        <w:spacing w:after="0" w:line="240" w:lineRule="auto"/>
        <w:jc w:val="both"/>
        <w:rPr>
          <w:rFonts w:ascii="Verdana" w:hAnsi="Verdana"/>
        </w:rPr>
      </w:pPr>
      <w:r w:rsidRPr="00CE71BD">
        <w:rPr>
          <w:rFonts w:ascii="Verdana" w:hAnsi="Verdana"/>
        </w:rPr>
        <w:t xml:space="preserve">LinkedIn: </w:t>
      </w:r>
      <w:r w:rsidRPr="00CE71BD">
        <w:rPr>
          <w:rFonts w:ascii="Verdana" w:hAnsi="Verdana"/>
          <w:color w:val="4472C4" w:themeColor="accent1"/>
          <w:u w:val="single"/>
        </w:rPr>
        <w:t>Agencia Nacional de Contratación Pública - Colombia Compra Eficiente</w:t>
      </w:r>
      <w:r w:rsidRPr="00CE71BD">
        <w:rPr>
          <w:rFonts w:ascii="Verdana" w:hAnsi="Verdana"/>
          <w:color w:val="4472C4" w:themeColor="accent1"/>
        </w:rPr>
        <w:t xml:space="preserve"> </w:t>
      </w:r>
      <w:r w:rsidRPr="00CE71BD">
        <w:rPr>
          <w:rFonts w:ascii="Verdana" w:hAnsi="Verdana"/>
        </w:rPr>
        <w:t xml:space="preserve">Instagram: </w:t>
      </w:r>
      <w:r w:rsidRPr="00CE71BD">
        <w:rPr>
          <w:rFonts w:ascii="Verdana" w:hAnsi="Verdana"/>
          <w:color w:val="4472C4" w:themeColor="accent1"/>
          <w:u w:val="single"/>
        </w:rPr>
        <w:t>@colombiacompraeficiente_cce</w:t>
      </w:r>
    </w:p>
    <w:p w14:paraId="20C0ED64" w14:textId="77777777" w:rsidR="00581E2C" w:rsidRPr="0044528D" w:rsidRDefault="00581E2C" w:rsidP="00581E2C">
      <w:pPr>
        <w:widowControl w:val="0"/>
        <w:autoSpaceDE w:val="0"/>
        <w:autoSpaceDN w:val="0"/>
        <w:spacing w:after="0" w:line="276" w:lineRule="auto"/>
        <w:jc w:val="both"/>
        <w:rPr>
          <w:rFonts w:ascii="Verdana" w:hAnsi="Verdana"/>
        </w:rPr>
      </w:pPr>
    </w:p>
    <w:p w14:paraId="245FE787" w14:textId="77777777" w:rsidR="00581E2C" w:rsidRPr="00E4307F" w:rsidRDefault="00581E2C" w:rsidP="00581E2C">
      <w:pPr>
        <w:widowControl w:val="0"/>
        <w:autoSpaceDE w:val="0"/>
        <w:autoSpaceDN w:val="0"/>
        <w:spacing w:after="0" w:line="276" w:lineRule="auto"/>
        <w:jc w:val="both"/>
        <w:rPr>
          <w:rFonts w:ascii="Verdana" w:hAnsi="Verdana" w:cs="Arial"/>
          <w:lang w:val="es-ES_tradnl"/>
        </w:rPr>
      </w:pPr>
      <w:r w:rsidRPr="00E4307F">
        <w:rPr>
          <w:rFonts w:ascii="Verdana" w:hAnsi="Verdana" w:cs="Arial"/>
        </w:rPr>
        <w:lastRenderedPageBreak/>
        <w:t xml:space="preserve">Este concepto tiene el alcance previsto en el artículo 28 del Código de Procedimiento Administrativo y de lo Contencioso Administrativo </w:t>
      </w:r>
      <w:r w:rsidRPr="00E4307F">
        <w:rPr>
          <w:rFonts w:ascii="Verdana" w:hAnsi="Verdana" w:cs="Arial"/>
          <w:lang w:val="es-ES_tradnl"/>
        </w:rPr>
        <w:t>y las expresiones aquí utilizadas con mayúscula inicial deben ser entendidas con el significado que les otorga el artículo 2.2.1.1.1.3.1. del Decreto 1082 de 2015.</w:t>
      </w:r>
    </w:p>
    <w:p w14:paraId="0E41E37D" w14:textId="77777777" w:rsidR="00581E2C" w:rsidRPr="00E4307F" w:rsidRDefault="00581E2C" w:rsidP="00581E2C">
      <w:pPr>
        <w:widowControl w:val="0"/>
        <w:autoSpaceDE w:val="0"/>
        <w:autoSpaceDN w:val="0"/>
        <w:spacing w:after="0" w:line="276" w:lineRule="auto"/>
        <w:jc w:val="both"/>
        <w:rPr>
          <w:rFonts w:ascii="Verdana" w:hAnsi="Verdana" w:cs="Arial"/>
        </w:rPr>
      </w:pPr>
    </w:p>
    <w:p w14:paraId="10C0E3CB" w14:textId="77777777" w:rsidR="00581E2C" w:rsidRPr="00E4307F" w:rsidRDefault="00581E2C" w:rsidP="00581E2C">
      <w:pPr>
        <w:spacing w:after="0" w:line="240" w:lineRule="auto"/>
        <w:rPr>
          <w:rFonts w:ascii="Verdana" w:hAnsi="Verdana" w:cs="Arial"/>
          <w:lang w:eastAsia="es-CO"/>
        </w:rPr>
      </w:pPr>
      <w:r w:rsidRPr="00E4307F">
        <w:rPr>
          <w:rFonts w:ascii="Verdana" w:eastAsia="Times New Roman" w:hAnsi="Verdana" w:cs="Arial"/>
          <w:lang w:eastAsia="es-CO"/>
        </w:rPr>
        <w:t>Atentamente,</w:t>
      </w:r>
      <w:r w:rsidRPr="00E4307F">
        <w:rPr>
          <w:rFonts w:ascii="Verdana" w:hAnsi="Verdana" w:cs="Arial"/>
          <w:lang w:eastAsia="es-CO"/>
        </w:rPr>
        <w:t xml:space="preserve"> </w:t>
      </w:r>
    </w:p>
    <w:p w14:paraId="52EF8AC2" w14:textId="44310BB1" w:rsidR="00581E2C" w:rsidRPr="002E45F4" w:rsidRDefault="002E45F4" w:rsidP="002E45F4">
      <w:pPr>
        <w:spacing w:line="276" w:lineRule="auto"/>
        <w:jc w:val="center"/>
        <w:rPr>
          <w:rFonts w:ascii="Verdana" w:hAnsi="Verdana" w:cs="Arial"/>
          <w:lang w:val="es-MX" w:eastAsia="es-CO"/>
        </w:rPr>
      </w:pPr>
      <w:r w:rsidRPr="002E45F4">
        <w:rPr>
          <w:rFonts w:ascii="Verdana" w:hAnsi="Verdana" w:cs="Arial"/>
          <w:noProof/>
          <w:lang w:val="es-MX" w:eastAsia="es-CO"/>
        </w:rPr>
        <w:drawing>
          <wp:inline distT="0" distB="0" distL="0" distR="0" wp14:anchorId="6824BEFE" wp14:editId="773C986B">
            <wp:extent cx="3771900" cy="1400175"/>
            <wp:effectExtent l="0" t="0" r="0" b="9525"/>
            <wp:docPr id="367249443"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249443" name="Imagen 2" descr="Texto&#10;&#10;Descripción generada automáticamen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81E2C" w:rsidRPr="00E4307F" w14:paraId="00DE2AC8" w14:textId="77777777" w:rsidTr="00367512">
        <w:trPr>
          <w:trHeight w:val="315"/>
        </w:trPr>
        <w:tc>
          <w:tcPr>
            <w:tcW w:w="893" w:type="dxa"/>
            <w:vAlign w:val="center"/>
            <w:hideMark/>
          </w:tcPr>
          <w:p w14:paraId="4AAB0E2A" w14:textId="77777777" w:rsidR="00581E2C" w:rsidRPr="00E4307F" w:rsidRDefault="00581E2C" w:rsidP="00367512">
            <w:pPr>
              <w:spacing w:after="255"/>
              <w:contextualSpacing/>
              <w:rPr>
                <w:rFonts w:ascii="Verdana" w:hAnsi="Verdana" w:cs="Arial"/>
                <w:sz w:val="16"/>
                <w:szCs w:val="16"/>
                <w:lang w:val="es-ES" w:eastAsia="es-ES"/>
              </w:rPr>
            </w:pPr>
            <w:r w:rsidRPr="00E4307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F4B4B5C" w14:textId="77777777" w:rsidR="00581E2C" w:rsidRPr="00E4307F" w:rsidRDefault="00581E2C" w:rsidP="00367512">
            <w:pPr>
              <w:spacing w:after="255"/>
              <w:contextualSpacing/>
              <w:rPr>
                <w:rFonts w:ascii="Verdana" w:eastAsia="Arial" w:hAnsi="Verdana" w:cs="Arial"/>
                <w:sz w:val="16"/>
                <w:szCs w:val="16"/>
              </w:rPr>
            </w:pPr>
            <w:r w:rsidRPr="00E4307F">
              <w:rPr>
                <w:rStyle w:val="normaltextrun"/>
                <w:rFonts w:ascii="Verdana" w:hAnsi="Verdana"/>
                <w:sz w:val="16"/>
                <w:szCs w:val="16"/>
              </w:rPr>
              <w:t>Gloria Ximena Moreno Guio</w:t>
            </w:r>
          </w:p>
          <w:p w14:paraId="2696C3B1" w14:textId="77777777" w:rsidR="00581E2C" w:rsidRPr="00E4307F" w:rsidRDefault="00581E2C" w:rsidP="00367512">
            <w:pPr>
              <w:spacing w:after="255"/>
              <w:contextualSpacing/>
              <w:rPr>
                <w:rFonts w:ascii="Verdana" w:eastAsia="Arial" w:hAnsi="Verdana" w:cs="Arial"/>
                <w:sz w:val="16"/>
                <w:szCs w:val="16"/>
              </w:rPr>
            </w:pPr>
            <w:r w:rsidRPr="00E4307F">
              <w:rPr>
                <w:rStyle w:val="normaltextrun"/>
                <w:rFonts w:ascii="Verdana" w:eastAsia="Arial" w:hAnsi="Verdana" w:cs="Arial"/>
                <w:sz w:val="16"/>
                <w:szCs w:val="16"/>
              </w:rPr>
              <w:t>Contratista de la Subdirección de Gestión Contractual</w:t>
            </w:r>
          </w:p>
        </w:tc>
      </w:tr>
      <w:tr w:rsidR="00581E2C" w:rsidRPr="00E4307F" w14:paraId="507BCB6B" w14:textId="77777777" w:rsidTr="00367512">
        <w:trPr>
          <w:trHeight w:val="330"/>
        </w:trPr>
        <w:tc>
          <w:tcPr>
            <w:tcW w:w="893" w:type="dxa"/>
            <w:vAlign w:val="center"/>
            <w:hideMark/>
          </w:tcPr>
          <w:p w14:paraId="661BE716" w14:textId="77777777" w:rsidR="00581E2C" w:rsidRPr="00E4307F" w:rsidRDefault="00581E2C" w:rsidP="00367512">
            <w:pPr>
              <w:spacing w:after="255"/>
              <w:contextualSpacing/>
              <w:rPr>
                <w:rFonts w:ascii="Verdana" w:hAnsi="Verdana" w:cs="Arial"/>
                <w:sz w:val="16"/>
                <w:szCs w:val="16"/>
                <w:lang w:val="es-ES" w:eastAsia="es-ES"/>
              </w:rPr>
            </w:pPr>
            <w:r w:rsidRPr="00E4307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77D2C2E" w14:textId="77777777" w:rsidR="00581E2C" w:rsidRPr="00E4307F" w:rsidRDefault="00581E2C" w:rsidP="00367512">
            <w:pPr>
              <w:pStyle w:val="paragraph"/>
              <w:spacing w:after="0"/>
              <w:contextualSpacing/>
              <w:textAlignment w:val="baseline"/>
              <w:rPr>
                <w:rStyle w:val="normaltextrun"/>
                <w:rFonts w:ascii="Verdana" w:hAnsi="Verdana" w:cs="Arial"/>
                <w:sz w:val="16"/>
                <w:szCs w:val="16"/>
                <w:lang w:val="es-ES"/>
              </w:rPr>
            </w:pPr>
            <w:r w:rsidRPr="00E4307F">
              <w:rPr>
                <w:rStyle w:val="normaltextrun"/>
                <w:rFonts w:ascii="Verdana" w:hAnsi="Verdana" w:cs="Arial"/>
                <w:sz w:val="16"/>
                <w:szCs w:val="16"/>
                <w:lang w:val="es-ES"/>
              </w:rPr>
              <w:t>Alejandro Sarmiento Cantillo</w:t>
            </w:r>
          </w:p>
          <w:p w14:paraId="7814C94F" w14:textId="77777777" w:rsidR="00581E2C" w:rsidRPr="00E4307F" w:rsidRDefault="00581E2C" w:rsidP="00367512">
            <w:pPr>
              <w:pStyle w:val="paragraph"/>
              <w:spacing w:before="0" w:beforeAutospacing="0" w:after="0" w:afterAutospacing="0"/>
              <w:contextualSpacing/>
              <w:textAlignment w:val="baseline"/>
              <w:rPr>
                <w:rFonts w:ascii="Verdana" w:hAnsi="Verdana" w:cs="Segoe UI"/>
                <w:sz w:val="16"/>
                <w:szCs w:val="16"/>
              </w:rPr>
            </w:pPr>
            <w:r w:rsidRPr="00E4307F">
              <w:rPr>
                <w:rStyle w:val="normaltextrun"/>
                <w:rFonts w:ascii="Verdana" w:hAnsi="Verdana" w:cs="Arial"/>
                <w:sz w:val="16"/>
                <w:szCs w:val="16"/>
                <w:lang w:val="es-ES"/>
              </w:rPr>
              <w:t>Gestor T1-15 de la Subdirección de Gestión Contractual</w:t>
            </w:r>
          </w:p>
        </w:tc>
      </w:tr>
      <w:tr w:rsidR="00581E2C" w:rsidRPr="00E4307F" w14:paraId="14600250" w14:textId="77777777" w:rsidTr="00367512">
        <w:trPr>
          <w:trHeight w:val="300"/>
        </w:trPr>
        <w:tc>
          <w:tcPr>
            <w:tcW w:w="893" w:type="dxa"/>
            <w:vAlign w:val="center"/>
            <w:hideMark/>
          </w:tcPr>
          <w:p w14:paraId="38379B1E" w14:textId="77777777" w:rsidR="00581E2C" w:rsidRPr="00E4307F" w:rsidRDefault="00581E2C" w:rsidP="00367512">
            <w:pPr>
              <w:spacing w:after="255"/>
              <w:contextualSpacing/>
              <w:rPr>
                <w:rFonts w:ascii="Verdana" w:hAnsi="Verdana" w:cs="Arial"/>
                <w:sz w:val="16"/>
                <w:szCs w:val="16"/>
                <w:lang w:val="es-ES" w:eastAsia="es-ES"/>
              </w:rPr>
            </w:pPr>
            <w:r w:rsidRPr="00E4307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846A02B" w14:textId="77777777" w:rsidR="00581E2C" w:rsidRPr="00E4307F" w:rsidRDefault="00581E2C" w:rsidP="00367512">
            <w:pPr>
              <w:spacing w:after="255"/>
              <w:contextualSpacing/>
              <w:rPr>
                <w:rFonts w:ascii="Verdana" w:eastAsia="Calibri" w:hAnsi="Verdana" w:cs="Arial"/>
                <w:sz w:val="16"/>
                <w:szCs w:val="16"/>
                <w:lang w:val="pt-BR" w:eastAsia="es-ES"/>
              </w:rPr>
            </w:pPr>
            <w:r w:rsidRPr="00E4307F">
              <w:rPr>
                <w:rFonts w:ascii="Verdana" w:eastAsia="Calibri" w:hAnsi="Verdana" w:cs="Arial"/>
                <w:sz w:val="16"/>
                <w:szCs w:val="16"/>
                <w:lang w:val="pt-BR" w:eastAsia="es-ES"/>
              </w:rPr>
              <w:t>Carolina Quintero Gacharná</w:t>
            </w:r>
          </w:p>
          <w:p w14:paraId="587B7C65" w14:textId="77777777" w:rsidR="00581E2C" w:rsidRPr="00E4307F" w:rsidRDefault="00581E2C" w:rsidP="00367512">
            <w:pPr>
              <w:spacing w:after="255"/>
              <w:contextualSpacing/>
              <w:rPr>
                <w:rFonts w:ascii="Verdana" w:eastAsia="Calibri" w:hAnsi="Verdana" w:cs="Arial"/>
                <w:sz w:val="16"/>
                <w:szCs w:val="16"/>
                <w:lang w:val="pt-BR" w:eastAsia="es-ES"/>
              </w:rPr>
            </w:pPr>
            <w:r w:rsidRPr="00E4307F">
              <w:rPr>
                <w:rFonts w:ascii="Verdana" w:eastAsia="Calibri" w:hAnsi="Verdana" w:cs="Arial"/>
                <w:sz w:val="16"/>
                <w:szCs w:val="16"/>
                <w:lang w:eastAsia="es-ES"/>
              </w:rPr>
              <w:t>Subdirectora</w:t>
            </w:r>
            <w:r w:rsidRPr="00E4307F">
              <w:rPr>
                <w:rFonts w:ascii="Verdana" w:eastAsia="Calibri" w:hAnsi="Verdana" w:cs="Arial"/>
                <w:sz w:val="16"/>
                <w:szCs w:val="16"/>
                <w:lang w:val="pt-BR" w:eastAsia="es-ES"/>
              </w:rPr>
              <w:t xml:space="preserve"> de Gestión </w:t>
            </w:r>
            <w:proofErr w:type="spellStart"/>
            <w:r w:rsidRPr="00E4307F">
              <w:rPr>
                <w:rFonts w:ascii="Verdana" w:eastAsia="Calibri" w:hAnsi="Verdana" w:cs="Arial"/>
                <w:sz w:val="16"/>
                <w:szCs w:val="16"/>
                <w:lang w:val="pt-BR" w:eastAsia="es-ES"/>
              </w:rPr>
              <w:t>Contractual</w:t>
            </w:r>
            <w:proofErr w:type="spellEnd"/>
            <w:r w:rsidRPr="00E4307F">
              <w:rPr>
                <w:rFonts w:ascii="Verdana" w:eastAsia="Calibri" w:hAnsi="Verdana" w:cs="Arial"/>
                <w:sz w:val="16"/>
                <w:szCs w:val="16"/>
                <w:lang w:val="pt-BR" w:eastAsia="es-ES"/>
              </w:rPr>
              <w:t xml:space="preserve"> ANCP – CCE</w:t>
            </w:r>
          </w:p>
        </w:tc>
      </w:tr>
    </w:tbl>
    <w:p w14:paraId="424585D0" w14:textId="77777777" w:rsidR="00581E2C" w:rsidRPr="00E4307F" w:rsidRDefault="00581E2C" w:rsidP="00581E2C">
      <w:pPr>
        <w:spacing w:after="0" w:line="240" w:lineRule="auto"/>
        <w:rPr>
          <w:rFonts w:ascii="Verdana" w:eastAsia="Times New Roman" w:hAnsi="Verdana" w:cs="Arial"/>
          <w:lang w:eastAsia="es-ES"/>
        </w:rPr>
      </w:pPr>
    </w:p>
    <w:p w14:paraId="002B52BC" w14:textId="77777777" w:rsidR="00581E2C" w:rsidRPr="00E4307F" w:rsidRDefault="00581E2C" w:rsidP="00581E2C">
      <w:pPr>
        <w:rPr>
          <w:rFonts w:ascii="Verdana" w:hAnsi="Verdana"/>
        </w:rPr>
      </w:pPr>
    </w:p>
    <w:p w14:paraId="1911A56E" w14:textId="77777777" w:rsidR="00581E2C" w:rsidRPr="00E4307F" w:rsidRDefault="00581E2C" w:rsidP="00581E2C">
      <w:pPr>
        <w:rPr>
          <w:rFonts w:ascii="Verdana" w:hAnsi="Verdana"/>
        </w:rPr>
      </w:pPr>
    </w:p>
    <w:p w14:paraId="55042A1A" w14:textId="77777777" w:rsidR="00581E2C" w:rsidRPr="00F312E3" w:rsidRDefault="00581E2C" w:rsidP="00581E2C">
      <w:pPr>
        <w:rPr>
          <w:rFonts w:ascii="Verdana" w:hAnsi="Verdana"/>
        </w:rPr>
      </w:pPr>
    </w:p>
    <w:p w14:paraId="1BD0180C"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0083C991" w14:textId="5C765C2F" w:rsidR="5D8505AD" w:rsidRPr="00C13516" w:rsidRDefault="5D8505AD" w:rsidP="00C13516"/>
    <w:sectPr w:rsidR="5D8505AD" w:rsidRPr="00C13516" w:rsidSect="00E45F4B">
      <w:headerReference w:type="default" r:id="rId21"/>
      <w:footerReference w:type="default" r:id="rId22"/>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788E17" w14:textId="77777777" w:rsidR="00366A18" w:rsidRDefault="00366A18" w:rsidP="00B30448">
      <w:pPr>
        <w:spacing w:after="0" w:line="240" w:lineRule="auto"/>
      </w:pPr>
      <w:r>
        <w:separator/>
      </w:r>
    </w:p>
  </w:endnote>
  <w:endnote w:type="continuationSeparator" w:id="0">
    <w:p w14:paraId="4A55D169" w14:textId="77777777" w:rsidR="00366A18" w:rsidRDefault="00366A18" w:rsidP="00B30448">
      <w:pPr>
        <w:spacing w:after="0" w:line="240" w:lineRule="auto"/>
      </w:pPr>
      <w:r>
        <w:continuationSeparator/>
      </w:r>
    </w:p>
  </w:endnote>
  <w:endnote w:type="continuationNotice" w:id="1">
    <w:p w14:paraId="5991D887" w14:textId="77777777" w:rsidR="00366A18" w:rsidRDefault="00366A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920C7C" w14:textId="77777777" w:rsidR="00366A18" w:rsidRDefault="00366A18" w:rsidP="00B30448">
      <w:pPr>
        <w:spacing w:after="0" w:line="240" w:lineRule="auto"/>
      </w:pPr>
      <w:r>
        <w:separator/>
      </w:r>
    </w:p>
  </w:footnote>
  <w:footnote w:type="continuationSeparator" w:id="0">
    <w:p w14:paraId="16FEDAE9" w14:textId="77777777" w:rsidR="00366A18" w:rsidRDefault="00366A18" w:rsidP="00B30448">
      <w:pPr>
        <w:spacing w:after="0" w:line="240" w:lineRule="auto"/>
      </w:pPr>
      <w:r>
        <w:continuationSeparator/>
      </w:r>
    </w:p>
  </w:footnote>
  <w:footnote w:type="continuationNotice" w:id="1">
    <w:p w14:paraId="6BF357DB" w14:textId="77777777" w:rsidR="00366A18" w:rsidRDefault="00366A18">
      <w:pPr>
        <w:spacing w:after="0" w:line="240" w:lineRule="auto"/>
      </w:pPr>
    </w:p>
  </w:footnote>
  <w:footnote w:id="2">
    <w:p w14:paraId="42C70E17" w14:textId="77777777" w:rsidR="00581E2C" w:rsidRPr="00F312E3" w:rsidRDefault="00581E2C" w:rsidP="00581E2C">
      <w:pPr>
        <w:pStyle w:val="Textonotapie"/>
        <w:rPr>
          <w:sz w:val="16"/>
          <w:szCs w:val="16"/>
        </w:rPr>
      </w:pPr>
      <w:r w:rsidRPr="00F312E3">
        <w:rPr>
          <w:rStyle w:val="Refdenotaalpie"/>
          <w:sz w:val="16"/>
          <w:szCs w:val="16"/>
        </w:rPr>
        <w:footnoteRef/>
      </w:r>
      <w:r w:rsidRPr="00F312E3">
        <w:rPr>
          <w:sz w:val="16"/>
          <w:szCs w:val="16"/>
        </w:rPr>
        <w:t xml:space="preserve">   </w:t>
      </w:r>
      <w:r>
        <w:rPr>
          <w:rFonts w:ascii="Verdana" w:hAnsi="Verdana"/>
          <w:sz w:val="16"/>
          <w:szCs w:val="16"/>
        </w:rPr>
        <w:t>A</w:t>
      </w:r>
      <w:r w:rsidRPr="00C70533">
        <w:rPr>
          <w:rFonts w:ascii="Verdana" w:hAnsi="Verdana"/>
          <w:sz w:val="16"/>
          <w:szCs w:val="16"/>
        </w:rPr>
        <w:t>rtículo 32 de la Ley 80 de 1993 Numeral 3</w:t>
      </w:r>
    </w:p>
  </w:footnote>
  <w:footnote w:id="3">
    <w:p w14:paraId="697458C0" w14:textId="77777777" w:rsidR="00581E2C" w:rsidRPr="00BD2224" w:rsidRDefault="00581E2C" w:rsidP="00581E2C">
      <w:pPr>
        <w:pStyle w:val="Textonotapie"/>
        <w:rPr>
          <w:sz w:val="16"/>
          <w:szCs w:val="16"/>
        </w:rPr>
      </w:pPr>
      <w:r w:rsidRPr="00BD2224">
        <w:rPr>
          <w:rStyle w:val="Refdenotaalpie"/>
          <w:sz w:val="16"/>
          <w:szCs w:val="16"/>
        </w:rPr>
        <w:footnoteRef/>
      </w:r>
      <w:r w:rsidRPr="00BD2224">
        <w:rPr>
          <w:sz w:val="16"/>
          <w:szCs w:val="16"/>
        </w:rPr>
        <w:t xml:space="preserve"> </w:t>
      </w:r>
      <w:r w:rsidRPr="00BD2224">
        <w:rPr>
          <w:rFonts w:ascii="Verdana" w:eastAsia="Calibri" w:hAnsi="Verdana" w:cs="Arial"/>
          <w:color w:val="000000" w:themeColor="text1"/>
          <w:sz w:val="16"/>
          <w:szCs w:val="16"/>
          <w:lang w:val="es-ES_tradnl"/>
        </w:rPr>
        <w:t>Artículo 2, numeral 4º, literal h), de la Ley 1150 de 2007</w:t>
      </w:r>
    </w:p>
  </w:footnote>
  <w:footnote w:id="4">
    <w:p w14:paraId="2F7DBA22" w14:textId="77777777" w:rsidR="00581E2C" w:rsidRPr="00F312E3" w:rsidRDefault="00581E2C" w:rsidP="00581E2C">
      <w:pPr>
        <w:pStyle w:val="Textonotapie"/>
        <w:rPr>
          <w:sz w:val="16"/>
          <w:szCs w:val="16"/>
        </w:rPr>
      </w:pPr>
      <w:r w:rsidRPr="00BD2224">
        <w:rPr>
          <w:rStyle w:val="Refdenotaalpie"/>
          <w:sz w:val="16"/>
          <w:szCs w:val="16"/>
        </w:rPr>
        <w:footnoteRef/>
      </w:r>
      <w:r w:rsidRPr="00BD2224">
        <w:rPr>
          <w:sz w:val="16"/>
          <w:szCs w:val="16"/>
        </w:rPr>
        <w:t xml:space="preserve"> </w:t>
      </w:r>
      <w:r w:rsidRPr="00BD2224">
        <w:rPr>
          <w:rFonts w:ascii="Verdana" w:hAnsi="Verdana" w:cs="Arial"/>
          <w:noProof/>
          <w:sz w:val="16"/>
          <w:szCs w:val="16"/>
          <w:lang w:val="es-ES_tradnl"/>
        </w:rPr>
        <w:t>Decreto 1082 de 2015 en su artículo 2.2.1.2.1.4.9</w:t>
      </w:r>
    </w:p>
  </w:footnote>
  <w:footnote w:id="5">
    <w:p w14:paraId="055A71E9" w14:textId="77777777" w:rsidR="00581E2C" w:rsidRPr="00F312E3" w:rsidRDefault="00581E2C" w:rsidP="00581E2C">
      <w:pPr>
        <w:pStyle w:val="Textonotapie"/>
        <w:rPr>
          <w:rFonts w:ascii="Verdana" w:hAnsi="Verdana"/>
          <w:sz w:val="16"/>
          <w:szCs w:val="16"/>
        </w:rPr>
      </w:pPr>
      <w:r w:rsidRPr="00F312E3">
        <w:rPr>
          <w:rStyle w:val="Refdenotaalpie"/>
          <w:rFonts w:ascii="Verdana" w:hAnsi="Verdana"/>
          <w:sz w:val="16"/>
          <w:szCs w:val="16"/>
        </w:rPr>
        <w:footnoteRef/>
      </w:r>
      <w:r w:rsidRPr="00F312E3">
        <w:rPr>
          <w:rFonts w:ascii="Verdana" w:hAnsi="Verdana"/>
          <w:sz w:val="16"/>
          <w:szCs w:val="16"/>
        </w:rPr>
        <w:t xml:space="preserve"> Consejo de Estado. Sección Segunda. Sentencia del 9 de septiembre de 2021. Expediente No. 05001-23-33-000-2013-01143-01(1317-16). M.P. Dra. Sandra Lisset Ibarra Vélez.</w:t>
      </w:r>
    </w:p>
  </w:footnote>
  <w:footnote w:id="6">
    <w:p w14:paraId="79D0BD06" w14:textId="77777777" w:rsidR="00581E2C" w:rsidRPr="00F312E3" w:rsidRDefault="00581E2C" w:rsidP="00581E2C">
      <w:pPr>
        <w:pStyle w:val="Textonotapie"/>
        <w:jc w:val="both"/>
        <w:rPr>
          <w:rFonts w:ascii="Verdana" w:hAnsi="Verdana"/>
          <w:sz w:val="16"/>
          <w:szCs w:val="16"/>
        </w:rPr>
      </w:pPr>
      <w:r w:rsidRPr="00F312E3">
        <w:rPr>
          <w:rStyle w:val="Refdenotaalpie"/>
          <w:rFonts w:ascii="Verdana" w:hAnsi="Verdana"/>
          <w:sz w:val="16"/>
          <w:szCs w:val="16"/>
        </w:rPr>
        <w:footnoteRef/>
      </w:r>
      <w:r w:rsidRPr="00F312E3">
        <w:rPr>
          <w:rFonts w:ascii="Verdana" w:hAnsi="Verdana"/>
          <w:sz w:val="16"/>
          <w:szCs w:val="16"/>
        </w:rPr>
        <w:t xml:space="preserve"> Consejo de Estado. Sentencia del diciembre 3 de 2007, expediente No. 11001-03-26-000-2003-00014-01(24715</w:t>
      </w:r>
      <w:proofErr w:type="gramStart"/>
      <w:r w:rsidRPr="00F312E3">
        <w:rPr>
          <w:rFonts w:ascii="Verdana" w:hAnsi="Verdana"/>
          <w:sz w:val="16"/>
          <w:szCs w:val="16"/>
        </w:rPr>
        <w:t>),.</w:t>
      </w:r>
      <w:proofErr w:type="gramEnd"/>
    </w:p>
  </w:footnote>
  <w:footnote w:id="7">
    <w:p w14:paraId="57F09706" w14:textId="77777777" w:rsidR="00581E2C" w:rsidRPr="00F312E3" w:rsidRDefault="00581E2C" w:rsidP="00581E2C">
      <w:pPr>
        <w:pStyle w:val="Textonotapie"/>
        <w:ind w:firstLine="708"/>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43DEA728"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8">
    <w:p w14:paraId="4FBF8B89"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0258F717"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2A0BEB8C" w14:textId="77777777" w:rsidR="00581E2C" w:rsidRPr="00F312E3" w:rsidRDefault="00581E2C" w:rsidP="00581E2C">
      <w:pPr>
        <w:pStyle w:val="Textonotapie"/>
        <w:ind w:firstLine="709"/>
        <w:contextualSpacing/>
        <w:jc w:val="both"/>
        <w:rPr>
          <w:rFonts w:ascii="Arial" w:hAnsi="Arial" w:cs="Arial"/>
          <w:sz w:val="16"/>
          <w:szCs w:val="16"/>
          <w:lang w:val="pt-BR"/>
        </w:rPr>
      </w:pPr>
      <w:r w:rsidRPr="00F312E3">
        <w:rPr>
          <w:rFonts w:ascii="Arial" w:hAnsi="Arial" w:cs="Arial"/>
          <w:sz w:val="16"/>
          <w:szCs w:val="16"/>
          <w:lang w:val="es-ES"/>
        </w:rPr>
        <w:t xml:space="preserve">El Gobierno nacional reglamentará el mecanismo para realizar la mensualización de que trata el presente </w:t>
      </w:r>
      <w:proofErr w:type="gramStart"/>
      <w:r w:rsidRPr="00F312E3">
        <w:rPr>
          <w:rFonts w:ascii="Arial" w:hAnsi="Arial" w:cs="Arial"/>
          <w:sz w:val="16"/>
          <w:szCs w:val="16"/>
          <w:lang w:val="es-ES"/>
        </w:rPr>
        <w:t>artículo.</w:t>
      </w:r>
      <w:r w:rsidRPr="00F312E3">
        <w:rPr>
          <w:rFonts w:ascii="Arial" w:hAnsi="Arial" w:cs="Arial"/>
          <w:sz w:val="16"/>
          <w:szCs w:val="16"/>
          <w:lang w:val="pt-BR"/>
        </w:rPr>
        <w:t>[</w:t>
      </w:r>
      <w:proofErr w:type="gramEnd"/>
      <w:r w:rsidRPr="00F312E3">
        <w:rPr>
          <w:rFonts w:ascii="Arial" w:hAnsi="Arial" w:cs="Arial"/>
          <w:sz w:val="16"/>
          <w:szCs w:val="16"/>
          <w:lang w:val="pt-BR"/>
        </w:rPr>
        <w:t>…]”.</w:t>
      </w:r>
    </w:p>
    <w:p w14:paraId="26582A90" w14:textId="77777777" w:rsidR="00581E2C" w:rsidRPr="00F312E3" w:rsidRDefault="00581E2C" w:rsidP="00581E2C">
      <w:pPr>
        <w:pStyle w:val="Textonotapie"/>
        <w:ind w:firstLine="709"/>
        <w:contextualSpacing/>
        <w:jc w:val="both"/>
        <w:rPr>
          <w:rFonts w:ascii="Arial" w:hAnsi="Arial" w:cs="Arial"/>
          <w:sz w:val="16"/>
          <w:szCs w:val="16"/>
          <w:lang w:val="pt-BR"/>
        </w:rPr>
      </w:pPr>
    </w:p>
  </w:footnote>
  <w:footnote w:id="9">
    <w:p w14:paraId="1F65927B"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Ibíd.</w:t>
      </w:r>
    </w:p>
    <w:p w14:paraId="16B14D0E"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10">
    <w:p w14:paraId="2AE5D9CB" w14:textId="77777777" w:rsidR="00581E2C" w:rsidRPr="00F312E3" w:rsidRDefault="00581E2C" w:rsidP="00581E2C">
      <w:pPr>
        <w:pStyle w:val="Textonotapie"/>
        <w:ind w:firstLine="709"/>
        <w:contextualSpacing/>
        <w:jc w:val="both"/>
        <w:rPr>
          <w:rFonts w:ascii="Arial" w:hAnsi="Arial" w:cs="Arial"/>
          <w:sz w:val="16"/>
          <w:szCs w:val="16"/>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CONSEJO DE ESTADO. Sección Tercera. Subsección C. Sentencia de Unificación del 2 de diciembre de 2013. Exp. 41.719. C.P. Jaime Orlando Santofimio Gamboa.</w:t>
      </w:r>
      <w:r w:rsidRPr="00F312E3">
        <w:rPr>
          <w:rFonts w:ascii="Arial" w:hAnsi="Arial" w:cs="Arial"/>
          <w:sz w:val="16"/>
          <w:szCs w:val="16"/>
        </w:rPr>
        <w:t xml:space="preserve"> </w:t>
      </w:r>
    </w:p>
    <w:p w14:paraId="4EE11411"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2BCBA96B"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3F2F2E29"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 xml:space="preserve">Ninguna orden del interventor de una obra podrá darse verbalmente. Es obligatorio para el interventor entregar por escrito sus órdenes o sugerencias y ellas deben </w:t>
      </w:r>
      <w:proofErr w:type="gramStart"/>
      <w:r w:rsidRPr="00F312E3">
        <w:rPr>
          <w:rFonts w:ascii="Arial" w:hAnsi="Arial" w:cs="Arial"/>
          <w:sz w:val="16"/>
          <w:szCs w:val="16"/>
          <w:lang w:val="es-ES"/>
        </w:rPr>
        <w:t>enmarcarse dentro de</w:t>
      </w:r>
      <w:proofErr w:type="gramEnd"/>
      <w:r w:rsidRPr="00F312E3">
        <w:rPr>
          <w:rFonts w:ascii="Arial" w:hAnsi="Arial" w:cs="Arial"/>
          <w:sz w:val="16"/>
          <w:szCs w:val="16"/>
          <w:lang w:val="es-ES"/>
        </w:rPr>
        <w:t xml:space="preserve"> los términos del respectivo contrato”.</w:t>
      </w:r>
    </w:p>
    <w:p w14:paraId="100AAEE4"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11">
    <w:p w14:paraId="04E42C0F"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407AFD03"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1. La causal que invoca para contratar directamente.</w:t>
      </w:r>
    </w:p>
    <w:p w14:paraId="49493375"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2. El objeto del contrato.</w:t>
      </w:r>
    </w:p>
    <w:p w14:paraId="1847E167"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3. El presupuesto para la contratación y las condiciones que exigirá al contratista.</w:t>
      </w:r>
    </w:p>
    <w:p w14:paraId="189EF45A"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4. El lugar en el cual los interesados pueden consultar los estudios y documentos previos.</w:t>
      </w:r>
    </w:p>
    <w:p w14:paraId="2510E28F"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2">
    <w:p w14:paraId="13D054D4"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 xml:space="preserve">La norma expresa: “Art. 14. </w:t>
      </w:r>
      <w:r w:rsidRPr="00F312E3">
        <w:rPr>
          <w:rFonts w:ascii="Arial" w:hAnsi="Arial" w:cs="Arial"/>
          <w:sz w:val="16"/>
          <w:szCs w:val="16"/>
        </w:rPr>
        <w:t>P</w:t>
      </w:r>
      <w:r w:rsidRPr="00F312E3">
        <w:rPr>
          <w:rFonts w:ascii="Arial" w:hAnsi="Arial" w:cs="Arial"/>
          <w:sz w:val="16"/>
          <w:szCs w:val="16"/>
          <w:lang w:val="es-ES"/>
        </w:rPr>
        <w:t>ara el cumplimiento de los fines de la contratación, las entidades estatales al celebrar un contrato:</w:t>
      </w:r>
    </w:p>
    <w:p w14:paraId="3A530A6E"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w:t>
      </w:r>
    </w:p>
    <w:p w14:paraId="1EC3E765" w14:textId="77777777" w:rsidR="00581E2C" w:rsidRPr="00F312E3" w:rsidRDefault="00581E2C" w:rsidP="00581E2C">
      <w:pPr>
        <w:pStyle w:val="Textonotapie"/>
        <w:ind w:firstLine="709"/>
        <w:contextualSpacing/>
        <w:jc w:val="both"/>
        <w:rPr>
          <w:rFonts w:ascii="Arial" w:hAnsi="Arial" w:cs="Arial"/>
          <w:sz w:val="16"/>
          <w:szCs w:val="16"/>
          <w:lang w:val="es-ES"/>
        </w:rPr>
      </w:pPr>
    </w:p>
    <w:p w14:paraId="5C90C177"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85ADFC7" w14:textId="77777777" w:rsidR="00581E2C" w:rsidRPr="00F312E3" w:rsidRDefault="00581E2C" w:rsidP="00581E2C">
      <w:pPr>
        <w:pStyle w:val="Textonotapie"/>
        <w:ind w:firstLine="708"/>
        <w:contextualSpacing/>
        <w:jc w:val="both"/>
        <w:rPr>
          <w:rFonts w:ascii="Arial" w:hAnsi="Arial" w:cs="Arial"/>
          <w:sz w:val="16"/>
          <w:szCs w:val="16"/>
          <w:lang w:val="es-ES"/>
        </w:rPr>
      </w:pPr>
      <w:r w:rsidRPr="00F312E3">
        <w:rPr>
          <w:rFonts w:ascii="Arial" w:hAnsi="Arial" w:cs="Arial"/>
          <w:sz w:val="16"/>
          <w:szCs w:val="16"/>
          <w:lang w:val="es-ES"/>
        </w:rPr>
        <w:t>Las entidades estatales podrán pactar estas cláusulas en los contratos de suministro y de prestación de servicios.”.</w:t>
      </w:r>
    </w:p>
    <w:p w14:paraId="11479E34"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13">
    <w:p w14:paraId="038CDA41"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La norma dispone: “La liquidación a que se refiere el presente artículo no será obligatoria en los contratos de prestación de servicios profesionales y de apoyo a la gestión”.</w:t>
      </w:r>
    </w:p>
    <w:p w14:paraId="4D9DAD47"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14">
    <w:p w14:paraId="350D6971" w14:textId="77777777" w:rsidR="00581E2C" w:rsidRPr="00F312E3" w:rsidRDefault="00581E2C" w:rsidP="00581E2C">
      <w:pPr>
        <w:pStyle w:val="Textonotapie"/>
        <w:ind w:firstLine="709"/>
        <w:contextualSpacing/>
        <w:jc w:val="both"/>
        <w:rPr>
          <w:rFonts w:ascii="Arial" w:hAnsi="Arial" w:cs="Arial"/>
          <w:sz w:val="16"/>
          <w:szCs w:val="16"/>
        </w:rPr>
      </w:pPr>
      <w:r w:rsidRPr="00F312E3">
        <w:rPr>
          <w:rStyle w:val="Refdenotaalpie"/>
          <w:rFonts w:ascii="Arial" w:hAnsi="Arial" w:cs="Arial"/>
          <w:sz w:val="16"/>
          <w:szCs w:val="16"/>
        </w:rPr>
        <w:footnoteRef/>
      </w:r>
      <w:r w:rsidRPr="00F312E3">
        <w:rPr>
          <w:rFonts w:ascii="Arial" w:hAnsi="Arial"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E92D610" w14:textId="77777777" w:rsidR="00581E2C" w:rsidRPr="00F312E3" w:rsidRDefault="00581E2C" w:rsidP="00581E2C">
      <w:pPr>
        <w:pStyle w:val="Textonotapie"/>
        <w:ind w:firstLine="709"/>
        <w:contextualSpacing/>
        <w:jc w:val="both"/>
        <w:rPr>
          <w:rFonts w:ascii="Arial" w:hAnsi="Arial" w:cs="Arial"/>
          <w:sz w:val="16"/>
          <w:szCs w:val="16"/>
        </w:rPr>
      </w:pPr>
      <w:r w:rsidRPr="00F312E3">
        <w:rPr>
          <w:rFonts w:ascii="Arial" w:hAnsi="Arial" w:cs="Arial"/>
          <w:sz w:val="16"/>
          <w:szCs w:val="16"/>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w:t>
      </w:r>
      <w:proofErr w:type="gramStart"/>
      <w:r w:rsidRPr="00F312E3">
        <w:rPr>
          <w:rFonts w:ascii="Arial" w:hAnsi="Arial" w:cs="Arial"/>
          <w:sz w:val="16"/>
          <w:szCs w:val="16"/>
        </w:rPr>
        <w:t>proponentes.[</w:t>
      </w:r>
      <w:proofErr w:type="gramEnd"/>
      <w:r w:rsidRPr="00F312E3">
        <w:rPr>
          <w:rFonts w:ascii="Arial" w:hAnsi="Arial" w:cs="Arial"/>
          <w:sz w:val="16"/>
          <w:szCs w:val="16"/>
        </w:rPr>
        <w:t>…]”.</w:t>
      </w:r>
    </w:p>
    <w:p w14:paraId="422AFEA0"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15">
    <w:p w14:paraId="06771FAA" w14:textId="77777777" w:rsidR="00581E2C" w:rsidRPr="00F312E3" w:rsidRDefault="00581E2C" w:rsidP="00581E2C">
      <w:pPr>
        <w:pStyle w:val="Textonotapie"/>
        <w:spacing w:after="120"/>
        <w:ind w:firstLine="709"/>
        <w:jc w:val="both"/>
        <w:rPr>
          <w:rFonts w:ascii="Verdana" w:hAnsi="Verdana"/>
          <w:sz w:val="16"/>
          <w:szCs w:val="16"/>
          <w:lang w:val="es-CO"/>
        </w:rPr>
      </w:pPr>
      <w:r w:rsidRPr="00F312E3">
        <w:rPr>
          <w:rStyle w:val="Refdenotaalpie"/>
          <w:rFonts w:ascii="Verdana" w:hAnsi="Verdana"/>
          <w:sz w:val="16"/>
          <w:szCs w:val="16"/>
        </w:rPr>
        <w:footnoteRef/>
      </w:r>
      <w:r w:rsidRPr="00F312E3">
        <w:rPr>
          <w:rFonts w:ascii="Verdana" w:hAnsi="Verdana"/>
          <w:sz w:val="16"/>
          <w:szCs w:val="16"/>
        </w:rPr>
        <w:t xml:space="preserve"> Ley 80 de 1993: “</w:t>
      </w:r>
      <w:r w:rsidRPr="00DA2DBA">
        <w:rPr>
          <w:rFonts w:ascii="Verdana" w:hAnsi="Verdana"/>
          <w:sz w:val="16"/>
          <w:szCs w:val="16"/>
          <w:lang w:val="es-CO"/>
        </w:rPr>
        <w:t>Artículo</w:t>
      </w:r>
      <w:r w:rsidRPr="00F312E3">
        <w:rPr>
          <w:rFonts w:ascii="Verdana" w:hAnsi="Verdana"/>
          <w:sz w:val="16"/>
          <w:szCs w:val="16"/>
          <w:lang w:val="es-CO"/>
        </w:rPr>
        <w:t xml:space="preserve"> 3o. De los fines de la contratación estatal.</w:t>
      </w:r>
      <w:r w:rsidRPr="00F312E3">
        <w:rPr>
          <w:rFonts w:ascii="Verdana" w:hAnsi="Verdana"/>
          <w:b/>
          <w:bCs/>
          <w:sz w:val="16"/>
          <w:szCs w:val="16"/>
          <w:lang w:val="es-CO"/>
        </w:rPr>
        <w:t> </w:t>
      </w:r>
      <w:r w:rsidRPr="00F312E3">
        <w:rPr>
          <w:rFonts w:ascii="Verdana" w:hAnsi="Verdana"/>
          <w:sz w:val="16"/>
          <w:szCs w:val="16"/>
          <w:lang w:val="es-CO"/>
        </w:rPr>
        <w:t xml:space="preserve">Los servidores públicos tendrán en consideración que al celebrar contratos y con la ejecución de </w:t>
      </w:r>
      <w:proofErr w:type="gramStart"/>
      <w:r w:rsidRPr="00F312E3">
        <w:rPr>
          <w:rFonts w:ascii="Verdana" w:hAnsi="Verdana"/>
          <w:sz w:val="16"/>
          <w:szCs w:val="16"/>
          <w:lang w:val="es-CO"/>
        </w:rPr>
        <w:t>los mismos</w:t>
      </w:r>
      <w:proofErr w:type="gramEnd"/>
      <w:r w:rsidRPr="00F312E3">
        <w:rPr>
          <w:rFonts w:ascii="Verdana" w:hAnsi="Verdana"/>
          <w:sz w:val="16"/>
          <w:szCs w:val="16"/>
          <w:lang w:val="es-CO"/>
        </w:rPr>
        <w:t>, las entidades buscan el cumplimiento de los fines estatales, la continua y eficiente prestación de los servicios públicos y la efectividad de los derechos e intereses de los administrados que colaboran con ellas en la consecución de dichos fines. </w:t>
      </w:r>
    </w:p>
    <w:p w14:paraId="23066093" w14:textId="77777777" w:rsidR="00581E2C" w:rsidRPr="00F312E3" w:rsidRDefault="00581E2C" w:rsidP="00581E2C">
      <w:pPr>
        <w:pStyle w:val="Textonotapie"/>
        <w:ind w:firstLine="708"/>
        <w:jc w:val="both"/>
        <w:rPr>
          <w:sz w:val="16"/>
          <w:szCs w:val="16"/>
        </w:rPr>
      </w:pPr>
      <w:r w:rsidRPr="00F312E3">
        <w:rPr>
          <w:rFonts w:ascii="Verdana" w:hAnsi="Verdana"/>
          <w:sz w:val="16"/>
          <w:szCs w:val="16"/>
          <w:lang w:val="es-CO"/>
        </w:rPr>
        <w:t>  Los particulares, por su parte, tendrán en cuenta al celebrar y ejecutar contratos con las entidades estatales que, además de la obtención de utilidades cuya protección garantiza el Estado, colaboran con ellas en el logro de sus fines y cumplen una función social que, como tal, implica obligaciones”.</w:t>
      </w:r>
      <w:r w:rsidRPr="00F312E3">
        <w:rPr>
          <w:sz w:val="16"/>
          <w:szCs w:val="16"/>
          <w:lang w:val="es-CO"/>
        </w:rPr>
        <w:t> </w:t>
      </w:r>
      <w:r w:rsidRPr="00F312E3">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D17754"/>
    <w:multiLevelType w:val="hybridMultilevel"/>
    <w:tmpl w:val="5ED6B0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D2527E0"/>
    <w:multiLevelType w:val="hybridMultilevel"/>
    <w:tmpl w:val="DD7EB52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4ECE7AB2"/>
    <w:multiLevelType w:val="hybridMultilevel"/>
    <w:tmpl w:val="AB1AAC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62D0928"/>
    <w:multiLevelType w:val="hybridMultilevel"/>
    <w:tmpl w:val="1460E82C"/>
    <w:lvl w:ilvl="0" w:tplc="B5643C1A">
      <w:numFmt w:val="bullet"/>
      <w:lvlText w:val="-"/>
      <w:lvlJc w:val="left"/>
      <w:pPr>
        <w:ind w:left="435" w:hanging="360"/>
      </w:pPr>
      <w:rPr>
        <w:rFonts w:ascii="Verdana" w:eastAsia="Calibri" w:hAnsi="Verdana" w:cs="Arial" w:hint="default"/>
      </w:rPr>
    </w:lvl>
    <w:lvl w:ilvl="1" w:tplc="080A0003" w:tentative="1">
      <w:start w:val="1"/>
      <w:numFmt w:val="bullet"/>
      <w:lvlText w:val="o"/>
      <w:lvlJc w:val="left"/>
      <w:pPr>
        <w:ind w:left="1155" w:hanging="360"/>
      </w:pPr>
      <w:rPr>
        <w:rFonts w:ascii="Courier New" w:hAnsi="Courier New" w:cs="Courier New" w:hint="default"/>
      </w:rPr>
    </w:lvl>
    <w:lvl w:ilvl="2" w:tplc="080A0005" w:tentative="1">
      <w:start w:val="1"/>
      <w:numFmt w:val="bullet"/>
      <w:lvlText w:val=""/>
      <w:lvlJc w:val="left"/>
      <w:pPr>
        <w:ind w:left="1875" w:hanging="360"/>
      </w:pPr>
      <w:rPr>
        <w:rFonts w:ascii="Wingdings" w:hAnsi="Wingdings" w:hint="default"/>
      </w:rPr>
    </w:lvl>
    <w:lvl w:ilvl="3" w:tplc="080A0001" w:tentative="1">
      <w:start w:val="1"/>
      <w:numFmt w:val="bullet"/>
      <w:lvlText w:val=""/>
      <w:lvlJc w:val="left"/>
      <w:pPr>
        <w:ind w:left="2595" w:hanging="360"/>
      </w:pPr>
      <w:rPr>
        <w:rFonts w:ascii="Symbol" w:hAnsi="Symbol" w:hint="default"/>
      </w:rPr>
    </w:lvl>
    <w:lvl w:ilvl="4" w:tplc="080A0003" w:tentative="1">
      <w:start w:val="1"/>
      <w:numFmt w:val="bullet"/>
      <w:lvlText w:val="o"/>
      <w:lvlJc w:val="left"/>
      <w:pPr>
        <w:ind w:left="3315" w:hanging="360"/>
      </w:pPr>
      <w:rPr>
        <w:rFonts w:ascii="Courier New" w:hAnsi="Courier New" w:cs="Courier New" w:hint="default"/>
      </w:rPr>
    </w:lvl>
    <w:lvl w:ilvl="5" w:tplc="080A0005" w:tentative="1">
      <w:start w:val="1"/>
      <w:numFmt w:val="bullet"/>
      <w:lvlText w:val=""/>
      <w:lvlJc w:val="left"/>
      <w:pPr>
        <w:ind w:left="4035" w:hanging="360"/>
      </w:pPr>
      <w:rPr>
        <w:rFonts w:ascii="Wingdings" w:hAnsi="Wingdings" w:hint="default"/>
      </w:rPr>
    </w:lvl>
    <w:lvl w:ilvl="6" w:tplc="080A0001" w:tentative="1">
      <w:start w:val="1"/>
      <w:numFmt w:val="bullet"/>
      <w:lvlText w:val=""/>
      <w:lvlJc w:val="left"/>
      <w:pPr>
        <w:ind w:left="4755" w:hanging="360"/>
      </w:pPr>
      <w:rPr>
        <w:rFonts w:ascii="Symbol" w:hAnsi="Symbol" w:hint="default"/>
      </w:rPr>
    </w:lvl>
    <w:lvl w:ilvl="7" w:tplc="080A0003" w:tentative="1">
      <w:start w:val="1"/>
      <w:numFmt w:val="bullet"/>
      <w:lvlText w:val="o"/>
      <w:lvlJc w:val="left"/>
      <w:pPr>
        <w:ind w:left="5475" w:hanging="360"/>
      </w:pPr>
      <w:rPr>
        <w:rFonts w:ascii="Courier New" w:hAnsi="Courier New" w:cs="Courier New" w:hint="default"/>
      </w:rPr>
    </w:lvl>
    <w:lvl w:ilvl="8" w:tplc="080A0005" w:tentative="1">
      <w:start w:val="1"/>
      <w:numFmt w:val="bullet"/>
      <w:lvlText w:val=""/>
      <w:lvlJc w:val="left"/>
      <w:pPr>
        <w:ind w:left="6195" w:hanging="360"/>
      </w:pPr>
      <w:rPr>
        <w:rFonts w:ascii="Wingdings" w:hAnsi="Wingdings" w:hint="default"/>
      </w:rPr>
    </w:lvl>
  </w:abstractNum>
  <w:num w:numId="1" w16cid:durableId="1290670214">
    <w:abstractNumId w:val="7"/>
  </w:num>
  <w:num w:numId="2" w16cid:durableId="4285022">
    <w:abstractNumId w:val="2"/>
  </w:num>
  <w:num w:numId="3" w16cid:durableId="881983949">
    <w:abstractNumId w:val="4"/>
  </w:num>
  <w:num w:numId="4" w16cid:durableId="341274352">
    <w:abstractNumId w:val="0"/>
  </w:num>
  <w:num w:numId="5" w16cid:durableId="1887524674">
    <w:abstractNumId w:val="9"/>
  </w:num>
  <w:num w:numId="6" w16cid:durableId="1082990391">
    <w:abstractNumId w:val="1"/>
  </w:num>
  <w:num w:numId="7" w16cid:durableId="1492209491">
    <w:abstractNumId w:val="6"/>
  </w:num>
  <w:num w:numId="8" w16cid:durableId="679089576">
    <w:abstractNumId w:val="8"/>
  </w:num>
  <w:num w:numId="9" w16cid:durableId="184512122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22355891">
    <w:abstractNumId w:val="5"/>
  </w:num>
  <w:num w:numId="11" w16cid:durableId="1474638032">
    <w:abstractNumId w:val="11"/>
  </w:num>
  <w:num w:numId="12" w16cid:durableId="71515266">
    <w:abstractNumId w:val="3"/>
  </w:num>
  <w:num w:numId="13" w16cid:durableId="106811810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378FE"/>
    <w:rsid w:val="000442CC"/>
    <w:rsid w:val="00044392"/>
    <w:rsid w:val="000556D4"/>
    <w:rsid w:val="0006295E"/>
    <w:rsid w:val="000716AB"/>
    <w:rsid w:val="00082B90"/>
    <w:rsid w:val="00082E4C"/>
    <w:rsid w:val="00083659"/>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37DF"/>
    <w:rsid w:val="0015476D"/>
    <w:rsid w:val="00161E13"/>
    <w:rsid w:val="00164AE0"/>
    <w:rsid w:val="00165E83"/>
    <w:rsid w:val="00166CD7"/>
    <w:rsid w:val="001671C1"/>
    <w:rsid w:val="0017120C"/>
    <w:rsid w:val="00172F3A"/>
    <w:rsid w:val="0019532A"/>
    <w:rsid w:val="0019670E"/>
    <w:rsid w:val="00197205"/>
    <w:rsid w:val="001A5DD4"/>
    <w:rsid w:val="001A67E9"/>
    <w:rsid w:val="001B143B"/>
    <w:rsid w:val="001B21CA"/>
    <w:rsid w:val="001C04FC"/>
    <w:rsid w:val="001C25A3"/>
    <w:rsid w:val="001C5D03"/>
    <w:rsid w:val="001C72A1"/>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E1DB5"/>
    <w:rsid w:val="002E45F4"/>
    <w:rsid w:val="002F1B1C"/>
    <w:rsid w:val="002F6CCB"/>
    <w:rsid w:val="0030461E"/>
    <w:rsid w:val="0032756A"/>
    <w:rsid w:val="00334EF8"/>
    <w:rsid w:val="00336408"/>
    <w:rsid w:val="00340DFB"/>
    <w:rsid w:val="0034404F"/>
    <w:rsid w:val="003547D0"/>
    <w:rsid w:val="00356980"/>
    <w:rsid w:val="00366A18"/>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46ADD"/>
    <w:rsid w:val="00450BE7"/>
    <w:rsid w:val="0046741E"/>
    <w:rsid w:val="00472CC6"/>
    <w:rsid w:val="0048026E"/>
    <w:rsid w:val="004807A9"/>
    <w:rsid w:val="004813EE"/>
    <w:rsid w:val="00493278"/>
    <w:rsid w:val="004943D9"/>
    <w:rsid w:val="004A0E7B"/>
    <w:rsid w:val="004A3498"/>
    <w:rsid w:val="004A4362"/>
    <w:rsid w:val="004B0C45"/>
    <w:rsid w:val="004C0AB2"/>
    <w:rsid w:val="004C1619"/>
    <w:rsid w:val="004C1A26"/>
    <w:rsid w:val="004C1CC9"/>
    <w:rsid w:val="004C3755"/>
    <w:rsid w:val="004C4485"/>
    <w:rsid w:val="004D11AF"/>
    <w:rsid w:val="004D6FA7"/>
    <w:rsid w:val="00500DFA"/>
    <w:rsid w:val="005019AA"/>
    <w:rsid w:val="005021BB"/>
    <w:rsid w:val="005139E7"/>
    <w:rsid w:val="005147DA"/>
    <w:rsid w:val="00515FB5"/>
    <w:rsid w:val="0052365C"/>
    <w:rsid w:val="005271EB"/>
    <w:rsid w:val="005426DB"/>
    <w:rsid w:val="0055082B"/>
    <w:rsid w:val="00552503"/>
    <w:rsid w:val="00552B57"/>
    <w:rsid w:val="00553597"/>
    <w:rsid w:val="00557DA1"/>
    <w:rsid w:val="0056322C"/>
    <w:rsid w:val="00580B49"/>
    <w:rsid w:val="00581E2C"/>
    <w:rsid w:val="0058743A"/>
    <w:rsid w:val="005A406A"/>
    <w:rsid w:val="005A4DB0"/>
    <w:rsid w:val="005A7B8E"/>
    <w:rsid w:val="005B012B"/>
    <w:rsid w:val="005B0C87"/>
    <w:rsid w:val="005D23F6"/>
    <w:rsid w:val="005D2FA8"/>
    <w:rsid w:val="005E2281"/>
    <w:rsid w:val="005E667C"/>
    <w:rsid w:val="005F077C"/>
    <w:rsid w:val="005F26B0"/>
    <w:rsid w:val="005F63D0"/>
    <w:rsid w:val="005F7973"/>
    <w:rsid w:val="0061690E"/>
    <w:rsid w:val="00627361"/>
    <w:rsid w:val="0063017E"/>
    <w:rsid w:val="00631B28"/>
    <w:rsid w:val="00637C07"/>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7D79"/>
    <w:rsid w:val="00813634"/>
    <w:rsid w:val="00822821"/>
    <w:rsid w:val="00831C29"/>
    <w:rsid w:val="008431EF"/>
    <w:rsid w:val="008468E0"/>
    <w:rsid w:val="00871B59"/>
    <w:rsid w:val="00877D03"/>
    <w:rsid w:val="00877E96"/>
    <w:rsid w:val="008806CA"/>
    <w:rsid w:val="008815E5"/>
    <w:rsid w:val="00887B37"/>
    <w:rsid w:val="008909B9"/>
    <w:rsid w:val="00891DFC"/>
    <w:rsid w:val="008A61E5"/>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5544"/>
    <w:rsid w:val="00946BD0"/>
    <w:rsid w:val="0095426C"/>
    <w:rsid w:val="00970087"/>
    <w:rsid w:val="00971074"/>
    <w:rsid w:val="00995D86"/>
    <w:rsid w:val="009A5453"/>
    <w:rsid w:val="009B4D94"/>
    <w:rsid w:val="009C2871"/>
    <w:rsid w:val="009D3C33"/>
    <w:rsid w:val="009D7F3A"/>
    <w:rsid w:val="009E4885"/>
    <w:rsid w:val="00A07DB6"/>
    <w:rsid w:val="00A10A73"/>
    <w:rsid w:val="00A170B3"/>
    <w:rsid w:val="00A223D5"/>
    <w:rsid w:val="00A3430B"/>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11C5D"/>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13516"/>
    <w:rsid w:val="00C20ACF"/>
    <w:rsid w:val="00C22307"/>
    <w:rsid w:val="00C23469"/>
    <w:rsid w:val="00C30C62"/>
    <w:rsid w:val="00C33BBB"/>
    <w:rsid w:val="00C371DF"/>
    <w:rsid w:val="00C42055"/>
    <w:rsid w:val="00C44B4C"/>
    <w:rsid w:val="00C46734"/>
    <w:rsid w:val="00C47A86"/>
    <w:rsid w:val="00C53220"/>
    <w:rsid w:val="00CA3347"/>
    <w:rsid w:val="00CC299A"/>
    <w:rsid w:val="00CD03E3"/>
    <w:rsid w:val="00CE6BDA"/>
    <w:rsid w:val="00D03DBE"/>
    <w:rsid w:val="00D072C0"/>
    <w:rsid w:val="00D34C82"/>
    <w:rsid w:val="00D3757A"/>
    <w:rsid w:val="00D504A9"/>
    <w:rsid w:val="00D5206D"/>
    <w:rsid w:val="00D711DC"/>
    <w:rsid w:val="00D7177D"/>
    <w:rsid w:val="00D731DF"/>
    <w:rsid w:val="00D81311"/>
    <w:rsid w:val="00DB201E"/>
    <w:rsid w:val="00DB7519"/>
    <w:rsid w:val="00DC0E68"/>
    <w:rsid w:val="00DD25ED"/>
    <w:rsid w:val="00DD64B5"/>
    <w:rsid w:val="00DE0D6E"/>
    <w:rsid w:val="00E1610C"/>
    <w:rsid w:val="00E16D73"/>
    <w:rsid w:val="00E23E9E"/>
    <w:rsid w:val="00E25722"/>
    <w:rsid w:val="00E27F0A"/>
    <w:rsid w:val="00E4231E"/>
    <w:rsid w:val="00E4302C"/>
    <w:rsid w:val="00E44AC7"/>
    <w:rsid w:val="00E45F4B"/>
    <w:rsid w:val="00E60A16"/>
    <w:rsid w:val="00E61334"/>
    <w:rsid w:val="00E82B6E"/>
    <w:rsid w:val="00E84E3F"/>
    <w:rsid w:val="00E94258"/>
    <w:rsid w:val="00E96C18"/>
    <w:rsid w:val="00EA2E61"/>
    <w:rsid w:val="00EA7D7F"/>
    <w:rsid w:val="00EB02F4"/>
    <w:rsid w:val="00EB2FA2"/>
    <w:rsid w:val="00EB769A"/>
    <w:rsid w:val="00EC3A35"/>
    <w:rsid w:val="00ED1B73"/>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1DC"/>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1"/>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021BB"/>
  </w:style>
  <w:style w:type="paragraph" w:styleId="Sinespaciado">
    <w:name w:val="No Spacing"/>
    <w:uiPriority w:val="1"/>
    <w:qFormat/>
    <w:rsid w:val="00581E2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319307827">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2640115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85053632">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8723768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80-de-1993/" TargetMode="External"/><Relationship Id="rId18" Type="http://schemas.openxmlformats.org/officeDocument/2006/relationships/hyperlink" Target="https://nam02.safelinks.protection.outlook.com/?url=https%3A%2F%2Fwww.sucop.gov.co%2Fentidades%2Fcolombiacompra%2FNormativa%3FIDNorma%3D17363&amp;data=05%7C02%7Calejandro.sarmiento%40colombiacompra.gov.co%7Ce18cfd6b8aa44bf43e5508dcc1639a88%7C7b09041e245149d08cb179d5e3d8c1be%7C0%7C0%7C638597880754030230%7CUnknown%7CTWFpbGZsb3d8eyJWIjoiMC4wLjAwMDAiLCJQIjoiV2luMzIiLCJBTiI6Ik1haWwiLCJXVCI6Mn0%3D%7C0%7C%7C%7C&amp;sdata=8aP13kbn7pY93TCIA3bxQw1RZ8lribB0o3Y6veXs4Ng%3D&amp;reserved=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relatoria.colombiacompra.gov.co/normativa/decreto-1068-de-2015/" TargetMode="External"/><Relationship Id="rId17" Type="http://schemas.openxmlformats.org/officeDocument/2006/relationships/hyperlink" Target="https://nam02.safelinks.protection.outlook.com/?url=https%3A%2F%2Fwww.colombiacompra.gov.co%2Fsites%2Fcce_public%2Ffiles%2Ffiles_2020%2Fboletin_de_realtoria_iii.pdf&amp;data=05%7C02%7Calejandro.sarmiento%40colombiacompra.gov.co%7Ce18cfd6b8aa44bf43e5508dcc1639a88%7C7b09041e245149d08cb179d5e3d8c1be%7C0%7C0%7C638597880754019952%7CUnknown%7CTWFpbGZsb3d8eyJWIjoiMC4wLjAwMDAiLCJQIjoiV2luMzIiLCJBTiI6Ik1haWwiLCJXVCI6Mn0%3D%7C0%7C%7C%7C&amp;sdata=LNydHZj70ucmziIL94jFKdvepfpQxm7zFLj2hhNvlV4%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sites/cce_public/files/cce_documents/cce-eicp-gi-23_guia_contratacion_prestacion_de_servicios_v1_11-07-2023_def_1_1.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nam02.safelinks.protection.outlook.com/?url=https%3A%2F%2Fwww.colombiacompra.gov.co%2Fcontent%2Fconvocatorias&amp;data=05%7C02%7Calejandro.sarmiento%40colombiacompra.gov.co%7Ce18cfd6b8aa44bf43e5508dcc1639a88%7C7b09041e245149d08cb179d5e3d8c1be%7C0%7C0%7C638597880754037994%7CUnknown%7CTWFpbGZsb3d8eyJWIjoiMC4wLjAwMDAiLCJQIjoiV2luMzIiLCJBTiI6Ik1haWwiLCJXVCI6Mn0%3D%7C0%7C%7C%7C&amp;sdata=uzC9cMn1w0kGYumOZWVMYMDIlDqds7g19PRAIOiULmc%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cce_public/files/cce_documents/cceeicpgi23_guia_contratacion_prestacion_de_servicios_v1_11-07-2023_def_1_1.pdf"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16</Pages>
  <Words>4344</Words>
  <Characters>23892</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Gloria Ximena Moreno Guio</cp:lastModifiedBy>
  <cp:revision>26</cp:revision>
  <dcterms:created xsi:type="dcterms:W3CDTF">2024-08-29T19:41:00Z</dcterms:created>
  <dcterms:modified xsi:type="dcterms:W3CDTF">2024-08-29T23:03:00Z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