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236324" w14:textId="77777777" w:rsidR="00235822" w:rsidRPr="00304CB5" w:rsidRDefault="00235822" w:rsidP="00235822">
      <w:pPr>
        <w:pStyle w:val="Textoindependiente"/>
        <w:jc w:val="both"/>
        <w:rPr>
          <w:b/>
          <w:bCs/>
          <w:color w:val="000000" w:themeColor="text1"/>
          <w:sz w:val="20"/>
          <w:szCs w:val="20"/>
        </w:rPr>
      </w:pPr>
      <w:r w:rsidRPr="00304CB5">
        <w:rPr>
          <w:b/>
          <w:bCs/>
          <w:color w:val="000000" w:themeColor="text1"/>
          <w:sz w:val="20"/>
          <w:szCs w:val="20"/>
        </w:rPr>
        <w:t>CONSORCIOS Y UNIONES TEMPORALES – Naturaleza</w:t>
      </w:r>
    </w:p>
    <w:p w14:paraId="52236325" w14:textId="77777777" w:rsidR="00235822" w:rsidRPr="00304CB5" w:rsidRDefault="00235822" w:rsidP="00235822">
      <w:pPr>
        <w:pStyle w:val="paragraph"/>
        <w:spacing w:before="0" w:beforeAutospacing="0" w:after="0" w:afterAutospacing="0"/>
        <w:ind w:right="300"/>
        <w:jc w:val="both"/>
        <w:textAlignment w:val="baseline"/>
        <w:rPr>
          <w:rFonts w:ascii="Verdana" w:hAnsi="Verdana" w:cs="Arial"/>
          <w:sz w:val="20"/>
          <w:szCs w:val="20"/>
        </w:rPr>
      </w:pPr>
      <w:r w:rsidRPr="00304CB5">
        <w:rPr>
          <w:rStyle w:val="eop"/>
          <w:rFonts w:ascii="Verdana" w:hAnsi="Verdana" w:cs="Arial"/>
          <w:sz w:val="20"/>
          <w:szCs w:val="20"/>
        </w:rPr>
        <w:t> </w:t>
      </w:r>
    </w:p>
    <w:p w14:paraId="52236326" w14:textId="77777777" w:rsidR="00235822" w:rsidRPr="00304CB5" w:rsidRDefault="00235822" w:rsidP="00304CB5">
      <w:pPr>
        <w:pStyle w:val="Textoindependiente"/>
        <w:jc w:val="both"/>
        <w:rPr>
          <w:color w:val="000000" w:themeColor="text1"/>
          <w:sz w:val="20"/>
          <w:szCs w:val="20"/>
        </w:rPr>
      </w:pPr>
      <w:r w:rsidRPr="00304CB5">
        <w:rPr>
          <w:color w:val="000000" w:themeColor="text1"/>
          <w:sz w:val="20"/>
          <w:szCs w:val="20"/>
        </w:rPr>
        <w:t>Los consorcios y las uniones temporales son formas asociativas en la que sus integrantes se unen para presentar de manera conjunta una propuesta, celebrar y ejecutar un contrato con una entidad estatal, es decir, es el negocio jurídico donde dos o varios proponentes se asocian para cumplir los requisitos exigidos en un proceso de contratación. Ninguna de estas figuras tiene personería jurídica, pero la Ley 80 de 1993 les reconoció capacidad contractual para celebrar contratos con el Estado. </w:t>
      </w:r>
    </w:p>
    <w:p w14:paraId="52236327" w14:textId="77777777" w:rsidR="00304CB5" w:rsidRPr="00304CB5" w:rsidRDefault="00304CB5" w:rsidP="00304CB5">
      <w:pPr>
        <w:pStyle w:val="Textoindependiente"/>
        <w:jc w:val="both"/>
        <w:rPr>
          <w:color w:val="000000" w:themeColor="text1"/>
          <w:sz w:val="20"/>
          <w:szCs w:val="20"/>
        </w:rPr>
      </w:pPr>
    </w:p>
    <w:p w14:paraId="52236328" w14:textId="77777777" w:rsidR="00235822" w:rsidRPr="00304CB5" w:rsidRDefault="00235822" w:rsidP="00304CB5">
      <w:pPr>
        <w:pStyle w:val="Textoindependiente"/>
        <w:jc w:val="both"/>
        <w:rPr>
          <w:b/>
          <w:bCs/>
          <w:color w:val="000000" w:themeColor="text1"/>
          <w:sz w:val="20"/>
          <w:szCs w:val="20"/>
        </w:rPr>
      </w:pPr>
      <w:r w:rsidRPr="00304CB5">
        <w:rPr>
          <w:b/>
          <w:bCs/>
          <w:color w:val="000000" w:themeColor="text1"/>
          <w:sz w:val="20"/>
          <w:szCs w:val="20"/>
        </w:rPr>
        <w:t xml:space="preserve">ESTRUCTURAS PLURALES – CONSORCIOS Y UNIONES TEMPORALES – Capacidad para contratar – Finalidades </w:t>
      </w:r>
    </w:p>
    <w:p w14:paraId="52236329" w14:textId="77777777" w:rsidR="00235822" w:rsidRPr="00304CB5" w:rsidRDefault="00235822" w:rsidP="00235822">
      <w:pPr>
        <w:pStyle w:val="Textoindependiente"/>
        <w:ind w:left="100"/>
        <w:jc w:val="both"/>
        <w:rPr>
          <w:b/>
          <w:bCs/>
          <w:color w:val="000000" w:themeColor="text1"/>
          <w:sz w:val="20"/>
          <w:szCs w:val="20"/>
        </w:rPr>
      </w:pPr>
    </w:p>
    <w:p w14:paraId="5223632A" w14:textId="77777777" w:rsidR="00235822" w:rsidRPr="00304CB5" w:rsidRDefault="00235822" w:rsidP="00304CB5">
      <w:pPr>
        <w:pStyle w:val="Textoindependiente"/>
        <w:jc w:val="both"/>
        <w:rPr>
          <w:color w:val="000000" w:themeColor="text1"/>
          <w:sz w:val="20"/>
          <w:szCs w:val="20"/>
        </w:rPr>
      </w:pPr>
      <w:r w:rsidRPr="00304CB5">
        <w:rPr>
          <w:color w:val="000000" w:themeColor="text1"/>
          <w:sz w:val="20"/>
          <w:szCs w:val="20"/>
        </w:rPr>
        <w:t xml:space="preserve">Como se puede observar, 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contratos. Adicionalmente, puntualiza que la capacidad contractual de consorcios y uniones temporales se reconoce sin necesidad de exigirles como condición de su ejercicio que sean personas morales lo que, hasta cierto punto, podría considerarse una evolución en la teoría de la personalidad jurídica. </w:t>
      </w:r>
    </w:p>
    <w:p w14:paraId="5223632B" w14:textId="77777777" w:rsidR="00235822" w:rsidRPr="00304CB5" w:rsidRDefault="00235822" w:rsidP="00235822">
      <w:pPr>
        <w:pStyle w:val="Textoindependiente"/>
        <w:ind w:left="100"/>
        <w:jc w:val="both"/>
        <w:rPr>
          <w:color w:val="000000" w:themeColor="text1"/>
          <w:sz w:val="20"/>
          <w:szCs w:val="20"/>
        </w:rPr>
      </w:pPr>
      <w:r w:rsidRPr="00304CB5">
        <w:rPr>
          <w:color w:val="000000" w:themeColor="text1"/>
          <w:sz w:val="20"/>
          <w:szCs w:val="20"/>
        </w:rPr>
        <w:t xml:space="preserve"> </w:t>
      </w:r>
    </w:p>
    <w:p w14:paraId="5223632C" w14:textId="77777777" w:rsidR="00235822" w:rsidRPr="00304CB5" w:rsidRDefault="00235822" w:rsidP="00304CB5">
      <w:pPr>
        <w:pStyle w:val="Textoindependiente"/>
        <w:jc w:val="both"/>
        <w:rPr>
          <w:color w:val="000000" w:themeColor="text1"/>
          <w:sz w:val="20"/>
          <w:szCs w:val="20"/>
        </w:rPr>
      </w:pPr>
      <w:r w:rsidRPr="00304CB5">
        <w:rPr>
          <w:b/>
          <w:bCs/>
          <w:color w:val="000000" w:themeColor="text1"/>
          <w:sz w:val="20"/>
          <w:szCs w:val="20"/>
        </w:rPr>
        <w:t>CAPACIDAD JURÍDICA –</w:t>
      </w:r>
      <w:r w:rsidRPr="00304CB5">
        <w:rPr>
          <w:color w:val="000000" w:themeColor="text1"/>
          <w:sz w:val="20"/>
          <w:szCs w:val="20"/>
        </w:rPr>
        <w:t xml:space="preserve"> </w:t>
      </w:r>
      <w:r w:rsidRPr="00304CB5">
        <w:rPr>
          <w:b/>
          <w:bCs/>
          <w:color w:val="000000" w:themeColor="text1"/>
          <w:sz w:val="20"/>
          <w:szCs w:val="20"/>
        </w:rPr>
        <w:t>Definición</w:t>
      </w:r>
    </w:p>
    <w:p w14:paraId="5223632D" w14:textId="77777777" w:rsidR="00235822" w:rsidRPr="00304CB5" w:rsidRDefault="00235822" w:rsidP="00235822">
      <w:pPr>
        <w:pStyle w:val="Textoindependiente"/>
        <w:ind w:left="300" w:right="305"/>
        <w:jc w:val="both"/>
        <w:rPr>
          <w:b/>
          <w:sz w:val="20"/>
          <w:szCs w:val="20"/>
        </w:rPr>
      </w:pPr>
      <w:r w:rsidRPr="00304CB5">
        <w:rPr>
          <w:rStyle w:val="normaltextrun"/>
          <w:b/>
          <w:bCs/>
          <w:sz w:val="20"/>
          <w:szCs w:val="20"/>
          <w:bdr w:val="none" w:sz="0" w:space="0" w:color="auto" w:frame="1"/>
          <w:lang w:val="es-MX"/>
        </w:rPr>
        <w:t xml:space="preserve"> </w:t>
      </w:r>
    </w:p>
    <w:p w14:paraId="5223632E" w14:textId="77777777" w:rsidR="00235822" w:rsidRPr="00304CB5" w:rsidRDefault="00235822" w:rsidP="00304CB5">
      <w:pPr>
        <w:pStyle w:val="Textoindependiente"/>
        <w:jc w:val="both"/>
        <w:rPr>
          <w:color w:val="000000" w:themeColor="text1"/>
          <w:sz w:val="20"/>
          <w:szCs w:val="20"/>
        </w:rPr>
      </w:pPr>
      <w:r w:rsidRPr="00304CB5">
        <w:rPr>
          <w:color w:val="000000" w:themeColor="text1"/>
          <w:sz w:val="20"/>
          <w:szCs w:val="20"/>
        </w:rPr>
        <w:t>La capacidad, de acuerdo a lo establecido en el Código Civil, se refiere a la facultad que la ley le confiere a la persona para ejercer derechos y contraer obligaciones, partiendo del supuesto de que todas las personas naturales mayores de edad son capaces, con excepción de aquellas que la ley expresamente excluye de tal presunción -artículos 1502, 1503 y 1504-, y de que la capacidad de las personas jurídicas se circunscribe a lo expresado en su objeto social y su forma de creación.</w:t>
      </w:r>
    </w:p>
    <w:p w14:paraId="5223632F" w14:textId="77777777" w:rsidR="00235822" w:rsidRPr="00304CB5" w:rsidRDefault="00235822" w:rsidP="00235822">
      <w:pPr>
        <w:pStyle w:val="Textoindependiente"/>
        <w:ind w:left="300" w:right="305"/>
        <w:jc w:val="both"/>
        <w:rPr>
          <w:sz w:val="20"/>
          <w:szCs w:val="20"/>
        </w:rPr>
      </w:pPr>
    </w:p>
    <w:p w14:paraId="52236330" w14:textId="77777777" w:rsidR="00235822" w:rsidRPr="00304CB5" w:rsidRDefault="00235822" w:rsidP="00304CB5">
      <w:pPr>
        <w:pStyle w:val="Textoindependiente"/>
        <w:jc w:val="both"/>
        <w:rPr>
          <w:color w:val="000000" w:themeColor="text1"/>
          <w:sz w:val="20"/>
          <w:szCs w:val="20"/>
        </w:rPr>
      </w:pPr>
      <w:r w:rsidRPr="00304CB5">
        <w:rPr>
          <w:b/>
          <w:bCs/>
          <w:color w:val="000000" w:themeColor="text1"/>
          <w:sz w:val="20"/>
          <w:szCs w:val="20"/>
        </w:rPr>
        <w:t>CONSORCIOS Y UNIONES TEMPORALES –</w:t>
      </w:r>
      <w:r w:rsidRPr="00304CB5">
        <w:rPr>
          <w:color w:val="000000" w:themeColor="text1"/>
          <w:sz w:val="20"/>
          <w:szCs w:val="20"/>
        </w:rPr>
        <w:t xml:space="preserve"> </w:t>
      </w:r>
      <w:r w:rsidRPr="00304CB5">
        <w:rPr>
          <w:b/>
          <w:bCs/>
          <w:color w:val="000000" w:themeColor="text1"/>
          <w:sz w:val="20"/>
          <w:szCs w:val="20"/>
        </w:rPr>
        <w:t>Concepto</w:t>
      </w:r>
      <w:r w:rsidRPr="00304CB5">
        <w:rPr>
          <w:color w:val="000000" w:themeColor="text1"/>
          <w:sz w:val="20"/>
          <w:szCs w:val="20"/>
        </w:rPr>
        <w:t xml:space="preserve"> </w:t>
      </w:r>
    </w:p>
    <w:p w14:paraId="52236331" w14:textId="77777777" w:rsidR="00235822" w:rsidRPr="00304CB5" w:rsidRDefault="00235822" w:rsidP="00235822">
      <w:pPr>
        <w:pStyle w:val="Textoindependiente"/>
        <w:ind w:left="300" w:right="305"/>
        <w:jc w:val="both"/>
        <w:rPr>
          <w:b/>
          <w:sz w:val="20"/>
          <w:szCs w:val="20"/>
        </w:rPr>
      </w:pPr>
    </w:p>
    <w:p w14:paraId="52236332" w14:textId="77777777" w:rsidR="00235822" w:rsidRPr="00304CB5" w:rsidRDefault="00235822" w:rsidP="00304CB5">
      <w:pPr>
        <w:pStyle w:val="Textoindependiente"/>
        <w:jc w:val="both"/>
        <w:rPr>
          <w:color w:val="000000" w:themeColor="text1"/>
          <w:sz w:val="20"/>
          <w:szCs w:val="20"/>
        </w:rPr>
      </w:pPr>
      <w:r w:rsidRPr="00304CB5">
        <w:rPr>
          <w:color w:val="000000" w:themeColor="text1"/>
          <w:sz w:val="20"/>
          <w:szCs w:val="20"/>
        </w:rPr>
        <w:t>Los consorcios o uniones temporales son convenios de asociación provenientes de la colaboración empresarial, mediante los cuales sus integrantes se unen y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que lleguen a generarse por el incumplimiento de las obligaciones del contrato, toda vez que, tratándose de una unión temporal, éstas se individualizan según el grado de participación de sus miembros, mientras que en el consorcio dicha individualización no opera, ya que sus miembros responderán solidariamente frente a las sanciones que correspondan.</w:t>
      </w:r>
    </w:p>
    <w:p w14:paraId="52236333" w14:textId="77777777" w:rsidR="00235822" w:rsidRPr="00304CB5" w:rsidRDefault="00235822" w:rsidP="00235822">
      <w:pPr>
        <w:jc w:val="both"/>
        <w:rPr>
          <w:rFonts w:ascii="Verdana" w:eastAsia="Calibri" w:hAnsi="Verdana" w:cs="Arial"/>
          <w:b/>
          <w:bCs/>
          <w:sz w:val="20"/>
          <w:szCs w:val="20"/>
        </w:rPr>
      </w:pPr>
    </w:p>
    <w:p w14:paraId="52236334" w14:textId="77777777" w:rsidR="00235822" w:rsidRPr="00304CB5" w:rsidRDefault="00235822" w:rsidP="00235822">
      <w:pPr>
        <w:jc w:val="both"/>
        <w:rPr>
          <w:rFonts w:ascii="Verdana" w:eastAsia="Calibri" w:hAnsi="Verdana" w:cs="Arial"/>
          <w:b/>
          <w:bCs/>
          <w:sz w:val="20"/>
          <w:szCs w:val="20"/>
        </w:rPr>
      </w:pPr>
      <w:r w:rsidRPr="00304CB5">
        <w:rPr>
          <w:rFonts w:ascii="Verdana" w:eastAsia="Calibri" w:hAnsi="Verdana" w:cs="Arial"/>
          <w:b/>
          <w:bCs/>
          <w:sz w:val="20"/>
          <w:szCs w:val="20"/>
        </w:rPr>
        <w:lastRenderedPageBreak/>
        <w:t xml:space="preserve">ENTIDADES SIN ÁNIMO DE LUCRO – Naturaleza jurídica – Capacidad para contratar </w:t>
      </w:r>
    </w:p>
    <w:p w14:paraId="52236335" w14:textId="77777777" w:rsidR="00235822" w:rsidRPr="00304CB5" w:rsidRDefault="00235822" w:rsidP="00235822">
      <w:pPr>
        <w:jc w:val="both"/>
        <w:rPr>
          <w:rFonts w:ascii="Verdana" w:eastAsia="Calibri" w:hAnsi="Verdana" w:cs="Arial"/>
          <w:bCs/>
          <w:sz w:val="20"/>
          <w:szCs w:val="20"/>
        </w:rPr>
      </w:pPr>
      <w:r w:rsidRPr="00304CB5">
        <w:rPr>
          <w:rFonts w:ascii="Verdana" w:eastAsia="Calibri" w:hAnsi="Verdana" w:cs="Arial"/>
          <w:bCs/>
          <w:sz w:val="20"/>
          <w:szCs w:val="20"/>
        </w:rPr>
        <w:t>Por tanto, es claro que las ESAL tienen capacidad para contratar bajo las reglas del EGCAP al ser personas jurídicas consideradas legalmente capaces, en los términos del artículo 6 de la Ley 80 de 1993. En armonía con ello, el Decreto 092 de 2017 reguló un régimen especial de contratación; sin embargo,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p w14:paraId="52236336" w14:textId="77777777" w:rsidR="00304CB5" w:rsidRPr="00304CB5" w:rsidRDefault="00304CB5" w:rsidP="00235822">
      <w:pPr>
        <w:jc w:val="both"/>
        <w:rPr>
          <w:rFonts w:ascii="Verdana" w:eastAsia="Calibri" w:hAnsi="Verdana" w:cs="Arial"/>
          <w:bCs/>
          <w:sz w:val="20"/>
          <w:szCs w:val="20"/>
        </w:rPr>
      </w:pPr>
    </w:p>
    <w:p w14:paraId="52236337" w14:textId="77777777" w:rsidR="00235822" w:rsidRDefault="00235822" w:rsidP="00235822">
      <w:pPr>
        <w:jc w:val="both"/>
        <w:rPr>
          <w:rFonts w:ascii="Verdana" w:eastAsia="Calibri" w:hAnsi="Verdana" w:cs="Arial"/>
          <w:b/>
          <w:bCs/>
          <w:sz w:val="20"/>
          <w:szCs w:val="20"/>
        </w:rPr>
      </w:pPr>
      <w:r w:rsidRPr="00304CB5">
        <w:rPr>
          <w:rFonts w:ascii="Verdana" w:eastAsia="Calibri" w:hAnsi="Verdana" w:cs="Arial"/>
          <w:b/>
          <w:bCs/>
          <w:sz w:val="20"/>
          <w:szCs w:val="20"/>
        </w:rPr>
        <w:t xml:space="preserve">ENTIDADES SIN ÁNIMO DE LUCRO – Capacidad </w:t>
      </w:r>
      <w:r w:rsidR="006804EE" w:rsidRPr="00304CB5">
        <w:rPr>
          <w:rFonts w:ascii="Verdana" w:eastAsia="Calibri" w:hAnsi="Verdana" w:cs="Arial"/>
          <w:b/>
          <w:bCs/>
          <w:sz w:val="20"/>
          <w:szCs w:val="20"/>
        </w:rPr>
        <w:t xml:space="preserve">para </w:t>
      </w:r>
      <w:r w:rsidRPr="00304CB5">
        <w:rPr>
          <w:rFonts w:ascii="Verdana" w:eastAsia="Calibri" w:hAnsi="Verdana" w:cs="Arial"/>
          <w:b/>
          <w:bCs/>
          <w:sz w:val="20"/>
          <w:szCs w:val="20"/>
        </w:rPr>
        <w:t xml:space="preserve">Integrar Consorcios o Uniones Temporales </w:t>
      </w:r>
    </w:p>
    <w:p w14:paraId="52236338" w14:textId="77777777" w:rsidR="00304CB5" w:rsidRPr="00304CB5" w:rsidRDefault="00304CB5" w:rsidP="00235822">
      <w:pPr>
        <w:jc w:val="both"/>
        <w:rPr>
          <w:rFonts w:ascii="Verdana" w:eastAsia="Calibri" w:hAnsi="Verdana" w:cs="Arial"/>
          <w:b/>
          <w:bCs/>
          <w:sz w:val="20"/>
          <w:szCs w:val="20"/>
        </w:rPr>
      </w:pPr>
    </w:p>
    <w:p w14:paraId="52236339" w14:textId="77777777" w:rsidR="00235822" w:rsidRPr="00304CB5" w:rsidRDefault="00235822" w:rsidP="00235822">
      <w:pPr>
        <w:pStyle w:val="Textoindependiente"/>
        <w:spacing w:after="120" w:line="276" w:lineRule="auto"/>
        <w:jc w:val="both"/>
        <w:rPr>
          <w:sz w:val="20"/>
          <w:szCs w:val="20"/>
        </w:rPr>
      </w:pPr>
      <w:r w:rsidRPr="00304CB5">
        <w:rPr>
          <w:sz w:val="20"/>
          <w:szCs w:val="20"/>
        </w:rPr>
        <w:t>En Colombia, las fundaciones y asociaciones sin ánimo de lucro (ESAL) pueden participar en procesos de licitación pública, ya sea de forma individual o bajo modalidades de consorcio o unión temporal, ya que no se encuentran inhabilitadas y dicha actividad no está prohibida en el ordenamiento jurídico colombiano.</w:t>
      </w:r>
    </w:p>
    <w:p w14:paraId="5223633A" w14:textId="77777777" w:rsidR="00235822" w:rsidRPr="00304CB5" w:rsidRDefault="00235822" w:rsidP="00235822">
      <w:pPr>
        <w:pStyle w:val="Textoindependiente"/>
        <w:spacing w:after="120" w:line="276" w:lineRule="auto"/>
        <w:jc w:val="both"/>
        <w:rPr>
          <w:sz w:val="20"/>
          <w:szCs w:val="20"/>
        </w:rPr>
      </w:pPr>
      <w:r w:rsidRPr="00304CB5">
        <w:rPr>
          <w:sz w:val="20"/>
          <w:szCs w:val="20"/>
        </w:rPr>
        <w:t>Ahora</w:t>
      </w:r>
      <w:r w:rsidRPr="00304CB5">
        <w:rPr>
          <w:spacing w:val="-15"/>
          <w:sz w:val="20"/>
          <w:szCs w:val="20"/>
        </w:rPr>
        <w:t xml:space="preserve"> </w:t>
      </w:r>
      <w:r w:rsidRPr="00304CB5">
        <w:rPr>
          <w:sz w:val="20"/>
          <w:szCs w:val="20"/>
        </w:rPr>
        <w:t>bien,</w:t>
      </w:r>
      <w:r w:rsidRPr="00304CB5">
        <w:rPr>
          <w:spacing w:val="-15"/>
          <w:sz w:val="20"/>
          <w:szCs w:val="20"/>
        </w:rPr>
        <w:t xml:space="preserve"> </w:t>
      </w:r>
      <w:r w:rsidRPr="00304CB5">
        <w:rPr>
          <w:sz w:val="20"/>
          <w:szCs w:val="20"/>
        </w:rPr>
        <w:t>es</w:t>
      </w:r>
      <w:r w:rsidRPr="00304CB5">
        <w:rPr>
          <w:spacing w:val="-16"/>
          <w:sz w:val="20"/>
          <w:szCs w:val="20"/>
        </w:rPr>
        <w:t xml:space="preserve"> </w:t>
      </w:r>
      <w:r w:rsidRPr="00304CB5">
        <w:rPr>
          <w:sz w:val="20"/>
          <w:szCs w:val="20"/>
        </w:rPr>
        <w:t>de</w:t>
      </w:r>
      <w:r w:rsidRPr="00304CB5">
        <w:rPr>
          <w:spacing w:val="-16"/>
          <w:sz w:val="20"/>
          <w:szCs w:val="20"/>
        </w:rPr>
        <w:t xml:space="preserve"> </w:t>
      </w:r>
      <w:r w:rsidRPr="00304CB5">
        <w:rPr>
          <w:sz w:val="20"/>
          <w:szCs w:val="20"/>
        </w:rPr>
        <w:t>tener</w:t>
      </w:r>
      <w:r w:rsidRPr="00304CB5">
        <w:rPr>
          <w:spacing w:val="-15"/>
          <w:sz w:val="20"/>
          <w:szCs w:val="20"/>
        </w:rPr>
        <w:t xml:space="preserve"> </w:t>
      </w:r>
      <w:r w:rsidRPr="00304CB5">
        <w:rPr>
          <w:sz w:val="20"/>
          <w:szCs w:val="20"/>
        </w:rPr>
        <w:t>en</w:t>
      </w:r>
      <w:r w:rsidRPr="00304CB5">
        <w:rPr>
          <w:spacing w:val="-16"/>
          <w:sz w:val="20"/>
          <w:szCs w:val="20"/>
        </w:rPr>
        <w:t xml:space="preserve"> </w:t>
      </w:r>
      <w:r w:rsidRPr="00304CB5">
        <w:rPr>
          <w:sz w:val="20"/>
          <w:szCs w:val="20"/>
        </w:rPr>
        <w:t>cuenta</w:t>
      </w:r>
      <w:r w:rsidRPr="00304CB5">
        <w:rPr>
          <w:spacing w:val="-15"/>
          <w:sz w:val="20"/>
          <w:szCs w:val="20"/>
        </w:rPr>
        <w:t xml:space="preserve"> </w:t>
      </w:r>
      <w:r w:rsidRPr="00304CB5">
        <w:rPr>
          <w:sz w:val="20"/>
          <w:szCs w:val="20"/>
        </w:rPr>
        <w:t>que,</w:t>
      </w:r>
      <w:r w:rsidRPr="00304CB5">
        <w:rPr>
          <w:spacing w:val="-15"/>
          <w:sz w:val="20"/>
          <w:szCs w:val="20"/>
        </w:rPr>
        <w:t xml:space="preserve"> </w:t>
      </w:r>
      <w:r w:rsidRPr="00304CB5">
        <w:rPr>
          <w:sz w:val="20"/>
          <w:szCs w:val="20"/>
        </w:rPr>
        <w:t>aunque</w:t>
      </w:r>
      <w:r w:rsidRPr="00304CB5">
        <w:rPr>
          <w:spacing w:val="-15"/>
          <w:sz w:val="20"/>
          <w:szCs w:val="20"/>
        </w:rPr>
        <w:t xml:space="preserve"> </w:t>
      </w:r>
      <w:r w:rsidRPr="00304CB5">
        <w:rPr>
          <w:sz w:val="20"/>
          <w:szCs w:val="20"/>
        </w:rPr>
        <w:t>las</w:t>
      </w:r>
      <w:r w:rsidRPr="00304CB5">
        <w:rPr>
          <w:spacing w:val="-16"/>
          <w:sz w:val="20"/>
          <w:szCs w:val="20"/>
        </w:rPr>
        <w:t xml:space="preserve"> </w:t>
      </w:r>
      <w:r w:rsidRPr="00304CB5">
        <w:rPr>
          <w:sz w:val="20"/>
          <w:szCs w:val="20"/>
        </w:rPr>
        <w:t>ESAL</w:t>
      </w:r>
      <w:r w:rsidRPr="00304CB5">
        <w:rPr>
          <w:spacing w:val="-15"/>
          <w:sz w:val="20"/>
          <w:szCs w:val="20"/>
        </w:rPr>
        <w:t xml:space="preserve"> </w:t>
      </w:r>
      <w:r w:rsidRPr="00304CB5">
        <w:rPr>
          <w:sz w:val="20"/>
          <w:szCs w:val="20"/>
        </w:rPr>
        <w:t>no</w:t>
      </w:r>
      <w:r w:rsidRPr="00304CB5">
        <w:rPr>
          <w:spacing w:val="-16"/>
          <w:sz w:val="20"/>
          <w:szCs w:val="20"/>
        </w:rPr>
        <w:t xml:space="preserve"> </w:t>
      </w:r>
      <w:r w:rsidRPr="00304CB5">
        <w:rPr>
          <w:sz w:val="20"/>
          <w:szCs w:val="20"/>
        </w:rPr>
        <w:t>tienen</w:t>
      </w:r>
      <w:r w:rsidRPr="00304CB5">
        <w:rPr>
          <w:spacing w:val="-15"/>
          <w:sz w:val="20"/>
          <w:szCs w:val="20"/>
        </w:rPr>
        <w:t xml:space="preserve"> </w:t>
      </w:r>
      <w:r w:rsidRPr="00304CB5">
        <w:rPr>
          <w:sz w:val="20"/>
          <w:szCs w:val="20"/>
        </w:rPr>
        <w:t>como</w:t>
      </w:r>
      <w:r w:rsidRPr="00304CB5">
        <w:rPr>
          <w:spacing w:val="-15"/>
          <w:sz w:val="20"/>
          <w:szCs w:val="20"/>
        </w:rPr>
        <w:t xml:space="preserve"> </w:t>
      </w:r>
      <w:r w:rsidRPr="00304CB5">
        <w:rPr>
          <w:sz w:val="20"/>
          <w:szCs w:val="20"/>
        </w:rPr>
        <w:t>objetivo la</w:t>
      </w:r>
      <w:r w:rsidRPr="00304CB5">
        <w:rPr>
          <w:spacing w:val="77"/>
          <w:sz w:val="20"/>
          <w:szCs w:val="20"/>
        </w:rPr>
        <w:t xml:space="preserve"> </w:t>
      </w:r>
      <w:r w:rsidRPr="00304CB5">
        <w:rPr>
          <w:sz w:val="20"/>
          <w:szCs w:val="20"/>
        </w:rPr>
        <w:t>generación</w:t>
      </w:r>
      <w:r w:rsidRPr="00304CB5">
        <w:rPr>
          <w:spacing w:val="80"/>
          <w:sz w:val="20"/>
          <w:szCs w:val="20"/>
        </w:rPr>
        <w:t xml:space="preserve"> </w:t>
      </w:r>
      <w:r w:rsidRPr="00304CB5">
        <w:rPr>
          <w:sz w:val="20"/>
          <w:szCs w:val="20"/>
        </w:rPr>
        <w:t>de</w:t>
      </w:r>
      <w:r w:rsidRPr="00304CB5">
        <w:rPr>
          <w:spacing w:val="77"/>
          <w:sz w:val="20"/>
          <w:szCs w:val="20"/>
        </w:rPr>
        <w:t xml:space="preserve"> </w:t>
      </w:r>
      <w:r w:rsidRPr="00304CB5">
        <w:rPr>
          <w:sz w:val="20"/>
          <w:szCs w:val="20"/>
        </w:rPr>
        <w:t>utilidades,</w:t>
      </w:r>
      <w:r w:rsidRPr="00304CB5">
        <w:rPr>
          <w:spacing w:val="80"/>
          <w:sz w:val="20"/>
          <w:szCs w:val="20"/>
        </w:rPr>
        <w:t xml:space="preserve"> </w:t>
      </w:r>
      <w:r w:rsidRPr="00304CB5">
        <w:rPr>
          <w:sz w:val="20"/>
          <w:szCs w:val="20"/>
        </w:rPr>
        <w:t>esto</w:t>
      </w:r>
      <w:r w:rsidRPr="00304CB5">
        <w:rPr>
          <w:spacing w:val="78"/>
          <w:sz w:val="20"/>
          <w:szCs w:val="20"/>
        </w:rPr>
        <w:t xml:space="preserve"> </w:t>
      </w:r>
      <w:r w:rsidRPr="00304CB5">
        <w:rPr>
          <w:sz w:val="20"/>
          <w:szCs w:val="20"/>
        </w:rPr>
        <w:t>no</w:t>
      </w:r>
      <w:r w:rsidRPr="00304CB5">
        <w:rPr>
          <w:spacing w:val="77"/>
          <w:sz w:val="20"/>
          <w:szCs w:val="20"/>
        </w:rPr>
        <w:t xml:space="preserve"> </w:t>
      </w:r>
      <w:r w:rsidRPr="00304CB5">
        <w:rPr>
          <w:sz w:val="20"/>
          <w:szCs w:val="20"/>
        </w:rPr>
        <w:t>les</w:t>
      </w:r>
      <w:r w:rsidRPr="00304CB5">
        <w:rPr>
          <w:spacing w:val="77"/>
          <w:sz w:val="20"/>
          <w:szCs w:val="20"/>
        </w:rPr>
        <w:t xml:space="preserve"> </w:t>
      </w:r>
      <w:r w:rsidRPr="00304CB5">
        <w:rPr>
          <w:sz w:val="20"/>
          <w:szCs w:val="20"/>
        </w:rPr>
        <w:t>impide</w:t>
      </w:r>
      <w:r w:rsidRPr="00304CB5">
        <w:rPr>
          <w:spacing w:val="78"/>
          <w:sz w:val="20"/>
          <w:szCs w:val="20"/>
        </w:rPr>
        <w:t xml:space="preserve"> </w:t>
      </w:r>
      <w:r w:rsidRPr="00304CB5">
        <w:rPr>
          <w:sz w:val="20"/>
          <w:szCs w:val="20"/>
        </w:rPr>
        <w:t>participar</w:t>
      </w:r>
      <w:r w:rsidRPr="00304CB5">
        <w:rPr>
          <w:spacing w:val="80"/>
          <w:sz w:val="20"/>
          <w:szCs w:val="20"/>
        </w:rPr>
        <w:t xml:space="preserve"> </w:t>
      </w:r>
      <w:r w:rsidRPr="00304CB5">
        <w:rPr>
          <w:sz w:val="20"/>
          <w:szCs w:val="20"/>
        </w:rPr>
        <w:t>en</w:t>
      </w:r>
      <w:r w:rsidRPr="00304CB5">
        <w:rPr>
          <w:spacing w:val="77"/>
          <w:sz w:val="20"/>
          <w:szCs w:val="20"/>
        </w:rPr>
        <w:t xml:space="preserve"> </w:t>
      </w:r>
      <w:r w:rsidRPr="00304CB5">
        <w:rPr>
          <w:sz w:val="20"/>
          <w:szCs w:val="20"/>
        </w:rPr>
        <w:t>contratos</w:t>
      </w:r>
      <w:r w:rsidRPr="00304CB5">
        <w:rPr>
          <w:spacing w:val="79"/>
          <w:sz w:val="20"/>
          <w:szCs w:val="20"/>
        </w:rPr>
        <w:t xml:space="preserve"> </w:t>
      </w:r>
      <w:r w:rsidRPr="00304CB5">
        <w:rPr>
          <w:sz w:val="20"/>
          <w:szCs w:val="20"/>
        </w:rPr>
        <w:t>o actividades comerciales que generen ingresos, siempre y cuando estos se reinviertan en el cumplimiento de sus fines sociales, y no se distribuyan entre sus</w:t>
      </w:r>
      <w:r w:rsidRPr="00304CB5">
        <w:rPr>
          <w:spacing w:val="-20"/>
          <w:sz w:val="20"/>
          <w:szCs w:val="20"/>
        </w:rPr>
        <w:t xml:space="preserve"> </w:t>
      </w:r>
      <w:r w:rsidRPr="00304CB5">
        <w:rPr>
          <w:sz w:val="20"/>
          <w:szCs w:val="20"/>
        </w:rPr>
        <w:t>miembros;</w:t>
      </w:r>
      <w:r w:rsidRPr="00304CB5">
        <w:rPr>
          <w:spacing w:val="-19"/>
          <w:sz w:val="20"/>
          <w:szCs w:val="20"/>
        </w:rPr>
        <w:t xml:space="preserve"> </w:t>
      </w:r>
      <w:r w:rsidRPr="00304CB5">
        <w:rPr>
          <w:sz w:val="20"/>
          <w:szCs w:val="20"/>
        </w:rPr>
        <w:t>no</w:t>
      </w:r>
      <w:r w:rsidRPr="00304CB5">
        <w:rPr>
          <w:spacing w:val="-19"/>
          <w:sz w:val="20"/>
          <w:szCs w:val="20"/>
        </w:rPr>
        <w:t xml:space="preserve"> </w:t>
      </w:r>
      <w:r w:rsidRPr="00304CB5">
        <w:rPr>
          <w:sz w:val="20"/>
          <w:szCs w:val="20"/>
        </w:rPr>
        <w:t>obstante,</w:t>
      </w:r>
      <w:r w:rsidRPr="00304CB5">
        <w:rPr>
          <w:spacing w:val="-19"/>
          <w:sz w:val="20"/>
          <w:szCs w:val="20"/>
        </w:rPr>
        <w:t xml:space="preserve"> </w:t>
      </w:r>
      <w:r w:rsidRPr="00304CB5">
        <w:rPr>
          <w:sz w:val="20"/>
          <w:szCs w:val="20"/>
        </w:rPr>
        <w:t>esto</w:t>
      </w:r>
      <w:r w:rsidRPr="00304CB5">
        <w:rPr>
          <w:spacing w:val="-19"/>
          <w:sz w:val="20"/>
          <w:szCs w:val="20"/>
        </w:rPr>
        <w:t xml:space="preserve"> </w:t>
      </w:r>
      <w:r w:rsidRPr="00304CB5">
        <w:rPr>
          <w:sz w:val="20"/>
          <w:szCs w:val="20"/>
        </w:rPr>
        <w:t>no</w:t>
      </w:r>
      <w:r w:rsidRPr="00304CB5">
        <w:rPr>
          <w:spacing w:val="-19"/>
          <w:sz w:val="20"/>
          <w:szCs w:val="20"/>
        </w:rPr>
        <w:t xml:space="preserve"> </w:t>
      </w:r>
      <w:r w:rsidRPr="00304CB5">
        <w:rPr>
          <w:sz w:val="20"/>
          <w:szCs w:val="20"/>
        </w:rPr>
        <w:t>difiere</w:t>
      </w:r>
      <w:r w:rsidRPr="00304CB5">
        <w:rPr>
          <w:spacing w:val="-18"/>
          <w:sz w:val="20"/>
          <w:szCs w:val="20"/>
        </w:rPr>
        <w:t xml:space="preserve"> </w:t>
      </w:r>
      <w:r w:rsidRPr="00304CB5">
        <w:rPr>
          <w:sz w:val="20"/>
          <w:szCs w:val="20"/>
        </w:rPr>
        <w:t>de</w:t>
      </w:r>
      <w:r w:rsidRPr="00304CB5">
        <w:rPr>
          <w:spacing w:val="-20"/>
          <w:sz w:val="20"/>
          <w:szCs w:val="20"/>
        </w:rPr>
        <w:t xml:space="preserve"> </w:t>
      </w:r>
      <w:r w:rsidRPr="00304CB5">
        <w:rPr>
          <w:sz w:val="20"/>
          <w:szCs w:val="20"/>
        </w:rPr>
        <w:t>cuando</w:t>
      </w:r>
      <w:r w:rsidRPr="00304CB5">
        <w:rPr>
          <w:spacing w:val="-17"/>
          <w:sz w:val="20"/>
          <w:szCs w:val="20"/>
        </w:rPr>
        <w:t xml:space="preserve"> </w:t>
      </w:r>
      <w:r w:rsidRPr="00304CB5">
        <w:rPr>
          <w:sz w:val="20"/>
          <w:szCs w:val="20"/>
        </w:rPr>
        <w:t>se</w:t>
      </w:r>
      <w:r w:rsidRPr="00304CB5">
        <w:rPr>
          <w:spacing w:val="-20"/>
          <w:sz w:val="20"/>
          <w:szCs w:val="20"/>
        </w:rPr>
        <w:t xml:space="preserve"> </w:t>
      </w:r>
      <w:r w:rsidRPr="00304CB5">
        <w:rPr>
          <w:sz w:val="20"/>
          <w:szCs w:val="20"/>
        </w:rPr>
        <w:t>señala</w:t>
      </w:r>
      <w:r w:rsidRPr="00304CB5">
        <w:rPr>
          <w:spacing w:val="-17"/>
          <w:sz w:val="20"/>
          <w:szCs w:val="20"/>
        </w:rPr>
        <w:t xml:space="preserve"> </w:t>
      </w:r>
      <w:r w:rsidRPr="00304CB5">
        <w:rPr>
          <w:sz w:val="20"/>
          <w:szCs w:val="20"/>
        </w:rPr>
        <w:t>que</w:t>
      </w:r>
      <w:r w:rsidRPr="00304CB5">
        <w:rPr>
          <w:spacing w:val="-20"/>
          <w:sz w:val="20"/>
          <w:szCs w:val="20"/>
        </w:rPr>
        <w:t xml:space="preserve"> </w:t>
      </w:r>
      <w:r w:rsidRPr="00304CB5">
        <w:rPr>
          <w:sz w:val="20"/>
          <w:szCs w:val="20"/>
        </w:rPr>
        <w:t>las</w:t>
      </w:r>
      <w:r w:rsidRPr="00304CB5">
        <w:rPr>
          <w:spacing w:val="-19"/>
          <w:sz w:val="20"/>
          <w:szCs w:val="20"/>
        </w:rPr>
        <w:t xml:space="preserve"> </w:t>
      </w:r>
      <w:r w:rsidRPr="00304CB5">
        <w:rPr>
          <w:sz w:val="20"/>
          <w:szCs w:val="20"/>
        </w:rPr>
        <w:t>personas jurídicas</w:t>
      </w:r>
      <w:r w:rsidRPr="00304CB5">
        <w:rPr>
          <w:spacing w:val="-9"/>
          <w:sz w:val="20"/>
          <w:szCs w:val="20"/>
        </w:rPr>
        <w:t xml:space="preserve"> </w:t>
      </w:r>
      <w:r w:rsidRPr="00304CB5">
        <w:rPr>
          <w:sz w:val="20"/>
          <w:szCs w:val="20"/>
        </w:rPr>
        <w:t>tienen</w:t>
      </w:r>
      <w:r w:rsidRPr="00304CB5">
        <w:rPr>
          <w:spacing w:val="-10"/>
          <w:sz w:val="20"/>
          <w:szCs w:val="20"/>
        </w:rPr>
        <w:t xml:space="preserve"> </w:t>
      </w:r>
      <w:r w:rsidRPr="00304CB5">
        <w:rPr>
          <w:sz w:val="20"/>
          <w:szCs w:val="20"/>
        </w:rPr>
        <w:t>capacidad</w:t>
      </w:r>
      <w:r w:rsidRPr="00304CB5">
        <w:rPr>
          <w:spacing w:val="-9"/>
          <w:sz w:val="20"/>
          <w:szCs w:val="20"/>
        </w:rPr>
        <w:t xml:space="preserve"> </w:t>
      </w:r>
      <w:r w:rsidRPr="00304CB5">
        <w:rPr>
          <w:sz w:val="20"/>
          <w:szCs w:val="20"/>
        </w:rPr>
        <w:t>para</w:t>
      </w:r>
      <w:r w:rsidRPr="00304CB5">
        <w:rPr>
          <w:spacing w:val="-11"/>
          <w:sz w:val="20"/>
          <w:szCs w:val="20"/>
        </w:rPr>
        <w:t xml:space="preserve"> </w:t>
      </w:r>
      <w:r w:rsidRPr="00304CB5">
        <w:rPr>
          <w:sz w:val="20"/>
          <w:szCs w:val="20"/>
        </w:rPr>
        <w:t>contratar,</w:t>
      </w:r>
      <w:r w:rsidRPr="00304CB5">
        <w:rPr>
          <w:spacing w:val="-11"/>
          <w:sz w:val="20"/>
          <w:szCs w:val="20"/>
        </w:rPr>
        <w:t xml:space="preserve"> </w:t>
      </w:r>
      <w:r w:rsidRPr="00304CB5">
        <w:rPr>
          <w:sz w:val="20"/>
          <w:szCs w:val="20"/>
        </w:rPr>
        <w:t>la</w:t>
      </w:r>
      <w:r w:rsidRPr="00304CB5">
        <w:rPr>
          <w:spacing w:val="-11"/>
          <w:sz w:val="20"/>
          <w:szCs w:val="20"/>
        </w:rPr>
        <w:t xml:space="preserve"> </w:t>
      </w:r>
      <w:r w:rsidRPr="00304CB5">
        <w:rPr>
          <w:sz w:val="20"/>
          <w:szCs w:val="20"/>
        </w:rPr>
        <w:t>cual</w:t>
      </w:r>
      <w:r w:rsidRPr="00304CB5">
        <w:rPr>
          <w:spacing w:val="-10"/>
          <w:sz w:val="20"/>
          <w:szCs w:val="20"/>
        </w:rPr>
        <w:t xml:space="preserve"> </w:t>
      </w:r>
      <w:r w:rsidRPr="00304CB5">
        <w:rPr>
          <w:sz w:val="20"/>
          <w:szCs w:val="20"/>
        </w:rPr>
        <w:t>hace referencia a</w:t>
      </w:r>
      <w:r w:rsidRPr="00304CB5">
        <w:rPr>
          <w:spacing w:val="-3"/>
          <w:sz w:val="20"/>
          <w:szCs w:val="20"/>
        </w:rPr>
        <w:t xml:space="preserve"> </w:t>
      </w:r>
      <w:r w:rsidRPr="00304CB5">
        <w:rPr>
          <w:sz w:val="20"/>
          <w:szCs w:val="20"/>
        </w:rPr>
        <w:t>la</w:t>
      </w:r>
      <w:r w:rsidRPr="00304CB5">
        <w:rPr>
          <w:spacing w:val="-3"/>
          <w:sz w:val="20"/>
          <w:szCs w:val="20"/>
        </w:rPr>
        <w:t xml:space="preserve"> </w:t>
      </w:r>
      <w:r w:rsidRPr="00304CB5">
        <w:rPr>
          <w:sz w:val="20"/>
          <w:szCs w:val="20"/>
        </w:rPr>
        <w:t>posibilidad</w:t>
      </w:r>
      <w:r w:rsidRPr="00304CB5">
        <w:rPr>
          <w:spacing w:val="-1"/>
          <w:sz w:val="20"/>
          <w:szCs w:val="20"/>
        </w:rPr>
        <w:t xml:space="preserve"> </w:t>
      </w:r>
      <w:r w:rsidRPr="00304CB5">
        <w:rPr>
          <w:sz w:val="20"/>
          <w:szCs w:val="20"/>
        </w:rPr>
        <w:t>que</w:t>
      </w:r>
      <w:r w:rsidRPr="00304CB5">
        <w:rPr>
          <w:spacing w:val="-3"/>
          <w:sz w:val="20"/>
          <w:szCs w:val="20"/>
        </w:rPr>
        <w:t xml:space="preserve"> </w:t>
      </w:r>
      <w:r w:rsidRPr="00304CB5">
        <w:rPr>
          <w:sz w:val="20"/>
          <w:szCs w:val="20"/>
        </w:rPr>
        <w:t>tienen</w:t>
      </w:r>
      <w:r w:rsidRPr="00304CB5">
        <w:rPr>
          <w:spacing w:val="-2"/>
          <w:sz w:val="20"/>
          <w:szCs w:val="20"/>
        </w:rPr>
        <w:t xml:space="preserve"> </w:t>
      </w:r>
      <w:r w:rsidRPr="00304CB5">
        <w:rPr>
          <w:sz w:val="20"/>
          <w:szCs w:val="20"/>
        </w:rPr>
        <w:t>para</w:t>
      </w:r>
      <w:r w:rsidRPr="00304CB5">
        <w:rPr>
          <w:spacing w:val="-3"/>
          <w:sz w:val="20"/>
          <w:szCs w:val="20"/>
        </w:rPr>
        <w:t xml:space="preserve"> </w:t>
      </w:r>
      <w:r w:rsidRPr="00304CB5">
        <w:rPr>
          <w:sz w:val="20"/>
          <w:szCs w:val="20"/>
        </w:rPr>
        <w:t>adelantar</w:t>
      </w:r>
      <w:r w:rsidRPr="00304CB5">
        <w:rPr>
          <w:spacing w:val="-1"/>
          <w:sz w:val="20"/>
          <w:szCs w:val="20"/>
        </w:rPr>
        <w:t xml:space="preserve"> </w:t>
      </w:r>
      <w:r w:rsidRPr="00304CB5">
        <w:rPr>
          <w:sz w:val="20"/>
          <w:szCs w:val="20"/>
        </w:rPr>
        <w:t>actividades en</w:t>
      </w:r>
      <w:r w:rsidRPr="00304CB5">
        <w:rPr>
          <w:spacing w:val="-3"/>
          <w:sz w:val="20"/>
          <w:szCs w:val="20"/>
        </w:rPr>
        <w:t xml:space="preserve"> </w:t>
      </w:r>
      <w:r w:rsidRPr="00304CB5">
        <w:rPr>
          <w:sz w:val="20"/>
          <w:szCs w:val="20"/>
        </w:rPr>
        <w:t>el</w:t>
      </w:r>
      <w:r w:rsidRPr="00304CB5">
        <w:rPr>
          <w:spacing w:val="-3"/>
          <w:sz w:val="20"/>
          <w:szCs w:val="20"/>
        </w:rPr>
        <w:t xml:space="preserve"> </w:t>
      </w:r>
      <w:r w:rsidRPr="00304CB5">
        <w:rPr>
          <w:sz w:val="20"/>
          <w:szCs w:val="20"/>
        </w:rPr>
        <w:t>marco</w:t>
      </w:r>
      <w:r w:rsidRPr="00304CB5">
        <w:rPr>
          <w:spacing w:val="-2"/>
          <w:sz w:val="20"/>
          <w:szCs w:val="20"/>
        </w:rPr>
        <w:t xml:space="preserve"> </w:t>
      </w:r>
      <w:r w:rsidRPr="00304CB5">
        <w:rPr>
          <w:sz w:val="20"/>
          <w:szCs w:val="20"/>
        </w:rPr>
        <w:t>de su</w:t>
      </w:r>
      <w:r w:rsidRPr="00304CB5">
        <w:rPr>
          <w:spacing w:val="-19"/>
          <w:sz w:val="20"/>
          <w:szCs w:val="20"/>
        </w:rPr>
        <w:t xml:space="preserve"> </w:t>
      </w:r>
      <w:r w:rsidRPr="00304CB5">
        <w:rPr>
          <w:sz w:val="20"/>
          <w:szCs w:val="20"/>
        </w:rPr>
        <w:t>objeto</w:t>
      </w:r>
      <w:r w:rsidRPr="00304CB5">
        <w:rPr>
          <w:spacing w:val="-18"/>
          <w:sz w:val="20"/>
          <w:szCs w:val="20"/>
        </w:rPr>
        <w:t xml:space="preserve"> </w:t>
      </w:r>
      <w:r w:rsidRPr="00304CB5">
        <w:rPr>
          <w:sz w:val="20"/>
          <w:szCs w:val="20"/>
        </w:rPr>
        <w:t>social,</w:t>
      </w:r>
      <w:r w:rsidRPr="00304CB5">
        <w:rPr>
          <w:spacing w:val="-17"/>
          <w:sz w:val="20"/>
          <w:szCs w:val="20"/>
        </w:rPr>
        <w:t xml:space="preserve"> </w:t>
      </w:r>
      <w:r w:rsidRPr="00304CB5">
        <w:rPr>
          <w:sz w:val="20"/>
          <w:szCs w:val="20"/>
        </w:rPr>
        <w:t>a</w:t>
      </w:r>
      <w:r w:rsidRPr="00304CB5">
        <w:rPr>
          <w:spacing w:val="-19"/>
          <w:sz w:val="20"/>
          <w:szCs w:val="20"/>
        </w:rPr>
        <w:t xml:space="preserve"> </w:t>
      </w:r>
      <w:r w:rsidRPr="00304CB5">
        <w:rPr>
          <w:sz w:val="20"/>
          <w:szCs w:val="20"/>
        </w:rPr>
        <w:t>las</w:t>
      </w:r>
      <w:r w:rsidRPr="00304CB5">
        <w:rPr>
          <w:spacing w:val="-19"/>
          <w:sz w:val="20"/>
          <w:szCs w:val="20"/>
        </w:rPr>
        <w:t xml:space="preserve"> </w:t>
      </w:r>
      <w:r w:rsidRPr="00304CB5">
        <w:rPr>
          <w:sz w:val="20"/>
          <w:szCs w:val="20"/>
        </w:rPr>
        <w:t>facultades</w:t>
      </w:r>
      <w:r w:rsidRPr="00304CB5">
        <w:rPr>
          <w:spacing w:val="-17"/>
          <w:sz w:val="20"/>
          <w:szCs w:val="20"/>
        </w:rPr>
        <w:t xml:space="preserve"> </w:t>
      </w:r>
      <w:r w:rsidRPr="00304CB5">
        <w:rPr>
          <w:sz w:val="20"/>
          <w:szCs w:val="20"/>
        </w:rPr>
        <w:t>que</w:t>
      </w:r>
      <w:r w:rsidRPr="00304CB5">
        <w:rPr>
          <w:spacing w:val="-19"/>
          <w:sz w:val="20"/>
          <w:szCs w:val="20"/>
        </w:rPr>
        <w:t xml:space="preserve"> </w:t>
      </w:r>
      <w:r w:rsidRPr="00304CB5">
        <w:rPr>
          <w:sz w:val="20"/>
          <w:szCs w:val="20"/>
        </w:rPr>
        <w:t>le</w:t>
      </w:r>
      <w:r w:rsidRPr="00304CB5">
        <w:rPr>
          <w:spacing w:val="-19"/>
          <w:sz w:val="20"/>
          <w:szCs w:val="20"/>
        </w:rPr>
        <w:t xml:space="preserve"> </w:t>
      </w:r>
      <w:r w:rsidRPr="00304CB5">
        <w:rPr>
          <w:sz w:val="20"/>
          <w:szCs w:val="20"/>
        </w:rPr>
        <w:t>han</w:t>
      </w:r>
      <w:r w:rsidRPr="00304CB5">
        <w:rPr>
          <w:spacing w:val="-19"/>
          <w:sz w:val="20"/>
          <w:szCs w:val="20"/>
        </w:rPr>
        <w:t xml:space="preserve"> </w:t>
      </w:r>
      <w:r w:rsidRPr="00304CB5">
        <w:rPr>
          <w:sz w:val="20"/>
          <w:szCs w:val="20"/>
        </w:rPr>
        <w:t>sido</w:t>
      </w:r>
      <w:r w:rsidRPr="00304CB5">
        <w:rPr>
          <w:spacing w:val="-18"/>
          <w:sz w:val="20"/>
          <w:szCs w:val="20"/>
        </w:rPr>
        <w:t xml:space="preserve"> </w:t>
      </w:r>
      <w:r w:rsidRPr="00304CB5">
        <w:rPr>
          <w:sz w:val="20"/>
          <w:szCs w:val="20"/>
        </w:rPr>
        <w:t>otorgadas</w:t>
      </w:r>
      <w:r w:rsidRPr="00304CB5">
        <w:rPr>
          <w:spacing w:val="-17"/>
          <w:sz w:val="20"/>
          <w:szCs w:val="20"/>
        </w:rPr>
        <w:t xml:space="preserve"> </w:t>
      </w:r>
      <w:r w:rsidRPr="00304CB5">
        <w:rPr>
          <w:sz w:val="20"/>
          <w:szCs w:val="20"/>
        </w:rPr>
        <w:t>al</w:t>
      </w:r>
      <w:r w:rsidRPr="00304CB5">
        <w:rPr>
          <w:spacing w:val="-19"/>
          <w:sz w:val="20"/>
          <w:szCs w:val="20"/>
        </w:rPr>
        <w:t xml:space="preserve"> </w:t>
      </w:r>
      <w:r w:rsidRPr="00304CB5">
        <w:rPr>
          <w:sz w:val="20"/>
          <w:szCs w:val="20"/>
        </w:rPr>
        <w:t>representante</w:t>
      </w:r>
      <w:r w:rsidRPr="00304CB5">
        <w:rPr>
          <w:spacing w:val="-16"/>
          <w:sz w:val="20"/>
          <w:szCs w:val="20"/>
        </w:rPr>
        <w:t xml:space="preserve"> </w:t>
      </w:r>
      <w:r w:rsidRPr="00304CB5">
        <w:rPr>
          <w:sz w:val="20"/>
          <w:szCs w:val="20"/>
        </w:rPr>
        <w:t>legal y a la ausencia de inhabilidades, incompatibilidades o prohibiciones para contratar, derivadas de la ley.</w:t>
      </w:r>
    </w:p>
    <w:p w14:paraId="5223633B" w14:textId="77777777" w:rsidR="00D046FA" w:rsidRPr="00304CB5" w:rsidRDefault="00235822" w:rsidP="006804EE">
      <w:pPr>
        <w:pStyle w:val="Textoindependiente"/>
        <w:spacing w:after="120" w:line="276" w:lineRule="auto"/>
        <w:jc w:val="both"/>
        <w:rPr>
          <w:sz w:val="20"/>
          <w:szCs w:val="20"/>
        </w:rPr>
      </w:pPr>
      <w:r w:rsidRPr="00304CB5">
        <w:rPr>
          <w:sz w:val="20"/>
          <w:szCs w:val="20"/>
        </w:rPr>
        <w:t>En este orden de ideas, las ESAL no solo pueden contratar bajo las reglas establecidas</w:t>
      </w:r>
      <w:r w:rsidRPr="00304CB5">
        <w:rPr>
          <w:spacing w:val="-2"/>
          <w:sz w:val="20"/>
          <w:szCs w:val="20"/>
        </w:rPr>
        <w:t xml:space="preserve"> </w:t>
      </w:r>
      <w:r w:rsidRPr="00304CB5">
        <w:rPr>
          <w:sz w:val="20"/>
          <w:szCs w:val="20"/>
        </w:rPr>
        <w:t>en</w:t>
      </w:r>
      <w:r w:rsidRPr="00304CB5">
        <w:rPr>
          <w:spacing w:val="-5"/>
          <w:sz w:val="20"/>
          <w:szCs w:val="20"/>
        </w:rPr>
        <w:t xml:space="preserve"> </w:t>
      </w:r>
      <w:r w:rsidRPr="00304CB5">
        <w:rPr>
          <w:sz w:val="20"/>
          <w:szCs w:val="20"/>
        </w:rPr>
        <w:t>el</w:t>
      </w:r>
      <w:r w:rsidRPr="00304CB5">
        <w:rPr>
          <w:spacing w:val="-5"/>
          <w:sz w:val="20"/>
          <w:szCs w:val="20"/>
        </w:rPr>
        <w:t xml:space="preserve"> </w:t>
      </w:r>
      <w:r w:rsidRPr="00304CB5">
        <w:rPr>
          <w:sz w:val="20"/>
          <w:szCs w:val="20"/>
        </w:rPr>
        <w:t>Decreto</w:t>
      </w:r>
      <w:r w:rsidRPr="00304CB5">
        <w:rPr>
          <w:spacing w:val="-3"/>
          <w:sz w:val="20"/>
          <w:szCs w:val="20"/>
        </w:rPr>
        <w:t xml:space="preserve"> </w:t>
      </w:r>
      <w:r w:rsidRPr="00304CB5">
        <w:rPr>
          <w:sz w:val="20"/>
          <w:szCs w:val="20"/>
        </w:rPr>
        <w:t>092</w:t>
      </w:r>
      <w:r w:rsidRPr="00304CB5">
        <w:rPr>
          <w:spacing w:val="-4"/>
          <w:sz w:val="20"/>
          <w:szCs w:val="20"/>
        </w:rPr>
        <w:t xml:space="preserve"> </w:t>
      </w:r>
      <w:r w:rsidRPr="00304CB5">
        <w:rPr>
          <w:sz w:val="20"/>
          <w:szCs w:val="20"/>
        </w:rPr>
        <w:t>de</w:t>
      </w:r>
      <w:r w:rsidRPr="00304CB5">
        <w:rPr>
          <w:spacing w:val="-5"/>
          <w:sz w:val="20"/>
          <w:szCs w:val="20"/>
        </w:rPr>
        <w:t xml:space="preserve"> </w:t>
      </w:r>
      <w:r w:rsidRPr="00304CB5">
        <w:rPr>
          <w:sz w:val="20"/>
          <w:szCs w:val="20"/>
        </w:rPr>
        <w:t>2017,</w:t>
      </w:r>
      <w:r w:rsidRPr="00304CB5">
        <w:rPr>
          <w:spacing w:val="-4"/>
          <w:sz w:val="20"/>
          <w:szCs w:val="20"/>
        </w:rPr>
        <w:t xml:space="preserve"> </w:t>
      </w:r>
      <w:r w:rsidRPr="00304CB5">
        <w:rPr>
          <w:sz w:val="20"/>
          <w:szCs w:val="20"/>
        </w:rPr>
        <w:t>sino</w:t>
      </w:r>
      <w:r w:rsidRPr="00304CB5">
        <w:rPr>
          <w:spacing w:val="-4"/>
          <w:sz w:val="20"/>
          <w:szCs w:val="20"/>
        </w:rPr>
        <w:t xml:space="preserve"> </w:t>
      </w:r>
      <w:r w:rsidRPr="00304CB5">
        <w:rPr>
          <w:sz w:val="20"/>
          <w:szCs w:val="20"/>
        </w:rPr>
        <w:t>que</w:t>
      </w:r>
      <w:r w:rsidRPr="00304CB5">
        <w:rPr>
          <w:spacing w:val="-4"/>
          <w:sz w:val="20"/>
          <w:szCs w:val="20"/>
        </w:rPr>
        <w:t xml:space="preserve"> </w:t>
      </w:r>
      <w:r w:rsidRPr="00304CB5">
        <w:rPr>
          <w:sz w:val="20"/>
          <w:szCs w:val="20"/>
        </w:rPr>
        <w:t>también</w:t>
      </w:r>
      <w:r w:rsidRPr="00304CB5">
        <w:rPr>
          <w:spacing w:val="-3"/>
          <w:sz w:val="20"/>
          <w:szCs w:val="20"/>
        </w:rPr>
        <w:t xml:space="preserve"> </w:t>
      </w:r>
      <w:r w:rsidRPr="00304CB5">
        <w:rPr>
          <w:sz w:val="20"/>
          <w:szCs w:val="20"/>
        </w:rPr>
        <w:t>pueden</w:t>
      </w:r>
      <w:r w:rsidRPr="00304CB5">
        <w:rPr>
          <w:spacing w:val="-3"/>
          <w:sz w:val="20"/>
          <w:szCs w:val="20"/>
        </w:rPr>
        <w:t xml:space="preserve"> </w:t>
      </w:r>
      <w:r w:rsidRPr="00304CB5">
        <w:rPr>
          <w:sz w:val="20"/>
          <w:szCs w:val="20"/>
        </w:rPr>
        <w:t>intervenir</w:t>
      </w:r>
      <w:r w:rsidRPr="00304CB5">
        <w:rPr>
          <w:spacing w:val="-2"/>
          <w:sz w:val="20"/>
          <w:szCs w:val="20"/>
        </w:rPr>
        <w:t xml:space="preserve"> </w:t>
      </w:r>
      <w:r w:rsidRPr="00304CB5">
        <w:rPr>
          <w:sz w:val="20"/>
          <w:szCs w:val="20"/>
        </w:rPr>
        <w:t>en procesos</w:t>
      </w:r>
      <w:r w:rsidRPr="00304CB5">
        <w:rPr>
          <w:spacing w:val="-20"/>
          <w:sz w:val="20"/>
          <w:szCs w:val="20"/>
        </w:rPr>
        <w:t xml:space="preserve"> </w:t>
      </w:r>
      <w:r w:rsidRPr="00304CB5">
        <w:rPr>
          <w:sz w:val="20"/>
          <w:szCs w:val="20"/>
        </w:rPr>
        <w:t>de</w:t>
      </w:r>
      <w:r w:rsidRPr="00304CB5">
        <w:rPr>
          <w:spacing w:val="-19"/>
          <w:sz w:val="20"/>
          <w:szCs w:val="20"/>
        </w:rPr>
        <w:t xml:space="preserve"> </w:t>
      </w:r>
      <w:r w:rsidRPr="00304CB5">
        <w:rPr>
          <w:sz w:val="20"/>
          <w:szCs w:val="20"/>
        </w:rPr>
        <w:t>selección</w:t>
      </w:r>
      <w:r w:rsidRPr="00304CB5">
        <w:rPr>
          <w:spacing w:val="-17"/>
          <w:sz w:val="20"/>
          <w:szCs w:val="20"/>
        </w:rPr>
        <w:t xml:space="preserve"> </w:t>
      </w:r>
      <w:r w:rsidRPr="00304CB5">
        <w:rPr>
          <w:sz w:val="20"/>
          <w:szCs w:val="20"/>
        </w:rPr>
        <w:t>regidos</w:t>
      </w:r>
      <w:r w:rsidRPr="00304CB5">
        <w:rPr>
          <w:spacing w:val="-19"/>
          <w:sz w:val="20"/>
          <w:szCs w:val="20"/>
        </w:rPr>
        <w:t xml:space="preserve"> </w:t>
      </w:r>
      <w:r w:rsidRPr="00304CB5">
        <w:rPr>
          <w:sz w:val="20"/>
          <w:szCs w:val="20"/>
        </w:rPr>
        <w:t>por</w:t>
      </w:r>
      <w:r w:rsidRPr="00304CB5">
        <w:rPr>
          <w:spacing w:val="-20"/>
          <w:sz w:val="20"/>
          <w:szCs w:val="20"/>
        </w:rPr>
        <w:t xml:space="preserve"> </w:t>
      </w:r>
      <w:r w:rsidRPr="00304CB5">
        <w:rPr>
          <w:sz w:val="20"/>
          <w:szCs w:val="20"/>
        </w:rPr>
        <w:t>las</w:t>
      </w:r>
      <w:r w:rsidRPr="00304CB5">
        <w:rPr>
          <w:spacing w:val="-19"/>
          <w:sz w:val="20"/>
          <w:szCs w:val="20"/>
        </w:rPr>
        <w:t xml:space="preserve"> </w:t>
      </w:r>
      <w:r w:rsidRPr="00304CB5">
        <w:rPr>
          <w:sz w:val="20"/>
          <w:szCs w:val="20"/>
        </w:rPr>
        <w:t>reglas</w:t>
      </w:r>
      <w:r w:rsidRPr="00304CB5">
        <w:rPr>
          <w:spacing w:val="-19"/>
          <w:sz w:val="20"/>
          <w:szCs w:val="20"/>
        </w:rPr>
        <w:t xml:space="preserve"> </w:t>
      </w:r>
      <w:r w:rsidRPr="00304CB5">
        <w:rPr>
          <w:sz w:val="20"/>
          <w:szCs w:val="20"/>
        </w:rPr>
        <w:t>del</w:t>
      </w:r>
      <w:r w:rsidRPr="00304CB5">
        <w:rPr>
          <w:spacing w:val="-19"/>
          <w:sz w:val="20"/>
          <w:szCs w:val="20"/>
        </w:rPr>
        <w:t xml:space="preserve"> </w:t>
      </w:r>
      <w:r w:rsidRPr="00304CB5">
        <w:rPr>
          <w:sz w:val="20"/>
          <w:szCs w:val="20"/>
        </w:rPr>
        <w:t>EGCAP,</w:t>
      </w:r>
      <w:r w:rsidRPr="00304CB5">
        <w:rPr>
          <w:spacing w:val="-19"/>
          <w:sz w:val="20"/>
          <w:szCs w:val="20"/>
        </w:rPr>
        <w:t xml:space="preserve"> </w:t>
      </w:r>
      <w:r w:rsidRPr="00304CB5">
        <w:rPr>
          <w:sz w:val="20"/>
          <w:szCs w:val="20"/>
        </w:rPr>
        <w:t>caso</w:t>
      </w:r>
      <w:r w:rsidRPr="00304CB5">
        <w:rPr>
          <w:spacing w:val="-19"/>
          <w:sz w:val="20"/>
          <w:szCs w:val="20"/>
        </w:rPr>
        <w:t xml:space="preserve"> </w:t>
      </w:r>
      <w:r w:rsidRPr="00304CB5">
        <w:rPr>
          <w:sz w:val="20"/>
          <w:szCs w:val="20"/>
        </w:rPr>
        <w:t>en</w:t>
      </w:r>
      <w:r w:rsidRPr="00304CB5">
        <w:rPr>
          <w:spacing w:val="-20"/>
          <w:sz w:val="20"/>
          <w:szCs w:val="20"/>
        </w:rPr>
        <w:t xml:space="preserve"> </w:t>
      </w:r>
      <w:r w:rsidRPr="00304CB5">
        <w:rPr>
          <w:sz w:val="20"/>
          <w:szCs w:val="20"/>
        </w:rPr>
        <w:t>el</w:t>
      </w:r>
      <w:r w:rsidRPr="00304CB5">
        <w:rPr>
          <w:spacing w:val="-19"/>
          <w:sz w:val="20"/>
          <w:szCs w:val="20"/>
        </w:rPr>
        <w:t xml:space="preserve"> </w:t>
      </w:r>
      <w:r w:rsidRPr="00304CB5">
        <w:rPr>
          <w:sz w:val="20"/>
          <w:szCs w:val="20"/>
        </w:rPr>
        <w:t>cual</w:t>
      </w:r>
      <w:r w:rsidRPr="00304CB5">
        <w:rPr>
          <w:spacing w:val="-19"/>
          <w:sz w:val="20"/>
          <w:szCs w:val="20"/>
        </w:rPr>
        <w:t xml:space="preserve"> </w:t>
      </w:r>
      <w:r w:rsidRPr="00304CB5">
        <w:rPr>
          <w:sz w:val="20"/>
          <w:szCs w:val="20"/>
        </w:rPr>
        <w:t>participan con las mismas reglas aplicables a los demás oferentes</w:t>
      </w:r>
    </w:p>
    <w:p w14:paraId="5223633C" w14:textId="77777777" w:rsidR="00304CB5" w:rsidRDefault="00304CB5" w:rsidP="00D046FA">
      <w:pPr>
        <w:spacing w:after="0"/>
        <w:rPr>
          <w:rFonts w:ascii="Verdana" w:hAnsi="Verdana"/>
        </w:rPr>
      </w:pPr>
    </w:p>
    <w:p w14:paraId="5223633D" w14:textId="77777777" w:rsidR="00304CB5" w:rsidRDefault="00304CB5" w:rsidP="00D046FA">
      <w:pPr>
        <w:spacing w:after="0"/>
        <w:rPr>
          <w:rFonts w:ascii="Verdana" w:hAnsi="Verdana"/>
        </w:rPr>
      </w:pPr>
    </w:p>
    <w:p w14:paraId="5223633E" w14:textId="77777777" w:rsidR="00304CB5" w:rsidRDefault="00304CB5" w:rsidP="00D046FA">
      <w:pPr>
        <w:spacing w:after="0"/>
        <w:rPr>
          <w:rFonts w:ascii="Verdana" w:hAnsi="Verdana"/>
        </w:rPr>
      </w:pPr>
    </w:p>
    <w:p w14:paraId="5223633F" w14:textId="77777777" w:rsidR="00D046FA" w:rsidRPr="006804EE" w:rsidRDefault="00D046FA" w:rsidP="00D046FA">
      <w:pPr>
        <w:spacing w:after="0"/>
        <w:rPr>
          <w:rFonts w:ascii="Verdana" w:hAnsi="Verdana"/>
        </w:rPr>
      </w:pPr>
      <w:r w:rsidRPr="006804EE">
        <w:rPr>
          <w:rFonts w:ascii="Verdana" w:hAnsi="Verdana"/>
        </w:rPr>
        <w:lastRenderedPageBreak/>
        <w:t>Bogotá D.C., [Día] [</w:t>
      </w:r>
      <w:proofErr w:type="spellStart"/>
      <w:r w:rsidRPr="006804EE">
        <w:rPr>
          <w:rFonts w:ascii="Verdana" w:hAnsi="Verdana"/>
        </w:rPr>
        <w:t>Mes.NombreCapitalizado</w:t>
      </w:r>
      <w:proofErr w:type="spellEnd"/>
      <w:r w:rsidRPr="006804EE">
        <w:rPr>
          <w:rFonts w:ascii="Verdana" w:hAnsi="Verdana"/>
        </w:rPr>
        <w:t>] [Año]</w:t>
      </w:r>
    </w:p>
    <w:p w14:paraId="52236340" w14:textId="77777777" w:rsidR="00D046FA" w:rsidRPr="006804EE" w:rsidRDefault="007A0A1E" w:rsidP="00D046FA">
      <w:pPr>
        <w:spacing w:after="0" w:line="276" w:lineRule="auto"/>
        <w:rPr>
          <w:rFonts w:ascii="Verdana" w:hAnsi="Verdana"/>
        </w:rPr>
      </w:pPr>
      <w:r w:rsidRPr="007A0A1E">
        <w:rPr>
          <w:rFonts w:ascii="Verdana" w:eastAsia="Calibri" w:hAnsi="Verdana" w:cs="Arial"/>
          <w:noProof/>
          <w:lang w:val="es-ES"/>
        </w:rPr>
        <w:drawing>
          <wp:anchor distT="0" distB="0" distL="114300" distR="114300" simplePos="0" relativeHeight="251658240" behindDoc="1" locked="0" layoutInCell="1" allowOverlap="1" wp14:anchorId="522363C9" wp14:editId="524DE4A6">
            <wp:simplePos x="0" y="0"/>
            <wp:positionH relativeFrom="column">
              <wp:posOffset>3800903</wp:posOffset>
            </wp:positionH>
            <wp:positionV relativeFrom="paragraph">
              <wp:posOffset>54610</wp:posOffset>
            </wp:positionV>
            <wp:extent cx="2801553" cy="779130"/>
            <wp:effectExtent l="0" t="0" r="0" b="0"/>
            <wp:wrapNone/>
            <wp:docPr id="5205848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584866"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01553" cy="779130"/>
                    </a:xfrm>
                    <a:prstGeom prst="rect">
                      <a:avLst/>
                    </a:prstGeom>
                  </pic:spPr>
                </pic:pic>
              </a:graphicData>
            </a:graphic>
            <wp14:sizeRelH relativeFrom="page">
              <wp14:pctWidth>0</wp14:pctWidth>
            </wp14:sizeRelH>
            <wp14:sizeRelV relativeFrom="page">
              <wp14:pctHeight>0</wp14:pctHeight>
            </wp14:sizeRelV>
          </wp:anchor>
        </w:drawing>
      </w:r>
    </w:p>
    <w:p w14:paraId="52236341" w14:textId="77777777" w:rsidR="00D046FA" w:rsidRPr="006804EE" w:rsidRDefault="00D046FA" w:rsidP="00D046FA">
      <w:pPr>
        <w:spacing w:after="0" w:line="276" w:lineRule="auto"/>
        <w:rPr>
          <w:rFonts w:ascii="Verdana" w:eastAsia="Calibri" w:hAnsi="Verdana" w:cs="Arial"/>
          <w:lang w:val="es-ES"/>
        </w:rPr>
      </w:pPr>
    </w:p>
    <w:p w14:paraId="52236342" w14:textId="77777777" w:rsidR="00D046FA" w:rsidRPr="006804EE" w:rsidRDefault="00D046FA" w:rsidP="00D046FA">
      <w:pPr>
        <w:spacing w:after="0" w:line="240" w:lineRule="auto"/>
        <w:jc w:val="both"/>
        <w:rPr>
          <w:rFonts w:ascii="Verdana" w:eastAsia="Calibri" w:hAnsi="Verdana" w:cs="Arial"/>
          <w:lang w:val="es-ES" w:eastAsia="es-ES"/>
        </w:rPr>
      </w:pPr>
      <w:r w:rsidRPr="006804EE">
        <w:rPr>
          <w:rFonts w:ascii="Verdana" w:eastAsia="Calibri" w:hAnsi="Verdana" w:cs="Arial"/>
          <w:lang w:val="es-ES" w:eastAsia="es-ES"/>
        </w:rPr>
        <w:t>Señora</w:t>
      </w:r>
    </w:p>
    <w:p w14:paraId="52236343" w14:textId="77777777" w:rsidR="00D046FA" w:rsidRPr="007A0A1E" w:rsidRDefault="00D046FA" w:rsidP="00D046FA">
      <w:pPr>
        <w:spacing w:after="0" w:line="240" w:lineRule="auto"/>
        <w:jc w:val="both"/>
        <w:rPr>
          <w:rFonts w:ascii="Verdana" w:hAnsi="Verdana"/>
          <w:b/>
          <w:bCs/>
        </w:rPr>
      </w:pPr>
      <w:proofErr w:type="spellStart"/>
      <w:r w:rsidRPr="007A0A1E">
        <w:rPr>
          <w:rFonts w:ascii="Verdana" w:hAnsi="Verdana"/>
          <w:b/>
          <w:bCs/>
        </w:rPr>
        <w:t>Hassblady</w:t>
      </w:r>
      <w:proofErr w:type="spellEnd"/>
      <w:r w:rsidRPr="007A0A1E">
        <w:rPr>
          <w:rFonts w:ascii="Verdana" w:hAnsi="Verdana"/>
          <w:b/>
          <w:bCs/>
        </w:rPr>
        <w:t xml:space="preserve"> </w:t>
      </w:r>
      <w:proofErr w:type="spellStart"/>
      <w:r w:rsidRPr="007A0A1E">
        <w:rPr>
          <w:rFonts w:ascii="Verdana" w:hAnsi="Verdana"/>
          <w:b/>
          <w:bCs/>
        </w:rPr>
        <w:t>Lopez</w:t>
      </w:r>
      <w:proofErr w:type="spellEnd"/>
      <w:r w:rsidRPr="007A0A1E">
        <w:rPr>
          <w:rFonts w:ascii="Verdana" w:hAnsi="Verdana"/>
          <w:b/>
          <w:bCs/>
        </w:rPr>
        <w:t xml:space="preserve"> Abaunza</w:t>
      </w:r>
    </w:p>
    <w:p w14:paraId="52236344" w14:textId="77777777" w:rsidR="009D49AC" w:rsidRPr="007A0A1E" w:rsidRDefault="004D017C" w:rsidP="00D046FA">
      <w:pPr>
        <w:spacing w:after="0" w:line="240" w:lineRule="auto"/>
        <w:jc w:val="both"/>
        <w:rPr>
          <w:rFonts w:ascii="Verdana" w:hAnsi="Verdana"/>
        </w:rPr>
      </w:pPr>
      <w:hyperlink r:id="rId12" w:history="1">
        <w:r w:rsidR="009D49AC" w:rsidRPr="007A0A1E">
          <w:rPr>
            <w:rStyle w:val="Hipervnculo"/>
            <w:rFonts w:ascii="Verdana" w:hAnsi="Verdana"/>
          </w:rPr>
          <w:t>HASSBLADY@HOTMAIL.COM</w:t>
        </w:r>
      </w:hyperlink>
    </w:p>
    <w:p w14:paraId="52236345" w14:textId="77777777" w:rsidR="00D046FA" w:rsidRPr="006804EE" w:rsidRDefault="009D49AC" w:rsidP="00D046FA">
      <w:pPr>
        <w:spacing w:after="0" w:line="240" w:lineRule="auto"/>
        <w:jc w:val="both"/>
        <w:rPr>
          <w:rFonts w:ascii="Verdana" w:eastAsia="Calibri" w:hAnsi="Verdana" w:cs="Arial"/>
          <w:szCs w:val="24"/>
          <w:lang w:val="es-ES_tradnl" w:eastAsia="es-ES_tradnl"/>
        </w:rPr>
      </w:pPr>
      <w:r>
        <w:rPr>
          <w:rFonts w:ascii="Verdana" w:eastAsia="Calibri" w:hAnsi="Verdana" w:cs="Arial"/>
          <w:szCs w:val="24"/>
          <w:lang w:val="es-ES_tradnl" w:eastAsia="es-ES_tradnl"/>
        </w:rPr>
        <w:t xml:space="preserve">Villavicencio – Meta </w:t>
      </w:r>
    </w:p>
    <w:p w14:paraId="52236346" w14:textId="77777777" w:rsidR="00D046FA" w:rsidRPr="006804EE" w:rsidRDefault="00D046FA" w:rsidP="00D046FA">
      <w:pPr>
        <w:spacing w:after="0" w:line="240" w:lineRule="auto"/>
        <w:rPr>
          <w:rFonts w:ascii="Verdana" w:eastAsia="Calibri" w:hAnsi="Verdana" w:cs="Arial"/>
          <w:szCs w:val="24"/>
          <w:lang w:val="es-ES_tradnl" w:eastAsia="es-ES_tradnl"/>
        </w:rPr>
      </w:pPr>
    </w:p>
    <w:p w14:paraId="52236347" w14:textId="77777777" w:rsidR="00D046FA" w:rsidRPr="006804EE" w:rsidRDefault="00D046FA" w:rsidP="00D046FA">
      <w:pPr>
        <w:spacing w:after="0" w:line="240" w:lineRule="auto"/>
        <w:ind w:left="2694"/>
        <w:rPr>
          <w:rFonts w:ascii="Verdana" w:eastAsia="Calibri" w:hAnsi="Verdana" w:cs="Arial"/>
          <w:b/>
          <w:bCs/>
          <w:lang w:val="es-ES" w:eastAsia="es-ES"/>
        </w:rPr>
      </w:pPr>
      <w:r w:rsidRPr="006804EE">
        <w:rPr>
          <w:rFonts w:ascii="Verdana" w:eastAsia="Calibri" w:hAnsi="Verdana" w:cs="Arial"/>
          <w:b/>
          <w:bCs/>
          <w:lang w:val="es-ES" w:eastAsia="es-ES"/>
        </w:rPr>
        <w:t>Concepto C-475 de 2024</w:t>
      </w:r>
    </w:p>
    <w:p w14:paraId="52236348" w14:textId="77777777" w:rsidR="00D046FA" w:rsidRPr="006804EE" w:rsidRDefault="00D046FA" w:rsidP="00D046FA">
      <w:pPr>
        <w:spacing w:after="0" w:line="240" w:lineRule="auto"/>
        <w:ind w:left="2694"/>
        <w:rPr>
          <w:rFonts w:ascii="Verdana" w:eastAsia="Calibri" w:hAnsi="Verdana" w:cs="Arial"/>
          <w:szCs w:val="24"/>
          <w:lang w:val="es-ES_tradnl" w:eastAsia="es-ES_tradnl"/>
        </w:rPr>
      </w:pPr>
    </w:p>
    <w:p w14:paraId="52236349" w14:textId="77777777" w:rsidR="00D046FA" w:rsidRPr="006804EE" w:rsidRDefault="00D046FA" w:rsidP="00D046FA">
      <w:pPr>
        <w:spacing w:after="0" w:line="240" w:lineRule="auto"/>
        <w:ind w:left="2694"/>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D046FA" w:rsidRPr="006804EE" w14:paraId="5223634D" w14:textId="77777777" w:rsidTr="00F567E8">
        <w:trPr>
          <w:trHeight w:val="884"/>
        </w:trPr>
        <w:tc>
          <w:tcPr>
            <w:tcW w:w="2689" w:type="dxa"/>
          </w:tcPr>
          <w:p w14:paraId="5223634A" w14:textId="77777777" w:rsidR="00D046FA" w:rsidRPr="006804EE" w:rsidRDefault="00D046FA" w:rsidP="00F567E8">
            <w:pPr>
              <w:jc w:val="both"/>
              <w:rPr>
                <w:rFonts w:ascii="Verdana" w:eastAsia="Calibri" w:hAnsi="Verdana" w:cs="Arial"/>
                <w:szCs w:val="24"/>
                <w:lang w:val="es-ES_tradnl" w:eastAsia="es-ES_tradnl"/>
              </w:rPr>
            </w:pPr>
            <w:r w:rsidRPr="006804EE">
              <w:rPr>
                <w:rFonts w:ascii="Verdana" w:eastAsia="Calibri" w:hAnsi="Verdana" w:cs="Arial"/>
                <w:szCs w:val="24"/>
                <w:lang w:val="es-ES_tradnl" w:eastAsia="es-ES_tradnl"/>
              </w:rPr>
              <w:t xml:space="preserve">Temas:                   </w:t>
            </w:r>
          </w:p>
        </w:tc>
        <w:tc>
          <w:tcPr>
            <w:tcW w:w="6237" w:type="dxa"/>
          </w:tcPr>
          <w:p w14:paraId="5223634B" w14:textId="77777777" w:rsidR="00D046FA" w:rsidRPr="006804EE" w:rsidRDefault="006804EE" w:rsidP="00F567E8">
            <w:pPr>
              <w:jc w:val="both"/>
              <w:rPr>
                <w:rFonts w:ascii="Verdana" w:eastAsia="Calibri" w:hAnsi="Verdana" w:cs="Arial"/>
                <w:lang w:val="es-ES" w:eastAsia="es-ES"/>
              </w:rPr>
            </w:pPr>
            <w:r w:rsidRPr="006804EE">
              <w:rPr>
                <w:rFonts w:ascii="Verdana" w:eastAsia="Calibri" w:hAnsi="Verdana" w:cs="Arial"/>
                <w:bCs/>
                <w:lang w:val="es-ES_tradnl"/>
              </w:rPr>
              <w:t>CONSORCIOS Y UNIONES TEMPORALES – Naturaleza / ESTRUCTURAS PLURALES – CONSORCIOS Y UNIONES TEMPORALES – Capacidad para contratar – Finalidades / CAPACIDAD JURÍDICA – Definición / CONSORCIOS Y UNIONES TEMPORALES – Concepto / ENTIDADES SIN ÁNIMO DE LUCRO – Naturaleza jurídica – Capacidad para contratar / ENTIDADES SIN ÁNIMO DE LUCRO – Capacidad para Integrar Consorcios o Uniones Temporales</w:t>
            </w:r>
          </w:p>
        </w:tc>
        <w:tc>
          <w:tcPr>
            <w:tcW w:w="6237" w:type="dxa"/>
          </w:tcPr>
          <w:p w14:paraId="5223634C" w14:textId="77777777" w:rsidR="00D046FA" w:rsidRPr="006804EE" w:rsidRDefault="00D046FA" w:rsidP="00F567E8">
            <w:pPr>
              <w:jc w:val="both"/>
              <w:rPr>
                <w:rFonts w:ascii="Verdana" w:hAnsi="Verdana" w:cs="Arial"/>
                <w:lang w:val="es-ES"/>
              </w:rPr>
            </w:pPr>
          </w:p>
        </w:tc>
      </w:tr>
      <w:tr w:rsidR="00D046FA" w:rsidRPr="006804EE" w14:paraId="52236351" w14:textId="77777777" w:rsidTr="00F567E8">
        <w:tc>
          <w:tcPr>
            <w:tcW w:w="2689" w:type="dxa"/>
          </w:tcPr>
          <w:p w14:paraId="5223634E" w14:textId="77777777" w:rsidR="00D046FA" w:rsidRPr="006804EE" w:rsidRDefault="00D046FA" w:rsidP="00F567E8">
            <w:pPr>
              <w:spacing w:before="120"/>
              <w:jc w:val="both"/>
              <w:rPr>
                <w:rFonts w:ascii="Verdana" w:eastAsia="Calibri" w:hAnsi="Verdana" w:cs="Arial"/>
                <w:szCs w:val="24"/>
                <w:lang w:val="es-ES_tradnl" w:eastAsia="es-ES_tradnl"/>
              </w:rPr>
            </w:pPr>
            <w:r w:rsidRPr="006804EE">
              <w:rPr>
                <w:rFonts w:ascii="Verdana" w:eastAsia="Calibri" w:hAnsi="Verdana" w:cs="Arial"/>
                <w:szCs w:val="24"/>
                <w:lang w:val="es-ES_tradnl" w:eastAsia="es-ES_tradnl"/>
              </w:rPr>
              <w:t xml:space="preserve">Radicación:               </w:t>
            </w:r>
          </w:p>
        </w:tc>
        <w:tc>
          <w:tcPr>
            <w:tcW w:w="6237" w:type="dxa"/>
          </w:tcPr>
          <w:p w14:paraId="5223634F" w14:textId="77777777" w:rsidR="00D046FA" w:rsidRPr="006804EE" w:rsidRDefault="00D046FA" w:rsidP="00F567E8">
            <w:pPr>
              <w:spacing w:before="120"/>
              <w:jc w:val="both"/>
              <w:rPr>
                <w:rFonts w:ascii="Verdana" w:eastAsia="Calibri" w:hAnsi="Verdana" w:cs="Arial"/>
                <w:szCs w:val="24"/>
                <w:lang w:val="es-ES_tradnl" w:eastAsia="es-ES_tradnl"/>
              </w:rPr>
            </w:pPr>
            <w:r w:rsidRPr="006804EE">
              <w:rPr>
                <w:rFonts w:ascii="Verdana" w:eastAsia="Calibri" w:hAnsi="Verdana" w:cs="Arial"/>
                <w:szCs w:val="24"/>
                <w:lang w:val="es-ES_tradnl" w:eastAsia="es-ES_tradnl"/>
              </w:rPr>
              <w:t>Respuesta a consulta con radicado No. P20240810008197</w:t>
            </w:r>
          </w:p>
        </w:tc>
        <w:tc>
          <w:tcPr>
            <w:tcW w:w="6237" w:type="dxa"/>
          </w:tcPr>
          <w:p w14:paraId="52236350" w14:textId="77777777" w:rsidR="00D046FA" w:rsidRPr="006804EE" w:rsidRDefault="00D046FA" w:rsidP="00F567E8">
            <w:pPr>
              <w:spacing w:before="120"/>
              <w:jc w:val="both"/>
              <w:rPr>
                <w:rFonts w:ascii="Verdana" w:eastAsia="Calibri" w:hAnsi="Verdana" w:cs="Arial"/>
                <w:szCs w:val="24"/>
                <w:lang w:val="es-ES_tradnl" w:eastAsia="es-ES_tradnl"/>
              </w:rPr>
            </w:pPr>
          </w:p>
        </w:tc>
      </w:tr>
    </w:tbl>
    <w:p w14:paraId="52236352" w14:textId="77777777" w:rsidR="00D046FA" w:rsidRPr="006804EE" w:rsidRDefault="00D046FA" w:rsidP="00D046FA">
      <w:pPr>
        <w:spacing w:after="0" w:line="240" w:lineRule="auto"/>
        <w:jc w:val="both"/>
        <w:rPr>
          <w:rFonts w:ascii="Verdana" w:eastAsia="Calibri" w:hAnsi="Verdana" w:cs="Arial"/>
          <w:szCs w:val="24"/>
          <w:lang w:val="es-ES_tradnl" w:eastAsia="es-ES_tradnl"/>
        </w:rPr>
      </w:pPr>
    </w:p>
    <w:p w14:paraId="52236353" w14:textId="77777777" w:rsidR="00D046FA" w:rsidRPr="006804EE" w:rsidRDefault="00D046FA" w:rsidP="00D046FA">
      <w:pPr>
        <w:spacing w:after="0" w:line="240" w:lineRule="auto"/>
        <w:jc w:val="both"/>
        <w:rPr>
          <w:rFonts w:ascii="Verdana" w:eastAsia="Calibri" w:hAnsi="Verdana" w:cs="Arial"/>
          <w:szCs w:val="24"/>
          <w:lang w:val="es-ES_tradnl" w:eastAsia="es-ES_tradnl"/>
        </w:rPr>
      </w:pPr>
    </w:p>
    <w:p w14:paraId="52236354" w14:textId="77777777" w:rsidR="00D046FA" w:rsidRPr="006804EE" w:rsidRDefault="00D046FA" w:rsidP="00D046FA">
      <w:pPr>
        <w:spacing w:after="0" w:line="240" w:lineRule="auto"/>
        <w:jc w:val="both"/>
        <w:rPr>
          <w:rFonts w:ascii="Verdana" w:eastAsia="Calibri" w:hAnsi="Verdana" w:cs="Arial"/>
          <w:lang w:val="es-ES" w:eastAsia="es-ES"/>
        </w:rPr>
      </w:pPr>
      <w:r w:rsidRPr="006804EE">
        <w:rPr>
          <w:rFonts w:ascii="Verdana" w:eastAsia="Calibri" w:hAnsi="Verdana" w:cs="Arial"/>
          <w:lang w:val="es-ES" w:eastAsia="es-ES"/>
        </w:rPr>
        <w:t xml:space="preserve">Estimada señora </w:t>
      </w:r>
      <w:proofErr w:type="spellStart"/>
      <w:r w:rsidRPr="006804EE">
        <w:rPr>
          <w:rFonts w:ascii="Verdana" w:eastAsia="Calibri" w:hAnsi="Verdana" w:cs="Arial"/>
          <w:lang w:val="es-ES" w:eastAsia="es-ES"/>
        </w:rPr>
        <w:t>Hassblady</w:t>
      </w:r>
      <w:proofErr w:type="spellEnd"/>
      <w:r w:rsidRPr="006804EE">
        <w:rPr>
          <w:rFonts w:ascii="Verdana" w:eastAsia="Calibri" w:hAnsi="Verdana" w:cs="Arial"/>
          <w:lang w:val="es-ES" w:eastAsia="es-ES"/>
        </w:rPr>
        <w:t xml:space="preserve">: </w:t>
      </w:r>
    </w:p>
    <w:p w14:paraId="52236355" w14:textId="77777777" w:rsidR="00D046FA" w:rsidRPr="006804EE" w:rsidRDefault="00D046FA" w:rsidP="00D046FA">
      <w:pPr>
        <w:spacing w:after="0" w:line="240" w:lineRule="auto"/>
        <w:jc w:val="both"/>
        <w:rPr>
          <w:rFonts w:ascii="Verdana" w:eastAsia="Calibri" w:hAnsi="Verdana" w:cs="Arial"/>
          <w:lang w:val="es-ES" w:eastAsia="es-ES"/>
        </w:rPr>
      </w:pPr>
    </w:p>
    <w:p w14:paraId="52236356" w14:textId="77777777" w:rsidR="00D046FA" w:rsidRPr="006804EE" w:rsidRDefault="00D046FA" w:rsidP="00D046FA">
      <w:pPr>
        <w:spacing w:after="0" w:line="240" w:lineRule="auto"/>
        <w:jc w:val="both"/>
        <w:rPr>
          <w:rFonts w:ascii="Verdana" w:eastAsia="Calibri" w:hAnsi="Verdana" w:cs="Arial"/>
          <w:szCs w:val="24"/>
          <w:lang w:val="es-ES_tradnl" w:eastAsia="es-ES_tradnl"/>
        </w:rPr>
      </w:pPr>
    </w:p>
    <w:p w14:paraId="52236357" w14:textId="77777777" w:rsidR="00D046FA" w:rsidRPr="006804EE" w:rsidRDefault="00D046FA" w:rsidP="00D046FA">
      <w:pPr>
        <w:spacing w:after="120" w:line="276" w:lineRule="auto"/>
        <w:jc w:val="both"/>
        <w:rPr>
          <w:rFonts w:ascii="Verdana" w:eastAsia="Calibri" w:hAnsi="Verdana" w:cs="Arial"/>
          <w:lang w:val="es-ES" w:eastAsia="es-ES"/>
        </w:rPr>
      </w:pPr>
      <w:r w:rsidRPr="006804EE">
        <w:rPr>
          <w:rFonts w:ascii="Verdana" w:eastAsia="Calibri" w:hAnsi="Verdana" w:cs="Arial"/>
          <w:lang w:val="es-ES" w:eastAsia="es-ES"/>
        </w:rPr>
        <w:t>En ejercicio de la competencia otorgada por los artículos 3, numeral 5º, y 11, numeral 8º, del Decreto Ley 4170 de 2011,</w:t>
      </w:r>
      <w:r w:rsidRPr="006804EE">
        <w:rPr>
          <w:rFonts w:ascii="Verdana" w:eastAsia="Arial MT" w:hAnsi="Verdana" w:cs="Arial MT"/>
          <w:lang w:val="es-ES" w:eastAsia="es-ES"/>
        </w:rPr>
        <w:t xml:space="preserve"> </w:t>
      </w:r>
      <w:r w:rsidRPr="006804EE">
        <w:rPr>
          <w:rFonts w:ascii="Verdana" w:eastAsia="Calibri" w:hAnsi="Verdana" w:cs="Arial"/>
          <w:lang w:val="es-ES" w:eastAsia="es-ES"/>
        </w:rPr>
        <w:t>la Agencia Nacional de Contratación Pública – Colombia Compra Eficiente– responde la solicitud del 10 de agosto de 2024, en la cual manifiesta lo siguiente:</w:t>
      </w:r>
    </w:p>
    <w:p w14:paraId="52236358" w14:textId="77777777" w:rsidR="00D046FA" w:rsidRPr="006804EE" w:rsidRDefault="00D046FA" w:rsidP="00D046FA">
      <w:pPr>
        <w:spacing w:after="120" w:line="276" w:lineRule="auto"/>
        <w:jc w:val="both"/>
        <w:rPr>
          <w:rFonts w:ascii="Verdana" w:eastAsia="Calibri" w:hAnsi="Verdana" w:cs="Arial"/>
          <w:sz w:val="21"/>
          <w:szCs w:val="21"/>
          <w:lang w:val="es-ES" w:eastAsia="es-ES"/>
        </w:rPr>
      </w:pPr>
    </w:p>
    <w:p w14:paraId="52236359" w14:textId="77777777" w:rsidR="00D046FA" w:rsidRPr="006804EE" w:rsidRDefault="00D046FA" w:rsidP="00D046FA">
      <w:pPr>
        <w:spacing w:after="0" w:line="240" w:lineRule="auto"/>
        <w:ind w:left="709" w:right="709"/>
        <w:jc w:val="both"/>
        <w:rPr>
          <w:rFonts w:ascii="Verdana" w:eastAsia="Calibri" w:hAnsi="Verdana" w:cs="Arial"/>
          <w:sz w:val="21"/>
          <w:szCs w:val="21"/>
          <w:lang w:val="es-ES" w:eastAsia="es-ES"/>
        </w:rPr>
      </w:pPr>
      <w:r w:rsidRPr="006804EE">
        <w:rPr>
          <w:rFonts w:ascii="Verdana" w:eastAsia="Calibri" w:hAnsi="Verdana" w:cs="Arial"/>
          <w:sz w:val="21"/>
          <w:szCs w:val="21"/>
          <w:lang w:val="es-ES" w:eastAsia="es-ES"/>
        </w:rPr>
        <w:t>“¿Es viable que un oferente se presente como consorcio o unión temporal y un integrante o miembro sea ESAL</w:t>
      </w:r>
      <w:r w:rsidRPr="006804EE">
        <w:rPr>
          <w:rFonts w:ascii="Verdana" w:hAnsi="Verdana"/>
        </w:rPr>
        <w:t>?</w:t>
      </w:r>
      <w:r w:rsidRPr="006804EE">
        <w:rPr>
          <w:rFonts w:ascii="Verdana" w:eastAsia="Calibri" w:hAnsi="Verdana" w:cs="Arial"/>
          <w:sz w:val="21"/>
          <w:szCs w:val="21"/>
          <w:lang w:val="es-ES" w:eastAsia="es-ES"/>
        </w:rPr>
        <w:t>”</w:t>
      </w:r>
    </w:p>
    <w:p w14:paraId="5223635A" w14:textId="77777777" w:rsidR="00D046FA" w:rsidRPr="006804EE" w:rsidRDefault="00D046FA" w:rsidP="00D046FA">
      <w:pPr>
        <w:spacing w:after="0" w:line="240" w:lineRule="auto"/>
        <w:ind w:left="709" w:right="709"/>
        <w:jc w:val="both"/>
        <w:rPr>
          <w:rFonts w:ascii="Verdana" w:eastAsia="Calibri" w:hAnsi="Verdana" w:cs="Arial"/>
          <w:sz w:val="20"/>
          <w:szCs w:val="20"/>
          <w:lang w:val="es-ES" w:eastAsia="es-ES"/>
        </w:rPr>
      </w:pPr>
    </w:p>
    <w:p w14:paraId="5223635B" w14:textId="77777777" w:rsidR="00D046FA" w:rsidRPr="006804EE" w:rsidRDefault="00D046FA" w:rsidP="00D046FA">
      <w:pPr>
        <w:spacing w:after="0" w:line="240" w:lineRule="auto"/>
        <w:ind w:left="709" w:right="709"/>
        <w:jc w:val="both"/>
        <w:rPr>
          <w:rFonts w:ascii="Verdana" w:eastAsia="Calibri" w:hAnsi="Verdana" w:cs="Arial"/>
          <w:lang w:val="es-ES" w:eastAsia="es-ES_tradnl"/>
        </w:rPr>
      </w:pPr>
    </w:p>
    <w:p w14:paraId="5223635C" w14:textId="77777777" w:rsidR="00D046FA" w:rsidRPr="006804EE" w:rsidRDefault="00D046FA" w:rsidP="00D046FA">
      <w:pPr>
        <w:spacing w:after="120" w:line="276" w:lineRule="auto"/>
        <w:jc w:val="both"/>
        <w:rPr>
          <w:rFonts w:ascii="Verdana" w:eastAsia="Calibri" w:hAnsi="Verdana" w:cs="Arial"/>
          <w:lang w:val="es-ES" w:eastAsia="es-ES"/>
        </w:rPr>
      </w:pPr>
      <w:r w:rsidRPr="006804EE">
        <w:rPr>
          <w:rFonts w:ascii="Verdana" w:eastAsia="Calibri" w:hAnsi="Verdana" w:cs="Arial"/>
          <w:lang w:val="es-ES_tradnl" w:eastAsia="es-ES_tradnl"/>
        </w:rPr>
        <w:tab/>
      </w:r>
      <w:r w:rsidRPr="006804E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804EE">
        <w:rPr>
          <w:rFonts w:ascii="Verdana" w:eastAsia="Calibri" w:hAnsi="Verdana" w:cs="Arial"/>
          <w:lang w:val="es-ES" w:eastAsia="es-ES"/>
        </w:rPr>
        <w:tab/>
      </w:r>
    </w:p>
    <w:p w14:paraId="5223635D" w14:textId="77777777" w:rsidR="00D046FA" w:rsidRPr="006804EE" w:rsidRDefault="00D046FA" w:rsidP="00D046FA">
      <w:pPr>
        <w:spacing w:after="0" w:line="276" w:lineRule="auto"/>
        <w:ind w:firstLine="708"/>
        <w:jc w:val="both"/>
        <w:rPr>
          <w:rFonts w:ascii="Verdana" w:eastAsia="Calibri" w:hAnsi="Verdana" w:cs="Arial"/>
          <w:lang w:val="es-ES" w:eastAsia="es-ES"/>
        </w:rPr>
      </w:pPr>
      <w:r w:rsidRPr="006804E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223635E" w14:textId="77777777" w:rsidR="00D046FA" w:rsidRPr="006804EE" w:rsidRDefault="00D046FA" w:rsidP="00D046FA">
      <w:pPr>
        <w:spacing w:after="0" w:line="276" w:lineRule="auto"/>
        <w:ind w:firstLine="708"/>
        <w:jc w:val="both"/>
        <w:rPr>
          <w:rFonts w:ascii="Verdana" w:eastAsia="Calibri" w:hAnsi="Verdana" w:cs="Arial"/>
          <w:lang w:val="es-ES" w:eastAsia="es-ES"/>
        </w:rPr>
      </w:pPr>
    </w:p>
    <w:p w14:paraId="5223635F" w14:textId="77777777" w:rsidR="00D046FA" w:rsidRPr="006804EE" w:rsidRDefault="00D046FA" w:rsidP="00D046FA">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6804EE">
        <w:rPr>
          <w:rFonts w:ascii="Verdana" w:eastAsia="Century Gothic" w:hAnsi="Verdana" w:cs="Century Gothic"/>
          <w:b/>
          <w:bCs/>
          <w:lang w:val="es-ES"/>
        </w:rPr>
        <w:t>Problema planteado:</w:t>
      </w:r>
    </w:p>
    <w:p w14:paraId="52236360" w14:textId="77777777" w:rsidR="00D046FA" w:rsidRPr="006804EE" w:rsidRDefault="00D046FA" w:rsidP="00D046FA">
      <w:pPr>
        <w:spacing w:after="120" w:line="276" w:lineRule="auto"/>
        <w:jc w:val="both"/>
        <w:rPr>
          <w:rFonts w:ascii="Verdana" w:eastAsia="Century Gothic" w:hAnsi="Verdana" w:cs="Century Gothic"/>
        </w:rPr>
      </w:pPr>
    </w:p>
    <w:p w14:paraId="52236361" w14:textId="77777777" w:rsidR="00D046FA" w:rsidRPr="006804EE" w:rsidRDefault="00D046FA" w:rsidP="00D046FA">
      <w:pPr>
        <w:spacing w:after="120" w:line="276" w:lineRule="auto"/>
        <w:jc w:val="both"/>
        <w:rPr>
          <w:rFonts w:ascii="Verdana" w:hAnsi="Verdana" w:cs="Arial"/>
          <w:bCs/>
          <w:lang w:val="es-ES_tradnl"/>
        </w:rPr>
      </w:pPr>
      <w:r w:rsidRPr="006804EE">
        <w:rPr>
          <w:rFonts w:ascii="Verdana" w:eastAsia="Century Gothic" w:hAnsi="Verdana" w:cs="Century Gothic"/>
        </w:rPr>
        <w:t>De acuerdo con el contenido de su solicitud, esta Agencia resolverá el siguientes problema jurídico:</w:t>
      </w:r>
      <w:r w:rsidRPr="006804EE">
        <w:rPr>
          <w:rFonts w:ascii="Verdana" w:hAnsi="Verdana"/>
        </w:rPr>
        <w:t xml:space="preserve"> ¿puede una ESAL ser parte de un consorcio o unión temporal </w:t>
      </w:r>
      <w:r w:rsidR="00943A42" w:rsidRPr="006804EE">
        <w:rPr>
          <w:rFonts w:ascii="Verdana" w:hAnsi="Verdana"/>
        </w:rPr>
        <w:t>con otro tipo de sociedades, con el fin de participar en procesos de selección pública</w:t>
      </w:r>
      <w:r w:rsidRPr="006804EE">
        <w:rPr>
          <w:rFonts w:ascii="Verdana" w:hAnsi="Verdana"/>
        </w:rPr>
        <w:t>?</w:t>
      </w:r>
    </w:p>
    <w:p w14:paraId="52236362" w14:textId="77777777" w:rsidR="00D046FA" w:rsidRPr="006804EE" w:rsidRDefault="00D046FA" w:rsidP="00D046FA">
      <w:pPr>
        <w:spacing w:after="120" w:line="276" w:lineRule="auto"/>
        <w:jc w:val="both"/>
        <w:rPr>
          <w:rFonts w:ascii="Verdana" w:hAnsi="Verdana" w:cs="Arial"/>
          <w:bCs/>
          <w:lang w:val="es-ES_tradnl"/>
        </w:rPr>
      </w:pPr>
    </w:p>
    <w:p w14:paraId="52236363" w14:textId="77777777" w:rsidR="00D046FA" w:rsidRPr="006804EE" w:rsidRDefault="00D046FA" w:rsidP="00D046F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6804EE">
        <w:rPr>
          <w:rFonts w:ascii="Verdana" w:eastAsia="Century Gothic" w:hAnsi="Verdana" w:cs="Century Gothic"/>
          <w:b/>
          <w:bCs/>
          <w:lang w:val="es-ES"/>
        </w:rPr>
        <w:t>Respuesta:</w:t>
      </w:r>
    </w:p>
    <w:p w14:paraId="52236364" w14:textId="77777777" w:rsidR="00D046FA" w:rsidRPr="006804EE" w:rsidRDefault="00D046FA" w:rsidP="00D046FA">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52236365" w14:textId="77777777" w:rsidR="009367DF" w:rsidRPr="006804EE" w:rsidRDefault="009367DF" w:rsidP="009367DF">
      <w:pPr>
        <w:pStyle w:val="Textoindependiente"/>
        <w:spacing w:after="120" w:line="276" w:lineRule="auto"/>
        <w:ind w:firstLine="708"/>
        <w:jc w:val="both"/>
      </w:pPr>
      <w:r w:rsidRPr="006804EE">
        <w:t>Las uniones temporales y consorcios son contratos de asociación, los cuales consisten en que dos o más personas naturales o jurídicas en forma conjunta presentan una misma propuesta para la adjudicación, celebración y ejecución de un contrato estatal.</w:t>
      </w:r>
    </w:p>
    <w:p w14:paraId="52236366" w14:textId="77777777" w:rsidR="009367DF" w:rsidRPr="006804EE" w:rsidRDefault="009367DF" w:rsidP="009367DF">
      <w:pPr>
        <w:pStyle w:val="Textoindependiente"/>
        <w:spacing w:after="120" w:line="276" w:lineRule="auto"/>
        <w:ind w:firstLine="708"/>
        <w:jc w:val="both"/>
      </w:pPr>
      <w:r w:rsidRPr="006804EE">
        <w:lastRenderedPageBreak/>
        <w:t>El Consejo de Estado estableció que “la razón de ser de los consorcios o uniones temporales es justamente la unión de fuerzas y requisitos para presentar una oferta. Son instrumentos de asociación que tienen por finalidad lograr la cooperación o colaboración entre los sujetos que la componen, para alcanzar un objetivo común.”</w:t>
      </w:r>
      <w:r w:rsidRPr="006804EE">
        <w:rPr>
          <w:rStyle w:val="Refdenotaalpie"/>
        </w:rPr>
        <w:footnoteReference w:id="1"/>
      </w:r>
      <w:r w:rsidRPr="006804EE">
        <w:t xml:space="preserve"> </w:t>
      </w:r>
    </w:p>
    <w:p w14:paraId="52236367" w14:textId="77777777" w:rsidR="009367DF" w:rsidRPr="006804EE" w:rsidRDefault="009367DF" w:rsidP="009367DF">
      <w:pPr>
        <w:pStyle w:val="Textoindependiente"/>
        <w:spacing w:after="120" w:line="276" w:lineRule="auto"/>
        <w:ind w:firstLine="708"/>
        <w:jc w:val="both"/>
      </w:pPr>
      <w:r w:rsidRPr="006804EE">
        <w:t>En ese sentido, estas asociaciones son un instrumento legal para fortalecer a aquellos proponentes que individualmente no alcanzan a cumplir con los requisitos del proceso, ya sea por sus condiciones propias o porque teniendo las suficientes condiciones para ofertar pretenden mejorarlas y aumentarlas.</w:t>
      </w:r>
    </w:p>
    <w:p w14:paraId="52236368" w14:textId="77777777" w:rsidR="009367DF" w:rsidRPr="006804EE" w:rsidRDefault="00943A42" w:rsidP="009367DF">
      <w:pPr>
        <w:pStyle w:val="Textoindependiente"/>
        <w:spacing w:after="120" w:line="276" w:lineRule="auto"/>
        <w:ind w:firstLine="708"/>
        <w:jc w:val="both"/>
      </w:pPr>
      <w:r w:rsidRPr="006804EE">
        <w:t>En Colombia, las fundaciones y asociaciones sin ánimo de lucro (ESAL) pueden participar en procesos de licitación pública, ya sea de forma individual o bajo modalidades de consorcio o unión temporal, ya que no se encuentran inhabilitadas y dicha actividad no está prohibida en el ordenamiento jurídico colombiano.</w:t>
      </w:r>
    </w:p>
    <w:p w14:paraId="52236369" w14:textId="77777777" w:rsidR="009367DF" w:rsidRPr="006804EE" w:rsidRDefault="00943A42" w:rsidP="009367DF">
      <w:pPr>
        <w:pStyle w:val="Textoindependiente"/>
        <w:spacing w:after="120" w:line="276" w:lineRule="auto"/>
        <w:ind w:firstLine="708"/>
        <w:jc w:val="both"/>
      </w:pPr>
      <w:r w:rsidRPr="006804EE">
        <w:t>Ahora</w:t>
      </w:r>
      <w:r w:rsidRPr="006804EE">
        <w:rPr>
          <w:spacing w:val="-15"/>
        </w:rPr>
        <w:t xml:space="preserve"> </w:t>
      </w:r>
      <w:r w:rsidRPr="006804EE">
        <w:t>bien,</w:t>
      </w:r>
      <w:r w:rsidRPr="006804EE">
        <w:rPr>
          <w:spacing w:val="-15"/>
        </w:rPr>
        <w:t xml:space="preserve"> </w:t>
      </w:r>
      <w:r w:rsidRPr="006804EE">
        <w:t>es</w:t>
      </w:r>
      <w:r w:rsidRPr="006804EE">
        <w:rPr>
          <w:spacing w:val="-16"/>
        </w:rPr>
        <w:t xml:space="preserve"> </w:t>
      </w:r>
      <w:r w:rsidRPr="006804EE">
        <w:t>de</w:t>
      </w:r>
      <w:r w:rsidRPr="006804EE">
        <w:rPr>
          <w:spacing w:val="-16"/>
        </w:rPr>
        <w:t xml:space="preserve"> </w:t>
      </w:r>
      <w:r w:rsidRPr="006804EE">
        <w:t>tener</w:t>
      </w:r>
      <w:r w:rsidRPr="006804EE">
        <w:rPr>
          <w:spacing w:val="-15"/>
        </w:rPr>
        <w:t xml:space="preserve"> </w:t>
      </w:r>
      <w:r w:rsidRPr="006804EE">
        <w:t>en</w:t>
      </w:r>
      <w:r w:rsidRPr="006804EE">
        <w:rPr>
          <w:spacing w:val="-16"/>
        </w:rPr>
        <w:t xml:space="preserve"> </w:t>
      </w:r>
      <w:r w:rsidRPr="006804EE">
        <w:t>cuenta</w:t>
      </w:r>
      <w:r w:rsidRPr="006804EE">
        <w:rPr>
          <w:spacing w:val="-15"/>
        </w:rPr>
        <w:t xml:space="preserve"> </w:t>
      </w:r>
      <w:r w:rsidRPr="006804EE">
        <w:t>que,</w:t>
      </w:r>
      <w:r w:rsidRPr="006804EE">
        <w:rPr>
          <w:spacing w:val="-15"/>
        </w:rPr>
        <w:t xml:space="preserve"> </w:t>
      </w:r>
      <w:r w:rsidRPr="006804EE">
        <w:t>aunque</w:t>
      </w:r>
      <w:r w:rsidRPr="006804EE">
        <w:rPr>
          <w:spacing w:val="-15"/>
        </w:rPr>
        <w:t xml:space="preserve"> </w:t>
      </w:r>
      <w:r w:rsidRPr="006804EE">
        <w:t>las</w:t>
      </w:r>
      <w:r w:rsidRPr="006804EE">
        <w:rPr>
          <w:spacing w:val="-16"/>
        </w:rPr>
        <w:t xml:space="preserve"> </w:t>
      </w:r>
      <w:r w:rsidRPr="006804EE">
        <w:t>ESAL</w:t>
      </w:r>
      <w:r w:rsidRPr="006804EE">
        <w:rPr>
          <w:spacing w:val="-15"/>
        </w:rPr>
        <w:t xml:space="preserve"> </w:t>
      </w:r>
      <w:r w:rsidRPr="006804EE">
        <w:t>no</w:t>
      </w:r>
      <w:r w:rsidRPr="006804EE">
        <w:rPr>
          <w:spacing w:val="-16"/>
        </w:rPr>
        <w:t xml:space="preserve"> </w:t>
      </w:r>
      <w:r w:rsidRPr="006804EE">
        <w:t>tienen</w:t>
      </w:r>
      <w:r w:rsidRPr="006804EE">
        <w:rPr>
          <w:spacing w:val="-15"/>
        </w:rPr>
        <w:t xml:space="preserve"> </w:t>
      </w:r>
      <w:r w:rsidRPr="006804EE">
        <w:t>como</w:t>
      </w:r>
      <w:r w:rsidRPr="006804EE">
        <w:rPr>
          <w:spacing w:val="-15"/>
        </w:rPr>
        <w:t xml:space="preserve"> </w:t>
      </w:r>
      <w:r w:rsidRPr="006804EE">
        <w:t>objetivo la</w:t>
      </w:r>
      <w:r w:rsidRPr="006804EE">
        <w:rPr>
          <w:spacing w:val="77"/>
        </w:rPr>
        <w:t xml:space="preserve"> </w:t>
      </w:r>
      <w:r w:rsidRPr="006804EE">
        <w:t>generación</w:t>
      </w:r>
      <w:r w:rsidRPr="006804EE">
        <w:rPr>
          <w:spacing w:val="80"/>
        </w:rPr>
        <w:t xml:space="preserve"> </w:t>
      </w:r>
      <w:r w:rsidRPr="006804EE">
        <w:t>de</w:t>
      </w:r>
      <w:r w:rsidRPr="006804EE">
        <w:rPr>
          <w:spacing w:val="77"/>
        </w:rPr>
        <w:t xml:space="preserve"> </w:t>
      </w:r>
      <w:r w:rsidRPr="006804EE">
        <w:t>utilidades,</w:t>
      </w:r>
      <w:r w:rsidRPr="006804EE">
        <w:rPr>
          <w:spacing w:val="80"/>
        </w:rPr>
        <w:t xml:space="preserve"> </w:t>
      </w:r>
      <w:r w:rsidRPr="006804EE">
        <w:t>esto</w:t>
      </w:r>
      <w:r w:rsidRPr="006804EE">
        <w:rPr>
          <w:spacing w:val="78"/>
        </w:rPr>
        <w:t xml:space="preserve"> </w:t>
      </w:r>
      <w:r w:rsidRPr="006804EE">
        <w:t>no</w:t>
      </w:r>
      <w:r w:rsidRPr="006804EE">
        <w:rPr>
          <w:spacing w:val="77"/>
        </w:rPr>
        <w:t xml:space="preserve"> </w:t>
      </w:r>
      <w:r w:rsidRPr="006804EE">
        <w:t>les</w:t>
      </w:r>
      <w:r w:rsidRPr="006804EE">
        <w:rPr>
          <w:spacing w:val="77"/>
        </w:rPr>
        <w:t xml:space="preserve"> </w:t>
      </w:r>
      <w:r w:rsidRPr="006804EE">
        <w:t>impide</w:t>
      </w:r>
      <w:r w:rsidRPr="006804EE">
        <w:rPr>
          <w:spacing w:val="78"/>
        </w:rPr>
        <w:t xml:space="preserve"> </w:t>
      </w:r>
      <w:r w:rsidRPr="006804EE">
        <w:t>participar</w:t>
      </w:r>
      <w:r w:rsidRPr="006804EE">
        <w:rPr>
          <w:spacing w:val="80"/>
        </w:rPr>
        <w:t xml:space="preserve"> </w:t>
      </w:r>
      <w:r w:rsidRPr="006804EE">
        <w:t>en</w:t>
      </w:r>
      <w:r w:rsidRPr="006804EE">
        <w:rPr>
          <w:spacing w:val="77"/>
        </w:rPr>
        <w:t xml:space="preserve"> </w:t>
      </w:r>
      <w:r w:rsidRPr="006804EE">
        <w:t>contratos</w:t>
      </w:r>
      <w:r w:rsidRPr="006804EE">
        <w:rPr>
          <w:spacing w:val="79"/>
        </w:rPr>
        <w:t xml:space="preserve"> </w:t>
      </w:r>
      <w:r w:rsidRPr="006804EE">
        <w:t>o</w:t>
      </w:r>
      <w:r w:rsidR="009367DF" w:rsidRPr="006804EE">
        <w:t xml:space="preserve"> actividades comerciales que generen ingresos, siempre y cuando estos se reinviertan en el cumplimiento de sus fines sociales, y no se distribuyan entre sus</w:t>
      </w:r>
      <w:r w:rsidR="009367DF" w:rsidRPr="006804EE">
        <w:rPr>
          <w:spacing w:val="-20"/>
        </w:rPr>
        <w:t xml:space="preserve"> </w:t>
      </w:r>
      <w:r w:rsidR="009367DF" w:rsidRPr="006804EE">
        <w:t>miembros;</w:t>
      </w:r>
      <w:r w:rsidR="009367DF" w:rsidRPr="006804EE">
        <w:rPr>
          <w:spacing w:val="-19"/>
        </w:rPr>
        <w:t xml:space="preserve"> </w:t>
      </w:r>
      <w:r w:rsidR="009367DF" w:rsidRPr="006804EE">
        <w:t>no</w:t>
      </w:r>
      <w:r w:rsidR="009367DF" w:rsidRPr="006804EE">
        <w:rPr>
          <w:spacing w:val="-19"/>
        </w:rPr>
        <w:t xml:space="preserve"> </w:t>
      </w:r>
      <w:r w:rsidR="009367DF" w:rsidRPr="006804EE">
        <w:t>obstante,</w:t>
      </w:r>
      <w:r w:rsidR="009367DF" w:rsidRPr="006804EE">
        <w:rPr>
          <w:spacing w:val="-19"/>
        </w:rPr>
        <w:t xml:space="preserve"> </w:t>
      </w:r>
      <w:r w:rsidR="009367DF" w:rsidRPr="006804EE">
        <w:t>esto</w:t>
      </w:r>
      <w:r w:rsidR="009367DF" w:rsidRPr="006804EE">
        <w:rPr>
          <w:spacing w:val="-19"/>
        </w:rPr>
        <w:t xml:space="preserve"> </w:t>
      </w:r>
      <w:r w:rsidR="009367DF" w:rsidRPr="006804EE">
        <w:t>no</w:t>
      </w:r>
      <w:r w:rsidR="009367DF" w:rsidRPr="006804EE">
        <w:rPr>
          <w:spacing w:val="-19"/>
        </w:rPr>
        <w:t xml:space="preserve"> </w:t>
      </w:r>
      <w:r w:rsidR="009367DF" w:rsidRPr="006804EE">
        <w:t>difiere</w:t>
      </w:r>
      <w:r w:rsidR="009367DF" w:rsidRPr="006804EE">
        <w:rPr>
          <w:spacing w:val="-18"/>
        </w:rPr>
        <w:t xml:space="preserve"> </w:t>
      </w:r>
      <w:r w:rsidR="009367DF" w:rsidRPr="006804EE">
        <w:t>de</w:t>
      </w:r>
      <w:r w:rsidR="009367DF" w:rsidRPr="006804EE">
        <w:rPr>
          <w:spacing w:val="-20"/>
        </w:rPr>
        <w:t xml:space="preserve"> </w:t>
      </w:r>
      <w:r w:rsidR="009367DF" w:rsidRPr="006804EE">
        <w:t>cuando</w:t>
      </w:r>
      <w:r w:rsidR="009367DF" w:rsidRPr="006804EE">
        <w:rPr>
          <w:spacing w:val="-17"/>
        </w:rPr>
        <w:t xml:space="preserve"> </w:t>
      </w:r>
      <w:r w:rsidR="009367DF" w:rsidRPr="006804EE">
        <w:t>se</w:t>
      </w:r>
      <w:r w:rsidR="009367DF" w:rsidRPr="006804EE">
        <w:rPr>
          <w:spacing w:val="-20"/>
        </w:rPr>
        <w:t xml:space="preserve"> </w:t>
      </w:r>
      <w:r w:rsidR="009367DF" w:rsidRPr="006804EE">
        <w:t>señala</w:t>
      </w:r>
      <w:r w:rsidR="009367DF" w:rsidRPr="006804EE">
        <w:rPr>
          <w:spacing w:val="-17"/>
        </w:rPr>
        <w:t xml:space="preserve"> </w:t>
      </w:r>
      <w:r w:rsidR="009367DF" w:rsidRPr="006804EE">
        <w:t>que</w:t>
      </w:r>
      <w:r w:rsidR="009367DF" w:rsidRPr="006804EE">
        <w:rPr>
          <w:spacing w:val="-20"/>
        </w:rPr>
        <w:t xml:space="preserve"> </w:t>
      </w:r>
      <w:r w:rsidR="009367DF" w:rsidRPr="006804EE">
        <w:t>las</w:t>
      </w:r>
      <w:r w:rsidR="009367DF" w:rsidRPr="006804EE">
        <w:rPr>
          <w:spacing w:val="-19"/>
        </w:rPr>
        <w:t xml:space="preserve"> </w:t>
      </w:r>
      <w:r w:rsidR="009367DF" w:rsidRPr="006804EE">
        <w:t>personas jurídicas</w:t>
      </w:r>
      <w:r w:rsidR="009367DF" w:rsidRPr="006804EE">
        <w:rPr>
          <w:spacing w:val="-9"/>
        </w:rPr>
        <w:t xml:space="preserve"> </w:t>
      </w:r>
      <w:r w:rsidR="009367DF" w:rsidRPr="006804EE">
        <w:t>tienen</w:t>
      </w:r>
      <w:r w:rsidR="009367DF" w:rsidRPr="006804EE">
        <w:rPr>
          <w:spacing w:val="-10"/>
        </w:rPr>
        <w:t xml:space="preserve"> </w:t>
      </w:r>
      <w:r w:rsidR="009367DF" w:rsidRPr="006804EE">
        <w:t>capacidad</w:t>
      </w:r>
      <w:r w:rsidR="009367DF" w:rsidRPr="006804EE">
        <w:rPr>
          <w:spacing w:val="-9"/>
        </w:rPr>
        <w:t xml:space="preserve"> </w:t>
      </w:r>
      <w:r w:rsidR="009367DF" w:rsidRPr="006804EE">
        <w:t>para</w:t>
      </w:r>
      <w:r w:rsidR="009367DF" w:rsidRPr="006804EE">
        <w:rPr>
          <w:spacing w:val="-11"/>
        </w:rPr>
        <w:t xml:space="preserve"> </w:t>
      </w:r>
      <w:r w:rsidR="009367DF" w:rsidRPr="006804EE">
        <w:t>contratar,</w:t>
      </w:r>
      <w:r w:rsidR="009367DF" w:rsidRPr="006804EE">
        <w:rPr>
          <w:spacing w:val="-11"/>
        </w:rPr>
        <w:t xml:space="preserve"> </w:t>
      </w:r>
      <w:r w:rsidR="009367DF" w:rsidRPr="006804EE">
        <w:t>la</w:t>
      </w:r>
      <w:r w:rsidR="009367DF" w:rsidRPr="006804EE">
        <w:rPr>
          <w:spacing w:val="-11"/>
        </w:rPr>
        <w:t xml:space="preserve"> </w:t>
      </w:r>
      <w:r w:rsidR="009367DF" w:rsidRPr="006804EE">
        <w:t>cual</w:t>
      </w:r>
      <w:r w:rsidR="009367DF" w:rsidRPr="006804EE">
        <w:rPr>
          <w:spacing w:val="-10"/>
        </w:rPr>
        <w:t xml:space="preserve"> </w:t>
      </w:r>
      <w:r w:rsidR="009367DF" w:rsidRPr="006804EE">
        <w:t>hace referencia a</w:t>
      </w:r>
      <w:r w:rsidR="009367DF" w:rsidRPr="006804EE">
        <w:rPr>
          <w:spacing w:val="-3"/>
        </w:rPr>
        <w:t xml:space="preserve"> </w:t>
      </w:r>
      <w:r w:rsidR="009367DF" w:rsidRPr="006804EE">
        <w:t>la</w:t>
      </w:r>
      <w:r w:rsidR="009367DF" w:rsidRPr="006804EE">
        <w:rPr>
          <w:spacing w:val="-3"/>
        </w:rPr>
        <w:t xml:space="preserve"> </w:t>
      </w:r>
      <w:r w:rsidR="009367DF" w:rsidRPr="006804EE">
        <w:t>posibilidad</w:t>
      </w:r>
      <w:r w:rsidR="009367DF" w:rsidRPr="006804EE">
        <w:rPr>
          <w:spacing w:val="-1"/>
        </w:rPr>
        <w:t xml:space="preserve"> </w:t>
      </w:r>
      <w:r w:rsidR="009367DF" w:rsidRPr="006804EE">
        <w:t>que</w:t>
      </w:r>
      <w:r w:rsidR="009367DF" w:rsidRPr="006804EE">
        <w:rPr>
          <w:spacing w:val="-3"/>
        </w:rPr>
        <w:t xml:space="preserve"> </w:t>
      </w:r>
      <w:r w:rsidR="009367DF" w:rsidRPr="006804EE">
        <w:t>tienen</w:t>
      </w:r>
      <w:r w:rsidR="009367DF" w:rsidRPr="006804EE">
        <w:rPr>
          <w:spacing w:val="-2"/>
        </w:rPr>
        <w:t xml:space="preserve"> </w:t>
      </w:r>
      <w:r w:rsidR="009367DF" w:rsidRPr="006804EE">
        <w:t>para</w:t>
      </w:r>
      <w:r w:rsidR="009367DF" w:rsidRPr="006804EE">
        <w:rPr>
          <w:spacing w:val="-3"/>
        </w:rPr>
        <w:t xml:space="preserve"> </w:t>
      </w:r>
      <w:r w:rsidR="009367DF" w:rsidRPr="006804EE">
        <w:t>adelantar</w:t>
      </w:r>
      <w:r w:rsidR="009367DF" w:rsidRPr="006804EE">
        <w:rPr>
          <w:spacing w:val="-1"/>
        </w:rPr>
        <w:t xml:space="preserve"> </w:t>
      </w:r>
      <w:r w:rsidR="009367DF" w:rsidRPr="006804EE">
        <w:t>actividades en</w:t>
      </w:r>
      <w:r w:rsidR="009367DF" w:rsidRPr="006804EE">
        <w:rPr>
          <w:spacing w:val="-3"/>
        </w:rPr>
        <w:t xml:space="preserve"> </w:t>
      </w:r>
      <w:r w:rsidR="009367DF" w:rsidRPr="006804EE">
        <w:t>el</w:t>
      </w:r>
      <w:r w:rsidR="009367DF" w:rsidRPr="006804EE">
        <w:rPr>
          <w:spacing w:val="-3"/>
        </w:rPr>
        <w:t xml:space="preserve"> </w:t>
      </w:r>
      <w:r w:rsidR="009367DF" w:rsidRPr="006804EE">
        <w:t>marco</w:t>
      </w:r>
      <w:r w:rsidR="009367DF" w:rsidRPr="006804EE">
        <w:rPr>
          <w:spacing w:val="-2"/>
        </w:rPr>
        <w:t xml:space="preserve"> </w:t>
      </w:r>
      <w:r w:rsidR="009367DF" w:rsidRPr="006804EE">
        <w:t>de su</w:t>
      </w:r>
      <w:r w:rsidR="009367DF" w:rsidRPr="006804EE">
        <w:rPr>
          <w:spacing w:val="-19"/>
        </w:rPr>
        <w:t xml:space="preserve"> </w:t>
      </w:r>
      <w:r w:rsidR="009367DF" w:rsidRPr="006804EE">
        <w:t>objeto</w:t>
      </w:r>
      <w:r w:rsidR="009367DF" w:rsidRPr="006804EE">
        <w:rPr>
          <w:spacing w:val="-18"/>
        </w:rPr>
        <w:t xml:space="preserve"> </w:t>
      </w:r>
      <w:r w:rsidR="009367DF" w:rsidRPr="006804EE">
        <w:t>social,</w:t>
      </w:r>
      <w:r w:rsidR="009367DF" w:rsidRPr="006804EE">
        <w:rPr>
          <w:spacing w:val="-17"/>
        </w:rPr>
        <w:t xml:space="preserve"> </w:t>
      </w:r>
      <w:r w:rsidR="009367DF" w:rsidRPr="006804EE">
        <w:t>a</w:t>
      </w:r>
      <w:r w:rsidR="009367DF" w:rsidRPr="006804EE">
        <w:rPr>
          <w:spacing w:val="-19"/>
        </w:rPr>
        <w:t xml:space="preserve"> </w:t>
      </w:r>
      <w:r w:rsidR="009367DF" w:rsidRPr="006804EE">
        <w:t>las</w:t>
      </w:r>
      <w:r w:rsidR="009367DF" w:rsidRPr="006804EE">
        <w:rPr>
          <w:spacing w:val="-19"/>
        </w:rPr>
        <w:t xml:space="preserve"> </w:t>
      </w:r>
      <w:r w:rsidR="009367DF" w:rsidRPr="006804EE">
        <w:t>facultades</w:t>
      </w:r>
      <w:r w:rsidR="009367DF" w:rsidRPr="006804EE">
        <w:rPr>
          <w:spacing w:val="-17"/>
        </w:rPr>
        <w:t xml:space="preserve"> </w:t>
      </w:r>
      <w:r w:rsidR="009367DF" w:rsidRPr="006804EE">
        <w:t>que</w:t>
      </w:r>
      <w:r w:rsidR="009367DF" w:rsidRPr="006804EE">
        <w:rPr>
          <w:spacing w:val="-19"/>
        </w:rPr>
        <w:t xml:space="preserve"> </w:t>
      </w:r>
      <w:r w:rsidR="009367DF" w:rsidRPr="006804EE">
        <w:t>le</w:t>
      </w:r>
      <w:r w:rsidR="009367DF" w:rsidRPr="006804EE">
        <w:rPr>
          <w:spacing w:val="-19"/>
        </w:rPr>
        <w:t xml:space="preserve"> </w:t>
      </w:r>
      <w:r w:rsidR="009367DF" w:rsidRPr="006804EE">
        <w:t>han</w:t>
      </w:r>
      <w:r w:rsidR="009367DF" w:rsidRPr="006804EE">
        <w:rPr>
          <w:spacing w:val="-19"/>
        </w:rPr>
        <w:t xml:space="preserve"> </w:t>
      </w:r>
      <w:r w:rsidR="009367DF" w:rsidRPr="006804EE">
        <w:t>sido</w:t>
      </w:r>
      <w:r w:rsidR="009367DF" w:rsidRPr="006804EE">
        <w:rPr>
          <w:spacing w:val="-18"/>
        </w:rPr>
        <w:t xml:space="preserve"> </w:t>
      </w:r>
      <w:r w:rsidR="009367DF" w:rsidRPr="006804EE">
        <w:t>otorgadas</w:t>
      </w:r>
      <w:r w:rsidR="009367DF" w:rsidRPr="006804EE">
        <w:rPr>
          <w:spacing w:val="-17"/>
        </w:rPr>
        <w:t xml:space="preserve"> </w:t>
      </w:r>
      <w:r w:rsidR="009367DF" w:rsidRPr="006804EE">
        <w:t>al</w:t>
      </w:r>
      <w:r w:rsidR="009367DF" w:rsidRPr="006804EE">
        <w:rPr>
          <w:spacing w:val="-19"/>
        </w:rPr>
        <w:t xml:space="preserve"> </w:t>
      </w:r>
      <w:r w:rsidR="009367DF" w:rsidRPr="006804EE">
        <w:t>representante</w:t>
      </w:r>
      <w:r w:rsidR="009367DF" w:rsidRPr="006804EE">
        <w:rPr>
          <w:spacing w:val="-16"/>
        </w:rPr>
        <w:t xml:space="preserve"> </w:t>
      </w:r>
      <w:r w:rsidR="009367DF" w:rsidRPr="006804EE">
        <w:t>legal y a la ausencia de inhabilidades, incompatibilidades o prohibiciones para contratar, derivadas de la ley.</w:t>
      </w:r>
    </w:p>
    <w:p w14:paraId="5223636A" w14:textId="77777777" w:rsidR="009367DF" w:rsidRPr="006804EE" w:rsidRDefault="009367DF" w:rsidP="009367DF">
      <w:pPr>
        <w:pStyle w:val="Textoindependiente"/>
        <w:spacing w:after="120" w:line="276" w:lineRule="auto"/>
        <w:ind w:firstLine="708"/>
        <w:jc w:val="both"/>
      </w:pPr>
      <w:r w:rsidRPr="006804EE">
        <w:t>En este orden de ideas, las ESAL no solo pueden contratar bajo las reglas establecidas</w:t>
      </w:r>
      <w:r w:rsidRPr="006804EE">
        <w:rPr>
          <w:spacing w:val="-2"/>
        </w:rPr>
        <w:t xml:space="preserve"> </w:t>
      </w:r>
      <w:r w:rsidRPr="006804EE">
        <w:t>en</w:t>
      </w:r>
      <w:r w:rsidRPr="006804EE">
        <w:rPr>
          <w:spacing w:val="-5"/>
        </w:rPr>
        <w:t xml:space="preserve"> </w:t>
      </w:r>
      <w:r w:rsidRPr="006804EE">
        <w:t>el</w:t>
      </w:r>
      <w:r w:rsidRPr="006804EE">
        <w:rPr>
          <w:spacing w:val="-5"/>
        </w:rPr>
        <w:t xml:space="preserve"> </w:t>
      </w:r>
      <w:r w:rsidRPr="006804EE">
        <w:t>Decreto</w:t>
      </w:r>
      <w:r w:rsidRPr="006804EE">
        <w:rPr>
          <w:spacing w:val="-3"/>
        </w:rPr>
        <w:t xml:space="preserve"> </w:t>
      </w:r>
      <w:r w:rsidRPr="006804EE">
        <w:t>092</w:t>
      </w:r>
      <w:r w:rsidRPr="006804EE">
        <w:rPr>
          <w:spacing w:val="-4"/>
        </w:rPr>
        <w:t xml:space="preserve"> </w:t>
      </w:r>
      <w:r w:rsidRPr="006804EE">
        <w:t>de</w:t>
      </w:r>
      <w:r w:rsidRPr="006804EE">
        <w:rPr>
          <w:spacing w:val="-5"/>
        </w:rPr>
        <w:t xml:space="preserve"> </w:t>
      </w:r>
      <w:r w:rsidRPr="006804EE">
        <w:t>2017,</w:t>
      </w:r>
      <w:r w:rsidRPr="006804EE">
        <w:rPr>
          <w:spacing w:val="-4"/>
        </w:rPr>
        <w:t xml:space="preserve"> </w:t>
      </w:r>
      <w:r w:rsidRPr="006804EE">
        <w:t>sino</w:t>
      </w:r>
      <w:r w:rsidRPr="006804EE">
        <w:rPr>
          <w:spacing w:val="-4"/>
        </w:rPr>
        <w:t xml:space="preserve"> </w:t>
      </w:r>
      <w:r w:rsidRPr="006804EE">
        <w:t>que</w:t>
      </w:r>
      <w:r w:rsidRPr="006804EE">
        <w:rPr>
          <w:spacing w:val="-4"/>
        </w:rPr>
        <w:t xml:space="preserve"> </w:t>
      </w:r>
      <w:r w:rsidRPr="006804EE">
        <w:t>también</w:t>
      </w:r>
      <w:r w:rsidRPr="006804EE">
        <w:rPr>
          <w:spacing w:val="-3"/>
        </w:rPr>
        <w:t xml:space="preserve"> </w:t>
      </w:r>
      <w:r w:rsidRPr="006804EE">
        <w:t>pueden</w:t>
      </w:r>
      <w:r w:rsidRPr="006804EE">
        <w:rPr>
          <w:spacing w:val="-3"/>
        </w:rPr>
        <w:t xml:space="preserve"> </w:t>
      </w:r>
      <w:r w:rsidRPr="006804EE">
        <w:t>intervenir</w:t>
      </w:r>
      <w:r w:rsidRPr="006804EE">
        <w:rPr>
          <w:spacing w:val="-2"/>
        </w:rPr>
        <w:t xml:space="preserve"> </w:t>
      </w:r>
      <w:r w:rsidRPr="006804EE">
        <w:t>en procesos</w:t>
      </w:r>
      <w:r w:rsidRPr="006804EE">
        <w:rPr>
          <w:spacing w:val="-20"/>
        </w:rPr>
        <w:t xml:space="preserve"> </w:t>
      </w:r>
      <w:r w:rsidRPr="006804EE">
        <w:t>de</w:t>
      </w:r>
      <w:r w:rsidRPr="006804EE">
        <w:rPr>
          <w:spacing w:val="-19"/>
        </w:rPr>
        <w:t xml:space="preserve"> </w:t>
      </w:r>
      <w:r w:rsidRPr="006804EE">
        <w:t>selección</w:t>
      </w:r>
      <w:r w:rsidRPr="006804EE">
        <w:rPr>
          <w:spacing w:val="-17"/>
        </w:rPr>
        <w:t xml:space="preserve"> </w:t>
      </w:r>
      <w:r w:rsidRPr="006804EE">
        <w:t>regidos</w:t>
      </w:r>
      <w:r w:rsidRPr="006804EE">
        <w:rPr>
          <w:spacing w:val="-19"/>
        </w:rPr>
        <w:t xml:space="preserve"> </w:t>
      </w:r>
      <w:r w:rsidRPr="006804EE">
        <w:t>por</w:t>
      </w:r>
      <w:r w:rsidRPr="006804EE">
        <w:rPr>
          <w:spacing w:val="-20"/>
        </w:rPr>
        <w:t xml:space="preserve"> </w:t>
      </w:r>
      <w:r w:rsidRPr="006804EE">
        <w:t>las</w:t>
      </w:r>
      <w:r w:rsidRPr="006804EE">
        <w:rPr>
          <w:spacing w:val="-19"/>
        </w:rPr>
        <w:t xml:space="preserve"> </w:t>
      </w:r>
      <w:r w:rsidRPr="006804EE">
        <w:t>reglas</w:t>
      </w:r>
      <w:r w:rsidRPr="006804EE">
        <w:rPr>
          <w:spacing w:val="-19"/>
        </w:rPr>
        <w:t xml:space="preserve"> </w:t>
      </w:r>
      <w:r w:rsidRPr="006804EE">
        <w:t>del</w:t>
      </w:r>
      <w:r w:rsidRPr="006804EE">
        <w:rPr>
          <w:spacing w:val="-19"/>
        </w:rPr>
        <w:t xml:space="preserve"> </w:t>
      </w:r>
      <w:r w:rsidRPr="006804EE">
        <w:t>EGCAP,</w:t>
      </w:r>
      <w:r w:rsidRPr="006804EE">
        <w:rPr>
          <w:spacing w:val="-19"/>
        </w:rPr>
        <w:t xml:space="preserve"> </w:t>
      </w:r>
      <w:r w:rsidRPr="006804EE">
        <w:t>caso</w:t>
      </w:r>
      <w:r w:rsidRPr="006804EE">
        <w:rPr>
          <w:spacing w:val="-19"/>
        </w:rPr>
        <w:t xml:space="preserve"> </w:t>
      </w:r>
      <w:r w:rsidRPr="006804EE">
        <w:t>en</w:t>
      </w:r>
      <w:r w:rsidRPr="006804EE">
        <w:rPr>
          <w:spacing w:val="-20"/>
        </w:rPr>
        <w:t xml:space="preserve"> </w:t>
      </w:r>
      <w:r w:rsidRPr="006804EE">
        <w:t>el</w:t>
      </w:r>
      <w:r w:rsidRPr="006804EE">
        <w:rPr>
          <w:spacing w:val="-19"/>
        </w:rPr>
        <w:t xml:space="preserve"> </w:t>
      </w:r>
      <w:r w:rsidRPr="006804EE">
        <w:t>cual</w:t>
      </w:r>
      <w:r w:rsidRPr="006804EE">
        <w:rPr>
          <w:spacing w:val="-19"/>
        </w:rPr>
        <w:t xml:space="preserve"> </w:t>
      </w:r>
      <w:r w:rsidRPr="006804EE">
        <w:t>participan con las mismas reglas aplicables a los demás oferentes.</w:t>
      </w:r>
    </w:p>
    <w:p w14:paraId="5223636B" w14:textId="77777777" w:rsidR="00943A42" w:rsidRPr="006804EE" w:rsidRDefault="00943A42" w:rsidP="005D0D37">
      <w:pPr>
        <w:pStyle w:val="Textoindependiente"/>
        <w:spacing w:line="276" w:lineRule="auto"/>
        <w:jc w:val="both"/>
      </w:pPr>
    </w:p>
    <w:p w14:paraId="5223636C" w14:textId="77777777" w:rsidR="00D046FA" w:rsidRPr="006804EE" w:rsidRDefault="00D046FA" w:rsidP="00943A42">
      <w:pPr>
        <w:pStyle w:val="NormalWeb"/>
        <w:spacing w:before="0" w:beforeAutospacing="0" w:after="120" w:afterAutospacing="0" w:line="276" w:lineRule="auto"/>
        <w:jc w:val="both"/>
        <w:rPr>
          <w:rFonts w:ascii="Verdana" w:hAnsi="Verdana" w:cs="Arial"/>
          <w:sz w:val="22"/>
          <w:szCs w:val="22"/>
          <w:lang w:val="es-ES" w:eastAsia="es-MX"/>
        </w:rPr>
      </w:pPr>
    </w:p>
    <w:p w14:paraId="5223636D" w14:textId="77777777" w:rsidR="00D046FA" w:rsidRPr="006804EE" w:rsidRDefault="00D046FA" w:rsidP="00D046FA">
      <w:pPr>
        <w:spacing w:after="120" w:line="276" w:lineRule="auto"/>
        <w:jc w:val="both"/>
        <w:rPr>
          <w:rFonts w:ascii="Verdana" w:eastAsia="Century Gothic" w:hAnsi="Verdana" w:cs="Century Gothic"/>
          <w:b/>
          <w:bCs/>
          <w:lang w:val="es-ES"/>
        </w:rPr>
      </w:pPr>
      <w:r w:rsidRPr="006804EE">
        <w:rPr>
          <w:rFonts w:ascii="Verdana" w:eastAsia="Century Gothic" w:hAnsi="Verdana" w:cs="Century Gothic"/>
          <w:b/>
          <w:bCs/>
          <w:lang w:val="es-ES"/>
        </w:rPr>
        <w:t>Razones de la respuesta:</w:t>
      </w:r>
    </w:p>
    <w:p w14:paraId="5223636E" w14:textId="77777777" w:rsidR="00D046FA" w:rsidRPr="006804EE" w:rsidRDefault="00D046FA" w:rsidP="00D046FA">
      <w:pPr>
        <w:spacing w:after="0" w:line="276" w:lineRule="auto"/>
        <w:jc w:val="both"/>
        <w:rPr>
          <w:rFonts w:ascii="Verdana" w:eastAsia="Calibri" w:hAnsi="Verdana" w:cs="Arial"/>
          <w:color w:val="7030A0"/>
          <w:lang w:val="es-ES"/>
        </w:rPr>
      </w:pPr>
    </w:p>
    <w:p w14:paraId="5223636F" w14:textId="77777777" w:rsidR="00D046FA" w:rsidRPr="006804EE" w:rsidRDefault="00D046FA" w:rsidP="00D046FA">
      <w:pPr>
        <w:spacing w:after="0" w:line="276" w:lineRule="auto"/>
        <w:jc w:val="both"/>
        <w:rPr>
          <w:rFonts w:ascii="Verdana" w:eastAsia="Calibri" w:hAnsi="Verdana" w:cs="Arial"/>
          <w:lang w:val="es-ES"/>
        </w:rPr>
      </w:pPr>
      <w:r w:rsidRPr="006804EE">
        <w:rPr>
          <w:rFonts w:ascii="Verdana" w:eastAsia="Calibri" w:hAnsi="Verdana" w:cs="Arial"/>
          <w:lang w:val="es-ES"/>
        </w:rPr>
        <w:t xml:space="preserve">Lo anterior se sustenta en las siguientes consideraciones: </w:t>
      </w:r>
    </w:p>
    <w:p w14:paraId="52236370" w14:textId="77777777" w:rsidR="00D046FA" w:rsidRPr="006804EE" w:rsidRDefault="00D046FA" w:rsidP="00D046FA">
      <w:pPr>
        <w:spacing w:after="120" w:line="276" w:lineRule="auto"/>
        <w:jc w:val="both"/>
        <w:rPr>
          <w:rFonts w:ascii="Verdana" w:eastAsia="Calibri" w:hAnsi="Verdana" w:cs="Arial"/>
          <w:lang w:val="es-ES" w:eastAsia="es-ES"/>
        </w:rPr>
      </w:pPr>
    </w:p>
    <w:p w14:paraId="52236371"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rPr>
      </w:pPr>
      <w:r w:rsidRPr="006804EE">
        <w:rPr>
          <w:rFonts w:ascii="Verdana" w:eastAsia="Calibri" w:hAnsi="Verdana" w:cs="Arial"/>
          <w:bCs/>
          <w:lang w:val="es-MX"/>
        </w:rPr>
        <w:t>Una de las formas tradicionales de desarrollar empresas</w:t>
      </w:r>
      <w:r w:rsidRPr="006804EE">
        <w:rPr>
          <w:rFonts w:ascii="Verdana" w:eastAsia="Calibri" w:hAnsi="Verdana" w:cs="Arial"/>
          <w:bCs/>
          <w:i/>
          <w:iCs/>
          <w:lang w:val="es-MX"/>
        </w:rPr>
        <w:t xml:space="preserve"> </w:t>
      </w:r>
      <w:r w:rsidRPr="006804EE">
        <w:rPr>
          <w:rFonts w:ascii="Verdana" w:eastAsia="Calibri" w:hAnsi="Verdana" w:cs="Arial"/>
          <w:bCs/>
          <w:lang w:val="es-MX"/>
        </w:rPr>
        <w:t xml:space="preserve">y ejercer el comercio en Colombia, es a través del contrato de sociedad por medio del cual dos o más personas se obligan a hacer un aporte en dinero, en trabajo o en otros bienes apreciables en dinero con el fin de repartirse entre sí las utilidades obtenidas en la empresa, según el artículo 98 </w:t>
      </w:r>
      <w:r w:rsidRPr="006804EE">
        <w:rPr>
          <w:rFonts w:ascii="Verdana" w:eastAsia="Calibri" w:hAnsi="Verdana" w:cs="Arial"/>
          <w:bCs/>
          <w:i/>
          <w:iCs/>
          <w:lang w:val="es-MX"/>
        </w:rPr>
        <w:t xml:space="preserve">ibidem. </w:t>
      </w:r>
    </w:p>
    <w:p w14:paraId="52236372" w14:textId="77777777" w:rsidR="005D0D37" w:rsidRPr="006804EE" w:rsidRDefault="005D0D37" w:rsidP="005D0D37">
      <w:pPr>
        <w:pStyle w:val="Prrafodelista"/>
        <w:spacing w:after="120" w:line="276" w:lineRule="auto"/>
        <w:ind w:left="851"/>
        <w:jc w:val="both"/>
        <w:rPr>
          <w:rFonts w:ascii="Verdana" w:hAnsi="Verdana" w:cs="Arial"/>
          <w:color w:val="000000" w:themeColor="text1"/>
        </w:rPr>
      </w:pPr>
    </w:p>
    <w:p w14:paraId="52236373"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rPr>
      </w:pPr>
      <w:r w:rsidRPr="006804EE">
        <w:rPr>
          <w:rFonts w:ascii="Verdana" w:eastAsia="Calibri" w:hAnsi="Verdana" w:cs="Arial"/>
          <w:bCs/>
          <w:lang w:val="es-MX"/>
        </w:rPr>
        <w:t>En ese sentido, puede decirse que serán sociedades comerciales aquellas que ejecuten actos o empresas mercantiles, en los términos señalados en el artículo 100 del Código de Comercio</w:t>
      </w:r>
      <w:r w:rsidRPr="006804EE">
        <w:rPr>
          <w:rFonts w:ascii="Verdana" w:hAnsi="Verdana" w:cs="Arial"/>
          <w:color w:val="000000" w:themeColor="text1"/>
          <w:vertAlign w:val="superscript"/>
        </w:rPr>
        <w:footnoteReference w:id="2"/>
      </w:r>
      <w:r w:rsidRPr="006804EE">
        <w:rPr>
          <w:rFonts w:ascii="Verdana" w:hAnsi="Verdana" w:cs="Arial"/>
          <w:color w:val="000000" w:themeColor="text1"/>
        </w:rPr>
        <w:t xml:space="preserve">. Sin perjuicio de esto, el artículo 2 de la Ley 590 del 2000, modificado por el </w:t>
      </w:r>
      <w:r w:rsidRPr="006804EE">
        <w:rPr>
          <w:rFonts w:ascii="Verdana" w:eastAsia="Calibri" w:hAnsi="Verdana" w:cs="Arial"/>
          <w:bCs/>
          <w:lang w:val="es-MX"/>
        </w:rPr>
        <w:t>artículo 43 de la Ley 1450 de 2011, define la empresa</w:t>
      </w:r>
      <w:r w:rsidRPr="006804EE">
        <w:rPr>
          <w:rFonts w:ascii="Verdana" w:eastAsia="Calibri" w:hAnsi="Verdana" w:cs="Arial"/>
          <w:bCs/>
          <w:i/>
          <w:iCs/>
          <w:lang w:val="es-MX"/>
        </w:rPr>
        <w:t xml:space="preserve"> </w:t>
      </w:r>
      <w:r w:rsidRPr="006804EE">
        <w:rPr>
          <w:rFonts w:ascii="Verdana" w:eastAsia="Calibri" w:hAnsi="Verdana" w:cs="Arial"/>
          <w:bCs/>
          <w:lang w:val="es-MX"/>
        </w:rPr>
        <w:t>como toda unidad de explotación económica que realiza una persona natural o jurídica en actividades agropecuarias, industriales, comerciales o de servicios</w:t>
      </w:r>
      <w:r w:rsidRPr="006804EE">
        <w:rPr>
          <w:rFonts w:ascii="Verdana" w:hAnsi="Verdana" w:cs="Arial"/>
          <w:color w:val="000000" w:themeColor="text1"/>
          <w:vertAlign w:val="superscript"/>
        </w:rPr>
        <w:footnoteReference w:id="3"/>
      </w:r>
      <w:r w:rsidRPr="006804EE">
        <w:rPr>
          <w:rFonts w:ascii="Verdana" w:hAnsi="Verdana" w:cs="Arial"/>
          <w:color w:val="000000" w:themeColor="text1"/>
        </w:rPr>
        <w:t xml:space="preserve">. Además, establece que estas se clasifican en </w:t>
      </w:r>
      <w:r w:rsidRPr="006804EE">
        <w:rPr>
          <w:rFonts w:ascii="Verdana" w:hAnsi="Verdana" w:cs="Arial"/>
          <w:color w:val="000000" w:themeColor="text1"/>
        </w:rPr>
        <w:lastRenderedPageBreak/>
        <w:t>micro, pequeña, mediana y gran empresa, de acuerdo con los criterios del número de trabajadores totales, el valor de ventas brutales anuales y el valor de activos totales.</w:t>
      </w:r>
    </w:p>
    <w:p w14:paraId="52236374" w14:textId="77777777" w:rsidR="005D0D37" w:rsidRPr="006804EE" w:rsidRDefault="005D0D37" w:rsidP="005D0D37">
      <w:pPr>
        <w:pStyle w:val="Prrafodelista"/>
        <w:rPr>
          <w:rFonts w:ascii="Verdana" w:hAnsi="Verdana" w:cs="Arial"/>
          <w:color w:val="000000" w:themeColor="text1"/>
        </w:rPr>
      </w:pPr>
    </w:p>
    <w:p w14:paraId="52236375"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rPr>
      </w:pPr>
      <w:r w:rsidRPr="006804EE">
        <w:rPr>
          <w:rFonts w:ascii="Verdana" w:eastAsia="Calibri" w:hAnsi="Verdana" w:cs="Arial"/>
          <w:bCs/>
          <w:lang w:val="es-MX"/>
        </w:rPr>
        <w:t>En todo caso, para efectos de la presente, es preciso mencionar que el Libro Segundo del Código de Comercio no incluye a las corporaciones o asociaciones ni a las fundaciones, esto es, a las ESAL, en la enumeración de las sociedades comerciales. La razón de la exclusión se sustenta en que estas organizaciones no tienen fines comerciales, es decir carecen de ánimo de lucro, por eso no forman un tipo o clase de sociedad comercial</w:t>
      </w:r>
      <w:r w:rsidRPr="006804EE">
        <w:rPr>
          <w:rFonts w:ascii="Verdana" w:hAnsi="Verdana" w:cs="Arial"/>
          <w:color w:val="000000" w:themeColor="text1"/>
          <w:vertAlign w:val="superscript"/>
        </w:rPr>
        <w:footnoteReference w:id="4"/>
      </w:r>
      <w:r w:rsidRPr="006804EE">
        <w:rPr>
          <w:rFonts w:ascii="Verdana" w:hAnsi="Verdana" w:cs="Arial"/>
          <w:color w:val="000000" w:themeColor="text1"/>
        </w:rPr>
        <w:t xml:space="preserve">. </w:t>
      </w:r>
    </w:p>
    <w:p w14:paraId="52236376" w14:textId="77777777" w:rsidR="005D0D37" w:rsidRPr="006804EE" w:rsidRDefault="005D0D37" w:rsidP="005D0D37">
      <w:pPr>
        <w:pStyle w:val="Prrafodelista"/>
        <w:rPr>
          <w:rFonts w:ascii="Verdana" w:hAnsi="Verdana" w:cs="Arial"/>
          <w:color w:val="000000" w:themeColor="text1"/>
        </w:rPr>
      </w:pPr>
    </w:p>
    <w:p w14:paraId="52236377"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rPr>
      </w:pPr>
      <w:r w:rsidRPr="006804EE">
        <w:rPr>
          <w:rFonts w:ascii="Verdana" w:hAnsi="Verdana" w:cs="Arial"/>
          <w:color w:val="000000" w:themeColor="text1"/>
        </w:rPr>
        <w:t>La norma que regula este tipo de corporaciones o asociaciones es el Código Civil –entre otras normas que se armonizan con él–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6804EE">
        <w:rPr>
          <w:rFonts w:ascii="Verdana" w:hAnsi="Verdana" w:cs="Arial"/>
          <w:color w:val="000000" w:themeColor="text1"/>
          <w:vertAlign w:val="superscript"/>
        </w:rPr>
        <w:footnoteReference w:id="5"/>
      </w:r>
      <w:r w:rsidRPr="006804EE">
        <w:rPr>
          <w:rFonts w:ascii="Verdana" w:hAnsi="Verdana" w:cs="Arial"/>
          <w:color w:val="000000" w:themeColor="text1"/>
        </w:rPr>
        <w:t xml:space="preserve">. La ausencia de ánimo de lucro es, </w:t>
      </w:r>
      <w:r w:rsidRPr="006804EE">
        <w:rPr>
          <w:rFonts w:ascii="Verdana" w:hAnsi="Verdana" w:cs="Arial"/>
          <w:color w:val="000000" w:themeColor="text1"/>
        </w:rPr>
        <w:lastRenderedPageBreak/>
        <w:t>entonces, la característica determinante de estas corporaciones u organizaciones con las sociedades comerciales.</w:t>
      </w:r>
      <w:r w:rsidRPr="006804EE">
        <w:rPr>
          <w:rStyle w:val="Refdenotaalpie"/>
          <w:rFonts w:ascii="Verdana" w:hAnsi="Verdana" w:cs="Arial"/>
          <w:color w:val="000000" w:themeColor="text1"/>
        </w:rPr>
        <w:footnoteReference w:id="6"/>
      </w:r>
    </w:p>
    <w:p w14:paraId="52236378" w14:textId="77777777" w:rsidR="005D0D37" w:rsidRPr="006804EE" w:rsidRDefault="005D0D37" w:rsidP="005D0D37">
      <w:pPr>
        <w:pStyle w:val="Prrafodelista"/>
        <w:rPr>
          <w:rFonts w:ascii="Verdana" w:hAnsi="Verdana" w:cs="Arial"/>
          <w:color w:val="000000" w:themeColor="text1"/>
        </w:rPr>
      </w:pPr>
    </w:p>
    <w:p w14:paraId="52236379"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rPr>
      </w:pPr>
      <w:r w:rsidRPr="006804EE">
        <w:rPr>
          <w:rFonts w:ascii="Verdana" w:hAnsi="Verdana" w:cs="Arial"/>
          <w:color w:val="000000" w:themeColor="text1"/>
        </w:rPr>
        <w:t>Es del caso precisar que en el caso de las ESAL no se admite el reparto de utilidades, ni durante la existencia de la organización ni cuando se extinga, y en este aspecto, se insiste, radica la diferencia más apreciable entre unas y otras organizaciones, pese a que ambas se crean con la libertad y al amparo del derecho fundamental de asociación, previsto en el artículo 38 de la Constitución Política y otras normas contenidas en tratados internacionales suscritos por Colombia.</w:t>
      </w:r>
    </w:p>
    <w:p w14:paraId="5223637A" w14:textId="77777777" w:rsidR="005D0D37" w:rsidRPr="006804EE" w:rsidRDefault="005D0D37" w:rsidP="005D0D37">
      <w:pPr>
        <w:pStyle w:val="Prrafodelista"/>
        <w:rPr>
          <w:rFonts w:ascii="Verdana" w:hAnsi="Verdana" w:cs="Arial"/>
          <w:color w:val="000000" w:themeColor="text1"/>
        </w:rPr>
      </w:pPr>
    </w:p>
    <w:p w14:paraId="5223637B" w14:textId="77777777" w:rsidR="005D0D37" w:rsidRPr="006804EE" w:rsidRDefault="005D0D37" w:rsidP="005D0D37">
      <w:pPr>
        <w:pStyle w:val="Prrafodelista"/>
        <w:numPr>
          <w:ilvl w:val="0"/>
          <w:numId w:val="6"/>
        </w:numPr>
        <w:spacing w:after="120" w:line="276" w:lineRule="auto"/>
        <w:ind w:left="851"/>
        <w:jc w:val="both"/>
        <w:rPr>
          <w:rFonts w:ascii="Verdana" w:eastAsia="Times New Roman" w:hAnsi="Verdana" w:cs="Arial"/>
          <w:color w:val="000000" w:themeColor="text1"/>
          <w:szCs w:val="24"/>
          <w:lang w:eastAsia="es-MX"/>
        </w:rPr>
      </w:pPr>
      <w:r w:rsidRPr="006804EE">
        <w:rPr>
          <w:rFonts w:ascii="Verdana" w:eastAsia="Times New Roman" w:hAnsi="Verdana" w:cs="Arial"/>
          <w:color w:val="000000" w:themeColor="text1"/>
          <w:szCs w:val="24"/>
          <w:lang w:eastAsia="es-MX"/>
        </w:rPr>
        <w:t>Por su parte, la Corte Constitucional, en la Sentencia C-287 de 2012, reiteró que la diferencia existente entre las sociedades comerciales y las ESAL es que estas últimas no reparten sus utilidades entre los socios</w:t>
      </w:r>
      <w:r w:rsidRPr="006804EE">
        <w:rPr>
          <w:rFonts w:ascii="Verdana" w:eastAsia="Times New Roman" w:hAnsi="Verdana" w:cs="Arial"/>
          <w:color w:val="000000" w:themeColor="text1"/>
          <w:szCs w:val="24"/>
          <w:vertAlign w:val="superscript"/>
          <w:lang w:eastAsia="es-MX"/>
        </w:rPr>
        <w:footnoteReference w:id="7"/>
      </w:r>
      <w:r w:rsidRPr="006804EE">
        <w:rPr>
          <w:rFonts w:ascii="Verdana" w:eastAsia="Times New Roman" w:hAnsi="Verdana" w:cs="Arial"/>
          <w:color w:val="000000" w:themeColor="text1"/>
          <w:szCs w:val="24"/>
          <w:lang w:eastAsia="es-MX"/>
        </w:rPr>
        <w:t xml:space="preserve">. Así lo explicó en los siguientes términos: </w:t>
      </w:r>
    </w:p>
    <w:p w14:paraId="5223637C" w14:textId="77777777" w:rsidR="005D0D37" w:rsidRPr="006804EE" w:rsidRDefault="005D0D37" w:rsidP="005D0D37">
      <w:pPr>
        <w:spacing w:after="0" w:line="276" w:lineRule="auto"/>
        <w:ind w:left="709" w:right="760"/>
        <w:jc w:val="both"/>
        <w:rPr>
          <w:rFonts w:ascii="Verdana" w:eastAsia="Times New Roman" w:hAnsi="Verdana" w:cs="Arial"/>
          <w:color w:val="000000" w:themeColor="text1"/>
          <w:sz w:val="21"/>
          <w:szCs w:val="21"/>
          <w:lang w:eastAsia="es-MX"/>
        </w:rPr>
      </w:pPr>
    </w:p>
    <w:p w14:paraId="5223637D" w14:textId="77777777" w:rsidR="005D0D37" w:rsidRPr="006804EE" w:rsidRDefault="005D0D37" w:rsidP="00235822">
      <w:pPr>
        <w:spacing w:after="0" w:line="240" w:lineRule="auto"/>
        <w:ind w:left="709" w:right="709"/>
        <w:jc w:val="both"/>
        <w:rPr>
          <w:rFonts w:ascii="Verdana" w:eastAsia="Times New Roman" w:hAnsi="Verdana" w:cs="Arial"/>
          <w:color w:val="000000" w:themeColor="text1"/>
          <w:sz w:val="21"/>
          <w:szCs w:val="21"/>
          <w:lang w:eastAsia="es-MX"/>
        </w:rPr>
      </w:pPr>
      <w:r w:rsidRPr="006804EE">
        <w:rPr>
          <w:rFonts w:ascii="Verdana" w:eastAsia="Times New Roman" w:hAnsi="Verdana" w:cs="Arial"/>
          <w:color w:val="000000" w:themeColor="text1"/>
          <w:sz w:val="21"/>
          <w:szCs w:val="21"/>
          <w:lang w:eastAsia="es-MX"/>
        </w:rPr>
        <w:t>“</w:t>
      </w:r>
      <w:r w:rsidRPr="006804EE">
        <w:rPr>
          <w:rFonts w:ascii="Verdana" w:eastAsia="Times New Roman" w:hAnsi="Verdana" w:cs="Arial"/>
          <w:color w:val="000000" w:themeColor="text1"/>
          <w:sz w:val="20"/>
          <w:szCs w:val="20"/>
          <w:lang w:eastAsia="es-MX"/>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w:t>
      </w:r>
      <w:r w:rsidRPr="006804EE">
        <w:rPr>
          <w:rFonts w:ascii="Verdana" w:eastAsia="Times New Roman" w:hAnsi="Verdana" w:cs="Arial"/>
          <w:color w:val="000000" w:themeColor="text1"/>
          <w:sz w:val="21"/>
          <w:szCs w:val="21"/>
          <w:lang w:eastAsia="es-MX"/>
        </w:rPr>
        <w:t>”.</w:t>
      </w:r>
    </w:p>
    <w:p w14:paraId="5223637E" w14:textId="77777777" w:rsidR="005D0D37" w:rsidRPr="006804EE" w:rsidRDefault="005D0D37" w:rsidP="005D0D37">
      <w:pPr>
        <w:spacing w:after="0" w:line="276" w:lineRule="auto"/>
        <w:ind w:right="51" w:firstLine="709"/>
        <w:jc w:val="both"/>
        <w:rPr>
          <w:rFonts w:ascii="Verdana" w:eastAsia="Times New Roman" w:hAnsi="Verdana" w:cs="Arial"/>
          <w:color w:val="000000" w:themeColor="text1"/>
          <w:sz w:val="21"/>
          <w:szCs w:val="21"/>
          <w:lang w:eastAsia="es-MX"/>
        </w:rPr>
      </w:pPr>
    </w:p>
    <w:p w14:paraId="5223637F" w14:textId="77777777" w:rsidR="005D0D37" w:rsidRPr="006804EE" w:rsidRDefault="005D0D37" w:rsidP="005D0D37">
      <w:pPr>
        <w:pStyle w:val="Prrafodelista"/>
        <w:numPr>
          <w:ilvl w:val="0"/>
          <w:numId w:val="6"/>
        </w:numPr>
        <w:spacing w:after="120" w:line="276" w:lineRule="auto"/>
        <w:ind w:left="851"/>
        <w:jc w:val="both"/>
        <w:rPr>
          <w:rFonts w:ascii="Verdana" w:eastAsia="Times New Roman" w:hAnsi="Verdana" w:cs="Arial"/>
          <w:color w:val="000000" w:themeColor="text1"/>
          <w:szCs w:val="24"/>
          <w:lang w:eastAsia="es-MX"/>
        </w:rPr>
      </w:pPr>
      <w:r w:rsidRPr="006804EE">
        <w:rPr>
          <w:rFonts w:ascii="Verdana" w:eastAsia="Times New Roman" w:hAnsi="Verdana" w:cs="Arial"/>
          <w:color w:val="000000" w:themeColor="text1"/>
          <w:szCs w:val="24"/>
          <w:lang w:eastAsia="es-MX"/>
        </w:rPr>
        <w:t xml:space="preserve">Igualmente, el Consejo de Estado expresó que la naturaleza jurídica de las ESAL es diferente a las sociedades mercantiles, toda vez que su objeto no está destinado a perseguir un lucro que pueda ser repartido entre sus </w:t>
      </w:r>
      <w:r w:rsidRPr="006804EE">
        <w:rPr>
          <w:rFonts w:ascii="Verdana" w:eastAsia="Times New Roman" w:hAnsi="Verdana" w:cs="Arial"/>
          <w:color w:val="000000" w:themeColor="text1"/>
          <w:szCs w:val="24"/>
          <w:lang w:eastAsia="es-MX"/>
        </w:rPr>
        <w:lastRenderedPageBreak/>
        <w:t>asociados, sino que las ganancias se reinvierten en la ESAL para el desarrollo de su objeto social</w:t>
      </w:r>
      <w:r w:rsidRPr="006804EE">
        <w:rPr>
          <w:rFonts w:ascii="Verdana" w:eastAsia="Times New Roman" w:hAnsi="Verdana" w:cs="Arial"/>
          <w:color w:val="000000" w:themeColor="text1"/>
          <w:szCs w:val="24"/>
          <w:vertAlign w:val="superscript"/>
          <w:lang w:eastAsia="es-MX"/>
        </w:rPr>
        <w:footnoteReference w:id="8"/>
      </w:r>
      <w:r w:rsidRPr="006804EE">
        <w:rPr>
          <w:rFonts w:ascii="Verdana" w:eastAsia="Times New Roman" w:hAnsi="Verdana" w:cs="Arial"/>
          <w:color w:val="000000" w:themeColor="text1"/>
          <w:szCs w:val="24"/>
          <w:lang w:eastAsia="es-MX"/>
        </w:rPr>
        <w:t xml:space="preserve">. </w:t>
      </w:r>
    </w:p>
    <w:p w14:paraId="52236380" w14:textId="77777777" w:rsidR="005D0D37" w:rsidRPr="006804EE" w:rsidRDefault="005D0D37" w:rsidP="005D0D37">
      <w:pPr>
        <w:pStyle w:val="Prrafodelista"/>
        <w:spacing w:after="120" w:line="276" w:lineRule="auto"/>
        <w:ind w:left="851"/>
        <w:jc w:val="both"/>
        <w:rPr>
          <w:rFonts w:ascii="Verdana" w:eastAsia="Times New Roman" w:hAnsi="Verdana" w:cs="Arial"/>
          <w:color w:val="000000" w:themeColor="text1"/>
          <w:szCs w:val="24"/>
          <w:lang w:eastAsia="es-MX"/>
        </w:rPr>
      </w:pPr>
    </w:p>
    <w:p w14:paraId="52236381" w14:textId="77777777" w:rsidR="005D0D37" w:rsidRPr="006804EE" w:rsidRDefault="005D0D37" w:rsidP="005D0D37">
      <w:pPr>
        <w:pStyle w:val="Prrafodelista"/>
        <w:spacing w:after="120" w:line="276" w:lineRule="auto"/>
        <w:ind w:left="851"/>
        <w:jc w:val="both"/>
        <w:rPr>
          <w:rFonts w:ascii="Verdana" w:eastAsia="Times New Roman" w:hAnsi="Verdana" w:cs="Arial"/>
          <w:color w:val="000000" w:themeColor="text1"/>
          <w:lang w:eastAsia="es-MX"/>
        </w:rPr>
      </w:pPr>
      <w:r w:rsidRPr="006804EE">
        <w:rPr>
          <w:rFonts w:ascii="Verdana" w:eastAsia="Times New Roman" w:hAnsi="Verdana" w:cs="Arial"/>
          <w:color w:val="000000" w:themeColor="text1"/>
          <w:lang w:eastAsia="es-MX"/>
        </w:rPr>
        <w:t xml:space="preserve">Las ESAL, pues, no tienen la naturaleza jurídica de empresa sino de asociaciones que buscan la realización de un fin común y objetivos carentes de un contenido esencialmente patrimonial −fin de lucro y reparto de las utilidades−. Debido a que las ESAL no persiguen el reparto de utilidades entre sus miembros, sino que su objeto está destinado a realizar una actividad de interés general sin esperar a cambio un reparto de ganancia en proporción a sus utilidades. </w:t>
      </w:r>
    </w:p>
    <w:p w14:paraId="52236382" w14:textId="77777777" w:rsidR="005D0D37" w:rsidRPr="006804EE" w:rsidRDefault="005D0D37" w:rsidP="005D0D37">
      <w:pPr>
        <w:pStyle w:val="Prrafodelista"/>
        <w:spacing w:after="120" w:line="276" w:lineRule="auto"/>
        <w:ind w:left="851"/>
        <w:jc w:val="both"/>
        <w:rPr>
          <w:rFonts w:ascii="Verdana" w:eastAsia="Times New Roman" w:hAnsi="Verdana" w:cs="Arial"/>
          <w:color w:val="000000" w:themeColor="text1"/>
          <w:szCs w:val="24"/>
          <w:lang w:eastAsia="es-MX"/>
        </w:rPr>
      </w:pPr>
    </w:p>
    <w:p w14:paraId="52236383" w14:textId="77777777" w:rsidR="005D0D37" w:rsidRPr="006804EE" w:rsidRDefault="005D0D37" w:rsidP="005D0D37">
      <w:pPr>
        <w:pStyle w:val="Prrafodelista"/>
        <w:numPr>
          <w:ilvl w:val="0"/>
          <w:numId w:val="6"/>
        </w:numPr>
        <w:spacing w:after="120" w:line="276" w:lineRule="auto"/>
        <w:ind w:left="851"/>
        <w:jc w:val="both"/>
        <w:rPr>
          <w:rFonts w:ascii="Verdana" w:eastAsia="Times New Roman" w:hAnsi="Verdana" w:cs="Arial"/>
          <w:color w:val="000000" w:themeColor="text1"/>
          <w:lang w:eastAsia="es-MX"/>
        </w:rPr>
      </w:pPr>
      <w:r w:rsidRPr="006804EE">
        <w:rPr>
          <w:rFonts w:ascii="Verdana" w:eastAsia="Times New Roman" w:hAnsi="Verdana" w:cs="Arial"/>
          <w:color w:val="000000" w:themeColor="text1"/>
          <w:lang w:eastAsia="es-MX"/>
        </w:rPr>
        <w:t>Ahora bien, respecto a la capacidad de participar en los procesos de contratación pública del EGCAP, se debe aclarar que la capacidad jurídica es la aptitud que recae en los sujetos activos o pasivos de las relaciones jurídicas</w:t>
      </w:r>
      <w:r w:rsidRPr="006804EE">
        <w:rPr>
          <w:rFonts w:ascii="Verdana" w:eastAsia="Times New Roman" w:hAnsi="Verdana" w:cs="Arial"/>
          <w:color w:val="000000" w:themeColor="text1"/>
          <w:vertAlign w:val="superscript"/>
          <w:lang w:eastAsia="es-MX"/>
        </w:rPr>
        <w:footnoteReference w:id="9"/>
      </w:r>
      <w:r w:rsidRPr="006804EE">
        <w:rPr>
          <w:rFonts w:ascii="Verdana" w:eastAsia="Times New Roman" w:hAnsi="Verdana" w:cs="Arial"/>
          <w:color w:val="000000" w:themeColor="text1"/>
          <w:lang w:eastAsia="es-MX"/>
        </w:rPr>
        <w:t>. Para efectos de las relaciones contractuales en las que uno de los extremos de la relación sea una Entidad Estatal, la capacidad contractual es la facultad que se ostenta para celebrar contratos con una Entidad Estatal. En otras palabras, es: i) la capacidad de obligarse a cumplir el objeto del contrato y ii) de no estar incursa en inhabilidades o incompatibilidades que impiden la celebración del negocio.</w:t>
      </w:r>
    </w:p>
    <w:p w14:paraId="52236384" w14:textId="77777777" w:rsidR="005D0D37" w:rsidRPr="006804EE" w:rsidRDefault="005D0D37" w:rsidP="005D0D37">
      <w:pPr>
        <w:pStyle w:val="Prrafodelista"/>
        <w:rPr>
          <w:rFonts w:ascii="Verdana" w:eastAsia="Times New Roman" w:hAnsi="Verdana" w:cs="Arial"/>
          <w:color w:val="000000" w:themeColor="text1"/>
          <w:sz w:val="21"/>
          <w:szCs w:val="21"/>
          <w:lang w:eastAsia="es-MX"/>
        </w:rPr>
      </w:pPr>
    </w:p>
    <w:p w14:paraId="52236385" w14:textId="77777777" w:rsidR="005D0D37" w:rsidRPr="006804EE" w:rsidRDefault="005D0D37" w:rsidP="005D0D37">
      <w:pPr>
        <w:pStyle w:val="Prrafodelista"/>
        <w:numPr>
          <w:ilvl w:val="0"/>
          <w:numId w:val="6"/>
        </w:numPr>
        <w:spacing w:after="120" w:line="276" w:lineRule="auto"/>
        <w:ind w:left="851"/>
        <w:jc w:val="both"/>
        <w:rPr>
          <w:rFonts w:ascii="Verdana" w:eastAsia="Times New Roman" w:hAnsi="Verdana" w:cs="Arial"/>
          <w:color w:val="000000" w:themeColor="text1"/>
          <w:lang w:eastAsia="es-MX"/>
        </w:rPr>
      </w:pPr>
      <w:r w:rsidRPr="006804EE">
        <w:rPr>
          <w:rFonts w:ascii="Verdana" w:eastAsia="Times New Roman" w:hAnsi="Verdana" w:cs="Arial"/>
          <w:color w:val="000000" w:themeColor="text1"/>
          <w:lang w:eastAsia="es-MX"/>
        </w:rPr>
        <w:t>Para efectos de la aplicación del EGCAP, la capacidad para contratar la tienen las personas consideradas legalmente capaces en las disposiciones vigentes</w:t>
      </w:r>
      <w:r w:rsidRPr="006804EE">
        <w:rPr>
          <w:rFonts w:ascii="Verdana" w:eastAsia="Times New Roman" w:hAnsi="Verdana" w:cs="Arial"/>
          <w:color w:val="000000" w:themeColor="text1"/>
          <w:vertAlign w:val="superscript"/>
          <w:lang w:eastAsia="es-MX"/>
        </w:rPr>
        <w:footnoteReference w:id="10"/>
      </w:r>
      <w:r w:rsidRPr="006804EE">
        <w:rPr>
          <w:rFonts w:ascii="Verdana" w:eastAsia="Times New Roman" w:hAnsi="Verdana" w:cs="Arial"/>
          <w:color w:val="000000" w:themeColor="text1"/>
          <w:lang w:eastAsia="es-MX"/>
        </w:rPr>
        <w:t xml:space="preserve">, así como otras formas asociativas.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w:t>
      </w:r>
      <w:r w:rsidRPr="006804EE">
        <w:rPr>
          <w:rFonts w:ascii="Verdana" w:eastAsia="Times New Roman" w:hAnsi="Verdana" w:cs="Arial"/>
          <w:color w:val="000000" w:themeColor="text1"/>
          <w:lang w:eastAsia="es-MX"/>
        </w:rPr>
        <w:lastRenderedPageBreak/>
        <w:t>ausencia de inhabilidades, incompatibilidades o prohibiciones para contratar, derivadas de la ley.</w:t>
      </w:r>
    </w:p>
    <w:p w14:paraId="52236386" w14:textId="77777777" w:rsidR="005D0D37" w:rsidRPr="006804EE" w:rsidRDefault="005D0D37" w:rsidP="005D0D37">
      <w:pPr>
        <w:pStyle w:val="Prrafodelista"/>
        <w:rPr>
          <w:rFonts w:ascii="Verdana" w:eastAsia="Times New Roman" w:hAnsi="Verdana" w:cs="Arial"/>
          <w:color w:val="000000" w:themeColor="text1"/>
          <w:sz w:val="21"/>
          <w:szCs w:val="21"/>
          <w:lang w:eastAsia="es-MX"/>
        </w:rPr>
      </w:pPr>
    </w:p>
    <w:p w14:paraId="52236387"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sz w:val="24"/>
          <w:szCs w:val="24"/>
        </w:rPr>
      </w:pPr>
      <w:bookmarkStart w:id="1" w:name="_Hlk173275435"/>
      <w:r w:rsidRPr="006804EE">
        <w:rPr>
          <w:rFonts w:ascii="Verdana" w:eastAsia="Times New Roman" w:hAnsi="Verdana" w:cs="Arial"/>
          <w:color w:val="000000" w:themeColor="text1"/>
          <w:lang w:eastAsia="es-MX"/>
        </w:rPr>
        <w:t>Por tanto, es claro que las ESAL tienen capacidad para contratar bajo las reglas del EGCAP al ser personas jurídicas consideradas legalmente capaces, en los términos del artículo 6 de la Ley 80 de 1993. En armonía con ello, el Decreto 092 de 2017 reguló un régimen especial de contratación; sin embargo,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p w14:paraId="52236388" w14:textId="77777777" w:rsidR="005D0D37" w:rsidRPr="006804EE" w:rsidRDefault="005D0D37" w:rsidP="005D0D37">
      <w:pPr>
        <w:pStyle w:val="Prrafodelista"/>
        <w:rPr>
          <w:rFonts w:ascii="Verdana" w:hAnsi="Verdana"/>
        </w:rPr>
      </w:pPr>
    </w:p>
    <w:p w14:paraId="52236389"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sz w:val="24"/>
          <w:szCs w:val="24"/>
        </w:rPr>
      </w:pPr>
      <w:r w:rsidRPr="006804EE">
        <w:rPr>
          <w:rFonts w:ascii="Verdana" w:hAnsi="Verdana"/>
        </w:rPr>
        <w:t>Las uniones temporales y consorcios son contratos de asociación, los cuales consisten en que dos o más personas naturales o jurídicas en forma conjunta presentan una misma propuesta para la adjudicación, celebración y ejecución de un contrato estatal.</w:t>
      </w:r>
    </w:p>
    <w:p w14:paraId="5223638A" w14:textId="77777777" w:rsidR="005D0D37" w:rsidRPr="006804EE" w:rsidRDefault="005D0D37" w:rsidP="005D0D37">
      <w:pPr>
        <w:pStyle w:val="Prrafodelista"/>
        <w:rPr>
          <w:rFonts w:ascii="Verdana" w:hAnsi="Verdana"/>
        </w:rPr>
      </w:pPr>
    </w:p>
    <w:p w14:paraId="5223638B" w14:textId="77777777" w:rsidR="005D0D37" w:rsidRPr="006804EE" w:rsidRDefault="005D0D37" w:rsidP="005D0D37">
      <w:pPr>
        <w:pStyle w:val="Prrafodelista"/>
        <w:numPr>
          <w:ilvl w:val="0"/>
          <w:numId w:val="6"/>
        </w:numPr>
        <w:spacing w:after="120" w:line="276" w:lineRule="auto"/>
        <w:ind w:left="851"/>
        <w:jc w:val="both"/>
        <w:rPr>
          <w:rFonts w:ascii="Verdana" w:hAnsi="Verdana" w:cs="Arial"/>
          <w:color w:val="000000" w:themeColor="text1"/>
          <w:sz w:val="24"/>
          <w:szCs w:val="24"/>
        </w:rPr>
      </w:pPr>
      <w:r w:rsidRPr="006804EE">
        <w:rPr>
          <w:rFonts w:ascii="Verdana" w:hAnsi="Verdana"/>
        </w:rPr>
        <w:t>El Consejo de Estado estableció que “la razón de ser de los consorcios o uniones temporales es justamente la unión de fuerzas y requisitos para presentar una oferta. Son instrumentos de asociación que tienen por finalidad lograr la cooperación o colaboración entre los sujetos que la componen, para alcanzar un objetivo común.”</w:t>
      </w:r>
      <w:r w:rsidRPr="006804EE">
        <w:rPr>
          <w:rStyle w:val="Refdenotaalpie"/>
          <w:rFonts w:ascii="Verdana" w:hAnsi="Verdana"/>
        </w:rPr>
        <w:footnoteReference w:id="11"/>
      </w:r>
      <w:r w:rsidRPr="006804EE">
        <w:rPr>
          <w:rFonts w:ascii="Verdana" w:hAnsi="Verdana"/>
        </w:rPr>
        <w:t xml:space="preserve"> </w:t>
      </w:r>
    </w:p>
    <w:p w14:paraId="5223638C" w14:textId="77777777" w:rsidR="005D0D37" w:rsidRPr="006804EE" w:rsidRDefault="005D0D37" w:rsidP="005D0D37">
      <w:pPr>
        <w:pStyle w:val="Prrafodelista"/>
        <w:rPr>
          <w:rFonts w:ascii="Verdana" w:hAnsi="Verdana"/>
        </w:rPr>
      </w:pPr>
    </w:p>
    <w:p w14:paraId="5223638D" w14:textId="77777777" w:rsidR="00235822" w:rsidRPr="006804EE" w:rsidRDefault="005D0D37" w:rsidP="00235822">
      <w:pPr>
        <w:pStyle w:val="Prrafodelista"/>
        <w:numPr>
          <w:ilvl w:val="0"/>
          <w:numId w:val="6"/>
        </w:numPr>
        <w:spacing w:after="120" w:line="276" w:lineRule="auto"/>
        <w:ind w:left="851"/>
        <w:jc w:val="both"/>
        <w:rPr>
          <w:rFonts w:ascii="Verdana" w:hAnsi="Verdana" w:cs="Arial"/>
          <w:color w:val="000000" w:themeColor="text1"/>
          <w:sz w:val="24"/>
          <w:szCs w:val="24"/>
        </w:rPr>
      </w:pPr>
      <w:r w:rsidRPr="006804EE">
        <w:rPr>
          <w:rFonts w:ascii="Verdana" w:hAnsi="Verdana"/>
        </w:rPr>
        <w:t>En ese sentido, estas asociaciones son un instrumento legal para fortalecer a aquellos proponentes que individualmente no alcanzan a cumplir con los requisitos del proceso, ya sea por sus condiciones propias o porque teniendo las suficientes condiciones para ofertar pretenden mejorarlas y aumentarlas.</w:t>
      </w:r>
    </w:p>
    <w:p w14:paraId="5223638E" w14:textId="77777777" w:rsidR="00235822" w:rsidRPr="006804EE" w:rsidRDefault="00235822" w:rsidP="00235822">
      <w:pPr>
        <w:pStyle w:val="Prrafodelista"/>
        <w:rPr>
          <w:rFonts w:ascii="Verdana" w:hAnsi="Verdana"/>
        </w:rPr>
      </w:pPr>
    </w:p>
    <w:p w14:paraId="5223638F" w14:textId="77777777" w:rsidR="00235822" w:rsidRPr="006804EE" w:rsidRDefault="005D0D37" w:rsidP="00235822">
      <w:pPr>
        <w:pStyle w:val="Prrafodelista"/>
        <w:numPr>
          <w:ilvl w:val="0"/>
          <w:numId w:val="6"/>
        </w:numPr>
        <w:spacing w:after="120" w:line="276" w:lineRule="auto"/>
        <w:ind w:left="851"/>
        <w:jc w:val="both"/>
        <w:rPr>
          <w:rFonts w:ascii="Verdana" w:hAnsi="Verdana" w:cs="Arial"/>
          <w:color w:val="000000" w:themeColor="text1"/>
          <w:sz w:val="24"/>
          <w:szCs w:val="24"/>
        </w:rPr>
      </w:pPr>
      <w:r w:rsidRPr="006804EE">
        <w:rPr>
          <w:rFonts w:ascii="Verdana" w:hAnsi="Verdana"/>
        </w:rPr>
        <w:t>En Colombia, las fundaciones y asociaciones sin ánimo de lucro (ESAL) pueden participar en procesos de licitación pública, ya sea de forma individual o bajo modalidades de consorcio o unión temporal, ya que no se encuentran inhabilitadas y dicha actividad no está prohibida en el ordenamiento jurídico colombiano</w:t>
      </w:r>
    </w:p>
    <w:p w14:paraId="52236390" w14:textId="77777777" w:rsidR="00235822" w:rsidRPr="006804EE" w:rsidRDefault="00235822" w:rsidP="00235822">
      <w:pPr>
        <w:pStyle w:val="Prrafodelista"/>
        <w:rPr>
          <w:rFonts w:ascii="Verdana" w:hAnsi="Verdana" w:cs="Arial"/>
          <w:color w:val="000000" w:themeColor="text1"/>
        </w:rPr>
      </w:pPr>
    </w:p>
    <w:p w14:paraId="52236391" w14:textId="77777777" w:rsidR="00235822" w:rsidRPr="006804EE" w:rsidRDefault="005D0D37" w:rsidP="00235822">
      <w:pPr>
        <w:pStyle w:val="Prrafodelista"/>
        <w:numPr>
          <w:ilvl w:val="0"/>
          <w:numId w:val="6"/>
        </w:numPr>
        <w:spacing w:after="120" w:line="276" w:lineRule="auto"/>
        <w:ind w:left="851"/>
        <w:jc w:val="both"/>
        <w:rPr>
          <w:rFonts w:ascii="Verdana" w:hAnsi="Verdana" w:cs="Arial"/>
          <w:color w:val="000000" w:themeColor="text1"/>
          <w:sz w:val="24"/>
          <w:szCs w:val="24"/>
        </w:rPr>
      </w:pPr>
      <w:r w:rsidRPr="006804EE">
        <w:rPr>
          <w:rFonts w:ascii="Verdana" w:hAnsi="Verdana" w:cs="Arial"/>
          <w:color w:val="000000" w:themeColor="text1"/>
        </w:rPr>
        <w:t>Los proponentes que decidan conformar un consorcio o una unión temporal en las condiciones descritas deberán indicar el Proceso de Contratación al cual se han de presentar bajo dicha figura, estableciendo términos de participación tanto en el Proceso de Contratación como en la ejecución del contrato, en el evento de ser los adjudicatarios. Además, deberán designar la persona que represente al consorcio o unión temporal y señalar las reglas básicas que regulen las relaciones entre ellos y su responsabilidad. En todo caso, debe constituirse un proponente plural para cada Proceso de Contratación en el que se pretenda participar.</w:t>
      </w:r>
    </w:p>
    <w:p w14:paraId="52236392" w14:textId="77777777" w:rsidR="00235822" w:rsidRPr="006804EE" w:rsidRDefault="00235822" w:rsidP="00235822">
      <w:pPr>
        <w:pStyle w:val="Prrafodelista"/>
        <w:rPr>
          <w:rFonts w:ascii="Verdana" w:hAnsi="Verdana" w:cs="Arial"/>
          <w:color w:val="000000" w:themeColor="text1"/>
        </w:rPr>
      </w:pPr>
    </w:p>
    <w:p w14:paraId="52236393" w14:textId="77777777" w:rsidR="00235822" w:rsidRPr="006804EE" w:rsidRDefault="00235822" w:rsidP="00235822">
      <w:pPr>
        <w:pStyle w:val="Prrafodelista"/>
        <w:numPr>
          <w:ilvl w:val="0"/>
          <w:numId w:val="6"/>
        </w:numPr>
        <w:spacing w:after="120" w:line="276" w:lineRule="auto"/>
        <w:ind w:left="851"/>
        <w:jc w:val="both"/>
        <w:rPr>
          <w:rFonts w:ascii="Verdana" w:hAnsi="Verdana" w:cs="Arial"/>
          <w:color w:val="000000" w:themeColor="text1"/>
          <w:sz w:val="24"/>
          <w:szCs w:val="24"/>
        </w:rPr>
      </w:pPr>
      <w:r w:rsidRPr="006804EE">
        <w:rPr>
          <w:rFonts w:ascii="Verdana" w:hAnsi="Verdana" w:cs="Arial"/>
          <w:color w:val="000000" w:themeColor="text1"/>
        </w:rPr>
        <w:t>Por consiguiente, es válido que un consorcio o unión temporal conformado por una sociedad de economía solidaria- ESAL y otra persona jurídica o natural con ánimo de lucro presente una oferta en un proceso de selección, en tanto no implica per se un beneficio a favor de la persona jurídica o natural, ya que el proponente plural participará en las mismas condiciones frente al resto de los proponentes, donde la naturaleza de cooperativas no les otorga ninguna prerrogativa para participar en Procesos de selección.</w:t>
      </w:r>
    </w:p>
    <w:bookmarkEnd w:id="1"/>
    <w:p w14:paraId="52236394" w14:textId="77777777" w:rsidR="00D046FA" w:rsidRPr="006804EE" w:rsidRDefault="00D046FA" w:rsidP="00D046FA">
      <w:pPr>
        <w:spacing w:before="120"/>
        <w:jc w:val="both"/>
        <w:rPr>
          <w:rFonts w:ascii="Verdana" w:hAnsi="Verdana" w:cs="Arial"/>
          <w:bCs/>
        </w:rPr>
      </w:pPr>
    </w:p>
    <w:p w14:paraId="52236395" w14:textId="77777777" w:rsidR="00D046FA" w:rsidRPr="006804EE" w:rsidRDefault="00D046FA" w:rsidP="00D046F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6804EE">
        <w:rPr>
          <w:rFonts w:ascii="Verdana" w:eastAsia="Century Gothic" w:hAnsi="Verdana" w:cs="Century Gothic"/>
          <w:b/>
          <w:bCs/>
          <w:lang w:val="es-ES"/>
        </w:rPr>
        <w:t>Referencias normativas, jurisprudenciales y otras fuentes:</w:t>
      </w:r>
    </w:p>
    <w:p w14:paraId="52236396" w14:textId="77777777" w:rsidR="001B74F2" w:rsidRPr="00190500" w:rsidRDefault="001B74F2" w:rsidP="001B74F2">
      <w:pPr>
        <w:spacing w:after="0" w:line="276" w:lineRule="auto"/>
        <w:ind w:right="709"/>
        <w:jc w:val="both"/>
        <w:textAlignment w:val="baseline"/>
        <w:rPr>
          <w:rFonts w:ascii="Verdana" w:eastAsia="Times New Roman" w:hAnsi="Verdana" w:cs="Arial"/>
          <w:bCs/>
          <w:lang w:val="es-ES_tradnl" w:eastAsia="es-CO"/>
        </w:rPr>
      </w:pPr>
    </w:p>
    <w:p w14:paraId="52236397" w14:textId="77777777" w:rsidR="001B74F2" w:rsidRPr="001B74F2" w:rsidRDefault="001B74F2" w:rsidP="001B74F2">
      <w:pPr>
        <w:pStyle w:val="Prrafodelista"/>
        <w:numPr>
          <w:ilvl w:val="0"/>
          <w:numId w:val="7"/>
        </w:numPr>
        <w:spacing w:after="0" w:line="276" w:lineRule="auto"/>
        <w:ind w:right="709"/>
        <w:jc w:val="both"/>
        <w:rPr>
          <w:rStyle w:val="Hipervnculo"/>
          <w:rFonts w:ascii="Verdana" w:hAnsi="Verdana" w:cs="Arial"/>
          <w:color w:val="000000" w:themeColor="text1"/>
          <w:u w:val="none"/>
          <w:lang w:val="es-ES_tradnl"/>
        </w:rPr>
      </w:pPr>
      <w:r>
        <w:rPr>
          <w:rFonts w:ascii="Verdana" w:hAnsi="Verdana" w:cs="Arial"/>
          <w:color w:val="000000" w:themeColor="text1"/>
          <w:lang w:val="es-ES_tradnl"/>
        </w:rPr>
        <w:t xml:space="preserve">Constitución Política de Colombia, Artículo 38. Disponible en: </w:t>
      </w:r>
      <w:hyperlink r:id="rId13" w:history="1">
        <w:r w:rsidRPr="0079147C">
          <w:rPr>
            <w:rStyle w:val="Hipervnculo"/>
            <w:rFonts w:ascii="Verdana" w:hAnsi="Verdana" w:cs="Arial"/>
            <w:lang w:val="es-ES_tradnl"/>
          </w:rPr>
          <w:t>https://relatoria.colombiacompra.gov.co/normativa/constitucion-politica-de-colombia/</w:t>
        </w:r>
      </w:hyperlink>
    </w:p>
    <w:p w14:paraId="52236398" w14:textId="77777777" w:rsidR="00304CB5" w:rsidRPr="00304CB5" w:rsidRDefault="00304CB5" w:rsidP="00304CB5">
      <w:pPr>
        <w:pStyle w:val="Prrafodelista"/>
        <w:spacing w:after="0" w:line="276" w:lineRule="auto"/>
        <w:ind w:right="709"/>
        <w:jc w:val="both"/>
        <w:rPr>
          <w:rFonts w:ascii="Verdana" w:hAnsi="Verdana" w:cs="Arial"/>
          <w:color w:val="0000FF"/>
          <w:u w:val="single"/>
          <w:lang w:val="es-ES_tradnl"/>
        </w:rPr>
      </w:pPr>
    </w:p>
    <w:p w14:paraId="52236399" w14:textId="77777777" w:rsidR="001B74F2" w:rsidRPr="001B74F2" w:rsidRDefault="001B74F2" w:rsidP="001B74F2">
      <w:pPr>
        <w:pStyle w:val="Prrafodelista"/>
        <w:numPr>
          <w:ilvl w:val="0"/>
          <w:numId w:val="7"/>
        </w:numPr>
        <w:spacing w:after="0" w:line="276" w:lineRule="auto"/>
        <w:ind w:right="709"/>
        <w:jc w:val="both"/>
        <w:rPr>
          <w:rStyle w:val="Hipervnculo"/>
          <w:rFonts w:ascii="Verdana" w:hAnsi="Verdana" w:cs="Arial"/>
          <w:lang w:val="es-ES_tradnl"/>
        </w:rPr>
      </w:pPr>
      <w:r w:rsidRPr="001B74F2">
        <w:rPr>
          <w:rFonts w:ascii="Verdana" w:hAnsi="Verdana" w:cs="Arial"/>
          <w:color w:val="000000" w:themeColor="text1"/>
          <w:lang w:val="es-ES_tradnl"/>
        </w:rPr>
        <w:lastRenderedPageBreak/>
        <w:t xml:space="preserve">Código de Comercio, Artículo 98, Artículo 100. Disponible en: </w:t>
      </w:r>
      <w:hyperlink r:id="rId14" w:history="1">
        <w:r w:rsidRPr="0079147C">
          <w:rPr>
            <w:rStyle w:val="Hipervnculo"/>
            <w:rFonts w:ascii="Verdana" w:hAnsi="Verdana" w:cs="Arial"/>
            <w:lang w:val="es-ES_tradnl"/>
          </w:rPr>
          <w:t>https://relatoria.colombiacompra.gov.co/normativa/codigo-de-comercio-decreto-410-de-1971/</w:t>
        </w:r>
      </w:hyperlink>
      <w:r>
        <w:rPr>
          <w:rStyle w:val="Hipervnculo"/>
          <w:rFonts w:ascii="Verdana" w:hAnsi="Verdana" w:cs="Arial"/>
          <w:lang w:val="es-ES_tradnl"/>
        </w:rPr>
        <w:t xml:space="preserve"> </w:t>
      </w:r>
    </w:p>
    <w:p w14:paraId="5223639A" w14:textId="77777777" w:rsidR="00304CB5" w:rsidRPr="00304CB5" w:rsidRDefault="00304CB5" w:rsidP="00304CB5">
      <w:pPr>
        <w:pStyle w:val="Prrafodelista"/>
        <w:spacing w:after="0" w:line="276" w:lineRule="auto"/>
        <w:ind w:right="709"/>
        <w:jc w:val="both"/>
        <w:rPr>
          <w:rFonts w:ascii="Verdana" w:hAnsi="Verdana" w:cs="Arial"/>
          <w:color w:val="000000" w:themeColor="text1"/>
          <w:lang w:val="es-ES_tradnl"/>
        </w:rPr>
      </w:pPr>
    </w:p>
    <w:p w14:paraId="5223639B" w14:textId="77777777" w:rsidR="00D046FA" w:rsidRPr="001B74F2" w:rsidRDefault="00D046FA" w:rsidP="001B74F2">
      <w:pPr>
        <w:pStyle w:val="Prrafodelista"/>
        <w:numPr>
          <w:ilvl w:val="0"/>
          <w:numId w:val="7"/>
        </w:numPr>
        <w:spacing w:after="0" w:line="276" w:lineRule="auto"/>
        <w:ind w:right="709"/>
        <w:jc w:val="both"/>
        <w:rPr>
          <w:rFonts w:ascii="Verdana" w:hAnsi="Verdana" w:cs="Arial"/>
          <w:color w:val="000000" w:themeColor="text1"/>
          <w:lang w:val="es-ES_tradnl"/>
        </w:rPr>
      </w:pPr>
      <w:r w:rsidRPr="001B74F2">
        <w:rPr>
          <w:rFonts w:ascii="Verdana" w:hAnsi="Verdana" w:cs="Arial"/>
          <w:noProof/>
          <w:lang w:val="es-ES_tradnl"/>
        </w:rPr>
        <w:t xml:space="preserve">Ley 80 de 1993 Disponible en: </w:t>
      </w:r>
      <w:hyperlink r:id="rId15" w:history="1">
        <w:r w:rsidRPr="001B74F2">
          <w:rPr>
            <w:rStyle w:val="Hipervnculo"/>
            <w:rFonts w:ascii="Verdana" w:hAnsi="Verdana" w:cs="Arial"/>
            <w:noProof/>
            <w:lang w:val="es-ES_tradnl"/>
          </w:rPr>
          <w:t>https://relatoria.colombiacompra.gov.co/normativa/ley-80-de-1993/</w:t>
        </w:r>
      </w:hyperlink>
      <w:r w:rsidRPr="001B74F2">
        <w:rPr>
          <w:rFonts w:ascii="Verdana" w:hAnsi="Verdana" w:cs="Arial"/>
          <w:noProof/>
          <w:lang w:val="es-ES_tradnl"/>
        </w:rPr>
        <w:t xml:space="preserve">  </w:t>
      </w:r>
    </w:p>
    <w:p w14:paraId="5223639C" w14:textId="77777777" w:rsidR="00304CB5" w:rsidRPr="00304CB5" w:rsidRDefault="00304CB5" w:rsidP="00304CB5">
      <w:pPr>
        <w:pStyle w:val="Prrafodelista"/>
        <w:spacing w:before="120" w:line="276" w:lineRule="auto"/>
        <w:ind w:right="113"/>
        <w:jc w:val="both"/>
        <w:rPr>
          <w:rFonts w:ascii="Verdana" w:hAnsi="Verdana" w:cs="Arial"/>
          <w:lang w:eastAsia="es-CO"/>
        </w:rPr>
      </w:pPr>
    </w:p>
    <w:p w14:paraId="5223639D" w14:textId="77777777" w:rsidR="00D046FA" w:rsidRPr="006804EE" w:rsidRDefault="00D046FA" w:rsidP="00D046FA">
      <w:pPr>
        <w:pStyle w:val="Prrafodelista"/>
        <w:numPr>
          <w:ilvl w:val="0"/>
          <w:numId w:val="2"/>
        </w:numPr>
        <w:spacing w:before="120" w:line="276" w:lineRule="auto"/>
        <w:ind w:right="113"/>
        <w:jc w:val="both"/>
        <w:rPr>
          <w:rFonts w:ascii="Verdana" w:hAnsi="Verdana" w:cs="Arial"/>
          <w:lang w:eastAsia="es-CO"/>
        </w:rPr>
      </w:pPr>
      <w:r w:rsidRPr="006804EE">
        <w:rPr>
          <w:rFonts w:ascii="Verdana" w:eastAsia="Calibri" w:hAnsi="Verdana" w:cs="Arial"/>
        </w:rPr>
        <w:t xml:space="preserve">Decreto 092 de 2017. Disponible en: </w:t>
      </w:r>
      <w:hyperlink r:id="rId16" w:history="1">
        <w:r w:rsidRPr="006804EE">
          <w:rPr>
            <w:rStyle w:val="Hipervnculo"/>
            <w:rFonts w:ascii="Verdana" w:eastAsia="Calibri" w:hAnsi="Verdana" w:cs="Arial"/>
          </w:rPr>
          <w:t>https://relatoria.colombiacompra.gov.co/normativa/decreto-092-de-2017/</w:t>
        </w:r>
      </w:hyperlink>
      <w:r w:rsidRPr="006804EE">
        <w:rPr>
          <w:rFonts w:ascii="Verdana" w:eastAsia="Calibri" w:hAnsi="Verdana" w:cs="Arial"/>
        </w:rPr>
        <w:t xml:space="preserve"> </w:t>
      </w:r>
    </w:p>
    <w:p w14:paraId="5223639E" w14:textId="77777777" w:rsidR="00304CB5" w:rsidRPr="00304CB5" w:rsidRDefault="00304CB5" w:rsidP="00304CB5">
      <w:pPr>
        <w:pStyle w:val="Prrafodelista"/>
        <w:spacing w:before="120" w:line="276" w:lineRule="auto"/>
        <w:ind w:right="113"/>
        <w:jc w:val="both"/>
        <w:rPr>
          <w:rFonts w:ascii="Verdana" w:hAnsi="Verdana" w:cs="Arial"/>
          <w:lang w:eastAsia="es-CO"/>
        </w:rPr>
      </w:pPr>
    </w:p>
    <w:p w14:paraId="5223639F" w14:textId="77777777" w:rsidR="00D046FA" w:rsidRDefault="00D046FA" w:rsidP="00D046FA">
      <w:pPr>
        <w:pStyle w:val="Prrafodelista"/>
        <w:numPr>
          <w:ilvl w:val="0"/>
          <w:numId w:val="2"/>
        </w:numPr>
        <w:spacing w:before="120" w:line="276" w:lineRule="auto"/>
        <w:ind w:right="113"/>
        <w:jc w:val="both"/>
        <w:rPr>
          <w:rFonts w:ascii="Verdana" w:hAnsi="Verdana" w:cs="Arial"/>
          <w:lang w:eastAsia="es-CO"/>
        </w:rPr>
      </w:pPr>
      <w:r w:rsidRPr="006804EE">
        <w:rPr>
          <w:rFonts w:ascii="Verdana" w:eastAsia="Calibri" w:hAnsi="Verdana" w:cs="Arial"/>
          <w:lang w:val="es-ES"/>
        </w:rPr>
        <w:t>Guías y manuales expedidos por la ANCP-CCE. Guía para la contratación con entidades sin ánimo de lucro y de reconocida idoneidad</w:t>
      </w:r>
      <w:r w:rsidRPr="006804EE">
        <w:rPr>
          <w:rFonts w:ascii="Verdana" w:hAnsi="Verdana" w:cs="Arial"/>
          <w:lang w:eastAsia="es-CO"/>
        </w:rPr>
        <w:t xml:space="preserve"> </w:t>
      </w:r>
      <w:hyperlink r:id="rId17" w:history="1">
        <w:r w:rsidRPr="006804EE">
          <w:rPr>
            <w:rStyle w:val="Hipervnculo"/>
            <w:rFonts w:ascii="Verdana" w:hAnsi="Verdana" w:cs="Arial"/>
            <w:lang w:eastAsia="es-CO"/>
          </w:rPr>
          <w:t>https://www.colombiacompra.gov.co/sites/cce_public/files/cce_documents/cce_guia_esal.pdf</w:t>
        </w:r>
      </w:hyperlink>
      <w:r w:rsidRPr="006804EE">
        <w:rPr>
          <w:rFonts w:ascii="Verdana" w:hAnsi="Verdana" w:cs="Arial"/>
          <w:lang w:eastAsia="es-CO"/>
        </w:rPr>
        <w:t xml:space="preserve"> </w:t>
      </w:r>
    </w:p>
    <w:p w14:paraId="522363A0" w14:textId="77777777" w:rsidR="00304CB5" w:rsidRDefault="00304CB5" w:rsidP="00304CB5">
      <w:pPr>
        <w:pStyle w:val="Prrafodelista"/>
        <w:spacing w:before="120" w:line="276" w:lineRule="auto"/>
        <w:ind w:right="113"/>
        <w:jc w:val="both"/>
        <w:rPr>
          <w:rFonts w:ascii="Verdana" w:hAnsi="Verdana" w:cs="Arial"/>
          <w:lang w:eastAsia="es-CO"/>
        </w:rPr>
      </w:pPr>
    </w:p>
    <w:p w14:paraId="522363A1" w14:textId="77777777" w:rsidR="00304CB5" w:rsidRDefault="00304CB5" w:rsidP="00D046FA">
      <w:pPr>
        <w:pStyle w:val="Prrafodelista"/>
        <w:numPr>
          <w:ilvl w:val="0"/>
          <w:numId w:val="2"/>
        </w:numPr>
        <w:spacing w:before="120" w:line="276" w:lineRule="auto"/>
        <w:ind w:right="113"/>
        <w:jc w:val="both"/>
        <w:rPr>
          <w:rFonts w:ascii="Verdana" w:hAnsi="Verdana" w:cs="Arial"/>
          <w:lang w:eastAsia="es-CO"/>
        </w:rPr>
      </w:pPr>
      <w:r w:rsidRPr="00304CB5">
        <w:rPr>
          <w:rFonts w:ascii="Verdana" w:hAnsi="Verdana" w:cs="Arial"/>
          <w:lang w:eastAsia="es-CO"/>
        </w:rPr>
        <w:t>Consejo de Estado, Sala de lo Contencioso Administrativo, Sección tercera, Subsección B, Radicación N° 05001-23-31-000-1997-00663-01(32113) del 29 de septiembre de 2015. C.P. Stella Conto Díaz del Castillo.</w:t>
      </w:r>
      <w:r>
        <w:rPr>
          <w:rFonts w:ascii="Verdana" w:hAnsi="Verdana" w:cs="Arial"/>
          <w:lang w:eastAsia="es-CO"/>
        </w:rPr>
        <w:t xml:space="preserve"> </w:t>
      </w:r>
    </w:p>
    <w:p w14:paraId="522363A2" w14:textId="77777777" w:rsidR="00304CB5" w:rsidRDefault="00304CB5" w:rsidP="00304CB5">
      <w:pPr>
        <w:pStyle w:val="Prrafodelista"/>
        <w:spacing w:before="120" w:line="276" w:lineRule="auto"/>
        <w:ind w:right="113"/>
        <w:jc w:val="both"/>
        <w:rPr>
          <w:rFonts w:ascii="Verdana" w:hAnsi="Verdana" w:cs="Arial"/>
          <w:lang w:eastAsia="es-CO"/>
        </w:rPr>
      </w:pPr>
    </w:p>
    <w:p w14:paraId="522363A3" w14:textId="77777777" w:rsidR="00304CB5" w:rsidRDefault="00304CB5" w:rsidP="00D046FA">
      <w:pPr>
        <w:pStyle w:val="Prrafodelista"/>
        <w:numPr>
          <w:ilvl w:val="0"/>
          <w:numId w:val="2"/>
        </w:numPr>
        <w:spacing w:before="120" w:line="276" w:lineRule="auto"/>
        <w:ind w:right="113"/>
        <w:jc w:val="both"/>
        <w:rPr>
          <w:rFonts w:ascii="Verdana" w:hAnsi="Verdana" w:cs="Arial"/>
          <w:lang w:eastAsia="es-CO"/>
        </w:rPr>
      </w:pPr>
      <w:r w:rsidRPr="00304CB5">
        <w:rPr>
          <w:rFonts w:ascii="Verdana" w:hAnsi="Verdana" w:cs="Arial"/>
          <w:lang w:eastAsia="es-CO"/>
        </w:rPr>
        <w:t>Consejo de Estado, Sección Cuarta. Providencia del 26 de octubre de 2009. Exp. No. 25000-23-27-000-2007-00160-01(17200). M.P. Martha Teresa Briceño de Valencia.</w:t>
      </w:r>
      <w:r>
        <w:rPr>
          <w:rFonts w:ascii="Verdana" w:hAnsi="Verdana" w:cs="Arial"/>
          <w:lang w:eastAsia="es-CO"/>
        </w:rPr>
        <w:t xml:space="preserve"> </w:t>
      </w:r>
    </w:p>
    <w:p w14:paraId="522363A4" w14:textId="77777777" w:rsidR="00304CB5" w:rsidRDefault="00304CB5" w:rsidP="00304CB5">
      <w:pPr>
        <w:pStyle w:val="Prrafodelista"/>
        <w:spacing w:before="120" w:line="276" w:lineRule="auto"/>
        <w:ind w:right="113"/>
        <w:jc w:val="both"/>
        <w:rPr>
          <w:rFonts w:ascii="Verdana" w:hAnsi="Verdana" w:cs="Arial"/>
          <w:lang w:eastAsia="es-CO"/>
        </w:rPr>
      </w:pPr>
    </w:p>
    <w:p w14:paraId="522363A5" w14:textId="77777777" w:rsidR="00304CB5" w:rsidRPr="006804EE" w:rsidRDefault="00304CB5" w:rsidP="00D046FA">
      <w:pPr>
        <w:pStyle w:val="Prrafodelista"/>
        <w:numPr>
          <w:ilvl w:val="0"/>
          <w:numId w:val="2"/>
        </w:numPr>
        <w:spacing w:before="120" w:line="276" w:lineRule="auto"/>
        <w:ind w:right="113"/>
        <w:jc w:val="both"/>
        <w:rPr>
          <w:rFonts w:ascii="Verdana" w:hAnsi="Verdana" w:cs="Arial"/>
          <w:lang w:eastAsia="es-CO"/>
        </w:rPr>
      </w:pPr>
      <w:r w:rsidRPr="00304CB5">
        <w:rPr>
          <w:rFonts w:ascii="Verdana" w:hAnsi="Verdana" w:cs="Arial"/>
          <w:lang w:eastAsia="es-CO"/>
        </w:rPr>
        <w:t>Consejo de Estado, Sala de lo Contencioso Administrativo, Sección tercera, Subsección B, Radicación N° 05001-23-31-000-1997-00663-01(32113) del 29 de septiembre de 2015. C.P. Stella Conto Díaz del Castillo.</w:t>
      </w:r>
      <w:r>
        <w:rPr>
          <w:rFonts w:ascii="Verdana" w:hAnsi="Verdana" w:cs="Arial"/>
          <w:lang w:eastAsia="es-CO"/>
        </w:rPr>
        <w:t xml:space="preserve"> Disponible en: </w:t>
      </w:r>
      <w:hyperlink r:id="rId18" w:history="1">
        <w:r w:rsidRPr="0079147C">
          <w:rPr>
            <w:rStyle w:val="Hipervnculo"/>
            <w:rFonts w:ascii="Verdana" w:hAnsi="Verdana" w:cs="Arial"/>
            <w:lang w:eastAsia="es-CO"/>
          </w:rPr>
          <w:t>https://relatoria.colombiacompra.gov.co/providencias-consejo-de-estado/</w:t>
        </w:r>
      </w:hyperlink>
      <w:r>
        <w:rPr>
          <w:rFonts w:ascii="Verdana" w:hAnsi="Verdana" w:cs="Arial"/>
          <w:lang w:eastAsia="es-CO"/>
        </w:rPr>
        <w:t xml:space="preserve"> </w:t>
      </w:r>
    </w:p>
    <w:p w14:paraId="522363A6" w14:textId="77777777" w:rsidR="00D046FA" w:rsidRPr="006804EE" w:rsidRDefault="00D046FA" w:rsidP="00D046FA">
      <w:pPr>
        <w:spacing w:after="120" w:line="276" w:lineRule="auto"/>
        <w:jc w:val="both"/>
        <w:rPr>
          <w:rFonts w:ascii="Verdana" w:eastAsia="Times New Roman" w:hAnsi="Verdana" w:cs="Arial"/>
          <w:i/>
          <w:lang w:val="es-ES_tradnl" w:eastAsia="es-ES"/>
        </w:rPr>
      </w:pPr>
    </w:p>
    <w:p w14:paraId="522363A7" w14:textId="77777777" w:rsidR="00D046FA" w:rsidRPr="006804EE" w:rsidRDefault="00D046FA" w:rsidP="00D046F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6804EE">
        <w:rPr>
          <w:rFonts w:ascii="Verdana" w:eastAsia="Century Gothic" w:hAnsi="Verdana" w:cs="Century Gothic"/>
          <w:b/>
          <w:bCs/>
          <w:lang w:val="es-ES"/>
        </w:rPr>
        <w:t>Doctrina de la Agencia Nacional de Contratación Pública:</w:t>
      </w:r>
    </w:p>
    <w:p w14:paraId="522363A8" w14:textId="77777777" w:rsidR="00D046FA" w:rsidRPr="006804EE" w:rsidRDefault="00D046FA" w:rsidP="00D046FA">
      <w:pPr>
        <w:spacing w:after="120" w:line="276" w:lineRule="auto"/>
        <w:jc w:val="both"/>
        <w:rPr>
          <w:rFonts w:ascii="Verdana" w:hAnsi="Verdana" w:cs="Arial"/>
          <w:color w:val="000000" w:themeColor="text1"/>
          <w:lang w:val="es-ES"/>
        </w:rPr>
      </w:pPr>
    </w:p>
    <w:p w14:paraId="522363A9" w14:textId="77777777" w:rsidR="00D046FA" w:rsidRPr="00304CB5" w:rsidRDefault="00D046FA" w:rsidP="00304CB5">
      <w:pPr>
        <w:spacing w:after="120" w:line="276" w:lineRule="auto"/>
        <w:jc w:val="both"/>
        <w:rPr>
          <w:rFonts w:ascii="Verdana" w:hAnsi="Verdana"/>
        </w:rPr>
      </w:pPr>
      <w:r w:rsidRPr="006804EE">
        <w:rPr>
          <w:rFonts w:ascii="Verdana" w:eastAsia="Calibri" w:hAnsi="Verdana" w:cs="Arial"/>
          <w:lang w:val="es-ES" w:eastAsia="es-ES"/>
        </w:rPr>
        <w:t xml:space="preserve">Sobre </w:t>
      </w:r>
      <w:r w:rsidRPr="006804EE">
        <w:rPr>
          <w:rFonts w:ascii="Verdana" w:eastAsia="Calibri" w:hAnsi="Verdana" w:cs="Arial"/>
          <w:bCs/>
          <w:lang w:val="es-ES_tradnl"/>
        </w:rPr>
        <w:t xml:space="preserve">la contratación con entidades privadas sin ánimo de lucro ESAL, </w:t>
      </w:r>
      <w:r w:rsidRPr="006804EE">
        <w:rPr>
          <w:rStyle w:val="normaltextrun"/>
          <w:rFonts w:ascii="Verdana" w:hAnsi="Verdana" w:cs="Arial"/>
          <w:shd w:val="clear" w:color="auto" w:fill="FFFFFF"/>
          <w:lang w:val="es-ES"/>
        </w:rPr>
        <w:t xml:space="preserve">se pronunció esta Subdirección </w:t>
      </w:r>
      <w:r w:rsidRPr="006804EE">
        <w:rPr>
          <w:rFonts w:ascii="Verdana" w:eastAsia="Calibri" w:hAnsi="Verdana" w:cs="Arial"/>
          <w:lang w:val="es-ES"/>
        </w:rPr>
        <w:t xml:space="preserve">en los conceptos </w:t>
      </w:r>
      <w:r w:rsidRPr="006804EE">
        <w:rPr>
          <w:rFonts w:ascii="Verdana" w:eastAsia="Calibri" w:hAnsi="Verdana" w:cs="Arial"/>
          <w:color w:val="000000" w:themeColor="text1"/>
        </w:rPr>
        <w:t xml:space="preserve">Nos. </w:t>
      </w:r>
      <w:r w:rsidR="00304CB5" w:rsidRPr="007A5909">
        <w:rPr>
          <w:rFonts w:ascii="Verdana" w:hAnsi="Verdana"/>
        </w:rPr>
        <w:t xml:space="preserve">C-280 del 15 de junio de 2021, C-391 de 11 </w:t>
      </w:r>
      <w:r w:rsidR="00304CB5" w:rsidRPr="007A5909">
        <w:rPr>
          <w:rFonts w:ascii="Verdana" w:hAnsi="Verdana"/>
        </w:rPr>
        <w:lastRenderedPageBreak/>
        <w:t>de agosto de 2021, C-560 del 1 de septiembre de 2021, -021 del 22 de febrero de 2022</w:t>
      </w:r>
      <w:r w:rsidR="00304CB5">
        <w:rPr>
          <w:rFonts w:ascii="Verdana" w:hAnsi="Verdana"/>
        </w:rPr>
        <w:t>,</w:t>
      </w:r>
      <w:r w:rsidR="00304CB5" w:rsidRPr="007A5909">
        <w:rPr>
          <w:rFonts w:ascii="Verdana" w:hAnsi="Verdana"/>
        </w:rPr>
        <w:t xml:space="preserve"> C-041 del 12 de abril de 2023</w:t>
      </w:r>
      <w:r w:rsidR="00304CB5">
        <w:rPr>
          <w:rFonts w:ascii="Verdana" w:hAnsi="Verdana"/>
        </w:rPr>
        <w:t xml:space="preserve"> C-183 del 08 de junio de 2023, C-141 del 29 </w:t>
      </w:r>
      <w:proofErr w:type="gramStart"/>
      <w:r w:rsidR="00304CB5">
        <w:rPr>
          <w:rFonts w:ascii="Verdana" w:hAnsi="Verdana"/>
        </w:rPr>
        <w:t>de  julio</w:t>
      </w:r>
      <w:proofErr w:type="gramEnd"/>
      <w:r w:rsidR="00304CB5">
        <w:rPr>
          <w:rFonts w:ascii="Verdana" w:hAnsi="Verdana"/>
        </w:rPr>
        <w:t xml:space="preserve"> de 2024, C-192 del 31 julio de 2024, C-210 del 05 de agosto de 2024.</w:t>
      </w:r>
      <w:r w:rsidRPr="006804EE">
        <w:rPr>
          <w:rFonts w:ascii="Verdana" w:eastAsia="Calibri" w:hAnsi="Verdana" w:cs="Arial"/>
          <w:color w:val="000000" w:themeColor="text1"/>
        </w:rPr>
        <w:t xml:space="preserve"> </w:t>
      </w:r>
      <w:r w:rsidRPr="006804EE">
        <w:rPr>
          <w:rFonts w:ascii="Verdana" w:hAnsi="Verdana"/>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9" w:tgtFrame="_blank" w:tooltip="Dirección URL original: https://relatoria.colombiacompra.gov.co/. Haga clic o pulse si confía en este vínculo." w:history="1">
        <w:r w:rsidRPr="006804EE">
          <w:rPr>
            <w:rStyle w:val="Hipervnculo"/>
            <w:rFonts w:ascii="Verdana" w:hAnsi="Verdana"/>
            <w:bdr w:val="none" w:sz="0" w:space="0" w:color="auto" w:frame="1"/>
            <w:shd w:val="clear" w:color="auto" w:fill="FFFFFF"/>
          </w:rPr>
          <w:t>https://relatoria.colombiacompra.gov.co/</w:t>
        </w:r>
      </w:hyperlink>
      <w:r w:rsidRPr="006804EE">
        <w:rPr>
          <w:rFonts w:ascii="Verdana" w:hAnsi="Verdana"/>
          <w:color w:val="000000"/>
          <w:shd w:val="clear" w:color="auto" w:fill="FFFFFF"/>
        </w:rPr>
        <w:t> . Te invitamos también a revisar la tercera edición del  Boletín de Relatoría de 2024 en el cual podrás consultar en detalle el marco normativo de documentos tipo: </w:t>
      </w:r>
      <w:hyperlink r:id="rId20" w:tgtFrame="_blank" w:tooltip="Dirección URL original: https://www.colombiacompra.gov.co/sites/cce_public/files/files_2020/boletin_de_realtoria_iii.pdf. Haga clic o pulse si confía en este vínculo." w:history="1">
        <w:r w:rsidRPr="006804EE">
          <w:rPr>
            <w:rStyle w:val="Hipervnculo"/>
            <w:rFonts w:ascii="Verdana" w:hAnsi="Verdana"/>
            <w:bdr w:val="none" w:sz="0" w:space="0" w:color="auto" w:frame="1"/>
            <w:shd w:val="clear" w:color="auto" w:fill="FFFFFF"/>
          </w:rPr>
          <w:t>https://www.colombiacompra.gov.co/sites/cce_public/files/files_2020/boletin_de_realtoria_iii.pdf</w:t>
        </w:r>
      </w:hyperlink>
      <w:r w:rsidRPr="006804EE">
        <w:rPr>
          <w:rFonts w:ascii="Verdana" w:hAnsi="Verdana"/>
          <w:color w:val="000000"/>
          <w:shd w:val="clear" w:color="auto" w:fill="FFFFFF"/>
        </w:rPr>
        <w:t> ".</w:t>
      </w:r>
    </w:p>
    <w:p w14:paraId="522363AA" w14:textId="77777777" w:rsidR="00D046FA" w:rsidRPr="006804EE" w:rsidRDefault="00D046FA" w:rsidP="00D046FA">
      <w:pPr>
        <w:spacing w:after="120" w:line="276" w:lineRule="auto"/>
        <w:jc w:val="both"/>
        <w:rPr>
          <w:rFonts w:ascii="Verdana" w:hAnsi="Verdana" w:cs="Arial"/>
          <w:lang w:val="es-ES"/>
        </w:rPr>
      </w:pPr>
    </w:p>
    <w:p w14:paraId="522363AB" w14:textId="77777777" w:rsidR="00D046FA" w:rsidRPr="006804EE" w:rsidRDefault="00D046FA" w:rsidP="00D046FA">
      <w:pPr>
        <w:pStyle w:val="Textonotapie"/>
        <w:jc w:val="both"/>
        <w:rPr>
          <w:rFonts w:ascii="Verdana" w:hAnsi="Verdana"/>
          <w:color w:val="000000"/>
          <w:sz w:val="22"/>
          <w:szCs w:val="22"/>
        </w:rPr>
      </w:pPr>
      <w:r w:rsidRPr="006804EE">
        <w:rPr>
          <w:rFonts w:ascii="Verdana" w:hAnsi="Verdana"/>
          <w:color w:val="000000"/>
          <w:sz w:val="22"/>
          <w:szCs w:val="22"/>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 enlaces:  </w:t>
      </w:r>
      <w:hyperlink r:id="rId21" w:tgtFrame="_blank" w:tooltip="Dirección URL original: https://www.sucop.gov.co/entidades/colombiacompra/Normativa?IDNorma=17363. Haga clic o pulse si confía en este vínculo." w:history="1">
        <w:r w:rsidRPr="006804EE">
          <w:rPr>
            <w:rStyle w:val="Hipervnculo"/>
            <w:rFonts w:ascii="Verdana" w:hAnsi="Verdana"/>
            <w:color w:val="1155CC"/>
            <w:sz w:val="22"/>
            <w:szCs w:val="22"/>
            <w:bdr w:val="none" w:sz="0" w:space="0" w:color="auto" w:frame="1"/>
          </w:rPr>
          <w:t>https://www.sucop.gov.co/entidades/colombiacompra/Normativa?IDNorma=17363</w:t>
        </w:r>
      </w:hyperlink>
      <w:r w:rsidRPr="006804EE">
        <w:rPr>
          <w:rFonts w:ascii="Verdana" w:hAnsi="Verdana"/>
          <w:color w:val="000000"/>
          <w:sz w:val="22"/>
          <w:szCs w:val="22"/>
        </w:rPr>
        <w:t> y </w:t>
      </w:r>
      <w:hyperlink r:id="rId22" w:tgtFrame="_blank" w:tooltip="Dirección URL original: https://www.colombiacompra.gov.co/content/convocatorias. Haga clic o pulse si confía en este vínculo." w:history="1">
        <w:r w:rsidRPr="006804EE">
          <w:rPr>
            <w:rStyle w:val="Hipervnculo"/>
            <w:rFonts w:ascii="Verdana" w:hAnsi="Verdana"/>
            <w:color w:val="1155CC"/>
            <w:sz w:val="22"/>
            <w:szCs w:val="22"/>
            <w:bdr w:val="none" w:sz="0" w:space="0" w:color="auto" w:frame="1"/>
          </w:rPr>
          <w:t>https://www.colombiacompra.gov.co/content/convocatorias</w:t>
        </w:r>
      </w:hyperlink>
      <w:r w:rsidRPr="006804EE">
        <w:rPr>
          <w:rFonts w:ascii="Verdana" w:hAnsi="Verdana"/>
          <w:color w:val="1155CC"/>
          <w:sz w:val="22"/>
          <w:szCs w:val="22"/>
          <w:bdr w:val="none" w:sz="0" w:space="0" w:color="auto" w:frame="1"/>
        </w:rPr>
        <w:t> </w:t>
      </w:r>
      <w:r w:rsidRPr="006804EE">
        <w:rPr>
          <w:rFonts w:ascii="Verdana" w:hAnsi="Verdana"/>
          <w:color w:val="000000"/>
          <w:sz w:val="22"/>
          <w:szCs w:val="22"/>
        </w:rPr>
        <w:t>". </w:t>
      </w:r>
    </w:p>
    <w:p w14:paraId="522363AC" w14:textId="77777777" w:rsidR="00D046FA" w:rsidRPr="006804EE" w:rsidRDefault="00D046FA" w:rsidP="00D046FA">
      <w:pPr>
        <w:pStyle w:val="Textonotapie"/>
        <w:jc w:val="both"/>
        <w:rPr>
          <w:rFonts w:ascii="Verdana" w:hAnsi="Verdana" w:cs="Arial"/>
          <w:sz w:val="22"/>
          <w:szCs w:val="22"/>
          <w:lang w:val="es-ES"/>
        </w:rPr>
      </w:pPr>
    </w:p>
    <w:p w14:paraId="522363AD" w14:textId="77777777" w:rsidR="00D046FA" w:rsidRPr="006804EE" w:rsidRDefault="00D046FA" w:rsidP="00D046FA">
      <w:pPr>
        <w:spacing w:after="0" w:line="240" w:lineRule="auto"/>
        <w:jc w:val="both"/>
        <w:rPr>
          <w:rFonts w:ascii="Verdana" w:hAnsi="Verdana"/>
        </w:rPr>
      </w:pPr>
      <w:r w:rsidRPr="006804EE">
        <w:rPr>
          <w:rFonts w:ascii="Verdana" w:hAnsi="Verdana"/>
        </w:rPr>
        <w:t xml:space="preserve">Por último, lo invitamos a seguirnos en las redes sociales en las cuales se difunde información institucional: </w:t>
      </w:r>
    </w:p>
    <w:p w14:paraId="522363AE" w14:textId="77777777" w:rsidR="00D046FA" w:rsidRPr="006804EE" w:rsidRDefault="00D046FA" w:rsidP="00D046FA">
      <w:pPr>
        <w:spacing w:after="0" w:line="240" w:lineRule="auto"/>
        <w:jc w:val="both"/>
        <w:rPr>
          <w:rFonts w:ascii="Verdana" w:hAnsi="Verdana"/>
        </w:rPr>
      </w:pPr>
    </w:p>
    <w:p w14:paraId="522363AF" w14:textId="77777777" w:rsidR="00D046FA" w:rsidRPr="006804EE" w:rsidRDefault="00D046FA" w:rsidP="00D046FA">
      <w:pPr>
        <w:spacing w:after="0" w:line="240" w:lineRule="auto"/>
        <w:jc w:val="both"/>
        <w:rPr>
          <w:rFonts w:ascii="Verdana" w:hAnsi="Verdana"/>
        </w:rPr>
      </w:pPr>
      <w:r w:rsidRPr="006804EE">
        <w:rPr>
          <w:rFonts w:ascii="Verdana" w:hAnsi="Verdana"/>
        </w:rPr>
        <w:t xml:space="preserve">Twitter: </w:t>
      </w:r>
      <w:r w:rsidRPr="006804EE">
        <w:rPr>
          <w:rStyle w:val="Hipervnculo"/>
          <w:rFonts w:ascii="Verdana" w:hAnsi="Verdana"/>
          <w:color w:val="4472C4" w:themeColor="accent1"/>
        </w:rPr>
        <w:t>@colombiacompra</w:t>
      </w:r>
      <w:r w:rsidRPr="006804EE">
        <w:rPr>
          <w:rFonts w:ascii="Verdana" w:hAnsi="Verdana"/>
          <w:color w:val="4472C4" w:themeColor="accent1"/>
        </w:rPr>
        <w:t xml:space="preserve"> </w:t>
      </w:r>
    </w:p>
    <w:p w14:paraId="522363B0" w14:textId="77777777" w:rsidR="00D046FA" w:rsidRPr="006804EE" w:rsidRDefault="00D046FA" w:rsidP="00D046FA">
      <w:pPr>
        <w:spacing w:after="0" w:line="240" w:lineRule="auto"/>
        <w:jc w:val="both"/>
        <w:rPr>
          <w:rFonts w:ascii="Verdana" w:hAnsi="Verdana"/>
        </w:rPr>
      </w:pPr>
      <w:r w:rsidRPr="006804EE">
        <w:rPr>
          <w:rFonts w:ascii="Verdana" w:hAnsi="Verdana"/>
        </w:rPr>
        <w:t xml:space="preserve">Facebook: </w:t>
      </w:r>
      <w:r w:rsidRPr="006804EE">
        <w:rPr>
          <w:rStyle w:val="Hipervnculo"/>
          <w:rFonts w:ascii="Verdana" w:hAnsi="Verdana"/>
          <w:color w:val="4472C4" w:themeColor="accent1"/>
        </w:rPr>
        <w:t>ColombiaCompraEficiente</w:t>
      </w:r>
    </w:p>
    <w:p w14:paraId="522363B1" w14:textId="77777777" w:rsidR="00D046FA" w:rsidRPr="006804EE" w:rsidRDefault="00D046FA" w:rsidP="00D046FA">
      <w:pPr>
        <w:spacing w:after="0" w:line="240" w:lineRule="auto"/>
        <w:jc w:val="both"/>
        <w:rPr>
          <w:rFonts w:ascii="Verdana" w:hAnsi="Verdana"/>
        </w:rPr>
      </w:pPr>
      <w:r w:rsidRPr="006804EE">
        <w:rPr>
          <w:rFonts w:ascii="Verdana" w:hAnsi="Verdana"/>
        </w:rPr>
        <w:t xml:space="preserve">LinkedIn: </w:t>
      </w:r>
      <w:r w:rsidRPr="006804EE">
        <w:rPr>
          <w:rStyle w:val="Hipervnculo"/>
          <w:rFonts w:ascii="Verdana" w:hAnsi="Verdana"/>
          <w:color w:val="4472C4" w:themeColor="accent1"/>
        </w:rPr>
        <w:t>Agencia Nacional de Contratación Pública - Colombia Compra Eficiente</w:t>
      </w:r>
      <w:r w:rsidRPr="006804EE">
        <w:rPr>
          <w:rFonts w:ascii="Verdana" w:hAnsi="Verdana"/>
          <w:color w:val="4472C4" w:themeColor="accent1"/>
        </w:rPr>
        <w:t xml:space="preserve"> </w:t>
      </w:r>
      <w:r w:rsidRPr="006804EE">
        <w:rPr>
          <w:rFonts w:ascii="Verdana" w:hAnsi="Verdana"/>
        </w:rPr>
        <w:t xml:space="preserve">Instagram: </w:t>
      </w:r>
      <w:r w:rsidRPr="006804EE">
        <w:rPr>
          <w:rStyle w:val="Hipervnculo"/>
          <w:rFonts w:ascii="Verdana" w:hAnsi="Verdana"/>
          <w:color w:val="4472C4" w:themeColor="accent1"/>
        </w:rPr>
        <w:t>@colombiacompraeficiente_cce</w:t>
      </w:r>
    </w:p>
    <w:p w14:paraId="522363B2" w14:textId="77777777" w:rsidR="00D046FA" w:rsidRPr="006804EE" w:rsidRDefault="00D046FA" w:rsidP="00D046FA">
      <w:pPr>
        <w:spacing w:after="120" w:line="276" w:lineRule="auto"/>
        <w:jc w:val="both"/>
        <w:rPr>
          <w:rFonts w:ascii="Verdana" w:hAnsi="Verdana" w:cs="Arial"/>
          <w:lang w:val="es-ES"/>
        </w:rPr>
      </w:pPr>
    </w:p>
    <w:p w14:paraId="522363B3" w14:textId="77777777" w:rsidR="00D046FA" w:rsidRPr="006804EE" w:rsidRDefault="00D046FA" w:rsidP="00D046FA">
      <w:pPr>
        <w:spacing w:after="120" w:line="276" w:lineRule="auto"/>
        <w:jc w:val="both"/>
        <w:rPr>
          <w:rFonts w:ascii="Verdana" w:hAnsi="Verdana" w:cs="Arial"/>
          <w:color w:val="000000" w:themeColor="text1"/>
          <w:lang w:val="es-ES_tradnl"/>
        </w:rPr>
      </w:pPr>
      <w:r w:rsidRPr="006804EE">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22363B4" w14:textId="77777777" w:rsidR="00D046FA" w:rsidRPr="006804EE" w:rsidRDefault="00D046FA" w:rsidP="00D046FA">
      <w:pPr>
        <w:spacing w:after="120" w:line="276" w:lineRule="auto"/>
        <w:jc w:val="both"/>
        <w:rPr>
          <w:rFonts w:ascii="Verdana" w:eastAsia="Times New Roman" w:hAnsi="Verdana" w:cs="Arial"/>
          <w:i/>
          <w:lang w:val="es-ES" w:eastAsia="es-ES"/>
        </w:rPr>
      </w:pPr>
    </w:p>
    <w:p w14:paraId="522363B5" w14:textId="77777777" w:rsidR="00D046FA" w:rsidRPr="006804EE" w:rsidRDefault="00D046FA" w:rsidP="00D046FA">
      <w:pPr>
        <w:spacing w:after="0" w:line="240" w:lineRule="auto"/>
        <w:rPr>
          <w:rFonts w:ascii="Verdana" w:eastAsia="Times New Roman" w:hAnsi="Verdana" w:cs="Arial"/>
          <w:lang w:eastAsia="es-CO"/>
        </w:rPr>
      </w:pPr>
      <w:r w:rsidRPr="006804EE">
        <w:rPr>
          <w:rFonts w:ascii="Verdana" w:eastAsia="Times New Roman" w:hAnsi="Verdana" w:cs="Arial"/>
          <w:lang w:eastAsia="es-CO"/>
        </w:rPr>
        <w:t>Atentamente,</w:t>
      </w:r>
    </w:p>
    <w:p w14:paraId="522363B6" w14:textId="77777777" w:rsidR="00D046FA" w:rsidRPr="006804EE" w:rsidRDefault="00D046FA" w:rsidP="00D046FA">
      <w:pPr>
        <w:spacing w:after="0" w:line="276" w:lineRule="auto"/>
        <w:jc w:val="center"/>
        <w:rPr>
          <w:rFonts w:ascii="Verdana" w:eastAsia="Times New Roman" w:hAnsi="Verdana" w:cs="Arial"/>
          <w:color w:val="000000"/>
          <w:lang w:val="es-ES_tradnl" w:eastAsia="es-CO"/>
        </w:rPr>
      </w:pPr>
    </w:p>
    <w:p w14:paraId="522363B7" w14:textId="77777777" w:rsidR="00D046FA" w:rsidRPr="006804EE" w:rsidRDefault="007A0A1E" w:rsidP="00D046FA">
      <w:pPr>
        <w:spacing w:after="0" w:line="276" w:lineRule="auto"/>
        <w:jc w:val="center"/>
        <w:rPr>
          <w:rFonts w:ascii="Verdana" w:eastAsia="Times New Roman" w:hAnsi="Verdana" w:cs="Arial"/>
          <w:color w:val="000000"/>
          <w:lang w:val="es-ES_tradnl" w:eastAsia="es-CO"/>
        </w:rPr>
      </w:pPr>
      <w:r w:rsidRPr="004D5C25">
        <w:rPr>
          <w:rFonts w:ascii="Century Gothic" w:hAnsi="Century Gothic"/>
          <w:noProof/>
        </w:rPr>
        <w:drawing>
          <wp:inline distT="0" distB="0" distL="0" distR="0" wp14:anchorId="522363CB" wp14:editId="522363C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3"/>
                    <a:stretch>
                      <a:fillRect/>
                    </a:stretch>
                  </pic:blipFill>
                  <pic:spPr>
                    <a:xfrm>
                      <a:off x="0" y="0"/>
                      <a:ext cx="3705742" cy="1590897"/>
                    </a:xfrm>
                    <a:prstGeom prst="rect">
                      <a:avLst/>
                    </a:prstGeom>
                  </pic:spPr>
                </pic:pic>
              </a:graphicData>
            </a:graphic>
          </wp:inline>
        </w:drawing>
      </w:r>
    </w:p>
    <w:p w14:paraId="522363B8" w14:textId="77777777" w:rsidR="00D046FA" w:rsidRPr="006804EE" w:rsidRDefault="00D046FA" w:rsidP="00D046FA">
      <w:pPr>
        <w:spacing w:after="0" w:line="276" w:lineRule="auto"/>
        <w:jc w:val="center"/>
        <w:rPr>
          <w:rFonts w:ascii="Verdana" w:eastAsia="Times New Roman" w:hAnsi="Verdana" w:cs="Arial"/>
          <w:color w:val="000000"/>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046FA" w:rsidRPr="006804EE" w14:paraId="522363BC" w14:textId="77777777" w:rsidTr="00F567E8">
        <w:trPr>
          <w:trHeight w:val="409"/>
        </w:trPr>
        <w:tc>
          <w:tcPr>
            <w:tcW w:w="817" w:type="dxa"/>
            <w:tcBorders>
              <w:top w:val="nil"/>
              <w:left w:val="nil"/>
              <w:bottom w:val="nil"/>
              <w:right w:val="nil"/>
            </w:tcBorders>
            <w:vAlign w:val="center"/>
            <w:hideMark/>
          </w:tcPr>
          <w:p w14:paraId="522363B9" w14:textId="77777777" w:rsidR="00D046FA" w:rsidRPr="006804EE" w:rsidRDefault="00D046FA" w:rsidP="00F567E8">
            <w:pPr>
              <w:spacing w:after="0"/>
              <w:jc w:val="both"/>
              <w:rPr>
                <w:rFonts w:ascii="Verdana" w:hAnsi="Verdana" w:cs="Arial"/>
                <w:sz w:val="16"/>
                <w:szCs w:val="16"/>
              </w:rPr>
            </w:pPr>
            <w:r w:rsidRPr="006804EE">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522363BA" w14:textId="77777777" w:rsidR="00D046FA" w:rsidRPr="006804EE" w:rsidRDefault="00D046FA" w:rsidP="00F567E8">
            <w:pPr>
              <w:spacing w:after="0"/>
              <w:jc w:val="both"/>
              <w:rPr>
                <w:rFonts w:ascii="Verdana" w:hAnsi="Verdana" w:cs="Arial"/>
                <w:sz w:val="16"/>
                <w:szCs w:val="16"/>
              </w:rPr>
            </w:pPr>
            <w:proofErr w:type="spellStart"/>
            <w:r w:rsidRPr="006804EE">
              <w:rPr>
                <w:rFonts w:ascii="Verdana" w:hAnsi="Verdana" w:cs="Arial"/>
                <w:sz w:val="16"/>
                <w:szCs w:val="16"/>
              </w:rPr>
              <w:t>Jhonattan</w:t>
            </w:r>
            <w:proofErr w:type="spellEnd"/>
            <w:r w:rsidRPr="006804EE">
              <w:rPr>
                <w:rFonts w:ascii="Verdana" w:hAnsi="Verdana" w:cs="Arial"/>
                <w:sz w:val="16"/>
                <w:szCs w:val="16"/>
              </w:rPr>
              <w:t xml:space="preserve"> </w:t>
            </w:r>
            <w:proofErr w:type="spellStart"/>
            <w:r w:rsidRPr="006804EE">
              <w:rPr>
                <w:rFonts w:ascii="Verdana" w:hAnsi="Verdana" w:cs="Arial"/>
                <w:sz w:val="16"/>
                <w:szCs w:val="16"/>
              </w:rPr>
              <w:t>Gualdrón</w:t>
            </w:r>
            <w:proofErr w:type="spellEnd"/>
            <w:r w:rsidRPr="006804EE">
              <w:rPr>
                <w:rFonts w:ascii="Verdana" w:hAnsi="Verdana" w:cs="Arial"/>
                <w:sz w:val="16"/>
                <w:szCs w:val="16"/>
              </w:rPr>
              <w:t xml:space="preserve"> Salazar</w:t>
            </w:r>
          </w:p>
          <w:p w14:paraId="522363BB" w14:textId="77777777" w:rsidR="00D046FA" w:rsidRPr="006804EE" w:rsidRDefault="00D046FA" w:rsidP="00F567E8">
            <w:pPr>
              <w:spacing w:after="0"/>
              <w:jc w:val="both"/>
              <w:rPr>
                <w:rFonts w:ascii="Verdana" w:hAnsi="Verdana" w:cs="Arial"/>
                <w:sz w:val="16"/>
                <w:szCs w:val="16"/>
              </w:rPr>
            </w:pPr>
            <w:r w:rsidRPr="006804EE">
              <w:rPr>
                <w:rFonts w:ascii="Verdana" w:hAnsi="Verdana" w:cs="Arial"/>
                <w:sz w:val="16"/>
                <w:szCs w:val="16"/>
              </w:rPr>
              <w:t>Contratista de la Subdirección de Gestión Contractual</w:t>
            </w:r>
          </w:p>
        </w:tc>
      </w:tr>
      <w:tr w:rsidR="00D046FA" w:rsidRPr="006804EE" w14:paraId="522363C0" w14:textId="77777777" w:rsidTr="00F567E8">
        <w:trPr>
          <w:trHeight w:val="409"/>
        </w:trPr>
        <w:tc>
          <w:tcPr>
            <w:tcW w:w="817" w:type="dxa"/>
            <w:tcBorders>
              <w:top w:val="nil"/>
              <w:left w:val="nil"/>
              <w:right w:val="nil"/>
            </w:tcBorders>
            <w:vAlign w:val="center"/>
          </w:tcPr>
          <w:p w14:paraId="522363BD" w14:textId="77777777" w:rsidR="00D046FA" w:rsidRPr="006804EE" w:rsidRDefault="00D046FA" w:rsidP="00F567E8">
            <w:pPr>
              <w:spacing w:after="0"/>
              <w:jc w:val="both"/>
              <w:rPr>
                <w:rFonts w:ascii="Verdana" w:hAnsi="Verdana" w:cs="Arial"/>
                <w:sz w:val="16"/>
                <w:szCs w:val="16"/>
              </w:rPr>
            </w:pPr>
            <w:r w:rsidRPr="006804EE">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522363BE" w14:textId="77777777" w:rsidR="00304CB5" w:rsidRPr="00304CB5" w:rsidRDefault="00304CB5" w:rsidP="00304CB5">
            <w:pPr>
              <w:spacing w:after="0"/>
              <w:jc w:val="both"/>
              <w:rPr>
                <w:rStyle w:val="normaltextrun"/>
                <w:rFonts w:ascii="Verdana" w:hAnsi="Verdana" w:cs="Segoe UI"/>
                <w:color w:val="000000" w:themeColor="text1"/>
                <w:sz w:val="16"/>
                <w:szCs w:val="16"/>
                <w:lang w:eastAsia="es-CO"/>
              </w:rPr>
            </w:pPr>
            <w:r w:rsidRPr="00304CB5">
              <w:rPr>
                <w:rStyle w:val="normaltextrun"/>
                <w:rFonts w:ascii="Verdana" w:hAnsi="Verdana" w:cs="Segoe UI"/>
                <w:color w:val="000000" w:themeColor="text1"/>
                <w:sz w:val="16"/>
                <w:szCs w:val="16"/>
                <w:lang w:eastAsia="es-CO"/>
              </w:rPr>
              <w:t xml:space="preserve">Libardo Alberto Verjel De Filippis  </w:t>
            </w:r>
          </w:p>
          <w:p w14:paraId="522363BF" w14:textId="77777777" w:rsidR="00D046FA" w:rsidRPr="006804EE" w:rsidRDefault="00304CB5" w:rsidP="00304CB5">
            <w:pPr>
              <w:spacing w:after="0"/>
              <w:jc w:val="both"/>
              <w:rPr>
                <w:rFonts w:ascii="Verdana" w:hAnsi="Verdana" w:cs="Arial"/>
                <w:sz w:val="16"/>
                <w:szCs w:val="16"/>
              </w:rPr>
            </w:pPr>
            <w:r w:rsidRPr="00304CB5">
              <w:rPr>
                <w:rStyle w:val="normaltextrun"/>
                <w:rFonts w:ascii="Verdana" w:hAnsi="Verdana" w:cs="Segoe UI"/>
                <w:color w:val="000000" w:themeColor="text1"/>
                <w:sz w:val="16"/>
                <w:szCs w:val="16"/>
                <w:lang w:eastAsia="es-CO"/>
              </w:rPr>
              <w:t>Experto G3-08 de la Subdirección de la de Gestión Contractual</w:t>
            </w:r>
          </w:p>
        </w:tc>
      </w:tr>
      <w:tr w:rsidR="00D046FA" w:rsidRPr="006804EE" w14:paraId="522363C4" w14:textId="77777777" w:rsidTr="00F567E8">
        <w:trPr>
          <w:trHeight w:val="389"/>
        </w:trPr>
        <w:tc>
          <w:tcPr>
            <w:tcW w:w="817" w:type="dxa"/>
            <w:tcBorders>
              <w:top w:val="nil"/>
              <w:left w:val="nil"/>
              <w:bottom w:val="nil"/>
              <w:right w:val="nil"/>
            </w:tcBorders>
            <w:vAlign w:val="center"/>
            <w:hideMark/>
          </w:tcPr>
          <w:p w14:paraId="522363C1" w14:textId="77777777" w:rsidR="00D046FA" w:rsidRPr="006804EE" w:rsidRDefault="00D046FA" w:rsidP="00F567E8">
            <w:pPr>
              <w:spacing w:after="0"/>
              <w:jc w:val="both"/>
              <w:rPr>
                <w:rFonts w:ascii="Verdana" w:hAnsi="Verdana" w:cs="Arial"/>
                <w:sz w:val="16"/>
                <w:szCs w:val="16"/>
              </w:rPr>
            </w:pPr>
            <w:r w:rsidRPr="006804EE">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22363C2" w14:textId="77777777" w:rsidR="00D046FA" w:rsidRPr="006804EE" w:rsidRDefault="00D046FA" w:rsidP="00F567E8">
            <w:pPr>
              <w:spacing w:after="0"/>
              <w:rPr>
                <w:rFonts w:ascii="Verdana" w:eastAsia="Calibri" w:hAnsi="Verdana" w:cs="Arial"/>
                <w:sz w:val="16"/>
                <w:szCs w:val="16"/>
                <w:lang w:val="pt-BR" w:eastAsia="es-ES"/>
              </w:rPr>
            </w:pPr>
            <w:r w:rsidRPr="006804EE">
              <w:rPr>
                <w:rFonts w:ascii="Verdana" w:eastAsia="Calibri" w:hAnsi="Verdana" w:cs="Arial"/>
                <w:sz w:val="16"/>
                <w:szCs w:val="16"/>
                <w:lang w:val="pt-BR" w:eastAsia="es-ES"/>
              </w:rPr>
              <w:t>Carolina Quintero Gacharná</w:t>
            </w:r>
          </w:p>
          <w:p w14:paraId="522363C3" w14:textId="77777777" w:rsidR="00D046FA" w:rsidRPr="006804EE" w:rsidRDefault="00D046FA" w:rsidP="00F567E8">
            <w:pPr>
              <w:spacing w:after="0"/>
              <w:jc w:val="both"/>
              <w:rPr>
                <w:rFonts w:ascii="Verdana" w:hAnsi="Verdana" w:cs="Arial"/>
                <w:sz w:val="16"/>
                <w:szCs w:val="16"/>
              </w:rPr>
            </w:pPr>
            <w:r w:rsidRPr="006804EE">
              <w:rPr>
                <w:rFonts w:ascii="Verdana" w:hAnsi="Verdana" w:cs="Arial"/>
                <w:sz w:val="16"/>
                <w:szCs w:val="16"/>
              </w:rPr>
              <w:t>Subdirectora de Gestión Contractual ANCP – CCE</w:t>
            </w:r>
          </w:p>
        </w:tc>
      </w:tr>
    </w:tbl>
    <w:p w14:paraId="522363C5" w14:textId="77777777" w:rsidR="00D046FA" w:rsidRPr="006804EE" w:rsidRDefault="00D046FA" w:rsidP="00D046FA">
      <w:pPr>
        <w:pStyle w:val="Default"/>
        <w:tabs>
          <w:tab w:val="left" w:pos="2864"/>
        </w:tabs>
        <w:jc w:val="both"/>
        <w:rPr>
          <w:rFonts w:ascii="Verdana" w:hAnsi="Verdana"/>
          <w:sz w:val="22"/>
          <w:szCs w:val="22"/>
        </w:rPr>
      </w:pPr>
    </w:p>
    <w:p w14:paraId="522363C6" w14:textId="77777777" w:rsidR="00D046FA" w:rsidRPr="006804EE" w:rsidRDefault="00D046FA" w:rsidP="00D046FA">
      <w:pPr>
        <w:rPr>
          <w:rFonts w:ascii="Verdana" w:hAnsi="Verdana"/>
          <w:lang w:val="es-ES"/>
        </w:rPr>
      </w:pPr>
    </w:p>
    <w:p w14:paraId="522363C7" w14:textId="77777777" w:rsidR="00D046FA" w:rsidRPr="006804EE" w:rsidRDefault="00D046FA" w:rsidP="00D046FA">
      <w:pPr>
        <w:rPr>
          <w:rFonts w:ascii="Verdana" w:hAnsi="Verdana"/>
          <w:lang w:val="es-ES"/>
        </w:rPr>
      </w:pPr>
    </w:p>
    <w:p w14:paraId="522363C8" w14:textId="77777777" w:rsidR="008F1733" w:rsidRPr="006804EE" w:rsidRDefault="008F1733">
      <w:pPr>
        <w:rPr>
          <w:rFonts w:ascii="Verdana" w:hAnsi="Verdana"/>
          <w:lang w:val="es-ES"/>
        </w:rPr>
      </w:pPr>
    </w:p>
    <w:sectPr w:rsidR="008F1733" w:rsidRPr="006804EE" w:rsidSect="00A211EE">
      <w:headerReference w:type="default" r:id="rId24"/>
      <w:footerReference w:type="default" r:id="rId25"/>
      <w:pgSz w:w="12240" w:h="15840" w:code="1"/>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2363CF" w14:textId="77777777" w:rsidR="00FA7F1D" w:rsidRDefault="00FA7F1D" w:rsidP="00D046FA">
      <w:pPr>
        <w:spacing w:after="0" w:line="240" w:lineRule="auto"/>
      </w:pPr>
      <w:r>
        <w:separator/>
      </w:r>
    </w:p>
  </w:endnote>
  <w:endnote w:type="continuationSeparator" w:id="0">
    <w:p w14:paraId="522363D0" w14:textId="77777777" w:rsidR="00FA7F1D" w:rsidRDefault="00FA7F1D" w:rsidP="00D046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2363D8" w14:textId="77777777" w:rsidR="008F1733" w:rsidRDefault="008F1733" w:rsidP="00A211EE">
    <w:pPr>
      <w:spacing w:after="0"/>
      <w:rPr>
        <w:rFonts w:ascii="Verdana" w:hAnsi="Verdana"/>
        <w:b/>
        <w:bCs/>
        <w:sz w:val="20"/>
        <w:szCs w:val="20"/>
      </w:rPr>
    </w:pPr>
  </w:p>
  <w:p w14:paraId="522363D9" w14:textId="77777777" w:rsidR="008F1733" w:rsidRPr="00174B77" w:rsidRDefault="004D017C" w:rsidP="00A211E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22363DA" w14:textId="77777777" w:rsidR="008F1733" w:rsidRDefault="004D017C" w:rsidP="00A211EE">
    <w:pPr>
      <w:spacing w:after="0"/>
      <w:jc w:val="both"/>
      <w:rPr>
        <w:rFonts w:ascii="Verdana" w:hAnsi="Verdana"/>
        <w:sz w:val="18"/>
        <w:szCs w:val="18"/>
      </w:rPr>
    </w:pPr>
    <w:r w:rsidRPr="00E41027">
      <w:rPr>
        <w:rFonts w:ascii="Verdana" w:hAnsi="Verdana"/>
        <w:sz w:val="18"/>
        <w:szCs w:val="18"/>
      </w:rPr>
      <w:t>Dirección: Carrera 7 # 26 – 20 - Bogotá, Colombia</w:t>
    </w:r>
  </w:p>
  <w:p w14:paraId="522363DB" w14:textId="77777777" w:rsidR="008F1733" w:rsidRPr="00E41027" w:rsidRDefault="004D017C" w:rsidP="00A211EE">
    <w:pPr>
      <w:spacing w:after="0"/>
      <w:jc w:val="both"/>
      <w:rPr>
        <w:rFonts w:ascii="Verdana" w:hAnsi="Verdana"/>
        <w:sz w:val="18"/>
        <w:szCs w:val="18"/>
      </w:rPr>
    </w:pPr>
    <w:r w:rsidRPr="00E41027">
      <w:rPr>
        <w:rFonts w:ascii="Verdana" w:hAnsi="Verdana"/>
        <w:sz w:val="18"/>
        <w:szCs w:val="18"/>
      </w:rPr>
      <w:t xml:space="preserve">Mesa de servicio: (+57) </w:t>
    </w:r>
    <w:r w:rsidRPr="00E41027">
      <w:rPr>
        <w:rFonts w:ascii="Verdana" w:hAnsi="Verdana"/>
        <w:sz w:val="18"/>
        <w:szCs w:val="18"/>
      </w:rPr>
      <w:t>601 7456788</w:t>
    </w:r>
  </w:p>
  <w:p w14:paraId="522363DC" w14:textId="77777777" w:rsidR="008F1733" w:rsidRPr="00A211EE" w:rsidRDefault="004D017C" w:rsidP="00A211EE">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14:paraId="522363DD" w14:textId="77777777" w:rsidR="008F1733" w:rsidRDefault="008F1733" w:rsidP="00A211EE">
    <w:pPr>
      <w:pStyle w:val="Piedepgina"/>
    </w:pPr>
  </w:p>
  <w:p w14:paraId="522363DE" w14:textId="77777777" w:rsidR="008F1733" w:rsidRDefault="008F17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2363CD" w14:textId="77777777" w:rsidR="00FA7F1D" w:rsidRDefault="00FA7F1D" w:rsidP="00D046FA">
      <w:pPr>
        <w:spacing w:after="0" w:line="240" w:lineRule="auto"/>
      </w:pPr>
      <w:r>
        <w:separator/>
      </w:r>
    </w:p>
  </w:footnote>
  <w:footnote w:type="continuationSeparator" w:id="0">
    <w:p w14:paraId="522363CE" w14:textId="77777777" w:rsidR="00FA7F1D" w:rsidRDefault="00FA7F1D" w:rsidP="00D046FA">
      <w:pPr>
        <w:spacing w:after="0" w:line="240" w:lineRule="auto"/>
      </w:pPr>
      <w:r>
        <w:continuationSeparator/>
      </w:r>
    </w:p>
  </w:footnote>
  <w:footnote w:id="1">
    <w:p w14:paraId="522363E3" w14:textId="77777777" w:rsidR="009367DF" w:rsidRPr="009367DF" w:rsidRDefault="009367DF" w:rsidP="009367DF">
      <w:pPr>
        <w:pStyle w:val="Textonotapie"/>
      </w:pPr>
      <w:r>
        <w:rPr>
          <w:rStyle w:val="Refdenotaalpie"/>
        </w:rPr>
        <w:footnoteRef/>
      </w:r>
      <w:r>
        <w:t xml:space="preserve"> Consejo de Estado, Sala de lo Contencioso Administrativo, Sección tercera, Subsección B, Radicación N° 05001-23-31-000-1997-00663-01(32113) del 29 de septiembre de 2015. C.P. Stella Conto Díaz del Castillo.</w:t>
      </w:r>
    </w:p>
  </w:footnote>
  <w:footnote w:id="2">
    <w:p w14:paraId="522363E4" w14:textId="77777777" w:rsidR="005D0D37" w:rsidRPr="00E706E2" w:rsidRDefault="005D0D37" w:rsidP="005D0D37">
      <w:pPr>
        <w:pStyle w:val="Default"/>
        <w:ind w:firstLine="708"/>
        <w:jc w:val="both"/>
        <w:rPr>
          <w:rFonts w:ascii="Verdana" w:hAnsi="Verdana"/>
          <w:color w:val="000000" w:themeColor="text1"/>
          <w:sz w:val="16"/>
          <w:szCs w:val="16"/>
        </w:rPr>
      </w:pPr>
      <w:r w:rsidRPr="00E706E2">
        <w:rPr>
          <w:rStyle w:val="Refdenotaalpie"/>
          <w:rFonts w:ascii="Verdana" w:hAnsi="Verdana"/>
          <w:color w:val="000000" w:themeColor="text1"/>
          <w:sz w:val="16"/>
          <w:szCs w:val="16"/>
        </w:rPr>
        <w:footnoteRef/>
      </w:r>
      <w:r w:rsidRPr="00E706E2">
        <w:rPr>
          <w:rFonts w:ascii="Verdana" w:hAnsi="Verdana"/>
          <w:color w:val="000000" w:themeColor="text1"/>
          <w:sz w:val="16"/>
          <w:szCs w:val="16"/>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522363E5" w14:textId="77777777" w:rsidR="005D0D37" w:rsidRPr="00E706E2" w:rsidRDefault="005D0D37" w:rsidP="005D0D37">
      <w:pPr>
        <w:pStyle w:val="Textonotapie"/>
        <w:spacing w:before="120"/>
        <w:ind w:firstLine="709"/>
        <w:jc w:val="both"/>
        <w:rPr>
          <w:rFonts w:ascii="Verdana" w:hAnsi="Verdana" w:cs="Arial"/>
          <w:color w:val="000000" w:themeColor="text1"/>
          <w:sz w:val="16"/>
          <w:szCs w:val="16"/>
        </w:rPr>
      </w:pPr>
      <w:r w:rsidRPr="00E706E2">
        <w:rPr>
          <w:rFonts w:ascii="Verdana" w:hAnsi="Verdana" w:cs="Arial"/>
          <w:color w:val="000000" w:themeColor="text1"/>
          <w:sz w:val="16"/>
          <w:szCs w:val="16"/>
        </w:rPr>
        <w:t>Sin embargo, cualquiera que sea su objeto, las sociedades comerciales y civiles estarán sujetas, para todos los efectos, a la legislación mercantil”.</w:t>
      </w:r>
    </w:p>
    <w:p w14:paraId="522363E6" w14:textId="77777777" w:rsidR="005D0D37" w:rsidRPr="00E706E2" w:rsidRDefault="005D0D37" w:rsidP="005D0D37">
      <w:pPr>
        <w:pStyle w:val="Textonotapie"/>
        <w:ind w:firstLine="708"/>
        <w:jc w:val="both"/>
        <w:rPr>
          <w:rFonts w:ascii="Verdana" w:hAnsi="Verdana" w:cs="Arial"/>
          <w:color w:val="000000" w:themeColor="text1"/>
          <w:sz w:val="16"/>
          <w:szCs w:val="16"/>
        </w:rPr>
      </w:pPr>
    </w:p>
  </w:footnote>
  <w:footnote w:id="3">
    <w:p w14:paraId="522363E7" w14:textId="77777777" w:rsidR="005D0D37" w:rsidRPr="00E706E2" w:rsidRDefault="005D0D37" w:rsidP="005D0D37">
      <w:pPr>
        <w:pStyle w:val="Textonotapie"/>
        <w:ind w:firstLine="709"/>
        <w:jc w:val="both"/>
        <w:rPr>
          <w:rFonts w:ascii="Verdana" w:hAnsi="Verdana" w:cs="Arial"/>
          <w:sz w:val="16"/>
          <w:szCs w:val="16"/>
        </w:rPr>
      </w:pPr>
      <w:r w:rsidRPr="00E706E2">
        <w:rPr>
          <w:rStyle w:val="Refdenotaalpie"/>
          <w:rFonts w:ascii="Verdana" w:hAnsi="Verdana" w:cs="Arial"/>
          <w:sz w:val="16"/>
          <w:szCs w:val="16"/>
        </w:rPr>
        <w:footnoteRef/>
      </w:r>
      <w:r w:rsidRPr="00E706E2">
        <w:rPr>
          <w:rFonts w:ascii="Verdana" w:hAnsi="Verdana" w:cs="Arial"/>
          <w:sz w:val="16"/>
          <w:szCs w:val="16"/>
        </w:rPr>
        <w:t xml:space="preserve"> Ley 1450 de 2011. “Artículo 43. Definiciones de tamaño empresarial. El artículo 2° de la Ley 590 de 2000, quedará así: </w:t>
      </w:r>
    </w:p>
    <w:p w14:paraId="522363E8" w14:textId="77777777" w:rsidR="005D0D37" w:rsidRPr="00E706E2" w:rsidRDefault="005D0D37" w:rsidP="005D0D37">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522363E9" w14:textId="77777777" w:rsidR="005D0D37" w:rsidRPr="00E706E2" w:rsidRDefault="005D0D37" w:rsidP="005D0D37">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1. Número de trabajadores totales. </w:t>
      </w:r>
    </w:p>
    <w:p w14:paraId="522363EA" w14:textId="77777777" w:rsidR="005D0D37" w:rsidRPr="00E706E2" w:rsidRDefault="005D0D37" w:rsidP="005D0D37">
      <w:pPr>
        <w:pStyle w:val="Textonotapie"/>
        <w:spacing w:before="120"/>
        <w:jc w:val="both"/>
        <w:rPr>
          <w:rFonts w:ascii="Verdana" w:hAnsi="Verdana" w:cs="Arial"/>
          <w:sz w:val="16"/>
          <w:szCs w:val="16"/>
        </w:rPr>
      </w:pPr>
      <w:r w:rsidRPr="00E706E2">
        <w:rPr>
          <w:rFonts w:ascii="Verdana" w:hAnsi="Verdana" w:cs="Arial"/>
          <w:sz w:val="16"/>
          <w:szCs w:val="16"/>
        </w:rPr>
        <w:t xml:space="preserve"> </w:t>
      </w:r>
      <w:r w:rsidRPr="00E706E2">
        <w:rPr>
          <w:rFonts w:ascii="Verdana" w:hAnsi="Verdana" w:cs="Arial"/>
          <w:sz w:val="16"/>
          <w:szCs w:val="16"/>
        </w:rPr>
        <w:tab/>
        <w:t xml:space="preserve">2. Valor de ventas brutas anuales. </w:t>
      </w:r>
    </w:p>
    <w:p w14:paraId="522363EB" w14:textId="77777777" w:rsidR="005D0D37" w:rsidRPr="00E706E2" w:rsidRDefault="005D0D37" w:rsidP="005D0D37">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 3. Valor activos totales. </w:t>
      </w:r>
    </w:p>
    <w:p w14:paraId="522363EC" w14:textId="77777777" w:rsidR="005D0D37" w:rsidRPr="00E706E2" w:rsidRDefault="005D0D37" w:rsidP="005D0D37">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522363ED" w14:textId="77777777" w:rsidR="005D0D37" w:rsidRPr="00E706E2" w:rsidRDefault="005D0D37" w:rsidP="005D0D37">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522363EE" w14:textId="77777777" w:rsidR="005D0D37" w:rsidRDefault="005D0D37" w:rsidP="005D0D37">
      <w:pPr>
        <w:pStyle w:val="Textonotapie"/>
        <w:spacing w:before="120"/>
        <w:ind w:firstLine="708"/>
        <w:jc w:val="both"/>
        <w:rPr>
          <w:rFonts w:ascii="Verdana" w:hAnsi="Verdana" w:cs="Arial"/>
          <w:sz w:val="16"/>
          <w:szCs w:val="16"/>
        </w:rPr>
      </w:pPr>
      <w:r w:rsidRPr="00E706E2">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522363EF" w14:textId="77777777" w:rsidR="005D0D37" w:rsidRPr="00E706E2" w:rsidRDefault="005D0D37" w:rsidP="005D0D37">
      <w:pPr>
        <w:pStyle w:val="Textonotapie"/>
        <w:spacing w:before="120"/>
        <w:ind w:firstLine="708"/>
        <w:jc w:val="both"/>
        <w:rPr>
          <w:rFonts w:ascii="Verdana" w:hAnsi="Verdana" w:cs="Arial"/>
          <w:sz w:val="16"/>
          <w:szCs w:val="16"/>
          <w:lang w:val="es-CO"/>
        </w:rPr>
      </w:pPr>
    </w:p>
  </w:footnote>
  <w:footnote w:id="4">
    <w:p w14:paraId="522363F0" w14:textId="77777777" w:rsidR="005D0D37" w:rsidRPr="00E706E2" w:rsidRDefault="005D0D37" w:rsidP="005D0D37">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BARRERO BUITRAGO, Álvaro. Manual para el establecimiento de sociedades (4ta. ed.). Editorial Librería del Profesional. Bogotá. 2006. p. 21. Allí se lee, en relación con el requisito que deben cumplir las sociedades comerciales sobre el ánimo de lucro, lo siguiente: “esta característica viene a diferenciar a la sociedad mercantil de cualquier otra forma asociativa, pues para el comerciante la utilidad es primordial en sus actividades, no ocurriendo lo mismo para otras personas, donde el fin primordial no es obtener ganancias, como en el caso de las sociedades cooperativas”.</w:t>
      </w:r>
    </w:p>
    <w:p w14:paraId="522363F1" w14:textId="77777777" w:rsidR="005D0D37" w:rsidRPr="00E706E2" w:rsidRDefault="005D0D37" w:rsidP="005D0D37">
      <w:pPr>
        <w:pStyle w:val="Textonotapie"/>
        <w:ind w:firstLine="708"/>
        <w:jc w:val="both"/>
        <w:rPr>
          <w:rFonts w:ascii="Verdana" w:hAnsi="Verdana" w:cs="Arial"/>
          <w:color w:val="000000" w:themeColor="text1"/>
          <w:sz w:val="16"/>
          <w:szCs w:val="16"/>
        </w:rPr>
      </w:pPr>
    </w:p>
  </w:footnote>
  <w:footnote w:id="5">
    <w:p w14:paraId="522363F2" w14:textId="77777777" w:rsidR="005D0D37" w:rsidRPr="00E706E2" w:rsidRDefault="005D0D37" w:rsidP="005D0D37">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w:t>
      </w:r>
    </w:p>
    <w:p w14:paraId="522363F3" w14:textId="77777777" w:rsidR="005D0D37" w:rsidRPr="00E706E2" w:rsidRDefault="005D0D37" w:rsidP="005D0D37">
      <w:pPr>
        <w:pStyle w:val="Textonotapie"/>
        <w:spacing w:before="120"/>
        <w:ind w:firstLine="709"/>
        <w:jc w:val="both"/>
        <w:rPr>
          <w:rFonts w:ascii="Verdana" w:hAnsi="Verdana" w:cs="Arial"/>
          <w:color w:val="000000" w:themeColor="text1"/>
          <w:sz w:val="16"/>
          <w:szCs w:val="16"/>
        </w:rPr>
      </w:pPr>
      <w:r w:rsidRPr="00E706E2">
        <w:rPr>
          <w:rFonts w:ascii="Verdana" w:hAnsi="Verdana" w:cs="Arial"/>
          <w:color w:val="000000" w:themeColor="text1"/>
          <w:sz w:val="16"/>
          <w:szCs w:val="16"/>
        </w:rPr>
        <w:t xml:space="preserve">La ausencia de lucro es una de sus características fundamentales, lo cual significa que no existe el reparto de utilidades o remanentes generados en el desarrollo de sus objetivos, ni es viable el reembolso de los bienes o dineros aportados a la entidad </w:t>
      </w:r>
      <w:r>
        <w:rPr>
          <w:rFonts w:ascii="Verdana" w:hAnsi="Verdana" w:cs="Arial"/>
          <w:color w:val="000000" w:themeColor="text1"/>
          <w:sz w:val="16"/>
          <w:szCs w:val="16"/>
        </w:rPr>
        <w:t>(</w:t>
      </w:r>
      <w:r w:rsidRPr="00E706E2">
        <w:rPr>
          <w:rFonts w:ascii="Verdana" w:hAnsi="Verdana" w:cs="Arial"/>
          <w:color w:val="000000" w:themeColor="text1"/>
          <w:sz w:val="16"/>
          <w:szCs w:val="16"/>
        </w:rPr>
        <w:t>…</w:t>
      </w:r>
      <w:r>
        <w:rPr>
          <w:rFonts w:ascii="Verdana" w:hAnsi="Verdana" w:cs="Arial"/>
          <w:color w:val="000000" w:themeColor="text1"/>
          <w:sz w:val="16"/>
          <w:szCs w:val="16"/>
        </w:rPr>
        <w:t>)</w:t>
      </w:r>
      <w:r w:rsidRPr="00E706E2">
        <w:rPr>
          <w:rFonts w:ascii="Verdana" w:hAnsi="Verdana" w:cs="Arial"/>
          <w:color w:val="000000" w:themeColor="text1"/>
          <w:sz w:val="16"/>
          <w:szCs w:val="16"/>
        </w:rPr>
        <w:t>”.</w:t>
      </w:r>
    </w:p>
    <w:p w14:paraId="522363F4" w14:textId="77777777" w:rsidR="005D0D37" w:rsidRPr="00E706E2" w:rsidRDefault="005D0D37" w:rsidP="005D0D37">
      <w:pPr>
        <w:pStyle w:val="Textonotapie"/>
        <w:ind w:firstLine="708"/>
        <w:jc w:val="both"/>
        <w:rPr>
          <w:rFonts w:ascii="Verdana" w:hAnsi="Verdana" w:cs="Arial"/>
          <w:color w:val="000000" w:themeColor="text1"/>
          <w:sz w:val="16"/>
          <w:szCs w:val="16"/>
        </w:rPr>
      </w:pPr>
    </w:p>
  </w:footnote>
  <w:footnote w:id="6">
    <w:p w14:paraId="522363F5" w14:textId="77777777" w:rsidR="005D0D37" w:rsidRPr="00EA28C0" w:rsidRDefault="005D0D37" w:rsidP="005D0D37">
      <w:pPr>
        <w:pStyle w:val="Textonotapie"/>
        <w:rPr>
          <w:lang w:val="es-ES"/>
        </w:rPr>
      </w:pPr>
      <w:r>
        <w:rPr>
          <w:rStyle w:val="Refdenotaalpie"/>
        </w:rPr>
        <w:footnoteRef/>
      </w:r>
      <w:r>
        <w:t xml:space="preserve"> Artículo 98 C.Co “</w:t>
      </w:r>
      <w:r w:rsidRPr="00041D4B">
        <w:rPr>
          <w:lang w:val="es-CO"/>
        </w:rPr>
        <w:t>Por el contrato de sociedad dos o más personas se obligan a hacer un aporte en dinero, en trabajo o en otros bienes apreciables en dinero, con el fin de repartirse entre sí las utilidades obtenidas en la empresa o actividad social</w:t>
      </w:r>
      <w:r>
        <w:rPr>
          <w:lang w:val="es-CO"/>
        </w:rPr>
        <w:t>”.</w:t>
      </w:r>
    </w:p>
  </w:footnote>
  <w:footnote w:id="7">
    <w:p w14:paraId="522363F6" w14:textId="77777777" w:rsidR="005D0D37" w:rsidRPr="00E706E2" w:rsidRDefault="005D0D37" w:rsidP="005D0D37">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Corte Constitucional. Sentencia C-287 de 2012. </w:t>
      </w:r>
      <w:bookmarkStart w:id="0" w:name="_Hlk173274364"/>
      <w:r w:rsidRPr="00E706E2">
        <w:rPr>
          <w:rFonts w:ascii="Verdana" w:hAnsi="Verdana" w:cs="Arial"/>
          <w:color w:val="000000" w:themeColor="text1"/>
          <w:sz w:val="16"/>
          <w:szCs w:val="16"/>
        </w:rPr>
        <w:t>M.P. María Victoria Calle.</w:t>
      </w:r>
      <w:bookmarkEnd w:id="0"/>
    </w:p>
    <w:p w14:paraId="522363F7" w14:textId="77777777" w:rsidR="005D0D37" w:rsidRPr="00E706E2" w:rsidRDefault="005D0D37" w:rsidP="005D0D37">
      <w:pPr>
        <w:pStyle w:val="Textonotapie"/>
        <w:ind w:firstLine="708"/>
        <w:jc w:val="both"/>
        <w:rPr>
          <w:rFonts w:ascii="Verdana" w:hAnsi="Verdana" w:cs="Arial"/>
          <w:color w:val="000000" w:themeColor="text1"/>
          <w:sz w:val="16"/>
          <w:szCs w:val="16"/>
        </w:rPr>
      </w:pPr>
    </w:p>
  </w:footnote>
  <w:footnote w:id="8">
    <w:p w14:paraId="522363F8" w14:textId="77777777" w:rsidR="005D0D37" w:rsidRPr="00E706E2" w:rsidRDefault="005D0D37" w:rsidP="005D0D37">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w:t>
      </w:r>
      <w:r w:rsidR="00304CB5" w:rsidRPr="00E706E2">
        <w:rPr>
          <w:rFonts w:ascii="Verdana" w:hAnsi="Verdana" w:cs="Arial"/>
          <w:color w:val="000000" w:themeColor="text1"/>
          <w:sz w:val="16"/>
          <w:szCs w:val="16"/>
        </w:rPr>
        <w:t xml:space="preserve">Consejo </w:t>
      </w:r>
      <w:r w:rsidRPr="00E706E2">
        <w:rPr>
          <w:rFonts w:ascii="Verdana" w:hAnsi="Verdana" w:cs="Arial"/>
          <w:color w:val="000000" w:themeColor="text1"/>
          <w:sz w:val="16"/>
          <w:szCs w:val="16"/>
        </w:rPr>
        <w:t>de Estado, Sección Cuarta. Providencia del 26 de octubre de 2009. Exp. No. 25000-23-27-000-2007-00160-01(17200). M.P. Martha Teresa Briceño de Valencia.</w:t>
      </w:r>
    </w:p>
    <w:p w14:paraId="522363F9" w14:textId="77777777" w:rsidR="005D0D37" w:rsidRPr="00E706E2" w:rsidRDefault="005D0D37" w:rsidP="005D0D37">
      <w:pPr>
        <w:pStyle w:val="Textonotapie"/>
        <w:ind w:firstLine="708"/>
        <w:jc w:val="both"/>
        <w:rPr>
          <w:rFonts w:ascii="Verdana" w:hAnsi="Verdana" w:cs="Arial"/>
          <w:color w:val="000000" w:themeColor="text1"/>
          <w:sz w:val="16"/>
          <w:szCs w:val="16"/>
        </w:rPr>
      </w:pPr>
    </w:p>
  </w:footnote>
  <w:footnote w:id="9">
    <w:p w14:paraId="522363FA" w14:textId="77777777" w:rsidR="005D0D37" w:rsidRPr="00E706E2" w:rsidRDefault="005D0D37" w:rsidP="005D0D37">
      <w:pPr>
        <w:pStyle w:val="Textonotapie"/>
        <w:ind w:firstLine="709"/>
        <w:jc w:val="both"/>
        <w:rPr>
          <w:rFonts w:ascii="Verdana" w:hAnsi="Verdana" w:cs="Arial"/>
          <w:color w:val="000000" w:themeColor="text1"/>
          <w:sz w:val="16"/>
          <w:szCs w:val="16"/>
          <w:lang w:val="es-CO"/>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Corte Constitucional. Sala Plena. Sentencia C 178 de 29 de abril de 1996. Magistrado Ponente: Antonio Barrera Carbonell. Expediente No. D-974. </w:t>
      </w:r>
    </w:p>
  </w:footnote>
  <w:footnote w:id="10">
    <w:p w14:paraId="522363FB" w14:textId="77777777" w:rsidR="005D0D37" w:rsidRPr="00E706E2" w:rsidRDefault="005D0D37" w:rsidP="005D0D37">
      <w:pPr>
        <w:spacing w:after="0" w:line="240" w:lineRule="auto"/>
        <w:ind w:firstLine="709"/>
        <w:jc w:val="both"/>
        <w:rPr>
          <w:rFonts w:ascii="Verdana" w:hAnsi="Verdana" w:cs="Arial"/>
          <w:color w:val="000000" w:themeColor="text1"/>
          <w:sz w:val="16"/>
          <w:szCs w:val="16"/>
        </w:rPr>
      </w:pPr>
    </w:p>
    <w:p w14:paraId="522363FC" w14:textId="77777777" w:rsidR="005D0D37" w:rsidRPr="00E706E2" w:rsidRDefault="005D0D37" w:rsidP="005D0D37">
      <w:pPr>
        <w:spacing w:after="0" w:line="240" w:lineRule="auto"/>
        <w:ind w:firstLine="709"/>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“Artículo 6o. De la capacidad para contratar. Pueden celebrar contratos con las entidades estatales las personas consideradas legalmente capaces en las disposiciones vigentes”.</w:t>
      </w:r>
    </w:p>
    <w:p w14:paraId="522363FD" w14:textId="77777777" w:rsidR="005D0D37" w:rsidRPr="00E706E2" w:rsidRDefault="005D0D37" w:rsidP="005D0D37">
      <w:pPr>
        <w:pStyle w:val="Textonotapie"/>
        <w:ind w:firstLine="709"/>
        <w:jc w:val="both"/>
        <w:rPr>
          <w:rFonts w:ascii="Verdana" w:hAnsi="Verdana" w:cs="Arial"/>
          <w:color w:val="000000" w:themeColor="text1"/>
          <w:sz w:val="16"/>
          <w:szCs w:val="16"/>
        </w:rPr>
      </w:pPr>
    </w:p>
  </w:footnote>
  <w:footnote w:id="11">
    <w:p w14:paraId="522363FE" w14:textId="77777777" w:rsidR="005D0D37" w:rsidRPr="009367DF" w:rsidRDefault="005D0D37" w:rsidP="005D0D37">
      <w:pPr>
        <w:pStyle w:val="Textonotapie"/>
      </w:pPr>
      <w:r>
        <w:rPr>
          <w:rStyle w:val="Refdenotaalpie"/>
        </w:rPr>
        <w:footnoteRef/>
      </w:r>
      <w:r>
        <w:t xml:space="preserve"> Consejo de Estado, Sala de lo Contencioso Administrativo, Sección tercera, Subsección B, Radicación N° 05001-23-31-000-1997-00663-01(32113) del 29 de septiembre de 2015. C.P. Stella Conto Díaz del Castillo.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2363D1" w14:textId="77777777" w:rsidR="008F1733" w:rsidRDefault="004D017C">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22363DF" wp14:editId="522363E0">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22363E1" wp14:editId="522363E2">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22363D2" w14:textId="77777777" w:rsidR="008F1733" w:rsidRDefault="008F1733" w:rsidP="00A211EE">
    <w:pPr>
      <w:pStyle w:val="Encabezado"/>
      <w:jc w:val="center"/>
    </w:pPr>
  </w:p>
  <w:p w14:paraId="522363D3" w14:textId="77777777" w:rsidR="008F1733" w:rsidRDefault="008F1733">
    <w:pPr>
      <w:pStyle w:val="Encabezado"/>
    </w:pPr>
  </w:p>
  <w:p w14:paraId="522363D4" w14:textId="77777777" w:rsidR="008F1733" w:rsidRDefault="008F1733" w:rsidP="00A211EE">
    <w:pPr>
      <w:spacing w:after="0"/>
      <w:rPr>
        <w:rFonts w:ascii="Verdana" w:hAnsi="Verdana"/>
        <w:b/>
        <w:bCs/>
        <w:sz w:val="24"/>
        <w:szCs w:val="24"/>
      </w:rPr>
    </w:pPr>
  </w:p>
  <w:p w14:paraId="522363D5" w14:textId="77777777" w:rsidR="008F1733" w:rsidRDefault="004D017C" w:rsidP="00A211EE">
    <w:pPr>
      <w:spacing w:after="0"/>
      <w:rPr>
        <w:rFonts w:ascii="Verdana" w:hAnsi="Verdana"/>
        <w:b/>
        <w:bCs/>
        <w:sz w:val="24"/>
        <w:szCs w:val="24"/>
      </w:rPr>
    </w:pPr>
    <w:r w:rsidRPr="00A211EE">
      <w:rPr>
        <w:rFonts w:ascii="Verdana" w:hAnsi="Verdana"/>
        <w:b/>
        <w:bCs/>
        <w:sz w:val="24"/>
        <w:szCs w:val="24"/>
      </w:rPr>
      <w:t>FORMATO PQRSD</w:t>
    </w:r>
  </w:p>
  <w:p w14:paraId="522363D6" w14:textId="77777777" w:rsidR="008F1733" w:rsidRPr="00A211EE" w:rsidRDefault="008F1733" w:rsidP="00A211EE">
    <w:pPr>
      <w:spacing w:after="0" w:line="120" w:lineRule="auto"/>
      <w:rPr>
        <w:rFonts w:ascii="Verdana" w:hAnsi="Verdana"/>
        <w:b/>
        <w:bCs/>
        <w:sz w:val="24"/>
        <w:szCs w:val="24"/>
      </w:rPr>
    </w:pPr>
  </w:p>
  <w:p w14:paraId="522363D7" w14:textId="77777777" w:rsidR="008F1733" w:rsidRDefault="008F173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17A1800"/>
    <w:multiLevelType w:val="hybridMultilevel"/>
    <w:tmpl w:val="9706291C"/>
    <w:lvl w:ilvl="0" w:tplc="75469966">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 w15:restartNumberingAfterBreak="0">
    <w:nsid w:val="2694460F"/>
    <w:multiLevelType w:val="hybridMultilevel"/>
    <w:tmpl w:val="A50EA0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5C975AED"/>
    <w:multiLevelType w:val="hybridMultilevel"/>
    <w:tmpl w:val="1BCCBFD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66F77063"/>
    <w:multiLevelType w:val="hybridMultilevel"/>
    <w:tmpl w:val="CE7AC002"/>
    <w:lvl w:ilvl="0" w:tplc="AA60AF82">
      <w:numFmt w:val="bullet"/>
      <w:lvlText w:val=""/>
      <w:lvlJc w:val="left"/>
      <w:pPr>
        <w:ind w:left="461" w:hanging="360"/>
      </w:pPr>
      <w:rPr>
        <w:rFonts w:ascii="Symbol" w:eastAsia="Symbol" w:hAnsi="Symbol" w:cs="Symbol" w:hint="default"/>
        <w:spacing w:val="0"/>
        <w:w w:val="99"/>
        <w:lang w:val="es-ES" w:eastAsia="en-US" w:bidi="ar-SA"/>
      </w:rPr>
    </w:lvl>
    <w:lvl w:ilvl="1" w:tplc="B6F67F50">
      <w:numFmt w:val="bullet"/>
      <w:lvlText w:val="•"/>
      <w:lvlJc w:val="left"/>
      <w:pPr>
        <w:ind w:left="1434" w:hanging="360"/>
      </w:pPr>
      <w:rPr>
        <w:rFonts w:hint="default"/>
        <w:lang w:val="es-ES" w:eastAsia="en-US" w:bidi="ar-SA"/>
      </w:rPr>
    </w:lvl>
    <w:lvl w:ilvl="2" w:tplc="B2CA5C18">
      <w:numFmt w:val="bullet"/>
      <w:lvlText w:val="•"/>
      <w:lvlJc w:val="left"/>
      <w:pPr>
        <w:ind w:left="2408" w:hanging="360"/>
      </w:pPr>
      <w:rPr>
        <w:rFonts w:hint="default"/>
        <w:lang w:val="es-ES" w:eastAsia="en-US" w:bidi="ar-SA"/>
      </w:rPr>
    </w:lvl>
    <w:lvl w:ilvl="3" w:tplc="6988EAE6">
      <w:numFmt w:val="bullet"/>
      <w:lvlText w:val="•"/>
      <w:lvlJc w:val="left"/>
      <w:pPr>
        <w:ind w:left="3382" w:hanging="360"/>
      </w:pPr>
      <w:rPr>
        <w:rFonts w:hint="default"/>
        <w:lang w:val="es-ES" w:eastAsia="en-US" w:bidi="ar-SA"/>
      </w:rPr>
    </w:lvl>
    <w:lvl w:ilvl="4" w:tplc="0D1C71DA">
      <w:numFmt w:val="bullet"/>
      <w:lvlText w:val="•"/>
      <w:lvlJc w:val="left"/>
      <w:pPr>
        <w:ind w:left="4356" w:hanging="360"/>
      </w:pPr>
      <w:rPr>
        <w:rFonts w:hint="default"/>
        <w:lang w:val="es-ES" w:eastAsia="en-US" w:bidi="ar-SA"/>
      </w:rPr>
    </w:lvl>
    <w:lvl w:ilvl="5" w:tplc="1A022B96">
      <w:numFmt w:val="bullet"/>
      <w:lvlText w:val="•"/>
      <w:lvlJc w:val="left"/>
      <w:pPr>
        <w:ind w:left="5330" w:hanging="360"/>
      </w:pPr>
      <w:rPr>
        <w:rFonts w:hint="default"/>
        <w:lang w:val="es-ES" w:eastAsia="en-US" w:bidi="ar-SA"/>
      </w:rPr>
    </w:lvl>
    <w:lvl w:ilvl="6" w:tplc="A1140148">
      <w:numFmt w:val="bullet"/>
      <w:lvlText w:val="•"/>
      <w:lvlJc w:val="left"/>
      <w:pPr>
        <w:ind w:left="6304" w:hanging="360"/>
      </w:pPr>
      <w:rPr>
        <w:rFonts w:hint="default"/>
        <w:lang w:val="es-ES" w:eastAsia="en-US" w:bidi="ar-SA"/>
      </w:rPr>
    </w:lvl>
    <w:lvl w:ilvl="7" w:tplc="6382DD86">
      <w:numFmt w:val="bullet"/>
      <w:lvlText w:val="•"/>
      <w:lvlJc w:val="left"/>
      <w:pPr>
        <w:ind w:left="7278" w:hanging="360"/>
      </w:pPr>
      <w:rPr>
        <w:rFonts w:hint="default"/>
        <w:lang w:val="es-ES" w:eastAsia="en-US" w:bidi="ar-SA"/>
      </w:rPr>
    </w:lvl>
    <w:lvl w:ilvl="8" w:tplc="19A40C48">
      <w:numFmt w:val="bullet"/>
      <w:lvlText w:val="•"/>
      <w:lvlJc w:val="left"/>
      <w:pPr>
        <w:ind w:left="8252" w:hanging="360"/>
      </w:pPr>
      <w:rPr>
        <w:rFonts w:hint="default"/>
        <w:lang w:val="es-ES" w:eastAsia="en-US" w:bidi="ar-SA"/>
      </w:rPr>
    </w:lvl>
  </w:abstractNum>
  <w:abstractNum w:abstractNumId="5"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57A180A"/>
    <w:multiLevelType w:val="hybridMultilevel"/>
    <w:tmpl w:val="7778A548"/>
    <w:lvl w:ilvl="0" w:tplc="080A0001">
      <w:start w:val="1"/>
      <w:numFmt w:val="bullet"/>
      <w:lvlText w:val=""/>
      <w:lvlJc w:val="left"/>
      <w:pPr>
        <w:ind w:left="2300" w:hanging="360"/>
      </w:pPr>
      <w:rPr>
        <w:rFonts w:ascii="Symbol" w:hAnsi="Symbol" w:hint="default"/>
      </w:rPr>
    </w:lvl>
    <w:lvl w:ilvl="1" w:tplc="080A0003" w:tentative="1">
      <w:start w:val="1"/>
      <w:numFmt w:val="bullet"/>
      <w:lvlText w:val="o"/>
      <w:lvlJc w:val="left"/>
      <w:pPr>
        <w:ind w:left="3020" w:hanging="360"/>
      </w:pPr>
      <w:rPr>
        <w:rFonts w:ascii="Courier New" w:hAnsi="Courier New" w:cs="Courier New" w:hint="default"/>
      </w:rPr>
    </w:lvl>
    <w:lvl w:ilvl="2" w:tplc="080A0005" w:tentative="1">
      <w:start w:val="1"/>
      <w:numFmt w:val="bullet"/>
      <w:lvlText w:val=""/>
      <w:lvlJc w:val="left"/>
      <w:pPr>
        <w:ind w:left="3740" w:hanging="360"/>
      </w:pPr>
      <w:rPr>
        <w:rFonts w:ascii="Wingdings" w:hAnsi="Wingdings" w:hint="default"/>
      </w:rPr>
    </w:lvl>
    <w:lvl w:ilvl="3" w:tplc="080A0001" w:tentative="1">
      <w:start w:val="1"/>
      <w:numFmt w:val="bullet"/>
      <w:lvlText w:val=""/>
      <w:lvlJc w:val="left"/>
      <w:pPr>
        <w:ind w:left="4460" w:hanging="360"/>
      </w:pPr>
      <w:rPr>
        <w:rFonts w:ascii="Symbol" w:hAnsi="Symbol" w:hint="default"/>
      </w:rPr>
    </w:lvl>
    <w:lvl w:ilvl="4" w:tplc="080A0003" w:tentative="1">
      <w:start w:val="1"/>
      <w:numFmt w:val="bullet"/>
      <w:lvlText w:val="o"/>
      <w:lvlJc w:val="left"/>
      <w:pPr>
        <w:ind w:left="5180" w:hanging="360"/>
      </w:pPr>
      <w:rPr>
        <w:rFonts w:ascii="Courier New" w:hAnsi="Courier New" w:cs="Courier New" w:hint="default"/>
      </w:rPr>
    </w:lvl>
    <w:lvl w:ilvl="5" w:tplc="080A0005" w:tentative="1">
      <w:start w:val="1"/>
      <w:numFmt w:val="bullet"/>
      <w:lvlText w:val=""/>
      <w:lvlJc w:val="left"/>
      <w:pPr>
        <w:ind w:left="5900" w:hanging="360"/>
      </w:pPr>
      <w:rPr>
        <w:rFonts w:ascii="Wingdings" w:hAnsi="Wingdings" w:hint="default"/>
      </w:rPr>
    </w:lvl>
    <w:lvl w:ilvl="6" w:tplc="080A0001" w:tentative="1">
      <w:start w:val="1"/>
      <w:numFmt w:val="bullet"/>
      <w:lvlText w:val=""/>
      <w:lvlJc w:val="left"/>
      <w:pPr>
        <w:ind w:left="6620" w:hanging="360"/>
      </w:pPr>
      <w:rPr>
        <w:rFonts w:ascii="Symbol" w:hAnsi="Symbol" w:hint="default"/>
      </w:rPr>
    </w:lvl>
    <w:lvl w:ilvl="7" w:tplc="080A0003" w:tentative="1">
      <w:start w:val="1"/>
      <w:numFmt w:val="bullet"/>
      <w:lvlText w:val="o"/>
      <w:lvlJc w:val="left"/>
      <w:pPr>
        <w:ind w:left="7340" w:hanging="360"/>
      </w:pPr>
      <w:rPr>
        <w:rFonts w:ascii="Courier New" w:hAnsi="Courier New" w:cs="Courier New" w:hint="default"/>
      </w:rPr>
    </w:lvl>
    <w:lvl w:ilvl="8" w:tplc="080A0005" w:tentative="1">
      <w:start w:val="1"/>
      <w:numFmt w:val="bullet"/>
      <w:lvlText w:val=""/>
      <w:lvlJc w:val="left"/>
      <w:pPr>
        <w:ind w:left="8060" w:hanging="360"/>
      </w:pPr>
      <w:rPr>
        <w:rFonts w:ascii="Wingdings" w:hAnsi="Wingdings" w:hint="default"/>
      </w:rPr>
    </w:lvl>
  </w:abstractNum>
  <w:num w:numId="1" w16cid:durableId="341274352">
    <w:abstractNumId w:val="0"/>
  </w:num>
  <w:num w:numId="2" w16cid:durableId="784039179">
    <w:abstractNumId w:val="5"/>
  </w:num>
  <w:num w:numId="3" w16cid:durableId="869417340">
    <w:abstractNumId w:val="6"/>
  </w:num>
  <w:num w:numId="4" w16cid:durableId="539317399">
    <w:abstractNumId w:val="3"/>
  </w:num>
  <w:num w:numId="5" w16cid:durableId="1742561188">
    <w:abstractNumId w:val="4"/>
  </w:num>
  <w:num w:numId="6" w16cid:durableId="1240015687">
    <w:abstractNumId w:val="2"/>
  </w:num>
  <w:num w:numId="7" w16cid:durableId="9911328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6FA"/>
    <w:rsid w:val="001B74F2"/>
    <w:rsid w:val="002005BE"/>
    <w:rsid w:val="0020063E"/>
    <w:rsid w:val="00235822"/>
    <w:rsid w:val="002870A5"/>
    <w:rsid w:val="00304CB5"/>
    <w:rsid w:val="0043496D"/>
    <w:rsid w:val="004D017C"/>
    <w:rsid w:val="005D0D37"/>
    <w:rsid w:val="00602D6B"/>
    <w:rsid w:val="006113E1"/>
    <w:rsid w:val="0062640B"/>
    <w:rsid w:val="006804EE"/>
    <w:rsid w:val="007933B5"/>
    <w:rsid w:val="007A0A1E"/>
    <w:rsid w:val="008F1733"/>
    <w:rsid w:val="009367DF"/>
    <w:rsid w:val="00943A42"/>
    <w:rsid w:val="009D49AC"/>
    <w:rsid w:val="00B92F35"/>
    <w:rsid w:val="00D046FA"/>
    <w:rsid w:val="00F32EDD"/>
    <w:rsid w:val="00F661BE"/>
    <w:rsid w:val="00FA7F1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36324"/>
  <w15:chartTrackingRefBased/>
  <w15:docId w15:val="{9CB8AEB9-15A9-D245-A8BE-CE180C938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6FA"/>
    <w:pPr>
      <w:spacing w:after="160" w:line="259" w:lineRule="auto"/>
    </w:pPr>
    <w:rPr>
      <w:kern w:val="0"/>
      <w:sz w:val="22"/>
      <w:szCs w:val="22"/>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046F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046FA"/>
    <w:rPr>
      <w:kern w:val="0"/>
      <w:sz w:val="22"/>
      <w:szCs w:val="22"/>
      <w14:ligatures w14:val="none"/>
    </w:rPr>
  </w:style>
  <w:style w:type="paragraph" w:styleId="Piedepgina">
    <w:name w:val="footer"/>
    <w:basedOn w:val="Normal"/>
    <w:link w:val="PiedepginaCar"/>
    <w:uiPriority w:val="99"/>
    <w:unhideWhenUsed/>
    <w:rsid w:val="00D046F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046FA"/>
    <w:rPr>
      <w:kern w:val="0"/>
      <w:sz w:val="22"/>
      <w:szCs w:val="22"/>
      <w14:ligatures w14:val="none"/>
    </w:rPr>
  </w:style>
  <w:style w:type="paragraph" w:customStyle="1" w:styleId="Default">
    <w:name w:val="Default"/>
    <w:rsid w:val="00D046FA"/>
    <w:pPr>
      <w:autoSpaceDE w:val="0"/>
      <w:autoSpaceDN w:val="0"/>
      <w:adjustRightInd w:val="0"/>
    </w:pPr>
    <w:rPr>
      <w:rFonts w:ascii="Arial" w:hAnsi="Arial" w:cs="Arial"/>
      <w:color w:val="000000"/>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046F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046F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046F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046FA"/>
    <w:rPr>
      <w:vertAlign w:val="superscript"/>
    </w:rPr>
  </w:style>
  <w:style w:type="character" w:customStyle="1" w:styleId="normaltextrun">
    <w:name w:val="normaltextrun"/>
    <w:basedOn w:val="Fuentedeprrafopredeter"/>
    <w:rsid w:val="00D046FA"/>
  </w:style>
  <w:style w:type="table" w:styleId="Tablaconcuadrcula">
    <w:name w:val="Table Grid"/>
    <w:basedOn w:val="Tablanormal"/>
    <w:uiPriority w:val="39"/>
    <w:qFormat/>
    <w:rsid w:val="00D046FA"/>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046FA"/>
    <w:rPr>
      <w:color w:val="0000FF"/>
      <w:u w:val="single"/>
    </w:rPr>
  </w:style>
  <w:style w:type="paragraph" w:customStyle="1" w:styleId="Appelnotedebasde">
    <w:name w:val="Appel note de bas de..."/>
    <w:basedOn w:val="Normal"/>
    <w:link w:val="Refdenotaalpie"/>
    <w:uiPriority w:val="99"/>
    <w:rsid w:val="00D046FA"/>
    <w:pPr>
      <w:spacing w:line="240" w:lineRule="exact"/>
    </w:pPr>
    <w:rPr>
      <w:kern w:val="2"/>
      <w:sz w:val="24"/>
      <w:szCs w:val="24"/>
      <w:vertAlign w:val="superscript"/>
      <w14:ligatures w14:val="standardContextual"/>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D046FA"/>
    <w:pPr>
      <w:ind w:left="720"/>
      <w:contextualSpacing/>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046FA"/>
    <w:rPr>
      <w:kern w:val="0"/>
      <w:sz w:val="22"/>
      <w:szCs w:val="22"/>
      <w14:ligatures w14:val="none"/>
    </w:rPr>
  </w:style>
  <w:style w:type="paragraph" w:styleId="NormalWeb">
    <w:name w:val="Normal (Web)"/>
    <w:basedOn w:val="Normal"/>
    <w:link w:val="NormalWebCar"/>
    <w:uiPriority w:val="99"/>
    <w:unhideWhenUsed/>
    <w:rsid w:val="00D046FA"/>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D046FA"/>
    <w:rPr>
      <w:rFonts w:ascii="Times New Roman" w:eastAsia="Times New Roman" w:hAnsi="Times New Roman" w:cs="Times New Roman"/>
      <w:kern w:val="0"/>
      <w:lang w:eastAsia="es-CO"/>
      <w14:ligatures w14:val="none"/>
    </w:rPr>
  </w:style>
  <w:style w:type="paragraph" w:styleId="Textoindependiente">
    <w:name w:val="Body Text"/>
    <w:basedOn w:val="Normal"/>
    <w:link w:val="TextoindependienteCar"/>
    <w:uiPriority w:val="1"/>
    <w:qFormat/>
    <w:rsid w:val="00943A42"/>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943A42"/>
    <w:rPr>
      <w:rFonts w:ascii="Verdana" w:eastAsia="Verdana" w:hAnsi="Verdana" w:cs="Verdana"/>
      <w:kern w:val="0"/>
      <w:sz w:val="22"/>
      <w:szCs w:val="22"/>
      <w:lang w:val="es-ES"/>
      <w14:ligatures w14:val="none"/>
    </w:rPr>
  </w:style>
  <w:style w:type="paragraph" w:customStyle="1" w:styleId="paragraph">
    <w:name w:val="paragraph"/>
    <w:basedOn w:val="Normal"/>
    <w:rsid w:val="0023582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235822"/>
  </w:style>
  <w:style w:type="character" w:styleId="Hipervnculovisitado">
    <w:name w:val="FollowedHyperlink"/>
    <w:basedOn w:val="Fuentedeprrafopredeter"/>
    <w:uiPriority w:val="99"/>
    <w:semiHidden/>
    <w:unhideWhenUsed/>
    <w:rsid w:val="001B74F2"/>
    <w:rPr>
      <w:color w:val="954F72" w:themeColor="followedHyperlink"/>
      <w:u w:val="single"/>
    </w:rPr>
  </w:style>
  <w:style w:type="character" w:styleId="Mencinsinresolver">
    <w:name w:val="Unresolved Mention"/>
    <w:basedOn w:val="Fuentedeprrafopredeter"/>
    <w:uiPriority w:val="99"/>
    <w:semiHidden/>
    <w:unhideWhenUsed/>
    <w:rsid w:val="001B74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normativa/constitucion-politica-de-colombia/" TargetMode="External"/><Relationship Id="rId18" Type="http://schemas.openxmlformats.org/officeDocument/2006/relationships/hyperlink" Target="https://relatoria.colombiacompra.gov.co/providencias-consejo-de-estad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nam02.safelinks.protection.outlook.com/?url=https%3A%2F%2Fwww.sucop.gov.co%2Fentidades%2Fcolombiacompra%2FNormativa%3FIDNorma%3D17363&amp;data=05%7C02%7Cjhonattan.gualdron%40colombiacompra.gov.co%7C5aad36a736844ec87b2108dcc1fa4639%7C7b09041e245149d08cb179d5e3d8c1be%7C0%7C0%7C638598527917265633%7CUnknown%7CTWFpbGZsb3d8eyJWIjoiMC4wLjAwMDAiLCJQIjoiV2luMzIiLCJBTiI6Ik1haWwiLCJXVCI6Mn0%3D%7C0%7C%7C%7C&amp;sdata=H9PLfV66YL2Q498cyGGDzSF337JDYwpVrLcWUmpmqCA%3D&amp;reserved=0" TargetMode="External"/><Relationship Id="rId7" Type="http://schemas.openxmlformats.org/officeDocument/2006/relationships/settings" Target="settings.xml"/><Relationship Id="rId12" Type="http://schemas.openxmlformats.org/officeDocument/2006/relationships/hyperlink" Target="mailto:HASSBLADY@HOTMAIL.COM" TargetMode="External"/><Relationship Id="rId17" Type="http://schemas.openxmlformats.org/officeDocument/2006/relationships/hyperlink" Target="https://www.colombiacompra.gov.co/sites/cce_public/files/cce_documents/cce_guia_esal.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normativa/decreto-092-de-2017/" TargetMode="External"/><Relationship Id="rId20" Type="http://schemas.openxmlformats.org/officeDocument/2006/relationships/hyperlink" Target="https://nam02.safelinks.protection.outlook.com/?url=https%3A%2F%2Fwww.colombiacompra.gov.co%2Fsites%2Fcce_public%2Ffiles%2Ffiles_2020%2Fboletin_de_realtoria_iii.pdf&amp;data=05%7C02%7Cjhonattan.gualdron%40colombiacompra.gov.co%7C5aad36a736844ec87b2108dcc1fa4639%7C7b09041e245149d08cb179d5e3d8c1be%7C0%7C0%7C638598527917258349%7CUnknown%7CTWFpbGZsb3d8eyJWIjoiMC4wLjAwMDAiLCJQIjoiV2luMzIiLCJBTiI6Ik1haWwiLCJXVCI6Mn0%3D%7C0%7C%7C%7C&amp;sdata=L8n4%2BPLzCXOYkgvgeiE94oL%2BWH5QycxZ3E%2FJkFORVZ4%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relatoria.colombiacompra.gov.co/normativa/ley-80-de-1993/" TargetMode="External"/><Relationship Id="rId23"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s://nam02.safelinks.protection.outlook.com/?url=https%3A%2F%2Frelatoria.colombiacompra.gov.co%2F&amp;data=05%7C02%7Cjhonattan.gualdron%40colombiacompra.gov.co%7C5aad36a736844ec87b2108dcc1fa4639%7C7b09041e245149d08cb179d5e3d8c1be%7C0%7C0%7C638598527917246155%7CUnknown%7CTWFpbGZsb3d8eyJWIjoiMC4wLjAwMDAiLCJQIjoiV2luMzIiLCJBTiI6Ik1haWwiLCJXVCI6Mn0%3D%7C0%7C%7C%7C&amp;sdata=vvr1bncg52balnsi4t%2FCslEkQPef8NiUUqg4Qj8a7c8%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codigo-de-comercio-decreto-410-de-1971/" TargetMode="External"/><Relationship Id="rId22" Type="http://schemas.openxmlformats.org/officeDocument/2006/relationships/hyperlink" Target="https://nam02.safelinks.protection.outlook.com/?url=https%3A%2F%2Fwww.colombiacompra.gov.co%2Fcontent%2Fconvocatorias&amp;data=05%7C02%7Cjhonattan.gualdron%40colombiacompra.gov.co%7C5aad36a736844ec87b2108dcc1fa4639%7C7b09041e245149d08cb179d5e3d8c1be%7C0%7C0%7C638598527917272844%7CUnknown%7CTWFpbGZsb3d8eyJWIjoiMC4wLjAwMDAiLCJQIjoiV2luMzIiLCJBTiI6Ik1haWwiLCJXVCI6Mn0%3D%7C0%7C%7C%7C&amp;sdata=VFAq4J75LVDRrtXpdoT4pgG%2BDVGNt%2F7L6wXYZDhcBGw%3D&amp;reserved=0"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0E94AA-58BB-4F41-92C9-72D7F108739F}">
  <ds:schemaRefs>
    <ds:schemaRef ds:uri="http://schemas.microsoft.com/sharepoint/v3/contenttype/forms"/>
  </ds:schemaRefs>
</ds:datastoreItem>
</file>

<file path=customXml/itemProps2.xml><?xml version="1.0" encoding="utf-8"?>
<ds:datastoreItem xmlns:ds="http://schemas.openxmlformats.org/officeDocument/2006/customXml" ds:itemID="{A3984FCF-24CB-466B-A90C-F691276430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5ED519-9D7D-410B-AA66-F32812592AB6}">
  <ds:schemaRefs>
    <ds:schemaRef ds:uri="http://purl.org/dc/elements/1.1/"/>
    <ds:schemaRef ds:uri="http://www.w3.org/XML/1998/namespace"/>
    <ds:schemaRef ds:uri="http://schemas.microsoft.com/office/2006/metadata/properties"/>
    <ds:schemaRef ds:uri="a6cb9e4b-f1d1-4245-83ec-6cad768d538a"/>
    <ds:schemaRef ds:uri="http://schemas.microsoft.com/office/2006/documentManagement/types"/>
    <ds:schemaRef ds:uri="http://purl.org/dc/terms/"/>
    <ds:schemaRef ds:uri="http://purl.org/dc/dcmitype/"/>
    <ds:schemaRef ds:uri="http://schemas.microsoft.com/office/infopath/2007/PartnerControls"/>
    <ds:schemaRef ds:uri="http://schemas.openxmlformats.org/package/2006/metadata/core-properties"/>
    <ds:schemaRef ds:uri="9d85dbaf-23eb-4e57-a637-93dcacc8b1a1"/>
  </ds:schemaRefs>
</ds:datastoreItem>
</file>

<file path=customXml/itemProps4.xml><?xml version="1.0" encoding="utf-8"?>
<ds:datastoreItem xmlns:ds="http://schemas.openxmlformats.org/officeDocument/2006/customXml" ds:itemID="{7D051E0D-06E8-9D45-B48F-9F137D6F8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3986</Words>
  <Characters>21927</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Kelmis Yimara Bruges Alvarado</cp:lastModifiedBy>
  <cp:revision>2</cp:revision>
  <dcterms:created xsi:type="dcterms:W3CDTF">2024-08-28T19:28:00Z</dcterms:created>
  <dcterms:modified xsi:type="dcterms:W3CDTF">2024-08-28T19:28:00Z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