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0845E6" w14:textId="77777777" w:rsidR="00504C05" w:rsidRPr="00F94992" w:rsidRDefault="00504C05" w:rsidP="00504C05">
      <w:pPr>
        <w:spacing w:after="0"/>
        <w:jc w:val="both"/>
        <w:rPr>
          <w:rFonts w:ascii="Verdana" w:eastAsia="Calibri" w:hAnsi="Verdana" w:cs="Arial"/>
          <w:b/>
        </w:rPr>
      </w:pPr>
      <w:bookmarkStart w:id="0" w:name="_Hlk143780582"/>
      <w:r w:rsidRPr="00FB271C">
        <w:rPr>
          <w:rFonts w:ascii="Verdana" w:eastAsia="Calibri" w:hAnsi="Verdana" w:cs="Arial"/>
          <w:b/>
        </w:rPr>
        <w:t xml:space="preserve">DOCUMENTOS TIPO DE INFRAESTRUCTURA </w:t>
      </w:r>
      <w:r>
        <w:rPr>
          <w:rFonts w:ascii="Verdana" w:eastAsia="Calibri" w:hAnsi="Verdana" w:cs="Arial"/>
          <w:b/>
        </w:rPr>
        <w:t>SOCIAL</w:t>
      </w:r>
      <w:r w:rsidRPr="00FB271C">
        <w:rPr>
          <w:rFonts w:ascii="Verdana" w:eastAsia="Calibri" w:hAnsi="Verdana" w:cs="Arial"/>
          <w:b/>
        </w:rPr>
        <w:t xml:space="preserve"> – </w:t>
      </w:r>
      <w:r>
        <w:rPr>
          <w:rFonts w:ascii="Verdana" w:eastAsia="Calibri" w:hAnsi="Verdana" w:cs="Arial"/>
          <w:b/>
        </w:rPr>
        <w:t>Características de los contratos presentados para acreditar la experiencia exigida – Porcentaje – Presupuesto Oficial</w:t>
      </w:r>
    </w:p>
    <w:p w14:paraId="0F6E4014" w14:textId="77777777" w:rsidR="00504C05" w:rsidRPr="00710A1D" w:rsidRDefault="00504C05" w:rsidP="00504C05">
      <w:pPr>
        <w:spacing w:after="0"/>
        <w:jc w:val="both"/>
        <w:rPr>
          <w:rFonts w:ascii="Verdana" w:eastAsia="Calibri" w:hAnsi="Verdana" w:cs="Times New Roman"/>
        </w:rPr>
      </w:pPr>
    </w:p>
    <w:p w14:paraId="139D0999" w14:textId="77777777" w:rsidR="00504C05" w:rsidRPr="003C6596" w:rsidRDefault="00504C05" w:rsidP="00504C05">
      <w:pPr>
        <w:tabs>
          <w:tab w:val="left" w:pos="-142"/>
        </w:tabs>
        <w:autoSpaceDE w:val="0"/>
        <w:autoSpaceDN w:val="0"/>
        <w:adjustRightInd w:val="0"/>
        <w:spacing w:after="0" w:line="240" w:lineRule="auto"/>
        <w:jc w:val="both"/>
        <w:outlineLvl w:val="2"/>
        <w:rPr>
          <w:rFonts w:ascii="Verdana" w:eastAsia="Times New Roman" w:hAnsi="Verdana" w:cs="Arial"/>
          <w:sz w:val="20"/>
          <w:szCs w:val="20"/>
          <w:shd w:val="clear" w:color="auto" w:fill="FFFFFF"/>
          <w:lang w:val="es-ES" w:eastAsia="es-ES"/>
        </w:rPr>
      </w:pPr>
      <w:r w:rsidRPr="003C6596">
        <w:rPr>
          <w:rFonts w:ascii="Verdana" w:eastAsia="Calibri" w:hAnsi="Verdana" w:cs="Arial"/>
          <w:sz w:val="20"/>
          <w:szCs w:val="20"/>
          <w:lang w:val="x-none" w:eastAsia="es-ES"/>
        </w:rPr>
        <w:t>Para la determinación de los requisitos mínimos de experiencia según la “Matriz 1 – Experiencia”, el numeral 3.5.1 del documento base de los documentos tipo en comento prescribe que la entidad debe indicar la forma de análisis y establecimiento de las condiciones de experiencia, tanto general como específica. Además, deberá indicar el número de la actividad a contratar, y transcribir textualmente lo señalado en la “Matriz 1 – Experiencia”.</w:t>
      </w:r>
      <w:r w:rsidRPr="003C6596">
        <w:rPr>
          <w:rFonts w:ascii="Verdana" w:eastAsia="Times New Roman" w:hAnsi="Verdana" w:cs="Arial"/>
          <w:sz w:val="20"/>
          <w:szCs w:val="20"/>
          <w:shd w:val="clear" w:color="auto" w:fill="FFFFFF"/>
          <w:lang w:val="es-ES" w:eastAsia="es-ES"/>
        </w:rPr>
        <w:t xml:space="preserve"> </w:t>
      </w:r>
    </w:p>
    <w:p w14:paraId="0A85ED41" w14:textId="77777777" w:rsidR="00504C05" w:rsidRPr="003C6596" w:rsidRDefault="00504C05" w:rsidP="00504C05">
      <w:pPr>
        <w:tabs>
          <w:tab w:val="left" w:pos="-142"/>
        </w:tabs>
        <w:autoSpaceDE w:val="0"/>
        <w:autoSpaceDN w:val="0"/>
        <w:adjustRightInd w:val="0"/>
        <w:spacing w:after="0" w:line="240" w:lineRule="auto"/>
        <w:jc w:val="both"/>
        <w:outlineLvl w:val="2"/>
        <w:rPr>
          <w:rFonts w:ascii="Verdana" w:eastAsia="Times New Roman" w:hAnsi="Verdana" w:cs="Arial"/>
          <w:sz w:val="20"/>
          <w:szCs w:val="20"/>
          <w:shd w:val="clear" w:color="auto" w:fill="FFFFFF"/>
          <w:lang w:val="es-ES" w:eastAsia="es-ES"/>
        </w:rPr>
      </w:pPr>
      <w:r w:rsidRPr="003C6596">
        <w:rPr>
          <w:rFonts w:ascii="Verdana" w:eastAsia="Times New Roman" w:hAnsi="Verdana" w:cs="Arial"/>
          <w:sz w:val="20"/>
          <w:szCs w:val="20"/>
          <w:shd w:val="clear" w:color="auto" w:fill="FFFFFF"/>
          <w:lang w:val="es-ES" w:eastAsia="es-ES"/>
        </w:rPr>
        <w:t>[…]</w:t>
      </w:r>
    </w:p>
    <w:p w14:paraId="4EEB92B5" w14:textId="77777777" w:rsidR="00504C05" w:rsidRPr="003C6596" w:rsidRDefault="00504C05" w:rsidP="00504C05">
      <w:pPr>
        <w:spacing w:after="0" w:line="240" w:lineRule="auto"/>
        <w:jc w:val="both"/>
        <w:rPr>
          <w:rFonts w:ascii="Verdana" w:eastAsia="Geomanist Light" w:hAnsi="Verdana" w:cs="Arial"/>
          <w:sz w:val="20"/>
          <w:szCs w:val="20"/>
          <w:lang w:val="es-MX"/>
        </w:rPr>
      </w:pPr>
      <w:r w:rsidRPr="003C6596">
        <w:rPr>
          <w:rFonts w:ascii="Verdana" w:eastAsia="Geomanist Light" w:hAnsi="Verdana" w:cs="Arial"/>
          <w:sz w:val="20"/>
          <w:szCs w:val="20"/>
          <w:lang w:val="es-MX"/>
        </w:rPr>
        <w:t>Finalmente, es importante tener en cuenta lo dispuesto en el documento base de los documentos tipo del sector social, en su numeral “3.5.1. Características de los contratos presentados para acreditar la experiencia exigida”, en el punto ii) del literal A, que establece que:</w:t>
      </w:r>
      <w:r>
        <w:rPr>
          <w:rFonts w:ascii="Verdana" w:eastAsia="Geomanist Light" w:hAnsi="Verdana" w:cs="Arial"/>
          <w:sz w:val="20"/>
          <w:szCs w:val="20"/>
          <w:lang w:val="es-MX"/>
        </w:rPr>
        <w:t xml:space="preserve"> […]</w:t>
      </w:r>
    </w:p>
    <w:p w14:paraId="67F49DF8" w14:textId="77777777" w:rsidR="00A534E9" w:rsidRDefault="00A534E9" w:rsidP="00A534E9">
      <w:pPr>
        <w:spacing w:after="0" w:line="240" w:lineRule="auto"/>
        <w:rPr>
          <w:rFonts w:ascii="Verdana" w:eastAsia="Geomanist Light" w:hAnsi="Verdana" w:cs="Arial"/>
          <w:lang w:val="es-MX"/>
        </w:rPr>
      </w:pPr>
    </w:p>
    <w:p w14:paraId="13A53AF0" w14:textId="77777777" w:rsidR="00504C05" w:rsidRDefault="00504C05" w:rsidP="00A534E9">
      <w:pPr>
        <w:spacing w:after="0" w:line="240" w:lineRule="auto"/>
        <w:rPr>
          <w:rFonts w:ascii="Verdana" w:eastAsia="Geomanist Light" w:hAnsi="Verdana" w:cs="Arial"/>
          <w:lang w:val="es-MX"/>
        </w:rPr>
      </w:pPr>
    </w:p>
    <w:p w14:paraId="643210B4" w14:textId="77777777" w:rsidR="00504C05" w:rsidRDefault="00504C05" w:rsidP="00A534E9">
      <w:pPr>
        <w:spacing w:after="0" w:line="240" w:lineRule="auto"/>
        <w:rPr>
          <w:rFonts w:ascii="Verdana" w:eastAsia="Geomanist Light" w:hAnsi="Verdana" w:cs="Arial"/>
          <w:lang w:val="es-MX"/>
        </w:rPr>
      </w:pPr>
    </w:p>
    <w:p w14:paraId="754E0576" w14:textId="77777777" w:rsidR="00504C05" w:rsidRDefault="00504C05" w:rsidP="00A534E9">
      <w:pPr>
        <w:spacing w:after="0" w:line="240" w:lineRule="auto"/>
        <w:rPr>
          <w:rFonts w:ascii="Verdana" w:eastAsia="Geomanist Light" w:hAnsi="Verdana" w:cs="Arial"/>
          <w:lang w:val="es-MX"/>
        </w:rPr>
      </w:pPr>
    </w:p>
    <w:p w14:paraId="71530D98" w14:textId="77777777" w:rsidR="00504C05" w:rsidRDefault="00504C05" w:rsidP="00A534E9">
      <w:pPr>
        <w:spacing w:after="0" w:line="240" w:lineRule="auto"/>
        <w:rPr>
          <w:rFonts w:ascii="Verdana" w:eastAsia="Geomanist Light" w:hAnsi="Verdana" w:cs="Arial"/>
          <w:lang w:val="es-MX"/>
        </w:rPr>
      </w:pPr>
    </w:p>
    <w:p w14:paraId="43E7A765" w14:textId="77777777" w:rsidR="00504C05" w:rsidRDefault="00504C05" w:rsidP="00A534E9">
      <w:pPr>
        <w:spacing w:after="0" w:line="240" w:lineRule="auto"/>
        <w:rPr>
          <w:rFonts w:ascii="Verdana" w:eastAsia="Geomanist Light" w:hAnsi="Verdana" w:cs="Arial"/>
          <w:lang w:val="es-MX"/>
        </w:rPr>
      </w:pPr>
    </w:p>
    <w:p w14:paraId="09AA978F" w14:textId="77777777" w:rsidR="00504C05" w:rsidRDefault="00504C05" w:rsidP="00A534E9">
      <w:pPr>
        <w:spacing w:after="0" w:line="240" w:lineRule="auto"/>
        <w:rPr>
          <w:rFonts w:ascii="Verdana" w:eastAsia="Geomanist Light" w:hAnsi="Verdana" w:cs="Arial"/>
          <w:lang w:val="es-MX"/>
        </w:rPr>
      </w:pPr>
    </w:p>
    <w:p w14:paraId="39B20950" w14:textId="77777777" w:rsidR="00504C05" w:rsidRDefault="00504C05" w:rsidP="00A534E9">
      <w:pPr>
        <w:spacing w:after="0" w:line="240" w:lineRule="auto"/>
        <w:rPr>
          <w:rFonts w:ascii="Verdana" w:eastAsia="Geomanist Light" w:hAnsi="Verdana" w:cs="Arial"/>
          <w:lang w:val="es-MX"/>
        </w:rPr>
      </w:pPr>
    </w:p>
    <w:p w14:paraId="15C95137" w14:textId="77777777" w:rsidR="00504C05" w:rsidRDefault="00504C05" w:rsidP="00A534E9">
      <w:pPr>
        <w:spacing w:after="0" w:line="240" w:lineRule="auto"/>
        <w:rPr>
          <w:rFonts w:ascii="Verdana" w:eastAsia="Geomanist Light" w:hAnsi="Verdana" w:cs="Arial"/>
          <w:lang w:val="es-MX"/>
        </w:rPr>
      </w:pPr>
    </w:p>
    <w:p w14:paraId="3B03E1A8" w14:textId="77777777" w:rsidR="00504C05" w:rsidRDefault="00504C05" w:rsidP="00A534E9">
      <w:pPr>
        <w:spacing w:after="0" w:line="240" w:lineRule="auto"/>
        <w:rPr>
          <w:rFonts w:ascii="Verdana" w:eastAsia="Geomanist Light" w:hAnsi="Verdana" w:cs="Arial"/>
          <w:lang w:val="es-MX"/>
        </w:rPr>
      </w:pPr>
    </w:p>
    <w:p w14:paraId="2CF46BBD" w14:textId="77777777" w:rsidR="00504C05" w:rsidRDefault="00504C05" w:rsidP="00A534E9">
      <w:pPr>
        <w:spacing w:after="0" w:line="240" w:lineRule="auto"/>
        <w:rPr>
          <w:rFonts w:ascii="Verdana" w:eastAsia="Geomanist Light" w:hAnsi="Verdana" w:cs="Arial"/>
          <w:lang w:val="es-MX"/>
        </w:rPr>
      </w:pPr>
    </w:p>
    <w:p w14:paraId="2956013E" w14:textId="77777777" w:rsidR="00504C05" w:rsidRDefault="00504C05" w:rsidP="00A534E9">
      <w:pPr>
        <w:spacing w:after="0" w:line="240" w:lineRule="auto"/>
        <w:rPr>
          <w:rFonts w:ascii="Verdana" w:eastAsia="Geomanist Light" w:hAnsi="Verdana" w:cs="Arial"/>
          <w:lang w:val="es-MX"/>
        </w:rPr>
      </w:pPr>
    </w:p>
    <w:p w14:paraId="6C1271DA" w14:textId="77777777" w:rsidR="00504C05" w:rsidRDefault="00504C05" w:rsidP="00A534E9">
      <w:pPr>
        <w:spacing w:after="0" w:line="240" w:lineRule="auto"/>
        <w:rPr>
          <w:rFonts w:ascii="Verdana" w:eastAsia="Geomanist Light" w:hAnsi="Verdana" w:cs="Arial"/>
          <w:lang w:val="es-MX"/>
        </w:rPr>
      </w:pPr>
    </w:p>
    <w:p w14:paraId="09926C15" w14:textId="77777777" w:rsidR="00504C05" w:rsidRDefault="00504C05" w:rsidP="00A534E9">
      <w:pPr>
        <w:spacing w:after="0" w:line="240" w:lineRule="auto"/>
        <w:rPr>
          <w:rFonts w:ascii="Verdana" w:eastAsia="Geomanist Light" w:hAnsi="Verdana" w:cs="Arial"/>
          <w:lang w:val="es-MX"/>
        </w:rPr>
      </w:pPr>
    </w:p>
    <w:p w14:paraId="79573A06" w14:textId="77777777" w:rsidR="00504C05" w:rsidRDefault="00504C05" w:rsidP="00A534E9">
      <w:pPr>
        <w:spacing w:after="0" w:line="240" w:lineRule="auto"/>
        <w:rPr>
          <w:rFonts w:ascii="Verdana" w:eastAsia="Geomanist Light" w:hAnsi="Verdana" w:cs="Arial"/>
          <w:lang w:val="es-MX"/>
        </w:rPr>
      </w:pPr>
    </w:p>
    <w:p w14:paraId="6FDA01F0" w14:textId="77777777" w:rsidR="00504C05" w:rsidRDefault="00504C05" w:rsidP="00A534E9">
      <w:pPr>
        <w:spacing w:after="0" w:line="240" w:lineRule="auto"/>
        <w:rPr>
          <w:rFonts w:ascii="Verdana" w:eastAsia="Geomanist Light" w:hAnsi="Verdana" w:cs="Arial"/>
          <w:lang w:val="es-MX"/>
        </w:rPr>
      </w:pPr>
    </w:p>
    <w:p w14:paraId="3FC8A814" w14:textId="77777777" w:rsidR="00504C05" w:rsidRDefault="00504C05" w:rsidP="00A534E9">
      <w:pPr>
        <w:spacing w:after="0" w:line="240" w:lineRule="auto"/>
        <w:rPr>
          <w:rFonts w:ascii="Verdana" w:eastAsia="Geomanist Light" w:hAnsi="Verdana" w:cs="Arial"/>
          <w:lang w:val="es-MX"/>
        </w:rPr>
      </w:pPr>
    </w:p>
    <w:p w14:paraId="5B7430C8" w14:textId="77777777" w:rsidR="00504C05" w:rsidRDefault="00504C05" w:rsidP="00A534E9">
      <w:pPr>
        <w:spacing w:after="0" w:line="240" w:lineRule="auto"/>
        <w:rPr>
          <w:rFonts w:ascii="Verdana" w:eastAsia="Geomanist Light" w:hAnsi="Verdana" w:cs="Arial"/>
          <w:lang w:val="es-MX"/>
        </w:rPr>
      </w:pPr>
    </w:p>
    <w:p w14:paraId="3A1F3856" w14:textId="77777777" w:rsidR="00504C05" w:rsidRDefault="00504C05" w:rsidP="00A534E9">
      <w:pPr>
        <w:spacing w:after="0" w:line="240" w:lineRule="auto"/>
        <w:rPr>
          <w:rFonts w:ascii="Verdana" w:eastAsia="Geomanist Light" w:hAnsi="Verdana" w:cs="Arial"/>
          <w:lang w:val="es-MX"/>
        </w:rPr>
      </w:pPr>
    </w:p>
    <w:p w14:paraId="3ADFC8FC" w14:textId="77777777" w:rsidR="00504C05" w:rsidRDefault="00504C05" w:rsidP="00A534E9">
      <w:pPr>
        <w:spacing w:after="0" w:line="240" w:lineRule="auto"/>
        <w:rPr>
          <w:rFonts w:ascii="Verdana" w:eastAsia="Geomanist Light" w:hAnsi="Verdana" w:cs="Arial"/>
          <w:lang w:val="es-MX"/>
        </w:rPr>
      </w:pPr>
    </w:p>
    <w:p w14:paraId="2745A2DB" w14:textId="77777777" w:rsidR="00504C05" w:rsidRDefault="00504C05" w:rsidP="00A534E9">
      <w:pPr>
        <w:spacing w:after="0" w:line="240" w:lineRule="auto"/>
        <w:rPr>
          <w:rFonts w:ascii="Verdana" w:eastAsia="Geomanist Light" w:hAnsi="Verdana" w:cs="Arial"/>
          <w:lang w:val="es-MX"/>
        </w:rPr>
      </w:pPr>
    </w:p>
    <w:p w14:paraId="5B562E84" w14:textId="77777777" w:rsidR="00504C05" w:rsidRDefault="00504C05" w:rsidP="00A534E9">
      <w:pPr>
        <w:spacing w:after="0" w:line="240" w:lineRule="auto"/>
        <w:rPr>
          <w:rFonts w:ascii="Verdana" w:eastAsia="Geomanist Light" w:hAnsi="Verdana" w:cs="Arial"/>
          <w:lang w:val="es-MX"/>
        </w:rPr>
      </w:pPr>
    </w:p>
    <w:p w14:paraId="75E2400C" w14:textId="77777777" w:rsidR="00504C05" w:rsidRDefault="00504C05" w:rsidP="00A534E9">
      <w:pPr>
        <w:spacing w:after="0" w:line="240" w:lineRule="auto"/>
        <w:rPr>
          <w:rFonts w:ascii="Verdana" w:eastAsia="Geomanist Light" w:hAnsi="Verdana" w:cs="Arial"/>
          <w:lang w:val="es-MX"/>
        </w:rPr>
      </w:pPr>
    </w:p>
    <w:p w14:paraId="75CF0EC0" w14:textId="77777777" w:rsidR="00504C05" w:rsidRDefault="00504C05" w:rsidP="00A534E9">
      <w:pPr>
        <w:spacing w:after="0" w:line="240" w:lineRule="auto"/>
        <w:rPr>
          <w:rFonts w:ascii="Verdana" w:eastAsia="Geomanist Light" w:hAnsi="Verdana" w:cs="Arial"/>
          <w:lang w:val="es-MX"/>
        </w:rPr>
      </w:pPr>
    </w:p>
    <w:p w14:paraId="7822B863" w14:textId="77777777" w:rsidR="00504C05" w:rsidRDefault="00504C05" w:rsidP="00A534E9">
      <w:pPr>
        <w:spacing w:after="0" w:line="240" w:lineRule="auto"/>
        <w:rPr>
          <w:rFonts w:ascii="Verdana" w:eastAsia="Geomanist Light" w:hAnsi="Verdana" w:cs="Arial"/>
          <w:lang w:val="es-MX"/>
        </w:rPr>
      </w:pPr>
    </w:p>
    <w:p w14:paraId="513FAE43" w14:textId="77777777" w:rsidR="00504C05" w:rsidRDefault="00504C05" w:rsidP="00A534E9">
      <w:pPr>
        <w:spacing w:after="0" w:line="240" w:lineRule="auto"/>
        <w:rPr>
          <w:rFonts w:ascii="Verdana" w:eastAsia="Geomanist Light" w:hAnsi="Verdana" w:cs="Arial"/>
          <w:lang w:val="es-MX"/>
        </w:rPr>
      </w:pPr>
    </w:p>
    <w:p w14:paraId="7C699D93" w14:textId="77777777" w:rsidR="00504C05" w:rsidRDefault="00504C05" w:rsidP="00A534E9">
      <w:pPr>
        <w:spacing w:after="0" w:line="240" w:lineRule="auto"/>
        <w:rPr>
          <w:rFonts w:ascii="Verdana" w:eastAsia="Geomanist Light" w:hAnsi="Verdana" w:cs="Arial"/>
          <w:lang w:val="es-MX"/>
        </w:rPr>
      </w:pPr>
    </w:p>
    <w:p w14:paraId="7178619D" w14:textId="77777777" w:rsidR="00504C05" w:rsidRDefault="00504C05" w:rsidP="00A534E9">
      <w:pPr>
        <w:spacing w:after="0" w:line="240" w:lineRule="auto"/>
        <w:rPr>
          <w:rFonts w:ascii="Verdana" w:eastAsia="Geomanist Light" w:hAnsi="Verdana" w:cs="Arial"/>
          <w:lang w:val="es-MX"/>
        </w:rPr>
      </w:pPr>
    </w:p>
    <w:p w14:paraId="35365B92" w14:textId="77777777" w:rsidR="00504C05" w:rsidRPr="00A534E9" w:rsidRDefault="00504C05" w:rsidP="00A534E9">
      <w:pPr>
        <w:spacing w:after="0" w:line="240" w:lineRule="auto"/>
        <w:rPr>
          <w:rFonts w:ascii="Verdana" w:eastAsia="Geomanist Light" w:hAnsi="Verdana" w:cs="Arial"/>
          <w:lang w:val="es-MX"/>
        </w:rPr>
      </w:pPr>
    </w:p>
    <w:p w14:paraId="3A2D8AB4" w14:textId="70DBC050" w:rsidR="00A534E9" w:rsidRDefault="00A534E9" w:rsidP="00A534E9">
      <w:pPr>
        <w:spacing w:after="0" w:line="240" w:lineRule="auto"/>
        <w:jc w:val="both"/>
        <w:rPr>
          <w:rFonts w:ascii="Verdana" w:hAnsi="Verdana"/>
        </w:rPr>
      </w:pPr>
      <w:r w:rsidRPr="0044528D">
        <w:rPr>
          <w:rFonts w:ascii="Verdana" w:hAnsi="Verdana"/>
        </w:rPr>
        <w:lastRenderedPageBreak/>
        <w:t>Bogotá D.C.</w:t>
      </w:r>
    </w:p>
    <w:p w14:paraId="41D4AD85" w14:textId="77777777" w:rsidR="002E0333" w:rsidRDefault="002E0333" w:rsidP="00A534E9">
      <w:pPr>
        <w:spacing w:after="0" w:line="240" w:lineRule="auto"/>
        <w:jc w:val="both"/>
        <w:rPr>
          <w:rFonts w:ascii="Verdana" w:hAnsi="Verdana"/>
        </w:rPr>
      </w:pPr>
    </w:p>
    <w:p w14:paraId="002EEFEA" w14:textId="19BC7494" w:rsidR="00A534E9" w:rsidRPr="00A534E9" w:rsidRDefault="002E0333" w:rsidP="002E0333">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6DD10983" wp14:editId="0FE413F1">
            <wp:extent cx="3636909" cy="1104218"/>
            <wp:effectExtent l="0" t="0" r="0" b="1270"/>
            <wp:docPr id="19355970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597016" name="Imagen 1935597016"/>
                    <pic:cNvPicPr/>
                  </pic:nvPicPr>
                  <pic:blipFill>
                    <a:blip r:embed="rId10">
                      <a:extLst>
                        <a:ext uri="{28A0092B-C50C-407E-A947-70E740481C1C}">
                          <a14:useLocalDpi xmlns:a14="http://schemas.microsoft.com/office/drawing/2010/main" val="0"/>
                        </a:ext>
                      </a:extLst>
                    </a:blip>
                    <a:stretch>
                      <a:fillRect/>
                    </a:stretch>
                  </pic:blipFill>
                  <pic:spPr>
                    <a:xfrm>
                      <a:off x="0" y="0"/>
                      <a:ext cx="3654566" cy="1109579"/>
                    </a:xfrm>
                    <a:prstGeom prst="rect">
                      <a:avLst/>
                    </a:prstGeom>
                  </pic:spPr>
                </pic:pic>
              </a:graphicData>
            </a:graphic>
          </wp:inline>
        </w:drawing>
      </w:r>
    </w:p>
    <w:p w14:paraId="23B6934A" w14:textId="77777777" w:rsidR="00A534E9" w:rsidRPr="00A534E9" w:rsidRDefault="00A534E9" w:rsidP="00A534E9">
      <w:pPr>
        <w:spacing w:after="0" w:line="240" w:lineRule="auto"/>
        <w:jc w:val="both"/>
        <w:rPr>
          <w:rFonts w:ascii="Verdana" w:eastAsia="Calibri" w:hAnsi="Verdana" w:cs="Arial"/>
          <w:lang w:val="es-ES"/>
        </w:rPr>
      </w:pPr>
    </w:p>
    <w:p w14:paraId="2E3D48F7" w14:textId="77777777" w:rsidR="00A534E9" w:rsidRPr="00A534E9" w:rsidRDefault="00A534E9" w:rsidP="00A534E9">
      <w:pPr>
        <w:spacing w:after="0" w:line="240" w:lineRule="auto"/>
        <w:jc w:val="both"/>
        <w:rPr>
          <w:rFonts w:ascii="Verdana" w:eastAsia="Calibri" w:hAnsi="Verdana" w:cs="Arial"/>
          <w:lang w:val="es-ES" w:eastAsia="es-ES"/>
        </w:rPr>
      </w:pPr>
      <w:r w:rsidRPr="00A534E9">
        <w:rPr>
          <w:rFonts w:ascii="Verdana" w:eastAsia="Calibri" w:hAnsi="Verdana" w:cs="Arial"/>
          <w:lang w:val="es-ES" w:eastAsia="es-ES"/>
        </w:rPr>
        <w:t>Señor</w:t>
      </w:r>
    </w:p>
    <w:p w14:paraId="0024EDBF" w14:textId="77777777" w:rsidR="00A534E9" w:rsidRPr="00A534E9" w:rsidRDefault="00A534E9" w:rsidP="00A534E9">
      <w:pPr>
        <w:spacing w:after="0" w:line="240" w:lineRule="auto"/>
        <w:rPr>
          <w:rFonts w:ascii="Verdana" w:eastAsia="Calibri" w:hAnsi="Verdana" w:cs="Arial"/>
          <w:b/>
          <w:lang w:val="es-ES_tradnl" w:eastAsia="es-ES_tradnl"/>
        </w:rPr>
      </w:pPr>
      <w:r w:rsidRPr="00A534E9">
        <w:rPr>
          <w:rFonts w:ascii="Verdana" w:eastAsia="Calibri" w:hAnsi="Verdana" w:cs="Arial"/>
          <w:b/>
          <w:lang w:val="es-ES_tradnl" w:eastAsia="es-ES_tradnl"/>
        </w:rPr>
        <w:t>Miguel Alejandro Sarmiento Mojica</w:t>
      </w:r>
    </w:p>
    <w:p w14:paraId="23C16CD7" w14:textId="77777777" w:rsidR="00A534E9" w:rsidRPr="00A534E9" w:rsidRDefault="00A534E9" w:rsidP="00A534E9">
      <w:pPr>
        <w:spacing w:after="0" w:line="240" w:lineRule="auto"/>
        <w:rPr>
          <w:rFonts w:ascii="Verdana" w:eastAsia="Calibri" w:hAnsi="Verdana" w:cs="Arial"/>
          <w:b/>
          <w:bCs/>
          <w:lang w:val="es-ES" w:eastAsia="es-ES"/>
        </w:rPr>
      </w:pPr>
      <w:r w:rsidRPr="00A534E9">
        <w:rPr>
          <w:rFonts w:ascii="Verdana" w:eastAsia="Calibri" w:hAnsi="Verdana" w:cs="Arial"/>
          <w:lang w:val="es-ES" w:eastAsia="es-ES"/>
        </w:rPr>
        <w:t>Tame, Arauca</w:t>
      </w:r>
    </w:p>
    <w:p w14:paraId="4E792D47" w14:textId="77777777" w:rsidR="00A534E9" w:rsidRPr="00A534E9" w:rsidRDefault="00A534E9" w:rsidP="00A534E9">
      <w:pPr>
        <w:spacing w:after="0" w:line="240" w:lineRule="auto"/>
        <w:rPr>
          <w:rFonts w:ascii="Verdana" w:eastAsia="Calibri" w:hAnsi="Verdana" w:cs="Arial"/>
          <w:b/>
          <w:bCs/>
          <w:lang w:val="es-ES_tradnl" w:eastAsia="es-ES_tradnl"/>
        </w:rPr>
      </w:pPr>
    </w:p>
    <w:p w14:paraId="19CAD55C" w14:textId="77777777" w:rsidR="00A534E9" w:rsidRPr="00A534E9" w:rsidRDefault="00A534E9" w:rsidP="00A534E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34E9" w:rsidRPr="00A534E9" w14:paraId="1646A952" w14:textId="77777777" w:rsidTr="00CB0E9D">
        <w:trPr>
          <w:trHeight w:val="884"/>
        </w:trPr>
        <w:tc>
          <w:tcPr>
            <w:tcW w:w="2689" w:type="dxa"/>
          </w:tcPr>
          <w:p w14:paraId="1567F8BA" w14:textId="77777777" w:rsidR="00A534E9" w:rsidRPr="00A534E9" w:rsidRDefault="00A534E9" w:rsidP="00A534E9">
            <w:pPr>
              <w:jc w:val="both"/>
              <w:rPr>
                <w:rFonts w:ascii="Verdana" w:eastAsia="Calibri" w:hAnsi="Verdana" w:cs="Arial"/>
                <w:b/>
                <w:bCs/>
                <w:lang w:val="es-ES_tradnl" w:eastAsia="es-ES_tradnl"/>
              </w:rPr>
            </w:pPr>
          </w:p>
        </w:tc>
        <w:tc>
          <w:tcPr>
            <w:tcW w:w="6100" w:type="dxa"/>
          </w:tcPr>
          <w:p w14:paraId="50BDA3ED" w14:textId="77777777" w:rsidR="00A534E9" w:rsidRPr="00A534E9" w:rsidRDefault="00A534E9" w:rsidP="00A534E9">
            <w:pPr>
              <w:jc w:val="both"/>
              <w:rPr>
                <w:rFonts w:ascii="Verdana" w:eastAsia="Calibri" w:hAnsi="Verdana" w:cs="Arial"/>
                <w:b/>
                <w:bCs/>
                <w:lang w:val="es-ES" w:eastAsia="es-ES"/>
              </w:rPr>
            </w:pPr>
            <w:r w:rsidRPr="00A534E9">
              <w:rPr>
                <w:rFonts w:ascii="Verdana" w:eastAsia="Calibri" w:hAnsi="Verdana" w:cs="Arial"/>
                <w:b/>
                <w:bCs/>
                <w:lang w:val="es-ES" w:eastAsia="es-ES"/>
              </w:rPr>
              <w:t>Concepto C – 254 de 2024</w:t>
            </w:r>
          </w:p>
        </w:tc>
      </w:tr>
      <w:tr w:rsidR="00A534E9" w:rsidRPr="00A534E9" w14:paraId="56C54B00" w14:textId="77777777" w:rsidTr="00CB0E9D">
        <w:trPr>
          <w:trHeight w:val="884"/>
        </w:trPr>
        <w:tc>
          <w:tcPr>
            <w:tcW w:w="2689" w:type="dxa"/>
          </w:tcPr>
          <w:p w14:paraId="2FDA69AF" w14:textId="77777777" w:rsidR="00A534E9" w:rsidRPr="00A534E9" w:rsidRDefault="00A534E9" w:rsidP="00A534E9">
            <w:pPr>
              <w:jc w:val="both"/>
              <w:rPr>
                <w:rFonts w:ascii="Verdana" w:eastAsia="Calibri" w:hAnsi="Verdana" w:cs="Arial"/>
                <w:lang w:val="es-ES_tradnl" w:eastAsia="es-ES_tradnl"/>
              </w:rPr>
            </w:pPr>
            <w:r w:rsidRPr="00A534E9">
              <w:rPr>
                <w:rFonts w:ascii="Verdana" w:eastAsia="Calibri" w:hAnsi="Verdana" w:cs="Arial"/>
                <w:b/>
                <w:lang w:val="es-ES_tradnl" w:eastAsia="es-ES_tradnl"/>
              </w:rPr>
              <w:t>Temas:</w:t>
            </w:r>
            <w:r w:rsidRPr="00A534E9">
              <w:rPr>
                <w:rFonts w:ascii="Verdana" w:eastAsia="Calibri" w:hAnsi="Verdana" w:cs="Arial"/>
                <w:lang w:val="es-ES_tradnl" w:eastAsia="es-ES_tradnl"/>
              </w:rPr>
              <w:t xml:space="preserve">                   </w:t>
            </w:r>
          </w:p>
        </w:tc>
        <w:tc>
          <w:tcPr>
            <w:tcW w:w="6100" w:type="dxa"/>
          </w:tcPr>
          <w:p w14:paraId="69152F92" w14:textId="77777777" w:rsidR="00A534E9" w:rsidRPr="00A534E9" w:rsidRDefault="00A534E9" w:rsidP="00A534E9">
            <w:pPr>
              <w:jc w:val="both"/>
              <w:rPr>
                <w:rFonts w:ascii="Verdana" w:eastAsia="Calibri" w:hAnsi="Verdana" w:cs="Arial"/>
                <w:bCs/>
                <w:kern w:val="2"/>
                <w14:ligatures w14:val="standardContextual"/>
              </w:rPr>
            </w:pPr>
            <w:r w:rsidRPr="00A534E9">
              <w:rPr>
                <w:rFonts w:ascii="Verdana" w:eastAsia="Calibri" w:hAnsi="Verdana" w:cs="Arial"/>
                <w:bCs/>
              </w:rPr>
              <w:t>DOCUMENTOS TIPO DE INFRAESTRUCTURA SOCIAL – Características de los contratos presentados para acreditar la experiencia exigida – Porcentaje – Presupuesto Oficial</w:t>
            </w:r>
          </w:p>
          <w:p w14:paraId="6CCEDB70" w14:textId="77777777" w:rsidR="00A534E9" w:rsidRPr="00A534E9" w:rsidRDefault="00A534E9" w:rsidP="00A534E9">
            <w:pPr>
              <w:spacing w:line="276" w:lineRule="auto"/>
              <w:jc w:val="both"/>
              <w:rPr>
                <w:rFonts w:ascii="Verdana" w:eastAsia="Calibri" w:hAnsi="Verdana" w:cs="Arial"/>
                <w:bCs/>
                <w:highlight w:val="yellow"/>
                <w:lang w:val="es-ES" w:eastAsia="es-ES"/>
              </w:rPr>
            </w:pPr>
          </w:p>
        </w:tc>
      </w:tr>
      <w:tr w:rsidR="00A534E9" w:rsidRPr="00A534E9" w14:paraId="0C9E9A12" w14:textId="77777777" w:rsidTr="00CB0E9D">
        <w:tc>
          <w:tcPr>
            <w:tcW w:w="2689" w:type="dxa"/>
          </w:tcPr>
          <w:p w14:paraId="69DB2DD1" w14:textId="77777777" w:rsidR="00A534E9" w:rsidRPr="00A534E9" w:rsidRDefault="00A534E9" w:rsidP="00A534E9">
            <w:pPr>
              <w:jc w:val="both"/>
              <w:rPr>
                <w:rFonts w:ascii="Verdana" w:eastAsia="Calibri" w:hAnsi="Verdana" w:cs="Arial"/>
                <w:b/>
                <w:lang w:val="es-ES_tradnl" w:eastAsia="es-ES_tradnl"/>
              </w:rPr>
            </w:pPr>
            <w:r w:rsidRPr="00A534E9">
              <w:rPr>
                <w:rFonts w:ascii="Verdana" w:eastAsia="Calibri" w:hAnsi="Verdana" w:cs="Arial"/>
                <w:b/>
                <w:lang w:val="es-ES_tradnl" w:eastAsia="es-ES_tradnl"/>
              </w:rPr>
              <w:t>Radicación:</w:t>
            </w:r>
            <w:r w:rsidRPr="00A534E9">
              <w:rPr>
                <w:rFonts w:ascii="Verdana" w:eastAsia="Calibri" w:hAnsi="Verdana" w:cs="Arial"/>
                <w:lang w:val="es-ES_tradnl" w:eastAsia="es-ES_tradnl"/>
              </w:rPr>
              <w:t xml:space="preserve">               </w:t>
            </w:r>
          </w:p>
        </w:tc>
        <w:tc>
          <w:tcPr>
            <w:tcW w:w="6100" w:type="dxa"/>
          </w:tcPr>
          <w:p w14:paraId="18799D92" w14:textId="77777777" w:rsidR="00A534E9" w:rsidRPr="00A534E9" w:rsidRDefault="00A534E9" w:rsidP="00A534E9">
            <w:pPr>
              <w:jc w:val="both"/>
              <w:rPr>
                <w:rFonts w:ascii="Verdana" w:eastAsia="Calibri" w:hAnsi="Verdana" w:cs="Arial"/>
                <w:lang w:val="es-ES_tradnl" w:eastAsia="es-ES_tradnl"/>
              </w:rPr>
            </w:pPr>
            <w:r w:rsidRPr="00A534E9">
              <w:rPr>
                <w:rFonts w:ascii="Verdana" w:eastAsia="Calibri" w:hAnsi="Verdana" w:cs="Arial"/>
                <w:lang w:val="es-ES_tradnl" w:eastAsia="es-ES_tradnl"/>
              </w:rPr>
              <w:t>Respuesta a consulta con radicado No. P20240703006683</w:t>
            </w:r>
          </w:p>
        </w:tc>
      </w:tr>
    </w:tbl>
    <w:p w14:paraId="3B896893" w14:textId="77777777" w:rsidR="00A534E9" w:rsidRPr="00A534E9" w:rsidRDefault="00A534E9" w:rsidP="00A534E9">
      <w:pPr>
        <w:spacing w:after="0" w:line="240" w:lineRule="auto"/>
        <w:jc w:val="both"/>
        <w:rPr>
          <w:rFonts w:ascii="Verdana" w:eastAsia="Calibri" w:hAnsi="Verdana" w:cs="Arial"/>
          <w:lang w:val="es-ES_tradnl" w:eastAsia="es-ES_tradnl"/>
        </w:rPr>
      </w:pPr>
    </w:p>
    <w:p w14:paraId="217DA68C" w14:textId="77777777" w:rsidR="00A534E9" w:rsidRPr="00A534E9" w:rsidRDefault="00A534E9" w:rsidP="00A534E9">
      <w:pPr>
        <w:spacing w:after="0" w:line="240" w:lineRule="auto"/>
        <w:jc w:val="both"/>
        <w:rPr>
          <w:rFonts w:ascii="Verdana" w:eastAsia="Calibri" w:hAnsi="Verdana" w:cs="Arial"/>
          <w:lang w:val="es-ES_tradnl" w:eastAsia="es-ES_tradnl"/>
        </w:rPr>
      </w:pPr>
    </w:p>
    <w:p w14:paraId="6C6B05D9" w14:textId="77777777" w:rsidR="00A534E9" w:rsidRPr="00A534E9" w:rsidRDefault="00A534E9" w:rsidP="00A534E9">
      <w:pPr>
        <w:spacing w:after="0" w:line="276" w:lineRule="auto"/>
        <w:jc w:val="both"/>
        <w:rPr>
          <w:rFonts w:ascii="Verdana" w:eastAsia="Calibri" w:hAnsi="Verdana" w:cs="Arial"/>
          <w:lang w:val="es-ES" w:eastAsia="es-ES"/>
        </w:rPr>
      </w:pPr>
      <w:r w:rsidRPr="00A534E9">
        <w:rPr>
          <w:rFonts w:ascii="Verdana" w:eastAsia="Calibri" w:hAnsi="Verdana" w:cs="Arial"/>
          <w:lang w:val="es-ES" w:eastAsia="es-ES"/>
        </w:rPr>
        <w:t xml:space="preserve">Estimado señor Sarmiento Mojica: </w:t>
      </w:r>
    </w:p>
    <w:p w14:paraId="60CC507D" w14:textId="77777777" w:rsidR="00A534E9" w:rsidRPr="00A534E9" w:rsidRDefault="00A534E9" w:rsidP="00A534E9">
      <w:pPr>
        <w:tabs>
          <w:tab w:val="left" w:pos="3768"/>
        </w:tabs>
        <w:spacing w:after="0" w:line="276" w:lineRule="auto"/>
        <w:jc w:val="both"/>
        <w:rPr>
          <w:rFonts w:ascii="Verdana" w:eastAsia="Calibri" w:hAnsi="Verdana" w:cs="Arial"/>
          <w:lang w:val="es-ES" w:eastAsia="es-ES"/>
        </w:rPr>
      </w:pPr>
      <w:r w:rsidRPr="00A534E9">
        <w:rPr>
          <w:rFonts w:ascii="Verdana" w:eastAsia="Calibri" w:hAnsi="Verdana" w:cs="Arial"/>
          <w:lang w:val="es-ES" w:eastAsia="es-ES"/>
        </w:rPr>
        <w:tab/>
      </w:r>
    </w:p>
    <w:p w14:paraId="1938B297" w14:textId="77777777" w:rsidR="00A534E9" w:rsidRPr="00A534E9" w:rsidRDefault="00A534E9" w:rsidP="00A534E9">
      <w:pPr>
        <w:spacing w:after="0" w:line="276" w:lineRule="auto"/>
        <w:jc w:val="both"/>
        <w:rPr>
          <w:rFonts w:ascii="Verdana" w:eastAsia="Calibri" w:hAnsi="Verdana" w:cs="Arial"/>
          <w:lang w:val="es-ES" w:eastAsia="es-ES"/>
        </w:rPr>
      </w:pPr>
      <w:r w:rsidRPr="00A534E9">
        <w:rPr>
          <w:rFonts w:ascii="Verdana" w:eastAsia="Calibri" w:hAnsi="Verdana" w:cs="Arial"/>
          <w:lang w:val="es-ES" w:eastAsia="es-ES"/>
        </w:rPr>
        <w:t>En ejercicio de la competencia otorgada por los artículos 3, numeral 5º, y 11, numeral 8º, del Decreto Ley 4170 de 2011,</w:t>
      </w:r>
      <w:r w:rsidRPr="00A534E9">
        <w:rPr>
          <w:rFonts w:ascii="Verdana" w:eastAsia="Arial MT" w:hAnsi="Verdana" w:cs="Arial MT"/>
          <w:lang w:val="es-ES" w:eastAsia="es-ES"/>
        </w:rPr>
        <w:t xml:space="preserve"> </w:t>
      </w:r>
      <w:r w:rsidRPr="00A534E9">
        <w:rPr>
          <w:rFonts w:ascii="Verdana" w:eastAsia="Calibri" w:hAnsi="Verdana" w:cs="Arial"/>
        </w:rPr>
        <w:t xml:space="preserve">así como lo establecido en el artículo 4 de la Resolución 1707 de 2018 expedida por esta Entidad, </w:t>
      </w:r>
      <w:r w:rsidRPr="00A534E9">
        <w:rPr>
          <w:rFonts w:ascii="Verdana" w:eastAsia="Calibri" w:hAnsi="Verdana" w:cs="Arial"/>
          <w:lang w:val="es-ES" w:eastAsia="es-ES"/>
        </w:rPr>
        <w:t>la Agencia Nacional de Contratación Pública – Colombia Compra Eficiente– responde su solicitud de consulta de fecha 3 de julio de 2024, en la que manifiesta lo siguiente:</w:t>
      </w:r>
    </w:p>
    <w:p w14:paraId="2F2802E7" w14:textId="77777777" w:rsidR="00A534E9" w:rsidRPr="00A534E9" w:rsidRDefault="00A534E9" w:rsidP="00A534E9">
      <w:pPr>
        <w:tabs>
          <w:tab w:val="left" w:pos="142"/>
          <w:tab w:val="left" w:pos="284"/>
        </w:tabs>
        <w:spacing w:line="276" w:lineRule="auto"/>
        <w:contextualSpacing/>
        <w:jc w:val="both"/>
        <w:rPr>
          <w:rFonts w:ascii="Verdana" w:eastAsia="Century Gothic" w:hAnsi="Verdana" w:cs="Century Gothic"/>
          <w:b/>
          <w:bCs/>
          <w:lang w:val="es-ES"/>
        </w:rPr>
      </w:pPr>
    </w:p>
    <w:p w14:paraId="2D042CAA" w14:textId="77777777" w:rsidR="00A534E9" w:rsidRPr="00A534E9" w:rsidRDefault="00A534E9" w:rsidP="00A534E9">
      <w:pPr>
        <w:spacing w:after="0" w:line="240" w:lineRule="auto"/>
        <w:ind w:left="709" w:right="709"/>
        <w:jc w:val="both"/>
        <w:rPr>
          <w:rFonts w:ascii="Verdana" w:eastAsia="Century Gothic" w:hAnsi="Verdana" w:cs="Century Gothic"/>
          <w:sz w:val="20"/>
          <w:szCs w:val="20"/>
          <w:lang w:val="es-ES"/>
        </w:rPr>
      </w:pPr>
      <w:r w:rsidRPr="00A534E9">
        <w:rPr>
          <w:rFonts w:ascii="Verdana" w:eastAsia="Century Gothic" w:hAnsi="Verdana" w:cs="Century Gothic"/>
          <w:sz w:val="20"/>
          <w:szCs w:val="20"/>
          <w:lang w:val="es-ES"/>
        </w:rPr>
        <w:t xml:space="preserve">“Cuando una entidad solicite experiencia en redes </w:t>
      </w:r>
      <w:proofErr w:type="spellStart"/>
      <w:r w:rsidRPr="00A534E9">
        <w:rPr>
          <w:rFonts w:ascii="Verdana" w:eastAsia="Century Gothic" w:hAnsi="Verdana" w:cs="Century Gothic"/>
          <w:sz w:val="20"/>
          <w:szCs w:val="20"/>
          <w:lang w:val="es-ES"/>
        </w:rPr>
        <w:t>electricas</w:t>
      </w:r>
      <w:proofErr w:type="spellEnd"/>
      <w:r w:rsidRPr="00A534E9">
        <w:rPr>
          <w:rFonts w:ascii="Verdana" w:eastAsia="Century Gothic" w:hAnsi="Verdana" w:cs="Century Gothic"/>
          <w:sz w:val="20"/>
          <w:szCs w:val="20"/>
          <w:lang w:val="es-ES"/>
        </w:rPr>
        <w:t xml:space="preserve"> y la especifica indica:</w:t>
      </w:r>
    </w:p>
    <w:p w14:paraId="143239F2" w14:textId="77777777" w:rsidR="00A534E9" w:rsidRPr="00A534E9" w:rsidRDefault="00A534E9" w:rsidP="00A534E9">
      <w:pPr>
        <w:spacing w:after="0" w:line="240" w:lineRule="auto"/>
        <w:ind w:left="709" w:right="709"/>
        <w:jc w:val="both"/>
        <w:rPr>
          <w:rFonts w:ascii="Verdana" w:eastAsia="Century Gothic" w:hAnsi="Verdana" w:cs="Century Gothic"/>
          <w:sz w:val="20"/>
          <w:szCs w:val="20"/>
          <w:lang w:val="es-ES"/>
        </w:rPr>
      </w:pPr>
      <w:r w:rsidRPr="00A534E9">
        <w:rPr>
          <w:rFonts w:ascii="Verdana" w:eastAsia="Century Gothic" w:hAnsi="Verdana" w:cs="Century Gothic"/>
          <w:sz w:val="20"/>
          <w:szCs w:val="20"/>
          <w:lang w:val="es-ES"/>
        </w:rPr>
        <w:t xml:space="preserve">Por lo menos uno (1) de los contratos válidos aportados como experiencia general debe corresponder al 40% del presupuesto oficial del presente proceso de selección. De conformidad con lo establecido en el pliego de condiciones tipo. Esta experiencia del 40 % del presupuesto oficial se valida que el contrato aportado como experiencia general es decir el que contiene los </w:t>
      </w:r>
      <w:proofErr w:type="spellStart"/>
      <w:r w:rsidRPr="00A534E9">
        <w:rPr>
          <w:rFonts w:ascii="Verdana" w:eastAsia="Century Gothic" w:hAnsi="Verdana" w:cs="Century Gothic"/>
          <w:sz w:val="20"/>
          <w:szCs w:val="20"/>
          <w:lang w:val="es-ES"/>
        </w:rPr>
        <w:t>items</w:t>
      </w:r>
      <w:proofErr w:type="spellEnd"/>
      <w:r w:rsidRPr="00A534E9">
        <w:rPr>
          <w:rFonts w:ascii="Verdana" w:eastAsia="Century Gothic" w:hAnsi="Verdana" w:cs="Century Gothic"/>
          <w:sz w:val="20"/>
          <w:szCs w:val="20"/>
          <w:lang w:val="es-ES"/>
        </w:rPr>
        <w:t xml:space="preserve"> de redes </w:t>
      </w:r>
      <w:proofErr w:type="spellStart"/>
      <w:r w:rsidRPr="00A534E9">
        <w:rPr>
          <w:rFonts w:ascii="Verdana" w:eastAsia="Century Gothic" w:hAnsi="Verdana" w:cs="Century Gothic"/>
          <w:sz w:val="20"/>
          <w:szCs w:val="20"/>
          <w:lang w:val="es-ES"/>
        </w:rPr>
        <w:t>electricas</w:t>
      </w:r>
      <w:proofErr w:type="spellEnd"/>
      <w:r w:rsidRPr="00A534E9">
        <w:rPr>
          <w:rFonts w:ascii="Verdana" w:eastAsia="Century Gothic" w:hAnsi="Verdana" w:cs="Century Gothic"/>
          <w:sz w:val="20"/>
          <w:szCs w:val="20"/>
          <w:lang w:val="es-ES"/>
        </w:rPr>
        <w:t xml:space="preserve"> sea mayor al 40% del presupuesto </w:t>
      </w:r>
      <w:r w:rsidRPr="00A534E9">
        <w:rPr>
          <w:rFonts w:ascii="Verdana" w:eastAsia="Century Gothic" w:hAnsi="Verdana" w:cs="Century Gothic"/>
          <w:sz w:val="20"/>
          <w:szCs w:val="20"/>
          <w:lang w:val="es-ES"/>
        </w:rPr>
        <w:lastRenderedPageBreak/>
        <w:t xml:space="preserve">oficial o por el contrario hace referencia a que la suma de las actividades </w:t>
      </w:r>
      <w:proofErr w:type="spellStart"/>
      <w:r w:rsidRPr="00A534E9">
        <w:rPr>
          <w:rFonts w:ascii="Verdana" w:eastAsia="Century Gothic" w:hAnsi="Verdana" w:cs="Century Gothic"/>
          <w:sz w:val="20"/>
          <w:szCs w:val="20"/>
          <w:lang w:val="es-ES"/>
        </w:rPr>
        <w:t>electricas</w:t>
      </w:r>
      <w:proofErr w:type="spellEnd"/>
      <w:r w:rsidRPr="00A534E9">
        <w:rPr>
          <w:rFonts w:ascii="Verdana" w:eastAsia="Century Gothic" w:hAnsi="Verdana" w:cs="Century Gothic"/>
          <w:sz w:val="20"/>
          <w:szCs w:val="20"/>
          <w:lang w:val="es-ES"/>
        </w:rPr>
        <w:t xml:space="preserve"> del contrato aportado sea mayor al 40 % del presupuesto oficial del proceso de selección.” [SIC]</w:t>
      </w:r>
    </w:p>
    <w:p w14:paraId="65E5B7A1" w14:textId="77777777" w:rsidR="00A534E9" w:rsidRPr="00A534E9" w:rsidRDefault="00A534E9" w:rsidP="00A534E9">
      <w:pPr>
        <w:spacing w:after="0" w:line="240" w:lineRule="auto"/>
        <w:ind w:left="709" w:right="709"/>
        <w:jc w:val="both"/>
        <w:rPr>
          <w:rFonts w:ascii="Verdana" w:eastAsia="Century Gothic" w:hAnsi="Verdana" w:cs="Century Gothic"/>
          <w:lang w:val="es-ES"/>
        </w:rPr>
      </w:pPr>
      <w:r w:rsidRPr="00A534E9">
        <w:rPr>
          <w:rFonts w:ascii="Verdana" w:eastAsia="Century Gothic" w:hAnsi="Verdana" w:cs="Century Gothic"/>
          <w:sz w:val="20"/>
          <w:szCs w:val="20"/>
          <w:lang w:val="es-ES"/>
        </w:rPr>
        <w:t xml:space="preserve">   </w:t>
      </w:r>
    </w:p>
    <w:p w14:paraId="38C2769A" w14:textId="77777777" w:rsidR="00A534E9" w:rsidRPr="00A534E9" w:rsidRDefault="00A534E9" w:rsidP="00A534E9">
      <w:pPr>
        <w:spacing w:after="120" w:line="276" w:lineRule="auto"/>
        <w:ind w:firstLine="709"/>
        <w:jc w:val="both"/>
        <w:rPr>
          <w:rFonts w:ascii="Verdana" w:eastAsia="Calibri" w:hAnsi="Verdana" w:cs="Arial"/>
          <w:szCs w:val="24"/>
          <w:lang w:val="es-ES_tradnl" w:eastAsia="es-ES_tradnl"/>
        </w:rPr>
      </w:pPr>
      <w:r w:rsidRPr="00A534E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534E9">
        <w:rPr>
          <w:rFonts w:ascii="Verdana" w:eastAsia="Calibri" w:hAnsi="Verdana" w:cs="Arial"/>
          <w:szCs w:val="24"/>
          <w:lang w:val="es-ES_tradnl" w:eastAsia="es-ES_tradnl"/>
        </w:rPr>
        <w:tab/>
      </w:r>
    </w:p>
    <w:p w14:paraId="174CC6FE" w14:textId="77777777" w:rsidR="00A534E9" w:rsidRPr="00A534E9" w:rsidRDefault="00A534E9" w:rsidP="00A534E9">
      <w:pPr>
        <w:spacing w:after="0" w:line="276" w:lineRule="auto"/>
        <w:ind w:firstLine="709"/>
        <w:jc w:val="both"/>
        <w:rPr>
          <w:rFonts w:ascii="Verdana" w:eastAsia="Calibri" w:hAnsi="Verdana" w:cs="Arial"/>
          <w:lang w:val="es-ES" w:eastAsia="es-ES"/>
        </w:rPr>
      </w:pPr>
      <w:r w:rsidRPr="00A534E9">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77AB7F7" w14:textId="77777777" w:rsidR="00A534E9" w:rsidRPr="00A534E9" w:rsidRDefault="00A534E9" w:rsidP="00A534E9">
      <w:pPr>
        <w:spacing w:after="0" w:line="276" w:lineRule="auto"/>
        <w:ind w:firstLine="709"/>
        <w:jc w:val="both"/>
        <w:rPr>
          <w:rFonts w:ascii="Verdana" w:eastAsia="Calibri" w:hAnsi="Verdana" w:cs="Arial"/>
          <w:lang w:val="es-ES" w:eastAsia="es-ES"/>
        </w:rPr>
      </w:pPr>
    </w:p>
    <w:p w14:paraId="39F079B0" w14:textId="77777777" w:rsidR="00A534E9" w:rsidRPr="00A534E9" w:rsidRDefault="00A534E9" w:rsidP="00A534E9">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A534E9">
        <w:rPr>
          <w:rFonts w:ascii="Verdana" w:eastAsia="Century Gothic" w:hAnsi="Verdana" w:cs="Century Gothic"/>
          <w:b/>
          <w:bCs/>
          <w:lang w:val="es-ES"/>
        </w:rPr>
        <w:t>Problema planteado:</w:t>
      </w:r>
    </w:p>
    <w:p w14:paraId="5979319F" w14:textId="77777777" w:rsidR="00A534E9" w:rsidRPr="00A534E9" w:rsidRDefault="00A534E9" w:rsidP="00A534E9">
      <w:pPr>
        <w:tabs>
          <w:tab w:val="left" w:pos="426"/>
        </w:tabs>
        <w:spacing w:after="0" w:line="276" w:lineRule="auto"/>
        <w:jc w:val="both"/>
        <w:rPr>
          <w:rFonts w:ascii="Verdana" w:eastAsia="Century Gothic" w:hAnsi="Verdana" w:cs="Century Gothic"/>
          <w:lang w:val="es-ES"/>
        </w:rPr>
      </w:pPr>
    </w:p>
    <w:p w14:paraId="1971950E" w14:textId="77777777" w:rsidR="00A534E9" w:rsidRPr="00A534E9" w:rsidRDefault="00A534E9" w:rsidP="00A534E9">
      <w:pPr>
        <w:snapToGrid w:val="0"/>
        <w:spacing w:after="0" w:line="276" w:lineRule="auto"/>
        <w:jc w:val="both"/>
        <w:rPr>
          <w:rFonts w:ascii="Verdana" w:eastAsia="Century Gothic" w:hAnsi="Verdana" w:cs="Century Gothic"/>
        </w:rPr>
      </w:pPr>
      <w:r w:rsidRPr="00A534E9">
        <w:rPr>
          <w:rFonts w:ascii="Verdana" w:eastAsia="Century Gothic" w:hAnsi="Verdana" w:cs="Century Gothic"/>
        </w:rPr>
        <w:t>De acuerdo con el contenido de su solicitud, esta Agencia resolverá el siguiente problema jurídico: ¿cómo debe calcularse la experiencia exigida en relación con el Presupuesto Oficial, en los documentos tipo de infraestructura social?</w:t>
      </w:r>
    </w:p>
    <w:p w14:paraId="356FE9F7" w14:textId="77777777" w:rsidR="00A534E9" w:rsidRPr="00A534E9" w:rsidRDefault="00A534E9" w:rsidP="00A534E9">
      <w:pPr>
        <w:snapToGrid w:val="0"/>
        <w:spacing w:after="0" w:line="276" w:lineRule="auto"/>
        <w:jc w:val="both"/>
        <w:rPr>
          <w:rFonts w:ascii="Verdana" w:eastAsia="Calibri" w:hAnsi="Verdana" w:cs="Arial"/>
          <w:lang w:val="es-ES"/>
        </w:rPr>
      </w:pPr>
    </w:p>
    <w:p w14:paraId="216F8532" w14:textId="77777777" w:rsidR="00A534E9" w:rsidRPr="00A534E9" w:rsidRDefault="00A534E9" w:rsidP="00A534E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A534E9">
        <w:rPr>
          <w:rFonts w:ascii="Verdana" w:eastAsia="Century Gothic" w:hAnsi="Verdana" w:cs="Century Gothic"/>
          <w:b/>
          <w:bCs/>
          <w:lang w:val="es-ES"/>
        </w:rPr>
        <w:t>Respuesta:</w:t>
      </w:r>
    </w:p>
    <w:p w14:paraId="4E55882F" w14:textId="77777777" w:rsidR="00A534E9" w:rsidRPr="00A534E9" w:rsidRDefault="00A534E9" w:rsidP="00A534E9">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34E9" w:rsidRPr="00A534E9" w14:paraId="6CB233E4" w14:textId="77777777" w:rsidTr="00CB0E9D">
        <w:tc>
          <w:tcPr>
            <w:tcW w:w="8828" w:type="dxa"/>
            <w:shd w:val="clear" w:color="auto" w:fill="auto"/>
          </w:tcPr>
          <w:p w14:paraId="425655AE" w14:textId="77777777" w:rsidR="00A534E9" w:rsidRPr="00A534E9" w:rsidRDefault="00A534E9" w:rsidP="00A534E9">
            <w:pPr>
              <w:spacing w:line="276" w:lineRule="auto"/>
              <w:jc w:val="both"/>
              <w:rPr>
                <w:rFonts w:ascii="Verdana" w:eastAsia="Aptos" w:hAnsi="Verdana" w:cs="Times New Roman"/>
              </w:rPr>
            </w:pPr>
            <w:r w:rsidRPr="00A534E9">
              <w:rPr>
                <w:rFonts w:ascii="Verdana" w:eastAsia="Aptos" w:hAnsi="Verdana" w:cs="Times New Roman"/>
              </w:rPr>
              <w:t xml:space="preserve">De conformidad con lo establecido en el numeral “3.5.1. Características de los contratos presentados para acreditar la experiencia exigida”, en el punto ii) del literal A, la experiencia exigible para las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w:t>
            </w:r>
            <w:r w:rsidRPr="00A534E9">
              <w:rPr>
                <w:rFonts w:ascii="Verdana" w:eastAsia="Aptos" w:hAnsi="Verdana" w:cs="Times New Roman"/>
              </w:rPr>
              <w:lastRenderedPageBreak/>
              <w:t xml:space="preserve">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0521CF8D" w14:textId="77777777" w:rsidR="00A534E9" w:rsidRPr="00A534E9" w:rsidRDefault="00A534E9" w:rsidP="00A534E9">
            <w:pPr>
              <w:spacing w:line="276" w:lineRule="auto"/>
              <w:jc w:val="both"/>
              <w:rPr>
                <w:rFonts w:ascii="Verdana" w:eastAsia="Aptos" w:hAnsi="Verdana" w:cs="Times New Roman"/>
              </w:rPr>
            </w:pPr>
            <w:r w:rsidRPr="00A534E9">
              <w:rPr>
                <w:rFonts w:ascii="Verdana" w:eastAsia="Aptos" w:hAnsi="Verdana" w:cs="Times New Roman"/>
              </w:rPr>
              <w:t xml:space="preserve">   </w:t>
            </w:r>
          </w:p>
          <w:p w14:paraId="7D2417CE" w14:textId="77777777" w:rsidR="00A534E9" w:rsidRPr="00A534E9" w:rsidRDefault="00A534E9" w:rsidP="00A534E9">
            <w:pPr>
              <w:spacing w:line="276" w:lineRule="auto"/>
              <w:jc w:val="both"/>
              <w:rPr>
                <w:rFonts w:ascii="Verdana" w:eastAsia="Times New Roman" w:hAnsi="Verdana" w:cs="Arial"/>
                <w:shd w:val="clear" w:color="auto" w:fill="FFFFFF"/>
                <w:lang w:val="es-ES_tradnl" w:eastAsia="es-ES_tradnl"/>
              </w:rPr>
            </w:pPr>
            <w:r w:rsidRPr="00A534E9">
              <w:rPr>
                <w:rFonts w:ascii="Verdana" w:eastAsia="Aptos" w:hAnsi="Verdana" w:cs="Times New Roman"/>
              </w:rPr>
              <w:t>Así, en caso de requerirse acreditar experiencia específica en p</w:t>
            </w:r>
            <w:proofErr w:type="spellStart"/>
            <w:r w:rsidRPr="00A534E9">
              <w:rPr>
                <w:rFonts w:ascii="Verdana" w:eastAsia="Aptos" w:hAnsi="Verdana" w:cs="Times New Roman"/>
                <w:lang w:val="es-ES"/>
              </w:rPr>
              <w:t>or</w:t>
            </w:r>
            <w:proofErr w:type="spellEnd"/>
            <w:r w:rsidRPr="00A534E9">
              <w:rPr>
                <w:rFonts w:ascii="Verdana" w:eastAsia="Aptos" w:hAnsi="Verdana" w:cs="Times New Roman"/>
                <w:lang w:val="es-ES"/>
              </w:rPr>
              <w:t xml:space="preserve"> lo menos uno (1) de los contratos válidos aportados como experiencia general, este debe corresponder al 40% del presupuesto oficial del proceso de selección, y en el caso que el proyecto de la entidad corresponda a un proyecto de intervención de redes de datos, por lo menos uno (1) de los contratos válidos aportados como experiencia general debe demostrar la intervención de redes de datos en edificaciones, en caso de ser la única experiencia exigida. Sin embargo, en caso de que la entidad solicite experiencia principal y hasta dos experiencias adicionales, aplicará lo descrito en el punto ii) del literal A del numeral 3.5.1. y deberá solicitarse sobre el valor del presupuesto oficial que corresponda a cada actividad.  </w:t>
            </w:r>
            <w:r w:rsidRPr="00A534E9">
              <w:rPr>
                <w:rFonts w:ascii="Verdana" w:eastAsia="Aptos" w:hAnsi="Verdana" w:cs="Times New Roman"/>
              </w:rPr>
              <w:t xml:space="preserve"> </w:t>
            </w:r>
          </w:p>
        </w:tc>
      </w:tr>
    </w:tbl>
    <w:p w14:paraId="0B7DADFD" w14:textId="77777777" w:rsidR="00A534E9" w:rsidRPr="00A534E9" w:rsidRDefault="00A534E9" w:rsidP="00A534E9">
      <w:pPr>
        <w:tabs>
          <w:tab w:val="left" w:pos="142"/>
          <w:tab w:val="left" w:pos="284"/>
        </w:tabs>
        <w:snapToGrid w:val="0"/>
        <w:spacing w:after="0" w:line="276" w:lineRule="auto"/>
        <w:jc w:val="both"/>
        <w:rPr>
          <w:rFonts w:ascii="Verdana" w:eastAsia="Century Gothic" w:hAnsi="Verdana" w:cs="Century Gothic"/>
          <w:b/>
          <w:bCs/>
          <w:lang w:val="es-ES"/>
        </w:rPr>
      </w:pPr>
    </w:p>
    <w:p w14:paraId="6F8875A2" w14:textId="77777777" w:rsidR="00A534E9" w:rsidRPr="00A534E9" w:rsidRDefault="00A534E9" w:rsidP="00A534E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A534E9">
        <w:rPr>
          <w:rFonts w:ascii="Verdana" w:eastAsia="Century Gothic" w:hAnsi="Verdana" w:cs="Century Gothic"/>
          <w:b/>
          <w:bCs/>
          <w:lang w:val="es-ES"/>
        </w:rPr>
        <w:t>Razones de la respuesta:</w:t>
      </w:r>
    </w:p>
    <w:p w14:paraId="6115C6EE" w14:textId="77777777" w:rsidR="00A534E9" w:rsidRPr="00A534E9" w:rsidRDefault="00A534E9" w:rsidP="00A534E9">
      <w:pPr>
        <w:tabs>
          <w:tab w:val="left" w:pos="142"/>
          <w:tab w:val="left" w:pos="284"/>
        </w:tabs>
        <w:snapToGrid w:val="0"/>
        <w:spacing w:after="0" w:line="276" w:lineRule="auto"/>
        <w:ind w:left="357"/>
        <w:jc w:val="both"/>
        <w:rPr>
          <w:rFonts w:ascii="Verdana" w:eastAsia="Century Gothic" w:hAnsi="Verdana" w:cs="Century Gothic"/>
          <w:b/>
          <w:bCs/>
          <w:lang w:val="es-ES"/>
        </w:rPr>
      </w:pPr>
    </w:p>
    <w:p w14:paraId="1B7D74B3" w14:textId="77777777" w:rsidR="00A534E9" w:rsidRPr="00A534E9" w:rsidRDefault="00A534E9" w:rsidP="00A534E9">
      <w:pPr>
        <w:snapToGrid w:val="0"/>
        <w:spacing w:after="0" w:line="276" w:lineRule="auto"/>
        <w:jc w:val="both"/>
        <w:rPr>
          <w:rFonts w:ascii="Verdana" w:eastAsia="Calibri" w:hAnsi="Verdana" w:cs="Arial"/>
          <w:lang w:val="es-ES"/>
        </w:rPr>
      </w:pPr>
      <w:r w:rsidRPr="00A534E9">
        <w:rPr>
          <w:rFonts w:ascii="Verdana" w:eastAsia="Calibri" w:hAnsi="Verdana" w:cs="Arial"/>
          <w:lang w:val="es-ES"/>
        </w:rPr>
        <w:t xml:space="preserve">Lo anterior se sustenta en las siguientes consideraciones: </w:t>
      </w:r>
    </w:p>
    <w:p w14:paraId="36F2C182" w14:textId="77777777" w:rsidR="00A534E9" w:rsidRPr="00A534E9" w:rsidRDefault="00A534E9" w:rsidP="00A534E9">
      <w:pPr>
        <w:tabs>
          <w:tab w:val="left" w:pos="-142"/>
        </w:tabs>
        <w:autoSpaceDE w:val="0"/>
        <w:autoSpaceDN w:val="0"/>
        <w:adjustRightInd w:val="0"/>
        <w:spacing w:after="120" w:line="276" w:lineRule="auto"/>
        <w:jc w:val="both"/>
        <w:outlineLvl w:val="2"/>
        <w:rPr>
          <w:rFonts w:ascii="Arial" w:eastAsia="Calibri" w:hAnsi="Arial" w:cs="Arial"/>
          <w:color w:val="000000"/>
          <w:lang w:val="es-MX"/>
        </w:rPr>
      </w:pPr>
      <w:bookmarkStart w:id="1" w:name="_Hlk94088065"/>
    </w:p>
    <w:bookmarkEnd w:id="1"/>
    <w:p w14:paraId="19F660D6"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14:ligatures w14:val="standardContextual"/>
        </w:rPr>
      </w:pPr>
      <w:r w:rsidRPr="00A534E9">
        <w:rPr>
          <w:rFonts w:ascii="Verdana" w:eastAsia="Aptos" w:hAnsi="Verdana" w:cs="Times New Roman"/>
          <w:kern w:val="2"/>
          <w14:ligatures w14:val="standardContextual"/>
        </w:rPr>
        <w:t xml:space="preserve">El artículo 1 de la Ley 2022 de 2020 otorgó a la Agencia Nacional de Contratación Pública – Colombia Compra Eficiente la competencia para adoptar los documentos tipo. Asimismo, reiteró la obligatoriedad de su uso para todas las entidades públicas sometidas al Estatuto General de Contratación de la Administración Pública </w:t>
      </w:r>
      <w:r w:rsidRPr="00A534E9">
        <w:rPr>
          <w:rFonts w:ascii="Verdana" w:eastAsia="Aptos" w:hAnsi="Verdana" w:cs="Arial"/>
          <w:kern w:val="2"/>
          <w14:ligatures w14:val="standardContextual"/>
        </w:rPr>
        <w:t>‒</w:t>
      </w:r>
      <w:r w:rsidRPr="00A534E9">
        <w:rPr>
          <w:rFonts w:ascii="Verdana" w:eastAsia="Aptos" w:hAnsi="Verdana" w:cs="Times New Roman"/>
          <w:kern w:val="2"/>
          <w14:ligatures w14:val="standardContextual"/>
        </w:rPr>
        <w:t>EGCAP</w:t>
      </w:r>
      <w:r w:rsidRPr="00A534E9">
        <w:rPr>
          <w:rFonts w:ascii="Verdana" w:eastAsia="Aptos" w:hAnsi="Verdana" w:cs="Arial"/>
          <w:kern w:val="2"/>
          <w14:ligatures w14:val="standardContextual"/>
        </w:rPr>
        <w:t>‒</w:t>
      </w:r>
      <w:r w:rsidRPr="00A534E9">
        <w:rPr>
          <w:rFonts w:ascii="Verdana" w:eastAsia="Aptos" w:hAnsi="Verdana" w:cs="Times New Roman"/>
          <w:kern w:val="2"/>
          <w14:ligatures w14:val="standardContextual"/>
        </w:rPr>
        <w:t xml:space="preserve">. Esto implica que las autoridades deben implementar los documentos tipo que tengan por objeto las actividades contempladas en la </w:t>
      </w:r>
      <w:r w:rsidRPr="00A534E9">
        <w:rPr>
          <w:rFonts w:ascii="Verdana" w:eastAsia="Aptos" w:hAnsi="Verdana" w:cs="Aptos"/>
          <w:kern w:val="2"/>
          <w14:ligatures w14:val="standardContextual"/>
        </w:rPr>
        <w:t>“</w:t>
      </w:r>
      <w:r w:rsidRPr="00A534E9">
        <w:rPr>
          <w:rFonts w:ascii="Verdana" w:eastAsia="Aptos" w:hAnsi="Verdana" w:cs="Times New Roman"/>
          <w:kern w:val="2"/>
          <w14:ligatures w14:val="standardContextual"/>
        </w:rPr>
        <w:t xml:space="preserve">Matriz 1 </w:t>
      </w:r>
      <w:r w:rsidRPr="00A534E9">
        <w:rPr>
          <w:rFonts w:ascii="Verdana" w:eastAsia="Aptos" w:hAnsi="Verdana" w:cs="Arial"/>
          <w:kern w:val="2"/>
          <w14:ligatures w14:val="standardContextual"/>
        </w:rPr>
        <w:t>‒</w:t>
      </w:r>
      <w:r w:rsidRPr="00A534E9">
        <w:rPr>
          <w:rFonts w:ascii="Verdana" w:eastAsia="Aptos" w:hAnsi="Verdana" w:cs="Times New Roman"/>
          <w:kern w:val="2"/>
          <w14:ligatures w14:val="standardContextual"/>
        </w:rPr>
        <w:t xml:space="preserve"> Experiencia</w:t>
      </w:r>
      <w:r w:rsidRPr="00A534E9">
        <w:rPr>
          <w:rFonts w:ascii="Verdana" w:eastAsia="Aptos" w:hAnsi="Verdana" w:cs="Aptos"/>
          <w:kern w:val="2"/>
          <w14:ligatures w14:val="standardContextual"/>
        </w:rPr>
        <w:t>”</w:t>
      </w:r>
      <w:r w:rsidRPr="00A534E9">
        <w:rPr>
          <w:rFonts w:ascii="Verdana" w:eastAsia="Aptos" w:hAnsi="Verdana" w:cs="Times New Roman"/>
          <w:kern w:val="2"/>
          <w14:ligatures w14:val="standardContextual"/>
        </w:rPr>
        <w:t xml:space="preserve">, sin perjuicio de su </w:t>
      </w:r>
      <w:r w:rsidRPr="00A534E9">
        <w:rPr>
          <w:rFonts w:ascii="Verdana" w:eastAsia="Aptos" w:hAnsi="Verdana" w:cs="Aptos"/>
          <w:kern w:val="2"/>
          <w14:ligatures w14:val="standardContextual"/>
        </w:rPr>
        <w:t>“</w:t>
      </w:r>
      <w:r w:rsidRPr="00A534E9">
        <w:rPr>
          <w:rFonts w:ascii="Verdana" w:eastAsia="Aptos" w:hAnsi="Verdana" w:cs="Times New Roman"/>
          <w:kern w:val="2"/>
          <w14:ligatures w14:val="standardContextual"/>
        </w:rPr>
        <w:t>inalterabilidad”. Lo anterior significa que las entidades públicas carecen de la facultad para modificarlos, con excepción de aquellos aspectos que pueden diligenciar, es decir, las descripciones que están incluidas entre corchetes y resaltadas en gris –</w:t>
      </w:r>
      <w:r w:rsidRPr="00A534E9">
        <w:rPr>
          <w:rFonts w:ascii="Verdana" w:eastAsia="Aptos" w:hAnsi="Verdana" w:cs="Times New Roman"/>
          <w:kern w:val="2"/>
          <w:highlight w:val="lightGray"/>
          <w14:ligatures w14:val="standardContextual"/>
        </w:rPr>
        <w:t>[texto]</w:t>
      </w:r>
      <w:r w:rsidRPr="00A534E9">
        <w:rPr>
          <w:rFonts w:ascii="Verdana" w:eastAsia="Aptos" w:hAnsi="Verdana" w:cs="Times New Roman"/>
          <w:kern w:val="2"/>
          <w14:ligatures w14:val="standardContextual"/>
        </w:rPr>
        <w:t>– o cuya modificación sea permitida por los mismos documentos tipo.</w:t>
      </w:r>
    </w:p>
    <w:p w14:paraId="1BEDA598" w14:textId="77777777" w:rsidR="00A534E9" w:rsidRPr="00A534E9" w:rsidRDefault="00A534E9" w:rsidP="00A534E9">
      <w:pPr>
        <w:spacing w:after="0" w:line="276" w:lineRule="auto"/>
        <w:ind w:firstLine="708"/>
        <w:jc w:val="both"/>
        <w:rPr>
          <w:rFonts w:ascii="Verdana" w:eastAsia="Aptos" w:hAnsi="Verdana" w:cs="Times New Roman"/>
          <w:kern w:val="2"/>
          <w14:ligatures w14:val="standardContextual"/>
        </w:rPr>
      </w:pPr>
    </w:p>
    <w:p w14:paraId="06F6865F"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ES"/>
          <w14:ligatures w14:val="standardContextual"/>
        </w:rPr>
        <w:t xml:space="preserve">Así, en desarrollo de la Ley 2022 de 2020, la Agencia Nacional de Contratación Pública – Colombia Compra Eficiente expidió la Resolución </w:t>
      </w:r>
      <w:r w:rsidRPr="00A534E9">
        <w:rPr>
          <w:rFonts w:ascii="Verdana" w:eastAsia="Aptos" w:hAnsi="Verdana" w:cs="Times New Roman"/>
          <w:kern w:val="2"/>
          <w:lang w:val="es-ES"/>
          <w14:ligatures w14:val="standardContextual"/>
        </w:rPr>
        <w:lastRenderedPageBreak/>
        <w:t xml:space="preserve">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p>
    <w:p w14:paraId="3A8DAF4C"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ES"/>
          <w14:ligatures w14:val="standardContextual"/>
        </w:rPr>
        <w:tab/>
      </w:r>
    </w:p>
    <w:p w14:paraId="688AC6B5"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14:ligatures w14:val="standardContextual"/>
        </w:rPr>
      </w:pPr>
      <w:r w:rsidRPr="00A534E9">
        <w:rPr>
          <w:rFonts w:ascii="Verdana" w:eastAsia="Aptos" w:hAnsi="Verdana" w:cs="Times New Roman"/>
          <w:kern w:val="2"/>
          <w14:ligatures w14:val="standardContextual"/>
        </w:rPr>
        <w:t xml:space="preserve">Para la determinación de los requisitos mínimos de experiencia según la “Matriz 1 – Experiencia”, el numeral 3.5.1 del documento base de los documentos tipo en comento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2EF5EE43" w14:textId="77777777" w:rsidR="00A534E9" w:rsidRPr="00A534E9" w:rsidRDefault="00A534E9" w:rsidP="00A534E9">
      <w:pPr>
        <w:spacing w:after="0" w:line="276" w:lineRule="auto"/>
        <w:ind w:firstLine="708"/>
        <w:jc w:val="both"/>
        <w:rPr>
          <w:rFonts w:ascii="Verdana" w:eastAsia="Aptos" w:hAnsi="Verdana" w:cs="Times New Roman"/>
          <w:kern w:val="2"/>
          <w14:ligatures w14:val="standardContextual"/>
        </w:rPr>
      </w:pPr>
    </w:p>
    <w:p w14:paraId="2BC25862"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bCs/>
          <w:kern w:val="2"/>
          <w:lang w:val="es-ES"/>
          <w14:ligatures w14:val="standardContextual"/>
        </w:rPr>
        <w:t xml:space="preserve">El 6 de agosto de 2021 y el 18 de noviembre de 2021, se adoptaron los documentos tipo complementarios para los procesos de licitación de obra pública de infraestructura social relacionados con el </w:t>
      </w:r>
      <w:r w:rsidRPr="00A534E9">
        <w:rPr>
          <w:rFonts w:ascii="Verdana" w:eastAsia="Aptos" w:hAnsi="Verdana" w:cs="Times New Roman"/>
          <w:bCs/>
          <w:i/>
          <w:iCs/>
          <w:kern w:val="2"/>
          <w:lang w:val="es-ES"/>
          <w14:ligatures w14:val="standardContextual"/>
        </w:rPr>
        <w:t>sector educ</w:t>
      </w:r>
      <w:r w:rsidRPr="00A534E9">
        <w:rPr>
          <w:rFonts w:ascii="Verdana" w:eastAsia="Aptos" w:hAnsi="Verdana" w:cs="Times New Roman"/>
          <w:bCs/>
          <w:i/>
          <w:kern w:val="2"/>
          <w:lang w:val="es-ES"/>
          <w14:ligatures w14:val="standardContextual"/>
        </w:rPr>
        <w:t xml:space="preserve">ativo y el de salud, </w:t>
      </w:r>
      <w:r w:rsidRPr="00A534E9">
        <w:rPr>
          <w:rFonts w:ascii="Verdana" w:eastAsia="Aptos" w:hAnsi="Verdana" w:cs="Times New Roman"/>
          <w:bCs/>
          <w:iCs/>
          <w:kern w:val="2"/>
          <w:lang w:val="es-ES"/>
          <w14:ligatures w14:val="standardContextual"/>
        </w:rPr>
        <w:t>respectivamente</w:t>
      </w:r>
      <w:r w:rsidRPr="00A534E9">
        <w:rPr>
          <w:rFonts w:ascii="Verdana" w:eastAsia="Aptos" w:hAnsi="Verdana" w:cs="Times New Roman"/>
          <w:bCs/>
          <w:i/>
          <w:kern w:val="2"/>
          <w:lang w:val="es-ES"/>
          <w14:ligatures w14:val="standardContextual"/>
        </w:rPr>
        <w:t xml:space="preserve">, </w:t>
      </w:r>
      <w:r w:rsidRPr="00A534E9">
        <w:rPr>
          <w:rFonts w:ascii="Verdana" w:eastAsia="Aptos" w:hAnsi="Verdana" w:cs="Times New Roman"/>
          <w:bCs/>
          <w:kern w:val="2"/>
          <w:lang w:val="es-ES"/>
          <w14:ligatures w14:val="standardContextual"/>
        </w:rPr>
        <w:t xml:space="preserve">mediante la </w:t>
      </w:r>
      <w:r w:rsidRPr="00A534E9">
        <w:rPr>
          <w:rFonts w:ascii="Verdana" w:eastAsia="Aptos" w:hAnsi="Verdana" w:cs="Times New Roman"/>
          <w:kern w:val="2"/>
          <w:lang w:val="es-ES"/>
          <w14:ligatures w14:val="standardContextual"/>
        </w:rPr>
        <w:t xml:space="preserve">Resolución No. 220 y 454 de 2021. Estas resoluciones, en el artículo 2, desarrollan el “Anexo – Glosario sector educativo y de salud” y la </w:t>
      </w:r>
      <w:r w:rsidRPr="00A534E9">
        <w:rPr>
          <w:rFonts w:ascii="Verdana" w:eastAsia="Aptos" w:hAnsi="Verdana" w:cs="Times New Roman"/>
          <w:kern w:val="2"/>
          <w14:ligatures w14:val="standardContextual"/>
        </w:rPr>
        <w:t>“Matriz – Experiencia</w:t>
      </w:r>
      <w:r w:rsidRPr="00A534E9">
        <w:rPr>
          <w:rFonts w:ascii="Verdana" w:eastAsia="Aptos" w:hAnsi="Verdana" w:cs="Times New Roman"/>
          <w:kern w:val="2"/>
          <w:lang w:val="es-ES"/>
          <w14:ligatures w14:val="standardContextual"/>
        </w:rPr>
        <w:t xml:space="preserve"> para proyectos de infraestructura social para el sector educativo y de salud</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xml:space="preserve"> lo que significa que estos documentos definen el alcance para ese sector específicamente. Del mismo modo, la Matriz de Experiencia de cada sector, además de estandarizar el requisito habilitante de experiencia, señala los proyectos o contratos concretos a los cuales aplican los documentos tipo, esto es, a los procesos contractuales cuyo objeto se relacione con alguna de las actividades establecidas de forma detallada en la Matriz de Experiencia respectiva.</w:t>
      </w:r>
    </w:p>
    <w:p w14:paraId="59C56B7C"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p>
    <w:p w14:paraId="05B9639E"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ES"/>
          <w14:ligatures w14:val="standardContextual"/>
        </w:rPr>
        <w:t xml:space="preserve">La Matriz de Experiencia de los documentos tipo complementarios que se adoptaron con la Resolución 220 y 454 de 2021, aplica, en el sector </w:t>
      </w:r>
      <w:r w:rsidRPr="00A534E9">
        <w:rPr>
          <w:rFonts w:ascii="Verdana" w:eastAsia="Aptos" w:hAnsi="Verdana" w:cs="Times New Roman"/>
          <w:kern w:val="2"/>
          <w:lang w:val="es-ES"/>
          <w14:ligatures w14:val="standardContextual"/>
        </w:rPr>
        <w:lastRenderedPageBreak/>
        <w:t xml:space="preserve">educativo, a cuatro (4) tipos de obras: i) obras en infraestructura vertical en instituciones educativas, ii) obras en infraestructura recreo-deportiva y cultural en instituciones educativas, iii) obras en vías de acceso y/o parqueaderos y/o zonas de circulación –vehicular y/o peatonal– en instituciones educativas y </w:t>
      </w:r>
      <w:proofErr w:type="spellStart"/>
      <w:r w:rsidRPr="00A534E9">
        <w:rPr>
          <w:rFonts w:ascii="Verdana" w:eastAsia="Aptos" w:hAnsi="Verdana" w:cs="Times New Roman"/>
          <w:kern w:val="2"/>
          <w:lang w:val="es-ES"/>
          <w14:ligatures w14:val="standardContextual"/>
        </w:rPr>
        <w:t>iv</w:t>
      </w:r>
      <w:proofErr w:type="spellEnd"/>
      <w:r w:rsidRPr="00A534E9">
        <w:rPr>
          <w:rFonts w:ascii="Verdana" w:eastAsia="Aptos" w:hAnsi="Verdana" w:cs="Times New Roman"/>
          <w:kern w:val="2"/>
          <w:lang w:val="es-ES"/>
          <w14:ligatures w14:val="standardContextual"/>
        </w:rPr>
        <w:t xml:space="preserve">) obras en bibliotecas públicas; y en el sector salud, en un tipo de obras: i) infraestructura vertical del sector salud. A su vez, en la </w:t>
      </w:r>
      <w:r w:rsidRPr="00A534E9">
        <w:rPr>
          <w:rFonts w:ascii="Verdana" w:eastAsia="Aptos" w:hAnsi="Verdana" w:cs="Times New Roman"/>
          <w:kern w:val="2"/>
          <w14:ligatures w14:val="standardContextual"/>
        </w:rPr>
        <w:t>“Matriz – Experiencia</w:t>
      </w:r>
      <w:r w:rsidRPr="00A534E9">
        <w:rPr>
          <w:rFonts w:ascii="Verdana" w:eastAsia="Aptos" w:hAnsi="Verdana" w:cs="Times New Roman"/>
          <w:kern w:val="2"/>
          <w:lang w:val="es-ES"/>
          <w14:ligatures w14:val="standardContextual"/>
        </w:rPr>
        <w:t xml:space="preserve"> para proyectos de infraestructura social para el sector educativo y de salud</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xml:space="preserve"> se establecen cada una de las actividades a contratar que hacen parte de un tipo o grupo de infraestructura, los cuales contemplan las condiciones y requerimientos de experiencia general y específica. </w:t>
      </w:r>
    </w:p>
    <w:p w14:paraId="342F69A2"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p>
    <w:p w14:paraId="19F43F66"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ES"/>
          <w14:ligatures w14:val="standardContextual"/>
        </w:rPr>
        <w:t xml:space="preserve">La experiencia específica, dependiendo del tipo de </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actividad a contratar</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xml:space="preserve"> puede contener un </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de dimensionamiento</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xml:space="preserve">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actividades a contratar</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y aspectos generales de la Matriz de Experiencia.</w:t>
      </w:r>
    </w:p>
    <w:p w14:paraId="4A30F3D6" w14:textId="77777777" w:rsidR="00A534E9" w:rsidRPr="00A534E9" w:rsidRDefault="00A534E9" w:rsidP="00A534E9">
      <w:pPr>
        <w:spacing w:after="0" w:line="276" w:lineRule="auto"/>
        <w:jc w:val="both"/>
        <w:rPr>
          <w:rFonts w:ascii="Verdana" w:eastAsia="Aptos" w:hAnsi="Verdana" w:cs="Times New Roman"/>
          <w:kern w:val="2"/>
          <w14:ligatures w14:val="standardContextual"/>
        </w:rPr>
      </w:pPr>
    </w:p>
    <w:p w14:paraId="53073308"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14:ligatures w14:val="standardContextual"/>
        </w:rPr>
      </w:pPr>
      <w:r w:rsidRPr="00A534E9">
        <w:rPr>
          <w:rFonts w:ascii="Verdana" w:eastAsia="Aptos" w:hAnsi="Verdana" w:cs="Times New Roman"/>
          <w:kern w:val="2"/>
          <w14:ligatures w14:val="standardContextual"/>
        </w:rPr>
        <w:t>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ii) la actividad a contratar y iii) la cuantía del proceso de contratación.</w:t>
      </w:r>
    </w:p>
    <w:p w14:paraId="563D8F06" w14:textId="77777777" w:rsidR="00A534E9" w:rsidRPr="00A534E9" w:rsidRDefault="00A534E9" w:rsidP="00A534E9">
      <w:pPr>
        <w:spacing w:after="0" w:line="276" w:lineRule="auto"/>
        <w:jc w:val="both"/>
        <w:rPr>
          <w:rFonts w:ascii="Verdana" w:eastAsia="Aptos" w:hAnsi="Verdana" w:cs="Times New Roman"/>
          <w:kern w:val="2"/>
          <w14:ligatures w14:val="standardContextual"/>
        </w:rPr>
      </w:pPr>
    </w:p>
    <w:p w14:paraId="12A4C036"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b/>
          <w:kern w:val="2"/>
          <w:lang w:val="es-ES"/>
          <w14:ligatures w14:val="standardContextual"/>
        </w:rPr>
      </w:pPr>
      <w:r w:rsidRPr="00A534E9">
        <w:rPr>
          <w:rFonts w:ascii="Verdana" w:eastAsia="Aptos" w:hAnsi="Verdana" w:cs="Times New Roman"/>
          <w:kern w:val="2"/>
          <w14:ligatures w14:val="standardContextual"/>
        </w:rPr>
        <w:t>Concretamente, dentro de las matrices de experiencia de los sectores Educativo y de Salud</w:t>
      </w:r>
      <w:r w:rsidRPr="00A534E9">
        <w:rPr>
          <w:rFonts w:ascii="Verdana" w:eastAsia="Aptos" w:hAnsi="Verdana" w:cs="Times New Roman"/>
          <w:kern w:val="2"/>
          <w:vertAlign w:val="superscript"/>
          <w14:ligatures w14:val="standardContextual"/>
        </w:rPr>
        <w:footnoteReference w:id="2"/>
      </w:r>
      <w:r w:rsidRPr="00A534E9">
        <w:rPr>
          <w:rFonts w:ascii="Verdana" w:eastAsia="Aptos" w:hAnsi="Verdana" w:cs="Times New Roman"/>
          <w:kern w:val="2"/>
          <w14:ligatures w14:val="standardContextual"/>
        </w:rPr>
        <w:t xml:space="preserve">, en su experiencia general – experiencia específica – proyectos de construcción y/o mantenimiento y/o adecuación y/o </w:t>
      </w:r>
      <w:r w:rsidRPr="00A534E9">
        <w:rPr>
          <w:rFonts w:ascii="Verdana" w:eastAsia="Aptos" w:hAnsi="Verdana" w:cs="Times New Roman"/>
          <w:kern w:val="2"/>
          <w14:ligatures w14:val="standardContextual"/>
        </w:rPr>
        <w:lastRenderedPageBreak/>
        <w:t>optimización y/o mejoramiento y/o intervención de redes eléctricas y/o de datos y/o voz</w:t>
      </w:r>
      <w:r w:rsidRPr="00A534E9">
        <w:rPr>
          <w:rFonts w:ascii="Verdana" w:eastAsia="Aptos" w:hAnsi="Verdana" w:cs="Times New Roman"/>
          <w:bCs/>
          <w:kern w:val="2"/>
          <w:lang w:val="es-ES"/>
          <w14:ligatures w14:val="standardContextual"/>
        </w:rPr>
        <w:t>, la</w:t>
      </w:r>
      <w:r w:rsidRPr="00A534E9">
        <w:rPr>
          <w:rFonts w:ascii="Verdana" w:eastAsia="Aptos" w:hAnsi="Verdana" w:cs="Times New Roman"/>
          <w:kern w:val="2"/>
          <w:lang w:val="es-ES"/>
          <w14:ligatures w14:val="standardContextual"/>
        </w:rPr>
        <w:t xml:space="preserve"> experiencia general establecida requerida es en proyectos que correspondan o contemplen actividades de: construcción y/o instalación y/o optimización y/o mejoramiento y/o adecuación y/o reforzamiento y/o rehabilitación y/o mantenimiento y/o ampliación de redes eléctricas y/o de datos y/o voz para edificaciones.</w:t>
      </w:r>
    </w:p>
    <w:p w14:paraId="556E81BA"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p>
    <w:p w14:paraId="0B73998F"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b/>
          <w:kern w:val="2"/>
          <w:lang w:val="es-ES"/>
          <w14:ligatures w14:val="standardContextual"/>
        </w:rPr>
      </w:pPr>
      <w:r w:rsidRPr="00A534E9">
        <w:rPr>
          <w:rFonts w:ascii="Verdana" w:eastAsia="Aptos" w:hAnsi="Verdana" w:cs="Times New Roman"/>
          <w:kern w:val="2"/>
          <w:lang w:val="es-ES"/>
          <w14:ligatures w14:val="standardContextual"/>
        </w:rPr>
        <w:t xml:space="preserve">En relación con la experiencia específica establece que: por lo menos uno (1) de los contratos válidos aportados como experiencia general debe corresponder al 40% del presupuesto oficial del presente proceso de selección y en el caso que el proyecto de la entidad corresponda a un proyecto de intervención de redes de datos, por lo menos uno (1) de los contratos válidos aportados como experiencia general debe demostrar la intervención de redes de datos en edificaciones. </w:t>
      </w:r>
      <w:r w:rsidRPr="00A534E9">
        <w:rPr>
          <w:rFonts w:ascii="Verdana" w:eastAsia="Aptos" w:hAnsi="Verdana" w:cs="Times New Roman"/>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r w:rsidRPr="00A534E9">
        <w:rPr>
          <w:rFonts w:ascii="Verdana" w:eastAsia="Aptos" w:hAnsi="Verdana" w:cs="Times New Roman"/>
          <w:b/>
          <w:kern w:val="2"/>
          <w:lang w:val="es-ES"/>
          <w14:ligatures w14:val="standardContextual"/>
        </w:rPr>
        <w:tab/>
      </w:r>
    </w:p>
    <w:p w14:paraId="6CD6C662"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ES"/>
          <w14:ligatures w14:val="standardContextual"/>
        </w:rPr>
        <w:t xml:space="preserve">Así las cosas, la “experiencia </w:t>
      </w:r>
      <w:r w:rsidRPr="00A534E9">
        <w:rPr>
          <w:rFonts w:ascii="Verdana" w:eastAsia="Aptos" w:hAnsi="Verdana" w:cs="Times New Roman"/>
          <w:kern w:val="2"/>
          <w14:ligatures w14:val="standardContextual"/>
        </w:rPr>
        <w:t>general” y la “experiencia específica” requerida es el resultado de aplicar los parámetros obligatorios fijados en los documentos tipo, de acuerdo con el tipo de infraestructura, la actividad a contratar y la cuantía del proceso de contratación. De esta forma</w:t>
      </w:r>
      <w:r w:rsidRPr="00A534E9">
        <w:rPr>
          <w:rFonts w:ascii="Verdana" w:eastAsia="Aptos" w:hAnsi="Verdana" w:cs="Times New Roman"/>
          <w:kern w:val="2"/>
          <w:lang w:val="es-ES"/>
          <w14:ligatures w14:val="standardContextual"/>
        </w:rPr>
        <w:t xml:space="preserve">, cuando la entidad estatal –de acuerdo con el alcance del objeto contractual– identifique el tipo de infraestructura, la actividad a contratar y la cuantía del proceso de contratación, debe determinar la “experiencia general” y la “experiencia específica” con fundamento en la </w:t>
      </w:r>
      <w:r w:rsidRPr="00A534E9">
        <w:rPr>
          <w:rFonts w:ascii="Verdana" w:eastAsia="Aptos" w:hAnsi="Verdana" w:cs="Times New Roman"/>
          <w:kern w:val="2"/>
          <w14:ligatures w14:val="standardContextual"/>
        </w:rPr>
        <w:t>“Matriz – Experiencia</w:t>
      </w:r>
      <w:r w:rsidRPr="00A534E9">
        <w:rPr>
          <w:rFonts w:ascii="Verdana" w:eastAsia="Aptos" w:hAnsi="Verdana" w:cs="Times New Roman"/>
          <w:kern w:val="2"/>
          <w:lang w:val="es-ES"/>
          <w14:ligatures w14:val="standardContextual"/>
        </w:rPr>
        <w:t xml:space="preserve"> para proyectos de infraestructura social para el sector educativo y de salud</w:t>
      </w:r>
      <w:r w:rsidRPr="00A534E9">
        <w:rPr>
          <w:rFonts w:ascii="Verdana" w:eastAsia="Aptos" w:hAnsi="Verdana" w:cs="Times New Roman"/>
          <w:kern w:val="2"/>
          <w14:ligatures w14:val="standardContextual"/>
        </w:rPr>
        <w:t>”</w:t>
      </w:r>
      <w:r w:rsidRPr="00A534E9">
        <w:rPr>
          <w:rFonts w:ascii="Verdana" w:eastAsia="Aptos" w:hAnsi="Verdana" w:cs="Times New Roman"/>
          <w:kern w:val="2"/>
          <w:lang w:val="es-ES"/>
          <w14:ligatures w14:val="standardContextual"/>
        </w:rPr>
        <w:t>, conforme a la metodología previamente expuesta. Esta experiencia debe solicitarse en las condiciones allí previstas, con la descripción completa que corresponda a la experiencia general y específica.</w:t>
      </w:r>
    </w:p>
    <w:p w14:paraId="068589BA"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p>
    <w:p w14:paraId="4C015C3E" w14:textId="77777777" w:rsidR="00A534E9" w:rsidRPr="00A534E9" w:rsidRDefault="00A534E9" w:rsidP="00A534E9">
      <w:pPr>
        <w:numPr>
          <w:ilvl w:val="0"/>
          <w:numId w:val="18"/>
        </w:numPr>
        <w:spacing w:after="0" w:line="276" w:lineRule="auto"/>
        <w:contextualSpacing/>
        <w:jc w:val="both"/>
        <w:rPr>
          <w:rFonts w:ascii="Verdana" w:eastAsia="Aptos" w:hAnsi="Verdana" w:cs="Times New Roman"/>
          <w:kern w:val="2"/>
          <w:lang w:val="es-ES"/>
          <w14:ligatures w14:val="standardContextual"/>
        </w:rPr>
      </w:pPr>
      <w:r w:rsidRPr="00A534E9">
        <w:rPr>
          <w:rFonts w:ascii="Verdana" w:eastAsia="Aptos" w:hAnsi="Verdana" w:cs="Times New Roman"/>
          <w:kern w:val="2"/>
          <w:lang w:val="es-419"/>
          <w14:ligatures w14:val="standardContextual"/>
        </w:rPr>
        <w:t>Finalmente, es importante tener en cuenta lo dispuesto en el documento base de los documentos tipo del sector social, en su numeral “3.5.1.</w:t>
      </w:r>
      <w:r w:rsidRPr="00A534E9">
        <w:rPr>
          <w:rFonts w:ascii="Verdana" w:eastAsia="Aptos" w:hAnsi="Verdana" w:cs="Times New Roman"/>
          <w:kern w:val="2"/>
          <w14:ligatures w14:val="standardContextual"/>
        </w:rPr>
        <w:t xml:space="preserve"> Características de los contratos presentados para acreditar la experiencia exigida”,</w:t>
      </w:r>
      <w:r w:rsidRPr="00A534E9">
        <w:rPr>
          <w:rFonts w:ascii="Verdana" w:eastAsia="Aptos" w:hAnsi="Verdana" w:cs="Times New Roman"/>
          <w:b/>
          <w:bCs/>
          <w:kern w:val="2"/>
          <w14:ligatures w14:val="standardContextual"/>
        </w:rPr>
        <w:t xml:space="preserve"> </w:t>
      </w:r>
      <w:r w:rsidRPr="00A534E9">
        <w:rPr>
          <w:rFonts w:ascii="Verdana" w:eastAsia="Aptos" w:hAnsi="Verdana" w:cs="Times New Roman"/>
          <w:kern w:val="2"/>
          <w:lang w:val="es-ES"/>
          <w14:ligatures w14:val="standardContextual"/>
        </w:rPr>
        <w:t xml:space="preserve">en el punto ii) del literal A, que establece que: </w:t>
      </w:r>
    </w:p>
    <w:p w14:paraId="6B3C8EC9" w14:textId="77777777" w:rsidR="00A534E9" w:rsidRPr="00A534E9" w:rsidRDefault="00A534E9" w:rsidP="00A534E9">
      <w:pPr>
        <w:spacing w:after="0" w:line="276" w:lineRule="auto"/>
        <w:jc w:val="both"/>
        <w:rPr>
          <w:rFonts w:ascii="Verdana" w:eastAsia="Aptos" w:hAnsi="Verdana" w:cs="Times New Roman"/>
          <w:kern w:val="2"/>
          <w:lang w:val="es-ES"/>
          <w14:ligatures w14:val="standardContextual"/>
        </w:rPr>
      </w:pPr>
    </w:p>
    <w:p w14:paraId="0D3EB42D" w14:textId="77777777" w:rsidR="00A534E9" w:rsidRPr="00A534E9" w:rsidRDefault="00A534E9" w:rsidP="00A534E9">
      <w:pPr>
        <w:spacing w:after="0" w:line="240" w:lineRule="auto"/>
        <w:ind w:left="709" w:right="709"/>
        <w:jc w:val="both"/>
        <w:rPr>
          <w:rFonts w:ascii="Verdana" w:eastAsia="Aptos" w:hAnsi="Verdana" w:cs="Times New Roman"/>
          <w:kern w:val="2"/>
          <w:sz w:val="21"/>
          <w:szCs w:val="21"/>
          <w14:ligatures w14:val="standardContextual"/>
        </w:rPr>
      </w:pPr>
      <w:r w:rsidRPr="00A534E9">
        <w:rPr>
          <w:rFonts w:ascii="Verdana" w:eastAsia="Aptos" w:hAnsi="Verdana" w:cs="Times New Roman"/>
          <w:kern w:val="2"/>
          <w:sz w:val="21"/>
          <w:szCs w:val="21"/>
          <w14:ligatures w14:val="standardContextual"/>
        </w:rPr>
        <w:t xml:space="preserve">“La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w:t>
      </w:r>
      <w:r w:rsidRPr="00A534E9">
        <w:rPr>
          <w:rFonts w:ascii="Verdana" w:eastAsia="Aptos" w:hAnsi="Verdana" w:cs="Times New Roman"/>
          <w:kern w:val="2"/>
          <w:sz w:val="21"/>
          <w:szCs w:val="21"/>
          <w14:ligatures w14:val="standardContextual"/>
        </w:rPr>
        <w:lastRenderedPageBreak/>
        <w:t>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3992DF44" w14:textId="77777777" w:rsidR="00A534E9" w:rsidRPr="00A534E9" w:rsidRDefault="00A534E9" w:rsidP="00A534E9">
      <w:pPr>
        <w:spacing w:after="0" w:line="276" w:lineRule="auto"/>
        <w:ind w:firstLine="708"/>
        <w:jc w:val="both"/>
        <w:rPr>
          <w:rFonts w:ascii="Verdana" w:eastAsia="Aptos" w:hAnsi="Verdana" w:cs="Times New Roman"/>
          <w:kern w:val="2"/>
          <w:lang w:val="es-ES"/>
          <w14:ligatures w14:val="standardContextual"/>
        </w:rPr>
      </w:pPr>
    </w:p>
    <w:p w14:paraId="528C0107" w14:textId="77777777" w:rsidR="00A534E9" w:rsidRPr="00A534E9" w:rsidRDefault="00A534E9" w:rsidP="00A534E9">
      <w:pPr>
        <w:numPr>
          <w:ilvl w:val="0"/>
          <w:numId w:val="19"/>
        </w:numPr>
        <w:spacing w:after="0" w:line="276" w:lineRule="auto"/>
        <w:contextualSpacing/>
        <w:jc w:val="both"/>
        <w:rPr>
          <w:rFonts w:ascii="Verdana" w:eastAsia="Aptos" w:hAnsi="Verdana" w:cs="Times New Roman"/>
          <w:kern w:val="2"/>
          <w14:ligatures w14:val="standardContextual"/>
        </w:rPr>
      </w:pPr>
      <w:r w:rsidRPr="00A534E9">
        <w:rPr>
          <w:rFonts w:ascii="Verdana" w:eastAsia="Aptos" w:hAnsi="Verdana" w:cs="Times New Roman"/>
          <w:kern w:val="2"/>
          <w14:ligatures w14:val="standardContextual"/>
        </w:rPr>
        <w:t>De lo anterior, puede concluirse que, en caso de requerirse acreditar experiencia específica en p</w:t>
      </w:r>
      <w:proofErr w:type="spellStart"/>
      <w:r w:rsidRPr="00A534E9">
        <w:rPr>
          <w:rFonts w:ascii="Verdana" w:eastAsia="Aptos" w:hAnsi="Verdana" w:cs="Times New Roman"/>
          <w:kern w:val="2"/>
          <w:lang w:val="es-ES"/>
          <w14:ligatures w14:val="standardContextual"/>
        </w:rPr>
        <w:t>or</w:t>
      </w:r>
      <w:proofErr w:type="spellEnd"/>
      <w:r w:rsidRPr="00A534E9">
        <w:rPr>
          <w:rFonts w:ascii="Verdana" w:eastAsia="Aptos" w:hAnsi="Verdana" w:cs="Times New Roman"/>
          <w:kern w:val="2"/>
          <w:lang w:val="es-ES"/>
          <w14:ligatures w14:val="standardContextual"/>
        </w:rPr>
        <w:t xml:space="preserve"> lo menos uno (1) de los contratos válidos aportados como experiencia general, este debe corresponder al 40% del presupuesto oficial del proceso de selección, y en el caso en que el proyecto de la entidad corresponda a un proyecto de intervención de redes de datos, por lo menos uno (1) de los contratos válidos aportados como experiencia general debe demostrar la intervención de redes de datos en edificaciones, en caso de ser la única experiencia exigida. Sin embargo, en caso de que la entidad solicite experiencia principal y hasta dos experiencias adicionales, aplicará lo descrito en el punto ii) del literal A del numeral 3.5.1. y deberá solicitarse sobre el valor del presupuesto oficial que corresponda a cada actividad.  </w:t>
      </w:r>
      <w:r w:rsidRPr="00A534E9">
        <w:rPr>
          <w:rFonts w:ascii="Verdana" w:eastAsia="Aptos" w:hAnsi="Verdana" w:cs="Times New Roman"/>
          <w:kern w:val="2"/>
          <w14:ligatures w14:val="standardContextual"/>
        </w:rPr>
        <w:t xml:space="preserve"> </w:t>
      </w:r>
    </w:p>
    <w:p w14:paraId="601054C4" w14:textId="77777777" w:rsidR="00A534E9" w:rsidRPr="00A534E9" w:rsidRDefault="00A534E9" w:rsidP="00A534E9">
      <w:pPr>
        <w:spacing w:after="0" w:line="276" w:lineRule="auto"/>
        <w:ind w:firstLine="708"/>
        <w:jc w:val="both"/>
        <w:rPr>
          <w:rFonts w:ascii="Verdana" w:eastAsia="Aptos" w:hAnsi="Verdana" w:cs="Times New Roman"/>
          <w:kern w:val="2"/>
          <w14:ligatures w14:val="standardContextual"/>
        </w:rPr>
      </w:pPr>
    </w:p>
    <w:p w14:paraId="6D90BA44" w14:textId="77777777" w:rsidR="00A534E9" w:rsidRPr="00A534E9" w:rsidRDefault="00A534E9" w:rsidP="00A534E9">
      <w:pPr>
        <w:numPr>
          <w:ilvl w:val="0"/>
          <w:numId w:val="19"/>
        </w:numPr>
        <w:spacing w:after="0" w:line="276" w:lineRule="auto"/>
        <w:contextualSpacing/>
        <w:jc w:val="both"/>
        <w:rPr>
          <w:rFonts w:ascii="Verdana" w:eastAsia="Aptos" w:hAnsi="Verdana" w:cs="Times New Roman"/>
          <w:kern w:val="2"/>
          <w14:ligatures w14:val="standardContextual"/>
        </w:rPr>
      </w:pPr>
      <w:r w:rsidRPr="00A534E9">
        <w:rPr>
          <w:rFonts w:ascii="Verdana" w:eastAsia="Aptos" w:hAnsi="Verdana" w:cs="Times New Roman"/>
          <w:kern w:val="2"/>
          <w14:ligatures w14:val="standardContextual"/>
        </w:rPr>
        <w:t xml:space="preserve">De todas maneras, es importante resaltar el principio de inalterabilidad, que es la regla general frente la aplicación del “Documento Base”,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de infraestructura social, caso en el que se podrá incluir experiencia adicional de manera excepcional; y, además, cuando el pliego tipo de forma expresa lo permita, es decir, en los aspectos incluidos en corchetes y resaltados en gris.  </w:t>
      </w:r>
    </w:p>
    <w:p w14:paraId="6446C573" w14:textId="77777777" w:rsidR="00A534E9" w:rsidRPr="00A534E9" w:rsidRDefault="00A534E9" w:rsidP="00A534E9">
      <w:pPr>
        <w:spacing w:after="0" w:line="276" w:lineRule="auto"/>
        <w:contextualSpacing/>
        <w:jc w:val="both"/>
        <w:rPr>
          <w:rFonts w:ascii="Verdana" w:eastAsia="Calibri" w:hAnsi="Verdana" w:cs="Arial"/>
        </w:rPr>
      </w:pPr>
    </w:p>
    <w:p w14:paraId="0A11CBA2" w14:textId="77777777" w:rsidR="00A534E9" w:rsidRPr="00A534E9" w:rsidRDefault="00A534E9" w:rsidP="00A534E9">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A534E9">
        <w:rPr>
          <w:rFonts w:ascii="Verdana" w:eastAsia="Century Gothic" w:hAnsi="Verdana" w:cs="Century Gothic"/>
          <w:b/>
          <w:bCs/>
          <w:lang w:val="es-ES"/>
        </w:rPr>
        <w:t>Referencias normativas, jurisprudenciales y otras fuentes:</w:t>
      </w:r>
    </w:p>
    <w:p w14:paraId="67BDCD2E" w14:textId="77777777" w:rsidR="00A534E9" w:rsidRPr="00A534E9" w:rsidRDefault="00A534E9" w:rsidP="00A534E9">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A534E9" w:rsidRPr="00A534E9" w14:paraId="2FE68020" w14:textId="77777777" w:rsidTr="00CB0E9D">
        <w:trPr>
          <w:trHeight w:val="870"/>
        </w:trPr>
        <w:tc>
          <w:tcPr>
            <w:tcW w:w="8647" w:type="dxa"/>
          </w:tcPr>
          <w:p w14:paraId="77755AEA" w14:textId="77777777" w:rsidR="00A534E9" w:rsidRPr="00A534E9" w:rsidRDefault="00A534E9" w:rsidP="00A534E9">
            <w:pPr>
              <w:widowControl w:val="0"/>
              <w:numPr>
                <w:ilvl w:val="0"/>
                <w:numId w:val="17"/>
              </w:numPr>
              <w:autoSpaceDE w:val="0"/>
              <w:autoSpaceDN w:val="0"/>
              <w:spacing w:after="120" w:line="276" w:lineRule="auto"/>
              <w:jc w:val="both"/>
              <w:rPr>
                <w:rFonts w:ascii="Verdana" w:eastAsia="Calibri" w:hAnsi="Verdana" w:cs="Arial"/>
              </w:rPr>
            </w:pPr>
            <w:r w:rsidRPr="00A534E9">
              <w:rPr>
                <w:rFonts w:ascii="Verdana" w:eastAsia="Calibri" w:hAnsi="Verdana" w:cs="Arial"/>
              </w:rPr>
              <w:t>Ley 2022 de 2020, artículo 1.</w:t>
            </w:r>
          </w:p>
          <w:p w14:paraId="6C2DB0DA" w14:textId="77777777" w:rsidR="00A534E9" w:rsidRPr="00A534E9" w:rsidRDefault="00A534E9" w:rsidP="00A534E9">
            <w:pPr>
              <w:widowControl w:val="0"/>
              <w:numPr>
                <w:ilvl w:val="0"/>
                <w:numId w:val="17"/>
              </w:numPr>
              <w:autoSpaceDE w:val="0"/>
              <w:autoSpaceDN w:val="0"/>
              <w:spacing w:after="120" w:line="276" w:lineRule="auto"/>
              <w:jc w:val="both"/>
              <w:rPr>
                <w:rFonts w:ascii="Verdana" w:eastAsia="Calibri" w:hAnsi="Verdana" w:cs="Arial"/>
              </w:rPr>
            </w:pPr>
            <w:r w:rsidRPr="00A534E9">
              <w:rPr>
                <w:rFonts w:ascii="Verdana" w:eastAsia="Aptos" w:hAnsi="Verdana" w:cs="Arial"/>
                <w:spacing w:val="2"/>
                <w:lang w:eastAsia="es-CO"/>
              </w:rPr>
              <w:t xml:space="preserve">Documentos tipo de licitación de obra pública de infraestructura social. Documentos base y matrices de experiencia. Disponibles en: </w:t>
            </w:r>
            <w:hyperlink r:id="rId11" w:history="1">
              <w:r w:rsidRPr="00A534E9">
                <w:rPr>
                  <w:rFonts w:ascii="Verdana" w:eastAsia="Aptos" w:hAnsi="Verdana" w:cs="Arial"/>
                  <w:color w:val="0000FF"/>
                  <w:spacing w:val="2"/>
                  <w:u w:val="single"/>
                  <w:lang w:eastAsia="es-CO"/>
                </w:rPr>
                <w:t>https://www.colombiacompra.gov.co/content/04-documentos-tipo-</w:t>
              </w:r>
              <w:r w:rsidRPr="00A534E9">
                <w:rPr>
                  <w:rFonts w:ascii="Verdana" w:eastAsia="Aptos" w:hAnsi="Verdana" w:cs="Arial"/>
                  <w:color w:val="0000FF"/>
                  <w:spacing w:val="2"/>
                  <w:u w:val="single"/>
                  <w:lang w:eastAsia="es-CO"/>
                </w:rPr>
                <w:lastRenderedPageBreak/>
                <w:t>de-licitacion-de-obra-publica-para-proyectos-de-infraestructura-social</w:t>
              </w:r>
            </w:hyperlink>
            <w:r w:rsidRPr="00A534E9">
              <w:rPr>
                <w:rFonts w:ascii="Verdana" w:eastAsia="Aptos" w:hAnsi="Verdana" w:cs="Arial"/>
                <w:spacing w:val="2"/>
                <w:lang w:eastAsia="es-CO"/>
              </w:rPr>
              <w:t xml:space="preserve"> </w:t>
            </w:r>
          </w:p>
        </w:tc>
      </w:tr>
    </w:tbl>
    <w:p w14:paraId="38CE18E0" w14:textId="77777777" w:rsidR="00A534E9" w:rsidRPr="00A534E9" w:rsidRDefault="00A534E9" w:rsidP="00A534E9">
      <w:pPr>
        <w:widowControl w:val="0"/>
        <w:autoSpaceDE w:val="0"/>
        <w:autoSpaceDN w:val="0"/>
        <w:spacing w:after="0" w:line="276" w:lineRule="auto"/>
        <w:jc w:val="both"/>
        <w:rPr>
          <w:rFonts w:ascii="Verdana" w:eastAsia="Calibri" w:hAnsi="Verdana" w:cs="Arial"/>
        </w:rPr>
      </w:pPr>
    </w:p>
    <w:p w14:paraId="559D2DA1" w14:textId="77777777" w:rsidR="00A534E9" w:rsidRPr="00A534E9" w:rsidRDefault="00A534E9" w:rsidP="00A534E9">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A534E9">
        <w:rPr>
          <w:rFonts w:ascii="Verdana" w:eastAsia="Century Gothic" w:hAnsi="Verdana" w:cs="Century Gothic"/>
          <w:b/>
          <w:bCs/>
          <w:lang w:val="es-ES"/>
        </w:rPr>
        <w:t>Doctrina de la Agencia Nacional de Contratación Pública:</w:t>
      </w:r>
    </w:p>
    <w:p w14:paraId="09EC54AE" w14:textId="77777777" w:rsidR="00A534E9" w:rsidRPr="00A534E9" w:rsidRDefault="00A534E9" w:rsidP="00A534E9">
      <w:pPr>
        <w:widowControl w:val="0"/>
        <w:autoSpaceDE w:val="0"/>
        <w:autoSpaceDN w:val="0"/>
        <w:spacing w:after="0" w:line="276" w:lineRule="auto"/>
        <w:jc w:val="both"/>
        <w:rPr>
          <w:rFonts w:ascii="Verdana" w:eastAsia="Calibri" w:hAnsi="Verdana" w:cs="Arial"/>
        </w:rPr>
      </w:pPr>
    </w:p>
    <w:p w14:paraId="4A794CDC" w14:textId="77777777" w:rsidR="00A534E9" w:rsidRPr="00A534E9" w:rsidRDefault="00A534E9" w:rsidP="00A534E9">
      <w:pPr>
        <w:widowControl w:val="0"/>
        <w:autoSpaceDE w:val="0"/>
        <w:autoSpaceDN w:val="0"/>
        <w:spacing w:after="0" w:line="276" w:lineRule="auto"/>
        <w:jc w:val="both"/>
        <w:rPr>
          <w:rFonts w:ascii="Verdana" w:eastAsia="Calibri" w:hAnsi="Verdana" w:cs="Arial"/>
          <w:shd w:val="clear" w:color="auto" w:fill="FFFFFF"/>
          <w:lang w:val="es-ES"/>
        </w:rPr>
      </w:pPr>
      <w:r w:rsidRPr="00A534E9">
        <w:rPr>
          <w:rFonts w:ascii="Verdana" w:eastAsia="Calibri" w:hAnsi="Verdana" w:cs="Arial"/>
          <w:shd w:val="clear" w:color="auto" w:fill="FFFFFF"/>
          <w:lang w:val="es-ES"/>
        </w:rPr>
        <w:t>La Agencia Nacional de Contratación Pública – Colombia Compra Eficiente se pronunció 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entre otros. Es</w:t>
      </w:r>
      <w:r w:rsidRPr="00A534E9">
        <w:rPr>
          <w:rFonts w:ascii="Verdana" w:eastAsia="Calibri" w:hAnsi="Verdana" w:cs="Times New Roman"/>
        </w:rPr>
        <w:t>tos y otros conceptos se encuentran disponibles para consulta en el sistema de relatoría de la Agencia, al cual se puede acceder a través del siguiente enlace:</w:t>
      </w:r>
      <w:r w:rsidRPr="00A534E9">
        <w:rPr>
          <w:rFonts w:ascii="Verdana" w:eastAsia="Calibri" w:hAnsi="Verdana" w:cs="Arial"/>
          <w:shd w:val="clear" w:color="auto" w:fill="FFFFFF"/>
          <w:lang w:val="es-ES"/>
        </w:rPr>
        <w:t xml:space="preserve"> </w:t>
      </w:r>
      <w:hyperlink r:id="rId12" w:history="1">
        <w:r w:rsidRPr="00A534E9">
          <w:rPr>
            <w:rFonts w:ascii="Verdana" w:eastAsia="Calibri" w:hAnsi="Verdana" w:cs="Arial"/>
            <w:u w:val="single"/>
            <w:shd w:val="clear" w:color="auto" w:fill="FFFFFF"/>
            <w:lang w:val="es-ES"/>
          </w:rPr>
          <w:t>https://relatoria.colombiacompra.gov.co/busqueda/conceptos</w:t>
        </w:r>
      </w:hyperlink>
      <w:r w:rsidRPr="00A534E9">
        <w:rPr>
          <w:rFonts w:ascii="Verdana" w:eastAsia="Calibri" w:hAnsi="Verdana" w:cs="Arial"/>
          <w:shd w:val="clear" w:color="auto" w:fill="FFFFFF"/>
          <w:lang w:val="es-ES"/>
        </w:rPr>
        <w:t xml:space="preserve">. </w:t>
      </w:r>
    </w:p>
    <w:p w14:paraId="2A866FDC" w14:textId="77777777" w:rsidR="00A534E9" w:rsidRPr="00A534E9" w:rsidRDefault="00A534E9" w:rsidP="00A534E9">
      <w:pPr>
        <w:widowControl w:val="0"/>
        <w:autoSpaceDE w:val="0"/>
        <w:autoSpaceDN w:val="0"/>
        <w:spacing w:after="0" w:line="276" w:lineRule="auto"/>
        <w:jc w:val="both"/>
        <w:rPr>
          <w:rFonts w:ascii="Verdana" w:eastAsia="Calibri" w:hAnsi="Verdana" w:cs="Arial"/>
          <w:shd w:val="clear" w:color="auto" w:fill="FFFFFF"/>
          <w:lang w:val="es-ES"/>
        </w:rPr>
      </w:pPr>
    </w:p>
    <w:p w14:paraId="027E1FE5" w14:textId="77777777" w:rsidR="00A534E9" w:rsidRPr="00A534E9" w:rsidRDefault="00A534E9" w:rsidP="00A534E9">
      <w:pPr>
        <w:widowControl w:val="0"/>
        <w:autoSpaceDE w:val="0"/>
        <w:autoSpaceDN w:val="0"/>
        <w:spacing w:after="0" w:line="276" w:lineRule="auto"/>
        <w:jc w:val="both"/>
        <w:rPr>
          <w:rFonts w:ascii="Verdana" w:eastAsia="Calibri" w:hAnsi="Verdana" w:cs="Arial"/>
          <w:shd w:val="clear" w:color="auto" w:fill="FFFFFF"/>
          <w:lang w:val="es-ES"/>
        </w:rPr>
      </w:pPr>
      <w:r w:rsidRPr="00A534E9">
        <w:rPr>
          <w:rFonts w:ascii="Verdana" w:eastAsia="Calibri" w:hAnsi="Verdana" w:cs="Arial"/>
          <w:shd w:val="clear" w:color="auto" w:fill="FFFFFF"/>
          <w:lang w:val="es-ES"/>
        </w:rPr>
        <w:t xml:space="preserve">También, le recomendamos consultar las versiones I y II de 2024 del Boletín de Relatoría de la Subdirección de Gestión Contractual, las cuales puede descargar en la página web de la Agencia: </w:t>
      </w:r>
      <w:hyperlink r:id="rId13" w:history="1">
        <w:r w:rsidRPr="00A534E9">
          <w:rPr>
            <w:rFonts w:ascii="Verdana" w:eastAsia="Calibri" w:hAnsi="Verdana" w:cs="Arial"/>
            <w:u w:val="single"/>
            <w:shd w:val="clear" w:color="auto" w:fill="FFFFFF"/>
            <w:lang w:val="es-ES"/>
          </w:rPr>
          <w:t>https://www.colombiacompra.gov.co/sala-de-prensa/boletin-digital</w:t>
        </w:r>
      </w:hyperlink>
      <w:r w:rsidRPr="00A534E9">
        <w:rPr>
          <w:rFonts w:ascii="Verdana" w:eastAsia="Calibri" w:hAnsi="Verdana" w:cs="Arial"/>
          <w:shd w:val="clear" w:color="auto" w:fill="FFFFFF"/>
          <w:lang w:val="es-ES"/>
        </w:rPr>
        <w:t xml:space="preserve">   </w:t>
      </w:r>
    </w:p>
    <w:p w14:paraId="3B9A46EB" w14:textId="77777777" w:rsidR="00A534E9" w:rsidRPr="00A534E9" w:rsidRDefault="00A534E9" w:rsidP="00A534E9">
      <w:pPr>
        <w:widowControl w:val="0"/>
        <w:autoSpaceDE w:val="0"/>
        <w:autoSpaceDN w:val="0"/>
        <w:spacing w:after="0" w:line="276" w:lineRule="auto"/>
        <w:jc w:val="both"/>
        <w:rPr>
          <w:rFonts w:ascii="Verdana" w:eastAsia="Calibri" w:hAnsi="Verdana" w:cs="Arial"/>
          <w:shd w:val="clear" w:color="auto" w:fill="FFFFFF"/>
          <w:lang w:val="es-ES"/>
        </w:rPr>
      </w:pPr>
    </w:p>
    <w:p w14:paraId="289F7E17" w14:textId="77777777" w:rsidR="00A534E9" w:rsidRPr="00A534E9" w:rsidRDefault="00A534E9" w:rsidP="00A534E9">
      <w:pPr>
        <w:spacing w:after="0" w:line="240" w:lineRule="auto"/>
        <w:jc w:val="both"/>
        <w:rPr>
          <w:rFonts w:ascii="Verdana" w:eastAsia="Calibri" w:hAnsi="Verdana" w:cs="Times New Roman"/>
        </w:rPr>
      </w:pPr>
      <w:r w:rsidRPr="00A534E9">
        <w:rPr>
          <w:rFonts w:ascii="Verdana" w:eastAsia="Calibri" w:hAnsi="Verdana" w:cs="Times New Roman"/>
        </w:rPr>
        <w:t xml:space="preserve">Por último, los invitamos a seguirnos en las redes sociales, en las cuales se difunde información institucional: </w:t>
      </w:r>
    </w:p>
    <w:p w14:paraId="09B5053C" w14:textId="77777777" w:rsidR="00A534E9" w:rsidRPr="00A534E9" w:rsidRDefault="00A534E9" w:rsidP="00A534E9">
      <w:pPr>
        <w:spacing w:after="0" w:line="240" w:lineRule="auto"/>
        <w:jc w:val="both"/>
        <w:rPr>
          <w:rFonts w:ascii="Verdana" w:eastAsia="Calibri" w:hAnsi="Verdana" w:cs="Times New Roman"/>
        </w:rPr>
      </w:pPr>
    </w:p>
    <w:p w14:paraId="00969037" w14:textId="77777777" w:rsidR="00A534E9" w:rsidRPr="00A534E9" w:rsidRDefault="00A534E9" w:rsidP="00A534E9">
      <w:pPr>
        <w:spacing w:after="0" w:line="240" w:lineRule="auto"/>
        <w:jc w:val="both"/>
        <w:rPr>
          <w:rFonts w:ascii="Verdana" w:eastAsia="Calibri" w:hAnsi="Verdana" w:cs="Times New Roman"/>
        </w:rPr>
      </w:pPr>
      <w:r w:rsidRPr="00A534E9">
        <w:rPr>
          <w:rFonts w:ascii="Verdana" w:eastAsia="Calibri" w:hAnsi="Verdana" w:cs="Times New Roman"/>
        </w:rPr>
        <w:t xml:space="preserve">Twitter: </w:t>
      </w:r>
      <w:r w:rsidRPr="00A534E9">
        <w:rPr>
          <w:rFonts w:ascii="Verdana" w:eastAsia="Calibri" w:hAnsi="Verdana" w:cs="Times New Roman"/>
          <w:u w:val="single"/>
        </w:rPr>
        <w:t>@colombiacompra</w:t>
      </w:r>
      <w:r w:rsidRPr="00A534E9">
        <w:rPr>
          <w:rFonts w:ascii="Verdana" w:eastAsia="Calibri" w:hAnsi="Verdana" w:cs="Times New Roman"/>
        </w:rPr>
        <w:t xml:space="preserve"> </w:t>
      </w:r>
    </w:p>
    <w:p w14:paraId="2B27310C" w14:textId="77777777" w:rsidR="00A534E9" w:rsidRPr="00A534E9" w:rsidRDefault="00A534E9" w:rsidP="00A534E9">
      <w:pPr>
        <w:spacing w:after="0" w:line="240" w:lineRule="auto"/>
        <w:jc w:val="both"/>
        <w:rPr>
          <w:rFonts w:ascii="Verdana" w:eastAsia="Calibri" w:hAnsi="Verdana" w:cs="Times New Roman"/>
        </w:rPr>
      </w:pPr>
      <w:r w:rsidRPr="00A534E9">
        <w:rPr>
          <w:rFonts w:ascii="Verdana" w:eastAsia="Calibri" w:hAnsi="Verdana" w:cs="Times New Roman"/>
        </w:rPr>
        <w:t xml:space="preserve">Facebook: </w:t>
      </w:r>
      <w:r w:rsidRPr="00A534E9">
        <w:rPr>
          <w:rFonts w:ascii="Verdana" w:eastAsia="Calibri" w:hAnsi="Verdana" w:cs="Times New Roman"/>
          <w:u w:val="single"/>
        </w:rPr>
        <w:t>ColombiaCompraEficiente</w:t>
      </w:r>
    </w:p>
    <w:p w14:paraId="19917380" w14:textId="77777777" w:rsidR="00A534E9" w:rsidRPr="00A534E9" w:rsidRDefault="00A534E9" w:rsidP="00A534E9">
      <w:pPr>
        <w:spacing w:after="0" w:line="240" w:lineRule="auto"/>
        <w:jc w:val="both"/>
        <w:rPr>
          <w:rFonts w:ascii="Verdana" w:eastAsia="Calibri" w:hAnsi="Verdana" w:cs="Times New Roman"/>
        </w:rPr>
      </w:pPr>
      <w:r w:rsidRPr="00A534E9">
        <w:rPr>
          <w:rFonts w:ascii="Verdana" w:eastAsia="Calibri" w:hAnsi="Verdana" w:cs="Times New Roman"/>
        </w:rPr>
        <w:t xml:space="preserve">LinkedIn: </w:t>
      </w:r>
      <w:r w:rsidRPr="00A534E9">
        <w:rPr>
          <w:rFonts w:ascii="Verdana" w:eastAsia="Calibri" w:hAnsi="Verdana" w:cs="Times New Roman"/>
          <w:u w:val="single"/>
        </w:rPr>
        <w:t>Agencia Nacional de Contratación Pública - Colombia Compra Eficiente</w:t>
      </w:r>
      <w:r w:rsidRPr="00A534E9">
        <w:rPr>
          <w:rFonts w:ascii="Verdana" w:eastAsia="Calibri" w:hAnsi="Verdana" w:cs="Times New Roman"/>
        </w:rPr>
        <w:t xml:space="preserve"> Instagram: </w:t>
      </w:r>
      <w:r w:rsidRPr="00A534E9">
        <w:rPr>
          <w:rFonts w:ascii="Verdana" w:eastAsia="Calibri" w:hAnsi="Verdana" w:cs="Times New Roman"/>
          <w:u w:val="single"/>
        </w:rPr>
        <w:t>@colombiacompraeficiente_cce</w:t>
      </w:r>
    </w:p>
    <w:p w14:paraId="7C08C82E" w14:textId="77777777" w:rsidR="00A534E9" w:rsidRPr="00A534E9" w:rsidRDefault="00A534E9" w:rsidP="00A534E9">
      <w:pPr>
        <w:widowControl w:val="0"/>
        <w:autoSpaceDE w:val="0"/>
        <w:autoSpaceDN w:val="0"/>
        <w:spacing w:after="0" w:line="276" w:lineRule="auto"/>
        <w:jc w:val="both"/>
        <w:rPr>
          <w:rFonts w:ascii="Verdana" w:eastAsia="Calibri" w:hAnsi="Verdana" w:cs="Arial"/>
        </w:rPr>
      </w:pPr>
    </w:p>
    <w:p w14:paraId="77F48AA0" w14:textId="77777777" w:rsidR="00A534E9" w:rsidRPr="00A534E9" w:rsidRDefault="00A534E9" w:rsidP="00A534E9">
      <w:pPr>
        <w:widowControl w:val="0"/>
        <w:autoSpaceDE w:val="0"/>
        <w:autoSpaceDN w:val="0"/>
        <w:spacing w:after="0" w:line="276" w:lineRule="auto"/>
        <w:jc w:val="both"/>
        <w:rPr>
          <w:rFonts w:ascii="Verdana" w:eastAsia="Calibri" w:hAnsi="Verdana" w:cs="Arial"/>
          <w:lang w:val="es-ES_tradnl"/>
        </w:rPr>
      </w:pPr>
      <w:r w:rsidRPr="00A534E9">
        <w:rPr>
          <w:rFonts w:ascii="Verdana" w:eastAsia="Calibri" w:hAnsi="Verdana" w:cs="Arial"/>
        </w:rPr>
        <w:t xml:space="preserve">Este concepto tiene el alcance previsto en el artículo 28 del Código de Procedimiento Administrativo y de lo Contencioso Administrativo </w:t>
      </w:r>
      <w:r w:rsidRPr="00A534E9">
        <w:rPr>
          <w:rFonts w:ascii="Verdana" w:eastAsia="Calibri" w:hAnsi="Verdana" w:cs="Arial"/>
          <w:lang w:val="es-ES_tradnl"/>
        </w:rPr>
        <w:t>y las expresiones aquí utilizadas con mayúscula inicial deben ser entendidas con el significado que les otorga el artículo 2.2.1.1.1.3.1. del Decreto 1082 de 2015.</w:t>
      </w:r>
    </w:p>
    <w:p w14:paraId="7B7712BC" w14:textId="77777777" w:rsidR="00A534E9" w:rsidRPr="00A534E9" w:rsidRDefault="00A534E9" w:rsidP="00A534E9">
      <w:pPr>
        <w:widowControl w:val="0"/>
        <w:autoSpaceDE w:val="0"/>
        <w:autoSpaceDN w:val="0"/>
        <w:spacing w:after="0" w:line="276" w:lineRule="auto"/>
        <w:jc w:val="both"/>
        <w:rPr>
          <w:rFonts w:ascii="Verdana" w:eastAsia="Calibri" w:hAnsi="Verdana" w:cs="Arial"/>
        </w:rPr>
      </w:pPr>
    </w:p>
    <w:p w14:paraId="2216A4D1" w14:textId="77777777" w:rsidR="00A534E9" w:rsidRPr="00A534E9" w:rsidRDefault="00A534E9" w:rsidP="00A534E9">
      <w:pPr>
        <w:spacing w:after="0" w:line="240" w:lineRule="auto"/>
        <w:rPr>
          <w:rFonts w:ascii="Verdana" w:eastAsia="Calibri" w:hAnsi="Verdana" w:cs="Arial"/>
          <w:lang w:eastAsia="es-CO"/>
        </w:rPr>
      </w:pPr>
      <w:r w:rsidRPr="00A534E9">
        <w:rPr>
          <w:rFonts w:ascii="Verdana" w:eastAsia="Times New Roman" w:hAnsi="Verdana" w:cs="Arial"/>
          <w:lang w:eastAsia="es-CO"/>
        </w:rPr>
        <w:t>Atentamente,</w:t>
      </w:r>
      <w:r w:rsidRPr="00A534E9">
        <w:rPr>
          <w:rFonts w:ascii="Verdana" w:eastAsia="Calibri" w:hAnsi="Verdana" w:cs="Arial"/>
          <w:lang w:eastAsia="es-CO"/>
        </w:rPr>
        <w:t xml:space="preserve"> </w:t>
      </w:r>
    </w:p>
    <w:p w14:paraId="59BDBCC4" w14:textId="440D400A" w:rsidR="00A534E9" w:rsidRPr="00A534E9" w:rsidRDefault="004F101E" w:rsidP="00A534E9">
      <w:pPr>
        <w:spacing w:line="276" w:lineRule="auto"/>
        <w:jc w:val="center"/>
        <w:rPr>
          <w:rFonts w:ascii="Verdana" w:eastAsia="Calibri" w:hAnsi="Verdana" w:cs="Arial"/>
          <w:lang w:val="es-ES_tradnl" w:eastAsia="es-CO"/>
        </w:rPr>
      </w:pPr>
      <w:r w:rsidRPr="002C3AD6">
        <w:rPr>
          <w:rFonts w:ascii="Century Gothic" w:hAnsi="Century Gothic"/>
          <w:noProof/>
        </w:rPr>
        <w:lastRenderedPageBreak/>
        <w:drawing>
          <wp:inline distT="0" distB="0" distL="0" distR="0" wp14:anchorId="4B5EA0AA" wp14:editId="08467C3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34E9" w:rsidRPr="00A534E9" w14:paraId="30BFFC5C" w14:textId="77777777" w:rsidTr="00CB0E9D">
        <w:trPr>
          <w:trHeight w:val="315"/>
        </w:trPr>
        <w:tc>
          <w:tcPr>
            <w:tcW w:w="893" w:type="dxa"/>
            <w:vAlign w:val="center"/>
            <w:hideMark/>
          </w:tcPr>
          <w:p w14:paraId="5EFF990C" w14:textId="77777777" w:rsidR="00A534E9" w:rsidRPr="00A534E9" w:rsidRDefault="00A534E9" w:rsidP="00A534E9">
            <w:pPr>
              <w:rPr>
                <w:rFonts w:ascii="Verdana" w:eastAsia="Calibri" w:hAnsi="Verdana" w:cs="Arial"/>
                <w:sz w:val="16"/>
                <w:szCs w:val="16"/>
                <w:lang w:val="es-ES" w:eastAsia="es-ES"/>
              </w:rPr>
            </w:pPr>
            <w:r w:rsidRPr="00A534E9">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0E9F4624" w14:textId="77777777" w:rsidR="00A534E9" w:rsidRPr="00A534E9" w:rsidRDefault="00A534E9" w:rsidP="00A534E9">
            <w:pPr>
              <w:rPr>
                <w:rFonts w:ascii="Verdana" w:eastAsia="Arial" w:hAnsi="Verdana" w:cs="Arial"/>
                <w:sz w:val="16"/>
                <w:szCs w:val="16"/>
              </w:rPr>
            </w:pPr>
            <w:r w:rsidRPr="00A534E9">
              <w:rPr>
                <w:rFonts w:ascii="Verdana" w:eastAsia="Arial" w:hAnsi="Verdana" w:cs="Arial"/>
                <w:sz w:val="16"/>
                <w:szCs w:val="16"/>
              </w:rPr>
              <w:t>Alexandra Rodríguez Motta</w:t>
            </w:r>
          </w:p>
          <w:p w14:paraId="0F529252" w14:textId="77777777" w:rsidR="00A534E9" w:rsidRPr="00A534E9" w:rsidRDefault="00A534E9" w:rsidP="00A534E9">
            <w:pPr>
              <w:rPr>
                <w:rFonts w:ascii="Verdana" w:eastAsia="Arial" w:hAnsi="Verdana" w:cs="Arial"/>
                <w:sz w:val="16"/>
                <w:szCs w:val="16"/>
              </w:rPr>
            </w:pPr>
            <w:r w:rsidRPr="00A534E9">
              <w:rPr>
                <w:rFonts w:ascii="Verdana" w:eastAsia="Arial" w:hAnsi="Verdana" w:cs="Arial"/>
                <w:sz w:val="16"/>
                <w:szCs w:val="16"/>
              </w:rPr>
              <w:t>Contratista de la Subdirección de Gestión Contractual</w:t>
            </w:r>
          </w:p>
          <w:p w14:paraId="6DC412F3" w14:textId="77777777" w:rsidR="00A534E9" w:rsidRPr="00A534E9" w:rsidRDefault="00A534E9" w:rsidP="00A534E9">
            <w:pPr>
              <w:rPr>
                <w:rFonts w:ascii="Verdana" w:eastAsia="Arial" w:hAnsi="Verdana" w:cs="Arial"/>
                <w:sz w:val="16"/>
                <w:szCs w:val="16"/>
              </w:rPr>
            </w:pPr>
            <w:r w:rsidRPr="00A534E9">
              <w:rPr>
                <w:rFonts w:ascii="Verdana" w:eastAsia="Arial" w:hAnsi="Verdana" w:cs="Arial"/>
                <w:sz w:val="16"/>
                <w:szCs w:val="16"/>
              </w:rPr>
              <w:t>Kevin Arlid Herrera Santa</w:t>
            </w:r>
          </w:p>
          <w:p w14:paraId="1617F934" w14:textId="77777777" w:rsidR="00A534E9" w:rsidRPr="00A534E9" w:rsidRDefault="00A534E9" w:rsidP="00A534E9">
            <w:pPr>
              <w:rPr>
                <w:rFonts w:ascii="Verdana" w:eastAsia="Arial" w:hAnsi="Verdana" w:cs="Arial"/>
                <w:sz w:val="16"/>
                <w:szCs w:val="16"/>
              </w:rPr>
            </w:pPr>
            <w:r w:rsidRPr="00A534E9">
              <w:rPr>
                <w:rFonts w:ascii="Verdana" w:eastAsia="Arial" w:hAnsi="Verdana" w:cs="Arial"/>
                <w:sz w:val="16"/>
                <w:szCs w:val="16"/>
              </w:rPr>
              <w:t>Contratista de la Subdirección de Gestión Contractual</w:t>
            </w:r>
          </w:p>
        </w:tc>
      </w:tr>
      <w:tr w:rsidR="00A534E9" w:rsidRPr="00A534E9" w14:paraId="2E19C4B9" w14:textId="77777777" w:rsidTr="00CB0E9D">
        <w:trPr>
          <w:trHeight w:val="330"/>
        </w:trPr>
        <w:tc>
          <w:tcPr>
            <w:tcW w:w="893" w:type="dxa"/>
            <w:vAlign w:val="center"/>
            <w:hideMark/>
          </w:tcPr>
          <w:p w14:paraId="50411F4D" w14:textId="77777777" w:rsidR="00A534E9" w:rsidRPr="00A534E9" w:rsidRDefault="00A534E9" w:rsidP="00A534E9">
            <w:pPr>
              <w:rPr>
                <w:rFonts w:ascii="Verdana" w:eastAsia="Calibri" w:hAnsi="Verdana" w:cs="Arial"/>
                <w:sz w:val="16"/>
                <w:szCs w:val="16"/>
                <w:lang w:val="es-ES" w:eastAsia="es-ES"/>
              </w:rPr>
            </w:pPr>
            <w:r w:rsidRPr="00A534E9">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D5AAA8E" w14:textId="77777777" w:rsidR="00A534E9" w:rsidRPr="00A534E9" w:rsidRDefault="00A534E9" w:rsidP="00A534E9">
            <w:pPr>
              <w:textAlignment w:val="baseline"/>
              <w:rPr>
                <w:rFonts w:ascii="Verdana" w:eastAsia="Times New Roman" w:hAnsi="Verdana" w:cs="Segoe UI"/>
                <w:sz w:val="16"/>
                <w:szCs w:val="16"/>
                <w:lang w:eastAsia="es-ES_tradnl"/>
              </w:rPr>
            </w:pPr>
            <w:r w:rsidRPr="00A534E9">
              <w:rPr>
                <w:rFonts w:ascii="Verdana" w:eastAsia="Times New Roman" w:hAnsi="Verdana" w:cs="Segoe UI"/>
                <w:sz w:val="16"/>
                <w:szCs w:val="16"/>
                <w:lang w:eastAsia="es-ES_tradnl"/>
              </w:rPr>
              <w:t>Juan David Cárdenas Cabeza</w:t>
            </w:r>
          </w:p>
          <w:p w14:paraId="4A4E04C5" w14:textId="77777777" w:rsidR="00A534E9" w:rsidRPr="00A534E9" w:rsidRDefault="00A534E9" w:rsidP="00A534E9">
            <w:pPr>
              <w:textAlignment w:val="baseline"/>
              <w:rPr>
                <w:rFonts w:ascii="Verdana" w:eastAsia="Times New Roman" w:hAnsi="Verdana" w:cs="Segoe UI"/>
                <w:sz w:val="16"/>
                <w:szCs w:val="16"/>
                <w:lang w:eastAsia="es-ES_tradnl"/>
              </w:rPr>
            </w:pPr>
            <w:r w:rsidRPr="00A534E9">
              <w:rPr>
                <w:rFonts w:ascii="Verdana" w:eastAsia="Times New Roman" w:hAnsi="Verdana" w:cs="Arial"/>
                <w:sz w:val="16"/>
                <w:szCs w:val="16"/>
                <w:lang w:val="es-ES" w:eastAsia="es-ES_tradnl"/>
              </w:rPr>
              <w:t>Contratista de la Subdirección de Gestión Contractual</w:t>
            </w:r>
            <w:r w:rsidRPr="00A534E9">
              <w:rPr>
                <w:rFonts w:ascii="Verdana" w:eastAsia="Times New Roman" w:hAnsi="Verdana" w:cs="Arial"/>
                <w:sz w:val="16"/>
                <w:szCs w:val="16"/>
                <w:lang w:eastAsia="es-ES_tradnl"/>
              </w:rPr>
              <w:t> </w:t>
            </w:r>
          </w:p>
        </w:tc>
      </w:tr>
      <w:tr w:rsidR="00A534E9" w:rsidRPr="00A534E9" w14:paraId="7553DA47" w14:textId="77777777" w:rsidTr="00CB0E9D">
        <w:trPr>
          <w:trHeight w:val="300"/>
        </w:trPr>
        <w:tc>
          <w:tcPr>
            <w:tcW w:w="893" w:type="dxa"/>
            <w:vAlign w:val="center"/>
          </w:tcPr>
          <w:p w14:paraId="2D9CA7CD" w14:textId="77777777" w:rsidR="00A534E9" w:rsidRPr="00A534E9" w:rsidRDefault="00A534E9" w:rsidP="00A534E9">
            <w:pPr>
              <w:rPr>
                <w:rFonts w:ascii="Verdana" w:eastAsia="Calibri" w:hAnsi="Verdana" w:cs="Arial"/>
                <w:sz w:val="16"/>
                <w:szCs w:val="16"/>
                <w:lang w:val="es-ES" w:eastAsia="es-ES"/>
              </w:rPr>
            </w:pPr>
            <w:r w:rsidRPr="00A534E9">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DDE3EF5" w14:textId="77777777" w:rsidR="00A534E9" w:rsidRPr="00A534E9" w:rsidRDefault="00A534E9" w:rsidP="00A534E9">
            <w:pPr>
              <w:rPr>
                <w:rFonts w:ascii="Verdana" w:eastAsia="Calibri" w:hAnsi="Verdana" w:cs="Arial"/>
                <w:sz w:val="16"/>
                <w:szCs w:val="16"/>
                <w:lang w:val="pt-BR" w:eastAsia="es-ES"/>
              </w:rPr>
            </w:pPr>
            <w:r w:rsidRPr="00A534E9">
              <w:rPr>
                <w:rFonts w:ascii="Verdana" w:eastAsia="Calibri" w:hAnsi="Verdana" w:cs="Arial"/>
                <w:sz w:val="16"/>
                <w:szCs w:val="16"/>
                <w:lang w:val="pt-BR" w:eastAsia="es-ES"/>
              </w:rPr>
              <w:t>Carolina Quintero Gacharná</w:t>
            </w:r>
          </w:p>
          <w:p w14:paraId="022234E5" w14:textId="77777777" w:rsidR="00A534E9" w:rsidRPr="00A534E9" w:rsidRDefault="00A534E9" w:rsidP="00A534E9">
            <w:pPr>
              <w:rPr>
                <w:rFonts w:ascii="Verdana" w:eastAsia="Calibri" w:hAnsi="Verdana" w:cs="Arial"/>
                <w:sz w:val="16"/>
                <w:szCs w:val="16"/>
                <w:lang w:val="pt-BR" w:eastAsia="es-ES"/>
              </w:rPr>
            </w:pPr>
            <w:r w:rsidRPr="00A534E9">
              <w:rPr>
                <w:rFonts w:ascii="Verdana" w:eastAsia="Calibri" w:hAnsi="Verdana" w:cs="Arial"/>
                <w:sz w:val="16"/>
                <w:szCs w:val="16"/>
                <w:lang w:eastAsia="es-ES"/>
              </w:rPr>
              <w:t>Subdirectora</w:t>
            </w:r>
            <w:r w:rsidRPr="00A534E9">
              <w:rPr>
                <w:rFonts w:ascii="Verdana" w:eastAsia="Calibri" w:hAnsi="Verdana" w:cs="Arial"/>
                <w:sz w:val="16"/>
                <w:szCs w:val="16"/>
                <w:lang w:val="pt-BR" w:eastAsia="es-ES"/>
              </w:rPr>
              <w:t xml:space="preserve"> de Gestión Contratual ANCP – CCE</w:t>
            </w:r>
          </w:p>
        </w:tc>
      </w:tr>
    </w:tbl>
    <w:p w14:paraId="01C0902E" w14:textId="77777777" w:rsidR="00A534E9" w:rsidRPr="00A534E9" w:rsidRDefault="00A534E9" w:rsidP="00A534E9">
      <w:pPr>
        <w:spacing w:after="0" w:line="240" w:lineRule="auto"/>
        <w:jc w:val="both"/>
        <w:textAlignment w:val="baseline"/>
        <w:rPr>
          <w:rFonts w:ascii="Verdana" w:eastAsia="Times New Roman" w:hAnsi="Verdana" w:cs="Segoe UI"/>
          <w:sz w:val="18"/>
          <w:szCs w:val="18"/>
          <w:lang w:eastAsia="es-CO"/>
        </w:rPr>
      </w:pPr>
    </w:p>
    <w:p w14:paraId="5367EEC8" w14:textId="77777777" w:rsidR="00A534E9" w:rsidRPr="00A534E9" w:rsidRDefault="00A534E9" w:rsidP="00A534E9">
      <w:pPr>
        <w:spacing w:after="0" w:line="240" w:lineRule="auto"/>
        <w:jc w:val="both"/>
        <w:textAlignment w:val="baseline"/>
        <w:rPr>
          <w:rFonts w:ascii="Verdana" w:eastAsia="Times New Roman" w:hAnsi="Verdana" w:cs="Segoe UI"/>
          <w:sz w:val="18"/>
          <w:szCs w:val="18"/>
          <w:lang w:eastAsia="es-CO"/>
        </w:rPr>
      </w:pPr>
      <w:r w:rsidRPr="00A534E9">
        <w:rPr>
          <w:rFonts w:ascii="Verdana" w:eastAsia="Times New Roman" w:hAnsi="Verdana" w:cs="Segoe UI"/>
          <w:lang w:eastAsia="es-CO"/>
        </w:rPr>
        <w:t>  </w:t>
      </w:r>
    </w:p>
    <w:p w14:paraId="55403FBB" w14:textId="77777777" w:rsidR="00A534E9" w:rsidRPr="00A534E9" w:rsidRDefault="00A534E9" w:rsidP="00A534E9">
      <w:pPr>
        <w:spacing w:after="0"/>
        <w:jc w:val="both"/>
        <w:rPr>
          <w:rFonts w:ascii="Verdana" w:eastAsia="Calibri" w:hAnsi="Verdana" w:cs="Times New Roman"/>
        </w:rPr>
      </w:pPr>
    </w:p>
    <w:p w14:paraId="1CD9C7F2" w14:textId="77777777" w:rsidR="00A534E9" w:rsidRPr="00A534E9" w:rsidRDefault="00A534E9" w:rsidP="00A534E9">
      <w:pPr>
        <w:spacing w:line="278" w:lineRule="auto"/>
        <w:rPr>
          <w:rFonts w:ascii="Aptos" w:eastAsia="Aptos" w:hAnsi="Aptos" w:cs="Times New Roman"/>
          <w:kern w:val="2"/>
          <w:sz w:val="24"/>
          <w:szCs w:val="24"/>
          <w14:ligatures w14:val="standardContextual"/>
        </w:rPr>
      </w:pPr>
    </w:p>
    <w:bookmarkEnd w:id="0"/>
    <w:p w14:paraId="69D84EA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0A4543" w14:textId="77777777" w:rsidR="00BB22DF" w:rsidRDefault="00BB22DF" w:rsidP="004A1847">
      <w:pPr>
        <w:spacing w:after="0" w:line="240" w:lineRule="auto"/>
      </w:pPr>
      <w:r>
        <w:separator/>
      </w:r>
    </w:p>
  </w:endnote>
  <w:endnote w:type="continuationSeparator" w:id="0">
    <w:p w14:paraId="1CA917A9" w14:textId="77777777" w:rsidR="00BB22DF" w:rsidRDefault="00BB22DF" w:rsidP="004A1847">
      <w:pPr>
        <w:spacing w:after="0" w:line="240" w:lineRule="auto"/>
      </w:pPr>
      <w:r>
        <w:continuationSeparator/>
      </w:r>
    </w:p>
  </w:endnote>
  <w:endnote w:type="continuationNotice" w:id="1">
    <w:p w14:paraId="1ECE2099" w14:textId="77777777" w:rsidR="00BB22DF" w:rsidRDefault="00BB22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81C29" w14:textId="77777777" w:rsidR="004A1847" w:rsidRDefault="004A1847">
    <w:pPr>
      <w:pStyle w:val="Piedepgina"/>
    </w:pPr>
  </w:p>
  <w:p w14:paraId="263D1D79"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1A076DD"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3FCAFD6"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1FF27D62" w14:textId="77777777"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BE5C16" w14:textId="77777777" w:rsidR="00BB22DF" w:rsidRDefault="00BB22DF" w:rsidP="004A1847">
      <w:pPr>
        <w:spacing w:after="0" w:line="240" w:lineRule="auto"/>
      </w:pPr>
      <w:r>
        <w:separator/>
      </w:r>
    </w:p>
  </w:footnote>
  <w:footnote w:type="continuationSeparator" w:id="0">
    <w:p w14:paraId="1DE9BC17" w14:textId="77777777" w:rsidR="00BB22DF" w:rsidRDefault="00BB22DF" w:rsidP="004A1847">
      <w:pPr>
        <w:spacing w:after="0" w:line="240" w:lineRule="auto"/>
      </w:pPr>
      <w:r>
        <w:continuationSeparator/>
      </w:r>
    </w:p>
  </w:footnote>
  <w:footnote w:type="continuationNotice" w:id="1">
    <w:p w14:paraId="256E6ED6" w14:textId="77777777" w:rsidR="00BB22DF" w:rsidRDefault="00BB22DF">
      <w:pPr>
        <w:spacing w:after="0" w:line="240" w:lineRule="auto"/>
      </w:pPr>
    </w:p>
  </w:footnote>
  <w:footnote w:id="2">
    <w:p w14:paraId="2A4F32CB" w14:textId="77777777" w:rsidR="00A534E9" w:rsidRPr="001E33CA" w:rsidRDefault="00A534E9" w:rsidP="00A534E9">
      <w:pPr>
        <w:pStyle w:val="Textonotapie"/>
        <w:ind w:firstLine="709"/>
        <w:jc w:val="both"/>
        <w:rPr>
          <w:rFonts w:ascii="Verdana" w:hAnsi="Verdana"/>
          <w:sz w:val="18"/>
          <w:szCs w:val="18"/>
          <w:lang w:val="es-CO"/>
        </w:rPr>
      </w:pPr>
      <w:r w:rsidRPr="001E33CA">
        <w:rPr>
          <w:rStyle w:val="Refdenotaalpie"/>
          <w:rFonts w:ascii="Verdana" w:hAnsi="Verdana"/>
          <w:sz w:val="18"/>
          <w:szCs w:val="18"/>
        </w:rPr>
        <w:footnoteRef/>
      </w:r>
      <w:r w:rsidRPr="001E33CA">
        <w:rPr>
          <w:rFonts w:ascii="Verdana" w:hAnsi="Verdana"/>
          <w:sz w:val="18"/>
          <w:szCs w:val="18"/>
        </w:rPr>
        <w:t xml:space="preserve"> </w:t>
      </w:r>
      <w:r w:rsidRPr="001E33CA">
        <w:rPr>
          <w:rFonts w:ascii="Verdana" w:hAnsi="Verdana"/>
          <w:sz w:val="18"/>
          <w:szCs w:val="18"/>
          <w:lang w:val="es-CO"/>
        </w:rPr>
        <w:t>La matriz de experiencia del sector Cultura, recreación y deporte, establece: Por lo menos uno (1) de los contratos válidos aportados como experiencia general debe corresponder al 50% del presupuesto oficial del presente proceso de selección, por este motivo no se incluye dentro del análisis al entender que debe hacer referencia o al sector educativo o al sector salud.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5C5775" w14:textId="77777777"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09408CE" w14:textId="77777777" w:rsidR="00756841" w:rsidRDefault="00756841">
    <w:pPr>
      <w:pStyle w:val="Encabezado"/>
    </w:pPr>
  </w:p>
  <w:p w14:paraId="2A22B6DB" w14:textId="77777777" w:rsidR="00DC39FC" w:rsidRDefault="00DC39FC" w:rsidP="004A305D">
    <w:pPr>
      <w:spacing w:after="0"/>
      <w:rPr>
        <w:rFonts w:ascii="Verdana" w:hAnsi="Verdana"/>
        <w:b/>
        <w:bCs/>
      </w:rPr>
    </w:pPr>
  </w:p>
  <w:p w14:paraId="10CDB83E" w14:textId="77777777" w:rsidR="004A305D" w:rsidRPr="004A305D" w:rsidRDefault="004A305D" w:rsidP="00B01B1A">
    <w:pPr>
      <w:spacing w:after="0" w:line="120" w:lineRule="auto"/>
      <w:rPr>
        <w:rFonts w:ascii="Century Gothic" w:eastAsia="Geo" w:hAnsi="Century Gothic" w:cs="Geo"/>
        <w:sz w:val="16"/>
        <w:szCs w:val="16"/>
        <w:lang w:eastAsia="es-CO"/>
      </w:rPr>
    </w:pPr>
  </w:p>
  <w:p w14:paraId="3F21DD58"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mc:AlternateContent>
      <mc:Choice Requires="v">
        <w:pict>
          <v:shapetype w14:anchorId="67DBAA5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29763031" o:spid="_x0000_i1025" type="#_x0000_t75" style="width:11.5pt;height:11.5pt;visibility:visible;mso-wrap-style:square">
            <v:imagedata r:id="rId1" o:title=""/>
          </v:shape>
        </w:pict>
      </mc:Choice>
      <mc:Fallback>
        <w:drawing>
          <wp:inline distT="0" distB="0" distL="0" distR="0" wp14:anchorId="52604A38">
            <wp:extent cx="146050" cy="146050"/>
            <wp:effectExtent l="0" t="0" r="0" b="0"/>
            <wp:docPr id="129763031" name="Imagen 129763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05741E"/>
    <w:multiLevelType w:val="hybridMultilevel"/>
    <w:tmpl w:val="ADFAF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17D69B1"/>
    <w:multiLevelType w:val="hybridMultilevel"/>
    <w:tmpl w:val="779C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341274352">
    <w:abstractNumId w:val="0"/>
  </w:num>
  <w:num w:numId="17" w16cid:durableId="679089576">
    <w:abstractNumId w:val="11"/>
  </w:num>
  <w:num w:numId="18" w16cid:durableId="1296064354">
    <w:abstractNumId w:val="2"/>
  </w:num>
  <w:num w:numId="19" w16cid:durableId="838482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25105"/>
    <w:rsid w:val="00127233"/>
    <w:rsid w:val="001A538B"/>
    <w:rsid w:val="001E4177"/>
    <w:rsid w:val="001F7DC6"/>
    <w:rsid w:val="002421BB"/>
    <w:rsid w:val="0025796E"/>
    <w:rsid w:val="002707A2"/>
    <w:rsid w:val="002951A0"/>
    <w:rsid w:val="002962BC"/>
    <w:rsid w:val="002A093D"/>
    <w:rsid w:val="002A0DD0"/>
    <w:rsid w:val="002A49AC"/>
    <w:rsid w:val="002A64FD"/>
    <w:rsid w:val="002C7A84"/>
    <w:rsid w:val="002E0333"/>
    <w:rsid w:val="002E4FD9"/>
    <w:rsid w:val="002F54C0"/>
    <w:rsid w:val="00311701"/>
    <w:rsid w:val="003175A3"/>
    <w:rsid w:val="00322A85"/>
    <w:rsid w:val="00324168"/>
    <w:rsid w:val="00324AD0"/>
    <w:rsid w:val="003448F4"/>
    <w:rsid w:val="00374F5E"/>
    <w:rsid w:val="00377E3E"/>
    <w:rsid w:val="003A26D1"/>
    <w:rsid w:val="003A779E"/>
    <w:rsid w:val="003D0F4D"/>
    <w:rsid w:val="003D5B0D"/>
    <w:rsid w:val="003E0499"/>
    <w:rsid w:val="003F3941"/>
    <w:rsid w:val="00406575"/>
    <w:rsid w:val="00425329"/>
    <w:rsid w:val="00426A11"/>
    <w:rsid w:val="0042722E"/>
    <w:rsid w:val="0044528D"/>
    <w:rsid w:val="004A1847"/>
    <w:rsid w:val="004A305D"/>
    <w:rsid w:val="004F101E"/>
    <w:rsid w:val="004F21C4"/>
    <w:rsid w:val="004F685F"/>
    <w:rsid w:val="00504C05"/>
    <w:rsid w:val="005566E8"/>
    <w:rsid w:val="00574867"/>
    <w:rsid w:val="005856AD"/>
    <w:rsid w:val="00590640"/>
    <w:rsid w:val="00591460"/>
    <w:rsid w:val="00592628"/>
    <w:rsid w:val="005C3777"/>
    <w:rsid w:val="005C5CDC"/>
    <w:rsid w:val="005D476C"/>
    <w:rsid w:val="00610812"/>
    <w:rsid w:val="006219F8"/>
    <w:rsid w:val="00640BBC"/>
    <w:rsid w:val="00650FF7"/>
    <w:rsid w:val="00665D70"/>
    <w:rsid w:val="00671DAC"/>
    <w:rsid w:val="006900D9"/>
    <w:rsid w:val="006D12F8"/>
    <w:rsid w:val="006D3090"/>
    <w:rsid w:val="007032D8"/>
    <w:rsid w:val="00706C16"/>
    <w:rsid w:val="00756841"/>
    <w:rsid w:val="007649AB"/>
    <w:rsid w:val="00771D0C"/>
    <w:rsid w:val="007833AC"/>
    <w:rsid w:val="007B268C"/>
    <w:rsid w:val="007B7171"/>
    <w:rsid w:val="007C0C0F"/>
    <w:rsid w:val="007C3DC2"/>
    <w:rsid w:val="007E5497"/>
    <w:rsid w:val="00806F5F"/>
    <w:rsid w:val="0081677D"/>
    <w:rsid w:val="00820278"/>
    <w:rsid w:val="008839D1"/>
    <w:rsid w:val="008843B6"/>
    <w:rsid w:val="00891928"/>
    <w:rsid w:val="008A446D"/>
    <w:rsid w:val="008D180B"/>
    <w:rsid w:val="008F0EA7"/>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07DE"/>
    <w:rsid w:val="00A33C78"/>
    <w:rsid w:val="00A400FA"/>
    <w:rsid w:val="00A534E9"/>
    <w:rsid w:val="00A930E9"/>
    <w:rsid w:val="00AA34FA"/>
    <w:rsid w:val="00AB0ADB"/>
    <w:rsid w:val="00B01B1A"/>
    <w:rsid w:val="00B72CD3"/>
    <w:rsid w:val="00B72FFF"/>
    <w:rsid w:val="00BB22DF"/>
    <w:rsid w:val="00BC3D36"/>
    <w:rsid w:val="00BD7F72"/>
    <w:rsid w:val="00BF0EC8"/>
    <w:rsid w:val="00C04FB3"/>
    <w:rsid w:val="00C330EB"/>
    <w:rsid w:val="00C754BE"/>
    <w:rsid w:val="00C76B1C"/>
    <w:rsid w:val="00CB6357"/>
    <w:rsid w:val="00CC1B26"/>
    <w:rsid w:val="00D423A2"/>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D6C8A"/>
    <w:rsid w:val="00EE1AA8"/>
    <w:rsid w:val="00F31EDC"/>
    <w:rsid w:val="00F32EDD"/>
    <w:rsid w:val="00F462B3"/>
    <w:rsid w:val="00F5664F"/>
    <w:rsid w:val="00F62255"/>
    <w:rsid w:val="00F666C4"/>
    <w:rsid w:val="00F76AFC"/>
    <w:rsid w:val="00FA47C0"/>
    <w:rsid w:val="00FB5DD1"/>
    <w:rsid w:val="00FC2B5D"/>
    <w:rsid w:val="00FD3224"/>
    <w:rsid w:val="00FE18DB"/>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534E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04-documentos-tipo-de-licitacion-de-obra-publica-para-proyectos-de-infraestructura-socia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www.w3.org/XML/1998/namespace"/>
    <ds:schemaRef ds:uri="http://purl.org/dc/dcmitype/"/>
    <ds:schemaRef ds:uri="a6cb9e4b-f1d1-4245-83ec-6cad768d538a"/>
    <ds:schemaRef ds:uri="http://schemas.microsoft.com/office/2006/documentManagement/types"/>
    <ds:schemaRef ds:uri="http://purl.org/dc/elements/1.1/"/>
    <ds:schemaRef ds:uri="http://schemas.microsoft.com/office/2006/metadata/properties"/>
    <ds:schemaRef ds:uri="http://purl.org/dc/terms/"/>
    <ds:schemaRef ds:uri="http://schemas.microsoft.com/office/infopath/2007/PartnerControls"/>
    <ds:schemaRef ds:uri="http://schemas.openxmlformats.org/package/2006/metadata/core-properties"/>
    <ds:schemaRef ds:uri="9d85dbaf-23eb-4e57-a637-93dcacc8b1a1"/>
  </ds:schemaRefs>
</ds:datastoreItem>
</file>

<file path=customXml/itemProps2.xml><?xml version="1.0" encoding="utf-8"?>
<ds:datastoreItem xmlns:ds="http://schemas.openxmlformats.org/officeDocument/2006/customXml" ds:itemID="{B081BB69-5FFD-4CF4-9C72-8D26F530EE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2836</Words>
  <Characters>15603</Characters>
  <Application>Microsoft Office Word</Application>
  <DocSecurity>0</DocSecurity>
  <Lines>130</Lines>
  <Paragraphs>36</Paragraphs>
  <ScaleCrop>false</ScaleCrop>
  <Company/>
  <LinksUpToDate>false</LinksUpToDate>
  <CharactersWithSpaces>18403</CharactersWithSpaces>
  <SharedDoc>false</SharedDoc>
  <HLinks>
    <vt:vector size="18" baseType="variant">
      <vt:variant>
        <vt:i4>5439494</vt:i4>
      </vt:variant>
      <vt:variant>
        <vt:i4>6</vt:i4>
      </vt:variant>
      <vt:variant>
        <vt:i4>0</vt:i4>
      </vt:variant>
      <vt:variant>
        <vt:i4>5</vt:i4>
      </vt:variant>
      <vt:variant>
        <vt:lpwstr>https://www.colombiacompra.gov.co/sala-de-prensa/boletin-digital</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3145787</vt:i4>
      </vt:variant>
      <vt:variant>
        <vt:i4>0</vt:i4>
      </vt:variant>
      <vt:variant>
        <vt:i4>0</vt:i4>
      </vt:variant>
      <vt:variant>
        <vt:i4>5</vt:i4>
      </vt:variant>
      <vt:variant>
        <vt:lpwstr>https://www.colombiacompra.gov.co/content/04-documentos-tipo-de-licitacion-de-obra-publica-para-proyectos-de-infraestructura-social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2024-09-03T12:15:00Z</dcterms:created>
  <dcterms:modified xsi:type="dcterms:W3CDTF">2024-09-03T12:15:00Z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