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7A83DE" w14:textId="77777777" w:rsidR="00F17898" w:rsidRDefault="00F17898" w:rsidP="00E245AB">
      <w:pPr>
        <w:spacing w:after="0"/>
        <w:rPr>
          <w:rFonts w:ascii="Verdana" w:hAnsi="Verdana"/>
        </w:rPr>
      </w:pPr>
      <w:bookmarkStart w:id="0" w:name="_Hlk143780582"/>
    </w:p>
    <w:p w14:paraId="63869698" w14:textId="77777777" w:rsidR="00494E67" w:rsidRDefault="00494E67" w:rsidP="00E245AB">
      <w:pPr>
        <w:spacing w:after="0"/>
        <w:rPr>
          <w:rFonts w:ascii="Verdana" w:hAnsi="Verdana"/>
        </w:rPr>
      </w:pPr>
    </w:p>
    <w:p w14:paraId="329E09B0" w14:textId="77777777" w:rsidR="00F17898" w:rsidRDefault="00F17898" w:rsidP="00E245AB">
      <w:pPr>
        <w:spacing w:after="0"/>
        <w:rPr>
          <w:rFonts w:ascii="Verdana" w:hAnsi="Verdana"/>
        </w:rPr>
      </w:pPr>
    </w:p>
    <w:p w14:paraId="25A59708" w14:textId="77777777" w:rsidR="0075779B" w:rsidRPr="00ED0429" w:rsidRDefault="0075779B" w:rsidP="0075779B">
      <w:pPr>
        <w:spacing w:line="276" w:lineRule="auto"/>
        <w:contextualSpacing/>
        <w:jc w:val="both"/>
        <w:rPr>
          <w:rFonts w:ascii="Verdana" w:eastAsia="Century Gothic" w:hAnsi="Verdana" w:cs="Century Gothic"/>
          <w:b/>
          <w:bCs/>
          <w:lang w:val="es-ES"/>
        </w:rPr>
      </w:pPr>
      <w:r w:rsidRPr="00ED0429">
        <w:rPr>
          <w:rFonts w:ascii="Verdana" w:eastAsia="Century Gothic" w:hAnsi="Verdana" w:cs="Century Gothic"/>
          <w:b/>
          <w:bCs/>
          <w:lang w:val="es-ES"/>
        </w:rPr>
        <w:t>REQUISITOS HABILITANTES – Noción</w:t>
      </w:r>
    </w:p>
    <w:p w14:paraId="5C9FDBAE"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 xml:space="preserve"> </w:t>
      </w:r>
    </w:p>
    <w:p w14:paraId="7BBB90E0"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 xml:space="preserve">Los requisitos habilitantes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65B1EC71"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 xml:space="preserve"> </w:t>
      </w:r>
    </w:p>
    <w:p w14:paraId="75C889AF"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2956E83A" w14:textId="77777777" w:rsidR="0075779B" w:rsidRPr="00ED0429" w:rsidRDefault="0075779B" w:rsidP="0075779B">
      <w:pPr>
        <w:spacing w:line="276" w:lineRule="auto"/>
        <w:contextualSpacing/>
        <w:jc w:val="both"/>
        <w:rPr>
          <w:rFonts w:ascii="Verdana" w:eastAsia="Century Gothic" w:hAnsi="Verdana" w:cs="Century Gothic"/>
          <w:b/>
          <w:bCs/>
          <w:lang w:val="es-ES"/>
        </w:rPr>
      </w:pPr>
      <w:r w:rsidRPr="00ED0429">
        <w:rPr>
          <w:rFonts w:ascii="Verdana" w:eastAsia="Century Gothic" w:hAnsi="Verdana" w:cs="Century Gothic"/>
          <w:b/>
          <w:bCs/>
          <w:lang w:val="es-ES"/>
        </w:rPr>
        <w:t xml:space="preserve"> </w:t>
      </w:r>
    </w:p>
    <w:p w14:paraId="0617B10C" w14:textId="77777777" w:rsidR="0075779B" w:rsidRPr="00ED0429" w:rsidRDefault="0075779B" w:rsidP="0075779B">
      <w:pPr>
        <w:spacing w:line="276" w:lineRule="auto"/>
        <w:contextualSpacing/>
        <w:jc w:val="both"/>
        <w:rPr>
          <w:rFonts w:ascii="Verdana" w:eastAsia="Century Gothic" w:hAnsi="Verdana" w:cs="Century Gothic"/>
          <w:b/>
          <w:bCs/>
          <w:lang w:val="es-ES"/>
        </w:rPr>
      </w:pPr>
      <w:r w:rsidRPr="00ED0429">
        <w:rPr>
          <w:rFonts w:ascii="Verdana" w:eastAsia="Century Gothic" w:hAnsi="Verdana" w:cs="Century Gothic"/>
          <w:b/>
          <w:bCs/>
          <w:lang w:val="es-ES"/>
        </w:rPr>
        <w:t>REQUISITOS HABILITANTES – Autonomía</w:t>
      </w:r>
    </w:p>
    <w:p w14:paraId="55EFC0C5"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 xml:space="preserve"> </w:t>
      </w:r>
    </w:p>
    <w:p w14:paraId="69C3343C"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 xml:space="preserve">Esta Agencia puso a disposición de los interesados el “Manual para determinar y verificar los requisitos habilitantes en los procesos de contratación”. En dicho Manual se plantean definiciones para cada requisito habilitante y se indican lineamientos orientadores que la Entidad Estatal puede considerar para establecerlos, pero en todo caso, es ella quien los define, de forma proporcional a la naturaleza y al valor del contrato, por lo que para ello deberá observarse los resultados de los Estudios del Sector que se hayan realizado para el respectivo Proceso de Contratación. </w:t>
      </w:r>
    </w:p>
    <w:p w14:paraId="00B7C681"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 xml:space="preserve"> </w:t>
      </w:r>
    </w:p>
    <w:p w14:paraId="2546FB23"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 xml:space="preserve">Considerando la discrecionalidad para establecer el requisito habilitante, es necesario tener en cuenta que el artículo 44 de la Ley 1437 de 2011 –aplicable </w:t>
      </w:r>
      <w:r w:rsidRPr="00ED0429">
        <w:rPr>
          <w:rFonts w:ascii="Verdana" w:eastAsia="Century Gothic" w:hAnsi="Verdana" w:cs="Century Gothic"/>
          <w:lang w:val="es-ES"/>
        </w:rPr>
        <w:lastRenderedPageBreak/>
        <w:t>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En consecuencia, para efectos de los escenarios descritos en el párrafo precedente, la inclusión o exclusión de los indicadores previstos en el artículo 2.2.1.1.1.5.3. del Decreto 1082 de 2015 está unida a la carga justificativa de la Entidad Estatal en los estudios y documentos previos del proceso de selección.</w:t>
      </w:r>
    </w:p>
    <w:p w14:paraId="2F1D3101"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 xml:space="preserve"> </w:t>
      </w:r>
    </w:p>
    <w:p w14:paraId="0DEDB6B1" w14:textId="77777777" w:rsidR="0075779B" w:rsidRPr="00ED0429" w:rsidRDefault="0075779B" w:rsidP="0075779B">
      <w:pPr>
        <w:spacing w:line="276" w:lineRule="auto"/>
        <w:contextualSpacing/>
        <w:jc w:val="both"/>
        <w:rPr>
          <w:rFonts w:ascii="Verdana" w:eastAsia="Century Gothic" w:hAnsi="Verdana" w:cs="Century Gothic"/>
          <w:b/>
          <w:bCs/>
          <w:lang w:val="es-ES"/>
        </w:rPr>
      </w:pPr>
      <w:r w:rsidRPr="00ED0429">
        <w:rPr>
          <w:rFonts w:ascii="Verdana" w:eastAsia="Century Gothic" w:hAnsi="Verdana" w:cs="Century Gothic"/>
          <w:b/>
          <w:bCs/>
          <w:lang w:val="es-ES"/>
        </w:rPr>
        <w:t>CAPACIDAD FINANCIERA Y ORGANIZACIONAL – Definición</w:t>
      </w:r>
    </w:p>
    <w:p w14:paraId="73864C6C"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 xml:space="preserve"> </w:t>
      </w:r>
    </w:p>
    <w:p w14:paraId="022EC290"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La capacidad financiera se deriva del comportamiento contable de la empresa, su liquidez y endeudamiento, para determinar que sus recursos y solidez financiera le permita cumplir los compromisos que adquiera. Como explica esta Agencia en el “Manual para determinar y verificar los requisitos habilitantes en los procesos de contratación”, “Los indicadores de capacidad financiera buscan establecer unas condiciones mínimas que reflejan la salud financiera de los proponentes a través de su liquidez y endeudamiento. Estas condiciones muestran la aptitud del proponente para cumplir oportuna y cabalmente el objeto del contrato”. La capacidad organizacional, por su parte, “[…] es la aptitud de un proponente para cumplir oportuna y cabalmente el objeto del contrato en función de su organización interna. El Decreto 1082 de 2015 definió los indicadores de rentabilidad para medir la capacidad organizacional de un proponente teniendo en cuenta que está bien organizado cuando es rentable”.</w:t>
      </w:r>
    </w:p>
    <w:p w14:paraId="56EAB8CC" w14:textId="77777777" w:rsidR="0075779B" w:rsidRPr="00ED0429" w:rsidRDefault="0075779B" w:rsidP="0075779B">
      <w:pPr>
        <w:spacing w:line="276" w:lineRule="auto"/>
        <w:contextualSpacing/>
        <w:jc w:val="both"/>
        <w:rPr>
          <w:rFonts w:ascii="Verdana" w:eastAsia="Century Gothic" w:hAnsi="Verdana" w:cs="Century Gothic"/>
          <w:b/>
          <w:bCs/>
          <w:lang w:val="es-ES"/>
        </w:rPr>
      </w:pPr>
      <w:r w:rsidRPr="00ED0429">
        <w:rPr>
          <w:rFonts w:ascii="Verdana" w:eastAsia="Century Gothic" w:hAnsi="Verdana" w:cs="Century Gothic"/>
          <w:lang w:val="es-ES"/>
        </w:rPr>
        <w:t xml:space="preserve"> </w:t>
      </w:r>
      <w:r w:rsidRPr="00ED0429">
        <w:rPr>
          <w:rFonts w:ascii="Verdana" w:eastAsia="Century Gothic" w:hAnsi="Verdana" w:cs="Century Gothic"/>
          <w:b/>
          <w:bCs/>
          <w:lang w:val="es-ES"/>
        </w:rPr>
        <w:t xml:space="preserve"> </w:t>
      </w:r>
    </w:p>
    <w:p w14:paraId="05C04394" w14:textId="77777777" w:rsidR="0075779B" w:rsidRPr="00ED0429" w:rsidRDefault="0075779B" w:rsidP="0075779B">
      <w:pPr>
        <w:spacing w:line="276" w:lineRule="auto"/>
        <w:contextualSpacing/>
        <w:jc w:val="both"/>
        <w:rPr>
          <w:rFonts w:ascii="Verdana" w:eastAsia="Century Gothic" w:hAnsi="Verdana" w:cs="Century Gothic"/>
          <w:b/>
          <w:bCs/>
          <w:lang w:val="es-ES"/>
        </w:rPr>
      </w:pPr>
      <w:r w:rsidRPr="00ED0429">
        <w:rPr>
          <w:rFonts w:ascii="Verdana" w:eastAsia="Century Gothic" w:hAnsi="Verdana" w:cs="Century Gothic"/>
          <w:b/>
          <w:bCs/>
          <w:lang w:val="es-ES"/>
        </w:rPr>
        <w:t xml:space="preserve">DECRETO 1041 DE 2022 – Finalidad – Reactivación económica </w:t>
      </w:r>
    </w:p>
    <w:p w14:paraId="3BED4A99"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 xml:space="preserve"> </w:t>
      </w:r>
    </w:p>
    <w:p w14:paraId="1953B483"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 xml:space="preserve">Para lograr la reactivación económica, ante la crisis generada por la pandemia del COVID19, el gobierno nacional expidió el Decreto 399 de 2021, mediante el cual se establecen algunas modificaciones al Decreto 1082 de 2015 frente a la regulación de la información financiera y organizacional prevista en el Registro Único de Proponentes –RUP–. En tal sentido, se indicó –con la modificación posteriormente introducida por el Decreto 579 de 2021– que, a partir del 1 de julio de 2021, las Entidades Estatales deberán tener en cuenta los datos sobre la capacidad financiera y organizacional de los últimos tres años, consignada en el RUP. Así lo justifica textualmente el reglamento mencionado, en sus consideraciones cuando manifiesta que “mediante lo anterior se propenderá por una mayor pluralidad de oferentes en los procedimientos de selección y se </w:t>
      </w:r>
      <w:r w:rsidRPr="00ED0429">
        <w:rPr>
          <w:rFonts w:ascii="Verdana" w:eastAsia="Century Gothic" w:hAnsi="Verdana" w:cs="Century Gothic"/>
          <w:lang w:val="es-ES"/>
        </w:rPr>
        <w:lastRenderedPageBreak/>
        <w:t>fortalecerá la reactivación económica del país, al permitir la participación en estos procedimientos de proponentes que fueron afectados negativamente por la pandemia del COVID-19”.</w:t>
      </w:r>
    </w:p>
    <w:p w14:paraId="3B40D2C4"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 xml:space="preserve"> </w:t>
      </w:r>
    </w:p>
    <w:p w14:paraId="40E2867D"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En tal sentido, el artículo 4 del Decreto 399 de 2021 adicionó dos parágrafos transitorios al artículo 2.2.1.1.1.5.2. del Decreto 1082 de 2015, que a su vez fueron sustituidos por el artículo 1 del Decreto 579 del 31 de mayo de 202113 y posteriormente se adicionó un parágrafo transitorio adicional al artículo 2.2.1.1.1.5.2. del Decreto 1082 de 2015 por el artículo 1 del Decreto 1041 de 2022. En igual sentido, el parágrafo transitorio 3 incluido por el Decreto 1041 de 2022 mantuvo la anterior medida para el año 2023, permitiendo que para la inscripción en el RUP o para su renovación, el interesado pueda reportar la información contable y los estados financieros de los tres últimos años fiscales.</w:t>
      </w:r>
    </w:p>
    <w:p w14:paraId="4D4E48B8"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 xml:space="preserve"> </w:t>
      </w:r>
    </w:p>
    <w:p w14:paraId="4F48967B" w14:textId="77777777" w:rsidR="0075779B" w:rsidRPr="00ED0429" w:rsidRDefault="0075779B" w:rsidP="0075779B">
      <w:pPr>
        <w:spacing w:line="276" w:lineRule="auto"/>
        <w:contextualSpacing/>
        <w:jc w:val="both"/>
        <w:rPr>
          <w:rFonts w:ascii="Verdana" w:eastAsia="Century Gothic" w:hAnsi="Verdana" w:cs="Century Gothic"/>
          <w:b/>
          <w:bCs/>
          <w:lang w:val="es-ES"/>
        </w:rPr>
      </w:pPr>
      <w:r w:rsidRPr="00ED0429">
        <w:rPr>
          <w:rFonts w:ascii="Verdana" w:eastAsia="Century Gothic" w:hAnsi="Verdana" w:cs="Century Gothic"/>
          <w:b/>
          <w:bCs/>
          <w:lang w:val="es-ES"/>
        </w:rPr>
        <w:t xml:space="preserve">MEJOR AÑO FISCAL – </w:t>
      </w:r>
      <w:r w:rsidRPr="00313B4A">
        <w:rPr>
          <w:rFonts w:ascii="Verdana" w:eastAsia="Century Gothic" w:hAnsi="Verdana" w:cs="Century Gothic"/>
          <w:b/>
          <w:bCs/>
          <w:lang w:val="es-ES"/>
        </w:rPr>
        <w:t xml:space="preserve">Decreto 579 de 2021 </w:t>
      </w:r>
      <w:r w:rsidRPr="00ED0429">
        <w:rPr>
          <w:rFonts w:ascii="Verdana" w:eastAsia="Century Gothic" w:hAnsi="Verdana" w:cs="Century Gothic"/>
          <w:b/>
          <w:bCs/>
          <w:lang w:val="es-ES"/>
        </w:rPr>
        <w:t>– Capacidad financiera – Capacidad organizacional – Interpretación</w:t>
      </w:r>
    </w:p>
    <w:p w14:paraId="2EC1CC25" w14:textId="77777777" w:rsidR="0075779B" w:rsidRPr="00ED0429" w:rsidRDefault="0075779B" w:rsidP="0075779B">
      <w:pPr>
        <w:spacing w:line="276" w:lineRule="auto"/>
        <w:contextualSpacing/>
        <w:jc w:val="both"/>
        <w:rPr>
          <w:rFonts w:ascii="Verdana" w:eastAsia="Century Gothic" w:hAnsi="Verdana" w:cs="Century Gothic"/>
          <w:b/>
          <w:bCs/>
          <w:lang w:val="es-ES"/>
        </w:rPr>
      </w:pPr>
      <w:r w:rsidRPr="00ED0429">
        <w:rPr>
          <w:rFonts w:ascii="Verdana" w:eastAsia="Century Gothic" w:hAnsi="Verdana" w:cs="Century Gothic"/>
          <w:b/>
          <w:bCs/>
          <w:lang w:val="es-ES"/>
        </w:rPr>
        <w:t xml:space="preserve"> </w:t>
      </w:r>
    </w:p>
    <w:p w14:paraId="5BC16AA7"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Ahora bien, teniendo en cuenta que el RUP debe contener la información financiera y organizacional del proponente correspondiente a los últimos tres años o al período transcurrido desde su primer cierre fiscal, según el caso, al momento de evaluar tales indicadores las Entidades Estatales deberán tener en cuenta “el mejor año fiscal” que refleje el registro. Por “mejor año fiscal” se interpreta la información relativa al año apreciada en su conjunto, o sea, de manera integral, que permita al proponente cumplir los requisitos habilitantes de capacidad financiera y organizacional. Dicho de otro modo, cuando el parágrafo transitorio del artículo 2.2.1.1.1.6.2, adicionado por el artículo 6 del Decreto 399 de 2021, sustituido por el artículo 3 del Decreto 579 de 2021 y reiterado por el Decreto 1041 de 2022, establece que “[…] las Entidades Estatales evaluarán estos indicadores, teniendo en cuenta el mejor año fiscal que se refleje en el registro de cada proponente”, significa que deben examinar los años certificados en el RUP y escoger para ser evaluado el que refleje mejores indicadores de capacidad financiera y organizacional, que permita al proponente cumplir los requisitos habilitantes de capacidad financiera y organizacional.</w:t>
      </w:r>
    </w:p>
    <w:p w14:paraId="26255FE3" w14:textId="77777777" w:rsidR="0075779B" w:rsidRDefault="0075779B" w:rsidP="0075779B">
      <w:pPr>
        <w:spacing w:after="0" w:line="240" w:lineRule="auto"/>
        <w:rPr>
          <w:rFonts w:ascii="Verdana" w:eastAsia="Geomanist Light" w:hAnsi="Verdana" w:cs="Arial"/>
          <w:color w:val="000000" w:themeColor="text1"/>
          <w:lang w:val="es-MX"/>
        </w:rPr>
      </w:pPr>
    </w:p>
    <w:p w14:paraId="02DC4B6E" w14:textId="77777777" w:rsidR="0075779B" w:rsidRPr="00ED0429" w:rsidRDefault="0075779B" w:rsidP="0075779B">
      <w:pPr>
        <w:spacing w:line="276" w:lineRule="auto"/>
        <w:contextualSpacing/>
        <w:jc w:val="both"/>
        <w:rPr>
          <w:rFonts w:ascii="Verdana" w:eastAsia="Century Gothic" w:hAnsi="Verdana" w:cs="Century Gothic"/>
          <w:b/>
          <w:bCs/>
          <w:lang w:val="es-ES"/>
        </w:rPr>
      </w:pPr>
      <w:r w:rsidRPr="00ED0429">
        <w:rPr>
          <w:rFonts w:ascii="Verdana" w:eastAsia="Century Gothic" w:hAnsi="Verdana" w:cs="Century Gothic"/>
          <w:b/>
          <w:bCs/>
          <w:lang w:val="es-ES"/>
        </w:rPr>
        <w:t xml:space="preserve">DECRETO 1041 DE 2022 – Información – Capacidad financiera – Capacidad organizacional </w:t>
      </w:r>
    </w:p>
    <w:p w14:paraId="584664C5"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t xml:space="preserve"> </w:t>
      </w:r>
    </w:p>
    <w:p w14:paraId="1F94C10C" w14:textId="77777777" w:rsidR="0075779B" w:rsidRPr="00ED0429" w:rsidRDefault="0075779B" w:rsidP="0075779B">
      <w:pPr>
        <w:spacing w:line="276" w:lineRule="auto"/>
        <w:contextualSpacing/>
        <w:jc w:val="both"/>
        <w:rPr>
          <w:rFonts w:ascii="Verdana" w:eastAsia="Century Gothic" w:hAnsi="Verdana" w:cs="Century Gothic"/>
          <w:lang w:val="es-ES"/>
        </w:rPr>
      </w:pPr>
      <w:r w:rsidRPr="00ED0429">
        <w:rPr>
          <w:rFonts w:ascii="Verdana" w:eastAsia="Century Gothic" w:hAnsi="Verdana" w:cs="Century Gothic"/>
          <w:lang w:val="es-ES"/>
        </w:rPr>
        <w:lastRenderedPageBreak/>
        <w:t>i) A partir del 1 de julio de 2021 las Entidades Estatales “[…] establecerán y evaluarán los requisitos habilitantes de capacidad financiera y organizacional teniendo en cuenta la información que conste en el Registro Único de Proponentes”. Es decir, las Entidades Estatales debían tener en cuenta la información sobre la capacidad financiera y organizacional “correspondiente a los últimos tres (3) años fiscales anteriores al respectivo acto” o “desde su primer cierre fiscal”, según el caso. (…)</w:t>
      </w:r>
    </w:p>
    <w:p w14:paraId="28BEADEC" w14:textId="77777777" w:rsidR="0075779B" w:rsidRDefault="0075779B" w:rsidP="0075779B">
      <w:pPr>
        <w:spacing w:after="0"/>
        <w:jc w:val="both"/>
        <w:rPr>
          <w:rFonts w:ascii="Verdana" w:hAnsi="Verdana"/>
        </w:rPr>
      </w:pPr>
    </w:p>
    <w:p w14:paraId="3622F1EE" w14:textId="77777777" w:rsidR="0075779B" w:rsidRPr="000D446F" w:rsidRDefault="0075779B" w:rsidP="0075779B">
      <w:pPr>
        <w:spacing w:after="0"/>
        <w:jc w:val="both"/>
        <w:rPr>
          <w:rFonts w:ascii="Verdana" w:hAnsi="Verdana"/>
          <w:b/>
          <w:bCs/>
        </w:rPr>
      </w:pPr>
      <w:r w:rsidRPr="000D446F">
        <w:rPr>
          <w:rFonts w:ascii="Verdana" w:hAnsi="Verdana"/>
          <w:b/>
          <w:bCs/>
        </w:rPr>
        <w:t xml:space="preserve">DOCUMENTOS TIPO – Fundamento normativo </w:t>
      </w:r>
    </w:p>
    <w:p w14:paraId="75A7FDF7" w14:textId="77777777" w:rsidR="0075779B" w:rsidRPr="000D446F" w:rsidRDefault="0075779B" w:rsidP="0075779B">
      <w:pPr>
        <w:spacing w:after="0"/>
        <w:jc w:val="both"/>
        <w:rPr>
          <w:rFonts w:ascii="Verdana" w:hAnsi="Verdana"/>
        </w:rPr>
      </w:pPr>
    </w:p>
    <w:p w14:paraId="48C6EA03" w14:textId="77777777" w:rsidR="0075779B" w:rsidRPr="000D446F" w:rsidRDefault="0075779B" w:rsidP="0075779B">
      <w:pPr>
        <w:spacing w:after="0"/>
        <w:jc w:val="both"/>
        <w:rPr>
          <w:rFonts w:ascii="Verdana" w:hAnsi="Verdana"/>
        </w:rPr>
      </w:pPr>
      <w:r w:rsidRPr="000D446F">
        <w:rPr>
          <w:rFonts w:ascii="Verdana" w:hAnsi="Verdana"/>
        </w:rPr>
        <w:t>[…] el artículo 4 de la Ley 1882 de 2018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w:t>
      </w:r>
    </w:p>
    <w:p w14:paraId="120C438B" w14:textId="77777777" w:rsidR="0075779B" w:rsidRPr="000D446F" w:rsidRDefault="0075779B" w:rsidP="0075779B">
      <w:pPr>
        <w:spacing w:after="0"/>
        <w:jc w:val="both"/>
        <w:rPr>
          <w:rFonts w:ascii="Verdana" w:hAnsi="Verdana"/>
        </w:rPr>
      </w:pPr>
      <w:r w:rsidRPr="000D446F">
        <w:rPr>
          <w:rFonts w:ascii="Verdana" w:hAnsi="Verdana"/>
        </w:rPr>
        <w:t xml:space="preserve">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 </w:t>
      </w:r>
    </w:p>
    <w:p w14:paraId="7B87E5C9" w14:textId="77777777" w:rsidR="0075779B" w:rsidRPr="000D446F" w:rsidRDefault="0075779B" w:rsidP="0075779B">
      <w:pPr>
        <w:spacing w:after="0"/>
        <w:jc w:val="both"/>
        <w:rPr>
          <w:rFonts w:ascii="Verdana" w:hAnsi="Verdana"/>
        </w:rPr>
      </w:pPr>
    </w:p>
    <w:p w14:paraId="27875C5D" w14:textId="77777777" w:rsidR="0075779B" w:rsidRPr="000D446F" w:rsidRDefault="0075779B" w:rsidP="0075779B">
      <w:pPr>
        <w:spacing w:after="0"/>
        <w:jc w:val="both"/>
        <w:rPr>
          <w:rFonts w:ascii="Verdana" w:hAnsi="Verdana"/>
          <w:b/>
          <w:bCs/>
        </w:rPr>
      </w:pPr>
      <w:r w:rsidRPr="000D446F">
        <w:rPr>
          <w:rFonts w:ascii="Verdana" w:hAnsi="Verdana"/>
          <w:b/>
          <w:bCs/>
        </w:rPr>
        <w:t xml:space="preserve">DOCUMENTOS TIPO – Obligatoriedad de los documentos o pliegos tipo – Ley 2022 de 2020 </w:t>
      </w:r>
    </w:p>
    <w:p w14:paraId="0EEF1782" w14:textId="77777777" w:rsidR="0075779B" w:rsidRPr="000D446F" w:rsidRDefault="0075779B" w:rsidP="0075779B">
      <w:pPr>
        <w:spacing w:after="0"/>
        <w:jc w:val="both"/>
        <w:rPr>
          <w:rFonts w:ascii="Verdana" w:hAnsi="Verdana"/>
        </w:rPr>
      </w:pPr>
    </w:p>
    <w:p w14:paraId="056580CA" w14:textId="77777777" w:rsidR="0075779B" w:rsidRPr="000D446F" w:rsidRDefault="0075779B" w:rsidP="0075779B">
      <w:pPr>
        <w:spacing w:after="0"/>
        <w:jc w:val="both"/>
        <w:rPr>
          <w:rFonts w:ascii="Verdana" w:hAnsi="Verdana"/>
        </w:rPr>
      </w:pPr>
      <w:r w:rsidRPr="000D446F">
        <w:rPr>
          <w:rFonts w:ascii="Verdana" w:hAnsi="Verdana"/>
        </w:rPr>
        <w:t xml:space="preserve">La Ley 2022 de 2020 señala, en su artículo 1, que los documentos tipo adoptados por la Agencia Nacional de Contratación Pública son de obligatorio cumplimiento por todas las entidades públicas, cuyo régimen de contratación sea el Estatuto General de la Contratación de la Administración Pública ‒EGCAP‒. 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 Lo anterior, por cuanto los documentos tipo se caracterizan por ser inalterables, es decir, que las entidades públicas carecen de la facultad de modificarlos, con excepción de aquellos aspectos que pueden diligenciar, que son las descripciones que están incluidas entre corchetes y resaltadas en gris en cada uno de los </w:t>
      </w:r>
      <w:r w:rsidRPr="000D446F">
        <w:rPr>
          <w:rFonts w:ascii="Verdana" w:hAnsi="Verdana"/>
        </w:rPr>
        <w:lastRenderedPageBreak/>
        <w:t xml:space="preserve">documentos tipo. […]  En conclusión, la definición de si a un proceso de contratación le aplican los documentos tipo radicará en si el contrato a ejecutar se enmarca en las actividades establecidas en la matriz de experiencia del documento tipo, de modo que las entidades estatales sometidas al Estatuto General de Contratación de la Administración Pública deberán aplicar los documentos tipo en dichos supuestos. En todo caso, independientemente de la correspondencia entre el objeto a contratar y alguna de las actividades tipificadas en las matrices de experiencia, la aplicación del documento tipo solo será forzosa, si además el correspondiente documento tipo ha sido expedido para la modalidad de escogencia en la que se debe adelantar el proceso de selección. </w:t>
      </w:r>
    </w:p>
    <w:p w14:paraId="220A7F74" w14:textId="77777777" w:rsidR="0075779B" w:rsidRDefault="0075779B" w:rsidP="0075779B">
      <w:pPr>
        <w:spacing w:after="0"/>
        <w:rPr>
          <w:rFonts w:ascii="Verdana" w:hAnsi="Verdana"/>
        </w:rPr>
      </w:pPr>
    </w:p>
    <w:p w14:paraId="07C85637" w14:textId="77777777" w:rsidR="0075779B" w:rsidRDefault="0075779B" w:rsidP="0075779B">
      <w:pPr>
        <w:spacing w:after="0"/>
        <w:rPr>
          <w:rFonts w:ascii="Verdana" w:hAnsi="Verdana"/>
        </w:rPr>
      </w:pPr>
    </w:p>
    <w:p w14:paraId="2BA043FD" w14:textId="77777777" w:rsidR="0075779B" w:rsidRDefault="0075779B" w:rsidP="0075779B">
      <w:pPr>
        <w:spacing w:after="0"/>
        <w:rPr>
          <w:rFonts w:ascii="Verdana" w:hAnsi="Verdana"/>
        </w:rPr>
      </w:pPr>
    </w:p>
    <w:p w14:paraId="68C915EF" w14:textId="77777777" w:rsidR="00F17898" w:rsidRDefault="00F17898" w:rsidP="00E245AB">
      <w:pPr>
        <w:spacing w:after="0"/>
        <w:rPr>
          <w:rFonts w:ascii="Verdana" w:hAnsi="Verdana"/>
        </w:rPr>
      </w:pPr>
    </w:p>
    <w:p w14:paraId="1D69684A" w14:textId="77777777" w:rsidR="00F17898" w:rsidRDefault="00F17898" w:rsidP="00E245AB">
      <w:pPr>
        <w:spacing w:after="0"/>
        <w:rPr>
          <w:rFonts w:ascii="Verdana" w:hAnsi="Verdana"/>
        </w:rPr>
      </w:pPr>
    </w:p>
    <w:p w14:paraId="7FE33B72" w14:textId="77777777" w:rsidR="00F17898" w:rsidRDefault="00F17898" w:rsidP="00E245AB">
      <w:pPr>
        <w:spacing w:after="0"/>
        <w:rPr>
          <w:rFonts w:ascii="Verdana" w:hAnsi="Verdana"/>
        </w:rPr>
      </w:pPr>
    </w:p>
    <w:p w14:paraId="1F72D8C4" w14:textId="77777777" w:rsidR="00F17898" w:rsidRDefault="00F17898" w:rsidP="00E245AB">
      <w:pPr>
        <w:spacing w:after="0"/>
        <w:rPr>
          <w:rFonts w:ascii="Verdana" w:hAnsi="Verdana"/>
        </w:rPr>
      </w:pPr>
    </w:p>
    <w:p w14:paraId="5C3795F1" w14:textId="77777777" w:rsidR="00F17898" w:rsidRDefault="00F17898" w:rsidP="00E245AB">
      <w:pPr>
        <w:spacing w:after="0"/>
        <w:rPr>
          <w:rFonts w:ascii="Verdana" w:hAnsi="Verdana"/>
        </w:rPr>
      </w:pPr>
    </w:p>
    <w:p w14:paraId="5BB8EB8F" w14:textId="77777777" w:rsidR="00F17898" w:rsidRDefault="00F17898" w:rsidP="00E245AB">
      <w:pPr>
        <w:spacing w:after="0"/>
        <w:rPr>
          <w:rFonts w:ascii="Verdana" w:hAnsi="Verdana"/>
        </w:rPr>
      </w:pPr>
    </w:p>
    <w:p w14:paraId="6F565CD5" w14:textId="77777777" w:rsidR="00F17898" w:rsidRDefault="00F17898" w:rsidP="00E245AB">
      <w:pPr>
        <w:spacing w:after="0"/>
        <w:rPr>
          <w:rFonts w:ascii="Verdana" w:hAnsi="Verdana"/>
        </w:rPr>
      </w:pPr>
    </w:p>
    <w:p w14:paraId="73A6BC9A" w14:textId="77777777" w:rsidR="00F17898" w:rsidRDefault="00F17898" w:rsidP="00E245AB">
      <w:pPr>
        <w:spacing w:after="0"/>
        <w:rPr>
          <w:rFonts w:ascii="Verdana" w:hAnsi="Verdana"/>
        </w:rPr>
      </w:pPr>
    </w:p>
    <w:p w14:paraId="7D56FE10" w14:textId="77777777" w:rsidR="00F17898" w:rsidRDefault="00F17898" w:rsidP="00E245AB">
      <w:pPr>
        <w:spacing w:after="0"/>
        <w:rPr>
          <w:rFonts w:ascii="Verdana" w:hAnsi="Verdana"/>
        </w:rPr>
      </w:pPr>
    </w:p>
    <w:p w14:paraId="5C1318FE" w14:textId="77777777" w:rsidR="00F17898" w:rsidRDefault="00F17898" w:rsidP="00E245AB">
      <w:pPr>
        <w:spacing w:after="0"/>
        <w:rPr>
          <w:rFonts w:ascii="Verdana" w:hAnsi="Verdana"/>
        </w:rPr>
      </w:pPr>
    </w:p>
    <w:p w14:paraId="57669FAE" w14:textId="77777777" w:rsidR="00F17898" w:rsidRDefault="00F17898" w:rsidP="00E245AB">
      <w:pPr>
        <w:spacing w:after="0"/>
        <w:rPr>
          <w:rFonts w:ascii="Verdana" w:hAnsi="Verdana"/>
        </w:rPr>
      </w:pPr>
    </w:p>
    <w:p w14:paraId="44A70543" w14:textId="77777777" w:rsidR="00F17898" w:rsidRDefault="00F17898" w:rsidP="00E245AB">
      <w:pPr>
        <w:spacing w:after="0"/>
        <w:rPr>
          <w:rFonts w:ascii="Verdana" w:hAnsi="Verdana"/>
        </w:rPr>
      </w:pPr>
    </w:p>
    <w:p w14:paraId="4B7A7B94" w14:textId="77777777" w:rsidR="00F17898" w:rsidRDefault="00F17898" w:rsidP="00E245AB">
      <w:pPr>
        <w:spacing w:after="0"/>
        <w:rPr>
          <w:rFonts w:ascii="Verdana" w:hAnsi="Verdana"/>
        </w:rPr>
      </w:pPr>
    </w:p>
    <w:p w14:paraId="1E431119" w14:textId="77777777" w:rsidR="00F17898" w:rsidRDefault="00F17898" w:rsidP="00E245AB">
      <w:pPr>
        <w:spacing w:after="0"/>
        <w:rPr>
          <w:rFonts w:ascii="Verdana" w:hAnsi="Verdana"/>
        </w:rPr>
      </w:pPr>
    </w:p>
    <w:p w14:paraId="55A4A979" w14:textId="77777777" w:rsidR="00F17898" w:rsidRDefault="00F17898" w:rsidP="00E245AB">
      <w:pPr>
        <w:spacing w:after="0"/>
        <w:rPr>
          <w:rFonts w:ascii="Verdana" w:hAnsi="Verdana"/>
        </w:rPr>
      </w:pPr>
    </w:p>
    <w:p w14:paraId="78A776A5" w14:textId="77777777" w:rsidR="00F17898" w:rsidRDefault="00F17898" w:rsidP="00E245AB">
      <w:pPr>
        <w:spacing w:after="0"/>
        <w:rPr>
          <w:rFonts w:ascii="Verdana" w:hAnsi="Verdana"/>
        </w:rPr>
      </w:pPr>
    </w:p>
    <w:p w14:paraId="7619D67F" w14:textId="77777777" w:rsidR="00F17898" w:rsidRDefault="00F17898" w:rsidP="00E245AB">
      <w:pPr>
        <w:spacing w:after="0"/>
        <w:rPr>
          <w:rFonts w:ascii="Verdana" w:hAnsi="Verdana"/>
        </w:rPr>
      </w:pPr>
    </w:p>
    <w:p w14:paraId="2DF76C25" w14:textId="77777777" w:rsidR="00F17898" w:rsidRDefault="00F17898" w:rsidP="00E245AB">
      <w:pPr>
        <w:spacing w:after="0"/>
        <w:rPr>
          <w:rFonts w:ascii="Verdana" w:hAnsi="Verdana"/>
        </w:rPr>
      </w:pPr>
    </w:p>
    <w:p w14:paraId="7F8252D2" w14:textId="77777777" w:rsidR="00F17898" w:rsidRDefault="00F17898" w:rsidP="00E245AB">
      <w:pPr>
        <w:spacing w:after="0"/>
        <w:rPr>
          <w:rFonts w:ascii="Verdana" w:hAnsi="Verdana"/>
        </w:rPr>
      </w:pPr>
    </w:p>
    <w:p w14:paraId="1389A941" w14:textId="77777777" w:rsidR="00F17898" w:rsidRDefault="00F17898" w:rsidP="00E245AB">
      <w:pPr>
        <w:spacing w:after="0"/>
        <w:rPr>
          <w:rFonts w:ascii="Verdana" w:hAnsi="Verdana"/>
        </w:rPr>
      </w:pPr>
    </w:p>
    <w:p w14:paraId="57539C77" w14:textId="77777777" w:rsidR="00F17898" w:rsidRDefault="00F17898" w:rsidP="00E245AB">
      <w:pPr>
        <w:spacing w:after="0"/>
        <w:rPr>
          <w:rFonts w:ascii="Verdana" w:hAnsi="Verdana"/>
        </w:rPr>
      </w:pPr>
    </w:p>
    <w:p w14:paraId="341FDAC5" w14:textId="77777777" w:rsidR="00F17898" w:rsidRDefault="00F17898" w:rsidP="00E245AB">
      <w:pPr>
        <w:spacing w:after="0"/>
        <w:rPr>
          <w:rFonts w:ascii="Verdana" w:hAnsi="Verdana"/>
        </w:rPr>
      </w:pPr>
    </w:p>
    <w:p w14:paraId="58C04946" w14:textId="77777777" w:rsidR="00F17898" w:rsidRDefault="00F17898" w:rsidP="00E245AB">
      <w:pPr>
        <w:spacing w:after="0"/>
        <w:rPr>
          <w:rFonts w:ascii="Verdana" w:hAnsi="Verdana"/>
        </w:rPr>
      </w:pPr>
    </w:p>
    <w:p w14:paraId="06FAE1FD" w14:textId="77777777" w:rsidR="00F17898" w:rsidRDefault="00F17898" w:rsidP="00E245AB">
      <w:pPr>
        <w:spacing w:after="0"/>
        <w:rPr>
          <w:rFonts w:ascii="Verdana" w:hAnsi="Verdana"/>
        </w:rPr>
      </w:pPr>
    </w:p>
    <w:p w14:paraId="1442DE5A" w14:textId="77777777" w:rsidR="00F17898" w:rsidRDefault="00F17898" w:rsidP="00E245AB">
      <w:pPr>
        <w:spacing w:after="0"/>
        <w:rPr>
          <w:rFonts w:ascii="Verdana" w:hAnsi="Verdana"/>
        </w:rPr>
      </w:pPr>
    </w:p>
    <w:p w14:paraId="40F77251" w14:textId="77777777" w:rsidR="00F17898" w:rsidRDefault="00F17898" w:rsidP="00E245AB">
      <w:pPr>
        <w:spacing w:after="0"/>
        <w:rPr>
          <w:rFonts w:ascii="Verdana" w:hAnsi="Verdana"/>
        </w:rPr>
      </w:pPr>
    </w:p>
    <w:p w14:paraId="69AF7BEA" w14:textId="77777777" w:rsidR="00F17898" w:rsidRDefault="00F17898" w:rsidP="00E245AB">
      <w:pPr>
        <w:spacing w:after="0"/>
        <w:rPr>
          <w:rFonts w:ascii="Verdana" w:hAnsi="Verdana"/>
        </w:rPr>
      </w:pPr>
    </w:p>
    <w:p w14:paraId="68B68B2C" w14:textId="77777777" w:rsidR="00F17898" w:rsidRDefault="00F17898" w:rsidP="00E245AB">
      <w:pPr>
        <w:spacing w:after="0"/>
        <w:rPr>
          <w:rFonts w:ascii="Verdana" w:hAnsi="Verdana"/>
        </w:rPr>
      </w:pPr>
    </w:p>
    <w:p w14:paraId="05B81789" w14:textId="77777777" w:rsidR="00F17898" w:rsidRDefault="00F17898" w:rsidP="00E245AB">
      <w:pPr>
        <w:spacing w:after="0"/>
        <w:rPr>
          <w:rFonts w:ascii="Verdana" w:hAnsi="Verdana"/>
        </w:rPr>
      </w:pPr>
    </w:p>
    <w:p w14:paraId="729E1582" w14:textId="77777777" w:rsidR="00F17898" w:rsidRDefault="00F17898" w:rsidP="00E245AB">
      <w:pPr>
        <w:spacing w:after="0"/>
        <w:rPr>
          <w:rFonts w:ascii="Verdana" w:hAnsi="Verdana"/>
        </w:rPr>
      </w:pPr>
    </w:p>
    <w:p w14:paraId="3FE2184B" w14:textId="026B8A1C" w:rsidR="00E245AB" w:rsidRPr="0044528D" w:rsidRDefault="00E245AB" w:rsidP="00E245AB">
      <w:pPr>
        <w:spacing w:after="0"/>
        <w:rPr>
          <w:rFonts w:ascii="Verdana" w:hAnsi="Verdana"/>
        </w:rPr>
      </w:pPr>
      <w:bookmarkStart w:id="1" w:name="_Hlk175586357"/>
      <w:r w:rsidRPr="0044528D">
        <w:rPr>
          <w:rFonts w:ascii="Verdana" w:hAnsi="Verdana"/>
        </w:rPr>
        <w:t xml:space="preserve">Bogotá D.C., </w:t>
      </w:r>
      <w:r w:rsidR="00891928" w:rsidRPr="0044528D">
        <w:rPr>
          <w:rFonts w:ascii="Verdana" w:hAnsi="Verdana"/>
        </w:rPr>
        <w:t>[Día] [Mes</w:t>
      </w:r>
      <w:r w:rsidR="00E413EA">
        <w:rPr>
          <w:rFonts w:ascii="Verdana" w:hAnsi="Verdana"/>
        </w:rPr>
        <w:t>.</w:t>
      </w:r>
      <w:r w:rsidR="00891928" w:rsidRPr="0044528D">
        <w:rPr>
          <w:rFonts w:ascii="Verdana" w:hAnsi="Verdana"/>
        </w:rPr>
        <w:t>NombreCapitalizado] [Año]</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p w14:paraId="4E936718" w14:textId="77777777" w:rsidR="00CD638B" w:rsidRPr="000A6E11" w:rsidRDefault="00CD638B" w:rsidP="00CD638B">
      <w:pPr>
        <w:spacing w:after="0" w:line="240" w:lineRule="auto"/>
        <w:jc w:val="both"/>
        <w:rPr>
          <w:rFonts w:ascii="Verdana" w:eastAsia="Calibri" w:hAnsi="Verdana" w:cs="Arial"/>
          <w:lang w:val="en-US" w:eastAsia="es-ES"/>
        </w:rPr>
      </w:pPr>
      <w:r w:rsidRPr="000A6E11">
        <w:rPr>
          <w:rFonts w:ascii="Verdana" w:eastAsia="Calibri" w:hAnsi="Verdana" w:cs="Arial"/>
          <w:lang w:val="en-US" w:eastAsia="es-ES"/>
        </w:rPr>
        <w:t>Señor</w:t>
      </w:r>
    </w:p>
    <w:p w14:paraId="07E6DE9C" w14:textId="77777777" w:rsidR="00CD638B" w:rsidRDefault="00CD638B" w:rsidP="00CD638B">
      <w:pPr>
        <w:spacing w:after="0" w:line="240" w:lineRule="auto"/>
        <w:rPr>
          <w:rFonts w:ascii="Verdana" w:eastAsia="Calibri" w:hAnsi="Verdana" w:cs="Arial"/>
          <w:b/>
          <w:lang w:val="en-US" w:eastAsia="es-ES_tradnl"/>
        </w:rPr>
      </w:pPr>
      <w:r w:rsidRPr="0000468B">
        <w:rPr>
          <w:rFonts w:ascii="Verdana" w:eastAsia="Calibri" w:hAnsi="Verdana" w:cs="Arial"/>
          <w:b/>
          <w:lang w:val="en-US" w:eastAsia="es-ES_tradnl"/>
        </w:rPr>
        <w:t>WILFER MORENO DUARTE</w:t>
      </w:r>
    </w:p>
    <w:p w14:paraId="3EF6C6D0" w14:textId="77777777" w:rsidR="00CD638B" w:rsidRPr="000A6E11" w:rsidRDefault="00CD638B" w:rsidP="00CD638B">
      <w:pPr>
        <w:spacing w:after="0" w:line="240" w:lineRule="auto"/>
        <w:rPr>
          <w:rFonts w:ascii="Verdana" w:eastAsia="Calibri" w:hAnsi="Verdana" w:cs="Arial"/>
          <w:u w:val="single"/>
          <w:lang w:val="en-US" w:eastAsia="es-ES"/>
        </w:rPr>
      </w:pPr>
      <w:r>
        <w:rPr>
          <w:rFonts w:ascii="Verdana" w:eastAsia="Calibri" w:hAnsi="Verdana" w:cs="Arial"/>
          <w:u w:val="single"/>
          <w:lang w:val="en-US" w:eastAsia="es-ES"/>
        </w:rPr>
        <w:t>metadatos@gmail.com</w:t>
      </w:r>
    </w:p>
    <w:p w14:paraId="1C35DF9F" w14:textId="77777777" w:rsidR="00CD638B" w:rsidRPr="00B96799" w:rsidRDefault="00CD638B" w:rsidP="00CD638B">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59D0AA3B" w14:textId="77777777" w:rsidR="00CD638B" w:rsidRPr="00593A5F" w:rsidRDefault="00CD638B" w:rsidP="00CD638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D638B" w:rsidRPr="00593A5F" w14:paraId="4FD05D5F" w14:textId="77777777" w:rsidTr="00943A7D">
        <w:trPr>
          <w:trHeight w:val="884"/>
        </w:trPr>
        <w:tc>
          <w:tcPr>
            <w:tcW w:w="2689" w:type="dxa"/>
          </w:tcPr>
          <w:p w14:paraId="351F809C" w14:textId="77777777" w:rsidR="00CD638B" w:rsidRPr="00C00976" w:rsidRDefault="00CD638B" w:rsidP="00943A7D">
            <w:pPr>
              <w:jc w:val="both"/>
              <w:rPr>
                <w:rFonts w:ascii="Verdana" w:eastAsia="Calibri" w:hAnsi="Verdana" w:cs="Arial"/>
                <w:b/>
                <w:bCs/>
                <w:color w:val="7030A0"/>
                <w:lang w:val="es-ES_tradnl" w:eastAsia="es-ES_tradnl"/>
              </w:rPr>
            </w:pPr>
          </w:p>
        </w:tc>
        <w:tc>
          <w:tcPr>
            <w:tcW w:w="6100" w:type="dxa"/>
          </w:tcPr>
          <w:p w14:paraId="1495BF16" w14:textId="77777777" w:rsidR="00CD638B" w:rsidRPr="00C00976" w:rsidRDefault="00CD638B" w:rsidP="00943A7D">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Pr>
                <w:rFonts w:ascii="Verdana" w:eastAsia="Calibri" w:hAnsi="Verdana" w:cs="Arial"/>
                <w:b/>
                <w:bCs/>
                <w:lang w:val="es-ES" w:eastAsia="es-ES"/>
              </w:rPr>
              <w:t>333</w:t>
            </w:r>
            <w:r w:rsidRPr="005B0EF0">
              <w:rPr>
                <w:rFonts w:ascii="Verdana" w:eastAsia="Calibri" w:hAnsi="Verdana" w:cs="Arial"/>
                <w:b/>
                <w:bCs/>
                <w:lang w:val="es-ES" w:eastAsia="es-ES"/>
              </w:rPr>
              <w:t xml:space="preserve"> de 2024</w:t>
            </w:r>
          </w:p>
        </w:tc>
      </w:tr>
      <w:tr w:rsidR="00CD638B" w:rsidRPr="00593A5F" w14:paraId="1ACF9A29" w14:textId="77777777" w:rsidTr="00943A7D">
        <w:trPr>
          <w:trHeight w:val="884"/>
        </w:trPr>
        <w:tc>
          <w:tcPr>
            <w:tcW w:w="2689" w:type="dxa"/>
          </w:tcPr>
          <w:p w14:paraId="079AF010" w14:textId="77777777" w:rsidR="00CD638B" w:rsidRPr="00593A5F" w:rsidRDefault="00CD638B" w:rsidP="00943A7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DF85487" w14:textId="77777777" w:rsidR="00CD638B" w:rsidRPr="000D446F" w:rsidRDefault="00CD638B" w:rsidP="00943A7D">
            <w:pPr>
              <w:spacing w:after="160"/>
              <w:jc w:val="both"/>
              <w:rPr>
                <w:rFonts w:ascii="Verdana" w:eastAsia="Calibri" w:hAnsi="Verdana" w:cs="Arial"/>
                <w:lang w:val="es-ES" w:eastAsia="es-ES"/>
              </w:rPr>
            </w:pPr>
            <w:r w:rsidRPr="000D446F">
              <w:rPr>
                <w:rFonts w:ascii="Verdana" w:eastAsia="Century Gothic" w:hAnsi="Verdana" w:cs="Century Gothic"/>
                <w:lang w:val="es-MX"/>
              </w:rPr>
              <w:t>REQUISITOS HABILITANTES – Noción / REQUISITOS HABILITANTES – Autonomía / CAPACIDAD FINANCIERA Y ORGANIZACIONAL – Definición / RUP – Renovación – Efectos – Validez de la información antigua / DECRETO 1041 DE 2022 – Finalidad – Reactivación económica / DECRETO 1041 DE 2022 – Información – Capacidad financiera – Capacidad organizacional / MEJOR AÑO FISCAL – Decreto 399 de 2021– Capacidad financiera – Capacidad organizacional – Interpretación,</w:t>
            </w:r>
            <w:r w:rsidRPr="000D446F">
              <w:rPr>
                <w:rFonts w:ascii="Verdana" w:eastAsia="Calibri" w:hAnsi="Verdana" w:cs="Arial"/>
                <w:lang w:val="es-ES" w:eastAsia="en-GB"/>
              </w:rPr>
              <w:t xml:space="preserve"> </w:t>
            </w:r>
            <w:r w:rsidRPr="000D446F">
              <w:rPr>
                <w:rFonts w:ascii="Verdana" w:eastAsia="Century Gothic" w:hAnsi="Verdana" w:cs="Century Gothic"/>
                <w:lang w:val="es-ES"/>
              </w:rPr>
              <w:t xml:space="preserve">DOCUMENTOS TIPO – Fundamento normativo / </w:t>
            </w:r>
            <w:bookmarkStart w:id="2" w:name="_Hlk92205805"/>
            <w:r w:rsidRPr="000D446F">
              <w:rPr>
                <w:rFonts w:ascii="Verdana" w:eastAsia="Century Gothic" w:hAnsi="Verdana" w:cs="Century Gothic"/>
                <w:lang w:val="es-ES"/>
              </w:rPr>
              <w:t xml:space="preserve">DOCUMENTOS TIPO </w:t>
            </w:r>
            <w:bookmarkEnd w:id="2"/>
            <w:r w:rsidRPr="000D446F">
              <w:rPr>
                <w:rFonts w:ascii="Verdana" w:eastAsia="Century Gothic" w:hAnsi="Verdana" w:cs="Century Gothic"/>
              </w:rPr>
              <w:t>– Obligatoriedad de los documentos o pliegos tipo – Ley 2022 de 2020 /</w:t>
            </w:r>
          </w:p>
        </w:tc>
      </w:tr>
      <w:tr w:rsidR="00CD638B" w:rsidRPr="00593A5F" w14:paraId="5E031B76" w14:textId="77777777" w:rsidTr="00943A7D">
        <w:tc>
          <w:tcPr>
            <w:tcW w:w="2689" w:type="dxa"/>
          </w:tcPr>
          <w:p w14:paraId="2959C594" w14:textId="77777777" w:rsidR="00CD638B" w:rsidRPr="006730E9" w:rsidRDefault="00CD638B" w:rsidP="00943A7D">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100" w:type="dxa"/>
          </w:tcPr>
          <w:p w14:paraId="73FD7875" w14:textId="77777777" w:rsidR="00CD638B" w:rsidRPr="006730E9" w:rsidRDefault="00CD638B" w:rsidP="00943A7D">
            <w:pPr>
              <w:jc w:val="both"/>
              <w:rPr>
                <w:rFonts w:ascii="Verdana" w:eastAsia="Calibri" w:hAnsi="Verdana" w:cs="Arial"/>
                <w:lang w:val="es-ES_tradnl" w:eastAsia="es-ES_tradnl"/>
              </w:rPr>
            </w:pPr>
            <w:r w:rsidRPr="00985D4C">
              <w:rPr>
                <w:rFonts w:ascii="Verdana" w:eastAsia="Calibri" w:hAnsi="Verdana" w:cs="Arial"/>
                <w:lang w:val="es-ES_tradnl" w:eastAsia="es-ES_tradnl"/>
              </w:rPr>
              <w:t>Respuesta a consulta con radicado No. P20240712007135</w:t>
            </w:r>
          </w:p>
        </w:tc>
      </w:tr>
    </w:tbl>
    <w:p w14:paraId="38415A8E" w14:textId="77777777" w:rsidR="00CD638B" w:rsidRPr="00593A5F" w:rsidRDefault="00CD638B" w:rsidP="00CD638B">
      <w:pPr>
        <w:spacing w:after="0" w:line="240" w:lineRule="auto"/>
        <w:jc w:val="both"/>
        <w:rPr>
          <w:rFonts w:ascii="Verdana" w:eastAsia="Calibri" w:hAnsi="Verdana" w:cs="Arial"/>
          <w:color w:val="000000"/>
          <w:lang w:val="es-ES_tradnl" w:eastAsia="es-ES_tradnl"/>
        </w:rPr>
      </w:pPr>
    </w:p>
    <w:p w14:paraId="3E3BC783" w14:textId="77777777" w:rsidR="00CD638B" w:rsidRPr="00593A5F" w:rsidRDefault="00CD638B" w:rsidP="00CD638B">
      <w:pPr>
        <w:spacing w:after="0" w:line="240" w:lineRule="auto"/>
        <w:jc w:val="both"/>
        <w:rPr>
          <w:rFonts w:ascii="Verdana" w:eastAsia="Calibri" w:hAnsi="Verdana" w:cs="Arial"/>
          <w:color w:val="000000"/>
          <w:lang w:val="es-ES_tradnl" w:eastAsia="es-ES_tradnl"/>
        </w:rPr>
      </w:pPr>
    </w:p>
    <w:p w14:paraId="1661C2D6" w14:textId="77777777" w:rsidR="00CD638B" w:rsidRPr="006730E9" w:rsidRDefault="00CD638B" w:rsidP="00CD638B">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 xml:space="preserve">señor </w:t>
      </w:r>
      <w:r>
        <w:rPr>
          <w:rFonts w:ascii="Verdana" w:eastAsia="Calibri" w:hAnsi="Verdana" w:cs="Arial"/>
          <w:lang w:val="es-ES" w:eastAsia="es-ES"/>
        </w:rPr>
        <w:t>Moreno;</w:t>
      </w:r>
      <w:r w:rsidRPr="006730E9">
        <w:rPr>
          <w:rFonts w:ascii="Verdana" w:eastAsia="Calibri" w:hAnsi="Verdana" w:cs="Arial"/>
          <w:lang w:val="es-ES" w:eastAsia="es-ES"/>
        </w:rPr>
        <w:t xml:space="preserve"> </w:t>
      </w:r>
    </w:p>
    <w:p w14:paraId="3F7C41D7" w14:textId="77777777" w:rsidR="00CD638B" w:rsidRDefault="00CD638B" w:rsidP="00CD638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CF6B47E" w14:textId="2C02BB17" w:rsidR="00CD638B" w:rsidRPr="006730E9" w:rsidRDefault="00CD638B" w:rsidP="00CD638B">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 xml:space="preserve">16 </w:t>
      </w:r>
      <w:r w:rsidRPr="006730E9">
        <w:rPr>
          <w:rFonts w:ascii="Verdana" w:eastAsia="Calibri" w:hAnsi="Verdana" w:cs="Arial"/>
          <w:lang w:val="es-ES" w:eastAsia="es-ES"/>
        </w:rPr>
        <w:t>de ju</w:t>
      </w:r>
      <w:r>
        <w:rPr>
          <w:rFonts w:ascii="Verdana" w:eastAsia="Calibri" w:hAnsi="Verdana" w:cs="Arial"/>
          <w:lang w:val="es-ES" w:eastAsia="es-ES"/>
        </w:rPr>
        <w:t>l</w:t>
      </w:r>
      <w:r w:rsidRPr="006730E9">
        <w:rPr>
          <w:rFonts w:ascii="Verdana" w:eastAsia="Calibri" w:hAnsi="Verdana" w:cs="Arial"/>
          <w:lang w:val="es-ES" w:eastAsia="es-ES"/>
        </w:rPr>
        <w:t xml:space="preserve">io de 2024, en la cual manifiesta lo siguiente: </w:t>
      </w:r>
    </w:p>
    <w:p w14:paraId="3F770204" w14:textId="77777777" w:rsidR="00CD638B" w:rsidRPr="00326382" w:rsidRDefault="00CD638B" w:rsidP="00CD638B">
      <w:pPr>
        <w:spacing w:after="0" w:line="240" w:lineRule="auto"/>
        <w:ind w:left="709" w:right="709"/>
        <w:jc w:val="both"/>
        <w:rPr>
          <w:rFonts w:ascii="Verdana" w:hAnsi="Verdana" w:cs="Arial"/>
          <w:sz w:val="20"/>
          <w:szCs w:val="20"/>
          <w:shd w:val="clear" w:color="auto" w:fill="FFFFFF"/>
        </w:rPr>
      </w:pPr>
      <w:bookmarkStart w:id="3" w:name="_Hlk95313578"/>
    </w:p>
    <w:bookmarkEnd w:id="3"/>
    <w:p w14:paraId="53952ECA" w14:textId="77777777" w:rsidR="00CD638B" w:rsidRPr="004D12FA" w:rsidRDefault="00CD638B" w:rsidP="00CD638B">
      <w:pPr>
        <w:pStyle w:val="Prrafodelista"/>
        <w:tabs>
          <w:tab w:val="left" w:pos="142"/>
          <w:tab w:val="left" w:pos="284"/>
        </w:tabs>
        <w:spacing w:line="276" w:lineRule="auto"/>
        <w:ind w:left="426" w:right="1183"/>
        <w:jc w:val="both"/>
        <w:rPr>
          <w:rFonts w:ascii="Verdana" w:eastAsia="Century Gothic" w:hAnsi="Verdana" w:cs="Century Gothic"/>
          <w:i/>
          <w:iCs/>
          <w:lang w:val="es-CO"/>
        </w:rPr>
      </w:pPr>
      <w:r>
        <w:rPr>
          <w:rFonts w:ascii="Verdana" w:eastAsia="Century Gothic" w:hAnsi="Verdana" w:cs="Century Gothic"/>
          <w:i/>
          <w:iCs/>
          <w:lang w:val="es-CO"/>
        </w:rPr>
        <w:t>“</w:t>
      </w:r>
      <w:r w:rsidRPr="004D12FA">
        <w:rPr>
          <w:rFonts w:ascii="Verdana" w:eastAsia="Century Gothic" w:hAnsi="Verdana" w:cs="Century Gothic"/>
          <w:i/>
          <w:iCs/>
          <w:lang w:val="es-CO"/>
        </w:rPr>
        <w:t>1. De conformidad con el Decreto 579 de 31 de mayo de 2022</w:t>
      </w:r>
      <w:r>
        <w:rPr>
          <w:rFonts w:ascii="Verdana" w:eastAsia="Century Gothic" w:hAnsi="Verdana" w:cs="Century Gothic"/>
          <w:i/>
          <w:iCs/>
          <w:lang w:val="es-CO"/>
        </w:rPr>
        <w:t xml:space="preserve"> </w:t>
      </w:r>
      <w:r w:rsidRPr="008A711B">
        <w:rPr>
          <w:rFonts w:ascii="Verdana" w:eastAsia="Century Gothic" w:hAnsi="Verdana" w:cs="Century Gothic"/>
          <w:lang w:val="es-CO"/>
        </w:rPr>
        <w:t>(SIC)</w:t>
      </w:r>
      <w:r w:rsidRPr="004D12FA">
        <w:rPr>
          <w:rFonts w:ascii="Verdana" w:eastAsia="Century Gothic" w:hAnsi="Verdana" w:cs="Century Gothic"/>
          <w:i/>
          <w:iCs/>
          <w:lang w:val="es-CO"/>
        </w:rPr>
        <w:t xml:space="preserve"> las entidades públicas que se rigen o no por el marco jurídico de la contratación estatal en Colombia, Ley 80 y demás decretos reglamentarios, deben evaluar los indicadores </w:t>
      </w:r>
      <w:r w:rsidRPr="004D12FA">
        <w:rPr>
          <w:rFonts w:ascii="Verdana" w:eastAsia="Century Gothic" w:hAnsi="Verdana" w:cs="Century Gothic"/>
          <w:i/>
          <w:iCs/>
          <w:lang w:val="es-CO"/>
        </w:rPr>
        <w:lastRenderedPageBreak/>
        <w:t>financieros, ¿teniendo en cuenta el mejor año fiscal que se refleje en el registro de cada proponente?</w:t>
      </w:r>
    </w:p>
    <w:p w14:paraId="1D30E555" w14:textId="77777777" w:rsidR="00CD638B" w:rsidRPr="004D12FA" w:rsidRDefault="00CD638B" w:rsidP="00CD638B">
      <w:pPr>
        <w:pStyle w:val="Prrafodelista"/>
        <w:tabs>
          <w:tab w:val="left" w:pos="142"/>
          <w:tab w:val="left" w:pos="284"/>
        </w:tabs>
        <w:spacing w:line="276" w:lineRule="auto"/>
        <w:ind w:left="426" w:right="1183"/>
        <w:jc w:val="both"/>
        <w:rPr>
          <w:rFonts w:ascii="Verdana" w:eastAsia="Century Gothic" w:hAnsi="Verdana" w:cs="Century Gothic"/>
          <w:i/>
          <w:iCs/>
          <w:lang w:val="es-CO"/>
        </w:rPr>
      </w:pPr>
      <w:r w:rsidRPr="004D12FA">
        <w:rPr>
          <w:rFonts w:ascii="Verdana" w:eastAsia="Century Gothic" w:hAnsi="Verdana" w:cs="Century Gothic"/>
          <w:i/>
          <w:iCs/>
          <w:lang w:val="es-CO"/>
        </w:rPr>
        <w:t> </w:t>
      </w:r>
    </w:p>
    <w:p w14:paraId="77DAC192" w14:textId="77777777" w:rsidR="00CD638B" w:rsidRPr="004D12FA" w:rsidRDefault="00CD638B" w:rsidP="00CD638B">
      <w:pPr>
        <w:pStyle w:val="Prrafodelista"/>
        <w:tabs>
          <w:tab w:val="left" w:pos="142"/>
          <w:tab w:val="left" w:pos="284"/>
        </w:tabs>
        <w:spacing w:line="276" w:lineRule="auto"/>
        <w:ind w:left="426" w:right="1183"/>
        <w:jc w:val="both"/>
        <w:rPr>
          <w:rFonts w:ascii="Verdana" w:eastAsia="Century Gothic" w:hAnsi="Verdana" w:cs="Century Gothic"/>
          <w:i/>
          <w:iCs/>
          <w:lang w:val="es-CO"/>
        </w:rPr>
      </w:pPr>
      <w:r w:rsidRPr="004D12FA">
        <w:rPr>
          <w:rFonts w:ascii="Verdana" w:eastAsia="Century Gothic" w:hAnsi="Verdana" w:cs="Century Gothic"/>
          <w:i/>
          <w:iCs/>
          <w:lang w:val="es-CO"/>
        </w:rPr>
        <w:t>"PARÁGRAFO TRANSITORIO: 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 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indicadores, teniendo en cuenta el mejor año fiscal que se refleje en el registro de cada proponente".</w:t>
      </w:r>
    </w:p>
    <w:p w14:paraId="1E40FA1F" w14:textId="77777777" w:rsidR="00CD638B" w:rsidRPr="004D12FA" w:rsidRDefault="00CD638B" w:rsidP="00CD638B">
      <w:pPr>
        <w:pStyle w:val="Prrafodelista"/>
        <w:tabs>
          <w:tab w:val="left" w:pos="142"/>
          <w:tab w:val="left" w:pos="284"/>
        </w:tabs>
        <w:spacing w:line="276" w:lineRule="auto"/>
        <w:ind w:left="426" w:right="1183"/>
        <w:jc w:val="both"/>
        <w:rPr>
          <w:rFonts w:ascii="Verdana" w:eastAsia="Century Gothic" w:hAnsi="Verdana" w:cs="Century Gothic"/>
          <w:i/>
          <w:iCs/>
          <w:lang w:val="es-CO"/>
        </w:rPr>
      </w:pPr>
    </w:p>
    <w:p w14:paraId="3DC8494F" w14:textId="77777777" w:rsidR="00CD638B" w:rsidRPr="004D12FA" w:rsidRDefault="00CD638B" w:rsidP="00CD638B">
      <w:pPr>
        <w:pStyle w:val="Prrafodelista"/>
        <w:tabs>
          <w:tab w:val="left" w:pos="142"/>
          <w:tab w:val="left" w:pos="284"/>
        </w:tabs>
        <w:spacing w:line="276" w:lineRule="auto"/>
        <w:ind w:left="426" w:right="1183"/>
        <w:jc w:val="both"/>
        <w:rPr>
          <w:rFonts w:ascii="Verdana" w:eastAsia="Century Gothic" w:hAnsi="Verdana" w:cs="Century Gothic"/>
          <w:i/>
          <w:iCs/>
          <w:lang w:val="es-CO"/>
        </w:rPr>
      </w:pPr>
      <w:r w:rsidRPr="004D12FA">
        <w:rPr>
          <w:rFonts w:ascii="Verdana" w:eastAsia="Century Gothic" w:hAnsi="Verdana" w:cs="Century Gothic"/>
          <w:i/>
          <w:iCs/>
          <w:lang w:val="es-CO"/>
        </w:rPr>
        <w:t>2. En los pliego tipo, se establecen de cuanto deben ser los valores mínimos de todos y cada uno de los indicadores financieros que una entidad estatal, pueda solicitar?</w:t>
      </w:r>
    </w:p>
    <w:p w14:paraId="47B13191" w14:textId="77777777" w:rsidR="00CD638B" w:rsidRPr="004D12FA" w:rsidRDefault="00CD638B" w:rsidP="00CD638B">
      <w:pPr>
        <w:pStyle w:val="Prrafodelista"/>
        <w:tabs>
          <w:tab w:val="left" w:pos="142"/>
          <w:tab w:val="left" w:pos="284"/>
        </w:tabs>
        <w:spacing w:line="276" w:lineRule="auto"/>
        <w:ind w:left="426" w:right="1183"/>
        <w:jc w:val="both"/>
        <w:rPr>
          <w:rFonts w:ascii="Verdana" w:eastAsia="Century Gothic" w:hAnsi="Verdana" w:cs="Century Gothic"/>
          <w:i/>
          <w:iCs/>
          <w:lang w:val="es-CO"/>
        </w:rPr>
      </w:pPr>
    </w:p>
    <w:p w14:paraId="73C767A8" w14:textId="77777777" w:rsidR="00CD638B" w:rsidRPr="004D12FA" w:rsidRDefault="00CD638B" w:rsidP="00CD638B">
      <w:pPr>
        <w:pStyle w:val="Prrafodelista"/>
        <w:tabs>
          <w:tab w:val="left" w:pos="142"/>
          <w:tab w:val="left" w:pos="284"/>
        </w:tabs>
        <w:spacing w:line="276" w:lineRule="auto"/>
        <w:ind w:left="426" w:right="1183"/>
        <w:jc w:val="both"/>
        <w:rPr>
          <w:rFonts w:ascii="Verdana" w:eastAsia="Century Gothic" w:hAnsi="Verdana" w:cs="Century Gothic"/>
          <w:i/>
          <w:iCs/>
          <w:lang w:val="es-CO"/>
        </w:rPr>
      </w:pPr>
      <w:r w:rsidRPr="004D12FA">
        <w:rPr>
          <w:rFonts w:ascii="Verdana" w:eastAsia="Century Gothic" w:hAnsi="Verdana" w:cs="Century Gothic"/>
          <w:i/>
          <w:iCs/>
          <w:lang w:val="es-CO"/>
        </w:rPr>
        <w:t>3. Están obligadas todas las entidades públicas, que se rigen por el marco jurídico de la contratación estatal en Colombia, Ley 80 y demás decretos reglamentarios, a implementar estos pliegos tipo?</w:t>
      </w:r>
      <w:r>
        <w:rPr>
          <w:rFonts w:ascii="Verdana" w:eastAsia="Century Gothic" w:hAnsi="Verdana" w:cs="Century Gothic"/>
          <w:i/>
          <w:iCs/>
          <w:lang w:val="es-CO"/>
        </w:rPr>
        <w:t>”</w:t>
      </w:r>
    </w:p>
    <w:p w14:paraId="43E08C05" w14:textId="77777777" w:rsidR="00CD638B" w:rsidRPr="006730E9" w:rsidRDefault="00CD638B" w:rsidP="00CD638B">
      <w:pPr>
        <w:pStyle w:val="Prrafodelista"/>
        <w:tabs>
          <w:tab w:val="left" w:pos="142"/>
          <w:tab w:val="left" w:pos="284"/>
        </w:tabs>
        <w:spacing w:line="276" w:lineRule="auto"/>
        <w:ind w:left="0"/>
        <w:jc w:val="both"/>
        <w:rPr>
          <w:rFonts w:ascii="Verdana" w:eastAsia="Century Gothic" w:hAnsi="Verdana" w:cs="Century Gothic"/>
          <w:b/>
          <w:bCs/>
        </w:rPr>
      </w:pPr>
    </w:p>
    <w:p w14:paraId="18687C8D" w14:textId="77777777" w:rsidR="00CD638B" w:rsidRDefault="00CD638B" w:rsidP="00CD638B">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593A5F">
        <w:rPr>
          <w:rFonts w:ascii="Verdana" w:eastAsia="Calibri" w:hAnsi="Verdana" w:cs="Arial"/>
          <w:color w:val="000000"/>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B7EF3CD" w14:textId="77777777" w:rsidR="00CD638B" w:rsidRDefault="00CD638B" w:rsidP="00CD638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los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505C03B8" w14:textId="77777777" w:rsidR="00CD638B" w:rsidRPr="00593A5F" w:rsidRDefault="00CD638B" w:rsidP="00CD638B">
      <w:pPr>
        <w:spacing w:after="0" w:line="276" w:lineRule="auto"/>
        <w:ind w:firstLine="709"/>
        <w:jc w:val="both"/>
        <w:rPr>
          <w:rFonts w:ascii="Verdana" w:eastAsia="Calibri" w:hAnsi="Verdana" w:cs="Arial"/>
          <w:color w:val="000000"/>
          <w:lang w:val="es-ES" w:eastAsia="es-ES"/>
        </w:rPr>
      </w:pPr>
    </w:p>
    <w:p w14:paraId="75079A9C" w14:textId="77777777" w:rsidR="00CD638B" w:rsidRPr="00593A5F" w:rsidRDefault="00CD638B" w:rsidP="00CD638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FC33AAC" w14:textId="77777777" w:rsidR="00CD638B" w:rsidRPr="00593A5F" w:rsidRDefault="00CD638B" w:rsidP="00CD638B">
      <w:pPr>
        <w:tabs>
          <w:tab w:val="left" w:pos="426"/>
        </w:tabs>
        <w:spacing w:after="0" w:line="276" w:lineRule="auto"/>
        <w:jc w:val="both"/>
        <w:rPr>
          <w:rFonts w:ascii="Verdana" w:eastAsia="Century Gothic" w:hAnsi="Verdana" w:cs="Century Gothic"/>
          <w:lang w:val="es-ES"/>
        </w:rPr>
      </w:pPr>
    </w:p>
    <w:p w14:paraId="3FAEB6D2" w14:textId="77777777" w:rsidR="00CD638B" w:rsidRDefault="00CD638B" w:rsidP="00CD638B">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los siguiente</w:t>
      </w:r>
      <w:r>
        <w:rPr>
          <w:rFonts w:ascii="Verdana" w:eastAsia="Century Gothic" w:hAnsi="Verdana" w:cs="Century Gothic"/>
        </w:rPr>
        <w:t xml:space="preserve">s </w:t>
      </w:r>
      <w:r w:rsidRPr="00593A5F">
        <w:rPr>
          <w:rFonts w:ascii="Verdana" w:eastAsia="Century Gothic" w:hAnsi="Verdana" w:cs="Century Gothic"/>
        </w:rPr>
        <w:t xml:space="preserve">problemas jurídicos: </w:t>
      </w:r>
    </w:p>
    <w:p w14:paraId="2CA86411" w14:textId="77777777" w:rsidR="00CD638B" w:rsidRDefault="00CD638B" w:rsidP="00CD638B">
      <w:pPr>
        <w:spacing w:after="0" w:line="276" w:lineRule="auto"/>
        <w:jc w:val="both"/>
        <w:rPr>
          <w:rFonts w:ascii="Verdana" w:eastAsia="Century Gothic" w:hAnsi="Verdana" w:cs="Century Gothic"/>
        </w:rPr>
      </w:pPr>
    </w:p>
    <w:p w14:paraId="5313A87B" w14:textId="6B609AF2" w:rsidR="00CD638B" w:rsidRPr="00E06883" w:rsidRDefault="00CD638B" w:rsidP="00CD638B">
      <w:pPr>
        <w:pStyle w:val="Prrafodelista"/>
        <w:numPr>
          <w:ilvl w:val="0"/>
          <w:numId w:val="19"/>
        </w:numPr>
        <w:spacing w:after="0" w:line="276" w:lineRule="auto"/>
        <w:jc w:val="both"/>
        <w:rPr>
          <w:rFonts w:ascii="Verdana" w:eastAsia="Century Gothic" w:hAnsi="Verdana" w:cs="Century Gothic"/>
        </w:rPr>
      </w:pPr>
      <w:r w:rsidRPr="00D83989">
        <w:rPr>
          <w:rFonts w:ascii="Verdana" w:eastAsia="Century Gothic" w:hAnsi="Verdana" w:cs="Century Gothic"/>
        </w:rPr>
        <w:t>¿</w:t>
      </w:r>
      <w:r>
        <w:rPr>
          <w:rFonts w:ascii="Verdana" w:eastAsia="Century Gothic" w:hAnsi="Verdana" w:cs="Century Gothic"/>
          <w:lang w:val="es-CO"/>
        </w:rPr>
        <w:t xml:space="preserve">cómo deben evaluarse </w:t>
      </w:r>
      <w:r w:rsidRPr="00E06883">
        <w:rPr>
          <w:rFonts w:ascii="Verdana" w:eastAsia="Century Gothic" w:hAnsi="Verdana" w:cs="Century Gothic"/>
        </w:rPr>
        <w:t xml:space="preserve">los indicadores financieros en el marco de </w:t>
      </w:r>
      <w:r w:rsidRPr="00E06883">
        <w:rPr>
          <w:rFonts w:ascii="Verdana" w:eastAsia="Century Gothic" w:hAnsi="Verdana" w:cs="Century Gothic"/>
          <w:lang w:val="es-CO"/>
        </w:rPr>
        <w:t>los procesos de selección de contratación pública</w:t>
      </w:r>
      <w:r w:rsidRPr="00E06883">
        <w:rPr>
          <w:rFonts w:ascii="Verdana" w:eastAsia="Century Gothic" w:hAnsi="Verdana" w:cs="Century Gothic"/>
        </w:rPr>
        <w:t>?</w:t>
      </w:r>
      <w:r w:rsidRPr="00E06883">
        <w:rPr>
          <w:rFonts w:ascii="Verdana" w:eastAsia="Century Gothic" w:hAnsi="Verdana" w:cs="Century Gothic"/>
        </w:rPr>
        <w:tab/>
        <w:t xml:space="preserve"> </w:t>
      </w:r>
    </w:p>
    <w:p w14:paraId="34335B63" w14:textId="74252960" w:rsidR="00CD638B" w:rsidRPr="00D83989" w:rsidRDefault="00CD638B" w:rsidP="00CD638B">
      <w:pPr>
        <w:pStyle w:val="Prrafodelista"/>
        <w:numPr>
          <w:ilvl w:val="0"/>
          <w:numId w:val="19"/>
        </w:numPr>
        <w:spacing w:after="0" w:line="276" w:lineRule="auto"/>
        <w:jc w:val="both"/>
        <w:rPr>
          <w:rFonts w:ascii="Verdana" w:eastAsia="Century Gothic" w:hAnsi="Verdana" w:cs="Century Gothic"/>
        </w:rPr>
      </w:pPr>
      <w:r w:rsidRPr="00D83989">
        <w:rPr>
          <w:rFonts w:ascii="Verdana" w:eastAsia="Century Gothic" w:hAnsi="Verdana" w:cs="Century Gothic"/>
        </w:rPr>
        <w:t>¿</w:t>
      </w:r>
      <w:r w:rsidRPr="00D83989">
        <w:rPr>
          <w:rFonts w:ascii="Segoe UI" w:hAnsi="Segoe UI" w:cs="Segoe UI"/>
          <w:lang w:val="es-CO"/>
        </w:rPr>
        <w:t xml:space="preserve"> </w:t>
      </w:r>
      <w:r w:rsidRPr="00D83989">
        <w:rPr>
          <w:rFonts w:ascii="Verdana" w:hAnsi="Verdana" w:cs="Segoe UI"/>
          <w:lang w:val="es-CO"/>
        </w:rPr>
        <w:t>Es</w:t>
      </w:r>
      <w:r w:rsidRPr="00D83989">
        <w:rPr>
          <w:rFonts w:ascii="Verdana" w:eastAsia="Century Gothic" w:hAnsi="Verdana" w:cs="Century Gothic"/>
          <w:lang w:val="es-CO"/>
        </w:rPr>
        <w:t xml:space="preserve"> obligatorio por todas las entidades públicas, que se rigen por el marco jurídico de la contratación estatal en Colombia, Ley 80 y demás decretos reglamentarios la implementación de los pliegos tipo y que establecen los mismos frente a los </w:t>
      </w:r>
      <w:r w:rsidRPr="004D12FA">
        <w:rPr>
          <w:rFonts w:ascii="Verdana" w:eastAsia="Calibri" w:hAnsi="Verdana" w:cs="Arial"/>
          <w:color w:val="000000" w:themeColor="text1"/>
          <w:lang w:val="es-CO"/>
        </w:rPr>
        <w:t>indicadores de capacidad financiera</w:t>
      </w:r>
      <w:r w:rsidRPr="00D83989">
        <w:rPr>
          <w:rFonts w:ascii="Verdana" w:eastAsia="Century Gothic" w:hAnsi="Verdana" w:cs="Century Gothic"/>
        </w:rPr>
        <w:t>?</w:t>
      </w:r>
      <w:r w:rsidRPr="004D12FA">
        <w:rPr>
          <w:rFonts w:ascii="Verdana" w:eastAsia="Calibri" w:hAnsi="Verdana" w:cs="Arial"/>
          <w:color w:val="000000" w:themeColor="text1"/>
          <w:lang w:val="es-CO"/>
        </w:rPr>
        <w:t xml:space="preserve"> </w:t>
      </w:r>
    </w:p>
    <w:p w14:paraId="3145C39A" w14:textId="77777777" w:rsidR="00CD638B" w:rsidRDefault="00CD638B" w:rsidP="00CD638B">
      <w:pPr>
        <w:spacing w:after="0" w:line="276" w:lineRule="auto"/>
        <w:jc w:val="both"/>
        <w:rPr>
          <w:rFonts w:ascii="Verdana" w:eastAsia="Calibri" w:hAnsi="Verdana" w:cs="Arial"/>
          <w:color w:val="7030A0"/>
          <w:lang w:val="es-ES"/>
        </w:rPr>
      </w:pPr>
    </w:p>
    <w:p w14:paraId="5C6DAE3B" w14:textId="77777777" w:rsidR="00CD638B" w:rsidRPr="00593A5F" w:rsidRDefault="00CD638B" w:rsidP="00CD6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6C1EB9E" w14:textId="77777777" w:rsidR="00CD638B" w:rsidRPr="00593A5F" w:rsidRDefault="00CD638B" w:rsidP="00CD638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D638B" w:rsidRPr="00593A5F" w14:paraId="4FA6CEFD" w14:textId="77777777" w:rsidTr="00943A7D">
        <w:tc>
          <w:tcPr>
            <w:tcW w:w="8828" w:type="dxa"/>
            <w:shd w:val="clear" w:color="auto" w:fill="auto"/>
          </w:tcPr>
          <w:p w14:paraId="0878F29B" w14:textId="77777777" w:rsidR="00CD638B" w:rsidRDefault="00CD638B" w:rsidP="00943A7D">
            <w:pPr>
              <w:spacing w:line="276" w:lineRule="auto"/>
              <w:jc w:val="both"/>
              <w:rPr>
                <w:rFonts w:ascii="Verdana" w:eastAsia="Calibri" w:hAnsi="Verdana" w:cs="Arial"/>
                <w:lang w:val="es-ES"/>
              </w:rPr>
            </w:pPr>
          </w:p>
          <w:p w14:paraId="22FFCE7F" w14:textId="3BA2BEF6" w:rsidR="00CD638B" w:rsidRDefault="00CD638B" w:rsidP="00943A7D">
            <w:pPr>
              <w:spacing w:line="276" w:lineRule="auto"/>
              <w:jc w:val="both"/>
              <w:rPr>
                <w:rFonts w:ascii="Verdana" w:eastAsia="Calibri" w:hAnsi="Verdana" w:cs="Arial"/>
                <w:color w:val="000000" w:themeColor="text1"/>
                <w:lang w:val="es-ES"/>
              </w:rPr>
            </w:pPr>
            <w:r w:rsidRPr="00523FF9">
              <w:rPr>
                <w:rFonts w:ascii="Verdana" w:eastAsia="Calibri" w:hAnsi="Verdana" w:cs="Arial"/>
                <w:color w:val="000000" w:themeColor="text1"/>
                <w:lang w:val="es-ES"/>
              </w:rPr>
              <w:t xml:space="preserve">Respecto de los problemas jurídicos antes planteados, </w:t>
            </w:r>
            <w:r w:rsidR="00E70BDC">
              <w:rPr>
                <w:rFonts w:ascii="Verdana" w:eastAsia="Calibri" w:hAnsi="Verdana" w:cs="Arial"/>
                <w:color w:val="000000" w:themeColor="text1"/>
                <w:lang w:val="es-ES"/>
              </w:rPr>
              <w:t>es menester señalar que</w:t>
            </w:r>
          </w:p>
          <w:p w14:paraId="4AA19BBA" w14:textId="77777777" w:rsidR="00CD638B" w:rsidRDefault="00CD638B" w:rsidP="00943A7D">
            <w:pPr>
              <w:spacing w:line="276" w:lineRule="auto"/>
              <w:jc w:val="both"/>
              <w:rPr>
                <w:rFonts w:ascii="Verdana" w:eastAsia="Calibri" w:hAnsi="Verdana" w:cs="Arial"/>
                <w:color w:val="000000" w:themeColor="text1"/>
                <w:lang w:val="es-ES"/>
              </w:rPr>
            </w:pPr>
          </w:p>
          <w:p w14:paraId="2F3A25C5" w14:textId="13F5D055" w:rsidR="00E70BDC" w:rsidRDefault="00E70BDC" w:rsidP="00E70BDC">
            <w:pPr>
              <w:spacing w:line="276" w:lineRule="auto"/>
              <w:jc w:val="both"/>
              <w:rPr>
                <w:rFonts w:ascii="Verdana" w:eastAsia="Calibri" w:hAnsi="Verdana" w:cs="Arial"/>
                <w:color w:val="000000" w:themeColor="text1"/>
              </w:rPr>
            </w:pPr>
            <w:r w:rsidRPr="002D5921">
              <w:rPr>
                <w:rFonts w:ascii="Verdana" w:eastAsia="Calibri" w:hAnsi="Verdana" w:cs="Arial"/>
                <w:color w:val="000000" w:themeColor="text1"/>
              </w:rPr>
              <w:t>Frente al primer interrogante, es pertinente señalar que para establecer los requisitos habilitantes, correspondiente a la capacidad financiera dentro de un proceso de selección sometido al Estatuto General de Contratación de la Administración Pública-EG C AP, cada entidad al momento de estructurar el proceso de selección, es la responsable de definir los indicadores, de forma proporcional a la naturaleza y al valor del contrato, por lo que para ello deberá observarse los resultados del</w:t>
            </w:r>
            <w:r w:rsidR="001A7FA7">
              <w:rPr>
                <w:rFonts w:ascii="Verdana" w:eastAsia="Calibri" w:hAnsi="Verdana" w:cs="Arial"/>
                <w:color w:val="000000" w:themeColor="text1"/>
              </w:rPr>
              <w:t xml:space="preserve"> </w:t>
            </w:r>
            <w:proofErr w:type="spellStart"/>
            <w:r w:rsidR="001A7FA7">
              <w:rPr>
                <w:rFonts w:ascii="Verdana" w:eastAsia="Calibri" w:hAnsi="Verdana" w:cs="Arial"/>
                <w:color w:val="000000" w:themeColor="text1"/>
              </w:rPr>
              <w:t>analisis</w:t>
            </w:r>
            <w:proofErr w:type="spellEnd"/>
            <w:r w:rsidR="001A7FA7">
              <w:rPr>
                <w:rFonts w:ascii="Verdana" w:eastAsia="Calibri" w:hAnsi="Verdana" w:cs="Arial"/>
                <w:color w:val="000000" w:themeColor="text1"/>
              </w:rPr>
              <w:t xml:space="preserve"> del</w:t>
            </w:r>
            <w:r w:rsidRPr="002D5921">
              <w:rPr>
                <w:rFonts w:ascii="Verdana" w:eastAsia="Calibri" w:hAnsi="Verdana" w:cs="Arial"/>
                <w:color w:val="000000" w:themeColor="text1"/>
              </w:rPr>
              <w:t xml:space="preserve"> Sector</w:t>
            </w:r>
            <w:r w:rsidR="001A7FA7">
              <w:rPr>
                <w:rFonts w:ascii="Verdana" w:eastAsia="Calibri" w:hAnsi="Verdana" w:cs="Arial"/>
                <w:color w:val="000000" w:themeColor="text1"/>
              </w:rPr>
              <w:t xml:space="preserve"> y lo estructurado en los estudios previos</w:t>
            </w:r>
            <w:r w:rsidRPr="002D5921">
              <w:rPr>
                <w:rFonts w:ascii="Verdana" w:eastAsia="Calibri" w:hAnsi="Verdana" w:cs="Arial"/>
                <w:color w:val="000000" w:themeColor="text1"/>
              </w:rPr>
              <w:t xml:space="preserve"> para el respectivo Proceso de Contratación. </w:t>
            </w:r>
          </w:p>
          <w:p w14:paraId="64C7CBC2" w14:textId="77777777" w:rsidR="00E70BDC" w:rsidRPr="002D5921" w:rsidRDefault="00E70BDC" w:rsidP="002D5921">
            <w:pPr>
              <w:spacing w:line="276" w:lineRule="auto"/>
              <w:jc w:val="both"/>
              <w:rPr>
                <w:rFonts w:ascii="Verdana" w:eastAsia="Calibri" w:hAnsi="Verdana" w:cs="Arial"/>
                <w:color w:val="000000" w:themeColor="text1"/>
              </w:rPr>
            </w:pPr>
          </w:p>
          <w:p w14:paraId="4222210F" w14:textId="5B86F5F2" w:rsidR="00E70BDC" w:rsidRPr="002D5921" w:rsidRDefault="00E70BDC" w:rsidP="002D5921">
            <w:pPr>
              <w:spacing w:line="276" w:lineRule="auto"/>
              <w:jc w:val="both"/>
              <w:rPr>
                <w:rFonts w:ascii="Verdana" w:eastAsia="Calibri" w:hAnsi="Verdana" w:cs="Arial"/>
                <w:color w:val="000000" w:themeColor="text1"/>
              </w:rPr>
            </w:pPr>
            <w:r w:rsidRPr="002D5921">
              <w:rPr>
                <w:rFonts w:ascii="Verdana" w:eastAsia="Calibri" w:hAnsi="Verdana" w:cs="Arial"/>
                <w:color w:val="000000" w:themeColor="text1"/>
              </w:rPr>
              <w:lastRenderedPageBreak/>
              <w:t xml:space="preserve">En </w:t>
            </w:r>
            <w:r w:rsidR="001A7FA7">
              <w:rPr>
                <w:rFonts w:ascii="Verdana" w:eastAsia="Calibri" w:hAnsi="Verdana" w:cs="Arial"/>
                <w:color w:val="000000" w:themeColor="text1"/>
              </w:rPr>
              <w:t>ese sentido</w:t>
            </w:r>
            <w:r w:rsidRPr="002D5921">
              <w:rPr>
                <w:rFonts w:ascii="Verdana" w:eastAsia="Calibri" w:hAnsi="Verdana" w:cs="Arial"/>
                <w:color w:val="000000" w:themeColor="text1"/>
              </w:rPr>
              <w:t>,</w:t>
            </w:r>
            <w:r w:rsidR="001A7FA7">
              <w:rPr>
                <w:rFonts w:ascii="Verdana" w:eastAsia="Calibri" w:hAnsi="Verdana" w:cs="Arial"/>
                <w:color w:val="000000" w:themeColor="text1"/>
              </w:rPr>
              <w:t xml:space="preserve"> la entidad estatal </w:t>
            </w:r>
            <w:r w:rsidRPr="002D5921">
              <w:rPr>
                <w:rFonts w:ascii="Verdana" w:eastAsia="Calibri" w:hAnsi="Verdana" w:cs="Arial"/>
                <w:color w:val="000000" w:themeColor="text1"/>
              </w:rPr>
              <w:t xml:space="preserve">deberá </w:t>
            </w:r>
            <w:r w:rsidR="001A7FA7">
              <w:rPr>
                <w:rFonts w:ascii="Verdana" w:eastAsia="Calibri" w:hAnsi="Verdana" w:cs="Arial"/>
                <w:color w:val="000000" w:themeColor="text1"/>
              </w:rPr>
              <w:t>fijar</w:t>
            </w:r>
            <w:r w:rsidRPr="002D5921">
              <w:rPr>
                <w:rFonts w:ascii="Verdana" w:eastAsia="Calibri" w:hAnsi="Verdana" w:cs="Arial"/>
                <w:color w:val="000000" w:themeColor="text1"/>
              </w:rPr>
              <w:t xml:space="preserve"> las condiciones de los indicadores financieros con los que cuentan los posibles proponentes</w:t>
            </w:r>
            <w:r w:rsidR="001A7FA7">
              <w:rPr>
                <w:rFonts w:ascii="Verdana" w:eastAsia="Calibri" w:hAnsi="Verdana" w:cs="Arial"/>
                <w:color w:val="000000" w:themeColor="text1"/>
              </w:rPr>
              <w:t xml:space="preserve"> tanto en el estudio previo como en los documentos precontractuales</w:t>
            </w:r>
            <w:r w:rsidRPr="002D5921">
              <w:rPr>
                <w:rFonts w:ascii="Verdana" w:eastAsia="Calibri" w:hAnsi="Verdana" w:cs="Arial"/>
                <w:color w:val="000000" w:themeColor="text1"/>
              </w:rPr>
              <w:t xml:space="preserve">, </w:t>
            </w:r>
            <w:r w:rsidR="001A7FA7">
              <w:rPr>
                <w:rFonts w:ascii="Verdana" w:eastAsia="Calibri" w:hAnsi="Verdana" w:cs="Arial"/>
                <w:color w:val="000000" w:themeColor="text1"/>
              </w:rPr>
              <w:t xml:space="preserve">y evaluarlos en el momento oportuno conforme a lo estipulado en la normativa vigente. En </w:t>
            </w:r>
            <w:proofErr w:type="spellStart"/>
            <w:r w:rsidR="001A7FA7">
              <w:rPr>
                <w:rFonts w:ascii="Verdana" w:eastAsia="Calibri" w:hAnsi="Verdana" w:cs="Arial"/>
                <w:color w:val="000000" w:themeColor="text1"/>
              </w:rPr>
              <w:t>consecuecia</w:t>
            </w:r>
            <w:proofErr w:type="spellEnd"/>
            <w:r w:rsidR="001A7FA7">
              <w:rPr>
                <w:rFonts w:ascii="Verdana" w:eastAsia="Calibri" w:hAnsi="Verdana" w:cs="Arial"/>
                <w:color w:val="000000" w:themeColor="text1"/>
              </w:rPr>
              <w:t>, s</w:t>
            </w:r>
            <w:r w:rsidRPr="002D5921">
              <w:rPr>
                <w:rFonts w:ascii="Verdana" w:eastAsia="Calibri" w:hAnsi="Verdana" w:cs="Arial"/>
                <w:color w:val="000000" w:themeColor="text1"/>
              </w:rPr>
              <w:t>on indicadores de la capacidad financiera los señalados en el artículo 2.2.1.1.1.5.3.</w:t>
            </w:r>
            <w:r>
              <w:rPr>
                <w:rStyle w:val="Refdenotaalpie"/>
                <w:rFonts w:ascii="Verdana" w:eastAsia="Calibri" w:hAnsi="Verdana" w:cs="Arial"/>
                <w:color w:val="000000" w:themeColor="text1"/>
              </w:rPr>
              <w:footnoteReference w:id="1"/>
            </w:r>
            <w:r w:rsidRPr="002D5921">
              <w:rPr>
                <w:rFonts w:ascii="Verdana" w:eastAsia="Calibri" w:hAnsi="Verdana" w:cs="Arial"/>
                <w:color w:val="000000" w:themeColor="text1"/>
              </w:rPr>
              <w:t xml:space="preserve"> del Decreto 1082 de 2015</w:t>
            </w:r>
            <w:r w:rsidR="001A7FA7">
              <w:rPr>
                <w:rFonts w:ascii="Verdana" w:eastAsia="Calibri" w:hAnsi="Verdana" w:cs="Arial"/>
                <w:color w:val="000000" w:themeColor="text1"/>
              </w:rPr>
              <w:t xml:space="preserve"> relacionados con el indice de liquidez, indice de endeudamiento y razón de cobertura de intereses, los cuales permitiran escoger la oferta más favorable en cuanto al musculo financiero que requiere la entidad por parte del proveedor.</w:t>
            </w:r>
          </w:p>
          <w:p w14:paraId="325B22BA" w14:textId="77777777" w:rsidR="00E70BDC" w:rsidRDefault="00E70BDC" w:rsidP="00E70BDC">
            <w:pPr>
              <w:spacing w:line="276" w:lineRule="auto"/>
              <w:jc w:val="both"/>
              <w:rPr>
                <w:rFonts w:ascii="Verdana" w:eastAsia="Calibri" w:hAnsi="Verdana" w:cs="Arial"/>
                <w:color w:val="000000" w:themeColor="text1"/>
                <w:lang w:val="es-ES"/>
              </w:rPr>
            </w:pPr>
          </w:p>
          <w:p w14:paraId="6D501116" w14:textId="3AA74986" w:rsidR="00E70BDC" w:rsidRDefault="00E70BDC" w:rsidP="00E70BDC">
            <w:pPr>
              <w:spacing w:line="276" w:lineRule="auto"/>
              <w:jc w:val="both"/>
              <w:rPr>
                <w:rFonts w:ascii="Verdana" w:eastAsia="Calibri" w:hAnsi="Verdana" w:cs="Arial"/>
                <w:color w:val="000000" w:themeColor="text1"/>
              </w:rPr>
            </w:pPr>
            <w:r w:rsidRPr="00473EF8">
              <w:rPr>
                <w:rFonts w:ascii="Verdana" w:eastAsia="Calibri" w:hAnsi="Verdana" w:cs="Arial"/>
                <w:color w:val="000000" w:themeColor="text1"/>
              </w:rPr>
              <w:t>En ese sent</w:t>
            </w:r>
            <w:r w:rsidR="00B52F90">
              <w:rPr>
                <w:rFonts w:ascii="Verdana" w:eastAsia="Calibri" w:hAnsi="Verdana" w:cs="Arial"/>
                <w:color w:val="000000" w:themeColor="text1"/>
              </w:rPr>
              <w:t>ido</w:t>
            </w:r>
            <w:r w:rsidRPr="00473EF8">
              <w:rPr>
                <w:rFonts w:ascii="Verdana" w:eastAsia="Calibri" w:hAnsi="Verdana" w:cs="Arial"/>
                <w:color w:val="000000" w:themeColor="text1"/>
              </w:rPr>
              <w:t xml:space="preserve">, la Entidad Estatal debe determinar los </w:t>
            </w:r>
            <w:r w:rsidR="00B52F90">
              <w:rPr>
                <w:rFonts w:ascii="Verdana" w:eastAsia="Calibri" w:hAnsi="Verdana" w:cs="Arial"/>
                <w:color w:val="000000" w:themeColor="text1"/>
              </w:rPr>
              <w:t xml:space="preserve">rangos de los indicadores financieros </w:t>
            </w:r>
            <w:r w:rsidRPr="00473EF8">
              <w:rPr>
                <w:rFonts w:ascii="Verdana" w:eastAsia="Calibri" w:hAnsi="Verdana" w:cs="Arial"/>
                <w:color w:val="000000" w:themeColor="text1"/>
              </w:rPr>
              <w:t>en comento teniendo en cuenta lo que mide el indicador</w:t>
            </w:r>
            <w:r w:rsidR="00B52F90">
              <w:rPr>
                <w:rFonts w:ascii="Verdana" w:eastAsia="Calibri" w:hAnsi="Verdana" w:cs="Arial"/>
                <w:color w:val="000000" w:themeColor="text1"/>
              </w:rPr>
              <w:t xml:space="preserve">: </w:t>
            </w:r>
          </w:p>
          <w:p w14:paraId="73F7C539" w14:textId="77777777" w:rsidR="00B52F90" w:rsidRDefault="00B52F90" w:rsidP="002D5921">
            <w:pPr>
              <w:pStyle w:val="NormalWeb"/>
              <w:numPr>
                <w:ilvl w:val="0"/>
                <w:numId w:val="22"/>
              </w:numPr>
              <w:shd w:val="clear" w:color="auto" w:fill="FFFFFF"/>
              <w:spacing w:before="0" w:beforeAutospacing="0" w:after="0" w:afterAutospacing="0"/>
              <w:jc w:val="both"/>
              <w:rPr>
                <w:rFonts w:ascii="Arial" w:hAnsi="Arial" w:cs="Arial"/>
                <w:color w:val="333333"/>
              </w:rPr>
            </w:pPr>
            <w:r>
              <w:rPr>
                <w:rFonts w:ascii="Arial" w:hAnsi="Arial" w:cs="Arial"/>
                <w:color w:val="333333"/>
              </w:rPr>
              <w:t>Índice de liquidez: activo corriente dividido por el pasivo corriente.</w:t>
            </w:r>
          </w:p>
          <w:p w14:paraId="287054B1" w14:textId="7BE3F9EC" w:rsidR="00B52F90" w:rsidRPr="00B52F90" w:rsidRDefault="00B52F90" w:rsidP="002D5921">
            <w:pPr>
              <w:pStyle w:val="NormalWeb"/>
              <w:numPr>
                <w:ilvl w:val="0"/>
                <w:numId w:val="22"/>
              </w:numPr>
              <w:shd w:val="clear" w:color="auto" w:fill="FFFFFF"/>
              <w:spacing w:before="0" w:beforeAutospacing="0" w:after="0" w:afterAutospacing="0"/>
              <w:jc w:val="both"/>
              <w:rPr>
                <w:rFonts w:ascii="Arial" w:hAnsi="Arial" w:cs="Arial"/>
                <w:color w:val="333333"/>
              </w:rPr>
            </w:pPr>
            <w:r w:rsidRPr="00B52F90">
              <w:rPr>
                <w:rFonts w:ascii="Arial" w:hAnsi="Arial" w:cs="Arial"/>
                <w:color w:val="333333"/>
              </w:rPr>
              <w:t>Índice de endeudamiento: pasivo total dividido por el activo total.</w:t>
            </w:r>
          </w:p>
          <w:p w14:paraId="786DC3FE" w14:textId="541127EE" w:rsidR="00B52F90" w:rsidRDefault="00B52F90" w:rsidP="002D5921">
            <w:pPr>
              <w:pStyle w:val="NormalWeb"/>
              <w:numPr>
                <w:ilvl w:val="0"/>
                <w:numId w:val="22"/>
              </w:numPr>
              <w:shd w:val="clear" w:color="auto" w:fill="FFFFFF"/>
              <w:spacing w:before="0" w:beforeAutospacing="0" w:after="0" w:afterAutospacing="0"/>
              <w:jc w:val="both"/>
              <w:rPr>
                <w:rFonts w:ascii="Arial" w:hAnsi="Arial" w:cs="Arial"/>
                <w:color w:val="333333"/>
              </w:rPr>
            </w:pPr>
            <w:r>
              <w:rPr>
                <w:rFonts w:ascii="Arial" w:hAnsi="Arial" w:cs="Arial"/>
                <w:color w:val="333333"/>
              </w:rPr>
              <w:t>Razón de cobertura de intereses: utilidad operacional dividida por los gastos de intereses.</w:t>
            </w:r>
          </w:p>
          <w:p w14:paraId="33AC58D4" w14:textId="77777777" w:rsidR="00E70BDC" w:rsidRDefault="00E70BDC" w:rsidP="00E70BDC">
            <w:pPr>
              <w:spacing w:line="276" w:lineRule="auto"/>
              <w:jc w:val="both"/>
              <w:rPr>
                <w:rFonts w:ascii="Verdana" w:eastAsia="Calibri" w:hAnsi="Verdana" w:cs="Arial"/>
                <w:color w:val="000000" w:themeColor="text1"/>
              </w:rPr>
            </w:pPr>
          </w:p>
          <w:p w14:paraId="45181ECA" w14:textId="050FBF94" w:rsidR="00E70BDC" w:rsidRDefault="00B52F90" w:rsidP="00E70BDC">
            <w:pPr>
              <w:spacing w:line="276" w:lineRule="auto"/>
              <w:jc w:val="both"/>
              <w:rPr>
                <w:rFonts w:ascii="Verdana" w:eastAsia="Calibri" w:hAnsi="Verdana" w:cs="Arial"/>
                <w:color w:val="000000" w:themeColor="text1"/>
              </w:rPr>
            </w:pPr>
            <w:r>
              <w:rPr>
                <w:rFonts w:ascii="Verdana" w:eastAsia="Calibri" w:hAnsi="Verdana" w:cs="Arial"/>
                <w:color w:val="000000" w:themeColor="text1"/>
              </w:rPr>
              <w:t xml:space="preserve">En todo caso, </w:t>
            </w:r>
            <w:r>
              <w:rPr>
                <w:rFonts w:ascii="Verdana" w:eastAsia="Calibri" w:hAnsi="Verdana" w:cs="Arial"/>
                <w:color w:val="000000" w:themeColor="text1"/>
                <w:lang w:val="es-ES"/>
              </w:rPr>
              <w:t>p</w:t>
            </w:r>
            <w:r w:rsidR="00E70BDC">
              <w:rPr>
                <w:rFonts w:ascii="Verdana" w:eastAsia="Calibri" w:hAnsi="Verdana" w:cs="Arial"/>
                <w:color w:val="000000" w:themeColor="text1"/>
                <w:lang w:val="es-ES"/>
              </w:rPr>
              <w:t xml:space="preserve">ara evaluar la capacidad financiera, la entidad contratante, deberá </w:t>
            </w:r>
            <w:r w:rsidR="00E70BDC">
              <w:rPr>
                <w:rFonts w:ascii="Verdana" w:eastAsia="Calibri" w:hAnsi="Verdana" w:cs="Arial"/>
                <w:color w:val="000000" w:themeColor="text1"/>
              </w:rPr>
              <w:t xml:space="preserve">verificar </w:t>
            </w:r>
            <w:r w:rsidR="00E70BDC" w:rsidRPr="00880B0C">
              <w:rPr>
                <w:rFonts w:ascii="Verdana" w:eastAsia="Calibri" w:hAnsi="Verdana" w:cs="Arial"/>
                <w:color w:val="000000" w:themeColor="text1"/>
              </w:rPr>
              <w:t xml:space="preserve">los requisitos </w:t>
            </w:r>
            <w:r w:rsidR="00E70BDC">
              <w:rPr>
                <w:rFonts w:ascii="Verdana" w:eastAsia="Calibri" w:hAnsi="Verdana" w:cs="Arial"/>
                <w:color w:val="000000" w:themeColor="text1"/>
              </w:rPr>
              <w:t>requeridos en el pliego de condiciones</w:t>
            </w:r>
            <w:r w:rsidR="00E70BDC" w:rsidRPr="00880B0C">
              <w:rPr>
                <w:rFonts w:ascii="Verdana" w:eastAsia="Calibri" w:hAnsi="Verdana" w:cs="Arial"/>
                <w:color w:val="000000" w:themeColor="text1"/>
              </w:rPr>
              <w:t>,</w:t>
            </w:r>
            <w:r w:rsidR="00E70BDC">
              <w:rPr>
                <w:rFonts w:ascii="Verdana" w:eastAsia="Calibri" w:hAnsi="Verdana" w:cs="Arial"/>
                <w:color w:val="000000" w:themeColor="text1"/>
              </w:rPr>
              <w:t xml:space="preserve"> conforme a lo señalado </w:t>
            </w:r>
            <w:r w:rsidR="00E70BDC" w:rsidRPr="00880B0C">
              <w:rPr>
                <w:rFonts w:ascii="Verdana" w:eastAsia="Calibri" w:hAnsi="Verdana" w:cs="Arial"/>
                <w:color w:val="000000" w:themeColor="text1"/>
              </w:rPr>
              <w:t>el artículo 5 de la Ley 1150 de 2007 y el artículo 2.2.1.1.1.5.3 del Decreto 1082 de 2015</w:t>
            </w:r>
            <w:r w:rsidR="00E70BDC">
              <w:rPr>
                <w:rFonts w:ascii="Verdana" w:eastAsia="Calibri" w:hAnsi="Verdana" w:cs="Arial"/>
                <w:color w:val="000000" w:themeColor="text1"/>
              </w:rPr>
              <w:t>.</w:t>
            </w:r>
            <w:r w:rsidR="00E70BDC" w:rsidRPr="00880B0C">
              <w:rPr>
                <w:rFonts w:ascii="Verdana" w:eastAsia="Calibri" w:hAnsi="Verdana" w:cs="Arial"/>
                <w:color w:val="000000" w:themeColor="text1"/>
              </w:rPr>
              <w:t xml:space="preserve"> </w:t>
            </w:r>
            <w:r w:rsidR="00E70BDC">
              <w:rPr>
                <w:rFonts w:ascii="Verdana" w:eastAsia="Calibri" w:hAnsi="Verdana" w:cs="Arial"/>
                <w:color w:val="000000" w:themeColor="text1"/>
              </w:rPr>
              <w:t xml:space="preserve">Es decir, </w:t>
            </w:r>
            <w:r w:rsidR="00E70BDC" w:rsidRPr="00880B0C">
              <w:rPr>
                <w:rFonts w:ascii="Verdana" w:eastAsia="Calibri" w:hAnsi="Verdana" w:cs="Arial"/>
                <w:color w:val="000000" w:themeColor="text1"/>
              </w:rPr>
              <w:t>a través del RUP con los estados financieros del proponente, suscritos por el representante legal y el revisor fiscal, cuando aplique</w:t>
            </w:r>
            <w:r w:rsidR="00E70BDC">
              <w:rPr>
                <w:rFonts w:ascii="Verdana" w:eastAsia="Calibri" w:hAnsi="Verdana" w:cs="Arial"/>
                <w:color w:val="000000" w:themeColor="text1"/>
              </w:rPr>
              <w:t>, d</w:t>
            </w:r>
            <w:r w:rsidR="00E70BDC" w:rsidRPr="00880B0C">
              <w:rPr>
                <w:rFonts w:ascii="Verdana" w:eastAsia="Calibri" w:hAnsi="Verdana" w:cs="Arial"/>
                <w:color w:val="000000" w:themeColor="text1"/>
              </w:rPr>
              <w:t>e este modo, lo que se verifica con el registro es que el proponente tenga los indicadores financieros solicitados por la Entidad, que le permitan satisfacer la necesidad que se contratará una vez desarrollado el procedimiento de selección</w:t>
            </w:r>
            <w:r w:rsidR="00E70BDC">
              <w:rPr>
                <w:rFonts w:ascii="Verdana" w:eastAsia="Calibri" w:hAnsi="Verdana" w:cs="Arial"/>
                <w:color w:val="000000" w:themeColor="text1"/>
              </w:rPr>
              <w:t xml:space="preserve">. </w:t>
            </w:r>
          </w:p>
          <w:p w14:paraId="49620C7D" w14:textId="77777777" w:rsidR="00E70BDC" w:rsidRDefault="00E70BDC" w:rsidP="00E70BDC">
            <w:pPr>
              <w:spacing w:line="276" w:lineRule="auto"/>
              <w:jc w:val="both"/>
              <w:rPr>
                <w:rFonts w:ascii="Verdana" w:eastAsia="Calibri" w:hAnsi="Verdana" w:cs="Arial"/>
                <w:color w:val="000000" w:themeColor="text1"/>
                <w:lang w:val="es-ES"/>
              </w:rPr>
            </w:pPr>
          </w:p>
          <w:p w14:paraId="518600D5" w14:textId="6E8D96B2" w:rsidR="00E70BDC" w:rsidRDefault="00E70BDC" w:rsidP="00E70BDC">
            <w:pPr>
              <w:spacing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En caso de que el proceso de contratación no requiera RUP, los requisitos de capacidad financiera se evaluarán conforme a la documentación que solicite la entidad contratante en el pliego de condiciones.</w:t>
            </w:r>
          </w:p>
          <w:p w14:paraId="68DEC7E9" w14:textId="13114163" w:rsidR="00E70BDC" w:rsidRDefault="00E70BDC" w:rsidP="00943A7D">
            <w:pPr>
              <w:spacing w:line="276" w:lineRule="auto"/>
              <w:jc w:val="both"/>
              <w:rPr>
                <w:rFonts w:ascii="Verdana" w:eastAsia="Calibri" w:hAnsi="Verdana" w:cs="Arial"/>
                <w:color w:val="000000" w:themeColor="text1"/>
                <w:lang w:val="es-ES"/>
              </w:rPr>
            </w:pPr>
          </w:p>
          <w:p w14:paraId="18F85027" w14:textId="4131118C" w:rsidR="004E0230" w:rsidRDefault="004E0230" w:rsidP="00943A7D">
            <w:pPr>
              <w:spacing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Ahora bien, en cuanto a la vigencia del Decreto 579 de 202, este no se encuentra vigente, puesto se expidió en el marco de la pandemia, al desaparecer las causas que lo originaron ya no es aplicado por las entidades estatales; en su defecto se aplica el último año fiscal al momento de evaluar la capacidad financiera</w:t>
            </w:r>
            <w:r w:rsidR="009D405C">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  </w:t>
            </w:r>
          </w:p>
          <w:p w14:paraId="5014D468" w14:textId="77777777" w:rsidR="004E0230" w:rsidRDefault="004E0230" w:rsidP="00943A7D">
            <w:pPr>
              <w:spacing w:line="276" w:lineRule="auto"/>
              <w:jc w:val="both"/>
              <w:rPr>
                <w:rFonts w:ascii="Verdana" w:eastAsia="Calibri" w:hAnsi="Verdana" w:cs="Arial"/>
                <w:color w:val="000000" w:themeColor="text1"/>
                <w:lang w:val="es-ES"/>
              </w:rPr>
            </w:pPr>
          </w:p>
          <w:p w14:paraId="55C343DA" w14:textId="0AD89768" w:rsidR="009D405C" w:rsidRDefault="009D405C" w:rsidP="00943A7D">
            <w:pPr>
              <w:spacing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Con el fin de recortarle lo estipulado en esa normativa, </w:t>
            </w:r>
            <w:r w:rsidR="00CD638B">
              <w:rPr>
                <w:rFonts w:ascii="Verdana" w:eastAsia="Calibri" w:hAnsi="Verdana" w:cs="Arial"/>
                <w:color w:val="000000" w:themeColor="text1"/>
                <w:lang w:val="es-ES"/>
              </w:rPr>
              <w:t>el</w:t>
            </w:r>
            <w:r w:rsidR="00CD638B" w:rsidRPr="001A6BAB">
              <w:rPr>
                <w:rFonts w:ascii="Verdana" w:eastAsia="Calibri" w:hAnsi="Verdana" w:cs="Arial"/>
                <w:color w:val="000000" w:themeColor="text1"/>
                <w:lang w:val="es-ES"/>
              </w:rPr>
              <w:t xml:space="preserve"> decreto establec</w:t>
            </w:r>
            <w:r w:rsidR="00CD638B">
              <w:rPr>
                <w:rFonts w:ascii="Verdana" w:eastAsia="Calibri" w:hAnsi="Verdana" w:cs="Arial"/>
                <w:color w:val="000000" w:themeColor="text1"/>
                <w:lang w:val="es-ES"/>
              </w:rPr>
              <w:t>ía</w:t>
            </w:r>
            <w:r w:rsidR="00CD638B" w:rsidRPr="001A6BAB">
              <w:rPr>
                <w:rFonts w:ascii="Verdana" w:eastAsia="Calibri" w:hAnsi="Verdana" w:cs="Arial"/>
                <w:color w:val="000000" w:themeColor="text1"/>
                <w:lang w:val="es-ES"/>
              </w:rPr>
              <w:t xml:space="preserve"> que, para los procesos de selección cuyo acto administrativo de apertura o invitación se publique a partir del 1 de julio de 2021, se considerará el mejor año fiscal de los últimos tres años reflejado en el Registro Único de Proponentes (RUP) para evaluar los indicadores financieros y organizacionales.   </w:t>
            </w:r>
            <w:r w:rsidR="00CD638B">
              <w:rPr>
                <w:rFonts w:ascii="Verdana" w:eastAsia="Calibri" w:hAnsi="Verdana" w:cs="Arial"/>
                <w:color w:val="000000" w:themeColor="text1"/>
                <w:lang w:val="es-ES"/>
              </w:rPr>
              <w:t xml:space="preserve">No </w:t>
            </w:r>
            <w:r>
              <w:rPr>
                <w:rFonts w:ascii="Verdana" w:eastAsia="Calibri" w:hAnsi="Verdana" w:cs="Arial"/>
                <w:color w:val="000000" w:themeColor="text1"/>
                <w:lang w:val="es-ES"/>
              </w:rPr>
              <w:t>o</w:t>
            </w:r>
            <w:r w:rsidR="00CD638B">
              <w:rPr>
                <w:rFonts w:ascii="Verdana" w:eastAsia="Calibri" w:hAnsi="Verdana" w:cs="Arial"/>
                <w:color w:val="000000" w:themeColor="text1"/>
                <w:lang w:val="es-ES"/>
              </w:rPr>
              <w:t>bstante,</w:t>
            </w:r>
            <w:r w:rsidR="00CD638B" w:rsidRPr="00720FD7">
              <w:rPr>
                <w:rFonts w:ascii="Verdana" w:eastAsia="Calibri" w:hAnsi="Verdana" w:cs="Arial"/>
                <w:color w:val="000000" w:themeColor="text1"/>
                <w:lang w:val="es-ES"/>
              </w:rPr>
              <w:t xml:space="preserve"> los parágrafos adicionados por los Decretos 399 de 2021, 579 de 2021 y 1041 de 2022 </w:t>
            </w:r>
            <w:r w:rsidR="00CD638B">
              <w:rPr>
                <w:rFonts w:ascii="Verdana" w:eastAsia="Calibri" w:hAnsi="Verdana" w:cs="Arial"/>
                <w:color w:val="000000" w:themeColor="text1"/>
                <w:lang w:val="es-ES"/>
              </w:rPr>
              <w:t xml:space="preserve">perdieron su vigencia </w:t>
            </w:r>
            <w:r w:rsidR="00CD638B" w:rsidRPr="00720FD7">
              <w:rPr>
                <w:rFonts w:ascii="Verdana" w:eastAsia="Calibri" w:hAnsi="Verdana" w:cs="Arial"/>
                <w:color w:val="000000" w:themeColor="text1"/>
                <w:lang w:val="es-ES"/>
              </w:rPr>
              <w:t xml:space="preserve">con la finalización de la emergencia sanitaria, pues el Decreto 1041 de 2022 –al prorrogar las medidas de los Decretos 399 y 579 de 2021– las extendió durante el 2023, vigencia fiscal que finalizó el 31 de diciembre pasado. Por ello, con la expiración de su vigencia y a falta de un reglamento que prorrogue las medidas adoptadas, la capacidad financiera y organizacional debe acreditarse a la Cámara de Comercio en las condiciones descritas en los numerales 1.3 y 2.3 del artículo 2.2.1.1.1.5.2 del Decreto 1082 de 2015. </w:t>
            </w:r>
          </w:p>
          <w:p w14:paraId="3BA2AE55" w14:textId="77777777" w:rsidR="009D405C" w:rsidRDefault="009D405C" w:rsidP="00943A7D">
            <w:pPr>
              <w:spacing w:line="276" w:lineRule="auto"/>
              <w:jc w:val="both"/>
              <w:rPr>
                <w:rFonts w:ascii="Verdana" w:eastAsia="Calibri" w:hAnsi="Verdana" w:cs="Arial"/>
                <w:color w:val="000000" w:themeColor="text1"/>
                <w:lang w:val="es-ES"/>
              </w:rPr>
            </w:pPr>
          </w:p>
          <w:p w14:paraId="6B06D69B" w14:textId="77777777" w:rsidR="009D405C" w:rsidRDefault="009D405C" w:rsidP="009D405C">
            <w:pPr>
              <w:spacing w:line="276" w:lineRule="auto"/>
              <w:jc w:val="both"/>
              <w:rPr>
                <w:rFonts w:ascii="Verdana" w:eastAsia="Calibri" w:hAnsi="Verdana" w:cs="Arial"/>
                <w:color w:val="000000" w:themeColor="text1"/>
                <w:lang w:val="es-ES"/>
              </w:rPr>
            </w:pPr>
            <w:r w:rsidRPr="00720FD7">
              <w:rPr>
                <w:rFonts w:ascii="Verdana" w:eastAsia="Calibri" w:hAnsi="Verdana" w:cs="Arial"/>
                <w:color w:val="000000" w:themeColor="text1"/>
                <w:lang w:val="es-ES"/>
              </w:rPr>
              <w:t>En ese sentido, debe tenerse en cuenta que por no existir una norma que amplié a la vigencia 2024 las medidas adoptadas en los Decretos 399 y 579 de 2021 y Decreto 1041 de 2022, aquellas personas que partir del 1° de enero de 2024 realicen la inscripción o renovación del Registro Único de Proponentes solo podrán reportar ante las Cámaras de Comercio la información contable y los estados financieros del último año fiscal. Asimismo, es menester precisar que los proponentes que a la fecha no hayan realizado la respectiva actualización podrán acreditar la capacidad financiera dentro de un Proceso de Contratación con el RUP vigente, teniendo en cuenta que allí también reposa la información correspondiente al último año fiscal.</w:t>
            </w:r>
          </w:p>
          <w:p w14:paraId="2C15FEDF" w14:textId="32352921" w:rsidR="00CD638B" w:rsidRPr="00720FD7" w:rsidRDefault="00CD638B" w:rsidP="00943A7D">
            <w:pPr>
              <w:spacing w:line="276" w:lineRule="auto"/>
              <w:jc w:val="both"/>
              <w:rPr>
                <w:rFonts w:ascii="Verdana" w:eastAsia="Calibri" w:hAnsi="Verdana" w:cs="Arial"/>
                <w:color w:val="000000" w:themeColor="text1"/>
                <w:lang w:val="es-ES"/>
              </w:rPr>
            </w:pPr>
            <w:r w:rsidRPr="00720FD7">
              <w:rPr>
                <w:rFonts w:ascii="Verdana" w:eastAsia="Calibri" w:hAnsi="Verdana" w:cs="Arial"/>
                <w:color w:val="000000" w:themeColor="text1"/>
                <w:lang w:val="es-ES"/>
              </w:rPr>
              <w:t xml:space="preserve"> </w:t>
            </w:r>
          </w:p>
          <w:p w14:paraId="62DF7A84" w14:textId="3C77A13E" w:rsidR="00CD638B" w:rsidRPr="00720FD7" w:rsidRDefault="00CD638B" w:rsidP="00943A7D">
            <w:pPr>
              <w:spacing w:line="276" w:lineRule="auto"/>
              <w:jc w:val="both"/>
              <w:rPr>
                <w:rFonts w:ascii="Verdana" w:eastAsia="Calibri" w:hAnsi="Verdana" w:cs="Arial"/>
                <w:color w:val="000000" w:themeColor="text1"/>
                <w:lang w:val="es-ES"/>
              </w:rPr>
            </w:pPr>
            <w:r w:rsidRPr="00720FD7">
              <w:rPr>
                <w:rFonts w:ascii="Verdana" w:eastAsia="Calibri" w:hAnsi="Verdana" w:cs="Arial"/>
                <w:color w:val="000000" w:themeColor="text1"/>
                <w:lang w:val="es-ES"/>
              </w:rPr>
              <w:t>Así,</w:t>
            </w:r>
            <w:r w:rsidR="009D405C">
              <w:rPr>
                <w:rFonts w:ascii="Verdana" w:eastAsia="Calibri" w:hAnsi="Verdana" w:cs="Arial"/>
                <w:color w:val="000000" w:themeColor="text1"/>
                <w:lang w:val="es-ES"/>
              </w:rPr>
              <w:t xml:space="preserve"> hoy en la normatividad vigente </w:t>
            </w:r>
            <w:r w:rsidRPr="00720FD7">
              <w:rPr>
                <w:rFonts w:ascii="Verdana" w:eastAsia="Calibri" w:hAnsi="Verdana" w:cs="Arial"/>
                <w:color w:val="000000" w:themeColor="text1"/>
                <w:lang w:val="es-ES"/>
              </w:rPr>
              <w:t xml:space="preserve">tratándose de personas naturales obligadas a llevar contabilidad, deben presentar copia de la información contable del último año exigida por las normas tributarias. En contraste, las personas jurídicas deben aportar los estados financieros de la sociedad y los estados financieros consolidados del grupo empresarial, cuando la norma </w:t>
            </w:r>
            <w:r w:rsidRPr="00720FD7">
              <w:rPr>
                <w:rFonts w:ascii="Verdana" w:eastAsia="Calibri" w:hAnsi="Verdana" w:cs="Arial"/>
                <w:color w:val="000000" w:themeColor="text1"/>
                <w:lang w:val="es-ES"/>
              </w:rPr>
              <w:lastRenderedPageBreak/>
              <w:t>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En todo caso, “Si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326BFB10" w14:textId="0673ED2D" w:rsidR="00CD638B" w:rsidRPr="00720FD7" w:rsidRDefault="00CD638B" w:rsidP="00943A7D">
            <w:pPr>
              <w:spacing w:line="276" w:lineRule="auto"/>
              <w:jc w:val="both"/>
              <w:rPr>
                <w:rFonts w:ascii="Verdana" w:eastAsia="Calibri" w:hAnsi="Verdana" w:cs="Arial"/>
                <w:color w:val="000000" w:themeColor="text1"/>
                <w:lang w:val="es-ES"/>
              </w:rPr>
            </w:pPr>
          </w:p>
          <w:p w14:paraId="5CFAFA62" w14:textId="10C2FC79" w:rsidR="00CD638B" w:rsidRPr="00720FD7" w:rsidRDefault="00CD638B" w:rsidP="00943A7D">
            <w:pPr>
              <w:spacing w:line="276" w:lineRule="auto"/>
              <w:jc w:val="both"/>
              <w:rPr>
                <w:rFonts w:ascii="Verdana" w:eastAsia="Calibri" w:hAnsi="Verdana" w:cs="Arial"/>
                <w:color w:val="000000" w:themeColor="text1"/>
                <w:lang w:val="es-ES"/>
              </w:rPr>
            </w:pPr>
            <w:r w:rsidRPr="00720FD7">
              <w:rPr>
                <w:rFonts w:ascii="Verdana" w:eastAsia="Calibri" w:hAnsi="Verdana" w:cs="Arial"/>
                <w:color w:val="000000" w:themeColor="text1"/>
                <w:lang w:val="es-ES"/>
              </w:rPr>
              <w:t>En consecuencia, una interpretación razonable permite concluir que a partir del 1° de enero de 2024 los indicadores deben acreditarse frente a la Cámara de Comercio conforme a las reglas de generales del Decreto 1082 de 2015, es decir, con la información contable del año inmediatamente anterior –</w:t>
            </w:r>
            <w:proofErr w:type="spellStart"/>
            <w:r w:rsidRPr="00720FD7">
              <w:rPr>
                <w:rFonts w:ascii="Verdana" w:eastAsia="Calibri" w:hAnsi="Verdana" w:cs="Arial"/>
                <w:color w:val="000000" w:themeColor="text1"/>
                <w:lang w:val="es-ES"/>
              </w:rPr>
              <w:t>nums</w:t>
            </w:r>
            <w:proofErr w:type="spellEnd"/>
            <w:r w:rsidRPr="00720FD7">
              <w:rPr>
                <w:rFonts w:ascii="Verdana" w:eastAsia="Calibri" w:hAnsi="Verdana" w:cs="Arial"/>
                <w:color w:val="000000" w:themeColor="text1"/>
                <w:lang w:val="es-ES"/>
              </w:rPr>
              <w:t>. 1.3 y 2.3 del artículo 2.2.1.1.1.5.2 del Decreto 1082 de 2015–.</w:t>
            </w:r>
          </w:p>
          <w:p w14:paraId="645F3675" w14:textId="20776CD3" w:rsidR="00CD638B" w:rsidRDefault="00CD638B" w:rsidP="00943A7D">
            <w:pPr>
              <w:spacing w:line="276" w:lineRule="auto"/>
              <w:jc w:val="both"/>
              <w:rPr>
                <w:rFonts w:ascii="Verdana" w:eastAsia="Calibri" w:hAnsi="Verdana" w:cs="Arial"/>
                <w:color w:val="000000" w:themeColor="text1"/>
                <w:lang w:val="es-ES"/>
              </w:rPr>
            </w:pPr>
            <w:r w:rsidRPr="00720FD7">
              <w:rPr>
                <w:rFonts w:ascii="Verdana" w:eastAsia="Calibri" w:hAnsi="Verdana" w:cs="Arial"/>
                <w:color w:val="000000" w:themeColor="text1"/>
                <w:lang w:val="es-ES"/>
              </w:rPr>
              <w:t xml:space="preserve"> </w:t>
            </w:r>
          </w:p>
          <w:p w14:paraId="33B90657" w14:textId="4CC003AD" w:rsidR="00CD638B" w:rsidRPr="004D12FA" w:rsidRDefault="00C84D15" w:rsidP="00943A7D">
            <w:pPr>
              <w:spacing w:line="276" w:lineRule="auto"/>
              <w:jc w:val="both"/>
              <w:rPr>
                <w:rFonts w:ascii="Verdana" w:eastAsia="Calibri" w:hAnsi="Verdana" w:cs="Arial"/>
                <w:color w:val="000000" w:themeColor="text1"/>
              </w:rPr>
            </w:pPr>
            <w:r>
              <w:rPr>
                <w:rFonts w:ascii="Verdana" w:eastAsia="Calibri" w:hAnsi="Verdana" w:cs="Arial"/>
                <w:color w:val="000000" w:themeColor="text1"/>
                <w:lang w:val="es-ES"/>
              </w:rPr>
              <w:t xml:space="preserve">Respecto al segundo interrogante planteado, </w:t>
            </w:r>
            <w:r>
              <w:rPr>
                <w:rFonts w:ascii="Verdana" w:eastAsia="Calibri" w:hAnsi="Verdana" w:cs="Arial"/>
                <w:color w:val="000000" w:themeColor="text1"/>
              </w:rPr>
              <w:t>c</w:t>
            </w:r>
            <w:r w:rsidR="00CD638B" w:rsidRPr="004D12FA">
              <w:rPr>
                <w:rFonts w:ascii="Verdana" w:eastAsia="Calibri" w:hAnsi="Verdana" w:cs="Arial"/>
                <w:color w:val="000000" w:themeColor="text1"/>
              </w:rPr>
              <w:t>onforme con lo establecido en el parágrafo 7º de</w:t>
            </w:r>
            <w:r>
              <w:rPr>
                <w:rFonts w:ascii="Verdana" w:eastAsia="Calibri" w:hAnsi="Verdana" w:cs="Arial"/>
                <w:color w:val="000000" w:themeColor="text1"/>
              </w:rPr>
              <w:t xml:space="preserve">l articulo 2 de </w:t>
            </w:r>
            <w:r w:rsidR="00CD638B" w:rsidRPr="004D12FA">
              <w:rPr>
                <w:rFonts w:ascii="Verdana" w:eastAsia="Calibri" w:hAnsi="Verdana" w:cs="Arial"/>
                <w:color w:val="000000" w:themeColor="text1"/>
              </w:rPr>
              <w:t xml:space="preserve"> la </w:t>
            </w:r>
            <w:r w:rsidR="00CD638B">
              <w:rPr>
                <w:rFonts w:ascii="Verdana" w:eastAsia="Calibri" w:hAnsi="Verdana" w:cs="Arial"/>
                <w:color w:val="000000" w:themeColor="text1"/>
              </w:rPr>
              <w:t>L</w:t>
            </w:r>
            <w:r w:rsidR="00CD638B" w:rsidRPr="004D12FA">
              <w:rPr>
                <w:rFonts w:ascii="Verdana" w:eastAsia="Calibri" w:hAnsi="Verdana" w:cs="Arial"/>
                <w:color w:val="000000" w:themeColor="text1"/>
              </w:rPr>
              <w:t xml:space="preserve">ey 1150 de 2007 (adicionado de acuerdo </w:t>
            </w:r>
            <w:r w:rsidR="00CD638B">
              <w:rPr>
                <w:rFonts w:ascii="Verdana" w:eastAsia="Calibri" w:hAnsi="Verdana" w:cs="Arial"/>
                <w:color w:val="000000" w:themeColor="text1"/>
              </w:rPr>
              <w:t>con</w:t>
            </w:r>
            <w:r w:rsidR="00CD638B" w:rsidRPr="004D12FA">
              <w:rPr>
                <w:rFonts w:ascii="Verdana" w:eastAsia="Calibri" w:hAnsi="Verdana" w:cs="Arial"/>
                <w:color w:val="000000" w:themeColor="text1"/>
              </w:rPr>
              <w:t xml:space="preserve"> las disposiciones de la Ley 2022 de 2020),</w:t>
            </w:r>
            <w:r>
              <w:rPr>
                <w:rFonts w:ascii="Verdana" w:eastAsia="Calibri" w:hAnsi="Verdana" w:cs="Arial"/>
                <w:color w:val="000000" w:themeColor="text1"/>
              </w:rPr>
              <w:t xml:space="preserve"> se señalo que </w:t>
            </w:r>
            <w:r w:rsidR="00CD638B" w:rsidRPr="004D12FA">
              <w:rPr>
                <w:rFonts w:ascii="Verdana" w:eastAsia="Calibri" w:hAnsi="Verdana" w:cs="Arial"/>
                <w:color w:val="000000" w:themeColor="text1"/>
              </w:rPr>
              <w:t xml:space="preserve"> “La Agencia Nacional de Contratación Pública Colombia Compra Eficiente o quien haga sus veces, adoptará documentos tipo que serán de </w:t>
            </w:r>
            <w:r w:rsidR="00CD638B" w:rsidRPr="007D19D0">
              <w:rPr>
                <w:rFonts w:ascii="Verdana" w:eastAsia="Calibri" w:hAnsi="Verdana" w:cs="Arial"/>
                <w:b/>
                <w:bCs/>
                <w:color w:val="000000" w:themeColor="text1"/>
              </w:rPr>
              <w:t>obligatorio cumplimiento</w:t>
            </w:r>
            <w:r w:rsidR="00CD638B" w:rsidRPr="004D12FA">
              <w:rPr>
                <w:rFonts w:ascii="Verdana" w:eastAsia="Calibri" w:hAnsi="Verdana" w:cs="Arial"/>
                <w:color w:val="000000" w:themeColor="text1"/>
              </w:rPr>
              <w:t xml:space="preserve"> en la actividad contractual de todas las entidades sometidas al Estatuto General de Contratación de la Administración Pública.</w:t>
            </w:r>
          </w:p>
          <w:p w14:paraId="5C34F74B" w14:textId="77777777" w:rsidR="00CD638B" w:rsidRPr="004D12FA" w:rsidRDefault="00CD638B" w:rsidP="00943A7D">
            <w:pPr>
              <w:spacing w:line="276" w:lineRule="auto"/>
              <w:jc w:val="both"/>
              <w:rPr>
                <w:rFonts w:ascii="Verdana" w:eastAsia="Calibri" w:hAnsi="Verdana" w:cs="Arial"/>
                <w:color w:val="000000" w:themeColor="text1"/>
              </w:rPr>
            </w:pPr>
            <w:r w:rsidRPr="004D12FA">
              <w:rPr>
                <w:rFonts w:ascii="Verdana" w:eastAsia="Calibri" w:hAnsi="Verdana" w:cs="Arial"/>
                <w:color w:val="000000" w:themeColor="text1"/>
              </w:rPr>
              <w:t> </w:t>
            </w:r>
          </w:p>
          <w:p w14:paraId="76FFE138" w14:textId="77777777" w:rsidR="00CD638B" w:rsidRDefault="00CD638B" w:rsidP="00943A7D">
            <w:pPr>
              <w:spacing w:line="276" w:lineRule="auto"/>
              <w:jc w:val="both"/>
              <w:rPr>
                <w:rFonts w:ascii="Verdana" w:eastAsia="Calibri" w:hAnsi="Verdana" w:cs="Arial"/>
                <w:color w:val="000000" w:themeColor="text1"/>
              </w:rPr>
            </w:pPr>
            <w:r w:rsidRPr="004D12FA">
              <w:rPr>
                <w:rFonts w:ascii="Verdana" w:eastAsia="Calibri" w:hAnsi="Verdana" w:cs="Arial"/>
                <w:color w:val="000000" w:themeColor="text1"/>
              </w:rPr>
              <w:t>Dentro de estos documentos tipo, se establecerán los </w:t>
            </w:r>
            <w:r w:rsidRPr="004D12FA">
              <w:rPr>
                <w:rFonts w:ascii="Verdana" w:eastAsia="Calibri" w:hAnsi="Verdana" w:cs="Arial"/>
                <w:b/>
                <w:bCs/>
                <w:color w:val="000000" w:themeColor="text1"/>
              </w:rPr>
              <w:t>requisitos habilitantes</w:t>
            </w:r>
            <w:r w:rsidRPr="004D12FA">
              <w:rPr>
                <w:rFonts w:ascii="Verdana" w:eastAsia="Calibri" w:hAnsi="Verdana" w:cs="Arial"/>
                <w:color w:val="000000" w:themeColor="text1"/>
              </w:rPr>
              <w:t>, factores técnicos, económicos y otros factores de escogencia, así como aquellos requisitos que, previa justificación, representen buenas prácticas contractuales que procuren el adecuado desarrollo de los principios que rigen la contratación pública”. (…)</w:t>
            </w:r>
          </w:p>
          <w:p w14:paraId="5B7CFD46" w14:textId="77777777" w:rsidR="00E70BDC" w:rsidRDefault="00E70BDC" w:rsidP="00943A7D">
            <w:pPr>
              <w:spacing w:line="276" w:lineRule="auto"/>
              <w:jc w:val="both"/>
              <w:rPr>
                <w:rFonts w:ascii="Verdana" w:eastAsia="Calibri" w:hAnsi="Verdana" w:cs="Arial"/>
                <w:color w:val="000000" w:themeColor="text1"/>
              </w:rPr>
            </w:pPr>
          </w:p>
          <w:p w14:paraId="0383F77E" w14:textId="4B7AAB61" w:rsidR="00E70BDC" w:rsidRPr="004D12FA" w:rsidRDefault="00E70BDC" w:rsidP="00943A7D">
            <w:pPr>
              <w:spacing w:line="276" w:lineRule="auto"/>
              <w:jc w:val="both"/>
              <w:rPr>
                <w:rFonts w:ascii="Verdana" w:eastAsia="Calibri" w:hAnsi="Verdana" w:cs="Arial"/>
                <w:color w:val="000000" w:themeColor="text1"/>
              </w:rPr>
            </w:pPr>
            <w:r>
              <w:rPr>
                <w:rFonts w:ascii="Verdana" w:eastAsia="Calibri" w:hAnsi="Verdana" w:cs="Arial"/>
                <w:color w:val="000000" w:themeColor="text1"/>
              </w:rPr>
              <w:t>Ahora bien, e</w:t>
            </w:r>
            <w:r w:rsidRPr="00E70BDC">
              <w:rPr>
                <w:rFonts w:ascii="Verdana" w:eastAsia="Calibri" w:hAnsi="Verdana" w:cs="Arial"/>
                <w:color w:val="000000" w:themeColor="text1"/>
              </w:rPr>
              <w:t xml:space="preserve">l artículo 2.2.1.2.6.1.4. del Decreto 1082 de 2015 establece la inalterabilidad de los Documentos Tipo, </w:t>
            </w:r>
            <w:r>
              <w:rPr>
                <w:rFonts w:ascii="Verdana" w:eastAsia="Calibri" w:hAnsi="Verdana" w:cs="Arial"/>
                <w:color w:val="000000" w:themeColor="text1"/>
              </w:rPr>
              <w:t xml:space="preserve">la cual </w:t>
            </w:r>
            <w:r w:rsidRPr="00E70BDC">
              <w:rPr>
                <w:rFonts w:ascii="Verdana" w:eastAsia="Calibri" w:hAnsi="Verdana" w:cs="Arial"/>
                <w:color w:val="000000" w:themeColor="text1"/>
              </w:rPr>
              <w:t xml:space="preserve">consiste en que las entidades estatales no pueden incluir o modificar en los documentos del proceso las condiciones habilitantes, los factores técnicos y económicos de escogencia y los sistemas de ponderación distintos a los señalados en los Documentos Tipo. </w:t>
            </w:r>
          </w:p>
          <w:p w14:paraId="51700D8A" w14:textId="77777777" w:rsidR="00CD638B" w:rsidRPr="004D12FA" w:rsidRDefault="00CD638B" w:rsidP="00943A7D">
            <w:pPr>
              <w:spacing w:line="276" w:lineRule="auto"/>
              <w:jc w:val="both"/>
              <w:rPr>
                <w:rFonts w:ascii="Verdana" w:eastAsia="Calibri" w:hAnsi="Verdana" w:cs="Arial"/>
                <w:color w:val="000000" w:themeColor="text1"/>
              </w:rPr>
            </w:pPr>
            <w:r w:rsidRPr="004D12FA">
              <w:rPr>
                <w:rFonts w:ascii="Verdana" w:eastAsia="Calibri" w:hAnsi="Verdana" w:cs="Arial"/>
                <w:color w:val="000000" w:themeColor="text1"/>
              </w:rPr>
              <w:t> </w:t>
            </w:r>
          </w:p>
          <w:p w14:paraId="52C44C0F" w14:textId="69F72F63" w:rsidR="00CD638B" w:rsidRPr="00593A5F" w:rsidRDefault="00CD638B" w:rsidP="00943A7D">
            <w:pPr>
              <w:spacing w:line="276" w:lineRule="auto"/>
              <w:jc w:val="both"/>
              <w:rPr>
                <w:rFonts w:ascii="Verdana" w:eastAsia="Calibri" w:hAnsi="Verdana" w:cs="Arial"/>
                <w:color w:val="7030A0"/>
                <w:lang w:val="es-ES"/>
              </w:rPr>
            </w:pPr>
            <w:r w:rsidRPr="004D12FA">
              <w:rPr>
                <w:rFonts w:ascii="Verdana" w:eastAsia="Calibri" w:hAnsi="Verdana" w:cs="Arial"/>
                <w:color w:val="000000" w:themeColor="text1"/>
              </w:rPr>
              <w:t xml:space="preserve">Toda vez que </w:t>
            </w:r>
            <w:r w:rsidR="00C84D15">
              <w:rPr>
                <w:rFonts w:ascii="Verdana" w:eastAsia="Calibri" w:hAnsi="Verdana" w:cs="Arial"/>
                <w:color w:val="000000" w:themeColor="text1"/>
              </w:rPr>
              <w:t>el</w:t>
            </w:r>
            <w:r w:rsidRPr="004D12FA">
              <w:rPr>
                <w:rFonts w:ascii="Verdana" w:eastAsia="Calibri" w:hAnsi="Verdana" w:cs="Arial"/>
                <w:color w:val="000000" w:themeColor="text1"/>
              </w:rPr>
              <w:t xml:space="preserve"> </w:t>
            </w:r>
            <w:r w:rsidRPr="004D12FA">
              <w:rPr>
                <w:rFonts w:ascii="Verdana" w:eastAsia="Calibri" w:hAnsi="Verdana" w:cs="Arial"/>
                <w:b/>
                <w:bCs/>
                <w:color w:val="000000" w:themeColor="text1"/>
              </w:rPr>
              <w:t>indicador de capacidad financiera hace parte de los requisitos habilitantes exigibles en procesos de selección</w:t>
            </w:r>
            <w:r w:rsidRPr="004D12FA">
              <w:rPr>
                <w:rFonts w:ascii="Verdana" w:eastAsia="Calibri" w:hAnsi="Verdana" w:cs="Arial"/>
                <w:color w:val="000000" w:themeColor="text1"/>
              </w:rPr>
              <w:t xml:space="preserve"> </w:t>
            </w:r>
            <w:r w:rsidR="00C84D15">
              <w:rPr>
                <w:rFonts w:ascii="Verdana" w:eastAsia="Calibri" w:hAnsi="Verdana" w:cs="Arial"/>
                <w:color w:val="000000" w:themeColor="text1"/>
              </w:rPr>
              <w:t xml:space="preserve">cuando el </w:t>
            </w:r>
            <w:r w:rsidR="00C84D15">
              <w:rPr>
                <w:rFonts w:ascii="Verdana" w:eastAsia="Calibri" w:hAnsi="Verdana" w:cs="Arial"/>
                <w:color w:val="000000" w:themeColor="text1"/>
              </w:rPr>
              <w:lastRenderedPageBreak/>
              <w:t>proceso sea adelantado mediante un pliego tipo, este requisito se evaluar</w:t>
            </w:r>
            <w:r w:rsidR="008F4F27">
              <w:rPr>
                <w:rFonts w:ascii="Verdana" w:eastAsia="Calibri" w:hAnsi="Verdana" w:cs="Arial"/>
                <w:color w:val="000000" w:themeColor="text1"/>
              </w:rPr>
              <w:t>á</w:t>
            </w:r>
            <w:r w:rsidR="00C84D15">
              <w:rPr>
                <w:rFonts w:ascii="Verdana" w:eastAsia="Calibri" w:hAnsi="Verdana" w:cs="Arial"/>
                <w:color w:val="000000" w:themeColor="text1"/>
              </w:rPr>
              <w:t xml:space="preserve"> conforme este lo señale.-</w:t>
            </w:r>
          </w:p>
        </w:tc>
      </w:tr>
      <w:tr w:rsidR="00CD638B" w:rsidRPr="00593A5F" w14:paraId="681E6679" w14:textId="77777777" w:rsidTr="00943A7D">
        <w:tc>
          <w:tcPr>
            <w:tcW w:w="8828" w:type="dxa"/>
            <w:shd w:val="clear" w:color="auto" w:fill="auto"/>
          </w:tcPr>
          <w:p w14:paraId="4D5F9D32" w14:textId="77777777" w:rsidR="00CD638B" w:rsidRPr="002973E9" w:rsidRDefault="00CD638B" w:rsidP="00943A7D">
            <w:pPr>
              <w:spacing w:line="276" w:lineRule="auto"/>
              <w:jc w:val="both"/>
              <w:rPr>
                <w:rFonts w:ascii="Verdana" w:eastAsia="Calibri" w:hAnsi="Verdana" w:cs="Arial"/>
                <w:lang w:val="es-ES"/>
              </w:rPr>
            </w:pPr>
          </w:p>
        </w:tc>
      </w:tr>
    </w:tbl>
    <w:p w14:paraId="714E0B97" w14:textId="77777777" w:rsidR="00CD638B" w:rsidRDefault="00CD638B" w:rsidP="00CD638B">
      <w:pPr>
        <w:tabs>
          <w:tab w:val="left" w:pos="142"/>
          <w:tab w:val="left" w:pos="284"/>
        </w:tabs>
        <w:spacing w:after="0" w:line="276" w:lineRule="auto"/>
        <w:jc w:val="both"/>
        <w:rPr>
          <w:rFonts w:ascii="Verdana" w:eastAsia="Century Gothic" w:hAnsi="Verdana" w:cs="Century Gothic"/>
          <w:b/>
          <w:bCs/>
          <w:lang w:val="es-ES"/>
        </w:rPr>
      </w:pPr>
    </w:p>
    <w:p w14:paraId="5A1FA5AD" w14:textId="77777777" w:rsidR="00CD638B" w:rsidRPr="00593A5F" w:rsidRDefault="00CD638B" w:rsidP="00CD6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B23C793" w14:textId="77777777" w:rsidR="00CD638B" w:rsidRPr="00593A5F" w:rsidRDefault="00CD638B" w:rsidP="00CD638B">
      <w:pPr>
        <w:spacing w:after="0" w:line="276" w:lineRule="auto"/>
        <w:jc w:val="both"/>
        <w:rPr>
          <w:rFonts w:ascii="Verdana" w:eastAsia="Calibri" w:hAnsi="Verdana" w:cs="Arial"/>
          <w:color w:val="7030A0"/>
          <w:lang w:val="es-ES"/>
        </w:rPr>
      </w:pPr>
    </w:p>
    <w:p w14:paraId="76AC1130" w14:textId="77777777" w:rsidR="00CD638B" w:rsidRPr="00B96799" w:rsidRDefault="00CD638B" w:rsidP="00CD638B">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21C66E2" w14:textId="77777777" w:rsidR="00CD638B" w:rsidRPr="00593A5F" w:rsidRDefault="00CD638B" w:rsidP="00CD638B">
      <w:pPr>
        <w:spacing w:after="0" w:line="276" w:lineRule="auto"/>
        <w:jc w:val="both"/>
        <w:rPr>
          <w:rFonts w:ascii="Verdana" w:eastAsia="Calibri" w:hAnsi="Verdana" w:cs="Arial"/>
          <w:color w:val="7030A0"/>
          <w:lang w:val="es-ES"/>
        </w:rPr>
      </w:pPr>
    </w:p>
    <w:p w14:paraId="629A4F7B" w14:textId="77777777" w:rsidR="00CD638B" w:rsidRPr="00880B0C" w:rsidRDefault="00CD638B" w:rsidP="00CD638B">
      <w:pPr>
        <w:pStyle w:val="Prrafodelista"/>
        <w:spacing w:line="276" w:lineRule="auto"/>
        <w:jc w:val="both"/>
        <w:rPr>
          <w:rFonts w:ascii="Verdana" w:eastAsia="Calibri" w:hAnsi="Verdana" w:cs="Arial"/>
          <w:color w:val="000000" w:themeColor="text1"/>
          <w:lang w:val="es-CO"/>
        </w:rPr>
      </w:pPr>
    </w:p>
    <w:p w14:paraId="54E814FF" w14:textId="77777777" w:rsidR="00CD638B" w:rsidRDefault="00CD638B" w:rsidP="00CD638B">
      <w:pPr>
        <w:pStyle w:val="Prrafodelista"/>
        <w:numPr>
          <w:ilvl w:val="0"/>
          <w:numId w:val="17"/>
        </w:numPr>
        <w:spacing w:line="276" w:lineRule="auto"/>
        <w:jc w:val="both"/>
        <w:rPr>
          <w:rFonts w:ascii="Verdana" w:eastAsia="Calibri" w:hAnsi="Verdana" w:cs="Arial"/>
          <w:color w:val="000000" w:themeColor="text1"/>
          <w:lang w:val="es-CO"/>
        </w:rPr>
      </w:pPr>
      <w:r w:rsidRPr="00880B0C">
        <w:rPr>
          <w:rFonts w:ascii="Verdana" w:eastAsia="Calibri" w:hAnsi="Verdana" w:cs="Arial"/>
          <w:color w:val="000000" w:themeColor="text1"/>
          <w:lang w:val="es-CO"/>
        </w:rPr>
        <w:t xml:space="preserve">Los requisitos habilitantes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528D9CAA" w14:textId="77777777" w:rsidR="009E2F31" w:rsidRPr="009E2F31" w:rsidRDefault="009E2F31" w:rsidP="009E2F31">
      <w:pPr>
        <w:pStyle w:val="Prrafodelista"/>
        <w:rPr>
          <w:rFonts w:ascii="Verdana" w:eastAsia="Calibri" w:hAnsi="Verdana" w:cs="Arial"/>
          <w:color w:val="000000" w:themeColor="text1"/>
          <w:lang w:val="es-CO"/>
        </w:rPr>
      </w:pPr>
    </w:p>
    <w:p w14:paraId="0C667B1C" w14:textId="2CEB1873" w:rsidR="009E2F31" w:rsidRPr="009E2F31" w:rsidRDefault="009E2F31" w:rsidP="00CD638B">
      <w:pPr>
        <w:pStyle w:val="Prrafodelista"/>
        <w:numPr>
          <w:ilvl w:val="0"/>
          <w:numId w:val="17"/>
        </w:numPr>
        <w:spacing w:line="276" w:lineRule="auto"/>
        <w:jc w:val="both"/>
        <w:rPr>
          <w:rFonts w:ascii="Verdana" w:eastAsia="Calibri" w:hAnsi="Verdana" w:cs="Arial"/>
          <w:color w:val="000000" w:themeColor="text1"/>
          <w:lang w:val="es-CO"/>
        </w:rPr>
      </w:pPr>
      <w:r w:rsidRPr="009E2F31">
        <w:rPr>
          <w:rFonts w:ascii="Verdana" w:hAnsi="Verdana"/>
        </w:rPr>
        <w:t xml:space="preserve">Específicamente, el numeral 1º del artículo 5 de la Ley 1150 de 2007 establece que en los procesos de selección de contratistas serán objeto de verificación, como requisitos habilitantes, entre otros, los siguientes: i) la capacidad jurídica; ii) la experiencia; iii) </w:t>
      </w:r>
      <w:r w:rsidRPr="009E2F31">
        <w:rPr>
          <w:rFonts w:ascii="Verdana" w:hAnsi="Verdana" w:cs="FAAABA+Verdana-Bold"/>
          <w:b/>
          <w:bCs/>
        </w:rPr>
        <w:t xml:space="preserve">la capacidad financiera </w:t>
      </w:r>
      <w:r w:rsidRPr="009E2F31">
        <w:rPr>
          <w:rFonts w:ascii="Verdana" w:hAnsi="Verdana"/>
        </w:rPr>
        <w:t>y iv) la capacidad de organización</w:t>
      </w:r>
      <w:r w:rsidRPr="009E2F31">
        <w:rPr>
          <w:rStyle w:val="Refdenotaalpie"/>
          <w:rFonts w:ascii="Verdana" w:eastAsia="Calibri" w:hAnsi="Verdana" w:cs="Arial"/>
          <w:color w:val="000000" w:themeColor="text1"/>
          <w:lang w:val="es-CO"/>
        </w:rPr>
        <w:footnoteReference w:id="2"/>
      </w:r>
    </w:p>
    <w:p w14:paraId="667A6961" w14:textId="77777777" w:rsidR="00CD638B" w:rsidRPr="009E2F31" w:rsidRDefault="00CD638B" w:rsidP="00CD638B">
      <w:pPr>
        <w:pStyle w:val="Prrafodelista"/>
        <w:spacing w:line="276" w:lineRule="auto"/>
        <w:jc w:val="both"/>
        <w:rPr>
          <w:rFonts w:ascii="Verdana" w:eastAsia="Calibri" w:hAnsi="Verdana" w:cs="Arial"/>
          <w:color w:val="000000" w:themeColor="text1"/>
          <w:lang w:val="es-CO"/>
        </w:rPr>
      </w:pPr>
    </w:p>
    <w:p w14:paraId="26D4D5B4" w14:textId="52458D4F" w:rsidR="009E2F31" w:rsidRPr="009E2F31" w:rsidRDefault="00CD638B" w:rsidP="009E2F31">
      <w:pPr>
        <w:pStyle w:val="Prrafodelista"/>
        <w:numPr>
          <w:ilvl w:val="0"/>
          <w:numId w:val="17"/>
        </w:numPr>
        <w:spacing w:line="276" w:lineRule="auto"/>
        <w:jc w:val="both"/>
        <w:rPr>
          <w:rFonts w:ascii="Verdana" w:eastAsia="Calibri" w:hAnsi="Verdana" w:cs="Arial"/>
          <w:color w:val="000000" w:themeColor="text1"/>
          <w:lang w:val="es-CO"/>
        </w:rPr>
      </w:pPr>
      <w:r w:rsidRPr="00880B0C">
        <w:rPr>
          <w:rFonts w:ascii="Verdana" w:eastAsia="Calibri" w:hAnsi="Verdana" w:cs="Arial"/>
          <w:color w:val="000000" w:themeColor="text1"/>
          <w:lang w:val="es-CO"/>
        </w:rPr>
        <w:t xml:space="preserve">Al respecto, la Entidad Estatal, como responsable de la estructuración de su procedimiento de selección, es autónoma para requerir la capacidad necesaria de acuerdo con el objeto contractual que se pretende satisfacer. Según el artículo 2.2.1.1.1.6.2 del Decreto 1082 de 2015, la Entidad Estatal debe tener en cuenta, para la determinación de la capacidad financiera y organizacional, el estudio del sector y sus componentes como </w:t>
      </w:r>
      <w:r w:rsidRPr="00880B0C">
        <w:rPr>
          <w:rFonts w:ascii="Verdana" w:eastAsia="Calibri" w:hAnsi="Verdana" w:cs="Arial"/>
          <w:color w:val="000000" w:themeColor="text1"/>
          <w:lang w:val="es-CO"/>
        </w:rPr>
        <w:lastRenderedPageBreak/>
        <w:t>la identificación de riesgos, el mercado y precio del bien, obra o servicio a contratar.</w:t>
      </w:r>
    </w:p>
    <w:p w14:paraId="34025A29" w14:textId="77777777" w:rsidR="00CD638B" w:rsidRPr="00880B0C" w:rsidRDefault="00CD638B" w:rsidP="00CD638B">
      <w:pPr>
        <w:pStyle w:val="Prrafodelista"/>
        <w:spacing w:line="276" w:lineRule="auto"/>
        <w:jc w:val="both"/>
        <w:rPr>
          <w:rFonts w:ascii="Verdana" w:eastAsia="Calibri" w:hAnsi="Verdana" w:cs="Arial"/>
          <w:color w:val="000000" w:themeColor="text1"/>
          <w:lang w:val="es-CO"/>
        </w:rPr>
      </w:pPr>
    </w:p>
    <w:p w14:paraId="413B8335" w14:textId="757625C7" w:rsidR="008F4F27" w:rsidRDefault="00CD638B" w:rsidP="009E2F31">
      <w:pPr>
        <w:pStyle w:val="Prrafodelista"/>
        <w:numPr>
          <w:ilvl w:val="0"/>
          <w:numId w:val="17"/>
        </w:numPr>
        <w:spacing w:line="276" w:lineRule="auto"/>
        <w:jc w:val="both"/>
        <w:rPr>
          <w:rFonts w:ascii="Verdana" w:eastAsia="Calibri" w:hAnsi="Verdana" w:cs="Arial"/>
          <w:color w:val="000000" w:themeColor="text1"/>
          <w:lang w:val="es-CO"/>
        </w:rPr>
      </w:pPr>
      <w:r w:rsidRPr="009E2F31">
        <w:rPr>
          <w:rFonts w:ascii="Verdana" w:eastAsia="Calibri" w:hAnsi="Verdana" w:cs="Arial"/>
          <w:color w:val="000000" w:themeColor="text1"/>
          <w:lang w:val="es-CO"/>
        </w:rPr>
        <w:t xml:space="preserve">La capacidad financiera se deriva del comportamiento contable de la empresa, su liquidez y endeudamiento, para determinar que sus recursos y solidez financiera le permita cumplir los compromisos que adquiera. Como explica esta Agencia en el “Manual para determinar y verificar los requisitos habilitantes en los procesos de contratación”, “Los indicadores de capacidad financiera buscan establecer unas condiciones mínimas que reflejan la salud financiera de los proponentes a través de su liquidez y endeudamiento. Estas condiciones muestran la aptitud del proponente para cumplir oportuna y cabalmente el objeto del contrato”. </w:t>
      </w:r>
    </w:p>
    <w:p w14:paraId="2882E503" w14:textId="77777777" w:rsidR="009E2F31" w:rsidRPr="002D5921" w:rsidRDefault="009E2F31" w:rsidP="002D5921">
      <w:pPr>
        <w:pStyle w:val="Prrafodelista"/>
        <w:rPr>
          <w:rFonts w:ascii="Verdana" w:eastAsia="Calibri" w:hAnsi="Verdana" w:cs="Arial"/>
          <w:color w:val="000000" w:themeColor="text1"/>
          <w:lang w:val="es-CO"/>
        </w:rPr>
      </w:pPr>
    </w:p>
    <w:p w14:paraId="60BDE8F5" w14:textId="77777777" w:rsidR="00CD638B" w:rsidRPr="00880B0C" w:rsidRDefault="00CD638B" w:rsidP="00CD638B">
      <w:pPr>
        <w:pStyle w:val="Prrafodelista"/>
        <w:numPr>
          <w:ilvl w:val="0"/>
          <w:numId w:val="17"/>
        </w:numPr>
        <w:spacing w:line="276" w:lineRule="auto"/>
        <w:jc w:val="both"/>
        <w:rPr>
          <w:rFonts w:ascii="Verdana" w:eastAsia="Calibri" w:hAnsi="Verdana" w:cs="Arial"/>
          <w:color w:val="000000" w:themeColor="text1"/>
          <w:lang w:val="es-CO"/>
        </w:rPr>
      </w:pPr>
      <w:r w:rsidRPr="00880B0C">
        <w:rPr>
          <w:rFonts w:ascii="Verdana" w:eastAsia="Calibri" w:hAnsi="Verdana" w:cs="Arial"/>
          <w:color w:val="000000" w:themeColor="text1"/>
          <w:lang w:val="es-CO"/>
        </w:rPr>
        <w:t>Para acreditar los requisitos de la capacidad financiera, el artículo 5 de la Ley 1150 de 2007 y el artículo 2.2.1.1.1.5.3 del Decreto 1082 de 2015 indican que esto se realiza a través del RUP con los estados financieros del proponente, suscritos por el representante legal y el revisor fiscal, cuando aplique. De este modo, lo que se verifica con el registro es que el proponente tenga los indicadores financieros solicitados por la Entidad, que le permitan satisfacer la necesidad que se contratará una vez desarrollado el procedimiento de selección. Por otro lado, la capacidad organizacional evalúa la rentabilidad de la empresa, que es directamente proporcional a su organización interna, y también se verifica con el RUP, de acuerdo con los indicadores señalados en el artículo 2.2.1.1.1.5.3 del Decreto 1082 de 2015.</w:t>
      </w:r>
    </w:p>
    <w:p w14:paraId="709EE188" w14:textId="77777777" w:rsidR="00CD638B" w:rsidRPr="00880B0C" w:rsidRDefault="00CD638B" w:rsidP="00CD638B">
      <w:pPr>
        <w:pStyle w:val="Prrafodelista"/>
        <w:spacing w:line="276" w:lineRule="auto"/>
        <w:jc w:val="both"/>
        <w:rPr>
          <w:rFonts w:ascii="Verdana" w:eastAsia="Calibri" w:hAnsi="Verdana" w:cs="Arial"/>
          <w:color w:val="000000" w:themeColor="text1"/>
          <w:lang w:val="es-CO"/>
        </w:rPr>
      </w:pPr>
    </w:p>
    <w:p w14:paraId="16B8A429" w14:textId="71EA8332" w:rsidR="009E2F31" w:rsidRDefault="009E2F31" w:rsidP="00CD638B">
      <w:pPr>
        <w:pStyle w:val="Prrafodelista"/>
        <w:numPr>
          <w:ilvl w:val="0"/>
          <w:numId w:val="17"/>
        </w:numPr>
        <w:spacing w:line="276" w:lineRule="auto"/>
        <w:jc w:val="both"/>
        <w:rPr>
          <w:rFonts w:ascii="Verdana" w:eastAsia="Calibri" w:hAnsi="Verdana" w:cs="Arial"/>
          <w:color w:val="000000" w:themeColor="text1"/>
          <w:lang w:val="es-CO"/>
        </w:rPr>
      </w:pPr>
      <w:r w:rsidRPr="009E2F31">
        <w:rPr>
          <w:rFonts w:ascii="Verdana" w:eastAsia="Calibri" w:hAnsi="Verdana" w:cs="Arial"/>
          <w:color w:val="000000" w:themeColor="text1"/>
          <w:lang w:val="es-CO"/>
        </w:rPr>
        <w:t>Pues bien, se puede indicar que la capacidad financiera se deriva del comportamiento contable de la empresa</w:t>
      </w:r>
      <w:r w:rsidR="008F4F27">
        <w:rPr>
          <w:rFonts w:ascii="Verdana" w:eastAsia="Calibri" w:hAnsi="Verdana" w:cs="Arial"/>
          <w:color w:val="000000" w:themeColor="text1"/>
          <w:lang w:val="es-CO"/>
        </w:rPr>
        <w:t xml:space="preserve"> o de la persona natural</w:t>
      </w:r>
      <w:r w:rsidRPr="009E2F31">
        <w:rPr>
          <w:rFonts w:ascii="Verdana" w:eastAsia="Calibri" w:hAnsi="Verdana" w:cs="Arial"/>
          <w:color w:val="000000" w:themeColor="text1"/>
          <w:lang w:val="es-CO"/>
        </w:rPr>
        <w:t>, su liquidez y endeudamiento, para determinar que sus recursos y solidez financiera le permita</w:t>
      </w:r>
      <w:r w:rsidR="008F4F27">
        <w:rPr>
          <w:rFonts w:ascii="Verdana" w:eastAsia="Calibri" w:hAnsi="Verdana" w:cs="Arial"/>
          <w:color w:val="000000" w:themeColor="text1"/>
          <w:lang w:val="es-CO"/>
        </w:rPr>
        <w:t>n</w:t>
      </w:r>
      <w:r w:rsidRPr="009E2F31">
        <w:rPr>
          <w:rFonts w:ascii="Verdana" w:eastAsia="Calibri" w:hAnsi="Verdana" w:cs="Arial"/>
          <w:color w:val="000000" w:themeColor="text1"/>
          <w:lang w:val="es-CO"/>
        </w:rPr>
        <w:t xml:space="preserve"> cumplir los compromisos que adquiera.</w:t>
      </w:r>
    </w:p>
    <w:p w14:paraId="447E6720" w14:textId="77777777" w:rsidR="009E2F31" w:rsidRPr="002D5921" w:rsidRDefault="009E2F31" w:rsidP="002D5921">
      <w:pPr>
        <w:pStyle w:val="Prrafodelista"/>
        <w:rPr>
          <w:rFonts w:ascii="Verdana" w:eastAsia="Calibri" w:hAnsi="Verdana" w:cs="Arial"/>
          <w:color w:val="000000" w:themeColor="text1"/>
          <w:lang w:val="es-CO"/>
        </w:rPr>
      </w:pPr>
    </w:p>
    <w:p w14:paraId="1A3F1924" w14:textId="5055B764" w:rsidR="00CD638B" w:rsidRDefault="00CD638B" w:rsidP="00CD638B">
      <w:pPr>
        <w:pStyle w:val="Prrafodelista"/>
        <w:numPr>
          <w:ilvl w:val="0"/>
          <w:numId w:val="17"/>
        </w:numPr>
        <w:spacing w:line="276" w:lineRule="auto"/>
        <w:jc w:val="both"/>
        <w:rPr>
          <w:rFonts w:ascii="Verdana" w:eastAsia="Calibri" w:hAnsi="Verdana" w:cs="Arial"/>
          <w:color w:val="000000" w:themeColor="text1"/>
          <w:lang w:val="es-CO"/>
        </w:rPr>
      </w:pPr>
      <w:r w:rsidRPr="00880B0C">
        <w:rPr>
          <w:rFonts w:ascii="Verdana" w:eastAsia="Calibri" w:hAnsi="Verdana" w:cs="Arial"/>
          <w:color w:val="000000" w:themeColor="text1"/>
          <w:lang w:val="es-CO"/>
        </w:rPr>
        <w:t xml:space="preserve">Esta Agencia puso a disposición de los interesados el “Manual para determinar y verificar los requisitos habilitantes en los procesos de contratación”. En dicho Manual se plantean definiciones para cada requisito habilitante y se indican lineamientos orientadores que la Entidad Estatal puede considerar para establecerlos, pero en todo caso, es ella quien los define, de forma proporcional a la naturaleza y al valor del contrato, por lo que para ello deberá observarse los resultados de los </w:t>
      </w:r>
      <w:r w:rsidRPr="00880B0C">
        <w:rPr>
          <w:rFonts w:ascii="Verdana" w:eastAsia="Calibri" w:hAnsi="Verdana" w:cs="Arial"/>
          <w:color w:val="000000" w:themeColor="text1"/>
          <w:lang w:val="es-CO"/>
        </w:rPr>
        <w:lastRenderedPageBreak/>
        <w:t>Estudios del Sector que se hayan realizado para el respectivo Proceso de Contratación.</w:t>
      </w:r>
    </w:p>
    <w:p w14:paraId="0BD2D781" w14:textId="77777777" w:rsidR="009E2F31" w:rsidRPr="002D5921" w:rsidRDefault="009E2F31" w:rsidP="002D5921">
      <w:pPr>
        <w:pStyle w:val="Prrafodelista"/>
        <w:rPr>
          <w:rFonts w:ascii="Verdana" w:eastAsia="Calibri" w:hAnsi="Verdana" w:cs="Arial"/>
          <w:color w:val="000000" w:themeColor="text1"/>
          <w:lang w:val="es-CO"/>
        </w:rPr>
      </w:pPr>
    </w:p>
    <w:p w14:paraId="20D7A49D" w14:textId="10297AEF" w:rsidR="009E2F31" w:rsidRPr="00880B0C" w:rsidRDefault="009E2F31" w:rsidP="00CD638B">
      <w:pPr>
        <w:pStyle w:val="Prrafodelista"/>
        <w:numPr>
          <w:ilvl w:val="0"/>
          <w:numId w:val="17"/>
        </w:numPr>
        <w:spacing w:line="276" w:lineRule="auto"/>
        <w:jc w:val="both"/>
        <w:rPr>
          <w:rFonts w:ascii="Verdana" w:eastAsia="Calibri" w:hAnsi="Verdana" w:cs="Arial"/>
          <w:color w:val="000000" w:themeColor="text1"/>
          <w:lang w:val="es-CO"/>
        </w:rPr>
      </w:pPr>
      <w:r w:rsidRPr="009E2F31">
        <w:rPr>
          <w:rFonts w:ascii="Verdana" w:eastAsia="Calibri" w:hAnsi="Verdana" w:cs="Arial"/>
          <w:color w:val="000000" w:themeColor="text1"/>
          <w:lang w:val="es-CO"/>
        </w:rPr>
        <w:t xml:space="preserve">De manera particular, el Manual para determinar y verificar los requisitos habilitantes, antes señalado, hace referencia particular a la Guía para la Elaboración de Estudios de Sector </w:t>
      </w:r>
      <w:r>
        <w:rPr>
          <w:rStyle w:val="Refdenotaalpie"/>
          <w:rFonts w:ascii="Verdana" w:eastAsia="Calibri" w:hAnsi="Verdana" w:cs="Arial"/>
          <w:color w:val="000000" w:themeColor="text1"/>
          <w:lang w:val="es-CO"/>
        </w:rPr>
        <w:footnoteReference w:id="3"/>
      </w:r>
      <w:r w:rsidRPr="009E2F31">
        <w:rPr>
          <w:rFonts w:ascii="Verdana" w:eastAsia="Calibri" w:hAnsi="Verdana" w:cs="Arial"/>
          <w:color w:val="000000" w:themeColor="text1"/>
          <w:lang w:val="es-CO"/>
        </w:rPr>
        <w:t>, en donde se señala cómo efectuar cálculos que permiten comprender las estadísticas del sector estudiado con el fin de tener herramientas que ayuden a definir el límite de los indicadores.</w:t>
      </w:r>
    </w:p>
    <w:p w14:paraId="01B441F0" w14:textId="77777777" w:rsidR="00CD638B" w:rsidRPr="00880B0C" w:rsidRDefault="00CD638B" w:rsidP="00CD638B">
      <w:pPr>
        <w:pStyle w:val="Prrafodelista"/>
        <w:spacing w:line="276" w:lineRule="auto"/>
        <w:jc w:val="both"/>
        <w:rPr>
          <w:rFonts w:ascii="Verdana" w:eastAsia="Calibri" w:hAnsi="Verdana" w:cs="Arial"/>
          <w:color w:val="000000" w:themeColor="text1"/>
          <w:lang w:val="es-CO"/>
        </w:rPr>
      </w:pPr>
    </w:p>
    <w:p w14:paraId="2A8EBD06" w14:textId="77777777" w:rsidR="00E034F8" w:rsidRDefault="00CD638B" w:rsidP="00CD638B">
      <w:pPr>
        <w:pStyle w:val="Prrafodelista"/>
        <w:numPr>
          <w:ilvl w:val="0"/>
          <w:numId w:val="17"/>
        </w:numPr>
        <w:spacing w:line="276" w:lineRule="auto"/>
        <w:jc w:val="both"/>
        <w:rPr>
          <w:rFonts w:ascii="Verdana" w:eastAsia="Calibri" w:hAnsi="Verdana" w:cs="Arial"/>
          <w:color w:val="000000" w:themeColor="text1"/>
          <w:lang w:val="es-CO"/>
        </w:rPr>
      </w:pPr>
      <w:r w:rsidRPr="00880B0C">
        <w:rPr>
          <w:rFonts w:ascii="Verdana" w:eastAsia="Calibri" w:hAnsi="Verdana" w:cs="Arial"/>
          <w:color w:val="000000" w:themeColor="text1"/>
          <w:lang w:val="es-CO"/>
        </w:rPr>
        <w:t xml:space="preserve">Considerando la discrecionalidad para establecer los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w:t>
      </w:r>
    </w:p>
    <w:p w14:paraId="40F64DBF" w14:textId="77777777" w:rsidR="00E034F8" w:rsidRPr="002D5921" w:rsidRDefault="00E034F8" w:rsidP="002D5921">
      <w:pPr>
        <w:pStyle w:val="Prrafodelista"/>
        <w:rPr>
          <w:rFonts w:ascii="Verdana" w:eastAsia="Calibri" w:hAnsi="Verdana" w:cs="Arial"/>
          <w:color w:val="000000" w:themeColor="text1"/>
          <w:lang w:val="es-CO"/>
        </w:rPr>
      </w:pPr>
    </w:p>
    <w:p w14:paraId="7B524F14" w14:textId="5AF600EF" w:rsidR="00CD638B" w:rsidRPr="00880B0C" w:rsidRDefault="00CD638B" w:rsidP="00CD638B">
      <w:pPr>
        <w:pStyle w:val="Prrafodelista"/>
        <w:numPr>
          <w:ilvl w:val="0"/>
          <w:numId w:val="17"/>
        </w:numPr>
        <w:spacing w:line="276" w:lineRule="auto"/>
        <w:jc w:val="both"/>
        <w:rPr>
          <w:rFonts w:ascii="Verdana" w:eastAsia="Calibri" w:hAnsi="Verdana" w:cs="Arial"/>
          <w:color w:val="000000" w:themeColor="text1"/>
          <w:lang w:val="es-CO"/>
        </w:rPr>
      </w:pPr>
      <w:r w:rsidRPr="00880B0C">
        <w:rPr>
          <w:rFonts w:ascii="Verdana" w:eastAsia="Calibri" w:hAnsi="Verdana" w:cs="Arial"/>
          <w:color w:val="000000" w:themeColor="text1"/>
          <w:lang w:val="es-CO"/>
        </w:rPr>
        <w:t xml:space="preserve">En consecuencia, para efectos de los escenarios descritos en el párrafo precedente, la inclusión o exclusión de los indicadores previstos en el artículo 2.2.1.1.1.5.3 del Decreto 1082 de 2015 está unida a la carga justificativa de la Entidad Estatal en los estudios y documentos previos del proceso de selección.   </w:t>
      </w:r>
    </w:p>
    <w:p w14:paraId="1FB0A9A2" w14:textId="77777777" w:rsidR="00CD638B" w:rsidRPr="00880B0C" w:rsidRDefault="00CD638B" w:rsidP="00CD638B">
      <w:pPr>
        <w:pStyle w:val="Prrafodelista"/>
        <w:spacing w:line="276" w:lineRule="auto"/>
        <w:jc w:val="both"/>
        <w:rPr>
          <w:rFonts w:ascii="Verdana" w:eastAsia="Calibri" w:hAnsi="Verdana" w:cs="Arial"/>
          <w:color w:val="000000" w:themeColor="text1"/>
          <w:lang w:val="es-CO"/>
        </w:rPr>
      </w:pPr>
    </w:p>
    <w:p w14:paraId="57685D87" w14:textId="77777777" w:rsidR="00CD638B" w:rsidRDefault="00CD638B" w:rsidP="00CD638B">
      <w:pPr>
        <w:pStyle w:val="Prrafodelista"/>
        <w:numPr>
          <w:ilvl w:val="0"/>
          <w:numId w:val="17"/>
        </w:numPr>
        <w:spacing w:line="276" w:lineRule="auto"/>
        <w:jc w:val="both"/>
        <w:rPr>
          <w:rFonts w:ascii="Verdana" w:eastAsia="Calibri" w:hAnsi="Verdana" w:cs="Arial"/>
          <w:color w:val="000000" w:themeColor="text1"/>
          <w:lang w:val="es-CO"/>
        </w:rPr>
      </w:pPr>
      <w:r w:rsidRPr="00880B0C">
        <w:rPr>
          <w:rFonts w:ascii="Verdana" w:eastAsia="Calibri" w:hAnsi="Verdana" w:cs="Arial"/>
          <w:color w:val="000000" w:themeColor="text1"/>
          <w:lang w:val="es-CO"/>
        </w:rPr>
        <w:t>Al respecto, es importante señalar que para que la Entidad Estatal defina ciertos indicadores como requisitos habilitantes, no es suficiente la aplicación mecánica de fórmulas financieras, pues deben conocer cada indicador, sus fórmulas de cálculo y su interpretación, para que así se garantice que en su aplicación se entiende el resultado y sus implicaciones para el procedimiento contractual. Sus resultados deben interpretarse observando el riesgo que un indicador alto o bajo representa para el procedimiento. Por ende, la Entidad Estatal debe establecer unos límites dentro de los cuales se garantice que el proponente pueda cumplir el contrato en caso de celebrarlo.</w:t>
      </w:r>
    </w:p>
    <w:p w14:paraId="59D8EE4A" w14:textId="77777777" w:rsidR="00CD638B" w:rsidRPr="00880B0C" w:rsidRDefault="00CD638B" w:rsidP="00CD638B">
      <w:pPr>
        <w:pStyle w:val="Prrafodelista"/>
        <w:rPr>
          <w:rFonts w:ascii="Verdana" w:eastAsia="Calibri" w:hAnsi="Verdana" w:cs="Arial"/>
          <w:color w:val="000000" w:themeColor="text1"/>
          <w:lang w:val="es-CO"/>
        </w:rPr>
      </w:pPr>
    </w:p>
    <w:p w14:paraId="3FB897DD" w14:textId="7D42F329" w:rsidR="00E034F8" w:rsidRDefault="00E034F8" w:rsidP="00CD638B">
      <w:pPr>
        <w:pStyle w:val="Prrafodelista"/>
        <w:numPr>
          <w:ilvl w:val="0"/>
          <w:numId w:val="17"/>
        </w:numPr>
        <w:spacing w:line="276" w:lineRule="auto"/>
        <w:jc w:val="both"/>
        <w:rPr>
          <w:rFonts w:ascii="Verdana" w:eastAsia="Century Gothic" w:hAnsi="Verdana" w:cs="Century Gothic"/>
        </w:rPr>
      </w:pPr>
      <w:r>
        <w:rPr>
          <w:rFonts w:ascii="Verdana" w:eastAsia="Century Gothic" w:hAnsi="Verdana" w:cs="Century Gothic"/>
        </w:rPr>
        <w:lastRenderedPageBreak/>
        <w:t>De forma específica frente a la norma que señala el peticionario, hemos de manifestar que, p</w:t>
      </w:r>
      <w:r w:rsidR="00CD638B" w:rsidRPr="00880B0C">
        <w:rPr>
          <w:rFonts w:ascii="Verdana" w:eastAsia="Century Gothic" w:hAnsi="Verdana" w:cs="Century Gothic"/>
        </w:rPr>
        <w:t xml:space="preserve">ara lograr la reactivación económica, ante la crisis generada por la pandemia del COVID-19, el gobierno nacional expidió el Decreto 399 de 2021, mediante el cual se establecen algunas modificaciones al Decreto 1082 de 2015 frente a la regulación de la información financiera y organizacional prevista en el Registro Único de Proponentes –RUP–. </w:t>
      </w:r>
    </w:p>
    <w:p w14:paraId="27A6C56A" w14:textId="77777777" w:rsidR="00E034F8" w:rsidRPr="00E034F8" w:rsidRDefault="00E034F8" w:rsidP="00E034F8">
      <w:pPr>
        <w:pStyle w:val="Prrafodelista"/>
        <w:rPr>
          <w:rFonts w:ascii="Verdana" w:eastAsia="Century Gothic" w:hAnsi="Verdana" w:cs="Century Gothic"/>
        </w:rPr>
      </w:pPr>
    </w:p>
    <w:p w14:paraId="723A7C73" w14:textId="6A57A90E" w:rsidR="00CD638B" w:rsidRPr="00880B0C" w:rsidRDefault="00CD638B" w:rsidP="00CD638B">
      <w:pPr>
        <w:pStyle w:val="Prrafodelista"/>
        <w:numPr>
          <w:ilvl w:val="0"/>
          <w:numId w:val="17"/>
        </w:numPr>
        <w:spacing w:line="276" w:lineRule="auto"/>
        <w:jc w:val="both"/>
        <w:rPr>
          <w:rFonts w:ascii="Verdana" w:eastAsia="Century Gothic" w:hAnsi="Verdana" w:cs="Century Gothic"/>
        </w:rPr>
      </w:pPr>
      <w:r w:rsidRPr="00880B0C">
        <w:rPr>
          <w:rFonts w:ascii="Verdana" w:eastAsia="Century Gothic" w:hAnsi="Verdana" w:cs="Century Gothic"/>
        </w:rPr>
        <w:t xml:space="preserve">En tal sentido, se indicó –con la modificación posteriormente introducida por el Decreto 579 de 2021– que a partir del 1 de julio de 2021 las Entidades Estatales deberán tener en cuenta los datos sobre la capacidad financiera y organizacional de los últimos tres años, consignada en el RUP. Así lo justifica textualmente el reglamento mencionado, en sus consideraciones cuando manifiesta que “mediante lo anterior se propenderá por una mayor pluralidad de oferentes en los procedimientos de selección y se fortalecerá la reactivación económica del país, al permitir la participación en estos procedimientos de proponentes que fueron afectados negativamente por la pandemia del COVID-19”. </w:t>
      </w:r>
    </w:p>
    <w:p w14:paraId="48C53360" w14:textId="77777777" w:rsidR="00CD638B" w:rsidRPr="00880B0C" w:rsidRDefault="00CD638B" w:rsidP="00CD638B">
      <w:pPr>
        <w:pStyle w:val="Prrafodelista"/>
        <w:spacing w:line="276" w:lineRule="auto"/>
        <w:jc w:val="both"/>
        <w:rPr>
          <w:rFonts w:ascii="Verdana" w:eastAsia="Century Gothic" w:hAnsi="Verdana" w:cs="Century Gothic"/>
        </w:rPr>
      </w:pPr>
    </w:p>
    <w:p w14:paraId="5050BD6B" w14:textId="041D41DA" w:rsidR="00CD638B" w:rsidRPr="00880B0C" w:rsidRDefault="00CD638B" w:rsidP="00CD638B">
      <w:pPr>
        <w:pStyle w:val="Prrafodelista"/>
        <w:numPr>
          <w:ilvl w:val="0"/>
          <w:numId w:val="17"/>
        </w:numPr>
        <w:spacing w:line="276" w:lineRule="auto"/>
        <w:jc w:val="both"/>
        <w:rPr>
          <w:rFonts w:ascii="Verdana" w:eastAsia="Century Gothic" w:hAnsi="Verdana" w:cs="Century Gothic"/>
        </w:rPr>
      </w:pPr>
      <w:r w:rsidRPr="00880B0C">
        <w:rPr>
          <w:rFonts w:ascii="Verdana" w:eastAsia="Century Gothic" w:hAnsi="Verdana" w:cs="Century Gothic"/>
        </w:rPr>
        <w:t>En tal sentido, el artículo 4 del Decreto 399 de 2021 adicionó dos parágrafos transitorios al artículo 2.2.1.1.1.5.2 del Decreto 1082 de 2015, que a su vez fueron sustituidos por el artículo 1 del Decreto 579 del 31 de mayo de 2021 y posteriormente se adicionó un parágrafo transitorio adicional al artículo 2.2.1.1.1.5.2 del Decreto 1082 de 2015 por el artículo 1 del Decreto 1041 de 2022.</w:t>
      </w:r>
    </w:p>
    <w:p w14:paraId="447FA004" w14:textId="77777777" w:rsidR="00CD638B" w:rsidRPr="00880B0C" w:rsidRDefault="00CD638B" w:rsidP="00CD638B">
      <w:pPr>
        <w:pStyle w:val="Prrafodelista"/>
        <w:spacing w:line="276" w:lineRule="auto"/>
        <w:jc w:val="both"/>
        <w:rPr>
          <w:rFonts w:ascii="Verdana" w:eastAsia="Century Gothic" w:hAnsi="Verdana" w:cs="Century Gothic"/>
        </w:rPr>
      </w:pPr>
    </w:p>
    <w:p w14:paraId="6F2A93BD" w14:textId="77777777" w:rsidR="00CD638B" w:rsidRPr="00880B0C" w:rsidRDefault="00CD638B" w:rsidP="00CD638B">
      <w:pPr>
        <w:pStyle w:val="Prrafodelista"/>
        <w:numPr>
          <w:ilvl w:val="0"/>
          <w:numId w:val="17"/>
        </w:numPr>
        <w:spacing w:line="276" w:lineRule="auto"/>
        <w:jc w:val="both"/>
        <w:rPr>
          <w:rFonts w:ascii="Verdana" w:eastAsia="Century Gothic" w:hAnsi="Verdana" w:cs="Century Gothic"/>
        </w:rPr>
      </w:pPr>
      <w:r w:rsidRPr="00880B0C">
        <w:rPr>
          <w:rFonts w:ascii="Verdana" w:eastAsia="Century Gothic" w:hAnsi="Verdana" w:cs="Century Gothic"/>
        </w:rPr>
        <w:t xml:space="preserve">El parágrafo transitorio 1 dispone que desde el 1 de junio de 2021 los interesados en inscribirse en el RUP deben reportar la información contable y los </w:t>
      </w:r>
      <w:r w:rsidRPr="002D5921">
        <w:rPr>
          <w:rFonts w:ascii="Verdana" w:eastAsia="Century Gothic" w:hAnsi="Verdana" w:cs="Century Gothic"/>
          <w:b/>
          <w:bCs/>
        </w:rPr>
        <w:t>estados financieros de los tres últimos años fiscales.</w:t>
      </w:r>
      <w:r w:rsidRPr="00880B0C">
        <w:rPr>
          <w:rFonts w:ascii="Verdana" w:eastAsia="Century Gothic" w:hAnsi="Verdana" w:cs="Century Gothic"/>
        </w:rPr>
        <w:t xml:space="preserve"> Sin embargo, si el interesado no tiene una antigüedad de tres años, podrá acreditar dicha información desde el primer cierre fiscal. Dicho parágrafo además permite que el proponente con inscripción activa y vigente en el RUP actualice la información del 2018 y/o 2019, por no contar con los datos sobre la capacidad financiera y organizacional de estos años, de manera gratuita, durante el mes de junio, por una sola vez. En todo caso, aclara que, si el proponente tiene registrada la información de dichos años en la cámara de comercio, no deberá presentar esta información.</w:t>
      </w:r>
    </w:p>
    <w:p w14:paraId="4F72B524" w14:textId="77777777" w:rsidR="00CD638B" w:rsidRPr="00880B0C" w:rsidRDefault="00CD638B" w:rsidP="00CD638B">
      <w:pPr>
        <w:pStyle w:val="Prrafodelista"/>
        <w:spacing w:line="276" w:lineRule="auto"/>
        <w:jc w:val="both"/>
        <w:rPr>
          <w:rFonts w:ascii="Verdana" w:eastAsia="Century Gothic" w:hAnsi="Verdana" w:cs="Century Gothic"/>
        </w:rPr>
      </w:pPr>
    </w:p>
    <w:p w14:paraId="7E9C0D1A" w14:textId="77777777" w:rsidR="00CD638B" w:rsidRPr="00880B0C" w:rsidRDefault="00CD638B" w:rsidP="00CD638B">
      <w:pPr>
        <w:pStyle w:val="Prrafodelista"/>
        <w:numPr>
          <w:ilvl w:val="0"/>
          <w:numId w:val="17"/>
        </w:numPr>
        <w:spacing w:line="276" w:lineRule="auto"/>
        <w:jc w:val="both"/>
        <w:rPr>
          <w:rFonts w:ascii="Verdana" w:eastAsia="Century Gothic" w:hAnsi="Verdana" w:cs="Century Gothic"/>
        </w:rPr>
      </w:pPr>
      <w:r w:rsidRPr="00880B0C">
        <w:rPr>
          <w:rFonts w:ascii="Verdana" w:eastAsia="Century Gothic" w:hAnsi="Verdana" w:cs="Century Gothic"/>
        </w:rPr>
        <w:lastRenderedPageBreak/>
        <w:t xml:space="preserve">El parágrafo transitorio 2 señala que, en el año 2022, para la inscripción en el RUP o para su renovación, el interesado debe reportar la información contable y los estados financieros de los tres últimos años fiscales. Además, reitera que, si aquel no cuenta con la información financiera de dichos años, por no tener la antigüedad suficiente, podrá aportar la información de su primer cierre fiscal. </w:t>
      </w:r>
    </w:p>
    <w:p w14:paraId="43AF9548" w14:textId="77777777" w:rsidR="00CD638B" w:rsidRPr="00880B0C" w:rsidRDefault="00CD638B" w:rsidP="00CD638B">
      <w:pPr>
        <w:pStyle w:val="Prrafodelista"/>
        <w:spacing w:line="276" w:lineRule="auto"/>
        <w:jc w:val="both"/>
        <w:rPr>
          <w:rFonts w:ascii="Verdana" w:eastAsia="Century Gothic" w:hAnsi="Verdana" w:cs="Century Gothic"/>
        </w:rPr>
      </w:pPr>
    </w:p>
    <w:p w14:paraId="41FEC84B" w14:textId="77777777" w:rsidR="00CD638B" w:rsidRPr="00880B0C" w:rsidRDefault="00CD638B" w:rsidP="00CD638B">
      <w:pPr>
        <w:pStyle w:val="Prrafodelista"/>
        <w:numPr>
          <w:ilvl w:val="0"/>
          <w:numId w:val="17"/>
        </w:numPr>
        <w:spacing w:line="276" w:lineRule="auto"/>
        <w:jc w:val="both"/>
        <w:rPr>
          <w:rFonts w:ascii="Verdana" w:eastAsia="Century Gothic" w:hAnsi="Verdana" w:cs="Century Gothic"/>
        </w:rPr>
      </w:pPr>
      <w:r w:rsidRPr="00880B0C">
        <w:rPr>
          <w:rFonts w:ascii="Verdana" w:eastAsia="Century Gothic" w:hAnsi="Verdana" w:cs="Century Gothic"/>
        </w:rPr>
        <w:t xml:space="preserve">En igual sentido, el parágrafo transitorio 3 incluido por el Decreto 1041 de 2022 mantuvo la anterior medida para el año 2023, permitiendo que para la inscripción en el RUP o para su renovación, el interesado pueda reportar la información contable y los estados financieros de los tres últimos años fiscales. </w:t>
      </w:r>
    </w:p>
    <w:p w14:paraId="6656B69E" w14:textId="77777777" w:rsidR="00CD638B" w:rsidRPr="00880B0C" w:rsidRDefault="00CD638B" w:rsidP="00CD638B">
      <w:pPr>
        <w:pStyle w:val="Prrafodelista"/>
        <w:spacing w:line="276" w:lineRule="auto"/>
        <w:jc w:val="both"/>
        <w:rPr>
          <w:rFonts w:ascii="Verdana" w:eastAsia="Century Gothic" w:hAnsi="Verdana" w:cs="Century Gothic"/>
        </w:rPr>
      </w:pPr>
    </w:p>
    <w:p w14:paraId="4767DE2C" w14:textId="77777777" w:rsidR="00E034F8" w:rsidRDefault="00CD638B" w:rsidP="00CD638B">
      <w:pPr>
        <w:pStyle w:val="Prrafodelista"/>
        <w:numPr>
          <w:ilvl w:val="0"/>
          <w:numId w:val="17"/>
        </w:numPr>
        <w:spacing w:line="276" w:lineRule="auto"/>
        <w:jc w:val="both"/>
        <w:rPr>
          <w:rFonts w:ascii="Verdana" w:eastAsia="Century Gothic" w:hAnsi="Verdana" w:cs="Century Gothic"/>
        </w:rPr>
      </w:pPr>
      <w:r w:rsidRPr="00880B0C">
        <w:rPr>
          <w:rFonts w:ascii="Verdana" w:eastAsia="Century Gothic" w:hAnsi="Verdana" w:cs="Century Gothic"/>
        </w:rPr>
        <w:t xml:space="preserve">Por otra parte, el artículo 5 del Decreto 399 de 2021 adicionó dos parágrafos transitorios al artículo 2.2.1.1.1.5.6 del Decreto 1082 de 2015, que regula el contenido del certificado del RUP. El primer parágrafo transitorio, que fue posteriormente sustituido por el artículo 2 del Decreto 579 de 2021, establece que “[…] los requisitos e indicadores de la capacidad financiera y organizacional de que trata el literal (b) del artículo 2.2.1.1.1.5.6. del Decreto 1082 de 2015 corresponderán a los últimos tres (3) años fiscales anteriores a la inscripción o renovación, dependiendo de la antigüedad del proponente”. </w:t>
      </w:r>
    </w:p>
    <w:p w14:paraId="76C31772" w14:textId="77777777" w:rsidR="00E034F8" w:rsidRPr="002D5921" w:rsidRDefault="00E034F8" w:rsidP="002D5921">
      <w:pPr>
        <w:pStyle w:val="Prrafodelista"/>
        <w:rPr>
          <w:rFonts w:ascii="Verdana" w:eastAsia="Century Gothic" w:hAnsi="Verdana" w:cs="Century Gothic"/>
        </w:rPr>
      </w:pPr>
    </w:p>
    <w:p w14:paraId="27A8AF48" w14:textId="2C97676F" w:rsidR="00CD638B" w:rsidRPr="00880B0C" w:rsidRDefault="00CD638B" w:rsidP="00CD638B">
      <w:pPr>
        <w:pStyle w:val="Prrafodelista"/>
        <w:numPr>
          <w:ilvl w:val="0"/>
          <w:numId w:val="17"/>
        </w:numPr>
        <w:spacing w:line="276" w:lineRule="auto"/>
        <w:jc w:val="both"/>
        <w:rPr>
          <w:rFonts w:ascii="Verdana" w:eastAsia="Century Gothic" w:hAnsi="Verdana" w:cs="Century Gothic"/>
        </w:rPr>
      </w:pPr>
      <w:r w:rsidRPr="00880B0C">
        <w:rPr>
          <w:rFonts w:ascii="Verdana" w:eastAsia="Century Gothic" w:hAnsi="Verdana" w:cs="Century Gothic"/>
        </w:rPr>
        <w:t>Para esto, las cámaras de comercio, a partir del 1 de julio de 2021, “certificarán la información de que tratan los parágrafos transitorios 1 y 2 del artículo 2.2.1.1.1.5.2. de este Decreto”. Los requisitos e indicadores de la capacidad financiera consagrados en el literal b) del artículo 2.2.1.1.1.5.6 del Decreto 1082 de 2015 son: i) el índice de liquidez, ii) el índice de endeudamiento y iii) la razón de cobertura de intereses. Los requisitos e indicadores de capacidad organizacional son: i) la rentabilidad del patrimonio y ii) la rentabilidad del activo.</w:t>
      </w:r>
    </w:p>
    <w:p w14:paraId="0D591581" w14:textId="77777777" w:rsidR="00CD638B" w:rsidRPr="00880B0C" w:rsidRDefault="00CD638B" w:rsidP="00CD638B">
      <w:pPr>
        <w:pStyle w:val="Prrafodelista"/>
        <w:spacing w:line="276" w:lineRule="auto"/>
        <w:jc w:val="both"/>
        <w:rPr>
          <w:rFonts w:ascii="Verdana" w:eastAsia="Century Gothic" w:hAnsi="Verdana" w:cs="Century Gothic"/>
        </w:rPr>
      </w:pPr>
    </w:p>
    <w:p w14:paraId="2D9AC01E" w14:textId="77777777" w:rsidR="00CD638B" w:rsidRPr="00880B0C" w:rsidRDefault="00CD638B" w:rsidP="00CD638B">
      <w:pPr>
        <w:pStyle w:val="Prrafodelista"/>
        <w:numPr>
          <w:ilvl w:val="0"/>
          <w:numId w:val="17"/>
        </w:numPr>
        <w:spacing w:line="276" w:lineRule="auto"/>
        <w:jc w:val="both"/>
        <w:rPr>
          <w:rFonts w:ascii="Verdana" w:eastAsia="Century Gothic" w:hAnsi="Verdana" w:cs="Century Gothic"/>
        </w:rPr>
      </w:pPr>
      <w:r w:rsidRPr="00880B0C">
        <w:rPr>
          <w:rFonts w:ascii="Verdana" w:eastAsia="Century Gothic" w:hAnsi="Verdana" w:cs="Century Gothic"/>
        </w:rPr>
        <w:t xml:space="preserve">Posteriormente, el segundo parágrafo transitorio del artículo 2.2.1.1.1.5.6 del Decreto 1082 de 2015, modificado por el artículo 2 del Decreto 1041 del 21 de junio 2022 dispone que “El proponente que cuente con inscripción activa y vigente en el RUP, que reporte la información de la capacidad financiera y organizacional, señalada en los parágrafos transitorios 1, 2 Y 3 del artículo 2.2.1.1.1.5.2 del presente Decreto, </w:t>
      </w:r>
      <w:r w:rsidRPr="00880B0C">
        <w:rPr>
          <w:rFonts w:ascii="Verdana" w:eastAsia="Century Gothic" w:hAnsi="Verdana" w:cs="Century Gothic"/>
        </w:rPr>
        <w:lastRenderedPageBreak/>
        <w:t>deberá presentarla en el formato unificado que las cámaras de comercio dispongan para tal efecto”. Como se observa, las normas anteriormente transcritas disponen que:</w:t>
      </w:r>
    </w:p>
    <w:p w14:paraId="24C918F7" w14:textId="77777777" w:rsidR="00CD638B" w:rsidRPr="00880B0C" w:rsidRDefault="00CD638B" w:rsidP="00CD638B">
      <w:pPr>
        <w:pStyle w:val="Prrafodelista"/>
        <w:spacing w:line="276" w:lineRule="auto"/>
        <w:jc w:val="both"/>
        <w:rPr>
          <w:rFonts w:ascii="Verdana" w:eastAsia="Century Gothic" w:hAnsi="Verdana" w:cs="Century Gothic"/>
        </w:rPr>
      </w:pPr>
    </w:p>
    <w:p w14:paraId="51CF7BF1" w14:textId="77777777" w:rsidR="00CD638B" w:rsidRPr="00880B0C" w:rsidRDefault="00CD638B" w:rsidP="00CD638B">
      <w:pPr>
        <w:pStyle w:val="Prrafodelista"/>
        <w:spacing w:line="276" w:lineRule="auto"/>
        <w:jc w:val="both"/>
        <w:rPr>
          <w:rFonts w:ascii="Verdana" w:eastAsia="Century Gothic" w:hAnsi="Verdana" w:cs="Century Gothic"/>
        </w:rPr>
      </w:pPr>
      <w:r w:rsidRPr="00880B0C">
        <w:rPr>
          <w:rFonts w:ascii="Verdana" w:eastAsia="Century Gothic" w:hAnsi="Verdana" w:cs="Century Gothic"/>
        </w:rPr>
        <w:t>i) A partir del 1 de julio de 2021 las Entidades Estatales “[…] establecerán y evaluarán los requisitos habilitantes de capacidad financiera y organizacional teniendo en cuenta la información que conste en el Registro Único de Proponentes”. Es decir, las Entidades Estatales debían tener en cuenta la información sobre la capacidad financiera y organizacional “correspondiente a los últimos tres (3) años fiscales anteriores al respectivo acto” o “desde su primer cierre fiscal”, según el caso.</w:t>
      </w:r>
    </w:p>
    <w:p w14:paraId="1FD2BFF1" w14:textId="77777777" w:rsidR="00CD638B" w:rsidRPr="00880B0C" w:rsidRDefault="00CD638B" w:rsidP="00CD638B">
      <w:pPr>
        <w:pStyle w:val="Prrafodelista"/>
        <w:spacing w:line="276" w:lineRule="auto"/>
        <w:jc w:val="both"/>
        <w:rPr>
          <w:rFonts w:ascii="Verdana" w:eastAsia="Century Gothic" w:hAnsi="Verdana" w:cs="Century Gothic"/>
        </w:rPr>
      </w:pPr>
    </w:p>
    <w:p w14:paraId="731A4FE6" w14:textId="77777777" w:rsidR="00CD638B" w:rsidRPr="00880B0C" w:rsidRDefault="00CD638B" w:rsidP="00CD638B">
      <w:pPr>
        <w:pStyle w:val="Prrafodelista"/>
        <w:spacing w:line="276" w:lineRule="auto"/>
        <w:jc w:val="both"/>
        <w:rPr>
          <w:rFonts w:ascii="Verdana" w:eastAsia="Century Gothic" w:hAnsi="Verdana" w:cs="Century Gothic"/>
        </w:rPr>
      </w:pPr>
      <w:r w:rsidRPr="00880B0C">
        <w:rPr>
          <w:rFonts w:ascii="Verdana" w:eastAsia="Century Gothic" w:hAnsi="Verdana" w:cs="Century Gothic"/>
        </w:rPr>
        <w:t>ii) Las Entidades Estatales conservan su discrecionalidad administrativa para determinar los requisitos habilitantes de capacidad financiera y organizacional, pero “En todo caso, se establecerán indicadores proporcionales al procedimiento de contratación”. El principio de proporcionalidad exige que dichos indicadores sean razonables, o sea, que guarden congruencia con el objeto, alcance, valor y plazo del contrato, que sean necesarios y no restrinjan injustificadamente la libre concurrencia.</w:t>
      </w:r>
    </w:p>
    <w:p w14:paraId="5378121B" w14:textId="77777777" w:rsidR="00CD638B" w:rsidRPr="00880B0C" w:rsidRDefault="00CD638B" w:rsidP="00CD638B">
      <w:pPr>
        <w:pStyle w:val="Prrafodelista"/>
        <w:spacing w:line="276" w:lineRule="auto"/>
        <w:jc w:val="both"/>
        <w:rPr>
          <w:rFonts w:ascii="Verdana" w:eastAsia="Century Gothic" w:hAnsi="Verdana" w:cs="Century Gothic"/>
        </w:rPr>
      </w:pPr>
    </w:p>
    <w:p w14:paraId="405B70D9" w14:textId="77777777" w:rsidR="00CD638B" w:rsidRPr="00880B0C" w:rsidRDefault="00CD638B" w:rsidP="00CD638B">
      <w:pPr>
        <w:pStyle w:val="Prrafodelista"/>
        <w:spacing w:line="276" w:lineRule="auto"/>
        <w:jc w:val="both"/>
        <w:rPr>
          <w:rFonts w:ascii="Verdana" w:eastAsia="Century Gothic" w:hAnsi="Verdana" w:cs="Century Gothic"/>
        </w:rPr>
      </w:pPr>
      <w:r w:rsidRPr="00880B0C">
        <w:rPr>
          <w:rFonts w:ascii="Verdana" w:eastAsia="Century Gothic" w:hAnsi="Verdana" w:cs="Century Gothic"/>
        </w:rPr>
        <w:t>iii) En los procesos de selección cuyo acto administrativo de apertura o invitación se publique a partir del 1 de julio de 2021 las Entidades Estatales deberán tener en cuenta la información financiera y organizacional que esté vigente y en firme en el RUP.</w:t>
      </w:r>
    </w:p>
    <w:p w14:paraId="0F0502E9" w14:textId="77777777" w:rsidR="00CD638B" w:rsidRPr="00880B0C" w:rsidRDefault="00CD638B" w:rsidP="00CD638B">
      <w:pPr>
        <w:pStyle w:val="Prrafodelista"/>
        <w:spacing w:line="276" w:lineRule="auto"/>
        <w:jc w:val="both"/>
        <w:rPr>
          <w:rFonts w:ascii="Verdana" w:eastAsia="Century Gothic" w:hAnsi="Verdana" w:cs="Century Gothic"/>
        </w:rPr>
      </w:pPr>
    </w:p>
    <w:p w14:paraId="4E4D6276" w14:textId="77777777" w:rsidR="00CD638B" w:rsidRPr="00880B0C" w:rsidRDefault="00CD638B" w:rsidP="00CD638B">
      <w:pPr>
        <w:pStyle w:val="Prrafodelista"/>
        <w:spacing w:line="276" w:lineRule="auto"/>
        <w:jc w:val="both"/>
        <w:rPr>
          <w:rFonts w:ascii="Verdana" w:eastAsia="Century Gothic" w:hAnsi="Verdana" w:cs="Century Gothic"/>
        </w:rPr>
      </w:pPr>
      <w:r w:rsidRPr="00880B0C">
        <w:rPr>
          <w:rFonts w:ascii="Verdana" w:eastAsia="Century Gothic" w:hAnsi="Verdana" w:cs="Century Gothic"/>
        </w:rPr>
        <w:t xml:space="preserve">iv) A partir de la fecha establecida anteriormente, la evaluación de los indicadores de capacidad financiera –índice de liquidez, índice de endeudamiento y razón de cobertura de intereses– y organizacional –rentabilidad del patrimonio y rentabilidad del activo–, se deberá realizar por parte de las entidades estatales “teniendo en cuenta el mejor año fiscal que se refleje en el registro de cada proponente” (Énfasis fuera de texto). </w:t>
      </w:r>
    </w:p>
    <w:p w14:paraId="09C71D17" w14:textId="77777777" w:rsidR="00CD638B" w:rsidRPr="00880B0C" w:rsidRDefault="00CD638B" w:rsidP="00CD638B">
      <w:pPr>
        <w:pStyle w:val="Prrafodelista"/>
        <w:spacing w:line="276" w:lineRule="auto"/>
        <w:jc w:val="both"/>
        <w:rPr>
          <w:rFonts w:ascii="Verdana" w:eastAsia="Century Gothic" w:hAnsi="Verdana" w:cs="Century Gothic"/>
        </w:rPr>
      </w:pPr>
    </w:p>
    <w:p w14:paraId="36B3B520" w14:textId="77777777" w:rsidR="00CD638B" w:rsidRPr="000D446F" w:rsidRDefault="00CD638B" w:rsidP="00CD638B">
      <w:pPr>
        <w:pStyle w:val="Prrafodelista"/>
        <w:spacing w:line="276" w:lineRule="auto"/>
        <w:jc w:val="both"/>
        <w:rPr>
          <w:rFonts w:ascii="Verdana" w:eastAsia="Century Gothic" w:hAnsi="Verdana" w:cs="Century Gothic"/>
        </w:rPr>
      </w:pPr>
      <w:r w:rsidRPr="000D446F">
        <w:rPr>
          <w:rFonts w:ascii="Verdana" w:eastAsia="Century Gothic" w:hAnsi="Verdana" w:cs="Century Gothic"/>
        </w:rPr>
        <w:t xml:space="preserve">v) Dichas medidas </w:t>
      </w:r>
      <w:r w:rsidRPr="002D5921">
        <w:rPr>
          <w:rFonts w:ascii="Verdana" w:eastAsia="Century Gothic" w:hAnsi="Verdana" w:cs="Century Gothic"/>
          <w:b/>
          <w:bCs/>
        </w:rPr>
        <w:t>se mantienen hasta el año 2023</w:t>
      </w:r>
      <w:r w:rsidRPr="000D446F">
        <w:rPr>
          <w:rFonts w:ascii="Verdana" w:eastAsia="Century Gothic" w:hAnsi="Verdana" w:cs="Century Gothic"/>
        </w:rPr>
        <w:t xml:space="preserve"> en virtud de lo consagrado en el Decreto 1041 de 2022.</w:t>
      </w:r>
    </w:p>
    <w:p w14:paraId="27386830" w14:textId="77777777" w:rsidR="00CD638B" w:rsidRPr="000D446F" w:rsidRDefault="00CD638B" w:rsidP="00CD638B">
      <w:pPr>
        <w:pStyle w:val="Prrafodelista"/>
        <w:spacing w:line="276" w:lineRule="auto"/>
        <w:jc w:val="both"/>
        <w:rPr>
          <w:rFonts w:ascii="Verdana" w:eastAsia="Century Gothic" w:hAnsi="Verdana" w:cs="Century Gothic"/>
        </w:rPr>
      </w:pPr>
    </w:p>
    <w:p w14:paraId="1ADD8529" w14:textId="77777777" w:rsidR="00693ACC" w:rsidRDefault="00CD638B" w:rsidP="00CD638B">
      <w:pPr>
        <w:pStyle w:val="Prrafodelista"/>
        <w:numPr>
          <w:ilvl w:val="0"/>
          <w:numId w:val="17"/>
        </w:numPr>
        <w:spacing w:line="276" w:lineRule="auto"/>
        <w:jc w:val="both"/>
        <w:rPr>
          <w:rFonts w:ascii="Verdana" w:eastAsia="Century Gothic" w:hAnsi="Verdana" w:cs="Century Gothic"/>
        </w:rPr>
      </w:pPr>
      <w:r w:rsidRPr="000D446F">
        <w:rPr>
          <w:rFonts w:ascii="Verdana" w:eastAsia="Century Gothic" w:hAnsi="Verdana" w:cs="Century Gothic"/>
        </w:rPr>
        <w:lastRenderedPageBreak/>
        <w:t>Ahora bien, teniendo en cuenta que el RUP debe contener la información financiera y organizacional del proponente correspondiente a los últimos tres años o al período transcurrido desde su primer cierre fiscal, según el caso, al momento de evaluar tales indicadores las Entidades Estatales deberán tener en cuenta “el mejor año fiscal” que refleje el registro.</w:t>
      </w:r>
    </w:p>
    <w:p w14:paraId="3A01D1EE" w14:textId="36A2B3EE" w:rsidR="00CD638B" w:rsidRPr="000D446F" w:rsidRDefault="00CD638B" w:rsidP="00CD638B">
      <w:pPr>
        <w:pStyle w:val="Prrafodelista"/>
        <w:numPr>
          <w:ilvl w:val="0"/>
          <w:numId w:val="17"/>
        </w:numPr>
        <w:spacing w:line="276" w:lineRule="auto"/>
        <w:jc w:val="both"/>
        <w:rPr>
          <w:rFonts w:ascii="Verdana" w:eastAsia="Century Gothic" w:hAnsi="Verdana" w:cs="Century Gothic"/>
        </w:rPr>
      </w:pPr>
      <w:r w:rsidRPr="000D446F">
        <w:rPr>
          <w:rFonts w:ascii="Verdana" w:eastAsia="Century Gothic" w:hAnsi="Verdana" w:cs="Century Gothic"/>
        </w:rPr>
        <w:t xml:space="preserve"> Por “mejor año fiscal” se interpreta la información relativa al año apreciada en su conjunto, o sea, de manera integral, que permita al proponente cumplir los requisitos habilitantes de capacidad financiera y organizacional. Dicho de otro modo, cuando el parágrafo transitorio del artículo 2.2.1.1.1.6.2, adicionado por el artículo 6 del Decreto 399 de 2021, sustituido por el artículo 3 del Decreto 579 de 2021 y reiterado por el Decreto 1041 de 2022, establece que “[…] las Entidades Estatales evaluarán estos indicadores, teniendo en cuenta el mejor año fiscal que se refleje en el registro de cada proponente”, significa que deben examinar los años certificados en el RUP y escoger para ser evaluado el que refleje mejores indicadores de capacidad financiera y organizacional, que permita al proponente cumplir los requisitos habilitantes de capacidad financiera y organizacional.</w:t>
      </w:r>
    </w:p>
    <w:p w14:paraId="72DF5ECA" w14:textId="77777777" w:rsidR="00CD638B" w:rsidRPr="000D446F" w:rsidRDefault="00CD638B" w:rsidP="00CD638B">
      <w:pPr>
        <w:pStyle w:val="Prrafodelista"/>
        <w:spacing w:line="276" w:lineRule="auto"/>
        <w:jc w:val="both"/>
        <w:rPr>
          <w:rFonts w:ascii="Verdana" w:eastAsia="Century Gothic" w:hAnsi="Verdana" w:cs="Century Gothic"/>
        </w:rPr>
      </w:pPr>
    </w:p>
    <w:p w14:paraId="7E446896" w14:textId="540AC3B2" w:rsidR="00CD638B" w:rsidRPr="000D446F" w:rsidRDefault="00693ACC" w:rsidP="00CD638B">
      <w:pPr>
        <w:pStyle w:val="Prrafodelista"/>
        <w:numPr>
          <w:ilvl w:val="0"/>
          <w:numId w:val="17"/>
        </w:numPr>
        <w:spacing w:line="276" w:lineRule="auto"/>
        <w:jc w:val="both"/>
        <w:rPr>
          <w:rFonts w:ascii="Verdana" w:eastAsia="Century Gothic" w:hAnsi="Verdana" w:cs="Century Gothic"/>
        </w:rPr>
      </w:pPr>
      <w:r>
        <w:rPr>
          <w:rFonts w:ascii="Verdana" w:eastAsia="Century Gothic" w:hAnsi="Verdana" w:cs="Century Gothic"/>
        </w:rPr>
        <w:t xml:space="preserve">No </w:t>
      </w:r>
      <w:proofErr w:type="gramStart"/>
      <w:r>
        <w:rPr>
          <w:rFonts w:ascii="Verdana" w:eastAsia="Century Gothic" w:hAnsi="Verdana" w:cs="Century Gothic"/>
        </w:rPr>
        <w:t>obstante</w:t>
      </w:r>
      <w:proofErr w:type="gramEnd"/>
      <w:r>
        <w:rPr>
          <w:rFonts w:ascii="Verdana" w:eastAsia="Century Gothic" w:hAnsi="Verdana" w:cs="Century Gothic"/>
        </w:rPr>
        <w:t xml:space="preserve"> lo anterior</w:t>
      </w:r>
      <w:r w:rsidR="00CD638B" w:rsidRPr="000D446F">
        <w:rPr>
          <w:rFonts w:ascii="Verdana" w:eastAsia="Century Gothic" w:hAnsi="Verdana" w:cs="Century Gothic"/>
        </w:rPr>
        <w:t>,</w:t>
      </w:r>
      <w:r>
        <w:rPr>
          <w:rFonts w:ascii="Verdana" w:eastAsia="Century Gothic" w:hAnsi="Verdana" w:cs="Century Gothic"/>
        </w:rPr>
        <w:t xml:space="preserve"> es menester señalar</w:t>
      </w:r>
      <w:r w:rsidR="00CD638B" w:rsidRPr="000D446F">
        <w:rPr>
          <w:rFonts w:ascii="Verdana" w:eastAsia="Century Gothic" w:hAnsi="Verdana" w:cs="Century Gothic"/>
        </w:rPr>
        <w:t xml:space="preserve"> que los parágrafos adicionados por los Decretos 399 de 2021, 579 de 2021 y 1041 de 2022 </w:t>
      </w:r>
      <w:r w:rsidR="00CD638B" w:rsidRPr="002D5921">
        <w:rPr>
          <w:rFonts w:ascii="Verdana" w:eastAsia="Century Gothic" w:hAnsi="Verdana" w:cs="Century Gothic"/>
          <w:b/>
          <w:bCs/>
        </w:rPr>
        <w:t>tienen naturaleza transitoria</w:t>
      </w:r>
      <w:r w:rsidR="00CD638B" w:rsidRPr="000D446F">
        <w:rPr>
          <w:rFonts w:ascii="Verdana" w:eastAsia="Century Gothic" w:hAnsi="Verdana" w:cs="Century Gothic"/>
        </w:rPr>
        <w:t xml:space="preserve">. Conforme a la definición del Diccionario de la RAE, por dicha expresión se entiende todos aquello que es “Pasajero, temporal” o “Caduco, perecedero, fugaz”. Es decir, el marco normativo descrito en los párrafos precedentes carece de vocación de permanencia, pues se trata de disposiciones efímeras, pasajeras, momentáneas, breves, temporales, provisionales y temporarias. Por ello, con la expiración de su vigencia y a falta de un reglamento que prorrogue las medidas adoptadas, la capacidad financiera y organizacional debe acreditarse a la Cámara de Comercio en las condiciones descritas en los numerales 1.3 y 2.3 del artículo 2.2.1.1.1.5.2 del Decreto 1082 de 2015.  </w:t>
      </w:r>
    </w:p>
    <w:p w14:paraId="216D306A" w14:textId="77777777" w:rsidR="00CD638B" w:rsidRPr="000D446F" w:rsidRDefault="00CD638B" w:rsidP="00CD638B">
      <w:pPr>
        <w:pStyle w:val="Prrafodelista"/>
        <w:spacing w:line="276" w:lineRule="auto"/>
        <w:jc w:val="both"/>
        <w:rPr>
          <w:rFonts w:ascii="Verdana" w:eastAsia="Century Gothic" w:hAnsi="Verdana" w:cs="Century Gothic"/>
        </w:rPr>
      </w:pPr>
    </w:p>
    <w:p w14:paraId="74E717F7" w14:textId="77777777" w:rsidR="00CD638B" w:rsidRPr="000D446F" w:rsidRDefault="00CD638B" w:rsidP="00CD638B">
      <w:pPr>
        <w:pStyle w:val="Prrafodelista"/>
        <w:numPr>
          <w:ilvl w:val="0"/>
          <w:numId w:val="17"/>
        </w:numPr>
        <w:spacing w:line="276" w:lineRule="auto"/>
        <w:jc w:val="both"/>
        <w:rPr>
          <w:rFonts w:ascii="Verdana" w:eastAsia="Century Gothic" w:hAnsi="Verdana" w:cs="Century Gothic"/>
        </w:rPr>
      </w:pPr>
      <w:r w:rsidRPr="000D446F">
        <w:rPr>
          <w:rFonts w:ascii="Verdana" w:eastAsia="Century Gothic" w:hAnsi="Verdana" w:cs="Century Gothic"/>
        </w:rPr>
        <w:t xml:space="preserve">Así, tratándose de personas naturales obligadas a llevar contabilidad, deben presentar copia de la información contable del último año exigida por las normas tributarias. En contraste, las personas jurídicas deben aportar los estados financieros de la sociedad y los estados financieros consolidados del grupo empresarial, cuando la norma aplicable lo exige, auditados con sus notas y los siguientes anexos, suscritos por el </w:t>
      </w:r>
      <w:r w:rsidRPr="000D446F">
        <w:rPr>
          <w:rFonts w:ascii="Verdana" w:eastAsia="Century Gothic" w:hAnsi="Verdana" w:cs="Century Gothic"/>
        </w:rPr>
        <w:lastRenderedPageBreak/>
        <w:t>representante legal y el revisor fiscal, si la persona jurídica está obligada a tenerlo, o suscritos por el representante legal y el auditor o contador si la persona jurídica no está obligada a tener revisor fiscal. En todo caso, “Si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608F472E" w14:textId="77777777" w:rsidR="00CD638B" w:rsidRPr="000D446F" w:rsidRDefault="00CD638B" w:rsidP="00CD638B">
      <w:pPr>
        <w:pStyle w:val="Prrafodelista"/>
        <w:spacing w:line="276" w:lineRule="auto"/>
        <w:jc w:val="both"/>
        <w:rPr>
          <w:rFonts w:ascii="Verdana" w:eastAsia="Century Gothic" w:hAnsi="Verdana" w:cs="Century Gothic"/>
        </w:rPr>
      </w:pPr>
    </w:p>
    <w:p w14:paraId="73AA91A4" w14:textId="77777777" w:rsidR="00CD638B" w:rsidRPr="002D5921" w:rsidRDefault="00CD638B" w:rsidP="00CD638B">
      <w:pPr>
        <w:pStyle w:val="Prrafodelista"/>
        <w:numPr>
          <w:ilvl w:val="0"/>
          <w:numId w:val="17"/>
        </w:numPr>
        <w:spacing w:line="276" w:lineRule="auto"/>
        <w:jc w:val="both"/>
        <w:rPr>
          <w:rFonts w:ascii="Verdana" w:eastAsia="Century Gothic" w:hAnsi="Verdana" w:cs="Century Gothic"/>
          <w:b/>
          <w:bCs/>
        </w:rPr>
      </w:pPr>
      <w:r w:rsidRPr="000D446F">
        <w:rPr>
          <w:rFonts w:ascii="Verdana" w:eastAsia="Century Gothic" w:hAnsi="Verdana" w:cs="Century Gothic"/>
        </w:rPr>
        <w:t xml:space="preserve">En este contexto, los indicadores de capacidad financiera y organizacional ya no corresponderán a los últimos tres (3) años fiscales anteriores a la inscripción o renovación. Asimismo, con la pérdida de vigencia de los parágrafos transitorios de los artículos 2.2.1.1.1.5.2 y 2.2.1.1.1.5.6 del Decreto 1082 de 2015, el parágrafo transitorio del artículo 2.2.1.1.1.6.2 ibidem –adicionados por el art. 6 del Decreto 399 de 2021 y sustituido por el art. 3 del Decreto 579 de 2021– es inaplicable por sustracción de materia. En consecuencia, </w:t>
      </w:r>
      <w:r w:rsidRPr="002D5921">
        <w:rPr>
          <w:rFonts w:ascii="Verdana" w:eastAsia="Century Gothic" w:hAnsi="Verdana" w:cs="Century Gothic"/>
          <w:b/>
          <w:bCs/>
        </w:rPr>
        <w:t>cesa la posibilidad de acreditar los indicadores de los numerales 3 y 4 artículo 2.2.1.1.1.5.3 ibidem teniendo en cuenta el mejor año fiscal que se refleje en el registro de cada proponente.</w:t>
      </w:r>
    </w:p>
    <w:p w14:paraId="71A229ED" w14:textId="77777777" w:rsidR="00CD638B" w:rsidRPr="000D446F" w:rsidRDefault="00CD638B" w:rsidP="00CD638B">
      <w:pPr>
        <w:pStyle w:val="Prrafodelista"/>
        <w:spacing w:line="276" w:lineRule="auto"/>
        <w:jc w:val="both"/>
        <w:rPr>
          <w:rFonts w:ascii="Verdana" w:eastAsia="Century Gothic" w:hAnsi="Verdana" w:cs="Century Gothic"/>
        </w:rPr>
      </w:pPr>
    </w:p>
    <w:p w14:paraId="752F51EB" w14:textId="5BE1A6A9" w:rsidR="00CD638B" w:rsidRPr="000D446F" w:rsidRDefault="00693ACC" w:rsidP="00CD638B">
      <w:pPr>
        <w:pStyle w:val="Prrafodelista"/>
        <w:numPr>
          <w:ilvl w:val="0"/>
          <w:numId w:val="17"/>
        </w:numPr>
        <w:spacing w:line="276" w:lineRule="auto"/>
        <w:jc w:val="both"/>
        <w:rPr>
          <w:rFonts w:ascii="Verdana" w:eastAsia="Century Gothic" w:hAnsi="Verdana" w:cs="Century Gothic"/>
        </w:rPr>
      </w:pPr>
      <w:r>
        <w:rPr>
          <w:rFonts w:ascii="Verdana" w:eastAsia="Century Gothic" w:hAnsi="Verdana" w:cs="Century Gothic"/>
        </w:rPr>
        <w:t>Ahora bien, e</w:t>
      </w:r>
      <w:r w:rsidR="00CD638B" w:rsidRPr="000D446F">
        <w:rPr>
          <w:rFonts w:ascii="Verdana" w:eastAsia="Century Gothic" w:hAnsi="Verdana" w:cs="Century Gothic"/>
        </w:rPr>
        <w:t xml:space="preserve">stas normas transitorias no perdieron su vigencia con la finalización de la emergencia sanitaria, pues el Decreto 1041 de 2022 –al prorrogar las medidas de los Decretos 399 y 579 de 2021– </w:t>
      </w:r>
      <w:r w:rsidR="00CD638B" w:rsidRPr="002D5921">
        <w:rPr>
          <w:rFonts w:ascii="Verdana" w:eastAsia="Century Gothic" w:hAnsi="Verdana" w:cs="Century Gothic"/>
          <w:b/>
          <w:bCs/>
        </w:rPr>
        <w:t>las extendió durante el 2023, vigencia fiscal que finalizó el 31 de diciembre pasado</w:t>
      </w:r>
      <w:r w:rsidR="00CD638B" w:rsidRPr="000D446F">
        <w:rPr>
          <w:rFonts w:ascii="Verdana" w:eastAsia="Century Gothic" w:hAnsi="Verdana" w:cs="Century Gothic"/>
        </w:rPr>
        <w:t>. En consecuencia, una interpretación razonable permite concluir que a partir del 1° de enero de 2024 los indicadores deben acreditarse frente a la Cámara de Comercio conforme a las reglas de generales del Decreto 1082 de 2015, es decir, con la información contable del año inmediatamente anterior –</w:t>
      </w:r>
      <w:proofErr w:type="spellStart"/>
      <w:r w:rsidR="00CD638B" w:rsidRPr="000D446F">
        <w:rPr>
          <w:rFonts w:ascii="Verdana" w:eastAsia="Century Gothic" w:hAnsi="Verdana" w:cs="Century Gothic"/>
        </w:rPr>
        <w:t>nums</w:t>
      </w:r>
      <w:proofErr w:type="spellEnd"/>
      <w:r w:rsidR="00CD638B" w:rsidRPr="000D446F">
        <w:rPr>
          <w:rFonts w:ascii="Verdana" w:eastAsia="Century Gothic" w:hAnsi="Verdana" w:cs="Century Gothic"/>
        </w:rPr>
        <w:t>. 1.3 y 2.3 del artículo 2.2.1.1.1.5.2 del Decreto 1082 de 2015–.</w:t>
      </w:r>
    </w:p>
    <w:p w14:paraId="3366A912" w14:textId="77777777" w:rsidR="00CD638B" w:rsidRPr="000D446F" w:rsidRDefault="00CD638B" w:rsidP="00CD638B">
      <w:pPr>
        <w:pStyle w:val="Prrafodelista"/>
        <w:spacing w:line="276" w:lineRule="auto"/>
        <w:jc w:val="both"/>
        <w:rPr>
          <w:rFonts w:ascii="Verdana" w:eastAsia="Century Gothic" w:hAnsi="Verdana" w:cs="Century Gothic"/>
        </w:rPr>
      </w:pPr>
      <w:r w:rsidRPr="000D446F">
        <w:rPr>
          <w:rFonts w:ascii="Verdana" w:eastAsia="Century Gothic" w:hAnsi="Verdana" w:cs="Century Gothic"/>
        </w:rPr>
        <w:t xml:space="preserve"> </w:t>
      </w:r>
    </w:p>
    <w:p w14:paraId="0470E565" w14:textId="77777777" w:rsidR="00CD638B" w:rsidRPr="000D446F" w:rsidRDefault="00CD638B" w:rsidP="00CD638B">
      <w:pPr>
        <w:pStyle w:val="Prrafodelista"/>
        <w:numPr>
          <w:ilvl w:val="0"/>
          <w:numId w:val="17"/>
        </w:numPr>
        <w:spacing w:line="276" w:lineRule="auto"/>
        <w:jc w:val="both"/>
        <w:rPr>
          <w:rFonts w:ascii="Verdana" w:eastAsia="Century Gothic" w:hAnsi="Verdana" w:cs="Century Gothic"/>
        </w:rPr>
      </w:pPr>
      <w:r w:rsidRPr="000D446F">
        <w:rPr>
          <w:rFonts w:ascii="Verdana" w:eastAsia="Century Gothic" w:hAnsi="Verdana" w:cs="Century Gothic"/>
        </w:rPr>
        <w:t xml:space="preserve">En ese sentido, debe tenerse en cuenta que por no existir una norma que amplié a la vigencia 2024 las medidas adoptadas en los Decretos 399 y 579 de 2021 y Decreto 1041 de 2022, aquellas personas que partir del 1° de enero de 2024 realicen la inscripción o renovación del Registro Único de Proponentes solo podrán reportar ante las Cámaras de Comercio la información contable y los estados financieros del último año fiscal. Asimismo, es menester precisar que los proponentes que a la fecha no </w:t>
      </w:r>
      <w:r w:rsidRPr="000D446F">
        <w:rPr>
          <w:rFonts w:ascii="Verdana" w:eastAsia="Century Gothic" w:hAnsi="Verdana" w:cs="Century Gothic"/>
        </w:rPr>
        <w:lastRenderedPageBreak/>
        <w:t xml:space="preserve">hayan realizado la respectiva actualización podrán acreditar la capacidad financiera dentro de un Proceso de Contratación con el RUP vigente, teniendo en cuenta que allí también reposa la información correspondiente al último año fiscal. </w:t>
      </w:r>
    </w:p>
    <w:p w14:paraId="7A1CFC99" w14:textId="77777777" w:rsidR="00CD638B" w:rsidRPr="000D446F" w:rsidRDefault="00CD638B" w:rsidP="00CD638B">
      <w:pPr>
        <w:pStyle w:val="Prrafodelista"/>
        <w:rPr>
          <w:rFonts w:ascii="Verdana" w:eastAsia="Century Gothic" w:hAnsi="Verdana" w:cs="Century Gothic"/>
        </w:rPr>
      </w:pPr>
    </w:p>
    <w:p w14:paraId="45138087" w14:textId="77777777" w:rsidR="00CD638B" w:rsidRPr="000D446F" w:rsidRDefault="00CD638B" w:rsidP="00CD638B">
      <w:pPr>
        <w:pStyle w:val="Prrafodelista"/>
        <w:spacing w:line="276" w:lineRule="auto"/>
        <w:jc w:val="both"/>
        <w:rPr>
          <w:rFonts w:ascii="Verdana" w:eastAsia="Calibri" w:hAnsi="Verdana" w:cs="Arial"/>
          <w:sz w:val="18"/>
          <w:szCs w:val="18"/>
        </w:rPr>
      </w:pPr>
    </w:p>
    <w:p w14:paraId="1CE170F5" w14:textId="0E8BFA4C" w:rsidR="00693ACC" w:rsidRDefault="00CD638B" w:rsidP="00CD638B">
      <w:pPr>
        <w:pStyle w:val="Prrafodelista"/>
        <w:numPr>
          <w:ilvl w:val="0"/>
          <w:numId w:val="17"/>
        </w:numPr>
        <w:spacing w:after="120" w:line="276" w:lineRule="auto"/>
        <w:jc w:val="both"/>
        <w:rPr>
          <w:rFonts w:ascii="Verdana" w:eastAsia="Calibri" w:hAnsi="Verdana" w:cs="Arial"/>
        </w:rPr>
      </w:pPr>
      <w:bookmarkStart w:id="9" w:name="_Hlk104104496"/>
      <w:r>
        <w:rPr>
          <w:rFonts w:ascii="Verdana" w:eastAsia="Calibri" w:hAnsi="Verdana" w:cs="Arial"/>
        </w:rPr>
        <w:t>Por otra parte,</w:t>
      </w:r>
      <w:r w:rsidR="00693ACC">
        <w:rPr>
          <w:rFonts w:ascii="Verdana" w:eastAsia="Calibri" w:hAnsi="Verdana" w:cs="Arial"/>
        </w:rPr>
        <w:t xml:space="preserve"> respecto al segundo interrogante planteado,  el artículo 1 de </w:t>
      </w:r>
      <w:r>
        <w:rPr>
          <w:rFonts w:ascii="Verdana" w:eastAsia="Calibri" w:hAnsi="Verdana" w:cs="Arial"/>
        </w:rPr>
        <w:t>l</w:t>
      </w:r>
      <w:r w:rsidRPr="000D446F">
        <w:rPr>
          <w:rFonts w:ascii="Verdana" w:eastAsia="Calibri" w:hAnsi="Verdana" w:cs="Arial"/>
        </w:rPr>
        <w:t xml:space="preserve">a Ley 2022 de 2020 </w:t>
      </w:r>
      <w:proofErr w:type="spellStart"/>
      <w:r w:rsidRPr="000D446F">
        <w:rPr>
          <w:rFonts w:ascii="Verdana" w:eastAsia="Calibri" w:hAnsi="Verdana" w:cs="Arial"/>
        </w:rPr>
        <w:t>señalaque</w:t>
      </w:r>
      <w:proofErr w:type="spellEnd"/>
      <w:r w:rsidR="00693ACC">
        <w:rPr>
          <w:rFonts w:ascii="Verdana" w:eastAsia="Calibri" w:hAnsi="Verdana" w:cs="Arial"/>
        </w:rPr>
        <w:t xml:space="preserve">, </w:t>
      </w:r>
      <w:r w:rsidRPr="000D446F">
        <w:rPr>
          <w:rFonts w:ascii="Verdana" w:eastAsia="Calibri" w:hAnsi="Verdana" w:cs="Arial"/>
        </w:rPr>
        <w:t xml:space="preserve"> los documentos tipo adoptados por la Agencia Nacional de Contratación Pública son de </w:t>
      </w:r>
      <w:r w:rsidRPr="000D446F">
        <w:rPr>
          <w:rFonts w:ascii="Verdana" w:eastAsia="Calibri" w:hAnsi="Verdana" w:cs="Arial"/>
          <w:i/>
        </w:rPr>
        <w:t>obligatorio</w:t>
      </w:r>
      <w:r w:rsidRPr="000D446F">
        <w:rPr>
          <w:rFonts w:ascii="Verdana" w:eastAsia="Calibri" w:hAnsi="Verdana" w:cs="Arial"/>
        </w:rPr>
        <w:t xml:space="preserve"> cumplimiento por todas las entidades públicas, cuyo régimen de contratación sea el Estatuto General de la Contratación de la Administración Pública ‒EGCAP‒. </w:t>
      </w:r>
    </w:p>
    <w:p w14:paraId="18369A21" w14:textId="1A251D4A" w:rsidR="00CD638B" w:rsidRDefault="00CD638B" w:rsidP="00CD638B">
      <w:pPr>
        <w:pStyle w:val="Prrafodelista"/>
        <w:numPr>
          <w:ilvl w:val="0"/>
          <w:numId w:val="17"/>
        </w:numPr>
        <w:spacing w:after="120" w:line="276" w:lineRule="auto"/>
        <w:jc w:val="both"/>
        <w:rPr>
          <w:rFonts w:ascii="Verdana" w:eastAsia="Calibri" w:hAnsi="Verdana" w:cs="Arial"/>
        </w:rPr>
      </w:pPr>
      <w:r w:rsidRPr="000D446F">
        <w:rPr>
          <w:rFonts w:ascii="Verdana" w:eastAsia="Calibri" w:hAnsi="Verdana" w:cs="Arial"/>
        </w:rPr>
        <w:t xml:space="preserve">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 Lo anterior, por cuanto los documentos tipo se caracterizan por ser inalterables, es decir, que las entidades públicas carecen de la facultad de modificarlos, con excepción de aquellos aspectos que pueden diligenciar, que son las descripciones que están incluidas entre corchetes y resaltadas en gris en cada uno de los documentos tipo. </w:t>
      </w:r>
    </w:p>
    <w:p w14:paraId="01C3AABA" w14:textId="77777777" w:rsidR="00CD638B" w:rsidRPr="000D446F" w:rsidRDefault="00CD638B" w:rsidP="00CD638B">
      <w:pPr>
        <w:pStyle w:val="Prrafodelista"/>
        <w:spacing w:after="120" w:line="276" w:lineRule="auto"/>
        <w:jc w:val="both"/>
        <w:rPr>
          <w:rFonts w:ascii="Verdana" w:eastAsia="Calibri" w:hAnsi="Verdana" w:cs="Arial"/>
        </w:rPr>
      </w:pPr>
    </w:p>
    <w:bookmarkEnd w:id="9"/>
    <w:p w14:paraId="4A7940AA" w14:textId="77777777" w:rsidR="00CD638B" w:rsidRDefault="00CD638B" w:rsidP="00CD638B">
      <w:pPr>
        <w:pStyle w:val="Prrafodelista"/>
        <w:numPr>
          <w:ilvl w:val="0"/>
          <w:numId w:val="17"/>
        </w:numPr>
        <w:spacing w:after="120" w:line="276" w:lineRule="auto"/>
        <w:jc w:val="both"/>
        <w:rPr>
          <w:rFonts w:ascii="Verdana" w:eastAsia="Calibri" w:hAnsi="Verdana" w:cs="Arial"/>
        </w:rPr>
      </w:pPr>
      <w:r w:rsidRPr="000D446F">
        <w:rPr>
          <w:rFonts w:ascii="Verdana" w:eastAsia="Calibri" w:hAnsi="Verdana" w:cs="Arial"/>
          <w:shd w:val="clear" w:color="auto" w:fill="FFFFFF"/>
        </w:rPr>
        <w:t xml:space="preserve">De acuerdo con lo expuesto, </w:t>
      </w:r>
      <w:r w:rsidRPr="000D446F">
        <w:rPr>
          <w:rFonts w:ascii="Verdana" w:eastAsia="Calibri" w:hAnsi="Verdana" w:cs="Arial"/>
        </w:rPr>
        <w:t>las entidades estatales regidas por el Estatuto General de Contratación de la Administración Pública, de conformidad con el parágrafo 7 del artículo 2 de la Ley 1150 de 2007, adicionado por la Ley 1882 de 2018 y modificado por la Ley 2022 de 2020, se encuentran obligadas a aplicar los documentos tipo implementados por esta Agencia para adelantar los procesos de contratación que se encuentren cobijados por los documentos tipo expedidos. Sin embargo, si el objeto contractual no se relaciona con actividades u objetos contractuales descritos en los documentos tipo que han sido expedidos por Colombia Compra Eficiente, o estos no aplican a la modalidad de escogencia aplicable, no será obligatorio aplicar los pliegos tipo.</w:t>
      </w:r>
    </w:p>
    <w:p w14:paraId="28B2A236" w14:textId="77777777" w:rsidR="00CD638B" w:rsidRPr="000D446F" w:rsidRDefault="00CD638B" w:rsidP="00CD638B">
      <w:pPr>
        <w:spacing w:after="120" w:line="276" w:lineRule="auto"/>
        <w:jc w:val="both"/>
        <w:rPr>
          <w:rFonts w:ascii="Verdana" w:eastAsia="Calibri" w:hAnsi="Verdana" w:cs="Arial"/>
        </w:rPr>
      </w:pPr>
      <w:r w:rsidRPr="000D446F">
        <w:rPr>
          <w:rFonts w:ascii="Verdana" w:eastAsia="Calibri" w:hAnsi="Verdana" w:cs="Arial"/>
        </w:rPr>
        <w:t xml:space="preserve"> </w:t>
      </w:r>
    </w:p>
    <w:p w14:paraId="6805C409" w14:textId="77777777" w:rsidR="00CD638B" w:rsidRPr="000D446F" w:rsidRDefault="00CD638B" w:rsidP="00CD638B">
      <w:pPr>
        <w:pStyle w:val="Prrafodelista"/>
        <w:numPr>
          <w:ilvl w:val="0"/>
          <w:numId w:val="17"/>
        </w:numPr>
        <w:spacing w:after="120" w:line="276" w:lineRule="auto"/>
        <w:jc w:val="both"/>
        <w:rPr>
          <w:rFonts w:ascii="Verdana" w:eastAsia="Calibri" w:hAnsi="Verdana" w:cs="Arial"/>
          <w:lang w:val="es-ES_tradnl"/>
        </w:rPr>
      </w:pPr>
      <w:r w:rsidRPr="000D446F">
        <w:rPr>
          <w:rFonts w:ascii="Verdana" w:eastAsia="Calibri" w:hAnsi="Verdana" w:cs="Arial"/>
        </w:rPr>
        <w:t xml:space="preserve">Además del objeto y la modalidad de escogencia aplicable, para delimitar de forma más precisa el ámbito de aplicación de cada uno de los documentos tipo será necesario analizar la matriz de experiencia asociada a cada uno de ellos, pues estos aplicarán a los proyectos y/o actividades </w:t>
      </w:r>
      <w:r w:rsidRPr="000D446F">
        <w:rPr>
          <w:rFonts w:ascii="Verdana" w:eastAsia="Calibri" w:hAnsi="Verdana" w:cs="Arial"/>
        </w:rPr>
        <w:lastRenderedPageBreak/>
        <w:t>específicas contempladas en cada una de dichas matrices de experiencia. En este sentido, la matriz de experiencia de cada uno de los documentos tipo, además de estandarizar este importante requisito en los procedimientos de selección, delimita o precisa el ámbito de aplicación de los mismos, por lo que aplicarán a las actividades establecidas en cada una de estas matrices</w:t>
      </w:r>
      <w:r w:rsidRPr="000D446F">
        <w:rPr>
          <w:rStyle w:val="Refdenotaalpie"/>
          <w:rFonts w:ascii="Verdana" w:eastAsia="Calibri" w:hAnsi="Verdana" w:cs="Arial"/>
        </w:rPr>
        <w:footnoteReference w:id="4"/>
      </w:r>
      <w:r w:rsidRPr="000D446F">
        <w:rPr>
          <w:rFonts w:ascii="Verdana" w:eastAsia="Calibri" w:hAnsi="Verdana" w:cs="Arial"/>
        </w:rPr>
        <w:t>.</w:t>
      </w:r>
    </w:p>
    <w:p w14:paraId="39A6B990" w14:textId="7DA72BFA" w:rsidR="00CD638B" w:rsidRDefault="00693ACC" w:rsidP="00CD638B">
      <w:pPr>
        <w:pStyle w:val="Prrafodelista"/>
        <w:numPr>
          <w:ilvl w:val="0"/>
          <w:numId w:val="17"/>
        </w:numPr>
        <w:spacing w:after="120" w:line="276" w:lineRule="auto"/>
        <w:jc w:val="both"/>
        <w:rPr>
          <w:rFonts w:ascii="Verdana" w:hAnsi="Verdana" w:cs="Arial"/>
        </w:rPr>
      </w:pPr>
      <w:r>
        <w:rPr>
          <w:rFonts w:ascii="Verdana" w:hAnsi="Verdana" w:cs="Arial"/>
        </w:rPr>
        <w:t>E</w:t>
      </w:r>
      <w:r w:rsidR="00CD638B" w:rsidRPr="000D446F">
        <w:rPr>
          <w:rFonts w:ascii="Verdana" w:hAnsi="Verdana" w:cs="Arial"/>
        </w:rPr>
        <w:t xml:space="preserve">sta Agencia ha expedido diversos grupos de documentos tipo aplicables principalmente a la contratación de obras públicas de infraestructura de transporte, agua potable, saneamiento básico y social, infraestructura social, pero también para interventoría y consultoría de estudios de ingeniería. De conformidad con las modalidades de selección establecidas en el artículo 2 de la Ley 1150 de 2007, estos documentos tipo se han expedido para las modalidades de selección de licitación pública, selección abreviada de menor cuantía y concurso de méritos. </w:t>
      </w:r>
    </w:p>
    <w:p w14:paraId="0E9EA473" w14:textId="77777777" w:rsidR="00693ACC" w:rsidRPr="000D446F" w:rsidRDefault="00693ACC" w:rsidP="00693ACC">
      <w:pPr>
        <w:pStyle w:val="Prrafodelista"/>
        <w:numPr>
          <w:ilvl w:val="0"/>
          <w:numId w:val="17"/>
        </w:numPr>
        <w:spacing w:after="120" w:line="276" w:lineRule="auto"/>
        <w:jc w:val="both"/>
        <w:rPr>
          <w:rFonts w:ascii="Verdana" w:hAnsi="Verdana" w:cs="Arial"/>
        </w:rPr>
      </w:pPr>
      <w:r w:rsidRPr="000D446F">
        <w:rPr>
          <w:rFonts w:ascii="Verdana" w:hAnsi="Verdana" w:cs="Arial"/>
        </w:rPr>
        <w:t xml:space="preserve">En conclusión, la definición de si a un proceso de contratación le aplican los documentos tipo radicará en si el contrato a ejecutar se enmarca dentro de las actividades establecidas en la matriz de experiencia del documento tipo, de modo que las entidades estatales sometidas al Estatuto General de Contratación de la Administración Pública deberán aplicar los documentos tipo en dichos supuestos. En todo caso, independientemente de la correspondencia entre el objeto a contratar y alguna de las actividades tipificadas en las matrices de experiencia, la aplicación del documento tipo solo será forzosa, si además el correspondiente documento tipo ha sido expedido para la modalidad de escogencia en la que se debe adelantar el proceso de selección. </w:t>
      </w:r>
    </w:p>
    <w:p w14:paraId="32B3AF3C" w14:textId="77777777" w:rsidR="00693ACC" w:rsidRPr="000D446F" w:rsidRDefault="00693ACC" w:rsidP="002D5921">
      <w:pPr>
        <w:pStyle w:val="Prrafodelista"/>
        <w:spacing w:after="120" w:line="276" w:lineRule="auto"/>
        <w:jc w:val="both"/>
        <w:rPr>
          <w:rFonts w:ascii="Verdana" w:hAnsi="Verdana" w:cs="Arial"/>
        </w:rPr>
      </w:pPr>
    </w:p>
    <w:p w14:paraId="72D832AF" w14:textId="77777777" w:rsidR="00CD638B" w:rsidRPr="00880B0C" w:rsidRDefault="00CD638B" w:rsidP="00CD638B">
      <w:pPr>
        <w:pStyle w:val="Prrafodelista"/>
        <w:spacing w:line="276" w:lineRule="auto"/>
        <w:rPr>
          <w:rFonts w:ascii="Century Gothic" w:eastAsia="Century Gothic" w:hAnsi="Century Gothic" w:cs="Century Gothic"/>
          <w:color w:val="000000" w:themeColor="text1"/>
        </w:rPr>
      </w:pPr>
    </w:p>
    <w:p w14:paraId="6B1D5C95" w14:textId="77777777" w:rsidR="00CD638B" w:rsidRPr="00593A5F" w:rsidRDefault="00CD638B" w:rsidP="00CD6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6075A774" w14:textId="77777777" w:rsidR="00CD638B" w:rsidRPr="00593A5F" w:rsidRDefault="00CD638B" w:rsidP="00CD638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D638B" w:rsidRPr="00593A5F" w14:paraId="153DF02D" w14:textId="77777777" w:rsidTr="00943A7D">
        <w:trPr>
          <w:trHeight w:val="870"/>
        </w:trPr>
        <w:tc>
          <w:tcPr>
            <w:tcW w:w="8647" w:type="dxa"/>
          </w:tcPr>
          <w:p w14:paraId="1CA5F990" w14:textId="77777777" w:rsidR="00CD638B" w:rsidRDefault="00CD638B" w:rsidP="00943A7D">
            <w:pPr>
              <w:pStyle w:val="Prrafodelista"/>
              <w:widowControl w:val="0"/>
              <w:numPr>
                <w:ilvl w:val="0"/>
                <w:numId w:val="18"/>
              </w:numPr>
              <w:autoSpaceDE w:val="0"/>
              <w:autoSpaceDN w:val="0"/>
              <w:spacing w:after="120" w:line="276" w:lineRule="auto"/>
              <w:ind w:left="454"/>
              <w:jc w:val="both"/>
              <w:rPr>
                <w:rFonts w:ascii="Verdana" w:hAnsi="Verdana" w:cs="Arial"/>
              </w:rPr>
            </w:pPr>
            <w:r w:rsidRPr="000D446F">
              <w:rPr>
                <w:rFonts w:ascii="Verdana" w:hAnsi="Verdana" w:cs="Arial"/>
              </w:rPr>
              <w:t>Ley 80 de 1993, artículos 77.</w:t>
            </w:r>
          </w:p>
          <w:p w14:paraId="245C0147" w14:textId="7F664382" w:rsidR="005D3368" w:rsidRPr="000D446F" w:rsidRDefault="005D3368" w:rsidP="00943A7D">
            <w:pPr>
              <w:pStyle w:val="Prrafodelista"/>
              <w:widowControl w:val="0"/>
              <w:numPr>
                <w:ilvl w:val="0"/>
                <w:numId w:val="18"/>
              </w:numPr>
              <w:autoSpaceDE w:val="0"/>
              <w:autoSpaceDN w:val="0"/>
              <w:spacing w:after="120" w:line="276" w:lineRule="auto"/>
              <w:ind w:left="454"/>
              <w:jc w:val="both"/>
              <w:rPr>
                <w:rFonts w:ascii="Verdana" w:hAnsi="Verdana" w:cs="Arial"/>
              </w:rPr>
            </w:pPr>
            <w:r>
              <w:rPr>
                <w:rFonts w:ascii="Verdana" w:hAnsi="Verdana" w:cs="Arial"/>
              </w:rPr>
              <w:t>Ley 1150 de 20</w:t>
            </w:r>
            <w:r w:rsidR="00CE123C">
              <w:rPr>
                <w:rFonts w:ascii="Verdana" w:hAnsi="Verdana" w:cs="Arial"/>
              </w:rPr>
              <w:t>07</w:t>
            </w:r>
          </w:p>
          <w:p w14:paraId="2663DCC9" w14:textId="77777777" w:rsidR="00CD638B" w:rsidRPr="000D446F" w:rsidRDefault="00CD638B" w:rsidP="00943A7D">
            <w:pPr>
              <w:pStyle w:val="Prrafodelista"/>
              <w:widowControl w:val="0"/>
              <w:numPr>
                <w:ilvl w:val="0"/>
                <w:numId w:val="18"/>
              </w:numPr>
              <w:autoSpaceDE w:val="0"/>
              <w:autoSpaceDN w:val="0"/>
              <w:spacing w:after="120" w:line="276" w:lineRule="auto"/>
              <w:ind w:left="454"/>
              <w:jc w:val="both"/>
              <w:rPr>
                <w:rFonts w:ascii="Verdana" w:hAnsi="Verdana" w:cs="Arial"/>
              </w:rPr>
            </w:pPr>
            <w:r w:rsidRPr="000D446F">
              <w:rPr>
                <w:rFonts w:ascii="Verdana" w:hAnsi="Verdana" w:cs="Arial"/>
              </w:rPr>
              <w:t xml:space="preserve">Ley 1437 de 2011 </w:t>
            </w:r>
          </w:p>
          <w:p w14:paraId="6019CBD5" w14:textId="77777777" w:rsidR="00CD638B" w:rsidRPr="00CE123C" w:rsidRDefault="00CD638B" w:rsidP="00943A7D">
            <w:pPr>
              <w:pStyle w:val="Prrafodelista"/>
              <w:widowControl w:val="0"/>
              <w:numPr>
                <w:ilvl w:val="0"/>
                <w:numId w:val="18"/>
              </w:numPr>
              <w:autoSpaceDE w:val="0"/>
              <w:autoSpaceDN w:val="0"/>
              <w:spacing w:after="120" w:line="276" w:lineRule="auto"/>
              <w:ind w:left="454"/>
              <w:jc w:val="both"/>
              <w:rPr>
                <w:rFonts w:ascii="Verdana" w:hAnsi="Verdana" w:cs="Arial"/>
              </w:rPr>
            </w:pPr>
            <w:r w:rsidRPr="000D446F">
              <w:rPr>
                <w:rFonts w:ascii="Verdana" w:eastAsia="Calibri" w:hAnsi="Verdana" w:cs="Arial"/>
              </w:rPr>
              <w:t xml:space="preserve">Decreto 1082 de 2015. </w:t>
            </w:r>
          </w:p>
          <w:p w14:paraId="7EBEC6E1" w14:textId="77E094B4" w:rsidR="00CE123C" w:rsidRPr="000D446F" w:rsidRDefault="00CE123C" w:rsidP="00943A7D">
            <w:pPr>
              <w:pStyle w:val="Prrafodelista"/>
              <w:widowControl w:val="0"/>
              <w:numPr>
                <w:ilvl w:val="0"/>
                <w:numId w:val="18"/>
              </w:numPr>
              <w:autoSpaceDE w:val="0"/>
              <w:autoSpaceDN w:val="0"/>
              <w:spacing w:after="120" w:line="276" w:lineRule="auto"/>
              <w:ind w:left="454"/>
              <w:jc w:val="both"/>
              <w:rPr>
                <w:rFonts w:ascii="Verdana" w:hAnsi="Verdana" w:cs="Arial"/>
              </w:rPr>
            </w:pPr>
            <w:r w:rsidRPr="000D446F">
              <w:rPr>
                <w:rFonts w:ascii="Verdana" w:eastAsia="Calibri" w:hAnsi="Verdana" w:cs="Arial"/>
              </w:rPr>
              <w:lastRenderedPageBreak/>
              <w:t>Ley 1882 de 2018</w:t>
            </w:r>
          </w:p>
          <w:p w14:paraId="58AD88CA" w14:textId="77777777" w:rsidR="00CD638B" w:rsidRPr="000D446F" w:rsidRDefault="00CD638B" w:rsidP="00943A7D">
            <w:pPr>
              <w:pStyle w:val="Prrafodelista"/>
              <w:widowControl w:val="0"/>
              <w:numPr>
                <w:ilvl w:val="0"/>
                <w:numId w:val="18"/>
              </w:numPr>
              <w:autoSpaceDE w:val="0"/>
              <w:autoSpaceDN w:val="0"/>
              <w:spacing w:after="120" w:line="276" w:lineRule="auto"/>
              <w:ind w:left="454"/>
              <w:jc w:val="both"/>
              <w:rPr>
                <w:rFonts w:ascii="Verdana" w:hAnsi="Verdana" w:cs="Arial"/>
              </w:rPr>
            </w:pPr>
            <w:r w:rsidRPr="000D446F">
              <w:rPr>
                <w:rFonts w:ascii="Verdana" w:hAnsi="Verdana" w:cs="Arial"/>
              </w:rPr>
              <w:t>Decreto 579 de 2021</w:t>
            </w:r>
          </w:p>
          <w:p w14:paraId="0056E385" w14:textId="77777777" w:rsidR="00CD638B" w:rsidRPr="002D5921" w:rsidRDefault="00CD638B" w:rsidP="00943A7D">
            <w:pPr>
              <w:pStyle w:val="Prrafodelista"/>
              <w:widowControl w:val="0"/>
              <w:numPr>
                <w:ilvl w:val="0"/>
                <w:numId w:val="18"/>
              </w:numPr>
              <w:autoSpaceDE w:val="0"/>
              <w:autoSpaceDN w:val="0"/>
              <w:spacing w:after="120" w:line="276" w:lineRule="auto"/>
              <w:ind w:left="454"/>
              <w:jc w:val="both"/>
              <w:rPr>
                <w:rFonts w:ascii="Verdana" w:hAnsi="Verdana" w:cs="Arial"/>
              </w:rPr>
            </w:pPr>
            <w:r w:rsidRPr="000D446F">
              <w:rPr>
                <w:rFonts w:ascii="Verdana" w:eastAsia="Century Gothic" w:hAnsi="Verdana" w:cs="Century Gothic"/>
                <w:lang w:val="es-MX"/>
              </w:rPr>
              <w:t>Decreto 399 de 2021</w:t>
            </w:r>
          </w:p>
          <w:p w14:paraId="14658221" w14:textId="70BBD084" w:rsidR="000D69EF" w:rsidRPr="000D446F" w:rsidRDefault="000D69EF" w:rsidP="00943A7D">
            <w:pPr>
              <w:pStyle w:val="Prrafodelista"/>
              <w:widowControl w:val="0"/>
              <w:numPr>
                <w:ilvl w:val="0"/>
                <w:numId w:val="18"/>
              </w:numPr>
              <w:autoSpaceDE w:val="0"/>
              <w:autoSpaceDN w:val="0"/>
              <w:spacing w:after="120" w:line="276" w:lineRule="auto"/>
              <w:ind w:left="454"/>
              <w:jc w:val="both"/>
              <w:rPr>
                <w:rFonts w:ascii="Verdana" w:hAnsi="Verdana" w:cs="Arial"/>
              </w:rPr>
            </w:pPr>
            <w:r w:rsidRPr="009E2F31">
              <w:rPr>
                <w:rFonts w:ascii="Verdana" w:eastAsia="Calibri" w:hAnsi="Verdana" w:cs="Arial"/>
                <w:color w:val="000000" w:themeColor="text1"/>
                <w:lang w:val="es-CO"/>
              </w:rPr>
              <w:t>Manual para determinar y verificar los requisitos habilitantes en los procesos de contratación</w:t>
            </w:r>
          </w:p>
        </w:tc>
      </w:tr>
    </w:tbl>
    <w:p w14:paraId="0433AD11" w14:textId="77777777" w:rsidR="00CD638B" w:rsidRPr="00593A5F" w:rsidRDefault="00CD638B" w:rsidP="00CD638B">
      <w:pPr>
        <w:widowControl w:val="0"/>
        <w:autoSpaceDE w:val="0"/>
        <w:autoSpaceDN w:val="0"/>
        <w:spacing w:after="0" w:line="276" w:lineRule="auto"/>
        <w:jc w:val="both"/>
        <w:rPr>
          <w:rFonts w:ascii="Verdana" w:hAnsi="Verdana" w:cs="Arial"/>
        </w:rPr>
      </w:pPr>
    </w:p>
    <w:p w14:paraId="4D8319ED" w14:textId="77777777" w:rsidR="00CD638B" w:rsidRPr="00593A5F" w:rsidRDefault="00CD638B" w:rsidP="00CD6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9866E24" w14:textId="77777777" w:rsidR="00CD638B" w:rsidRDefault="00CD638B" w:rsidP="00CD638B">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753C3B22" w14:textId="71B326CA" w:rsidR="00CD638B" w:rsidRDefault="00CD638B" w:rsidP="00CD638B">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701FB8">
        <w:rPr>
          <w:rStyle w:val="normaltextrun"/>
          <w:rFonts w:ascii="Verdana" w:hAnsi="Verdana" w:cs="Arial"/>
          <w:color w:val="000000" w:themeColor="text1"/>
          <w:shd w:val="clear" w:color="auto" w:fill="FFFFFF"/>
          <w:lang w:val="es-ES"/>
        </w:rPr>
        <w:t xml:space="preserve">La Subdirección de Gestión Contractual se ha pronunciado </w:t>
      </w:r>
      <w:r w:rsidRPr="00EE1566">
        <w:rPr>
          <w:rFonts w:ascii="Verdana" w:hAnsi="Verdana" w:cs="Arial"/>
          <w:color w:val="000000" w:themeColor="text1"/>
          <w:shd w:val="clear" w:color="auto" w:fill="FFFFFF"/>
          <w:lang w:val="es-ES_tradnl"/>
        </w:rPr>
        <w:t xml:space="preserve">ha impartido lineamientos sobre la acreditación de los indicadores de capacidad financiera y organizacional de los oferentes mediante el RUP en los conceptos No. 4201912000006798 del 24 de octubre de 2019, C-002 del 12 de febrero de 2020, C-089 del 4 de marzo de 2020, C-099 del 06 de abril de 2020, C-166 del 14 de abril de 2020, C-233 del 16 de abril de 2020, C-326 del 9 de junio de 2020, C-140 del 9 de abril de 202, entre otros. Respecto de la reciente reglamentación establecida en los Decretos 399 y 579 de 2021 y 1041 de 2022 se pronunció en los Conceptos C-288 de 17 de junio de 2021, C-353 del 19 de julio de 2021, C-366 del 26 de julio de 2021 y C-372 del 28 de julio de 2021, C-406 del 8 de agosto de 2021, C-407 del 25 de agosto de 2021, C-439 de 5 de julio de 2022, C-831 del 28 de noviembre del 2022, C-005 de 21 de febrero de 2023, C-050 de 22 de marzo de 2023, C-185 de 8 de junio de 2023, C-277 de 14 de julio de 2023, C-350 del 28 de agosto de 2023, C-355 del 30 de agosto de 2023, C-006 de marzo 2024 </w:t>
      </w:r>
      <w:r w:rsidR="00F34A9F">
        <w:rPr>
          <w:rFonts w:ascii="Verdana" w:hAnsi="Verdana" w:cs="Arial"/>
          <w:color w:val="000000" w:themeColor="text1"/>
          <w:shd w:val="clear" w:color="auto" w:fill="FFFFFF"/>
          <w:lang w:val="es-ES_tradnl"/>
        </w:rPr>
        <w:t xml:space="preserve">, </w:t>
      </w:r>
      <w:r w:rsidRPr="00EE1566">
        <w:rPr>
          <w:rFonts w:ascii="Verdana" w:hAnsi="Verdana" w:cs="Arial"/>
          <w:color w:val="000000" w:themeColor="text1"/>
          <w:shd w:val="clear" w:color="auto" w:fill="FFFFFF"/>
          <w:lang w:val="es-ES_tradnl"/>
        </w:rPr>
        <w:t>C-26 de 2024</w:t>
      </w:r>
      <w:r w:rsidR="00F34A9F">
        <w:rPr>
          <w:rFonts w:ascii="Verdana" w:hAnsi="Verdana" w:cs="Arial"/>
          <w:color w:val="000000" w:themeColor="text1"/>
          <w:shd w:val="clear" w:color="auto" w:fill="FFFFFF"/>
          <w:lang w:val="es-ES_tradnl"/>
        </w:rPr>
        <w:t xml:space="preserve"> y </w:t>
      </w:r>
      <w:r w:rsidR="00F34A9F" w:rsidRPr="00F34A9F">
        <w:rPr>
          <w:rFonts w:ascii="Verdana" w:hAnsi="Verdana" w:cs="Arial"/>
          <w:color w:val="000000" w:themeColor="text1"/>
          <w:shd w:val="clear" w:color="auto" w:fill="FFFFFF"/>
        </w:rPr>
        <w:t>Concepto C- 277 de 2024</w:t>
      </w:r>
      <w:r>
        <w:rPr>
          <w:rFonts w:ascii="Verdana" w:hAnsi="Verdana" w:cs="Arial"/>
          <w:color w:val="000000" w:themeColor="text1"/>
          <w:shd w:val="clear" w:color="auto" w:fill="FFFFFF"/>
          <w:lang w:val="es-ES_tradnl"/>
        </w:rPr>
        <w:t>.</w:t>
      </w:r>
    </w:p>
    <w:p w14:paraId="22B58250" w14:textId="77777777" w:rsidR="00CD638B" w:rsidRDefault="00CD638B" w:rsidP="00CD638B">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2854ED63" w14:textId="60FD7438" w:rsidR="00CD638B" w:rsidRDefault="00CD638B" w:rsidP="00CD638B">
      <w:pPr>
        <w:widowControl w:val="0"/>
        <w:autoSpaceDE w:val="0"/>
        <w:autoSpaceDN w:val="0"/>
        <w:spacing w:after="0" w:line="276" w:lineRule="auto"/>
        <w:jc w:val="both"/>
        <w:rPr>
          <w:rFonts w:ascii="Verdana" w:hAnsi="Verdana" w:cs="Arial"/>
          <w:color w:val="000000" w:themeColor="text1"/>
          <w:shd w:val="clear" w:color="auto" w:fill="FFFFFF"/>
          <w:lang w:val="es-ES_tradnl"/>
        </w:rPr>
      </w:pPr>
      <w:r>
        <w:rPr>
          <w:rFonts w:ascii="Verdana" w:hAnsi="Verdana" w:cs="Arial"/>
          <w:color w:val="000000" w:themeColor="text1"/>
          <w:shd w:val="clear" w:color="auto" w:fill="FFFFFF"/>
          <w:lang w:val="es-ES_tradnl"/>
        </w:rPr>
        <w:t xml:space="preserve">Por su parte </w:t>
      </w:r>
      <w:r w:rsidRPr="00A8619D">
        <w:rPr>
          <w:rFonts w:ascii="Verdana" w:hAnsi="Verdana" w:cs="Arial"/>
          <w:color w:val="000000" w:themeColor="text1"/>
          <w:shd w:val="clear" w:color="auto" w:fill="FFFFFF"/>
          <w:lang w:val="es-ES_tradnl"/>
        </w:rPr>
        <w:t>en los conceptos C-645 del 6 de noviembre de 2020, C-673 del 11 de noviembre de 2020, C-692 del 27 de noviembre de 2020, C-778 del 18 de enero de 2021, C-021 del 22 de febrero de 2021, C-064 del 8 de marzo de 2021, C-071 del 17 de marzo de 2021, C-076 del 17 de marzo de 2021, C-375 de 27 de septiembre de 2021, C-536 de 29 de septiembre de 2021, y C-719 de 24 de enero de 2022, analizó el ámbito de aplicación de los documentos tipo. Así mismo, en los conceptos C- 090 del 16 de marzo de 2022, C-228 del 27 de abril de 2022 y C-242 del 2 de mayo de 2022, C-937 de 2022,</w:t>
      </w:r>
      <w:r w:rsidR="00693ACC" w:rsidRPr="00693ACC">
        <w:rPr>
          <w:rFonts w:ascii="FAAABA+Verdana-Bold" w:hAnsi="FAAABA+Verdana-Bold" w:cs="FAAABA+Verdana-Bold"/>
          <w:b/>
          <w:bCs/>
          <w:color w:val="000000"/>
        </w:rPr>
        <w:t xml:space="preserve"> </w:t>
      </w:r>
      <w:r w:rsidR="00693ACC" w:rsidRPr="00D42A09">
        <w:rPr>
          <w:rFonts w:ascii="Verdana" w:hAnsi="Verdana" w:cs="Arial"/>
          <w:color w:val="000000" w:themeColor="text1"/>
          <w:shd w:val="clear" w:color="auto" w:fill="FFFFFF"/>
        </w:rPr>
        <w:t>Concepto C–123 de 2024</w:t>
      </w:r>
      <w:r w:rsidR="00693ACC" w:rsidRPr="00693ACC">
        <w:rPr>
          <w:rFonts w:ascii="Verdana" w:hAnsi="Verdana" w:cs="Arial"/>
          <w:b/>
          <w:bCs/>
          <w:color w:val="000000" w:themeColor="text1"/>
          <w:shd w:val="clear" w:color="auto" w:fill="FFFFFF"/>
        </w:rPr>
        <w:t xml:space="preserve"> </w:t>
      </w:r>
      <w:r w:rsidRPr="00A8619D">
        <w:rPr>
          <w:rFonts w:ascii="Verdana" w:hAnsi="Verdana" w:cs="Arial"/>
          <w:color w:val="000000" w:themeColor="text1"/>
          <w:shd w:val="clear" w:color="auto" w:fill="FFFFFF"/>
          <w:lang w:val="es-ES_tradnl"/>
        </w:rPr>
        <w:t xml:space="preserve"> esta Agencia estudió las particularidades de los documentos tipo.</w:t>
      </w:r>
    </w:p>
    <w:p w14:paraId="5D23BCE4" w14:textId="77777777" w:rsidR="00CD638B" w:rsidRDefault="00CD638B" w:rsidP="00CD638B">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3F124D12" w14:textId="77777777" w:rsidR="00CD638B" w:rsidRDefault="00CD638B" w:rsidP="00CD638B">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w:t>
      </w:r>
      <w:r w:rsidRPr="00A8619D">
        <w:rPr>
          <w:rFonts w:ascii="Verdana" w:hAnsi="Verdana" w:cs="Arial"/>
          <w:color w:val="000000" w:themeColor="text1"/>
          <w:shd w:val="clear" w:color="auto" w:fill="FFFFFF"/>
        </w:rPr>
        <w:lastRenderedPageBreak/>
        <w:t>través del siguiente enlace: </w:t>
      </w:r>
      <w:hyperlink r:id="rId11" w:tgtFrame="_blank" w:tooltip="Dirección URL original: https://relatoria.colombiacompra.gov.co/. Haga clic o pulse si confía en este vínculo." w:history="1">
        <w:r w:rsidRPr="00A8619D">
          <w:rPr>
            <w:rStyle w:val="Hipervnculo"/>
            <w:rFonts w:ascii="Verdana" w:hAnsi="Verdana" w:cs="Arial"/>
            <w:shd w:val="clear" w:color="auto" w:fill="FFFFFF"/>
          </w:rPr>
          <w:t>https://relatoria.colombiacompra.gov.co/</w:t>
        </w:r>
      </w:hyperlink>
      <w:r w:rsidRPr="00A8619D">
        <w:rPr>
          <w:rFonts w:ascii="Verdana" w:hAnsi="Verdana" w:cs="Arial"/>
          <w:color w:val="000000" w:themeColor="text1"/>
          <w:shd w:val="clear" w:color="auto" w:fill="FFFFFF"/>
        </w:rPr>
        <w:t> . Te invitamos también a revisar la tercera edición del  Boletín de Relatoría de 2024 en el cual podrás consultar en detalle el marco normativo de documentos tipo: </w:t>
      </w:r>
      <w:hyperlink r:id="rId12" w:tgtFrame="_blank" w:tooltip="Dirección URL original: https://www.colombiacompra.gov.co/sites/cce_public/files/files_2020/boletin_de_realtoria_iii.pdf. Haga clic o pulse si confía en este vínculo." w:history="1">
        <w:r w:rsidRPr="00A8619D">
          <w:rPr>
            <w:rStyle w:val="Hipervnculo"/>
            <w:rFonts w:ascii="Verdana" w:hAnsi="Verdana" w:cs="Arial"/>
            <w:shd w:val="clear" w:color="auto" w:fill="FFFFFF"/>
          </w:rPr>
          <w:t>https://www.colombiacompra.gov.co/sites/cce_public/files/files_2020/boletin_de_realtoria_iii.pdf</w:t>
        </w:r>
      </w:hyperlink>
      <w:r w:rsidRPr="00A8619D">
        <w:rPr>
          <w:rFonts w:ascii="Verdana" w:hAnsi="Verdana" w:cs="Arial"/>
          <w:color w:val="000000" w:themeColor="text1"/>
          <w:shd w:val="clear" w:color="auto" w:fill="FFFFFF"/>
        </w:rPr>
        <w:t> ".</w:t>
      </w:r>
    </w:p>
    <w:p w14:paraId="3C238800" w14:textId="77777777" w:rsidR="00CD638B" w:rsidRDefault="00CD638B" w:rsidP="00CD638B">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3A254762" w14:textId="77777777" w:rsidR="00CD638B" w:rsidRDefault="00CD638B" w:rsidP="00CD638B">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"De otra parte, te informamos que entre el 15 al 29 de agosto de 2024 estará disponible para comentarios la Guía para Promover la Participación de las MIPYMES en los Procesos de Compra y Contratación Pública. Esta nueva versión desarrolla  lineamientos para la aplicación de los incentivos regulados por normas como la Ley 2069 de 2020 y los decretos 1860 de 2021, 142 de 2023 y el 874 de 2024. Te invitamos a participar dejando tus observaciones en los siguientes</w:t>
      </w:r>
      <w:r>
        <w:rPr>
          <w:rFonts w:ascii="Verdana" w:hAnsi="Verdana" w:cs="Arial"/>
          <w:color w:val="000000" w:themeColor="text1"/>
          <w:shd w:val="clear" w:color="auto" w:fill="FFFFFF"/>
        </w:rPr>
        <w:t xml:space="preserve"> e</w:t>
      </w:r>
      <w:r w:rsidRPr="00A8619D">
        <w:rPr>
          <w:rFonts w:ascii="Verdana" w:hAnsi="Verdana" w:cs="Arial"/>
          <w:color w:val="000000" w:themeColor="text1"/>
          <w:shd w:val="clear" w:color="auto" w:fill="FFFFFF"/>
        </w:rPr>
        <w:t>nlaces: </w:t>
      </w:r>
      <w:hyperlink r:id="rId13" w:history="1">
        <w:r w:rsidRPr="000269A7">
          <w:rPr>
            <w:rStyle w:val="Hipervnculo"/>
            <w:rFonts w:ascii="Verdana" w:hAnsi="Verdana" w:cs="Arial"/>
            <w:shd w:val="clear" w:color="auto" w:fill="FFFFFF"/>
          </w:rPr>
          <w:t>https://www.sucop.gov.co/entidades/colombiacompra /Normativa?IDNorma=17363</w:t>
        </w:r>
      </w:hyperlink>
      <w:r w:rsidRPr="00A8619D">
        <w:rPr>
          <w:rFonts w:ascii="Verdana" w:hAnsi="Verdana" w:cs="Arial"/>
          <w:color w:val="000000" w:themeColor="text1"/>
          <w:shd w:val="clear" w:color="auto" w:fill="FFFFFF"/>
        </w:rPr>
        <w:t> y </w:t>
      </w:r>
      <w:hyperlink r:id="rId14" w:tgtFrame="_blank" w:tooltip="Dirección URL original: https://www.colombiacompra.gov.co/content/convocatorias. Haga clic o pulse si confía en este vínculo." w:history="1">
        <w:r w:rsidRPr="00A8619D">
          <w:rPr>
            <w:rStyle w:val="Hipervnculo"/>
            <w:rFonts w:ascii="Verdana" w:hAnsi="Verdana" w:cs="Arial"/>
            <w:shd w:val="clear" w:color="auto" w:fill="FFFFFF"/>
          </w:rPr>
          <w:t>https://www.colombiacompra.gov.co/content/convocatorias</w:t>
        </w:r>
      </w:hyperlink>
      <w:r w:rsidRPr="00A8619D">
        <w:rPr>
          <w:rFonts w:ascii="Verdana" w:hAnsi="Verdana" w:cs="Arial"/>
          <w:color w:val="000000" w:themeColor="text1"/>
          <w:shd w:val="clear" w:color="auto" w:fill="FFFFFF"/>
        </w:rPr>
        <w:t> ". </w:t>
      </w:r>
    </w:p>
    <w:p w14:paraId="43305D35" w14:textId="77777777" w:rsidR="00CD638B" w:rsidRDefault="00CD638B" w:rsidP="00CD638B">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1749598" w14:textId="77777777" w:rsidR="00CD638B" w:rsidRDefault="00CD638B" w:rsidP="00CD638B">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5"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609BABCD" w14:textId="77777777" w:rsidR="00CD638B" w:rsidRDefault="00CD638B" w:rsidP="00CD638B">
      <w:pPr>
        <w:spacing w:after="0" w:line="240" w:lineRule="auto"/>
        <w:jc w:val="both"/>
        <w:rPr>
          <w:rFonts w:ascii="Verdana" w:hAnsi="Verdana"/>
        </w:rPr>
      </w:pPr>
    </w:p>
    <w:p w14:paraId="4F1AD188" w14:textId="77777777" w:rsidR="00CD638B" w:rsidRPr="003E2460" w:rsidRDefault="00CD638B" w:rsidP="00CD638B">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52E52420" w14:textId="77777777" w:rsidR="00CD638B" w:rsidRPr="003E2460" w:rsidRDefault="00CD638B" w:rsidP="00CD638B">
      <w:pPr>
        <w:spacing w:after="0" w:line="240" w:lineRule="auto"/>
        <w:jc w:val="both"/>
        <w:rPr>
          <w:rFonts w:ascii="Verdana" w:hAnsi="Verdana"/>
        </w:rPr>
      </w:pPr>
    </w:p>
    <w:p w14:paraId="3BA7B1AC" w14:textId="77777777" w:rsidR="00CD638B" w:rsidRPr="003E2460" w:rsidRDefault="00CD638B" w:rsidP="00CD638B">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2B57E95B" w14:textId="77777777" w:rsidR="00CD638B" w:rsidRPr="003E2460" w:rsidRDefault="00CD638B" w:rsidP="00CD638B">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66A001AD" w14:textId="77777777" w:rsidR="00CD638B" w:rsidRPr="003E2460" w:rsidRDefault="00CD638B" w:rsidP="00CD638B">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236D3DD7" w14:textId="77777777" w:rsidR="00CD638B" w:rsidRPr="00593A5F" w:rsidRDefault="00CD638B" w:rsidP="00CD638B">
      <w:pPr>
        <w:widowControl w:val="0"/>
        <w:autoSpaceDE w:val="0"/>
        <w:autoSpaceDN w:val="0"/>
        <w:spacing w:after="0" w:line="276" w:lineRule="auto"/>
        <w:jc w:val="both"/>
        <w:rPr>
          <w:rFonts w:ascii="Verdana" w:hAnsi="Verdana" w:cs="Arial"/>
        </w:rPr>
      </w:pPr>
    </w:p>
    <w:p w14:paraId="30EA1B7A" w14:textId="77777777" w:rsidR="00CD638B" w:rsidRPr="00593A5F" w:rsidRDefault="00CD638B" w:rsidP="00CD638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02CDDE8" w14:textId="77777777" w:rsidR="00CD638B" w:rsidRPr="00593A5F" w:rsidRDefault="00CD638B" w:rsidP="00CD638B">
      <w:pPr>
        <w:widowControl w:val="0"/>
        <w:autoSpaceDE w:val="0"/>
        <w:autoSpaceDN w:val="0"/>
        <w:spacing w:after="0" w:line="276" w:lineRule="auto"/>
        <w:jc w:val="both"/>
        <w:rPr>
          <w:rFonts w:ascii="Verdana" w:hAnsi="Verdana" w:cs="Arial"/>
        </w:rPr>
      </w:pPr>
    </w:p>
    <w:p w14:paraId="7449C4CD" w14:textId="77777777" w:rsidR="00CD638B" w:rsidRPr="00593A5F" w:rsidRDefault="00CD638B" w:rsidP="00CD638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D0FDD2A" w14:textId="77777777" w:rsidR="00CD638B" w:rsidRPr="00593A5F" w:rsidRDefault="00CD638B" w:rsidP="00CD638B">
      <w:pPr>
        <w:spacing w:line="276" w:lineRule="auto"/>
        <w:jc w:val="center"/>
        <w:rPr>
          <w:rFonts w:ascii="Verdana" w:hAnsi="Verdana" w:cs="Arial"/>
          <w:color w:val="000000"/>
          <w:lang w:val="es-ES_tradnl" w:eastAsia="es-CO"/>
        </w:rPr>
      </w:pPr>
      <w:r w:rsidRPr="00AC023F">
        <w:rPr>
          <w:rFonts w:ascii="Verdana" w:hAnsi="Verdana"/>
          <w:noProof/>
        </w:rPr>
        <w:lastRenderedPageBreak/>
        <w:drawing>
          <wp:inline distT="0" distB="0" distL="0" distR="0" wp14:anchorId="7D7F66A9" wp14:editId="1B926EA3">
            <wp:extent cx="3381375" cy="1333500"/>
            <wp:effectExtent l="0" t="0" r="9525" b="0"/>
            <wp:docPr id="280232186"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pic:nvPicPr>
                  <pic:blipFill rotWithShape="1">
                    <a:blip r:embed="rId16"/>
                    <a:srcRect l="7068" t="24758" b="7281"/>
                    <a:stretch/>
                  </pic:blipFill>
                  <pic:spPr bwMode="auto">
                    <a:xfrm>
                      <a:off x="0" y="0"/>
                      <a:ext cx="3381847" cy="1333686"/>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D638B" w:rsidRPr="00593A5F" w14:paraId="3AA5BD4C" w14:textId="77777777" w:rsidTr="00943A7D">
        <w:trPr>
          <w:trHeight w:val="315"/>
        </w:trPr>
        <w:tc>
          <w:tcPr>
            <w:tcW w:w="893" w:type="dxa"/>
            <w:vAlign w:val="center"/>
            <w:hideMark/>
          </w:tcPr>
          <w:p w14:paraId="74A47549" w14:textId="77777777" w:rsidR="00CD638B" w:rsidRPr="003751C7" w:rsidRDefault="00CD638B" w:rsidP="00943A7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4347A56" w14:textId="77777777" w:rsidR="00CD638B" w:rsidRPr="00BE4B85" w:rsidRDefault="00CD638B" w:rsidP="00943A7D">
            <w:pPr>
              <w:contextualSpacing/>
              <w:rPr>
                <w:rFonts w:ascii="Verdana" w:eastAsia="Arial" w:hAnsi="Verdana" w:cs="Arial"/>
                <w:color w:val="7030A0"/>
                <w:sz w:val="16"/>
                <w:szCs w:val="16"/>
              </w:rPr>
            </w:pPr>
            <w:r w:rsidRPr="00BE4B85">
              <w:rPr>
                <w:rStyle w:val="normaltextrun"/>
                <w:rFonts w:ascii="Verdana" w:hAnsi="Verdana"/>
                <w:sz w:val="16"/>
                <w:szCs w:val="16"/>
              </w:rPr>
              <w:t>Christian Camilo Orjuela Galeano</w:t>
            </w:r>
          </w:p>
          <w:p w14:paraId="4C462928" w14:textId="77777777" w:rsidR="00CD638B" w:rsidRPr="00BE4B85" w:rsidRDefault="00CD638B" w:rsidP="00943A7D">
            <w:pPr>
              <w:contextualSpacing/>
              <w:rPr>
                <w:rFonts w:ascii="Verdana" w:eastAsia="Arial" w:hAnsi="Verdana" w:cs="Arial"/>
                <w:sz w:val="16"/>
                <w:szCs w:val="16"/>
              </w:rPr>
            </w:pPr>
            <w:r w:rsidRPr="00BE4B85">
              <w:rPr>
                <w:rStyle w:val="normaltextrun"/>
                <w:rFonts w:ascii="Verdana" w:eastAsia="Arial" w:hAnsi="Verdana" w:cs="Arial"/>
                <w:sz w:val="16"/>
                <w:szCs w:val="16"/>
              </w:rPr>
              <w:t>Contratista de la Subdirección de Gestión Contractual</w:t>
            </w:r>
          </w:p>
        </w:tc>
      </w:tr>
      <w:tr w:rsidR="00CD638B" w:rsidRPr="00593A5F" w14:paraId="6D944AF6" w14:textId="77777777" w:rsidTr="00943A7D">
        <w:trPr>
          <w:trHeight w:val="330"/>
        </w:trPr>
        <w:tc>
          <w:tcPr>
            <w:tcW w:w="893" w:type="dxa"/>
            <w:vAlign w:val="center"/>
            <w:hideMark/>
          </w:tcPr>
          <w:p w14:paraId="035BD751" w14:textId="77777777" w:rsidR="00CD638B" w:rsidRPr="003751C7" w:rsidRDefault="00CD638B" w:rsidP="00943A7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55FF592" w14:textId="32C8BFA4" w:rsidR="00CD638B" w:rsidRDefault="00CD638B" w:rsidP="00943A7D">
            <w:pPr>
              <w:pStyle w:val="paragraph"/>
              <w:spacing w:before="0" w:beforeAutospacing="0" w:after="0" w:afterAutospacing="0"/>
              <w:contextualSpacing/>
              <w:textAlignment w:val="baseline"/>
              <w:rPr>
                <w:rStyle w:val="normaltextrun"/>
                <w:rFonts w:ascii="Verdana" w:hAnsi="Verdana" w:cstheme="minorHAnsi"/>
                <w:sz w:val="16"/>
                <w:szCs w:val="16"/>
              </w:rPr>
            </w:pPr>
            <w:r>
              <w:rPr>
                <w:rFonts w:ascii="Verdana" w:hAnsi="Verdana" w:cstheme="minorHAnsi"/>
                <w:sz w:val="16"/>
                <w:szCs w:val="16"/>
              </w:rPr>
              <w:t>Cielo González Mesa</w:t>
            </w:r>
          </w:p>
          <w:p w14:paraId="7D5CD640" w14:textId="77777777" w:rsidR="00CD638B" w:rsidRPr="00BE4B85" w:rsidRDefault="00CD638B" w:rsidP="00943A7D">
            <w:pPr>
              <w:pStyle w:val="paragraph"/>
              <w:spacing w:before="0" w:beforeAutospacing="0" w:after="0" w:afterAutospacing="0"/>
              <w:contextualSpacing/>
              <w:textAlignment w:val="baseline"/>
              <w:rPr>
                <w:rFonts w:ascii="Verdana" w:hAnsi="Verdana" w:cs="Segoe UI"/>
                <w:sz w:val="16"/>
                <w:szCs w:val="16"/>
              </w:rPr>
            </w:pPr>
            <w:r w:rsidRPr="00BE4B85">
              <w:rPr>
                <w:rStyle w:val="normaltextrun"/>
                <w:rFonts w:ascii="Verdana" w:eastAsia="Arial" w:hAnsi="Verdana" w:cs="Arial"/>
                <w:sz w:val="16"/>
                <w:szCs w:val="16"/>
              </w:rPr>
              <w:t>Contratista de la Subdirección de Gestión Contractual</w:t>
            </w:r>
          </w:p>
        </w:tc>
      </w:tr>
      <w:tr w:rsidR="00CD638B" w:rsidRPr="00593A5F" w14:paraId="5EEF90B4" w14:textId="77777777" w:rsidTr="00943A7D">
        <w:trPr>
          <w:trHeight w:val="300"/>
        </w:trPr>
        <w:tc>
          <w:tcPr>
            <w:tcW w:w="893" w:type="dxa"/>
            <w:vAlign w:val="center"/>
          </w:tcPr>
          <w:p w14:paraId="6D0CA6FE" w14:textId="77777777" w:rsidR="00CD638B" w:rsidRPr="003751C7" w:rsidRDefault="00CD638B" w:rsidP="00943A7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96F4035" w14:textId="77777777" w:rsidR="00CD638B" w:rsidRPr="00BE4B85" w:rsidRDefault="00CD638B" w:rsidP="00943A7D">
            <w:pPr>
              <w:contextualSpacing/>
              <w:rPr>
                <w:rFonts w:ascii="Verdana" w:eastAsia="Calibri" w:hAnsi="Verdana" w:cs="Arial"/>
                <w:sz w:val="16"/>
                <w:szCs w:val="16"/>
                <w:lang w:val="pt-BR" w:eastAsia="es-ES"/>
              </w:rPr>
            </w:pPr>
            <w:r w:rsidRPr="00BE4B85">
              <w:rPr>
                <w:rFonts w:ascii="Verdana" w:eastAsia="Calibri" w:hAnsi="Verdana" w:cs="Arial"/>
                <w:sz w:val="16"/>
                <w:szCs w:val="16"/>
                <w:lang w:val="pt-BR" w:eastAsia="es-ES"/>
              </w:rPr>
              <w:t xml:space="preserve">Carolina Quintero </w:t>
            </w:r>
            <w:proofErr w:type="spellStart"/>
            <w:r w:rsidRPr="00BE4B85">
              <w:rPr>
                <w:rFonts w:ascii="Verdana" w:eastAsia="Calibri" w:hAnsi="Verdana" w:cs="Arial"/>
                <w:sz w:val="16"/>
                <w:szCs w:val="16"/>
                <w:lang w:val="pt-BR" w:eastAsia="es-ES"/>
              </w:rPr>
              <w:t>Gacharná</w:t>
            </w:r>
            <w:proofErr w:type="spellEnd"/>
          </w:p>
          <w:p w14:paraId="5BFEF450" w14:textId="77777777" w:rsidR="00CD638B" w:rsidRPr="00BE4B85" w:rsidRDefault="00CD638B" w:rsidP="00943A7D">
            <w:pPr>
              <w:contextualSpacing/>
              <w:rPr>
                <w:rFonts w:ascii="Verdana" w:eastAsia="Calibri" w:hAnsi="Verdana" w:cs="Arial"/>
                <w:sz w:val="16"/>
                <w:szCs w:val="16"/>
                <w:lang w:val="pt-BR" w:eastAsia="es-ES"/>
              </w:rPr>
            </w:pPr>
            <w:r w:rsidRPr="00BE4B85">
              <w:rPr>
                <w:rFonts w:ascii="Verdana" w:eastAsia="Calibri" w:hAnsi="Verdana" w:cs="Arial"/>
                <w:sz w:val="16"/>
                <w:szCs w:val="16"/>
                <w:lang w:eastAsia="es-ES"/>
              </w:rPr>
              <w:t>Subdirectora</w:t>
            </w:r>
            <w:r w:rsidRPr="00BE4B85">
              <w:rPr>
                <w:rFonts w:ascii="Verdana" w:eastAsia="Calibri" w:hAnsi="Verdana" w:cs="Arial"/>
                <w:sz w:val="16"/>
                <w:szCs w:val="16"/>
                <w:lang w:val="pt-BR" w:eastAsia="es-ES"/>
              </w:rPr>
              <w:t xml:space="preserve"> de Gestión </w:t>
            </w:r>
            <w:proofErr w:type="spellStart"/>
            <w:r w:rsidRPr="00BE4B85">
              <w:rPr>
                <w:rFonts w:ascii="Verdana" w:eastAsia="Calibri" w:hAnsi="Verdana" w:cs="Arial"/>
                <w:sz w:val="16"/>
                <w:szCs w:val="16"/>
                <w:lang w:val="pt-BR" w:eastAsia="es-ES"/>
              </w:rPr>
              <w:t>Contractual</w:t>
            </w:r>
            <w:proofErr w:type="spellEnd"/>
            <w:r w:rsidRPr="00BE4B85">
              <w:rPr>
                <w:rFonts w:ascii="Verdana" w:eastAsia="Calibri" w:hAnsi="Verdana" w:cs="Arial"/>
                <w:sz w:val="16"/>
                <w:szCs w:val="16"/>
                <w:lang w:val="pt-BR" w:eastAsia="es-ES"/>
              </w:rPr>
              <w:t xml:space="preserve"> ANCP – CCE</w:t>
            </w:r>
          </w:p>
        </w:tc>
      </w:tr>
    </w:tbl>
    <w:p w14:paraId="278F3BF5" w14:textId="77777777" w:rsidR="00CD638B" w:rsidRPr="00593A5F" w:rsidRDefault="00CD638B" w:rsidP="00CD638B">
      <w:pPr>
        <w:spacing w:after="0" w:line="240" w:lineRule="auto"/>
        <w:rPr>
          <w:rFonts w:ascii="Verdana" w:eastAsia="Times New Roman" w:hAnsi="Verdana" w:cs="Arial"/>
          <w:sz w:val="24"/>
          <w:szCs w:val="24"/>
          <w:lang w:eastAsia="es-ES"/>
        </w:rPr>
      </w:pPr>
    </w:p>
    <w:p w14:paraId="3CFBF56E" w14:textId="77777777" w:rsidR="00CD638B" w:rsidRPr="00871B59" w:rsidRDefault="00CD638B" w:rsidP="00CD638B"/>
    <w:p w14:paraId="2903451E" w14:textId="77777777" w:rsidR="00CD638B" w:rsidRPr="0044528D" w:rsidRDefault="00CD638B" w:rsidP="00CD638B">
      <w:pPr>
        <w:spacing w:after="0"/>
        <w:rPr>
          <w:rFonts w:ascii="Verdana" w:hAnsi="Verdana"/>
        </w:rPr>
      </w:pPr>
    </w:p>
    <w:bookmarkEnd w:id="0"/>
    <w:bookmarkEnd w:id="1"/>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1F635F" w14:textId="77777777" w:rsidR="00B754B4" w:rsidRDefault="00B754B4" w:rsidP="004A1847">
      <w:pPr>
        <w:spacing w:after="0" w:line="240" w:lineRule="auto"/>
      </w:pPr>
      <w:r>
        <w:separator/>
      </w:r>
    </w:p>
  </w:endnote>
  <w:endnote w:type="continuationSeparator" w:id="0">
    <w:p w14:paraId="7F907C55" w14:textId="77777777" w:rsidR="00B754B4" w:rsidRDefault="00B754B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FAAABA+Verdana-Bold">
    <w:altName w:val="Verdana"/>
    <w:panose1 w:val="00000000000000000000"/>
    <w:charset w:val="00"/>
    <w:family w:val="swiss"/>
    <w:notTrueType/>
    <w:pitch w:val="default"/>
    <w:sig w:usb0="00000003" w:usb1="00000000" w:usb2="00000000" w:usb3="00000000" w:csb0="00000001" w:csb1="00000000"/>
  </w:font>
  <w:font w:name="FAAAGA+Verdana-Italic">
    <w:altName w:val="Verdana"/>
    <w:panose1 w:val="00000000000000000000"/>
    <w:charset w:val="00"/>
    <w:family w:val="swiss"/>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7E5213" w14:textId="77777777" w:rsidR="00B754B4" w:rsidRDefault="00B754B4" w:rsidP="004A1847">
      <w:pPr>
        <w:spacing w:after="0" w:line="240" w:lineRule="auto"/>
      </w:pPr>
      <w:r>
        <w:separator/>
      </w:r>
    </w:p>
  </w:footnote>
  <w:footnote w:type="continuationSeparator" w:id="0">
    <w:p w14:paraId="55CB102C" w14:textId="77777777" w:rsidR="00B754B4" w:rsidRDefault="00B754B4" w:rsidP="004A1847">
      <w:pPr>
        <w:spacing w:after="0" w:line="240" w:lineRule="auto"/>
      </w:pPr>
      <w:r>
        <w:continuationSeparator/>
      </w:r>
    </w:p>
  </w:footnote>
  <w:footnote w:id="1">
    <w:p w14:paraId="18061C07" w14:textId="77777777" w:rsidR="00E70BDC" w:rsidRPr="00473EF8" w:rsidRDefault="00E70BDC" w:rsidP="00E70BDC">
      <w:pPr>
        <w:pStyle w:val="Textonotapie"/>
        <w:rPr>
          <w:lang w:val="es-CO"/>
        </w:rPr>
      </w:pPr>
      <w:r>
        <w:rPr>
          <w:rStyle w:val="Refdenotaalpie"/>
        </w:rPr>
        <w:footnoteRef/>
      </w:r>
      <w:r>
        <w:t xml:space="preserve"> (…) </w:t>
      </w:r>
      <w:r w:rsidRPr="00473EF8">
        <w:rPr>
          <w:lang w:val="es-CO"/>
        </w:rPr>
        <w:t>3.1. Índice de liquidez: activo corriente dividido por el pasivo corriente.</w:t>
      </w:r>
    </w:p>
    <w:p w14:paraId="3D6E00B3" w14:textId="77777777" w:rsidR="00E70BDC" w:rsidRPr="00473EF8" w:rsidRDefault="00E70BDC" w:rsidP="00E70BDC">
      <w:pPr>
        <w:pStyle w:val="Textonotapie"/>
        <w:rPr>
          <w:lang w:val="es-CO"/>
        </w:rPr>
      </w:pPr>
      <w:bookmarkStart w:id="4" w:name="2.2.1.1.1.5.3.3.2"/>
      <w:bookmarkEnd w:id="4"/>
      <w:r w:rsidRPr="00473EF8">
        <w:rPr>
          <w:lang w:val="es-CO"/>
        </w:rPr>
        <w:t>3.2. Índice de endeudamiento: pasivo total dividido por el activo total.</w:t>
      </w:r>
    </w:p>
    <w:p w14:paraId="401DA9CB" w14:textId="77777777" w:rsidR="00E70BDC" w:rsidRPr="00473EF8" w:rsidRDefault="00E70BDC" w:rsidP="00E70BDC">
      <w:pPr>
        <w:pStyle w:val="Textonotapie"/>
        <w:rPr>
          <w:lang w:val="es-CO"/>
        </w:rPr>
      </w:pPr>
      <w:bookmarkStart w:id="5" w:name="2.2.1.1.1.5.3.3.3"/>
      <w:bookmarkEnd w:id="5"/>
      <w:r w:rsidRPr="00473EF8">
        <w:rPr>
          <w:lang w:val="es-CO"/>
        </w:rPr>
        <w:t>3.3. Razón de cobertura de intereses: utilidad operacional dividida por los gastos de intereses.</w:t>
      </w:r>
    </w:p>
    <w:p w14:paraId="4D07B79F" w14:textId="77777777" w:rsidR="00E70BDC" w:rsidRPr="00473EF8" w:rsidRDefault="00E70BDC" w:rsidP="00E70BDC">
      <w:pPr>
        <w:pStyle w:val="Textonotapie"/>
        <w:rPr>
          <w:lang w:val="es-CO"/>
        </w:rPr>
      </w:pPr>
      <w:bookmarkStart w:id="6" w:name="2.2.1.1.1.5.3.4"/>
      <w:bookmarkEnd w:id="6"/>
      <w:r w:rsidRPr="00473EF8">
        <w:rPr>
          <w:lang w:val="es-CO"/>
        </w:rPr>
        <w:t>4. Capacidad Organizacional - los siguientes indicadores miden el rendimiento de las inversiones y la eficiencia en el uso de activos del interesado:</w:t>
      </w:r>
    </w:p>
    <w:p w14:paraId="3C1C37A9" w14:textId="77777777" w:rsidR="00E70BDC" w:rsidRPr="00473EF8" w:rsidRDefault="00E70BDC" w:rsidP="00E70BDC">
      <w:pPr>
        <w:pStyle w:val="Textonotapie"/>
        <w:rPr>
          <w:lang w:val="es-CO"/>
        </w:rPr>
      </w:pPr>
      <w:bookmarkStart w:id="7" w:name="2.2.1.1.1.5.3.4.1"/>
      <w:bookmarkEnd w:id="7"/>
      <w:r w:rsidRPr="00473EF8">
        <w:rPr>
          <w:lang w:val="es-CO"/>
        </w:rPr>
        <w:t>4.1. Rentabilidad del patrimonio: utilidad operacional dividida por el patrimonio.</w:t>
      </w:r>
    </w:p>
    <w:p w14:paraId="219033A0" w14:textId="77777777" w:rsidR="00E70BDC" w:rsidRPr="00473EF8" w:rsidRDefault="00E70BDC" w:rsidP="00E70BDC">
      <w:pPr>
        <w:pStyle w:val="Textonotapie"/>
        <w:rPr>
          <w:lang w:val="es-CO"/>
        </w:rPr>
      </w:pPr>
      <w:bookmarkStart w:id="8" w:name="2.2.1.1.1.5.3.4.2"/>
      <w:bookmarkEnd w:id="8"/>
      <w:r w:rsidRPr="00473EF8">
        <w:rPr>
          <w:lang w:val="es-CO"/>
        </w:rPr>
        <w:t>4.2. Rentabilidad del activo: utilidad operacional dividida por el activo total.</w:t>
      </w:r>
      <w:r>
        <w:rPr>
          <w:lang w:val="es-CO"/>
        </w:rPr>
        <w:t xml:space="preserve"> (…)</w:t>
      </w:r>
    </w:p>
    <w:p w14:paraId="341943D0" w14:textId="77777777" w:rsidR="00E70BDC" w:rsidRPr="002D5921" w:rsidRDefault="00E70BDC" w:rsidP="00E70BDC">
      <w:pPr>
        <w:pStyle w:val="Textonotapie"/>
        <w:rPr>
          <w:lang w:val="es-ES"/>
        </w:rPr>
      </w:pPr>
    </w:p>
  </w:footnote>
  <w:footnote w:id="2">
    <w:p w14:paraId="5215CA05" w14:textId="5D627139" w:rsidR="009E2F31" w:rsidRPr="009E2F31" w:rsidRDefault="009E2F31" w:rsidP="009E2F31">
      <w:pPr>
        <w:pStyle w:val="Textonotapie"/>
        <w:jc w:val="both"/>
        <w:rPr>
          <w:rFonts w:ascii="Verdana" w:hAnsi="Verdana"/>
          <w:sz w:val="16"/>
          <w:szCs w:val="16"/>
          <w:lang w:val="es-ES"/>
        </w:rPr>
      </w:pPr>
      <w:r w:rsidRPr="009E2F31">
        <w:rPr>
          <w:rStyle w:val="Refdenotaalpie"/>
          <w:rFonts w:ascii="Verdana" w:hAnsi="Verdana"/>
          <w:sz w:val="16"/>
          <w:szCs w:val="16"/>
        </w:rPr>
        <w:footnoteRef/>
      </w:r>
      <w:r w:rsidRPr="009E2F31">
        <w:rPr>
          <w:rFonts w:ascii="Verdana" w:hAnsi="Verdana"/>
          <w:sz w:val="16"/>
          <w:szCs w:val="16"/>
        </w:rPr>
        <w:t xml:space="preserve"> Ley 1150 de 2007, Artículo 5 señala: ( … ) 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 </w:t>
      </w:r>
      <w:r w:rsidRPr="009E2F31">
        <w:rPr>
          <w:rFonts w:ascii="Verdana" w:hAnsi="Verdana" w:cs="FAAAGA+Verdana-Italic"/>
          <w:sz w:val="16"/>
          <w:szCs w:val="16"/>
        </w:rPr>
        <w:t>”</w:t>
      </w:r>
      <w:r w:rsidRPr="009E2F31">
        <w:rPr>
          <w:rFonts w:ascii="Verdana" w:hAnsi="Verdana"/>
          <w:sz w:val="16"/>
          <w:szCs w:val="16"/>
        </w:rPr>
        <w:t>.</w:t>
      </w:r>
    </w:p>
  </w:footnote>
  <w:footnote w:id="3">
    <w:p w14:paraId="225DE955" w14:textId="77777777" w:rsidR="009E2F31" w:rsidRPr="009E2F31" w:rsidRDefault="009E2F31" w:rsidP="009E2F31">
      <w:pPr>
        <w:pStyle w:val="Textonotapie"/>
        <w:rPr>
          <w:rFonts w:ascii="Century Gothic" w:hAnsi="Century Gothic"/>
          <w:sz w:val="16"/>
          <w:szCs w:val="16"/>
          <w:lang w:val="es-ES"/>
        </w:rPr>
      </w:pPr>
      <w:r w:rsidRPr="009E2F31">
        <w:rPr>
          <w:rStyle w:val="Refdenotaalpie"/>
          <w:rFonts w:ascii="Century Gothic" w:hAnsi="Century Gothic"/>
          <w:sz w:val="16"/>
          <w:szCs w:val="16"/>
        </w:rPr>
        <w:footnoteRef/>
      </w:r>
      <w:r w:rsidRPr="009E2F31">
        <w:rPr>
          <w:rFonts w:ascii="Century Gothic" w:hAnsi="Century Gothic"/>
          <w:sz w:val="16"/>
          <w:szCs w:val="16"/>
        </w:rPr>
        <w:t xml:space="preserve"> </w:t>
      </w:r>
      <w:r w:rsidRPr="009E2F31">
        <w:rPr>
          <w:rFonts w:ascii="Century Gothic" w:hAnsi="Century Gothic"/>
          <w:sz w:val="16"/>
          <w:szCs w:val="16"/>
          <w:lang w:val="es-CO"/>
        </w:rPr>
        <w:t>Para consulta: https://colombiacompra.gov.co/sites/cce_public/files/cce_documentos/cce-eicp-gi 18._gees_v.2_2.pdf</w:t>
      </w:r>
    </w:p>
  </w:footnote>
  <w:footnote w:id="4">
    <w:p w14:paraId="5D68BDF8" w14:textId="77777777" w:rsidR="00CD638B" w:rsidRPr="000D446F" w:rsidRDefault="00CD638B" w:rsidP="00CD638B">
      <w:pPr>
        <w:pStyle w:val="Textonotapie"/>
        <w:contextualSpacing/>
        <w:jc w:val="both"/>
        <w:rPr>
          <w:rFonts w:ascii="Verdana" w:hAnsi="Verdana" w:cs="Arial"/>
          <w:sz w:val="16"/>
          <w:szCs w:val="16"/>
        </w:rPr>
      </w:pPr>
      <w:r w:rsidRPr="000D446F">
        <w:rPr>
          <w:rStyle w:val="Refdenotaalpie"/>
          <w:rFonts w:ascii="Verdana" w:hAnsi="Verdana" w:cs="Arial"/>
          <w:sz w:val="16"/>
          <w:szCs w:val="16"/>
        </w:rPr>
        <w:footnoteRef/>
      </w:r>
      <w:r w:rsidRPr="000D446F">
        <w:rPr>
          <w:rFonts w:ascii="Verdana" w:hAnsi="Verdana" w:cs="Arial"/>
          <w:sz w:val="16"/>
          <w:szCs w:val="16"/>
        </w:rPr>
        <w:t xml:space="preserve"> En este sentido, a modo de ejemplo, en el «documento base» del documento tipo de licitación se establece lo siguiente: “Los Documentos Tipo aplica a los procesos de licitación de obra pública de infraestructura de transporte (versión 3), que correspondan a las actividades definidas en la Matriz 1 – Experiencia. En consecuencia, las actividades de infraestructura de transporte no contempladas en la Matriz 1 – Experiencia no tienen que aplicar los documentos tipo; sin perjuicio de lo previsto en el artículo 2.2.1.2.6.1.5. del Decreto 1082 de 2015”.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7" type="#_x0000_t75" style="width:14.25pt;height:14.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EB3CF4"/>
    <w:multiLevelType w:val="hybridMultilevel"/>
    <w:tmpl w:val="3126E20E"/>
    <w:lvl w:ilvl="0" w:tplc="240A0001">
      <w:start w:val="1"/>
      <w:numFmt w:val="bullet"/>
      <w:lvlText w:val=""/>
      <w:lvlJc w:val="left"/>
      <w:pPr>
        <w:ind w:left="795" w:hanging="360"/>
      </w:pPr>
      <w:rPr>
        <w:rFonts w:ascii="Symbol" w:hAnsi="Symbol" w:hint="default"/>
      </w:rPr>
    </w:lvl>
    <w:lvl w:ilvl="1" w:tplc="240A0003" w:tentative="1">
      <w:start w:val="1"/>
      <w:numFmt w:val="bullet"/>
      <w:lvlText w:val="o"/>
      <w:lvlJc w:val="left"/>
      <w:pPr>
        <w:ind w:left="1515" w:hanging="360"/>
      </w:pPr>
      <w:rPr>
        <w:rFonts w:ascii="Courier New" w:hAnsi="Courier New" w:cs="Courier New" w:hint="default"/>
      </w:rPr>
    </w:lvl>
    <w:lvl w:ilvl="2" w:tplc="240A0005" w:tentative="1">
      <w:start w:val="1"/>
      <w:numFmt w:val="bullet"/>
      <w:lvlText w:val=""/>
      <w:lvlJc w:val="left"/>
      <w:pPr>
        <w:ind w:left="2235" w:hanging="360"/>
      </w:pPr>
      <w:rPr>
        <w:rFonts w:ascii="Wingdings" w:hAnsi="Wingdings" w:hint="default"/>
      </w:rPr>
    </w:lvl>
    <w:lvl w:ilvl="3" w:tplc="240A0001" w:tentative="1">
      <w:start w:val="1"/>
      <w:numFmt w:val="bullet"/>
      <w:lvlText w:val=""/>
      <w:lvlJc w:val="left"/>
      <w:pPr>
        <w:ind w:left="2955" w:hanging="360"/>
      </w:pPr>
      <w:rPr>
        <w:rFonts w:ascii="Symbol" w:hAnsi="Symbol" w:hint="default"/>
      </w:rPr>
    </w:lvl>
    <w:lvl w:ilvl="4" w:tplc="240A0003" w:tentative="1">
      <w:start w:val="1"/>
      <w:numFmt w:val="bullet"/>
      <w:lvlText w:val="o"/>
      <w:lvlJc w:val="left"/>
      <w:pPr>
        <w:ind w:left="3675" w:hanging="360"/>
      </w:pPr>
      <w:rPr>
        <w:rFonts w:ascii="Courier New" w:hAnsi="Courier New" w:cs="Courier New" w:hint="default"/>
      </w:rPr>
    </w:lvl>
    <w:lvl w:ilvl="5" w:tplc="240A0005" w:tentative="1">
      <w:start w:val="1"/>
      <w:numFmt w:val="bullet"/>
      <w:lvlText w:val=""/>
      <w:lvlJc w:val="left"/>
      <w:pPr>
        <w:ind w:left="4395" w:hanging="360"/>
      </w:pPr>
      <w:rPr>
        <w:rFonts w:ascii="Wingdings" w:hAnsi="Wingdings" w:hint="default"/>
      </w:rPr>
    </w:lvl>
    <w:lvl w:ilvl="6" w:tplc="240A0001" w:tentative="1">
      <w:start w:val="1"/>
      <w:numFmt w:val="bullet"/>
      <w:lvlText w:val=""/>
      <w:lvlJc w:val="left"/>
      <w:pPr>
        <w:ind w:left="5115" w:hanging="360"/>
      </w:pPr>
      <w:rPr>
        <w:rFonts w:ascii="Symbol" w:hAnsi="Symbol" w:hint="default"/>
      </w:rPr>
    </w:lvl>
    <w:lvl w:ilvl="7" w:tplc="240A0003" w:tentative="1">
      <w:start w:val="1"/>
      <w:numFmt w:val="bullet"/>
      <w:lvlText w:val="o"/>
      <w:lvlJc w:val="left"/>
      <w:pPr>
        <w:ind w:left="5835" w:hanging="360"/>
      </w:pPr>
      <w:rPr>
        <w:rFonts w:ascii="Courier New" w:hAnsi="Courier New" w:cs="Courier New" w:hint="default"/>
      </w:rPr>
    </w:lvl>
    <w:lvl w:ilvl="8" w:tplc="240A0005" w:tentative="1">
      <w:start w:val="1"/>
      <w:numFmt w:val="bullet"/>
      <w:lvlText w:val=""/>
      <w:lvlJc w:val="left"/>
      <w:pPr>
        <w:ind w:left="6555"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3572FF"/>
    <w:multiLevelType w:val="hybridMultilevel"/>
    <w:tmpl w:val="DDA45AE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A88229A"/>
    <w:multiLevelType w:val="hybridMultilevel"/>
    <w:tmpl w:val="470037C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93250A3"/>
    <w:multiLevelType w:val="hybridMultilevel"/>
    <w:tmpl w:val="C6204D32"/>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713921433">
    <w:abstractNumId w:val="9"/>
  </w:num>
  <w:num w:numId="2" w16cid:durableId="277950318">
    <w:abstractNumId w:val="2"/>
  </w:num>
  <w:num w:numId="3" w16cid:durableId="869495537">
    <w:abstractNumId w:val="5"/>
  </w:num>
  <w:num w:numId="4" w16cid:durableId="41709443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59110748">
    <w:abstractNumId w:val="2"/>
  </w:num>
  <w:num w:numId="6" w16cid:durableId="1498688533">
    <w:abstractNumId w:val="17"/>
  </w:num>
  <w:num w:numId="7" w16cid:durableId="1576360886">
    <w:abstractNumId w:val="8"/>
  </w:num>
  <w:num w:numId="8" w16cid:durableId="2074422855">
    <w:abstractNumId w:val="16"/>
  </w:num>
  <w:num w:numId="9" w16cid:durableId="2076118739">
    <w:abstractNumId w:val="10"/>
  </w:num>
  <w:num w:numId="10" w16cid:durableId="701398634">
    <w:abstractNumId w:val="15"/>
  </w:num>
  <w:num w:numId="11" w16cid:durableId="1053967272">
    <w:abstractNumId w:val="11"/>
  </w:num>
  <w:num w:numId="12" w16cid:durableId="906648165">
    <w:abstractNumId w:val="1"/>
  </w:num>
  <w:num w:numId="13" w16cid:durableId="1825462858">
    <w:abstractNumId w:val="3"/>
  </w:num>
  <w:num w:numId="14" w16cid:durableId="392048345">
    <w:abstractNumId w:val="18"/>
  </w:num>
  <w:num w:numId="15" w16cid:durableId="415594324">
    <w:abstractNumId w:val="14"/>
  </w:num>
  <w:num w:numId="16" w16cid:durableId="410934390">
    <w:abstractNumId w:val="0"/>
  </w:num>
  <w:num w:numId="17" w16cid:durableId="540896916">
    <w:abstractNumId w:val="7"/>
  </w:num>
  <w:num w:numId="18" w16cid:durableId="2107383609">
    <w:abstractNumId w:val="12"/>
  </w:num>
  <w:num w:numId="19" w16cid:durableId="235945590">
    <w:abstractNumId w:val="19"/>
  </w:num>
  <w:num w:numId="20" w16cid:durableId="496767546">
    <w:abstractNumId w:val="4"/>
  </w:num>
  <w:num w:numId="21" w16cid:durableId="455762834">
    <w:abstractNumId w:val="13"/>
  </w:num>
  <w:num w:numId="22" w16cid:durableId="63040535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B05"/>
    <w:rsid w:val="000118BA"/>
    <w:rsid w:val="00022730"/>
    <w:rsid w:val="00061B2A"/>
    <w:rsid w:val="00082362"/>
    <w:rsid w:val="000A683E"/>
    <w:rsid w:val="000B19B9"/>
    <w:rsid w:val="000D0334"/>
    <w:rsid w:val="000D69EF"/>
    <w:rsid w:val="000F6486"/>
    <w:rsid w:val="00125105"/>
    <w:rsid w:val="00127233"/>
    <w:rsid w:val="00160B2A"/>
    <w:rsid w:val="00187026"/>
    <w:rsid w:val="001A7FA7"/>
    <w:rsid w:val="001E4177"/>
    <w:rsid w:val="001F7DC6"/>
    <w:rsid w:val="002421BB"/>
    <w:rsid w:val="0025796E"/>
    <w:rsid w:val="002707A2"/>
    <w:rsid w:val="002951A0"/>
    <w:rsid w:val="002962BC"/>
    <w:rsid w:val="002A093D"/>
    <w:rsid w:val="002A0DD0"/>
    <w:rsid w:val="002A49AC"/>
    <w:rsid w:val="002A64FD"/>
    <w:rsid w:val="002C7A84"/>
    <w:rsid w:val="002D5921"/>
    <w:rsid w:val="002E4FD9"/>
    <w:rsid w:val="00310AC0"/>
    <w:rsid w:val="00315831"/>
    <w:rsid w:val="00322A85"/>
    <w:rsid w:val="00324168"/>
    <w:rsid w:val="003448F4"/>
    <w:rsid w:val="00374F5E"/>
    <w:rsid w:val="00377E3E"/>
    <w:rsid w:val="003A26D1"/>
    <w:rsid w:val="003A779E"/>
    <w:rsid w:val="003D0F4D"/>
    <w:rsid w:val="003D5B0D"/>
    <w:rsid w:val="003E0499"/>
    <w:rsid w:val="003F3941"/>
    <w:rsid w:val="00406575"/>
    <w:rsid w:val="0042722E"/>
    <w:rsid w:val="00427B55"/>
    <w:rsid w:val="0044528D"/>
    <w:rsid w:val="00494E67"/>
    <w:rsid w:val="004A1847"/>
    <w:rsid w:val="004A305D"/>
    <w:rsid w:val="004E0230"/>
    <w:rsid w:val="004F21C4"/>
    <w:rsid w:val="004F685F"/>
    <w:rsid w:val="005259B4"/>
    <w:rsid w:val="005566E8"/>
    <w:rsid w:val="00574867"/>
    <w:rsid w:val="00591460"/>
    <w:rsid w:val="00592628"/>
    <w:rsid w:val="005C3777"/>
    <w:rsid w:val="005C5CDC"/>
    <w:rsid w:val="005D3368"/>
    <w:rsid w:val="005D476C"/>
    <w:rsid w:val="00610812"/>
    <w:rsid w:val="006219F8"/>
    <w:rsid w:val="00635618"/>
    <w:rsid w:val="00650FF7"/>
    <w:rsid w:val="00665D70"/>
    <w:rsid w:val="00671DAC"/>
    <w:rsid w:val="006900D9"/>
    <w:rsid w:val="00693ACC"/>
    <w:rsid w:val="006A05EB"/>
    <w:rsid w:val="006D12F8"/>
    <w:rsid w:val="006E57A7"/>
    <w:rsid w:val="006E681B"/>
    <w:rsid w:val="007033DE"/>
    <w:rsid w:val="00706C16"/>
    <w:rsid w:val="00756841"/>
    <w:rsid w:val="0075779B"/>
    <w:rsid w:val="007649AB"/>
    <w:rsid w:val="00771D0C"/>
    <w:rsid w:val="007833AC"/>
    <w:rsid w:val="007B268C"/>
    <w:rsid w:val="007B7171"/>
    <w:rsid w:val="007C0C0F"/>
    <w:rsid w:val="007C3DC2"/>
    <w:rsid w:val="007E5497"/>
    <w:rsid w:val="008008C9"/>
    <w:rsid w:val="00806F5F"/>
    <w:rsid w:val="00820278"/>
    <w:rsid w:val="008843B6"/>
    <w:rsid w:val="00891928"/>
    <w:rsid w:val="008A446D"/>
    <w:rsid w:val="008D180B"/>
    <w:rsid w:val="008F0EA7"/>
    <w:rsid w:val="008F4F27"/>
    <w:rsid w:val="00923EEF"/>
    <w:rsid w:val="009419F9"/>
    <w:rsid w:val="0095685E"/>
    <w:rsid w:val="00961B09"/>
    <w:rsid w:val="00965334"/>
    <w:rsid w:val="0097093E"/>
    <w:rsid w:val="009713A8"/>
    <w:rsid w:val="009A0DFA"/>
    <w:rsid w:val="009B2D26"/>
    <w:rsid w:val="009C71FA"/>
    <w:rsid w:val="009C72E7"/>
    <w:rsid w:val="009D3058"/>
    <w:rsid w:val="009D405C"/>
    <w:rsid w:val="009E2F31"/>
    <w:rsid w:val="009F3A13"/>
    <w:rsid w:val="00A122D3"/>
    <w:rsid w:val="00A131E9"/>
    <w:rsid w:val="00A17F13"/>
    <w:rsid w:val="00A20739"/>
    <w:rsid w:val="00A33C78"/>
    <w:rsid w:val="00A4712E"/>
    <w:rsid w:val="00AB0ADB"/>
    <w:rsid w:val="00AB3311"/>
    <w:rsid w:val="00B01B1A"/>
    <w:rsid w:val="00B52F90"/>
    <w:rsid w:val="00B72CD3"/>
    <w:rsid w:val="00B72FFF"/>
    <w:rsid w:val="00B754B4"/>
    <w:rsid w:val="00BC3D36"/>
    <w:rsid w:val="00BD7F72"/>
    <w:rsid w:val="00C04FB3"/>
    <w:rsid w:val="00C2301C"/>
    <w:rsid w:val="00C330EB"/>
    <w:rsid w:val="00C754BE"/>
    <w:rsid w:val="00C76B1C"/>
    <w:rsid w:val="00C84D15"/>
    <w:rsid w:val="00CB6357"/>
    <w:rsid w:val="00CC1B26"/>
    <w:rsid w:val="00CD638B"/>
    <w:rsid w:val="00CE123C"/>
    <w:rsid w:val="00CE3BFA"/>
    <w:rsid w:val="00CF1F79"/>
    <w:rsid w:val="00D423A2"/>
    <w:rsid w:val="00D42A09"/>
    <w:rsid w:val="00D520D8"/>
    <w:rsid w:val="00D63AC2"/>
    <w:rsid w:val="00D7383B"/>
    <w:rsid w:val="00DA231B"/>
    <w:rsid w:val="00DA23A0"/>
    <w:rsid w:val="00DC39FC"/>
    <w:rsid w:val="00DF5254"/>
    <w:rsid w:val="00E034F8"/>
    <w:rsid w:val="00E16408"/>
    <w:rsid w:val="00E20894"/>
    <w:rsid w:val="00E245AB"/>
    <w:rsid w:val="00E2764C"/>
    <w:rsid w:val="00E27F2E"/>
    <w:rsid w:val="00E413EA"/>
    <w:rsid w:val="00E50AFE"/>
    <w:rsid w:val="00E70BDC"/>
    <w:rsid w:val="00E75C92"/>
    <w:rsid w:val="00E771DC"/>
    <w:rsid w:val="00E8772A"/>
    <w:rsid w:val="00E90F6B"/>
    <w:rsid w:val="00E92C27"/>
    <w:rsid w:val="00EA0E3D"/>
    <w:rsid w:val="00EC38A7"/>
    <w:rsid w:val="00EE1AA8"/>
    <w:rsid w:val="00F17898"/>
    <w:rsid w:val="00F31EDC"/>
    <w:rsid w:val="00F34A9F"/>
    <w:rsid w:val="00F462B3"/>
    <w:rsid w:val="00F5664F"/>
    <w:rsid w:val="00F666C4"/>
    <w:rsid w:val="00F76AFC"/>
    <w:rsid w:val="00F90C35"/>
    <w:rsid w:val="00FA47C0"/>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D638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D638B"/>
    <w:rPr>
      <w:rFonts w:ascii="Geomanist Light" w:hAnsi="Geomanist Light"/>
      <w:lang w:val="es-ES"/>
    </w:rPr>
  </w:style>
  <w:style w:type="character" w:styleId="Refdecomentario">
    <w:name w:val="annotation reference"/>
    <w:basedOn w:val="Fuentedeprrafopredeter"/>
    <w:uiPriority w:val="99"/>
    <w:semiHidden/>
    <w:unhideWhenUsed/>
    <w:rsid w:val="00E70BDC"/>
    <w:rPr>
      <w:sz w:val="16"/>
      <w:szCs w:val="16"/>
    </w:rPr>
  </w:style>
  <w:style w:type="paragraph" w:styleId="Textocomentario">
    <w:name w:val="annotation text"/>
    <w:basedOn w:val="Normal"/>
    <w:link w:val="TextocomentarioCar"/>
    <w:uiPriority w:val="99"/>
    <w:unhideWhenUsed/>
    <w:rsid w:val="00E70BDC"/>
    <w:pPr>
      <w:spacing w:line="240" w:lineRule="auto"/>
    </w:pPr>
    <w:rPr>
      <w:sz w:val="20"/>
      <w:szCs w:val="20"/>
    </w:rPr>
  </w:style>
  <w:style w:type="character" w:customStyle="1" w:styleId="TextocomentarioCar">
    <w:name w:val="Texto comentario Car"/>
    <w:basedOn w:val="Fuentedeprrafopredeter"/>
    <w:link w:val="Textocomentario"/>
    <w:uiPriority w:val="99"/>
    <w:rsid w:val="00E70BDC"/>
    <w:rPr>
      <w:sz w:val="20"/>
      <w:szCs w:val="20"/>
    </w:rPr>
  </w:style>
  <w:style w:type="paragraph" w:styleId="Asuntodelcomentario">
    <w:name w:val="annotation subject"/>
    <w:basedOn w:val="Textocomentario"/>
    <w:next w:val="Textocomentario"/>
    <w:link w:val="AsuntodelcomentarioCar"/>
    <w:uiPriority w:val="99"/>
    <w:semiHidden/>
    <w:unhideWhenUsed/>
    <w:rsid w:val="00E70BDC"/>
    <w:rPr>
      <w:b/>
      <w:bCs/>
    </w:rPr>
  </w:style>
  <w:style w:type="character" w:customStyle="1" w:styleId="AsuntodelcomentarioCar">
    <w:name w:val="Asunto del comentario Car"/>
    <w:basedOn w:val="TextocomentarioCar"/>
    <w:link w:val="Asuntodelcomentario"/>
    <w:uiPriority w:val="99"/>
    <w:semiHidden/>
    <w:rsid w:val="00E70BDC"/>
    <w:rPr>
      <w:b/>
      <w:bCs/>
      <w:sz w:val="20"/>
      <w:szCs w:val="20"/>
    </w:rPr>
  </w:style>
  <w:style w:type="paragraph" w:styleId="Textodeglobo">
    <w:name w:val="Balloon Text"/>
    <w:basedOn w:val="Normal"/>
    <w:link w:val="TextodegloboCar"/>
    <w:uiPriority w:val="99"/>
    <w:semiHidden/>
    <w:unhideWhenUsed/>
    <w:rsid w:val="00AB3311"/>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AB3311"/>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691186">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423911443">
      <w:bodyDiv w:val="1"/>
      <w:marLeft w:val="0"/>
      <w:marRight w:val="0"/>
      <w:marTop w:val="0"/>
      <w:marBottom w:val="0"/>
      <w:divBdr>
        <w:top w:val="none" w:sz="0" w:space="0" w:color="auto"/>
        <w:left w:val="none" w:sz="0" w:space="0" w:color="auto"/>
        <w:bottom w:val="none" w:sz="0" w:space="0" w:color="auto"/>
        <w:right w:val="none" w:sz="0" w:space="0" w:color="auto"/>
      </w:divBdr>
    </w:div>
    <w:div w:id="1790858686">
      <w:bodyDiv w:val="1"/>
      <w:marLeft w:val="0"/>
      <w:marRight w:val="0"/>
      <w:marTop w:val="0"/>
      <w:marBottom w:val="0"/>
      <w:divBdr>
        <w:top w:val="none" w:sz="0" w:space="0" w:color="auto"/>
        <w:left w:val="none" w:sz="0" w:space="0" w:color="auto"/>
        <w:bottom w:val="none" w:sz="0" w:space="0" w:color="auto"/>
        <w:right w:val="none" w:sz="0" w:space="0" w:color="auto"/>
      </w:divBdr>
    </w:div>
    <w:div w:id="1831406693">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ucop.gov.co/entidades/colombiacompra%20/Normativa?IDNorma=17363"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nam02.safelinks.protection.outlook.com/?url=https%3A%2F%2Fwww.colombiacompra.gov.co%2Fsites%2Fcce_public%2Ffiles%2Ffiles_2020%2Fboletin_de_realtoria_iii.pdf&amp;data=05%7C02%7Cchristian.orjuela%40colombiacompra.gov.co%7C5aad36a736844ec87b2108dcc1fa4639%7C7b09041e245149d08cb179d5e3d8c1be%7C0%7C0%7C638598527916617214%7CUnknown%7CTWFpbGZsb3d8eyJWIjoiMC4wLjAwMDAiLCJQIjoiV2luMzIiLCJBTiI6Ik1haWwiLCJXVCI6Mn0%3D%7C0%7C%7C%7C&amp;sdata=AVPd%2FrvNpqdM%2BuVy%2B26fHExOTCkR31VGEzbwu2z7dHw%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 TargetMode="External"/><Relationship Id="rId5" Type="http://schemas.openxmlformats.org/officeDocument/2006/relationships/numbering" Target="numbering.xml"/><Relationship Id="rId15" Type="http://schemas.openxmlformats.org/officeDocument/2006/relationships/hyperlink" Target="https://www.colombiacompra.gov.co/sala-de-prensa/boletin-digital"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ontent%2Fconvocatorias&amp;data=05%7C02%7Cchristian.orjuela%40colombiacompra.gov.co%7C5aad36a736844ec87b2108dcc1fa4639%7C7b09041e245149d08cb179d5e3d8c1be%7C0%7C0%7C638598527916627567%7CUnknown%7CTWFpbGZsb3d8eyJWIjoiMC4wLjAwMDAiLCJQIjoiV2luMzIiLCJBTiI6Ik1haWwiLCJXVCI6Mn0%3D%7C0%7C%7C%7C&amp;sdata=%2B35Xc12olBEETYSOsPu6sFc0AeviqFZ%2Bhk0u%2B9ns2%2Bo%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4756E55-8434-4C0E-B686-78E88691F6C3}"/>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4.xml><?xml version="1.0" encoding="utf-8"?>
<ds:datastoreItem xmlns:ds="http://schemas.openxmlformats.org/officeDocument/2006/customXml" ds:itemID="{AAA64837-4C70-DE4C-860E-3098E06604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24</Pages>
  <Words>7791</Words>
  <Characters>42854</Characters>
  <Application>Microsoft Office Word</Application>
  <DocSecurity>0</DocSecurity>
  <Lines>357</Lines>
  <Paragraphs>101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Christian Camilo Orjuela Galeano</cp:lastModifiedBy>
  <cp:revision>7</cp:revision>
  <cp:lastPrinted>2023-01-10T21:18:00Z</cp:lastPrinted>
  <dcterms:created xsi:type="dcterms:W3CDTF">2024-08-26T22:07:00Z</dcterms:created>
  <dcterms:modified xsi:type="dcterms:W3CDTF">2024-08-27T07:46:00Z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