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2184B" w14:textId="755B7D1B" w:rsidR="00E245AB" w:rsidRPr="0044528D" w:rsidRDefault="00891928" w:rsidP="00E245AB">
      <w:pPr>
        <w:spacing w:after="0"/>
        <w:rPr>
          <w:rFonts w:ascii="Verdana" w:hAnsi="Verdana"/>
        </w:rPr>
      </w:pPr>
      <w:bookmarkStart w:id="0" w:name="_Hlk143780582"/>
      <w:r w:rsidRPr="0044528D">
        <w:rPr>
          <w:rFonts w:ascii="Verdana" w:hAnsi="Verdana"/>
        </w:rPr>
        <w:tab/>
      </w:r>
    </w:p>
    <w:p w14:paraId="5FCADBF9" w14:textId="77777777" w:rsidR="00E245AB" w:rsidRPr="0044528D" w:rsidRDefault="00E245AB" w:rsidP="00E245AB">
      <w:pPr>
        <w:spacing w:after="0"/>
        <w:rPr>
          <w:rFonts w:ascii="Verdana" w:hAnsi="Verdana"/>
        </w:rPr>
      </w:pPr>
    </w:p>
    <w:p w14:paraId="25C8D093" w14:textId="77777777" w:rsidR="00C6682F" w:rsidRPr="00995E3D" w:rsidRDefault="00C6682F" w:rsidP="00C6682F">
      <w:pPr>
        <w:spacing w:after="0" w:line="240" w:lineRule="auto"/>
        <w:jc w:val="both"/>
        <w:rPr>
          <w:rFonts w:ascii="Verdana" w:eastAsia="Geomanist Light" w:hAnsi="Verdana" w:cs="Arial"/>
          <w:b/>
        </w:rPr>
      </w:pPr>
      <w:r w:rsidRPr="00995E3D">
        <w:rPr>
          <w:rFonts w:ascii="Verdana" w:eastAsia="Geomanist Light" w:hAnsi="Verdana" w:cs="Arial"/>
          <w:b/>
        </w:rPr>
        <w:t xml:space="preserve">ADENDAS – Modificación al cronograma </w:t>
      </w:r>
    </w:p>
    <w:p w14:paraId="23F6687A" w14:textId="77777777" w:rsidR="00C6682F" w:rsidRPr="008E019A" w:rsidRDefault="00C6682F" w:rsidP="00C6682F">
      <w:pPr>
        <w:spacing w:after="0" w:line="240" w:lineRule="auto"/>
        <w:jc w:val="both"/>
        <w:rPr>
          <w:rFonts w:ascii="Verdana" w:eastAsia="Geomanist Light" w:hAnsi="Verdana" w:cs="Arial"/>
          <w:b/>
          <w:sz w:val="20"/>
          <w:szCs w:val="20"/>
        </w:rPr>
      </w:pPr>
    </w:p>
    <w:p w14:paraId="3F12D854" w14:textId="77777777" w:rsidR="00C6682F" w:rsidRPr="008E019A" w:rsidRDefault="00C6682F" w:rsidP="00C6682F">
      <w:pPr>
        <w:spacing w:after="0" w:line="240" w:lineRule="auto"/>
        <w:jc w:val="both"/>
        <w:rPr>
          <w:rFonts w:ascii="Verdana" w:eastAsia="Geomanist Light" w:hAnsi="Verdana" w:cs="Arial"/>
          <w:bCs/>
          <w:sz w:val="20"/>
          <w:szCs w:val="20"/>
        </w:rPr>
      </w:pPr>
      <w:r w:rsidRPr="008E019A">
        <w:rPr>
          <w:rFonts w:ascii="Verdana" w:eastAsia="Geomanist Light" w:hAnsi="Verdana" w:cs="Arial"/>
          <w:bCs/>
          <w:sz w:val="20"/>
          <w:szCs w:val="20"/>
        </w:rPr>
        <w:t>[…]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la recepción de ofertas y antes de la adjudicación del contrato, en las que solo se permite modificar los plazos de las etapas siguientes.</w:t>
      </w:r>
    </w:p>
    <w:p w14:paraId="5101D758" w14:textId="77777777" w:rsidR="00C6682F" w:rsidRPr="008E019A" w:rsidRDefault="00C6682F" w:rsidP="00C6682F">
      <w:pPr>
        <w:spacing w:after="0" w:line="240" w:lineRule="auto"/>
        <w:jc w:val="both"/>
        <w:rPr>
          <w:rFonts w:ascii="Verdana" w:eastAsia="Geomanist Light" w:hAnsi="Verdana" w:cs="Arial"/>
          <w:bCs/>
          <w:sz w:val="20"/>
          <w:szCs w:val="20"/>
        </w:rPr>
      </w:pPr>
    </w:p>
    <w:p w14:paraId="33544625" w14:textId="68D84BCA" w:rsidR="00C6682F" w:rsidRPr="008E019A" w:rsidRDefault="00C6682F" w:rsidP="00C6682F">
      <w:pPr>
        <w:spacing w:after="0" w:line="240" w:lineRule="auto"/>
        <w:jc w:val="both"/>
        <w:rPr>
          <w:rFonts w:ascii="Verdana" w:eastAsia="Geomanist Light" w:hAnsi="Verdana" w:cs="Arial"/>
          <w:bCs/>
          <w:sz w:val="20"/>
          <w:szCs w:val="20"/>
        </w:rPr>
      </w:pPr>
      <w:r w:rsidRPr="008E019A">
        <w:rPr>
          <w:rFonts w:ascii="Verdana" w:eastAsia="Geomanist Light" w:hAnsi="Verdana" w:cs="Arial"/>
          <w:bCs/>
          <w:sz w:val="20"/>
          <w:szCs w:val="20"/>
        </w:rPr>
        <w:t xml:space="preserve">De lo anterior, se puede concluir que las entidades estatales pueden modificar el cronograma mediante adendas en dos momentos: i) antes del vencimiento del plazo para presentar ofertas, pues se entiende que el cronograma hace parte integral del pliego de condiciones, y </w:t>
      </w:r>
      <w:proofErr w:type="spellStart"/>
      <w:r w:rsidRPr="008E019A">
        <w:rPr>
          <w:rFonts w:ascii="Verdana" w:eastAsia="Geomanist Light" w:hAnsi="Verdana" w:cs="Arial"/>
          <w:bCs/>
          <w:sz w:val="20"/>
          <w:szCs w:val="20"/>
        </w:rPr>
        <w:t>ii</w:t>
      </w:r>
      <w:proofErr w:type="spellEnd"/>
      <w:r w:rsidRPr="008E019A">
        <w:rPr>
          <w:rFonts w:ascii="Verdana" w:eastAsia="Geomanist Light" w:hAnsi="Verdana" w:cs="Arial"/>
          <w:bCs/>
          <w:sz w:val="20"/>
          <w:szCs w:val="20"/>
        </w:rPr>
        <w:t xml:space="preserve">) una vez vencido el término para la presentación de ofertas y antes de la adjudicación del contrato. Al respecto, resulta del caso precisar que cada modalidad de selección tiene establecido un procedimiento propio que rige su estructuración y, en este </w:t>
      </w:r>
      <w:r w:rsidR="00284BDA">
        <w:rPr>
          <w:rFonts w:ascii="Verdana" w:eastAsia="Geomanist Light" w:hAnsi="Verdana" w:cs="Arial"/>
          <w:bCs/>
          <w:sz w:val="20"/>
          <w:szCs w:val="20"/>
        </w:rPr>
        <w:t>s</w:t>
      </w:r>
      <w:r w:rsidRPr="008E019A">
        <w:rPr>
          <w:rFonts w:ascii="Verdana" w:eastAsia="Geomanist Light" w:hAnsi="Verdana" w:cs="Arial"/>
          <w:bCs/>
          <w:sz w:val="20"/>
          <w:szCs w:val="20"/>
        </w:rPr>
        <w:t>entido, las etapas y el acto final del proceso de selección dependerá de cada modalidad de selección. Por ejemplo, en la mínima cuantía el acto por medio del cual se escoge al futuro contratista es la comunicación de aceptación de la oferta.</w:t>
      </w:r>
    </w:p>
    <w:p w14:paraId="4313BF5A" w14:textId="77777777" w:rsidR="00C6682F" w:rsidRDefault="00C6682F" w:rsidP="00C6682F">
      <w:pPr>
        <w:spacing w:after="0" w:line="240" w:lineRule="auto"/>
        <w:jc w:val="both"/>
        <w:rPr>
          <w:rFonts w:ascii="Verdana" w:eastAsia="Geomanist Light" w:hAnsi="Verdana" w:cs="Arial"/>
          <w:b/>
          <w:bCs/>
          <w:lang w:val="es-ES_tradnl"/>
        </w:rPr>
      </w:pPr>
    </w:p>
    <w:p w14:paraId="67A0A53A" w14:textId="77777777" w:rsidR="00C6682F" w:rsidRDefault="00C6682F" w:rsidP="00C6682F">
      <w:pPr>
        <w:spacing w:after="0" w:line="240" w:lineRule="auto"/>
        <w:jc w:val="both"/>
        <w:rPr>
          <w:rFonts w:ascii="Verdana" w:eastAsia="Geomanist Light" w:hAnsi="Verdana" w:cs="Arial"/>
          <w:b/>
          <w:bCs/>
          <w:lang w:val="es-ES_tradnl"/>
        </w:rPr>
      </w:pPr>
    </w:p>
    <w:p w14:paraId="18EF917E" w14:textId="77777777" w:rsidR="00C6682F" w:rsidRDefault="00C6682F" w:rsidP="00C6682F">
      <w:pPr>
        <w:spacing w:after="0" w:line="240" w:lineRule="auto"/>
        <w:jc w:val="both"/>
        <w:rPr>
          <w:rFonts w:ascii="Verdana" w:eastAsia="Geomanist Light" w:hAnsi="Verdana" w:cs="Arial"/>
          <w:b/>
          <w:bCs/>
          <w:lang w:val="es-ES_tradnl"/>
        </w:rPr>
      </w:pPr>
    </w:p>
    <w:p w14:paraId="39AD4612" w14:textId="77777777" w:rsidR="00C6682F" w:rsidRDefault="00C6682F" w:rsidP="00C6682F">
      <w:pPr>
        <w:spacing w:after="0" w:line="240" w:lineRule="auto"/>
        <w:jc w:val="both"/>
        <w:rPr>
          <w:rFonts w:ascii="Verdana" w:eastAsia="Geomanist Light" w:hAnsi="Verdana" w:cs="Arial"/>
          <w:b/>
          <w:bCs/>
          <w:lang w:val="es-ES_tradnl"/>
        </w:rPr>
      </w:pPr>
    </w:p>
    <w:p w14:paraId="4765FC53" w14:textId="77777777" w:rsidR="00C6682F" w:rsidRDefault="00C6682F" w:rsidP="00C6682F">
      <w:pPr>
        <w:spacing w:after="0" w:line="240" w:lineRule="auto"/>
        <w:jc w:val="both"/>
        <w:rPr>
          <w:rFonts w:ascii="Verdana" w:eastAsia="Geomanist Light" w:hAnsi="Verdana" w:cs="Arial"/>
          <w:b/>
          <w:bCs/>
          <w:lang w:val="es-ES_tradnl"/>
        </w:rPr>
      </w:pPr>
    </w:p>
    <w:p w14:paraId="2E8DE98D" w14:textId="77777777" w:rsidR="00C6682F" w:rsidRDefault="00C6682F" w:rsidP="00C6682F">
      <w:pPr>
        <w:spacing w:after="0" w:line="240" w:lineRule="auto"/>
        <w:jc w:val="both"/>
        <w:rPr>
          <w:rFonts w:ascii="Verdana" w:eastAsia="Geomanist Light" w:hAnsi="Verdana" w:cs="Arial"/>
          <w:b/>
          <w:bCs/>
          <w:lang w:val="es-ES_tradnl"/>
        </w:rPr>
      </w:pPr>
    </w:p>
    <w:p w14:paraId="15458132" w14:textId="77777777" w:rsidR="00C6682F" w:rsidRDefault="00C6682F" w:rsidP="00C6682F">
      <w:pPr>
        <w:spacing w:after="0" w:line="240" w:lineRule="auto"/>
        <w:jc w:val="both"/>
        <w:rPr>
          <w:rFonts w:ascii="Verdana" w:eastAsia="Geomanist Light" w:hAnsi="Verdana" w:cs="Arial"/>
          <w:b/>
          <w:bCs/>
          <w:lang w:val="es-ES_tradnl"/>
        </w:rPr>
      </w:pPr>
    </w:p>
    <w:p w14:paraId="267A0CC5" w14:textId="77777777" w:rsidR="00C6682F" w:rsidRDefault="00C6682F" w:rsidP="00C6682F">
      <w:pPr>
        <w:spacing w:after="0" w:line="240" w:lineRule="auto"/>
        <w:jc w:val="both"/>
        <w:rPr>
          <w:rFonts w:ascii="Verdana" w:eastAsia="Geomanist Light" w:hAnsi="Verdana" w:cs="Arial"/>
          <w:b/>
          <w:bCs/>
          <w:lang w:val="es-ES_tradnl"/>
        </w:rPr>
      </w:pPr>
    </w:p>
    <w:p w14:paraId="33489E7C" w14:textId="77777777" w:rsidR="00C6682F" w:rsidRDefault="00C6682F" w:rsidP="00C6682F">
      <w:pPr>
        <w:spacing w:after="0" w:line="240" w:lineRule="auto"/>
        <w:jc w:val="both"/>
        <w:rPr>
          <w:rFonts w:ascii="Verdana" w:eastAsia="Geomanist Light" w:hAnsi="Verdana" w:cs="Arial"/>
          <w:b/>
          <w:bCs/>
          <w:lang w:val="es-ES_tradnl"/>
        </w:rPr>
      </w:pPr>
    </w:p>
    <w:p w14:paraId="03F4C860" w14:textId="77777777" w:rsidR="00C6682F" w:rsidRDefault="00C6682F" w:rsidP="00C6682F">
      <w:pPr>
        <w:spacing w:after="0" w:line="240" w:lineRule="auto"/>
        <w:jc w:val="both"/>
        <w:rPr>
          <w:rFonts w:ascii="Verdana" w:eastAsia="Geomanist Light" w:hAnsi="Verdana" w:cs="Arial"/>
          <w:b/>
          <w:bCs/>
          <w:lang w:val="es-ES_tradnl"/>
        </w:rPr>
      </w:pPr>
    </w:p>
    <w:p w14:paraId="60B7CFBC" w14:textId="77777777" w:rsidR="00C6682F" w:rsidRDefault="00C6682F" w:rsidP="00C6682F">
      <w:pPr>
        <w:spacing w:after="0" w:line="240" w:lineRule="auto"/>
        <w:jc w:val="both"/>
        <w:rPr>
          <w:rFonts w:ascii="Verdana" w:eastAsia="Geomanist Light" w:hAnsi="Verdana" w:cs="Arial"/>
          <w:b/>
          <w:bCs/>
          <w:lang w:val="es-ES_tradnl"/>
        </w:rPr>
      </w:pPr>
    </w:p>
    <w:p w14:paraId="06A9365E" w14:textId="77777777" w:rsidR="00C6682F" w:rsidRDefault="00C6682F" w:rsidP="00C6682F">
      <w:pPr>
        <w:spacing w:after="0" w:line="240" w:lineRule="auto"/>
        <w:jc w:val="both"/>
        <w:rPr>
          <w:rFonts w:ascii="Verdana" w:eastAsia="Geomanist Light" w:hAnsi="Verdana" w:cs="Arial"/>
          <w:b/>
          <w:bCs/>
          <w:lang w:val="es-ES_tradnl"/>
        </w:rPr>
      </w:pPr>
    </w:p>
    <w:p w14:paraId="24976A2C" w14:textId="77777777" w:rsidR="00C6682F" w:rsidRDefault="00C6682F" w:rsidP="00C6682F">
      <w:pPr>
        <w:spacing w:after="0" w:line="240" w:lineRule="auto"/>
        <w:jc w:val="both"/>
        <w:rPr>
          <w:rFonts w:ascii="Verdana" w:eastAsia="Geomanist Light" w:hAnsi="Verdana" w:cs="Arial"/>
          <w:b/>
          <w:bCs/>
          <w:lang w:val="es-ES_tradnl"/>
        </w:rPr>
      </w:pPr>
    </w:p>
    <w:p w14:paraId="5FD0F266" w14:textId="77777777" w:rsidR="00C6682F" w:rsidRDefault="00C6682F" w:rsidP="00C6682F">
      <w:pPr>
        <w:spacing w:after="0" w:line="240" w:lineRule="auto"/>
        <w:jc w:val="both"/>
        <w:rPr>
          <w:rFonts w:ascii="Verdana" w:eastAsia="Geomanist Light" w:hAnsi="Verdana" w:cs="Arial"/>
          <w:b/>
          <w:bCs/>
          <w:lang w:val="es-ES_tradnl"/>
        </w:rPr>
      </w:pPr>
    </w:p>
    <w:p w14:paraId="6DF019C7" w14:textId="77777777" w:rsidR="00C6682F" w:rsidRDefault="00C6682F" w:rsidP="00C6682F">
      <w:pPr>
        <w:spacing w:after="0" w:line="240" w:lineRule="auto"/>
        <w:jc w:val="both"/>
        <w:rPr>
          <w:rFonts w:ascii="Verdana" w:eastAsia="Geomanist Light" w:hAnsi="Verdana" w:cs="Arial"/>
          <w:b/>
          <w:bCs/>
          <w:lang w:val="es-ES_tradnl"/>
        </w:rPr>
      </w:pPr>
    </w:p>
    <w:p w14:paraId="2F19E89F" w14:textId="77777777" w:rsidR="00C6682F" w:rsidRDefault="00C6682F" w:rsidP="00C6682F">
      <w:pPr>
        <w:spacing w:after="0" w:line="240" w:lineRule="auto"/>
        <w:jc w:val="both"/>
        <w:rPr>
          <w:rFonts w:ascii="Verdana" w:eastAsia="Geomanist Light" w:hAnsi="Verdana" w:cs="Arial"/>
          <w:b/>
          <w:bCs/>
          <w:lang w:val="es-ES_tradnl"/>
        </w:rPr>
      </w:pPr>
    </w:p>
    <w:p w14:paraId="0FFDE306" w14:textId="77777777" w:rsidR="00C6682F" w:rsidRDefault="00C6682F" w:rsidP="00C6682F">
      <w:pPr>
        <w:spacing w:after="0" w:line="240" w:lineRule="auto"/>
        <w:jc w:val="both"/>
        <w:rPr>
          <w:rFonts w:ascii="Verdana" w:eastAsia="Geomanist Light" w:hAnsi="Verdana" w:cs="Arial"/>
          <w:b/>
          <w:bCs/>
          <w:lang w:val="es-ES_tradnl"/>
        </w:rPr>
      </w:pPr>
    </w:p>
    <w:p w14:paraId="19FB06B1" w14:textId="77777777" w:rsidR="00C6682F" w:rsidRDefault="00C6682F" w:rsidP="00C6682F">
      <w:pPr>
        <w:spacing w:after="0" w:line="240" w:lineRule="auto"/>
        <w:jc w:val="both"/>
        <w:rPr>
          <w:rFonts w:ascii="Verdana" w:eastAsia="Geomanist Light" w:hAnsi="Verdana" w:cs="Arial"/>
          <w:b/>
          <w:bCs/>
          <w:lang w:val="es-ES_tradnl"/>
        </w:rPr>
      </w:pPr>
    </w:p>
    <w:p w14:paraId="4E3C7FE7" w14:textId="77777777" w:rsidR="00C6682F" w:rsidRDefault="00C6682F" w:rsidP="00C6682F">
      <w:pPr>
        <w:spacing w:after="0" w:line="240" w:lineRule="auto"/>
        <w:jc w:val="both"/>
        <w:rPr>
          <w:rFonts w:ascii="Verdana" w:eastAsia="Geomanist Light" w:hAnsi="Verdana" w:cs="Arial"/>
          <w:b/>
          <w:bCs/>
          <w:lang w:val="es-ES_tradnl"/>
        </w:rPr>
      </w:pPr>
    </w:p>
    <w:p w14:paraId="0203A553" w14:textId="77777777" w:rsidR="00C6682F" w:rsidRDefault="00C6682F" w:rsidP="00C6682F">
      <w:pPr>
        <w:spacing w:after="0" w:line="240" w:lineRule="auto"/>
        <w:jc w:val="both"/>
        <w:rPr>
          <w:rFonts w:ascii="Verdana" w:eastAsia="Geomanist Light" w:hAnsi="Verdana" w:cs="Arial"/>
          <w:b/>
          <w:bCs/>
          <w:lang w:val="es-ES_tradnl"/>
        </w:rPr>
      </w:pPr>
    </w:p>
    <w:p w14:paraId="60EA23E9" w14:textId="77777777" w:rsidR="00C6682F" w:rsidRDefault="00C6682F" w:rsidP="00C6682F">
      <w:pPr>
        <w:spacing w:after="0" w:line="240" w:lineRule="auto"/>
        <w:jc w:val="both"/>
        <w:rPr>
          <w:rFonts w:ascii="Verdana" w:eastAsia="Geomanist Light" w:hAnsi="Verdana" w:cs="Arial"/>
          <w:b/>
          <w:bCs/>
          <w:lang w:val="es-ES_tradnl"/>
        </w:rPr>
      </w:pPr>
    </w:p>
    <w:p w14:paraId="11709BC8" w14:textId="77777777" w:rsidR="00C6682F" w:rsidRDefault="00C6682F" w:rsidP="00C6682F">
      <w:pPr>
        <w:spacing w:after="0" w:line="240" w:lineRule="auto"/>
        <w:jc w:val="both"/>
        <w:rPr>
          <w:rFonts w:ascii="Verdana" w:eastAsia="Geomanist Light" w:hAnsi="Verdana" w:cs="Arial"/>
          <w:b/>
          <w:bCs/>
          <w:lang w:val="es-ES_tradnl"/>
        </w:rPr>
      </w:pPr>
    </w:p>
    <w:p w14:paraId="281514FC" w14:textId="77777777" w:rsidR="00C6682F" w:rsidRDefault="00C6682F" w:rsidP="00C6682F">
      <w:pPr>
        <w:spacing w:after="0" w:line="240" w:lineRule="auto"/>
        <w:jc w:val="both"/>
        <w:rPr>
          <w:rFonts w:ascii="Verdana" w:eastAsia="Geomanist Light" w:hAnsi="Verdana" w:cs="Arial"/>
          <w:b/>
          <w:bCs/>
          <w:lang w:val="es-ES_tradnl"/>
        </w:rPr>
      </w:pPr>
    </w:p>
    <w:p w14:paraId="4BD2CC68" w14:textId="77777777" w:rsidR="00C6682F" w:rsidRDefault="00C6682F" w:rsidP="00C6682F">
      <w:pPr>
        <w:spacing w:after="0" w:line="240" w:lineRule="auto"/>
        <w:jc w:val="both"/>
        <w:rPr>
          <w:rFonts w:ascii="Verdana" w:eastAsia="Geomanist Light" w:hAnsi="Verdana" w:cs="Arial"/>
          <w:b/>
          <w:bCs/>
          <w:lang w:val="es-ES_tradnl"/>
        </w:rPr>
      </w:pPr>
    </w:p>
    <w:p w14:paraId="70F888D8" w14:textId="77777777" w:rsidR="00C6682F" w:rsidRDefault="00C6682F" w:rsidP="00C6682F">
      <w:pPr>
        <w:spacing w:after="0" w:line="240" w:lineRule="auto"/>
        <w:jc w:val="both"/>
        <w:rPr>
          <w:rFonts w:ascii="Verdana" w:eastAsia="Geomanist Light" w:hAnsi="Verdana" w:cs="Arial"/>
          <w:b/>
          <w:bCs/>
          <w:lang w:val="es-ES_tradnl"/>
        </w:rPr>
      </w:pPr>
    </w:p>
    <w:p w14:paraId="09A6C939" w14:textId="77777777" w:rsidR="00C6682F" w:rsidRDefault="00C6682F" w:rsidP="00C6682F">
      <w:pPr>
        <w:spacing w:after="0" w:line="240" w:lineRule="auto"/>
        <w:jc w:val="both"/>
        <w:rPr>
          <w:rFonts w:ascii="Verdana" w:eastAsia="Geomanist Light" w:hAnsi="Verdana" w:cs="Arial"/>
          <w:sz w:val="20"/>
          <w:szCs w:val="20"/>
          <w:lang w:val="es-ES_tradnl"/>
        </w:rPr>
      </w:pPr>
    </w:p>
    <w:p w14:paraId="5E8241D5" w14:textId="77777777" w:rsidR="00C6682F" w:rsidRDefault="00C6682F" w:rsidP="00C6682F">
      <w:pPr>
        <w:spacing w:after="0" w:line="240" w:lineRule="auto"/>
        <w:jc w:val="both"/>
        <w:rPr>
          <w:rFonts w:ascii="Verdana" w:eastAsia="Geomanist Light" w:hAnsi="Verdana" w:cs="Arial"/>
          <w:sz w:val="20"/>
          <w:szCs w:val="20"/>
          <w:lang w:val="es-ES_tradnl"/>
        </w:rPr>
      </w:pPr>
    </w:p>
    <w:p w14:paraId="46247613" w14:textId="77777777" w:rsidR="00C6682F" w:rsidRPr="008E019A" w:rsidRDefault="00C6682F" w:rsidP="00C6682F">
      <w:pPr>
        <w:spacing w:after="0" w:line="240" w:lineRule="auto"/>
        <w:jc w:val="both"/>
        <w:rPr>
          <w:rFonts w:ascii="Verdana" w:eastAsia="Geomanist Light" w:hAnsi="Verdana" w:cs="Arial"/>
          <w:sz w:val="20"/>
          <w:szCs w:val="20"/>
          <w:lang w:val="es-ES_tradnl"/>
        </w:rPr>
      </w:pPr>
    </w:p>
    <w:p w14:paraId="7FD28DBE" w14:textId="77777777" w:rsidR="00C6682F" w:rsidRDefault="00C6682F" w:rsidP="00C6682F">
      <w:pPr>
        <w:spacing w:after="0" w:line="240" w:lineRule="auto"/>
        <w:jc w:val="both"/>
        <w:rPr>
          <w:rFonts w:ascii="Verdana" w:eastAsia="Geomanist Light" w:hAnsi="Verdana" w:cs="Arial"/>
          <w:lang w:val="es-ES_tradnl"/>
        </w:rPr>
      </w:pPr>
    </w:p>
    <w:p w14:paraId="4B949FDE" w14:textId="77777777" w:rsidR="00C6682F" w:rsidRPr="009322DA" w:rsidRDefault="00C6682F" w:rsidP="00C6682F">
      <w:pPr>
        <w:spacing w:after="0" w:line="240" w:lineRule="auto"/>
        <w:rPr>
          <w:rFonts w:ascii="Verdana" w:eastAsia="Geomanist Light" w:hAnsi="Verdana" w:cs="Arial"/>
          <w:lang w:val="es-MX"/>
        </w:rPr>
      </w:pPr>
      <w:r w:rsidRPr="009322DA">
        <w:rPr>
          <w:rFonts w:ascii="Verdana" w:eastAsia="Geomanist Light" w:hAnsi="Verdana" w:cs="Arial"/>
          <w:lang w:val="es-MX"/>
        </w:rPr>
        <w:t>Bogotá D.C., [Día] de [</w:t>
      </w:r>
      <w:proofErr w:type="spellStart"/>
      <w:r w:rsidRPr="009322DA">
        <w:rPr>
          <w:rFonts w:ascii="Verdana" w:eastAsia="Geomanist Light" w:hAnsi="Verdana" w:cs="Arial"/>
          <w:lang w:val="es-MX"/>
        </w:rPr>
        <w:t>Mes.NombreCapitalizado</w:t>
      </w:r>
      <w:proofErr w:type="spellEnd"/>
      <w:r w:rsidRPr="009322DA">
        <w:rPr>
          <w:rFonts w:ascii="Verdana" w:eastAsia="Geomanist Light" w:hAnsi="Verdana" w:cs="Arial"/>
          <w:lang w:val="es-MX"/>
        </w:rPr>
        <w:t>] de [Año]</w:t>
      </w:r>
    </w:p>
    <w:p w14:paraId="1FC5EC94" w14:textId="77777777" w:rsidR="00C6682F" w:rsidRPr="009322DA" w:rsidRDefault="00C6682F" w:rsidP="00C6682F">
      <w:pPr>
        <w:spacing w:after="0" w:line="240" w:lineRule="auto"/>
        <w:jc w:val="both"/>
        <w:rPr>
          <w:rFonts w:ascii="Verdana" w:eastAsia="Calibri" w:hAnsi="Verdana" w:cs="Arial"/>
          <w:lang w:val="es-ES"/>
        </w:rPr>
      </w:pPr>
    </w:p>
    <w:p w14:paraId="0711B6F2" w14:textId="77777777" w:rsidR="00C6682F" w:rsidRDefault="00C6682F" w:rsidP="00C6682F">
      <w:pPr>
        <w:spacing w:after="0" w:line="240" w:lineRule="auto"/>
        <w:rPr>
          <w:rFonts w:ascii="Verdana" w:eastAsia="Calibri" w:hAnsi="Verdana" w:cs="Arial"/>
          <w:lang w:val="es-MX" w:eastAsia="es-ES"/>
        </w:rPr>
      </w:pPr>
    </w:p>
    <w:p w14:paraId="4DA418D6" w14:textId="77777777" w:rsidR="00C6682F" w:rsidRDefault="00C6682F" w:rsidP="00C6682F">
      <w:pPr>
        <w:spacing w:after="0" w:line="240" w:lineRule="auto"/>
        <w:rPr>
          <w:rFonts w:ascii="Verdana" w:eastAsia="Calibri" w:hAnsi="Verdana" w:cs="Arial"/>
          <w:lang w:val="es-MX" w:eastAsia="es-ES"/>
        </w:rPr>
      </w:pPr>
    </w:p>
    <w:p w14:paraId="2B59A90D" w14:textId="77777777" w:rsidR="00C6682F" w:rsidRDefault="00C6682F" w:rsidP="00C6682F">
      <w:pPr>
        <w:spacing w:after="0" w:line="240" w:lineRule="auto"/>
        <w:rPr>
          <w:rFonts w:ascii="Verdana" w:eastAsia="Calibri" w:hAnsi="Verdana" w:cs="Arial"/>
          <w:lang w:val="es-MX" w:eastAsia="es-ES"/>
        </w:rPr>
      </w:pPr>
      <w:r w:rsidRPr="009322DA">
        <w:rPr>
          <w:rFonts w:ascii="Verdana" w:eastAsia="Calibri" w:hAnsi="Verdana" w:cs="Arial"/>
          <w:lang w:val="es-MX" w:eastAsia="es-ES"/>
        </w:rPr>
        <w:t>Señor</w:t>
      </w:r>
      <w:r>
        <w:rPr>
          <w:rFonts w:ascii="Verdana" w:eastAsia="Calibri" w:hAnsi="Verdana" w:cs="Arial"/>
          <w:lang w:val="es-MX" w:eastAsia="es-ES"/>
        </w:rPr>
        <w:t>a</w:t>
      </w:r>
    </w:p>
    <w:p w14:paraId="29B7335D" w14:textId="77777777" w:rsidR="00C6682F" w:rsidRPr="0066434C" w:rsidRDefault="00C6682F" w:rsidP="00C6682F">
      <w:pPr>
        <w:spacing w:after="0" w:line="240" w:lineRule="auto"/>
        <w:rPr>
          <w:rFonts w:ascii="Verdana" w:eastAsia="Calibri" w:hAnsi="Verdana" w:cs="Arial"/>
          <w:b/>
          <w:bCs/>
          <w:lang w:val="es-MX" w:eastAsia="es-ES"/>
        </w:rPr>
      </w:pPr>
      <w:proofErr w:type="spellStart"/>
      <w:r w:rsidRPr="0066434C">
        <w:rPr>
          <w:rFonts w:ascii="Verdana" w:eastAsia="Calibri" w:hAnsi="Verdana" w:cs="Arial"/>
          <w:b/>
          <w:bCs/>
          <w:lang w:val="es-MX" w:eastAsia="es-ES"/>
        </w:rPr>
        <w:t>July</w:t>
      </w:r>
      <w:proofErr w:type="spellEnd"/>
      <w:r w:rsidRPr="0066434C">
        <w:rPr>
          <w:rFonts w:ascii="Verdana" w:eastAsia="Calibri" w:hAnsi="Verdana" w:cs="Arial"/>
          <w:b/>
          <w:bCs/>
          <w:lang w:val="es-MX" w:eastAsia="es-ES"/>
        </w:rPr>
        <w:t xml:space="preserve"> Samara García Soto </w:t>
      </w:r>
    </w:p>
    <w:p w14:paraId="743A2FE1" w14:textId="77777777" w:rsidR="00C6682F" w:rsidRPr="0066434C" w:rsidRDefault="00C6682F" w:rsidP="00C6682F">
      <w:pPr>
        <w:spacing w:after="0" w:line="240" w:lineRule="auto"/>
        <w:rPr>
          <w:rFonts w:ascii="Verdana" w:eastAsia="Calibri" w:hAnsi="Verdana" w:cs="Arial"/>
          <w:b/>
          <w:bCs/>
          <w:lang w:val="es-MX" w:eastAsia="es-ES"/>
        </w:rPr>
      </w:pPr>
      <w:r w:rsidRPr="0066434C">
        <w:rPr>
          <w:rFonts w:ascii="Verdana" w:eastAsia="Calibri" w:hAnsi="Verdana" w:cs="Arial"/>
          <w:b/>
          <w:bCs/>
          <w:lang w:val="es-MX" w:eastAsia="es-ES"/>
        </w:rPr>
        <w:t xml:space="preserve">Profesional Universitario </w:t>
      </w:r>
    </w:p>
    <w:p w14:paraId="774BB44F" w14:textId="77777777" w:rsidR="00C6682F" w:rsidRPr="0066434C" w:rsidRDefault="00C6682F" w:rsidP="00C6682F">
      <w:pPr>
        <w:spacing w:after="0" w:line="240" w:lineRule="auto"/>
        <w:rPr>
          <w:rFonts w:ascii="Verdana" w:eastAsia="Calibri" w:hAnsi="Verdana" w:cs="Arial"/>
          <w:b/>
          <w:bCs/>
          <w:lang w:val="es-MX" w:eastAsia="es-ES"/>
        </w:rPr>
      </w:pPr>
      <w:r w:rsidRPr="0066434C">
        <w:rPr>
          <w:rFonts w:ascii="Verdana" w:eastAsia="Calibri" w:hAnsi="Verdana" w:cs="Arial"/>
          <w:b/>
          <w:bCs/>
          <w:lang w:val="es-MX" w:eastAsia="es-ES"/>
        </w:rPr>
        <w:t>GIT Gestión Jurídica Contractual</w:t>
      </w:r>
    </w:p>
    <w:p w14:paraId="2E51385B" w14:textId="77777777" w:rsidR="00C6682F" w:rsidRPr="0066434C" w:rsidRDefault="00C6682F" w:rsidP="00C6682F">
      <w:pPr>
        <w:spacing w:after="0" w:line="240" w:lineRule="auto"/>
        <w:rPr>
          <w:rFonts w:ascii="Verdana" w:eastAsia="Calibri" w:hAnsi="Verdana" w:cs="Arial"/>
          <w:b/>
          <w:bCs/>
          <w:lang w:val="pt-BR" w:eastAsia="es-ES"/>
        </w:rPr>
      </w:pPr>
      <w:r w:rsidRPr="0066434C">
        <w:rPr>
          <w:rFonts w:ascii="Verdana" w:eastAsia="Calibri" w:hAnsi="Verdana" w:cs="Arial"/>
          <w:b/>
          <w:bCs/>
          <w:lang w:val="pt-BR" w:eastAsia="es-ES"/>
        </w:rPr>
        <w:t>Departamento Administrativo Nacional de Estadística (DANE)</w:t>
      </w:r>
    </w:p>
    <w:p w14:paraId="7CEBC60F" w14:textId="77777777" w:rsidR="00C6682F" w:rsidRDefault="00A62B7E" w:rsidP="00C6682F">
      <w:pPr>
        <w:spacing w:after="0" w:line="240" w:lineRule="auto"/>
        <w:rPr>
          <w:rFonts w:ascii="Verdana" w:eastAsia="Calibri" w:hAnsi="Verdana" w:cs="Arial"/>
          <w:lang w:val="pt-BR" w:eastAsia="es-ES"/>
        </w:rPr>
      </w:pPr>
      <w:hyperlink r:id="rId10" w:history="1">
        <w:r w:rsidR="00C6682F" w:rsidRPr="00113C58">
          <w:rPr>
            <w:rStyle w:val="Hipervnculo"/>
            <w:rFonts w:ascii="Verdana" w:eastAsia="Calibri" w:hAnsi="Verdana" w:cs="Arial"/>
            <w:lang w:val="pt-BR" w:eastAsia="es-ES"/>
          </w:rPr>
          <w:t>jsgarcias@dane.gov.co</w:t>
        </w:r>
      </w:hyperlink>
      <w:r w:rsidR="00C6682F">
        <w:rPr>
          <w:rFonts w:ascii="Verdana" w:eastAsia="Calibri" w:hAnsi="Verdana" w:cs="Arial"/>
          <w:lang w:val="pt-BR" w:eastAsia="es-ES"/>
        </w:rPr>
        <w:t xml:space="preserve"> </w:t>
      </w:r>
    </w:p>
    <w:p w14:paraId="7F509E71" w14:textId="77777777" w:rsidR="006E67FC" w:rsidRDefault="006E67FC" w:rsidP="00C6682F">
      <w:pPr>
        <w:spacing w:after="0" w:line="240" w:lineRule="auto"/>
        <w:rPr>
          <w:rFonts w:ascii="Verdana" w:eastAsia="Calibri" w:hAnsi="Verdana" w:cs="Arial"/>
          <w:lang w:val="pt-BR" w:eastAsia="es-ES"/>
        </w:rPr>
      </w:pPr>
    </w:p>
    <w:p w14:paraId="16E770D3" w14:textId="77777777" w:rsidR="006E67FC" w:rsidRDefault="006E67FC" w:rsidP="00C6682F">
      <w:pPr>
        <w:spacing w:after="0" w:line="240" w:lineRule="auto"/>
        <w:rPr>
          <w:rFonts w:ascii="Verdana" w:eastAsia="Calibri" w:hAnsi="Verdana" w:cs="Arial"/>
          <w:lang w:val="pt-BR" w:eastAsia="es-ES"/>
        </w:rPr>
      </w:pPr>
    </w:p>
    <w:p w14:paraId="6E3FB746" w14:textId="6B30DD7A" w:rsidR="006E67FC" w:rsidRPr="009322DA" w:rsidRDefault="00AD4FDC" w:rsidP="00AD4FDC">
      <w:pPr>
        <w:spacing w:after="0" w:line="240" w:lineRule="auto"/>
        <w:jc w:val="right"/>
        <w:rPr>
          <w:rFonts w:ascii="Verdana" w:eastAsia="Calibri" w:hAnsi="Verdana" w:cs="Arial"/>
          <w:b/>
          <w:bCs/>
          <w:lang w:val="es-ES_tradnl" w:eastAsia="es-ES_tradnl"/>
        </w:rPr>
      </w:pPr>
      <w:r>
        <w:rPr>
          <w:rFonts w:ascii="Verdana" w:eastAsia="Calibri" w:hAnsi="Verdana" w:cs="Arial"/>
          <w:b/>
          <w:bCs/>
          <w:noProof/>
          <w:lang w:val="es-ES_tradnl" w:eastAsia="es-ES_tradnl"/>
        </w:rPr>
        <w:drawing>
          <wp:inline distT="0" distB="0" distL="0" distR="0" wp14:anchorId="00841BAF" wp14:editId="0B197883">
            <wp:extent cx="3324225" cy="981075"/>
            <wp:effectExtent l="0" t="0" r="9525" b="9525"/>
            <wp:docPr id="1806475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24225" cy="981075"/>
                    </a:xfrm>
                    <a:prstGeom prst="rect">
                      <a:avLst/>
                    </a:prstGeom>
                    <a:noFill/>
                  </pic:spPr>
                </pic:pic>
              </a:graphicData>
            </a:graphic>
          </wp:inline>
        </w:drawing>
      </w:r>
    </w:p>
    <w:p w14:paraId="7C1A26D4" w14:textId="77777777" w:rsidR="00C6682F" w:rsidRPr="009322DA" w:rsidRDefault="00C6682F" w:rsidP="00C6682F">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25"/>
        <w:gridCol w:w="6408"/>
      </w:tblGrid>
      <w:tr w:rsidR="00C6682F" w:rsidRPr="009322DA" w14:paraId="7EE1F547" w14:textId="77777777" w:rsidTr="00751649">
        <w:trPr>
          <w:trHeight w:val="999"/>
        </w:trPr>
        <w:tc>
          <w:tcPr>
            <w:tcW w:w="2825" w:type="dxa"/>
          </w:tcPr>
          <w:p w14:paraId="12509D1D" w14:textId="77777777" w:rsidR="00C6682F" w:rsidRPr="009322DA" w:rsidRDefault="00C6682F" w:rsidP="00751649">
            <w:pPr>
              <w:jc w:val="both"/>
              <w:rPr>
                <w:rFonts w:ascii="Verdana" w:hAnsi="Verdana" w:cs="Arial"/>
                <w:b/>
                <w:bCs/>
                <w:lang w:val="es-ES_tradnl" w:eastAsia="es-ES_tradnl"/>
              </w:rPr>
            </w:pPr>
          </w:p>
        </w:tc>
        <w:tc>
          <w:tcPr>
            <w:tcW w:w="6408" w:type="dxa"/>
            <w:hideMark/>
          </w:tcPr>
          <w:p w14:paraId="39A80C05" w14:textId="77777777" w:rsidR="00C6682F" w:rsidRPr="009322DA" w:rsidRDefault="00C6682F" w:rsidP="00751649">
            <w:pPr>
              <w:jc w:val="both"/>
              <w:rPr>
                <w:rFonts w:ascii="Verdana" w:hAnsi="Verdana" w:cs="Arial"/>
                <w:b/>
                <w:bCs/>
                <w:lang w:val="es-ES" w:eastAsia="es-ES"/>
              </w:rPr>
            </w:pPr>
            <w:r w:rsidRPr="009322DA">
              <w:rPr>
                <w:rFonts w:ascii="Verdana" w:hAnsi="Verdana" w:cs="Arial"/>
                <w:b/>
                <w:bCs/>
                <w:lang w:val="es-ES" w:eastAsia="es-ES"/>
              </w:rPr>
              <w:t xml:space="preserve">Concepto C- </w:t>
            </w:r>
            <w:r>
              <w:rPr>
                <w:rFonts w:ascii="Verdana" w:hAnsi="Verdana" w:cs="Arial"/>
                <w:b/>
                <w:bCs/>
                <w:lang w:val="es-ES" w:eastAsia="es-ES"/>
              </w:rPr>
              <w:t xml:space="preserve">432 </w:t>
            </w:r>
            <w:r w:rsidRPr="009322DA">
              <w:rPr>
                <w:rFonts w:ascii="Verdana" w:hAnsi="Verdana" w:cs="Arial"/>
                <w:b/>
                <w:bCs/>
                <w:lang w:val="es-ES" w:eastAsia="es-ES"/>
              </w:rPr>
              <w:t>de 2024</w:t>
            </w:r>
          </w:p>
        </w:tc>
      </w:tr>
      <w:tr w:rsidR="00C6682F" w:rsidRPr="009322DA" w14:paraId="36C6A9E7" w14:textId="77777777" w:rsidTr="00751649">
        <w:trPr>
          <w:trHeight w:val="999"/>
        </w:trPr>
        <w:tc>
          <w:tcPr>
            <w:tcW w:w="2825" w:type="dxa"/>
            <w:hideMark/>
          </w:tcPr>
          <w:p w14:paraId="3D8BA05A" w14:textId="77777777" w:rsidR="00C6682F" w:rsidRPr="009322DA" w:rsidRDefault="00C6682F" w:rsidP="00751649">
            <w:pPr>
              <w:jc w:val="both"/>
              <w:rPr>
                <w:rFonts w:ascii="Verdana" w:hAnsi="Verdana" w:cs="Arial"/>
                <w:lang w:val="es-ES_tradnl" w:eastAsia="es-ES_tradnl"/>
              </w:rPr>
            </w:pPr>
            <w:r w:rsidRPr="009322DA">
              <w:rPr>
                <w:rFonts w:ascii="Verdana" w:hAnsi="Verdana" w:cs="Arial"/>
                <w:b/>
                <w:lang w:val="es-ES_tradnl" w:eastAsia="es-ES_tradnl"/>
              </w:rPr>
              <w:t>Temas:</w:t>
            </w:r>
            <w:r w:rsidRPr="009322DA">
              <w:rPr>
                <w:rFonts w:ascii="Verdana" w:hAnsi="Verdana" w:cs="Arial"/>
                <w:lang w:val="es-ES_tradnl" w:eastAsia="es-ES_tradnl"/>
              </w:rPr>
              <w:t xml:space="preserve">                   </w:t>
            </w:r>
          </w:p>
        </w:tc>
        <w:tc>
          <w:tcPr>
            <w:tcW w:w="6408" w:type="dxa"/>
          </w:tcPr>
          <w:p w14:paraId="30936467" w14:textId="77777777" w:rsidR="00C6682F" w:rsidRDefault="00C6682F" w:rsidP="00751649">
            <w:pPr>
              <w:jc w:val="both"/>
              <w:rPr>
                <w:rFonts w:ascii="Verdana" w:hAnsi="Verdana" w:cs="Arial"/>
                <w:lang w:val="es-ES_tradnl" w:eastAsia="es-ES"/>
              </w:rPr>
            </w:pPr>
            <w:r>
              <w:rPr>
                <w:rFonts w:ascii="Verdana" w:hAnsi="Verdana" w:cs="Arial"/>
                <w:lang w:val="es-ES_tradnl" w:eastAsia="es-ES"/>
              </w:rPr>
              <w:t>EXPEDICION DE ADENDAS – Límite temporal de expedición de adendas – Limite material de la expedición de adendas</w:t>
            </w:r>
          </w:p>
          <w:p w14:paraId="217F96BE" w14:textId="77777777" w:rsidR="00C6682F" w:rsidRPr="00EB3000" w:rsidRDefault="00C6682F" w:rsidP="00751649">
            <w:pPr>
              <w:jc w:val="both"/>
              <w:rPr>
                <w:rFonts w:ascii="Verdana" w:hAnsi="Verdana" w:cs="Arial"/>
                <w:lang w:val="es-ES_tradnl" w:eastAsia="es-ES"/>
              </w:rPr>
            </w:pPr>
          </w:p>
        </w:tc>
      </w:tr>
      <w:tr w:rsidR="00C6682F" w:rsidRPr="009322DA" w14:paraId="0A600E8E" w14:textId="77777777" w:rsidTr="00751649">
        <w:trPr>
          <w:trHeight w:val="597"/>
        </w:trPr>
        <w:tc>
          <w:tcPr>
            <w:tcW w:w="2825" w:type="dxa"/>
            <w:hideMark/>
          </w:tcPr>
          <w:p w14:paraId="7E70C334" w14:textId="77777777" w:rsidR="00C6682F" w:rsidRPr="009322DA" w:rsidRDefault="00C6682F" w:rsidP="00751649">
            <w:pPr>
              <w:jc w:val="both"/>
              <w:rPr>
                <w:rFonts w:ascii="Verdana" w:hAnsi="Verdana" w:cs="Arial"/>
                <w:b/>
                <w:lang w:val="es-ES_tradnl" w:eastAsia="es-ES_tradnl"/>
              </w:rPr>
            </w:pPr>
            <w:r w:rsidRPr="009322DA">
              <w:rPr>
                <w:rFonts w:ascii="Verdana" w:hAnsi="Verdana" w:cs="Arial"/>
                <w:b/>
                <w:lang w:val="es-ES_tradnl" w:eastAsia="es-ES_tradnl"/>
              </w:rPr>
              <w:t>Radicación:</w:t>
            </w:r>
            <w:r w:rsidRPr="009322DA">
              <w:rPr>
                <w:rFonts w:ascii="Verdana" w:hAnsi="Verdana" w:cs="Arial"/>
                <w:lang w:val="es-ES_tradnl" w:eastAsia="es-ES_tradnl"/>
              </w:rPr>
              <w:t xml:space="preserve">               </w:t>
            </w:r>
          </w:p>
        </w:tc>
        <w:tc>
          <w:tcPr>
            <w:tcW w:w="6408" w:type="dxa"/>
          </w:tcPr>
          <w:p w14:paraId="46FD9C40" w14:textId="77777777" w:rsidR="00C6682F" w:rsidRPr="009322DA" w:rsidRDefault="00C6682F" w:rsidP="00751649">
            <w:pPr>
              <w:jc w:val="both"/>
              <w:rPr>
                <w:rFonts w:ascii="Verdana" w:hAnsi="Verdana" w:cs="Arial"/>
                <w:lang w:val="es-ES_tradnl" w:eastAsia="es-ES_tradnl"/>
              </w:rPr>
            </w:pPr>
            <w:r w:rsidRPr="009322DA">
              <w:rPr>
                <w:rFonts w:ascii="Verdana" w:hAnsi="Verdana" w:cs="Arial"/>
                <w:lang w:val="es-ES_tradnl" w:eastAsia="es-ES_tradnl"/>
              </w:rPr>
              <w:t xml:space="preserve">Respuesta a consulta con radicado No. </w:t>
            </w:r>
            <w:r w:rsidRPr="00BF5889">
              <w:rPr>
                <w:rFonts w:ascii="Verdana" w:hAnsi="Verdana"/>
                <w:lang w:eastAsia="es-ES_tradnl"/>
              </w:rPr>
              <w:t>P2024</w:t>
            </w:r>
            <w:r>
              <w:rPr>
                <w:rFonts w:ascii="Verdana" w:hAnsi="Verdana"/>
                <w:lang w:eastAsia="es-ES_tradnl"/>
              </w:rPr>
              <w:t>0801007929</w:t>
            </w:r>
          </w:p>
        </w:tc>
      </w:tr>
    </w:tbl>
    <w:p w14:paraId="221B261E" w14:textId="77777777" w:rsidR="00C6682F" w:rsidRPr="009322DA" w:rsidRDefault="00C6682F" w:rsidP="00C6682F">
      <w:pPr>
        <w:spacing w:after="0" w:line="240" w:lineRule="auto"/>
        <w:jc w:val="both"/>
        <w:rPr>
          <w:rFonts w:ascii="Verdana" w:eastAsia="Calibri" w:hAnsi="Verdana" w:cs="Arial"/>
          <w:lang w:val="es-ES_tradnl" w:eastAsia="es-ES_tradnl"/>
        </w:rPr>
      </w:pPr>
    </w:p>
    <w:p w14:paraId="06922026" w14:textId="77777777" w:rsidR="00C6682F" w:rsidRPr="009322DA" w:rsidRDefault="00C6682F" w:rsidP="00C6682F">
      <w:pPr>
        <w:spacing w:after="0" w:line="240" w:lineRule="auto"/>
        <w:jc w:val="both"/>
        <w:rPr>
          <w:rFonts w:ascii="Verdana" w:eastAsia="Calibri" w:hAnsi="Verdana" w:cs="Arial"/>
          <w:lang w:val="es-ES_tradnl" w:eastAsia="es-ES_tradnl"/>
        </w:rPr>
      </w:pPr>
    </w:p>
    <w:p w14:paraId="2EE7FDB7" w14:textId="77777777" w:rsidR="00C6682F" w:rsidRPr="009322DA" w:rsidRDefault="00C6682F" w:rsidP="00C6682F">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Estimad</w:t>
      </w:r>
      <w:r>
        <w:rPr>
          <w:rFonts w:ascii="Verdana" w:eastAsia="Calibri" w:hAnsi="Verdana" w:cs="Arial"/>
          <w:lang w:val="es-ES" w:eastAsia="es-ES"/>
        </w:rPr>
        <w:t>a</w:t>
      </w:r>
      <w:r w:rsidRPr="009322DA">
        <w:rPr>
          <w:rFonts w:ascii="Verdana" w:eastAsia="Calibri" w:hAnsi="Verdana" w:cs="Arial"/>
          <w:lang w:val="es-ES" w:eastAsia="es-ES"/>
        </w:rPr>
        <w:t xml:space="preserve"> señor</w:t>
      </w:r>
      <w:r>
        <w:rPr>
          <w:rFonts w:ascii="Verdana" w:eastAsia="Calibri" w:hAnsi="Verdana" w:cs="Arial"/>
          <w:lang w:val="es-ES" w:eastAsia="es-ES"/>
        </w:rPr>
        <w:t xml:space="preserve">a García: </w:t>
      </w:r>
      <w:r w:rsidRPr="009322DA">
        <w:rPr>
          <w:rFonts w:ascii="Verdana" w:eastAsia="Calibri" w:hAnsi="Verdana" w:cs="Arial"/>
          <w:lang w:val="es-ES" w:eastAsia="es-ES"/>
        </w:rPr>
        <w:t xml:space="preserve"> </w:t>
      </w:r>
    </w:p>
    <w:p w14:paraId="14FD19E5" w14:textId="77777777" w:rsidR="00C6682F" w:rsidRPr="009322DA" w:rsidRDefault="00C6682F" w:rsidP="00C6682F">
      <w:pPr>
        <w:tabs>
          <w:tab w:val="left" w:pos="3768"/>
        </w:tabs>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ab/>
      </w:r>
    </w:p>
    <w:p w14:paraId="4CD71373" w14:textId="77777777" w:rsidR="00C6682F" w:rsidRPr="009322DA" w:rsidRDefault="00C6682F" w:rsidP="00C6682F">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En ejercicio de la competencia otorgada por los artículos 3, numeral 5º, y 11, numeral 8º, del Decreto Ley 4170 de 2011,</w:t>
      </w:r>
      <w:r w:rsidRPr="009322DA">
        <w:rPr>
          <w:rFonts w:ascii="Verdana" w:eastAsia="Arial MT" w:hAnsi="Verdana" w:cs="Arial MT"/>
          <w:lang w:val="es-ES" w:eastAsia="es-ES"/>
        </w:rPr>
        <w:t xml:space="preserve"> </w:t>
      </w:r>
      <w:r w:rsidRPr="009322DA">
        <w:rPr>
          <w:rFonts w:ascii="Verdana" w:eastAsia="Calibri" w:hAnsi="Verdana" w:cs="Arial"/>
        </w:rPr>
        <w:t xml:space="preserve">así como lo establecido en el artículo 4 de la Resolución 1707 de 2018 expedida por esta Entidad, </w:t>
      </w:r>
      <w:r w:rsidRPr="009322DA">
        <w:rPr>
          <w:rFonts w:ascii="Verdana" w:eastAsia="Calibri" w:hAnsi="Verdana" w:cs="Arial"/>
          <w:lang w:val="es-ES" w:eastAsia="es-ES"/>
        </w:rPr>
        <w:t xml:space="preserve">la Agencia Nacional </w:t>
      </w:r>
      <w:r w:rsidRPr="009322DA">
        <w:rPr>
          <w:rFonts w:ascii="Verdana" w:eastAsia="Calibri" w:hAnsi="Verdana" w:cs="Arial"/>
          <w:lang w:val="es-ES" w:eastAsia="es-ES"/>
        </w:rPr>
        <w:lastRenderedPageBreak/>
        <w:t xml:space="preserve">de Contratación Pública – Colombia Compra Eficiente– responde su solicitud de consulta de fecha </w:t>
      </w:r>
      <w:r>
        <w:rPr>
          <w:rFonts w:ascii="Verdana" w:eastAsia="Calibri" w:hAnsi="Verdana" w:cs="Arial"/>
          <w:lang w:val="es-ES" w:eastAsia="es-ES"/>
        </w:rPr>
        <w:t>8</w:t>
      </w:r>
      <w:r w:rsidRPr="009322DA">
        <w:rPr>
          <w:rFonts w:ascii="Verdana" w:eastAsia="Calibri" w:hAnsi="Verdana" w:cs="Arial"/>
          <w:lang w:val="es-ES" w:eastAsia="es-ES"/>
        </w:rPr>
        <w:t xml:space="preserve"> de ju</w:t>
      </w:r>
      <w:r>
        <w:rPr>
          <w:rFonts w:ascii="Verdana" w:eastAsia="Calibri" w:hAnsi="Verdana" w:cs="Arial"/>
          <w:lang w:val="es-ES" w:eastAsia="es-ES"/>
        </w:rPr>
        <w:t>l</w:t>
      </w:r>
      <w:r w:rsidRPr="009322DA">
        <w:rPr>
          <w:rFonts w:ascii="Verdana" w:eastAsia="Calibri" w:hAnsi="Verdana" w:cs="Arial"/>
          <w:lang w:val="es-ES" w:eastAsia="es-ES"/>
        </w:rPr>
        <w:t xml:space="preserve">io de 2024, en la cual manifiesta lo siguiente: </w:t>
      </w:r>
    </w:p>
    <w:p w14:paraId="7211F186" w14:textId="77777777" w:rsidR="00C6682F" w:rsidRPr="009322DA" w:rsidRDefault="00C6682F" w:rsidP="00C6682F">
      <w:pPr>
        <w:spacing w:after="0" w:line="240" w:lineRule="auto"/>
        <w:ind w:left="709" w:right="709"/>
        <w:jc w:val="both"/>
        <w:rPr>
          <w:rFonts w:ascii="Verdana" w:eastAsia="Century Gothic" w:hAnsi="Verdana" w:cs="Century Gothic"/>
          <w:sz w:val="20"/>
          <w:szCs w:val="20"/>
          <w:lang w:val="es-ES"/>
        </w:rPr>
      </w:pPr>
      <w:bookmarkStart w:id="1" w:name="_Hlk95313578"/>
    </w:p>
    <w:p w14:paraId="356B9E36" w14:textId="77777777" w:rsidR="00C6682F" w:rsidRPr="004D70FC" w:rsidRDefault="00C6682F" w:rsidP="00C6682F">
      <w:pPr>
        <w:spacing w:line="240" w:lineRule="auto"/>
        <w:ind w:left="709" w:right="680"/>
        <w:jc w:val="both"/>
        <w:rPr>
          <w:rFonts w:ascii="Verdana" w:eastAsia="Calibri" w:hAnsi="Verdana" w:cs="Arial"/>
          <w:sz w:val="20"/>
          <w:szCs w:val="20"/>
          <w:shd w:val="clear" w:color="auto" w:fill="FFFFFF"/>
        </w:rPr>
      </w:pPr>
      <w:r w:rsidRPr="004D70FC">
        <w:rPr>
          <w:rFonts w:ascii="Verdana" w:eastAsia="Century Gothic" w:hAnsi="Verdana" w:cs="Century Gothic"/>
          <w:sz w:val="20"/>
          <w:szCs w:val="20"/>
          <w:lang w:val="es-ES"/>
        </w:rPr>
        <w:t>“</w:t>
      </w:r>
      <w:r w:rsidRPr="004D70FC">
        <w:rPr>
          <w:rFonts w:ascii="Verdana" w:eastAsia="Calibri" w:hAnsi="Verdana" w:cs="Arial"/>
          <w:sz w:val="20"/>
          <w:szCs w:val="20"/>
          <w:shd w:val="clear" w:color="auto" w:fill="FFFFFF"/>
        </w:rPr>
        <w:t>Con el fin de tener claridad en la fecha que se permite realizar adendas a los procesos de conformidad con la fecha de cierre establecida en el cronograma de los procesos, se realiza la siguiente consulta:</w:t>
      </w:r>
    </w:p>
    <w:p w14:paraId="7CA15342" w14:textId="77777777" w:rsidR="00C6682F" w:rsidRPr="00DA7ED6" w:rsidRDefault="00C6682F" w:rsidP="00C6682F">
      <w:pPr>
        <w:spacing w:line="240" w:lineRule="auto"/>
        <w:ind w:left="709" w:right="680"/>
        <w:jc w:val="both"/>
        <w:rPr>
          <w:rFonts w:ascii="Verdana" w:eastAsia="Century Gothic" w:hAnsi="Verdana" w:cs="Century Gothic"/>
          <w:sz w:val="20"/>
          <w:szCs w:val="20"/>
        </w:rPr>
      </w:pPr>
      <w:r w:rsidRPr="00DA7ED6">
        <w:rPr>
          <w:rFonts w:ascii="Verdana" w:eastAsia="Century Gothic" w:hAnsi="Verdana" w:cs="Century Gothic"/>
          <w:sz w:val="20"/>
          <w:szCs w:val="20"/>
        </w:rPr>
        <w:t>Se solicita indicar:</w:t>
      </w:r>
    </w:p>
    <w:p w14:paraId="5403FC6B" w14:textId="77777777" w:rsidR="00C6682F" w:rsidRPr="00DA7ED6" w:rsidRDefault="00C6682F" w:rsidP="00C6682F">
      <w:pPr>
        <w:numPr>
          <w:ilvl w:val="0"/>
          <w:numId w:val="18"/>
        </w:numPr>
        <w:spacing w:line="240" w:lineRule="auto"/>
        <w:ind w:left="709" w:right="680"/>
        <w:jc w:val="both"/>
        <w:rPr>
          <w:rFonts w:ascii="Verdana" w:eastAsia="Century Gothic" w:hAnsi="Verdana" w:cs="Century Gothic"/>
          <w:sz w:val="20"/>
          <w:szCs w:val="20"/>
        </w:rPr>
      </w:pPr>
      <w:r w:rsidRPr="004D70FC">
        <w:rPr>
          <w:rFonts w:ascii="Verdana" w:eastAsia="Century Gothic" w:hAnsi="Verdana" w:cs="Century Gothic"/>
          <w:sz w:val="20"/>
          <w:szCs w:val="20"/>
        </w:rPr>
        <w:t>Cuál</w:t>
      </w:r>
      <w:r w:rsidRPr="00DA7ED6">
        <w:rPr>
          <w:rFonts w:ascii="Verdana" w:eastAsia="Century Gothic" w:hAnsi="Verdana" w:cs="Century Gothic"/>
          <w:sz w:val="20"/>
          <w:szCs w:val="20"/>
        </w:rPr>
        <w:t xml:space="preserve"> es la diferencia entre:</w:t>
      </w:r>
    </w:p>
    <w:p w14:paraId="37F76F03" w14:textId="77777777" w:rsidR="00C6682F" w:rsidRPr="00DA7ED6" w:rsidRDefault="00C6682F" w:rsidP="00C6682F">
      <w:pPr>
        <w:numPr>
          <w:ilvl w:val="0"/>
          <w:numId w:val="19"/>
        </w:numPr>
        <w:spacing w:line="240" w:lineRule="auto"/>
        <w:ind w:left="709" w:right="680"/>
        <w:jc w:val="both"/>
        <w:rPr>
          <w:rFonts w:ascii="Verdana" w:eastAsia="Century Gothic" w:hAnsi="Verdana" w:cs="Century Gothic"/>
          <w:sz w:val="20"/>
          <w:szCs w:val="20"/>
        </w:rPr>
      </w:pPr>
      <w:r w:rsidRPr="00DA7ED6">
        <w:rPr>
          <w:rFonts w:ascii="Verdana" w:eastAsia="Century Gothic" w:hAnsi="Verdana" w:cs="Century Gothic"/>
          <w:sz w:val="20"/>
          <w:szCs w:val="20"/>
        </w:rPr>
        <w:t>el día hábil anterior</w:t>
      </w:r>
    </w:p>
    <w:p w14:paraId="2A6A8D46" w14:textId="77777777" w:rsidR="00C6682F" w:rsidRPr="004D70FC" w:rsidRDefault="00C6682F" w:rsidP="00C6682F">
      <w:pPr>
        <w:numPr>
          <w:ilvl w:val="0"/>
          <w:numId w:val="19"/>
        </w:numPr>
        <w:spacing w:line="240" w:lineRule="auto"/>
        <w:ind w:left="709" w:right="680"/>
        <w:jc w:val="both"/>
        <w:rPr>
          <w:rFonts w:ascii="Verdana" w:eastAsia="Century Gothic" w:hAnsi="Verdana" w:cs="Century Gothic"/>
          <w:sz w:val="20"/>
          <w:szCs w:val="20"/>
        </w:rPr>
      </w:pPr>
      <w:r w:rsidRPr="00DA7ED6">
        <w:rPr>
          <w:rFonts w:ascii="Verdana" w:eastAsia="Century Gothic" w:hAnsi="Verdana" w:cs="Century Gothic"/>
          <w:sz w:val="20"/>
          <w:szCs w:val="20"/>
        </w:rPr>
        <w:t>un día hábil antes</w:t>
      </w:r>
    </w:p>
    <w:p w14:paraId="54BA7F55" w14:textId="77777777" w:rsidR="00C6682F" w:rsidRPr="004D70FC" w:rsidRDefault="00C6682F" w:rsidP="00C6682F">
      <w:pPr>
        <w:spacing w:after="0" w:line="240" w:lineRule="auto"/>
        <w:ind w:left="709" w:right="680"/>
        <w:rPr>
          <w:rFonts w:ascii="Verdana" w:eastAsia="Times New Roman" w:hAnsi="Verdana" w:cs="Segoe UI"/>
          <w:color w:val="000000"/>
          <w:sz w:val="20"/>
          <w:szCs w:val="20"/>
          <w:lang w:eastAsia="es-CO"/>
        </w:rPr>
      </w:pPr>
      <w:r w:rsidRPr="004D70FC">
        <w:rPr>
          <w:rFonts w:ascii="Verdana" w:eastAsia="Times New Roman" w:hAnsi="Verdana" w:cs="Segoe UI"/>
          <w:color w:val="000000"/>
          <w:sz w:val="20"/>
          <w:szCs w:val="20"/>
          <w:lang w:eastAsia="es-CO"/>
        </w:rPr>
        <w:t>En la práctica en un proceso, ¿cómo se calcula el día hábil anterior, el día hábil antes y los tres (3) días de anticipación para licitación?</w:t>
      </w:r>
    </w:p>
    <w:p w14:paraId="11B3D5F8" w14:textId="77777777" w:rsidR="00C6682F" w:rsidRPr="004D70FC" w:rsidRDefault="00C6682F" w:rsidP="00C6682F">
      <w:pPr>
        <w:spacing w:after="0" w:line="240" w:lineRule="auto"/>
        <w:ind w:left="709" w:right="680"/>
        <w:rPr>
          <w:rFonts w:ascii="Verdana" w:eastAsia="Times New Roman" w:hAnsi="Verdana" w:cs="Segoe UI"/>
          <w:color w:val="000000"/>
          <w:sz w:val="20"/>
          <w:szCs w:val="20"/>
          <w:lang w:eastAsia="es-CO"/>
        </w:rPr>
      </w:pPr>
      <w:r w:rsidRPr="004D70FC">
        <w:rPr>
          <w:rFonts w:ascii="Verdana" w:eastAsia="Times New Roman" w:hAnsi="Verdana" w:cs="Segoe UI"/>
          <w:color w:val="000000"/>
          <w:sz w:val="20"/>
          <w:szCs w:val="20"/>
          <w:lang w:eastAsia="es-CO"/>
        </w:rPr>
        <w:t>Para este este fin, si se toma la primera semana de septiembre siendo lunes 2 y el viernes 6, cuál sería el día anterior, el día antes, y para el caso de licitación cual sería el día 3 de anticipación de la licitación</w:t>
      </w:r>
      <w:r w:rsidRPr="004D70FC">
        <w:rPr>
          <w:rFonts w:ascii="Verdana" w:eastAsia="Century Gothic" w:hAnsi="Verdana" w:cs="Century Gothic"/>
          <w:sz w:val="20"/>
          <w:szCs w:val="20"/>
          <w:lang w:val="es-ES"/>
        </w:rPr>
        <w:t>”</w:t>
      </w:r>
      <w:bookmarkEnd w:id="1"/>
      <w:r w:rsidRPr="004D70FC">
        <w:rPr>
          <w:rFonts w:ascii="Verdana" w:eastAsia="Century Gothic" w:hAnsi="Verdana" w:cs="Century Gothic"/>
          <w:sz w:val="20"/>
          <w:szCs w:val="20"/>
          <w:lang w:val="es-ES"/>
        </w:rPr>
        <w:t>.</w:t>
      </w:r>
    </w:p>
    <w:p w14:paraId="3B2448C3" w14:textId="77777777" w:rsidR="00C6682F" w:rsidRPr="004D70FC" w:rsidRDefault="00C6682F" w:rsidP="00C6682F">
      <w:pPr>
        <w:tabs>
          <w:tab w:val="left" w:pos="142"/>
          <w:tab w:val="left" w:pos="284"/>
        </w:tabs>
        <w:spacing w:line="276" w:lineRule="auto"/>
        <w:ind w:left="709" w:right="680"/>
        <w:contextualSpacing/>
        <w:jc w:val="both"/>
        <w:rPr>
          <w:rFonts w:ascii="Verdana" w:eastAsia="Century Gothic" w:hAnsi="Verdana" w:cs="Century Gothic"/>
          <w:b/>
          <w:bCs/>
          <w:sz w:val="20"/>
          <w:szCs w:val="20"/>
          <w:lang w:val="es-ES"/>
        </w:rPr>
      </w:pPr>
    </w:p>
    <w:p w14:paraId="7A08271F" w14:textId="77777777" w:rsidR="00C6682F" w:rsidRPr="009322DA" w:rsidRDefault="00C6682F" w:rsidP="00C6682F">
      <w:pPr>
        <w:spacing w:after="120" w:line="276" w:lineRule="auto"/>
        <w:ind w:firstLine="709"/>
        <w:jc w:val="both"/>
        <w:rPr>
          <w:rFonts w:ascii="Verdana" w:eastAsia="Calibri" w:hAnsi="Verdana" w:cs="Arial"/>
          <w:szCs w:val="24"/>
          <w:lang w:val="es-ES_tradnl" w:eastAsia="es-ES_tradnl"/>
        </w:rPr>
      </w:pPr>
      <w:r w:rsidRPr="009322DA">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25D1B8A4" w14:textId="77777777" w:rsidR="00C6682F" w:rsidRPr="009322DA" w:rsidRDefault="00C6682F" w:rsidP="00C6682F">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9A5201A" w14:textId="77777777" w:rsidR="00C6682F" w:rsidRPr="009322DA" w:rsidRDefault="00C6682F" w:rsidP="00C6682F">
      <w:pPr>
        <w:spacing w:after="0" w:line="276" w:lineRule="auto"/>
        <w:ind w:firstLine="709"/>
        <w:jc w:val="both"/>
        <w:rPr>
          <w:rFonts w:ascii="Verdana" w:eastAsia="Calibri" w:hAnsi="Verdana" w:cs="Arial"/>
          <w:lang w:val="es-ES" w:eastAsia="es-ES"/>
        </w:rPr>
      </w:pPr>
    </w:p>
    <w:p w14:paraId="4ECD6BF2" w14:textId="77777777" w:rsidR="00C6682F" w:rsidRPr="009322DA" w:rsidRDefault="00C6682F" w:rsidP="00C6682F">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Problema planteado:</w:t>
      </w:r>
    </w:p>
    <w:p w14:paraId="39B30F56" w14:textId="77777777" w:rsidR="00C6682F" w:rsidRPr="009322DA" w:rsidRDefault="00C6682F" w:rsidP="00C6682F">
      <w:pPr>
        <w:tabs>
          <w:tab w:val="left" w:pos="426"/>
        </w:tabs>
        <w:spacing w:after="0" w:line="276" w:lineRule="auto"/>
        <w:jc w:val="both"/>
        <w:rPr>
          <w:rFonts w:ascii="Verdana" w:eastAsia="Century Gothic" w:hAnsi="Verdana" w:cs="Century Gothic"/>
          <w:lang w:val="es-ES"/>
        </w:rPr>
      </w:pPr>
    </w:p>
    <w:p w14:paraId="256029B7" w14:textId="77777777" w:rsidR="00C6682F" w:rsidRPr="009322DA" w:rsidRDefault="00C6682F" w:rsidP="00C6682F">
      <w:pPr>
        <w:spacing w:after="0" w:line="276" w:lineRule="auto"/>
        <w:jc w:val="both"/>
        <w:rPr>
          <w:rFonts w:ascii="Verdana" w:eastAsia="Century Gothic" w:hAnsi="Verdana" w:cs="Century Gothic"/>
        </w:rPr>
      </w:pPr>
      <w:r w:rsidRPr="009322DA">
        <w:rPr>
          <w:rFonts w:ascii="Verdana" w:eastAsia="Century Gothic" w:hAnsi="Verdana" w:cs="Century Gothic"/>
        </w:rPr>
        <w:lastRenderedPageBreak/>
        <w:t>De acuerdo con el contenido de su solicitud, esta Agencia resolverá los siguientes problemas jurídicos:</w:t>
      </w:r>
      <w:r>
        <w:rPr>
          <w:rFonts w:ascii="Verdana" w:eastAsia="Century Gothic" w:hAnsi="Verdana" w:cs="Century Gothic"/>
        </w:rPr>
        <w:t xml:space="preserve"> ¿Cuáles son los días y horarios habilitados para realizar adendas en las modalidades de contratación vigentes</w:t>
      </w:r>
      <w:r w:rsidRPr="008E2466">
        <w:rPr>
          <w:rFonts w:ascii="Verdana" w:eastAsia="Century Gothic" w:hAnsi="Verdana" w:cs="Century Gothic"/>
        </w:rPr>
        <w:t>?</w:t>
      </w:r>
    </w:p>
    <w:p w14:paraId="752D124A" w14:textId="77777777" w:rsidR="00C6682F" w:rsidRPr="009322DA" w:rsidRDefault="00C6682F" w:rsidP="00C6682F">
      <w:pPr>
        <w:spacing w:after="0" w:line="276" w:lineRule="auto"/>
        <w:jc w:val="both"/>
        <w:rPr>
          <w:rFonts w:ascii="Verdana" w:eastAsia="Calibri" w:hAnsi="Verdana" w:cs="Arial"/>
          <w:lang w:val="es-ES"/>
        </w:rPr>
      </w:pPr>
    </w:p>
    <w:p w14:paraId="5D23A5A7" w14:textId="77777777" w:rsidR="00C6682F" w:rsidRPr="009322DA" w:rsidRDefault="00C6682F" w:rsidP="00C6682F">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Respuesta:</w:t>
      </w: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682F" w:rsidRPr="009322DA" w14:paraId="7DFAC56A" w14:textId="77777777" w:rsidTr="00751649">
        <w:tc>
          <w:tcPr>
            <w:tcW w:w="8828" w:type="dxa"/>
            <w:tcBorders>
              <w:top w:val="dotted" w:sz="4" w:space="0" w:color="auto"/>
              <w:left w:val="dotted" w:sz="4" w:space="0" w:color="auto"/>
              <w:bottom w:val="dotted" w:sz="4" w:space="0" w:color="auto"/>
              <w:right w:val="dotted" w:sz="4" w:space="0" w:color="auto"/>
            </w:tcBorders>
          </w:tcPr>
          <w:p w14:paraId="6FCA83BE" w14:textId="26364CFD" w:rsidR="004657C3" w:rsidRPr="00547EFD" w:rsidRDefault="00920A84" w:rsidP="004657C3">
            <w:pPr>
              <w:tabs>
                <w:tab w:val="left" w:pos="0"/>
              </w:tabs>
              <w:spacing w:after="120" w:line="276" w:lineRule="auto"/>
              <w:jc w:val="both"/>
              <w:rPr>
                <w:rFonts w:ascii="Verdana" w:eastAsia="Calibri" w:hAnsi="Verdana" w:cs="Arial"/>
                <w:lang w:val="es-ES" w:eastAsia="es-ES"/>
              </w:rPr>
            </w:pPr>
            <w:r>
              <w:rPr>
                <w:rFonts w:ascii="Verdana" w:eastAsia="Calibri" w:hAnsi="Verdana" w:cs="Arial"/>
                <w:lang w:val="es-ES" w:eastAsia="es-ES"/>
              </w:rPr>
              <w:t>C</w:t>
            </w:r>
            <w:r w:rsidR="0098684D" w:rsidRPr="0098684D">
              <w:rPr>
                <w:rFonts w:ascii="Verdana" w:eastAsia="Calibri" w:hAnsi="Verdana" w:cs="Arial"/>
                <w:lang w:val="es-ES" w:eastAsia="es-ES"/>
              </w:rPr>
              <w:t xml:space="preserve">onforme a las consideraciones realizadas en este concepto, los días hábiles se determinan según la entidad, ya que “cada entidad pública establece la jornada laboral, a través de su reglamento interno, dando certeza sobre los días que atienden al público, e indirectamente definiendo qué día es hábil en determinada institución” ,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 ejemplo donde los días laborables o hábiles son todos los de la semana, con excepción del miércoles. </w:t>
            </w:r>
            <w:r w:rsidR="004657C3" w:rsidRPr="00547EFD">
              <w:rPr>
                <w:rFonts w:ascii="Verdana" w:eastAsia="Calibri" w:hAnsi="Verdana" w:cs="Arial"/>
                <w:lang w:val="es-ES" w:eastAsia="es-ES"/>
              </w:rPr>
              <w:t>.</w:t>
            </w:r>
          </w:p>
          <w:p w14:paraId="438F6CD1" w14:textId="77777777" w:rsidR="00C6682F" w:rsidRDefault="00C6682F" w:rsidP="00751649">
            <w:pPr>
              <w:spacing w:line="276" w:lineRule="auto"/>
              <w:jc w:val="both"/>
              <w:rPr>
                <w:rFonts w:ascii="Verdana" w:eastAsia="Calibri" w:hAnsi="Verdana" w:cs="Arial"/>
                <w:lang w:val="es-ES"/>
              </w:rPr>
            </w:pPr>
          </w:p>
          <w:p w14:paraId="704E6284" w14:textId="7CA73B54" w:rsidR="00C6682F" w:rsidRDefault="00C6682F" w:rsidP="00751649">
            <w:pPr>
              <w:spacing w:line="276" w:lineRule="auto"/>
              <w:jc w:val="both"/>
              <w:rPr>
                <w:rFonts w:ascii="Verdana" w:eastAsia="Calibri" w:hAnsi="Verdana" w:cs="Arial"/>
                <w:lang w:val="es-ES"/>
              </w:rPr>
            </w:pPr>
            <w:r>
              <w:rPr>
                <w:rFonts w:ascii="Verdana" w:eastAsia="Calibri" w:hAnsi="Verdana" w:cs="Arial"/>
                <w:lang w:val="es-ES"/>
              </w:rPr>
              <w:t xml:space="preserve">Finalmente, se resalta que la palabra o frase “Anterior” es sinónimo de “antes”, así las cosas, no existen diferencias toda qué vez que tienen el mismo significado.  </w:t>
            </w:r>
          </w:p>
          <w:p w14:paraId="0A2664EE" w14:textId="77777777" w:rsidR="00C6682F" w:rsidRPr="009322DA" w:rsidRDefault="00C6682F" w:rsidP="00751649">
            <w:pPr>
              <w:spacing w:line="276" w:lineRule="auto"/>
              <w:jc w:val="both"/>
              <w:rPr>
                <w:rFonts w:ascii="Verdana" w:eastAsia="Calibri" w:hAnsi="Verdana" w:cs="Arial"/>
                <w:lang w:val="es-ES"/>
              </w:rPr>
            </w:pPr>
          </w:p>
        </w:tc>
      </w:tr>
    </w:tbl>
    <w:p w14:paraId="1874743D" w14:textId="77777777" w:rsidR="00C6682F" w:rsidRPr="009322DA" w:rsidRDefault="00C6682F" w:rsidP="00C6682F">
      <w:pPr>
        <w:tabs>
          <w:tab w:val="left" w:pos="142"/>
          <w:tab w:val="left" w:pos="284"/>
        </w:tabs>
        <w:spacing w:after="0" w:line="276" w:lineRule="auto"/>
        <w:jc w:val="both"/>
        <w:rPr>
          <w:rFonts w:ascii="Verdana" w:eastAsia="Century Gothic" w:hAnsi="Verdana" w:cs="Century Gothic"/>
          <w:b/>
          <w:bCs/>
          <w:lang w:val="es-ES"/>
        </w:rPr>
      </w:pPr>
    </w:p>
    <w:p w14:paraId="469BFE09" w14:textId="77777777" w:rsidR="00C6682F" w:rsidRPr="009322DA" w:rsidRDefault="00C6682F" w:rsidP="00C6682F">
      <w:pPr>
        <w:tabs>
          <w:tab w:val="left" w:pos="142"/>
          <w:tab w:val="left" w:pos="284"/>
        </w:tabs>
        <w:spacing w:after="0" w:line="276" w:lineRule="auto"/>
        <w:jc w:val="both"/>
        <w:rPr>
          <w:rFonts w:ascii="Verdana" w:eastAsia="Century Gothic" w:hAnsi="Verdana" w:cs="Century Gothic"/>
          <w:b/>
          <w:bCs/>
          <w:lang w:val="es-ES"/>
        </w:rPr>
      </w:pPr>
    </w:p>
    <w:p w14:paraId="696D69BF" w14:textId="77777777" w:rsidR="00C6682F" w:rsidRPr="009322DA" w:rsidRDefault="00C6682F" w:rsidP="00C6682F">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Razones de la respuesta:</w:t>
      </w:r>
    </w:p>
    <w:p w14:paraId="257EB35C" w14:textId="77777777" w:rsidR="00C6682F" w:rsidRPr="009322DA" w:rsidRDefault="00C6682F" w:rsidP="00C6682F">
      <w:pPr>
        <w:spacing w:after="0" w:line="276" w:lineRule="auto"/>
        <w:jc w:val="both"/>
        <w:rPr>
          <w:rFonts w:ascii="Verdana" w:eastAsia="Calibri" w:hAnsi="Verdana" w:cs="Arial"/>
          <w:lang w:val="es-ES"/>
        </w:rPr>
      </w:pPr>
    </w:p>
    <w:p w14:paraId="08B38447" w14:textId="77777777" w:rsidR="00C6682F" w:rsidRPr="009322DA" w:rsidRDefault="00C6682F" w:rsidP="00C6682F">
      <w:pPr>
        <w:spacing w:after="0" w:line="276" w:lineRule="auto"/>
        <w:jc w:val="both"/>
        <w:rPr>
          <w:rFonts w:ascii="Verdana" w:eastAsia="Calibri" w:hAnsi="Verdana" w:cs="Arial"/>
          <w:lang w:val="es-ES"/>
        </w:rPr>
      </w:pPr>
      <w:r w:rsidRPr="009322DA">
        <w:rPr>
          <w:rFonts w:ascii="Verdana" w:eastAsia="Calibri" w:hAnsi="Verdana" w:cs="Arial"/>
          <w:lang w:val="es-ES"/>
        </w:rPr>
        <w:t xml:space="preserve">Lo anterior se sustenta en las siguientes consideraciones: </w:t>
      </w:r>
    </w:p>
    <w:p w14:paraId="69E63F94" w14:textId="77777777" w:rsidR="00C6682F" w:rsidRPr="009322DA" w:rsidRDefault="00C6682F" w:rsidP="00C6682F">
      <w:pPr>
        <w:spacing w:after="0" w:line="276" w:lineRule="auto"/>
        <w:jc w:val="both"/>
        <w:rPr>
          <w:rFonts w:ascii="Verdana" w:eastAsia="Calibri" w:hAnsi="Verdana" w:cs="Arial"/>
          <w:lang w:val="es-ES"/>
        </w:rPr>
      </w:pPr>
    </w:p>
    <w:p w14:paraId="54FD54D7" w14:textId="77777777" w:rsidR="00920A84" w:rsidRPr="00547EFD" w:rsidRDefault="00920A84" w:rsidP="00920A84">
      <w:pPr>
        <w:tabs>
          <w:tab w:val="left" w:pos="0"/>
        </w:tabs>
        <w:spacing w:after="120" w:line="276" w:lineRule="auto"/>
        <w:ind w:firstLine="709"/>
        <w:jc w:val="both"/>
        <w:rPr>
          <w:rFonts w:ascii="Verdana" w:eastAsia="Calibri" w:hAnsi="Verdana" w:cs="Arial"/>
          <w:bCs/>
          <w:lang w:val="es-ES"/>
        </w:rPr>
      </w:pPr>
      <w:r w:rsidRPr="00547EFD">
        <w:rPr>
          <w:rFonts w:ascii="Verdana" w:eastAsia="Calibri" w:hAnsi="Verdana" w:cs="Arial"/>
          <w:bCs/>
          <w:lang w:val="es-ES"/>
        </w:rPr>
        <w:t xml:space="preserve">Conviene insistir en que el día hábil al que se refiere la ley es un tiempo mínimo, porque las entidades tienen la facultad de estructurar procesos con plazos mayores para presentar ofertas, al no establecerse en la ley un tiempo máximo, lo cual resulta recomendable para la concurrencia de oferentes, sin </w:t>
      </w:r>
      <w:r w:rsidRPr="00547EFD">
        <w:rPr>
          <w:rFonts w:ascii="Verdana" w:eastAsia="Calibri" w:hAnsi="Verdana" w:cs="Arial"/>
          <w:bCs/>
          <w:lang w:val="es-ES"/>
        </w:rPr>
        <w:lastRenderedPageBreak/>
        <w:t>perjuicio de la finalidad de esta modalidad de selección, que propende por la provisión pronta y ágil de los bienes de las entidades estatales.</w:t>
      </w:r>
    </w:p>
    <w:p w14:paraId="15AC98B8" w14:textId="77777777" w:rsidR="00920A84" w:rsidRPr="00547EFD" w:rsidRDefault="00920A84" w:rsidP="00920A84">
      <w:pPr>
        <w:tabs>
          <w:tab w:val="left" w:pos="0"/>
        </w:tabs>
        <w:spacing w:before="120" w:after="120" w:line="276" w:lineRule="auto"/>
        <w:jc w:val="both"/>
        <w:rPr>
          <w:rFonts w:ascii="Verdana" w:eastAsia="Calibri" w:hAnsi="Verdana" w:cs="Arial"/>
          <w:bCs/>
          <w:lang w:val="es-ES"/>
        </w:rPr>
      </w:pPr>
      <w:r w:rsidRPr="00547EFD">
        <w:rPr>
          <w:rFonts w:ascii="Verdana" w:eastAsia="Calibri" w:hAnsi="Verdana" w:cs="Arial"/>
          <w:bCs/>
          <w:lang w:val="es-ES"/>
        </w:rPr>
        <w:tab/>
        <w:t xml:space="preserve">  </w:t>
      </w:r>
      <w:r w:rsidRPr="00547EFD">
        <w:rPr>
          <w:rFonts w:ascii="Verdana" w:eastAsia="Calibri" w:hAnsi="Verdana" w:cs="Arial"/>
          <w:bCs/>
          <w:lang w:val="es-MX"/>
        </w:rPr>
        <w:t>Debe reconocerse que no existe una acepción unívoca de día hábil, pues no existe certidumbre de cuáles son los días de la semana que pueden entenderse como hábiles, y ello en principio posibilita que las entidades regulen de manera disímil los términos de la modalidad de selección que aquí se trata</w:t>
      </w:r>
      <w:r w:rsidRPr="00547EFD">
        <w:rPr>
          <w:rFonts w:ascii="Verdana" w:eastAsia="Calibri" w:hAnsi="Verdana" w:cs="Arial"/>
          <w:bCs/>
          <w:lang w:val="es-ES"/>
        </w:rPr>
        <w:t xml:space="preserve">. </w:t>
      </w:r>
    </w:p>
    <w:p w14:paraId="196B91CE" w14:textId="77777777" w:rsidR="00920A84" w:rsidRPr="00547EFD" w:rsidRDefault="00920A84" w:rsidP="00920A84">
      <w:pPr>
        <w:tabs>
          <w:tab w:val="left" w:pos="0"/>
        </w:tabs>
        <w:spacing w:before="120" w:after="120" w:line="276" w:lineRule="auto"/>
        <w:jc w:val="both"/>
        <w:rPr>
          <w:rFonts w:ascii="Verdana" w:eastAsia="Calibri" w:hAnsi="Verdana" w:cs="Arial"/>
          <w:bCs/>
          <w:lang w:val="es-ES"/>
        </w:rPr>
      </w:pPr>
      <w:r w:rsidRPr="00547EFD">
        <w:rPr>
          <w:rFonts w:ascii="Verdana" w:eastAsia="Calibri" w:hAnsi="Verdana" w:cs="Arial"/>
          <w:bCs/>
          <w:lang w:val="es-ES"/>
        </w:rPr>
        <w:tab/>
        <w:t>La ausencia de definición legal de día hábil autoriza acudir al sentido natural y obvio de la palabra hábil,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547EFD">
        <w:rPr>
          <w:rFonts w:ascii="Verdana" w:eastAsia="Calibri" w:hAnsi="Verdana" w:cs="Arial"/>
          <w:bCs/>
          <w:vertAlign w:val="superscript"/>
          <w:lang w:val="es-ES"/>
        </w:rPr>
        <w:footnoteReference w:id="2"/>
      </w:r>
      <w:r w:rsidRPr="00547EFD">
        <w:rPr>
          <w:rFonts w:ascii="Verdana" w:eastAsia="Calibri" w:hAnsi="Verdana" w:cs="Arial"/>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r w:rsidRPr="00547EFD">
        <w:rPr>
          <w:rFonts w:ascii="Verdana" w:eastAsia="Calibri" w:hAnsi="Verdana" w:cs="Arial"/>
          <w:bCs/>
          <w:lang w:val="es-ES"/>
        </w:rPr>
        <w:tab/>
      </w:r>
    </w:p>
    <w:p w14:paraId="4EC53FD6" w14:textId="77777777" w:rsidR="00920A84" w:rsidRPr="00547EFD" w:rsidRDefault="00920A84" w:rsidP="00920A84">
      <w:pPr>
        <w:tabs>
          <w:tab w:val="left" w:pos="0"/>
        </w:tabs>
        <w:spacing w:before="120" w:after="0" w:line="276" w:lineRule="auto"/>
        <w:jc w:val="both"/>
        <w:rPr>
          <w:rFonts w:ascii="Verdana" w:eastAsia="Calibri" w:hAnsi="Verdana" w:cs="Arial"/>
          <w:bCs/>
          <w:lang w:val="es-ES"/>
        </w:rPr>
      </w:pPr>
      <w:r w:rsidRPr="00547EFD">
        <w:rPr>
          <w:rFonts w:ascii="Verdana" w:eastAsia="Calibri" w:hAnsi="Verdana" w:cs="Arial"/>
          <w:bCs/>
          <w:lang w:val="es-ES"/>
        </w:rPr>
        <w:tab/>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002ED0D5" w14:textId="77777777" w:rsidR="00920A84" w:rsidRPr="00547EFD" w:rsidRDefault="00920A84" w:rsidP="00920A84">
      <w:pPr>
        <w:tabs>
          <w:tab w:val="left" w:pos="0"/>
        </w:tabs>
        <w:spacing w:after="0" w:line="276" w:lineRule="auto"/>
        <w:jc w:val="both"/>
        <w:rPr>
          <w:rFonts w:ascii="Verdana" w:eastAsia="Calibri" w:hAnsi="Verdana" w:cs="Arial"/>
          <w:bCs/>
          <w:lang w:val="es-ES"/>
        </w:rPr>
      </w:pPr>
    </w:p>
    <w:p w14:paraId="1F0E37EC" w14:textId="77777777" w:rsidR="00920A84" w:rsidRPr="00547EFD" w:rsidRDefault="00920A84" w:rsidP="00920A84">
      <w:pPr>
        <w:tabs>
          <w:tab w:val="left" w:pos="0"/>
        </w:tabs>
        <w:spacing w:after="0" w:line="240" w:lineRule="auto"/>
        <w:ind w:left="709" w:right="709"/>
        <w:jc w:val="both"/>
        <w:rPr>
          <w:rFonts w:ascii="Verdana" w:eastAsia="Batang" w:hAnsi="Verdana" w:cs="Arial"/>
          <w:lang w:val="es-MX"/>
        </w:rPr>
      </w:pPr>
      <w:r w:rsidRPr="00547EFD">
        <w:rPr>
          <w:rFonts w:ascii="Verdana" w:eastAsia="Batang" w:hAnsi="Verdana" w:cs="Arial"/>
          <w:lang w:val="es-MX"/>
        </w:rPr>
        <w:t>“Artículo 59.</w:t>
      </w:r>
      <w:r w:rsidRPr="00547EFD">
        <w:rPr>
          <w:rFonts w:ascii="Verdana" w:eastAsia="Batang" w:hAnsi="Verdana" w:cs="Arial"/>
          <w:b/>
          <w:lang w:val="es-MX"/>
        </w:rPr>
        <w:t> </w:t>
      </w:r>
      <w:r w:rsidRPr="00547EFD">
        <w:rPr>
          <w:rFonts w:ascii="Verdana" w:eastAsia="Batang" w:hAnsi="Verdana" w:cs="Arial"/>
          <w:lang w:val="es-MX"/>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7F842994" w14:textId="77777777" w:rsidR="00920A84" w:rsidRPr="00547EFD" w:rsidRDefault="00920A84" w:rsidP="00920A84">
      <w:pPr>
        <w:tabs>
          <w:tab w:val="left" w:pos="0"/>
        </w:tabs>
        <w:spacing w:after="120" w:line="240" w:lineRule="auto"/>
        <w:ind w:left="709" w:right="709"/>
        <w:jc w:val="both"/>
        <w:rPr>
          <w:rFonts w:ascii="Verdana" w:eastAsia="Batang" w:hAnsi="Verdana" w:cs="Arial"/>
          <w:lang w:val="es-MX"/>
        </w:rPr>
      </w:pPr>
      <w:r w:rsidRPr="00547EFD">
        <w:rPr>
          <w:rFonts w:ascii="Verdana" w:eastAsia="Batang" w:hAnsi="Verdana" w:cs="Arial"/>
          <w:lang w:val="es-MX"/>
        </w:rPr>
        <w:t>[…]</w:t>
      </w:r>
    </w:p>
    <w:p w14:paraId="0C3C20FC" w14:textId="77777777" w:rsidR="00920A84" w:rsidRPr="00547EFD" w:rsidRDefault="00920A84" w:rsidP="00920A84">
      <w:pPr>
        <w:tabs>
          <w:tab w:val="left" w:pos="0"/>
        </w:tabs>
        <w:spacing w:after="0" w:line="240" w:lineRule="auto"/>
        <w:ind w:left="709" w:right="709"/>
        <w:jc w:val="both"/>
        <w:rPr>
          <w:rFonts w:ascii="Verdana" w:eastAsia="Batang" w:hAnsi="Verdana" w:cs="Arial"/>
          <w:lang w:val="es-MX"/>
        </w:rPr>
      </w:pPr>
      <w:r w:rsidRPr="00547EFD">
        <w:rPr>
          <w:rFonts w:ascii="Verdana" w:eastAsia="Batang" w:hAnsi="Verdana" w:cs="Arial"/>
          <w:bCs/>
          <w:lang w:val="es-MX"/>
        </w:rPr>
        <w:t>Artículo 62.</w:t>
      </w:r>
      <w:r w:rsidRPr="00547EFD">
        <w:rPr>
          <w:rFonts w:ascii="Verdana" w:eastAsia="Batang" w:hAnsi="Verdana" w:cs="Arial"/>
          <w:lang w:val="es-MX"/>
        </w:rPr>
        <w:t>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79CA0DBA" w14:textId="77777777" w:rsidR="00920A84" w:rsidRPr="00547EFD" w:rsidRDefault="00920A84" w:rsidP="00920A84">
      <w:pPr>
        <w:tabs>
          <w:tab w:val="left" w:pos="0"/>
        </w:tabs>
        <w:spacing w:after="0" w:line="276" w:lineRule="auto"/>
        <w:jc w:val="both"/>
        <w:rPr>
          <w:rFonts w:ascii="Verdana" w:eastAsia="Calibri" w:hAnsi="Verdana" w:cs="Arial"/>
          <w:bCs/>
          <w:lang w:val="es-ES"/>
        </w:rPr>
      </w:pPr>
    </w:p>
    <w:p w14:paraId="577DA2E3"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Calibri" w:hAnsi="Verdana" w:cs="Arial"/>
          <w:bCs/>
          <w:lang w:val="es-ES"/>
        </w:rPr>
        <w:lastRenderedPageBreak/>
        <w:tab/>
        <w:t xml:space="preserve">El artículo 59 establece que los plazos a los que se haga mención en la ley terminan a la medianoche, y que por </w:t>
      </w:r>
      <w:r w:rsidRPr="00547EFD">
        <w:rPr>
          <w:rFonts w:ascii="Verdana" w:eastAsia="Calibri" w:hAnsi="Verdana" w:cs="Arial"/>
          <w:bCs/>
          <w:i/>
          <w:iCs/>
          <w:lang w:val="es-ES"/>
        </w:rPr>
        <w:t xml:space="preserve">día </w:t>
      </w:r>
      <w:r w:rsidRPr="00547EFD">
        <w:rPr>
          <w:rFonts w:ascii="Verdana" w:eastAsia="Calibri" w:hAnsi="Verdana" w:cs="Arial"/>
          <w:bCs/>
          <w:lang w:val="es-ES"/>
        </w:rPr>
        <w:t>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547EFD">
        <w:rPr>
          <w:rFonts w:ascii="Verdana" w:eastAsia="Calibri" w:hAnsi="Verdana" w:cs="Arial"/>
          <w:bCs/>
          <w:vertAlign w:val="superscript"/>
          <w:lang w:val="es-ES"/>
        </w:rPr>
        <w:footnoteReference w:id="3"/>
      </w:r>
      <w:r w:rsidRPr="00547EFD">
        <w:rPr>
          <w:rFonts w:ascii="Verdana" w:eastAsia="Calibri" w:hAnsi="Verdana" w:cs="Arial"/>
          <w:bCs/>
          <w:lang w:val="es-ES"/>
        </w:rPr>
        <w:t>.</w:t>
      </w:r>
    </w:p>
    <w:p w14:paraId="09DEC44C" w14:textId="77777777" w:rsidR="00920A84" w:rsidRPr="00547EFD" w:rsidRDefault="00920A84" w:rsidP="00920A84">
      <w:pPr>
        <w:tabs>
          <w:tab w:val="left" w:pos="0"/>
        </w:tabs>
        <w:spacing w:after="0" w:line="276" w:lineRule="auto"/>
        <w:jc w:val="both"/>
        <w:rPr>
          <w:rFonts w:ascii="Verdana" w:eastAsia="Calibri" w:hAnsi="Verdana" w:cs="Arial"/>
          <w:bCs/>
          <w:lang w:val="es-ES"/>
        </w:rPr>
      </w:pPr>
      <w:r w:rsidRPr="00547EFD">
        <w:rPr>
          <w:rFonts w:ascii="Verdana" w:eastAsia="Calibri" w:hAnsi="Verdana" w:cs="Arial"/>
          <w:bCs/>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421D4551" w14:textId="77777777" w:rsidR="00920A84" w:rsidRPr="00547EFD" w:rsidRDefault="00920A84" w:rsidP="00920A84">
      <w:pPr>
        <w:tabs>
          <w:tab w:val="left" w:pos="0"/>
        </w:tabs>
        <w:spacing w:after="0" w:line="240" w:lineRule="auto"/>
        <w:ind w:left="709" w:right="709"/>
        <w:jc w:val="both"/>
        <w:rPr>
          <w:rFonts w:ascii="Verdana" w:eastAsia="Batang" w:hAnsi="Verdana" w:cs="Arial"/>
          <w:lang w:val="es-ES"/>
        </w:rPr>
      </w:pPr>
    </w:p>
    <w:p w14:paraId="77F9069E" w14:textId="77777777" w:rsidR="00920A84" w:rsidRPr="00547EFD" w:rsidRDefault="00920A84" w:rsidP="00920A84">
      <w:pPr>
        <w:tabs>
          <w:tab w:val="left" w:pos="0"/>
        </w:tabs>
        <w:spacing w:after="0" w:line="240" w:lineRule="auto"/>
        <w:ind w:left="709" w:right="709"/>
        <w:jc w:val="both"/>
        <w:rPr>
          <w:rFonts w:ascii="Verdana" w:eastAsia="Calibri" w:hAnsi="Verdana" w:cs="Arial"/>
          <w:bCs/>
          <w:lang w:val="es-ES"/>
        </w:rPr>
      </w:pPr>
      <w:r w:rsidRPr="00547EFD">
        <w:rPr>
          <w:rFonts w:ascii="Verdana" w:eastAsia="Batang" w:hAnsi="Verdana" w:cs="Arial"/>
          <w:lang w:val="es-MX"/>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547EFD">
        <w:rPr>
          <w:rFonts w:ascii="Verdana" w:eastAsia="Batang" w:hAnsi="Verdana" w:cs="Arial"/>
          <w:vertAlign w:val="superscript"/>
          <w:lang w:val="es-MX"/>
        </w:rPr>
        <w:footnoteReference w:id="4"/>
      </w:r>
      <w:r w:rsidRPr="00547EFD">
        <w:rPr>
          <w:rFonts w:ascii="Verdana" w:eastAsia="Batang" w:hAnsi="Verdana" w:cs="Arial"/>
          <w:lang w:val="es-MX"/>
        </w:rPr>
        <w:t>.</w:t>
      </w:r>
    </w:p>
    <w:p w14:paraId="277FE591" w14:textId="77777777" w:rsidR="00920A84" w:rsidRPr="00547EFD" w:rsidRDefault="00920A84" w:rsidP="00920A84">
      <w:pPr>
        <w:tabs>
          <w:tab w:val="left" w:pos="0"/>
        </w:tabs>
        <w:spacing w:after="0" w:line="276" w:lineRule="auto"/>
        <w:jc w:val="both"/>
        <w:rPr>
          <w:rFonts w:ascii="Verdana" w:eastAsia="Calibri" w:hAnsi="Verdana" w:cs="Arial"/>
          <w:bCs/>
          <w:lang w:val="es-ES"/>
        </w:rPr>
      </w:pPr>
    </w:p>
    <w:p w14:paraId="7096C36A" w14:textId="77777777" w:rsidR="00920A84" w:rsidRPr="00547EFD" w:rsidRDefault="00920A84" w:rsidP="00920A84">
      <w:pPr>
        <w:tabs>
          <w:tab w:val="left" w:pos="0"/>
        </w:tabs>
        <w:spacing w:after="0" w:line="276" w:lineRule="auto"/>
        <w:jc w:val="both"/>
        <w:rPr>
          <w:rFonts w:ascii="Verdana" w:eastAsia="Calibri" w:hAnsi="Verdana" w:cs="Arial"/>
          <w:bCs/>
          <w:lang w:val="es-ES"/>
        </w:rPr>
      </w:pPr>
      <w:r w:rsidRPr="00547EFD">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62D3AE3F" w14:textId="77777777" w:rsidR="00920A84" w:rsidRPr="00547EFD" w:rsidRDefault="00920A84" w:rsidP="00920A84">
      <w:pPr>
        <w:spacing w:after="0" w:line="240" w:lineRule="auto"/>
        <w:jc w:val="both"/>
        <w:rPr>
          <w:rFonts w:ascii="Verdana" w:eastAsia="Times New Roman" w:hAnsi="Verdana" w:cs="Arial"/>
          <w:lang w:val="es-ES" w:eastAsia="es-CO"/>
        </w:rPr>
      </w:pPr>
    </w:p>
    <w:p w14:paraId="6DD080B9" w14:textId="77777777" w:rsidR="00920A84" w:rsidRPr="00547EFD" w:rsidRDefault="00920A84" w:rsidP="00920A84">
      <w:pPr>
        <w:spacing w:after="120" w:line="240" w:lineRule="auto"/>
        <w:ind w:left="709" w:right="709"/>
        <w:jc w:val="both"/>
        <w:rPr>
          <w:rFonts w:ascii="Verdana" w:eastAsia="Times New Roman" w:hAnsi="Verdana" w:cs="Arial"/>
          <w:lang w:eastAsia="es-CO"/>
        </w:rPr>
      </w:pPr>
      <w:r w:rsidRPr="00547EFD">
        <w:rPr>
          <w:rFonts w:ascii="Verdana" w:eastAsia="Times New Roman" w:hAnsi="Verdana" w:cs="Arial"/>
          <w:lang w:eastAsia="es-CO"/>
        </w:rPr>
        <w:t>[E]l cómputo de días hábiles de que trata el artículo 62 de la Ley 4.ª de 1913 debe realizarse con base en los días laborables forzosos, teniendo por tales todos los del año, excluidos los señalados por la ley como de descanso remunerado.</w:t>
      </w:r>
    </w:p>
    <w:p w14:paraId="72E7313D" w14:textId="6556516F" w:rsidR="00920A84" w:rsidRPr="00547EFD" w:rsidRDefault="00920A84" w:rsidP="00920A84">
      <w:pPr>
        <w:spacing w:after="0" w:line="240" w:lineRule="auto"/>
        <w:ind w:left="709" w:right="709"/>
        <w:jc w:val="both"/>
        <w:rPr>
          <w:rFonts w:ascii="Verdana" w:eastAsia="Times New Roman" w:hAnsi="Verdana" w:cs="Arial"/>
          <w:lang w:eastAsia="es-CO"/>
        </w:rPr>
      </w:pPr>
      <w:r w:rsidRPr="00547EFD">
        <w:rPr>
          <w:rFonts w:ascii="Verdana" w:eastAsia="Times New Roman" w:hAnsi="Verdana" w:cs="Arial"/>
          <w:lang w:eastAsia="es-CO"/>
        </w:rPr>
        <w:t xml:space="preserve">Así, el criterio que determina el carácter de hábil de los días, para el cómputo de los términos legales, es el de su </w:t>
      </w:r>
      <w:proofErr w:type="spellStart"/>
      <w:r w:rsidRPr="00547EFD">
        <w:rPr>
          <w:rFonts w:ascii="Verdana" w:eastAsia="Times New Roman" w:hAnsi="Verdana" w:cs="Arial"/>
          <w:lang w:eastAsia="es-CO"/>
        </w:rPr>
        <w:t>laborabilidad</w:t>
      </w:r>
      <w:proofErr w:type="spellEnd"/>
      <w:r w:rsidRPr="00547EFD">
        <w:rPr>
          <w:rFonts w:ascii="Verdana" w:eastAsia="Times New Roman" w:hAnsi="Verdana" w:cs="Arial"/>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r w:rsidR="00924187" w:rsidRPr="00547EFD">
        <w:rPr>
          <w:rFonts w:ascii="Verdana" w:eastAsia="Times New Roman" w:hAnsi="Verdana" w:cs="Arial"/>
          <w:lang w:eastAsia="es-CO"/>
        </w:rPr>
        <w:t>1. °</w:t>
      </w:r>
      <w:r w:rsidRPr="00547EFD">
        <w:rPr>
          <w:rFonts w:ascii="Verdana" w:eastAsia="Times New Roman" w:hAnsi="Verdana" w:cs="Arial"/>
          <w:lang w:eastAsia="es-CO"/>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547EFD">
        <w:rPr>
          <w:rFonts w:ascii="Verdana" w:eastAsia="Times New Roman" w:hAnsi="Verdana" w:cs="Arial"/>
          <w:vertAlign w:val="superscript"/>
          <w:lang w:eastAsia="es-CO"/>
        </w:rPr>
        <w:footnoteReference w:id="5"/>
      </w:r>
      <w:r w:rsidRPr="00547EFD">
        <w:rPr>
          <w:rFonts w:ascii="Verdana" w:eastAsia="Times New Roman" w:hAnsi="Verdana" w:cs="Arial"/>
          <w:lang w:eastAsia="es-CO"/>
        </w:rPr>
        <w:t>.</w:t>
      </w:r>
    </w:p>
    <w:p w14:paraId="2A58F110" w14:textId="77777777" w:rsidR="00920A84" w:rsidRPr="00547EFD" w:rsidRDefault="00920A84" w:rsidP="00920A84">
      <w:pPr>
        <w:tabs>
          <w:tab w:val="left" w:pos="0"/>
        </w:tabs>
        <w:spacing w:after="0" w:line="276" w:lineRule="auto"/>
        <w:jc w:val="both"/>
        <w:rPr>
          <w:rFonts w:ascii="Verdana" w:eastAsia="Calibri" w:hAnsi="Verdana" w:cs="Arial"/>
          <w:bCs/>
          <w:lang w:val="es-ES"/>
        </w:rPr>
      </w:pPr>
      <w:r w:rsidRPr="00547EFD">
        <w:rPr>
          <w:rFonts w:ascii="Verdana" w:eastAsia="Calibri" w:hAnsi="Verdana" w:cs="Arial"/>
          <w:bCs/>
          <w:lang w:val="es-ES"/>
        </w:rPr>
        <w:t xml:space="preserve"> </w:t>
      </w:r>
    </w:p>
    <w:p w14:paraId="3124CF0D"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Calibri" w:hAnsi="Verdana" w:cs="Arial"/>
          <w:bCs/>
          <w:lang w:val="es-ES"/>
        </w:rPr>
        <w:tab/>
      </w:r>
      <w:bookmarkStart w:id="2" w:name="_Hlk100070990"/>
      <w:r w:rsidRPr="00547EFD">
        <w:rPr>
          <w:rFonts w:ascii="Verdana" w:eastAsia="Calibri" w:hAnsi="Verdana" w:cs="Arial"/>
          <w:bCs/>
          <w:lang w:val="es-ES"/>
        </w:rPr>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547EFD">
        <w:rPr>
          <w:rFonts w:ascii="Verdana" w:eastAsia="Calibri" w:hAnsi="Verdana" w:cs="Arial"/>
          <w:bCs/>
          <w:vertAlign w:val="superscript"/>
          <w:lang w:val="es-ES"/>
        </w:rPr>
        <w:footnoteReference w:id="6"/>
      </w:r>
      <w:r w:rsidRPr="00547EFD">
        <w:rPr>
          <w:rFonts w:ascii="Verdana" w:eastAsia="Calibri" w:hAnsi="Verdana" w:cs="Arial"/>
          <w:bCs/>
          <w:lang w:val="es-ES"/>
        </w:rPr>
        <w:t xml:space="preserve">,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w:t>
      </w:r>
      <w:r w:rsidRPr="00547EFD">
        <w:rPr>
          <w:rFonts w:ascii="Verdana" w:eastAsia="Calibri" w:hAnsi="Verdana" w:cs="Arial"/>
          <w:bCs/>
          <w:lang w:val="es-ES"/>
        </w:rPr>
        <w:lastRenderedPageBreak/>
        <w:t>a la población campesina, que acostumbra ir al casco urbano en estos dos días y descansan un día de la semana ―usualmente el miércoles―”</w:t>
      </w:r>
      <w:r w:rsidRPr="00547EFD">
        <w:rPr>
          <w:rFonts w:ascii="Verdana" w:eastAsia="Calibri" w:hAnsi="Verdana" w:cs="Arial"/>
          <w:bCs/>
          <w:vertAlign w:val="superscript"/>
          <w:lang w:val="es-ES"/>
        </w:rPr>
        <w:footnoteReference w:id="7"/>
      </w:r>
      <w:r w:rsidRPr="00547EFD">
        <w:rPr>
          <w:rFonts w:ascii="Verdana" w:eastAsia="Calibri" w:hAnsi="Verdana" w:cs="Arial"/>
          <w:bCs/>
          <w:lang w:val="es-ES"/>
        </w:rPr>
        <w:t xml:space="preserve">, ejemplo donde los días laborables o hábiles son todos los de la semana, con excepción del miércoles. </w:t>
      </w:r>
    </w:p>
    <w:p w14:paraId="6C27F033" w14:textId="77777777" w:rsidR="00920A84" w:rsidRPr="00547EFD" w:rsidRDefault="00920A84" w:rsidP="00920A84">
      <w:pPr>
        <w:tabs>
          <w:tab w:val="left" w:pos="0"/>
        </w:tabs>
        <w:spacing w:before="120" w:after="0" w:line="276" w:lineRule="auto"/>
        <w:jc w:val="both"/>
        <w:rPr>
          <w:rFonts w:ascii="Verdana" w:eastAsia="Calibri" w:hAnsi="Verdana" w:cs="Arial"/>
          <w:bCs/>
          <w:lang w:val="es-ES"/>
        </w:rPr>
      </w:pPr>
      <w:r w:rsidRPr="00547EFD">
        <w:rPr>
          <w:rFonts w:ascii="Verdana" w:eastAsia="Calibri" w:hAnsi="Verdana" w:cs="Arial"/>
          <w:bCs/>
          <w:lang w:val="es-ES"/>
        </w:rPr>
        <w:tab/>
        <w:t xml:space="preserve">Esto implica, respecto del término para publicar la invitación y para la presentación de ofertas en procedimientos de mínima cuantía, así como para el cómputo de los demás términos en días hábiles propios de estos procesos de selección, que deberá transcurrir dentro de los días definidos por cada entidad estatal como laborables en su correspondiente reglamento o manual de funciones. </w:t>
      </w:r>
    </w:p>
    <w:bookmarkEnd w:id="2"/>
    <w:p w14:paraId="5336C37F" w14:textId="77777777" w:rsidR="00920A84" w:rsidRPr="00547EFD" w:rsidRDefault="00920A84" w:rsidP="00920A84">
      <w:pPr>
        <w:tabs>
          <w:tab w:val="left" w:pos="0"/>
        </w:tabs>
        <w:spacing w:before="120" w:after="0" w:line="276" w:lineRule="auto"/>
        <w:jc w:val="both"/>
        <w:rPr>
          <w:rFonts w:ascii="Verdana" w:eastAsia="Calibri" w:hAnsi="Verdana" w:cs="Arial"/>
          <w:bCs/>
          <w:lang w:val="es-ES"/>
        </w:rPr>
      </w:pPr>
      <w:r w:rsidRPr="00547EFD">
        <w:rPr>
          <w:rFonts w:ascii="Verdana" w:eastAsia="Calibri" w:hAnsi="Verdana" w:cs="Arial"/>
          <w:bCs/>
          <w:lang w:val="es-ES"/>
        </w:rPr>
        <w:tab/>
        <w:t xml:space="preserve">Lo anterior supone varias posibilidades para fijar y realizar el cómputo de dichos términos, con especial importancia cuando se fijan por el mínimo legal de un día hábil, por lo que resultan posibles las siguientes interpretaciones: i) que el plazo está comprendido por un espacio de veinticuatro (24) horas consecutivas, cuyos extremos están ubicados dentro de las horas laborables de la entidad, de tal manera que una entidad con un horario de atención entre las 8:00 y 17:00 horas, podrá fijar un término para recibir ofertas entre las 15:00 horas de un día y las 15:00 horas del siguiente; </w:t>
      </w:r>
      <w:proofErr w:type="spellStart"/>
      <w:r w:rsidRPr="00547EFD">
        <w:rPr>
          <w:rFonts w:ascii="Verdana" w:eastAsia="Calibri" w:hAnsi="Verdana" w:cs="Arial"/>
          <w:bCs/>
          <w:lang w:val="es-ES"/>
        </w:rPr>
        <w:t>ii</w:t>
      </w:r>
      <w:proofErr w:type="spellEnd"/>
      <w:r w:rsidRPr="00547EFD">
        <w:rPr>
          <w:rFonts w:ascii="Verdana" w:eastAsia="Calibri" w:hAnsi="Verdana" w:cs="Arial"/>
          <w:bCs/>
          <w:lang w:val="es-ES"/>
        </w:rPr>
        <w:t xml:space="preserve">) que el día hábil al que hace referencia la ley está comprendido por las horas durante las cuales la entidad atiende al público durante un día fijado como laborable, por lo que si se establece un horario de atención entre las 8:00 y las 17:00 horas, para cumplir el plazo mínimo la entidad debe publicar la invitación y recibir ofertas únicamente durante dicho lapso; o </w:t>
      </w:r>
      <w:proofErr w:type="spellStart"/>
      <w:r w:rsidRPr="00547EFD">
        <w:rPr>
          <w:rFonts w:ascii="Verdana" w:eastAsia="Calibri" w:hAnsi="Verdana" w:cs="Arial"/>
          <w:bCs/>
          <w:lang w:val="es-ES"/>
        </w:rPr>
        <w:t>iii</w:t>
      </w:r>
      <w:proofErr w:type="spellEnd"/>
      <w:r w:rsidRPr="00547EFD">
        <w:rPr>
          <w:rFonts w:ascii="Verdana" w:eastAsia="Calibri" w:hAnsi="Verdana" w:cs="Arial"/>
          <w:bCs/>
          <w:lang w:val="es-ES"/>
        </w:rPr>
        <w:t xml:space="preserve">) que el término de un día hábil está constituido por las veinticuatro horas que conforman uno de los días laborables definidos por la entidad, empezando a las 00:00 horas y terminando a las 23:59 de dicho día. </w:t>
      </w:r>
    </w:p>
    <w:p w14:paraId="76F6B96C" w14:textId="77777777" w:rsidR="00920A84" w:rsidRPr="00547EFD" w:rsidRDefault="00920A84" w:rsidP="00920A84">
      <w:pPr>
        <w:tabs>
          <w:tab w:val="left" w:pos="0"/>
        </w:tabs>
        <w:spacing w:before="120" w:after="120" w:line="276" w:lineRule="auto"/>
        <w:jc w:val="both"/>
        <w:rPr>
          <w:rFonts w:ascii="Verdana" w:eastAsia="Calibri" w:hAnsi="Verdana" w:cs="Arial"/>
          <w:bCs/>
          <w:lang w:val="es-ES"/>
        </w:rPr>
      </w:pPr>
      <w:r w:rsidRPr="00547EFD">
        <w:rPr>
          <w:rFonts w:ascii="Verdana" w:eastAsia="Calibri" w:hAnsi="Verdana" w:cs="Arial"/>
          <w:bCs/>
          <w:lang w:val="es-ES"/>
        </w:rPr>
        <w:tab/>
        <w:t xml:space="preserve">La primera interpretación supone que se tomen horas de la jornada laboral de un día y se complementen con otras del día siguiente, para completar un total de veinticuatro. No obstante, esta forma de entender el plazo para presentar ofertas no es coherente con lo establecido en la ley, que al establecer que el término deberá ser de mínimo un día hábil da a entender que la presentación de ofertas debe tener lugar durante un único día hábil determinado, y no durante veinticuatro horas fraccionadas en dos días. Por ello, </w:t>
      </w:r>
      <w:r w:rsidRPr="00547EFD">
        <w:rPr>
          <w:rFonts w:ascii="Verdana" w:eastAsia="Calibri" w:hAnsi="Verdana" w:cs="Arial"/>
          <w:color w:val="000000"/>
          <w:shd w:val="clear" w:color="auto" w:fill="FFFFFF"/>
          <w:lang w:val="es-ES"/>
        </w:rPr>
        <w:t>e</w:t>
      </w:r>
      <w:proofErr w:type="spellStart"/>
      <w:r w:rsidRPr="00547EFD">
        <w:rPr>
          <w:rFonts w:ascii="Verdana" w:eastAsia="Calibri" w:hAnsi="Verdana" w:cs="Arial"/>
          <w:color w:val="000000"/>
          <w:shd w:val="clear" w:color="auto" w:fill="FFFFFF"/>
          <w:lang w:val="es-MX"/>
        </w:rPr>
        <w:t>sta</w:t>
      </w:r>
      <w:proofErr w:type="spellEnd"/>
      <w:r w:rsidRPr="00547EFD">
        <w:rPr>
          <w:rFonts w:ascii="Verdana" w:eastAsia="Calibri" w:hAnsi="Verdana" w:cs="Arial"/>
          <w:color w:val="000000"/>
          <w:shd w:val="clear" w:color="auto" w:fill="FFFFFF"/>
          <w:lang w:val="es-MX"/>
        </w:rPr>
        <w:t xml:space="preserve"> Agencia estima que las entidades, para cumplir el plazo mínimo de un día hábil, necesariamente deben fijar los extremos de este dentro un mismo día solar laborable.  </w:t>
      </w:r>
      <w:r w:rsidRPr="00547EFD">
        <w:rPr>
          <w:rFonts w:ascii="Verdana" w:eastAsia="Batang" w:hAnsi="Verdana" w:cs="Arial"/>
          <w:lang w:val="es-MX"/>
        </w:rPr>
        <w:t xml:space="preserve"> </w:t>
      </w:r>
    </w:p>
    <w:p w14:paraId="72345FB7"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Batang" w:hAnsi="Verdana" w:cs="Arial"/>
          <w:lang w:val="es-MX"/>
        </w:rPr>
        <w:lastRenderedPageBreak/>
        <w:tab/>
        <w:t xml:space="preserve">Conforme a lo anterior, la segunda interpretación resulta la más razonable, porque es la adecuada a las circunstancias prácticas propias de la presentación de ofertas, particularmente en el caso de las entidades que publican sus procesos de selección en la plataforma SECOP I, y recibiendo ofertas en medio físico, lo cual implica que durante la vigencia del término para la presentación de ofertas haya una persona disponible en las instalaciones de la entidad  para recibir las ofertas y haga la correspondiente radicación, lo cual solo resulta posible en las horas laborables.  </w:t>
      </w:r>
      <w:r w:rsidRPr="00547EFD">
        <w:rPr>
          <w:rFonts w:ascii="Verdana" w:eastAsia="Calibri" w:hAnsi="Verdana" w:cs="Arial"/>
          <w:bCs/>
          <w:lang w:val="es-ES"/>
        </w:rPr>
        <w:t>A esto se suma el hecho de que las entidades no suelen tener horarios de atención al público de veinticuatro horas diarias, comoquiera que solo están obligadas a garantizar la atención durante cuarenta horas semanales</w:t>
      </w:r>
      <w:r w:rsidRPr="00547EFD">
        <w:rPr>
          <w:rFonts w:ascii="Verdana" w:eastAsia="Calibri" w:hAnsi="Verdana" w:cs="Arial"/>
          <w:bCs/>
          <w:vertAlign w:val="superscript"/>
          <w:lang w:val="es-ES"/>
        </w:rPr>
        <w:footnoteReference w:id="8"/>
      </w:r>
      <w:r w:rsidRPr="00547EFD">
        <w:rPr>
          <w:rFonts w:ascii="Verdana" w:eastAsia="Calibri" w:hAnsi="Verdana" w:cs="Arial"/>
          <w:bCs/>
          <w:lang w:val="es-ES"/>
        </w:rPr>
        <w:t>.</w:t>
      </w:r>
    </w:p>
    <w:p w14:paraId="5E48D681"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Calibri" w:hAnsi="Verdana" w:cs="Arial"/>
          <w:bCs/>
          <w:lang w:val="es-ES"/>
        </w:rPr>
        <w:tab/>
        <w:t>Sin embargo, en los procesos de mínima cuantía adelantados a través de SECOP II, la Agencia Nacional de Contratación Pública – Colombia Compra Eficiente considera que, conforme a la tercera interpretación señalada, es necesario que las entidades extiendan el plazo para presentar  ofertas hasta las 23:59 horas del día previsto para ello, por existir una herramienta tecnológica para presentar y recibirlas, que permite que se prescinda de la presencia física del personal para la recibirlas y radicarlas por fuera de la jornada laboral.</w:t>
      </w:r>
    </w:p>
    <w:p w14:paraId="2B5A09C7"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Calibri" w:hAnsi="Verdana" w:cs="Arial"/>
          <w:bCs/>
          <w:lang w:val="es-ES"/>
        </w:rPr>
        <w:tab/>
        <w:t xml:space="preserve">En ese sentido, </w:t>
      </w:r>
      <w:bookmarkStart w:id="3" w:name="_Hlk134437080"/>
      <w:r w:rsidRPr="00547EFD">
        <w:rPr>
          <w:rFonts w:ascii="Verdana" w:eastAsia="Calibri" w:hAnsi="Verdana" w:cs="Arial"/>
          <w:bCs/>
          <w:lang w:val="es-ES"/>
        </w:rPr>
        <w:t xml:space="preserve">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de mínima cuantía. Conforme a esta regla, a las entidades que utilizan SECOP I, para cumplir con el término mínimo de un día hábil para recibir ofertas, les bastará con recibir ofertas por el lapso correspondiente a una jornada laboral diaria. </w:t>
      </w:r>
    </w:p>
    <w:p w14:paraId="3835D4E3" w14:textId="77777777" w:rsidR="00920A84" w:rsidRPr="00547EFD" w:rsidRDefault="00920A84" w:rsidP="00920A84">
      <w:pPr>
        <w:tabs>
          <w:tab w:val="left" w:pos="0"/>
        </w:tabs>
        <w:spacing w:after="120" w:line="276" w:lineRule="auto"/>
        <w:jc w:val="both"/>
        <w:rPr>
          <w:rFonts w:ascii="Verdana" w:eastAsia="Calibri" w:hAnsi="Verdana" w:cs="Arial"/>
          <w:bCs/>
          <w:lang w:val="es-ES"/>
        </w:rPr>
      </w:pPr>
      <w:r w:rsidRPr="00547EFD">
        <w:rPr>
          <w:rFonts w:ascii="Verdana" w:eastAsia="Calibri" w:hAnsi="Verdana" w:cs="Arial"/>
          <w:bCs/>
          <w:lang w:val="es-ES"/>
        </w:rPr>
        <w:tab/>
        <w:t xml:space="preserve">De otro lado, en el caso de las entidades que realizan sus procedimientos de selección a través de SECOP II, deberán extender el termino para la presentación de ofertas durante las veinticuatro (24) horas que conforman un día solar laborable. La aplicación de esta regla permite conciliar la inexistencia de una definición unívoca de día hábil y de un método legal para el cómputo de términos de un único día, con las implicaciones prácticas del ejercicio de la </w:t>
      </w:r>
      <w:r w:rsidRPr="00547EFD">
        <w:rPr>
          <w:rFonts w:ascii="Verdana" w:eastAsia="Calibri" w:hAnsi="Verdana" w:cs="Arial"/>
          <w:bCs/>
          <w:lang w:val="es-ES"/>
        </w:rPr>
        <w:lastRenderedPageBreak/>
        <w:t>actividad precontractual, de tal forma que se da a cada situación la solución más adecuada a los medios con los que cuentan las respectivas entidades para llevar a cabo sus procesos de selección.</w:t>
      </w:r>
    </w:p>
    <w:bookmarkEnd w:id="3"/>
    <w:p w14:paraId="0434C7C9" w14:textId="77777777" w:rsidR="00920A84" w:rsidRPr="00547EFD" w:rsidRDefault="00920A84" w:rsidP="00920A84">
      <w:pPr>
        <w:tabs>
          <w:tab w:val="left" w:pos="0"/>
        </w:tabs>
        <w:spacing w:after="0" w:line="276" w:lineRule="auto"/>
        <w:jc w:val="both"/>
        <w:rPr>
          <w:rFonts w:ascii="Verdana" w:eastAsia="Calibri" w:hAnsi="Verdana" w:cs="Arial"/>
          <w:bCs/>
          <w:lang w:val="es-ES"/>
        </w:rPr>
      </w:pPr>
      <w:r w:rsidRPr="00547EFD">
        <w:rPr>
          <w:rFonts w:ascii="Verdana" w:eastAsia="Calibri" w:hAnsi="Verdana" w:cs="Arial"/>
          <w:bCs/>
          <w:lang w:val="es-ES"/>
        </w:rPr>
        <w:tab/>
        <w:t>Finalmente, de conformidad con los mandatos derivados del principio de transparencia, consagrado en el artículo 24 de la Ley 80 de 1993, y lo dispuesto en el artículo 2.2.1.1.2.1.3 del Decreto 1082 de 2015</w:t>
      </w:r>
      <w:r w:rsidRPr="00547EFD">
        <w:rPr>
          <w:rFonts w:ascii="Verdana" w:eastAsia="Calibri" w:hAnsi="Verdana" w:cs="Arial"/>
          <w:bCs/>
          <w:vertAlign w:val="superscript"/>
          <w:lang w:val="es-ES"/>
        </w:rPr>
        <w:footnoteReference w:id="9"/>
      </w:r>
      <w:r w:rsidRPr="00547EFD">
        <w:rPr>
          <w:rFonts w:ascii="Verdana" w:eastAsia="Calibri" w:hAnsi="Verdana" w:cs="Arial"/>
          <w:bCs/>
          <w:lang w:val="es-ES"/>
        </w:rPr>
        <w:t xml:space="preserve">,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 el lapso durante el cual recibirán ofertas, definiendo expresamente la hora hasta la cual recibirán las ofertas, de tal manera que este pueda ser conocido con anticipación por los interesados en participar.    </w:t>
      </w:r>
    </w:p>
    <w:p w14:paraId="76BBCE9F" w14:textId="77777777" w:rsidR="00C6682F" w:rsidRPr="00EB3000" w:rsidRDefault="00C6682F" w:rsidP="00C6682F">
      <w:pPr>
        <w:pStyle w:val="Prrafodelista"/>
        <w:jc w:val="both"/>
        <w:rPr>
          <w:rFonts w:ascii="Verdana" w:eastAsia="Calibri" w:hAnsi="Verdana" w:cs="Arial"/>
        </w:rPr>
      </w:pPr>
    </w:p>
    <w:p w14:paraId="1DF2A818" w14:textId="77777777" w:rsidR="00C6682F" w:rsidRPr="00C467F7" w:rsidRDefault="00C6682F" w:rsidP="00C6682F">
      <w:pPr>
        <w:jc w:val="both"/>
        <w:rPr>
          <w:rFonts w:ascii="Verdana" w:eastAsia="Calibri" w:hAnsi="Verdana" w:cs="Arial"/>
        </w:rPr>
      </w:pPr>
      <w:r w:rsidRPr="00C467F7">
        <w:rPr>
          <w:rFonts w:ascii="Verdana" w:eastAsia="Calibri" w:hAnsi="Verdana" w:cs="Arial"/>
        </w:rPr>
        <w:t xml:space="preserve">Así las cosas, se puede concluir que las entidades estatales pueden modificar el cronograma mediante adendas en dos momentos: i) antes del vencimiento del plazo para presentar ofertas, pues se entiende que el cronograma hace parte integral del pliego de condiciones, y </w:t>
      </w:r>
      <w:proofErr w:type="spellStart"/>
      <w:r w:rsidRPr="00C467F7">
        <w:rPr>
          <w:rFonts w:ascii="Verdana" w:eastAsia="Calibri" w:hAnsi="Verdana" w:cs="Arial"/>
        </w:rPr>
        <w:t>ii</w:t>
      </w:r>
      <w:proofErr w:type="spellEnd"/>
      <w:r w:rsidRPr="00C467F7">
        <w:rPr>
          <w:rFonts w:ascii="Verdana" w:eastAsia="Calibri" w:hAnsi="Verdana" w:cs="Arial"/>
        </w:rPr>
        <w:t>) una vez vencido el término para la presentación de ofertas y antes de la adjudicación del contrato. Al respecto, resulta del caso precisar que cada modalidad de selección tiene establecido un procedimiento propio que rige su estructuración y, en este sentido, las etapas y el acto final del proceso de selección dependerá de cada modalidad de selección. De este modo, por ejemplo, en la mínima cuantía el acto por medio del cual se escoge al futuro contratista es la comunicación de aceptación de la oferta.</w:t>
      </w:r>
    </w:p>
    <w:p w14:paraId="01275DCA" w14:textId="77777777" w:rsidR="00C6682F" w:rsidRPr="001A5605" w:rsidRDefault="00C6682F" w:rsidP="00C6682F">
      <w:pPr>
        <w:pStyle w:val="Prrafodelista"/>
        <w:rPr>
          <w:rFonts w:ascii="Verdana" w:eastAsia="Calibri" w:hAnsi="Verdana" w:cs="Arial"/>
        </w:rPr>
      </w:pPr>
    </w:p>
    <w:p w14:paraId="5E45C348" w14:textId="77777777" w:rsidR="00C6682F" w:rsidRPr="009322DA" w:rsidRDefault="00C6682F" w:rsidP="00C6682F">
      <w:pPr>
        <w:jc w:val="both"/>
        <w:rPr>
          <w:rFonts w:ascii="Verdana" w:eastAsia="Calibri" w:hAnsi="Verdana" w:cs="Arial"/>
          <w:b/>
          <w:bCs/>
        </w:rPr>
      </w:pPr>
      <w:r w:rsidRPr="009322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6682F" w:rsidRPr="009322DA" w14:paraId="5608E3EC" w14:textId="77777777" w:rsidTr="00751649">
        <w:trPr>
          <w:trHeight w:val="870"/>
        </w:trPr>
        <w:tc>
          <w:tcPr>
            <w:tcW w:w="8647" w:type="dxa"/>
            <w:tcBorders>
              <w:top w:val="dotted" w:sz="4" w:space="0" w:color="auto"/>
              <w:left w:val="dotted" w:sz="4" w:space="0" w:color="auto"/>
              <w:bottom w:val="dotted" w:sz="4" w:space="0" w:color="auto"/>
              <w:right w:val="dotted" w:sz="4" w:space="0" w:color="auto"/>
            </w:tcBorders>
          </w:tcPr>
          <w:p w14:paraId="35618423" w14:textId="77777777" w:rsidR="00C6682F" w:rsidRPr="00775458" w:rsidRDefault="00C6682F" w:rsidP="00751649">
            <w:pPr>
              <w:widowControl w:val="0"/>
              <w:numPr>
                <w:ilvl w:val="0"/>
                <w:numId w:val="17"/>
              </w:numPr>
              <w:autoSpaceDE w:val="0"/>
              <w:autoSpaceDN w:val="0"/>
              <w:spacing w:line="276" w:lineRule="auto"/>
              <w:contextualSpacing/>
              <w:jc w:val="both"/>
              <w:rPr>
                <w:rFonts w:ascii="Verdana" w:hAnsi="Verdana" w:cs="Arial"/>
              </w:rPr>
            </w:pPr>
            <w:r w:rsidRPr="00775458">
              <w:rPr>
                <w:rFonts w:ascii="Verdana" w:hAnsi="Verdana" w:cs="Arial"/>
              </w:rPr>
              <w:lastRenderedPageBreak/>
              <w:t>Ley 1150 de 2007</w:t>
            </w:r>
          </w:p>
          <w:p w14:paraId="791715FE" w14:textId="77777777" w:rsidR="00C6682F" w:rsidRPr="00775458" w:rsidRDefault="00C6682F" w:rsidP="00751649">
            <w:pPr>
              <w:widowControl w:val="0"/>
              <w:numPr>
                <w:ilvl w:val="0"/>
                <w:numId w:val="17"/>
              </w:numPr>
              <w:autoSpaceDE w:val="0"/>
              <w:autoSpaceDN w:val="0"/>
              <w:spacing w:line="276" w:lineRule="auto"/>
              <w:contextualSpacing/>
              <w:jc w:val="both"/>
              <w:rPr>
                <w:rFonts w:ascii="Verdana" w:hAnsi="Verdana" w:cs="Arial"/>
              </w:rPr>
            </w:pPr>
            <w:r w:rsidRPr="00775458">
              <w:rPr>
                <w:rFonts w:ascii="Verdana" w:hAnsi="Verdana" w:cs="Arial"/>
              </w:rPr>
              <w:t>Decreto 1082 de 2015, artículo 2.2.1.1.1.7.1. y 2.2.1.1.2.2.1</w:t>
            </w:r>
          </w:p>
          <w:p w14:paraId="05B3A4F7" w14:textId="77777777" w:rsidR="00C6682F" w:rsidRPr="00775458" w:rsidRDefault="00C6682F" w:rsidP="00751649">
            <w:pPr>
              <w:widowControl w:val="0"/>
              <w:numPr>
                <w:ilvl w:val="0"/>
                <w:numId w:val="17"/>
              </w:numPr>
              <w:autoSpaceDE w:val="0"/>
              <w:autoSpaceDN w:val="0"/>
              <w:spacing w:line="276" w:lineRule="auto"/>
              <w:contextualSpacing/>
              <w:jc w:val="both"/>
              <w:rPr>
                <w:rFonts w:ascii="Verdana" w:hAnsi="Verdana" w:cs="Arial"/>
              </w:rPr>
            </w:pPr>
            <w:r w:rsidRPr="00775458">
              <w:rPr>
                <w:rFonts w:ascii="Verdana" w:hAnsi="Verdana" w:cs="Arial"/>
              </w:rPr>
              <w:t>Circular Única Externa. Disponible en: https://www.colombiacompra.gov.co/content/circular-unica-externa</w:t>
            </w:r>
          </w:p>
          <w:p w14:paraId="57CC5C97" w14:textId="77777777" w:rsidR="00C6682F" w:rsidRPr="00775458" w:rsidRDefault="00C6682F" w:rsidP="00751649">
            <w:pPr>
              <w:widowControl w:val="0"/>
              <w:numPr>
                <w:ilvl w:val="0"/>
                <w:numId w:val="17"/>
              </w:numPr>
              <w:autoSpaceDE w:val="0"/>
              <w:autoSpaceDN w:val="0"/>
              <w:spacing w:line="276" w:lineRule="auto"/>
              <w:contextualSpacing/>
              <w:jc w:val="both"/>
              <w:rPr>
                <w:rFonts w:ascii="Verdana" w:hAnsi="Verdana" w:cs="Arial"/>
              </w:rPr>
            </w:pPr>
            <w:r w:rsidRPr="00775458">
              <w:rPr>
                <w:rFonts w:ascii="Verdana" w:hAnsi="Verdana" w:cs="Arial"/>
              </w:rPr>
              <w:t xml:space="preserve">Jurisprudencia del Consejo de Estado. Disponible en: https://relatoria.colombiacompra.gov.co/providencias-consejo-de-estado/ </w:t>
            </w:r>
          </w:p>
        </w:tc>
      </w:tr>
    </w:tbl>
    <w:p w14:paraId="2E1CB11F" w14:textId="77777777" w:rsidR="00C6682F" w:rsidRPr="009322DA" w:rsidRDefault="00C6682F" w:rsidP="00C6682F">
      <w:pPr>
        <w:tabs>
          <w:tab w:val="left" w:pos="142"/>
          <w:tab w:val="left" w:pos="284"/>
        </w:tabs>
        <w:spacing w:after="0" w:line="276" w:lineRule="auto"/>
        <w:jc w:val="both"/>
        <w:rPr>
          <w:rFonts w:ascii="Verdana" w:eastAsia="Calibri" w:hAnsi="Verdana" w:cs="Arial"/>
        </w:rPr>
      </w:pPr>
    </w:p>
    <w:p w14:paraId="1DC3CAAE" w14:textId="77777777" w:rsidR="00C6682F" w:rsidRPr="009322DA" w:rsidRDefault="00C6682F" w:rsidP="00C6682F">
      <w:pPr>
        <w:tabs>
          <w:tab w:val="left" w:pos="142"/>
          <w:tab w:val="left" w:pos="284"/>
        </w:tabs>
        <w:spacing w:after="0" w:line="276" w:lineRule="auto"/>
        <w:jc w:val="both"/>
        <w:rPr>
          <w:rFonts w:ascii="Verdana" w:eastAsia="Century Gothic" w:hAnsi="Verdana" w:cs="Century Gothic"/>
          <w:b/>
          <w:bCs/>
          <w:lang w:val="es-ES"/>
        </w:rPr>
      </w:pPr>
      <w:r w:rsidRPr="009322DA">
        <w:rPr>
          <w:rFonts w:ascii="Verdana" w:eastAsia="Calibri" w:hAnsi="Verdana" w:cs="Arial"/>
        </w:rPr>
        <w:t>5.</w:t>
      </w:r>
      <w:r w:rsidRPr="009322DA">
        <w:rPr>
          <w:rFonts w:ascii="Verdana" w:eastAsia="Century Gothic" w:hAnsi="Verdana" w:cs="Century Gothic"/>
          <w:b/>
          <w:bCs/>
          <w:lang w:val="es-ES"/>
        </w:rPr>
        <w:t>Doctrina de la Agencia Nacional de Contratación Pública:</w:t>
      </w:r>
    </w:p>
    <w:p w14:paraId="7B433592" w14:textId="77777777" w:rsidR="00C6682F" w:rsidRPr="009322DA" w:rsidRDefault="00C6682F" w:rsidP="00C6682F">
      <w:pPr>
        <w:widowControl w:val="0"/>
        <w:autoSpaceDE w:val="0"/>
        <w:autoSpaceDN w:val="0"/>
        <w:spacing w:after="0" w:line="276" w:lineRule="auto"/>
        <w:jc w:val="both"/>
        <w:rPr>
          <w:rFonts w:ascii="Verdana" w:eastAsia="Calibri" w:hAnsi="Verdana" w:cs="Arial"/>
        </w:rPr>
      </w:pPr>
    </w:p>
    <w:p w14:paraId="5C6B235D" w14:textId="46CFFCC5" w:rsidR="00C6682F" w:rsidRDefault="00C6682F" w:rsidP="00C6682F">
      <w:pPr>
        <w:widowControl w:val="0"/>
        <w:autoSpaceDE w:val="0"/>
        <w:autoSpaceDN w:val="0"/>
        <w:spacing w:after="0" w:line="276" w:lineRule="auto"/>
        <w:jc w:val="both"/>
        <w:rPr>
          <w:rFonts w:ascii="Verdana" w:eastAsia="Calibri" w:hAnsi="Verdana" w:cs="Arial"/>
          <w:shd w:val="clear" w:color="auto" w:fill="FFFFFF"/>
          <w:lang w:val="es-ES"/>
        </w:rPr>
      </w:pPr>
      <w:r w:rsidRPr="00C269C0">
        <w:rPr>
          <w:rFonts w:ascii="Verdana" w:eastAsia="Calibri" w:hAnsi="Verdana" w:cs="Arial"/>
          <w:shd w:val="clear" w:color="auto" w:fill="FFFFFF"/>
        </w:rPr>
        <w:t>L</w:t>
      </w:r>
      <w:r w:rsidRPr="00C269C0">
        <w:rPr>
          <w:rFonts w:ascii="Verdana" w:eastAsia="Calibri" w:hAnsi="Verdana" w:cs="Arial"/>
          <w:shd w:val="clear" w:color="auto" w:fill="FFFFFF"/>
          <w:lang w:val="es-ES"/>
        </w:rPr>
        <w:t>a Agencia Nacional de Contratación Pública – Colombia Compra Eficiente, en los conceptos</w:t>
      </w:r>
      <w:r>
        <w:rPr>
          <w:rFonts w:ascii="Verdana" w:eastAsia="Calibri" w:hAnsi="Verdana" w:cs="Arial"/>
          <w:shd w:val="clear" w:color="auto" w:fill="FFFFFF"/>
          <w:lang w:val="es-ES"/>
        </w:rPr>
        <w:t xml:space="preserve"> C- 564 del 08 de agosto de 2022, C- 519 del 13 de septiembre de 2022, </w:t>
      </w:r>
      <w:r w:rsidRPr="00C269C0">
        <w:rPr>
          <w:rFonts w:ascii="Verdana" w:eastAsia="Calibri" w:hAnsi="Verdana" w:cs="Arial"/>
          <w:shd w:val="clear" w:color="auto" w:fill="FFFFFF"/>
          <w:lang w:val="es-ES"/>
        </w:rPr>
        <w:t>C</w:t>
      </w:r>
      <w:r>
        <w:rPr>
          <w:rFonts w:ascii="Verdana" w:eastAsia="Calibri" w:hAnsi="Verdana" w:cs="Arial"/>
          <w:shd w:val="clear" w:color="auto" w:fill="FFFFFF"/>
          <w:lang w:val="es-ES"/>
        </w:rPr>
        <w:t>- 647 del 05 de octubre de 2022, C- 705 del 25 de octubre de 2022, C- 817 de 2022, C- 817 del 05 de diciembre de 2022, C- 282 del 21 de diciembre de 2022,</w:t>
      </w:r>
      <w:r w:rsidR="00775D96">
        <w:rPr>
          <w:rFonts w:ascii="Verdana" w:eastAsia="Calibri" w:hAnsi="Verdana" w:cs="Arial"/>
          <w:shd w:val="clear" w:color="auto" w:fill="FFFFFF"/>
          <w:lang w:val="es-ES"/>
        </w:rPr>
        <w:t xml:space="preserve"> C – 067 del 20 de abril de 2023,</w:t>
      </w:r>
      <w:r>
        <w:rPr>
          <w:rFonts w:ascii="Verdana" w:eastAsia="Calibri" w:hAnsi="Verdana" w:cs="Arial"/>
          <w:shd w:val="clear" w:color="auto" w:fill="FFFFFF"/>
          <w:lang w:val="es-ES"/>
        </w:rPr>
        <w:t xml:space="preserve"> C – 218 del 13 de julio de 2023, C- 383 del 19 de septiembre de 2023, C- 299 del 21 de agosto de 2024</w:t>
      </w:r>
      <w:r w:rsidRPr="00C269C0">
        <w:rPr>
          <w:rFonts w:ascii="Verdana" w:eastAsia="Calibri" w:hAnsi="Verdana" w:cs="Arial"/>
          <w:shd w:val="clear" w:color="auto" w:fill="FFFFFF"/>
          <w:lang w:val="es-ES"/>
        </w:rPr>
        <w:t>, analizó</w:t>
      </w:r>
      <w:r>
        <w:rPr>
          <w:rFonts w:ascii="Verdana" w:eastAsia="Calibri" w:hAnsi="Verdana" w:cs="Arial"/>
          <w:shd w:val="clear" w:color="auto" w:fill="FFFFFF"/>
          <w:lang w:val="es-ES"/>
        </w:rPr>
        <w:t xml:space="preserve"> el proceso de modificación o presentación de adendas, así como los tiempos que se deben disponer para ello.</w:t>
      </w:r>
      <w:r w:rsidRPr="00C269C0">
        <w:rPr>
          <w:rFonts w:ascii="Verdana" w:eastAsia="Calibri" w:hAnsi="Verdana" w:cs="Arial"/>
          <w:shd w:val="clear" w:color="auto" w:fill="FFFFFF"/>
          <w:lang w:val="es-ES"/>
        </w:rPr>
        <w:t xml:space="preserve"> </w:t>
      </w:r>
    </w:p>
    <w:p w14:paraId="15389468" w14:textId="77777777" w:rsidR="00C6682F" w:rsidRPr="009322DA" w:rsidRDefault="00C6682F" w:rsidP="00C6682F">
      <w:pPr>
        <w:widowControl w:val="0"/>
        <w:autoSpaceDE w:val="0"/>
        <w:autoSpaceDN w:val="0"/>
        <w:spacing w:after="0" w:line="276" w:lineRule="auto"/>
        <w:jc w:val="both"/>
        <w:rPr>
          <w:rFonts w:ascii="Verdana" w:eastAsia="Calibri" w:hAnsi="Verdana" w:cs="Arial"/>
          <w:shd w:val="clear" w:color="auto" w:fill="FFFFFF"/>
          <w:lang w:val="es-ES_tradnl"/>
        </w:rPr>
      </w:pPr>
    </w:p>
    <w:p w14:paraId="36A229A8" w14:textId="0F21F836" w:rsidR="00C6682F" w:rsidRDefault="00C6682F" w:rsidP="00C6682F">
      <w:pPr>
        <w:spacing w:after="0" w:line="240" w:lineRule="auto"/>
        <w:jc w:val="both"/>
        <w:rPr>
          <w:rFonts w:ascii="Verdana" w:eastAsia="Calibri" w:hAnsi="Verdana" w:cs="Arial"/>
          <w:color w:val="000000" w:themeColor="text1"/>
          <w:shd w:val="clear" w:color="auto" w:fill="FFFFFF"/>
        </w:rPr>
      </w:pPr>
      <w:r w:rsidRPr="008328CE">
        <w:rPr>
          <w:rFonts w:ascii="Verdana" w:eastAsia="Calibri"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328CE">
          <w:rPr>
            <w:rStyle w:val="Hipervnculo"/>
            <w:rFonts w:ascii="Verdana" w:eastAsia="Calibri" w:hAnsi="Verdana" w:cs="Arial"/>
            <w:color w:val="000000" w:themeColor="text1"/>
            <w:shd w:val="clear" w:color="auto" w:fill="FFFFFF"/>
          </w:rPr>
          <w:t>https://relatoria.colombiacompra.gov.co/</w:t>
        </w:r>
      </w:hyperlink>
      <w:r w:rsidRPr="008328CE">
        <w:rPr>
          <w:rFonts w:ascii="Verdana" w:eastAsia="Calibri" w:hAnsi="Verdana" w:cs="Arial"/>
          <w:color w:val="000000" w:themeColor="text1"/>
          <w:shd w:val="clear" w:color="auto" w:fill="FFFFFF"/>
        </w:rPr>
        <w:t> .</w:t>
      </w:r>
    </w:p>
    <w:p w14:paraId="0624DDA3" w14:textId="77777777" w:rsidR="00C6682F" w:rsidRDefault="00C6682F" w:rsidP="00C6682F">
      <w:pPr>
        <w:spacing w:after="0" w:line="240" w:lineRule="auto"/>
        <w:jc w:val="both"/>
        <w:rPr>
          <w:rFonts w:ascii="Verdana" w:eastAsia="Calibri" w:hAnsi="Verdana" w:cs="Arial"/>
          <w:color w:val="000000" w:themeColor="text1"/>
          <w:shd w:val="clear" w:color="auto" w:fill="FFFFFF"/>
        </w:rPr>
      </w:pPr>
    </w:p>
    <w:p w14:paraId="4F577441" w14:textId="77777777" w:rsidR="00C6682F" w:rsidRPr="008328CE" w:rsidRDefault="00C6682F" w:rsidP="00C6682F">
      <w:pPr>
        <w:spacing w:after="0" w:line="240" w:lineRule="auto"/>
        <w:jc w:val="both"/>
        <w:rPr>
          <w:rFonts w:ascii="Verdana" w:eastAsia="Calibri" w:hAnsi="Verdana" w:cs="Arial"/>
          <w:color w:val="000000" w:themeColor="text1"/>
          <w:shd w:val="clear" w:color="auto" w:fill="FFFFFF"/>
        </w:rPr>
      </w:pPr>
      <w:r w:rsidRPr="008328CE">
        <w:rPr>
          <w:rFonts w:ascii="Verdana" w:eastAsia="Calibri" w:hAnsi="Verdana" w:cs="Arial"/>
          <w:color w:val="000000" w:themeColor="text1"/>
          <w:shd w:val="clear" w:color="auto" w:fill="FFFFFF"/>
        </w:rPr>
        <w:t xml:space="preserve"> Te invitamos también a revisar la tercera edición del  Boletín de Relatoría de 2024 en el cual podrás consultar en detalle el marco normativo de documentos tipo: </w:t>
      </w:r>
      <w:hyperlink r:id="rId13" w:tgtFrame="_blank" w:tooltip="Dirección URL original: https://www.colombiacompra.gov.co/sites/cce_public/files/files_2020/boletin_de_realtoria_iii.pdf. Haga clic o pulse si confía en este vínculo." w:history="1">
        <w:r w:rsidRPr="008328CE">
          <w:rPr>
            <w:rStyle w:val="Hipervnculo"/>
            <w:rFonts w:ascii="Verdana" w:eastAsia="Calibri" w:hAnsi="Verdana" w:cs="Arial"/>
            <w:color w:val="000000" w:themeColor="text1"/>
            <w:shd w:val="clear" w:color="auto" w:fill="FFFFFF"/>
          </w:rPr>
          <w:t>https://www.colombiacompra.gov.co/sites/cce_public/files/files_2020/boletin_de_realtoria_iii.pdf</w:t>
        </w:r>
      </w:hyperlink>
      <w:r w:rsidRPr="008328CE">
        <w:rPr>
          <w:rFonts w:ascii="Verdana" w:eastAsia="Calibri" w:hAnsi="Verdana" w:cs="Arial"/>
          <w:color w:val="000000" w:themeColor="text1"/>
          <w:shd w:val="clear" w:color="auto" w:fill="FFFFFF"/>
        </w:rPr>
        <w:t>.  </w:t>
      </w:r>
    </w:p>
    <w:p w14:paraId="6913CABC" w14:textId="77777777" w:rsidR="00C6682F" w:rsidRPr="008328CE" w:rsidRDefault="00C6682F" w:rsidP="00C6682F">
      <w:pPr>
        <w:spacing w:after="0" w:line="240" w:lineRule="auto"/>
        <w:jc w:val="both"/>
        <w:rPr>
          <w:rFonts w:ascii="Verdana" w:eastAsia="Calibri" w:hAnsi="Verdana" w:cs="Arial"/>
          <w:color w:val="000000" w:themeColor="text1"/>
          <w:shd w:val="clear" w:color="auto" w:fill="FFFFFF"/>
        </w:rPr>
      </w:pPr>
    </w:p>
    <w:p w14:paraId="3755886E" w14:textId="77777777" w:rsidR="00C6682F" w:rsidRPr="009322DA" w:rsidRDefault="00C6682F" w:rsidP="00C6682F">
      <w:pPr>
        <w:spacing w:after="0" w:line="240" w:lineRule="auto"/>
        <w:jc w:val="both"/>
        <w:rPr>
          <w:rFonts w:ascii="Verdana" w:eastAsia="Calibri" w:hAnsi="Verdana" w:cs="Arial"/>
          <w:color w:val="FF0000"/>
          <w:shd w:val="clear" w:color="auto" w:fill="FFFFFF"/>
        </w:rPr>
      </w:pPr>
    </w:p>
    <w:p w14:paraId="675FC0A5" w14:textId="77777777" w:rsidR="00C6682F" w:rsidRPr="009322DA" w:rsidRDefault="00C6682F" w:rsidP="00C6682F">
      <w:pPr>
        <w:spacing w:after="0" w:line="240" w:lineRule="auto"/>
        <w:jc w:val="both"/>
        <w:rPr>
          <w:rFonts w:ascii="Calibri" w:eastAsia="Calibri" w:hAnsi="Calibri" w:cs="Times New Roman"/>
        </w:rPr>
      </w:pPr>
      <w:r w:rsidRPr="0044528D">
        <w:rPr>
          <w:rFonts w:ascii="Verdana" w:hAnsi="Verdana"/>
        </w:rPr>
        <w:t xml:space="preserve">Por último, lo invitamos a seguirnos en las redes sociales en las cuales se difunde información institucional: </w:t>
      </w:r>
    </w:p>
    <w:p w14:paraId="5F6E6E3B" w14:textId="77777777" w:rsidR="00C6682F" w:rsidRPr="0044528D" w:rsidRDefault="00C6682F" w:rsidP="00C6682F">
      <w:pPr>
        <w:spacing w:after="0" w:line="240" w:lineRule="auto"/>
        <w:jc w:val="both"/>
        <w:rPr>
          <w:rFonts w:ascii="Verdana" w:hAnsi="Verdana"/>
        </w:rPr>
      </w:pPr>
    </w:p>
    <w:p w14:paraId="2A87A3AD" w14:textId="77777777" w:rsidR="00C6682F" w:rsidRPr="0044528D" w:rsidRDefault="00C6682F" w:rsidP="00C6682F">
      <w:pPr>
        <w:spacing w:after="0" w:line="240" w:lineRule="auto"/>
        <w:jc w:val="both"/>
        <w:rPr>
          <w:rFonts w:ascii="Verdana" w:hAnsi="Verdana"/>
        </w:rPr>
      </w:pPr>
      <w:r w:rsidRPr="0044528D">
        <w:rPr>
          <w:rFonts w:ascii="Verdana" w:hAnsi="Verdana"/>
        </w:rPr>
        <w:t xml:space="preserve">Twitter: </w:t>
      </w:r>
      <w:r w:rsidRPr="009322DA">
        <w:rPr>
          <w:rFonts w:ascii="Verdana" w:eastAsia="Calibri" w:hAnsi="Verdana" w:cs="Times New Roman"/>
          <w:color w:val="4472C4" w:themeColor="accent1"/>
          <w:u w:val="single"/>
        </w:rPr>
        <w:t>@colombiacompra</w:t>
      </w:r>
      <w:r w:rsidRPr="009322DA">
        <w:rPr>
          <w:rFonts w:ascii="Verdana" w:eastAsia="Calibri" w:hAnsi="Verdana" w:cs="Times New Roman"/>
          <w:color w:val="4472C4" w:themeColor="accent1"/>
        </w:rPr>
        <w:t xml:space="preserve"> </w:t>
      </w:r>
    </w:p>
    <w:p w14:paraId="309F004F" w14:textId="77777777" w:rsidR="00C6682F" w:rsidRPr="0044528D" w:rsidRDefault="00C6682F" w:rsidP="00C6682F">
      <w:pPr>
        <w:spacing w:after="0" w:line="240" w:lineRule="auto"/>
        <w:jc w:val="both"/>
        <w:rPr>
          <w:rFonts w:ascii="Verdana" w:hAnsi="Verdana"/>
        </w:rPr>
      </w:pPr>
      <w:r w:rsidRPr="0044528D">
        <w:rPr>
          <w:rFonts w:ascii="Verdana" w:hAnsi="Verdana"/>
        </w:rPr>
        <w:t xml:space="preserve">Facebook: </w:t>
      </w:r>
      <w:proofErr w:type="spellStart"/>
      <w:r w:rsidRPr="009322DA">
        <w:rPr>
          <w:rFonts w:ascii="Verdana" w:eastAsia="Calibri" w:hAnsi="Verdana" w:cs="Times New Roman"/>
          <w:color w:val="4472C4" w:themeColor="accent1"/>
          <w:u w:val="single"/>
        </w:rPr>
        <w:t>ColombiaCompraEficiente</w:t>
      </w:r>
      <w:proofErr w:type="spellEnd"/>
    </w:p>
    <w:p w14:paraId="5EDBB615" w14:textId="77777777" w:rsidR="00C6682F" w:rsidRPr="0044528D" w:rsidRDefault="00C6682F" w:rsidP="00C6682F">
      <w:pPr>
        <w:spacing w:after="0" w:line="240" w:lineRule="auto"/>
        <w:jc w:val="both"/>
        <w:rPr>
          <w:rFonts w:ascii="Verdana" w:hAnsi="Verdana"/>
        </w:rPr>
      </w:pPr>
      <w:r w:rsidRPr="0044528D">
        <w:rPr>
          <w:rFonts w:ascii="Verdana" w:hAnsi="Verdana"/>
        </w:rPr>
        <w:t xml:space="preserve">LinkedIn: </w:t>
      </w:r>
      <w:r w:rsidRPr="009322DA">
        <w:rPr>
          <w:rFonts w:ascii="Verdana" w:eastAsia="Calibri" w:hAnsi="Verdana" w:cs="Times New Roman"/>
          <w:color w:val="4472C4" w:themeColor="accent1"/>
          <w:u w:val="single"/>
        </w:rPr>
        <w:t>Agencia Nacional de Contratación Pública - Colombia Compra Eficiente</w:t>
      </w:r>
      <w:r w:rsidRPr="009322DA">
        <w:rPr>
          <w:rFonts w:ascii="Verdana" w:eastAsia="Calibri" w:hAnsi="Verdana" w:cs="Times New Roman"/>
          <w:color w:val="4472C4" w:themeColor="accent1"/>
        </w:rPr>
        <w:t xml:space="preserve"> </w:t>
      </w:r>
      <w:r w:rsidRPr="0044528D">
        <w:rPr>
          <w:rFonts w:ascii="Verdana" w:hAnsi="Verdana"/>
        </w:rPr>
        <w:t xml:space="preserve">Instagram: </w:t>
      </w:r>
      <w:r w:rsidRPr="009322DA">
        <w:rPr>
          <w:rFonts w:ascii="Verdana" w:eastAsia="Calibri" w:hAnsi="Verdana" w:cs="Times New Roman"/>
          <w:color w:val="4472C4" w:themeColor="accent1"/>
          <w:u w:val="single"/>
        </w:rPr>
        <w:t>@colombiacompraeficiente_cce</w:t>
      </w:r>
    </w:p>
    <w:p w14:paraId="2DE5263C" w14:textId="77777777" w:rsidR="00C6682F" w:rsidRPr="0044528D" w:rsidRDefault="00C6682F" w:rsidP="00C6682F">
      <w:pPr>
        <w:widowControl w:val="0"/>
        <w:autoSpaceDE w:val="0"/>
        <w:autoSpaceDN w:val="0"/>
        <w:spacing w:after="0" w:line="276" w:lineRule="auto"/>
        <w:jc w:val="both"/>
        <w:rPr>
          <w:rFonts w:ascii="Verdana" w:hAnsi="Verdana"/>
        </w:rPr>
      </w:pPr>
    </w:p>
    <w:p w14:paraId="4AF8A722" w14:textId="77777777" w:rsidR="00C6682F" w:rsidRPr="009322DA" w:rsidRDefault="00C6682F" w:rsidP="00C6682F">
      <w:pPr>
        <w:widowControl w:val="0"/>
        <w:autoSpaceDE w:val="0"/>
        <w:autoSpaceDN w:val="0"/>
        <w:spacing w:after="0" w:line="276" w:lineRule="auto"/>
        <w:jc w:val="both"/>
        <w:rPr>
          <w:rFonts w:ascii="Verdana" w:eastAsia="Calibri" w:hAnsi="Verdana" w:cs="Arial"/>
          <w:lang w:val="es-ES_tradnl"/>
        </w:rPr>
      </w:pPr>
      <w:r w:rsidRPr="009322DA">
        <w:rPr>
          <w:rFonts w:ascii="Verdana" w:eastAsia="Calibri" w:hAnsi="Verdana" w:cs="Arial"/>
        </w:rPr>
        <w:t>Este concepto tiene el alcance previsto en el artículo 28 del Código de Procedimiento Administrativo y de lo Contencioso Administrativo.</w:t>
      </w:r>
    </w:p>
    <w:p w14:paraId="4030AD4D" w14:textId="77777777" w:rsidR="00C6682F" w:rsidRPr="009322DA" w:rsidRDefault="00C6682F" w:rsidP="00C6682F">
      <w:pPr>
        <w:widowControl w:val="0"/>
        <w:autoSpaceDE w:val="0"/>
        <w:autoSpaceDN w:val="0"/>
        <w:spacing w:after="0" w:line="276" w:lineRule="auto"/>
        <w:jc w:val="both"/>
        <w:rPr>
          <w:rFonts w:ascii="Verdana" w:eastAsia="Calibri" w:hAnsi="Verdana" w:cs="Arial"/>
        </w:rPr>
      </w:pPr>
    </w:p>
    <w:p w14:paraId="267536AB" w14:textId="77777777" w:rsidR="00C6682F" w:rsidRPr="009322DA" w:rsidRDefault="00C6682F" w:rsidP="00C6682F">
      <w:pPr>
        <w:spacing w:after="0" w:line="240" w:lineRule="auto"/>
        <w:rPr>
          <w:rFonts w:ascii="Verdana" w:eastAsia="Calibri" w:hAnsi="Verdana" w:cs="Arial"/>
          <w:lang w:eastAsia="es-CO"/>
        </w:rPr>
      </w:pPr>
      <w:r w:rsidRPr="009322DA">
        <w:rPr>
          <w:rFonts w:ascii="Verdana" w:eastAsia="Times New Roman" w:hAnsi="Verdana" w:cs="Arial"/>
          <w:lang w:eastAsia="es-CO"/>
        </w:rPr>
        <w:t>Atentamente,</w:t>
      </w:r>
      <w:r w:rsidRPr="009322DA">
        <w:rPr>
          <w:rFonts w:ascii="Verdana" w:eastAsia="Calibri" w:hAnsi="Verdana" w:cs="Arial"/>
          <w:lang w:eastAsia="es-CO"/>
        </w:rPr>
        <w:t xml:space="preserve"> </w:t>
      </w:r>
    </w:p>
    <w:p w14:paraId="79BF13D6" w14:textId="77777777" w:rsidR="00C6682F" w:rsidRDefault="00C6682F" w:rsidP="00C6682F">
      <w:pPr>
        <w:spacing w:line="276" w:lineRule="auto"/>
        <w:jc w:val="center"/>
        <w:rPr>
          <w:rFonts w:ascii="Century Gothic" w:hAnsi="Century Gothic"/>
          <w:noProof/>
        </w:rPr>
      </w:pPr>
    </w:p>
    <w:p w14:paraId="3268F127" w14:textId="77777777" w:rsidR="00C6682F" w:rsidRDefault="00C6682F" w:rsidP="00C6682F">
      <w:pPr>
        <w:spacing w:line="276" w:lineRule="auto"/>
        <w:jc w:val="center"/>
        <w:rPr>
          <w:rFonts w:ascii="Century Gothic" w:hAnsi="Century Gothic"/>
          <w:noProof/>
          <w:color w:val="000000"/>
        </w:rPr>
      </w:pPr>
    </w:p>
    <w:p w14:paraId="7EF83B1B" w14:textId="77777777" w:rsidR="00C6682F" w:rsidRDefault="00C6682F" w:rsidP="00C6682F">
      <w:pPr>
        <w:spacing w:line="276" w:lineRule="auto"/>
        <w:jc w:val="center"/>
        <w:rPr>
          <w:rFonts w:ascii="Century Gothic" w:hAnsi="Century Gothic"/>
          <w:noProof/>
          <w:color w:val="000000"/>
        </w:rPr>
      </w:pPr>
    </w:p>
    <w:p w14:paraId="14008820" w14:textId="511621DB" w:rsidR="00C6682F" w:rsidRPr="009322DA" w:rsidRDefault="00CF2672" w:rsidP="00C6682F">
      <w:pPr>
        <w:spacing w:line="276" w:lineRule="auto"/>
        <w:jc w:val="center"/>
        <w:rPr>
          <w:rFonts w:ascii="Verdana" w:eastAsia="Calibri" w:hAnsi="Verdana" w:cs="Arial"/>
          <w:color w:val="000000"/>
          <w:lang w:val="es-ES_tradnl" w:eastAsia="es-CO"/>
        </w:rPr>
      </w:pPr>
      <w:r>
        <w:rPr>
          <w:noProof/>
        </w:rPr>
        <w:drawing>
          <wp:inline distT="0" distB="0" distL="0" distR="0" wp14:anchorId="591DA77F" wp14:editId="61AFA447">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682F" w:rsidRPr="009322DA" w14:paraId="5EA88ADE" w14:textId="77777777" w:rsidTr="00751649">
        <w:trPr>
          <w:trHeight w:val="315"/>
        </w:trPr>
        <w:tc>
          <w:tcPr>
            <w:tcW w:w="893" w:type="dxa"/>
            <w:vAlign w:val="center"/>
            <w:hideMark/>
          </w:tcPr>
          <w:p w14:paraId="7372FD47" w14:textId="77777777" w:rsidR="00C6682F" w:rsidRPr="009322DA" w:rsidRDefault="00C6682F" w:rsidP="00751649">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6B7BD7" w14:textId="77777777" w:rsidR="00C6682F" w:rsidRPr="009322DA" w:rsidRDefault="00C6682F" w:rsidP="00751649">
            <w:pPr>
              <w:spacing w:after="255"/>
              <w:contextualSpacing/>
              <w:rPr>
                <w:rFonts w:ascii="Verdana" w:eastAsia="Arial" w:hAnsi="Verdana" w:cs="Arial"/>
                <w:sz w:val="16"/>
                <w:szCs w:val="16"/>
              </w:rPr>
            </w:pPr>
            <w:r>
              <w:rPr>
                <w:rFonts w:ascii="Verdana" w:eastAsia="Arial" w:hAnsi="Verdana" w:cs="Arial"/>
                <w:sz w:val="16"/>
                <w:szCs w:val="16"/>
              </w:rPr>
              <w:t xml:space="preserve">Héctor Luis Quiñones </w:t>
            </w:r>
            <w:proofErr w:type="spellStart"/>
            <w:r>
              <w:rPr>
                <w:rFonts w:ascii="Verdana" w:eastAsia="Arial" w:hAnsi="Verdana" w:cs="Arial"/>
                <w:sz w:val="16"/>
                <w:szCs w:val="16"/>
              </w:rPr>
              <w:t>Quiñones</w:t>
            </w:r>
            <w:proofErr w:type="spellEnd"/>
          </w:p>
          <w:p w14:paraId="3F7AA213" w14:textId="77777777" w:rsidR="00C6682F" w:rsidRPr="009322DA" w:rsidRDefault="00C6682F" w:rsidP="00751649">
            <w:pPr>
              <w:spacing w:after="255"/>
              <w:contextualSpacing/>
              <w:rPr>
                <w:rFonts w:ascii="Verdana" w:eastAsia="Arial" w:hAnsi="Verdana" w:cs="Arial"/>
                <w:sz w:val="16"/>
                <w:szCs w:val="16"/>
              </w:rPr>
            </w:pPr>
            <w:r>
              <w:rPr>
                <w:rFonts w:ascii="Verdana" w:eastAsia="Arial" w:hAnsi="Verdana" w:cs="Arial"/>
                <w:sz w:val="16"/>
                <w:szCs w:val="16"/>
              </w:rPr>
              <w:t>Analista T2 – 02</w:t>
            </w:r>
            <w:r w:rsidRPr="009322DA">
              <w:rPr>
                <w:rFonts w:ascii="Verdana" w:eastAsia="Arial" w:hAnsi="Verdana" w:cs="Arial"/>
                <w:sz w:val="16"/>
                <w:szCs w:val="16"/>
              </w:rPr>
              <w:t xml:space="preserve"> de la Subdirección de Gestión Contractual</w:t>
            </w:r>
          </w:p>
        </w:tc>
      </w:tr>
      <w:tr w:rsidR="00C6682F" w:rsidRPr="009322DA" w14:paraId="599AB695" w14:textId="77777777" w:rsidTr="00751649">
        <w:trPr>
          <w:trHeight w:val="330"/>
        </w:trPr>
        <w:tc>
          <w:tcPr>
            <w:tcW w:w="893" w:type="dxa"/>
            <w:vAlign w:val="center"/>
            <w:hideMark/>
          </w:tcPr>
          <w:p w14:paraId="02E449EF" w14:textId="77777777" w:rsidR="00C6682F" w:rsidRPr="009322DA" w:rsidRDefault="00C6682F" w:rsidP="00751649">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F4FCCA" w14:textId="77777777" w:rsidR="00C6682F" w:rsidRPr="009322DA" w:rsidRDefault="00C6682F" w:rsidP="00751649">
            <w:pPr>
              <w:spacing w:after="255"/>
              <w:contextualSpacing/>
              <w:textAlignment w:val="baseline"/>
              <w:rPr>
                <w:rFonts w:ascii="Verdana" w:eastAsia="Times New Roman" w:hAnsi="Verdana" w:cs="Arial"/>
                <w:sz w:val="16"/>
                <w:szCs w:val="16"/>
                <w:lang w:eastAsia="es-ES_tradnl"/>
              </w:rPr>
            </w:pPr>
            <w:r>
              <w:rPr>
                <w:rFonts w:ascii="Verdana" w:eastAsia="Times New Roman" w:hAnsi="Verdana" w:cs="Arial"/>
                <w:sz w:val="16"/>
                <w:szCs w:val="16"/>
                <w:lang w:eastAsia="es-ES_tradnl"/>
              </w:rPr>
              <w:t xml:space="preserve">Adriana </w:t>
            </w:r>
            <w:proofErr w:type="spellStart"/>
            <w:r>
              <w:rPr>
                <w:rFonts w:ascii="Verdana" w:eastAsia="Times New Roman" w:hAnsi="Verdana" w:cs="Arial"/>
                <w:sz w:val="16"/>
                <w:szCs w:val="16"/>
                <w:lang w:eastAsia="es-ES_tradnl"/>
              </w:rPr>
              <w:t>Katerine</w:t>
            </w:r>
            <w:proofErr w:type="spellEnd"/>
            <w:r>
              <w:rPr>
                <w:rFonts w:ascii="Verdana" w:eastAsia="Times New Roman" w:hAnsi="Verdana" w:cs="Arial"/>
                <w:sz w:val="16"/>
                <w:szCs w:val="16"/>
                <w:lang w:eastAsia="es-ES_tradnl"/>
              </w:rPr>
              <w:t xml:space="preserve"> López Rodríguez</w:t>
            </w:r>
          </w:p>
          <w:p w14:paraId="7392963E" w14:textId="77777777" w:rsidR="00C6682F" w:rsidRPr="009322DA" w:rsidRDefault="00C6682F" w:rsidP="00751649">
            <w:pPr>
              <w:contextualSpacing/>
              <w:textAlignment w:val="baseline"/>
              <w:rPr>
                <w:rFonts w:ascii="Verdana" w:eastAsia="Times New Roman" w:hAnsi="Verdana" w:cs="Segoe UI"/>
                <w:sz w:val="16"/>
                <w:szCs w:val="16"/>
                <w:lang w:eastAsia="es-ES_tradnl"/>
              </w:rPr>
            </w:pPr>
            <w:r w:rsidRPr="009322DA">
              <w:rPr>
                <w:rFonts w:ascii="Verdana" w:eastAsia="Times New Roman" w:hAnsi="Verdana" w:cs="Arial"/>
                <w:sz w:val="16"/>
                <w:szCs w:val="16"/>
                <w:lang w:eastAsia="es-ES_tradnl"/>
              </w:rPr>
              <w:t>Contratista de la Subdirección de Gestión Contractual</w:t>
            </w:r>
          </w:p>
        </w:tc>
      </w:tr>
      <w:tr w:rsidR="00C6682F" w:rsidRPr="009322DA" w14:paraId="5FE50475" w14:textId="77777777" w:rsidTr="00751649">
        <w:trPr>
          <w:trHeight w:val="300"/>
        </w:trPr>
        <w:tc>
          <w:tcPr>
            <w:tcW w:w="893" w:type="dxa"/>
            <w:vAlign w:val="center"/>
            <w:hideMark/>
          </w:tcPr>
          <w:p w14:paraId="1F5B5C9B" w14:textId="77777777" w:rsidR="00C6682F" w:rsidRPr="009322DA" w:rsidRDefault="00C6682F" w:rsidP="00751649">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FC5E0F" w14:textId="77777777" w:rsidR="00C6682F" w:rsidRPr="009322DA" w:rsidRDefault="00C6682F" w:rsidP="00751649">
            <w:pPr>
              <w:spacing w:after="255"/>
              <w:contextualSpacing/>
              <w:rPr>
                <w:rFonts w:ascii="Verdana" w:hAnsi="Verdana" w:cs="Arial"/>
                <w:sz w:val="16"/>
                <w:szCs w:val="16"/>
                <w:lang w:val="pt-BR" w:eastAsia="es-ES"/>
              </w:rPr>
            </w:pPr>
            <w:r w:rsidRPr="009322DA">
              <w:rPr>
                <w:rFonts w:ascii="Verdana" w:hAnsi="Verdana" w:cs="Arial"/>
                <w:sz w:val="16"/>
                <w:szCs w:val="16"/>
                <w:lang w:val="pt-BR" w:eastAsia="es-ES"/>
              </w:rPr>
              <w:t xml:space="preserve">Carolina Quintero </w:t>
            </w:r>
            <w:proofErr w:type="spellStart"/>
            <w:r w:rsidRPr="009322DA">
              <w:rPr>
                <w:rFonts w:ascii="Verdana" w:hAnsi="Verdana" w:cs="Arial"/>
                <w:sz w:val="16"/>
                <w:szCs w:val="16"/>
                <w:lang w:val="pt-BR" w:eastAsia="es-ES"/>
              </w:rPr>
              <w:t>Gacharná</w:t>
            </w:r>
            <w:proofErr w:type="spellEnd"/>
          </w:p>
          <w:p w14:paraId="02B11E53" w14:textId="77777777" w:rsidR="00C6682F" w:rsidRPr="009322DA" w:rsidRDefault="00C6682F" w:rsidP="00751649">
            <w:pPr>
              <w:spacing w:after="255"/>
              <w:contextualSpacing/>
              <w:rPr>
                <w:rFonts w:ascii="Verdana" w:hAnsi="Verdana" w:cs="Arial"/>
                <w:sz w:val="16"/>
                <w:szCs w:val="16"/>
                <w:lang w:val="pt-BR" w:eastAsia="es-ES"/>
              </w:rPr>
            </w:pPr>
            <w:r w:rsidRPr="009322DA">
              <w:rPr>
                <w:rFonts w:ascii="Verdana" w:hAnsi="Verdana" w:cs="Arial"/>
                <w:sz w:val="16"/>
                <w:szCs w:val="16"/>
                <w:lang w:eastAsia="es-ES"/>
              </w:rPr>
              <w:t>Subdirectora</w:t>
            </w:r>
            <w:r w:rsidRPr="009322DA">
              <w:rPr>
                <w:rFonts w:ascii="Verdana" w:hAnsi="Verdana" w:cs="Arial"/>
                <w:sz w:val="16"/>
                <w:szCs w:val="16"/>
                <w:lang w:val="pt-BR" w:eastAsia="es-ES"/>
              </w:rPr>
              <w:t xml:space="preserve"> de </w:t>
            </w:r>
            <w:proofErr w:type="spellStart"/>
            <w:r w:rsidRPr="009322DA">
              <w:rPr>
                <w:rFonts w:ascii="Verdana" w:hAnsi="Verdana" w:cs="Arial"/>
                <w:sz w:val="16"/>
                <w:szCs w:val="16"/>
                <w:lang w:val="pt-BR" w:eastAsia="es-ES"/>
              </w:rPr>
              <w:t>Gestión</w:t>
            </w:r>
            <w:proofErr w:type="spellEnd"/>
            <w:r w:rsidRPr="009322DA">
              <w:rPr>
                <w:rFonts w:ascii="Verdana" w:hAnsi="Verdana" w:cs="Arial"/>
                <w:sz w:val="16"/>
                <w:szCs w:val="16"/>
                <w:lang w:val="pt-BR" w:eastAsia="es-ES"/>
              </w:rPr>
              <w:t xml:space="preserve"> </w:t>
            </w:r>
            <w:proofErr w:type="spellStart"/>
            <w:r w:rsidRPr="009322DA">
              <w:rPr>
                <w:rFonts w:ascii="Verdana" w:hAnsi="Verdana" w:cs="Arial"/>
                <w:sz w:val="16"/>
                <w:szCs w:val="16"/>
                <w:lang w:val="pt-BR" w:eastAsia="es-ES"/>
              </w:rPr>
              <w:t>Contractual</w:t>
            </w:r>
            <w:proofErr w:type="spellEnd"/>
            <w:r w:rsidRPr="009322DA">
              <w:rPr>
                <w:rFonts w:ascii="Verdana" w:hAnsi="Verdana" w:cs="Arial"/>
                <w:sz w:val="16"/>
                <w:szCs w:val="16"/>
                <w:lang w:val="pt-BR" w:eastAsia="es-ES"/>
              </w:rPr>
              <w:t xml:space="preserve"> ANCP – CCE</w:t>
            </w:r>
          </w:p>
        </w:tc>
      </w:tr>
    </w:tbl>
    <w:p w14:paraId="6FE8E015" w14:textId="77777777" w:rsidR="00C6682F" w:rsidRPr="009322DA" w:rsidRDefault="00C6682F" w:rsidP="00C6682F"/>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50E8A" w14:textId="77777777" w:rsidR="00A02CA8" w:rsidRDefault="00A02CA8" w:rsidP="004A1847">
      <w:pPr>
        <w:spacing w:after="0" w:line="240" w:lineRule="auto"/>
      </w:pPr>
      <w:r>
        <w:separator/>
      </w:r>
    </w:p>
  </w:endnote>
  <w:endnote w:type="continuationSeparator" w:id="0">
    <w:p w14:paraId="704024C0" w14:textId="77777777" w:rsidR="00A02CA8" w:rsidRDefault="00A02CA8" w:rsidP="004A1847">
      <w:pPr>
        <w:spacing w:after="0" w:line="240" w:lineRule="auto"/>
      </w:pPr>
      <w:r>
        <w:continuationSeparator/>
      </w:r>
    </w:p>
  </w:endnote>
  <w:endnote w:type="continuationNotice" w:id="1">
    <w:p w14:paraId="16F09A84" w14:textId="77777777" w:rsidR="00284BDA" w:rsidRDefault="00284B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183A8" w14:textId="77777777" w:rsidR="00A02CA8" w:rsidRDefault="00A02CA8" w:rsidP="004A1847">
      <w:pPr>
        <w:spacing w:after="0" w:line="240" w:lineRule="auto"/>
      </w:pPr>
      <w:r>
        <w:separator/>
      </w:r>
    </w:p>
  </w:footnote>
  <w:footnote w:type="continuationSeparator" w:id="0">
    <w:p w14:paraId="0DD2B6E0" w14:textId="77777777" w:rsidR="00A02CA8" w:rsidRDefault="00A02CA8" w:rsidP="004A1847">
      <w:pPr>
        <w:spacing w:after="0" w:line="240" w:lineRule="auto"/>
      </w:pPr>
      <w:r>
        <w:continuationSeparator/>
      </w:r>
    </w:p>
  </w:footnote>
  <w:footnote w:type="continuationNotice" w:id="1">
    <w:p w14:paraId="628C0843" w14:textId="77777777" w:rsidR="00284BDA" w:rsidRDefault="00284BDA">
      <w:pPr>
        <w:spacing w:after="0" w:line="240" w:lineRule="auto"/>
      </w:pPr>
    </w:p>
  </w:footnote>
  <w:footnote w:id="2">
    <w:p w14:paraId="77E109C9"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w:t>
      </w:r>
      <w:r w:rsidRPr="00721CE1">
        <w:rPr>
          <w:rFonts w:ascii="Arial" w:hAnsi="Arial" w:cs="Arial"/>
          <w:color w:val="000000"/>
          <w:sz w:val="19"/>
          <w:szCs w:val="19"/>
          <w:lang w:val="es-CO"/>
        </w:rPr>
        <w:t xml:space="preserve">Real Academia Española de la Lengua. Diccionario de la Lengua Española. Edición Tricentenario. Disponible en: </w:t>
      </w:r>
      <w:hyperlink r:id="rId1" w:history="1">
        <w:r w:rsidRPr="00721CE1">
          <w:rPr>
            <w:rStyle w:val="Hipervnculo1"/>
            <w:rFonts w:ascii="Arial" w:hAnsi="Arial" w:cs="Arial"/>
            <w:color w:val="000000"/>
            <w:sz w:val="19"/>
            <w:szCs w:val="19"/>
          </w:rPr>
          <w:t>https://dle.rae.es/h%C3%A1bil</w:t>
        </w:r>
      </w:hyperlink>
      <w:r w:rsidRPr="00721CE1">
        <w:rPr>
          <w:rFonts w:ascii="Arial" w:hAnsi="Arial" w:cs="Arial"/>
          <w:color w:val="000000"/>
          <w:sz w:val="19"/>
          <w:szCs w:val="19"/>
          <w:lang w:val="es-CO"/>
        </w:rPr>
        <w:t xml:space="preserve"> </w:t>
      </w:r>
    </w:p>
  </w:footnote>
  <w:footnote w:id="3">
    <w:p w14:paraId="0F4164D3"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MARÍN CORTÉS, Fabián G. Derecho de petición y procedimiento administrativo. 1</w:t>
      </w:r>
      <w:r w:rsidRPr="00721CE1">
        <w:rPr>
          <w:rFonts w:ascii="Arial" w:hAnsi="Arial" w:cs="Arial"/>
          <w:color w:val="000000"/>
          <w:sz w:val="19"/>
          <w:szCs w:val="19"/>
          <w:u w:val="single"/>
          <w:vertAlign w:val="superscript"/>
        </w:rPr>
        <w:t>a</w:t>
      </w:r>
      <w:r w:rsidRPr="00721CE1">
        <w:rPr>
          <w:rFonts w:ascii="Arial" w:hAnsi="Arial" w:cs="Arial"/>
          <w:color w:val="000000"/>
          <w:sz w:val="19"/>
          <w:szCs w:val="19"/>
        </w:rPr>
        <w:t xml:space="preserve"> ed. Medellín: Librería Jurídica Sánchez R Ltda y Centro de Estudios de Derecho Administrativo, 2017. p. 417. </w:t>
      </w:r>
    </w:p>
  </w:footnote>
  <w:footnote w:id="4">
    <w:p w14:paraId="5AC5AF6B" w14:textId="77777777" w:rsidR="00920A84" w:rsidRPr="00721CE1" w:rsidRDefault="00920A84" w:rsidP="00920A84">
      <w:pPr>
        <w:pStyle w:val="Textonotapie"/>
        <w:ind w:firstLine="708"/>
        <w:jc w:val="both"/>
        <w:rPr>
          <w:rFonts w:ascii="Arial" w:hAnsi="Arial" w:cs="Arial"/>
          <w:color w:val="000000"/>
          <w:sz w:val="19"/>
          <w:szCs w:val="19"/>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w:t>
      </w:r>
      <w:r w:rsidRPr="00721CE1">
        <w:rPr>
          <w:rFonts w:ascii="Arial" w:hAnsi="Arial" w:cs="Arial"/>
          <w:color w:val="000000"/>
          <w:sz w:val="19"/>
          <w:szCs w:val="19"/>
          <w:lang w:val="es-CO"/>
        </w:rPr>
        <w:t xml:space="preserve">Consejo de Estado. </w:t>
      </w:r>
      <w:r w:rsidRPr="00721CE1">
        <w:rPr>
          <w:rFonts w:ascii="Arial" w:hAnsi="Arial" w:cs="Arial"/>
          <w:color w:val="000000"/>
          <w:sz w:val="19"/>
          <w:szCs w:val="19"/>
        </w:rPr>
        <w:t>Sala Plena de lo Contencioso Administrativo. Sentencia del 12 de abril de 1978. C.P. Carlos Portocarrero Mutis. Exp. 355.</w:t>
      </w:r>
    </w:p>
    <w:p w14:paraId="6CE7819F" w14:textId="77777777" w:rsidR="00920A84" w:rsidRPr="00721CE1" w:rsidRDefault="00920A84" w:rsidP="00920A84">
      <w:pPr>
        <w:pStyle w:val="Textonotapie"/>
        <w:ind w:firstLine="708"/>
        <w:jc w:val="both"/>
        <w:rPr>
          <w:rFonts w:ascii="Arial" w:hAnsi="Arial" w:cs="Arial"/>
          <w:color w:val="000000"/>
          <w:sz w:val="19"/>
          <w:szCs w:val="19"/>
          <w:lang w:val="es-CO"/>
        </w:rPr>
      </w:pPr>
    </w:p>
  </w:footnote>
  <w:footnote w:id="5">
    <w:p w14:paraId="0864A43B"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Consejo de Estado. Sección Cuarta. Auto del 26 de febrero de 1983.</w:t>
      </w:r>
    </w:p>
  </w:footnote>
  <w:footnote w:id="6">
    <w:p w14:paraId="17FD1B77" w14:textId="77777777" w:rsidR="00920A84" w:rsidRPr="00721CE1" w:rsidRDefault="00920A84" w:rsidP="00920A84">
      <w:pPr>
        <w:pStyle w:val="Textonotapie"/>
        <w:ind w:firstLine="708"/>
        <w:jc w:val="both"/>
        <w:rPr>
          <w:rFonts w:ascii="Arial" w:hAnsi="Arial" w:cs="Arial"/>
          <w:color w:val="000000"/>
          <w:sz w:val="19"/>
          <w:szCs w:val="19"/>
        </w:rPr>
      </w:pPr>
    </w:p>
    <w:p w14:paraId="64136843"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MARÍN CORTÉS, Fabián G. Derecho de petición y procedimiento administrativo. 1</w:t>
      </w:r>
      <w:r w:rsidRPr="00721CE1">
        <w:rPr>
          <w:rFonts w:ascii="Arial" w:hAnsi="Arial" w:cs="Arial"/>
          <w:color w:val="000000"/>
          <w:sz w:val="19"/>
          <w:szCs w:val="19"/>
          <w:u w:val="single"/>
          <w:vertAlign w:val="superscript"/>
        </w:rPr>
        <w:t>a</w:t>
      </w:r>
      <w:r w:rsidRPr="00721CE1">
        <w:rPr>
          <w:rFonts w:ascii="Arial" w:hAnsi="Arial" w:cs="Arial"/>
          <w:color w:val="000000"/>
          <w:sz w:val="19"/>
          <w:szCs w:val="19"/>
        </w:rPr>
        <w:t xml:space="preserve"> ed. Medellín: Librería Jurídica Sánchez R Ltda y Centro de Estudios de Derecho Administrativo, 2017. p. 417.  </w:t>
      </w:r>
    </w:p>
  </w:footnote>
  <w:footnote w:id="7">
    <w:p w14:paraId="5793CFD8" w14:textId="77777777" w:rsidR="00920A84" w:rsidRPr="00721CE1" w:rsidRDefault="00920A84" w:rsidP="00920A84">
      <w:pPr>
        <w:pStyle w:val="Textonotapie"/>
        <w:ind w:firstLine="708"/>
        <w:jc w:val="both"/>
        <w:rPr>
          <w:rFonts w:ascii="Arial" w:hAnsi="Arial" w:cs="Arial"/>
          <w:color w:val="000000"/>
          <w:sz w:val="19"/>
          <w:szCs w:val="19"/>
        </w:rPr>
      </w:pPr>
    </w:p>
    <w:p w14:paraId="5C9974D2"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w:t>
      </w:r>
      <w:r w:rsidRPr="00721CE1">
        <w:rPr>
          <w:rFonts w:ascii="Arial" w:hAnsi="Arial" w:cs="Arial"/>
          <w:i/>
          <w:iCs/>
          <w:color w:val="000000"/>
          <w:sz w:val="19"/>
          <w:szCs w:val="19"/>
        </w:rPr>
        <w:t>Ibídem.</w:t>
      </w:r>
      <w:r w:rsidRPr="00721CE1">
        <w:rPr>
          <w:rFonts w:ascii="Arial" w:hAnsi="Arial" w:cs="Arial"/>
          <w:color w:val="000000"/>
          <w:sz w:val="19"/>
          <w:szCs w:val="19"/>
        </w:rPr>
        <w:t xml:space="preserve"> </w:t>
      </w:r>
    </w:p>
  </w:footnote>
  <w:footnote w:id="8">
    <w:p w14:paraId="062396F3" w14:textId="77777777" w:rsidR="00920A84" w:rsidRPr="00721CE1" w:rsidRDefault="00920A84" w:rsidP="00920A84">
      <w:pPr>
        <w:pStyle w:val="Textonotapie"/>
        <w:ind w:firstLine="708"/>
        <w:jc w:val="both"/>
        <w:rPr>
          <w:rFonts w:ascii="Arial" w:hAnsi="Arial" w:cs="Arial"/>
          <w:color w:val="000000"/>
          <w:sz w:val="19"/>
          <w:szCs w:val="19"/>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Ley 1437 de 2011: </w:t>
      </w:r>
      <w:r>
        <w:rPr>
          <w:rFonts w:ascii="Arial" w:hAnsi="Arial" w:cs="Arial"/>
          <w:color w:val="000000"/>
          <w:sz w:val="19"/>
          <w:szCs w:val="19"/>
        </w:rPr>
        <w:t>“</w:t>
      </w:r>
      <w:r w:rsidRPr="00721CE1">
        <w:rPr>
          <w:rFonts w:ascii="Arial" w:hAnsi="Arial" w:cs="Arial"/>
          <w:color w:val="000000"/>
          <w:sz w:val="19"/>
          <w:szCs w:val="19"/>
        </w:rPr>
        <w:t xml:space="preserve">Artículo 7°. Deberes de las autoridades en la atención al público. Las autoridades tendrán, frente a las personas que ante ellas acudan y en relación con los asuntos que tramiten, los siguientes deberes: </w:t>
      </w:r>
    </w:p>
    <w:p w14:paraId="1E62A905" w14:textId="77777777" w:rsidR="00920A84" w:rsidRPr="00721CE1" w:rsidRDefault="00920A84" w:rsidP="00920A84">
      <w:pPr>
        <w:pStyle w:val="Textonotapie"/>
        <w:jc w:val="both"/>
        <w:rPr>
          <w:rFonts w:ascii="Arial" w:hAnsi="Arial" w:cs="Arial"/>
          <w:color w:val="000000"/>
          <w:sz w:val="19"/>
          <w:szCs w:val="19"/>
        </w:rPr>
      </w:pPr>
      <w:r w:rsidRPr="00721CE1">
        <w:rPr>
          <w:rFonts w:ascii="Arial" w:hAnsi="Arial" w:cs="Arial"/>
          <w:color w:val="000000"/>
          <w:sz w:val="19"/>
          <w:szCs w:val="19"/>
        </w:rPr>
        <w:t xml:space="preserve">  </w:t>
      </w:r>
      <w:r w:rsidRPr="00721CE1">
        <w:rPr>
          <w:rFonts w:ascii="Arial" w:hAnsi="Arial" w:cs="Arial"/>
          <w:color w:val="000000"/>
          <w:sz w:val="19"/>
          <w:szCs w:val="19"/>
        </w:rPr>
        <w:tab/>
        <w:t>[…]</w:t>
      </w:r>
    </w:p>
    <w:p w14:paraId="49FAD5E5" w14:textId="77777777" w:rsidR="00920A84" w:rsidRPr="00721CE1" w:rsidRDefault="00920A84" w:rsidP="00920A84">
      <w:pPr>
        <w:pStyle w:val="Textonotapie"/>
        <w:ind w:firstLine="708"/>
        <w:jc w:val="both"/>
        <w:rPr>
          <w:rFonts w:ascii="Arial" w:hAnsi="Arial" w:cs="Arial"/>
          <w:color w:val="000000"/>
          <w:sz w:val="19"/>
          <w:szCs w:val="19"/>
          <w:lang w:val="es-CO"/>
        </w:rPr>
      </w:pPr>
      <w:r w:rsidRPr="00721CE1">
        <w:rPr>
          <w:rFonts w:ascii="Arial" w:hAnsi="Arial" w:cs="Arial"/>
          <w:color w:val="000000"/>
          <w:sz w:val="19"/>
          <w:szCs w:val="19"/>
        </w:rPr>
        <w:t>2. Garantizar atención personal al público, como mínimo durante cuarenta (40) horas a la semana, las cuales se distribuirán en horarios que satisfagan las necesidades del servicio […]</w:t>
      </w:r>
      <w:r>
        <w:rPr>
          <w:rFonts w:ascii="Arial" w:hAnsi="Arial" w:cs="Arial"/>
          <w:color w:val="000000"/>
          <w:sz w:val="19"/>
          <w:szCs w:val="19"/>
        </w:rPr>
        <w:t>”</w:t>
      </w:r>
      <w:r w:rsidRPr="00721CE1">
        <w:rPr>
          <w:rFonts w:ascii="Arial" w:hAnsi="Arial" w:cs="Arial"/>
          <w:color w:val="000000"/>
          <w:sz w:val="19"/>
          <w:szCs w:val="19"/>
        </w:rPr>
        <w:t>.</w:t>
      </w:r>
    </w:p>
  </w:footnote>
  <w:footnote w:id="9">
    <w:p w14:paraId="36EC8B0F" w14:textId="77777777" w:rsidR="00920A84" w:rsidRPr="00721CE1" w:rsidRDefault="00920A84" w:rsidP="00920A84">
      <w:pPr>
        <w:pStyle w:val="Textonotapie"/>
        <w:ind w:firstLine="708"/>
        <w:jc w:val="both"/>
        <w:rPr>
          <w:rFonts w:ascii="Arial" w:hAnsi="Arial" w:cs="Arial"/>
          <w:color w:val="000000"/>
          <w:sz w:val="19"/>
          <w:szCs w:val="19"/>
        </w:rPr>
      </w:pPr>
    </w:p>
    <w:p w14:paraId="2B9F8243" w14:textId="77777777" w:rsidR="00920A84" w:rsidRPr="00721CE1" w:rsidRDefault="00920A84" w:rsidP="00920A84">
      <w:pPr>
        <w:pStyle w:val="Textonotapie"/>
        <w:ind w:firstLine="708"/>
        <w:jc w:val="both"/>
        <w:rPr>
          <w:rFonts w:ascii="Arial" w:hAnsi="Arial" w:cs="Arial"/>
          <w:color w:val="000000"/>
          <w:sz w:val="19"/>
          <w:szCs w:val="19"/>
        </w:rPr>
      </w:pPr>
      <w:r w:rsidRPr="00721CE1">
        <w:rPr>
          <w:rStyle w:val="Refdenotaalpie"/>
          <w:rFonts w:ascii="Arial" w:hAnsi="Arial" w:cs="Arial"/>
          <w:color w:val="000000"/>
          <w:sz w:val="19"/>
          <w:szCs w:val="19"/>
        </w:rPr>
        <w:footnoteRef/>
      </w:r>
      <w:r w:rsidRPr="00721CE1">
        <w:rPr>
          <w:rFonts w:ascii="Arial" w:hAnsi="Arial" w:cs="Arial"/>
          <w:color w:val="000000"/>
          <w:sz w:val="19"/>
          <w:szCs w:val="19"/>
        </w:rPr>
        <w:t xml:space="preserve"> </w:t>
      </w:r>
      <w:r>
        <w:rPr>
          <w:rFonts w:ascii="Arial" w:hAnsi="Arial" w:cs="Arial"/>
          <w:color w:val="000000"/>
          <w:sz w:val="19"/>
          <w:szCs w:val="19"/>
        </w:rPr>
        <w:t>“</w:t>
      </w:r>
      <w:r w:rsidRPr="00721CE1">
        <w:rPr>
          <w:rFonts w:ascii="Arial" w:hAnsi="Arial" w:cs="Arial"/>
          <w:color w:val="000000"/>
          <w:sz w:val="19"/>
          <w:szCs w:val="19"/>
        </w:rPr>
        <w:t xml:space="preserve">Artículo 2.2.1.1.2.1.3. Pliegos de condiciones. Los pliegos de condiciones deben contener por lo menos la siguiente información: </w:t>
      </w:r>
    </w:p>
    <w:p w14:paraId="21550694" w14:textId="77777777" w:rsidR="00920A84" w:rsidRPr="00721CE1" w:rsidRDefault="00920A84" w:rsidP="00920A84">
      <w:pPr>
        <w:pStyle w:val="Textonotapie"/>
        <w:ind w:firstLine="708"/>
        <w:jc w:val="both"/>
        <w:rPr>
          <w:rFonts w:ascii="Arial" w:hAnsi="Arial" w:cs="Arial"/>
          <w:color w:val="000000"/>
          <w:sz w:val="19"/>
          <w:szCs w:val="19"/>
        </w:rPr>
      </w:pPr>
      <w:r w:rsidRPr="00721CE1">
        <w:rPr>
          <w:rFonts w:ascii="Arial" w:hAnsi="Arial" w:cs="Arial"/>
          <w:color w:val="000000"/>
          <w:sz w:val="19"/>
          <w:szCs w:val="19"/>
        </w:rPr>
        <w:t>[…]</w:t>
      </w:r>
    </w:p>
    <w:p w14:paraId="55EA251F" w14:textId="77777777" w:rsidR="00920A84" w:rsidRPr="00721CE1" w:rsidRDefault="00920A84" w:rsidP="00920A84">
      <w:pPr>
        <w:pStyle w:val="Textonotapie"/>
        <w:ind w:firstLine="708"/>
        <w:jc w:val="both"/>
        <w:rPr>
          <w:rFonts w:ascii="Arial" w:hAnsi="Arial" w:cs="Arial"/>
          <w:color w:val="000000"/>
          <w:sz w:val="19"/>
          <w:szCs w:val="19"/>
        </w:rPr>
      </w:pPr>
      <w:r w:rsidRPr="00721CE1">
        <w:rPr>
          <w:rFonts w:ascii="Arial" w:hAnsi="Arial" w:cs="Arial"/>
          <w:color w:val="000000"/>
          <w:sz w:val="19"/>
          <w:szCs w:val="19"/>
        </w:rPr>
        <w:t xml:space="preserve">5. Las reglas aplicables a la presentación de las ofertas, su evaluación y a la adjudicación del contrato. </w:t>
      </w:r>
    </w:p>
    <w:p w14:paraId="129EE96F" w14:textId="77777777" w:rsidR="00920A84" w:rsidRPr="00721CE1" w:rsidRDefault="00920A84" w:rsidP="00920A84">
      <w:pPr>
        <w:pStyle w:val="Textonotapie"/>
        <w:ind w:firstLine="708"/>
        <w:jc w:val="both"/>
        <w:rPr>
          <w:rFonts w:ascii="Arial" w:hAnsi="Arial" w:cs="Arial"/>
          <w:color w:val="000000"/>
          <w:sz w:val="19"/>
          <w:szCs w:val="19"/>
        </w:rPr>
      </w:pPr>
      <w:r w:rsidRPr="00721CE1">
        <w:rPr>
          <w:rFonts w:ascii="Arial" w:hAnsi="Arial" w:cs="Arial"/>
          <w:color w:val="000000"/>
          <w:sz w:val="19"/>
          <w:szCs w:val="19"/>
        </w:rPr>
        <w:t>[…]</w:t>
      </w:r>
    </w:p>
    <w:p w14:paraId="756E12A0" w14:textId="77777777" w:rsidR="00920A84" w:rsidRPr="00721CE1" w:rsidRDefault="00920A84" w:rsidP="00920A84">
      <w:pPr>
        <w:pStyle w:val="Textonotapie"/>
        <w:ind w:firstLine="708"/>
        <w:jc w:val="both"/>
        <w:rPr>
          <w:rFonts w:ascii="Arial" w:hAnsi="Arial" w:cs="Arial"/>
          <w:color w:val="000000"/>
          <w:sz w:val="19"/>
          <w:szCs w:val="19"/>
        </w:rPr>
      </w:pPr>
      <w:r w:rsidRPr="00721CE1">
        <w:rPr>
          <w:rFonts w:ascii="Arial" w:hAnsi="Arial" w:cs="Arial"/>
          <w:color w:val="000000"/>
          <w:sz w:val="19"/>
          <w:szCs w:val="19"/>
        </w:rPr>
        <w:t>14. El Cronograma</w:t>
      </w:r>
      <w:r>
        <w:rPr>
          <w:rFonts w:ascii="Arial" w:hAnsi="Arial" w:cs="Arial"/>
          <w:color w:val="000000"/>
          <w:sz w:val="19"/>
          <w:szCs w:val="19"/>
        </w:rPr>
        <w:t>”</w:t>
      </w:r>
      <w:r w:rsidRPr="00721CE1">
        <w:rPr>
          <w:rFonts w:ascii="Arial" w:hAnsi="Arial" w:cs="Arial"/>
          <w:color w:val="000000"/>
          <w:sz w:val="19"/>
          <w:szCs w:val="19"/>
        </w:rPr>
        <w:t>.</w:t>
      </w:r>
    </w:p>
    <w:p w14:paraId="1ACD7305" w14:textId="77777777" w:rsidR="00920A84" w:rsidRPr="00721CE1" w:rsidRDefault="00920A84" w:rsidP="00920A84">
      <w:pPr>
        <w:pStyle w:val="Textonotapie"/>
        <w:ind w:firstLine="708"/>
        <w:jc w:val="both"/>
        <w:rPr>
          <w:rFonts w:ascii="Arial" w:hAnsi="Arial" w:cs="Arial"/>
          <w:color w:val="000000"/>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171F7F"/>
    <w:multiLevelType w:val="multilevel"/>
    <w:tmpl w:val="0076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4CA21C19"/>
    <w:multiLevelType w:val="multilevel"/>
    <w:tmpl w:val="28B06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471CDA"/>
    <w:multiLevelType w:val="hybridMultilevel"/>
    <w:tmpl w:val="643E25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4"/>
  </w:num>
  <w:num w:numId="9">
    <w:abstractNumId w:val="8"/>
  </w:num>
  <w:num w:numId="10">
    <w:abstractNumId w:val="13"/>
  </w:num>
  <w:num w:numId="11">
    <w:abstractNumId w:val="9"/>
  </w:num>
  <w:num w:numId="12">
    <w:abstractNumId w:val="1"/>
  </w:num>
  <w:num w:numId="13">
    <w:abstractNumId w:val="4"/>
  </w:num>
  <w:num w:numId="14">
    <w:abstractNumId w:val="17"/>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1"/>
  </w:num>
  <w:num w:numId="19">
    <w:abstractNumId w:val="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B20EE"/>
    <w:rsid w:val="000D0334"/>
    <w:rsid w:val="000F6486"/>
    <w:rsid w:val="00125105"/>
    <w:rsid w:val="00127233"/>
    <w:rsid w:val="001E4177"/>
    <w:rsid w:val="001F7DC6"/>
    <w:rsid w:val="002421BB"/>
    <w:rsid w:val="0025796E"/>
    <w:rsid w:val="002707A2"/>
    <w:rsid w:val="00284BDA"/>
    <w:rsid w:val="00291CA6"/>
    <w:rsid w:val="002951A0"/>
    <w:rsid w:val="002962BC"/>
    <w:rsid w:val="002A093D"/>
    <w:rsid w:val="002A0DD0"/>
    <w:rsid w:val="002A49AC"/>
    <w:rsid w:val="002A64FD"/>
    <w:rsid w:val="002C7A84"/>
    <w:rsid w:val="002E4FD9"/>
    <w:rsid w:val="00322A85"/>
    <w:rsid w:val="00324168"/>
    <w:rsid w:val="00324DC2"/>
    <w:rsid w:val="003448F4"/>
    <w:rsid w:val="00374F5E"/>
    <w:rsid w:val="00377E3E"/>
    <w:rsid w:val="003A26D1"/>
    <w:rsid w:val="003A779E"/>
    <w:rsid w:val="003D0F4D"/>
    <w:rsid w:val="003D5B0D"/>
    <w:rsid w:val="003E0499"/>
    <w:rsid w:val="003F3941"/>
    <w:rsid w:val="00406575"/>
    <w:rsid w:val="00425C8E"/>
    <w:rsid w:val="0042722E"/>
    <w:rsid w:val="0044528D"/>
    <w:rsid w:val="004657C3"/>
    <w:rsid w:val="004A1847"/>
    <w:rsid w:val="004A305D"/>
    <w:rsid w:val="004A476C"/>
    <w:rsid w:val="004D2EA0"/>
    <w:rsid w:val="004F21C4"/>
    <w:rsid w:val="004F685F"/>
    <w:rsid w:val="00547EFD"/>
    <w:rsid w:val="005566E8"/>
    <w:rsid w:val="00574867"/>
    <w:rsid w:val="00591460"/>
    <w:rsid w:val="00592628"/>
    <w:rsid w:val="005C3777"/>
    <w:rsid w:val="005C5CDC"/>
    <w:rsid w:val="005D476C"/>
    <w:rsid w:val="00610812"/>
    <w:rsid w:val="006219F8"/>
    <w:rsid w:val="006353BB"/>
    <w:rsid w:val="00650FF7"/>
    <w:rsid w:val="00665D70"/>
    <w:rsid w:val="00671DAC"/>
    <w:rsid w:val="006900D9"/>
    <w:rsid w:val="006D12F8"/>
    <w:rsid w:val="006E67FC"/>
    <w:rsid w:val="00706C16"/>
    <w:rsid w:val="00756841"/>
    <w:rsid w:val="007649AB"/>
    <w:rsid w:val="00771D0C"/>
    <w:rsid w:val="00775D96"/>
    <w:rsid w:val="007833AC"/>
    <w:rsid w:val="007B268C"/>
    <w:rsid w:val="007B7171"/>
    <w:rsid w:val="007C0C0F"/>
    <w:rsid w:val="007C3DC2"/>
    <w:rsid w:val="007E5497"/>
    <w:rsid w:val="00806F5F"/>
    <w:rsid w:val="00820278"/>
    <w:rsid w:val="008534FB"/>
    <w:rsid w:val="008843B6"/>
    <w:rsid w:val="00891928"/>
    <w:rsid w:val="008A446D"/>
    <w:rsid w:val="008D180B"/>
    <w:rsid w:val="008D3DC7"/>
    <w:rsid w:val="008F0EA7"/>
    <w:rsid w:val="00920A84"/>
    <w:rsid w:val="00923EEF"/>
    <w:rsid w:val="00924187"/>
    <w:rsid w:val="009419F9"/>
    <w:rsid w:val="0095685E"/>
    <w:rsid w:val="00961B09"/>
    <w:rsid w:val="00965334"/>
    <w:rsid w:val="0097093E"/>
    <w:rsid w:val="0098684D"/>
    <w:rsid w:val="009A0DFA"/>
    <w:rsid w:val="009B2D26"/>
    <w:rsid w:val="009C71FA"/>
    <w:rsid w:val="009C72E7"/>
    <w:rsid w:val="009D3058"/>
    <w:rsid w:val="009F3A13"/>
    <w:rsid w:val="00A02CA8"/>
    <w:rsid w:val="00A10B92"/>
    <w:rsid w:val="00A122D3"/>
    <w:rsid w:val="00A17F13"/>
    <w:rsid w:val="00A20739"/>
    <w:rsid w:val="00A33C78"/>
    <w:rsid w:val="00A62B7E"/>
    <w:rsid w:val="00A6760E"/>
    <w:rsid w:val="00AB0ADB"/>
    <w:rsid w:val="00AD4FDC"/>
    <w:rsid w:val="00B01B1A"/>
    <w:rsid w:val="00B32FB9"/>
    <w:rsid w:val="00B72CD3"/>
    <w:rsid w:val="00B72FFF"/>
    <w:rsid w:val="00B75DF9"/>
    <w:rsid w:val="00BA4391"/>
    <w:rsid w:val="00BC3D36"/>
    <w:rsid w:val="00BD7F72"/>
    <w:rsid w:val="00BE37AC"/>
    <w:rsid w:val="00BF7C05"/>
    <w:rsid w:val="00C04FB3"/>
    <w:rsid w:val="00C330EB"/>
    <w:rsid w:val="00C6682F"/>
    <w:rsid w:val="00C754BE"/>
    <w:rsid w:val="00C76B1C"/>
    <w:rsid w:val="00CB5858"/>
    <w:rsid w:val="00CB6357"/>
    <w:rsid w:val="00CC1B26"/>
    <w:rsid w:val="00CF2672"/>
    <w:rsid w:val="00D023DD"/>
    <w:rsid w:val="00D423A2"/>
    <w:rsid w:val="00D520D8"/>
    <w:rsid w:val="00D63AC2"/>
    <w:rsid w:val="00D7383B"/>
    <w:rsid w:val="00DA231B"/>
    <w:rsid w:val="00DA23A0"/>
    <w:rsid w:val="00DA66EB"/>
    <w:rsid w:val="00DB7439"/>
    <w:rsid w:val="00DC39FC"/>
    <w:rsid w:val="00DD2B16"/>
    <w:rsid w:val="00DF2FE7"/>
    <w:rsid w:val="00DF5254"/>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E1AA8"/>
    <w:rsid w:val="00F31EDC"/>
    <w:rsid w:val="00F462B3"/>
    <w:rsid w:val="00F5664F"/>
    <w:rsid w:val="00F666C4"/>
    <w:rsid w:val="00F74535"/>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6682F"/>
    <w:pPr>
      <w:spacing w:line="240" w:lineRule="exact"/>
    </w:pPr>
    <w:rPr>
      <w:vertAlign w:val="superscript"/>
    </w:rPr>
  </w:style>
  <w:style w:type="table" w:customStyle="1" w:styleId="Tablaconcuadrcula1">
    <w:name w:val="Tabla con cuadrícula1"/>
    <w:basedOn w:val="Tablanormal"/>
    <w:next w:val="Tablaconcuadrcula"/>
    <w:uiPriority w:val="39"/>
    <w:qFormat/>
    <w:rsid w:val="00C66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920A84"/>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files_2020%2Fboletin_de_realtoria_iii.pdf&amp;data=05%7C02%7Cjuan.avendano%40colombiacompra.gov.co%7C5aad36a736844ec87b2108dcc1fa4639%7C7b09041e245149d08cb179d5e3d8c1be%7C0%7C0%7C638598527916589830%7CUnknown%7CTWFpbGZsb3d8eyJWIjoiMC4wLjAwMDAiLCJQIjoiV2luMzIiLCJBTiI6Ik1haWwiLCJXVCI6Mn0%3D%7C0%7C%7C%7C&amp;sdata=n8NgSxrSvJO7kk%2FCAkHZCgzHEwhQu6wmWP1FNXaghc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jsgarcias@dane.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676BB24-8125-4A4B-897E-7597019A1A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terms/"/>
    <ds:schemaRef ds:uri="http://www.w3.org/XML/1998/namespa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 ds:uri="9d85dbaf-23eb-4e57-a637-93dcacc8b1a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3598</Words>
  <Characters>19791</Characters>
  <Application>Microsoft Office Word</Application>
  <DocSecurity>0</DocSecurity>
  <Lines>164</Lines>
  <Paragraphs>46</Paragraphs>
  <ScaleCrop>false</ScaleCrop>
  <Company/>
  <LinksUpToDate>false</LinksUpToDate>
  <CharactersWithSpaces>23343</CharactersWithSpaces>
  <SharedDoc>false</SharedDoc>
  <HLinks>
    <vt:vector size="24" baseType="variant">
      <vt:variant>
        <vt:i4>3866631</vt:i4>
      </vt:variant>
      <vt:variant>
        <vt:i4>6</vt:i4>
      </vt:variant>
      <vt:variant>
        <vt:i4>0</vt:i4>
      </vt:variant>
      <vt:variant>
        <vt:i4>5</vt:i4>
      </vt:variant>
      <vt:variant>
        <vt:lpwstr>https://nam02.safelinks.protection.outlook.com/?url=https%3A%2F%2Fwww.colombiacompra.gov.co%2Fsites%2Fcce_public%2Ffiles%2Ffiles_2020%2Fboletin_de_realtoria_iii.pdf&amp;data=05%7C02%7Cjuan.avendano%40colombiacompra.gov.co%7C5aad36a736844ec87b2108dcc1fa4639%7C7b09041e245149d08cb179d5e3d8c1be%7C0%7C0%7C638598527916589830%7CUnknown%7CTWFpbGZsb3d8eyJWIjoiMC4wLjAwMDAiLCJQIjoiV2luMzIiLCJBTiI6Ik1haWwiLCJXVCI6Mn0%3D%7C0%7C%7C%7C&amp;sdata=n8NgSxrSvJO7kk%2FCAkHZCgzHEwhQu6wmWP1FNXaghc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852076</vt:i4>
      </vt:variant>
      <vt:variant>
        <vt:i4>0</vt:i4>
      </vt:variant>
      <vt:variant>
        <vt:i4>0</vt:i4>
      </vt:variant>
      <vt:variant>
        <vt:i4>5</vt:i4>
      </vt:variant>
      <vt:variant>
        <vt:lpwstr>mailto:jsgarcias@dane.gov.co</vt:lpwstr>
      </vt:variant>
      <vt:variant>
        <vt:lpwstr/>
      </vt:variant>
      <vt:variant>
        <vt:i4>1638409</vt:i4>
      </vt:variant>
      <vt:variant>
        <vt:i4>0</vt:i4>
      </vt:variant>
      <vt:variant>
        <vt:i4>0</vt:i4>
      </vt:variant>
      <vt:variant>
        <vt:i4>5</vt:i4>
      </vt:variant>
      <vt:variant>
        <vt:lpwstr>https://dle.rae.es/h%C3%A1bil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2024-09-24T06:17:00Z</dcterms:created>
  <dcterms:modified xsi:type="dcterms:W3CDTF">2024-09-24T06:17:00Z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