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11CD266" w14:textId="77777777" w:rsidR="005A1C97" w:rsidRPr="00BE052D" w:rsidRDefault="005A1C97" w:rsidP="005A1C97">
      <w:pPr>
        <w:tabs>
          <w:tab w:val="left" w:pos="426"/>
        </w:tabs>
        <w:spacing w:line="240" w:lineRule="auto"/>
        <w:jc w:val="both"/>
        <w:rPr>
          <w:rFonts w:ascii="Century Gothic" w:hAnsi="Century Gothic" w:cs="Arial"/>
          <w:b/>
          <w:bCs/>
        </w:rPr>
      </w:pPr>
      <w:r w:rsidRPr="00BE052D">
        <w:rPr>
          <w:rFonts w:ascii="Century Gothic" w:hAnsi="Century Gothic" w:cs="Arial"/>
          <w:b/>
          <w:bCs/>
        </w:rPr>
        <w:t>PERSONAS EN CONDICIÓN DE DISCAPACIDAD – Decreto 392 de 2018 – Desarrollo normativo</w:t>
      </w:r>
    </w:p>
    <w:p w14:paraId="39C06481" w14:textId="77777777" w:rsidR="005A1C97" w:rsidRPr="00BE052D" w:rsidRDefault="005A1C97" w:rsidP="005A1C97">
      <w:pPr>
        <w:tabs>
          <w:tab w:val="left" w:pos="426"/>
        </w:tabs>
        <w:spacing w:line="240" w:lineRule="auto"/>
        <w:jc w:val="both"/>
        <w:rPr>
          <w:rFonts w:ascii="Century Gothic" w:hAnsi="Century Gothic" w:cs="Arial"/>
        </w:rPr>
      </w:pPr>
      <w:r w:rsidRPr="00BE052D">
        <w:rPr>
          <w:rFonts w:ascii="Century Gothic" w:hAnsi="Century Gothic" w:cs="Arial"/>
        </w:rPr>
        <w:t>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2.2.1.2.4.6 al Decreto Único Reglamentario 1082 de 2015, estableciendo un puntaje adicional del uno por ciento (1%) para proponentes en los procesos de licitaciones públicas y concurso de méritos que tuvieran vinculados a trabajadores con discapacidad</w:t>
      </w:r>
    </w:p>
    <w:p w14:paraId="24DC6D5A" w14:textId="77777777" w:rsidR="005A1C97" w:rsidRPr="00BE052D" w:rsidRDefault="005A1C97" w:rsidP="005A1C97">
      <w:pPr>
        <w:tabs>
          <w:tab w:val="left" w:pos="426"/>
        </w:tabs>
        <w:spacing w:line="240" w:lineRule="auto"/>
        <w:jc w:val="both"/>
        <w:rPr>
          <w:rFonts w:ascii="Century Gothic" w:hAnsi="Century Gothic" w:cs="Arial"/>
          <w:b/>
          <w:bCs/>
        </w:rPr>
      </w:pPr>
      <w:r w:rsidRPr="00BE052D">
        <w:rPr>
          <w:rFonts w:ascii="Century Gothic" w:hAnsi="Century Gothic" w:cs="Arial"/>
          <w:b/>
          <w:bCs/>
        </w:rPr>
        <w:t>PERSONAS EN CONDICIÓN DE DISCAPACIDAD – Puntaje adicional – Fundamento normativo</w:t>
      </w:r>
    </w:p>
    <w:p w14:paraId="375BC9EC" w14:textId="77777777" w:rsidR="005A1C97" w:rsidRPr="00BE052D" w:rsidRDefault="005A1C97" w:rsidP="005A1C97">
      <w:pPr>
        <w:spacing w:after="120" w:line="240" w:lineRule="auto"/>
        <w:jc w:val="both"/>
        <w:rPr>
          <w:rFonts w:ascii="Century Gothic" w:hAnsi="Century Gothic" w:cs="Arial"/>
        </w:rPr>
      </w:pPr>
      <w:r w:rsidRPr="00BE052D">
        <w:rPr>
          <w:rFonts w:ascii="Century Gothic" w:hAnsi="Century Gothic" w:cs="Arial"/>
        </w:rPr>
        <w:t>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Por su parte, cuando se trate de proponentes plurales, esto es, consorcio o unión temporal, la acreditación de requisito corresponderá a los integrantes en la forma antes enunciada. Por ende, deben certificar el número de trabajadores vinculados a la planta de personal, según se trate de persona natural o persona jurídica. En segundo lugar, para acreditar que se cumple con el número mínimo de trabajadores con discapacidad exigido, se empleará un certificado expedido por el Ministerio de Trabajo, el cual debe estar vigente al cierre del respectivo proceso.</w:t>
      </w:r>
    </w:p>
    <w:p w14:paraId="575E2D5D" w14:textId="77777777" w:rsidR="005A1C97" w:rsidRPr="00BE052D" w:rsidRDefault="005A1C97" w:rsidP="005A1C97">
      <w:pPr>
        <w:spacing w:after="120" w:line="240" w:lineRule="auto"/>
        <w:jc w:val="both"/>
        <w:rPr>
          <w:rFonts w:ascii="Century Gothic" w:hAnsi="Century Gothic" w:cs="Arial"/>
        </w:rPr>
      </w:pPr>
      <w:r w:rsidRPr="00BE052D">
        <w:rPr>
          <w:rFonts w:ascii="Century Gothic" w:hAnsi="Century Gothic" w:cs="Arial"/>
        </w:rPr>
        <w:t>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a acceder al beneficio.</w:t>
      </w:r>
    </w:p>
    <w:p w14:paraId="2061AB7D" w14:textId="77777777" w:rsidR="005A1C97" w:rsidRPr="00BE052D" w:rsidRDefault="005A1C97" w:rsidP="005A1C97">
      <w:pPr>
        <w:tabs>
          <w:tab w:val="left" w:pos="426"/>
        </w:tabs>
        <w:spacing w:line="240" w:lineRule="auto"/>
        <w:jc w:val="both"/>
        <w:rPr>
          <w:rFonts w:ascii="Century Gothic" w:hAnsi="Century Gothic" w:cs="Arial"/>
          <w:b/>
          <w:bCs/>
        </w:rPr>
      </w:pPr>
      <w:r w:rsidRPr="00BE052D">
        <w:rPr>
          <w:rFonts w:ascii="Century Gothic" w:hAnsi="Century Gothic" w:cs="Arial"/>
          <w:b/>
          <w:bCs/>
        </w:rPr>
        <w:t>PUNTAJE ADICIONAL – Vinculación – Personas en condición de discapacidad – Personas extranjeras</w:t>
      </w:r>
    </w:p>
    <w:p w14:paraId="40F81FCE" w14:textId="77777777" w:rsidR="005A1C97" w:rsidRDefault="005A1C97" w:rsidP="005A1C97">
      <w:pPr>
        <w:spacing w:after="120" w:line="240" w:lineRule="auto"/>
        <w:jc w:val="both"/>
        <w:rPr>
          <w:rFonts w:ascii="Century Gothic" w:hAnsi="Century Gothic" w:cs="Arial"/>
        </w:rPr>
      </w:pPr>
      <w:r w:rsidRPr="00BE052D">
        <w:rPr>
          <w:rFonts w:ascii="Century Gothic" w:hAnsi="Century Gothic" w:cs="Arial"/>
        </w:rPr>
        <w:t xml:space="preserve">De esta manera, los proponentes, sin importar su nacionalidad, pueden acceder al puntaje adicional que reguló la Ley 1618 de 2013, reglamentado por el Decreto 392 de 2018, siempre que acrediten lo exigido allí, puesto que la norma no excluye el </w:t>
      </w:r>
      <w:r w:rsidRPr="00BE052D">
        <w:rPr>
          <w:rFonts w:ascii="Century Gothic" w:hAnsi="Century Gothic" w:cs="Arial"/>
        </w:rPr>
        <w:lastRenderedPageBreak/>
        <w:t>cumplimiento de los requisitos en razón a que el proponente sea nacional o extranjero, sino que, en general, se dirige a los proponentes que son aquellos que la Ley 80 de 1993 señala como personas con capacidad para contratar con entidades. Así, los proponentes extranjeros sin sucursal en Colombia están incluidos en la disposición del Decreto 392 de 2018, cuando se refiere a los “proponentes”, ya que la norma no distinguió respecto de la nacionalidad para exigir los requisitos señalados allí, y particularmente el que es objeto de su consulta, es decir, el certificado expedido por el Ministerio de Trabajo. Por ende, teniendo en cuenta la capacidad jurídica de los proponentes extranjeros, con o sin sucursal en Colombia, ya que la Ley 80 de 1993 no los distingue sino que le otorga capacidad al proponente extranjero, independientemente del asiento permanente de negocios en el país, ellos pueden contratar con el Estado y acceder al puntaje por vincular personal en condición de discapacidad, si aportan el certificado suscrito por la persona natural, por el representante legal de la persona jurídica o por el revisor fiscal del proponente o integrante que pretenda acreditar esta condición, acompañado del certificado expedido por el Ministerio de Trabajo.</w:t>
      </w:r>
    </w:p>
    <w:p w14:paraId="429C9A35" w14:textId="77777777" w:rsidR="00BE052D" w:rsidRDefault="00BE052D" w:rsidP="005A1C97">
      <w:pPr>
        <w:spacing w:after="120" w:line="240" w:lineRule="auto"/>
        <w:jc w:val="both"/>
        <w:rPr>
          <w:rFonts w:ascii="Century Gothic" w:hAnsi="Century Gothic" w:cs="Arial"/>
        </w:rPr>
      </w:pPr>
    </w:p>
    <w:p w14:paraId="576FDE83" w14:textId="79B82A1E" w:rsidR="00BE052D" w:rsidRDefault="00BE052D">
      <w:pPr>
        <w:rPr>
          <w:rFonts w:ascii="Century Gothic" w:hAnsi="Century Gothic" w:cs="Arial"/>
        </w:rPr>
      </w:pPr>
      <w:r>
        <w:rPr>
          <w:rFonts w:ascii="Century Gothic" w:hAnsi="Century Gothic" w:cs="Arial"/>
        </w:rPr>
        <w:br w:type="page"/>
      </w:r>
    </w:p>
    <w:p w14:paraId="2934BBA2" w14:textId="77777777" w:rsidR="00BE052D" w:rsidRPr="00BE052D" w:rsidRDefault="00BE052D" w:rsidP="005A1C97">
      <w:pPr>
        <w:spacing w:after="120" w:line="240" w:lineRule="auto"/>
        <w:jc w:val="both"/>
        <w:rPr>
          <w:rFonts w:ascii="Century Gothic" w:hAnsi="Century Gothic" w:cs="Arial"/>
        </w:rPr>
      </w:pPr>
    </w:p>
    <w:p w14:paraId="6700D6DA" w14:textId="4A1F8566" w:rsidR="00871B59" w:rsidRPr="00F919E7" w:rsidRDefault="00871B59" w:rsidP="00871B59">
      <w:pPr>
        <w:spacing w:after="0" w:line="240" w:lineRule="auto"/>
        <w:rPr>
          <w:rFonts w:ascii="Century Gothic" w:eastAsia="Geomanist Light" w:hAnsi="Century Gothic" w:cs="Arial"/>
          <w:color w:val="201F1E"/>
          <w:lang w:val="es-MX"/>
        </w:rPr>
      </w:pPr>
      <w:r w:rsidRPr="00F919E7">
        <w:rPr>
          <w:rFonts w:ascii="Century Gothic" w:eastAsia="Geomanist Light" w:hAnsi="Century Gothic" w:cs="Arial"/>
          <w:color w:val="000000" w:themeColor="text1"/>
          <w:lang w:val="es-MX"/>
        </w:rPr>
        <w:t>Bogotá D.C., </w:t>
      </w:r>
      <w:r w:rsidRPr="00F919E7">
        <w:rPr>
          <w:rFonts w:ascii="Century Gothic" w:eastAsia="Geomanist Light" w:hAnsi="Century Gothic" w:cs="Arial"/>
          <w:color w:val="201F1E"/>
          <w:lang w:val="es-MX"/>
        </w:rPr>
        <w:t>[Día] de [Mes.NombreCapitalizado] de [Año]</w:t>
      </w:r>
    </w:p>
    <w:p w14:paraId="263F56BE" w14:textId="77777777" w:rsidR="00871B59" w:rsidRPr="00F919E7" w:rsidRDefault="00871B59" w:rsidP="00871B59">
      <w:pPr>
        <w:spacing w:after="0" w:line="240" w:lineRule="auto"/>
        <w:jc w:val="both"/>
        <w:rPr>
          <w:rFonts w:ascii="Century Gothic" w:eastAsia="Calibri" w:hAnsi="Century Gothic" w:cs="Arial"/>
          <w:color w:val="000000"/>
          <w:lang w:val="es-ES"/>
        </w:rPr>
      </w:pPr>
    </w:p>
    <w:p w14:paraId="66EF7FED" w14:textId="16AD8097" w:rsidR="00871B59" w:rsidRPr="00F919E7" w:rsidRDefault="00871B59" w:rsidP="00871B59">
      <w:pPr>
        <w:spacing w:after="0" w:line="240" w:lineRule="auto"/>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Señor</w:t>
      </w:r>
      <w:r w:rsidR="00727F33">
        <w:rPr>
          <w:rFonts w:ascii="Century Gothic" w:eastAsia="Calibri" w:hAnsi="Century Gothic" w:cs="Arial"/>
          <w:bCs/>
          <w:lang w:val="es-MX" w:eastAsia="es-ES_tradnl"/>
        </w:rPr>
        <w:t>a</w:t>
      </w:r>
    </w:p>
    <w:p w14:paraId="05B8B38A" w14:textId="77777777" w:rsidR="00727F33" w:rsidRDefault="00727F33" w:rsidP="00871B59">
      <w:pPr>
        <w:spacing w:after="0" w:line="240" w:lineRule="auto"/>
        <w:rPr>
          <w:rFonts w:ascii="Century Gothic" w:eastAsia="Calibri" w:hAnsi="Century Gothic" w:cs="Arial"/>
          <w:b/>
          <w:lang w:eastAsia="es-ES_tradnl"/>
        </w:rPr>
      </w:pPr>
      <w:r w:rsidRPr="00727F33">
        <w:rPr>
          <w:rFonts w:ascii="Century Gothic" w:eastAsia="Calibri" w:hAnsi="Century Gothic" w:cs="Arial"/>
          <w:b/>
          <w:lang w:eastAsia="es-ES_tradnl"/>
        </w:rPr>
        <w:t>NELIDA ZAMORA FANDIÑO</w:t>
      </w:r>
    </w:p>
    <w:p w14:paraId="5E8E509F" w14:textId="2A93BDEA" w:rsidR="00727F33" w:rsidRPr="00727F33" w:rsidRDefault="00727F33" w:rsidP="00871B59">
      <w:pPr>
        <w:spacing w:after="0" w:line="240" w:lineRule="auto"/>
        <w:rPr>
          <w:rFonts w:ascii="Century Gothic" w:eastAsia="Calibri" w:hAnsi="Century Gothic" w:cs="Arial"/>
          <w:b/>
          <w:lang w:eastAsia="es-ES_tradnl"/>
        </w:rPr>
      </w:pPr>
      <w:r w:rsidRPr="00727F33">
        <w:rPr>
          <w:rFonts w:ascii="Century Gothic" w:eastAsia="Calibri" w:hAnsi="Century Gothic" w:cs="Arial"/>
          <w:b/>
          <w:lang w:eastAsia="es-ES_tradnl"/>
        </w:rPr>
        <w:t xml:space="preserve">Adiz Ingeniería </w:t>
      </w:r>
      <w:r>
        <w:rPr>
          <w:rFonts w:ascii="Century Gothic" w:eastAsia="Calibri" w:hAnsi="Century Gothic" w:cs="Arial"/>
          <w:b/>
          <w:lang w:eastAsia="es-ES_tradnl"/>
        </w:rPr>
        <w:t>y</w:t>
      </w:r>
      <w:r w:rsidRPr="00727F33">
        <w:rPr>
          <w:rFonts w:ascii="Century Gothic" w:eastAsia="Calibri" w:hAnsi="Century Gothic" w:cs="Arial"/>
          <w:b/>
          <w:lang w:eastAsia="es-ES_tradnl"/>
        </w:rPr>
        <w:t xml:space="preserve"> Proyectos S</w:t>
      </w:r>
      <w:r>
        <w:rPr>
          <w:rFonts w:ascii="Century Gothic" w:eastAsia="Calibri" w:hAnsi="Century Gothic" w:cs="Arial"/>
          <w:b/>
          <w:lang w:eastAsia="es-ES_tradnl"/>
        </w:rPr>
        <w:t>AS</w:t>
      </w:r>
    </w:p>
    <w:p w14:paraId="1856B38E" w14:textId="212EB814" w:rsidR="00727F33" w:rsidRDefault="00000000" w:rsidP="00871B59">
      <w:pPr>
        <w:spacing w:after="0" w:line="240" w:lineRule="auto"/>
        <w:rPr>
          <w:rFonts w:ascii="Century Gothic" w:eastAsia="Calibri" w:hAnsi="Century Gothic" w:cs="Arial"/>
          <w:bCs/>
          <w:u w:val="single"/>
          <w:lang w:eastAsia="es-ES_tradnl"/>
        </w:rPr>
      </w:pPr>
      <w:hyperlink r:id="rId11" w:history="1">
        <w:r w:rsidR="00727F33" w:rsidRPr="00F6307B">
          <w:rPr>
            <w:rStyle w:val="Hipervnculo"/>
            <w:rFonts w:ascii="Century Gothic" w:eastAsia="Calibri" w:hAnsi="Century Gothic" w:cs="Arial"/>
            <w:bCs/>
            <w:lang w:eastAsia="es-ES_tradnl"/>
          </w:rPr>
          <w:t>cadizipsas@gmail.com</w:t>
        </w:r>
      </w:hyperlink>
    </w:p>
    <w:p w14:paraId="5ACFEA17" w14:textId="74B3B83F" w:rsidR="00871B59" w:rsidRPr="00F919E7" w:rsidRDefault="00727F33" w:rsidP="00871B59">
      <w:pPr>
        <w:spacing w:after="0" w:line="240" w:lineRule="auto"/>
        <w:rPr>
          <w:rFonts w:ascii="Century Gothic" w:eastAsia="Calibri" w:hAnsi="Century Gothic" w:cs="Arial"/>
          <w:bCs/>
          <w:lang w:val="es-MX" w:eastAsia="es-ES_tradnl"/>
        </w:rPr>
      </w:pPr>
      <w:r>
        <w:rPr>
          <w:rFonts w:ascii="Century Gothic" w:eastAsia="Calibri" w:hAnsi="Century Gothic" w:cs="Arial"/>
          <w:bCs/>
          <w:lang w:val="es-MX" w:eastAsia="es-ES_tradnl"/>
        </w:rPr>
        <w:t xml:space="preserve">Zipaquirá, Cundinamarca. </w:t>
      </w:r>
      <w:r w:rsidR="00916160">
        <w:rPr>
          <w:rFonts w:ascii="Century Gothic" w:eastAsia="Calibri" w:hAnsi="Century Gothic" w:cs="Arial"/>
          <w:bCs/>
          <w:lang w:val="es-MX" w:eastAsia="es-ES_tradnl"/>
        </w:rPr>
        <w:t xml:space="preserve"> </w:t>
      </w:r>
    </w:p>
    <w:p w14:paraId="75545CBA" w14:textId="77777777" w:rsidR="00871B59" w:rsidRDefault="00871B59" w:rsidP="00871B59">
      <w:pPr>
        <w:spacing w:after="0" w:line="240" w:lineRule="auto"/>
        <w:rPr>
          <w:rFonts w:ascii="Century Gothic" w:eastAsia="Calibri" w:hAnsi="Century Gothic" w:cs="Arial"/>
          <w:b/>
          <w:bCs/>
          <w:color w:val="000000"/>
          <w:lang w:val="es-ES_tradnl" w:eastAsia="es-ES_tradnl"/>
        </w:rPr>
      </w:pPr>
    </w:p>
    <w:p w14:paraId="1E627500" w14:textId="5581B51D" w:rsidR="00665683" w:rsidRPr="00F919E7" w:rsidRDefault="00665683" w:rsidP="00665683">
      <w:pPr>
        <w:spacing w:after="0" w:line="240" w:lineRule="auto"/>
        <w:jc w:val="right"/>
        <w:rPr>
          <w:rFonts w:ascii="Century Gothic" w:eastAsia="Calibri" w:hAnsi="Century Gothic" w:cs="Arial"/>
          <w:b/>
          <w:bCs/>
          <w:color w:val="000000"/>
          <w:lang w:val="es-ES_tradnl" w:eastAsia="es-ES_tradnl"/>
        </w:rPr>
      </w:pPr>
      <w:r w:rsidRPr="00665683">
        <w:rPr>
          <w:rFonts w:ascii="Century Gothic" w:eastAsia="Calibri" w:hAnsi="Century Gothic" w:cs="Arial"/>
          <w:b/>
          <w:bCs/>
          <w:color w:val="000000"/>
          <w:lang w:val="es-ES_tradnl" w:eastAsia="es-ES_tradnl"/>
        </w:rPr>
        <w:drawing>
          <wp:inline distT="0" distB="0" distL="0" distR="0" wp14:anchorId="6C0DEDFA" wp14:editId="6D6F84DB">
            <wp:extent cx="3330229" cy="1074513"/>
            <wp:effectExtent l="0" t="0" r="3810" b="0"/>
            <wp:docPr id="9843997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399796" name=""/>
                    <pic:cNvPicPr/>
                  </pic:nvPicPr>
                  <pic:blipFill>
                    <a:blip r:embed="rId12"/>
                    <a:stretch>
                      <a:fillRect/>
                    </a:stretch>
                  </pic:blipFill>
                  <pic:spPr>
                    <a:xfrm>
                      <a:off x="0" y="0"/>
                      <a:ext cx="3330229" cy="1074513"/>
                    </a:xfrm>
                    <a:prstGeom prst="rect">
                      <a:avLst/>
                    </a:prstGeom>
                  </pic:spPr>
                </pic:pic>
              </a:graphicData>
            </a:graphic>
          </wp:inline>
        </w:drawing>
      </w:r>
    </w:p>
    <w:p w14:paraId="40764CBF" w14:textId="77777777" w:rsidR="00871B59" w:rsidRPr="00F919E7" w:rsidRDefault="00871B59" w:rsidP="00871B59">
      <w:pPr>
        <w:spacing w:after="0" w:line="240" w:lineRule="auto"/>
        <w:rPr>
          <w:rFonts w:ascii="Century Gothic" w:eastAsia="Calibri" w:hAnsi="Century Gothic" w:cs="Arial"/>
          <w:b/>
          <w:bCs/>
          <w:color w:val="000000"/>
          <w:lang w:val="es-ES_tradnl" w:eastAsia="es-ES_tradnl"/>
        </w:rPr>
      </w:pPr>
    </w:p>
    <w:tbl>
      <w:tblPr>
        <w:tblStyle w:val="Tablaconcuadrcula"/>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871B59" w:rsidRPr="00F919E7" w14:paraId="6AC1791A" w14:textId="77777777" w:rsidTr="005A1C97">
        <w:trPr>
          <w:trHeight w:val="884"/>
        </w:trPr>
        <w:tc>
          <w:tcPr>
            <w:tcW w:w="2689" w:type="dxa"/>
          </w:tcPr>
          <w:p w14:paraId="156B1AEC" w14:textId="77777777" w:rsidR="00871B59" w:rsidRPr="00F919E7" w:rsidRDefault="00871B59" w:rsidP="002607A7">
            <w:pPr>
              <w:jc w:val="both"/>
              <w:rPr>
                <w:rFonts w:ascii="Century Gothic" w:eastAsia="Calibri" w:hAnsi="Century Gothic" w:cs="Arial"/>
                <w:b/>
                <w:bCs/>
                <w:color w:val="7030A0"/>
                <w:lang w:val="es-ES_tradnl" w:eastAsia="es-ES_tradnl"/>
              </w:rPr>
            </w:pPr>
          </w:p>
        </w:tc>
        <w:tc>
          <w:tcPr>
            <w:tcW w:w="6242" w:type="dxa"/>
          </w:tcPr>
          <w:p w14:paraId="48F499EA" w14:textId="7F743195" w:rsidR="00871B59" w:rsidRPr="005A1C97" w:rsidRDefault="00871B59" w:rsidP="002607A7">
            <w:pPr>
              <w:jc w:val="both"/>
              <w:rPr>
                <w:rFonts w:ascii="Century Gothic" w:eastAsia="Calibri" w:hAnsi="Century Gothic" w:cs="Arial"/>
                <w:b/>
                <w:lang w:val="es-MX" w:eastAsia="es-ES_tradnl"/>
              </w:rPr>
            </w:pPr>
            <w:r w:rsidRPr="005A1C97">
              <w:rPr>
                <w:rFonts w:ascii="Century Gothic" w:eastAsia="Calibri" w:hAnsi="Century Gothic" w:cs="Arial"/>
                <w:b/>
                <w:lang w:val="es-MX" w:eastAsia="es-ES_tradnl"/>
              </w:rPr>
              <w:t xml:space="preserve">Concepto C- </w:t>
            </w:r>
            <w:r w:rsidR="00727F33">
              <w:rPr>
                <w:rFonts w:ascii="Century Gothic" w:eastAsia="Calibri" w:hAnsi="Century Gothic" w:cs="Arial"/>
                <w:b/>
                <w:lang w:val="es-MX" w:eastAsia="es-ES_tradnl"/>
              </w:rPr>
              <w:t>433</w:t>
            </w:r>
            <w:r w:rsidRPr="005A1C97">
              <w:rPr>
                <w:rFonts w:ascii="Century Gothic" w:eastAsia="Calibri" w:hAnsi="Century Gothic" w:cs="Arial"/>
                <w:b/>
                <w:lang w:val="es-MX" w:eastAsia="es-ES_tradnl"/>
              </w:rPr>
              <w:t xml:space="preserve"> de 2024</w:t>
            </w:r>
          </w:p>
        </w:tc>
      </w:tr>
      <w:tr w:rsidR="00916160" w:rsidRPr="00F919E7" w14:paraId="0DD246A7" w14:textId="77777777" w:rsidTr="005A1C97">
        <w:trPr>
          <w:trHeight w:val="884"/>
        </w:trPr>
        <w:tc>
          <w:tcPr>
            <w:tcW w:w="2689" w:type="dxa"/>
          </w:tcPr>
          <w:p w14:paraId="1B4FC525" w14:textId="77777777" w:rsidR="00916160" w:rsidRPr="00F919E7" w:rsidRDefault="00916160" w:rsidP="00916160">
            <w:pPr>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 xml:space="preserve">Temas:                   </w:t>
            </w:r>
          </w:p>
        </w:tc>
        <w:tc>
          <w:tcPr>
            <w:tcW w:w="6242" w:type="dxa"/>
          </w:tcPr>
          <w:p w14:paraId="15BA8489" w14:textId="7D828B30" w:rsidR="00916160" w:rsidRDefault="005A1C97" w:rsidP="00916160">
            <w:pPr>
              <w:spacing w:line="276" w:lineRule="auto"/>
              <w:jc w:val="both"/>
              <w:rPr>
                <w:rFonts w:ascii="Century Gothic" w:eastAsia="Calibri" w:hAnsi="Century Gothic" w:cs="Arial"/>
                <w:bCs/>
                <w:lang w:val="es-MX" w:eastAsia="es-ES_tradnl"/>
              </w:rPr>
            </w:pPr>
            <w:r w:rsidRPr="005A1C97">
              <w:rPr>
                <w:rFonts w:ascii="Century Gothic" w:eastAsia="Calibri" w:hAnsi="Century Gothic" w:cs="Arial"/>
                <w:bCs/>
                <w:lang w:val="es-MX" w:eastAsia="es-ES_tradnl"/>
              </w:rPr>
              <w:t>PERSONAS EN CONDICIÓN DE DISCAPACIDAD – Decreto 392 de 2018 – Desarrollo normativo / PERSONAS EN CONDICIÓN DE DISCAPACIDAD –</w:t>
            </w:r>
            <w:r w:rsidR="00685FFD">
              <w:rPr>
                <w:rFonts w:ascii="Century Gothic" w:eastAsia="Calibri" w:hAnsi="Century Gothic" w:cs="Arial"/>
                <w:bCs/>
                <w:lang w:val="es-MX" w:eastAsia="es-ES_tradnl"/>
              </w:rPr>
              <w:t xml:space="preserve"> </w:t>
            </w:r>
            <w:r w:rsidR="00685FFD">
              <w:rPr>
                <w:rFonts w:ascii="Century Gothic" w:eastAsia="Calibri" w:hAnsi="Century Gothic"/>
                <w:bCs/>
                <w:lang w:val="es-MX" w:eastAsia="es-ES_tradnl"/>
              </w:rPr>
              <w:t xml:space="preserve">ACREDITACIÓN. </w:t>
            </w:r>
          </w:p>
          <w:p w14:paraId="7ADD1096" w14:textId="1A8FD5D6" w:rsidR="00685FFD" w:rsidRPr="00F919E7" w:rsidRDefault="00685FFD" w:rsidP="00916160">
            <w:pPr>
              <w:spacing w:line="276" w:lineRule="auto"/>
              <w:jc w:val="both"/>
              <w:rPr>
                <w:rFonts w:ascii="Century Gothic" w:eastAsia="Calibri" w:hAnsi="Century Gothic" w:cs="Arial"/>
                <w:bCs/>
                <w:lang w:val="es-MX" w:eastAsia="es-ES_tradnl"/>
              </w:rPr>
            </w:pPr>
          </w:p>
        </w:tc>
      </w:tr>
      <w:tr w:rsidR="00916160" w:rsidRPr="00F919E7" w14:paraId="0A874006" w14:textId="77777777" w:rsidTr="005A1C97">
        <w:tc>
          <w:tcPr>
            <w:tcW w:w="2689" w:type="dxa"/>
          </w:tcPr>
          <w:p w14:paraId="56ED2765" w14:textId="77777777" w:rsidR="00916160" w:rsidRPr="00F919E7" w:rsidRDefault="00916160" w:rsidP="00916160">
            <w:pPr>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 xml:space="preserve">Radicación:               </w:t>
            </w:r>
          </w:p>
        </w:tc>
        <w:tc>
          <w:tcPr>
            <w:tcW w:w="6242" w:type="dxa"/>
          </w:tcPr>
          <w:p w14:paraId="630D2668" w14:textId="50937CFF" w:rsidR="00916160" w:rsidRPr="00F919E7" w:rsidRDefault="00916160" w:rsidP="00916160">
            <w:pPr>
              <w:jc w:val="both"/>
              <w:rPr>
                <w:rFonts w:ascii="Century Gothic" w:eastAsia="Calibri" w:hAnsi="Century Gothic" w:cs="Arial"/>
                <w:bCs/>
                <w:lang w:val="es-MX" w:eastAsia="es-ES_tradnl"/>
              </w:rPr>
            </w:pPr>
            <w:r w:rsidRPr="00F919E7">
              <w:rPr>
                <w:rFonts w:ascii="Century Gothic" w:eastAsia="Calibri" w:hAnsi="Century Gothic" w:cs="Arial"/>
                <w:bCs/>
                <w:lang w:val="es-MX" w:eastAsia="es-ES_tradnl"/>
              </w:rPr>
              <w:t xml:space="preserve">Respuesta a consulta con radicado No. </w:t>
            </w:r>
            <w:r w:rsidR="00727F33" w:rsidRPr="00727F33">
              <w:rPr>
                <w:rFonts w:ascii="Century Gothic" w:eastAsia="Calibri" w:hAnsi="Century Gothic" w:cs="Arial"/>
                <w:bCs/>
                <w:lang w:eastAsia="es-ES_tradnl"/>
              </w:rPr>
              <w:t>P20240715007182</w:t>
            </w:r>
          </w:p>
        </w:tc>
      </w:tr>
    </w:tbl>
    <w:p w14:paraId="01AFCA4D" w14:textId="77777777" w:rsidR="00871B59" w:rsidRPr="00F919E7" w:rsidRDefault="00871B59" w:rsidP="00871B59">
      <w:pPr>
        <w:spacing w:after="0" w:line="240" w:lineRule="auto"/>
        <w:jc w:val="both"/>
        <w:rPr>
          <w:rFonts w:ascii="Century Gothic" w:eastAsia="Calibri" w:hAnsi="Century Gothic" w:cs="Arial"/>
          <w:color w:val="000000"/>
          <w:lang w:val="es-ES_tradnl" w:eastAsia="es-ES_tradnl"/>
        </w:rPr>
      </w:pPr>
    </w:p>
    <w:p w14:paraId="4FF08E37" w14:textId="77777777" w:rsidR="00871B59" w:rsidRPr="00F919E7" w:rsidRDefault="00871B59" w:rsidP="00871B59">
      <w:pPr>
        <w:spacing w:after="0" w:line="240" w:lineRule="auto"/>
        <w:jc w:val="both"/>
        <w:rPr>
          <w:rFonts w:ascii="Century Gothic" w:eastAsia="Calibri" w:hAnsi="Century Gothic" w:cs="Arial"/>
          <w:color w:val="000000"/>
          <w:lang w:val="es-ES_tradnl" w:eastAsia="es-ES_tradnl"/>
        </w:rPr>
      </w:pPr>
    </w:p>
    <w:p w14:paraId="5A8CAE32" w14:textId="0C619568" w:rsidR="00871B59" w:rsidRPr="00E43EBA" w:rsidRDefault="00871B59" w:rsidP="00871B59">
      <w:pPr>
        <w:spacing w:after="0" w:line="276" w:lineRule="auto"/>
        <w:jc w:val="both"/>
        <w:rPr>
          <w:rFonts w:ascii="Century Gothic" w:eastAsia="Calibri" w:hAnsi="Century Gothic" w:cs="Arial"/>
          <w:bCs/>
          <w:lang w:val="es-MX" w:eastAsia="es-ES_tradnl"/>
        </w:rPr>
      </w:pPr>
      <w:r w:rsidRPr="00E43EBA">
        <w:rPr>
          <w:rFonts w:ascii="Century Gothic" w:eastAsia="Calibri" w:hAnsi="Century Gothic" w:cs="Arial"/>
          <w:bCs/>
          <w:lang w:val="es-MX" w:eastAsia="es-ES_tradnl"/>
        </w:rPr>
        <w:t>Estimad</w:t>
      </w:r>
      <w:r w:rsidR="00727F33">
        <w:rPr>
          <w:rFonts w:ascii="Century Gothic" w:eastAsia="Calibri" w:hAnsi="Century Gothic" w:cs="Arial"/>
          <w:bCs/>
          <w:lang w:val="es-MX" w:eastAsia="es-ES_tradnl"/>
        </w:rPr>
        <w:t>a señora Zamora</w:t>
      </w:r>
      <w:r w:rsidRPr="00E43EBA">
        <w:rPr>
          <w:rFonts w:ascii="Century Gothic" w:eastAsia="Calibri" w:hAnsi="Century Gothic" w:cs="Arial"/>
          <w:bCs/>
          <w:lang w:val="es-MX" w:eastAsia="es-ES_tradnl"/>
        </w:rPr>
        <w:t xml:space="preserve">: </w:t>
      </w:r>
    </w:p>
    <w:p w14:paraId="62039951" w14:textId="77777777" w:rsidR="00871B59" w:rsidRPr="00E43EBA" w:rsidRDefault="00871B59" w:rsidP="00871B59">
      <w:pPr>
        <w:tabs>
          <w:tab w:val="left" w:pos="3768"/>
        </w:tabs>
        <w:spacing w:after="0" w:line="276" w:lineRule="auto"/>
        <w:jc w:val="both"/>
        <w:rPr>
          <w:rFonts w:ascii="Century Gothic" w:eastAsia="Calibri" w:hAnsi="Century Gothic" w:cs="Arial"/>
          <w:color w:val="000000" w:themeColor="text1"/>
          <w:lang w:val="es-ES" w:eastAsia="es-ES"/>
        </w:rPr>
      </w:pPr>
      <w:r w:rsidRPr="00E43EBA">
        <w:rPr>
          <w:rFonts w:ascii="Century Gothic" w:eastAsia="Calibri" w:hAnsi="Century Gothic" w:cs="Arial"/>
          <w:color w:val="000000" w:themeColor="text1"/>
          <w:lang w:val="es-ES" w:eastAsia="es-ES"/>
        </w:rPr>
        <w:tab/>
      </w:r>
    </w:p>
    <w:p w14:paraId="3F1D9A82" w14:textId="5B89B6B8" w:rsidR="00871B59" w:rsidRPr="00E43EBA" w:rsidRDefault="00871B59" w:rsidP="00871B59">
      <w:pPr>
        <w:spacing w:after="0" w:line="276" w:lineRule="auto"/>
        <w:jc w:val="both"/>
        <w:rPr>
          <w:rFonts w:ascii="Century Gothic" w:eastAsia="Calibri" w:hAnsi="Century Gothic" w:cs="Arial"/>
          <w:lang w:val="es-ES" w:eastAsia="es-ES"/>
        </w:rPr>
      </w:pPr>
      <w:r w:rsidRPr="00E43EBA">
        <w:rPr>
          <w:rFonts w:ascii="Century Gothic" w:eastAsia="Calibri" w:hAnsi="Century Gothic" w:cs="Arial"/>
          <w:color w:val="000000" w:themeColor="text1"/>
          <w:lang w:val="es-ES" w:eastAsia="es-ES"/>
        </w:rPr>
        <w:t>En ejercicio de la competencia otorgada por los artículos 3, numeral 5º, y 11, numeral 8º, del Decreto Ley 4170 de 2011,</w:t>
      </w:r>
      <w:r w:rsidRPr="00E43EBA">
        <w:rPr>
          <w:rFonts w:ascii="Century Gothic" w:eastAsia="Arial MT" w:hAnsi="Century Gothic" w:cs="Arial MT"/>
          <w:lang w:val="es-ES" w:eastAsia="es-ES"/>
        </w:rPr>
        <w:t xml:space="preserve"> </w:t>
      </w:r>
      <w:r w:rsidRPr="00E43EBA">
        <w:rPr>
          <w:rFonts w:ascii="Century Gothic" w:hAnsi="Century Gothic" w:cs="Arial"/>
        </w:rPr>
        <w:t xml:space="preserve">así como lo establecido en el artículo 4 de la Resolución 1707 de 2018 expedida por esta Entidad, </w:t>
      </w:r>
      <w:r w:rsidRPr="00E43EBA">
        <w:rPr>
          <w:rFonts w:ascii="Century Gothic" w:eastAsia="Calibri" w:hAnsi="Century Gothic" w:cs="Arial"/>
          <w:lang w:val="es-ES" w:eastAsia="es-ES"/>
        </w:rPr>
        <w:t xml:space="preserve">la Agencia Nacional de Contratación Pública – Colombia Compra Eficiente– responde su solicitud de consulta de fecha </w:t>
      </w:r>
      <w:r w:rsidR="005A1C97">
        <w:rPr>
          <w:rFonts w:ascii="Century Gothic" w:eastAsia="Calibri" w:hAnsi="Century Gothic" w:cs="Arial"/>
          <w:lang w:val="es-ES" w:eastAsia="es-ES"/>
        </w:rPr>
        <w:t>1</w:t>
      </w:r>
      <w:r w:rsidR="00727F33">
        <w:rPr>
          <w:rFonts w:ascii="Century Gothic" w:eastAsia="Calibri" w:hAnsi="Century Gothic" w:cs="Arial"/>
          <w:lang w:val="es-ES" w:eastAsia="es-ES"/>
        </w:rPr>
        <w:t xml:space="preserve">5 </w:t>
      </w:r>
      <w:r w:rsidRPr="00E43EBA">
        <w:rPr>
          <w:rFonts w:ascii="Century Gothic" w:eastAsia="Calibri" w:hAnsi="Century Gothic" w:cs="Arial"/>
          <w:lang w:val="es-ES" w:eastAsia="es-ES"/>
        </w:rPr>
        <w:t xml:space="preserve">de </w:t>
      </w:r>
      <w:r w:rsidR="005A1C97">
        <w:rPr>
          <w:rFonts w:ascii="Century Gothic" w:eastAsia="Calibri" w:hAnsi="Century Gothic" w:cs="Arial"/>
          <w:lang w:val="es-ES" w:eastAsia="es-ES"/>
        </w:rPr>
        <w:t>ju</w:t>
      </w:r>
      <w:r w:rsidR="00727F33">
        <w:rPr>
          <w:rFonts w:ascii="Century Gothic" w:eastAsia="Calibri" w:hAnsi="Century Gothic" w:cs="Arial"/>
          <w:lang w:val="es-ES" w:eastAsia="es-ES"/>
        </w:rPr>
        <w:t>l</w:t>
      </w:r>
      <w:r w:rsidR="005A1C97">
        <w:rPr>
          <w:rFonts w:ascii="Century Gothic" w:eastAsia="Calibri" w:hAnsi="Century Gothic" w:cs="Arial"/>
          <w:lang w:val="es-ES" w:eastAsia="es-ES"/>
        </w:rPr>
        <w:t>io</w:t>
      </w:r>
      <w:r w:rsidRPr="00E43EBA">
        <w:rPr>
          <w:rFonts w:ascii="Century Gothic" w:eastAsia="Calibri" w:hAnsi="Century Gothic" w:cs="Arial"/>
          <w:lang w:val="es-ES" w:eastAsia="es-ES"/>
        </w:rPr>
        <w:t xml:space="preserve"> de 20</w:t>
      </w:r>
      <w:r w:rsidR="00BF755C" w:rsidRPr="00E43EBA">
        <w:rPr>
          <w:rFonts w:ascii="Century Gothic" w:eastAsia="Calibri" w:hAnsi="Century Gothic" w:cs="Arial"/>
          <w:lang w:val="es-ES" w:eastAsia="es-ES"/>
        </w:rPr>
        <w:t>24</w:t>
      </w:r>
      <w:r w:rsidRPr="00E43EBA">
        <w:rPr>
          <w:rFonts w:ascii="Century Gothic" w:eastAsia="Calibri" w:hAnsi="Century Gothic" w:cs="Arial"/>
          <w:lang w:val="es-ES" w:eastAsia="es-ES"/>
        </w:rPr>
        <w:t xml:space="preserve">, en la cual manifiesta lo siguiente: </w:t>
      </w:r>
    </w:p>
    <w:p w14:paraId="6DBD3E26" w14:textId="77777777" w:rsidR="00871B59" w:rsidRPr="00A83E50" w:rsidRDefault="00871B59" w:rsidP="00871B59">
      <w:pPr>
        <w:pStyle w:val="Prrafodelista"/>
        <w:tabs>
          <w:tab w:val="left" w:pos="142"/>
          <w:tab w:val="left" w:pos="284"/>
        </w:tabs>
        <w:spacing w:line="276" w:lineRule="auto"/>
        <w:ind w:left="0"/>
        <w:jc w:val="both"/>
        <w:rPr>
          <w:rFonts w:ascii="Century Gothic" w:eastAsia="Century Gothic" w:hAnsi="Century Gothic" w:cs="Century Gothic"/>
          <w:b/>
          <w:bCs/>
          <w:sz w:val="20"/>
          <w:szCs w:val="20"/>
          <w:lang w:val="es-ES"/>
        </w:rPr>
      </w:pPr>
    </w:p>
    <w:p w14:paraId="1006183E" w14:textId="4EFC2A70" w:rsidR="00871B59" w:rsidRPr="00916160" w:rsidRDefault="00871B59" w:rsidP="00727F33">
      <w:pPr>
        <w:ind w:left="709" w:right="616"/>
        <w:jc w:val="both"/>
        <w:rPr>
          <w:rFonts w:ascii="Century Gothic" w:eastAsia="Century Gothic" w:hAnsi="Century Gothic" w:cs="Century Gothic"/>
          <w:sz w:val="20"/>
          <w:szCs w:val="20"/>
        </w:rPr>
      </w:pPr>
      <w:bookmarkStart w:id="0" w:name="_Hlk95313578"/>
      <w:r w:rsidRPr="00A83E50">
        <w:rPr>
          <w:rFonts w:ascii="Century Gothic" w:eastAsia="Century Gothic" w:hAnsi="Century Gothic" w:cs="Century Gothic"/>
          <w:sz w:val="20"/>
          <w:szCs w:val="20"/>
          <w:lang w:val="es-ES"/>
        </w:rPr>
        <w:lastRenderedPageBreak/>
        <w:t>“</w:t>
      </w:r>
      <w:bookmarkEnd w:id="0"/>
      <w:r w:rsidR="00727F33" w:rsidRPr="00727F33">
        <w:rPr>
          <w:rFonts w:ascii="Century Gothic" w:eastAsia="Century Gothic" w:hAnsi="Century Gothic" w:cs="Century Gothic"/>
          <w:sz w:val="20"/>
          <w:szCs w:val="20"/>
          <w:lang w:val="es-ES"/>
        </w:rPr>
        <w:t>Cordial saludo, solicito de manera atenta estudiar la posibilidad de suspender de</w:t>
      </w:r>
      <w:r w:rsidR="00727F33">
        <w:rPr>
          <w:rFonts w:ascii="Century Gothic" w:eastAsia="Century Gothic" w:hAnsi="Century Gothic" w:cs="Century Gothic"/>
          <w:sz w:val="20"/>
          <w:szCs w:val="20"/>
          <w:lang w:val="es-ES"/>
        </w:rPr>
        <w:t xml:space="preserve"> </w:t>
      </w:r>
      <w:r w:rsidR="00727F33" w:rsidRPr="00727F33">
        <w:rPr>
          <w:rFonts w:ascii="Century Gothic" w:eastAsia="Century Gothic" w:hAnsi="Century Gothic" w:cs="Century Gothic"/>
          <w:sz w:val="20"/>
          <w:szCs w:val="20"/>
          <w:lang w:val="es-ES"/>
        </w:rPr>
        <w:t>manera temporal del pliego de condiciones, el puntaje por personas en condición de</w:t>
      </w:r>
      <w:r w:rsidR="00727F33">
        <w:rPr>
          <w:rFonts w:ascii="Century Gothic" w:eastAsia="Century Gothic" w:hAnsi="Century Gothic" w:cs="Century Gothic"/>
          <w:sz w:val="20"/>
          <w:szCs w:val="20"/>
          <w:lang w:val="es-ES"/>
        </w:rPr>
        <w:t xml:space="preserve"> </w:t>
      </w:r>
      <w:r w:rsidR="00727F33" w:rsidRPr="00727F33">
        <w:rPr>
          <w:rFonts w:ascii="Century Gothic" w:eastAsia="Century Gothic" w:hAnsi="Century Gothic" w:cs="Century Gothic"/>
          <w:sz w:val="20"/>
          <w:szCs w:val="20"/>
          <w:lang w:val="es-ES"/>
        </w:rPr>
        <w:t>discapacidad, ya que por motivos ajenos a los proponentes, no ha sido posible la</w:t>
      </w:r>
      <w:r w:rsidR="00727F33">
        <w:rPr>
          <w:rFonts w:ascii="Century Gothic" w:eastAsia="Century Gothic" w:hAnsi="Century Gothic" w:cs="Century Gothic"/>
          <w:sz w:val="20"/>
          <w:szCs w:val="20"/>
          <w:lang w:val="es-ES"/>
        </w:rPr>
        <w:t xml:space="preserve"> </w:t>
      </w:r>
      <w:r w:rsidR="00727F33" w:rsidRPr="00727F33">
        <w:rPr>
          <w:rFonts w:ascii="Century Gothic" w:eastAsia="Century Gothic" w:hAnsi="Century Gothic" w:cs="Century Gothic"/>
          <w:sz w:val="20"/>
          <w:szCs w:val="20"/>
          <w:lang w:val="es-ES"/>
        </w:rPr>
        <w:t>renovación del certificado, y en este momento no estamos en igualdad de</w:t>
      </w:r>
      <w:r w:rsidR="00727F33">
        <w:rPr>
          <w:rFonts w:ascii="Century Gothic" w:eastAsia="Century Gothic" w:hAnsi="Century Gothic" w:cs="Century Gothic"/>
          <w:sz w:val="20"/>
          <w:szCs w:val="20"/>
          <w:lang w:val="es-ES"/>
        </w:rPr>
        <w:t xml:space="preserve"> </w:t>
      </w:r>
      <w:r w:rsidR="00727F33" w:rsidRPr="00727F33">
        <w:rPr>
          <w:rFonts w:ascii="Century Gothic" w:eastAsia="Century Gothic" w:hAnsi="Century Gothic" w:cs="Century Gothic"/>
          <w:sz w:val="20"/>
          <w:szCs w:val="20"/>
          <w:lang w:val="es-ES"/>
        </w:rPr>
        <w:t>condiciones. Agradezco su colaboración</w:t>
      </w:r>
      <w:r w:rsidR="00727F33">
        <w:rPr>
          <w:rFonts w:ascii="Century Gothic" w:eastAsia="Century Gothic" w:hAnsi="Century Gothic" w:cs="Century Gothic"/>
          <w:sz w:val="20"/>
          <w:szCs w:val="20"/>
          <w:lang w:val="es-ES"/>
        </w:rPr>
        <w:t>:</w:t>
      </w:r>
      <w:r w:rsidR="005A1C97">
        <w:rPr>
          <w:rFonts w:ascii="Century Gothic" w:eastAsia="Century Gothic" w:hAnsi="Century Gothic" w:cs="Century Gothic"/>
          <w:sz w:val="20"/>
          <w:szCs w:val="20"/>
        </w:rPr>
        <w:t>”</w:t>
      </w:r>
      <w:r w:rsidR="00E051A5">
        <w:rPr>
          <w:rFonts w:ascii="Century Gothic" w:eastAsia="Century Gothic" w:hAnsi="Century Gothic" w:cs="Century Gothic"/>
          <w:sz w:val="20"/>
          <w:szCs w:val="20"/>
          <w:lang w:val="es-ES"/>
        </w:rPr>
        <w:t xml:space="preserve"> </w:t>
      </w:r>
      <w:r w:rsidR="006E1D19" w:rsidRPr="00A83E50">
        <w:rPr>
          <w:rFonts w:ascii="Century Gothic" w:eastAsia="Century Gothic" w:hAnsi="Century Gothic" w:cs="Century Gothic"/>
          <w:sz w:val="20"/>
          <w:szCs w:val="20"/>
          <w:lang w:val="es-ES"/>
        </w:rPr>
        <w:t>[sic]</w:t>
      </w:r>
    </w:p>
    <w:p w14:paraId="54DCAD4E" w14:textId="77777777" w:rsidR="00871B59" w:rsidRPr="00E43EBA" w:rsidRDefault="00871B59" w:rsidP="00871B59">
      <w:pPr>
        <w:pStyle w:val="Prrafodelista"/>
        <w:tabs>
          <w:tab w:val="left" w:pos="142"/>
          <w:tab w:val="left" w:pos="284"/>
        </w:tabs>
        <w:spacing w:line="276" w:lineRule="auto"/>
        <w:ind w:left="0"/>
        <w:jc w:val="both"/>
        <w:rPr>
          <w:rFonts w:ascii="Century Gothic" w:eastAsia="Century Gothic" w:hAnsi="Century Gothic" w:cs="Century Gothic"/>
          <w:b/>
          <w:bCs/>
          <w:lang w:val="es-ES"/>
        </w:rPr>
      </w:pPr>
    </w:p>
    <w:p w14:paraId="30F17EAD" w14:textId="77777777" w:rsidR="00871B59" w:rsidRPr="00E43EBA" w:rsidRDefault="00871B59" w:rsidP="00871B59">
      <w:pPr>
        <w:spacing w:after="120" w:line="276" w:lineRule="auto"/>
        <w:ind w:firstLine="709"/>
        <w:jc w:val="both"/>
        <w:rPr>
          <w:rFonts w:ascii="Century Gothic" w:eastAsia="Calibri" w:hAnsi="Century Gothic" w:cs="Arial"/>
          <w:color w:val="000000"/>
          <w:lang w:val="es-ES_tradnl" w:eastAsia="es-ES_tradnl"/>
        </w:rPr>
      </w:pPr>
      <w:r w:rsidRPr="00E43EBA">
        <w:rPr>
          <w:rFonts w:ascii="Century Gothic" w:eastAsia="Calibri" w:hAnsi="Century Gothic"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43EBA">
        <w:rPr>
          <w:rFonts w:ascii="Century Gothic" w:eastAsia="Calibri" w:hAnsi="Century Gothic" w:cs="Arial"/>
          <w:color w:val="000000"/>
          <w:lang w:val="es-ES_tradnl" w:eastAsia="es-ES_tradnl"/>
        </w:rPr>
        <w:tab/>
      </w:r>
    </w:p>
    <w:p w14:paraId="3B95778F" w14:textId="33E11D52" w:rsidR="00871B59" w:rsidRPr="00E43EBA" w:rsidRDefault="00871B59" w:rsidP="00871B59">
      <w:pPr>
        <w:spacing w:after="0" w:line="276" w:lineRule="auto"/>
        <w:ind w:firstLine="709"/>
        <w:jc w:val="both"/>
        <w:rPr>
          <w:rFonts w:ascii="Century Gothic" w:eastAsia="Calibri" w:hAnsi="Century Gothic" w:cs="Arial"/>
          <w:color w:val="000000"/>
          <w:lang w:val="es-ES" w:eastAsia="es-ES"/>
        </w:rPr>
      </w:pPr>
      <w:r w:rsidRPr="00E43EBA">
        <w:rPr>
          <w:rFonts w:ascii="Century Gothic" w:eastAsia="Calibri" w:hAnsi="Century Gothic"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problema</w:t>
      </w:r>
      <w:r w:rsidR="00BF755C"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jurídico</w:t>
      </w:r>
      <w:r w:rsidRPr="00E43EBA">
        <w:rPr>
          <w:rFonts w:ascii="Century Gothic" w:eastAsia="Calibri" w:hAnsi="Century Gothic" w:cs="Arial"/>
          <w:color w:val="7030A0"/>
          <w:lang w:val="es-ES" w:eastAsia="es-ES"/>
        </w:rPr>
        <w:t xml:space="preserve"> </w:t>
      </w:r>
      <w:r w:rsidRPr="00E43EBA">
        <w:rPr>
          <w:rFonts w:ascii="Century Gothic" w:eastAsia="Calibri" w:hAnsi="Century Gothic" w:cs="Arial"/>
          <w:color w:val="000000"/>
          <w:lang w:val="es-ES" w:eastAsia="es-ES"/>
        </w:rPr>
        <w:t xml:space="preserve">de su consulta. </w:t>
      </w:r>
    </w:p>
    <w:p w14:paraId="70187214" w14:textId="77777777" w:rsidR="00871B59" w:rsidRDefault="00871B59" w:rsidP="00871B59">
      <w:pPr>
        <w:spacing w:after="0" w:line="276" w:lineRule="auto"/>
        <w:ind w:firstLine="709"/>
        <w:jc w:val="both"/>
        <w:rPr>
          <w:rFonts w:ascii="Century Gothic" w:eastAsia="Calibri" w:hAnsi="Century Gothic" w:cs="Arial"/>
          <w:color w:val="000000"/>
          <w:lang w:val="es-ES" w:eastAsia="es-ES"/>
        </w:rPr>
      </w:pPr>
    </w:p>
    <w:p w14:paraId="6DBDE788" w14:textId="77777777" w:rsidR="00685FFD" w:rsidRPr="00E43EBA" w:rsidRDefault="00685FFD" w:rsidP="00871B59">
      <w:pPr>
        <w:spacing w:after="0" w:line="276" w:lineRule="auto"/>
        <w:ind w:firstLine="709"/>
        <w:jc w:val="both"/>
        <w:rPr>
          <w:rFonts w:ascii="Century Gothic" w:eastAsia="Calibri" w:hAnsi="Century Gothic" w:cs="Arial"/>
          <w:color w:val="000000"/>
          <w:lang w:val="es-ES" w:eastAsia="es-ES"/>
        </w:rPr>
      </w:pPr>
    </w:p>
    <w:p w14:paraId="74DD4DE4" w14:textId="77777777" w:rsidR="00871B59" w:rsidRPr="00E43EBA" w:rsidRDefault="00871B59" w:rsidP="00871B59">
      <w:pPr>
        <w:pStyle w:val="Prrafodelista"/>
        <w:numPr>
          <w:ilvl w:val="0"/>
          <w:numId w:val="4"/>
        </w:numPr>
        <w:tabs>
          <w:tab w:val="left" w:pos="142"/>
          <w:tab w:val="left" w:pos="284"/>
        </w:tabs>
        <w:spacing w:after="0" w:line="276" w:lineRule="auto"/>
        <w:ind w:left="0" w:firstLine="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Problema planteado:</w:t>
      </w:r>
    </w:p>
    <w:p w14:paraId="690221EE" w14:textId="77777777" w:rsidR="00871B59" w:rsidRDefault="00871B59" w:rsidP="00871B59">
      <w:pPr>
        <w:tabs>
          <w:tab w:val="left" w:pos="426"/>
        </w:tabs>
        <w:spacing w:after="0" w:line="276" w:lineRule="auto"/>
        <w:jc w:val="both"/>
        <w:rPr>
          <w:rFonts w:ascii="Century Gothic" w:eastAsia="Century Gothic" w:hAnsi="Century Gothic" w:cs="Century Gothic"/>
          <w:lang w:val="es-ES"/>
        </w:rPr>
      </w:pPr>
    </w:p>
    <w:p w14:paraId="212D4FF9" w14:textId="77777777" w:rsidR="00685FFD" w:rsidRPr="00E43EBA" w:rsidRDefault="00685FFD" w:rsidP="00871B59">
      <w:pPr>
        <w:tabs>
          <w:tab w:val="left" w:pos="426"/>
        </w:tabs>
        <w:spacing w:after="0" w:line="276" w:lineRule="auto"/>
        <w:jc w:val="both"/>
        <w:rPr>
          <w:rFonts w:ascii="Century Gothic" w:eastAsia="Century Gothic" w:hAnsi="Century Gothic" w:cs="Century Gothic"/>
          <w:lang w:val="es-ES"/>
        </w:rPr>
      </w:pPr>
    </w:p>
    <w:p w14:paraId="1D71B419" w14:textId="4DCBF7FF" w:rsidR="00916160" w:rsidRPr="005639E9" w:rsidRDefault="00871B59" w:rsidP="00916160">
      <w:pPr>
        <w:pStyle w:val="Textoindependiente"/>
        <w:spacing w:before="1" w:line="276" w:lineRule="auto"/>
        <w:ind w:right="306"/>
        <w:jc w:val="both"/>
      </w:pPr>
      <w:r w:rsidRPr="00E43EBA">
        <w:rPr>
          <w:rFonts w:ascii="Century Gothic" w:eastAsia="Century Gothic" w:hAnsi="Century Gothic" w:cs="Century Gothic"/>
        </w:rPr>
        <w:t xml:space="preserve">De acuerdo con el contenido de su solicitud, esta Agencia resolverá </w:t>
      </w:r>
      <w:r w:rsidR="00916160">
        <w:rPr>
          <w:rFonts w:ascii="Century Gothic" w:eastAsia="Century Gothic" w:hAnsi="Century Gothic" w:cs="Century Gothic"/>
        </w:rPr>
        <w:t>los</w:t>
      </w:r>
      <w:r w:rsidRPr="00E43EBA">
        <w:rPr>
          <w:rFonts w:ascii="Century Gothic" w:eastAsia="Century Gothic" w:hAnsi="Century Gothic" w:cs="Century Gothic"/>
        </w:rPr>
        <w:t xml:space="preserve"> siguiente</w:t>
      </w:r>
      <w:r w:rsidR="00916160">
        <w:rPr>
          <w:rFonts w:ascii="Century Gothic" w:eastAsia="Century Gothic" w:hAnsi="Century Gothic" w:cs="Century Gothic"/>
        </w:rPr>
        <w:t>s</w:t>
      </w:r>
      <w:r w:rsidR="00BF755C" w:rsidRPr="00E43EBA">
        <w:rPr>
          <w:rFonts w:ascii="Century Gothic" w:eastAsia="Century Gothic" w:hAnsi="Century Gothic" w:cs="Century Gothic"/>
        </w:rPr>
        <w:t xml:space="preserve"> </w:t>
      </w:r>
      <w:r w:rsidRPr="00E43EBA">
        <w:rPr>
          <w:rFonts w:ascii="Century Gothic" w:eastAsia="Century Gothic" w:hAnsi="Century Gothic" w:cs="Century Gothic"/>
        </w:rPr>
        <w:t>problema</w:t>
      </w:r>
      <w:r w:rsidR="00916160">
        <w:rPr>
          <w:rFonts w:ascii="Century Gothic" w:eastAsia="Century Gothic" w:hAnsi="Century Gothic" w:cs="Century Gothic"/>
        </w:rPr>
        <w:t>s</w:t>
      </w:r>
      <w:r w:rsidRPr="00E43EBA">
        <w:rPr>
          <w:rFonts w:ascii="Century Gothic" w:eastAsia="Century Gothic" w:hAnsi="Century Gothic" w:cs="Century Gothic"/>
        </w:rPr>
        <w:t xml:space="preserve"> jurídico: </w:t>
      </w:r>
      <w:r w:rsidR="00916160" w:rsidRPr="00916160">
        <w:rPr>
          <w:rFonts w:ascii="Century Gothic" w:eastAsia="Century Gothic" w:hAnsi="Century Gothic" w:cs="Century Gothic"/>
        </w:rPr>
        <w:t>¿</w:t>
      </w:r>
      <w:r w:rsidR="005B6F6D" w:rsidRPr="005B6F6D">
        <w:rPr>
          <w:rFonts w:ascii="Century Gothic" w:eastAsia="Century Gothic" w:hAnsi="Century Gothic" w:cs="Century Gothic"/>
        </w:rPr>
        <w:t>Se debe acredita</w:t>
      </w:r>
      <w:r w:rsidR="005B6F6D">
        <w:rPr>
          <w:rFonts w:ascii="Century Gothic" w:eastAsia="Century Gothic" w:hAnsi="Century Gothic" w:cs="Century Gothic"/>
        </w:rPr>
        <w:t>r con una certificación</w:t>
      </w:r>
      <w:r w:rsidR="005B6F6D" w:rsidRPr="005B6F6D">
        <w:rPr>
          <w:rFonts w:ascii="Century Gothic" w:eastAsia="Century Gothic" w:hAnsi="Century Gothic" w:cs="Century Gothic"/>
        </w:rPr>
        <w:t xml:space="preserve"> la Vinculación de Personas con Discapacidad en Procesos de Contratación para Obtener Incentivos</w:t>
      </w:r>
      <w:r w:rsidR="00916160" w:rsidRPr="00916160">
        <w:rPr>
          <w:rFonts w:ascii="Century Gothic" w:eastAsia="Century Gothic" w:hAnsi="Century Gothic" w:cs="Century Gothic"/>
        </w:rPr>
        <w:t>?</w:t>
      </w:r>
    </w:p>
    <w:p w14:paraId="57640A16" w14:textId="44EF1AD0" w:rsidR="00871B59" w:rsidRDefault="00BF755C" w:rsidP="00871B59">
      <w:pPr>
        <w:spacing w:after="0" w:line="276" w:lineRule="auto"/>
        <w:jc w:val="both"/>
        <w:rPr>
          <w:rFonts w:ascii="Century Gothic" w:eastAsia="Century Gothic" w:hAnsi="Century Gothic" w:cs="Century Gothic"/>
        </w:rPr>
      </w:pPr>
      <w:r w:rsidRPr="00E43EBA">
        <w:rPr>
          <w:rFonts w:ascii="Century Gothic" w:eastAsia="Century Gothic" w:hAnsi="Century Gothic" w:cs="Century Gothic"/>
        </w:rPr>
        <w:lastRenderedPageBreak/>
        <w:t xml:space="preserve"> </w:t>
      </w:r>
    </w:p>
    <w:p w14:paraId="5C57421A" w14:textId="77777777" w:rsidR="00685FFD" w:rsidRPr="00FE33B4" w:rsidRDefault="00685FFD" w:rsidP="00871B59">
      <w:pPr>
        <w:spacing w:after="0" w:line="276" w:lineRule="auto"/>
        <w:jc w:val="both"/>
        <w:rPr>
          <w:rFonts w:ascii="Century Gothic" w:eastAsia="Century Gothic" w:hAnsi="Century Gothic" w:cs="Century Gothic"/>
        </w:rPr>
      </w:pPr>
    </w:p>
    <w:p w14:paraId="33E3D3F8"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Respuesta:</w:t>
      </w:r>
    </w:p>
    <w:p w14:paraId="4647B31A" w14:textId="77777777" w:rsidR="00871B59" w:rsidRPr="00E43EBA" w:rsidRDefault="00871B59" w:rsidP="00871B59">
      <w:pPr>
        <w:tabs>
          <w:tab w:val="left" w:pos="142"/>
          <w:tab w:val="left" w:pos="284"/>
        </w:tabs>
        <w:spacing w:after="0" w:line="276" w:lineRule="auto"/>
        <w:jc w:val="both"/>
        <w:rPr>
          <w:rFonts w:ascii="Century Gothic" w:eastAsia="Century Gothic" w:hAnsi="Century Gothic"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E43EBA" w14:paraId="14984B9D" w14:textId="77777777" w:rsidTr="002607A7">
        <w:tc>
          <w:tcPr>
            <w:tcW w:w="8828" w:type="dxa"/>
            <w:shd w:val="clear" w:color="auto" w:fill="auto"/>
          </w:tcPr>
          <w:p w14:paraId="357F569B" w14:textId="40DB11B6" w:rsidR="001F48DA" w:rsidRPr="001F48DA" w:rsidRDefault="001F48DA" w:rsidP="001F48DA">
            <w:pPr>
              <w:spacing w:after="120" w:line="276" w:lineRule="auto"/>
              <w:ind w:firstLine="709"/>
              <w:jc w:val="both"/>
              <w:rPr>
                <w:rFonts w:ascii="Century Gothic" w:eastAsia="Calibri" w:hAnsi="Century Gothic" w:cs="Arial"/>
                <w:color w:val="000000"/>
                <w:lang w:val="es-ES" w:eastAsia="es-ES"/>
              </w:rPr>
            </w:pPr>
            <w:r w:rsidRPr="001F48DA">
              <w:rPr>
                <w:rFonts w:ascii="Century Gothic" w:eastAsia="Calibri" w:hAnsi="Century Gothic" w:cs="Arial"/>
                <w:color w:val="000000"/>
                <w:lang w:val="es-ES" w:eastAsia="es-ES"/>
              </w:rPr>
              <w:t xml:space="preserve">El Decreto 392 de 2018 prescribe que, para alcanzar los incentivos por vinculación de personas con discapacidad, el proponente debe certificar el número total de trabajadores de su planta de personal y el número total de trabajadores con discapacidad pertenecientes a esta. </w:t>
            </w:r>
          </w:p>
          <w:p w14:paraId="712A3B5E" w14:textId="77777777" w:rsidR="001F48DA" w:rsidRPr="001F48DA" w:rsidRDefault="001F48DA" w:rsidP="001F48DA">
            <w:pPr>
              <w:spacing w:after="120" w:line="276" w:lineRule="auto"/>
              <w:ind w:firstLine="709"/>
              <w:jc w:val="both"/>
              <w:rPr>
                <w:rFonts w:ascii="Century Gothic" w:eastAsia="Calibri" w:hAnsi="Century Gothic" w:cs="Arial"/>
                <w:color w:val="000000"/>
                <w:lang w:val="es-ES" w:eastAsia="es-ES"/>
              </w:rPr>
            </w:pPr>
            <w:r w:rsidRPr="001F48DA">
              <w:rPr>
                <w:rFonts w:ascii="Century Gothic" w:eastAsia="Calibri" w:hAnsi="Century Gothic" w:cs="Arial"/>
                <w:color w:val="000000"/>
                <w:lang w:val="es-ES" w:eastAsia="es-ES"/>
              </w:rPr>
              <w:t>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Por su parte, cuando se trate de proponentes plurales, esto es, consorcio o unión temporal, la acreditación de requisito corresponderá a los integrantes en la forma antes enunciada. Por ende, deben certificar el número de trabajadores vinculados a la planta de personal, según se trate de persona natural o persona jurídica. En segundo lugar, para acreditar que se cumple con el número mínimo de trabajadores con discapacidad exigido, se empleará un certificado expedido por el Ministerio de Trabajo, el cual debe estar vigente al cierre del respectivo proceso.</w:t>
            </w:r>
          </w:p>
          <w:p w14:paraId="492EF325" w14:textId="77777777" w:rsidR="00916160" w:rsidRDefault="001F48DA" w:rsidP="001F48DA">
            <w:pPr>
              <w:spacing w:after="120" w:line="276" w:lineRule="auto"/>
              <w:ind w:firstLine="709"/>
              <w:jc w:val="both"/>
              <w:rPr>
                <w:rFonts w:ascii="Century Gothic" w:eastAsia="Calibri" w:hAnsi="Century Gothic" w:cs="Arial"/>
                <w:color w:val="000000"/>
                <w:lang w:val="es-ES" w:eastAsia="es-ES"/>
              </w:rPr>
            </w:pPr>
            <w:r w:rsidRPr="001F48DA">
              <w:rPr>
                <w:rFonts w:ascii="Century Gothic" w:eastAsia="Calibri" w:hAnsi="Century Gothic" w:cs="Arial"/>
                <w:color w:val="000000"/>
                <w:lang w:val="es-ES" w:eastAsia="es-ES"/>
              </w:rPr>
              <w:t xml:space="preserve">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a acceder al beneficio. </w:t>
            </w:r>
          </w:p>
          <w:p w14:paraId="16252D8F" w14:textId="77777777" w:rsidR="005B6F6D" w:rsidRDefault="005B6F6D" w:rsidP="001F48DA">
            <w:pPr>
              <w:spacing w:after="120" w:line="276" w:lineRule="auto"/>
              <w:ind w:firstLine="709"/>
              <w:jc w:val="both"/>
              <w:rPr>
                <w:rFonts w:ascii="Century Gothic" w:eastAsia="Calibri" w:hAnsi="Century Gothic" w:cs="Arial"/>
                <w:color w:val="000000"/>
                <w:lang w:val="es-ES" w:eastAsia="es-ES"/>
              </w:rPr>
            </w:pPr>
          </w:p>
          <w:p w14:paraId="47AEB666" w14:textId="62D79B59" w:rsidR="005B6F6D" w:rsidRPr="001F48DA" w:rsidRDefault="005B6F6D" w:rsidP="001F48DA">
            <w:pPr>
              <w:spacing w:after="120" w:line="276" w:lineRule="auto"/>
              <w:ind w:firstLine="709"/>
              <w:jc w:val="both"/>
              <w:rPr>
                <w:rFonts w:ascii="Century Gothic" w:eastAsia="Calibri" w:hAnsi="Century Gothic" w:cs="Arial"/>
                <w:lang w:val="es-ES_tradnl" w:eastAsia="es-MX"/>
              </w:rPr>
            </w:pPr>
            <w:r>
              <w:rPr>
                <w:rFonts w:ascii="Century Gothic" w:eastAsia="Calibri" w:hAnsi="Century Gothic" w:cs="Arial"/>
                <w:color w:val="000000"/>
                <w:lang w:val="es-ES" w:eastAsia="es-ES"/>
              </w:rPr>
              <w:t xml:space="preserve">En este sentido, y teniendo en cuenta que el Decreto 392 de 2018 establece el deber de </w:t>
            </w:r>
            <w:r w:rsidRPr="005B6F6D">
              <w:rPr>
                <w:rFonts w:ascii="Century Gothic" w:eastAsia="Century Gothic" w:hAnsi="Century Gothic" w:cs="Century Gothic"/>
              </w:rPr>
              <w:t>acredita</w:t>
            </w:r>
            <w:r>
              <w:rPr>
                <w:rFonts w:ascii="Century Gothic" w:eastAsia="Century Gothic" w:hAnsi="Century Gothic" w:cs="Century Gothic"/>
              </w:rPr>
              <w:t>r a través de una certificación</w:t>
            </w:r>
            <w:r w:rsidRPr="005B6F6D">
              <w:rPr>
                <w:rFonts w:ascii="Century Gothic" w:eastAsia="Century Gothic" w:hAnsi="Century Gothic" w:cs="Century Gothic"/>
              </w:rPr>
              <w:t xml:space="preserve"> la </w:t>
            </w:r>
            <w:r>
              <w:rPr>
                <w:rFonts w:ascii="Century Gothic" w:eastAsia="Century Gothic" w:hAnsi="Century Gothic" w:cs="Century Gothic"/>
              </w:rPr>
              <w:t>v</w:t>
            </w:r>
            <w:r w:rsidRPr="005B6F6D">
              <w:rPr>
                <w:rFonts w:ascii="Century Gothic" w:eastAsia="Century Gothic" w:hAnsi="Century Gothic" w:cs="Century Gothic"/>
              </w:rPr>
              <w:t xml:space="preserve">inculación de </w:t>
            </w:r>
            <w:r>
              <w:rPr>
                <w:rFonts w:ascii="Century Gothic" w:eastAsia="Century Gothic" w:hAnsi="Century Gothic" w:cs="Century Gothic"/>
              </w:rPr>
              <w:t>p</w:t>
            </w:r>
            <w:r w:rsidRPr="005B6F6D">
              <w:rPr>
                <w:rFonts w:ascii="Century Gothic" w:eastAsia="Century Gothic" w:hAnsi="Century Gothic" w:cs="Century Gothic"/>
              </w:rPr>
              <w:t xml:space="preserve">ersonas con </w:t>
            </w:r>
            <w:r>
              <w:rPr>
                <w:rFonts w:ascii="Century Gothic" w:eastAsia="Century Gothic" w:hAnsi="Century Gothic" w:cs="Century Gothic"/>
              </w:rPr>
              <w:t>d</w:t>
            </w:r>
            <w:r w:rsidRPr="005B6F6D">
              <w:rPr>
                <w:rFonts w:ascii="Century Gothic" w:eastAsia="Century Gothic" w:hAnsi="Century Gothic" w:cs="Century Gothic"/>
              </w:rPr>
              <w:t>iscapacidad en Procesos de Contratación para Obtener Incentivos</w:t>
            </w:r>
            <w:r>
              <w:rPr>
                <w:rFonts w:ascii="Century Gothic" w:eastAsia="Century Gothic" w:hAnsi="Century Gothic" w:cs="Century Gothic"/>
              </w:rPr>
              <w:t xml:space="preserve">, no es viable por parte de la Agencia Nacional de Contratación </w:t>
            </w:r>
            <w:r>
              <w:rPr>
                <w:rFonts w:ascii="Century Gothic" w:eastAsia="Century Gothic" w:hAnsi="Century Gothic" w:cs="Century Gothic"/>
              </w:rPr>
              <w:lastRenderedPageBreak/>
              <w:t xml:space="preserve">Pública – Colombia Compra Eficiente la modificación de los Documentos Tipo vigentes bajo este fundamento. </w:t>
            </w:r>
          </w:p>
        </w:tc>
      </w:tr>
    </w:tbl>
    <w:p w14:paraId="3199705F" w14:textId="77777777" w:rsidR="00871B59" w:rsidRPr="00E43EBA" w:rsidRDefault="00871B59" w:rsidP="00871B59">
      <w:pPr>
        <w:tabs>
          <w:tab w:val="left" w:pos="142"/>
          <w:tab w:val="left" w:pos="284"/>
        </w:tabs>
        <w:spacing w:after="0" w:line="276" w:lineRule="auto"/>
        <w:jc w:val="both"/>
        <w:rPr>
          <w:rFonts w:ascii="Century Gothic" w:eastAsia="Century Gothic" w:hAnsi="Century Gothic" w:cs="Century Gothic"/>
          <w:b/>
          <w:bCs/>
          <w:lang w:val="es-ES"/>
        </w:rPr>
      </w:pPr>
    </w:p>
    <w:p w14:paraId="6678B80A"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Razones de la respuesta:</w:t>
      </w:r>
    </w:p>
    <w:p w14:paraId="40393512" w14:textId="77777777" w:rsidR="00871B59" w:rsidRPr="00E43EBA" w:rsidRDefault="00871B59" w:rsidP="00871B59">
      <w:pPr>
        <w:spacing w:after="0" w:line="276" w:lineRule="auto"/>
        <w:jc w:val="both"/>
        <w:rPr>
          <w:rFonts w:ascii="Century Gothic" w:eastAsia="Calibri" w:hAnsi="Century Gothic" w:cs="Arial"/>
          <w:color w:val="7030A0"/>
          <w:lang w:val="es-ES"/>
        </w:rPr>
      </w:pPr>
    </w:p>
    <w:p w14:paraId="6DB5BA6B" w14:textId="77777777" w:rsidR="00871B59" w:rsidRPr="00E43EBA" w:rsidRDefault="00871B59" w:rsidP="00871B59">
      <w:pPr>
        <w:spacing w:after="0" w:line="276" w:lineRule="auto"/>
        <w:jc w:val="both"/>
        <w:rPr>
          <w:rFonts w:ascii="Century Gothic" w:eastAsia="Calibri" w:hAnsi="Century Gothic" w:cs="Arial"/>
          <w:lang w:val="es-ES"/>
        </w:rPr>
      </w:pPr>
      <w:r w:rsidRPr="00E43EBA">
        <w:rPr>
          <w:rFonts w:ascii="Century Gothic" w:eastAsia="Calibri" w:hAnsi="Century Gothic" w:cs="Arial"/>
          <w:lang w:val="es-ES"/>
        </w:rPr>
        <w:t xml:space="preserve">Lo anterior se sustenta en las siguientes consideraciones: </w:t>
      </w:r>
    </w:p>
    <w:p w14:paraId="6FBD94A1" w14:textId="77777777" w:rsidR="00871B59" w:rsidRPr="009E35E3" w:rsidRDefault="00871B59" w:rsidP="00871B59">
      <w:pPr>
        <w:spacing w:after="0" w:line="276" w:lineRule="auto"/>
        <w:jc w:val="both"/>
        <w:rPr>
          <w:rFonts w:ascii="Century Gothic" w:eastAsia="Calibri" w:hAnsi="Century Gothic" w:cs="Arial"/>
          <w:lang w:val="es-ES"/>
        </w:rPr>
      </w:pPr>
    </w:p>
    <w:p w14:paraId="36861C68" w14:textId="77777777" w:rsidR="00685FFD" w:rsidRDefault="00685FFD" w:rsidP="00685FFD">
      <w:pPr>
        <w:pStyle w:val="Prrafodelista"/>
        <w:numPr>
          <w:ilvl w:val="0"/>
          <w:numId w:val="14"/>
        </w:numPr>
        <w:spacing w:after="0" w:line="276" w:lineRule="auto"/>
        <w:jc w:val="both"/>
        <w:rPr>
          <w:rFonts w:ascii="Century Gothic" w:eastAsia="Calibri" w:hAnsi="Century Gothic" w:cs="Arial"/>
          <w:lang w:val="es-ES"/>
        </w:rPr>
      </w:pPr>
      <w:r w:rsidRPr="00685FFD">
        <w:rPr>
          <w:rFonts w:ascii="Century Gothic" w:eastAsia="Calibri" w:hAnsi="Century Gothic" w:cs="Arial"/>
          <w:lang w:val="es-ES"/>
        </w:rPr>
        <w:t xml:space="preserve">Con el propósito de hacer posible la igualdad material y efectiva de las personas en condición de discapacidad, el legislador expidió la Ley 1618 de 2013. Esta norma establece disposiciones para garantizar el pleno ejercicio de los derechos de las mencionadas personas, mediante la adopción de medidas de equidad y de acciones afirmativas que promuevan su inclusión en diferentes ámbitos de la economía y la sociedad. </w:t>
      </w:r>
    </w:p>
    <w:p w14:paraId="16AC7B26" w14:textId="77777777" w:rsidR="00685FFD" w:rsidRDefault="00685FFD" w:rsidP="00685FFD">
      <w:pPr>
        <w:pStyle w:val="Prrafodelista"/>
        <w:spacing w:after="0" w:line="276" w:lineRule="auto"/>
        <w:jc w:val="both"/>
        <w:rPr>
          <w:rFonts w:ascii="Century Gothic" w:eastAsia="Calibri" w:hAnsi="Century Gothic" w:cs="Arial"/>
          <w:lang w:val="es-ES"/>
        </w:rPr>
      </w:pPr>
    </w:p>
    <w:p w14:paraId="61500AA5" w14:textId="77777777" w:rsidR="00685FFD" w:rsidRPr="00685FFD" w:rsidRDefault="00685FFD" w:rsidP="00685FFD">
      <w:pPr>
        <w:pStyle w:val="Prrafodelista"/>
        <w:numPr>
          <w:ilvl w:val="0"/>
          <w:numId w:val="14"/>
        </w:numPr>
        <w:spacing w:before="120" w:after="0" w:line="276" w:lineRule="auto"/>
        <w:jc w:val="both"/>
        <w:rPr>
          <w:rFonts w:ascii="Century Gothic" w:eastAsia="Calibri" w:hAnsi="Century Gothic" w:cs="Arial"/>
          <w:lang w:val="es-ES"/>
        </w:rPr>
      </w:pPr>
      <w:r w:rsidRPr="00685FFD">
        <w:rPr>
          <w:rFonts w:ascii="Century Gothic" w:eastAsia="Calibri" w:hAnsi="Century Gothic" w:cs="Arial"/>
          <w:lang w:val="es-ES"/>
        </w:rPr>
        <w:t xml:space="preserve">Como expresión de la finalidad antes enunciada y en aras de garantizar el derecho al trabajo en términos de igualdad material de oportunidades para las personas en condición de discapacidad, el artículo 13 de Ley 1618 de 2013 estableció acciones afirmativas en el marco del sistema de compras públicas. Adicionalmente, ordenó al Gobierno Nacional expedir el decreto reglamentario que determinara una puntuación adicional y un sistema de preferencias en los procesos de contratación estatal. El artículo en mención prescribe lo siguiente: </w:t>
      </w:r>
    </w:p>
    <w:p w14:paraId="56B54570" w14:textId="77777777" w:rsidR="00685FFD" w:rsidRPr="00685FFD" w:rsidRDefault="00685FFD" w:rsidP="00685FFD">
      <w:pPr>
        <w:pStyle w:val="Prrafodelista"/>
        <w:tabs>
          <w:tab w:val="left" w:pos="426"/>
        </w:tabs>
        <w:spacing w:after="0" w:line="276" w:lineRule="auto"/>
        <w:jc w:val="both"/>
        <w:rPr>
          <w:rFonts w:ascii="Century Gothic" w:eastAsia="Calibri" w:hAnsi="Century Gothic" w:cs="Arial"/>
          <w:lang w:val="es-ES"/>
        </w:rPr>
      </w:pPr>
    </w:p>
    <w:p w14:paraId="0335D04E"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 xml:space="preserve">“Artículo 13. Derecho al trabajo. Todas las personas con discapacidad tienen derecho al trabajo. Para garantizar el ejercicio efectivo del derecho al trabajo de las personas con discapacidad, en términos de igualdad de oportunidades, equidad e inclusión, en concordancia con el artículo 27 de la Ley 1346 de 2009, el Ministerio de Trabajo o quien haga sus veces y demás entidades competentes establecerán entre otras, las siguientes medidas: </w:t>
      </w:r>
    </w:p>
    <w:p w14:paraId="59D2623C"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p>
    <w:p w14:paraId="4284E20E" w14:textId="2028D725"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 xml:space="preserve">1. El Gobierno Nacional, a través del Ministerio de Hacienda y Crédito Público y el Departamento Nacional de Planeación o de quienes hagan sus veces, expedirá el decreto reglamentario que establezca una puntuación adicional en los procesos de licitación </w:t>
      </w:r>
      <w:r w:rsidRPr="00685FFD">
        <w:rPr>
          <w:rFonts w:ascii="Century Gothic" w:eastAsia="Calibri" w:hAnsi="Century Gothic" w:cs="Arial"/>
          <w:lang w:val="es-ES"/>
        </w:rPr>
        <w:lastRenderedPageBreak/>
        <w:t>pública, concurso de méritos y contratación directa, para las empresas que en su planta de personal tengan personas con discapacidad contratadas con todas las exigencias y garantías legalmente establecidas, y para las empresas de personas con discapacidad, familiares y tutores.</w:t>
      </w:r>
    </w:p>
    <w:p w14:paraId="7EE102E2"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w:t>
      </w:r>
    </w:p>
    <w:p w14:paraId="5D2CF110" w14:textId="77777777" w:rsidR="00685FFD" w:rsidRPr="00685FFD" w:rsidRDefault="00685FFD" w:rsidP="00685FFD">
      <w:pPr>
        <w:pStyle w:val="Prrafodelista"/>
        <w:spacing w:after="120" w:line="240" w:lineRule="auto"/>
        <w:ind w:left="1134" w:right="474"/>
        <w:jc w:val="both"/>
        <w:rPr>
          <w:rFonts w:ascii="Century Gothic" w:eastAsia="Calibri" w:hAnsi="Century Gothic" w:cs="Arial"/>
          <w:lang w:val="es-ES"/>
        </w:rPr>
      </w:pPr>
    </w:p>
    <w:p w14:paraId="19389A1B" w14:textId="77777777" w:rsidR="00685FFD" w:rsidRPr="00685FFD" w:rsidRDefault="00685FFD" w:rsidP="00685FFD">
      <w:pPr>
        <w:spacing w:after="0" w:line="240" w:lineRule="auto"/>
        <w:ind w:left="1134" w:right="474"/>
        <w:jc w:val="both"/>
        <w:rPr>
          <w:rFonts w:ascii="Century Gothic" w:eastAsia="Calibri" w:hAnsi="Century Gothic" w:cs="Arial"/>
          <w:lang w:val="es-ES"/>
        </w:rPr>
      </w:pPr>
      <w:r w:rsidRPr="00685FFD">
        <w:rPr>
          <w:rFonts w:ascii="Century Gothic" w:eastAsia="Calibri" w:hAnsi="Century Gothic" w:cs="Arial"/>
          <w:lang w:val="es-ES"/>
        </w:rPr>
        <w:t>8. Los gobiernos nacional, departamentales, distritales y municipales, deberán fijar mediante decreto reglamentario, en los procesos de selección de los contratistas y proveedores, un sistema de preferencias a favor de las personas con discapacidad”.</w:t>
      </w:r>
    </w:p>
    <w:p w14:paraId="38920F0D" w14:textId="77777777" w:rsidR="00685FFD" w:rsidRPr="00685FFD" w:rsidRDefault="00685FFD" w:rsidP="00685FFD">
      <w:pPr>
        <w:spacing w:after="0" w:line="276" w:lineRule="auto"/>
        <w:jc w:val="both"/>
        <w:rPr>
          <w:rFonts w:ascii="Century Gothic" w:eastAsia="Calibri" w:hAnsi="Century Gothic" w:cs="Arial"/>
          <w:lang w:val="es-MX"/>
        </w:rPr>
      </w:pPr>
    </w:p>
    <w:p w14:paraId="2279D250" w14:textId="77777777" w:rsidR="00685FFD" w:rsidRDefault="00685FFD" w:rsidP="00685FFD">
      <w:pPr>
        <w:pStyle w:val="Prrafodelista"/>
        <w:spacing w:line="276" w:lineRule="auto"/>
        <w:jc w:val="both"/>
        <w:rPr>
          <w:rFonts w:ascii="Century Gothic" w:eastAsia="Calibri" w:hAnsi="Century Gothic" w:cs="Arial"/>
          <w:lang w:val="es-ES"/>
        </w:rPr>
      </w:pPr>
    </w:p>
    <w:p w14:paraId="6E1433C4" w14:textId="45CEEBD0" w:rsidR="00685FFD" w:rsidRPr="00685FFD" w:rsidRDefault="00685FFD" w:rsidP="009E35E3">
      <w:pPr>
        <w:pStyle w:val="Prrafodelista"/>
        <w:numPr>
          <w:ilvl w:val="0"/>
          <w:numId w:val="14"/>
        </w:numPr>
        <w:spacing w:line="276" w:lineRule="auto"/>
        <w:jc w:val="both"/>
        <w:rPr>
          <w:rFonts w:ascii="Century Gothic" w:eastAsia="Calibri" w:hAnsi="Century Gothic" w:cs="Arial"/>
          <w:lang w:val="es-ES"/>
        </w:rPr>
      </w:pPr>
      <w:r w:rsidRPr="00685FFD">
        <w:rPr>
          <w:rFonts w:ascii="Century Gothic" w:eastAsia="Calibri" w:hAnsi="Century Gothic" w:cs="Arial"/>
          <w:lang w:val="es-ES"/>
        </w:rPr>
        <w:t>En cumplimiento de lo anterior, el Gobierno Nacional, ejerciendo su facultad reglamentaria, expidió el Decreto 392 del 2018, “Por el cual se reglamentan los numerales 1 y 8 del artículo 13 de la Ley 1618 de 2013, sobre incentivos en Procesos de Contratación en favor de personas con discapacidad”. Este Decreto adicionó el artículo 2.2.1.2.4.6 al Decreto Único Reglamentario 1082 de 2015, estableciendo un puntaje adicional del uno por ciento (1%) para proponentes en los procesos de licitaciones públicas y concurso de méritos que tuvieran vinculados a trabajadores con discapacidad, de acuerdo con los requisitos previstos en el mismo.</w:t>
      </w:r>
    </w:p>
    <w:p w14:paraId="698303F6" w14:textId="77777777" w:rsidR="00685FFD" w:rsidRDefault="00685FFD" w:rsidP="00685FFD">
      <w:pPr>
        <w:pStyle w:val="Prrafodelista"/>
        <w:spacing w:line="276" w:lineRule="auto"/>
        <w:jc w:val="both"/>
        <w:rPr>
          <w:rFonts w:ascii="Century Gothic" w:eastAsia="Calibri" w:hAnsi="Century Gothic" w:cs="Arial"/>
          <w:lang w:val="es-ES"/>
        </w:rPr>
      </w:pPr>
    </w:p>
    <w:p w14:paraId="01B26A1F" w14:textId="77777777" w:rsidR="005B6F6D" w:rsidRDefault="005B6F6D" w:rsidP="005B6F6D">
      <w:pPr>
        <w:pStyle w:val="Prrafodelista"/>
        <w:numPr>
          <w:ilvl w:val="0"/>
          <w:numId w:val="14"/>
        </w:numPr>
        <w:spacing w:after="120" w:line="276" w:lineRule="auto"/>
        <w:jc w:val="both"/>
        <w:rPr>
          <w:rFonts w:ascii="Century Gothic" w:eastAsia="Calibri" w:hAnsi="Century Gothic" w:cs="Arial"/>
          <w:color w:val="000000"/>
          <w:lang w:val="es-ES" w:eastAsia="es-ES"/>
        </w:rPr>
      </w:pPr>
      <w:r w:rsidRPr="005B6F6D">
        <w:rPr>
          <w:rFonts w:ascii="Century Gothic" w:eastAsia="Calibri" w:hAnsi="Century Gothic" w:cs="Arial"/>
          <w:color w:val="000000"/>
          <w:lang w:val="es-ES" w:eastAsia="es-ES"/>
        </w:rPr>
        <w:t xml:space="preserve">El Decreto 392 de 2018 prescribe que, para alcanzar los incentivos por vinculación de personas con discapacidad, el proponente debe certificar el número total de trabajadores de su planta de personal y el número total de trabajadores con discapacidad pertenecientes a esta. </w:t>
      </w:r>
    </w:p>
    <w:p w14:paraId="39A85187" w14:textId="77777777" w:rsidR="005B6F6D" w:rsidRPr="005B6F6D" w:rsidRDefault="005B6F6D" w:rsidP="005B6F6D">
      <w:pPr>
        <w:spacing w:after="120" w:line="276" w:lineRule="auto"/>
        <w:jc w:val="both"/>
        <w:rPr>
          <w:rFonts w:ascii="Century Gothic" w:eastAsia="Calibri" w:hAnsi="Century Gothic" w:cs="Arial"/>
          <w:color w:val="000000"/>
          <w:lang w:val="es-ES" w:eastAsia="es-ES"/>
        </w:rPr>
      </w:pPr>
    </w:p>
    <w:p w14:paraId="349DCF80" w14:textId="77777777" w:rsidR="005B6F6D" w:rsidRPr="005B6F6D" w:rsidRDefault="005B6F6D" w:rsidP="005B6F6D">
      <w:pPr>
        <w:pStyle w:val="Prrafodelista"/>
        <w:numPr>
          <w:ilvl w:val="0"/>
          <w:numId w:val="14"/>
        </w:numPr>
        <w:spacing w:after="120" w:line="276" w:lineRule="auto"/>
        <w:jc w:val="both"/>
        <w:rPr>
          <w:rFonts w:ascii="Century Gothic" w:eastAsia="Calibri" w:hAnsi="Century Gothic" w:cs="Arial"/>
          <w:color w:val="000000"/>
          <w:lang w:val="es-ES" w:eastAsia="es-ES"/>
        </w:rPr>
      </w:pPr>
      <w:r w:rsidRPr="005B6F6D">
        <w:rPr>
          <w:rFonts w:ascii="Century Gothic" w:eastAsia="Calibri" w:hAnsi="Century Gothic" w:cs="Arial"/>
          <w:color w:val="000000"/>
          <w:lang w:val="es-ES" w:eastAsia="es-ES"/>
        </w:rPr>
        <w:t xml:space="preserve">En primer lugar, la persona natural, el representante legal de la persona jurídica o su revisor fiscal, según el caso, deberá expedir un certificado en el que debe constar el número de trabajadores vinculados a la planta de personal al momento en que cierre el proceso de selección. Por su parte, cuando se trate de proponentes plurales, esto es, consorcio o unión temporal, la acreditación de requisito corresponderá a los integrantes en la </w:t>
      </w:r>
      <w:r w:rsidRPr="005B6F6D">
        <w:rPr>
          <w:rFonts w:ascii="Century Gothic" w:eastAsia="Calibri" w:hAnsi="Century Gothic" w:cs="Arial"/>
          <w:color w:val="000000"/>
          <w:lang w:val="es-ES" w:eastAsia="es-ES"/>
        </w:rPr>
        <w:lastRenderedPageBreak/>
        <w:t>forma antes enunciada. Por ende, deben certificar el número de trabajadores vinculados a la planta de personal, según se trate de persona natural o persona jurídica. En segundo lugar, para acreditar que se cumple con el número mínimo de trabajadores con discapacidad exigido, se empleará un certificado expedido por el Ministerio de Trabajo, el cual debe estar vigente al cierre del respectivo proceso.</w:t>
      </w:r>
    </w:p>
    <w:p w14:paraId="252E29BC" w14:textId="77777777" w:rsidR="005B6F6D" w:rsidRPr="005B6F6D" w:rsidRDefault="005B6F6D" w:rsidP="005B6F6D">
      <w:pPr>
        <w:pStyle w:val="Prrafodelista"/>
        <w:numPr>
          <w:ilvl w:val="0"/>
          <w:numId w:val="14"/>
        </w:numPr>
        <w:spacing w:after="120" w:line="276" w:lineRule="auto"/>
        <w:jc w:val="both"/>
        <w:rPr>
          <w:rFonts w:ascii="Century Gothic" w:eastAsia="Calibri" w:hAnsi="Century Gothic" w:cs="Arial"/>
          <w:color w:val="000000"/>
          <w:lang w:val="es-ES" w:eastAsia="es-ES"/>
        </w:rPr>
      </w:pPr>
      <w:r w:rsidRPr="005B6F6D">
        <w:rPr>
          <w:rFonts w:ascii="Century Gothic" w:eastAsia="Calibri" w:hAnsi="Century Gothic" w:cs="Arial"/>
          <w:color w:val="000000"/>
          <w:lang w:val="es-ES" w:eastAsia="es-ES"/>
        </w:rPr>
        <w:t xml:space="preserve">Se precisa que ambos certificados son necesarios, pues acreditan requisitos diferentes: el certificado emitido por el proponente relaciona el número total de trabajadores vinculados a la planta de personal hasta la fecha del cierre del proceso; mientras que en el certificado emitido por el Ministerio de Trabajo se acredita el número de personas con discapacidad. Esto permitirá, conjuntamente, determinar si se cumple con el rango necesario que habilite al proponente a acceder al beneficio. </w:t>
      </w:r>
    </w:p>
    <w:p w14:paraId="7703DFAB" w14:textId="77777777" w:rsidR="005B6F6D" w:rsidRDefault="005B6F6D" w:rsidP="005B6F6D">
      <w:pPr>
        <w:spacing w:after="120" w:line="276" w:lineRule="auto"/>
        <w:ind w:firstLine="709"/>
        <w:jc w:val="both"/>
        <w:rPr>
          <w:rFonts w:ascii="Century Gothic" w:eastAsia="Calibri" w:hAnsi="Century Gothic" w:cs="Arial"/>
          <w:color w:val="000000"/>
          <w:lang w:val="es-ES" w:eastAsia="es-ES"/>
        </w:rPr>
      </w:pPr>
    </w:p>
    <w:p w14:paraId="5F2465E9" w14:textId="6AA8A32C" w:rsidR="009E35E3" w:rsidRPr="009E35E3" w:rsidRDefault="005B6F6D" w:rsidP="005B6F6D">
      <w:pPr>
        <w:pStyle w:val="Prrafodelista"/>
        <w:numPr>
          <w:ilvl w:val="0"/>
          <w:numId w:val="14"/>
        </w:numPr>
        <w:jc w:val="both"/>
        <w:rPr>
          <w:rFonts w:ascii="Century Gothic" w:eastAsia="Calibri" w:hAnsi="Century Gothic" w:cs="Arial"/>
          <w:lang w:val="es-ES"/>
        </w:rPr>
      </w:pPr>
      <w:r>
        <w:rPr>
          <w:rFonts w:ascii="Century Gothic" w:eastAsia="Calibri" w:hAnsi="Century Gothic" w:cs="Arial"/>
          <w:color w:val="000000"/>
          <w:lang w:val="es-ES" w:eastAsia="es-ES"/>
        </w:rPr>
        <w:t xml:space="preserve">En este sentido, y teniendo en cuenta que el Decreto 392 de 2018 establece el deber de </w:t>
      </w:r>
      <w:r w:rsidRPr="005B6F6D">
        <w:rPr>
          <w:rFonts w:ascii="Century Gothic" w:eastAsia="Century Gothic" w:hAnsi="Century Gothic" w:cs="Century Gothic"/>
        </w:rPr>
        <w:t>acredita</w:t>
      </w:r>
      <w:r>
        <w:rPr>
          <w:rFonts w:ascii="Century Gothic" w:eastAsia="Century Gothic" w:hAnsi="Century Gothic" w:cs="Century Gothic"/>
        </w:rPr>
        <w:t>r a través de una certificación</w:t>
      </w:r>
      <w:r w:rsidRPr="005B6F6D">
        <w:rPr>
          <w:rFonts w:ascii="Century Gothic" w:eastAsia="Century Gothic" w:hAnsi="Century Gothic" w:cs="Century Gothic"/>
        </w:rPr>
        <w:t xml:space="preserve"> la </w:t>
      </w:r>
      <w:r>
        <w:rPr>
          <w:rFonts w:ascii="Century Gothic" w:eastAsia="Century Gothic" w:hAnsi="Century Gothic" w:cs="Century Gothic"/>
        </w:rPr>
        <w:t>v</w:t>
      </w:r>
      <w:r w:rsidRPr="005B6F6D">
        <w:rPr>
          <w:rFonts w:ascii="Century Gothic" w:eastAsia="Century Gothic" w:hAnsi="Century Gothic" w:cs="Century Gothic"/>
        </w:rPr>
        <w:t xml:space="preserve">inculación de </w:t>
      </w:r>
      <w:r>
        <w:rPr>
          <w:rFonts w:ascii="Century Gothic" w:eastAsia="Century Gothic" w:hAnsi="Century Gothic" w:cs="Century Gothic"/>
        </w:rPr>
        <w:t>p</w:t>
      </w:r>
      <w:r w:rsidRPr="005B6F6D">
        <w:rPr>
          <w:rFonts w:ascii="Century Gothic" w:eastAsia="Century Gothic" w:hAnsi="Century Gothic" w:cs="Century Gothic"/>
        </w:rPr>
        <w:t xml:space="preserve">ersonas con </w:t>
      </w:r>
      <w:r>
        <w:rPr>
          <w:rFonts w:ascii="Century Gothic" w:eastAsia="Century Gothic" w:hAnsi="Century Gothic" w:cs="Century Gothic"/>
        </w:rPr>
        <w:t>d</w:t>
      </w:r>
      <w:r w:rsidRPr="005B6F6D">
        <w:rPr>
          <w:rFonts w:ascii="Century Gothic" w:eastAsia="Century Gothic" w:hAnsi="Century Gothic" w:cs="Century Gothic"/>
        </w:rPr>
        <w:t>iscapacidad en Procesos de Contratación para Obtener Incentivos</w:t>
      </w:r>
      <w:r>
        <w:rPr>
          <w:rFonts w:ascii="Century Gothic" w:eastAsia="Century Gothic" w:hAnsi="Century Gothic" w:cs="Century Gothic"/>
        </w:rPr>
        <w:t>, no es viable por parte de la Agencia Nacional de Contratación Pública – Colombia Compra Eficiente la modificación de los Documentos Tipo vigentes bajo este fundamento.</w:t>
      </w:r>
    </w:p>
    <w:p w14:paraId="74369BD5" w14:textId="77777777" w:rsidR="009E35E3" w:rsidRPr="009E35E3" w:rsidRDefault="009E35E3" w:rsidP="0031699C">
      <w:pPr>
        <w:pStyle w:val="Prrafodelista"/>
        <w:widowControl w:val="0"/>
        <w:autoSpaceDE w:val="0"/>
        <w:autoSpaceDN w:val="0"/>
        <w:spacing w:before="120" w:line="276" w:lineRule="auto"/>
        <w:jc w:val="both"/>
        <w:rPr>
          <w:rFonts w:ascii="Century Gothic" w:eastAsia="Arial" w:hAnsi="Century Gothic" w:cs="Arial"/>
          <w:lang w:val="es-ES_tradnl"/>
        </w:rPr>
      </w:pPr>
    </w:p>
    <w:p w14:paraId="524C4581" w14:textId="77777777" w:rsidR="00871B59" w:rsidRPr="00E43EBA" w:rsidRDefault="00871B59" w:rsidP="00E43EBA">
      <w:pPr>
        <w:widowControl w:val="0"/>
        <w:autoSpaceDE w:val="0"/>
        <w:autoSpaceDN w:val="0"/>
        <w:spacing w:after="0" w:line="276" w:lineRule="auto"/>
        <w:ind w:left="708" w:hanging="708"/>
        <w:jc w:val="both"/>
        <w:rPr>
          <w:rFonts w:ascii="Century Gothic" w:hAnsi="Century Gothic" w:cs="Arial"/>
        </w:rPr>
      </w:pPr>
    </w:p>
    <w:p w14:paraId="53133908"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Referencias normativas, jurisprudenciales y otras fuentes:</w:t>
      </w:r>
    </w:p>
    <w:p w14:paraId="237FD993" w14:textId="77777777" w:rsidR="00871B59" w:rsidRPr="00E43EBA" w:rsidRDefault="00871B59" w:rsidP="00871B59">
      <w:pPr>
        <w:widowControl w:val="0"/>
        <w:autoSpaceDE w:val="0"/>
        <w:autoSpaceDN w:val="0"/>
        <w:spacing w:after="0" w:line="276" w:lineRule="auto"/>
        <w:jc w:val="both"/>
        <w:rPr>
          <w:rFonts w:ascii="Century Gothic" w:hAnsi="Century Gothic"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E43EBA" w14:paraId="150F7C2A" w14:textId="77777777" w:rsidTr="002607A7">
        <w:trPr>
          <w:trHeight w:val="870"/>
        </w:trPr>
        <w:tc>
          <w:tcPr>
            <w:tcW w:w="8647" w:type="dxa"/>
          </w:tcPr>
          <w:p w14:paraId="0D5F2A9A" w14:textId="4989183B" w:rsidR="00E43EBA" w:rsidRDefault="00E43EBA"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Ley 1150 de 2007</w:t>
            </w:r>
          </w:p>
          <w:p w14:paraId="056656D9" w14:textId="40BA2317" w:rsidR="00685FFD" w:rsidRDefault="00685FFD"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685FFD">
              <w:rPr>
                <w:rFonts w:ascii="Century Gothic" w:eastAsia="Calibri" w:hAnsi="Century Gothic" w:cs="Arial"/>
                <w:color w:val="000000"/>
                <w:lang w:val="es-ES"/>
              </w:rPr>
              <w:t>Artículo 2.2.1.2.4.6 del Decreto Único Reglamentario 1082 de 2015</w:t>
            </w:r>
          </w:p>
          <w:p w14:paraId="640C6D48" w14:textId="4BC94BAE" w:rsidR="00685FFD" w:rsidRPr="00E43EBA" w:rsidRDefault="00685FFD" w:rsidP="00871B59">
            <w:pPr>
              <w:pStyle w:val="Prrafodelista"/>
              <w:widowControl w:val="0"/>
              <w:numPr>
                <w:ilvl w:val="0"/>
                <w:numId w:val="8"/>
              </w:numPr>
              <w:tabs>
                <w:tab w:val="left" w:pos="8419"/>
              </w:tabs>
              <w:autoSpaceDE w:val="0"/>
              <w:autoSpaceDN w:val="0"/>
              <w:spacing w:after="120" w:line="276" w:lineRule="auto"/>
              <w:contextualSpacing w:val="0"/>
              <w:jc w:val="both"/>
              <w:rPr>
                <w:rFonts w:ascii="Century Gothic" w:eastAsia="Calibri" w:hAnsi="Century Gothic" w:cs="Arial"/>
                <w:color w:val="000000"/>
                <w:lang w:val="es-ES"/>
              </w:rPr>
            </w:pPr>
            <w:r w:rsidRPr="00685FFD">
              <w:rPr>
                <w:rFonts w:ascii="Century Gothic" w:eastAsia="Calibri" w:hAnsi="Century Gothic" w:cs="Arial"/>
                <w:color w:val="000000"/>
                <w:lang w:val="es-ES"/>
              </w:rPr>
              <w:t>Decreto 392 del 2018</w:t>
            </w:r>
          </w:p>
          <w:p w14:paraId="190A1CF8" w14:textId="77777777" w:rsidR="00871B59" w:rsidRPr="00E43EBA" w:rsidRDefault="00871B59" w:rsidP="00871B59">
            <w:pPr>
              <w:pStyle w:val="Prrafodelista"/>
              <w:widowControl w:val="0"/>
              <w:numPr>
                <w:ilvl w:val="0"/>
                <w:numId w:val="8"/>
              </w:numPr>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 xml:space="preserve">Jurisprudencia del Consejo de Estado. Disponible en: </w:t>
            </w:r>
            <w:hyperlink r:id="rId13" w:history="1">
              <w:r w:rsidRPr="00E43EBA">
                <w:rPr>
                  <w:rFonts w:ascii="Century Gothic" w:eastAsia="Calibri" w:hAnsi="Century Gothic"/>
                  <w:color w:val="000000"/>
                  <w:lang w:val="es-ES"/>
                </w:rPr>
                <w:t>https://relatoria.colombiacompra.gov.co/providencias-consejo-de-estado/</w:t>
              </w:r>
            </w:hyperlink>
            <w:r w:rsidRPr="00E43EBA">
              <w:rPr>
                <w:rFonts w:ascii="Century Gothic" w:eastAsia="Calibri" w:hAnsi="Century Gothic" w:cs="Arial"/>
                <w:color w:val="000000"/>
                <w:lang w:val="es-ES"/>
              </w:rPr>
              <w:t xml:space="preserve"> </w:t>
            </w:r>
          </w:p>
          <w:p w14:paraId="34062538" w14:textId="77777777" w:rsidR="00871B59" w:rsidRPr="00E43EBA" w:rsidRDefault="00871B59" w:rsidP="00871B59">
            <w:pPr>
              <w:pStyle w:val="Prrafodelista"/>
              <w:widowControl w:val="0"/>
              <w:numPr>
                <w:ilvl w:val="0"/>
                <w:numId w:val="8"/>
              </w:numPr>
              <w:autoSpaceDE w:val="0"/>
              <w:autoSpaceDN w:val="0"/>
              <w:spacing w:after="120" w:line="276" w:lineRule="auto"/>
              <w:contextualSpacing w:val="0"/>
              <w:jc w:val="both"/>
              <w:rPr>
                <w:rFonts w:ascii="Century Gothic" w:eastAsia="Calibri" w:hAnsi="Century Gothic" w:cs="Arial"/>
                <w:color w:val="000000"/>
                <w:lang w:val="es-ES"/>
              </w:rPr>
            </w:pPr>
            <w:r w:rsidRPr="00E43EBA">
              <w:rPr>
                <w:rFonts w:ascii="Century Gothic" w:eastAsia="Calibri" w:hAnsi="Century Gothic" w:cs="Arial"/>
                <w:color w:val="000000"/>
                <w:lang w:val="es-ES"/>
              </w:rPr>
              <w:t xml:space="preserve">Guías y manuales expedidos por la ANCP-CCE. Disponible en: </w:t>
            </w:r>
            <w:hyperlink r:id="rId14" w:history="1">
              <w:r w:rsidRPr="00E43EBA">
                <w:rPr>
                  <w:rFonts w:ascii="Century Gothic" w:eastAsia="Calibri" w:hAnsi="Century Gothic"/>
                  <w:color w:val="000000"/>
                  <w:lang w:val="es-ES"/>
                </w:rPr>
                <w:t>https://www.colombiacompra.gov.co/manuales-guias-y-pliegos-tipo/manuales-y-guias</w:t>
              </w:r>
            </w:hyperlink>
            <w:r w:rsidRPr="00E43EBA">
              <w:rPr>
                <w:rFonts w:ascii="Century Gothic" w:eastAsia="Calibri" w:hAnsi="Century Gothic" w:cs="Arial"/>
                <w:color w:val="000000"/>
                <w:lang w:val="es-ES"/>
              </w:rPr>
              <w:t xml:space="preserve"> </w:t>
            </w:r>
          </w:p>
          <w:p w14:paraId="6ACEA7FD" w14:textId="77777777" w:rsidR="00871B59" w:rsidRPr="00E43EBA" w:rsidRDefault="00871B59" w:rsidP="002607A7">
            <w:pPr>
              <w:widowControl w:val="0"/>
              <w:autoSpaceDE w:val="0"/>
              <w:autoSpaceDN w:val="0"/>
              <w:spacing w:after="120" w:line="276" w:lineRule="auto"/>
              <w:ind w:left="360"/>
              <w:jc w:val="both"/>
              <w:rPr>
                <w:rFonts w:ascii="Century Gothic" w:hAnsi="Century Gothic" w:cs="Arial"/>
              </w:rPr>
            </w:pPr>
          </w:p>
        </w:tc>
      </w:tr>
    </w:tbl>
    <w:p w14:paraId="0E1B166D" w14:textId="77777777" w:rsidR="00871B59" w:rsidRDefault="00871B59" w:rsidP="00871B59">
      <w:pPr>
        <w:widowControl w:val="0"/>
        <w:autoSpaceDE w:val="0"/>
        <w:autoSpaceDN w:val="0"/>
        <w:spacing w:after="0" w:line="276" w:lineRule="auto"/>
        <w:jc w:val="both"/>
        <w:rPr>
          <w:rFonts w:ascii="Century Gothic" w:hAnsi="Century Gothic" w:cs="Arial"/>
        </w:rPr>
      </w:pPr>
    </w:p>
    <w:p w14:paraId="7D95ADC8" w14:textId="77777777" w:rsidR="00685FFD" w:rsidRPr="00E43EBA" w:rsidRDefault="00685FFD" w:rsidP="00871B59">
      <w:pPr>
        <w:widowControl w:val="0"/>
        <w:autoSpaceDE w:val="0"/>
        <w:autoSpaceDN w:val="0"/>
        <w:spacing w:after="0" w:line="276" w:lineRule="auto"/>
        <w:jc w:val="both"/>
        <w:rPr>
          <w:rFonts w:ascii="Century Gothic" w:hAnsi="Century Gothic" w:cs="Arial"/>
        </w:rPr>
      </w:pPr>
    </w:p>
    <w:p w14:paraId="40380BCB" w14:textId="77777777" w:rsidR="00871B59" w:rsidRPr="00E43EBA"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Century Gothic" w:eastAsia="Century Gothic" w:hAnsi="Century Gothic" w:cs="Century Gothic"/>
          <w:b/>
          <w:bCs/>
          <w:lang w:val="es-ES"/>
        </w:rPr>
      </w:pPr>
      <w:r w:rsidRPr="00E43EBA">
        <w:rPr>
          <w:rFonts w:ascii="Century Gothic" w:eastAsia="Century Gothic" w:hAnsi="Century Gothic" w:cs="Century Gothic"/>
          <w:b/>
          <w:bCs/>
          <w:lang w:val="es-ES"/>
        </w:rPr>
        <w:t>Doctrina de la Agencia Nacional de Contratación Pública:</w:t>
      </w:r>
    </w:p>
    <w:p w14:paraId="41294D6D" w14:textId="77777777" w:rsidR="00871B59" w:rsidRDefault="00871B59" w:rsidP="00871B59">
      <w:pPr>
        <w:widowControl w:val="0"/>
        <w:autoSpaceDE w:val="0"/>
        <w:autoSpaceDN w:val="0"/>
        <w:spacing w:after="0" w:line="276" w:lineRule="auto"/>
        <w:jc w:val="both"/>
        <w:rPr>
          <w:rFonts w:ascii="Century Gothic" w:hAnsi="Century Gothic" w:cs="Arial"/>
        </w:rPr>
      </w:pPr>
    </w:p>
    <w:p w14:paraId="0A6FE44F" w14:textId="77777777" w:rsidR="00685FFD" w:rsidRPr="00E43EBA" w:rsidRDefault="00685FFD" w:rsidP="00871B59">
      <w:pPr>
        <w:widowControl w:val="0"/>
        <w:autoSpaceDE w:val="0"/>
        <w:autoSpaceDN w:val="0"/>
        <w:spacing w:after="0" w:line="276" w:lineRule="auto"/>
        <w:jc w:val="both"/>
        <w:rPr>
          <w:rFonts w:ascii="Century Gothic" w:hAnsi="Century Gothic" w:cs="Arial"/>
        </w:rPr>
      </w:pPr>
    </w:p>
    <w:p w14:paraId="30D3C1F0" w14:textId="61EA73A6" w:rsidR="00BE052D" w:rsidRPr="00B90119" w:rsidRDefault="007A7364" w:rsidP="00BE052D">
      <w:pPr>
        <w:widowControl w:val="0"/>
        <w:autoSpaceDE w:val="0"/>
        <w:autoSpaceDN w:val="0"/>
        <w:spacing w:after="0" w:line="276" w:lineRule="auto"/>
        <w:jc w:val="both"/>
        <w:rPr>
          <w:rFonts w:ascii="Century Gothic" w:hAnsi="Century Gothic"/>
        </w:rPr>
      </w:pPr>
      <w:r w:rsidRPr="00E43EBA">
        <w:rPr>
          <w:rFonts w:ascii="Century Gothic" w:eastAsia="Calibri" w:hAnsi="Century Gothic" w:cs="Arial"/>
          <w:color w:val="000000"/>
        </w:rPr>
        <w:t>L</w:t>
      </w:r>
      <w:r w:rsidRPr="00E43EBA">
        <w:rPr>
          <w:rFonts w:ascii="Century Gothic" w:eastAsia="Calibri" w:hAnsi="Century Gothic" w:cs="Arial"/>
          <w:color w:val="000000"/>
          <w:lang w:val="es-ES"/>
        </w:rPr>
        <w:t>a Agencia Nacional de Contratación Pública – Colombia Compra Eficiente, en lo</w:t>
      </w:r>
      <w:r w:rsidR="00600948">
        <w:rPr>
          <w:rFonts w:ascii="Century Gothic" w:eastAsia="Calibri" w:hAnsi="Century Gothic" w:cs="Arial"/>
          <w:color w:val="000000"/>
          <w:lang w:val="es-ES"/>
        </w:rPr>
        <w:t>s</w:t>
      </w:r>
      <w:r w:rsidR="00E43EBA">
        <w:rPr>
          <w:rFonts w:ascii="Century Gothic" w:eastAsia="Calibri" w:hAnsi="Century Gothic" w:cs="Arial"/>
          <w:color w:val="000000"/>
          <w:lang w:val="es-ES"/>
        </w:rPr>
        <w:t xml:space="preserve"> </w:t>
      </w:r>
      <w:r w:rsidR="0031699C" w:rsidRPr="00685FFD">
        <w:rPr>
          <w:rFonts w:ascii="Century Gothic" w:eastAsia="Calibri" w:hAnsi="Century Gothic" w:cs="Arial"/>
          <w:color w:val="000000"/>
          <w:lang w:val="es-ES"/>
        </w:rPr>
        <w:t>Conceptos número</w:t>
      </w:r>
      <w:r w:rsidR="00685FFD" w:rsidRPr="00685FFD">
        <w:rPr>
          <w:rFonts w:ascii="Century Gothic" w:eastAsia="Calibri" w:hAnsi="Century Gothic" w:cs="Arial"/>
          <w:color w:val="000000"/>
          <w:lang w:val="es-ES"/>
        </w:rPr>
        <w:t xml:space="preserve"> Conceptos C-377 de 9 de junio de 2020 y C-567 de 10 de septiembre de 2020</w:t>
      </w:r>
      <w:r w:rsidR="00685FFD">
        <w:rPr>
          <w:rFonts w:ascii="Century Gothic" w:eastAsia="Calibri" w:hAnsi="Century Gothic" w:cs="Arial"/>
          <w:color w:val="000000"/>
          <w:lang w:val="es-ES"/>
        </w:rPr>
        <w:t xml:space="preserve">, </w:t>
      </w:r>
      <w:r w:rsidR="00685FFD" w:rsidRPr="00685FFD">
        <w:rPr>
          <w:rFonts w:ascii="Century Gothic" w:eastAsia="Calibri" w:hAnsi="Century Gothic" w:cs="Arial"/>
          <w:color w:val="000000"/>
          <w:lang w:val="es-ES"/>
        </w:rPr>
        <w:t>C-602 del 7 de diciembre de 2021, C-240 del 27 de abril de 2022, C-308 del 20 de mayo 2022, C-418 del 7 de julio de 2022, C-665 del 2022, C-372 de 2023, entre otros</w:t>
      </w:r>
      <w:r w:rsidR="00BE052D">
        <w:rPr>
          <w:rFonts w:ascii="Century Gothic" w:eastAsia="Calibri" w:hAnsi="Century Gothic" w:cs="Arial"/>
          <w:color w:val="000000"/>
          <w:lang w:val="es-ES"/>
        </w:rPr>
        <w:t>.</w:t>
      </w:r>
      <w:r w:rsidR="00BE052D" w:rsidRPr="00BE052D">
        <w:rPr>
          <w:rFonts w:ascii="Century Gothic" w:hAnsi="Century Gothic"/>
        </w:rPr>
        <w:t xml:space="preserve"> </w:t>
      </w:r>
      <w:r w:rsidR="00BE052D" w:rsidRPr="00B90119">
        <w:rPr>
          <w:rFonts w:ascii="Century Gothic" w:hAnsi="Century Gothic"/>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5" w:tgtFrame="_blank" w:tooltip="Dirección URL original: https://relatoria.colombiacompra.gov.co/. Haga clic o pulse si confía en este vínculo." w:history="1">
        <w:r w:rsidR="00BE052D" w:rsidRPr="00B90119">
          <w:rPr>
            <w:rFonts w:ascii="Century Gothic" w:hAnsi="Century Gothic"/>
            <w:color w:val="0563C1" w:themeColor="hyperlink"/>
            <w:u w:val="single"/>
          </w:rPr>
          <w:t>https://relatoria.colombiacompra.gov.co/</w:t>
        </w:r>
      </w:hyperlink>
      <w:r w:rsidR="00BE052D" w:rsidRPr="00B90119">
        <w:rPr>
          <w:rFonts w:ascii="Century Gothic" w:hAnsi="Century Gothic"/>
        </w:rPr>
        <w:t> . Te invitamos también a revisar la tercera edición del  Boletín de Relatoría de 2024 en el cual podrás consultar en detalle el marco normativo de documentos tipo: </w:t>
      </w:r>
      <w:hyperlink r:id="rId16" w:tgtFrame="_blank" w:tooltip="Dirección URL original: https://www.colombiacompra.gov.co/sites/cce_public/files/files_2020/boletin_de_realtoria_iii.pdf. Haga clic o pulse si confía en este vínculo." w:history="1">
        <w:r w:rsidR="00BE052D" w:rsidRPr="00B90119">
          <w:rPr>
            <w:rFonts w:ascii="Century Gothic" w:hAnsi="Century Gothic"/>
            <w:color w:val="0563C1" w:themeColor="hyperlink"/>
            <w:u w:val="single"/>
          </w:rPr>
          <w:t>https://www.colombiacompra.gov.co/sites/cce_public/files/files_2020/boletin_de_realtoria_iii.pdf</w:t>
        </w:r>
      </w:hyperlink>
      <w:r w:rsidR="00BE052D" w:rsidRPr="00B90119">
        <w:rPr>
          <w:rFonts w:ascii="Century Gothic" w:hAnsi="Century Gothic"/>
        </w:rPr>
        <w:t>.</w:t>
      </w:r>
    </w:p>
    <w:p w14:paraId="46C3D048" w14:textId="77777777" w:rsidR="00BE052D" w:rsidRPr="00B90119" w:rsidRDefault="00BE052D" w:rsidP="00BE052D">
      <w:pPr>
        <w:widowControl w:val="0"/>
        <w:autoSpaceDE w:val="0"/>
        <w:autoSpaceDN w:val="0"/>
        <w:spacing w:after="0" w:line="276" w:lineRule="auto"/>
        <w:jc w:val="both"/>
        <w:rPr>
          <w:rFonts w:ascii="Century Gothic" w:hAnsi="Century Gothic"/>
        </w:rPr>
      </w:pPr>
    </w:p>
    <w:p w14:paraId="70F0ACF1" w14:textId="611A278E" w:rsidR="00BE052D" w:rsidRPr="00BE052D" w:rsidRDefault="00BE052D" w:rsidP="00871B59">
      <w:pPr>
        <w:widowControl w:val="0"/>
        <w:autoSpaceDE w:val="0"/>
        <w:autoSpaceDN w:val="0"/>
        <w:spacing w:after="0" w:line="276" w:lineRule="auto"/>
        <w:jc w:val="both"/>
        <w:rPr>
          <w:rStyle w:val="normaltextrun"/>
          <w:rFonts w:ascii="Century Gothic" w:hAnsi="Century Gothic" w:cs="Arial"/>
          <w:color w:val="FF0000"/>
          <w:shd w:val="clear" w:color="auto" w:fill="FFFFFF"/>
        </w:rPr>
      </w:pPr>
    </w:p>
    <w:p w14:paraId="24B0681F" w14:textId="50943CB9" w:rsidR="00BE052D" w:rsidRPr="00B90119" w:rsidRDefault="00BE052D" w:rsidP="00BE052D">
      <w:pPr>
        <w:widowControl w:val="0"/>
        <w:autoSpaceDE w:val="0"/>
        <w:autoSpaceDN w:val="0"/>
        <w:spacing w:after="0" w:line="276" w:lineRule="auto"/>
        <w:jc w:val="both"/>
        <w:rPr>
          <w:rFonts w:ascii="Century Gothic" w:hAnsi="Century Gothic"/>
        </w:rPr>
      </w:pPr>
      <w:r w:rsidRPr="00B90119">
        <w:rPr>
          <w:rFonts w:ascii="Century Gothic" w:hAnsi="Century Gothic"/>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 enlaces: </w:t>
      </w:r>
      <w:hyperlink r:id="rId17" w:tgtFrame="_blank" w:tooltip="Dirección URL original: https://www.sucop.gov.co/entidades/colombiacompra/Normativa?IDNorma=17363. Haga clic o pulse si confía en este vínculo." w:history="1">
        <w:r w:rsidRPr="00B90119">
          <w:rPr>
            <w:rFonts w:ascii="Century Gothic" w:hAnsi="Century Gothic"/>
            <w:color w:val="0563C1" w:themeColor="hyperlink"/>
            <w:u w:val="single"/>
          </w:rPr>
          <w:t>https://www.sucop.gov.co/entidades/colombiacompra/Normativa?IDNorma=17363</w:t>
        </w:r>
      </w:hyperlink>
      <w:r w:rsidRPr="00B90119">
        <w:rPr>
          <w:rFonts w:ascii="Century Gothic" w:hAnsi="Century Gothic"/>
        </w:rPr>
        <w:t> y </w:t>
      </w:r>
      <w:hyperlink r:id="rId18" w:tgtFrame="_blank" w:tooltip="Dirección URL original: https://www.colombiacompra.gov.co/content/convocatorias. Haga clic o pulse si confía en este vínculo." w:history="1">
        <w:r w:rsidRPr="00B90119">
          <w:rPr>
            <w:rFonts w:ascii="Century Gothic" w:hAnsi="Century Gothic"/>
            <w:color w:val="0563C1" w:themeColor="hyperlink"/>
            <w:u w:val="single"/>
          </w:rPr>
          <w:t>https://www.colombiacompra.gov.co/content/convocatorias</w:t>
        </w:r>
      </w:hyperlink>
      <w:r w:rsidRPr="00B90119">
        <w:rPr>
          <w:rFonts w:ascii="Century Gothic" w:hAnsi="Century Gothic"/>
        </w:rPr>
        <w:t> .</w:t>
      </w:r>
    </w:p>
    <w:p w14:paraId="753F9E7F" w14:textId="77777777" w:rsidR="00BE052D" w:rsidRPr="00BE052D" w:rsidRDefault="00BE052D" w:rsidP="00871B59">
      <w:pPr>
        <w:widowControl w:val="0"/>
        <w:autoSpaceDE w:val="0"/>
        <w:autoSpaceDN w:val="0"/>
        <w:spacing w:after="0" w:line="276" w:lineRule="auto"/>
        <w:jc w:val="both"/>
        <w:rPr>
          <w:rStyle w:val="normaltextrun"/>
          <w:rFonts w:ascii="Century Gothic" w:hAnsi="Century Gothic" w:cs="Arial"/>
          <w:color w:val="7030A0"/>
          <w:shd w:val="clear" w:color="auto" w:fill="FFFFFF"/>
        </w:rPr>
      </w:pPr>
    </w:p>
    <w:p w14:paraId="6E5FBA74" w14:textId="64E22A77" w:rsidR="00871B59" w:rsidRPr="00E43EBA" w:rsidRDefault="00871B59" w:rsidP="00871B59">
      <w:pPr>
        <w:widowControl w:val="0"/>
        <w:autoSpaceDE w:val="0"/>
        <w:autoSpaceDN w:val="0"/>
        <w:spacing w:after="0" w:line="276" w:lineRule="auto"/>
        <w:jc w:val="both"/>
        <w:rPr>
          <w:rStyle w:val="normaltextrun"/>
          <w:rFonts w:ascii="Century Gothic" w:hAnsi="Century Gothic" w:cs="Arial"/>
          <w:color w:val="FF0000"/>
          <w:shd w:val="clear" w:color="auto" w:fill="FFFFFF"/>
          <w:lang w:val="es-ES"/>
        </w:rPr>
      </w:pPr>
      <w:r w:rsidRPr="00E43EBA">
        <w:rPr>
          <w:rStyle w:val="normaltextrun"/>
          <w:rFonts w:ascii="Century Gothic" w:hAnsi="Century Gothic" w:cs="Arial"/>
          <w:color w:val="FF0000"/>
          <w:shd w:val="clear" w:color="auto" w:fill="FFFFFF"/>
          <w:lang w:val="es-ES"/>
        </w:rPr>
        <w:lastRenderedPageBreak/>
        <w:t xml:space="preserve">   </w:t>
      </w:r>
    </w:p>
    <w:p w14:paraId="1570ED43"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Por último, lo invitamos a seguirnos en las redes sociales en las cuales se difunde información institucional: </w:t>
      </w:r>
    </w:p>
    <w:p w14:paraId="284AF384" w14:textId="77777777" w:rsidR="008815E5" w:rsidRPr="00E43EBA" w:rsidRDefault="008815E5" w:rsidP="008815E5">
      <w:pPr>
        <w:spacing w:after="0" w:line="240" w:lineRule="auto"/>
        <w:jc w:val="both"/>
        <w:rPr>
          <w:rFonts w:ascii="Century Gothic" w:hAnsi="Century Gothic"/>
        </w:rPr>
      </w:pPr>
    </w:p>
    <w:p w14:paraId="5E6CD010"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Twitter: </w:t>
      </w:r>
      <w:r w:rsidRPr="00E43EBA">
        <w:rPr>
          <w:rStyle w:val="Hipervnculo"/>
          <w:rFonts w:ascii="Century Gothic" w:hAnsi="Century Gothic"/>
          <w:color w:val="4472C4" w:themeColor="accent1"/>
        </w:rPr>
        <w:t>@colombiacompra</w:t>
      </w:r>
      <w:r w:rsidRPr="00E43EBA">
        <w:rPr>
          <w:rFonts w:ascii="Century Gothic" w:hAnsi="Century Gothic"/>
          <w:color w:val="4472C4" w:themeColor="accent1"/>
        </w:rPr>
        <w:t xml:space="preserve"> </w:t>
      </w:r>
    </w:p>
    <w:p w14:paraId="0F76F019"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Facebook: </w:t>
      </w:r>
      <w:r w:rsidRPr="00E43EBA">
        <w:rPr>
          <w:rStyle w:val="Hipervnculo"/>
          <w:rFonts w:ascii="Century Gothic" w:hAnsi="Century Gothic"/>
          <w:color w:val="4472C4" w:themeColor="accent1"/>
        </w:rPr>
        <w:t>ColombiaCompraEficiente</w:t>
      </w:r>
    </w:p>
    <w:p w14:paraId="60E5B357" w14:textId="77777777" w:rsidR="008815E5" w:rsidRPr="00E43EBA" w:rsidRDefault="008815E5" w:rsidP="008815E5">
      <w:pPr>
        <w:spacing w:after="0" w:line="240" w:lineRule="auto"/>
        <w:jc w:val="both"/>
        <w:rPr>
          <w:rFonts w:ascii="Century Gothic" w:hAnsi="Century Gothic"/>
        </w:rPr>
      </w:pPr>
      <w:r w:rsidRPr="00E43EBA">
        <w:rPr>
          <w:rFonts w:ascii="Century Gothic" w:hAnsi="Century Gothic"/>
        </w:rPr>
        <w:t xml:space="preserve">LinkedIn: </w:t>
      </w:r>
      <w:r w:rsidRPr="00E43EBA">
        <w:rPr>
          <w:rStyle w:val="Hipervnculo"/>
          <w:rFonts w:ascii="Century Gothic" w:hAnsi="Century Gothic"/>
          <w:color w:val="4472C4" w:themeColor="accent1"/>
        </w:rPr>
        <w:t>Agencia Nacional de Contratación Pública - Colombia Compra Eficiente</w:t>
      </w:r>
      <w:r w:rsidRPr="00E43EBA">
        <w:rPr>
          <w:rFonts w:ascii="Century Gothic" w:hAnsi="Century Gothic"/>
          <w:color w:val="4472C4" w:themeColor="accent1"/>
        </w:rPr>
        <w:t xml:space="preserve"> </w:t>
      </w:r>
      <w:r w:rsidRPr="00E43EBA">
        <w:rPr>
          <w:rFonts w:ascii="Century Gothic" w:hAnsi="Century Gothic"/>
        </w:rPr>
        <w:t xml:space="preserve">Instagram: </w:t>
      </w:r>
      <w:r w:rsidRPr="00E43EBA">
        <w:rPr>
          <w:rStyle w:val="Hipervnculo"/>
          <w:rFonts w:ascii="Century Gothic" w:hAnsi="Century Gothic"/>
          <w:color w:val="4472C4" w:themeColor="accent1"/>
        </w:rPr>
        <w:t>@colombiacompraeficiente_cce</w:t>
      </w:r>
    </w:p>
    <w:p w14:paraId="6980ECB3" w14:textId="77777777" w:rsidR="00871B59" w:rsidRDefault="00871B59" w:rsidP="00871B59">
      <w:pPr>
        <w:widowControl w:val="0"/>
        <w:autoSpaceDE w:val="0"/>
        <w:autoSpaceDN w:val="0"/>
        <w:spacing w:after="0" w:line="276" w:lineRule="auto"/>
        <w:jc w:val="both"/>
        <w:rPr>
          <w:rFonts w:ascii="Century Gothic" w:hAnsi="Century Gothic" w:cs="Arial"/>
        </w:rPr>
      </w:pPr>
    </w:p>
    <w:p w14:paraId="120572E9" w14:textId="77777777" w:rsidR="00871B59" w:rsidRPr="00E43EBA" w:rsidRDefault="00871B59" w:rsidP="00871B59">
      <w:pPr>
        <w:widowControl w:val="0"/>
        <w:autoSpaceDE w:val="0"/>
        <w:autoSpaceDN w:val="0"/>
        <w:spacing w:after="0" w:line="276" w:lineRule="auto"/>
        <w:jc w:val="both"/>
        <w:rPr>
          <w:rFonts w:ascii="Century Gothic" w:hAnsi="Century Gothic" w:cs="Arial"/>
          <w:lang w:val="es-ES_tradnl"/>
        </w:rPr>
      </w:pPr>
      <w:r w:rsidRPr="00E43EBA">
        <w:rPr>
          <w:rFonts w:ascii="Century Gothic" w:hAnsi="Century Gothic" w:cs="Arial"/>
        </w:rPr>
        <w:t xml:space="preserve">Este concepto tiene el alcance previsto en el artículo 28 del Código de Procedimiento Administrativo y de lo Contencioso Administrativo </w:t>
      </w:r>
      <w:r w:rsidRPr="00E43EBA">
        <w:rPr>
          <w:rFonts w:ascii="Century Gothic" w:hAnsi="Century Gothic" w:cs="Arial"/>
          <w:lang w:val="es-ES_tradnl"/>
        </w:rPr>
        <w:t>y las expresiones aquí utilizadas con mayúscula inicial deben ser entendidas con el significado que les otorga el artículo 2.2.1.1.1.3.1. del Decreto 1082 de 2015.</w:t>
      </w:r>
    </w:p>
    <w:p w14:paraId="76160CFD" w14:textId="77777777" w:rsidR="00871B59" w:rsidRPr="00E43EBA" w:rsidRDefault="00871B59" w:rsidP="00871B59">
      <w:pPr>
        <w:widowControl w:val="0"/>
        <w:autoSpaceDE w:val="0"/>
        <w:autoSpaceDN w:val="0"/>
        <w:spacing w:after="0" w:line="276" w:lineRule="auto"/>
        <w:jc w:val="both"/>
        <w:rPr>
          <w:rFonts w:ascii="Century Gothic" w:hAnsi="Century Gothic" w:cs="Arial"/>
        </w:rPr>
      </w:pPr>
    </w:p>
    <w:p w14:paraId="46FD3687" w14:textId="77777777" w:rsidR="00871B59" w:rsidRPr="00E43EBA" w:rsidRDefault="00871B59" w:rsidP="00871B59">
      <w:pPr>
        <w:spacing w:after="0" w:line="240" w:lineRule="auto"/>
        <w:rPr>
          <w:rFonts w:ascii="Century Gothic" w:hAnsi="Century Gothic" w:cs="Arial"/>
          <w:lang w:eastAsia="es-CO"/>
        </w:rPr>
      </w:pPr>
      <w:r w:rsidRPr="00E43EBA">
        <w:rPr>
          <w:rFonts w:ascii="Century Gothic" w:eastAsia="Times New Roman" w:hAnsi="Century Gothic" w:cs="Arial"/>
          <w:lang w:eastAsia="es-CO"/>
        </w:rPr>
        <w:t>Atentamente,</w:t>
      </w:r>
      <w:r w:rsidRPr="00E43EBA">
        <w:rPr>
          <w:rFonts w:ascii="Century Gothic" w:hAnsi="Century Gothic" w:cs="Arial"/>
          <w:lang w:eastAsia="es-CO"/>
        </w:rPr>
        <w:t xml:space="preserve"> </w:t>
      </w:r>
    </w:p>
    <w:p w14:paraId="7B21B32E" w14:textId="05DEFD75" w:rsidR="00871B59" w:rsidRPr="00593A5F" w:rsidRDefault="00DC6DCA" w:rsidP="00871B59">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56AE3264" wp14:editId="73D00BB4">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71B59" w:rsidRPr="00593A5F" w14:paraId="2A20789D" w14:textId="77777777" w:rsidTr="002607A7">
        <w:trPr>
          <w:trHeight w:val="315"/>
        </w:trPr>
        <w:tc>
          <w:tcPr>
            <w:tcW w:w="893" w:type="dxa"/>
            <w:vAlign w:val="center"/>
            <w:hideMark/>
          </w:tcPr>
          <w:p w14:paraId="56E3D941"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Elaboró:</w:t>
            </w:r>
          </w:p>
        </w:tc>
        <w:tc>
          <w:tcPr>
            <w:tcW w:w="5628" w:type="dxa"/>
            <w:tcBorders>
              <w:top w:val="nil"/>
              <w:left w:val="nil"/>
              <w:bottom w:val="dotted" w:sz="4" w:space="0" w:color="7F7F7F" w:themeColor="text1" w:themeTint="80"/>
              <w:right w:val="nil"/>
            </w:tcBorders>
            <w:vAlign w:val="center"/>
            <w:hideMark/>
          </w:tcPr>
          <w:p w14:paraId="2929B3B3" w14:textId="3F83CF34" w:rsidR="007A7364" w:rsidRPr="00685FFD" w:rsidRDefault="00BF621D" w:rsidP="002607A7">
            <w:pPr>
              <w:contextualSpacing/>
              <w:rPr>
                <w:rFonts w:ascii="Century Gothic" w:hAnsi="Century Gothic" w:cs="Arial"/>
                <w:sz w:val="16"/>
                <w:szCs w:val="16"/>
                <w:lang w:val="es-ES_tradnl"/>
              </w:rPr>
            </w:pPr>
            <w:r>
              <w:rPr>
                <w:rFonts w:ascii="Century Gothic" w:hAnsi="Century Gothic" w:cs="Arial"/>
                <w:sz w:val="16"/>
                <w:szCs w:val="16"/>
                <w:lang w:val="es-ES_tradnl"/>
              </w:rPr>
              <w:t xml:space="preserve">Diana </w:t>
            </w:r>
            <w:r w:rsidR="007A7364" w:rsidRPr="00685FFD">
              <w:rPr>
                <w:rFonts w:ascii="Century Gothic" w:hAnsi="Century Gothic" w:cs="Arial"/>
                <w:sz w:val="16"/>
                <w:szCs w:val="16"/>
                <w:lang w:val="es-ES_tradnl"/>
              </w:rPr>
              <w:t xml:space="preserve">Carolina Blanco Rodriguez </w:t>
            </w:r>
          </w:p>
          <w:p w14:paraId="27134A92" w14:textId="0A67E70D" w:rsidR="00871B59" w:rsidRPr="00685FFD" w:rsidRDefault="007A7364" w:rsidP="002607A7">
            <w:pPr>
              <w:contextualSpacing/>
              <w:rPr>
                <w:rFonts w:ascii="Century Gothic" w:hAnsi="Century Gothic" w:cs="Arial"/>
                <w:sz w:val="16"/>
                <w:szCs w:val="16"/>
                <w:lang w:val="es-ES_tradnl"/>
              </w:rPr>
            </w:pPr>
            <w:r w:rsidRPr="00685FFD">
              <w:rPr>
                <w:rFonts w:ascii="Century Gothic" w:hAnsi="Century Gothic"/>
                <w:sz w:val="16"/>
                <w:szCs w:val="16"/>
                <w:lang w:val="es-ES_tradnl"/>
              </w:rPr>
              <w:t xml:space="preserve">Contratista </w:t>
            </w:r>
            <w:r w:rsidR="00871B59" w:rsidRPr="00685FFD">
              <w:rPr>
                <w:rFonts w:ascii="Century Gothic" w:hAnsi="Century Gothic"/>
                <w:sz w:val="16"/>
                <w:szCs w:val="16"/>
                <w:lang w:val="es-ES_tradnl"/>
              </w:rPr>
              <w:t>de la Subdirección de Gestión Contractual</w:t>
            </w:r>
          </w:p>
        </w:tc>
      </w:tr>
      <w:tr w:rsidR="00871B59" w:rsidRPr="00593A5F" w14:paraId="409BBACC" w14:textId="77777777" w:rsidTr="002607A7">
        <w:trPr>
          <w:trHeight w:val="330"/>
        </w:trPr>
        <w:tc>
          <w:tcPr>
            <w:tcW w:w="893" w:type="dxa"/>
            <w:vAlign w:val="center"/>
            <w:hideMark/>
          </w:tcPr>
          <w:p w14:paraId="3ABFF401"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C7DBCB" w14:textId="77777777" w:rsidR="00BF621D" w:rsidRPr="00BF621D" w:rsidRDefault="00BF621D" w:rsidP="00BF621D">
            <w:pPr>
              <w:rPr>
                <w:rFonts w:ascii="Century Gothic" w:hAnsi="Century Gothic" w:cs="Arial"/>
                <w:sz w:val="16"/>
                <w:szCs w:val="16"/>
                <w:lang w:val="es-ES_tradnl"/>
              </w:rPr>
            </w:pPr>
            <w:r w:rsidRPr="00BF621D">
              <w:rPr>
                <w:rFonts w:ascii="Century Gothic" w:hAnsi="Century Gothic" w:cs="Arial"/>
                <w:sz w:val="16"/>
                <w:szCs w:val="16"/>
                <w:lang w:val="es-ES_tradnl"/>
              </w:rPr>
              <w:t>Martha Alicia Romero Vargas</w:t>
            </w:r>
          </w:p>
          <w:p w14:paraId="408B71DB" w14:textId="54EA18BE" w:rsidR="00871B59" w:rsidRPr="00685FFD" w:rsidRDefault="00BF621D" w:rsidP="00BF621D">
            <w:pPr>
              <w:rPr>
                <w:rFonts w:ascii="Century Gothic" w:hAnsi="Century Gothic" w:cs="Arial"/>
                <w:sz w:val="16"/>
                <w:szCs w:val="16"/>
                <w:lang w:val="es-ES_tradnl"/>
              </w:rPr>
            </w:pPr>
            <w:r w:rsidRPr="00BF621D">
              <w:rPr>
                <w:rFonts w:ascii="Century Gothic" w:hAnsi="Century Gothic" w:cs="Arial"/>
                <w:sz w:val="16"/>
                <w:szCs w:val="16"/>
                <w:lang w:val="es-ES_tradnl"/>
              </w:rPr>
              <w:t xml:space="preserve">Gestor T1 </w:t>
            </w:r>
            <w:r w:rsidRPr="00BF621D">
              <w:rPr>
                <w:rFonts w:ascii="Arial" w:hAnsi="Arial" w:cs="Arial"/>
                <w:sz w:val="16"/>
                <w:szCs w:val="16"/>
                <w:lang w:val="es-ES_tradnl"/>
              </w:rPr>
              <w:t>‒</w:t>
            </w:r>
            <w:r w:rsidRPr="00BF621D">
              <w:rPr>
                <w:rFonts w:ascii="Century Gothic" w:hAnsi="Century Gothic" w:cs="Arial"/>
                <w:sz w:val="16"/>
                <w:szCs w:val="16"/>
                <w:lang w:val="es-ES_tradnl"/>
              </w:rPr>
              <w:t xml:space="preserve"> 15 de la Subdirecci</w:t>
            </w:r>
            <w:r w:rsidRPr="00BF621D">
              <w:rPr>
                <w:rFonts w:ascii="Century Gothic" w:hAnsi="Century Gothic" w:cs="Century Gothic"/>
                <w:sz w:val="16"/>
                <w:szCs w:val="16"/>
                <w:lang w:val="es-ES_tradnl"/>
              </w:rPr>
              <w:t>ó</w:t>
            </w:r>
            <w:r w:rsidRPr="00BF621D">
              <w:rPr>
                <w:rFonts w:ascii="Century Gothic" w:hAnsi="Century Gothic" w:cs="Arial"/>
                <w:sz w:val="16"/>
                <w:szCs w:val="16"/>
                <w:lang w:val="es-ES_tradnl"/>
              </w:rPr>
              <w:t>n de Gesti</w:t>
            </w:r>
            <w:r w:rsidRPr="00BF621D">
              <w:rPr>
                <w:rFonts w:ascii="Century Gothic" w:hAnsi="Century Gothic" w:cs="Century Gothic"/>
                <w:sz w:val="16"/>
                <w:szCs w:val="16"/>
                <w:lang w:val="es-ES_tradnl"/>
              </w:rPr>
              <w:t>ó</w:t>
            </w:r>
            <w:r w:rsidRPr="00BF621D">
              <w:rPr>
                <w:rFonts w:ascii="Century Gothic" w:hAnsi="Century Gothic" w:cs="Arial"/>
                <w:sz w:val="16"/>
                <w:szCs w:val="16"/>
                <w:lang w:val="es-ES_tradnl"/>
              </w:rPr>
              <w:t>n Contractual</w:t>
            </w:r>
          </w:p>
        </w:tc>
      </w:tr>
      <w:tr w:rsidR="00871B59" w:rsidRPr="00593A5F" w14:paraId="2A81CFC8" w14:textId="77777777" w:rsidTr="002607A7">
        <w:trPr>
          <w:trHeight w:val="300"/>
        </w:trPr>
        <w:tc>
          <w:tcPr>
            <w:tcW w:w="893" w:type="dxa"/>
            <w:vAlign w:val="center"/>
          </w:tcPr>
          <w:p w14:paraId="3159EE97"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22DF76"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Carolina Quintero Gacharná</w:t>
            </w:r>
          </w:p>
          <w:p w14:paraId="6EE38C14" w14:textId="77777777" w:rsidR="00871B59" w:rsidRPr="00685FFD" w:rsidRDefault="00871B59" w:rsidP="002607A7">
            <w:pPr>
              <w:contextualSpacing/>
              <w:rPr>
                <w:rFonts w:ascii="Century Gothic" w:hAnsi="Century Gothic" w:cs="Arial"/>
                <w:sz w:val="16"/>
                <w:szCs w:val="16"/>
                <w:lang w:val="es-ES_tradnl"/>
              </w:rPr>
            </w:pPr>
            <w:r w:rsidRPr="00685FFD">
              <w:rPr>
                <w:rFonts w:ascii="Century Gothic" w:hAnsi="Century Gothic" w:cs="Arial"/>
                <w:sz w:val="16"/>
                <w:szCs w:val="16"/>
                <w:lang w:val="es-ES_tradnl"/>
              </w:rPr>
              <w:t>Subdirectora de Gestión Contractual ANCP – CCE</w:t>
            </w:r>
          </w:p>
        </w:tc>
      </w:tr>
    </w:tbl>
    <w:p w14:paraId="510CF084" w14:textId="77777777" w:rsidR="00871B59" w:rsidRPr="00593A5F" w:rsidRDefault="00871B59" w:rsidP="00871B59">
      <w:pPr>
        <w:spacing w:after="0" w:line="240" w:lineRule="auto"/>
        <w:rPr>
          <w:rFonts w:ascii="Verdana" w:eastAsia="Times New Roman" w:hAnsi="Verdana" w:cs="Arial"/>
          <w:sz w:val="24"/>
          <w:szCs w:val="24"/>
          <w:lang w:eastAsia="es-ES"/>
        </w:rPr>
      </w:pPr>
    </w:p>
    <w:p w14:paraId="0083C991" w14:textId="5C765C2F" w:rsidR="5D8505AD" w:rsidRPr="00871B59" w:rsidRDefault="5D8505AD" w:rsidP="00871B59"/>
    <w:sectPr w:rsidR="5D8505AD" w:rsidRPr="00871B59" w:rsidSect="00E45F4B">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F29F9D" w14:textId="77777777" w:rsidR="00311A79" w:rsidRDefault="00311A79" w:rsidP="00B30448">
      <w:pPr>
        <w:spacing w:after="0" w:line="240" w:lineRule="auto"/>
      </w:pPr>
      <w:r>
        <w:separator/>
      </w:r>
    </w:p>
  </w:endnote>
  <w:endnote w:type="continuationSeparator" w:id="0">
    <w:p w14:paraId="77C04070" w14:textId="77777777" w:rsidR="00311A79" w:rsidRDefault="00311A79" w:rsidP="00B30448">
      <w:pPr>
        <w:spacing w:after="0" w:line="240" w:lineRule="auto"/>
      </w:pPr>
      <w:r>
        <w:continuationSeparator/>
      </w:r>
    </w:p>
  </w:endnote>
  <w:endnote w:type="continuationNotice" w:id="1">
    <w:p w14:paraId="1444F733" w14:textId="77777777" w:rsidR="00311A79" w:rsidRDefault="00311A7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w:altName w:val="Calibri"/>
    <w:panose1 w:val="00000000000000000000"/>
    <w:charset w:val="00"/>
    <w:family w:val="modern"/>
    <w:notTrueType/>
    <w:pitch w:val="variable"/>
    <w:sig w:usb0="A000002F" w:usb1="1000004A" w:usb2="000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Verdana">
    <w:panose1 w:val="020B0604030504040204"/>
    <w:charset w:val="00"/>
    <w:family w:val="swiss"/>
    <w:pitch w:val="variable"/>
    <w:sig w:usb0="A00006FF" w:usb1="4000205B" w:usb2="0000001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A7DACD" w14:textId="77777777" w:rsidR="000849D5" w:rsidRDefault="000849D5" w:rsidP="000849D5">
    <w:pPr>
      <w:spacing w:after="0"/>
      <w:rPr>
        <w:rFonts w:ascii="Verdana" w:hAnsi="Verdana"/>
        <w:b/>
        <w:bCs/>
        <w:sz w:val="20"/>
        <w:szCs w:val="20"/>
      </w:rPr>
    </w:pPr>
  </w:p>
  <w:p w14:paraId="6681ECB2"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21625D2E"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559D727E"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143E423D"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337FD84E" w14:textId="77777777" w:rsidR="000849D5" w:rsidRPr="007D04B2" w:rsidRDefault="000849D5" w:rsidP="000849D5">
    <w:pPr>
      <w:pStyle w:val="Piedepgina"/>
    </w:pPr>
  </w:p>
  <w:p w14:paraId="769219E2"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6CF9B1" w14:textId="77777777" w:rsidR="00311A79" w:rsidRDefault="00311A79" w:rsidP="00B30448">
      <w:pPr>
        <w:spacing w:after="0" w:line="240" w:lineRule="auto"/>
      </w:pPr>
      <w:r>
        <w:separator/>
      </w:r>
    </w:p>
  </w:footnote>
  <w:footnote w:type="continuationSeparator" w:id="0">
    <w:p w14:paraId="47E78206" w14:textId="77777777" w:rsidR="00311A79" w:rsidRDefault="00311A79" w:rsidP="00B30448">
      <w:pPr>
        <w:spacing w:after="0" w:line="240" w:lineRule="auto"/>
      </w:pPr>
      <w:r>
        <w:continuationSeparator/>
      </w:r>
    </w:p>
  </w:footnote>
  <w:footnote w:type="continuationNotice" w:id="1">
    <w:p w14:paraId="56F5275E" w14:textId="77777777" w:rsidR="00311A79" w:rsidRDefault="00311A7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849537"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5E688DB8" wp14:editId="6C11BD5C">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7F9A5360" wp14:editId="5E7D8BE0">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635D63E7" w14:textId="77777777" w:rsidR="00515FB5" w:rsidRDefault="00515FB5" w:rsidP="00515FB5">
    <w:pPr>
      <w:pStyle w:val="Encabezado"/>
    </w:pPr>
  </w:p>
  <w:p w14:paraId="10CE77C0" w14:textId="77777777" w:rsidR="00515FB5" w:rsidRDefault="00515FB5" w:rsidP="00515FB5">
    <w:pPr>
      <w:pStyle w:val="Encabezado"/>
    </w:pPr>
  </w:p>
  <w:p w14:paraId="5BD4CAA1" w14:textId="77777777" w:rsidR="00515FB5" w:rsidRDefault="00515FB5" w:rsidP="00515FB5">
    <w:pPr>
      <w:pStyle w:val="Encabezado"/>
    </w:pPr>
  </w:p>
  <w:p w14:paraId="0D6E6014" w14:textId="77777777" w:rsidR="00515FB5" w:rsidRPr="00AB7B56" w:rsidRDefault="00515FB5" w:rsidP="00515FB5">
    <w:pPr>
      <w:pStyle w:val="Encabezado"/>
    </w:pPr>
  </w:p>
  <w:p w14:paraId="68E0C024"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7445982"/>
    <w:multiLevelType w:val="hybridMultilevel"/>
    <w:tmpl w:val="B694C9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F347A2E"/>
    <w:multiLevelType w:val="hybridMultilevel"/>
    <w:tmpl w:val="B6A0D0D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F50159B"/>
    <w:multiLevelType w:val="hybridMultilevel"/>
    <w:tmpl w:val="2B76B7FA"/>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6"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A304681"/>
    <w:multiLevelType w:val="hybridMultilevel"/>
    <w:tmpl w:val="46405C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3841F3"/>
    <w:multiLevelType w:val="hybridMultilevel"/>
    <w:tmpl w:val="7570D9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13" w15:restartNumberingAfterBreak="0">
    <w:nsid w:val="644D1A50"/>
    <w:multiLevelType w:val="hybridMultilevel"/>
    <w:tmpl w:val="4E0A28E8"/>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num w:numId="1" w16cid:durableId="1290670214">
    <w:abstractNumId w:val="9"/>
  </w:num>
  <w:num w:numId="2" w16cid:durableId="4285022">
    <w:abstractNumId w:val="2"/>
  </w:num>
  <w:num w:numId="3" w16cid:durableId="881983949">
    <w:abstractNumId w:val="6"/>
  </w:num>
  <w:num w:numId="4" w16cid:durableId="341274352">
    <w:abstractNumId w:val="0"/>
  </w:num>
  <w:num w:numId="5" w16cid:durableId="1887524674">
    <w:abstractNumId w:val="12"/>
  </w:num>
  <w:num w:numId="6" w16cid:durableId="1082990391">
    <w:abstractNumId w:val="1"/>
  </w:num>
  <w:num w:numId="7" w16cid:durableId="1492209491">
    <w:abstractNumId w:val="8"/>
  </w:num>
  <w:num w:numId="8" w16cid:durableId="679089576">
    <w:abstractNumId w:val="10"/>
  </w:num>
  <w:num w:numId="9" w16cid:durableId="2123767494">
    <w:abstractNumId w:val="11"/>
  </w:num>
  <w:num w:numId="10" w16cid:durableId="1391228846">
    <w:abstractNumId w:val="7"/>
  </w:num>
  <w:num w:numId="11" w16cid:durableId="15233557">
    <w:abstractNumId w:val="13"/>
  </w:num>
  <w:num w:numId="12" w16cid:durableId="354035714">
    <w:abstractNumId w:val="3"/>
  </w:num>
  <w:num w:numId="13" w16cid:durableId="101463356">
    <w:abstractNumId w:val="5"/>
  </w:num>
  <w:num w:numId="14" w16cid:durableId="1906064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6F3"/>
    <w:rsid w:val="000037AE"/>
    <w:rsid w:val="00005BB0"/>
    <w:rsid w:val="0001025F"/>
    <w:rsid w:val="0001222D"/>
    <w:rsid w:val="000135EB"/>
    <w:rsid w:val="00015D2B"/>
    <w:rsid w:val="00031584"/>
    <w:rsid w:val="00032A0E"/>
    <w:rsid w:val="00037347"/>
    <w:rsid w:val="00042B8F"/>
    <w:rsid w:val="000442CC"/>
    <w:rsid w:val="000556D4"/>
    <w:rsid w:val="000716AB"/>
    <w:rsid w:val="00074178"/>
    <w:rsid w:val="00082E4C"/>
    <w:rsid w:val="000849D5"/>
    <w:rsid w:val="0008528F"/>
    <w:rsid w:val="000A6E0C"/>
    <w:rsid w:val="000A7A56"/>
    <w:rsid w:val="000B1FF7"/>
    <w:rsid w:val="000B2513"/>
    <w:rsid w:val="000B4024"/>
    <w:rsid w:val="000C3C51"/>
    <w:rsid w:val="000C7262"/>
    <w:rsid w:val="000D2A7F"/>
    <w:rsid w:val="000D4FCE"/>
    <w:rsid w:val="0011037E"/>
    <w:rsid w:val="001363C7"/>
    <w:rsid w:val="00141AC5"/>
    <w:rsid w:val="00146B11"/>
    <w:rsid w:val="00147A04"/>
    <w:rsid w:val="0015476D"/>
    <w:rsid w:val="00161E13"/>
    <w:rsid w:val="00164AE0"/>
    <w:rsid w:val="00165E83"/>
    <w:rsid w:val="00166CD7"/>
    <w:rsid w:val="0017120C"/>
    <w:rsid w:val="00172F3A"/>
    <w:rsid w:val="001902B6"/>
    <w:rsid w:val="0019532A"/>
    <w:rsid w:val="0019670E"/>
    <w:rsid w:val="00197205"/>
    <w:rsid w:val="001A5DD4"/>
    <w:rsid w:val="001A67E9"/>
    <w:rsid w:val="001B143B"/>
    <w:rsid w:val="001B21CA"/>
    <w:rsid w:val="001C04FC"/>
    <w:rsid w:val="001C25A3"/>
    <w:rsid w:val="001C5D03"/>
    <w:rsid w:val="001C7771"/>
    <w:rsid w:val="001D62FF"/>
    <w:rsid w:val="001F3F48"/>
    <w:rsid w:val="001F48DA"/>
    <w:rsid w:val="002000AA"/>
    <w:rsid w:val="00204109"/>
    <w:rsid w:val="00211E6E"/>
    <w:rsid w:val="00212A46"/>
    <w:rsid w:val="0021401D"/>
    <w:rsid w:val="002146B8"/>
    <w:rsid w:val="00215516"/>
    <w:rsid w:val="002527C2"/>
    <w:rsid w:val="00266C52"/>
    <w:rsid w:val="00270443"/>
    <w:rsid w:val="00270EE2"/>
    <w:rsid w:val="00272972"/>
    <w:rsid w:val="00286491"/>
    <w:rsid w:val="002A0F8D"/>
    <w:rsid w:val="002B6E44"/>
    <w:rsid w:val="002E1DB5"/>
    <w:rsid w:val="002F6CCB"/>
    <w:rsid w:val="0030461E"/>
    <w:rsid w:val="00311A79"/>
    <w:rsid w:val="0031699C"/>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56D7"/>
    <w:rsid w:val="0046741E"/>
    <w:rsid w:val="00472CC6"/>
    <w:rsid w:val="0048026E"/>
    <w:rsid w:val="004807A9"/>
    <w:rsid w:val="004813EE"/>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1918"/>
    <w:rsid w:val="005139E7"/>
    <w:rsid w:val="005147DA"/>
    <w:rsid w:val="00515FB5"/>
    <w:rsid w:val="0052365C"/>
    <w:rsid w:val="005271EB"/>
    <w:rsid w:val="005426DB"/>
    <w:rsid w:val="00545489"/>
    <w:rsid w:val="0055082B"/>
    <w:rsid w:val="00552503"/>
    <w:rsid w:val="00552B57"/>
    <w:rsid w:val="00557DA1"/>
    <w:rsid w:val="00562FFA"/>
    <w:rsid w:val="0056322C"/>
    <w:rsid w:val="0058743A"/>
    <w:rsid w:val="005A1C97"/>
    <w:rsid w:val="005A3696"/>
    <w:rsid w:val="005A4DB0"/>
    <w:rsid w:val="005A7B8E"/>
    <w:rsid w:val="005B012B"/>
    <w:rsid w:val="005B0C87"/>
    <w:rsid w:val="005B6F6D"/>
    <w:rsid w:val="005D23F6"/>
    <w:rsid w:val="005D2FA8"/>
    <w:rsid w:val="005E2281"/>
    <w:rsid w:val="005E667C"/>
    <w:rsid w:val="005F077C"/>
    <w:rsid w:val="005F63D0"/>
    <w:rsid w:val="005F7973"/>
    <w:rsid w:val="00600948"/>
    <w:rsid w:val="0061690E"/>
    <w:rsid w:val="00627361"/>
    <w:rsid w:val="0063017E"/>
    <w:rsid w:val="00631B28"/>
    <w:rsid w:val="00645B90"/>
    <w:rsid w:val="00650991"/>
    <w:rsid w:val="006511D7"/>
    <w:rsid w:val="00663D75"/>
    <w:rsid w:val="00665683"/>
    <w:rsid w:val="00667482"/>
    <w:rsid w:val="00670AEF"/>
    <w:rsid w:val="00675678"/>
    <w:rsid w:val="00677012"/>
    <w:rsid w:val="006825B4"/>
    <w:rsid w:val="00682AF2"/>
    <w:rsid w:val="00685FFD"/>
    <w:rsid w:val="006864DF"/>
    <w:rsid w:val="006A3C8A"/>
    <w:rsid w:val="006A7552"/>
    <w:rsid w:val="006B5953"/>
    <w:rsid w:val="006B7A81"/>
    <w:rsid w:val="006C4BAC"/>
    <w:rsid w:val="006C52F3"/>
    <w:rsid w:val="006E1D19"/>
    <w:rsid w:val="006E7F37"/>
    <w:rsid w:val="006F3B81"/>
    <w:rsid w:val="006F4F79"/>
    <w:rsid w:val="00705B37"/>
    <w:rsid w:val="00711FD9"/>
    <w:rsid w:val="0071249B"/>
    <w:rsid w:val="0072628E"/>
    <w:rsid w:val="00727F33"/>
    <w:rsid w:val="00735062"/>
    <w:rsid w:val="00746BA5"/>
    <w:rsid w:val="00751D23"/>
    <w:rsid w:val="00770577"/>
    <w:rsid w:val="00770D7C"/>
    <w:rsid w:val="00777666"/>
    <w:rsid w:val="00780EE2"/>
    <w:rsid w:val="0078159B"/>
    <w:rsid w:val="00782E10"/>
    <w:rsid w:val="0078706B"/>
    <w:rsid w:val="00790836"/>
    <w:rsid w:val="00797131"/>
    <w:rsid w:val="007A3C1D"/>
    <w:rsid w:val="007A7364"/>
    <w:rsid w:val="007B285D"/>
    <w:rsid w:val="007C6BC6"/>
    <w:rsid w:val="00807D79"/>
    <w:rsid w:val="00813634"/>
    <w:rsid w:val="00822821"/>
    <w:rsid w:val="00831C29"/>
    <w:rsid w:val="008431EF"/>
    <w:rsid w:val="008468E0"/>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160"/>
    <w:rsid w:val="00916C7D"/>
    <w:rsid w:val="0092575D"/>
    <w:rsid w:val="009341DA"/>
    <w:rsid w:val="009430F9"/>
    <w:rsid w:val="009442E8"/>
    <w:rsid w:val="00946BD0"/>
    <w:rsid w:val="0095426C"/>
    <w:rsid w:val="00970087"/>
    <w:rsid w:val="00971074"/>
    <w:rsid w:val="00995D86"/>
    <w:rsid w:val="009A5453"/>
    <w:rsid w:val="009B4D94"/>
    <w:rsid w:val="009C2871"/>
    <w:rsid w:val="009D3C33"/>
    <w:rsid w:val="009D50FB"/>
    <w:rsid w:val="009D7F3A"/>
    <w:rsid w:val="009E35E3"/>
    <w:rsid w:val="009E4885"/>
    <w:rsid w:val="00A07DB6"/>
    <w:rsid w:val="00A10A73"/>
    <w:rsid w:val="00A170B3"/>
    <w:rsid w:val="00A223D5"/>
    <w:rsid w:val="00A37D1C"/>
    <w:rsid w:val="00A5453E"/>
    <w:rsid w:val="00A56F6C"/>
    <w:rsid w:val="00A76C8C"/>
    <w:rsid w:val="00A81822"/>
    <w:rsid w:val="00A83E50"/>
    <w:rsid w:val="00A85F30"/>
    <w:rsid w:val="00A9099E"/>
    <w:rsid w:val="00A91FB7"/>
    <w:rsid w:val="00A9298F"/>
    <w:rsid w:val="00AA0351"/>
    <w:rsid w:val="00AA1CB7"/>
    <w:rsid w:val="00AA5F4A"/>
    <w:rsid w:val="00AB025E"/>
    <w:rsid w:val="00AB1984"/>
    <w:rsid w:val="00AB52B1"/>
    <w:rsid w:val="00AC4CB3"/>
    <w:rsid w:val="00AC780D"/>
    <w:rsid w:val="00AD036B"/>
    <w:rsid w:val="00AD1996"/>
    <w:rsid w:val="00AD4099"/>
    <w:rsid w:val="00AD4901"/>
    <w:rsid w:val="00AF1F30"/>
    <w:rsid w:val="00B02FE0"/>
    <w:rsid w:val="00B03FDE"/>
    <w:rsid w:val="00B057B6"/>
    <w:rsid w:val="00B30448"/>
    <w:rsid w:val="00B34786"/>
    <w:rsid w:val="00B400EC"/>
    <w:rsid w:val="00B40162"/>
    <w:rsid w:val="00B41ACE"/>
    <w:rsid w:val="00B50156"/>
    <w:rsid w:val="00B518AD"/>
    <w:rsid w:val="00B60A96"/>
    <w:rsid w:val="00B678EC"/>
    <w:rsid w:val="00B76C94"/>
    <w:rsid w:val="00B772D0"/>
    <w:rsid w:val="00B836EA"/>
    <w:rsid w:val="00B84C05"/>
    <w:rsid w:val="00B87A25"/>
    <w:rsid w:val="00B91B81"/>
    <w:rsid w:val="00B97135"/>
    <w:rsid w:val="00BB3072"/>
    <w:rsid w:val="00BC7632"/>
    <w:rsid w:val="00BD48A9"/>
    <w:rsid w:val="00BD630F"/>
    <w:rsid w:val="00BD7EC6"/>
    <w:rsid w:val="00BE052D"/>
    <w:rsid w:val="00BE73FA"/>
    <w:rsid w:val="00BF621D"/>
    <w:rsid w:val="00BF6B4B"/>
    <w:rsid w:val="00BF755C"/>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4DAB"/>
    <w:rsid w:val="00CE6BDA"/>
    <w:rsid w:val="00CE7288"/>
    <w:rsid w:val="00D03DBE"/>
    <w:rsid w:val="00D072C0"/>
    <w:rsid w:val="00D34C82"/>
    <w:rsid w:val="00D3757A"/>
    <w:rsid w:val="00D504A9"/>
    <w:rsid w:val="00D5206D"/>
    <w:rsid w:val="00D7177D"/>
    <w:rsid w:val="00D81311"/>
    <w:rsid w:val="00DB201E"/>
    <w:rsid w:val="00DC0E68"/>
    <w:rsid w:val="00DC6DCA"/>
    <w:rsid w:val="00DD25ED"/>
    <w:rsid w:val="00DE0D6E"/>
    <w:rsid w:val="00E051A5"/>
    <w:rsid w:val="00E052DF"/>
    <w:rsid w:val="00E1610C"/>
    <w:rsid w:val="00E16D73"/>
    <w:rsid w:val="00E23E9E"/>
    <w:rsid w:val="00E25722"/>
    <w:rsid w:val="00E27F0A"/>
    <w:rsid w:val="00E4231E"/>
    <w:rsid w:val="00E4302C"/>
    <w:rsid w:val="00E43EBA"/>
    <w:rsid w:val="00E44AC7"/>
    <w:rsid w:val="00E45F4B"/>
    <w:rsid w:val="00E60A16"/>
    <w:rsid w:val="00E82B6E"/>
    <w:rsid w:val="00E94258"/>
    <w:rsid w:val="00E96C18"/>
    <w:rsid w:val="00EA2E61"/>
    <w:rsid w:val="00EA7D7F"/>
    <w:rsid w:val="00EB02F4"/>
    <w:rsid w:val="00EB2FA2"/>
    <w:rsid w:val="00EB769A"/>
    <w:rsid w:val="00EC3A35"/>
    <w:rsid w:val="00ED33DD"/>
    <w:rsid w:val="00EE17F2"/>
    <w:rsid w:val="00EE3138"/>
    <w:rsid w:val="00EF2AC7"/>
    <w:rsid w:val="00EF400A"/>
    <w:rsid w:val="00EF6BE4"/>
    <w:rsid w:val="00EF6E5D"/>
    <w:rsid w:val="00F07764"/>
    <w:rsid w:val="00F12517"/>
    <w:rsid w:val="00F131DD"/>
    <w:rsid w:val="00F16AB7"/>
    <w:rsid w:val="00F16BA1"/>
    <w:rsid w:val="00F24435"/>
    <w:rsid w:val="00F30C0F"/>
    <w:rsid w:val="00F314E8"/>
    <w:rsid w:val="00F323A2"/>
    <w:rsid w:val="00F33B57"/>
    <w:rsid w:val="00F33D5C"/>
    <w:rsid w:val="00F34E90"/>
    <w:rsid w:val="00F356D6"/>
    <w:rsid w:val="00F46F22"/>
    <w:rsid w:val="00F53BE2"/>
    <w:rsid w:val="00F55684"/>
    <w:rsid w:val="00F64D5A"/>
    <w:rsid w:val="00F709CD"/>
    <w:rsid w:val="00F906F4"/>
    <w:rsid w:val="00F919E7"/>
    <w:rsid w:val="00FA0716"/>
    <w:rsid w:val="00FB4629"/>
    <w:rsid w:val="00FB6FB1"/>
    <w:rsid w:val="00FB7063"/>
    <w:rsid w:val="00FC7056"/>
    <w:rsid w:val="00FE1A00"/>
    <w:rsid w:val="00FE33B4"/>
    <w:rsid w:val="024D7E2C"/>
    <w:rsid w:val="0D2EB883"/>
    <w:rsid w:val="0D8163B6"/>
    <w:rsid w:val="13A69650"/>
    <w:rsid w:val="1BB32F19"/>
    <w:rsid w:val="1F2C3AF5"/>
    <w:rsid w:val="1FF4886A"/>
    <w:rsid w:val="22D2584A"/>
    <w:rsid w:val="28751A95"/>
    <w:rsid w:val="29FA8189"/>
    <w:rsid w:val="2C00A012"/>
    <w:rsid w:val="389994B3"/>
    <w:rsid w:val="3B30A011"/>
    <w:rsid w:val="3B93C128"/>
    <w:rsid w:val="3CFBE104"/>
    <w:rsid w:val="510454D8"/>
    <w:rsid w:val="521E120A"/>
    <w:rsid w:val="5D8505AD"/>
    <w:rsid w:val="71443FBB"/>
    <w:rsid w:val="72EE784C"/>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1">
    <w:name w:val="Table Normal1"/>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4479817">
      <w:bodyDiv w:val="1"/>
      <w:marLeft w:val="0"/>
      <w:marRight w:val="0"/>
      <w:marTop w:val="0"/>
      <w:marBottom w:val="0"/>
      <w:divBdr>
        <w:top w:val="none" w:sz="0" w:space="0" w:color="auto"/>
        <w:left w:val="none" w:sz="0" w:space="0" w:color="auto"/>
        <w:bottom w:val="none" w:sz="0" w:space="0" w:color="auto"/>
        <w:right w:val="none" w:sz="0" w:space="0" w:color="auto"/>
      </w:divBdr>
      <w:divsChild>
        <w:div w:id="2065254455">
          <w:marLeft w:val="0"/>
          <w:marRight w:val="0"/>
          <w:marTop w:val="0"/>
          <w:marBottom w:val="0"/>
          <w:divBdr>
            <w:top w:val="none" w:sz="0" w:space="0" w:color="auto"/>
            <w:left w:val="none" w:sz="0" w:space="0" w:color="auto"/>
            <w:bottom w:val="none" w:sz="0" w:space="0" w:color="auto"/>
            <w:right w:val="none" w:sz="0" w:space="0" w:color="auto"/>
          </w:divBdr>
        </w:div>
      </w:divsChild>
    </w:div>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providencias-consejo-de-estado/" TargetMode="External"/><Relationship Id="rId18" Type="http://schemas.openxmlformats.org/officeDocument/2006/relationships/hyperlink" Target="https://nam02.safelinks.protection.outlook.com/?url=https%3A%2F%2Fwww.colombiacompra.gov.co%2Fcontent%2Fconvocatorias&amp;data=05%7C02%7Cdiana.blanco%40colombiacompra.gov.co%7C5aad36a736844ec87b2108dcc1fa4639%7C7b09041e245149d08cb179d5e3d8c1be%7C0%7C0%7C638598527917629752%7CUnknown%7CTWFpbGZsb3d8eyJWIjoiMC4wLjAwMDAiLCJQIjoiV2luMzIiLCJBTiI6Ik1haWwiLCJXVCI6Mn0%3D%7C0%7C%7C%7C&amp;sdata=GAoolGTP3EMvLbuuOcIZqK0EZWu5uKjFqn0sXmbw3fk%3D&amp;reserved=0"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image" Target="media/image1.png"/><Relationship Id="rId17" Type="http://schemas.openxmlformats.org/officeDocument/2006/relationships/hyperlink" Target="https://nam02.safelinks.protection.outlook.com/?url=https%3A%2F%2Fwww.sucop.gov.co%2Fentidades%2Fcolombiacompra%2FNormativa%3FIDNorma%3D17363&amp;data=05%7C02%7Cdiana.blanco%40colombiacompra.gov.co%7C5aad36a736844ec87b2108dcc1fa4639%7C7b09041e245149d08cb179d5e3d8c1be%7C0%7C0%7C638598527917618092%7CUnknown%7CTWFpbGZsb3d8eyJWIjoiMC4wLjAwMDAiLCJQIjoiV2luMzIiLCJBTiI6Ik1haWwiLCJXVCI6Mn0%3D%7C0%7C%7C%7C&amp;sdata=yYI6pLYvTWdnmrbsoZcAtOD%2FG7cu%2Bo6Par2iYCSaq4g%3D&amp;reserved=0"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ites%2Fcce_public%2Ffiles%2Ffiles_2020%2Fboletin_de_realtoria_iii.pdf&amp;data=05%7C02%7Cdiana.blanco%40colombiacompra.gov.co%7C5aad36a736844ec87b2108dcc1fa4639%7C7b09041e245149d08cb179d5e3d8c1be%7C0%7C0%7C638598527917605093%7CUnknown%7CTWFpbGZsb3d8eyJWIjoiMC4wLjAwMDAiLCJQIjoiV2luMzIiLCJBTiI6Ik1haWwiLCJXVCI6Mn0%3D%7C0%7C%7C%7C&amp;sdata=GC1x4nLNGPX5zoV2M4K11reL8XIUFpjc0LcVId%2FHtgY%3D&amp;reserved=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cadizipsas@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B2843723-D73A-40E9-95E7-857E24E9F3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2946</Words>
  <Characters>16205</Characters>
  <Application>Microsoft Office Word</Application>
  <DocSecurity>0</DocSecurity>
  <Lines>135</Lines>
  <Paragraphs>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Diana Carolina Blanco Rodriguez</cp:lastModifiedBy>
  <cp:revision>4</cp:revision>
  <dcterms:created xsi:type="dcterms:W3CDTF">2024-08-28T17:43:00Z</dcterms:created>
  <dcterms:modified xsi:type="dcterms:W3CDTF">2024-09-02T22:32:00Z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