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0FCE37" w14:textId="77777777" w:rsidR="003A7193" w:rsidRPr="00EA035C" w:rsidRDefault="003A7193" w:rsidP="003A7193">
      <w:pPr>
        <w:spacing w:after="0"/>
        <w:jc w:val="both"/>
        <w:rPr>
          <w:rFonts w:ascii="Arial" w:hAnsi="Arial" w:cs="Arial"/>
        </w:rPr>
      </w:pPr>
      <w:bookmarkStart w:id="0" w:name="_Hlk143780582"/>
      <w:r w:rsidRPr="00EA035C">
        <w:rPr>
          <w:rFonts w:ascii="Arial" w:eastAsia="Arial" w:hAnsi="Arial" w:cs="Arial"/>
          <w:b/>
          <w:bCs/>
          <w:kern w:val="2"/>
          <w:lang w:val="es-ES"/>
          <w14:ligatures w14:val="standardContextual"/>
        </w:rPr>
        <w:t xml:space="preserve">PROFESIONAL EN INGENIERÍA </w:t>
      </w:r>
      <w:r w:rsidRPr="00EA035C">
        <w:rPr>
          <w:rFonts w:ascii="Arial" w:eastAsia="Arial" w:hAnsi="Arial" w:cs="Arial"/>
          <w:b/>
          <w:kern w:val="2"/>
          <w:lang w:val="es-ES"/>
          <w14:ligatures w14:val="standardContextual"/>
        </w:rPr>
        <w:t>–</w:t>
      </w:r>
      <w:r w:rsidRPr="00EA035C">
        <w:rPr>
          <w:rFonts w:ascii="Arial" w:eastAsia="Arial" w:hAnsi="Arial" w:cs="Arial"/>
          <w:b/>
          <w:bCs/>
          <w:kern w:val="2"/>
          <w:lang w:val="es-ES"/>
          <w14:ligatures w14:val="standardContextual"/>
        </w:rPr>
        <w:t xml:space="preserve"> Ejercicio de la ingeniería – Aval – Procesos de contratación – Personas jurídicas</w:t>
      </w:r>
    </w:p>
    <w:p w14:paraId="6C66CC66" w14:textId="77777777" w:rsidR="003A7193" w:rsidRPr="00EA035C" w:rsidRDefault="003A7193" w:rsidP="003A7193">
      <w:pPr>
        <w:widowControl w:val="0"/>
        <w:autoSpaceDE w:val="0"/>
        <w:autoSpaceDN w:val="0"/>
        <w:spacing w:before="5" w:after="0" w:line="276" w:lineRule="auto"/>
        <w:rPr>
          <w:rFonts w:ascii="Arial" w:eastAsia="Arial" w:hAnsi="Arial" w:cs="Arial"/>
          <w:kern w:val="2"/>
          <w:lang w:val="es-ES"/>
          <w14:ligatures w14:val="standardContextual"/>
        </w:rPr>
      </w:pPr>
    </w:p>
    <w:p w14:paraId="3EBC5CA4" w14:textId="77777777" w:rsidR="003A7193" w:rsidRPr="00EA035C" w:rsidRDefault="003A7193" w:rsidP="003A7193">
      <w:pPr>
        <w:spacing w:after="0" w:line="240" w:lineRule="auto"/>
        <w:jc w:val="both"/>
        <w:rPr>
          <w:rFonts w:ascii="Arial" w:eastAsia="Aptos" w:hAnsi="Arial" w:cs="Arial"/>
          <w:kern w:val="2"/>
          <w:lang w:val="es-MX"/>
          <w14:ligatures w14:val="standardContextual"/>
        </w:rPr>
      </w:pPr>
      <w:r w:rsidRPr="00EA035C">
        <w:rPr>
          <w:rFonts w:ascii="Arial" w:eastAsia="Arial" w:hAnsi="Arial" w:cs="Arial"/>
          <w:kern w:val="2"/>
          <w:lang w:val="es-ES"/>
          <w14:ligatures w14:val="standardContextual"/>
        </w:rPr>
        <w:t>[…] el Tribunal Constitucional también señaló que la persona idónea y habilitada legalmente para ejercer la ingeniería, en actividades catalogadas como ejercicio de dicha profesión, es la matriculada o inscrita en el Registro Profesional de Ingenieros y que por ende cuenta con un título profesional y con la idoneidad que no se predica de otras profesiones –como es el caso de la arquitectura–. Esta idoneidad se requiere para la ejecución de ciertas actividades relacionadas particularmente con el ejercicio de la ingeniería, como son los proyectos de obra de infraestructura de transporte, pues su formación es distinta y no existe habilitación legal para el ejercicio de actividades de ingeniería ostentando una profesión diferente.</w:t>
      </w:r>
    </w:p>
    <w:p w14:paraId="5B3AD585" w14:textId="77777777" w:rsidR="003A7193" w:rsidRPr="00EA035C" w:rsidRDefault="003A7193" w:rsidP="003A7193">
      <w:pPr>
        <w:spacing w:after="0" w:line="240" w:lineRule="auto"/>
        <w:jc w:val="both"/>
        <w:rPr>
          <w:rFonts w:ascii="Arial" w:eastAsia="Aptos" w:hAnsi="Arial" w:cs="Arial"/>
          <w:kern w:val="2"/>
          <w:lang w:val="es-ES"/>
          <w14:ligatures w14:val="standardContextual"/>
        </w:rPr>
      </w:pPr>
      <w:r w:rsidRPr="00EA035C">
        <w:rPr>
          <w:rFonts w:ascii="Arial" w:eastAsia="Aptos" w:hAnsi="Arial" w:cs="Arial"/>
          <w:kern w:val="2"/>
          <w:lang w:val="es-ES"/>
          <w14:ligatures w14:val="standardContextual"/>
        </w:rPr>
        <w:t>[…]</w:t>
      </w:r>
    </w:p>
    <w:p w14:paraId="7B1E3644" w14:textId="77777777" w:rsidR="003A7193" w:rsidRPr="00EA035C" w:rsidRDefault="003A7193" w:rsidP="003A7193">
      <w:pPr>
        <w:spacing w:after="0" w:line="240" w:lineRule="auto"/>
        <w:jc w:val="both"/>
        <w:rPr>
          <w:rFonts w:ascii="Arial" w:eastAsia="Aptos" w:hAnsi="Arial" w:cs="Arial"/>
          <w:kern w:val="2"/>
          <w:lang w:val="es-MX"/>
          <w14:ligatures w14:val="standardContextual"/>
        </w:rPr>
      </w:pPr>
      <w:r w:rsidRPr="00EA035C">
        <w:rPr>
          <w:rFonts w:ascii="Arial" w:eastAsia="Aptos" w:hAnsi="Arial" w:cs="Arial"/>
          <w:kern w:val="2"/>
          <w:lang w:val="es-ES"/>
          <w14:ligatures w14:val="standardContextual"/>
        </w:rPr>
        <w:t>En efecto,  dado que las personas jurídicas no pueden y, por tanto, no les es exigible contar con una profesión, la ley previó dicha situación y las habilitó para contar con el apoyo de un profesional que avalara la propuestas relacionadas con ingeniería, pues si ello no hubiese ocurrido, a pesar que pueden desarrollar y desempeñar actividades catalogadas como el ejercicio de la ingeniería por encontrarse en el marco de su objeto social, ante la ausencia de una matrícula o tarjeta profesional no lo podrían hacer. También es importante agregar que el aval implica que el profesional que firma, independientemente de si se trata de un miembro, empleado o contratista de la respectiva persona jurídica, se hace responsable, en virtud de su idoneidad, por el adecuado ejercicio de la profesión por parte de la persona jurídica que desarrolla funciones profesionales relacionadas directamente con la ingeniería.</w:t>
      </w:r>
    </w:p>
    <w:p w14:paraId="5114BE92" w14:textId="77777777" w:rsidR="003A7193" w:rsidRPr="00EA035C" w:rsidRDefault="003A7193" w:rsidP="003A7193">
      <w:pPr>
        <w:widowControl w:val="0"/>
        <w:autoSpaceDE w:val="0"/>
        <w:autoSpaceDN w:val="0"/>
        <w:spacing w:after="0" w:line="276" w:lineRule="auto"/>
        <w:jc w:val="both"/>
        <w:rPr>
          <w:rFonts w:ascii="Arial" w:eastAsia="Arial" w:hAnsi="Arial" w:cs="Arial"/>
          <w:b/>
          <w:bCs/>
          <w:kern w:val="2"/>
          <w:lang w:val="es-ES"/>
          <w14:ligatures w14:val="standardContextual"/>
        </w:rPr>
      </w:pPr>
    </w:p>
    <w:p w14:paraId="23DFC839" w14:textId="77777777" w:rsidR="003A7193" w:rsidRPr="00EA035C" w:rsidRDefault="003A7193" w:rsidP="003A7193">
      <w:pPr>
        <w:spacing w:after="0" w:line="276" w:lineRule="auto"/>
        <w:jc w:val="both"/>
        <w:rPr>
          <w:rFonts w:ascii="Arial" w:eastAsia="Calibri" w:hAnsi="Arial" w:cs="Arial"/>
          <w:kern w:val="2"/>
          <w:highlight w:val="yellow"/>
          <w:lang w:val="es-MX"/>
          <w14:ligatures w14:val="standardContextual"/>
        </w:rPr>
      </w:pPr>
      <w:r w:rsidRPr="00EA035C">
        <w:rPr>
          <w:rFonts w:ascii="Arial" w:eastAsia="Calibri" w:hAnsi="Arial" w:cs="Arial"/>
          <w:b/>
          <w:bCs/>
          <w:kern w:val="2"/>
          <w:lang w:val="es-MX"/>
          <w14:ligatures w14:val="standardContextual"/>
        </w:rPr>
        <w:t>PROFESIONAL EN INGENIERÍA – Documentos tipo de obra pública de infraestructura de transporte – Carta de presentación de la propuesta – Aval de profesional en ingeniería</w:t>
      </w:r>
    </w:p>
    <w:p w14:paraId="5B10FCBC" w14:textId="77777777" w:rsidR="003A7193" w:rsidRPr="00EA035C" w:rsidRDefault="003A7193" w:rsidP="003A7193">
      <w:pPr>
        <w:spacing w:after="0" w:line="276" w:lineRule="auto"/>
        <w:jc w:val="both"/>
        <w:rPr>
          <w:rFonts w:ascii="Arial" w:eastAsia="Calibri" w:hAnsi="Arial" w:cs="Arial"/>
          <w:kern w:val="2"/>
          <w:highlight w:val="yellow"/>
          <w:lang w:val="es-MX"/>
          <w14:ligatures w14:val="standardContextual"/>
        </w:rPr>
      </w:pPr>
    </w:p>
    <w:p w14:paraId="729CAFB3" w14:textId="397B9BB9" w:rsidR="00C23326" w:rsidRPr="00EA035C" w:rsidRDefault="003A7193" w:rsidP="003A7193">
      <w:pPr>
        <w:numPr>
          <w:ilvl w:val="12"/>
          <w:numId w:val="0"/>
        </w:numPr>
        <w:spacing w:after="0" w:line="240" w:lineRule="auto"/>
        <w:jc w:val="both"/>
        <w:rPr>
          <w:rFonts w:ascii="Arial" w:eastAsia="Calibri" w:hAnsi="Arial" w:cs="Arial"/>
          <w:kern w:val="2"/>
          <w:lang w:val="es-MX"/>
          <w14:ligatures w14:val="standardContextual"/>
        </w:rPr>
      </w:pPr>
      <w:r w:rsidRPr="00EA035C">
        <w:rPr>
          <w:rFonts w:ascii="Arial" w:eastAsia="Calibri" w:hAnsi="Arial" w:cs="Arial"/>
          <w:kern w:val="2"/>
          <w:lang w:val="es-MX"/>
          <w14:ligatures w14:val="standardContextual"/>
        </w:rPr>
        <w:t xml:space="preserve">El numeral 2.1 del Capítulo II –elaboración y presentación de la oferta– del Documento Base para los procesos de licitación de obra pública de infraestructura de transporte – Versión 3, selección abreviada de menor cuantía, concurso de méritos para contratar la interventoría y la consultoría de estudios de ingeniería de infraestructura de transporte, al igual que el numeral 3.1 del Capítulo III −elaboración, presentación y evaluación de las ofertas− de la invitación para los procesos de mínima cuantía de obra pública de infraestructura de transporte, hacen referencia a la carta de presentación de la oferta, indicando claramente que con el propósito de evitar el ejercicio ilegal de la Ingeniería, la persona natural –proponente individual o integrante de la estructura plural– que pretenda participar en el proceso de selección debe acreditar que posee título como ingeniero. Conforme a lo explicado, esta regulación además obedece a los tipos de proyectos que se estandarizan mediante los documentos tipo indicados, respecto del sector de infraestructura de transporte, en los que son los ingenieros quienes cuentan legalmente con la idoneidad para el desarrollo de </w:t>
      </w:r>
      <w:proofErr w:type="gramStart"/>
      <w:r w:rsidRPr="00EA035C">
        <w:rPr>
          <w:rFonts w:ascii="Arial" w:eastAsia="Calibri" w:hAnsi="Arial" w:cs="Arial"/>
          <w:kern w:val="2"/>
          <w:lang w:val="es-MX"/>
          <w14:ligatures w14:val="standardContextual"/>
        </w:rPr>
        <w:t>los mismos</w:t>
      </w:r>
      <w:proofErr w:type="gramEnd"/>
      <w:r w:rsidRPr="00EA035C">
        <w:rPr>
          <w:rFonts w:ascii="Arial" w:eastAsia="Calibri" w:hAnsi="Arial" w:cs="Arial"/>
          <w:kern w:val="2"/>
          <w:lang w:val="es-MX"/>
          <w14:ligatures w14:val="standardContextual"/>
        </w:rPr>
        <w:t>, de acuerdo con el alcance de los objetos contractuales frente a los que aplican tales documentos tipo, acorde con las actividades establecidas en la Matriz 1 – Experiencia.</w:t>
      </w:r>
    </w:p>
    <w:p w14:paraId="1BBEC6B4" w14:textId="77777777" w:rsidR="00C23326" w:rsidRDefault="00C23326" w:rsidP="00E245AB">
      <w:pPr>
        <w:spacing w:after="0"/>
        <w:rPr>
          <w:rFonts w:ascii="Arial" w:hAnsi="Arial" w:cs="Arial"/>
        </w:rPr>
      </w:pPr>
    </w:p>
    <w:p w14:paraId="05990F57" w14:textId="77777777" w:rsidR="005E7863" w:rsidRDefault="005E7863" w:rsidP="00E245AB">
      <w:pPr>
        <w:spacing w:after="0"/>
        <w:rPr>
          <w:rFonts w:ascii="Arial" w:hAnsi="Arial" w:cs="Arial"/>
        </w:rPr>
      </w:pPr>
    </w:p>
    <w:p w14:paraId="5BB4876E" w14:textId="77777777" w:rsidR="005E7863" w:rsidRDefault="005E7863" w:rsidP="00E245AB">
      <w:pPr>
        <w:spacing w:after="0"/>
        <w:rPr>
          <w:rFonts w:ascii="Arial" w:hAnsi="Arial" w:cs="Arial"/>
        </w:rPr>
      </w:pPr>
    </w:p>
    <w:p w14:paraId="3F1D7CCD" w14:textId="77777777" w:rsidR="005E7863" w:rsidRPr="00EA035C" w:rsidRDefault="005E7863" w:rsidP="00E245AB">
      <w:pPr>
        <w:spacing w:after="0"/>
        <w:rPr>
          <w:rFonts w:ascii="Arial" w:hAnsi="Arial" w:cs="Arial"/>
        </w:rPr>
      </w:pPr>
    </w:p>
    <w:p w14:paraId="3FE2184B" w14:textId="01BC551F" w:rsidR="00E245AB" w:rsidRPr="00EA035C" w:rsidRDefault="00E245AB" w:rsidP="00E245AB">
      <w:pPr>
        <w:spacing w:after="0"/>
        <w:rPr>
          <w:rFonts w:ascii="Arial" w:hAnsi="Arial" w:cs="Arial"/>
        </w:rPr>
      </w:pPr>
      <w:r w:rsidRPr="00EA035C">
        <w:rPr>
          <w:rFonts w:ascii="Arial" w:hAnsi="Arial" w:cs="Arial"/>
        </w:rPr>
        <w:t xml:space="preserve">Bogotá D.C., </w:t>
      </w:r>
      <w:r w:rsidR="00006E89">
        <w:rPr>
          <w:rFonts w:ascii="Arial" w:hAnsi="Arial" w:cs="Arial"/>
        </w:rPr>
        <w:t>18 septiembre 2024</w:t>
      </w:r>
      <w:r w:rsidR="00891928" w:rsidRPr="00EA035C">
        <w:rPr>
          <w:rFonts w:ascii="Arial" w:hAnsi="Arial" w:cs="Arial"/>
        </w:rPr>
        <w:tab/>
      </w:r>
    </w:p>
    <w:p w14:paraId="5FCADBF9" w14:textId="77777777" w:rsidR="00E245AB" w:rsidRPr="00EA035C" w:rsidRDefault="00E245AB" w:rsidP="00E245AB">
      <w:pPr>
        <w:spacing w:after="0"/>
        <w:rPr>
          <w:rFonts w:ascii="Arial" w:hAnsi="Arial" w:cs="Arial"/>
        </w:rPr>
      </w:pPr>
    </w:p>
    <w:p w14:paraId="0465BA6D" w14:textId="77777777" w:rsidR="00E245AB" w:rsidRPr="00EA035C" w:rsidRDefault="00E245AB" w:rsidP="00E245AB">
      <w:pPr>
        <w:spacing w:after="0"/>
        <w:rPr>
          <w:rFonts w:ascii="Arial" w:hAnsi="Arial" w:cs="Arial"/>
        </w:rPr>
      </w:pPr>
    </w:p>
    <w:p w14:paraId="563A1CB2" w14:textId="77777777" w:rsidR="000F1A13" w:rsidRPr="00EA035C" w:rsidRDefault="000F1A13" w:rsidP="000F1A13">
      <w:pPr>
        <w:spacing w:after="0" w:line="240" w:lineRule="auto"/>
        <w:jc w:val="both"/>
        <w:rPr>
          <w:rFonts w:ascii="Arial" w:eastAsia="Calibri" w:hAnsi="Arial" w:cs="Arial"/>
          <w:lang w:val="es-ES" w:eastAsia="es-ES"/>
        </w:rPr>
      </w:pPr>
      <w:r w:rsidRPr="00EA035C">
        <w:rPr>
          <w:rFonts w:ascii="Arial" w:eastAsia="Calibri" w:hAnsi="Arial" w:cs="Arial"/>
          <w:lang w:val="es-ES" w:eastAsia="es-ES"/>
        </w:rPr>
        <w:t>Señora</w:t>
      </w:r>
    </w:p>
    <w:p w14:paraId="0E6BB9B3" w14:textId="77777777" w:rsidR="000F1A13" w:rsidRPr="00EA035C" w:rsidRDefault="000F1A13" w:rsidP="000F1A13">
      <w:pPr>
        <w:spacing w:after="0" w:line="240" w:lineRule="auto"/>
        <w:rPr>
          <w:rFonts w:ascii="Arial" w:eastAsia="Calibri" w:hAnsi="Arial" w:cs="Arial"/>
          <w:b/>
          <w:lang w:val="es-ES_tradnl" w:eastAsia="es-ES_tradnl"/>
        </w:rPr>
      </w:pPr>
      <w:r w:rsidRPr="00EA035C">
        <w:rPr>
          <w:rFonts w:ascii="Arial" w:eastAsia="Calibri" w:hAnsi="Arial" w:cs="Arial"/>
          <w:b/>
          <w:lang w:val="es-ES_tradnl" w:eastAsia="es-ES_tradnl"/>
        </w:rPr>
        <w:t>Teresita Morales Márquez</w:t>
      </w:r>
    </w:p>
    <w:p w14:paraId="55BFC41E" w14:textId="77777777" w:rsidR="000F1A13" w:rsidRPr="00EA035C" w:rsidRDefault="000F1A13" w:rsidP="000F1A13">
      <w:pPr>
        <w:spacing w:after="0" w:line="240" w:lineRule="auto"/>
        <w:rPr>
          <w:rFonts w:ascii="Arial" w:eastAsia="Calibri" w:hAnsi="Arial" w:cs="Arial"/>
          <w:bCs/>
          <w:lang w:val="es-ES_tradnl" w:eastAsia="es-ES_tradnl"/>
        </w:rPr>
      </w:pPr>
      <w:hyperlink r:id="rId10" w:history="1">
        <w:r w:rsidRPr="00EA035C">
          <w:rPr>
            <w:rStyle w:val="Hipervnculo"/>
            <w:rFonts w:ascii="Arial" w:eastAsia="Calibri" w:hAnsi="Arial" w:cs="Arial"/>
            <w:bCs/>
            <w:lang w:val="es-ES_tradnl" w:eastAsia="es-ES_tradnl"/>
          </w:rPr>
          <w:t>Tmm.tgeresita@gmail.com</w:t>
        </w:r>
      </w:hyperlink>
      <w:r w:rsidRPr="00EA035C">
        <w:rPr>
          <w:rFonts w:ascii="Arial" w:eastAsia="Calibri" w:hAnsi="Arial" w:cs="Arial"/>
          <w:bCs/>
          <w:lang w:val="es-ES_tradnl" w:eastAsia="es-ES_tradnl"/>
        </w:rPr>
        <w:t xml:space="preserve"> </w:t>
      </w:r>
    </w:p>
    <w:p w14:paraId="38D3A6AA" w14:textId="77777777" w:rsidR="000F1A13" w:rsidRPr="00EA035C" w:rsidRDefault="000F1A13" w:rsidP="000F1A13">
      <w:pPr>
        <w:spacing w:after="0" w:line="240" w:lineRule="auto"/>
        <w:rPr>
          <w:rFonts w:ascii="Arial" w:eastAsia="Calibri" w:hAnsi="Arial" w:cs="Arial"/>
          <w:b/>
          <w:bCs/>
          <w:lang w:val="es-ES" w:eastAsia="es-ES"/>
        </w:rPr>
      </w:pPr>
      <w:r w:rsidRPr="00EA035C">
        <w:rPr>
          <w:rFonts w:ascii="Arial" w:eastAsia="Calibri" w:hAnsi="Arial" w:cs="Arial"/>
          <w:lang w:val="es-ES" w:eastAsia="es-ES"/>
        </w:rPr>
        <w:t>Bogotá, D.C.</w:t>
      </w:r>
    </w:p>
    <w:p w14:paraId="2AAD9396" w14:textId="77777777" w:rsidR="000F1A13" w:rsidRPr="00EA035C" w:rsidRDefault="000F1A13" w:rsidP="000F1A13">
      <w:pPr>
        <w:spacing w:after="0" w:line="240" w:lineRule="auto"/>
        <w:rPr>
          <w:rFonts w:ascii="Arial" w:eastAsia="Calibri" w:hAnsi="Arial" w:cs="Arial"/>
          <w:b/>
          <w:bCs/>
          <w:lang w:val="es-ES_tradnl" w:eastAsia="es-ES_tradnl"/>
        </w:rPr>
      </w:pPr>
    </w:p>
    <w:p w14:paraId="6003B470" w14:textId="77777777" w:rsidR="000F1A13" w:rsidRDefault="000F1A13" w:rsidP="000F1A13">
      <w:pPr>
        <w:spacing w:after="0" w:line="240" w:lineRule="auto"/>
        <w:rPr>
          <w:rFonts w:ascii="Arial" w:eastAsia="Calibri" w:hAnsi="Arial" w:cs="Arial"/>
          <w:b/>
          <w:bCs/>
          <w:lang w:val="es-ES_tradnl" w:eastAsia="es-ES_tradnl"/>
        </w:rPr>
      </w:pPr>
    </w:p>
    <w:p w14:paraId="39D73C99" w14:textId="463D1FD3" w:rsidR="002E323B" w:rsidRDefault="002E323B" w:rsidP="002E323B">
      <w:pPr>
        <w:spacing w:after="0" w:line="240" w:lineRule="auto"/>
        <w:jc w:val="right"/>
        <w:rPr>
          <w:rFonts w:ascii="Arial" w:eastAsia="Calibri" w:hAnsi="Arial" w:cs="Arial"/>
          <w:b/>
          <w:bCs/>
          <w:lang w:val="es-ES_tradnl" w:eastAsia="es-ES_tradnl"/>
        </w:rPr>
      </w:pPr>
      <w:r w:rsidRPr="002E323B">
        <w:rPr>
          <w:rFonts w:ascii="Arial" w:eastAsia="Calibri" w:hAnsi="Arial" w:cs="Arial"/>
          <w:b/>
          <w:bCs/>
          <w:noProof/>
          <w:lang w:val="es-ES_tradnl" w:eastAsia="es-ES_tradnl"/>
        </w:rPr>
        <w:drawing>
          <wp:inline distT="0" distB="0" distL="0" distR="0" wp14:anchorId="31FAB7E5" wp14:editId="101190BA">
            <wp:extent cx="3343275" cy="1028700"/>
            <wp:effectExtent l="0" t="0" r="9525" b="0"/>
            <wp:docPr id="186136820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68205" name="Imagen 1" descr="Texto&#10;&#10;Descripción generada automáticamente"/>
                    <pic:cNvPicPr/>
                  </pic:nvPicPr>
                  <pic:blipFill>
                    <a:blip r:embed="rId11"/>
                    <a:stretch>
                      <a:fillRect/>
                    </a:stretch>
                  </pic:blipFill>
                  <pic:spPr>
                    <a:xfrm>
                      <a:off x="0" y="0"/>
                      <a:ext cx="3343275" cy="1028700"/>
                    </a:xfrm>
                    <a:prstGeom prst="rect">
                      <a:avLst/>
                    </a:prstGeom>
                  </pic:spPr>
                </pic:pic>
              </a:graphicData>
            </a:graphic>
          </wp:inline>
        </w:drawing>
      </w:r>
    </w:p>
    <w:p w14:paraId="5978045B" w14:textId="77777777" w:rsidR="002E323B" w:rsidRPr="00EA035C" w:rsidRDefault="002E323B" w:rsidP="000F1A13">
      <w:pPr>
        <w:spacing w:after="0" w:line="240" w:lineRule="auto"/>
        <w:rPr>
          <w:rFonts w:ascii="Arial" w:eastAsia="Calibri" w:hAnsi="Arial"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F1A13" w:rsidRPr="00B16C41" w14:paraId="543C799B" w14:textId="77777777" w:rsidTr="005D703A">
        <w:trPr>
          <w:trHeight w:val="884"/>
        </w:trPr>
        <w:tc>
          <w:tcPr>
            <w:tcW w:w="2689" w:type="dxa"/>
          </w:tcPr>
          <w:p w14:paraId="092E0974" w14:textId="77777777" w:rsidR="000F1A13" w:rsidRPr="00EA035C" w:rsidRDefault="000F1A13" w:rsidP="005D703A">
            <w:pPr>
              <w:jc w:val="both"/>
              <w:rPr>
                <w:rFonts w:ascii="Arial" w:eastAsia="Calibri" w:hAnsi="Arial" w:cs="Arial"/>
                <w:b/>
                <w:bCs/>
                <w:lang w:val="es-ES_tradnl" w:eastAsia="es-ES_tradnl"/>
              </w:rPr>
            </w:pPr>
          </w:p>
        </w:tc>
        <w:tc>
          <w:tcPr>
            <w:tcW w:w="6100" w:type="dxa"/>
          </w:tcPr>
          <w:p w14:paraId="462D55AC" w14:textId="77777777" w:rsidR="000F1A13" w:rsidRPr="00EA035C" w:rsidRDefault="000F1A13" w:rsidP="005D703A">
            <w:pPr>
              <w:jc w:val="both"/>
              <w:rPr>
                <w:rFonts w:ascii="Arial" w:eastAsia="Calibri" w:hAnsi="Arial" w:cs="Arial"/>
                <w:b/>
                <w:bCs/>
                <w:lang w:val="es-ES" w:eastAsia="es-ES"/>
              </w:rPr>
            </w:pPr>
            <w:r w:rsidRPr="00EA035C">
              <w:rPr>
                <w:rFonts w:ascii="Arial" w:eastAsia="Calibri" w:hAnsi="Arial" w:cs="Arial"/>
                <w:b/>
                <w:bCs/>
                <w:lang w:val="es-ES" w:eastAsia="es-ES"/>
              </w:rPr>
              <w:t>Concepto C – 443 de 2024</w:t>
            </w:r>
          </w:p>
        </w:tc>
      </w:tr>
      <w:tr w:rsidR="000F1A13" w:rsidRPr="00B16C41" w14:paraId="2EEBA174" w14:textId="77777777" w:rsidTr="005D703A">
        <w:trPr>
          <w:trHeight w:val="884"/>
        </w:trPr>
        <w:tc>
          <w:tcPr>
            <w:tcW w:w="2689" w:type="dxa"/>
          </w:tcPr>
          <w:p w14:paraId="2F120C25" w14:textId="77777777" w:rsidR="000F1A13" w:rsidRPr="00EA035C" w:rsidRDefault="000F1A13" w:rsidP="005D703A">
            <w:pPr>
              <w:jc w:val="both"/>
              <w:rPr>
                <w:rFonts w:ascii="Arial" w:eastAsia="Calibri" w:hAnsi="Arial" w:cs="Arial"/>
                <w:lang w:val="es-ES_tradnl" w:eastAsia="es-ES_tradnl"/>
              </w:rPr>
            </w:pPr>
            <w:r w:rsidRPr="00EA035C">
              <w:rPr>
                <w:rFonts w:ascii="Arial" w:eastAsia="Calibri" w:hAnsi="Arial" w:cs="Arial"/>
                <w:b/>
                <w:lang w:val="es-ES_tradnl" w:eastAsia="es-ES_tradnl"/>
              </w:rPr>
              <w:t>Temas:</w:t>
            </w:r>
            <w:r w:rsidRPr="00EA035C">
              <w:rPr>
                <w:rFonts w:ascii="Arial" w:eastAsia="Calibri" w:hAnsi="Arial" w:cs="Arial"/>
                <w:lang w:val="es-ES_tradnl" w:eastAsia="es-ES_tradnl"/>
              </w:rPr>
              <w:t xml:space="preserve">                   </w:t>
            </w:r>
          </w:p>
        </w:tc>
        <w:tc>
          <w:tcPr>
            <w:tcW w:w="6100" w:type="dxa"/>
          </w:tcPr>
          <w:p w14:paraId="6268C34D" w14:textId="77777777" w:rsidR="000F1A13" w:rsidRPr="00EA035C" w:rsidRDefault="000F1A13" w:rsidP="005D703A">
            <w:pPr>
              <w:spacing w:line="276" w:lineRule="auto"/>
              <w:jc w:val="both"/>
              <w:rPr>
                <w:rFonts w:ascii="Arial" w:eastAsia="Calibri" w:hAnsi="Arial" w:cs="Arial"/>
                <w:highlight w:val="yellow"/>
                <w:lang w:val="es-MX"/>
              </w:rPr>
            </w:pPr>
            <w:r w:rsidRPr="00EA035C">
              <w:rPr>
                <w:rFonts w:ascii="Arial" w:eastAsia="Arial" w:hAnsi="Arial" w:cs="Arial"/>
                <w:lang w:val="es-ES"/>
              </w:rPr>
              <w:t xml:space="preserve">PROFESIONAL EN INGENIERÍA – Ejercicio de la ingeniería – Aval – Procesos de contratación / </w:t>
            </w:r>
            <w:r w:rsidRPr="00EA035C">
              <w:rPr>
                <w:rFonts w:ascii="Arial" w:eastAsia="Calibri" w:hAnsi="Arial" w:cs="Arial"/>
                <w:lang w:val="es-MX"/>
              </w:rPr>
              <w:t>PROFESIONAL EN INGENIERÍA – Documentos tipo de obra pública de infraestructura de transporte – Carta de presentación de la propuesta – Aval de profesional en ingeniería</w:t>
            </w:r>
          </w:p>
          <w:p w14:paraId="68195556" w14:textId="77777777" w:rsidR="000F1A13" w:rsidRPr="00EA035C" w:rsidRDefault="000F1A13" w:rsidP="005D703A">
            <w:pPr>
              <w:spacing w:line="276" w:lineRule="auto"/>
              <w:jc w:val="both"/>
              <w:rPr>
                <w:rFonts w:ascii="Arial" w:eastAsia="Calibri" w:hAnsi="Arial" w:cs="Arial"/>
                <w:highlight w:val="yellow"/>
                <w:lang w:val="es-ES" w:eastAsia="es-ES"/>
              </w:rPr>
            </w:pPr>
          </w:p>
        </w:tc>
      </w:tr>
      <w:tr w:rsidR="000F1A13" w:rsidRPr="00B16C41" w14:paraId="3000D323" w14:textId="77777777" w:rsidTr="005D703A">
        <w:tc>
          <w:tcPr>
            <w:tcW w:w="2689" w:type="dxa"/>
          </w:tcPr>
          <w:p w14:paraId="209DB77C" w14:textId="77777777" w:rsidR="000F1A13" w:rsidRPr="00EA035C" w:rsidRDefault="000F1A13" w:rsidP="005D703A">
            <w:pPr>
              <w:jc w:val="both"/>
              <w:rPr>
                <w:rFonts w:ascii="Arial" w:eastAsia="Calibri" w:hAnsi="Arial" w:cs="Arial"/>
                <w:b/>
                <w:lang w:val="es-ES_tradnl" w:eastAsia="es-ES_tradnl"/>
              </w:rPr>
            </w:pPr>
            <w:r w:rsidRPr="00EA035C">
              <w:rPr>
                <w:rFonts w:ascii="Arial" w:eastAsia="Calibri" w:hAnsi="Arial" w:cs="Arial"/>
                <w:b/>
                <w:lang w:val="es-ES_tradnl" w:eastAsia="es-ES_tradnl"/>
              </w:rPr>
              <w:t>Radicación:</w:t>
            </w:r>
            <w:r w:rsidRPr="00EA035C">
              <w:rPr>
                <w:rFonts w:ascii="Arial" w:eastAsia="Calibri" w:hAnsi="Arial" w:cs="Arial"/>
                <w:lang w:val="es-ES_tradnl" w:eastAsia="es-ES_tradnl"/>
              </w:rPr>
              <w:t xml:space="preserve">               </w:t>
            </w:r>
          </w:p>
        </w:tc>
        <w:tc>
          <w:tcPr>
            <w:tcW w:w="6100" w:type="dxa"/>
          </w:tcPr>
          <w:p w14:paraId="5D94C971" w14:textId="77777777" w:rsidR="000F1A13" w:rsidRPr="00EA035C" w:rsidRDefault="000F1A13" w:rsidP="005D703A">
            <w:pPr>
              <w:jc w:val="both"/>
              <w:rPr>
                <w:rFonts w:ascii="Arial" w:eastAsia="Calibri" w:hAnsi="Arial" w:cs="Arial"/>
                <w:lang w:val="es-ES_tradnl" w:eastAsia="es-ES_tradnl"/>
              </w:rPr>
            </w:pPr>
            <w:r w:rsidRPr="00EA035C">
              <w:rPr>
                <w:rFonts w:ascii="Arial" w:eastAsia="Calibri" w:hAnsi="Arial" w:cs="Arial"/>
                <w:lang w:val="es-ES_tradnl" w:eastAsia="es-ES_tradnl"/>
              </w:rPr>
              <w:t>Respuesta a consulta con radicado No. P20240805008047</w:t>
            </w:r>
          </w:p>
        </w:tc>
      </w:tr>
    </w:tbl>
    <w:p w14:paraId="2AB0AC73" w14:textId="77777777" w:rsidR="000F1A13" w:rsidRPr="00EA035C" w:rsidRDefault="000F1A13" w:rsidP="000F1A13">
      <w:pPr>
        <w:spacing w:after="0" w:line="240" w:lineRule="auto"/>
        <w:jc w:val="both"/>
        <w:rPr>
          <w:rFonts w:ascii="Arial" w:eastAsia="Calibri" w:hAnsi="Arial" w:cs="Arial"/>
          <w:lang w:val="es-ES_tradnl" w:eastAsia="es-ES_tradnl"/>
        </w:rPr>
      </w:pPr>
    </w:p>
    <w:p w14:paraId="56D47D3C" w14:textId="77777777" w:rsidR="000F1A13" w:rsidRPr="00EA035C" w:rsidRDefault="000F1A13" w:rsidP="000F1A13">
      <w:pPr>
        <w:spacing w:after="0" w:line="240" w:lineRule="auto"/>
        <w:jc w:val="both"/>
        <w:rPr>
          <w:rFonts w:ascii="Arial" w:eastAsia="Calibri" w:hAnsi="Arial" w:cs="Arial"/>
          <w:lang w:val="es-ES_tradnl" w:eastAsia="es-ES_tradnl"/>
        </w:rPr>
      </w:pPr>
    </w:p>
    <w:p w14:paraId="30D54F40" w14:textId="77777777" w:rsidR="000F1A13" w:rsidRPr="00EA035C" w:rsidRDefault="000F1A13" w:rsidP="000F1A13">
      <w:pPr>
        <w:spacing w:after="0" w:line="276" w:lineRule="auto"/>
        <w:jc w:val="both"/>
        <w:rPr>
          <w:rFonts w:ascii="Arial" w:eastAsia="Calibri" w:hAnsi="Arial" w:cs="Arial"/>
          <w:lang w:val="es-ES" w:eastAsia="es-ES"/>
        </w:rPr>
      </w:pPr>
      <w:r w:rsidRPr="00EA035C">
        <w:rPr>
          <w:rFonts w:ascii="Arial" w:eastAsia="Calibri" w:hAnsi="Arial" w:cs="Arial"/>
          <w:lang w:val="es-ES" w:eastAsia="es-ES"/>
        </w:rPr>
        <w:t xml:space="preserve">Estimada señora Morales Márquez: </w:t>
      </w:r>
    </w:p>
    <w:p w14:paraId="024E05AC" w14:textId="77777777" w:rsidR="000F1A13" w:rsidRPr="00EA035C" w:rsidRDefault="000F1A13" w:rsidP="000F1A13">
      <w:pPr>
        <w:tabs>
          <w:tab w:val="left" w:pos="3768"/>
        </w:tabs>
        <w:spacing w:after="0" w:line="276" w:lineRule="auto"/>
        <w:jc w:val="both"/>
        <w:rPr>
          <w:rFonts w:ascii="Arial" w:eastAsia="Calibri" w:hAnsi="Arial" w:cs="Arial"/>
          <w:lang w:val="es-ES" w:eastAsia="es-ES"/>
        </w:rPr>
      </w:pPr>
      <w:r w:rsidRPr="00EA035C">
        <w:rPr>
          <w:rFonts w:ascii="Arial" w:eastAsia="Calibri" w:hAnsi="Arial" w:cs="Arial"/>
          <w:lang w:val="es-ES" w:eastAsia="es-ES"/>
        </w:rPr>
        <w:tab/>
      </w:r>
    </w:p>
    <w:p w14:paraId="063C4C8A" w14:textId="77777777" w:rsidR="000F1A13" w:rsidRPr="00EA035C" w:rsidRDefault="000F1A13" w:rsidP="000F1A13">
      <w:pPr>
        <w:spacing w:after="0" w:line="276" w:lineRule="auto"/>
        <w:jc w:val="both"/>
        <w:rPr>
          <w:rFonts w:ascii="Arial" w:eastAsia="Calibri" w:hAnsi="Arial" w:cs="Arial"/>
          <w:lang w:val="es-ES" w:eastAsia="es-ES"/>
        </w:rPr>
      </w:pPr>
      <w:r w:rsidRPr="00EA035C">
        <w:rPr>
          <w:rFonts w:ascii="Arial" w:eastAsia="Calibri" w:hAnsi="Arial" w:cs="Arial"/>
          <w:lang w:val="es-ES" w:eastAsia="es-ES"/>
        </w:rPr>
        <w:t>En ejercicio de la competencia otorgada por los artículos 3, numeral 5º, y 11, numeral 8º, del Decreto Ley 4170 de 2011,</w:t>
      </w:r>
      <w:r w:rsidRPr="00EA035C">
        <w:rPr>
          <w:rFonts w:ascii="Arial" w:eastAsia="Arial MT" w:hAnsi="Arial" w:cs="Arial"/>
          <w:lang w:val="es-ES" w:eastAsia="es-ES"/>
        </w:rPr>
        <w:t xml:space="preserve"> </w:t>
      </w:r>
      <w:r w:rsidRPr="00EA035C">
        <w:rPr>
          <w:rFonts w:ascii="Arial" w:eastAsia="Calibri" w:hAnsi="Arial" w:cs="Arial"/>
        </w:rPr>
        <w:t xml:space="preserve">así como lo establecido en el artículo 4 de la Resolución 1707 de 2018 expedida por esta Entidad, </w:t>
      </w:r>
      <w:r w:rsidRPr="00EA035C">
        <w:rPr>
          <w:rFonts w:ascii="Arial" w:eastAsia="Calibri" w:hAnsi="Arial" w:cs="Arial"/>
          <w:lang w:val="es-ES" w:eastAsia="es-ES"/>
        </w:rPr>
        <w:t>la Agencia Nacional de Contratación Pública – Colombia Compra Eficiente responde su solicitud de consulta de fecha 05 de agosto de 2024. En relación con la Ley que reglamente el ejercicio de la ingeniería, usted manifiesta lo siguiente:</w:t>
      </w:r>
    </w:p>
    <w:p w14:paraId="5250EE53" w14:textId="77777777" w:rsidR="000F1A13" w:rsidRPr="00EA035C" w:rsidRDefault="000F1A13" w:rsidP="000F1A13">
      <w:pPr>
        <w:tabs>
          <w:tab w:val="left" w:pos="142"/>
          <w:tab w:val="left" w:pos="284"/>
        </w:tabs>
        <w:spacing w:line="276" w:lineRule="auto"/>
        <w:contextualSpacing/>
        <w:jc w:val="both"/>
        <w:rPr>
          <w:rFonts w:ascii="Arial" w:eastAsia="Century Gothic" w:hAnsi="Arial" w:cs="Arial"/>
          <w:b/>
          <w:bCs/>
          <w:lang w:val="es-ES"/>
        </w:rPr>
      </w:pPr>
    </w:p>
    <w:p w14:paraId="05D3CCB9" w14:textId="77777777" w:rsidR="000F1A13" w:rsidRPr="00EA035C" w:rsidRDefault="000F1A13" w:rsidP="000F1A13">
      <w:pPr>
        <w:spacing w:after="0" w:line="240" w:lineRule="auto"/>
        <w:ind w:left="709" w:right="709"/>
        <w:jc w:val="both"/>
        <w:rPr>
          <w:rFonts w:ascii="Arial" w:eastAsia="Century Gothic" w:hAnsi="Arial" w:cs="Arial"/>
          <w:lang w:val="es-ES"/>
        </w:rPr>
      </w:pPr>
      <w:r w:rsidRPr="00EA035C">
        <w:rPr>
          <w:rFonts w:ascii="Arial" w:eastAsia="Century Gothic" w:hAnsi="Arial" w:cs="Arial"/>
          <w:lang w:val="es-ES"/>
        </w:rPr>
        <w:t xml:space="preserve">“En la matriz de experiencia de los documentos tipo de infraestructura de transporte se incluye lo siguiente: 8.4 PROYECTOS DE CONSERVACION O ADECUACION O MANTENIMIENTO O REPARACIONES LOCATIVAS </w:t>
      </w:r>
      <w:r w:rsidRPr="00EA035C">
        <w:rPr>
          <w:rFonts w:ascii="Arial" w:eastAsia="Century Gothic" w:hAnsi="Arial" w:cs="Arial"/>
          <w:lang w:val="es-ES"/>
        </w:rPr>
        <w:lastRenderedPageBreak/>
        <w:t>DE EDIFICACIONES AEROPORTUARIAS O TORRES DE CONTROL AEROPORTUARIAS.</w:t>
      </w:r>
    </w:p>
    <w:p w14:paraId="296192F3" w14:textId="77777777" w:rsidR="000F1A13" w:rsidRPr="00EA035C" w:rsidRDefault="000F1A13" w:rsidP="000F1A13">
      <w:pPr>
        <w:spacing w:after="0" w:line="240" w:lineRule="auto"/>
        <w:ind w:left="709" w:right="709"/>
        <w:jc w:val="both"/>
        <w:rPr>
          <w:rFonts w:ascii="Arial" w:eastAsia="Century Gothic" w:hAnsi="Arial" w:cs="Arial"/>
          <w:lang w:val="es-ES"/>
        </w:rPr>
      </w:pPr>
    </w:p>
    <w:p w14:paraId="1F4F4188" w14:textId="0DF2C06C" w:rsidR="000F1A13" w:rsidRPr="00EA035C" w:rsidRDefault="000F1A13" w:rsidP="000F1A13">
      <w:pPr>
        <w:spacing w:after="0" w:line="240" w:lineRule="auto"/>
        <w:ind w:left="709" w:right="709"/>
        <w:jc w:val="both"/>
        <w:rPr>
          <w:rFonts w:ascii="Arial" w:eastAsia="Century Gothic" w:hAnsi="Arial" w:cs="Arial"/>
          <w:lang w:val="es-ES"/>
        </w:rPr>
      </w:pPr>
      <w:r w:rsidRPr="00EA035C">
        <w:rPr>
          <w:rFonts w:ascii="Arial" w:eastAsia="Century Gothic" w:hAnsi="Arial" w:cs="Arial"/>
          <w:lang w:val="es-ES"/>
        </w:rPr>
        <w:t xml:space="preserve">Las actividades de adecuación, mantenimiento, reparación locativa de edificaciones no son actividades exclusivas de la ingeniería civil. ¿Porque la Agencia Nacional de Contratación Pública – Colombia Compra Eficiente en la elaboración de los pliegos tipo solo tiene en cuenta la Ley que reglamenta la profesión de la ingeniería civil y excluyó la Ley que reglamenta la profesión de arquitectura, que </w:t>
      </w:r>
      <w:r w:rsidR="00676D56" w:rsidRPr="00EA035C">
        <w:rPr>
          <w:rFonts w:ascii="Arial" w:eastAsia="Century Gothic" w:hAnsi="Arial" w:cs="Arial"/>
          <w:lang w:val="es-ES"/>
        </w:rPr>
        <w:t>avala a</w:t>
      </w:r>
      <w:r w:rsidRPr="00EA035C">
        <w:rPr>
          <w:rFonts w:ascii="Arial" w:eastAsia="Century Gothic" w:hAnsi="Arial" w:cs="Arial"/>
          <w:lang w:val="es-ES"/>
        </w:rPr>
        <w:t xml:space="preserve"> estos profesionales para el diseño, construcción, ampliación, conservación, alteración, o </w:t>
      </w:r>
      <w:r w:rsidR="00676D56" w:rsidRPr="00EA035C">
        <w:rPr>
          <w:rFonts w:ascii="Arial" w:eastAsia="Century Gothic" w:hAnsi="Arial" w:cs="Arial"/>
          <w:lang w:val="es-ES"/>
        </w:rPr>
        <w:t>restauración de</w:t>
      </w:r>
      <w:r w:rsidRPr="00EA035C">
        <w:rPr>
          <w:rFonts w:ascii="Arial" w:eastAsia="Century Gothic" w:hAnsi="Arial" w:cs="Arial"/>
          <w:lang w:val="es-ES"/>
        </w:rPr>
        <w:t xml:space="preserve"> un edificio o de un grupo de edificio?” (…)</w:t>
      </w:r>
    </w:p>
    <w:p w14:paraId="3E91BC4C" w14:textId="77777777" w:rsidR="000F1A13" w:rsidRPr="00EA035C" w:rsidRDefault="000F1A13" w:rsidP="000F1A13">
      <w:pPr>
        <w:spacing w:after="0" w:line="240" w:lineRule="auto"/>
        <w:ind w:left="709" w:right="709"/>
        <w:jc w:val="both"/>
        <w:rPr>
          <w:rFonts w:ascii="Arial" w:eastAsia="Century Gothic" w:hAnsi="Arial" w:cs="Arial"/>
          <w:lang w:val="es-ES"/>
        </w:rPr>
      </w:pPr>
      <w:r w:rsidRPr="00EA035C">
        <w:rPr>
          <w:rFonts w:ascii="Arial" w:eastAsia="Century Gothic" w:hAnsi="Arial" w:cs="Arial"/>
          <w:lang w:val="es-ES"/>
        </w:rPr>
        <w:t xml:space="preserve">   </w:t>
      </w:r>
    </w:p>
    <w:p w14:paraId="77F18ACB" w14:textId="77777777" w:rsidR="000F1A13" w:rsidRPr="00EA035C" w:rsidRDefault="000F1A13" w:rsidP="000F1A13">
      <w:pPr>
        <w:spacing w:after="120" w:line="276" w:lineRule="auto"/>
        <w:ind w:firstLine="709"/>
        <w:jc w:val="both"/>
        <w:rPr>
          <w:rFonts w:ascii="Arial" w:eastAsia="Calibri" w:hAnsi="Arial" w:cs="Arial"/>
          <w:lang w:val="es-ES_tradnl" w:eastAsia="es-ES_tradnl"/>
        </w:rPr>
      </w:pPr>
      <w:r w:rsidRPr="00EA035C">
        <w:rPr>
          <w:rFonts w:ascii="Arial" w:eastAsia="Calibri" w:hAnsi="Arial"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A035C">
        <w:rPr>
          <w:rFonts w:ascii="Arial" w:eastAsia="Calibri" w:hAnsi="Arial" w:cs="Arial"/>
          <w:lang w:val="es-ES_tradnl" w:eastAsia="es-ES_tradnl"/>
        </w:rPr>
        <w:tab/>
      </w:r>
    </w:p>
    <w:p w14:paraId="08669020" w14:textId="77777777" w:rsidR="000F1A13" w:rsidRPr="00EA035C" w:rsidRDefault="000F1A13" w:rsidP="000F1A13">
      <w:pPr>
        <w:spacing w:after="0" w:line="276" w:lineRule="auto"/>
        <w:ind w:firstLine="709"/>
        <w:jc w:val="both"/>
        <w:rPr>
          <w:rFonts w:ascii="Arial" w:eastAsia="Calibri" w:hAnsi="Arial" w:cs="Arial"/>
          <w:lang w:val="es-ES" w:eastAsia="es-ES"/>
        </w:rPr>
      </w:pPr>
      <w:r w:rsidRPr="00EA035C">
        <w:rPr>
          <w:rFonts w:ascii="Arial" w:eastAsia="Calibri" w:hAnsi="Arial"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y que no se refieren a normas de contratación estatal, pero haciendo unas consideraciones sobre las normas generales relacionadas con el problema jurídico de su consulta. </w:t>
      </w:r>
    </w:p>
    <w:p w14:paraId="61B3D132" w14:textId="77777777" w:rsidR="000F1A13" w:rsidRPr="00EA035C" w:rsidRDefault="000F1A13" w:rsidP="000F1A13">
      <w:pPr>
        <w:spacing w:after="0" w:line="276" w:lineRule="auto"/>
        <w:ind w:firstLine="709"/>
        <w:jc w:val="both"/>
        <w:rPr>
          <w:rFonts w:ascii="Arial" w:eastAsia="Calibri" w:hAnsi="Arial" w:cs="Arial"/>
          <w:lang w:val="es-ES" w:eastAsia="es-ES"/>
        </w:rPr>
      </w:pPr>
    </w:p>
    <w:p w14:paraId="4A6D667F" w14:textId="77777777" w:rsidR="000F1A13" w:rsidRPr="00EA035C" w:rsidRDefault="000F1A13" w:rsidP="000F1A13">
      <w:pPr>
        <w:numPr>
          <w:ilvl w:val="0"/>
          <w:numId w:val="16"/>
        </w:numPr>
        <w:tabs>
          <w:tab w:val="left" w:pos="142"/>
          <w:tab w:val="left" w:pos="284"/>
        </w:tabs>
        <w:spacing w:after="0" w:line="276" w:lineRule="auto"/>
        <w:ind w:left="357" w:hanging="357"/>
        <w:contextualSpacing/>
        <w:jc w:val="both"/>
        <w:rPr>
          <w:rFonts w:ascii="Arial" w:eastAsia="Century Gothic" w:hAnsi="Arial" w:cs="Arial"/>
          <w:b/>
          <w:bCs/>
          <w:lang w:val="es-ES"/>
        </w:rPr>
      </w:pPr>
      <w:r w:rsidRPr="00EA035C">
        <w:rPr>
          <w:rFonts w:ascii="Arial" w:eastAsia="Century Gothic" w:hAnsi="Arial" w:cs="Arial"/>
          <w:b/>
          <w:bCs/>
          <w:lang w:val="es-ES"/>
        </w:rPr>
        <w:t>Problema planteado:</w:t>
      </w:r>
    </w:p>
    <w:p w14:paraId="6201EF3A" w14:textId="77777777" w:rsidR="000F1A13" w:rsidRPr="00EA035C" w:rsidRDefault="000F1A13" w:rsidP="000F1A13">
      <w:pPr>
        <w:tabs>
          <w:tab w:val="left" w:pos="426"/>
        </w:tabs>
        <w:spacing w:after="0" w:line="276" w:lineRule="auto"/>
        <w:jc w:val="both"/>
        <w:rPr>
          <w:rFonts w:ascii="Arial" w:eastAsia="Century Gothic" w:hAnsi="Arial" w:cs="Arial"/>
          <w:lang w:val="es-ES"/>
        </w:rPr>
      </w:pPr>
    </w:p>
    <w:p w14:paraId="7F435CC8" w14:textId="42A4B26A" w:rsidR="000F1A13" w:rsidRPr="00EA035C" w:rsidRDefault="000F1A13" w:rsidP="000F1A13">
      <w:pPr>
        <w:snapToGrid w:val="0"/>
        <w:spacing w:after="0" w:line="276" w:lineRule="auto"/>
        <w:jc w:val="both"/>
        <w:rPr>
          <w:rFonts w:ascii="Arial" w:eastAsia="Century Gothic" w:hAnsi="Arial" w:cs="Arial"/>
        </w:rPr>
      </w:pPr>
      <w:r w:rsidRPr="00EA035C">
        <w:rPr>
          <w:rFonts w:ascii="Arial" w:eastAsia="Century Gothic" w:hAnsi="Arial" w:cs="Arial"/>
        </w:rPr>
        <w:t xml:space="preserve">De acuerdo con el contenido de su solicitud, esta Agencia resolverá el siguiente problema jurídico: En lo que compete a la </w:t>
      </w:r>
      <w:r w:rsidRPr="00EA035C">
        <w:rPr>
          <w:rFonts w:ascii="Arial" w:eastAsia="Calibri" w:hAnsi="Arial" w:cs="Arial"/>
          <w:shd w:val="clear" w:color="auto" w:fill="FFFFFF"/>
          <w:lang w:val="es-ES"/>
        </w:rPr>
        <w:t>participación de profesionales de la ingeniería en los procesos de contratación, ¿</w:t>
      </w:r>
      <w:r w:rsidR="005B5B7A">
        <w:rPr>
          <w:rFonts w:ascii="Arial" w:eastAsia="Calibri" w:hAnsi="Arial" w:cs="Arial"/>
          <w:shd w:val="clear" w:color="auto" w:fill="FFFFFF"/>
          <w:lang w:val="es-ES"/>
        </w:rPr>
        <w:t xml:space="preserve">Es viable que un arquitecto avale una propuesta en el proceso de selección en donde se apliquen documentos tipo para el sector de infraestructura de </w:t>
      </w:r>
      <w:proofErr w:type="spellStart"/>
      <w:r w:rsidR="005B5B7A">
        <w:rPr>
          <w:rFonts w:ascii="Arial" w:eastAsia="Calibri" w:hAnsi="Arial" w:cs="Arial"/>
          <w:shd w:val="clear" w:color="auto" w:fill="FFFFFF"/>
          <w:lang w:val="es-ES"/>
        </w:rPr>
        <w:t>transpporte</w:t>
      </w:r>
      <w:proofErr w:type="spellEnd"/>
      <w:r w:rsidRPr="00EA035C">
        <w:rPr>
          <w:rFonts w:ascii="Arial" w:eastAsia="Calibri" w:hAnsi="Arial" w:cs="Arial"/>
          <w:shd w:val="clear" w:color="auto" w:fill="FFFFFF"/>
          <w:lang w:val="es-ES"/>
        </w:rPr>
        <w:t xml:space="preserve">? </w:t>
      </w:r>
    </w:p>
    <w:p w14:paraId="564B6741" w14:textId="77777777" w:rsidR="000F1A13" w:rsidRPr="00EA035C" w:rsidRDefault="000F1A13" w:rsidP="000F1A13">
      <w:pPr>
        <w:snapToGrid w:val="0"/>
        <w:spacing w:after="0" w:line="276" w:lineRule="auto"/>
        <w:jc w:val="both"/>
        <w:rPr>
          <w:rFonts w:ascii="Arial" w:eastAsia="Calibri" w:hAnsi="Arial" w:cs="Arial"/>
          <w:lang w:val="es-ES"/>
        </w:rPr>
      </w:pPr>
    </w:p>
    <w:p w14:paraId="25C51988" w14:textId="77777777" w:rsidR="000F1A13" w:rsidRPr="00EA035C" w:rsidRDefault="000F1A13" w:rsidP="000F1A13">
      <w:pPr>
        <w:numPr>
          <w:ilvl w:val="0"/>
          <w:numId w:val="16"/>
        </w:numPr>
        <w:tabs>
          <w:tab w:val="left" w:pos="142"/>
          <w:tab w:val="left" w:pos="284"/>
        </w:tabs>
        <w:snapToGrid w:val="0"/>
        <w:spacing w:after="0" w:line="276" w:lineRule="auto"/>
        <w:ind w:left="357" w:hanging="357"/>
        <w:jc w:val="both"/>
        <w:rPr>
          <w:rFonts w:ascii="Arial" w:eastAsia="Century Gothic" w:hAnsi="Arial" w:cs="Arial"/>
          <w:b/>
          <w:bCs/>
          <w:lang w:val="es-ES"/>
        </w:rPr>
      </w:pPr>
      <w:r w:rsidRPr="00EA035C">
        <w:rPr>
          <w:rFonts w:ascii="Arial" w:eastAsia="Century Gothic" w:hAnsi="Arial" w:cs="Arial"/>
          <w:b/>
          <w:bCs/>
          <w:lang w:val="es-ES"/>
        </w:rPr>
        <w:t>Respuesta:</w:t>
      </w:r>
    </w:p>
    <w:p w14:paraId="157145FC" w14:textId="77777777" w:rsidR="000F1A13" w:rsidRPr="00EA035C" w:rsidRDefault="000F1A13" w:rsidP="000F1A13">
      <w:pPr>
        <w:tabs>
          <w:tab w:val="left" w:pos="142"/>
          <w:tab w:val="left" w:pos="284"/>
        </w:tabs>
        <w:snapToGrid w:val="0"/>
        <w:spacing w:after="0" w:line="276" w:lineRule="auto"/>
        <w:jc w:val="both"/>
        <w:rPr>
          <w:rFonts w:ascii="Arial" w:eastAsia="Century Gothic" w:hAnsi="Arial" w:cs="Arial"/>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F1A13" w:rsidRPr="00B16C41" w14:paraId="033369BF" w14:textId="77777777" w:rsidTr="005D703A">
        <w:tc>
          <w:tcPr>
            <w:tcW w:w="8828" w:type="dxa"/>
          </w:tcPr>
          <w:p w14:paraId="65DE2B3E" w14:textId="77777777" w:rsidR="009D2AB0" w:rsidRPr="00EA035C" w:rsidRDefault="009D1534" w:rsidP="005D703A">
            <w:pPr>
              <w:widowControl w:val="0"/>
              <w:autoSpaceDE w:val="0"/>
              <w:autoSpaceDN w:val="0"/>
              <w:spacing w:line="276" w:lineRule="auto"/>
              <w:ind w:right="51"/>
              <w:jc w:val="both"/>
              <w:rPr>
                <w:rFonts w:ascii="Arial" w:eastAsia="Times New Roman" w:hAnsi="Arial" w:cs="Arial"/>
                <w:color w:val="000000" w:themeColor="text1"/>
                <w:lang w:val="es-ES" w:eastAsia="es-ES_tradnl"/>
              </w:rPr>
            </w:pPr>
            <w:r w:rsidRPr="00EA035C">
              <w:rPr>
                <w:rFonts w:ascii="Arial" w:eastAsia="Arial" w:hAnsi="Arial" w:cs="Arial"/>
                <w:lang w:val="es-ES"/>
              </w:rPr>
              <w:t xml:space="preserve">La Ley 842 de 2003, en su artículo 20, dispone que las propuestas en las licitaciones y </w:t>
            </w:r>
            <w:r w:rsidRPr="00EA035C">
              <w:rPr>
                <w:rFonts w:ascii="Arial" w:eastAsia="Arial" w:hAnsi="Arial" w:cs="Arial"/>
                <w:lang w:val="es-ES"/>
              </w:rPr>
              <w:lastRenderedPageBreak/>
              <w:t>concursos abiertos cuyo objeto implique el desarrollo de las actividades catalogadas como ejercicio de la ingeniería, deberán estar avalados por un ingeniero inscrito y con tarjeta de matrícula profesional en la respectiva rama de la ingeniería</w:t>
            </w:r>
            <w:r w:rsidRPr="00EA035C">
              <w:rPr>
                <w:rFonts w:ascii="Arial" w:eastAsia="Times New Roman" w:hAnsi="Arial" w:cs="Arial"/>
                <w:color w:val="000000" w:themeColor="text1"/>
                <w:lang w:val="es-ES" w:eastAsia="es-ES_tradnl"/>
              </w:rPr>
              <w:t xml:space="preserve">. </w:t>
            </w:r>
          </w:p>
          <w:p w14:paraId="61B552C0" w14:textId="77777777" w:rsidR="001A1559" w:rsidRPr="00EA035C" w:rsidRDefault="001A1559" w:rsidP="001A1559">
            <w:pPr>
              <w:tabs>
                <w:tab w:val="left" w:pos="426"/>
              </w:tabs>
              <w:spacing w:line="276" w:lineRule="auto"/>
              <w:jc w:val="both"/>
              <w:rPr>
                <w:rFonts w:ascii="Arial" w:eastAsia="Arial" w:hAnsi="Arial" w:cs="Arial"/>
                <w:lang w:val="es-ES"/>
              </w:rPr>
            </w:pPr>
          </w:p>
          <w:p w14:paraId="0F465E09" w14:textId="4955ECCB" w:rsidR="001A1559" w:rsidRPr="00EA035C" w:rsidRDefault="001A1559" w:rsidP="001A1559">
            <w:pPr>
              <w:tabs>
                <w:tab w:val="left" w:pos="426"/>
              </w:tabs>
              <w:spacing w:line="276" w:lineRule="auto"/>
              <w:jc w:val="both"/>
              <w:rPr>
                <w:rFonts w:ascii="Arial" w:eastAsia="Arial" w:hAnsi="Arial" w:cs="Arial"/>
                <w:lang w:val="es-ES"/>
              </w:rPr>
            </w:pPr>
            <w:r w:rsidRPr="00EA035C">
              <w:rPr>
                <w:rFonts w:ascii="Arial" w:eastAsia="Arial" w:hAnsi="Arial" w:cs="Arial"/>
                <w:lang w:val="es-ES"/>
              </w:rPr>
              <w:t>De acuerdo con lo anterior, los procesos de selección adelantados con documentos tipo de obra pública de infraestructura de transporte, al estar dirigidos a la escogencia de contratistas aptos para el desarrollo de actividades de construcción, mejoramiento, rehabilitación, etc., que necesariamente suponen el ejercicio de la ingeniería, no son ajenos a la necesidad de que el contratista esté debidamente inscrito en el Registro Profesional llevado por el COPNIA, o avalado por alguien que sí. Por tal motivo, el numeral 2.1. del Documento Base o Pliego Tipo de licitación pública para infraestructura del transporte –Versión 3–, al regular la carta de presentación de la oferta, exige la presentación de la tarjeta profesional junto con la oferta:</w:t>
            </w:r>
          </w:p>
          <w:p w14:paraId="19922AF5" w14:textId="77777777" w:rsidR="001A1559" w:rsidRPr="00EA035C" w:rsidRDefault="001A1559" w:rsidP="001A1559">
            <w:pPr>
              <w:tabs>
                <w:tab w:val="left" w:pos="426"/>
              </w:tabs>
              <w:spacing w:line="276" w:lineRule="auto"/>
              <w:jc w:val="both"/>
              <w:rPr>
                <w:rFonts w:ascii="Arial" w:eastAsia="Arial" w:hAnsi="Arial" w:cs="Arial"/>
                <w:lang w:val="es-ES"/>
              </w:rPr>
            </w:pPr>
          </w:p>
          <w:p w14:paraId="1786A883" w14:textId="21C26AAE" w:rsidR="001A1559" w:rsidRPr="00EA035C" w:rsidRDefault="001A1559" w:rsidP="001A1559">
            <w:pPr>
              <w:tabs>
                <w:tab w:val="left" w:pos="426"/>
              </w:tabs>
              <w:ind w:left="709" w:right="709"/>
              <w:jc w:val="both"/>
              <w:rPr>
                <w:rFonts w:ascii="Arial" w:eastAsia="Arial" w:hAnsi="Arial" w:cs="Arial"/>
                <w:lang w:val="es-ES"/>
              </w:rPr>
            </w:pPr>
            <w:r w:rsidRPr="00EA035C">
              <w:rPr>
                <w:rFonts w:ascii="Arial" w:eastAsia="Arial" w:hAnsi="Arial" w:cs="Arial"/>
                <w:lang w:val="es-ES"/>
              </w:rPr>
              <w:t>“En virtud de lo previsto en la Ley 842 de 2003 y con el fin de no permitir el ejercicio ilegal de la Ingeniería, la persona natural (Proponente individual o integrante de la estructura plural) que pretenda participar en el presente Proceso, deberá acreditar que posee título como Ingeniero, para lo cual deberá adjuntar copia de la tarjeta profesional y copia del certificado de vigencia de matrícula profesional expedida por el COPNIA o Consejo Profesional de Ingeniería de Transportes y Vías de Colombia en la respectiva rama de la ingeniería según corresponda, vigente a la fecha de cierre de este Proceso de selección.</w:t>
            </w:r>
          </w:p>
          <w:p w14:paraId="23FB6336" w14:textId="77777777" w:rsidR="001A1559" w:rsidRPr="00EA035C" w:rsidRDefault="001A1559" w:rsidP="001A1559">
            <w:pPr>
              <w:tabs>
                <w:tab w:val="left" w:pos="426"/>
              </w:tabs>
              <w:ind w:left="709" w:right="709"/>
              <w:jc w:val="both"/>
              <w:rPr>
                <w:rFonts w:ascii="Arial" w:eastAsia="Arial" w:hAnsi="Arial" w:cs="Arial"/>
                <w:lang w:val="es-ES"/>
              </w:rPr>
            </w:pPr>
          </w:p>
          <w:p w14:paraId="7E19DC3D" w14:textId="77777777" w:rsidR="001A1559" w:rsidRPr="00EA035C" w:rsidRDefault="001A1559" w:rsidP="001A1559">
            <w:pPr>
              <w:tabs>
                <w:tab w:val="left" w:pos="426"/>
              </w:tabs>
              <w:ind w:left="709" w:right="709"/>
              <w:jc w:val="both"/>
              <w:rPr>
                <w:rFonts w:ascii="Arial" w:eastAsia="Arial" w:hAnsi="Arial" w:cs="Arial"/>
                <w:lang w:val="es-ES"/>
              </w:rPr>
            </w:pPr>
            <w:r w:rsidRPr="00EA035C">
              <w:rPr>
                <w:rFonts w:ascii="Arial" w:eastAsia="Arial" w:hAnsi="Arial" w:cs="Arial"/>
                <w:lang w:val="es-ES"/>
              </w:rPr>
              <w:t>De acuerdo con en el artículo 20 de la Ley 842 de 2003, si el representante legal o apoderado del Proponente individual persona jurídica o el representante legal o apoderado de la estructura plural, no posee título de una de las profesiones catalogadas como ejercicio de la ingeniería, la oferta deberá ser avalada por un ingeniero, para lo cual deberá adjuntar copia de la tarjeta profesional y copia del certificado de vigencia de matrícula profesional expedida por el COPNIA o Consejo Profesional de Ingeniería de Transportes y Vías de Colombia en la respectiva rama de la ingeniería según corresponda, vigente a la fecha de cierre de este Proceso de selección.</w:t>
            </w:r>
          </w:p>
          <w:p w14:paraId="41231742" w14:textId="77777777" w:rsidR="001A1559" w:rsidRPr="00EA035C" w:rsidRDefault="001A1559" w:rsidP="001A1559">
            <w:pPr>
              <w:tabs>
                <w:tab w:val="left" w:pos="426"/>
              </w:tabs>
              <w:ind w:left="709" w:right="709"/>
              <w:jc w:val="both"/>
              <w:rPr>
                <w:rFonts w:ascii="Arial" w:eastAsia="Arial" w:hAnsi="Arial" w:cs="Arial"/>
                <w:lang w:val="es-ES"/>
              </w:rPr>
            </w:pPr>
          </w:p>
          <w:p w14:paraId="7A4005A1" w14:textId="3EE7A9BD" w:rsidR="001A1559" w:rsidRPr="00EA035C" w:rsidRDefault="001A1559" w:rsidP="001A1559">
            <w:pPr>
              <w:tabs>
                <w:tab w:val="left" w:pos="426"/>
              </w:tabs>
              <w:ind w:left="709" w:right="709"/>
              <w:jc w:val="both"/>
              <w:rPr>
                <w:rFonts w:ascii="Arial" w:eastAsia="Arial" w:hAnsi="Arial" w:cs="Arial"/>
                <w:lang w:val="es-ES"/>
              </w:rPr>
            </w:pPr>
            <w:r w:rsidRPr="00EA035C">
              <w:rPr>
                <w:rFonts w:ascii="Arial" w:eastAsia="Arial" w:hAnsi="Arial" w:cs="Arial"/>
                <w:lang w:val="es-ES"/>
              </w:rPr>
              <w:t>El aval del ingeniero de que trata el artículo 20 de la Ley 842 de 2003 hace parte integral del Formato 1 – Carta de presentación de la oferta, cuando el Proponente deba presentarlo.”</w:t>
            </w:r>
          </w:p>
          <w:p w14:paraId="0524FCB5" w14:textId="77777777" w:rsidR="001A1559" w:rsidRPr="00EA035C" w:rsidRDefault="001A1559" w:rsidP="001A1559">
            <w:pPr>
              <w:tabs>
                <w:tab w:val="left" w:pos="426"/>
              </w:tabs>
              <w:spacing w:line="276" w:lineRule="auto"/>
              <w:jc w:val="both"/>
              <w:rPr>
                <w:rFonts w:ascii="Arial" w:eastAsia="Arial" w:hAnsi="Arial" w:cs="Arial"/>
                <w:lang w:val="es-ES"/>
              </w:rPr>
            </w:pPr>
          </w:p>
          <w:p w14:paraId="76FF721C" w14:textId="77777777" w:rsidR="001A1559" w:rsidRPr="00EA035C" w:rsidRDefault="001A1559" w:rsidP="001A1559">
            <w:pPr>
              <w:tabs>
                <w:tab w:val="left" w:pos="426"/>
              </w:tabs>
              <w:spacing w:line="276" w:lineRule="auto"/>
              <w:jc w:val="both"/>
              <w:rPr>
                <w:rFonts w:ascii="Arial" w:eastAsia="Arial" w:hAnsi="Arial" w:cs="Arial"/>
                <w:lang w:val="es-ES"/>
              </w:rPr>
            </w:pPr>
            <w:r w:rsidRPr="00EA035C">
              <w:rPr>
                <w:rFonts w:ascii="Arial" w:eastAsia="Arial" w:hAnsi="Arial" w:cs="Arial"/>
                <w:lang w:val="es-ES"/>
              </w:rPr>
              <w:tab/>
            </w:r>
            <w:r w:rsidRPr="00EA035C">
              <w:rPr>
                <w:rFonts w:ascii="Arial" w:eastAsia="Arial" w:hAnsi="Arial" w:cs="Arial"/>
                <w:lang w:val="es-ES"/>
              </w:rPr>
              <w:tab/>
              <w:t xml:space="preserve">En tales términos, en los procesos adelantados con documentos tipo de licitación de obra pública de infraestructura de transporte –Versión 3–, estar inscrito en el Registro Profesional del COPNIA es un requisito que debe cumplirse al momento de presentar la oferta, lo cual, en principio, debe ser acreditado presentando la copia de la tarjeta </w:t>
            </w:r>
            <w:r w:rsidRPr="00EA035C">
              <w:rPr>
                <w:rFonts w:ascii="Arial" w:eastAsia="Arial" w:hAnsi="Arial" w:cs="Arial"/>
                <w:lang w:val="es-ES"/>
              </w:rPr>
              <w:lastRenderedPageBreak/>
              <w:t xml:space="preserve">profesional y su certificado de vigencia como anexos de la carta de presentación de la oferta, máxime cuando se trata de una persona natural ya sea proponente individual o integrante de un consorcio o unión temporal. </w:t>
            </w:r>
          </w:p>
          <w:p w14:paraId="722459EF" w14:textId="77777777" w:rsidR="001A1559" w:rsidRPr="00EA035C" w:rsidRDefault="001A1559" w:rsidP="001A1559">
            <w:pPr>
              <w:tabs>
                <w:tab w:val="left" w:pos="426"/>
              </w:tabs>
              <w:spacing w:line="276" w:lineRule="auto"/>
              <w:jc w:val="both"/>
              <w:rPr>
                <w:rFonts w:ascii="Arial" w:eastAsia="Arial" w:hAnsi="Arial" w:cs="Arial"/>
                <w:lang w:val="es-ES"/>
              </w:rPr>
            </w:pPr>
          </w:p>
          <w:p w14:paraId="0ECD4DA2" w14:textId="77777777" w:rsidR="001A1559" w:rsidRPr="00EA035C" w:rsidRDefault="001A1559" w:rsidP="001A1559">
            <w:pPr>
              <w:tabs>
                <w:tab w:val="left" w:pos="426"/>
              </w:tabs>
              <w:spacing w:line="276" w:lineRule="auto"/>
              <w:jc w:val="both"/>
              <w:rPr>
                <w:rFonts w:ascii="Arial" w:eastAsia="Arial" w:hAnsi="Arial" w:cs="Arial"/>
                <w:lang w:val="es-ES"/>
              </w:rPr>
            </w:pPr>
          </w:p>
          <w:p w14:paraId="1F1BA91C" w14:textId="04934436" w:rsidR="000F1A13" w:rsidRPr="00EA035C" w:rsidRDefault="000F1A13" w:rsidP="005D703A">
            <w:pPr>
              <w:widowControl w:val="0"/>
              <w:autoSpaceDE w:val="0"/>
              <w:autoSpaceDN w:val="0"/>
              <w:spacing w:line="276" w:lineRule="auto"/>
              <w:ind w:right="51"/>
              <w:jc w:val="both"/>
              <w:rPr>
                <w:rFonts w:ascii="Arial" w:eastAsia="Arial" w:hAnsi="Arial" w:cs="Arial"/>
                <w:lang w:val="es-ES"/>
              </w:rPr>
            </w:pPr>
          </w:p>
        </w:tc>
      </w:tr>
    </w:tbl>
    <w:p w14:paraId="666C7E4E" w14:textId="77777777" w:rsidR="000F1A13" w:rsidRPr="00EA035C" w:rsidRDefault="000F1A13" w:rsidP="000F1A13">
      <w:pPr>
        <w:tabs>
          <w:tab w:val="left" w:pos="142"/>
          <w:tab w:val="left" w:pos="284"/>
        </w:tabs>
        <w:snapToGrid w:val="0"/>
        <w:spacing w:after="0" w:line="276" w:lineRule="auto"/>
        <w:jc w:val="both"/>
        <w:rPr>
          <w:rFonts w:ascii="Arial" w:eastAsia="Century Gothic" w:hAnsi="Arial" w:cs="Arial"/>
          <w:b/>
          <w:bCs/>
          <w:lang w:val="es-ES"/>
        </w:rPr>
      </w:pPr>
    </w:p>
    <w:p w14:paraId="6B365FD6" w14:textId="77777777" w:rsidR="000F1A13" w:rsidRPr="00EA035C" w:rsidRDefault="000F1A13" w:rsidP="000F1A13">
      <w:pPr>
        <w:numPr>
          <w:ilvl w:val="0"/>
          <w:numId w:val="16"/>
        </w:numPr>
        <w:tabs>
          <w:tab w:val="left" w:pos="142"/>
          <w:tab w:val="left" w:pos="284"/>
        </w:tabs>
        <w:snapToGrid w:val="0"/>
        <w:spacing w:after="0" w:line="276" w:lineRule="auto"/>
        <w:ind w:left="357" w:hanging="357"/>
        <w:jc w:val="both"/>
        <w:rPr>
          <w:rFonts w:ascii="Arial" w:eastAsia="Century Gothic" w:hAnsi="Arial" w:cs="Arial"/>
          <w:b/>
          <w:bCs/>
          <w:lang w:val="es-ES"/>
        </w:rPr>
      </w:pPr>
      <w:r w:rsidRPr="00EA035C">
        <w:rPr>
          <w:rFonts w:ascii="Arial" w:eastAsia="Century Gothic" w:hAnsi="Arial" w:cs="Arial"/>
          <w:b/>
          <w:bCs/>
          <w:lang w:val="es-ES"/>
        </w:rPr>
        <w:t>Razones de la respuesta:</w:t>
      </w:r>
    </w:p>
    <w:p w14:paraId="20077BFF" w14:textId="77777777" w:rsidR="000F1A13" w:rsidRPr="00EA035C" w:rsidRDefault="000F1A13" w:rsidP="000F1A13">
      <w:pPr>
        <w:tabs>
          <w:tab w:val="left" w:pos="142"/>
          <w:tab w:val="left" w:pos="284"/>
        </w:tabs>
        <w:snapToGrid w:val="0"/>
        <w:spacing w:after="0" w:line="276" w:lineRule="auto"/>
        <w:ind w:left="357"/>
        <w:jc w:val="both"/>
        <w:rPr>
          <w:rFonts w:ascii="Arial" w:eastAsia="Century Gothic" w:hAnsi="Arial" w:cs="Arial"/>
          <w:b/>
          <w:bCs/>
          <w:lang w:val="es-ES"/>
        </w:rPr>
      </w:pPr>
    </w:p>
    <w:p w14:paraId="5A2CA4CD" w14:textId="77777777" w:rsidR="000F1A13" w:rsidRPr="00EA035C" w:rsidRDefault="000F1A13" w:rsidP="000F1A13">
      <w:pPr>
        <w:snapToGrid w:val="0"/>
        <w:spacing w:after="0" w:line="276" w:lineRule="auto"/>
        <w:jc w:val="both"/>
        <w:rPr>
          <w:rFonts w:ascii="Arial" w:eastAsia="Calibri" w:hAnsi="Arial" w:cs="Arial"/>
          <w:lang w:val="es-ES"/>
        </w:rPr>
      </w:pPr>
      <w:r w:rsidRPr="00EA035C">
        <w:rPr>
          <w:rFonts w:ascii="Arial" w:eastAsia="Calibri" w:hAnsi="Arial" w:cs="Arial"/>
          <w:lang w:val="es-ES"/>
        </w:rPr>
        <w:t xml:space="preserve">Lo anterior se sustenta en las siguientes consideraciones: </w:t>
      </w:r>
    </w:p>
    <w:p w14:paraId="7DBB2B07" w14:textId="77777777" w:rsidR="000F1A13" w:rsidRPr="00EA035C" w:rsidRDefault="000F1A13" w:rsidP="000F1A13">
      <w:pPr>
        <w:spacing w:after="0" w:line="276" w:lineRule="auto"/>
        <w:jc w:val="both"/>
        <w:rPr>
          <w:rFonts w:ascii="Arial" w:eastAsia="Calibri" w:hAnsi="Arial" w:cs="Arial"/>
          <w:lang w:val="es-ES"/>
        </w:rPr>
      </w:pPr>
    </w:p>
    <w:p w14:paraId="106EB497" w14:textId="77777777" w:rsidR="000F1A13" w:rsidRPr="00EA035C" w:rsidRDefault="000F1A13" w:rsidP="000F1A13">
      <w:pPr>
        <w:widowControl w:val="0"/>
        <w:numPr>
          <w:ilvl w:val="0"/>
          <w:numId w:val="18"/>
        </w:numPr>
        <w:autoSpaceDE w:val="0"/>
        <w:autoSpaceDN w:val="0"/>
        <w:spacing w:after="0" w:line="276" w:lineRule="auto"/>
        <w:ind w:right="49"/>
        <w:jc w:val="both"/>
        <w:rPr>
          <w:rFonts w:ascii="Arial" w:eastAsia="Arial" w:hAnsi="Arial" w:cs="Arial"/>
          <w:kern w:val="2"/>
          <w:lang w:val="es-ES" w:eastAsia="es-ES" w:bidi="es-ES"/>
          <w14:ligatures w14:val="standardContextual"/>
        </w:rPr>
      </w:pPr>
      <w:r w:rsidRPr="00EA035C">
        <w:rPr>
          <w:rFonts w:ascii="Arial" w:eastAsia="Arial" w:hAnsi="Arial" w:cs="Arial"/>
          <w:kern w:val="2"/>
          <w:lang w:val="es-ES" w:eastAsia="es-ES" w:bidi="es-ES"/>
          <w14:ligatures w14:val="standardContextual"/>
        </w:rPr>
        <w:t>La Corte Constitucional, en la sentencia C-697 de 2000, explicó que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w:t>
      </w:r>
    </w:p>
    <w:p w14:paraId="0212C0E1" w14:textId="77777777" w:rsidR="000F1A13" w:rsidRPr="00EA035C" w:rsidRDefault="000F1A13" w:rsidP="000F1A13">
      <w:pPr>
        <w:widowControl w:val="0"/>
        <w:autoSpaceDE w:val="0"/>
        <w:autoSpaceDN w:val="0"/>
        <w:spacing w:after="0" w:line="276" w:lineRule="auto"/>
        <w:rPr>
          <w:rFonts w:ascii="Arial" w:eastAsia="Arial" w:hAnsi="Arial" w:cs="Arial"/>
          <w:kern w:val="2"/>
          <w:sz w:val="20"/>
          <w:szCs w:val="20"/>
          <w:lang w:val="es-ES" w:eastAsia="es-ES" w:bidi="es-ES"/>
          <w14:ligatures w14:val="standardContextual"/>
        </w:rPr>
      </w:pPr>
    </w:p>
    <w:p w14:paraId="247E17CF" w14:textId="77777777" w:rsidR="000F1A13" w:rsidRPr="00EA035C" w:rsidRDefault="000F1A13" w:rsidP="00EA035C">
      <w:pPr>
        <w:widowControl w:val="0"/>
        <w:autoSpaceDE w:val="0"/>
        <w:autoSpaceDN w:val="0"/>
        <w:spacing w:after="0" w:line="240" w:lineRule="auto"/>
        <w:ind w:left="1134" w:right="709"/>
        <w:contextualSpacing/>
        <w:jc w:val="both"/>
        <w:rPr>
          <w:rFonts w:ascii="Arial" w:eastAsia="Arial" w:hAnsi="Arial" w:cs="Arial"/>
          <w:kern w:val="2"/>
          <w:sz w:val="20"/>
          <w:szCs w:val="20"/>
          <w:lang w:val="es-ES" w:eastAsia="es-ES" w:bidi="es-ES"/>
          <w14:ligatures w14:val="standardContextual"/>
        </w:rPr>
      </w:pPr>
      <w:r w:rsidRPr="00EA035C">
        <w:rPr>
          <w:rFonts w:ascii="Arial" w:eastAsia="Arial" w:hAnsi="Arial" w:cs="Arial"/>
          <w:kern w:val="2"/>
          <w:sz w:val="20"/>
          <w:szCs w:val="20"/>
          <w:lang w:val="es-ES" w:eastAsia="es-ES" w:bidi="es-ES"/>
          <w14:ligatures w14:val="standardContextual"/>
        </w:rPr>
        <w:t>“El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14643027" w14:textId="77777777" w:rsidR="000F1A13" w:rsidRPr="00EA035C" w:rsidRDefault="000F1A13" w:rsidP="00EA035C">
      <w:pPr>
        <w:widowControl w:val="0"/>
        <w:autoSpaceDE w:val="0"/>
        <w:autoSpaceDN w:val="0"/>
        <w:spacing w:after="0" w:line="240" w:lineRule="auto"/>
        <w:ind w:left="1134" w:right="709"/>
        <w:rPr>
          <w:rFonts w:ascii="Arial" w:eastAsia="Arial" w:hAnsi="Arial" w:cs="Arial"/>
          <w:kern w:val="2"/>
          <w:sz w:val="20"/>
          <w:szCs w:val="20"/>
          <w:lang w:val="es-ES" w:eastAsia="es-ES" w:bidi="es-ES"/>
          <w14:ligatures w14:val="standardContextual"/>
        </w:rPr>
      </w:pPr>
      <w:r w:rsidRPr="00EA035C">
        <w:rPr>
          <w:rFonts w:ascii="Arial" w:eastAsia="Arial" w:hAnsi="Arial" w:cs="Arial"/>
          <w:kern w:val="2"/>
          <w:sz w:val="20"/>
          <w:szCs w:val="20"/>
          <w:lang w:val="es-ES" w:eastAsia="es-ES" w:bidi="es-ES"/>
          <w14:ligatures w14:val="standardContextual"/>
        </w:rPr>
        <w:t>[…]</w:t>
      </w:r>
    </w:p>
    <w:p w14:paraId="62980B60" w14:textId="77777777" w:rsidR="000F1A13" w:rsidRPr="00EA035C" w:rsidRDefault="000F1A13" w:rsidP="00EA035C">
      <w:pPr>
        <w:widowControl w:val="0"/>
        <w:autoSpaceDE w:val="0"/>
        <w:autoSpaceDN w:val="0"/>
        <w:spacing w:after="0" w:line="240" w:lineRule="auto"/>
        <w:ind w:left="1134" w:right="709"/>
        <w:jc w:val="both"/>
        <w:rPr>
          <w:rFonts w:ascii="Arial" w:eastAsia="Arial" w:hAnsi="Arial" w:cs="Arial"/>
          <w:kern w:val="2"/>
          <w:sz w:val="20"/>
          <w:szCs w:val="20"/>
          <w:lang w:val="es-ES" w:eastAsia="es-ES" w:bidi="es-ES"/>
          <w14:ligatures w14:val="standardContextual"/>
        </w:rPr>
      </w:pPr>
      <w:r w:rsidRPr="00EA035C">
        <w:rPr>
          <w:rFonts w:ascii="Arial" w:eastAsia="Arial" w:hAnsi="Arial" w:cs="Arial"/>
          <w:kern w:val="2"/>
          <w:sz w:val="20"/>
          <w:szCs w:val="20"/>
          <w:lang w:val="es-ES" w:eastAsia="es-ES" w:bidi="es-ES"/>
          <w14:ligatures w14:val="standardContextual"/>
        </w:rPr>
        <w:t>La exigencia de títulos de idoneidad y tarjetas profesionales constituye una excepción al principio de libertad e igualdad en materia laboral y, por lo tanto, es necesario demostrar que la formación intelectual y técnica requerida es un medio idóneo y proporción”</w:t>
      </w:r>
      <w:r w:rsidRPr="00EA035C">
        <w:rPr>
          <w:rFonts w:ascii="Arial" w:eastAsia="Arial" w:hAnsi="Arial" w:cs="Arial"/>
          <w:kern w:val="2"/>
          <w:sz w:val="20"/>
          <w:szCs w:val="20"/>
          <w:vertAlign w:val="superscript"/>
          <w:lang w:val="es-ES" w:eastAsia="es-ES" w:bidi="es-ES"/>
          <w14:ligatures w14:val="standardContextual"/>
        </w:rPr>
        <w:footnoteReference w:id="2"/>
      </w:r>
      <w:r w:rsidRPr="00EA035C">
        <w:rPr>
          <w:rFonts w:ascii="Arial" w:eastAsia="Arial" w:hAnsi="Arial" w:cs="Arial"/>
          <w:kern w:val="2"/>
          <w:sz w:val="20"/>
          <w:szCs w:val="20"/>
          <w:lang w:val="es-ES" w:eastAsia="es-ES" w:bidi="es-ES"/>
          <w14:ligatures w14:val="standardContextual"/>
        </w:rPr>
        <w:t>.</w:t>
      </w:r>
    </w:p>
    <w:p w14:paraId="7DF95F74" w14:textId="77777777" w:rsidR="000F1A13" w:rsidRPr="00EA035C" w:rsidRDefault="000F1A13" w:rsidP="000F1A13">
      <w:pPr>
        <w:widowControl w:val="0"/>
        <w:autoSpaceDE w:val="0"/>
        <w:autoSpaceDN w:val="0"/>
        <w:spacing w:after="0" w:line="276" w:lineRule="auto"/>
        <w:ind w:right="304"/>
        <w:jc w:val="both"/>
        <w:rPr>
          <w:rFonts w:ascii="Arial" w:eastAsia="Calibri" w:hAnsi="Arial" w:cs="Arial"/>
          <w:b/>
          <w:bCs/>
          <w:kern w:val="2"/>
          <w:lang w:val="es-MX"/>
          <w14:ligatures w14:val="standardContextual"/>
        </w:rPr>
      </w:pPr>
    </w:p>
    <w:p w14:paraId="62CFCF76" w14:textId="77777777" w:rsidR="000F1A13" w:rsidRPr="00EA035C" w:rsidRDefault="000F1A13" w:rsidP="000F1A13">
      <w:pPr>
        <w:widowControl w:val="0"/>
        <w:numPr>
          <w:ilvl w:val="0"/>
          <w:numId w:val="18"/>
        </w:numPr>
        <w:autoSpaceDE w:val="0"/>
        <w:autoSpaceDN w:val="0"/>
        <w:spacing w:after="0" w:line="276" w:lineRule="auto"/>
        <w:contextualSpacing/>
        <w:jc w:val="both"/>
        <w:rPr>
          <w:rFonts w:ascii="Arial" w:eastAsia="Aptos" w:hAnsi="Arial" w:cs="Arial"/>
          <w:kern w:val="2"/>
          <w:lang w:val="es-MX"/>
          <w14:ligatures w14:val="standardContextual"/>
        </w:rPr>
      </w:pPr>
      <w:r w:rsidRPr="00EA035C">
        <w:rPr>
          <w:rFonts w:ascii="Arial" w:eastAsia="Arial" w:hAnsi="Arial" w:cs="Arial"/>
          <w:kern w:val="2"/>
          <w:lang w:val="es-MX"/>
          <w14:ligatures w14:val="standardContextual"/>
        </w:rPr>
        <w:t xml:space="preserve">Haciendo uso de la mencionada prerrogativa, el legislador reguló el </w:t>
      </w:r>
      <w:r w:rsidRPr="00EA035C">
        <w:rPr>
          <w:rFonts w:ascii="Arial" w:eastAsia="Arial" w:hAnsi="Arial" w:cs="Arial"/>
          <w:kern w:val="2"/>
          <w:lang w:val="es-ES"/>
          <w14:ligatures w14:val="standardContextual"/>
        </w:rPr>
        <w:t>ejercicio de la ingeniería y de sus profesiones afines y auxiliares en la Ley 842 de 2003, estableciendo en el artículo 2 las actividades que se entienden como ejercicio de la ingeniería y en el artículo 6 la exigencia de efectuar la matrícula o inscripción en el Registro Profesional</w:t>
      </w:r>
      <w:r w:rsidRPr="00EA035C">
        <w:rPr>
          <w:rFonts w:ascii="Arial" w:eastAsia="Arial" w:hAnsi="Arial" w:cs="Arial"/>
          <w:spacing w:val="8"/>
          <w:kern w:val="2"/>
          <w:lang w:val="es-ES"/>
          <w14:ligatures w14:val="standardContextual"/>
        </w:rPr>
        <w:t xml:space="preserve"> </w:t>
      </w:r>
      <w:r w:rsidRPr="00EA035C">
        <w:rPr>
          <w:rFonts w:ascii="Arial" w:eastAsia="Arial" w:hAnsi="Arial" w:cs="Arial"/>
          <w:kern w:val="2"/>
          <w:lang w:val="es-ES"/>
          <w14:ligatures w14:val="standardContextual"/>
        </w:rPr>
        <w:t>respectivo,</w:t>
      </w:r>
      <w:r w:rsidRPr="00EA035C">
        <w:rPr>
          <w:rFonts w:ascii="Arial" w:eastAsia="Arial" w:hAnsi="Arial" w:cs="Arial"/>
          <w:spacing w:val="8"/>
          <w:kern w:val="2"/>
          <w:lang w:val="es-ES"/>
          <w14:ligatures w14:val="standardContextual"/>
        </w:rPr>
        <w:t xml:space="preserve"> </w:t>
      </w:r>
      <w:r w:rsidRPr="00EA035C">
        <w:rPr>
          <w:rFonts w:ascii="Arial" w:eastAsia="Arial" w:hAnsi="Arial" w:cs="Arial"/>
          <w:kern w:val="2"/>
          <w:lang w:val="es-ES"/>
          <w14:ligatures w14:val="standardContextual"/>
        </w:rPr>
        <w:t>lo</w:t>
      </w:r>
      <w:r w:rsidRPr="00EA035C">
        <w:rPr>
          <w:rFonts w:ascii="Arial" w:eastAsia="Arial" w:hAnsi="Arial" w:cs="Arial"/>
          <w:spacing w:val="9"/>
          <w:kern w:val="2"/>
          <w:lang w:val="es-ES"/>
          <w14:ligatures w14:val="standardContextual"/>
        </w:rPr>
        <w:t xml:space="preserve"> </w:t>
      </w:r>
      <w:r w:rsidRPr="00EA035C">
        <w:rPr>
          <w:rFonts w:ascii="Arial" w:eastAsia="Arial" w:hAnsi="Arial" w:cs="Arial"/>
          <w:kern w:val="2"/>
          <w:lang w:val="es-ES"/>
          <w14:ligatures w14:val="standardContextual"/>
        </w:rPr>
        <w:t>cual</w:t>
      </w:r>
      <w:r w:rsidRPr="00EA035C">
        <w:rPr>
          <w:rFonts w:ascii="Arial" w:eastAsia="Arial" w:hAnsi="Arial" w:cs="Arial"/>
          <w:spacing w:val="8"/>
          <w:kern w:val="2"/>
          <w:lang w:val="es-ES"/>
          <w14:ligatures w14:val="standardContextual"/>
        </w:rPr>
        <w:t xml:space="preserve"> </w:t>
      </w:r>
      <w:r w:rsidRPr="00EA035C">
        <w:rPr>
          <w:rFonts w:ascii="Arial" w:eastAsia="Arial" w:hAnsi="Arial" w:cs="Arial"/>
          <w:kern w:val="2"/>
          <w:lang w:val="es-ES"/>
          <w14:ligatures w14:val="standardContextual"/>
        </w:rPr>
        <w:t>se</w:t>
      </w:r>
      <w:r w:rsidRPr="00EA035C">
        <w:rPr>
          <w:rFonts w:ascii="Arial" w:eastAsia="Arial" w:hAnsi="Arial" w:cs="Arial"/>
          <w:spacing w:val="8"/>
          <w:kern w:val="2"/>
          <w:lang w:val="es-ES"/>
          <w14:ligatures w14:val="standardContextual"/>
        </w:rPr>
        <w:t xml:space="preserve"> </w:t>
      </w:r>
      <w:r w:rsidRPr="00EA035C">
        <w:rPr>
          <w:rFonts w:ascii="Arial" w:eastAsia="Arial" w:hAnsi="Arial" w:cs="Arial"/>
          <w:kern w:val="2"/>
          <w:lang w:val="es-ES"/>
          <w14:ligatures w14:val="standardContextual"/>
        </w:rPr>
        <w:t>acredita</w:t>
      </w:r>
      <w:r w:rsidRPr="00EA035C">
        <w:rPr>
          <w:rFonts w:ascii="Arial" w:eastAsia="Arial" w:hAnsi="Arial" w:cs="Arial"/>
          <w:spacing w:val="6"/>
          <w:kern w:val="2"/>
          <w:lang w:val="es-ES"/>
          <w14:ligatures w14:val="standardContextual"/>
        </w:rPr>
        <w:t xml:space="preserve"> </w:t>
      </w:r>
      <w:r w:rsidRPr="00EA035C">
        <w:rPr>
          <w:rFonts w:ascii="Arial" w:eastAsia="Arial" w:hAnsi="Arial" w:cs="Arial"/>
          <w:kern w:val="2"/>
          <w:lang w:val="es-ES"/>
          <w14:ligatures w14:val="standardContextual"/>
        </w:rPr>
        <w:t>con</w:t>
      </w:r>
      <w:r w:rsidRPr="00EA035C">
        <w:rPr>
          <w:rFonts w:ascii="Arial" w:eastAsia="Arial" w:hAnsi="Arial" w:cs="Arial"/>
          <w:spacing w:val="7"/>
          <w:kern w:val="2"/>
          <w:lang w:val="es-ES"/>
          <w14:ligatures w14:val="standardContextual"/>
        </w:rPr>
        <w:t xml:space="preserve"> </w:t>
      </w:r>
      <w:r w:rsidRPr="00EA035C">
        <w:rPr>
          <w:rFonts w:ascii="Arial" w:eastAsia="Arial" w:hAnsi="Arial" w:cs="Arial"/>
          <w:kern w:val="2"/>
          <w:lang w:val="es-ES"/>
          <w14:ligatures w14:val="standardContextual"/>
        </w:rPr>
        <w:t>la</w:t>
      </w:r>
      <w:r w:rsidRPr="00EA035C">
        <w:rPr>
          <w:rFonts w:ascii="Arial" w:eastAsia="Arial" w:hAnsi="Arial" w:cs="Arial"/>
          <w:spacing w:val="8"/>
          <w:kern w:val="2"/>
          <w:lang w:val="es-ES"/>
          <w14:ligatures w14:val="standardContextual"/>
        </w:rPr>
        <w:t xml:space="preserve"> </w:t>
      </w:r>
      <w:r w:rsidRPr="00EA035C">
        <w:rPr>
          <w:rFonts w:ascii="Arial" w:eastAsia="Arial" w:hAnsi="Arial" w:cs="Arial"/>
          <w:kern w:val="2"/>
          <w:lang w:val="es-ES"/>
          <w14:ligatures w14:val="standardContextual"/>
        </w:rPr>
        <w:t>tarjeta</w:t>
      </w:r>
      <w:r w:rsidRPr="00EA035C">
        <w:rPr>
          <w:rFonts w:ascii="Arial" w:eastAsia="Arial" w:hAnsi="Arial" w:cs="Arial"/>
          <w:spacing w:val="9"/>
          <w:kern w:val="2"/>
          <w:lang w:val="es-ES"/>
          <w14:ligatures w14:val="standardContextual"/>
        </w:rPr>
        <w:t xml:space="preserve"> </w:t>
      </w:r>
      <w:r w:rsidRPr="00EA035C">
        <w:rPr>
          <w:rFonts w:ascii="Arial" w:eastAsia="Arial" w:hAnsi="Arial" w:cs="Arial"/>
          <w:kern w:val="2"/>
          <w:lang w:val="es-ES"/>
          <w14:ligatures w14:val="standardContextual"/>
        </w:rPr>
        <w:t>o</w:t>
      </w:r>
      <w:r w:rsidRPr="00EA035C">
        <w:rPr>
          <w:rFonts w:ascii="Arial" w:eastAsia="Arial" w:hAnsi="Arial" w:cs="Arial"/>
          <w:spacing w:val="7"/>
          <w:kern w:val="2"/>
          <w:lang w:val="es-ES"/>
          <w14:ligatures w14:val="standardContextual"/>
        </w:rPr>
        <w:t xml:space="preserve"> </w:t>
      </w:r>
      <w:r w:rsidRPr="00EA035C">
        <w:rPr>
          <w:rFonts w:ascii="Arial" w:eastAsia="Arial" w:hAnsi="Arial" w:cs="Arial"/>
          <w:kern w:val="2"/>
          <w:lang w:val="es-ES"/>
          <w14:ligatures w14:val="standardContextual"/>
        </w:rPr>
        <w:t>documento adoptado por este para tal fin.</w:t>
      </w:r>
      <w:r w:rsidRPr="00EA035C">
        <w:rPr>
          <w:rFonts w:ascii="Arial" w:eastAsia="Aptos" w:hAnsi="Arial" w:cs="Arial"/>
          <w:kern w:val="2"/>
          <w:lang w:val="es-MX"/>
          <w14:ligatures w14:val="standardContextual"/>
        </w:rPr>
        <w:t xml:space="preserve">  Conforme a esto, el artículo 2 de la Ley 842 de 2003 enlista una serie de actividades que constituyen ejercicio de la ingeniería:</w:t>
      </w:r>
    </w:p>
    <w:p w14:paraId="5956D87A" w14:textId="77777777" w:rsidR="000F1A13" w:rsidRPr="00EA035C" w:rsidRDefault="000F1A13" w:rsidP="000F1A13">
      <w:pPr>
        <w:widowControl w:val="0"/>
        <w:autoSpaceDE w:val="0"/>
        <w:autoSpaceDN w:val="0"/>
        <w:spacing w:after="0" w:line="276" w:lineRule="auto"/>
        <w:ind w:firstLine="708"/>
        <w:jc w:val="both"/>
        <w:rPr>
          <w:rFonts w:ascii="Arial" w:eastAsia="Aptos" w:hAnsi="Arial" w:cs="Arial"/>
          <w:kern w:val="2"/>
          <w:lang w:val="es-MX"/>
          <w14:ligatures w14:val="standardContextual"/>
        </w:rPr>
      </w:pPr>
    </w:p>
    <w:p w14:paraId="73BBAEC3" w14:textId="77777777" w:rsidR="000F1A13" w:rsidRPr="00EA035C" w:rsidRDefault="000F1A13" w:rsidP="00C07C79">
      <w:pPr>
        <w:widowControl w:val="0"/>
        <w:autoSpaceDE w:val="0"/>
        <w:autoSpaceDN w:val="0"/>
        <w:spacing w:after="0" w:line="240" w:lineRule="auto"/>
        <w:ind w:left="1134" w:right="709"/>
        <w:jc w:val="both"/>
        <w:rPr>
          <w:rFonts w:ascii="Arial" w:eastAsia="Aptos" w:hAnsi="Arial" w:cs="Arial"/>
          <w:kern w:val="2"/>
          <w:sz w:val="20"/>
          <w:szCs w:val="20"/>
          <w:lang w:val="es-MX"/>
          <w14:ligatures w14:val="standardContextual"/>
        </w:rPr>
      </w:pPr>
      <w:r w:rsidRPr="00EA035C">
        <w:rPr>
          <w:rFonts w:ascii="Arial" w:eastAsia="Aptos" w:hAnsi="Arial" w:cs="Arial"/>
          <w:kern w:val="2"/>
          <w:sz w:val="20"/>
          <w:szCs w:val="20"/>
          <w:lang w:val="es-MX"/>
          <w14:ligatures w14:val="standardContextual"/>
        </w:rPr>
        <w:lastRenderedPageBreak/>
        <w:t xml:space="preserve">“Artículo 2o. </w:t>
      </w:r>
      <w:r w:rsidRPr="00EA035C">
        <w:rPr>
          <w:rFonts w:ascii="Arial" w:eastAsia="Aptos" w:hAnsi="Arial" w:cs="Arial"/>
          <w:i/>
          <w:iCs/>
          <w:kern w:val="2"/>
          <w:sz w:val="20"/>
          <w:szCs w:val="20"/>
          <w:lang w:val="es-MX"/>
          <w14:ligatures w14:val="standardContextual"/>
        </w:rPr>
        <w:t>Ejercicio de la ingeniería</w:t>
      </w:r>
      <w:r w:rsidRPr="00EA035C">
        <w:rPr>
          <w:rFonts w:ascii="Arial" w:eastAsia="Aptos" w:hAnsi="Arial" w:cs="Arial"/>
          <w:kern w:val="2"/>
          <w:sz w:val="20"/>
          <w:szCs w:val="20"/>
          <w:lang w:val="es-MX"/>
          <w14:ligatures w14:val="standardContextual"/>
        </w:rPr>
        <w:t>. Para los efectos de la presente ley, se entiende como ejercicio de la ingeniería, el desempeño de actividades tales como:</w:t>
      </w:r>
    </w:p>
    <w:p w14:paraId="022C6502" w14:textId="77777777" w:rsidR="000F1A13" w:rsidRPr="00EA035C" w:rsidRDefault="000F1A13" w:rsidP="00EA035C">
      <w:pPr>
        <w:widowControl w:val="0"/>
        <w:autoSpaceDE w:val="0"/>
        <w:autoSpaceDN w:val="0"/>
        <w:spacing w:after="0" w:line="240" w:lineRule="auto"/>
        <w:ind w:left="1134" w:right="709"/>
        <w:rPr>
          <w:rFonts w:ascii="Arial" w:eastAsia="Aptos" w:hAnsi="Arial" w:cs="Arial"/>
          <w:kern w:val="2"/>
          <w:sz w:val="20"/>
          <w:szCs w:val="20"/>
          <w:lang w:val="es-MX"/>
          <w14:ligatures w14:val="standardContextual"/>
        </w:rPr>
      </w:pPr>
    </w:p>
    <w:p w14:paraId="7C2B9C12" w14:textId="77777777" w:rsidR="000F1A13" w:rsidRPr="00EA035C" w:rsidRDefault="000F1A13" w:rsidP="00EA035C">
      <w:pPr>
        <w:widowControl w:val="0"/>
        <w:autoSpaceDE w:val="0"/>
        <w:autoSpaceDN w:val="0"/>
        <w:spacing w:after="0" w:line="240" w:lineRule="auto"/>
        <w:ind w:left="1134" w:right="709"/>
        <w:jc w:val="both"/>
        <w:rPr>
          <w:rFonts w:ascii="Arial" w:eastAsia="Aptos" w:hAnsi="Arial" w:cs="Arial"/>
          <w:kern w:val="2"/>
          <w:sz w:val="20"/>
          <w:szCs w:val="20"/>
          <w:lang w:val="es-MX"/>
          <w14:ligatures w14:val="standardContextual"/>
        </w:rPr>
      </w:pPr>
      <w:r w:rsidRPr="00EA035C">
        <w:rPr>
          <w:rFonts w:ascii="Arial" w:eastAsia="Aptos" w:hAnsi="Arial" w:cs="Arial"/>
          <w:kern w:val="2"/>
          <w:sz w:val="20"/>
          <w:szCs w:val="20"/>
          <w:lang w:val="es-MX"/>
          <w14:ligatures w14:val="standardContextual"/>
        </w:rPr>
        <w:t xml:space="preserve">a) Los estudios, la planeación, el diseño, el cálculo, la programación, la asesoría, la consultoría, la interventoría, la construcción, el mantenimiento y la administración de construcciones de edificios y viviendas de toda índole, de puentes, presas, muelles, canales, 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 </w:t>
      </w:r>
    </w:p>
    <w:p w14:paraId="300F4E09" w14:textId="77777777" w:rsidR="000F1A13" w:rsidRPr="00EA035C" w:rsidRDefault="000F1A13" w:rsidP="00EA035C">
      <w:pPr>
        <w:widowControl w:val="0"/>
        <w:autoSpaceDE w:val="0"/>
        <w:autoSpaceDN w:val="0"/>
        <w:spacing w:after="0" w:line="240" w:lineRule="auto"/>
        <w:ind w:left="1134" w:right="709"/>
        <w:jc w:val="both"/>
        <w:rPr>
          <w:rFonts w:ascii="Arial" w:eastAsia="Aptos" w:hAnsi="Arial" w:cs="Arial"/>
          <w:kern w:val="2"/>
          <w:sz w:val="20"/>
          <w:szCs w:val="20"/>
          <w:lang w:val="es-MX"/>
          <w14:ligatures w14:val="standardContextual"/>
        </w:rPr>
      </w:pPr>
    </w:p>
    <w:p w14:paraId="5631849D" w14:textId="77777777" w:rsidR="000F1A13" w:rsidRPr="00EA035C" w:rsidRDefault="000F1A13" w:rsidP="00EA035C">
      <w:pPr>
        <w:widowControl w:val="0"/>
        <w:autoSpaceDE w:val="0"/>
        <w:autoSpaceDN w:val="0"/>
        <w:spacing w:after="0" w:line="240" w:lineRule="auto"/>
        <w:ind w:left="1134" w:right="709"/>
        <w:jc w:val="both"/>
        <w:rPr>
          <w:rFonts w:ascii="Arial" w:eastAsia="Aptos" w:hAnsi="Arial" w:cs="Arial"/>
          <w:kern w:val="2"/>
          <w:sz w:val="20"/>
          <w:szCs w:val="20"/>
          <w:lang w:val="es-MX"/>
          <w14:ligatures w14:val="standardContextual"/>
        </w:rPr>
      </w:pPr>
      <w:r w:rsidRPr="00EA035C">
        <w:rPr>
          <w:rFonts w:ascii="Arial" w:eastAsia="Aptos" w:hAnsi="Arial" w:cs="Arial"/>
          <w:kern w:val="2"/>
          <w:sz w:val="20"/>
          <w:szCs w:val="20"/>
          <w:lang w:val="es-MX"/>
          <w14:ligatures w14:val="standardContextual"/>
        </w:rPr>
        <w:t xml:space="preserve">b) Los estudios, proyectos, diseños y procesos industriales, textiles, electromecánicos, termoeléctricos, energéticos, mecánicos, eléctricos, electrónicos, de computación, de sistemas, </w:t>
      </w:r>
      <w:proofErr w:type="spellStart"/>
      <w:r w:rsidRPr="00EA035C">
        <w:rPr>
          <w:rFonts w:ascii="Arial" w:eastAsia="Aptos" w:hAnsi="Arial" w:cs="Arial"/>
          <w:kern w:val="2"/>
          <w:sz w:val="20"/>
          <w:szCs w:val="20"/>
          <w:lang w:val="es-MX"/>
          <w14:ligatures w14:val="standardContextual"/>
        </w:rPr>
        <w:t>teleinformáticos</w:t>
      </w:r>
      <w:proofErr w:type="spellEnd"/>
      <w:r w:rsidRPr="00EA035C">
        <w:rPr>
          <w:rFonts w:ascii="Arial" w:eastAsia="Aptos" w:hAnsi="Arial" w:cs="Arial"/>
          <w:kern w:val="2"/>
          <w:sz w:val="20"/>
          <w:szCs w:val="20"/>
          <w:lang w:val="es-MX"/>
          <w14:ligatures w14:val="standardContextual"/>
        </w:rPr>
        <w:t xml:space="preserve">, agroindustriales, agronómicos, agrícolas, agrológicos, de alimentos, agrometeorológicos, ambientales, geofísicos, forestales, químicos, metalúrgicos, mineros, de petróleos, geológicos, geodésicos, geográficos, topográficos e hidrológicos; </w:t>
      </w:r>
    </w:p>
    <w:p w14:paraId="44B9509A" w14:textId="77777777" w:rsidR="000F1A13" w:rsidRPr="00EA035C" w:rsidRDefault="000F1A13" w:rsidP="00EA035C">
      <w:pPr>
        <w:widowControl w:val="0"/>
        <w:autoSpaceDE w:val="0"/>
        <w:autoSpaceDN w:val="0"/>
        <w:spacing w:after="0" w:line="240" w:lineRule="auto"/>
        <w:ind w:left="1134" w:right="709"/>
        <w:jc w:val="both"/>
        <w:rPr>
          <w:rFonts w:ascii="Arial" w:eastAsia="Aptos" w:hAnsi="Arial" w:cs="Arial"/>
          <w:kern w:val="2"/>
          <w:sz w:val="20"/>
          <w:szCs w:val="20"/>
          <w:lang w:val="es-MX"/>
          <w14:ligatures w14:val="standardContextual"/>
        </w:rPr>
      </w:pPr>
    </w:p>
    <w:p w14:paraId="14560E6C" w14:textId="77777777" w:rsidR="000F1A13" w:rsidRPr="00EA035C" w:rsidRDefault="000F1A13" w:rsidP="00EA035C">
      <w:pPr>
        <w:widowControl w:val="0"/>
        <w:autoSpaceDE w:val="0"/>
        <w:autoSpaceDN w:val="0"/>
        <w:spacing w:after="0" w:line="240" w:lineRule="auto"/>
        <w:ind w:left="1134" w:right="709"/>
        <w:jc w:val="both"/>
        <w:rPr>
          <w:rFonts w:ascii="Arial" w:eastAsia="Aptos" w:hAnsi="Arial" w:cs="Arial"/>
          <w:kern w:val="2"/>
          <w:sz w:val="20"/>
          <w:szCs w:val="20"/>
          <w:lang w:val="es-MX"/>
          <w14:ligatures w14:val="standardContextual"/>
        </w:rPr>
      </w:pPr>
      <w:r w:rsidRPr="00EA035C">
        <w:rPr>
          <w:rFonts w:ascii="Arial" w:eastAsia="Aptos" w:hAnsi="Arial" w:cs="Arial"/>
          <w:kern w:val="2"/>
          <w:sz w:val="20"/>
          <w:szCs w:val="20"/>
          <w:lang w:val="es-MX"/>
          <w14:ligatures w14:val="standardContextual"/>
        </w:rPr>
        <w:t xml:space="preserve">c) La planeación del transporte aéreo, terrestre y náutico y en general, todo asunto relacionado con la ejecución o desarrollo de las tareas o actividades de las profesiones especificadas en los subgrupos 02 y 03 de la Clasificación Nacional de Ocupaciones o normas que la sustituyan o complementen, en cuanto a la ingeniería, sus profesiones afines y auxiliares se refiere. También se entiende por ejercicio de la profesión para los efectos de esta ley, el presentarse o anunciarse como ingeniero o acceder a un cargo de nivel profesional utilizando dicho título. </w:t>
      </w:r>
    </w:p>
    <w:p w14:paraId="4473FCFB" w14:textId="77777777" w:rsidR="000F1A13" w:rsidRPr="00EA035C" w:rsidRDefault="000F1A13" w:rsidP="00EA035C">
      <w:pPr>
        <w:widowControl w:val="0"/>
        <w:autoSpaceDE w:val="0"/>
        <w:autoSpaceDN w:val="0"/>
        <w:spacing w:after="0" w:line="240" w:lineRule="auto"/>
        <w:ind w:left="1134" w:right="709"/>
        <w:jc w:val="both"/>
        <w:rPr>
          <w:rFonts w:ascii="Arial" w:eastAsia="Aptos" w:hAnsi="Arial" w:cs="Arial"/>
          <w:kern w:val="2"/>
          <w:sz w:val="20"/>
          <w:szCs w:val="20"/>
          <w:lang w:val="es-MX"/>
          <w14:ligatures w14:val="standardContextual"/>
        </w:rPr>
      </w:pPr>
    </w:p>
    <w:p w14:paraId="30BD086B" w14:textId="77777777" w:rsidR="000F1A13" w:rsidRPr="00EA035C" w:rsidRDefault="000F1A13" w:rsidP="00EA035C">
      <w:pPr>
        <w:widowControl w:val="0"/>
        <w:autoSpaceDE w:val="0"/>
        <w:autoSpaceDN w:val="0"/>
        <w:spacing w:after="0" w:line="240" w:lineRule="auto"/>
        <w:ind w:left="1134" w:right="709"/>
        <w:jc w:val="both"/>
        <w:rPr>
          <w:rFonts w:ascii="Arial" w:eastAsia="Aptos" w:hAnsi="Arial" w:cs="Arial"/>
          <w:kern w:val="2"/>
          <w:sz w:val="20"/>
          <w:szCs w:val="20"/>
          <w:lang w:val="es-MX"/>
          <w14:ligatures w14:val="standardContextual"/>
        </w:rPr>
      </w:pPr>
      <w:r w:rsidRPr="00EA035C">
        <w:rPr>
          <w:rFonts w:ascii="Arial" w:eastAsia="Aptos" w:hAnsi="Arial" w:cs="Arial"/>
          <w:kern w:val="2"/>
          <w:sz w:val="20"/>
          <w:szCs w:val="20"/>
          <w:lang w:val="es-MX"/>
          <w14:ligatures w14:val="standardContextual"/>
        </w:rPr>
        <w:t>Parágrafo. La instrucción, formación, enseñanza, docencia o cátedra dirigida a los estudiantes que aspiren a uno de los títulos profesionales, afines o auxiliares de la Ingeniería, en las materias o asignaturas que impliquen el conocimiento de la profesión, como máxima actividad del ejercicio profesional, solo podrá ser impartida por profesionales de la ingeniería, sus profesiones afines o sus profesiones auxiliares, según el caso, debidamente matriculados. […]”</w:t>
      </w:r>
    </w:p>
    <w:p w14:paraId="5EF8C58A" w14:textId="77777777" w:rsidR="000F1A13" w:rsidRPr="00EA035C" w:rsidRDefault="000F1A13" w:rsidP="000F1A13">
      <w:pPr>
        <w:widowControl w:val="0"/>
        <w:autoSpaceDE w:val="0"/>
        <w:autoSpaceDN w:val="0"/>
        <w:spacing w:after="0" w:line="276" w:lineRule="auto"/>
        <w:ind w:left="709" w:right="709"/>
        <w:jc w:val="both"/>
        <w:rPr>
          <w:rFonts w:ascii="Arial" w:eastAsia="Aptos" w:hAnsi="Arial" w:cs="Arial"/>
          <w:kern w:val="2"/>
          <w:lang w:val="es-MX"/>
          <w14:ligatures w14:val="standardContextual"/>
        </w:rPr>
      </w:pPr>
    </w:p>
    <w:p w14:paraId="08BF22B7" w14:textId="77777777" w:rsidR="000F1A13" w:rsidRPr="00EA035C" w:rsidRDefault="000F1A13" w:rsidP="000F1A13">
      <w:pPr>
        <w:widowControl w:val="0"/>
        <w:numPr>
          <w:ilvl w:val="0"/>
          <w:numId w:val="18"/>
        </w:numPr>
        <w:autoSpaceDE w:val="0"/>
        <w:autoSpaceDN w:val="0"/>
        <w:spacing w:after="0" w:line="276" w:lineRule="auto"/>
        <w:contextualSpacing/>
        <w:jc w:val="both"/>
        <w:rPr>
          <w:rFonts w:ascii="Arial" w:eastAsia="Aptos" w:hAnsi="Arial" w:cs="Arial"/>
          <w:kern w:val="2"/>
          <w:lang w:val="es-MX"/>
          <w14:ligatures w14:val="standardContextual"/>
        </w:rPr>
      </w:pPr>
      <w:r w:rsidRPr="00EA035C">
        <w:rPr>
          <w:rFonts w:ascii="Arial" w:eastAsia="Aptos" w:hAnsi="Arial" w:cs="Arial"/>
          <w:kern w:val="2"/>
          <w:lang w:val="es-MX"/>
          <w14:ligatures w14:val="standardContextual"/>
        </w:rPr>
        <w:t xml:space="preserve">Como se evidencia, la norma transcrita refiere varias actividades relacionadas con diferentes tipos de proyectos e infraestructuras. Se destaca como en el literal a) se hace referencia a objetos contractuales como la consultoría y la interventoría, asociados a diversos tipos de infraestructura de transporte, de lo que se colige que la ejecución de estos, según lo establecido en la ley, constituye ejercicio de la ingeniería. </w:t>
      </w:r>
    </w:p>
    <w:p w14:paraId="27A38951" w14:textId="77777777" w:rsidR="000F1A13" w:rsidRPr="00EA035C" w:rsidRDefault="000F1A13" w:rsidP="000F1A13">
      <w:pPr>
        <w:widowControl w:val="0"/>
        <w:autoSpaceDE w:val="0"/>
        <w:autoSpaceDN w:val="0"/>
        <w:spacing w:after="0" w:line="276" w:lineRule="auto"/>
        <w:jc w:val="both"/>
        <w:rPr>
          <w:rFonts w:ascii="Arial" w:eastAsia="Arial" w:hAnsi="Arial" w:cs="Arial"/>
          <w:kern w:val="2"/>
          <w:lang w:val="es-ES"/>
          <w14:ligatures w14:val="standardContextual"/>
        </w:rPr>
      </w:pPr>
    </w:p>
    <w:p w14:paraId="47D7C32A" w14:textId="64BB8A9D" w:rsidR="000F1A13" w:rsidRPr="00EA035C" w:rsidRDefault="000F1A13" w:rsidP="000F1A13">
      <w:pPr>
        <w:widowControl w:val="0"/>
        <w:numPr>
          <w:ilvl w:val="0"/>
          <w:numId w:val="18"/>
        </w:numPr>
        <w:autoSpaceDE w:val="0"/>
        <w:autoSpaceDN w:val="0"/>
        <w:spacing w:after="0" w:line="276" w:lineRule="auto"/>
        <w:contextualSpacing/>
        <w:jc w:val="both"/>
        <w:rPr>
          <w:rFonts w:ascii="Arial" w:eastAsia="Arial" w:hAnsi="Arial" w:cs="Arial"/>
          <w:kern w:val="2"/>
          <w:lang w:val="es-ES"/>
          <w14:ligatures w14:val="standardContextual"/>
        </w:rPr>
      </w:pPr>
      <w:r w:rsidRPr="00EA035C">
        <w:rPr>
          <w:rFonts w:ascii="Arial" w:eastAsia="Arial" w:hAnsi="Arial" w:cs="Arial"/>
          <w:kern w:val="2"/>
          <w:lang w:val="es-ES"/>
          <w14:ligatures w14:val="standardContextual"/>
        </w:rPr>
        <w:t xml:space="preserve">En atención a lo anterior, cobra importancia el estudio de lo contemplado por la referida ley en el capítulo relativo al ejercicio ilegal de la ingeniera, sus profesiones afines y auxiliares.  El artículo 20 </w:t>
      </w:r>
      <w:r w:rsidR="00522D74" w:rsidRPr="00EA035C">
        <w:rPr>
          <w:rFonts w:ascii="Arial" w:eastAsia="Arial" w:hAnsi="Arial" w:cs="Arial"/>
          <w:kern w:val="2"/>
          <w:lang w:val="es-ES"/>
          <w14:ligatures w14:val="standardContextual"/>
        </w:rPr>
        <w:t xml:space="preserve">de la Ley 842 de 2003 </w:t>
      </w:r>
      <w:r w:rsidRPr="00EA035C">
        <w:rPr>
          <w:rFonts w:ascii="Arial" w:eastAsia="Arial" w:hAnsi="Arial" w:cs="Arial"/>
          <w:kern w:val="2"/>
          <w:lang w:val="es-ES"/>
          <w14:ligatures w14:val="standardContextual"/>
        </w:rPr>
        <w:t xml:space="preserve">dispone que las propuestas en las licitaciones y concursos abiertos cuyo objeto implique el desarrollo de las </w:t>
      </w:r>
      <w:r w:rsidRPr="00EA035C">
        <w:rPr>
          <w:rFonts w:ascii="Arial" w:eastAsia="Arial" w:hAnsi="Arial" w:cs="Arial"/>
          <w:kern w:val="2"/>
          <w:lang w:val="es-ES"/>
          <w14:ligatures w14:val="standardContextual"/>
        </w:rPr>
        <w:lastRenderedPageBreak/>
        <w:t>actividades catalogadas como ejercicio de la ingeniería, deberán estar avalados por un ingeniero inscrito y con tarjeta de matrícula profesional en la respectiva rama de la</w:t>
      </w:r>
      <w:r w:rsidRPr="00EA035C">
        <w:rPr>
          <w:rFonts w:ascii="Arial" w:eastAsia="Arial" w:hAnsi="Arial" w:cs="Arial"/>
          <w:spacing w:val="-16"/>
          <w:kern w:val="2"/>
          <w:lang w:val="es-ES"/>
          <w14:ligatures w14:val="standardContextual"/>
        </w:rPr>
        <w:t xml:space="preserve"> </w:t>
      </w:r>
      <w:r w:rsidRPr="00EA035C">
        <w:rPr>
          <w:rFonts w:ascii="Arial" w:eastAsia="Arial" w:hAnsi="Arial" w:cs="Arial"/>
          <w:kern w:val="2"/>
          <w:lang w:val="es-ES"/>
          <w14:ligatures w14:val="standardContextual"/>
        </w:rPr>
        <w:t>ingeniería. Al siguiente tenor reza:</w:t>
      </w:r>
    </w:p>
    <w:p w14:paraId="3B66FAD3" w14:textId="77777777" w:rsidR="000F1A13" w:rsidRPr="00EA035C" w:rsidRDefault="000F1A13" w:rsidP="000F1A13">
      <w:pPr>
        <w:widowControl w:val="0"/>
        <w:autoSpaceDE w:val="0"/>
        <w:autoSpaceDN w:val="0"/>
        <w:spacing w:after="0" w:line="276" w:lineRule="auto"/>
        <w:ind w:firstLine="709"/>
        <w:jc w:val="both"/>
        <w:rPr>
          <w:rFonts w:ascii="Arial" w:eastAsia="Arial" w:hAnsi="Arial" w:cs="Arial"/>
          <w:kern w:val="2"/>
          <w:lang w:val="es-ES"/>
          <w14:ligatures w14:val="standardContextual"/>
        </w:rPr>
      </w:pPr>
    </w:p>
    <w:p w14:paraId="78B13EF3" w14:textId="77777777" w:rsidR="000F1A13" w:rsidRPr="00EA035C" w:rsidRDefault="000F1A13" w:rsidP="00C07C79">
      <w:pPr>
        <w:spacing w:after="0" w:line="240" w:lineRule="auto"/>
        <w:ind w:left="1134" w:right="709"/>
        <w:jc w:val="both"/>
        <w:rPr>
          <w:rFonts w:ascii="Arial" w:eastAsia="Aptos" w:hAnsi="Arial" w:cs="Arial"/>
          <w:kern w:val="2"/>
          <w:sz w:val="20"/>
          <w:szCs w:val="20"/>
          <w:lang w:val="es-MX"/>
          <w14:ligatures w14:val="standardContextual"/>
        </w:rPr>
      </w:pPr>
      <w:r w:rsidRPr="00EA035C">
        <w:rPr>
          <w:rFonts w:ascii="Arial" w:eastAsia="Aptos" w:hAnsi="Arial" w:cs="Arial"/>
          <w:kern w:val="2"/>
          <w:sz w:val="20"/>
          <w:szCs w:val="20"/>
          <w:lang w:val="es-MX"/>
          <w14:ligatures w14:val="standardContextual"/>
        </w:rPr>
        <w:t>“Artículo 20. Propuestas y contratos. 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42C8E95D" w14:textId="77777777" w:rsidR="000F1A13" w:rsidRPr="00EA035C" w:rsidRDefault="000F1A13" w:rsidP="00EA035C">
      <w:pPr>
        <w:spacing w:after="0" w:line="240" w:lineRule="auto"/>
        <w:ind w:left="1134" w:right="709"/>
        <w:jc w:val="both"/>
        <w:rPr>
          <w:rFonts w:ascii="Arial" w:eastAsia="Aptos" w:hAnsi="Arial" w:cs="Arial"/>
          <w:kern w:val="2"/>
          <w:sz w:val="20"/>
          <w:szCs w:val="20"/>
          <w:lang w:val="es-MX"/>
          <w14:ligatures w14:val="standardContextual"/>
        </w:rPr>
      </w:pPr>
    </w:p>
    <w:p w14:paraId="30AD5CA5" w14:textId="77777777" w:rsidR="000F1A13" w:rsidRPr="00EA035C" w:rsidRDefault="000F1A13" w:rsidP="00EA035C">
      <w:pPr>
        <w:spacing w:after="0" w:line="240" w:lineRule="auto"/>
        <w:ind w:left="1134" w:right="709"/>
        <w:jc w:val="both"/>
        <w:rPr>
          <w:rFonts w:ascii="Arial" w:eastAsia="Aptos" w:hAnsi="Arial" w:cs="Arial"/>
          <w:kern w:val="2"/>
          <w:sz w:val="20"/>
          <w:szCs w:val="20"/>
          <w:lang w:val="es-MX"/>
          <w14:ligatures w14:val="standardContextual"/>
        </w:rPr>
      </w:pPr>
      <w:r w:rsidRPr="00EA035C">
        <w:rPr>
          <w:rFonts w:ascii="Arial" w:eastAsia="Aptos" w:hAnsi="Arial" w:cs="Arial"/>
          <w:kern w:val="2"/>
          <w:sz w:val="20"/>
          <w:szCs w:val="20"/>
          <w:lang w:val="es-MX"/>
          <w14:ligatures w14:val="standardContextual"/>
        </w:rPr>
        <w:t>En los contratos que se celebren como resultado de la licitación o del concurso, los contratistas tendrán la obligación de encomendar los estudios, la dirección técnica, la ejecución de los trabajos o la interventoría, a profesionales inscritos en el registro profesional de ingeniería, acreditados con la tarjeta de matrícula profesional o, excepcionalmente, con la constancia o certificado de su</w:t>
      </w:r>
      <w:r w:rsidRPr="00EA035C">
        <w:rPr>
          <w:rFonts w:ascii="Arial" w:eastAsia="Aptos" w:hAnsi="Arial" w:cs="Arial"/>
          <w:spacing w:val="-26"/>
          <w:kern w:val="2"/>
          <w:sz w:val="20"/>
          <w:szCs w:val="20"/>
          <w:lang w:val="es-MX"/>
          <w14:ligatures w14:val="standardContextual"/>
        </w:rPr>
        <w:t xml:space="preserve"> </w:t>
      </w:r>
      <w:r w:rsidRPr="00EA035C">
        <w:rPr>
          <w:rFonts w:ascii="Arial" w:eastAsia="Aptos" w:hAnsi="Arial" w:cs="Arial"/>
          <w:kern w:val="2"/>
          <w:sz w:val="20"/>
          <w:szCs w:val="20"/>
          <w:lang w:val="es-MX"/>
          <w14:ligatures w14:val="standardContextual"/>
        </w:rPr>
        <w:t>vigencia.</w:t>
      </w:r>
    </w:p>
    <w:p w14:paraId="05C7E0D7" w14:textId="77777777" w:rsidR="000F1A13" w:rsidRPr="00EA035C" w:rsidRDefault="000F1A13" w:rsidP="00EA035C">
      <w:pPr>
        <w:widowControl w:val="0"/>
        <w:autoSpaceDE w:val="0"/>
        <w:autoSpaceDN w:val="0"/>
        <w:spacing w:after="0" w:line="240" w:lineRule="auto"/>
        <w:ind w:left="1134" w:right="709"/>
        <w:rPr>
          <w:rFonts w:ascii="Arial" w:eastAsia="Arial" w:hAnsi="Arial" w:cs="Arial"/>
          <w:kern w:val="2"/>
          <w:sz w:val="20"/>
          <w:szCs w:val="20"/>
          <w:lang w:val="es-ES"/>
          <w14:ligatures w14:val="standardContextual"/>
        </w:rPr>
      </w:pPr>
    </w:p>
    <w:p w14:paraId="600942BD" w14:textId="77777777" w:rsidR="000F1A13" w:rsidRPr="00EA035C" w:rsidRDefault="000F1A13" w:rsidP="00EA035C">
      <w:pPr>
        <w:spacing w:after="0" w:line="240" w:lineRule="auto"/>
        <w:ind w:left="1134" w:right="709"/>
        <w:jc w:val="both"/>
        <w:rPr>
          <w:rFonts w:ascii="Arial" w:eastAsia="Aptos" w:hAnsi="Arial" w:cs="Arial"/>
          <w:kern w:val="2"/>
          <w:sz w:val="20"/>
          <w:szCs w:val="20"/>
          <w:lang w:val="es-MX"/>
          <w14:ligatures w14:val="standardContextual"/>
        </w:rPr>
      </w:pPr>
      <w:r w:rsidRPr="00EA035C">
        <w:rPr>
          <w:rFonts w:ascii="Arial" w:eastAsia="Aptos" w:hAnsi="Arial" w:cs="Arial"/>
          <w:kern w:val="2"/>
          <w:sz w:val="20"/>
          <w:szCs w:val="20"/>
          <w:lang w:val="es-MX"/>
          <w14:ligatures w14:val="standardContextual"/>
        </w:rPr>
        <w:t>Parágrafo. Lo dispuesto en este artículo se aplicará en todas sus partes, tanto a las propuestas que se presenten, como a los contratos de igual naturaleza y que, con el mismo objetivo, se celebren con las sociedades de economía mixta y con los establecimientos públicos y empresas industriales o comerciales del orden nacional, departamental, distrital o municipal y aquellas descentralizadas por servicios.”</w:t>
      </w:r>
    </w:p>
    <w:p w14:paraId="4E908BD0" w14:textId="77777777" w:rsidR="00010E9B" w:rsidRPr="00EA035C" w:rsidRDefault="00010E9B" w:rsidP="000F1A13">
      <w:pPr>
        <w:spacing w:after="0" w:line="240" w:lineRule="auto"/>
        <w:ind w:left="709" w:right="709"/>
        <w:jc w:val="both"/>
        <w:rPr>
          <w:rFonts w:ascii="Arial" w:eastAsia="Aptos" w:hAnsi="Arial" w:cs="Arial"/>
          <w:kern w:val="2"/>
          <w:lang w:val="es-MX"/>
          <w14:ligatures w14:val="standardContextual"/>
        </w:rPr>
      </w:pPr>
    </w:p>
    <w:p w14:paraId="007758A0" w14:textId="77777777" w:rsidR="00010E9B" w:rsidRPr="00EA035C" w:rsidRDefault="00010E9B" w:rsidP="00010E9B">
      <w:pPr>
        <w:numPr>
          <w:ilvl w:val="0"/>
          <w:numId w:val="19"/>
        </w:numPr>
        <w:spacing w:after="0" w:line="276" w:lineRule="auto"/>
        <w:contextualSpacing/>
        <w:jc w:val="both"/>
        <w:rPr>
          <w:rFonts w:ascii="Arial" w:eastAsia="Aptos" w:hAnsi="Arial" w:cs="Arial"/>
          <w:kern w:val="2"/>
          <w:lang w:val="es-ES"/>
          <w14:ligatures w14:val="standardContextual"/>
        </w:rPr>
      </w:pPr>
      <w:r w:rsidRPr="00EA035C">
        <w:rPr>
          <w:rFonts w:ascii="Arial" w:eastAsia="Aptos" w:hAnsi="Arial" w:cs="Arial"/>
          <w:kern w:val="2"/>
          <w:lang w:val="es-ES"/>
          <w14:ligatures w14:val="standardContextual"/>
        </w:rPr>
        <w:t>De igual forma, el Consejo Profesional Nacional de Ingeniería –COPNIA–, de acuerdo con la competencia consagrada en el artículo 26 de la Ley 842 de 2003</w:t>
      </w:r>
      <w:r w:rsidRPr="00EA035C">
        <w:rPr>
          <w:rFonts w:ascii="Arial" w:eastAsia="Aptos" w:hAnsi="Arial" w:cs="Arial"/>
          <w:kern w:val="2"/>
          <w:vertAlign w:val="superscript"/>
          <w:lang w:val="es-ES"/>
          <w14:ligatures w14:val="standardContextual"/>
        </w:rPr>
        <w:footnoteReference w:id="3"/>
      </w:r>
      <w:r w:rsidRPr="00EA035C">
        <w:rPr>
          <w:rFonts w:ascii="Arial" w:eastAsia="Aptos" w:hAnsi="Arial" w:cs="Arial"/>
          <w:kern w:val="2"/>
          <w:lang w:val="es-ES"/>
          <w14:ligatures w14:val="standardContextual"/>
        </w:rPr>
        <w:t>, ha conceptuado sobre la participación en procesos de selección relacionados con el ejercicio de actividades de la ingeniería, destacando el riesgo social que podría representar el uso inadecuado de la profesión por personas que no cuenten con la idoneidad para su ejercicio.</w:t>
      </w:r>
    </w:p>
    <w:p w14:paraId="2CCFC12B" w14:textId="77777777" w:rsidR="00010E9B" w:rsidRPr="00EA035C" w:rsidRDefault="00010E9B" w:rsidP="000F1A13">
      <w:pPr>
        <w:spacing w:after="0" w:line="240" w:lineRule="auto"/>
        <w:ind w:left="709" w:right="709"/>
        <w:jc w:val="both"/>
        <w:rPr>
          <w:rFonts w:ascii="Arial" w:eastAsia="Aptos" w:hAnsi="Arial" w:cs="Arial"/>
          <w:kern w:val="2"/>
          <w:lang w:val="es-ES"/>
          <w14:ligatures w14:val="standardContextual"/>
        </w:rPr>
      </w:pPr>
    </w:p>
    <w:p w14:paraId="5E52340F" w14:textId="77777777" w:rsidR="000F1A13" w:rsidRPr="00EA035C" w:rsidRDefault="000F1A13" w:rsidP="000F1A13">
      <w:pPr>
        <w:spacing w:after="0" w:line="276" w:lineRule="auto"/>
        <w:ind w:left="709" w:right="709"/>
        <w:jc w:val="both"/>
        <w:rPr>
          <w:rFonts w:ascii="Arial" w:eastAsia="Aptos" w:hAnsi="Arial" w:cs="Arial"/>
          <w:kern w:val="2"/>
          <w:lang w:val="es-MX"/>
          <w14:ligatures w14:val="standardContextual"/>
        </w:rPr>
      </w:pPr>
    </w:p>
    <w:p w14:paraId="12A416C4" w14:textId="77777777" w:rsidR="000F1A13" w:rsidRPr="00EA035C" w:rsidRDefault="000F1A13" w:rsidP="000F1A13">
      <w:pPr>
        <w:widowControl w:val="0"/>
        <w:numPr>
          <w:ilvl w:val="0"/>
          <w:numId w:val="19"/>
        </w:numPr>
        <w:autoSpaceDE w:val="0"/>
        <w:autoSpaceDN w:val="0"/>
        <w:spacing w:after="0" w:line="276" w:lineRule="auto"/>
        <w:contextualSpacing/>
        <w:jc w:val="both"/>
        <w:rPr>
          <w:rFonts w:ascii="Arial" w:eastAsia="Arial" w:hAnsi="Arial" w:cs="Arial"/>
          <w:kern w:val="2"/>
          <w:lang w:val="es-ES"/>
          <w14:ligatures w14:val="standardContextual"/>
        </w:rPr>
      </w:pPr>
      <w:r w:rsidRPr="00EA035C">
        <w:rPr>
          <w:rFonts w:ascii="Arial" w:eastAsia="Arial" w:hAnsi="Arial" w:cs="Arial"/>
          <w:kern w:val="2"/>
          <w:lang w:val="es-ES"/>
          <w14:ligatures w14:val="standardContextual"/>
        </w:rPr>
        <w:t xml:space="preserve">La disposición transcrita fue objeto de estudio por la Corte Constitucional en la sentencia C-191 de 2005. El demandante consideró que dicha norma desconocía la libertad de escoger y ejercer profesión u oficio al reservar a los ingenieros, en los términos de la disposición demandada, las labores de estudios, planeación, programación, asesoría, consultoría, interventoría, construcción, mantenimiento y administración de construcciones de edificios y viviendas de toda índole, y de obras </w:t>
      </w:r>
      <w:r w:rsidRPr="00EA035C">
        <w:rPr>
          <w:rFonts w:ascii="Arial" w:eastAsia="Arial" w:hAnsi="Arial" w:cs="Arial"/>
          <w:kern w:val="2"/>
          <w:lang w:val="es-ES"/>
          <w14:ligatures w14:val="standardContextual"/>
        </w:rPr>
        <w:lastRenderedPageBreak/>
        <w:t>de infraestructura para el servicio de la comunidad, separando a los arquitectos de la ejecución de tales labores.</w:t>
      </w:r>
    </w:p>
    <w:p w14:paraId="3C0A2596" w14:textId="77777777" w:rsidR="000F1A13" w:rsidRPr="00EA035C" w:rsidRDefault="000F1A13" w:rsidP="000F1A13">
      <w:pPr>
        <w:widowControl w:val="0"/>
        <w:autoSpaceDE w:val="0"/>
        <w:autoSpaceDN w:val="0"/>
        <w:spacing w:after="0" w:line="276" w:lineRule="auto"/>
        <w:jc w:val="both"/>
        <w:rPr>
          <w:rFonts w:ascii="Arial" w:eastAsia="Arial" w:hAnsi="Arial" w:cs="Arial"/>
          <w:kern w:val="2"/>
          <w:lang w:val="es-ES"/>
          <w14:ligatures w14:val="standardContextual"/>
        </w:rPr>
      </w:pPr>
    </w:p>
    <w:p w14:paraId="6C50B0CC" w14:textId="77777777" w:rsidR="000F1A13" w:rsidRPr="00EA035C" w:rsidRDefault="000F1A13" w:rsidP="000F1A13">
      <w:pPr>
        <w:widowControl w:val="0"/>
        <w:numPr>
          <w:ilvl w:val="0"/>
          <w:numId w:val="19"/>
        </w:numPr>
        <w:autoSpaceDE w:val="0"/>
        <w:autoSpaceDN w:val="0"/>
        <w:spacing w:after="0" w:line="276" w:lineRule="auto"/>
        <w:contextualSpacing/>
        <w:jc w:val="both"/>
        <w:rPr>
          <w:rFonts w:ascii="Arial" w:eastAsia="Arial" w:hAnsi="Arial" w:cs="Arial"/>
          <w:kern w:val="2"/>
          <w:lang w:val="es-ES"/>
          <w14:ligatures w14:val="standardContextual"/>
        </w:rPr>
      </w:pPr>
      <w:r w:rsidRPr="00EA035C">
        <w:rPr>
          <w:rFonts w:ascii="Arial" w:eastAsia="Arial" w:hAnsi="Arial" w:cs="Arial"/>
          <w:kern w:val="2"/>
          <w:lang w:val="es-ES"/>
          <w14:ligatures w14:val="standardContextual"/>
        </w:rPr>
        <w:t>La Corte Constitucional en su análisis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ingeniería es objetiva y proporcional, en la medida que el aval de un ingeniero únicamente se debe realizar tratándose de procesos de contratación que involucren actividades catalogadas como ejercicio de la ingeniería</w:t>
      </w:r>
      <w:r w:rsidRPr="00EA035C">
        <w:rPr>
          <w:rFonts w:ascii="Arial" w:eastAsia="Aptos" w:hAnsi="Arial" w:cs="Arial"/>
          <w:kern w:val="2"/>
          <w:vertAlign w:val="superscript"/>
          <w:lang w:val="es-ES"/>
          <w14:ligatures w14:val="standardContextual"/>
        </w:rPr>
        <w:footnoteReference w:id="4"/>
      </w:r>
      <w:r w:rsidRPr="00EA035C">
        <w:rPr>
          <w:rFonts w:ascii="Arial" w:eastAsia="Arial" w:hAnsi="Arial" w:cs="Arial"/>
          <w:kern w:val="2"/>
          <w:lang w:val="es-ES"/>
          <w14:ligatures w14:val="standardContextual"/>
        </w:rPr>
        <w:t>.</w:t>
      </w:r>
    </w:p>
    <w:p w14:paraId="6E9B82FC" w14:textId="77777777" w:rsidR="000F1A13" w:rsidRPr="00EA035C" w:rsidRDefault="000F1A13" w:rsidP="000F1A13">
      <w:pPr>
        <w:widowControl w:val="0"/>
        <w:tabs>
          <w:tab w:val="left" w:pos="2745"/>
        </w:tabs>
        <w:autoSpaceDE w:val="0"/>
        <w:autoSpaceDN w:val="0"/>
        <w:spacing w:after="0" w:line="276" w:lineRule="auto"/>
        <w:jc w:val="both"/>
        <w:rPr>
          <w:rFonts w:ascii="Arial" w:eastAsia="Arial" w:hAnsi="Arial" w:cs="Arial"/>
          <w:kern w:val="2"/>
          <w:lang w:val="es-ES"/>
          <w14:ligatures w14:val="standardContextual"/>
        </w:rPr>
      </w:pPr>
      <w:r w:rsidRPr="00EA035C">
        <w:rPr>
          <w:rFonts w:ascii="Arial" w:eastAsia="Arial" w:hAnsi="Arial" w:cs="Arial"/>
          <w:kern w:val="2"/>
          <w:lang w:val="es-ES"/>
          <w14:ligatures w14:val="standardContextual"/>
        </w:rPr>
        <w:tab/>
      </w:r>
    </w:p>
    <w:p w14:paraId="5EFCE792" w14:textId="77777777" w:rsidR="000F1A13" w:rsidRPr="00EA035C" w:rsidRDefault="000F1A13" w:rsidP="000F1A13">
      <w:pPr>
        <w:widowControl w:val="0"/>
        <w:numPr>
          <w:ilvl w:val="0"/>
          <w:numId w:val="19"/>
        </w:numPr>
        <w:autoSpaceDE w:val="0"/>
        <w:autoSpaceDN w:val="0"/>
        <w:spacing w:after="0" w:line="276" w:lineRule="auto"/>
        <w:contextualSpacing/>
        <w:jc w:val="both"/>
        <w:rPr>
          <w:rFonts w:ascii="Arial" w:eastAsia="Arial" w:hAnsi="Arial" w:cs="Arial"/>
          <w:kern w:val="2"/>
          <w:lang w:val="es-ES"/>
          <w14:ligatures w14:val="standardContextual"/>
        </w:rPr>
      </w:pPr>
      <w:r w:rsidRPr="00EA035C">
        <w:rPr>
          <w:rFonts w:ascii="Arial" w:eastAsia="Arial" w:hAnsi="Arial" w:cs="Arial"/>
          <w:kern w:val="2"/>
          <w:lang w:val="es-ES"/>
          <w14:ligatures w14:val="standardContextual"/>
        </w:rPr>
        <w:t>Aunado a lo anterior, el Tribunal Constitucional también señaló que la persona idónea y habilitada legalmente para ejercer la ingeniería, en actividades catalogadas como ejercicio de dicha profesión, es la matriculada o inscrita en el Registro Profesional de Ingenieros y que por ende cuenta con un título</w:t>
      </w:r>
      <w:r w:rsidRPr="00EA035C">
        <w:rPr>
          <w:rFonts w:ascii="Arial" w:eastAsia="Arial" w:hAnsi="Arial" w:cs="Arial"/>
          <w:spacing w:val="-3"/>
          <w:kern w:val="2"/>
          <w:lang w:val="es-ES"/>
          <w14:ligatures w14:val="standardContextual"/>
        </w:rPr>
        <w:t xml:space="preserve"> </w:t>
      </w:r>
      <w:r w:rsidRPr="00EA035C">
        <w:rPr>
          <w:rFonts w:ascii="Arial" w:eastAsia="Arial" w:hAnsi="Arial" w:cs="Arial"/>
          <w:kern w:val="2"/>
          <w:lang w:val="es-ES"/>
          <w14:ligatures w14:val="standardContextual"/>
        </w:rPr>
        <w:t>profesional</w:t>
      </w:r>
      <w:r w:rsidRPr="00EA035C">
        <w:rPr>
          <w:rFonts w:ascii="Arial" w:eastAsia="Aptos" w:hAnsi="Arial" w:cs="Arial"/>
          <w:kern w:val="2"/>
          <w:vertAlign w:val="superscript"/>
          <w:lang w:val="es-ES"/>
          <w14:ligatures w14:val="standardContextual"/>
        </w:rPr>
        <w:footnoteReference w:id="5"/>
      </w:r>
      <w:r w:rsidRPr="00EA035C">
        <w:rPr>
          <w:rFonts w:ascii="Arial" w:eastAsia="Arial" w:hAnsi="Arial" w:cs="Arial"/>
          <w:kern w:val="2"/>
          <w:lang w:val="es-ES"/>
          <w14:ligatures w14:val="standardContextual"/>
        </w:rPr>
        <w:t xml:space="preserve"> y con la idoneidad que no se predica de otras profesiones –como es el caso de la arquitectura–. Esta idoneidad se requiere para la ejecución de ciertas actividades relacionadas particularmente con el ejercicio de la ingeniería, como son los proyectos de obra de infraestructura de transporte, pues su formación es distinta y no existe habilitación legal para el ejercicio de actividades de ingeniería ostentando una profesión</w:t>
      </w:r>
      <w:r w:rsidRPr="00EA035C">
        <w:rPr>
          <w:rFonts w:ascii="Arial" w:eastAsia="Arial" w:hAnsi="Arial" w:cs="Arial"/>
          <w:spacing w:val="-2"/>
          <w:kern w:val="2"/>
          <w:lang w:val="es-ES"/>
          <w14:ligatures w14:val="standardContextual"/>
        </w:rPr>
        <w:t xml:space="preserve"> </w:t>
      </w:r>
      <w:r w:rsidRPr="00EA035C">
        <w:rPr>
          <w:rFonts w:ascii="Arial" w:eastAsia="Arial" w:hAnsi="Arial" w:cs="Arial"/>
          <w:kern w:val="2"/>
          <w:lang w:val="es-ES"/>
          <w14:ligatures w14:val="standardContextual"/>
        </w:rPr>
        <w:t>diferente.</w:t>
      </w:r>
    </w:p>
    <w:p w14:paraId="274CA6C7" w14:textId="77777777" w:rsidR="000F1A13" w:rsidRPr="00EA035C" w:rsidRDefault="000F1A13" w:rsidP="000F1A13">
      <w:pPr>
        <w:widowControl w:val="0"/>
        <w:autoSpaceDE w:val="0"/>
        <w:autoSpaceDN w:val="0"/>
        <w:spacing w:after="0" w:line="276" w:lineRule="auto"/>
        <w:jc w:val="both"/>
        <w:rPr>
          <w:rFonts w:ascii="Arial" w:eastAsia="Arial" w:hAnsi="Arial" w:cs="Arial"/>
          <w:kern w:val="2"/>
          <w:lang w:val="es-ES"/>
          <w14:ligatures w14:val="standardContextual"/>
        </w:rPr>
      </w:pPr>
    </w:p>
    <w:p w14:paraId="67271B60" w14:textId="77777777" w:rsidR="00B16C41" w:rsidRPr="00EA035C" w:rsidRDefault="000F1A13" w:rsidP="00B16C41">
      <w:pPr>
        <w:widowControl w:val="0"/>
        <w:numPr>
          <w:ilvl w:val="0"/>
          <w:numId w:val="19"/>
        </w:numPr>
        <w:autoSpaceDE w:val="0"/>
        <w:autoSpaceDN w:val="0"/>
        <w:spacing w:after="0" w:line="276" w:lineRule="auto"/>
        <w:contextualSpacing/>
        <w:jc w:val="both"/>
        <w:rPr>
          <w:rFonts w:ascii="Arial" w:eastAsia="Arial" w:hAnsi="Arial" w:cs="Arial"/>
          <w:kern w:val="2"/>
          <w:lang w:val="es-ES"/>
          <w14:ligatures w14:val="standardContextual"/>
        </w:rPr>
      </w:pPr>
      <w:r w:rsidRPr="00EA035C">
        <w:rPr>
          <w:rFonts w:ascii="Arial" w:eastAsia="Arial" w:hAnsi="Arial" w:cs="Arial"/>
          <w:kern w:val="2"/>
          <w:lang w:val="es-ES"/>
          <w14:ligatures w14:val="standardContextual"/>
        </w:rPr>
        <w:t>Así, no todas las actividades relacionadas con construcción pueden ser desarrolladas por profesionales diferentes a ingenieros, pues el ejercicio de actividades de dicha categoría supone la existencia de idoneidad y conocimientos adquiridos por los profesionales de ingeniería en el estudio de su profesión.</w:t>
      </w:r>
    </w:p>
    <w:p w14:paraId="62521A9F" w14:textId="77777777" w:rsidR="00B16C41" w:rsidRPr="00EA035C" w:rsidRDefault="00B16C41" w:rsidP="00EA035C">
      <w:pPr>
        <w:pStyle w:val="Prrafodelista"/>
        <w:rPr>
          <w:rFonts w:ascii="Arial" w:eastAsia="Times New Roman" w:hAnsi="Arial" w:cs="Arial"/>
          <w:color w:val="000000" w:themeColor="text1"/>
          <w:lang w:eastAsia="es-ES_tradnl"/>
        </w:rPr>
      </w:pPr>
    </w:p>
    <w:p w14:paraId="5D6CCB80" w14:textId="5292DCA2" w:rsidR="00B16C41" w:rsidRPr="00EA035C" w:rsidRDefault="00B16C41" w:rsidP="00EA035C">
      <w:pPr>
        <w:widowControl w:val="0"/>
        <w:numPr>
          <w:ilvl w:val="0"/>
          <w:numId w:val="19"/>
        </w:numPr>
        <w:autoSpaceDE w:val="0"/>
        <w:autoSpaceDN w:val="0"/>
        <w:spacing w:after="0" w:line="276" w:lineRule="auto"/>
        <w:contextualSpacing/>
        <w:jc w:val="both"/>
        <w:rPr>
          <w:rFonts w:ascii="Arial" w:eastAsia="Arial" w:hAnsi="Arial" w:cs="Arial"/>
          <w:kern w:val="2"/>
          <w:lang w:val="es-ES"/>
          <w14:ligatures w14:val="standardContextual"/>
        </w:rPr>
      </w:pPr>
      <w:r w:rsidRPr="00EA035C">
        <w:rPr>
          <w:rFonts w:ascii="Arial" w:eastAsia="Times New Roman" w:hAnsi="Arial" w:cs="Arial"/>
          <w:color w:val="000000" w:themeColor="text1"/>
          <w:lang w:val="es-ES" w:eastAsia="es-ES_tradnl"/>
        </w:rPr>
        <w:t xml:space="preserve">Los procesos de selección adelantados con documentos tipo de obra pública de </w:t>
      </w:r>
      <w:r w:rsidRPr="00EA035C">
        <w:rPr>
          <w:rFonts w:ascii="Arial" w:eastAsia="Times New Roman" w:hAnsi="Arial" w:cs="Arial"/>
          <w:color w:val="000000" w:themeColor="text1"/>
          <w:lang w:val="es-ES" w:eastAsia="es-ES_tradnl"/>
        </w:rPr>
        <w:lastRenderedPageBreak/>
        <w:t>infraestructura de transporte, al estar dirigidos a la escogencia de contratistas aptos para el desarrollo de actividades de construcción, mejoramiento, rehabilitación, etc., que necesariamente suponen el ejercicio de la ingeniería, no son ajenos a la necesidad de que el contratista esté debidamente inscrito en el Registro Profesional llevado por el COPNIA, o avalado por alguien que sí. Por tal motivo, el numeral 2.1. del Documento Base o Pliego Tipo de licitación pública para infraestructura del transporte –Versión 3–, al regular la carta de presentación de la oferta, exige la presentación de la tarjeta profesional junto con la oferta:</w:t>
      </w:r>
    </w:p>
    <w:p w14:paraId="31C7D01B" w14:textId="77777777" w:rsidR="00B16C41" w:rsidRPr="00EA035C" w:rsidRDefault="00B16C41" w:rsidP="00B16C41">
      <w:pPr>
        <w:tabs>
          <w:tab w:val="left" w:pos="426"/>
        </w:tabs>
        <w:spacing w:after="0" w:line="276" w:lineRule="auto"/>
        <w:jc w:val="both"/>
        <w:rPr>
          <w:rFonts w:ascii="Arial" w:eastAsia="Times New Roman" w:hAnsi="Arial" w:cs="Arial"/>
          <w:color w:val="000000" w:themeColor="text1"/>
          <w:lang w:val="es-ES" w:eastAsia="es-ES_tradnl"/>
        </w:rPr>
      </w:pPr>
    </w:p>
    <w:p w14:paraId="59877725" w14:textId="4B1630F7" w:rsidR="00B16C41" w:rsidRPr="00EA035C" w:rsidRDefault="00C07C79" w:rsidP="00EA035C">
      <w:pPr>
        <w:tabs>
          <w:tab w:val="left" w:pos="426"/>
        </w:tabs>
        <w:spacing w:after="0" w:line="240" w:lineRule="auto"/>
        <w:ind w:left="1276" w:right="474" w:firstLine="142"/>
        <w:jc w:val="both"/>
        <w:rPr>
          <w:rFonts w:ascii="Arial" w:eastAsia="Times New Roman" w:hAnsi="Arial" w:cs="Arial"/>
          <w:color w:val="000000" w:themeColor="text1"/>
          <w:sz w:val="20"/>
          <w:szCs w:val="20"/>
          <w:lang w:val="es-ES" w:eastAsia="es-ES_tradnl"/>
        </w:rPr>
      </w:pPr>
      <w:r w:rsidRPr="00EA035C">
        <w:rPr>
          <w:rFonts w:ascii="Arial" w:eastAsia="Times New Roman" w:hAnsi="Arial" w:cs="Arial"/>
          <w:color w:val="000000" w:themeColor="text1"/>
          <w:sz w:val="20"/>
          <w:szCs w:val="20"/>
          <w:lang w:val="es-ES" w:eastAsia="es-ES_tradnl"/>
        </w:rPr>
        <w:t>“</w:t>
      </w:r>
      <w:r w:rsidR="00B16C41" w:rsidRPr="00EA035C">
        <w:rPr>
          <w:rFonts w:ascii="Arial" w:eastAsia="Times New Roman" w:hAnsi="Arial" w:cs="Arial"/>
          <w:color w:val="000000" w:themeColor="text1"/>
          <w:sz w:val="20"/>
          <w:szCs w:val="20"/>
          <w:lang w:val="es-ES" w:eastAsia="es-ES_tradnl"/>
        </w:rPr>
        <w:t>En virtud de lo previsto en la Ley 842 de 2003 y con el fin de no permitir el ejercicio ilegal de la Ingeniería, la persona natural (Proponente individual o integrante de la estructura plural) que pretenda participar en el presente Proceso, deberá acreditar que posee título como Ingeniero, para lo cual deberá adjuntar copia de la tarjeta profesional y copia del certificado de vigencia de matrícula profesional expedida por el COPNIA o Consejo Profesional de Ingeniería de Transportes y Vías de Colombia en la respectiva rama de la ingeniería según corresponda, vigente a la fecha de cierre de este Proceso de selección.</w:t>
      </w:r>
    </w:p>
    <w:p w14:paraId="3CF2B064" w14:textId="77777777" w:rsidR="00B16C41" w:rsidRPr="00EA035C" w:rsidRDefault="00B16C41" w:rsidP="00EA035C">
      <w:pPr>
        <w:tabs>
          <w:tab w:val="left" w:pos="426"/>
        </w:tabs>
        <w:spacing w:after="0" w:line="240" w:lineRule="auto"/>
        <w:ind w:left="1276" w:right="474" w:firstLine="142"/>
        <w:jc w:val="both"/>
        <w:rPr>
          <w:rFonts w:ascii="Arial" w:eastAsia="Times New Roman" w:hAnsi="Arial" w:cs="Arial"/>
          <w:color w:val="000000" w:themeColor="text1"/>
          <w:sz w:val="20"/>
          <w:szCs w:val="20"/>
          <w:lang w:val="es-ES" w:eastAsia="es-ES_tradnl"/>
        </w:rPr>
      </w:pPr>
    </w:p>
    <w:p w14:paraId="4565C006" w14:textId="77777777" w:rsidR="00B16C41" w:rsidRPr="00EA035C" w:rsidRDefault="00B16C41" w:rsidP="00EA035C">
      <w:pPr>
        <w:tabs>
          <w:tab w:val="left" w:pos="426"/>
        </w:tabs>
        <w:spacing w:after="0" w:line="240" w:lineRule="auto"/>
        <w:ind w:left="1276" w:right="474" w:firstLine="142"/>
        <w:jc w:val="both"/>
        <w:rPr>
          <w:rFonts w:ascii="Arial" w:eastAsia="Times New Roman" w:hAnsi="Arial" w:cs="Arial"/>
          <w:color w:val="000000" w:themeColor="text1"/>
          <w:sz w:val="20"/>
          <w:szCs w:val="20"/>
          <w:lang w:val="es-ES" w:eastAsia="es-ES_tradnl"/>
        </w:rPr>
      </w:pPr>
      <w:r w:rsidRPr="00EA035C">
        <w:rPr>
          <w:rFonts w:ascii="Arial" w:eastAsia="Times New Roman" w:hAnsi="Arial" w:cs="Arial"/>
          <w:color w:val="000000" w:themeColor="text1"/>
          <w:sz w:val="20"/>
          <w:szCs w:val="20"/>
          <w:lang w:val="es-ES" w:eastAsia="es-ES_tradnl"/>
        </w:rPr>
        <w:t>De acuerdo con en el artículo 20 de la Ley 842 de 2003, si el representante legal o apoderado del Proponente individual persona jurídica o el representante legal o apoderado de la estructura plural, no posee título de una de las profesiones catalogadas como ejercicio de la ingeniería, la oferta deberá ser avalada por un ingeniero, para lo cual deberá adjuntar copia de la tarjeta profesional y copia del certificado de vigencia de matrícula profesional expedida por el COPNIA o Consejo Profesional de Ingeniería de Transportes y Vías de Colombia en la respectiva rama de la ingeniería según corresponda, vigente a la fecha de cierre de este Proceso de selección.</w:t>
      </w:r>
    </w:p>
    <w:p w14:paraId="6B847BE5" w14:textId="77777777" w:rsidR="00B16C41" w:rsidRPr="00EA035C" w:rsidRDefault="00B16C41" w:rsidP="00EA035C">
      <w:pPr>
        <w:tabs>
          <w:tab w:val="left" w:pos="426"/>
        </w:tabs>
        <w:spacing w:after="0" w:line="240" w:lineRule="auto"/>
        <w:ind w:left="1276" w:right="474" w:firstLine="142"/>
        <w:jc w:val="both"/>
        <w:rPr>
          <w:rFonts w:ascii="Arial" w:eastAsia="Times New Roman" w:hAnsi="Arial" w:cs="Arial"/>
          <w:color w:val="000000" w:themeColor="text1"/>
          <w:sz w:val="20"/>
          <w:szCs w:val="20"/>
          <w:lang w:val="es-ES" w:eastAsia="es-ES_tradnl"/>
        </w:rPr>
      </w:pPr>
    </w:p>
    <w:p w14:paraId="5491F89A" w14:textId="6E5D167E" w:rsidR="00B16C41" w:rsidRPr="00EA035C" w:rsidRDefault="00B16C41" w:rsidP="00EA035C">
      <w:pPr>
        <w:tabs>
          <w:tab w:val="left" w:pos="426"/>
        </w:tabs>
        <w:spacing w:after="0" w:line="240" w:lineRule="auto"/>
        <w:ind w:left="1276" w:right="474" w:firstLine="142"/>
        <w:jc w:val="both"/>
        <w:rPr>
          <w:rFonts w:ascii="Arial" w:eastAsia="Times New Roman" w:hAnsi="Arial" w:cs="Arial"/>
          <w:color w:val="000000" w:themeColor="text1"/>
          <w:sz w:val="20"/>
          <w:szCs w:val="20"/>
          <w:lang w:val="es-ES" w:eastAsia="es-ES_tradnl"/>
        </w:rPr>
      </w:pPr>
      <w:r w:rsidRPr="00EA035C">
        <w:rPr>
          <w:rFonts w:ascii="Arial" w:eastAsia="Times New Roman" w:hAnsi="Arial" w:cs="Arial"/>
          <w:color w:val="000000" w:themeColor="text1"/>
          <w:sz w:val="20"/>
          <w:szCs w:val="20"/>
          <w:lang w:val="es-ES" w:eastAsia="es-ES_tradnl"/>
        </w:rPr>
        <w:t>El aval del ingeniero de que trata el artículo 20 de la Ley 842 de 2003 hace parte integral del Formato 1 – Carta de presentación de la oferta, cuando el Proponente deba presentarlo.</w:t>
      </w:r>
      <w:r w:rsidR="00C07C79" w:rsidRPr="00EA035C">
        <w:rPr>
          <w:rFonts w:ascii="Arial" w:eastAsia="Times New Roman" w:hAnsi="Arial" w:cs="Arial"/>
          <w:color w:val="000000" w:themeColor="text1"/>
          <w:sz w:val="20"/>
          <w:szCs w:val="20"/>
          <w:lang w:val="es-ES" w:eastAsia="es-ES_tradnl"/>
        </w:rPr>
        <w:t>”</w:t>
      </w:r>
    </w:p>
    <w:p w14:paraId="03573AB1" w14:textId="77777777" w:rsidR="001227F9" w:rsidRDefault="001227F9" w:rsidP="001227F9">
      <w:pPr>
        <w:tabs>
          <w:tab w:val="left" w:pos="426"/>
        </w:tabs>
        <w:spacing w:after="0" w:line="276" w:lineRule="auto"/>
        <w:jc w:val="both"/>
        <w:rPr>
          <w:rFonts w:ascii="Arial" w:eastAsia="Times New Roman" w:hAnsi="Arial" w:cs="Arial"/>
          <w:color w:val="000000" w:themeColor="text1"/>
          <w:lang w:val="es-ES" w:eastAsia="es-ES_tradnl"/>
        </w:rPr>
      </w:pPr>
    </w:p>
    <w:p w14:paraId="7E84486A" w14:textId="48B92F45" w:rsidR="00B16C41" w:rsidRPr="00EA035C" w:rsidRDefault="00B16C41" w:rsidP="00EA035C">
      <w:pPr>
        <w:pStyle w:val="Prrafodelista"/>
        <w:numPr>
          <w:ilvl w:val="0"/>
          <w:numId w:val="23"/>
        </w:numPr>
        <w:tabs>
          <w:tab w:val="left" w:pos="426"/>
        </w:tabs>
        <w:spacing w:after="0" w:line="276" w:lineRule="auto"/>
        <w:jc w:val="both"/>
        <w:rPr>
          <w:rFonts w:ascii="Arial" w:eastAsia="Times New Roman" w:hAnsi="Arial" w:cs="Arial"/>
          <w:color w:val="000000" w:themeColor="text1"/>
          <w:lang w:eastAsia="es-ES_tradnl"/>
        </w:rPr>
      </w:pPr>
      <w:r w:rsidRPr="00EA035C">
        <w:rPr>
          <w:rFonts w:ascii="Arial" w:eastAsia="Times New Roman" w:hAnsi="Arial" w:cs="Arial"/>
          <w:color w:val="000000" w:themeColor="text1"/>
          <w:lang w:eastAsia="es-ES_tradnl"/>
        </w:rPr>
        <w:t xml:space="preserve">En tales términos, en los procesos adelantados con documentos tipo de licitación de obra pública de infraestructura de transporte –Versión 3–, estar inscrito en el Registro Profesional del COPNIA es un requisito que debe cumplirse al momento de presentar la oferta, lo cual, en principio, debe ser acreditado presentando la copia de la tarjeta profesional y su certificado de vigencia como anexos de la carta de presentación de la oferta, máxime cuando se trata de una persona natural ya sea proponente individual o integrante de un consorcio o unión temporal. </w:t>
      </w:r>
    </w:p>
    <w:p w14:paraId="39A34601" w14:textId="77777777" w:rsidR="001227F9" w:rsidRDefault="001227F9" w:rsidP="00B16C41">
      <w:pPr>
        <w:tabs>
          <w:tab w:val="left" w:pos="426"/>
        </w:tabs>
        <w:spacing w:after="0" w:line="276" w:lineRule="auto"/>
        <w:jc w:val="both"/>
        <w:rPr>
          <w:rFonts w:ascii="Arial" w:eastAsia="Times New Roman" w:hAnsi="Arial" w:cs="Arial"/>
          <w:color w:val="000000" w:themeColor="text1"/>
          <w:lang w:val="es-ES" w:eastAsia="es-ES_tradnl"/>
        </w:rPr>
      </w:pPr>
    </w:p>
    <w:p w14:paraId="72C9D5CC" w14:textId="06EFD3F6" w:rsidR="00B16C41" w:rsidRPr="00EA035C" w:rsidRDefault="00B16C41" w:rsidP="00EA035C">
      <w:pPr>
        <w:pStyle w:val="Prrafodelista"/>
        <w:numPr>
          <w:ilvl w:val="0"/>
          <w:numId w:val="23"/>
        </w:numPr>
        <w:tabs>
          <w:tab w:val="left" w:pos="426"/>
        </w:tabs>
        <w:spacing w:after="0" w:line="276" w:lineRule="auto"/>
        <w:jc w:val="both"/>
        <w:rPr>
          <w:rFonts w:ascii="Arial" w:eastAsia="Times New Roman" w:hAnsi="Arial" w:cs="Arial"/>
          <w:color w:val="000000" w:themeColor="text1"/>
          <w:lang w:eastAsia="es-ES_tradnl"/>
        </w:rPr>
      </w:pPr>
      <w:r w:rsidRPr="00EA035C">
        <w:rPr>
          <w:rFonts w:ascii="Arial" w:eastAsia="Times New Roman" w:hAnsi="Arial" w:cs="Arial"/>
          <w:color w:val="000000" w:themeColor="text1"/>
          <w:lang w:eastAsia="es-ES_tradnl"/>
        </w:rPr>
        <w:t xml:space="preserve">En línea con los conceptos Nos. 4 de 2008 y 68 de 2013 emitidos por el COPNIA, dado que las personas jurídicas no pueden y por tanto no les es exigible contar con una profesión, la ley las habilitó para contar con el apoyo de un profesional que avalara la propuestas relacionadas con ingeniería, pues si ello no hubiese ocurrido, a pesar que pueden desarrollar y desempeñar actividades catalogadas como el </w:t>
      </w:r>
      <w:r w:rsidRPr="00EA035C">
        <w:rPr>
          <w:rFonts w:ascii="Arial" w:eastAsia="Times New Roman" w:hAnsi="Arial" w:cs="Arial"/>
          <w:color w:val="000000" w:themeColor="text1"/>
          <w:lang w:eastAsia="es-ES_tradnl"/>
        </w:rPr>
        <w:lastRenderedPageBreak/>
        <w:t>ejercicio de la ingeniería por encontrarse en el marco de su objeto social, ante la ausencia de una matrícula o tarjeta profesional no lo podrían hacer. De aquí que el numeral «2.1 CARTA DE PRESENTACIÓN DE LA OFERTA», del «CAPÍTULO II ELABORACIÓN Y PRESENTACIÓN DE LA OFERTA», de los documentos tipo de obra de infraestructura de transporte, establezca que la persona natural que pretenda ser partícipe de un proceso de contratación deberá acreditar título de ingeniero en la respectiva rama de la ingeniería, según corresponda al objeto del proceso de contratación:</w:t>
      </w:r>
    </w:p>
    <w:p w14:paraId="441BDB43" w14:textId="77777777" w:rsidR="00B16C41" w:rsidRPr="00EA035C" w:rsidRDefault="00B16C41" w:rsidP="00B16C41">
      <w:pPr>
        <w:tabs>
          <w:tab w:val="left" w:pos="426"/>
        </w:tabs>
        <w:spacing w:after="0" w:line="276" w:lineRule="auto"/>
        <w:jc w:val="both"/>
        <w:rPr>
          <w:rFonts w:ascii="Arial" w:eastAsia="Times New Roman" w:hAnsi="Arial" w:cs="Arial"/>
          <w:color w:val="000000" w:themeColor="text1"/>
          <w:lang w:val="es-ES" w:eastAsia="es-ES_tradnl"/>
        </w:rPr>
      </w:pPr>
    </w:p>
    <w:p w14:paraId="7BB75F65" w14:textId="77777777" w:rsidR="00B16C41" w:rsidRPr="00EA035C" w:rsidRDefault="00B16C41" w:rsidP="00EA035C">
      <w:pPr>
        <w:pStyle w:val="Prrafodelista"/>
        <w:numPr>
          <w:ilvl w:val="0"/>
          <w:numId w:val="23"/>
        </w:numPr>
        <w:tabs>
          <w:tab w:val="left" w:pos="426"/>
        </w:tabs>
        <w:spacing w:after="0" w:line="240" w:lineRule="auto"/>
        <w:ind w:right="49"/>
        <w:jc w:val="both"/>
        <w:rPr>
          <w:rFonts w:ascii="Arial" w:eastAsia="Times New Roman" w:hAnsi="Arial" w:cs="Arial"/>
          <w:color w:val="000000" w:themeColor="text1"/>
          <w:lang w:eastAsia="es-ES_tradnl"/>
        </w:rPr>
      </w:pPr>
      <w:r w:rsidRPr="00EA035C">
        <w:rPr>
          <w:rFonts w:ascii="Arial" w:eastAsia="Times New Roman" w:hAnsi="Arial" w:cs="Arial"/>
          <w:color w:val="000000" w:themeColor="text1"/>
          <w:lang w:eastAsia="es-ES_tradnl"/>
        </w:rPr>
        <w:t>En virtud de lo previsto en la Ley 842 de 2003 y con el fin de no permitir el ejercicio ilegal de la Ingeniería, la persona natural (proponente individual o integrante de la estructura plural) que pretenda participar en el presente proceso, deberá acreditar que posee título como Ingeniero, para lo cual deberá adjuntar copia del certificado de vigencia de matrícula profesional expedida por el COPNIA o Consejo Profesional de Ingeniería de Transportes y Vías de Colombia en la respectiva rama de la ingeniería según corresponda, vigente a la fecha de cierre de este proceso de selección.</w:t>
      </w:r>
    </w:p>
    <w:p w14:paraId="44D39F86" w14:textId="77777777" w:rsidR="00B16C41" w:rsidRPr="00EA035C" w:rsidRDefault="00B16C41" w:rsidP="00B16C41">
      <w:pPr>
        <w:tabs>
          <w:tab w:val="left" w:pos="426"/>
        </w:tabs>
        <w:spacing w:after="0" w:line="240" w:lineRule="auto"/>
        <w:ind w:left="709" w:right="709"/>
        <w:jc w:val="both"/>
        <w:rPr>
          <w:rFonts w:ascii="Arial" w:eastAsia="Times New Roman" w:hAnsi="Arial" w:cs="Arial"/>
          <w:color w:val="000000" w:themeColor="text1"/>
          <w:lang w:val="es-ES" w:eastAsia="es-ES_tradnl"/>
        </w:rPr>
      </w:pPr>
    </w:p>
    <w:p w14:paraId="7E283A70" w14:textId="77777777" w:rsidR="00C23589" w:rsidRDefault="00B16C41" w:rsidP="00B16C41">
      <w:pPr>
        <w:pStyle w:val="Prrafodelista"/>
        <w:numPr>
          <w:ilvl w:val="0"/>
          <w:numId w:val="23"/>
        </w:numPr>
        <w:tabs>
          <w:tab w:val="left" w:pos="426"/>
        </w:tabs>
        <w:spacing w:after="0" w:line="276" w:lineRule="auto"/>
        <w:jc w:val="both"/>
        <w:rPr>
          <w:rFonts w:ascii="Arial" w:eastAsia="Times New Roman" w:hAnsi="Arial" w:cs="Arial"/>
          <w:color w:val="000000" w:themeColor="text1"/>
          <w:lang w:eastAsia="es-ES_tradnl"/>
        </w:rPr>
      </w:pPr>
      <w:r w:rsidRPr="00EA035C">
        <w:rPr>
          <w:rFonts w:ascii="Arial" w:eastAsia="Times New Roman" w:hAnsi="Arial" w:cs="Arial"/>
          <w:color w:val="000000" w:themeColor="text1"/>
          <w:lang w:eastAsia="es-ES_tradnl"/>
        </w:rPr>
        <w:t xml:space="preserve">De acuerdo con lo expuesto, y en concordancia con el Consejo Profesional Nacional de Ingeniería, la persona natural que presente propuesta -ya sea de manera individual o como integrante de un consorcio o unión temporal- en un proceso de contratación desarrollado en virtud de los documentos tipo de obra de infraestructura de transporte deberá acreditar título profesional en ingeniería, sin que sea posible que ante la ausencia de dicho título participe con el aval de un ingeniero de la rama relacionada con el objeto del proceso de contratación. </w:t>
      </w:r>
    </w:p>
    <w:p w14:paraId="6856D5CB" w14:textId="77777777" w:rsidR="00C23589" w:rsidRPr="00EA035C" w:rsidRDefault="00C23589" w:rsidP="00EA035C">
      <w:pPr>
        <w:pStyle w:val="Prrafodelista"/>
        <w:rPr>
          <w:rFonts w:ascii="Arial" w:eastAsia="Times New Roman" w:hAnsi="Arial" w:cs="Arial"/>
          <w:color w:val="000000" w:themeColor="text1"/>
          <w:lang w:eastAsia="es-ES_tradnl"/>
        </w:rPr>
      </w:pPr>
    </w:p>
    <w:p w14:paraId="21E3B8B4" w14:textId="72A9FBA7" w:rsidR="00B16C41" w:rsidRPr="00EA035C" w:rsidRDefault="00B16C41" w:rsidP="00EA035C">
      <w:pPr>
        <w:pStyle w:val="Prrafodelista"/>
        <w:numPr>
          <w:ilvl w:val="0"/>
          <w:numId w:val="23"/>
        </w:numPr>
        <w:tabs>
          <w:tab w:val="left" w:pos="426"/>
        </w:tabs>
        <w:spacing w:after="0" w:line="276" w:lineRule="auto"/>
        <w:jc w:val="both"/>
        <w:rPr>
          <w:rFonts w:ascii="Arial" w:eastAsia="Times New Roman" w:hAnsi="Arial" w:cs="Arial"/>
          <w:color w:val="000000" w:themeColor="text1"/>
          <w:lang w:eastAsia="es-ES_tradnl"/>
        </w:rPr>
      </w:pPr>
      <w:r w:rsidRPr="00EA035C">
        <w:rPr>
          <w:rFonts w:ascii="Arial" w:eastAsia="Times New Roman" w:hAnsi="Arial" w:cs="Arial"/>
          <w:color w:val="000000" w:themeColor="text1"/>
          <w:lang w:eastAsia="es-ES_tradnl"/>
        </w:rPr>
        <w:t>En ese orden, no resulta viable que una persona natural con título de arquitecto presente propuestas en procesos de selección en los que la ejecución del objeto contractual ofertado implique el ejercicio de la ingeniería. A juicio de la Corte Constitucional en la sentencia C-191 de 2005, la arquitectura constituye una disciplina distinta de la ingeniería. Esto sin perjuicio, de que se oferten objetos contractuales que puedan ser desarrollados por profesionales diferentes a un ingeniero o ingeniera, esto es, los que no supongan el ejercicio de la ingeniería, caso en el cual la posibilidad de participar de profesionales no ingenieros deberá ser analizada a luz de las normas que regulen la respectiva profesión, de ser el caso</w:t>
      </w:r>
    </w:p>
    <w:p w14:paraId="1AA5DE39" w14:textId="77777777" w:rsidR="000F1A13" w:rsidRPr="00EA035C" w:rsidRDefault="000F1A13" w:rsidP="000F1A13">
      <w:pPr>
        <w:spacing w:after="0" w:line="276" w:lineRule="auto"/>
        <w:jc w:val="both"/>
        <w:rPr>
          <w:rFonts w:ascii="Arial" w:eastAsia="Aptos" w:hAnsi="Arial" w:cs="Arial"/>
          <w:kern w:val="2"/>
          <w:lang w:val="es-ES"/>
          <w14:ligatures w14:val="standardContextual"/>
        </w:rPr>
      </w:pPr>
    </w:p>
    <w:p w14:paraId="4DDBE52F" w14:textId="77777777" w:rsidR="000F1A13" w:rsidRPr="00EA035C" w:rsidRDefault="000F1A13" w:rsidP="000F1A13">
      <w:pPr>
        <w:spacing w:after="0" w:line="276" w:lineRule="auto"/>
        <w:ind w:left="720"/>
        <w:contextualSpacing/>
        <w:jc w:val="both"/>
        <w:rPr>
          <w:rFonts w:ascii="Arial" w:eastAsia="Aptos" w:hAnsi="Arial" w:cs="Arial"/>
          <w:kern w:val="2"/>
          <w:lang w:val="es-MX"/>
          <w14:ligatures w14:val="standardContextual"/>
        </w:rPr>
      </w:pPr>
    </w:p>
    <w:p w14:paraId="297F7AAD" w14:textId="77777777" w:rsidR="000F1A13" w:rsidRPr="00EA035C" w:rsidRDefault="000F1A13" w:rsidP="000F1A13">
      <w:pPr>
        <w:widowControl w:val="0"/>
        <w:autoSpaceDE w:val="0"/>
        <w:autoSpaceDN w:val="0"/>
        <w:spacing w:after="0" w:line="276" w:lineRule="auto"/>
        <w:jc w:val="both"/>
        <w:rPr>
          <w:rFonts w:ascii="Arial" w:eastAsia="Calibri" w:hAnsi="Arial" w:cs="Arial"/>
        </w:rPr>
      </w:pPr>
    </w:p>
    <w:p w14:paraId="1A921072" w14:textId="77777777" w:rsidR="000F1A13" w:rsidRPr="00EA035C" w:rsidRDefault="000F1A13" w:rsidP="000F1A13">
      <w:pPr>
        <w:numPr>
          <w:ilvl w:val="0"/>
          <w:numId w:val="16"/>
        </w:numPr>
        <w:tabs>
          <w:tab w:val="left" w:pos="142"/>
          <w:tab w:val="left" w:pos="284"/>
        </w:tabs>
        <w:spacing w:after="0" w:line="276" w:lineRule="auto"/>
        <w:ind w:left="357" w:hanging="357"/>
        <w:jc w:val="both"/>
        <w:rPr>
          <w:rFonts w:ascii="Arial" w:eastAsia="Century Gothic" w:hAnsi="Arial" w:cs="Arial"/>
          <w:b/>
          <w:bCs/>
          <w:lang w:val="es-ES"/>
        </w:rPr>
      </w:pPr>
      <w:r w:rsidRPr="00EA035C">
        <w:rPr>
          <w:rFonts w:ascii="Arial" w:eastAsia="Century Gothic" w:hAnsi="Arial" w:cs="Arial"/>
          <w:b/>
          <w:bCs/>
          <w:lang w:val="es-ES"/>
        </w:rPr>
        <w:t>Referencias normativas, jurisprudenciales y otras fuentes:</w:t>
      </w:r>
    </w:p>
    <w:p w14:paraId="708DB7D5" w14:textId="77777777" w:rsidR="000F1A13" w:rsidRPr="00EA035C" w:rsidRDefault="000F1A13" w:rsidP="000F1A13">
      <w:pPr>
        <w:widowControl w:val="0"/>
        <w:autoSpaceDE w:val="0"/>
        <w:autoSpaceDN w:val="0"/>
        <w:spacing w:after="0" w:line="276" w:lineRule="auto"/>
        <w:jc w:val="both"/>
        <w:rPr>
          <w:rFonts w:ascii="Arial" w:eastAsia="Calibri" w:hAnsi="Arial"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0F1A13" w:rsidRPr="00B16C41" w14:paraId="6B6F0DAB" w14:textId="77777777" w:rsidTr="005D703A">
        <w:trPr>
          <w:trHeight w:val="870"/>
        </w:trPr>
        <w:tc>
          <w:tcPr>
            <w:tcW w:w="8647" w:type="dxa"/>
          </w:tcPr>
          <w:p w14:paraId="07D25F18" w14:textId="77777777" w:rsidR="000F1A13" w:rsidRPr="00EA035C" w:rsidRDefault="000F1A13" w:rsidP="005D703A">
            <w:pPr>
              <w:widowControl w:val="0"/>
              <w:numPr>
                <w:ilvl w:val="0"/>
                <w:numId w:val="17"/>
              </w:numPr>
              <w:autoSpaceDE w:val="0"/>
              <w:autoSpaceDN w:val="0"/>
              <w:spacing w:after="120" w:line="276" w:lineRule="auto"/>
              <w:jc w:val="both"/>
              <w:rPr>
                <w:rFonts w:ascii="Arial" w:eastAsia="Calibri" w:hAnsi="Arial" w:cs="Arial"/>
              </w:rPr>
            </w:pPr>
            <w:r w:rsidRPr="00EA035C">
              <w:rPr>
                <w:rFonts w:ascii="Arial" w:eastAsia="Calibri" w:hAnsi="Arial" w:cs="Arial"/>
              </w:rPr>
              <w:lastRenderedPageBreak/>
              <w:t>Constitución Política, artículo 26.</w:t>
            </w:r>
          </w:p>
          <w:p w14:paraId="2C96C0CF" w14:textId="77777777" w:rsidR="000F1A13" w:rsidRPr="00EA035C" w:rsidRDefault="000F1A13" w:rsidP="005D703A">
            <w:pPr>
              <w:widowControl w:val="0"/>
              <w:numPr>
                <w:ilvl w:val="0"/>
                <w:numId w:val="17"/>
              </w:numPr>
              <w:autoSpaceDE w:val="0"/>
              <w:autoSpaceDN w:val="0"/>
              <w:spacing w:after="120" w:line="276" w:lineRule="auto"/>
              <w:jc w:val="both"/>
              <w:rPr>
                <w:rFonts w:ascii="Arial" w:eastAsia="Calibri" w:hAnsi="Arial" w:cs="Arial"/>
              </w:rPr>
            </w:pPr>
            <w:r w:rsidRPr="00EA035C">
              <w:rPr>
                <w:rFonts w:ascii="Arial" w:eastAsia="Calibri" w:hAnsi="Arial" w:cs="Arial"/>
              </w:rPr>
              <w:t>Ley 842 de 2003, artículos 2, 5, 6, 18 y 20.</w:t>
            </w:r>
          </w:p>
          <w:p w14:paraId="2E6F9BAB" w14:textId="77777777" w:rsidR="000F1A13" w:rsidRPr="00EA035C" w:rsidRDefault="000F1A13" w:rsidP="005D703A">
            <w:pPr>
              <w:widowControl w:val="0"/>
              <w:numPr>
                <w:ilvl w:val="0"/>
                <w:numId w:val="17"/>
              </w:numPr>
              <w:autoSpaceDE w:val="0"/>
              <w:autoSpaceDN w:val="0"/>
              <w:spacing w:after="120" w:line="276" w:lineRule="auto"/>
              <w:jc w:val="both"/>
              <w:rPr>
                <w:rFonts w:ascii="Arial" w:eastAsia="Calibri" w:hAnsi="Arial" w:cs="Arial"/>
              </w:rPr>
            </w:pPr>
            <w:r w:rsidRPr="00EA035C">
              <w:rPr>
                <w:rFonts w:ascii="Arial" w:eastAsia="Calibri" w:hAnsi="Arial" w:cs="Arial"/>
              </w:rPr>
              <w:t>Corte Constitucional, sentencia C-697 de 2000, M.P. Eduardo Cifuentes Muñoz.</w:t>
            </w:r>
          </w:p>
          <w:p w14:paraId="0AB3BA21" w14:textId="77777777" w:rsidR="000F1A13" w:rsidRPr="00EA035C" w:rsidRDefault="000F1A13" w:rsidP="005D703A">
            <w:pPr>
              <w:widowControl w:val="0"/>
              <w:numPr>
                <w:ilvl w:val="0"/>
                <w:numId w:val="17"/>
              </w:numPr>
              <w:autoSpaceDE w:val="0"/>
              <w:autoSpaceDN w:val="0"/>
              <w:spacing w:after="120" w:line="276" w:lineRule="auto"/>
              <w:jc w:val="both"/>
              <w:rPr>
                <w:rFonts w:ascii="Arial" w:eastAsia="Calibri" w:hAnsi="Arial" w:cs="Arial"/>
                <w:lang w:val="pt-BR"/>
              </w:rPr>
            </w:pPr>
            <w:r w:rsidRPr="00EA035C">
              <w:rPr>
                <w:rFonts w:ascii="Arial" w:eastAsia="Calibri" w:hAnsi="Arial" w:cs="Arial"/>
                <w:lang w:val="pt-BR"/>
              </w:rPr>
              <w:t xml:space="preserve">Corte Constitucional, sentencia C-191 de 2005, M.P. Manuel José Cepeda Espinosa. </w:t>
            </w:r>
          </w:p>
          <w:p w14:paraId="2BF830A6" w14:textId="1EEBE6B9" w:rsidR="000F1A13" w:rsidRPr="00EA035C" w:rsidRDefault="000F1A13" w:rsidP="005D703A">
            <w:pPr>
              <w:widowControl w:val="0"/>
              <w:numPr>
                <w:ilvl w:val="0"/>
                <w:numId w:val="17"/>
              </w:numPr>
              <w:autoSpaceDE w:val="0"/>
              <w:autoSpaceDN w:val="0"/>
              <w:spacing w:after="120" w:line="276" w:lineRule="auto"/>
              <w:jc w:val="both"/>
              <w:rPr>
                <w:rFonts w:ascii="Arial" w:eastAsia="Calibri" w:hAnsi="Arial" w:cs="Arial"/>
                <w:lang w:val="pt-BR"/>
              </w:rPr>
            </w:pPr>
            <w:r w:rsidRPr="00EA035C">
              <w:rPr>
                <w:rFonts w:ascii="Arial" w:eastAsia="Aptos" w:hAnsi="Arial" w:cs="Arial"/>
                <w:spacing w:val="2"/>
                <w:lang w:val="pt-BR" w:eastAsia="es-CO"/>
              </w:rPr>
              <w:t xml:space="preserve">Documentos tipo de obra pública de infraestrutura de transporte. </w:t>
            </w:r>
            <w:proofErr w:type="spellStart"/>
            <w:r w:rsidRPr="00EA035C">
              <w:rPr>
                <w:rFonts w:ascii="Arial" w:eastAsia="Aptos" w:hAnsi="Arial" w:cs="Arial"/>
                <w:spacing w:val="2"/>
                <w:lang w:val="pt-BR" w:eastAsia="es-CO"/>
              </w:rPr>
              <w:t>Disponibles</w:t>
            </w:r>
            <w:proofErr w:type="spellEnd"/>
            <w:r w:rsidRPr="00EA035C">
              <w:rPr>
                <w:rFonts w:ascii="Arial" w:eastAsia="Aptos" w:hAnsi="Arial" w:cs="Arial"/>
                <w:spacing w:val="2"/>
                <w:lang w:val="pt-BR" w:eastAsia="es-CO"/>
              </w:rPr>
              <w:t xml:space="preserve"> </w:t>
            </w:r>
            <w:proofErr w:type="spellStart"/>
            <w:r w:rsidRPr="00EA035C">
              <w:rPr>
                <w:rFonts w:ascii="Arial" w:eastAsia="Aptos" w:hAnsi="Arial" w:cs="Arial"/>
                <w:spacing w:val="2"/>
                <w:lang w:val="pt-BR" w:eastAsia="es-CO"/>
              </w:rPr>
              <w:t>en</w:t>
            </w:r>
            <w:proofErr w:type="spellEnd"/>
            <w:r w:rsidRPr="00EA035C">
              <w:rPr>
                <w:rFonts w:ascii="Arial" w:eastAsia="Aptos" w:hAnsi="Arial" w:cs="Arial"/>
                <w:spacing w:val="2"/>
                <w:lang w:val="pt-BR" w:eastAsia="es-CO"/>
              </w:rPr>
              <w:t xml:space="preserve">: </w:t>
            </w:r>
            <w:hyperlink r:id="rId12" w:history="1">
              <w:r w:rsidRPr="00EA035C">
                <w:rPr>
                  <w:rFonts w:ascii="Arial" w:eastAsia="Aptos" w:hAnsi="Arial" w:cs="Arial"/>
                  <w:color w:val="0000FF"/>
                  <w:spacing w:val="2"/>
                  <w:u w:val="single"/>
                  <w:lang w:val="pt-BR" w:eastAsia="es-CO"/>
                </w:rPr>
                <w:t>https://www.colombiacompra.gov.co/content/documentos-tipo-de-infraestructura-de-transporte</w:t>
              </w:r>
            </w:hyperlink>
            <w:r w:rsidRPr="00EA035C">
              <w:rPr>
                <w:rFonts w:ascii="Arial" w:eastAsia="Aptos" w:hAnsi="Arial" w:cs="Arial"/>
                <w:spacing w:val="2"/>
                <w:lang w:val="pt-BR" w:eastAsia="es-CO"/>
              </w:rPr>
              <w:t xml:space="preserve"> </w:t>
            </w:r>
          </w:p>
        </w:tc>
      </w:tr>
    </w:tbl>
    <w:p w14:paraId="1E6C5042" w14:textId="77777777" w:rsidR="000F1A13" w:rsidRPr="00EA035C" w:rsidRDefault="000F1A13" w:rsidP="000F1A13">
      <w:pPr>
        <w:widowControl w:val="0"/>
        <w:autoSpaceDE w:val="0"/>
        <w:autoSpaceDN w:val="0"/>
        <w:spacing w:after="0" w:line="276" w:lineRule="auto"/>
        <w:jc w:val="both"/>
        <w:rPr>
          <w:rFonts w:ascii="Arial" w:eastAsia="Calibri" w:hAnsi="Arial" w:cs="Arial"/>
          <w:lang w:val="pt-BR"/>
        </w:rPr>
      </w:pPr>
    </w:p>
    <w:p w14:paraId="3C4FC69F" w14:textId="77777777" w:rsidR="000F1A13" w:rsidRPr="00EA035C" w:rsidRDefault="000F1A13" w:rsidP="000F1A13">
      <w:pPr>
        <w:numPr>
          <w:ilvl w:val="0"/>
          <w:numId w:val="16"/>
        </w:numPr>
        <w:tabs>
          <w:tab w:val="left" w:pos="142"/>
          <w:tab w:val="left" w:pos="284"/>
        </w:tabs>
        <w:spacing w:after="0" w:line="276" w:lineRule="auto"/>
        <w:ind w:left="357" w:hanging="357"/>
        <w:jc w:val="both"/>
        <w:rPr>
          <w:rFonts w:ascii="Arial" w:eastAsia="Century Gothic" w:hAnsi="Arial" w:cs="Arial"/>
          <w:b/>
          <w:bCs/>
          <w:lang w:val="es-ES"/>
        </w:rPr>
      </w:pPr>
      <w:r w:rsidRPr="00EA035C">
        <w:rPr>
          <w:rFonts w:ascii="Arial" w:eastAsia="Century Gothic" w:hAnsi="Arial" w:cs="Arial"/>
          <w:b/>
          <w:bCs/>
          <w:lang w:val="es-ES"/>
        </w:rPr>
        <w:t>Doctrina de la Agencia Nacional de Contratación Pública:</w:t>
      </w:r>
    </w:p>
    <w:p w14:paraId="5B83A903" w14:textId="77777777" w:rsidR="000F1A13" w:rsidRPr="00EA035C" w:rsidRDefault="000F1A13" w:rsidP="000F1A13">
      <w:pPr>
        <w:widowControl w:val="0"/>
        <w:autoSpaceDE w:val="0"/>
        <w:autoSpaceDN w:val="0"/>
        <w:spacing w:after="0" w:line="276" w:lineRule="auto"/>
        <w:jc w:val="both"/>
        <w:rPr>
          <w:rFonts w:ascii="Arial" w:eastAsia="Calibri" w:hAnsi="Arial" w:cs="Arial"/>
        </w:rPr>
      </w:pPr>
    </w:p>
    <w:p w14:paraId="64F7BD77" w14:textId="77777777" w:rsidR="000F1A13" w:rsidRPr="00EA035C" w:rsidRDefault="000F1A13" w:rsidP="000F1A13">
      <w:pPr>
        <w:widowControl w:val="0"/>
        <w:autoSpaceDE w:val="0"/>
        <w:autoSpaceDN w:val="0"/>
        <w:spacing w:after="0" w:line="276" w:lineRule="auto"/>
        <w:jc w:val="both"/>
        <w:rPr>
          <w:rFonts w:ascii="Arial" w:eastAsia="Calibri" w:hAnsi="Arial" w:cs="Arial"/>
          <w:shd w:val="clear" w:color="auto" w:fill="FFFFFF"/>
          <w:lang w:val="es-ES"/>
        </w:rPr>
      </w:pPr>
      <w:r w:rsidRPr="00EA035C">
        <w:rPr>
          <w:rFonts w:ascii="Arial" w:eastAsia="Calibri" w:hAnsi="Arial" w:cs="Arial"/>
          <w:shd w:val="clear" w:color="auto" w:fill="FFFFFF"/>
          <w:lang w:val="es-ES"/>
        </w:rPr>
        <w:t xml:space="preserve">La Agencia Nacional de Contratación Pública – Colombia Compra Eficiente se ha pronunciado sobre el aval y la participación de profesionales de la ingeniería en los procesos de contratación regidos por los documentos tipo del sector de infraestructura de transporte, en los conceptos: 2201913000006376 del 30 de agosto de 2019, 2201913000009554 del 24 de diciembre de 2019, C-054 del 19 de febrero de 2020, C-703 del 7 de diciembre de 2020, C-752 del 30 de noviembre de 2020, C-800 del 1 de febrero de 2021, C-105 del 26 de marzo de 2021, C-216 del 4 de mayo de 2021, C-298 del 22 de junio de 2021, C-360 del 2 de agosto de 2021, C-447 del 30 de agosto de 2021, C-659 del 30 de agosto de 2021, C-613 del 2 de noviembre de 2021, C-167 del 29 de marzo de 2022, C-893 del 27 de diciembre de 2022, C-254 del 18 de agosto de 2023 Y C – 413 del 2024. </w:t>
      </w:r>
      <w:r w:rsidRPr="00EA035C">
        <w:rPr>
          <w:rFonts w:ascii="Arial" w:eastAsia="Calibri" w:hAnsi="Arial" w:cs="Arial"/>
          <w:kern w:val="2"/>
          <w:shd w:val="clear" w:color="auto" w:fill="FFFFFF"/>
          <w:lang w:val="es-ES"/>
          <w14:ligatures w14:val="standardContextual"/>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r w:rsidRPr="00EA035C">
        <w:rPr>
          <w:rFonts w:ascii="Arial" w:eastAsia="Calibri" w:hAnsi="Arial" w:cs="Arial"/>
          <w:shd w:val="clear" w:color="auto" w:fill="FFFFFF"/>
          <w:lang w:val="es-ES"/>
        </w:rPr>
        <w:t xml:space="preserve"> </w:t>
      </w:r>
    </w:p>
    <w:p w14:paraId="0F2C7538" w14:textId="77777777" w:rsidR="000F1A13" w:rsidRPr="00EA035C" w:rsidRDefault="000F1A13" w:rsidP="000F1A13">
      <w:pPr>
        <w:widowControl w:val="0"/>
        <w:autoSpaceDE w:val="0"/>
        <w:autoSpaceDN w:val="0"/>
        <w:spacing w:after="0" w:line="276" w:lineRule="auto"/>
        <w:jc w:val="both"/>
        <w:rPr>
          <w:rFonts w:ascii="Arial" w:eastAsia="Calibri" w:hAnsi="Arial" w:cs="Arial"/>
          <w:shd w:val="clear" w:color="auto" w:fill="FFFFFF"/>
          <w:lang w:val="es-ES"/>
        </w:rPr>
      </w:pPr>
    </w:p>
    <w:p w14:paraId="3799A9E7" w14:textId="77777777" w:rsidR="000F1A13" w:rsidRPr="00EA035C" w:rsidRDefault="000F1A13" w:rsidP="000F1A13">
      <w:pPr>
        <w:widowControl w:val="0"/>
        <w:autoSpaceDE w:val="0"/>
        <w:autoSpaceDN w:val="0"/>
        <w:spacing w:after="0" w:line="276" w:lineRule="auto"/>
        <w:jc w:val="both"/>
        <w:rPr>
          <w:rFonts w:ascii="Arial" w:eastAsia="Calibri" w:hAnsi="Arial" w:cs="Arial"/>
          <w:kern w:val="2"/>
          <w:shd w:val="clear" w:color="auto" w:fill="FFFFFF"/>
          <w:lang w:val="es-ES"/>
          <w14:ligatures w14:val="standardContextual"/>
        </w:rPr>
      </w:pPr>
      <w:r w:rsidRPr="00EA035C">
        <w:rPr>
          <w:rFonts w:ascii="Arial" w:eastAsia="Calibri" w:hAnsi="Arial" w:cs="Arial"/>
          <w:kern w:val="2"/>
          <w:shd w:val="clear" w:color="auto" w:fill="FFFFFF"/>
          <w:lang w:val="es-ES"/>
          <w14:ligatures w14:val="standardContextual"/>
        </w:rPr>
        <w:t xml:space="preserve">También, le invitamos a revisar la tercera edición del Boletín de Relatoría de 2024, en el cual podrá encontrar en detalle el marco normativo de documentos tipo: </w:t>
      </w:r>
      <w:hyperlink r:id="rId13" w:history="1">
        <w:r w:rsidRPr="00EA035C">
          <w:rPr>
            <w:rFonts w:ascii="Arial" w:eastAsia="Calibri" w:hAnsi="Arial" w:cs="Arial"/>
            <w:color w:val="0000FF"/>
            <w:kern w:val="2"/>
            <w:u w:val="single"/>
            <w:shd w:val="clear" w:color="auto" w:fill="FFFFFF"/>
            <w:lang w:val="es-ES"/>
            <w14:ligatures w14:val="standardContextual"/>
          </w:rPr>
          <w:t>https://www.colombiacompra.gov.co/sites/cce_public/files/files_2020/boletin_de_realtoria_iii.pdf</w:t>
        </w:r>
      </w:hyperlink>
      <w:r w:rsidRPr="00EA035C">
        <w:rPr>
          <w:rFonts w:ascii="Arial" w:eastAsia="Calibri" w:hAnsi="Arial" w:cs="Arial"/>
          <w:kern w:val="2"/>
          <w:shd w:val="clear" w:color="auto" w:fill="FFFFFF"/>
          <w:lang w:val="es-ES"/>
          <w14:ligatures w14:val="standardContextual"/>
        </w:rPr>
        <w:t xml:space="preserve">. </w:t>
      </w:r>
    </w:p>
    <w:p w14:paraId="1D17E47A" w14:textId="77777777" w:rsidR="000F1A13" w:rsidRPr="00EA035C" w:rsidRDefault="000F1A13" w:rsidP="000F1A13">
      <w:pPr>
        <w:widowControl w:val="0"/>
        <w:autoSpaceDE w:val="0"/>
        <w:autoSpaceDN w:val="0"/>
        <w:spacing w:after="0" w:line="276" w:lineRule="auto"/>
        <w:jc w:val="both"/>
        <w:rPr>
          <w:rFonts w:ascii="Arial" w:eastAsia="Calibri" w:hAnsi="Arial" w:cs="Arial"/>
          <w:shd w:val="clear" w:color="auto" w:fill="FFFFFF"/>
          <w:lang w:val="es-ES"/>
        </w:rPr>
      </w:pPr>
    </w:p>
    <w:p w14:paraId="38A4E2D4" w14:textId="77777777" w:rsidR="000F1A13" w:rsidRPr="00EA035C" w:rsidRDefault="000F1A13" w:rsidP="000F1A13">
      <w:pPr>
        <w:spacing w:after="0" w:line="276" w:lineRule="auto"/>
        <w:jc w:val="both"/>
        <w:rPr>
          <w:rFonts w:ascii="Arial" w:eastAsia="Calibri" w:hAnsi="Arial" w:cs="Arial"/>
        </w:rPr>
      </w:pPr>
      <w:r w:rsidRPr="00EA035C">
        <w:rPr>
          <w:rFonts w:ascii="Arial" w:eastAsia="Calibri" w:hAnsi="Arial" w:cs="Arial"/>
        </w:rPr>
        <w:t xml:space="preserve">Por último, los invitamos a seguirnos en las redes sociales, en las cuales se difunde información institucional: </w:t>
      </w:r>
    </w:p>
    <w:p w14:paraId="289EB5EF" w14:textId="77777777" w:rsidR="000F1A13" w:rsidRPr="00EA035C" w:rsidRDefault="000F1A13" w:rsidP="000F1A13">
      <w:pPr>
        <w:spacing w:after="0" w:line="240" w:lineRule="auto"/>
        <w:jc w:val="both"/>
        <w:rPr>
          <w:rFonts w:ascii="Arial" w:eastAsia="Calibri" w:hAnsi="Arial" w:cs="Arial"/>
        </w:rPr>
      </w:pPr>
    </w:p>
    <w:p w14:paraId="6BB66046" w14:textId="77777777" w:rsidR="000F1A13" w:rsidRPr="00EA035C" w:rsidRDefault="000F1A13" w:rsidP="000F1A13">
      <w:pPr>
        <w:spacing w:after="0" w:line="240" w:lineRule="auto"/>
        <w:jc w:val="both"/>
        <w:rPr>
          <w:rFonts w:ascii="Arial" w:eastAsia="Calibri" w:hAnsi="Arial" w:cs="Arial"/>
        </w:rPr>
      </w:pPr>
      <w:r w:rsidRPr="00EA035C">
        <w:rPr>
          <w:rFonts w:ascii="Arial" w:eastAsia="Calibri" w:hAnsi="Arial" w:cs="Arial"/>
        </w:rPr>
        <w:t xml:space="preserve">Twitter: </w:t>
      </w:r>
      <w:r w:rsidRPr="00EA035C">
        <w:rPr>
          <w:rFonts w:ascii="Arial" w:eastAsia="Calibri" w:hAnsi="Arial" w:cs="Arial"/>
          <w:u w:val="single"/>
        </w:rPr>
        <w:t>@colombiacompra</w:t>
      </w:r>
      <w:r w:rsidRPr="00EA035C">
        <w:rPr>
          <w:rFonts w:ascii="Arial" w:eastAsia="Calibri" w:hAnsi="Arial" w:cs="Arial"/>
        </w:rPr>
        <w:t xml:space="preserve"> </w:t>
      </w:r>
    </w:p>
    <w:p w14:paraId="4E983E16" w14:textId="77777777" w:rsidR="000F1A13" w:rsidRPr="00EA035C" w:rsidRDefault="000F1A13" w:rsidP="000F1A13">
      <w:pPr>
        <w:spacing w:after="0" w:line="240" w:lineRule="auto"/>
        <w:jc w:val="both"/>
        <w:rPr>
          <w:rFonts w:ascii="Arial" w:eastAsia="Calibri" w:hAnsi="Arial" w:cs="Arial"/>
        </w:rPr>
      </w:pPr>
      <w:r w:rsidRPr="00EA035C">
        <w:rPr>
          <w:rFonts w:ascii="Arial" w:eastAsia="Calibri" w:hAnsi="Arial" w:cs="Arial"/>
        </w:rPr>
        <w:t xml:space="preserve">Facebook: </w:t>
      </w:r>
      <w:proofErr w:type="spellStart"/>
      <w:r w:rsidRPr="00EA035C">
        <w:rPr>
          <w:rFonts w:ascii="Arial" w:eastAsia="Calibri" w:hAnsi="Arial" w:cs="Arial"/>
          <w:u w:val="single"/>
        </w:rPr>
        <w:t>ColombiaCompraEficiente</w:t>
      </w:r>
      <w:proofErr w:type="spellEnd"/>
    </w:p>
    <w:p w14:paraId="4192B81F" w14:textId="77777777" w:rsidR="000F1A13" w:rsidRPr="00EA035C" w:rsidRDefault="000F1A13" w:rsidP="000F1A13">
      <w:pPr>
        <w:spacing w:after="0" w:line="276" w:lineRule="auto"/>
        <w:jc w:val="both"/>
        <w:rPr>
          <w:rFonts w:ascii="Arial" w:eastAsia="Calibri" w:hAnsi="Arial" w:cs="Arial"/>
        </w:rPr>
      </w:pPr>
      <w:r w:rsidRPr="00EA035C">
        <w:rPr>
          <w:rFonts w:ascii="Arial" w:eastAsia="Calibri" w:hAnsi="Arial" w:cs="Arial"/>
        </w:rPr>
        <w:t xml:space="preserve">LinkedIn: </w:t>
      </w:r>
      <w:r w:rsidRPr="00EA035C">
        <w:rPr>
          <w:rFonts w:ascii="Arial" w:eastAsia="Calibri" w:hAnsi="Arial" w:cs="Arial"/>
          <w:u w:val="single"/>
        </w:rPr>
        <w:t>Agencia Nacional de Contratación Pública - Colombia Compra Eficiente</w:t>
      </w:r>
      <w:r w:rsidRPr="00EA035C">
        <w:rPr>
          <w:rFonts w:ascii="Arial" w:eastAsia="Calibri" w:hAnsi="Arial" w:cs="Arial"/>
        </w:rPr>
        <w:t xml:space="preserve"> Instagram: </w:t>
      </w:r>
      <w:r w:rsidRPr="00EA035C">
        <w:rPr>
          <w:rFonts w:ascii="Arial" w:eastAsia="Calibri" w:hAnsi="Arial" w:cs="Arial"/>
          <w:u w:val="single"/>
        </w:rPr>
        <w:t>@colombiacompraeficiente_cce</w:t>
      </w:r>
    </w:p>
    <w:p w14:paraId="34AE46D8" w14:textId="77777777" w:rsidR="000F1A13" w:rsidRPr="00EA035C" w:rsidRDefault="000F1A13" w:rsidP="000F1A13">
      <w:pPr>
        <w:widowControl w:val="0"/>
        <w:autoSpaceDE w:val="0"/>
        <w:autoSpaceDN w:val="0"/>
        <w:spacing w:after="0" w:line="276" w:lineRule="auto"/>
        <w:jc w:val="both"/>
        <w:rPr>
          <w:rFonts w:ascii="Arial" w:eastAsia="Calibri" w:hAnsi="Arial" w:cs="Arial"/>
        </w:rPr>
      </w:pPr>
    </w:p>
    <w:p w14:paraId="1CE08E2F" w14:textId="77777777" w:rsidR="000F1A13" w:rsidRPr="00EA035C" w:rsidRDefault="000F1A13" w:rsidP="000F1A13">
      <w:pPr>
        <w:widowControl w:val="0"/>
        <w:autoSpaceDE w:val="0"/>
        <w:autoSpaceDN w:val="0"/>
        <w:spacing w:after="0" w:line="276" w:lineRule="auto"/>
        <w:jc w:val="both"/>
        <w:rPr>
          <w:rFonts w:ascii="Arial" w:eastAsia="Calibri" w:hAnsi="Arial" w:cs="Arial"/>
          <w:lang w:val="es-ES_tradnl"/>
        </w:rPr>
      </w:pPr>
      <w:r w:rsidRPr="00EA035C">
        <w:rPr>
          <w:rFonts w:ascii="Arial" w:eastAsia="Calibri" w:hAnsi="Arial" w:cs="Arial"/>
        </w:rPr>
        <w:t xml:space="preserve">Este concepto tiene el alcance previsto en el artículo 28 del Código de Procedimiento Administrativo y de lo Contencioso Administrativo </w:t>
      </w:r>
      <w:r w:rsidRPr="00EA035C">
        <w:rPr>
          <w:rFonts w:ascii="Arial" w:eastAsia="Calibri" w:hAnsi="Arial" w:cs="Arial"/>
          <w:lang w:val="es-ES_tradnl"/>
        </w:rPr>
        <w:t>y las expresiones aquí utilizadas con mayúscula inicial deben ser entendidas con el significado que les otorga el artículo 2.2.1.1.1.3.1. del Decreto 1082 de 2015.</w:t>
      </w:r>
    </w:p>
    <w:p w14:paraId="6DBB6003" w14:textId="77777777" w:rsidR="000F1A13" w:rsidRPr="00EA035C" w:rsidRDefault="000F1A13" w:rsidP="000F1A13">
      <w:pPr>
        <w:widowControl w:val="0"/>
        <w:autoSpaceDE w:val="0"/>
        <w:autoSpaceDN w:val="0"/>
        <w:spacing w:after="0" w:line="276" w:lineRule="auto"/>
        <w:jc w:val="both"/>
        <w:rPr>
          <w:rFonts w:ascii="Arial" w:eastAsia="Calibri" w:hAnsi="Arial" w:cs="Arial"/>
        </w:rPr>
      </w:pPr>
    </w:p>
    <w:p w14:paraId="485F431C" w14:textId="77777777" w:rsidR="000F1A13" w:rsidRPr="00EA035C" w:rsidRDefault="000F1A13" w:rsidP="000F1A13">
      <w:pPr>
        <w:spacing w:after="0" w:line="240" w:lineRule="auto"/>
        <w:rPr>
          <w:rFonts w:ascii="Arial" w:eastAsia="Calibri" w:hAnsi="Arial" w:cs="Arial"/>
          <w:lang w:eastAsia="es-CO"/>
        </w:rPr>
      </w:pPr>
      <w:r w:rsidRPr="00EA035C">
        <w:rPr>
          <w:rFonts w:ascii="Arial" w:eastAsia="Times New Roman" w:hAnsi="Arial" w:cs="Arial"/>
          <w:lang w:eastAsia="es-CO"/>
        </w:rPr>
        <w:t>Atentamente,</w:t>
      </w:r>
      <w:r w:rsidRPr="00EA035C">
        <w:rPr>
          <w:rFonts w:ascii="Arial" w:eastAsia="Calibri" w:hAnsi="Arial" w:cs="Arial"/>
          <w:lang w:eastAsia="es-CO"/>
        </w:rPr>
        <w:t xml:space="preserve"> </w:t>
      </w:r>
    </w:p>
    <w:p w14:paraId="099E51EE" w14:textId="73F145DA" w:rsidR="000F1A13" w:rsidRPr="00EA035C" w:rsidRDefault="004B050C" w:rsidP="000F1A13">
      <w:pPr>
        <w:spacing w:line="276" w:lineRule="auto"/>
        <w:jc w:val="center"/>
        <w:rPr>
          <w:rFonts w:ascii="Arial" w:eastAsia="Calibri" w:hAnsi="Arial" w:cs="Arial"/>
          <w:lang w:val="es-ES_tradnl" w:eastAsia="es-CO"/>
        </w:rPr>
      </w:pPr>
      <w:r>
        <w:rPr>
          <w:noProof/>
        </w:rPr>
        <w:drawing>
          <wp:inline distT="0" distB="0" distL="0" distR="0" wp14:anchorId="0A11AE8A" wp14:editId="63619ECD">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F1A13" w:rsidRPr="00B16C41" w14:paraId="77198903" w14:textId="77777777" w:rsidTr="005D703A">
        <w:trPr>
          <w:trHeight w:val="315"/>
        </w:trPr>
        <w:tc>
          <w:tcPr>
            <w:tcW w:w="893" w:type="dxa"/>
            <w:vAlign w:val="center"/>
            <w:hideMark/>
          </w:tcPr>
          <w:p w14:paraId="19B9D940" w14:textId="77777777" w:rsidR="000F1A13" w:rsidRPr="00EA035C" w:rsidRDefault="000F1A13" w:rsidP="005D703A">
            <w:pPr>
              <w:rPr>
                <w:rFonts w:ascii="Arial" w:eastAsia="Calibri" w:hAnsi="Arial" w:cs="Arial"/>
                <w:sz w:val="18"/>
                <w:szCs w:val="18"/>
                <w:lang w:val="es-ES" w:eastAsia="es-ES"/>
              </w:rPr>
            </w:pPr>
            <w:r w:rsidRPr="00EA035C">
              <w:rPr>
                <w:rFonts w:ascii="Arial" w:eastAsia="Calibri" w:hAnsi="Arial" w:cs="Arial"/>
                <w:sz w:val="18"/>
                <w:szCs w:val="18"/>
                <w:lang w:val="es-ES" w:eastAsia="es-ES"/>
              </w:rPr>
              <w:t>Elaboró:</w:t>
            </w:r>
          </w:p>
        </w:tc>
        <w:tc>
          <w:tcPr>
            <w:tcW w:w="5628" w:type="dxa"/>
            <w:tcBorders>
              <w:top w:val="nil"/>
              <w:left w:val="nil"/>
              <w:bottom w:val="dotted" w:sz="4" w:space="0" w:color="7F7F7F"/>
              <w:right w:val="nil"/>
            </w:tcBorders>
            <w:vAlign w:val="center"/>
            <w:hideMark/>
          </w:tcPr>
          <w:p w14:paraId="09D03229" w14:textId="7F858889" w:rsidR="000F1A13" w:rsidRPr="00EA035C" w:rsidRDefault="000F1A13" w:rsidP="005D703A">
            <w:pPr>
              <w:rPr>
                <w:rFonts w:ascii="Arial" w:eastAsia="Arial" w:hAnsi="Arial" w:cs="Arial"/>
                <w:sz w:val="18"/>
                <w:szCs w:val="18"/>
              </w:rPr>
            </w:pPr>
            <w:r w:rsidRPr="00EA035C">
              <w:rPr>
                <w:rFonts w:ascii="Arial" w:eastAsia="Arial" w:hAnsi="Arial" w:cs="Arial"/>
                <w:sz w:val="18"/>
                <w:szCs w:val="18"/>
              </w:rPr>
              <w:t xml:space="preserve">Héctor Luis Quiñones </w:t>
            </w:r>
            <w:proofErr w:type="spellStart"/>
            <w:r w:rsidRPr="00EA035C">
              <w:rPr>
                <w:rFonts w:ascii="Arial" w:eastAsia="Arial" w:hAnsi="Arial" w:cs="Arial"/>
                <w:sz w:val="18"/>
                <w:szCs w:val="18"/>
              </w:rPr>
              <w:t>Quiñones</w:t>
            </w:r>
            <w:proofErr w:type="spellEnd"/>
          </w:p>
          <w:p w14:paraId="1321146E" w14:textId="77777777" w:rsidR="000F1A13" w:rsidRPr="00EA035C" w:rsidRDefault="000F1A13" w:rsidP="005D703A">
            <w:pPr>
              <w:rPr>
                <w:rFonts w:ascii="Arial" w:eastAsia="Arial" w:hAnsi="Arial" w:cs="Arial"/>
                <w:sz w:val="18"/>
                <w:szCs w:val="18"/>
              </w:rPr>
            </w:pPr>
            <w:r w:rsidRPr="00EA035C">
              <w:rPr>
                <w:rFonts w:ascii="Arial" w:eastAsia="Arial" w:hAnsi="Arial" w:cs="Arial"/>
                <w:sz w:val="18"/>
                <w:szCs w:val="18"/>
              </w:rPr>
              <w:t>Analista T2 – 02 de la Subdirección de Gestión Contractual</w:t>
            </w:r>
          </w:p>
        </w:tc>
      </w:tr>
      <w:tr w:rsidR="000F1A13" w:rsidRPr="00B16C41" w14:paraId="110CBB31" w14:textId="77777777" w:rsidTr="005D703A">
        <w:trPr>
          <w:trHeight w:val="330"/>
        </w:trPr>
        <w:tc>
          <w:tcPr>
            <w:tcW w:w="893" w:type="dxa"/>
            <w:vAlign w:val="center"/>
            <w:hideMark/>
          </w:tcPr>
          <w:p w14:paraId="29AA3C1D" w14:textId="77777777" w:rsidR="000F1A13" w:rsidRPr="00EA035C" w:rsidRDefault="000F1A13" w:rsidP="005D703A">
            <w:pPr>
              <w:rPr>
                <w:rFonts w:ascii="Arial" w:eastAsia="Calibri" w:hAnsi="Arial" w:cs="Arial"/>
                <w:sz w:val="18"/>
                <w:szCs w:val="18"/>
                <w:lang w:val="es-ES" w:eastAsia="es-ES"/>
              </w:rPr>
            </w:pPr>
            <w:r w:rsidRPr="00EA035C">
              <w:rPr>
                <w:rFonts w:ascii="Arial" w:eastAsia="Calibri" w:hAnsi="Arial" w:cs="Arial"/>
                <w:sz w:val="18"/>
                <w:szCs w:val="18"/>
                <w:lang w:val="es-ES" w:eastAsia="es-ES"/>
              </w:rPr>
              <w:t>Revisó:</w:t>
            </w:r>
          </w:p>
        </w:tc>
        <w:tc>
          <w:tcPr>
            <w:tcW w:w="5628" w:type="dxa"/>
            <w:tcBorders>
              <w:top w:val="dotted" w:sz="4" w:space="0" w:color="7F7F7F"/>
              <w:left w:val="nil"/>
              <w:bottom w:val="dotted" w:sz="4" w:space="0" w:color="7F7F7F"/>
              <w:right w:val="nil"/>
            </w:tcBorders>
            <w:vAlign w:val="center"/>
            <w:hideMark/>
          </w:tcPr>
          <w:p w14:paraId="02D1007A" w14:textId="77777777" w:rsidR="000F1A13" w:rsidRPr="00EA035C" w:rsidRDefault="000F1A13" w:rsidP="005D703A">
            <w:pPr>
              <w:textAlignment w:val="baseline"/>
              <w:rPr>
                <w:rFonts w:ascii="Arial" w:eastAsia="Times New Roman" w:hAnsi="Arial" w:cs="Arial"/>
                <w:sz w:val="18"/>
                <w:szCs w:val="18"/>
                <w:lang w:eastAsia="es-ES_tradnl"/>
              </w:rPr>
            </w:pPr>
            <w:r w:rsidRPr="00EA035C">
              <w:rPr>
                <w:rFonts w:ascii="Arial" w:eastAsia="Times New Roman" w:hAnsi="Arial" w:cs="Arial"/>
                <w:sz w:val="18"/>
                <w:szCs w:val="18"/>
                <w:lang w:eastAsia="es-ES_tradnl"/>
              </w:rPr>
              <w:t>Martha Alicia Romero Vargas</w:t>
            </w:r>
          </w:p>
          <w:p w14:paraId="270BF6ED" w14:textId="77777777" w:rsidR="000F1A13" w:rsidRPr="00EA035C" w:rsidRDefault="000F1A13" w:rsidP="005D703A">
            <w:pPr>
              <w:textAlignment w:val="baseline"/>
              <w:rPr>
                <w:rFonts w:ascii="Arial" w:eastAsia="Times New Roman" w:hAnsi="Arial" w:cs="Arial"/>
                <w:sz w:val="18"/>
                <w:szCs w:val="18"/>
                <w:lang w:eastAsia="es-ES_tradnl"/>
              </w:rPr>
            </w:pPr>
            <w:r w:rsidRPr="00EA035C">
              <w:rPr>
                <w:rFonts w:ascii="Arial" w:eastAsia="Times New Roman" w:hAnsi="Arial" w:cs="Arial"/>
                <w:sz w:val="18"/>
                <w:szCs w:val="18"/>
                <w:lang w:val="es-ES" w:eastAsia="es-ES_tradnl"/>
              </w:rPr>
              <w:t>Gestor T1 – 15 de la Subdirección de Gestión Contractual</w:t>
            </w:r>
            <w:r w:rsidRPr="00EA035C">
              <w:rPr>
                <w:rFonts w:ascii="Arial" w:eastAsia="Times New Roman" w:hAnsi="Arial" w:cs="Arial"/>
                <w:sz w:val="18"/>
                <w:szCs w:val="18"/>
                <w:lang w:eastAsia="es-ES_tradnl"/>
              </w:rPr>
              <w:t> </w:t>
            </w:r>
          </w:p>
        </w:tc>
      </w:tr>
      <w:tr w:rsidR="000F1A13" w:rsidRPr="00B16C41" w14:paraId="53931232" w14:textId="77777777" w:rsidTr="005D703A">
        <w:trPr>
          <w:trHeight w:val="300"/>
        </w:trPr>
        <w:tc>
          <w:tcPr>
            <w:tcW w:w="893" w:type="dxa"/>
            <w:vAlign w:val="center"/>
          </w:tcPr>
          <w:p w14:paraId="30761028" w14:textId="77777777" w:rsidR="000F1A13" w:rsidRPr="00EA035C" w:rsidRDefault="000F1A13" w:rsidP="005D703A">
            <w:pPr>
              <w:rPr>
                <w:rFonts w:ascii="Arial" w:eastAsia="Calibri" w:hAnsi="Arial" w:cs="Arial"/>
                <w:sz w:val="18"/>
                <w:szCs w:val="18"/>
                <w:lang w:val="es-ES" w:eastAsia="es-ES"/>
              </w:rPr>
            </w:pPr>
            <w:r w:rsidRPr="00EA035C">
              <w:rPr>
                <w:rFonts w:ascii="Arial" w:eastAsia="Calibri" w:hAnsi="Arial" w:cs="Arial"/>
                <w:sz w:val="18"/>
                <w:szCs w:val="18"/>
                <w:lang w:val="es-ES" w:eastAsia="es-ES"/>
              </w:rPr>
              <w:t>Aprobó:</w:t>
            </w:r>
          </w:p>
        </w:tc>
        <w:tc>
          <w:tcPr>
            <w:tcW w:w="5628" w:type="dxa"/>
            <w:tcBorders>
              <w:top w:val="dotted" w:sz="4" w:space="0" w:color="7F7F7F"/>
              <w:left w:val="nil"/>
              <w:bottom w:val="dotted" w:sz="4" w:space="0" w:color="7F7F7F"/>
              <w:right w:val="nil"/>
            </w:tcBorders>
            <w:vAlign w:val="center"/>
          </w:tcPr>
          <w:p w14:paraId="3C56A1B4" w14:textId="77777777" w:rsidR="000F1A13" w:rsidRPr="00EA035C" w:rsidRDefault="000F1A13" w:rsidP="005D703A">
            <w:pPr>
              <w:rPr>
                <w:rFonts w:ascii="Arial" w:eastAsia="Calibri" w:hAnsi="Arial" w:cs="Arial"/>
                <w:sz w:val="18"/>
                <w:szCs w:val="18"/>
                <w:lang w:val="pt-BR" w:eastAsia="es-ES"/>
              </w:rPr>
            </w:pPr>
            <w:r w:rsidRPr="00EA035C">
              <w:rPr>
                <w:rFonts w:ascii="Arial" w:eastAsia="Calibri" w:hAnsi="Arial" w:cs="Arial"/>
                <w:sz w:val="18"/>
                <w:szCs w:val="18"/>
                <w:lang w:val="pt-BR" w:eastAsia="es-ES"/>
              </w:rPr>
              <w:t xml:space="preserve">Carolina Quintero </w:t>
            </w:r>
            <w:proofErr w:type="spellStart"/>
            <w:r w:rsidRPr="00EA035C">
              <w:rPr>
                <w:rFonts w:ascii="Arial" w:eastAsia="Calibri" w:hAnsi="Arial" w:cs="Arial"/>
                <w:sz w:val="18"/>
                <w:szCs w:val="18"/>
                <w:lang w:val="pt-BR" w:eastAsia="es-ES"/>
              </w:rPr>
              <w:t>Gacharná</w:t>
            </w:r>
            <w:proofErr w:type="spellEnd"/>
          </w:p>
          <w:p w14:paraId="628641B1" w14:textId="77777777" w:rsidR="000F1A13" w:rsidRPr="00EA035C" w:rsidRDefault="000F1A13" w:rsidP="005D703A">
            <w:pPr>
              <w:rPr>
                <w:rFonts w:ascii="Arial" w:eastAsia="Calibri" w:hAnsi="Arial" w:cs="Arial"/>
                <w:sz w:val="18"/>
                <w:szCs w:val="18"/>
                <w:lang w:val="pt-BR" w:eastAsia="es-ES"/>
              </w:rPr>
            </w:pPr>
            <w:r w:rsidRPr="00EA035C">
              <w:rPr>
                <w:rFonts w:ascii="Arial" w:eastAsia="Calibri" w:hAnsi="Arial" w:cs="Arial"/>
                <w:sz w:val="18"/>
                <w:szCs w:val="18"/>
                <w:lang w:eastAsia="es-ES"/>
              </w:rPr>
              <w:t>Subdirectora</w:t>
            </w:r>
            <w:r w:rsidRPr="00EA035C">
              <w:rPr>
                <w:rFonts w:ascii="Arial" w:eastAsia="Calibri" w:hAnsi="Arial" w:cs="Arial"/>
                <w:sz w:val="18"/>
                <w:szCs w:val="18"/>
                <w:lang w:val="pt-BR" w:eastAsia="es-ES"/>
              </w:rPr>
              <w:t xml:space="preserve"> de Gestión Contratual ANCP – CCE</w:t>
            </w:r>
          </w:p>
        </w:tc>
      </w:tr>
    </w:tbl>
    <w:p w14:paraId="4C2DDB69" w14:textId="77777777" w:rsidR="000F1A13" w:rsidRPr="00EA035C" w:rsidRDefault="000F1A13" w:rsidP="000F1A13">
      <w:pPr>
        <w:spacing w:after="0" w:line="240" w:lineRule="auto"/>
        <w:jc w:val="both"/>
        <w:textAlignment w:val="baseline"/>
        <w:rPr>
          <w:rFonts w:ascii="Arial" w:eastAsia="Times New Roman" w:hAnsi="Arial" w:cs="Arial"/>
          <w:lang w:eastAsia="es-CO"/>
        </w:rPr>
      </w:pPr>
    </w:p>
    <w:bookmarkEnd w:id="0"/>
    <w:p w14:paraId="1BB7D1D1" w14:textId="77777777" w:rsidR="000F1A13" w:rsidRPr="00EA035C" w:rsidRDefault="000F1A13" w:rsidP="00E245AB">
      <w:pPr>
        <w:spacing w:after="0"/>
        <w:rPr>
          <w:rFonts w:ascii="Arial" w:hAnsi="Arial" w:cs="Arial"/>
        </w:rPr>
      </w:pPr>
    </w:p>
    <w:sectPr w:rsidR="000F1A13" w:rsidRPr="00EA035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CE0BA8" w14:textId="77777777" w:rsidR="00A35170" w:rsidRDefault="00A35170" w:rsidP="004A1847">
      <w:pPr>
        <w:spacing w:after="0" w:line="240" w:lineRule="auto"/>
      </w:pPr>
      <w:r>
        <w:separator/>
      </w:r>
    </w:p>
  </w:endnote>
  <w:endnote w:type="continuationSeparator" w:id="0">
    <w:p w14:paraId="4E31E671" w14:textId="77777777" w:rsidR="00A35170" w:rsidRDefault="00A35170" w:rsidP="004A1847">
      <w:pPr>
        <w:spacing w:after="0" w:line="240" w:lineRule="auto"/>
      </w:pPr>
      <w:r>
        <w:continuationSeparator/>
      </w:r>
    </w:p>
  </w:endnote>
  <w:endnote w:type="continuationNotice" w:id="1">
    <w:p w14:paraId="39A0387D" w14:textId="77777777" w:rsidR="00A35170" w:rsidRDefault="00A351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36A32" w14:textId="77777777" w:rsidR="00A35170" w:rsidRDefault="00A35170" w:rsidP="004A1847">
      <w:pPr>
        <w:spacing w:after="0" w:line="240" w:lineRule="auto"/>
      </w:pPr>
      <w:r>
        <w:separator/>
      </w:r>
    </w:p>
  </w:footnote>
  <w:footnote w:type="continuationSeparator" w:id="0">
    <w:p w14:paraId="1DECD948" w14:textId="77777777" w:rsidR="00A35170" w:rsidRDefault="00A35170" w:rsidP="004A1847">
      <w:pPr>
        <w:spacing w:after="0" w:line="240" w:lineRule="auto"/>
      </w:pPr>
      <w:r>
        <w:continuationSeparator/>
      </w:r>
    </w:p>
  </w:footnote>
  <w:footnote w:type="continuationNotice" w:id="1">
    <w:p w14:paraId="34386210" w14:textId="77777777" w:rsidR="00A35170" w:rsidRDefault="00A35170">
      <w:pPr>
        <w:spacing w:after="0" w:line="240" w:lineRule="auto"/>
      </w:pPr>
    </w:p>
  </w:footnote>
  <w:footnote w:id="2">
    <w:p w14:paraId="5C3ADBC6" w14:textId="77777777" w:rsidR="000F1A13" w:rsidRPr="00045C31" w:rsidRDefault="000F1A13" w:rsidP="000F1A13">
      <w:pPr>
        <w:spacing w:after="0" w:line="240" w:lineRule="auto"/>
        <w:ind w:right="49" w:firstLine="709"/>
        <w:jc w:val="both"/>
        <w:rPr>
          <w:rFonts w:ascii="Verdana" w:hAnsi="Verdana" w:cs="Arial"/>
          <w:sz w:val="18"/>
          <w:szCs w:val="18"/>
        </w:rPr>
      </w:pPr>
      <w:r w:rsidRPr="00045C31">
        <w:rPr>
          <w:rStyle w:val="Refdenotaalpie"/>
          <w:rFonts w:ascii="Verdana" w:hAnsi="Verdana" w:cs="Arial"/>
          <w:sz w:val="18"/>
          <w:szCs w:val="18"/>
        </w:rPr>
        <w:footnoteRef/>
      </w:r>
      <w:r w:rsidRPr="00045C31">
        <w:rPr>
          <w:rFonts w:ascii="Verdana" w:hAnsi="Verdana" w:cs="Arial"/>
          <w:sz w:val="18"/>
          <w:szCs w:val="18"/>
        </w:rPr>
        <w:t xml:space="preserve"> Corte Constitucional. Sentencia C-697 del 14 de junio de 2000. M.P: Eduardo Cifuentes Muñoz.</w:t>
      </w:r>
    </w:p>
    <w:p w14:paraId="590E300B" w14:textId="77777777" w:rsidR="000F1A13" w:rsidRPr="00045C31" w:rsidRDefault="000F1A13" w:rsidP="000F1A13">
      <w:pPr>
        <w:pStyle w:val="Textonotapie"/>
        <w:ind w:right="49"/>
        <w:jc w:val="both"/>
        <w:rPr>
          <w:rFonts w:ascii="Verdana" w:hAnsi="Verdana" w:cs="Arial"/>
          <w:sz w:val="18"/>
          <w:szCs w:val="18"/>
          <w:lang w:val="es-CO"/>
        </w:rPr>
      </w:pPr>
    </w:p>
  </w:footnote>
  <w:footnote w:id="3">
    <w:p w14:paraId="7D8FAA2B" w14:textId="77777777" w:rsidR="00010E9B" w:rsidRDefault="00010E9B" w:rsidP="00010E9B">
      <w:pPr>
        <w:pStyle w:val="Textonotapie"/>
        <w:ind w:right="49" w:firstLine="708"/>
        <w:jc w:val="both"/>
        <w:rPr>
          <w:rFonts w:ascii="Verdana" w:hAnsi="Verdana" w:cs="Arial"/>
          <w:sz w:val="18"/>
          <w:szCs w:val="18"/>
          <w:lang w:val="es-CO"/>
        </w:rPr>
      </w:pPr>
      <w:r w:rsidRPr="00045C31">
        <w:rPr>
          <w:rStyle w:val="Refdenotaalpie"/>
          <w:rFonts w:ascii="Verdana" w:hAnsi="Verdana"/>
          <w:sz w:val="18"/>
          <w:szCs w:val="18"/>
        </w:rPr>
        <w:footnoteRef/>
      </w:r>
      <w:r w:rsidRPr="00045C31">
        <w:rPr>
          <w:rFonts w:ascii="Verdana" w:hAnsi="Verdana"/>
          <w:sz w:val="18"/>
          <w:szCs w:val="18"/>
        </w:rPr>
        <w:t xml:space="preserve"> </w:t>
      </w:r>
      <w:r w:rsidRPr="00045C31">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0B802EBC" w14:textId="77777777" w:rsidR="00010E9B" w:rsidRPr="00045C31" w:rsidRDefault="00010E9B" w:rsidP="00010E9B">
      <w:pPr>
        <w:pStyle w:val="Textonotapie"/>
        <w:ind w:right="49" w:firstLine="708"/>
        <w:jc w:val="both"/>
        <w:rPr>
          <w:rFonts w:ascii="Verdana" w:hAnsi="Verdana"/>
          <w:sz w:val="18"/>
          <w:szCs w:val="18"/>
          <w:lang w:val="es-CO"/>
        </w:rPr>
      </w:pPr>
    </w:p>
  </w:footnote>
  <w:footnote w:id="4">
    <w:p w14:paraId="1055EC2B" w14:textId="77777777" w:rsidR="000F1A13" w:rsidRPr="00CE4EF3" w:rsidRDefault="000F1A13" w:rsidP="000F1A13">
      <w:pPr>
        <w:pStyle w:val="Textonotapie"/>
        <w:ind w:right="49" w:firstLine="720"/>
        <w:jc w:val="both"/>
        <w:rPr>
          <w:rFonts w:ascii="Verdana" w:hAnsi="Verdana" w:cs="Arial"/>
          <w:color w:val="000000"/>
          <w:sz w:val="18"/>
          <w:szCs w:val="18"/>
        </w:rPr>
      </w:pPr>
      <w:r w:rsidRPr="00CE4EF3">
        <w:rPr>
          <w:rStyle w:val="Refdenotaalpie"/>
          <w:rFonts w:ascii="Verdana" w:hAnsi="Verdana" w:cs="Arial"/>
          <w:color w:val="000000"/>
          <w:sz w:val="18"/>
          <w:szCs w:val="18"/>
        </w:rPr>
        <w:footnoteRef/>
      </w:r>
      <w:r w:rsidRPr="00CE4EF3">
        <w:rPr>
          <w:rFonts w:ascii="Verdana" w:hAnsi="Verdana" w:cs="Arial"/>
          <w:color w:val="000000"/>
          <w:sz w:val="18"/>
          <w:szCs w:val="18"/>
        </w:rPr>
        <w:t xml:space="preserve"> Corte Constitucional. Sentencia C-191 de 2005: “Además, el parámetro empleado por el legislador en el inciso primero del artículo es objetivo, claro e inteligible, puesto que se refiere precisamente a ‘actividades catalogadas como ejercicio de la ingeniería’, actividades que como se mostró, se encuentran definidas por la ley [ver apartados 4.1.2.1. y siguientes]. El artículo tiene por objeto únicamente el ejercicio de la ingeniería; en tal sentido no comprende todo lo eventualmente relacionado con la</w:t>
      </w:r>
      <w:r w:rsidRPr="00CE4EF3">
        <w:rPr>
          <w:rFonts w:ascii="Verdana" w:hAnsi="Verdana" w:cs="Arial"/>
          <w:color w:val="000000"/>
          <w:spacing w:val="-13"/>
          <w:sz w:val="18"/>
          <w:szCs w:val="18"/>
        </w:rPr>
        <w:t xml:space="preserve"> </w:t>
      </w:r>
      <w:r w:rsidRPr="00CE4EF3">
        <w:rPr>
          <w:rFonts w:ascii="Verdana" w:hAnsi="Verdana" w:cs="Arial"/>
          <w:color w:val="000000"/>
          <w:sz w:val="18"/>
          <w:szCs w:val="18"/>
        </w:rPr>
        <w:t xml:space="preserve">ingeniería”. </w:t>
      </w:r>
    </w:p>
    <w:p w14:paraId="4B51DCC0" w14:textId="77777777" w:rsidR="000F1A13" w:rsidRPr="00CE4EF3" w:rsidRDefault="000F1A13" w:rsidP="000F1A13">
      <w:pPr>
        <w:pStyle w:val="Textonotapie"/>
        <w:ind w:right="49" w:firstLine="720"/>
        <w:jc w:val="both"/>
        <w:rPr>
          <w:rFonts w:ascii="Verdana" w:hAnsi="Verdana" w:cs="Arial"/>
          <w:color w:val="000000"/>
          <w:sz w:val="18"/>
          <w:szCs w:val="18"/>
          <w:lang w:val="es-CO"/>
        </w:rPr>
      </w:pPr>
    </w:p>
  </w:footnote>
  <w:footnote w:id="5">
    <w:p w14:paraId="1E8E9542" w14:textId="77777777" w:rsidR="000F1A13" w:rsidRPr="00CE4EF3" w:rsidRDefault="000F1A13" w:rsidP="000F1A13">
      <w:pPr>
        <w:spacing w:after="0" w:line="240" w:lineRule="auto"/>
        <w:ind w:right="49" w:firstLine="720"/>
        <w:jc w:val="both"/>
        <w:rPr>
          <w:rFonts w:ascii="Verdana" w:hAnsi="Verdana" w:cs="Arial"/>
          <w:color w:val="000000"/>
          <w:sz w:val="18"/>
          <w:szCs w:val="18"/>
        </w:rPr>
      </w:pPr>
      <w:r w:rsidRPr="00CE4EF3">
        <w:rPr>
          <w:rStyle w:val="Refdenotaalpie"/>
          <w:rFonts w:ascii="Verdana" w:hAnsi="Verdana" w:cs="Arial"/>
          <w:color w:val="000000"/>
          <w:sz w:val="18"/>
          <w:szCs w:val="18"/>
        </w:rPr>
        <w:footnoteRef/>
      </w:r>
      <w:r w:rsidRPr="00CE4EF3">
        <w:rPr>
          <w:rFonts w:ascii="Verdana" w:hAnsi="Verdana" w:cs="Arial"/>
          <w:color w:val="000000"/>
          <w:sz w:val="18"/>
          <w:szCs w:val="18"/>
        </w:rPr>
        <w:t xml:space="preserve"> Ley 842 de 2003. Artículo 6: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p w14:paraId="5F00C0D8" w14:textId="77777777" w:rsidR="000F1A13" w:rsidRPr="00CE4EF3" w:rsidRDefault="000F1A13" w:rsidP="000F1A13">
      <w:pPr>
        <w:spacing w:after="0" w:line="240" w:lineRule="auto"/>
        <w:ind w:right="49" w:firstLine="720"/>
        <w:jc w:val="both"/>
        <w:rPr>
          <w:rFonts w:ascii="Verdana" w:hAnsi="Verdana" w:cs="Arial"/>
          <w:color w:val="000000"/>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B163F27"/>
    <w:multiLevelType w:val="hybridMultilevel"/>
    <w:tmpl w:val="0FD015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2315E81"/>
    <w:multiLevelType w:val="hybridMultilevel"/>
    <w:tmpl w:val="90B04B62"/>
    <w:lvl w:ilvl="0" w:tplc="240A0001">
      <w:start w:val="1"/>
      <w:numFmt w:val="bullet"/>
      <w:lvlText w:val=""/>
      <w:lvlJc w:val="left"/>
      <w:pPr>
        <w:ind w:left="1425" w:hanging="360"/>
      </w:pPr>
      <w:rPr>
        <w:rFonts w:ascii="Symbol" w:hAnsi="Symbol" w:hint="default"/>
      </w:rPr>
    </w:lvl>
    <w:lvl w:ilvl="1" w:tplc="240A0003" w:tentative="1">
      <w:start w:val="1"/>
      <w:numFmt w:val="bullet"/>
      <w:lvlText w:val="o"/>
      <w:lvlJc w:val="left"/>
      <w:pPr>
        <w:ind w:left="2145" w:hanging="360"/>
      </w:pPr>
      <w:rPr>
        <w:rFonts w:ascii="Courier New" w:hAnsi="Courier New" w:cs="Courier New" w:hint="default"/>
      </w:rPr>
    </w:lvl>
    <w:lvl w:ilvl="2" w:tplc="240A0005" w:tentative="1">
      <w:start w:val="1"/>
      <w:numFmt w:val="bullet"/>
      <w:lvlText w:val=""/>
      <w:lvlJc w:val="left"/>
      <w:pPr>
        <w:ind w:left="2865" w:hanging="360"/>
      </w:pPr>
      <w:rPr>
        <w:rFonts w:ascii="Wingdings" w:hAnsi="Wingdings" w:hint="default"/>
      </w:rPr>
    </w:lvl>
    <w:lvl w:ilvl="3" w:tplc="240A0001" w:tentative="1">
      <w:start w:val="1"/>
      <w:numFmt w:val="bullet"/>
      <w:lvlText w:val=""/>
      <w:lvlJc w:val="left"/>
      <w:pPr>
        <w:ind w:left="3585" w:hanging="360"/>
      </w:pPr>
      <w:rPr>
        <w:rFonts w:ascii="Symbol" w:hAnsi="Symbol" w:hint="default"/>
      </w:rPr>
    </w:lvl>
    <w:lvl w:ilvl="4" w:tplc="240A0003" w:tentative="1">
      <w:start w:val="1"/>
      <w:numFmt w:val="bullet"/>
      <w:lvlText w:val="o"/>
      <w:lvlJc w:val="left"/>
      <w:pPr>
        <w:ind w:left="4305" w:hanging="360"/>
      </w:pPr>
      <w:rPr>
        <w:rFonts w:ascii="Courier New" w:hAnsi="Courier New" w:cs="Courier New" w:hint="default"/>
      </w:rPr>
    </w:lvl>
    <w:lvl w:ilvl="5" w:tplc="240A0005" w:tentative="1">
      <w:start w:val="1"/>
      <w:numFmt w:val="bullet"/>
      <w:lvlText w:val=""/>
      <w:lvlJc w:val="left"/>
      <w:pPr>
        <w:ind w:left="5025" w:hanging="360"/>
      </w:pPr>
      <w:rPr>
        <w:rFonts w:ascii="Wingdings" w:hAnsi="Wingdings" w:hint="default"/>
      </w:rPr>
    </w:lvl>
    <w:lvl w:ilvl="6" w:tplc="240A0001" w:tentative="1">
      <w:start w:val="1"/>
      <w:numFmt w:val="bullet"/>
      <w:lvlText w:val=""/>
      <w:lvlJc w:val="left"/>
      <w:pPr>
        <w:ind w:left="5745" w:hanging="360"/>
      </w:pPr>
      <w:rPr>
        <w:rFonts w:ascii="Symbol" w:hAnsi="Symbol" w:hint="default"/>
      </w:rPr>
    </w:lvl>
    <w:lvl w:ilvl="7" w:tplc="240A0003" w:tentative="1">
      <w:start w:val="1"/>
      <w:numFmt w:val="bullet"/>
      <w:lvlText w:val="o"/>
      <w:lvlJc w:val="left"/>
      <w:pPr>
        <w:ind w:left="6465" w:hanging="360"/>
      </w:pPr>
      <w:rPr>
        <w:rFonts w:ascii="Courier New" w:hAnsi="Courier New" w:cs="Courier New" w:hint="default"/>
      </w:rPr>
    </w:lvl>
    <w:lvl w:ilvl="8" w:tplc="240A0005" w:tentative="1">
      <w:start w:val="1"/>
      <w:numFmt w:val="bullet"/>
      <w:lvlText w:val=""/>
      <w:lvlJc w:val="left"/>
      <w:pPr>
        <w:ind w:left="7185"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04842CE"/>
    <w:multiLevelType w:val="hybridMultilevel"/>
    <w:tmpl w:val="6054E8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2CA0709"/>
    <w:multiLevelType w:val="hybridMultilevel"/>
    <w:tmpl w:val="DB7473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FC739ED"/>
    <w:multiLevelType w:val="hybridMultilevel"/>
    <w:tmpl w:val="0030A6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D400B48"/>
    <w:multiLevelType w:val="hybridMultilevel"/>
    <w:tmpl w:val="EACAFE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500796">
    <w:abstractNumId w:val="8"/>
  </w:num>
  <w:num w:numId="2" w16cid:durableId="464936316">
    <w:abstractNumId w:val="2"/>
  </w:num>
  <w:num w:numId="3" w16cid:durableId="977882298">
    <w:abstractNumId w:val="6"/>
  </w:num>
  <w:num w:numId="4" w16cid:durableId="18848291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62266411">
    <w:abstractNumId w:val="2"/>
  </w:num>
  <w:num w:numId="6" w16cid:durableId="84109576">
    <w:abstractNumId w:val="19"/>
  </w:num>
  <w:num w:numId="7" w16cid:durableId="1910920261">
    <w:abstractNumId w:val="7"/>
  </w:num>
  <w:num w:numId="8" w16cid:durableId="357895640">
    <w:abstractNumId w:val="17"/>
  </w:num>
  <w:num w:numId="9" w16cid:durableId="1127940980">
    <w:abstractNumId w:val="9"/>
  </w:num>
  <w:num w:numId="10" w16cid:durableId="155075152">
    <w:abstractNumId w:val="16"/>
  </w:num>
  <w:num w:numId="11" w16cid:durableId="1040011888">
    <w:abstractNumId w:val="10"/>
  </w:num>
  <w:num w:numId="12" w16cid:durableId="672879584">
    <w:abstractNumId w:val="1"/>
  </w:num>
  <w:num w:numId="13" w16cid:durableId="1818842605">
    <w:abstractNumId w:val="5"/>
  </w:num>
  <w:num w:numId="14" w16cid:durableId="887496727">
    <w:abstractNumId w:val="20"/>
  </w:num>
  <w:num w:numId="15" w16cid:durableId="37750128">
    <w:abstractNumId w:val="15"/>
  </w:num>
  <w:num w:numId="16" w16cid:durableId="335352601">
    <w:abstractNumId w:val="0"/>
  </w:num>
  <w:num w:numId="17" w16cid:durableId="262961184">
    <w:abstractNumId w:val="11"/>
  </w:num>
  <w:num w:numId="18" w16cid:durableId="1118644879">
    <w:abstractNumId w:val="3"/>
  </w:num>
  <w:num w:numId="19" w16cid:durableId="1088422019">
    <w:abstractNumId w:val="14"/>
  </w:num>
  <w:num w:numId="20" w16cid:durableId="1079787771">
    <w:abstractNumId w:val="12"/>
  </w:num>
  <w:num w:numId="21" w16cid:durableId="1270774960">
    <w:abstractNumId w:val="18"/>
  </w:num>
  <w:num w:numId="22" w16cid:durableId="1184395779">
    <w:abstractNumId w:val="4"/>
  </w:num>
  <w:num w:numId="23" w16cid:durableId="51708790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E89"/>
    <w:rsid w:val="00010E9B"/>
    <w:rsid w:val="00061B2A"/>
    <w:rsid w:val="00082362"/>
    <w:rsid w:val="000A683E"/>
    <w:rsid w:val="000B19B9"/>
    <w:rsid w:val="000D0334"/>
    <w:rsid w:val="000F1A13"/>
    <w:rsid w:val="000F6486"/>
    <w:rsid w:val="00106DFE"/>
    <w:rsid w:val="001227F9"/>
    <w:rsid w:val="00125105"/>
    <w:rsid w:val="00127233"/>
    <w:rsid w:val="00191A55"/>
    <w:rsid w:val="001A1559"/>
    <w:rsid w:val="001E4177"/>
    <w:rsid w:val="001F7DC6"/>
    <w:rsid w:val="002421BB"/>
    <w:rsid w:val="0025796E"/>
    <w:rsid w:val="002707A2"/>
    <w:rsid w:val="002951A0"/>
    <w:rsid w:val="002962BC"/>
    <w:rsid w:val="002A093D"/>
    <w:rsid w:val="002A0DD0"/>
    <w:rsid w:val="002A49AC"/>
    <w:rsid w:val="002A5530"/>
    <w:rsid w:val="002A64FD"/>
    <w:rsid w:val="002C7A84"/>
    <w:rsid w:val="002D536F"/>
    <w:rsid w:val="002E323B"/>
    <w:rsid w:val="002E4FD9"/>
    <w:rsid w:val="00310145"/>
    <w:rsid w:val="00322A85"/>
    <w:rsid w:val="00324168"/>
    <w:rsid w:val="003448F4"/>
    <w:rsid w:val="00374F5E"/>
    <w:rsid w:val="00377E3E"/>
    <w:rsid w:val="00394519"/>
    <w:rsid w:val="003A26D1"/>
    <w:rsid w:val="003A4E8A"/>
    <w:rsid w:val="003A7193"/>
    <w:rsid w:val="003A779E"/>
    <w:rsid w:val="003B37BD"/>
    <w:rsid w:val="003D0F4D"/>
    <w:rsid w:val="003D5B0D"/>
    <w:rsid w:val="003E0499"/>
    <w:rsid w:val="003F3941"/>
    <w:rsid w:val="003F5105"/>
    <w:rsid w:val="00406575"/>
    <w:rsid w:val="0042722E"/>
    <w:rsid w:val="0044528D"/>
    <w:rsid w:val="004A1847"/>
    <w:rsid w:val="004A305D"/>
    <w:rsid w:val="004B050C"/>
    <w:rsid w:val="004F21C4"/>
    <w:rsid w:val="004F685F"/>
    <w:rsid w:val="00504220"/>
    <w:rsid w:val="00522D74"/>
    <w:rsid w:val="0055240B"/>
    <w:rsid w:val="005566E8"/>
    <w:rsid w:val="00574867"/>
    <w:rsid w:val="00580C2B"/>
    <w:rsid w:val="00581BCC"/>
    <w:rsid w:val="00591460"/>
    <w:rsid w:val="00592628"/>
    <w:rsid w:val="005930C5"/>
    <w:rsid w:val="005B5B7A"/>
    <w:rsid w:val="005C3777"/>
    <w:rsid w:val="005C5CDC"/>
    <w:rsid w:val="005D476C"/>
    <w:rsid w:val="005D703A"/>
    <w:rsid w:val="005E56D4"/>
    <w:rsid w:val="005E7863"/>
    <w:rsid w:val="00610812"/>
    <w:rsid w:val="006219F8"/>
    <w:rsid w:val="0062317A"/>
    <w:rsid w:val="00636311"/>
    <w:rsid w:val="00646BE2"/>
    <w:rsid w:val="00650FF7"/>
    <w:rsid w:val="00665D70"/>
    <w:rsid w:val="00671DAC"/>
    <w:rsid w:val="00676D56"/>
    <w:rsid w:val="006900D9"/>
    <w:rsid w:val="006923C9"/>
    <w:rsid w:val="006B5C4E"/>
    <w:rsid w:val="006D12F8"/>
    <w:rsid w:val="00706C16"/>
    <w:rsid w:val="00722257"/>
    <w:rsid w:val="00756841"/>
    <w:rsid w:val="007649AB"/>
    <w:rsid w:val="00771D0C"/>
    <w:rsid w:val="007833AC"/>
    <w:rsid w:val="007A12CB"/>
    <w:rsid w:val="007B268C"/>
    <w:rsid w:val="007B7171"/>
    <w:rsid w:val="007C0C0F"/>
    <w:rsid w:val="007C3DC2"/>
    <w:rsid w:val="007E5497"/>
    <w:rsid w:val="00806F5F"/>
    <w:rsid w:val="00820278"/>
    <w:rsid w:val="0087329F"/>
    <w:rsid w:val="008843B6"/>
    <w:rsid w:val="00891928"/>
    <w:rsid w:val="008A446D"/>
    <w:rsid w:val="008B68ED"/>
    <w:rsid w:val="008D180B"/>
    <w:rsid w:val="008F0EA7"/>
    <w:rsid w:val="00923EEF"/>
    <w:rsid w:val="009419F9"/>
    <w:rsid w:val="0095605A"/>
    <w:rsid w:val="0095685E"/>
    <w:rsid w:val="00961B09"/>
    <w:rsid w:val="00965334"/>
    <w:rsid w:val="0097093E"/>
    <w:rsid w:val="009A0DFA"/>
    <w:rsid w:val="009B2D26"/>
    <w:rsid w:val="009C71FA"/>
    <w:rsid w:val="009C72E7"/>
    <w:rsid w:val="009D1534"/>
    <w:rsid w:val="009D2AB0"/>
    <w:rsid w:val="009D3058"/>
    <w:rsid w:val="009F3A13"/>
    <w:rsid w:val="00A122D3"/>
    <w:rsid w:val="00A17F13"/>
    <w:rsid w:val="00A20739"/>
    <w:rsid w:val="00A33C78"/>
    <w:rsid w:val="00A35170"/>
    <w:rsid w:val="00A92D3A"/>
    <w:rsid w:val="00AB0ADB"/>
    <w:rsid w:val="00B01B1A"/>
    <w:rsid w:val="00B16C41"/>
    <w:rsid w:val="00B23E91"/>
    <w:rsid w:val="00B72CD3"/>
    <w:rsid w:val="00B72FFF"/>
    <w:rsid w:val="00BC3D36"/>
    <w:rsid w:val="00BD7275"/>
    <w:rsid w:val="00BD7F72"/>
    <w:rsid w:val="00C04FB3"/>
    <w:rsid w:val="00C07C79"/>
    <w:rsid w:val="00C23326"/>
    <w:rsid w:val="00C23589"/>
    <w:rsid w:val="00C330EB"/>
    <w:rsid w:val="00C754BE"/>
    <w:rsid w:val="00C76B1C"/>
    <w:rsid w:val="00CB6357"/>
    <w:rsid w:val="00CC1B26"/>
    <w:rsid w:val="00D423A2"/>
    <w:rsid w:val="00D520D8"/>
    <w:rsid w:val="00D63AC2"/>
    <w:rsid w:val="00D65FD9"/>
    <w:rsid w:val="00D7383B"/>
    <w:rsid w:val="00D91132"/>
    <w:rsid w:val="00DA231B"/>
    <w:rsid w:val="00DA23A0"/>
    <w:rsid w:val="00DB7439"/>
    <w:rsid w:val="00DC39FC"/>
    <w:rsid w:val="00DF5254"/>
    <w:rsid w:val="00E16408"/>
    <w:rsid w:val="00E20894"/>
    <w:rsid w:val="00E20D68"/>
    <w:rsid w:val="00E245AB"/>
    <w:rsid w:val="00E2764C"/>
    <w:rsid w:val="00E27F2E"/>
    <w:rsid w:val="00E413EA"/>
    <w:rsid w:val="00E50AFE"/>
    <w:rsid w:val="00E571E6"/>
    <w:rsid w:val="00E6748D"/>
    <w:rsid w:val="00E75C92"/>
    <w:rsid w:val="00E771DC"/>
    <w:rsid w:val="00E8772A"/>
    <w:rsid w:val="00E90F6B"/>
    <w:rsid w:val="00E92C27"/>
    <w:rsid w:val="00EA035C"/>
    <w:rsid w:val="00EA0E3D"/>
    <w:rsid w:val="00EC38A7"/>
    <w:rsid w:val="00ED1186"/>
    <w:rsid w:val="00EE1AA8"/>
    <w:rsid w:val="00F262E6"/>
    <w:rsid w:val="00F31EDC"/>
    <w:rsid w:val="00F462B3"/>
    <w:rsid w:val="00F5664F"/>
    <w:rsid w:val="00F666C4"/>
    <w:rsid w:val="00F76AFC"/>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0BEA135-F146-4367-9128-061F7565B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F1A1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files_2020/boletin_de_realtoria_iii.pdf"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content/documentos-tipo-de-infraestructura-de-transport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Tmm.tgeresita@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0EA0D6A-8884-48D4-B4A1-D31FA59DC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12</Pages>
  <Words>4297</Words>
  <Characters>23639</Characters>
  <Application>Microsoft Office Word</Application>
  <DocSecurity>0</DocSecurity>
  <Lines>196</Lines>
  <Paragraphs>55</Paragraphs>
  <ScaleCrop>false</ScaleCrop>
  <Company/>
  <LinksUpToDate>false</LinksUpToDate>
  <CharactersWithSpaces>27881</CharactersWithSpaces>
  <SharedDoc>false</SharedDoc>
  <HLinks>
    <vt:vector size="18" baseType="variant">
      <vt:variant>
        <vt:i4>1638461</vt:i4>
      </vt:variant>
      <vt:variant>
        <vt:i4>6</vt:i4>
      </vt:variant>
      <vt:variant>
        <vt:i4>0</vt:i4>
      </vt:variant>
      <vt:variant>
        <vt:i4>5</vt:i4>
      </vt:variant>
      <vt:variant>
        <vt:lpwstr>https://www.colombiacompra.gov.co/sites/cce_public/files/files_2020/boletin_de_realtoria_iii.pdf</vt:lpwstr>
      </vt:variant>
      <vt:variant>
        <vt:lpwstr/>
      </vt:variant>
      <vt:variant>
        <vt:i4>2883689</vt:i4>
      </vt:variant>
      <vt:variant>
        <vt:i4>3</vt:i4>
      </vt:variant>
      <vt:variant>
        <vt:i4>0</vt:i4>
      </vt:variant>
      <vt:variant>
        <vt:i4>5</vt:i4>
      </vt:variant>
      <vt:variant>
        <vt:lpwstr>https://www.colombiacompra.gov.co/content/documentos-tipo-de-infraestructura-de-transporte</vt:lpwstr>
      </vt:variant>
      <vt:variant>
        <vt:lpwstr/>
      </vt:variant>
      <vt:variant>
        <vt:i4>6488094</vt:i4>
      </vt:variant>
      <vt:variant>
        <vt:i4>0</vt:i4>
      </vt:variant>
      <vt:variant>
        <vt:i4>0</vt:i4>
      </vt:variant>
      <vt:variant>
        <vt:i4>5</vt:i4>
      </vt:variant>
      <vt:variant>
        <vt:lpwstr>mailto:Tmm.tgeresita@gmail.com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2023-01-10T18:18:00Z</cp:lastPrinted>
  <dcterms:created xsi:type="dcterms:W3CDTF">2025-10-09T03:56:00Z</dcterms:created>
  <dcterms:modified xsi:type="dcterms:W3CDTF">2025-10-09T03:56:00Z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