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12545C" w14:textId="77777777" w:rsidR="00F33467" w:rsidRDefault="00F33467" w:rsidP="00E245AB">
      <w:pPr>
        <w:spacing w:after="0"/>
        <w:rPr>
          <w:rFonts w:ascii="Verdana" w:hAnsi="Verdana"/>
        </w:rPr>
      </w:pPr>
      <w:bookmarkStart w:id="0" w:name="_Hlk143780582"/>
    </w:p>
    <w:p w14:paraId="1997C43F" w14:textId="77777777" w:rsidR="00F33467" w:rsidRPr="00667F20" w:rsidRDefault="00F33467" w:rsidP="00F33467">
      <w:pPr>
        <w:spacing w:before="120" w:after="120" w:line="276" w:lineRule="auto"/>
        <w:jc w:val="both"/>
        <w:rPr>
          <w:rFonts w:ascii="Verdana" w:eastAsia="Times New Roman" w:hAnsi="Verdana" w:cs="Arial"/>
          <w:b/>
          <w:bCs/>
          <w:color w:val="000000" w:themeColor="text1"/>
          <w:sz w:val="21"/>
          <w:szCs w:val="21"/>
          <w:shd w:val="clear" w:color="auto" w:fill="FFFFFF"/>
          <w:lang w:val="es-ES" w:eastAsia="es-MX"/>
        </w:rPr>
      </w:pPr>
      <w:r w:rsidRPr="00667F20">
        <w:rPr>
          <w:rFonts w:ascii="Verdana" w:eastAsia="Times New Roman" w:hAnsi="Verdana" w:cs="Arial"/>
          <w:b/>
          <w:bCs/>
          <w:color w:val="000000" w:themeColor="text1"/>
          <w:sz w:val="21"/>
          <w:szCs w:val="21"/>
          <w:shd w:val="clear" w:color="auto" w:fill="FFFFFF"/>
          <w:lang w:val="es-ES" w:eastAsia="es-MX"/>
        </w:rPr>
        <w:t>SUSPENSIÓN DE CONTRATO - Concepto</w:t>
      </w:r>
    </w:p>
    <w:p w14:paraId="6E5073B5" w14:textId="77777777" w:rsidR="00F33467" w:rsidRPr="00667F20" w:rsidRDefault="00F33467" w:rsidP="00F33467">
      <w:pPr>
        <w:spacing w:before="120" w:after="120" w:line="276" w:lineRule="auto"/>
        <w:jc w:val="both"/>
        <w:rPr>
          <w:rFonts w:ascii="Verdana" w:eastAsia="Times New Roman" w:hAnsi="Verdana" w:cs="Arial"/>
          <w:color w:val="000000"/>
          <w:sz w:val="21"/>
          <w:szCs w:val="21"/>
          <w:lang w:val="es-ES_tradnl" w:eastAsia="es-ES_tradnl"/>
        </w:rPr>
      </w:pPr>
      <w:r w:rsidRPr="00667F20">
        <w:rPr>
          <w:rFonts w:ascii="Verdana" w:eastAsia="Times New Roman" w:hAnsi="Verdana" w:cs="Arial"/>
          <w:color w:val="000000"/>
          <w:sz w:val="21"/>
          <w:szCs w:val="21"/>
          <w:lang w:val="es-ES_tradnl" w:eastAsia="es-ES_tradnl"/>
        </w:rPr>
        <w:t xml:space="preserve">La </w:t>
      </w:r>
      <w:r w:rsidRPr="00667F20">
        <w:rPr>
          <w:rFonts w:ascii="Verdana" w:eastAsia="Times New Roman" w:hAnsi="Verdana" w:cs="Arial"/>
          <w:i/>
          <w:iCs/>
          <w:color w:val="000000"/>
          <w:sz w:val="21"/>
          <w:szCs w:val="21"/>
          <w:lang w:val="es-ES_tradnl" w:eastAsia="es-ES_tradnl"/>
        </w:rPr>
        <w:t>suspensión,</w:t>
      </w:r>
      <w:r w:rsidRPr="00667F20">
        <w:rPr>
          <w:rFonts w:ascii="Verdana" w:eastAsia="Times New Roman" w:hAnsi="Verdana" w:cs="Arial"/>
          <w:color w:val="000000"/>
          <w:sz w:val="21"/>
          <w:szCs w:val="21"/>
          <w:lang w:val="es-ES_tradnl" w:eastAsia="es-ES_tradnl"/>
        </w:rPr>
        <w:t xml:space="preserve"> es la medida por la cual se acuerda el cese provisional de la ejecución del contrato, por la ocurrencia de circunstancias que lo impiden o lo dificultan.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667F20">
        <w:rPr>
          <w:rFonts w:ascii="Verdana" w:eastAsia="Times New Roman" w:hAnsi="Verdana" w:cs="Arial"/>
          <w:i/>
          <w:iCs/>
          <w:color w:val="000000"/>
          <w:sz w:val="21"/>
          <w:szCs w:val="21"/>
          <w:lang w:val="es-ES_tradnl" w:eastAsia="es-ES_tradnl"/>
        </w:rPr>
        <w:t>de facto</w:t>
      </w:r>
      <w:r w:rsidRPr="00667F20">
        <w:rPr>
          <w:rFonts w:ascii="Verdana" w:eastAsia="Times New Roman" w:hAnsi="Verdana" w:cs="Arial"/>
          <w:color w:val="000000"/>
          <w:sz w:val="21"/>
          <w:szCs w:val="21"/>
          <w:lang w:val="es-ES_tradnl" w:eastAsia="es-ES_tradnl"/>
        </w:rPr>
        <w:t>,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 es decir, por factores que constituyan razones de fuerza mayor, caso fortuito o que procura la satisfacción del interés público.</w:t>
      </w:r>
    </w:p>
    <w:p w14:paraId="1F73EA41" w14:textId="77777777" w:rsidR="00F33467" w:rsidRPr="00667F20" w:rsidRDefault="00F33467" w:rsidP="00F33467">
      <w:pPr>
        <w:spacing w:after="0"/>
        <w:rPr>
          <w:rFonts w:ascii="Verdana" w:eastAsia="Times New Roman" w:hAnsi="Verdana" w:cs="Arial"/>
          <w:b/>
          <w:bCs/>
          <w:color w:val="000000" w:themeColor="text1"/>
          <w:sz w:val="21"/>
          <w:szCs w:val="21"/>
          <w:shd w:val="clear" w:color="auto" w:fill="FFFFFF"/>
          <w:lang w:val="es-ES_tradnl" w:eastAsia="es-MX"/>
        </w:rPr>
      </w:pPr>
    </w:p>
    <w:p w14:paraId="3CEE9110" w14:textId="77777777" w:rsidR="00F33467" w:rsidRPr="00667F20" w:rsidRDefault="00F33467" w:rsidP="00F33467">
      <w:pPr>
        <w:spacing w:after="0"/>
        <w:rPr>
          <w:rFonts w:ascii="Verdana" w:eastAsia="Times New Roman" w:hAnsi="Verdana" w:cs="Arial"/>
          <w:color w:val="000000" w:themeColor="text1"/>
          <w:sz w:val="21"/>
          <w:szCs w:val="21"/>
          <w:shd w:val="clear" w:color="auto" w:fill="FFFFFF"/>
          <w:lang w:val="es-ES" w:eastAsia="es-MX"/>
        </w:rPr>
      </w:pPr>
      <w:r w:rsidRPr="00667F20">
        <w:rPr>
          <w:rFonts w:ascii="Verdana" w:eastAsia="Times New Roman" w:hAnsi="Verdana" w:cs="Arial"/>
          <w:b/>
          <w:bCs/>
          <w:color w:val="000000" w:themeColor="text1"/>
          <w:sz w:val="21"/>
          <w:szCs w:val="21"/>
          <w:shd w:val="clear" w:color="auto" w:fill="FFFFFF"/>
          <w:lang w:val="es-ES" w:eastAsia="es-MX"/>
        </w:rPr>
        <w:t xml:space="preserve">SUSPENSIÓN DE CONTRATO – Requisitos Mínimos  </w:t>
      </w:r>
    </w:p>
    <w:p w14:paraId="273FD74C" w14:textId="77777777" w:rsidR="00F33467" w:rsidRPr="00667F20" w:rsidRDefault="00F33467" w:rsidP="00F33467">
      <w:pPr>
        <w:spacing w:after="0"/>
        <w:jc w:val="both"/>
        <w:rPr>
          <w:rFonts w:ascii="Verdana" w:hAnsi="Verdana"/>
          <w:sz w:val="21"/>
          <w:szCs w:val="21"/>
        </w:rPr>
      </w:pPr>
    </w:p>
    <w:p w14:paraId="57335932" w14:textId="77777777" w:rsidR="00F33467" w:rsidRPr="00667F20" w:rsidRDefault="00F33467" w:rsidP="00F33467">
      <w:pPr>
        <w:spacing w:after="0"/>
        <w:jc w:val="both"/>
        <w:rPr>
          <w:rFonts w:ascii="Verdana" w:eastAsia="Times New Roman" w:hAnsi="Verdana" w:cs="Arial"/>
          <w:color w:val="000000" w:themeColor="text1"/>
          <w:sz w:val="21"/>
          <w:szCs w:val="21"/>
          <w:shd w:val="clear" w:color="auto" w:fill="FFFFFF"/>
          <w:lang w:val="es-ES" w:eastAsia="es-MX"/>
        </w:rPr>
      </w:pPr>
      <w:r w:rsidRPr="00667F20">
        <w:rPr>
          <w:rFonts w:ascii="Verdana" w:hAnsi="Verdana"/>
          <w:sz w:val="21"/>
          <w:szCs w:val="21"/>
        </w:rPr>
        <w:t>Dado el interés público que gravita sobre la contratación estatal, las partes contratantes deberán en cada caso concreto: (i) ponderar que la naturaleza del contrato estatal admita la posibilidad de suspenderlo, (</w:t>
      </w:r>
      <w:proofErr w:type="spellStart"/>
      <w:r w:rsidRPr="00667F20">
        <w:rPr>
          <w:rFonts w:ascii="Verdana" w:hAnsi="Verdana"/>
          <w:sz w:val="21"/>
          <w:szCs w:val="21"/>
        </w:rPr>
        <w:t>ii</w:t>
      </w:r>
      <w:proofErr w:type="spellEnd"/>
      <w:r w:rsidRPr="00667F20">
        <w:rPr>
          <w:rFonts w:ascii="Verdana" w:hAnsi="Verdana"/>
          <w:sz w:val="21"/>
          <w:szCs w:val="21"/>
        </w:rPr>
        <w:t>) verificar que lo que se pacte no esté prohibido expresamente en la ley ni resulte contrario al orden público y a las buenas costumbres, (</w:t>
      </w:r>
      <w:proofErr w:type="spellStart"/>
      <w:r w:rsidRPr="00667F20">
        <w:rPr>
          <w:rFonts w:ascii="Verdana" w:hAnsi="Verdana"/>
          <w:sz w:val="21"/>
          <w:szCs w:val="21"/>
        </w:rPr>
        <w:t>iii</w:t>
      </w:r>
      <w:proofErr w:type="spellEnd"/>
      <w:r w:rsidRPr="00667F20">
        <w:rPr>
          <w:rFonts w:ascii="Verdana" w:hAnsi="Verdana"/>
          <w:sz w:val="21"/>
          <w:szCs w:val="21"/>
        </w:rPr>
        <w:t>) garantizar que la suspensión tenga por objeto la consecución del interés general y el cumplimiento de los fines estatales; y (</w:t>
      </w:r>
      <w:proofErr w:type="spellStart"/>
      <w:r w:rsidRPr="00667F20">
        <w:rPr>
          <w:rFonts w:ascii="Verdana" w:hAnsi="Verdana"/>
          <w:sz w:val="21"/>
          <w:szCs w:val="21"/>
        </w:rPr>
        <w:t>iv</w:t>
      </w:r>
      <w:proofErr w:type="spellEnd"/>
      <w:r w:rsidRPr="00667F20">
        <w:rPr>
          <w:rFonts w:ascii="Verdana" w:hAnsi="Verdana"/>
          <w:sz w:val="21"/>
          <w:szCs w:val="21"/>
        </w:rPr>
        <w:t>) demostrar y justificar que su ocurrencia obedece a razones de fuerza mayor, o caso fortuito, o que procura la satisfacción del interés público. (…) La suspensión temporal del contrato estatal requiere la concurrencia de la voluntad de los contratistas, lo que excluye la posibilidad de declararla unilateralmente. Lo anterior sin perjuicio de la suspensión de “facto”, en la cual no hay acuerdos, sino que únicamente se dejan constancias escritas de la ocurrencia de los eventos que impiden continuar con el cumplimiento de la obligación pactada.</w:t>
      </w:r>
    </w:p>
    <w:p w14:paraId="67F1C427" w14:textId="77777777" w:rsidR="00F33467" w:rsidRPr="00667F20" w:rsidRDefault="00F33467" w:rsidP="00F33467">
      <w:pPr>
        <w:spacing w:after="0"/>
        <w:rPr>
          <w:rFonts w:ascii="Verdana" w:eastAsia="Times New Roman" w:hAnsi="Verdana" w:cs="Arial"/>
          <w:color w:val="000000" w:themeColor="text1"/>
          <w:sz w:val="21"/>
          <w:szCs w:val="21"/>
          <w:shd w:val="clear" w:color="auto" w:fill="FFFFFF"/>
          <w:lang w:val="es-ES" w:eastAsia="es-MX"/>
        </w:rPr>
      </w:pPr>
    </w:p>
    <w:p w14:paraId="40FF0913" w14:textId="77777777" w:rsidR="00F33467" w:rsidRPr="00667F20" w:rsidRDefault="00F33467" w:rsidP="00F33467">
      <w:pPr>
        <w:spacing w:after="0"/>
        <w:rPr>
          <w:rFonts w:ascii="Verdana" w:eastAsia="Times New Roman" w:hAnsi="Verdana" w:cs="Arial"/>
          <w:b/>
          <w:bCs/>
          <w:color w:val="000000" w:themeColor="text1"/>
          <w:sz w:val="21"/>
          <w:szCs w:val="21"/>
          <w:shd w:val="clear" w:color="auto" w:fill="FFFFFF"/>
          <w:lang w:val="es-ES" w:eastAsia="es-MX"/>
        </w:rPr>
      </w:pPr>
      <w:r w:rsidRPr="00667F20">
        <w:rPr>
          <w:rFonts w:ascii="Verdana" w:eastAsia="Times New Roman" w:hAnsi="Verdana" w:cs="Arial"/>
          <w:b/>
          <w:bCs/>
          <w:color w:val="000000" w:themeColor="text1"/>
          <w:sz w:val="21"/>
          <w:szCs w:val="21"/>
          <w:shd w:val="clear" w:color="auto" w:fill="FFFFFF"/>
          <w:lang w:val="es-ES" w:eastAsia="es-MX"/>
        </w:rPr>
        <w:t xml:space="preserve">SUSPENSIÓN DE CONTRATO – Efectos en el </w:t>
      </w:r>
      <w:r>
        <w:rPr>
          <w:rFonts w:ascii="Verdana" w:eastAsia="Times New Roman" w:hAnsi="Verdana" w:cs="Arial"/>
          <w:b/>
          <w:bCs/>
          <w:color w:val="000000" w:themeColor="text1"/>
          <w:sz w:val="21"/>
          <w:szCs w:val="21"/>
          <w:shd w:val="clear" w:color="auto" w:fill="FFFFFF"/>
          <w:lang w:val="es-ES" w:eastAsia="es-MX"/>
        </w:rPr>
        <w:t>p</w:t>
      </w:r>
      <w:r w:rsidRPr="00667F20">
        <w:rPr>
          <w:rFonts w:ascii="Verdana" w:eastAsia="Times New Roman" w:hAnsi="Verdana" w:cs="Arial"/>
          <w:b/>
          <w:bCs/>
          <w:color w:val="000000" w:themeColor="text1"/>
          <w:sz w:val="21"/>
          <w:szCs w:val="21"/>
          <w:shd w:val="clear" w:color="auto" w:fill="FFFFFF"/>
          <w:lang w:val="es-ES" w:eastAsia="es-MX"/>
        </w:rPr>
        <w:t xml:space="preserve">lazo de </w:t>
      </w:r>
      <w:r>
        <w:rPr>
          <w:rFonts w:ascii="Verdana" w:eastAsia="Times New Roman" w:hAnsi="Verdana" w:cs="Arial"/>
          <w:b/>
          <w:bCs/>
          <w:color w:val="000000" w:themeColor="text1"/>
          <w:sz w:val="21"/>
          <w:szCs w:val="21"/>
          <w:shd w:val="clear" w:color="auto" w:fill="FFFFFF"/>
          <w:lang w:val="es-ES" w:eastAsia="es-MX"/>
        </w:rPr>
        <w:t>e</w:t>
      </w:r>
      <w:r w:rsidRPr="00667F20">
        <w:rPr>
          <w:rFonts w:ascii="Verdana" w:eastAsia="Times New Roman" w:hAnsi="Verdana" w:cs="Arial"/>
          <w:b/>
          <w:bCs/>
          <w:color w:val="000000" w:themeColor="text1"/>
          <w:sz w:val="21"/>
          <w:szCs w:val="21"/>
          <w:shd w:val="clear" w:color="auto" w:fill="FFFFFF"/>
          <w:lang w:val="es-ES" w:eastAsia="es-MX"/>
        </w:rPr>
        <w:t xml:space="preserve">jecución </w:t>
      </w:r>
      <w:r>
        <w:rPr>
          <w:rFonts w:ascii="Verdana" w:eastAsia="Times New Roman" w:hAnsi="Verdana" w:cs="Arial"/>
          <w:b/>
          <w:bCs/>
          <w:color w:val="000000" w:themeColor="text1"/>
          <w:sz w:val="21"/>
          <w:szCs w:val="21"/>
          <w:shd w:val="clear" w:color="auto" w:fill="FFFFFF"/>
          <w:lang w:val="es-ES" w:eastAsia="es-MX"/>
        </w:rPr>
        <w:t>p</w:t>
      </w:r>
      <w:r w:rsidRPr="00667F20">
        <w:rPr>
          <w:rFonts w:ascii="Verdana" w:eastAsia="Times New Roman" w:hAnsi="Verdana" w:cs="Arial"/>
          <w:b/>
          <w:bCs/>
          <w:color w:val="000000" w:themeColor="text1"/>
          <w:sz w:val="21"/>
          <w:szCs w:val="21"/>
          <w:shd w:val="clear" w:color="auto" w:fill="FFFFFF"/>
          <w:lang w:val="es-ES" w:eastAsia="es-MX"/>
        </w:rPr>
        <w:t>actado</w:t>
      </w:r>
    </w:p>
    <w:p w14:paraId="130BEFE1" w14:textId="77777777" w:rsidR="00F33467" w:rsidRPr="00667F20" w:rsidRDefault="00F33467" w:rsidP="00F33467">
      <w:pPr>
        <w:spacing w:after="0"/>
        <w:rPr>
          <w:rFonts w:ascii="Verdana" w:eastAsia="Times New Roman" w:hAnsi="Verdana" w:cs="Arial"/>
          <w:b/>
          <w:bCs/>
          <w:color w:val="000000" w:themeColor="text1"/>
          <w:sz w:val="21"/>
          <w:szCs w:val="21"/>
          <w:shd w:val="clear" w:color="auto" w:fill="FFFFFF"/>
          <w:lang w:val="es-ES" w:eastAsia="es-MX"/>
        </w:rPr>
      </w:pPr>
    </w:p>
    <w:p w14:paraId="4BFE3346" w14:textId="77777777" w:rsidR="00F33467" w:rsidRPr="00667F20" w:rsidRDefault="00F33467" w:rsidP="00F33467">
      <w:pPr>
        <w:spacing w:after="0"/>
        <w:jc w:val="both"/>
        <w:rPr>
          <w:rFonts w:ascii="Verdana" w:hAnsi="Verdana"/>
          <w:sz w:val="21"/>
          <w:szCs w:val="21"/>
        </w:rPr>
      </w:pPr>
      <w:r w:rsidRPr="00667F20">
        <w:rPr>
          <w:rFonts w:ascii="Verdana" w:hAnsi="Verdana"/>
          <w:sz w:val="21"/>
          <w:szCs w:val="21"/>
        </w:rPr>
        <w:t xml:space="preserve">Se ha establecido </w:t>
      </w:r>
      <w:proofErr w:type="gramStart"/>
      <w:r w:rsidRPr="00667F20">
        <w:rPr>
          <w:rFonts w:ascii="Verdana" w:hAnsi="Verdana"/>
          <w:sz w:val="21"/>
          <w:szCs w:val="21"/>
        </w:rPr>
        <w:t>que</w:t>
      </w:r>
      <w:proofErr w:type="gramEnd"/>
      <w:r w:rsidRPr="00667F20">
        <w:rPr>
          <w:rFonts w:ascii="Verdana" w:hAnsi="Verdana"/>
          <w:sz w:val="21"/>
          <w:szCs w:val="21"/>
        </w:rPr>
        <w:t xml:space="preserve"> durante la ocurrencia de la suspensión acordada por las partes en la ejecución del contrato, ante la imposibilidad de ejecutarlo, no se hacen exigibles determinadas obligaciones y el plazo que los contratantes tienen para cumplirlas no transcurre. Esto es que el tiempo “se detiene”, y en consecuencia no </w:t>
      </w:r>
      <w:r w:rsidRPr="00667F20">
        <w:rPr>
          <w:rFonts w:ascii="Verdana" w:hAnsi="Verdana"/>
          <w:sz w:val="21"/>
          <w:szCs w:val="21"/>
        </w:rPr>
        <w:lastRenderedPageBreak/>
        <w:t>se contabiliza. Por consiguiente, al reanudar el cumplimiento de las obligaciones, el vencimiento del plazo que inicialmente estipularon las partes se posterga por un término igual al que duró la parálisis del negocio jurídico, lo que implica que se altera o desplaza la fecha de finalización del contrato. Ahora bien, debe advertirse que la forma en que la suspensión incide en el plazo de la ejecución del contrato no es modificándolo pues en estricto sentido este continúa siendo el mismo que inicialmente se pactó. Lo que ocurre es que, por el efecto mismo de la figura, se deja de contabilizar el tiempo y reinicia el conteo una vez termina la suspensión del contrato. Lo que cambia entonces no es el plazo, sino el término o la fecha determinada en el contrato para el cumplimiento de la obligación principal.</w:t>
      </w:r>
    </w:p>
    <w:p w14:paraId="56A0D213" w14:textId="77777777" w:rsidR="00F33467" w:rsidRDefault="00F33467" w:rsidP="00E245AB">
      <w:pPr>
        <w:spacing w:after="0"/>
        <w:rPr>
          <w:rFonts w:ascii="Verdana" w:hAnsi="Verdana"/>
        </w:rPr>
      </w:pPr>
    </w:p>
    <w:p w14:paraId="35F60463" w14:textId="77777777" w:rsidR="00F33467" w:rsidRDefault="00F33467" w:rsidP="00E245AB">
      <w:pPr>
        <w:spacing w:after="0"/>
        <w:rPr>
          <w:rFonts w:ascii="Verdana" w:hAnsi="Verdana"/>
        </w:rPr>
      </w:pPr>
    </w:p>
    <w:p w14:paraId="4D8490FF" w14:textId="77777777" w:rsidR="00F33467" w:rsidRDefault="00F33467" w:rsidP="00E245AB">
      <w:pPr>
        <w:spacing w:after="0"/>
        <w:rPr>
          <w:rFonts w:ascii="Verdana" w:hAnsi="Verdana"/>
        </w:rPr>
      </w:pPr>
    </w:p>
    <w:p w14:paraId="3F791713" w14:textId="77777777" w:rsidR="00F33467" w:rsidRDefault="00F33467" w:rsidP="00E245AB">
      <w:pPr>
        <w:spacing w:after="0"/>
        <w:rPr>
          <w:rFonts w:ascii="Verdana" w:hAnsi="Verdana"/>
        </w:rPr>
      </w:pPr>
    </w:p>
    <w:p w14:paraId="294004BB" w14:textId="77777777" w:rsidR="00F33467" w:rsidRDefault="00F33467" w:rsidP="00E245AB">
      <w:pPr>
        <w:spacing w:after="0"/>
        <w:rPr>
          <w:rFonts w:ascii="Verdana" w:hAnsi="Verdana"/>
        </w:rPr>
      </w:pPr>
    </w:p>
    <w:p w14:paraId="2B746EB1" w14:textId="77777777" w:rsidR="00F33467" w:rsidRDefault="00F33467" w:rsidP="00E245AB">
      <w:pPr>
        <w:spacing w:after="0"/>
        <w:rPr>
          <w:rFonts w:ascii="Verdana" w:hAnsi="Verdana"/>
        </w:rPr>
      </w:pPr>
    </w:p>
    <w:p w14:paraId="729D1EA6" w14:textId="77777777" w:rsidR="00F33467" w:rsidRDefault="00F33467" w:rsidP="00E245AB">
      <w:pPr>
        <w:spacing w:after="0"/>
        <w:rPr>
          <w:rFonts w:ascii="Verdana" w:hAnsi="Verdana"/>
        </w:rPr>
      </w:pPr>
    </w:p>
    <w:p w14:paraId="747488AE" w14:textId="77777777" w:rsidR="00F33467" w:rsidRDefault="00F33467" w:rsidP="00E245AB">
      <w:pPr>
        <w:spacing w:after="0"/>
        <w:rPr>
          <w:rFonts w:ascii="Verdana" w:hAnsi="Verdana"/>
        </w:rPr>
      </w:pPr>
    </w:p>
    <w:p w14:paraId="327AE08A" w14:textId="77777777" w:rsidR="00F33467" w:rsidRDefault="00F33467" w:rsidP="00E245AB">
      <w:pPr>
        <w:spacing w:after="0"/>
        <w:rPr>
          <w:rFonts w:ascii="Verdana" w:hAnsi="Verdana"/>
        </w:rPr>
      </w:pPr>
    </w:p>
    <w:p w14:paraId="66A956A4" w14:textId="77777777" w:rsidR="00F33467" w:rsidRDefault="00F33467" w:rsidP="00E245AB">
      <w:pPr>
        <w:spacing w:after="0"/>
        <w:rPr>
          <w:rFonts w:ascii="Verdana" w:hAnsi="Verdana"/>
        </w:rPr>
      </w:pPr>
    </w:p>
    <w:p w14:paraId="520ABA60" w14:textId="77777777" w:rsidR="00F33467" w:rsidRDefault="00F33467" w:rsidP="00E245AB">
      <w:pPr>
        <w:spacing w:after="0"/>
        <w:rPr>
          <w:rFonts w:ascii="Verdana" w:hAnsi="Verdana"/>
        </w:rPr>
      </w:pPr>
    </w:p>
    <w:p w14:paraId="1B45AD8F" w14:textId="77777777" w:rsidR="00F33467" w:rsidRDefault="00F33467" w:rsidP="00E245AB">
      <w:pPr>
        <w:spacing w:after="0"/>
        <w:rPr>
          <w:rFonts w:ascii="Verdana" w:hAnsi="Verdana"/>
        </w:rPr>
      </w:pPr>
    </w:p>
    <w:p w14:paraId="77C54304" w14:textId="77777777" w:rsidR="00F33467" w:rsidRDefault="00F33467" w:rsidP="00E245AB">
      <w:pPr>
        <w:spacing w:after="0"/>
        <w:rPr>
          <w:rFonts w:ascii="Verdana" w:hAnsi="Verdana"/>
        </w:rPr>
      </w:pPr>
    </w:p>
    <w:p w14:paraId="1950FAF5" w14:textId="77777777" w:rsidR="00F33467" w:rsidRDefault="00F33467" w:rsidP="00E245AB">
      <w:pPr>
        <w:spacing w:after="0"/>
        <w:rPr>
          <w:rFonts w:ascii="Verdana" w:hAnsi="Verdana"/>
        </w:rPr>
      </w:pPr>
    </w:p>
    <w:p w14:paraId="00DB2D86" w14:textId="77777777" w:rsidR="00F33467" w:rsidRDefault="00F33467" w:rsidP="00E245AB">
      <w:pPr>
        <w:spacing w:after="0"/>
        <w:rPr>
          <w:rFonts w:ascii="Verdana" w:hAnsi="Verdana"/>
        </w:rPr>
      </w:pPr>
    </w:p>
    <w:p w14:paraId="62B8B02D" w14:textId="77777777" w:rsidR="00F33467" w:rsidRDefault="00F33467" w:rsidP="00E245AB">
      <w:pPr>
        <w:spacing w:after="0"/>
        <w:rPr>
          <w:rFonts w:ascii="Verdana" w:hAnsi="Verdana"/>
        </w:rPr>
      </w:pPr>
    </w:p>
    <w:p w14:paraId="0B1578AD" w14:textId="77777777" w:rsidR="00F33467" w:rsidRDefault="00F33467" w:rsidP="00E245AB">
      <w:pPr>
        <w:spacing w:after="0"/>
        <w:rPr>
          <w:rFonts w:ascii="Verdana" w:hAnsi="Verdana"/>
        </w:rPr>
      </w:pPr>
    </w:p>
    <w:p w14:paraId="49DE939E" w14:textId="77777777" w:rsidR="00F33467" w:rsidRDefault="00F33467" w:rsidP="00E245AB">
      <w:pPr>
        <w:spacing w:after="0"/>
        <w:rPr>
          <w:rFonts w:ascii="Verdana" w:hAnsi="Verdana"/>
        </w:rPr>
      </w:pPr>
    </w:p>
    <w:p w14:paraId="61B636F4" w14:textId="77777777" w:rsidR="00F33467" w:rsidRDefault="00F33467" w:rsidP="00E245AB">
      <w:pPr>
        <w:spacing w:after="0"/>
        <w:rPr>
          <w:rFonts w:ascii="Verdana" w:hAnsi="Verdana"/>
        </w:rPr>
      </w:pPr>
    </w:p>
    <w:p w14:paraId="5B0A995A" w14:textId="77777777" w:rsidR="00F33467" w:rsidRDefault="00F33467" w:rsidP="00E245AB">
      <w:pPr>
        <w:spacing w:after="0"/>
        <w:rPr>
          <w:rFonts w:ascii="Verdana" w:hAnsi="Verdana"/>
        </w:rPr>
      </w:pPr>
    </w:p>
    <w:p w14:paraId="54C5D586" w14:textId="77777777" w:rsidR="00F33467" w:rsidRDefault="00F33467" w:rsidP="00E245AB">
      <w:pPr>
        <w:spacing w:after="0"/>
        <w:rPr>
          <w:rFonts w:ascii="Verdana" w:hAnsi="Verdana"/>
        </w:rPr>
      </w:pPr>
    </w:p>
    <w:p w14:paraId="61E97405" w14:textId="77777777" w:rsidR="00F33467" w:rsidRDefault="00F33467" w:rsidP="00E245AB">
      <w:pPr>
        <w:spacing w:after="0"/>
        <w:rPr>
          <w:rFonts w:ascii="Verdana" w:hAnsi="Verdana"/>
        </w:rPr>
      </w:pPr>
    </w:p>
    <w:p w14:paraId="3F9C2F93" w14:textId="77777777" w:rsidR="00F33467" w:rsidRDefault="00F33467" w:rsidP="00E245AB">
      <w:pPr>
        <w:spacing w:after="0"/>
        <w:rPr>
          <w:rFonts w:ascii="Verdana" w:hAnsi="Verdana"/>
        </w:rPr>
      </w:pPr>
    </w:p>
    <w:p w14:paraId="779827E1" w14:textId="77777777" w:rsidR="00F33467" w:rsidRDefault="00F33467" w:rsidP="00E245AB">
      <w:pPr>
        <w:spacing w:after="0"/>
        <w:rPr>
          <w:rFonts w:ascii="Verdana" w:hAnsi="Verdana"/>
        </w:rPr>
      </w:pPr>
    </w:p>
    <w:p w14:paraId="3D645702" w14:textId="77777777" w:rsidR="00F33467" w:rsidRDefault="00F33467" w:rsidP="00E245AB">
      <w:pPr>
        <w:spacing w:after="0"/>
        <w:rPr>
          <w:rFonts w:ascii="Verdana" w:hAnsi="Verdana"/>
        </w:rPr>
      </w:pPr>
    </w:p>
    <w:p w14:paraId="110426B5" w14:textId="77777777" w:rsidR="00F33467" w:rsidRDefault="00F33467" w:rsidP="00E245AB">
      <w:pPr>
        <w:spacing w:after="0"/>
        <w:rPr>
          <w:rFonts w:ascii="Verdana" w:hAnsi="Verdana"/>
        </w:rPr>
      </w:pPr>
    </w:p>
    <w:p w14:paraId="2A542D68" w14:textId="77777777" w:rsidR="00F33467" w:rsidRDefault="00F33467" w:rsidP="00E245AB">
      <w:pPr>
        <w:spacing w:after="0"/>
        <w:rPr>
          <w:rFonts w:ascii="Verdana" w:hAnsi="Verdana"/>
        </w:rPr>
      </w:pPr>
    </w:p>
    <w:p w14:paraId="1E38507C" w14:textId="77777777" w:rsidR="00F33467" w:rsidRDefault="00F33467" w:rsidP="00E245AB">
      <w:pPr>
        <w:spacing w:after="0"/>
        <w:rPr>
          <w:rFonts w:ascii="Verdana" w:hAnsi="Verdana"/>
        </w:rPr>
      </w:pPr>
    </w:p>
    <w:p w14:paraId="180A57A1" w14:textId="77777777" w:rsidR="00F33467" w:rsidRDefault="00F33467" w:rsidP="00E245AB">
      <w:pPr>
        <w:spacing w:after="0"/>
        <w:rPr>
          <w:rFonts w:ascii="Verdana" w:hAnsi="Verdana"/>
        </w:rPr>
      </w:pPr>
    </w:p>
    <w:p w14:paraId="5C93B080" w14:textId="77777777" w:rsidR="00F33467" w:rsidRDefault="00F33467" w:rsidP="00E245AB">
      <w:pPr>
        <w:spacing w:after="0"/>
        <w:rPr>
          <w:rFonts w:ascii="Verdana" w:hAnsi="Verdana"/>
        </w:rPr>
      </w:pPr>
    </w:p>
    <w:p w14:paraId="0F8400AD" w14:textId="77777777" w:rsidR="00F33467" w:rsidRDefault="00F33467" w:rsidP="00E245AB">
      <w:pPr>
        <w:spacing w:after="0"/>
        <w:rPr>
          <w:rFonts w:ascii="Verdana" w:hAnsi="Verdana"/>
        </w:rPr>
      </w:pPr>
    </w:p>
    <w:p w14:paraId="0C7C5A10" w14:textId="77777777" w:rsidR="00F33467" w:rsidRDefault="00F33467" w:rsidP="00E245AB">
      <w:pPr>
        <w:spacing w:after="0"/>
        <w:rPr>
          <w:rFonts w:ascii="Verdana" w:hAnsi="Verdana"/>
        </w:rPr>
      </w:pPr>
    </w:p>
    <w:p w14:paraId="3FE2184B" w14:textId="3A132B99" w:rsidR="00E245AB" w:rsidRPr="0044528D" w:rsidRDefault="00E245AB" w:rsidP="00E245AB">
      <w:pPr>
        <w:spacing w:after="0"/>
        <w:rPr>
          <w:rFonts w:ascii="Verdana" w:hAnsi="Verdana"/>
        </w:rPr>
      </w:pPr>
      <w:r w:rsidRPr="0044528D">
        <w:rPr>
          <w:rFonts w:ascii="Verdana" w:hAnsi="Verdana"/>
        </w:rPr>
        <w:t xml:space="preserve">Bogotá D.C., </w:t>
      </w:r>
      <w:r w:rsidR="00891928" w:rsidRPr="0044528D">
        <w:rPr>
          <w:rFonts w:ascii="Verdana" w:hAnsi="Verdana"/>
        </w:rPr>
        <w:t>[Día] [</w:t>
      </w:r>
      <w:proofErr w:type="spellStart"/>
      <w:r w:rsidR="00891928" w:rsidRPr="0044528D">
        <w:rPr>
          <w:rFonts w:ascii="Verdana" w:hAnsi="Verdana"/>
        </w:rPr>
        <w:t>Mes</w:t>
      </w:r>
      <w:r w:rsidR="00E413EA">
        <w:rPr>
          <w:rFonts w:ascii="Verdana" w:hAnsi="Verdana"/>
        </w:rPr>
        <w:t>.</w:t>
      </w:r>
      <w:r w:rsidR="00891928" w:rsidRPr="0044528D">
        <w:rPr>
          <w:rFonts w:ascii="Verdana" w:hAnsi="Verdana"/>
        </w:rPr>
        <w:t>NombreCapitalizado</w:t>
      </w:r>
      <w:proofErr w:type="spellEnd"/>
      <w:r w:rsidR="00891928" w:rsidRPr="0044528D">
        <w:rPr>
          <w:rFonts w:ascii="Verdana" w:hAnsi="Verdana"/>
        </w:rPr>
        <w:t>] [Año]</w:t>
      </w:r>
      <w:r w:rsidR="00891928" w:rsidRPr="0044528D">
        <w:rPr>
          <w:rFonts w:ascii="Verdana" w:hAnsi="Verdana"/>
        </w:rPr>
        <w:tab/>
      </w:r>
    </w:p>
    <w:p w14:paraId="5FCADBF9" w14:textId="0E5C18CA" w:rsidR="00E245AB" w:rsidRPr="0044528D" w:rsidRDefault="00E245AB" w:rsidP="00E245AB">
      <w:pPr>
        <w:spacing w:after="0"/>
        <w:rPr>
          <w:rFonts w:ascii="Verdana" w:hAnsi="Verdana"/>
        </w:rPr>
      </w:pPr>
    </w:p>
    <w:p w14:paraId="223D56B2" w14:textId="4FA003BD" w:rsidR="00A97D9C" w:rsidRPr="00593A5F" w:rsidRDefault="00F33467" w:rsidP="00A97D9C">
      <w:pPr>
        <w:spacing w:after="0" w:line="240" w:lineRule="auto"/>
        <w:jc w:val="both"/>
        <w:rPr>
          <w:rFonts w:ascii="Verdana" w:eastAsia="Calibri" w:hAnsi="Verdana" w:cs="Arial"/>
          <w:color w:val="000000"/>
          <w:lang w:val="es-ES"/>
        </w:rPr>
      </w:pPr>
      <w:r>
        <w:rPr>
          <w:rFonts w:ascii="Verdana" w:eastAsia="Calibri" w:hAnsi="Verdana" w:cs="Arial"/>
          <w:noProof/>
          <w:color w:val="000000"/>
          <w:lang w:val="es-ES"/>
        </w:rPr>
        <mc:AlternateContent>
          <mc:Choice Requires="wps">
            <w:drawing>
              <wp:anchor distT="0" distB="0" distL="114300" distR="114300" simplePos="0" relativeHeight="251659264" behindDoc="0" locked="0" layoutInCell="1" allowOverlap="1" wp14:anchorId="48BC47B2" wp14:editId="275439BB">
                <wp:simplePos x="0" y="0"/>
                <wp:positionH relativeFrom="column">
                  <wp:posOffset>3053715</wp:posOffset>
                </wp:positionH>
                <wp:positionV relativeFrom="paragraph">
                  <wp:posOffset>52070</wp:posOffset>
                </wp:positionV>
                <wp:extent cx="3276600" cy="990600"/>
                <wp:effectExtent l="0" t="0" r="0" b="0"/>
                <wp:wrapNone/>
                <wp:docPr id="8454222" name="Cuadro de texto 1"/>
                <wp:cNvGraphicFramePr/>
                <a:graphic xmlns:a="http://schemas.openxmlformats.org/drawingml/2006/main">
                  <a:graphicData uri="http://schemas.microsoft.com/office/word/2010/wordprocessingShape">
                    <wps:wsp>
                      <wps:cNvSpPr txBox="1"/>
                      <wps:spPr>
                        <a:xfrm>
                          <a:off x="0" y="0"/>
                          <a:ext cx="3276600" cy="990600"/>
                        </a:xfrm>
                        <a:prstGeom prst="rect">
                          <a:avLst/>
                        </a:prstGeom>
                        <a:solidFill>
                          <a:schemeClr val="lt1"/>
                        </a:solidFill>
                        <a:ln w="6350">
                          <a:noFill/>
                        </a:ln>
                      </wps:spPr>
                      <wps:txbx>
                        <w:txbxContent>
                          <w:p w14:paraId="6461E6CE" w14:textId="645AEACC" w:rsidR="00F33467" w:rsidRDefault="00F33467">
                            <w:r>
                              <w:rPr>
                                <w:noProof/>
                              </w:rPr>
                              <w:drawing>
                                <wp:inline distT="0" distB="0" distL="0" distR="0" wp14:anchorId="0EEE767E" wp14:editId="2DD14B4E">
                                  <wp:extent cx="3087370" cy="857250"/>
                                  <wp:effectExtent l="0" t="0" r="0" b="0"/>
                                  <wp:docPr id="41" name="Picture 41"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Picture 41" descr="Texto&#10;&#10;Descripción generada automáticamente"/>
                                          <pic:cNvPicPr/>
                                        </pic:nvPicPr>
                                        <pic:blipFill>
                                          <a:blip r:embed="rId11"/>
                                          <a:stretch>
                                            <a:fillRect/>
                                          </a:stretch>
                                        </pic:blipFill>
                                        <pic:spPr>
                                          <a:xfrm>
                                            <a:off x="0" y="0"/>
                                            <a:ext cx="3087370" cy="8572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8BC47B2" id="_x0000_t202" coordsize="21600,21600" o:spt="202" path="m,l,21600r21600,l21600,xe">
                <v:stroke joinstyle="miter"/>
                <v:path gradientshapeok="t" o:connecttype="rect"/>
              </v:shapetype>
              <v:shape id="Cuadro de texto 1" o:spid="_x0000_s1026" type="#_x0000_t202" style="position:absolute;left:0;text-align:left;margin-left:240.45pt;margin-top:4.1pt;width:258pt;height:7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" fillcolor="white [3201]" stroked="f" strokeweight=".5pt">
                <v:textbox>
                  <w:txbxContent>
                    <w:p w14:paraId="6461E6CE" w14:textId="645AEACC" w:rsidR="00F33467" w:rsidRDefault="00F33467">
                      <w:r>
                        <w:rPr>
                          <w:noProof/>
                        </w:rPr>
                        <w:drawing>
                          <wp:inline distT="0" distB="0" distL="0" distR="0" wp14:anchorId="0EEE767E" wp14:editId="2DD14B4E">
                            <wp:extent cx="3087370" cy="857250"/>
                            <wp:effectExtent l="0" t="0" r="0" b="0"/>
                            <wp:docPr id="41" name="Picture 41"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Picture 41" descr="Texto&#10;&#10;Descripción generada automáticamente"/>
                                    <pic:cNvPicPr/>
                                  </pic:nvPicPr>
                                  <pic:blipFill>
                                    <a:blip r:embed="rId11"/>
                                    <a:stretch>
                                      <a:fillRect/>
                                    </a:stretch>
                                  </pic:blipFill>
                                  <pic:spPr>
                                    <a:xfrm>
                                      <a:off x="0" y="0"/>
                                      <a:ext cx="3087370" cy="857250"/>
                                    </a:xfrm>
                                    <a:prstGeom prst="rect">
                                      <a:avLst/>
                                    </a:prstGeom>
                                  </pic:spPr>
                                </pic:pic>
                              </a:graphicData>
                            </a:graphic>
                          </wp:inline>
                        </w:drawing>
                      </w:r>
                    </w:p>
                  </w:txbxContent>
                </v:textbox>
              </v:shape>
            </w:pict>
          </mc:Fallback>
        </mc:AlternateContent>
      </w:r>
    </w:p>
    <w:p w14:paraId="2633BB10" w14:textId="2B1F6FFD" w:rsidR="00A97D9C" w:rsidRPr="008E40E6" w:rsidRDefault="00A97D9C" w:rsidP="00A97D9C">
      <w:pPr>
        <w:spacing w:after="0" w:line="240" w:lineRule="auto"/>
        <w:jc w:val="both"/>
        <w:rPr>
          <w:rFonts w:ascii="Verdana" w:eastAsia="Calibri" w:hAnsi="Verdana" w:cs="Arial"/>
          <w:lang w:val="es-ES" w:eastAsia="es-ES"/>
        </w:rPr>
      </w:pPr>
      <w:bookmarkStart w:id="1" w:name="_Hlk175908457"/>
      <w:bookmarkStart w:id="2" w:name="_Hlk177655000"/>
      <w:r w:rsidRPr="008E40E6">
        <w:rPr>
          <w:rFonts w:ascii="Verdana" w:eastAsia="Calibri" w:hAnsi="Verdana" w:cs="Arial"/>
          <w:lang w:val="es-ES" w:eastAsia="es-ES"/>
        </w:rPr>
        <w:t>Señora</w:t>
      </w:r>
    </w:p>
    <w:p w14:paraId="299C2AD5" w14:textId="0FA27E34" w:rsidR="00A97D9C" w:rsidRPr="008E40E6" w:rsidRDefault="00A97D9C" w:rsidP="00A97D9C">
      <w:pPr>
        <w:spacing w:after="0" w:line="240" w:lineRule="auto"/>
        <w:jc w:val="both"/>
        <w:rPr>
          <w:rFonts w:ascii="Verdana" w:eastAsia="Calibri" w:hAnsi="Verdana" w:cs="Arial"/>
          <w:lang w:val="es-ES" w:eastAsia="es-ES"/>
        </w:rPr>
      </w:pPr>
      <w:r w:rsidRPr="008E40E6">
        <w:rPr>
          <w:rFonts w:ascii="Verdana" w:eastAsia="Calibri" w:hAnsi="Verdana" w:cs="Arial"/>
          <w:lang w:val="es-ES" w:eastAsia="es-ES"/>
        </w:rPr>
        <w:t xml:space="preserve">Laura González Echeverria </w:t>
      </w:r>
    </w:p>
    <w:p w14:paraId="6723F4EF" w14:textId="7F639FBD" w:rsidR="00A97D9C" w:rsidRPr="008E40E6" w:rsidRDefault="00000000" w:rsidP="00A97D9C">
      <w:pPr>
        <w:spacing w:after="0" w:line="240" w:lineRule="auto"/>
        <w:rPr>
          <w:rFonts w:ascii="Verdana" w:hAnsi="Verdana"/>
        </w:rPr>
      </w:pPr>
      <w:hyperlink r:id="rId12" w:history="1">
        <w:r w:rsidR="00A97D9C" w:rsidRPr="008E40E6">
          <w:rPr>
            <w:rStyle w:val="Hipervnculo"/>
            <w:rFonts w:ascii="Verdana" w:hAnsi="Verdana"/>
          </w:rPr>
          <w:t>lau92ge5@gmail.com</w:t>
        </w:r>
      </w:hyperlink>
    </w:p>
    <w:p w14:paraId="69786092" w14:textId="684662F6" w:rsidR="00A97D9C" w:rsidRPr="008E40E6" w:rsidRDefault="00A97D9C" w:rsidP="00A97D9C">
      <w:pPr>
        <w:spacing w:after="0" w:line="240" w:lineRule="auto"/>
        <w:rPr>
          <w:rFonts w:ascii="Verdana" w:eastAsia="Calibri" w:hAnsi="Verdana" w:cs="Arial"/>
          <w:b/>
          <w:bCs/>
          <w:color w:val="000000"/>
          <w:lang w:val="es-ES_tradnl" w:eastAsia="es-ES_tradnl"/>
        </w:rPr>
      </w:pPr>
      <w:r w:rsidRPr="008E40E6">
        <w:rPr>
          <w:rFonts w:ascii="Verdana" w:eastAsia="Calibri" w:hAnsi="Verdana" w:cs="Arial"/>
          <w:lang w:val="es-ES" w:eastAsia="es-ES"/>
        </w:rPr>
        <w:t>BOGOTA, D.C.</w:t>
      </w:r>
    </w:p>
    <w:p w14:paraId="4A1DA285" w14:textId="77777777" w:rsidR="00A97D9C" w:rsidRPr="00593A5F" w:rsidRDefault="00A97D9C" w:rsidP="00A97D9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97D9C" w:rsidRPr="00593A5F" w14:paraId="6D9BFEC0" w14:textId="77777777" w:rsidTr="00126449">
        <w:trPr>
          <w:trHeight w:val="884"/>
        </w:trPr>
        <w:tc>
          <w:tcPr>
            <w:tcW w:w="2689" w:type="dxa"/>
          </w:tcPr>
          <w:p w14:paraId="6DF0AE37" w14:textId="77777777" w:rsidR="00A97D9C" w:rsidRPr="008E40E6" w:rsidRDefault="00A97D9C" w:rsidP="00126449">
            <w:pPr>
              <w:jc w:val="both"/>
              <w:rPr>
                <w:rFonts w:ascii="Verdana" w:eastAsia="Calibri" w:hAnsi="Verdana" w:cs="Arial"/>
                <w:b/>
                <w:bCs/>
                <w:lang w:val="es-ES_tradnl" w:eastAsia="es-ES_tradnl"/>
              </w:rPr>
            </w:pPr>
          </w:p>
        </w:tc>
        <w:tc>
          <w:tcPr>
            <w:tcW w:w="6100" w:type="dxa"/>
          </w:tcPr>
          <w:p w14:paraId="45587562" w14:textId="77777777" w:rsidR="00A97D9C" w:rsidRPr="008E40E6" w:rsidRDefault="00A97D9C" w:rsidP="00126449">
            <w:pPr>
              <w:jc w:val="both"/>
              <w:rPr>
                <w:rFonts w:ascii="Verdana" w:eastAsia="Calibri" w:hAnsi="Verdana" w:cs="Arial"/>
                <w:b/>
                <w:bCs/>
                <w:lang w:val="es-ES" w:eastAsia="es-ES"/>
              </w:rPr>
            </w:pPr>
            <w:r w:rsidRPr="008E40E6">
              <w:rPr>
                <w:rFonts w:ascii="Verdana" w:eastAsia="Calibri" w:hAnsi="Verdana" w:cs="Arial"/>
                <w:b/>
                <w:bCs/>
                <w:lang w:val="es-ES" w:eastAsia="es-ES"/>
              </w:rPr>
              <w:t>Concepto C- 495 de 2024</w:t>
            </w:r>
          </w:p>
        </w:tc>
      </w:tr>
      <w:tr w:rsidR="00A97D9C" w:rsidRPr="00593A5F" w14:paraId="5615E22B" w14:textId="77777777" w:rsidTr="00126449">
        <w:trPr>
          <w:trHeight w:val="884"/>
        </w:trPr>
        <w:tc>
          <w:tcPr>
            <w:tcW w:w="2689" w:type="dxa"/>
          </w:tcPr>
          <w:p w14:paraId="1488F6E7" w14:textId="77777777" w:rsidR="00A97D9C" w:rsidRPr="00373A28" w:rsidRDefault="00A97D9C" w:rsidP="00126449">
            <w:pPr>
              <w:jc w:val="both"/>
              <w:rPr>
                <w:rFonts w:ascii="Verdana" w:eastAsia="Calibri" w:hAnsi="Verdana" w:cs="Arial"/>
                <w:lang w:val="es-ES_tradnl" w:eastAsia="es-ES_tradnl"/>
              </w:rPr>
            </w:pPr>
            <w:r w:rsidRPr="00373A28">
              <w:rPr>
                <w:rFonts w:ascii="Verdana" w:eastAsia="Calibri" w:hAnsi="Verdana" w:cs="Arial"/>
                <w:b/>
                <w:lang w:val="es-ES_tradnl" w:eastAsia="es-ES_tradnl"/>
              </w:rPr>
              <w:t>Temas:</w:t>
            </w:r>
            <w:r w:rsidRPr="00373A28">
              <w:rPr>
                <w:rFonts w:ascii="Verdana" w:eastAsia="Calibri" w:hAnsi="Verdana" w:cs="Arial"/>
                <w:lang w:val="es-ES_tradnl" w:eastAsia="es-ES_tradnl"/>
              </w:rPr>
              <w:t xml:space="preserve">                   </w:t>
            </w:r>
          </w:p>
        </w:tc>
        <w:tc>
          <w:tcPr>
            <w:tcW w:w="6100" w:type="dxa"/>
          </w:tcPr>
          <w:p w14:paraId="2454487A" w14:textId="19FD76DB" w:rsidR="002C59B3" w:rsidRDefault="002C59B3" w:rsidP="002C59B3">
            <w:pPr>
              <w:tabs>
                <w:tab w:val="center" w:pos="5738"/>
              </w:tabs>
              <w:ind w:left="-15"/>
            </w:pPr>
            <w:r>
              <w:t xml:space="preserve">ESTABILIDAD LABORAL REFORZADA DE MUJER EMBARAZADA – </w:t>
            </w:r>
            <w:proofErr w:type="gramStart"/>
            <w:r>
              <w:t>Concepto  –</w:t>
            </w:r>
            <w:proofErr w:type="gramEnd"/>
            <w:r>
              <w:t xml:space="preserve"> Unificación jurisprudencial – Procedencia /</w:t>
            </w:r>
            <w:r>
              <w:t xml:space="preserve"> </w:t>
            </w:r>
            <w:r>
              <w:t>SUSPENSIÓN DEL CONTRATO  – Estado de embarazo y licencia de maternidad</w:t>
            </w:r>
          </w:p>
          <w:p w14:paraId="470997EB" w14:textId="77777777" w:rsidR="00A97D9C" w:rsidRPr="00373A28" w:rsidRDefault="00A97D9C" w:rsidP="00126449">
            <w:pPr>
              <w:spacing w:line="276" w:lineRule="auto"/>
              <w:jc w:val="both"/>
              <w:rPr>
                <w:rFonts w:ascii="Verdana" w:eastAsia="Calibri" w:hAnsi="Verdana" w:cs="Arial"/>
                <w:lang w:val="es-ES" w:eastAsia="es-ES"/>
              </w:rPr>
            </w:pPr>
          </w:p>
        </w:tc>
      </w:tr>
      <w:tr w:rsidR="00A97D9C" w:rsidRPr="00593A5F" w14:paraId="73D32556" w14:textId="77777777" w:rsidTr="00126449">
        <w:tc>
          <w:tcPr>
            <w:tcW w:w="2689" w:type="dxa"/>
          </w:tcPr>
          <w:p w14:paraId="2092769F" w14:textId="77777777" w:rsidR="00A97D9C" w:rsidRPr="00373A28" w:rsidRDefault="00A97D9C" w:rsidP="00126449">
            <w:pPr>
              <w:jc w:val="both"/>
              <w:rPr>
                <w:rFonts w:ascii="Verdana" w:eastAsia="Calibri" w:hAnsi="Verdana" w:cs="Arial"/>
                <w:b/>
                <w:lang w:val="es-ES_tradnl" w:eastAsia="es-ES_tradnl"/>
              </w:rPr>
            </w:pPr>
            <w:r w:rsidRPr="00373A28">
              <w:rPr>
                <w:rFonts w:ascii="Verdana" w:eastAsia="Calibri" w:hAnsi="Verdana" w:cs="Arial"/>
                <w:b/>
                <w:lang w:val="es-ES_tradnl" w:eastAsia="es-ES_tradnl"/>
              </w:rPr>
              <w:t>Radicación:</w:t>
            </w:r>
            <w:r w:rsidRPr="00373A28">
              <w:rPr>
                <w:rFonts w:ascii="Verdana" w:eastAsia="Calibri" w:hAnsi="Verdana" w:cs="Arial"/>
                <w:lang w:val="es-ES_tradnl" w:eastAsia="es-ES_tradnl"/>
              </w:rPr>
              <w:t xml:space="preserve">               </w:t>
            </w:r>
          </w:p>
        </w:tc>
        <w:tc>
          <w:tcPr>
            <w:tcW w:w="6100" w:type="dxa"/>
          </w:tcPr>
          <w:p w14:paraId="2DDD73ED" w14:textId="77777777" w:rsidR="00A97D9C" w:rsidRPr="00373A28" w:rsidRDefault="00A97D9C" w:rsidP="00126449">
            <w:pPr>
              <w:jc w:val="both"/>
              <w:rPr>
                <w:rFonts w:ascii="Verdana" w:eastAsia="Calibri" w:hAnsi="Verdana"/>
                <w:b/>
                <w:bCs/>
                <w:lang w:eastAsia="es-ES_tradnl"/>
              </w:rPr>
            </w:pPr>
            <w:r w:rsidRPr="00373A28">
              <w:rPr>
                <w:rFonts w:ascii="Verdana" w:eastAsia="Calibri" w:hAnsi="Verdana" w:cs="Arial"/>
                <w:lang w:val="es-ES_tradnl" w:eastAsia="es-ES_tradnl"/>
              </w:rPr>
              <w:t xml:space="preserve">Respuesta a consulta con radicado No. </w:t>
            </w:r>
            <w:r w:rsidRPr="00545185">
              <w:rPr>
                <w:rFonts w:ascii="Verdana" w:eastAsia="Calibri" w:hAnsi="Verdana"/>
                <w:b/>
                <w:bCs/>
                <w:lang w:eastAsia="es-ES_tradnl"/>
              </w:rPr>
              <w:t> P20240815008365</w:t>
            </w:r>
            <w:r>
              <w:rPr>
                <w:rFonts w:ascii="Verdana" w:eastAsia="Calibri" w:hAnsi="Verdana"/>
                <w:b/>
                <w:bCs/>
                <w:lang w:eastAsia="es-ES_tradnl"/>
              </w:rPr>
              <w:t>.</w:t>
            </w:r>
          </w:p>
          <w:p w14:paraId="23B50D7C" w14:textId="77777777" w:rsidR="00A97D9C" w:rsidRPr="00373A28" w:rsidRDefault="00A97D9C" w:rsidP="00126449">
            <w:pPr>
              <w:jc w:val="both"/>
              <w:rPr>
                <w:rFonts w:ascii="Verdana" w:eastAsia="Calibri" w:hAnsi="Verdana" w:cs="Arial"/>
                <w:lang w:val="es-ES_tradnl" w:eastAsia="es-ES_tradnl"/>
              </w:rPr>
            </w:pPr>
          </w:p>
        </w:tc>
      </w:tr>
    </w:tbl>
    <w:p w14:paraId="064C458A" w14:textId="77777777" w:rsidR="00A97D9C" w:rsidRPr="00593A5F" w:rsidRDefault="00A97D9C" w:rsidP="00A97D9C">
      <w:pPr>
        <w:spacing w:after="0" w:line="240" w:lineRule="auto"/>
        <w:jc w:val="both"/>
        <w:rPr>
          <w:rFonts w:ascii="Verdana" w:eastAsia="Calibri" w:hAnsi="Verdana" w:cs="Arial"/>
          <w:color w:val="000000"/>
          <w:lang w:val="es-ES_tradnl" w:eastAsia="es-ES_tradnl"/>
        </w:rPr>
      </w:pPr>
    </w:p>
    <w:p w14:paraId="371464D3" w14:textId="77777777" w:rsidR="00A97D9C" w:rsidRPr="00593A5F" w:rsidRDefault="00A97D9C" w:rsidP="00A97D9C">
      <w:pPr>
        <w:spacing w:after="0" w:line="240" w:lineRule="auto"/>
        <w:jc w:val="both"/>
        <w:rPr>
          <w:rFonts w:ascii="Verdana" w:eastAsia="Calibri" w:hAnsi="Verdana" w:cs="Arial"/>
          <w:color w:val="000000"/>
          <w:lang w:val="es-ES_tradnl" w:eastAsia="es-ES_tradnl"/>
        </w:rPr>
      </w:pPr>
    </w:p>
    <w:p w14:paraId="246CB424" w14:textId="77777777" w:rsidR="00A97D9C" w:rsidRDefault="00A97D9C" w:rsidP="00A97D9C">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Señora González</w:t>
      </w:r>
      <w:r w:rsidRPr="00593A5F">
        <w:rPr>
          <w:rFonts w:ascii="Verdana" w:eastAsia="Calibri" w:hAnsi="Verdana" w:cs="Arial"/>
          <w:color w:val="000000" w:themeColor="text1"/>
          <w:lang w:val="es-ES" w:eastAsia="es-ES"/>
        </w:rPr>
        <w:t xml:space="preserve">: </w:t>
      </w:r>
    </w:p>
    <w:p w14:paraId="79479979" w14:textId="77777777" w:rsidR="00A97D9C" w:rsidRDefault="00A97D9C" w:rsidP="00A97D9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AD7B356" w14:textId="77777777" w:rsidR="00A97D9C" w:rsidRPr="00593A5F" w:rsidRDefault="00A97D9C" w:rsidP="00A97D9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w:t>
      </w:r>
      <w:r w:rsidRPr="00C13AA5">
        <w:rPr>
          <w:rFonts w:ascii="Verdana" w:eastAsia="Calibri" w:hAnsi="Verdana" w:cs="Arial"/>
          <w:color w:val="000000" w:themeColor="text1"/>
          <w:lang w:val="es-ES" w:eastAsia="es-ES"/>
        </w:rPr>
        <w:t>responde su solicitud</w:t>
      </w:r>
      <w:r>
        <w:rPr>
          <w:rFonts w:ascii="Verdana" w:eastAsia="Calibri" w:hAnsi="Verdana" w:cs="Arial"/>
          <w:color w:val="000000" w:themeColor="text1"/>
          <w:lang w:val="es-ES" w:eastAsia="es-ES"/>
        </w:rPr>
        <w:t xml:space="preserve"> </w:t>
      </w:r>
      <w:r w:rsidRPr="00AE4161">
        <w:rPr>
          <w:rFonts w:ascii="Verdana" w:eastAsia="Calibri" w:hAnsi="Verdana" w:cs="Arial"/>
          <w:color w:val="000000" w:themeColor="text1"/>
          <w:lang w:eastAsia="es-ES"/>
        </w:rPr>
        <w:t xml:space="preserve">emitida el día </w:t>
      </w:r>
      <w:r>
        <w:rPr>
          <w:rFonts w:ascii="Verdana" w:eastAsia="Calibri" w:hAnsi="Verdana" w:cs="Arial"/>
          <w:color w:val="000000" w:themeColor="text1"/>
          <w:lang w:eastAsia="es-ES"/>
        </w:rPr>
        <w:t>13</w:t>
      </w:r>
      <w:r w:rsidRPr="00AE4161">
        <w:rPr>
          <w:rFonts w:ascii="Verdana" w:eastAsia="Calibri" w:hAnsi="Verdana" w:cs="Arial"/>
          <w:color w:val="000000" w:themeColor="text1"/>
          <w:lang w:eastAsia="es-ES"/>
        </w:rPr>
        <w:t xml:space="preserve"> de </w:t>
      </w:r>
      <w:r>
        <w:rPr>
          <w:rFonts w:ascii="Verdana" w:eastAsia="Calibri" w:hAnsi="Verdana" w:cs="Arial"/>
          <w:color w:val="000000" w:themeColor="text1"/>
          <w:lang w:eastAsia="es-ES"/>
        </w:rPr>
        <w:t>agosto</w:t>
      </w:r>
      <w:r w:rsidRPr="00AE4161">
        <w:rPr>
          <w:rFonts w:ascii="Verdana" w:eastAsia="Calibri" w:hAnsi="Verdana" w:cs="Arial"/>
          <w:color w:val="000000" w:themeColor="text1"/>
          <w:lang w:eastAsia="es-ES"/>
        </w:rPr>
        <w:t xml:space="preserve"> de 2024, por el Departamento Administrativo de la Función Pública con oficio remisorio No. </w:t>
      </w:r>
      <w:r w:rsidRPr="00063D7A">
        <w:rPr>
          <w:rFonts w:ascii="Verdana" w:eastAsia="Calibri" w:hAnsi="Verdana" w:cs="Arial"/>
          <w:color w:val="000000" w:themeColor="text1"/>
          <w:lang w:eastAsia="es-ES"/>
        </w:rPr>
        <w:t>20249000540212</w:t>
      </w:r>
      <w:r w:rsidRPr="00C13AA5">
        <w:rPr>
          <w:rFonts w:ascii="Verdana" w:eastAsia="Calibri" w:hAnsi="Verdana" w:cs="Arial"/>
          <w:color w:val="000000" w:themeColor="text1"/>
          <w:lang w:val="es-ES" w:eastAsia="es-ES"/>
        </w:rPr>
        <w:t xml:space="preserve">, en la cual manifiesta lo siguiente: </w:t>
      </w:r>
    </w:p>
    <w:p w14:paraId="5007D829" w14:textId="77777777" w:rsidR="00A97D9C" w:rsidRPr="00272A7B" w:rsidRDefault="00A97D9C" w:rsidP="00A97D9C">
      <w:pPr>
        <w:pStyle w:val="Prrafodelista"/>
        <w:tabs>
          <w:tab w:val="left" w:pos="142"/>
          <w:tab w:val="left" w:pos="284"/>
        </w:tabs>
        <w:spacing w:line="276" w:lineRule="auto"/>
        <w:ind w:left="0"/>
        <w:jc w:val="both"/>
        <w:rPr>
          <w:rFonts w:ascii="Verdana" w:eastAsia="Century Gothic" w:hAnsi="Verdana" w:cs="Century Gothic"/>
          <w:b/>
          <w:bCs/>
        </w:rPr>
      </w:pPr>
    </w:p>
    <w:p w14:paraId="6897C6B0" w14:textId="0FB7CFF6" w:rsidR="0013071E" w:rsidRPr="0013071E" w:rsidRDefault="0008744E" w:rsidP="00177D3F">
      <w:pPr>
        <w:spacing w:after="0" w:line="240" w:lineRule="auto"/>
        <w:ind w:left="709" w:right="709"/>
        <w:jc w:val="both"/>
        <w:rPr>
          <w:rFonts w:ascii="Verdana" w:hAnsi="Verdana" w:cs="Arial"/>
          <w:color w:val="000000" w:themeColor="text1"/>
          <w:sz w:val="20"/>
          <w:szCs w:val="20"/>
          <w:shd w:val="clear" w:color="auto" w:fill="FFFFFF"/>
        </w:rPr>
      </w:pPr>
      <w:r>
        <w:rPr>
          <w:rFonts w:ascii="Verdana" w:hAnsi="Verdana" w:cs="Arial"/>
          <w:color w:val="000000" w:themeColor="text1"/>
          <w:sz w:val="20"/>
          <w:szCs w:val="20"/>
          <w:shd w:val="clear" w:color="auto" w:fill="FFFFFF"/>
        </w:rPr>
        <w:t>“</w:t>
      </w:r>
      <w:proofErr w:type="gramStart"/>
      <w:r>
        <w:rPr>
          <w:rFonts w:ascii="Verdana" w:hAnsi="Verdana" w:cs="Arial"/>
          <w:color w:val="000000" w:themeColor="text1"/>
          <w:sz w:val="20"/>
          <w:szCs w:val="20"/>
          <w:shd w:val="clear" w:color="auto" w:fill="FFFFFF"/>
        </w:rPr>
        <w:t>¿</w:t>
      </w:r>
      <w:r w:rsidR="0013071E" w:rsidRPr="0013071E">
        <w:rPr>
          <w:rFonts w:ascii="Verdana" w:hAnsi="Verdana" w:cs="Arial"/>
          <w:color w:val="000000" w:themeColor="text1"/>
          <w:sz w:val="20"/>
          <w:szCs w:val="20"/>
          <w:shd w:val="clear" w:color="auto" w:fill="FFFFFF"/>
        </w:rPr>
        <w:t>Quisiera consultar en caso de realizar una suspensión de contrato por prestación de servicios con una</w:t>
      </w:r>
      <w:r w:rsidR="0013071E">
        <w:rPr>
          <w:rFonts w:ascii="Verdana" w:hAnsi="Verdana" w:cs="Arial"/>
          <w:color w:val="000000" w:themeColor="text1"/>
          <w:sz w:val="20"/>
          <w:szCs w:val="20"/>
          <w:shd w:val="clear" w:color="auto" w:fill="FFFFFF"/>
        </w:rPr>
        <w:t xml:space="preserve"> </w:t>
      </w:r>
      <w:r w:rsidR="0013071E" w:rsidRPr="0013071E">
        <w:rPr>
          <w:rFonts w:ascii="Verdana" w:hAnsi="Verdana" w:cs="Arial"/>
          <w:color w:val="000000" w:themeColor="text1"/>
          <w:sz w:val="20"/>
          <w:szCs w:val="20"/>
          <w:shd w:val="clear" w:color="auto" w:fill="FFFFFF"/>
        </w:rPr>
        <w:t>entidad estatal con ocasión del periodo de licencia de maternidad, que ocurriría con el tiempo por el cual</w:t>
      </w:r>
      <w:r w:rsidR="0013071E">
        <w:rPr>
          <w:rFonts w:ascii="Verdana" w:hAnsi="Verdana" w:cs="Arial"/>
          <w:color w:val="000000" w:themeColor="text1"/>
          <w:sz w:val="20"/>
          <w:szCs w:val="20"/>
          <w:shd w:val="clear" w:color="auto" w:fill="FFFFFF"/>
        </w:rPr>
        <w:t xml:space="preserve"> </w:t>
      </w:r>
      <w:r w:rsidR="0013071E" w:rsidRPr="0013071E">
        <w:rPr>
          <w:rFonts w:ascii="Verdana" w:hAnsi="Verdana" w:cs="Arial"/>
          <w:color w:val="000000" w:themeColor="text1"/>
          <w:sz w:val="20"/>
          <w:szCs w:val="20"/>
          <w:shd w:val="clear" w:color="auto" w:fill="FFFFFF"/>
        </w:rPr>
        <w:t>se suspendió el contrato.</w:t>
      </w:r>
      <w:proofErr w:type="gramEnd"/>
      <w:r w:rsidR="0013071E" w:rsidRPr="0013071E">
        <w:rPr>
          <w:rFonts w:ascii="Verdana" w:hAnsi="Verdana" w:cs="Arial"/>
          <w:color w:val="000000" w:themeColor="text1"/>
          <w:sz w:val="20"/>
          <w:szCs w:val="20"/>
          <w:shd w:val="clear" w:color="auto" w:fill="FFFFFF"/>
        </w:rPr>
        <w:t xml:space="preserve"> Este tiempo se debe prorrogar al final del contrato en ejecución o simplemente</w:t>
      </w:r>
      <w:r w:rsidR="0013071E">
        <w:rPr>
          <w:rFonts w:ascii="Verdana" w:hAnsi="Verdana" w:cs="Arial"/>
          <w:color w:val="000000" w:themeColor="text1"/>
          <w:sz w:val="20"/>
          <w:szCs w:val="20"/>
          <w:shd w:val="clear" w:color="auto" w:fill="FFFFFF"/>
        </w:rPr>
        <w:t xml:space="preserve"> </w:t>
      </w:r>
      <w:r w:rsidR="0013071E" w:rsidRPr="0013071E">
        <w:rPr>
          <w:rFonts w:ascii="Verdana" w:hAnsi="Verdana" w:cs="Arial"/>
          <w:color w:val="000000" w:themeColor="text1"/>
          <w:sz w:val="20"/>
          <w:szCs w:val="20"/>
          <w:shd w:val="clear" w:color="auto" w:fill="FFFFFF"/>
        </w:rPr>
        <w:t>se pierde ese periodo. En segundo lugar, teniendo en cuenta que a la mujer en periodo de gestación debe</w:t>
      </w:r>
      <w:r w:rsidR="00C50D20">
        <w:rPr>
          <w:rFonts w:ascii="Verdana" w:hAnsi="Verdana" w:cs="Arial"/>
          <w:color w:val="000000" w:themeColor="text1"/>
          <w:sz w:val="20"/>
          <w:szCs w:val="20"/>
          <w:shd w:val="clear" w:color="auto" w:fill="FFFFFF"/>
        </w:rPr>
        <w:t xml:space="preserve"> </w:t>
      </w:r>
      <w:r w:rsidR="0013071E" w:rsidRPr="0013071E">
        <w:rPr>
          <w:rFonts w:ascii="Verdana" w:hAnsi="Verdana" w:cs="Arial"/>
          <w:color w:val="000000" w:themeColor="text1"/>
          <w:sz w:val="20"/>
          <w:szCs w:val="20"/>
          <w:shd w:val="clear" w:color="auto" w:fill="FFFFFF"/>
        </w:rPr>
        <w:t>garantizarse la contratación por el periodo de gestación y 6 meses posteriores al nacimiento del bebé, si</w:t>
      </w:r>
      <w:r w:rsidR="0013071E">
        <w:rPr>
          <w:rFonts w:ascii="Verdana" w:hAnsi="Verdana" w:cs="Arial"/>
          <w:color w:val="000000" w:themeColor="text1"/>
          <w:sz w:val="20"/>
          <w:szCs w:val="20"/>
          <w:shd w:val="clear" w:color="auto" w:fill="FFFFFF"/>
        </w:rPr>
        <w:t xml:space="preserve"> </w:t>
      </w:r>
      <w:r w:rsidR="0013071E" w:rsidRPr="0013071E">
        <w:rPr>
          <w:rFonts w:ascii="Verdana" w:hAnsi="Verdana" w:cs="Arial"/>
          <w:color w:val="000000" w:themeColor="text1"/>
          <w:sz w:val="20"/>
          <w:szCs w:val="20"/>
          <w:shd w:val="clear" w:color="auto" w:fill="FFFFFF"/>
        </w:rPr>
        <w:t>el contrato tiene vencimiento por cambio de vigencia en que término se debe hacer la suscripción del</w:t>
      </w:r>
    </w:p>
    <w:p w14:paraId="57FC88A4" w14:textId="524DB5B2" w:rsidR="00A97D9C" w:rsidRDefault="0013071E" w:rsidP="00177D3F">
      <w:pPr>
        <w:spacing w:after="0" w:line="240" w:lineRule="auto"/>
        <w:ind w:left="709" w:right="709"/>
        <w:jc w:val="both"/>
        <w:rPr>
          <w:rFonts w:ascii="Verdana" w:hAnsi="Verdana" w:cs="Arial"/>
          <w:color w:val="000000" w:themeColor="text1"/>
          <w:sz w:val="20"/>
          <w:szCs w:val="20"/>
          <w:shd w:val="clear" w:color="auto" w:fill="FFFFFF"/>
        </w:rPr>
      </w:pPr>
      <w:r w:rsidRPr="0013071E">
        <w:rPr>
          <w:rFonts w:ascii="Verdana" w:hAnsi="Verdana" w:cs="Arial"/>
          <w:color w:val="000000" w:themeColor="text1"/>
          <w:sz w:val="20"/>
          <w:szCs w:val="20"/>
          <w:shd w:val="clear" w:color="auto" w:fill="FFFFFF"/>
        </w:rPr>
        <w:t xml:space="preserve">nuevo periodo para garantizar el tiempo restante. </w:t>
      </w:r>
      <w:r w:rsidR="0008744E">
        <w:rPr>
          <w:rFonts w:ascii="Verdana" w:hAnsi="Verdana" w:cs="Arial"/>
          <w:color w:val="000000" w:themeColor="text1"/>
          <w:sz w:val="20"/>
          <w:szCs w:val="20"/>
          <w:shd w:val="clear" w:color="auto" w:fill="FFFFFF"/>
        </w:rPr>
        <w:t>“</w:t>
      </w:r>
      <w:r w:rsidRPr="00472CF4">
        <w:rPr>
          <w:rFonts w:ascii="Verdana" w:hAnsi="Verdana"/>
        </w:rPr>
        <w:t>[SIC]</w:t>
      </w:r>
      <w:r w:rsidRPr="00330126">
        <w:rPr>
          <w:rFonts w:ascii="Verdana" w:hAnsi="Verdana"/>
        </w:rPr>
        <w:t>.</w:t>
      </w:r>
    </w:p>
    <w:p w14:paraId="0E12DD10" w14:textId="77777777" w:rsidR="00A97D9C" w:rsidRDefault="00A97D9C" w:rsidP="00A97D9C">
      <w:pPr>
        <w:spacing w:after="0" w:line="240" w:lineRule="auto"/>
        <w:ind w:left="709" w:right="709"/>
        <w:jc w:val="both"/>
        <w:rPr>
          <w:rFonts w:ascii="Verdana" w:hAnsi="Verdana" w:cs="Arial"/>
          <w:color w:val="000000" w:themeColor="text1"/>
          <w:sz w:val="20"/>
          <w:szCs w:val="20"/>
          <w:shd w:val="clear" w:color="auto" w:fill="FFFFFF"/>
        </w:rPr>
      </w:pPr>
    </w:p>
    <w:p w14:paraId="0C114DBD" w14:textId="77777777" w:rsidR="00A97D9C" w:rsidRPr="00C13AA5" w:rsidRDefault="00A97D9C" w:rsidP="00A97D9C">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3C0EA786" w14:textId="77777777" w:rsidR="00A97D9C" w:rsidRDefault="00A97D9C" w:rsidP="00A97D9C">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EDFF360" w14:textId="5338908F" w:rsidR="00A97D9C" w:rsidRDefault="00A97D9C" w:rsidP="00A97D9C">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szCs w:val="24"/>
          <w:lang w:val="es-ES_tradnl" w:eastAsia="es-ES_tradnl"/>
        </w:rPr>
        <w:tab/>
      </w:r>
    </w:p>
    <w:p w14:paraId="408867B1" w14:textId="77777777" w:rsidR="00A97D9C" w:rsidRDefault="00A97D9C" w:rsidP="00A97D9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sidRPr="00C13AA5">
        <w:rPr>
          <w:rFonts w:ascii="Verdana" w:eastAsia="Calibri" w:hAnsi="Verdana" w:cs="Arial"/>
          <w:lang w:val="es-ES" w:eastAsia="es-ES"/>
        </w:rPr>
        <w:t xml:space="preserve">los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s </w:t>
      </w:r>
      <w:r w:rsidRPr="00C13AA5">
        <w:rPr>
          <w:rFonts w:ascii="Verdana" w:eastAsia="Calibri" w:hAnsi="Verdana" w:cs="Arial"/>
          <w:lang w:val="es-ES" w:eastAsia="es-ES"/>
        </w:rPr>
        <w:t xml:space="preserve">jurídicos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4BFEC585" w14:textId="77777777" w:rsidR="00A97D9C" w:rsidRPr="00593A5F" w:rsidRDefault="00A97D9C" w:rsidP="00A97D9C">
      <w:pPr>
        <w:spacing w:after="0" w:line="276" w:lineRule="auto"/>
        <w:ind w:firstLine="709"/>
        <w:jc w:val="both"/>
        <w:rPr>
          <w:rFonts w:ascii="Verdana" w:eastAsia="Calibri" w:hAnsi="Verdana" w:cs="Arial"/>
          <w:color w:val="000000"/>
          <w:lang w:val="es-ES" w:eastAsia="es-ES"/>
        </w:rPr>
      </w:pPr>
    </w:p>
    <w:p w14:paraId="07EC5F74" w14:textId="77777777" w:rsidR="00A97D9C" w:rsidRPr="00593A5F" w:rsidRDefault="00A97D9C" w:rsidP="00A97D9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2169A58" w14:textId="77777777" w:rsidR="00A97D9C" w:rsidRPr="00593A5F" w:rsidRDefault="00A97D9C" w:rsidP="00A97D9C">
      <w:pPr>
        <w:tabs>
          <w:tab w:val="left" w:pos="426"/>
        </w:tabs>
        <w:spacing w:after="0" w:line="276" w:lineRule="auto"/>
        <w:jc w:val="both"/>
        <w:rPr>
          <w:rFonts w:ascii="Verdana" w:eastAsia="Century Gothic" w:hAnsi="Verdana" w:cs="Century Gothic"/>
          <w:lang w:val="es-ES"/>
        </w:rPr>
      </w:pPr>
    </w:p>
    <w:p w14:paraId="082BD419" w14:textId="49C6317B" w:rsidR="00A97D9C" w:rsidRDefault="00A97D9C" w:rsidP="00A97D9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sidR="00E62A6F">
        <w:rPr>
          <w:rFonts w:ascii="Verdana" w:eastAsia="Century Gothic" w:hAnsi="Verdana" w:cs="Century Gothic"/>
        </w:rPr>
        <w:t>los</w:t>
      </w:r>
      <w:r w:rsidRPr="00593A5F">
        <w:rPr>
          <w:rFonts w:ascii="Verdana" w:eastAsia="Century Gothic" w:hAnsi="Verdana" w:cs="Century Gothic"/>
        </w:rPr>
        <w:t xml:space="preserve"> </w:t>
      </w:r>
      <w:r w:rsidR="00E62A6F" w:rsidRPr="00593A5F">
        <w:rPr>
          <w:rFonts w:ascii="Verdana" w:eastAsia="Century Gothic" w:hAnsi="Verdana" w:cs="Century Gothic"/>
        </w:rPr>
        <w:t>siguiente</w:t>
      </w:r>
      <w:r w:rsidR="00E62A6F">
        <w:rPr>
          <w:rFonts w:ascii="Verdana" w:eastAsia="Century Gothic" w:hAnsi="Verdana" w:cs="Century Gothic"/>
        </w:rPr>
        <w:t xml:space="preserve">s </w:t>
      </w:r>
      <w:r w:rsidR="00E62A6F" w:rsidRPr="00593A5F">
        <w:rPr>
          <w:rFonts w:ascii="Verdana" w:eastAsia="Century Gothic" w:hAnsi="Verdana" w:cs="Century Gothic"/>
        </w:rPr>
        <w:t>problemas</w:t>
      </w:r>
      <w:r w:rsidRPr="00593A5F">
        <w:rPr>
          <w:rFonts w:ascii="Verdana" w:eastAsia="Century Gothic" w:hAnsi="Verdana" w:cs="Century Gothic"/>
        </w:rPr>
        <w:t xml:space="preserve"> jurídico</w:t>
      </w:r>
      <w:r w:rsidR="00E62A6F">
        <w:rPr>
          <w:rFonts w:ascii="Verdana" w:eastAsia="Century Gothic" w:hAnsi="Verdana" w:cs="Century Gothic"/>
        </w:rPr>
        <w:t>s</w:t>
      </w:r>
      <w:r>
        <w:rPr>
          <w:rFonts w:ascii="Verdana" w:eastAsia="Century Gothic" w:hAnsi="Verdana" w:cs="Century Gothic"/>
        </w:rPr>
        <w:t>:</w:t>
      </w:r>
    </w:p>
    <w:p w14:paraId="14748A6B" w14:textId="77777777" w:rsidR="00A97D9C" w:rsidRDefault="00A97D9C" w:rsidP="00A97D9C">
      <w:pPr>
        <w:spacing w:after="0" w:line="276" w:lineRule="auto"/>
        <w:jc w:val="both"/>
        <w:rPr>
          <w:rFonts w:ascii="Verdana" w:eastAsia="Century Gothic" w:hAnsi="Verdana" w:cs="Century Gothic"/>
        </w:rPr>
      </w:pPr>
    </w:p>
    <w:p w14:paraId="10E27BF6" w14:textId="28DCA9F5" w:rsidR="0008744E" w:rsidRDefault="0008744E" w:rsidP="00C50D20">
      <w:pPr>
        <w:pStyle w:val="Sinespaciado"/>
        <w:numPr>
          <w:ilvl w:val="0"/>
          <w:numId w:val="22"/>
        </w:numPr>
        <w:spacing w:line="276" w:lineRule="auto"/>
        <w:rPr>
          <w:rFonts w:ascii="Verdana" w:hAnsi="Verdana"/>
        </w:rPr>
      </w:pPr>
      <w:r>
        <w:rPr>
          <w:rFonts w:ascii="Verdana" w:hAnsi="Verdana"/>
        </w:rPr>
        <w:t>¿</w:t>
      </w:r>
      <w:r w:rsidRPr="009F4D40">
        <w:rPr>
          <w:rFonts w:ascii="Verdana" w:hAnsi="Verdana"/>
        </w:rPr>
        <w:t xml:space="preserve">Qué sucede con el plazo de ejecución de un contrato de prestación de servicios cuando es suspendido </w:t>
      </w:r>
      <w:r>
        <w:rPr>
          <w:rFonts w:ascii="Verdana" w:hAnsi="Verdana"/>
        </w:rPr>
        <w:t xml:space="preserve">debido </w:t>
      </w:r>
      <w:r w:rsidRPr="009F4D40">
        <w:rPr>
          <w:rFonts w:ascii="Verdana" w:hAnsi="Verdana"/>
        </w:rPr>
        <w:t>al periodo de licencia de maternidad?</w:t>
      </w:r>
    </w:p>
    <w:p w14:paraId="6C63FEF3" w14:textId="338359E1" w:rsidR="00A97D9C" w:rsidRPr="0013071E" w:rsidRDefault="0008744E" w:rsidP="00C50D20">
      <w:pPr>
        <w:pStyle w:val="Sinespaciado"/>
        <w:numPr>
          <w:ilvl w:val="0"/>
          <w:numId w:val="22"/>
        </w:numPr>
        <w:spacing w:line="276" w:lineRule="auto"/>
        <w:rPr>
          <w:rFonts w:ascii="Verdana" w:hAnsi="Verdana"/>
        </w:rPr>
      </w:pPr>
      <w:r w:rsidRPr="0008744E">
        <w:rPr>
          <w:rFonts w:ascii="Verdana" w:hAnsi="Verdana"/>
        </w:rPr>
        <w:t>¿Cómo se garantiza el fuero de maternidad y lactancia en los contratos de prestación de servicios suscritos con entidades públicas frente al vencimiento de este?</w:t>
      </w:r>
    </w:p>
    <w:p w14:paraId="0CFB933B" w14:textId="77777777" w:rsidR="00A97D9C" w:rsidRPr="00593A5F" w:rsidRDefault="00A97D9C" w:rsidP="00A97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A4BFD9A" w14:textId="77777777" w:rsidR="00A97D9C" w:rsidRPr="00593A5F" w:rsidRDefault="00A97D9C" w:rsidP="00177D3F">
      <w:pPr>
        <w:tabs>
          <w:tab w:val="left" w:pos="142"/>
          <w:tab w:val="left" w:pos="284"/>
        </w:tabs>
        <w:spacing w:after="0" w:line="276" w:lineRule="auto"/>
        <w:ind w:leftChars="709" w:left="1560" w:right="709"/>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97D9C" w:rsidRPr="00A45454" w14:paraId="4218C435" w14:textId="77777777" w:rsidTr="00126449">
        <w:tc>
          <w:tcPr>
            <w:tcW w:w="8828" w:type="dxa"/>
            <w:shd w:val="clear" w:color="auto" w:fill="auto"/>
          </w:tcPr>
          <w:p w14:paraId="21453BD4" w14:textId="77777777" w:rsidR="00A97D9C" w:rsidRDefault="00A97D9C" w:rsidP="00177D3F">
            <w:pPr>
              <w:spacing w:line="276" w:lineRule="auto"/>
              <w:ind w:leftChars="709" w:left="1560" w:right="709"/>
              <w:jc w:val="both"/>
              <w:rPr>
                <w:rFonts w:ascii="Verdana" w:eastAsia="Aptos" w:hAnsi="Verdana" w:cs="Times New Roman"/>
                <w:kern w:val="2"/>
                <w14:ligatures w14:val="standardContextual"/>
              </w:rPr>
            </w:pPr>
          </w:p>
          <w:p w14:paraId="7814F99F" w14:textId="45BA896A" w:rsidR="0008744E" w:rsidRPr="008F4F4C" w:rsidRDefault="0008744E" w:rsidP="008F4F4C">
            <w:pPr>
              <w:pStyle w:val="Sinespaciado"/>
              <w:numPr>
                <w:ilvl w:val="0"/>
                <w:numId w:val="27"/>
              </w:numPr>
              <w:spacing w:line="276" w:lineRule="auto"/>
              <w:jc w:val="both"/>
              <w:rPr>
                <w:rFonts w:ascii="Verdana" w:hAnsi="Verdana"/>
              </w:rPr>
            </w:pPr>
            <w:r w:rsidRPr="008F4F4C">
              <w:rPr>
                <w:rFonts w:ascii="Verdana" w:hAnsi="Verdana"/>
              </w:rPr>
              <w:lastRenderedPageBreak/>
              <w:t xml:space="preserve">Se debe tener en cuenta que la suspensión del contrato no implica la ampliación de su plazo de ejecución, sino solamente la determinación de un periodo en el cual cesará el cumplimiento de las actividades pactadas, por tanto, no habrá lugar al pago de honorarios correspondientes a este tiempo y el plazo de ejecución continuará siendo el mismo inicialmente pactado. </w:t>
            </w:r>
          </w:p>
          <w:p w14:paraId="57B93F26" w14:textId="77777777" w:rsidR="0008744E" w:rsidRPr="008F4F4C" w:rsidRDefault="0008744E" w:rsidP="008F4F4C">
            <w:pPr>
              <w:pStyle w:val="Sinespaciado"/>
              <w:spacing w:line="276" w:lineRule="auto"/>
              <w:jc w:val="both"/>
              <w:rPr>
                <w:rFonts w:ascii="Verdana" w:hAnsi="Verdana"/>
              </w:rPr>
            </w:pPr>
          </w:p>
          <w:p w14:paraId="78B86E57" w14:textId="4BA476A8" w:rsidR="0008744E" w:rsidRPr="008F4F4C" w:rsidRDefault="0008744E" w:rsidP="008F4F4C">
            <w:pPr>
              <w:pStyle w:val="Sinespaciado"/>
              <w:numPr>
                <w:ilvl w:val="0"/>
                <w:numId w:val="27"/>
              </w:numPr>
              <w:spacing w:line="276" w:lineRule="auto"/>
              <w:jc w:val="both"/>
              <w:rPr>
                <w:rFonts w:ascii="Verdana" w:eastAsia="Times New Roman" w:hAnsi="Verdana" w:cs="Arial"/>
                <w:lang w:eastAsia="es-ES_tradnl"/>
              </w:rPr>
            </w:pPr>
            <w:r w:rsidRPr="008F4F4C">
              <w:rPr>
                <w:rFonts w:ascii="Verdana" w:eastAsia="Times New Roman" w:hAnsi="Verdana" w:cs="Arial"/>
                <w:lang w:eastAsia="es-ES_tradnl"/>
              </w:rPr>
              <w:t>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8F4F4C">
              <w:rPr>
                <w:rFonts w:ascii="Verdana" w:eastAsia="Times New Roman" w:hAnsi="Verdana" w:cs="Arial"/>
                <w:lang w:eastAsia="es-ES_tradnl"/>
              </w:rPr>
              <w:t>ii</w:t>
            </w:r>
            <w:proofErr w:type="spellEnd"/>
            <w:r w:rsidRPr="008F4F4C">
              <w:rPr>
                <w:rFonts w:ascii="Verdana" w:eastAsia="Times New Roman" w:hAnsi="Verdana" w:cs="Arial"/>
                <w:lang w:eastAsia="es-ES_tradnl"/>
              </w:rPr>
              <w:t>) cuando a pesar de no probarse la configuración de un contrato realidad la terminación del contrato de prestación de servicios se fundamenta en criterios discriminatorios, y no en motivos objetivos.</w:t>
            </w:r>
          </w:p>
          <w:p w14:paraId="43FC0A61" w14:textId="77777777" w:rsidR="0008744E" w:rsidRPr="008F4F4C" w:rsidRDefault="0008744E" w:rsidP="008F4F4C">
            <w:pPr>
              <w:pStyle w:val="Sinespaciado"/>
              <w:spacing w:line="276" w:lineRule="auto"/>
              <w:jc w:val="both"/>
              <w:rPr>
                <w:rFonts w:ascii="Verdana" w:eastAsia="Times New Roman" w:hAnsi="Verdana" w:cs="Arial"/>
                <w:lang w:eastAsia="es-ES_tradnl"/>
              </w:rPr>
            </w:pPr>
          </w:p>
          <w:p w14:paraId="566E0221" w14:textId="77777777" w:rsidR="0008744E" w:rsidRPr="008F4F4C" w:rsidRDefault="0008744E" w:rsidP="008F4F4C">
            <w:pPr>
              <w:pStyle w:val="Sinespaciado"/>
              <w:spacing w:line="276" w:lineRule="auto"/>
              <w:jc w:val="both"/>
              <w:rPr>
                <w:rFonts w:ascii="Verdana" w:eastAsia="Times New Roman" w:hAnsi="Verdana" w:cs="Arial"/>
                <w:lang w:eastAsia="es-ES_tradnl"/>
              </w:rPr>
            </w:pPr>
            <w:r w:rsidRPr="008F4F4C">
              <w:rPr>
                <w:rFonts w:ascii="Verdana" w:eastAsia="Times New Roman" w:hAnsi="Verdana" w:cs="Arial"/>
                <w:lang w:eastAsia="es-ES_tradn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8F4F4C">
              <w:rPr>
                <w:rFonts w:ascii="Verdana" w:eastAsia="Times New Roman" w:hAnsi="Verdana" w:cs="Arial"/>
                <w:lang w:eastAsia="es-ES_tradnl"/>
              </w:rPr>
              <w:t>ii</w:t>
            </w:r>
            <w:proofErr w:type="spellEnd"/>
            <w:r w:rsidRPr="008F4F4C">
              <w:rPr>
                <w:rFonts w:ascii="Verdana" w:eastAsia="Times New Roman" w:hAnsi="Verdana" w:cs="Arial"/>
                <w:lang w:eastAsia="es-ES_tradnl"/>
              </w:rPr>
              <w:t>) la contención de prácticas discriminatorias en el escenario laboral contra la mujer, con ocasión del estado de embarazo; (</w:t>
            </w:r>
            <w:proofErr w:type="spellStart"/>
            <w:r w:rsidRPr="008F4F4C">
              <w:rPr>
                <w:rFonts w:ascii="Verdana" w:eastAsia="Times New Roman" w:hAnsi="Verdana" w:cs="Arial"/>
                <w:lang w:eastAsia="es-ES_tradnl"/>
              </w:rPr>
              <w:t>iii</w:t>
            </w:r>
            <w:proofErr w:type="spellEnd"/>
            <w:r w:rsidRPr="008F4F4C">
              <w:rPr>
                <w:rFonts w:ascii="Verdana" w:eastAsia="Times New Roman" w:hAnsi="Verdana" w:cs="Arial"/>
                <w:lang w:eastAsia="es-ES_tradnl"/>
              </w:rPr>
              <w:t>) la protección a la vida y a la mujer como su gestora; y (</w:t>
            </w:r>
            <w:proofErr w:type="spellStart"/>
            <w:r w:rsidRPr="008F4F4C">
              <w:rPr>
                <w:rFonts w:ascii="Verdana" w:eastAsia="Times New Roman" w:hAnsi="Verdana" w:cs="Arial"/>
                <w:lang w:eastAsia="es-ES_tradnl"/>
              </w:rPr>
              <w:t>iv</w:t>
            </w:r>
            <w:proofErr w:type="spellEnd"/>
            <w:r w:rsidRPr="008F4F4C">
              <w:rPr>
                <w:rFonts w:ascii="Verdana" w:eastAsia="Times New Roman" w:hAnsi="Verdana" w:cs="Arial"/>
                <w:lang w:eastAsia="es-ES_tradnl"/>
              </w:rPr>
              <w:t>) la relevancia de la familia en el ordenamiento social colombiano.</w:t>
            </w:r>
          </w:p>
          <w:p w14:paraId="55549603" w14:textId="77777777" w:rsidR="0008744E" w:rsidRPr="008F4F4C" w:rsidRDefault="0008744E" w:rsidP="008F4F4C">
            <w:pPr>
              <w:pStyle w:val="Sinespaciado"/>
              <w:spacing w:line="276" w:lineRule="auto"/>
              <w:jc w:val="both"/>
              <w:rPr>
                <w:rFonts w:ascii="Verdana" w:eastAsia="Times New Roman" w:hAnsi="Verdana" w:cs="Arial"/>
                <w:lang w:eastAsia="es-ES_tradnl"/>
              </w:rPr>
            </w:pPr>
            <w:r w:rsidRPr="008F4F4C">
              <w:rPr>
                <w:rFonts w:ascii="Verdana" w:eastAsia="Times New Roman" w:hAnsi="Verdana" w:cs="Arial"/>
                <w:lang w:eastAsia="es-ES_tradn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53F39144" w14:textId="059B1538" w:rsidR="0008744E" w:rsidRPr="008E40E6" w:rsidRDefault="0008744E" w:rsidP="00177D3F">
            <w:pPr>
              <w:spacing w:line="276" w:lineRule="auto"/>
              <w:ind w:leftChars="709" w:left="1560" w:right="709"/>
              <w:jc w:val="both"/>
              <w:rPr>
                <w:rFonts w:ascii="Verdana" w:eastAsia="Aptos" w:hAnsi="Verdana" w:cs="Times New Roman"/>
                <w:kern w:val="2"/>
                <w14:ligatures w14:val="standardContextual"/>
              </w:rPr>
            </w:pPr>
          </w:p>
        </w:tc>
      </w:tr>
    </w:tbl>
    <w:p w14:paraId="4B2BEB50" w14:textId="77777777" w:rsidR="00A97D9C" w:rsidRPr="00593A5F" w:rsidRDefault="00A97D9C" w:rsidP="00A97D9C">
      <w:pPr>
        <w:tabs>
          <w:tab w:val="left" w:pos="142"/>
          <w:tab w:val="left" w:pos="284"/>
        </w:tabs>
        <w:spacing w:after="0" w:line="360" w:lineRule="auto"/>
        <w:jc w:val="both"/>
        <w:rPr>
          <w:rFonts w:ascii="Verdana" w:eastAsia="Century Gothic" w:hAnsi="Verdana" w:cs="Century Gothic"/>
          <w:b/>
          <w:bCs/>
          <w:lang w:val="es-ES"/>
        </w:rPr>
      </w:pPr>
    </w:p>
    <w:p w14:paraId="6EEF2F88" w14:textId="77777777" w:rsidR="00A97D9C" w:rsidRPr="00593A5F" w:rsidRDefault="00A97D9C" w:rsidP="00A97D9C">
      <w:pPr>
        <w:pStyle w:val="Prrafodelista"/>
        <w:numPr>
          <w:ilvl w:val="0"/>
          <w:numId w:val="16"/>
        </w:numPr>
        <w:tabs>
          <w:tab w:val="left" w:pos="142"/>
          <w:tab w:val="left" w:pos="284"/>
        </w:tabs>
        <w:spacing w:after="0" w:line="360"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8FF5B95" w14:textId="77777777" w:rsidR="00A97D9C" w:rsidRPr="00593A5F" w:rsidRDefault="00A97D9C" w:rsidP="00A97D9C">
      <w:pPr>
        <w:spacing w:after="0" w:line="360" w:lineRule="auto"/>
        <w:jc w:val="both"/>
        <w:rPr>
          <w:rFonts w:ascii="Verdana" w:eastAsia="Calibri" w:hAnsi="Verdana" w:cs="Arial"/>
          <w:color w:val="7030A0"/>
          <w:lang w:val="es-ES"/>
        </w:rPr>
      </w:pPr>
    </w:p>
    <w:p w14:paraId="2769419E" w14:textId="77777777" w:rsidR="00A97D9C" w:rsidRDefault="00A97D9C" w:rsidP="00A97D9C">
      <w:pPr>
        <w:spacing w:after="0" w:line="360"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6EDF93B" w14:textId="77777777" w:rsidR="0008744E" w:rsidRDefault="0008744E" w:rsidP="00A97D9C">
      <w:pPr>
        <w:spacing w:after="0" w:line="360" w:lineRule="auto"/>
        <w:jc w:val="both"/>
        <w:rPr>
          <w:rFonts w:ascii="Verdana" w:eastAsia="Calibri" w:hAnsi="Verdana" w:cs="Arial"/>
          <w:lang w:val="es-ES"/>
        </w:rPr>
      </w:pPr>
    </w:p>
    <w:p w14:paraId="58EA497D" w14:textId="16EE59AD" w:rsidR="0008744E" w:rsidRDefault="0008744E" w:rsidP="00177D3F">
      <w:pPr>
        <w:pStyle w:val="Prrafodelista"/>
        <w:numPr>
          <w:ilvl w:val="0"/>
          <w:numId w:val="25"/>
        </w:numPr>
        <w:spacing w:after="0" w:line="276" w:lineRule="auto"/>
        <w:jc w:val="both"/>
        <w:rPr>
          <w:rFonts w:ascii="Verdana" w:eastAsia="Calibri" w:hAnsi="Verdana" w:cs="Arial"/>
        </w:rPr>
      </w:pPr>
      <w:r w:rsidRPr="0008744E">
        <w:rPr>
          <w:rFonts w:ascii="Verdana" w:eastAsia="Calibri" w:hAnsi="Verdana" w:cs="Arial"/>
        </w:rPr>
        <w:t>El contrato de prestación de servicios es un contrato estatal típico, regulado en el numeral 32.3 de la Ley 80 de 1993. Es definido como aquel que “celebren las entidades estatales para desarrollar actividades relacionadas con la administración o funcionamiento de la entidad. Estos contratos sólo se podrán celebrar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Así lo dispone el artículo 2, numeral 4°, literal h) de la Ley 1150 de 2007</w:t>
      </w:r>
      <w:r>
        <w:rPr>
          <w:rFonts w:ascii="Verdana" w:eastAsia="Calibri" w:hAnsi="Verdana" w:cs="Arial"/>
        </w:rPr>
        <w:t>.</w:t>
      </w:r>
    </w:p>
    <w:p w14:paraId="4897758A" w14:textId="77777777" w:rsidR="002C59B3" w:rsidRPr="002C59B3" w:rsidRDefault="002C59B3" w:rsidP="002C59B3">
      <w:pPr>
        <w:spacing w:after="0" w:line="276" w:lineRule="auto"/>
        <w:jc w:val="both"/>
        <w:rPr>
          <w:rFonts w:ascii="Verdana" w:eastAsia="Calibri" w:hAnsi="Verdana" w:cs="Arial"/>
        </w:rPr>
      </w:pPr>
    </w:p>
    <w:p w14:paraId="01F2379B" w14:textId="77777777" w:rsidR="0059212F" w:rsidRDefault="0059212F" w:rsidP="0059212F">
      <w:pPr>
        <w:pStyle w:val="Prrafodelista"/>
        <w:numPr>
          <w:ilvl w:val="0"/>
          <w:numId w:val="25"/>
        </w:numPr>
        <w:spacing w:line="276" w:lineRule="auto"/>
        <w:jc w:val="both"/>
        <w:rPr>
          <w:rFonts w:ascii="Verdana" w:hAnsi="Verdana" w:cs="Arial"/>
        </w:rPr>
      </w:pPr>
      <w:r w:rsidRPr="0059212F">
        <w:rPr>
          <w:rFonts w:ascii="Verdana" w:hAnsi="Verdana" w:cs="Arial"/>
        </w:rPr>
        <w:t>i. La suspensión del contrato debe estar sujeta a un plazo o al cumplimiento de una condición, pactada con criterios de razonabilidad y proporcionalidad entre las partes, acorde con la situación que se presente en cada caso, ya que la finalidad de la suspensión de un contrato estatal, como medida excepcional, está encaminada a reconocer la ocurrencia de situaciones de fuerza mayor, caso fortuito o de interés público que impiden la ejecución temporal del negocio jurídico, y es precisamente por este motivo que no puede permanecer indefinida en el tiempo.</w:t>
      </w:r>
    </w:p>
    <w:p w14:paraId="25497DB7" w14:textId="77777777" w:rsidR="0059212F" w:rsidRPr="0059212F" w:rsidRDefault="0059212F" w:rsidP="0059212F">
      <w:pPr>
        <w:pStyle w:val="Prrafodelista"/>
        <w:rPr>
          <w:rFonts w:ascii="Verdana" w:hAnsi="Verdana" w:cs="Arial"/>
        </w:rPr>
      </w:pPr>
    </w:p>
    <w:p w14:paraId="5CEDAE6D" w14:textId="77777777" w:rsidR="0059212F" w:rsidRPr="0059212F" w:rsidRDefault="0059212F" w:rsidP="0059212F">
      <w:pPr>
        <w:pStyle w:val="Prrafodelista"/>
        <w:spacing w:line="276" w:lineRule="auto"/>
        <w:jc w:val="both"/>
        <w:rPr>
          <w:rFonts w:ascii="Verdana" w:hAnsi="Verdana" w:cs="Arial"/>
        </w:rPr>
      </w:pPr>
    </w:p>
    <w:p w14:paraId="444BEA6F" w14:textId="77777777" w:rsidR="0059212F" w:rsidRPr="0059212F" w:rsidRDefault="0059212F" w:rsidP="0059212F">
      <w:pPr>
        <w:pStyle w:val="Prrafodelista"/>
        <w:numPr>
          <w:ilvl w:val="0"/>
          <w:numId w:val="25"/>
        </w:numPr>
        <w:spacing w:line="276" w:lineRule="auto"/>
        <w:jc w:val="both"/>
        <w:rPr>
          <w:rFonts w:ascii="Verdana" w:eastAsia="Times New Roman" w:hAnsi="Verdana" w:cs="Arial"/>
          <w:color w:val="000000"/>
          <w:lang w:val="es-ES_tradnl" w:eastAsia="es-ES_tradnl"/>
        </w:rPr>
      </w:pPr>
      <w:proofErr w:type="spellStart"/>
      <w:r w:rsidRPr="0059212F">
        <w:rPr>
          <w:rFonts w:ascii="Verdana" w:hAnsi="Verdana"/>
        </w:rPr>
        <w:t>ii</w:t>
      </w:r>
      <w:proofErr w:type="spellEnd"/>
      <w:r w:rsidRPr="0059212F">
        <w:rPr>
          <w:rFonts w:ascii="Verdana" w:hAnsi="Verdana"/>
        </w:rPr>
        <w:t xml:space="preserve">. </w:t>
      </w:r>
      <w:r w:rsidRPr="0059212F">
        <w:rPr>
          <w:rFonts w:ascii="Verdana" w:hAnsi="Verdana" w:cs="Arial"/>
        </w:rPr>
        <w:t>En ejercicio de la autonomía de la voluntad, las partes pueden acordar en el acta de suspensión dos modalidades de reinicio;</w:t>
      </w:r>
      <w:r w:rsidRPr="0059212F">
        <w:rPr>
          <w:rFonts w:ascii="Verdana" w:eastAsia="Times New Roman" w:hAnsi="Verdana" w:cs="Arial"/>
          <w:color w:val="000000"/>
          <w:lang w:val="es-ES_tradnl" w:eastAsia="es-ES_tradnl"/>
        </w:rPr>
        <w:t xml:space="preserve"> indicar en el acta de suspensión que una vez se cumpla la fecha cierta o la condición establecida en la misma</w:t>
      </w:r>
      <w:r w:rsidRPr="0059212F">
        <w:rPr>
          <w:rFonts w:ascii="Verdana" w:hAnsi="Verdana" w:cs="Arial"/>
        </w:rPr>
        <w:t xml:space="preserve">, i. </w:t>
      </w:r>
      <w:r w:rsidRPr="0059212F">
        <w:rPr>
          <w:rFonts w:ascii="Verdana" w:eastAsia="Times New Roman" w:hAnsi="Verdana" w:cs="Arial"/>
          <w:color w:val="000000"/>
          <w:lang w:val="es-ES_tradnl" w:eastAsia="es-ES_tradnl"/>
        </w:rPr>
        <w:t xml:space="preserve">se reanudará o reiniciará una vez se firme el acta de reinicio correspondiente, o </w:t>
      </w:r>
      <w:proofErr w:type="spellStart"/>
      <w:r w:rsidRPr="0059212F">
        <w:rPr>
          <w:rFonts w:ascii="Verdana" w:eastAsia="Times New Roman" w:hAnsi="Verdana" w:cs="Arial"/>
          <w:color w:val="000000"/>
          <w:lang w:val="es-ES_tradnl" w:eastAsia="es-ES_tradnl"/>
        </w:rPr>
        <w:t>ii</w:t>
      </w:r>
      <w:proofErr w:type="spellEnd"/>
      <w:r w:rsidRPr="0059212F">
        <w:rPr>
          <w:rFonts w:ascii="Verdana" w:eastAsia="Times New Roman" w:hAnsi="Verdana" w:cs="Arial"/>
          <w:color w:val="000000"/>
          <w:lang w:val="es-ES_tradnl" w:eastAsia="es-ES_tradnl"/>
        </w:rPr>
        <w:t xml:space="preserve">. se reanudará de manera automática, sin necesidad de suscripción de acta de reinicio adicional. En todo caso, si lo que se pactó en el acta de suspensión del contrato, es la obligatoriedad de suscribir acta de reinicio al momento en que se cumpla la fecha o la condición, se entenderá que el mismo mantiene un estado de suspensión, hasta tanto las partes no suscriban el acta de reinicio, es decir, “en tanto la suspensión sea provisional o temporal es porque el contrato se reiniciará cuando las partes así lo determinen; el caso es que estando el </w:t>
      </w:r>
      <w:r w:rsidRPr="0059212F">
        <w:rPr>
          <w:rFonts w:ascii="Verdana" w:eastAsia="Times New Roman" w:hAnsi="Verdana" w:cs="Arial"/>
          <w:color w:val="000000"/>
          <w:lang w:val="es-ES_tradnl" w:eastAsia="es-ES_tradnl"/>
        </w:rPr>
        <w:lastRenderedPageBreak/>
        <w:t>contrato en ejecución o suspendido con la intención de reiniciarlo, subsiste el vínculo contractual”</w:t>
      </w:r>
      <w:r w:rsidRPr="00684FCF">
        <w:rPr>
          <w:rStyle w:val="Refdenotaalpie"/>
          <w:rFonts w:ascii="Verdana" w:eastAsia="Times New Roman" w:hAnsi="Verdana" w:cs="Arial"/>
          <w:color w:val="000000"/>
          <w:lang w:val="es-ES_tradnl" w:eastAsia="es-ES_tradnl"/>
        </w:rPr>
        <w:footnoteReference w:id="2"/>
      </w:r>
      <w:r w:rsidRPr="0059212F">
        <w:rPr>
          <w:rFonts w:ascii="Verdana" w:eastAsia="Times New Roman" w:hAnsi="Verdana" w:cs="Arial"/>
          <w:color w:val="000000"/>
          <w:lang w:val="es-ES_tradnl" w:eastAsia="es-ES_tradnl"/>
        </w:rPr>
        <w:t xml:space="preserve">.  </w:t>
      </w:r>
    </w:p>
    <w:p w14:paraId="19983E30" w14:textId="77777777" w:rsidR="001B0EC0" w:rsidRDefault="001B0EC0" w:rsidP="001B0EC0">
      <w:pPr>
        <w:pStyle w:val="Prrafodelista"/>
        <w:numPr>
          <w:ilvl w:val="0"/>
          <w:numId w:val="25"/>
        </w:numPr>
        <w:spacing w:before="120" w:after="120" w:line="276" w:lineRule="auto"/>
        <w:jc w:val="both"/>
        <w:rPr>
          <w:rFonts w:ascii="Verdana" w:eastAsia="Times New Roman" w:hAnsi="Verdana" w:cs="Arial"/>
          <w:color w:val="000000"/>
          <w:lang w:val="es-ES_tradnl" w:eastAsia="es-ES_tradnl"/>
        </w:rPr>
      </w:pPr>
      <w:r w:rsidRPr="001B0EC0">
        <w:rPr>
          <w:rFonts w:ascii="Verdana" w:eastAsia="Times New Roman" w:hAnsi="Verdana" w:cs="Arial"/>
          <w:color w:val="000000"/>
          <w:lang w:val="es-ES_tradnl" w:eastAsia="es-ES_tradnl"/>
        </w:rPr>
        <w:t>Por lo tanto, aun cuando un contrato se suspenda, conserva vigencia, pues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el deudor no será responsable, salvo que las razones de la suspensión y futura terminación le sean imputables</w:t>
      </w:r>
      <w:r w:rsidRPr="007C4807">
        <w:rPr>
          <w:rStyle w:val="Refdenotaalpie"/>
          <w:rFonts w:ascii="Verdana" w:hAnsi="Verdana" w:cs="Arial"/>
        </w:rPr>
        <w:footnoteReference w:id="3"/>
      </w:r>
      <w:r w:rsidRPr="001B0EC0">
        <w:rPr>
          <w:rFonts w:ascii="Verdana" w:eastAsia="Times New Roman" w:hAnsi="Verdana" w:cs="Arial"/>
          <w:color w:val="000000"/>
          <w:lang w:val="es-ES_tradnl" w:eastAsia="es-ES_tradnl"/>
        </w:rPr>
        <w:t xml:space="preserve">. </w:t>
      </w:r>
    </w:p>
    <w:p w14:paraId="293C5A64" w14:textId="77777777" w:rsidR="001B0EC0" w:rsidRDefault="001B0EC0" w:rsidP="001B0EC0">
      <w:pPr>
        <w:pStyle w:val="Prrafodelista"/>
        <w:spacing w:before="120" w:after="120" w:line="276" w:lineRule="auto"/>
        <w:jc w:val="both"/>
        <w:rPr>
          <w:rFonts w:ascii="Verdana" w:eastAsia="Times New Roman" w:hAnsi="Verdana" w:cs="Arial"/>
          <w:color w:val="000000"/>
          <w:lang w:val="es-ES_tradnl" w:eastAsia="es-ES_tradnl"/>
        </w:rPr>
      </w:pPr>
    </w:p>
    <w:p w14:paraId="3B8CE6EC" w14:textId="0DCD573C" w:rsidR="001B0EC0" w:rsidRPr="001B0EC0" w:rsidRDefault="001B0EC0" w:rsidP="001B0EC0">
      <w:pPr>
        <w:pStyle w:val="Prrafodelista"/>
        <w:numPr>
          <w:ilvl w:val="0"/>
          <w:numId w:val="25"/>
        </w:numPr>
        <w:spacing w:before="120" w:after="120" w:line="276" w:lineRule="auto"/>
        <w:jc w:val="both"/>
        <w:rPr>
          <w:rFonts w:ascii="Verdana" w:eastAsia="Times New Roman" w:hAnsi="Verdana" w:cs="Arial"/>
          <w:color w:val="000000"/>
          <w:lang w:val="es-ES_tradnl" w:eastAsia="es-ES_tradnl"/>
        </w:rPr>
      </w:pPr>
      <w:r w:rsidRPr="001B0EC0">
        <w:rPr>
          <w:rFonts w:ascii="Verdana" w:eastAsia="Times New Roman" w:hAnsi="Verdana" w:cs="Arial"/>
          <w:color w:val="000000"/>
          <w:lang w:val="es-ES_tradnl" w:eastAsia="es-ES_tradnl"/>
        </w:rPr>
        <w:t>Piénsese, por ejemplo, en el caso de un contrato de suministro respecto del cual el contratista le solicite a la entidad estatal la suspensión por la tardanza de uno de sus proveedores, y que luego se compruebe que la demora es atribuible a la falta de pago del contratista a dichos comerciantes, quienes por eso se niegan en adelante a seguirle vendiendo. Conductas como esta podrían hacer que la suspensión sea permanente y que la entidad estatal se vea en la obligación de terminar el contrato para no afectar la prestación del servicio a su cargo, ni, en consecuencia, los fines del Estado</w:t>
      </w:r>
      <w:r w:rsidRPr="007C4807">
        <w:rPr>
          <w:rStyle w:val="Refdenotaalpie"/>
          <w:rFonts w:ascii="Verdana" w:hAnsi="Verdana" w:cs="Arial"/>
        </w:rPr>
        <w:footnoteReference w:id="4"/>
      </w:r>
      <w:r w:rsidRPr="001B0EC0">
        <w:rPr>
          <w:rFonts w:ascii="Verdana" w:eastAsia="Times New Roman" w:hAnsi="Verdana" w:cs="Arial"/>
          <w:color w:val="000000"/>
          <w:lang w:val="es-ES_tradnl" w:eastAsia="es-ES_tradnl"/>
        </w:rPr>
        <w:t>.</w:t>
      </w:r>
    </w:p>
    <w:p w14:paraId="7ECFD3E1" w14:textId="77777777" w:rsidR="0008744E" w:rsidRPr="001B0EC0" w:rsidRDefault="0008744E" w:rsidP="001B0EC0">
      <w:pPr>
        <w:pStyle w:val="Prrafodelista"/>
        <w:spacing w:after="0" w:line="276" w:lineRule="auto"/>
        <w:jc w:val="both"/>
        <w:rPr>
          <w:rFonts w:ascii="Verdana" w:eastAsia="Calibri" w:hAnsi="Verdana" w:cs="Arial"/>
        </w:rPr>
      </w:pPr>
    </w:p>
    <w:p w14:paraId="11F88049" w14:textId="19C74893" w:rsidR="0008744E" w:rsidRDefault="001B0EC0" w:rsidP="008F4F4C">
      <w:pPr>
        <w:pStyle w:val="Prrafodelista"/>
        <w:numPr>
          <w:ilvl w:val="0"/>
          <w:numId w:val="25"/>
        </w:numPr>
        <w:spacing w:line="276" w:lineRule="auto"/>
        <w:jc w:val="both"/>
        <w:rPr>
          <w:rFonts w:ascii="Verdana" w:eastAsia="Calibri" w:hAnsi="Verdana" w:cs="Arial"/>
        </w:rPr>
      </w:pPr>
      <w:r>
        <w:rPr>
          <w:rFonts w:ascii="Verdana" w:eastAsia="Calibri" w:hAnsi="Verdana" w:cs="Arial"/>
        </w:rPr>
        <w:t>Por otra parte, e</w:t>
      </w:r>
      <w:r w:rsidR="0008744E" w:rsidRPr="0008744E">
        <w:rPr>
          <w:rFonts w:ascii="Verdana" w:eastAsia="Calibri" w:hAnsi="Verdana" w:cs="Arial"/>
        </w:rPr>
        <w:t xml:space="preserv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w:t>
      </w:r>
      <w:r w:rsidR="0008744E" w:rsidRPr="0008744E">
        <w:rPr>
          <w:rFonts w:ascii="Verdana" w:eastAsia="Calibri" w:hAnsi="Verdana" w:cs="Arial"/>
        </w:rPr>
        <w:lastRenderedPageBreak/>
        <w:t xml:space="preserve">las aspiraciones familiares y profesionales de la mujer no se excluyan y pueda armonizarse, al punto de desarrollar su proyecto de vida y su personalidad en </w:t>
      </w:r>
      <w:r w:rsidR="0008744E">
        <w:rPr>
          <w:rFonts w:ascii="Verdana" w:eastAsia="Calibri" w:hAnsi="Verdana" w:cs="Arial"/>
        </w:rPr>
        <w:t xml:space="preserve">condición </w:t>
      </w:r>
      <w:r w:rsidR="0008744E" w:rsidRPr="0008744E">
        <w:rPr>
          <w:rFonts w:ascii="Verdana" w:eastAsia="Calibri" w:hAnsi="Verdana" w:cs="Arial"/>
        </w:rPr>
        <w:t>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r w:rsidR="00E62A6F" w:rsidRPr="0008744E">
        <w:rPr>
          <w:rFonts w:ascii="Verdana" w:eastAsia="Calibri" w:hAnsi="Verdana" w:cs="Arial"/>
        </w:rPr>
        <w:t>”.</w:t>
      </w:r>
    </w:p>
    <w:p w14:paraId="6928771B" w14:textId="77777777" w:rsidR="0008744E" w:rsidRPr="0008744E" w:rsidRDefault="0008744E" w:rsidP="00177D3F">
      <w:pPr>
        <w:spacing w:after="0" w:line="276" w:lineRule="auto"/>
        <w:jc w:val="both"/>
        <w:rPr>
          <w:rFonts w:ascii="Verdana" w:eastAsia="Calibri" w:hAnsi="Verdana" w:cs="Arial"/>
        </w:rPr>
      </w:pPr>
    </w:p>
    <w:p w14:paraId="055E1C82" w14:textId="55AEA501" w:rsidR="0008744E" w:rsidRPr="0008744E" w:rsidRDefault="0008744E" w:rsidP="00177D3F">
      <w:pPr>
        <w:pStyle w:val="Prrafodelista"/>
        <w:numPr>
          <w:ilvl w:val="0"/>
          <w:numId w:val="25"/>
        </w:numPr>
        <w:spacing w:after="0" w:line="276" w:lineRule="auto"/>
        <w:jc w:val="both"/>
        <w:rPr>
          <w:rFonts w:ascii="Verdana" w:eastAsia="Calibri" w:hAnsi="Verdana" w:cs="Arial"/>
        </w:rPr>
      </w:pPr>
      <w:r w:rsidRPr="0008744E">
        <w:rPr>
          <w:rFonts w:ascii="Verdana" w:eastAsia="Calibri" w:hAnsi="Verdana" w:cs="Arial"/>
        </w:rPr>
        <w:t>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00E62A6F" w:rsidRPr="0008744E">
        <w:rPr>
          <w:rFonts w:ascii="Verdana" w:eastAsia="Calibri" w:hAnsi="Verdana" w:cs="Arial"/>
        </w:rPr>
        <w:t>”.</w:t>
      </w:r>
      <w:r w:rsidRPr="0008744E">
        <w:rPr>
          <w:rFonts w:ascii="Verdana" w:eastAsia="Calibri" w:hAnsi="Verdana" w:cs="Arial"/>
        </w:rPr>
        <w:t xml:space="preserve"> La sentencia citada determina el tratamiento que deberían darles las entidades a sus trabajadoras o contratistas cuando se encuentren en estado de embarazo o lactancia, estableciendo su procedencia en los siguientes términos: </w:t>
      </w:r>
    </w:p>
    <w:p w14:paraId="06784C3F" w14:textId="77777777" w:rsidR="0008744E" w:rsidRPr="0008744E" w:rsidRDefault="0008744E" w:rsidP="00F041AD">
      <w:pPr>
        <w:pStyle w:val="Prrafodelista"/>
        <w:spacing w:line="276" w:lineRule="auto"/>
        <w:jc w:val="both"/>
        <w:rPr>
          <w:rFonts w:ascii="Verdana" w:eastAsia="Calibri" w:hAnsi="Verdana" w:cs="Arial"/>
        </w:rPr>
      </w:pPr>
    </w:p>
    <w:p w14:paraId="5011B606" w14:textId="77777777" w:rsidR="0008744E" w:rsidRPr="0008744E" w:rsidRDefault="0008744E" w:rsidP="00177D3F">
      <w:pPr>
        <w:pStyle w:val="Prrafodelista"/>
        <w:spacing w:after="0" w:line="276" w:lineRule="auto"/>
        <w:jc w:val="both"/>
        <w:rPr>
          <w:rFonts w:ascii="Verdana" w:eastAsia="Calibri" w:hAnsi="Verdana" w:cs="Arial"/>
        </w:rPr>
      </w:pPr>
      <w:r w:rsidRPr="0008744E">
        <w:rPr>
          <w:rFonts w:ascii="Verdana" w:eastAsia="Calibri" w:hAnsi="Verdana" w:cs="Arial"/>
        </w:rPr>
        <w:t xml:space="preserve">“La protección reforzada a la maternidad y la lactancia en el ámbito del trabajo procede cuando se demuestre, sin ninguna otra exigencia adicional, lo siguiente: </w:t>
      </w:r>
    </w:p>
    <w:p w14:paraId="5280D34E" w14:textId="5AF0300E" w:rsidR="0008744E" w:rsidRPr="0008744E" w:rsidRDefault="0008744E" w:rsidP="00C50D20">
      <w:pPr>
        <w:pStyle w:val="Prrafodelista"/>
        <w:spacing w:after="0" w:line="360" w:lineRule="auto"/>
        <w:jc w:val="both"/>
        <w:rPr>
          <w:rFonts w:ascii="Verdana" w:eastAsia="Calibri" w:hAnsi="Verdana" w:cs="Arial"/>
        </w:rPr>
      </w:pPr>
    </w:p>
    <w:p w14:paraId="02A3ACB5" w14:textId="7FBAF536" w:rsidR="0008744E" w:rsidRPr="00177D3F" w:rsidRDefault="0008744E" w:rsidP="00177D3F">
      <w:pPr>
        <w:pStyle w:val="Prrafodelista"/>
        <w:spacing w:after="0"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(a) La existencia de una relación laboral o de prestación de servicios y; (b) Que la mujer se encuentra en estado de embarazo o dentro de los tres meses siguientes al parto, en vigencia de dicha relación laboral o de prestación.</w:t>
      </w:r>
    </w:p>
    <w:p w14:paraId="2F49DDB2" w14:textId="77777777" w:rsidR="00E62A6F" w:rsidRPr="00177D3F" w:rsidRDefault="00E62A6F" w:rsidP="00177D3F">
      <w:pPr>
        <w:pStyle w:val="Prrafodelista"/>
        <w:spacing w:after="0" w:line="240" w:lineRule="auto"/>
        <w:ind w:left="709" w:right="709"/>
        <w:jc w:val="both"/>
        <w:rPr>
          <w:rFonts w:ascii="Verdana" w:eastAsia="Calibri" w:hAnsi="Verdana" w:cs="Arial"/>
          <w:sz w:val="20"/>
          <w:szCs w:val="20"/>
        </w:rPr>
      </w:pPr>
    </w:p>
    <w:p w14:paraId="1CFBCC04" w14:textId="77777777" w:rsidR="0008744E" w:rsidRPr="00177D3F" w:rsidRDefault="0008744E" w:rsidP="00177D3F">
      <w:pPr>
        <w:pStyle w:val="Prrafodelista"/>
        <w:spacing w:after="0"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No obstante, el alcance de la protección se debe determinar a partir de dos factores:</w:t>
      </w:r>
    </w:p>
    <w:p w14:paraId="02CE87A7" w14:textId="77777777" w:rsidR="0008744E" w:rsidRPr="00177D3F" w:rsidRDefault="0008744E" w:rsidP="00177D3F">
      <w:pPr>
        <w:pStyle w:val="Prrafodelista"/>
        <w:spacing w:after="0"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 xml:space="preserve"> </w:t>
      </w:r>
    </w:p>
    <w:p w14:paraId="1291C264" w14:textId="567AB965" w:rsidR="0008744E" w:rsidRPr="00177D3F" w:rsidRDefault="0008744E" w:rsidP="00177D3F">
      <w:pPr>
        <w:pStyle w:val="Prrafodelista"/>
        <w:spacing w:after="0"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(a) El conocimiento del embarazo por parte del empleador; y</w:t>
      </w:r>
      <w:r w:rsidR="00E62A6F" w:rsidRPr="00177D3F">
        <w:rPr>
          <w:rFonts w:ascii="Verdana" w:eastAsia="Calibri" w:hAnsi="Verdana" w:cs="Arial"/>
          <w:sz w:val="20"/>
          <w:szCs w:val="20"/>
        </w:rPr>
        <w:t xml:space="preserve"> </w:t>
      </w:r>
      <w:r w:rsidRPr="00177D3F">
        <w:rPr>
          <w:rFonts w:ascii="Verdana" w:eastAsia="Calibri" w:hAnsi="Verdana" w:cs="Arial"/>
          <w:sz w:val="20"/>
          <w:szCs w:val="20"/>
        </w:rPr>
        <w:t>(b) La alternativa laboral mediante la cual se encontraba vinculada la mujer embarazada”.</w:t>
      </w:r>
    </w:p>
    <w:p w14:paraId="7CDB20A9" w14:textId="77777777" w:rsidR="0008744E" w:rsidRPr="0008744E" w:rsidRDefault="0008744E" w:rsidP="0008744E">
      <w:pPr>
        <w:pStyle w:val="Prrafodelista"/>
        <w:spacing w:after="0" w:line="360" w:lineRule="auto"/>
        <w:jc w:val="both"/>
        <w:rPr>
          <w:rFonts w:ascii="Verdana" w:eastAsia="Calibri" w:hAnsi="Verdana" w:cs="Arial"/>
        </w:rPr>
      </w:pPr>
    </w:p>
    <w:p w14:paraId="7D80E548" w14:textId="77777777" w:rsidR="0008744E" w:rsidRPr="0008744E" w:rsidRDefault="0008744E" w:rsidP="00177D3F">
      <w:pPr>
        <w:pStyle w:val="Prrafodelista"/>
        <w:numPr>
          <w:ilvl w:val="0"/>
          <w:numId w:val="25"/>
        </w:numPr>
        <w:spacing w:after="0" w:line="276" w:lineRule="auto"/>
        <w:jc w:val="both"/>
        <w:rPr>
          <w:rFonts w:ascii="Verdana" w:eastAsia="Calibri" w:hAnsi="Verdana" w:cs="Arial"/>
        </w:rPr>
      </w:pPr>
      <w:r w:rsidRPr="0008744E">
        <w:rPr>
          <w:rFonts w:ascii="Verdana" w:eastAsia="Calibri" w:hAnsi="Verdana" w:cs="Arial"/>
        </w:rPr>
        <w:lastRenderedPageBreak/>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   </w:t>
      </w:r>
    </w:p>
    <w:p w14:paraId="54E8FEF4" w14:textId="77777777" w:rsidR="0008744E" w:rsidRPr="0008744E" w:rsidRDefault="0008744E" w:rsidP="0008744E">
      <w:pPr>
        <w:pStyle w:val="Prrafodelista"/>
        <w:spacing w:after="0" w:line="360" w:lineRule="auto"/>
        <w:jc w:val="both"/>
        <w:rPr>
          <w:rFonts w:ascii="Verdana" w:eastAsia="Calibri" w:hAnsi="Verdana" w:cs="Arial"/>
        </w:rPr>
      </w:pPr>
    </w:p>
    <w:p w14:paraId="0989C3F7" w14:textId="77777777" w:rsidR="0008744E" w:rsidRPr="00177D3F" w:rsidRDefault="0008744E" w:rsidP="00177D3F">
      <w:pPr>
        <w:pStyle w:val="Prrafodelista"/>
        <w:numPr>
          <w:ilvl w:val="0"/>
          <w:numId w:val="25"/>
        </w:numPr>
        <w:spacing w:after="0" w:line="360" w:lineRule="auto"/>
        <w:ind w:left="1066" w:right="709" w:hanging="357"/>
        <w:jc w:val="both"/>
        <w:rPr>
          <w:rFonts w:ascii="Verdana" w:eastAsia="Calibri" w:hAnsi="Verdana" w:cs="Arial"/>
          <w:sz w:val="20"/>
          <w:szCs w:val="20"/>
        </w:rPr>
      </w:pPr>
      <w:r w:rsidRPr="00177D3F">
        <w:rPr>
          <w:rFonts w:ascii="Verdana" w:eastAsia="Calibri" w:hAnsi="Verdana" w:cs="Arial"/>
          <w:sz w:val="20"/>
          <w:szCs w:val="20"/>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052F8EBC" w14:textId="77777777" w:rsidR="0008744E" w:rsidRPr="0008744E" w:rsidRDefault="0008744E" w:rsidP="0008744E">
      <w:pPr>
        <w:pStyle w:val="Prrafodelista"/>
        <w:spacing w:after="0" w:line="360" w:lineRule="auto"/>
        <w:jc w:val="both"/>
        <w:rPr>
          <w:rFonts w:ascii="Verdana" w:eastAsia="Calibri" w:hAnsi="Verdana" w:cs="Arial"/>
        </w:rPr>
      </w:pPr>
    </w:p>
    <w:p w14:paraId="0C837806" w14:textId="49280EB4" w:rsidR="0008744E" w:rsidRDefault="0008744E" w:rsidP="00177D3F">
      <w:pPr>
        <w:pStyle w:val="Prrafodelista"/>
        <w:numPr>
          <w:ilvl w:val="0"/>
          <w:numId w:val="25"/>
        </w:numPr>
        <w:spacing w:after="0" w:line="276" w:lineRule="auto"/>
        <w:jc w:val="both"/>
        <w:rPr>
          <w:rFonts w:ascii="Verdana" w:eastAsia="Calibri" w:hAnsi="Verdana" w:cs="Arial"/>
        </w:rPr>
      </w:pPr>
      <w:r w:rsidRPr="0008744E">
        <w:rPr>
          <w:rFonts w:ascii="Verdana" w:eastAsia="Calibri" w:hAnsi="Verdana" w:cs="Arial"/>
        </w:rPr>
        <w:tab/>
        <w:t xml:space="preserve">Conforme a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08744E">
        <w:rPr>
          <w:rFonts w:ascii="Verdana" w:eastAsia="Calibri" w:hAnsi="Verdana" w:cs="Arial"/>
        </w:rPr>
        <w:t>ii</w:t>
      </w:r>
      <w:proofErr w:type="spellEnd"/>
      <w:r w:rsidRPr="0008744E">
        <w:rPr>
          <w:rFonts w:ascii="Verdana" w:eastAsia="Calibri" w:hAnsi="Verdana" w:cs="Arial"/>
        </w:rPr>
        <w:t>) cuando a pesar de no probarse la configuración de un contrato realidad la terminación del contrato de prestación de servicios se fundamenta en criterios discriminatorios, y no en motivos objetivos.</w:t>
      </w:r>
    </w:p>
    <w:p w14:paraId="6FFEB8D4" w14:textId="77777777" w:rsidR="0008744E" w:rsidRPr="0008744E" w:rsidRDefault="0008744E" w:rsidP="0008744E">
      <w:pPr>
        <w:pStyle w:val="Prrafodelista"/>
        <w:rPr>
          <w:rFonts w:ascii="Verdana" w:eastAsia="Calibri" w:hAnsi="Verdana" w:cs="Arial"/>
        </w:rPr>
      </w:pPr>
    </w:p>
    <w:p w14:paraId="66285E11" w14:textId="5157BFFC" w:rsidR="0008744E" w:rsidRPr="0008744E" w:rsidRDefault="0008744E" w:rsidP="0008744E">
      <w:pPr>
        <w:spacing w:after="0" w:line="360" w:lineRule="auto"/>
        <w:jc w:val="both"/>
        <w:rPr>
          <w:rFonts w:ascii="Verdana" w:eastAsia="Calibri" w:hAnsi="Verdana" w:cs="Arial"/>
        </w:rPr>
      </w:pPr>
    </w:p>
    <w:p w14:paraId="5FF99C0E" w14:textId="77777777" w:rsidR="0008744E" w:rsidRPr="0008744E" w:rsidRDefault="0008744E" w:rsidP="00177D3F">
      <w:pPr>
        <w:pStyle w:val="Prrafodelista"/>
        <w:numPr>
          <w:ilvl w:val="0"/>
          <w:numId w:val="25"/>
        </w:numPr>
        <w:spacing w:after="0" w:line="276" w:lineRule="auto"/>
        <w:jc w:val="both"/>
        <w:rPr>
          <w:rFonts w:ascii="Verdana" w:eastAsia="Calibri" w:hAnsi="Verdana" w:cs="Arial"/>
        </w:rPr>
      </w:pPr>
      <w:r w:rsidRPr="0008744E">
        <w:rPr>
          <w:rFonts w:ascii="Verdana" w:eastAsia="Calibri" w:hAnsi="Verdana" w:cs="Arial"/>
        </w:rPr>
        <w:t xml:space="preserve">Adicionalmente, la Corte Constitucional profirió la sentencia T-329 de 2022, con ponencia de la magistrada Natalia Ángel Cabo, en la cual reiteró el precedente sobre la protección de la mujer embarazada y en período de lactancia en contratos de prestación de servicios establecido en la Sentencia S-070 de 2013, al indicar lo siguiente: </w:t>
      </w:r>
    </w:p>
    <w:p w14:paraId="05E49E8E" w14:textId="77777777" w:rsidR="0008744E" w:rsidRPr="0008744E" w:rsidRDefault="0008744E" w:rsidP="0008744E">
      <w:pPr>
        <w:pStyle w:val="Prrafodelista"/>
        <w:spacing w:after="0" w:line="360" w:lineRule="auto"/>
        <w:jc w:val="both"/>
        <w:rPr>
          <w:rFonts w:ascii="Verdana" w:eastAsia="Calibri" w:hAnsi="Verdana" w:cs="Arial"/>
        </w:rPr>
      </w:pPr>
    </w:p>
    <w:p w14:paraId="2EA35C6B" w14:textId="77777777" w:rsidR="0008744E" w:rsidRPr="00C50D20" w:rsidRDefault="0008744E" w:rsidP="00177D3F">
      <w:pPr>
        <w:pStyle w:val="Prrafodelista"/>
        <w:spacing w:after="0" w:line="240" w:lineRule="auto"/>
        <w:ind w:left="709" w:right="709"/>
        <w:jc w:val="both"/>
        <w:rPr>
          <w:rFonts w:ascii="Verdana" w:eastAsia="Calibri" w:hAnsi="Verdana" w:cs="Arial"/>
          <w:sz w:val="20"/>
          <w:szCs w:val="20"/>
        </w:rPr>
      </w:pPr>
      <w:r w:rsidRPr="00C50D20">
        <w:rPr>
          <w:rFonts w:ascii="Verdana" w:eastAsia="Calibri" w:hAnsi="Verdana" w:cs="Arial"/>
          <w:sz w:val="20"/>
          <w:szCs w:val="20"/>
        </w:rPr>
        <w:lastRenderedPageBreak/>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4C1D3C81" w14:textId="77777777" w:rsidR="0008744E" w:rsidRPr="0008744E" w:rsidRDefault="0008744E" w:rsidP="00C50D20">
      <w:pPr>
        <w:pStyle w:val="Prrafodelista"/>
        <w:spacing w:after="0" w:line="360" w:lineRule="auto"/>
        <w:ind w:left="709" w:right="709"/>
        <w:jc w:val="both"/>
        <w:rPr>
          <w:rFonts w:ascii="Verdana" w:eastAsia="Calibri" w:hAnsi="Verdana" w:cs="Arial"/>
        </w:rPr>
      </w:pPr>
    </w:p>
    <w:p w14:paraId="7EA9078F" w14:textId="77777777" w:rsidR="00C50D20" w:rsidRDefault="0008744E" w:rsidP="00E62A6F">
      <w:pPr>
        <w:pStyle w:val="Prrafodelista"/>
        <w:numPr>
          <w:ilvl w:val="0"/>
          <w:numId w:val="25"/>
        </w:numPr>
        <w:spacing w:after="0" w:line="276" w:lineRule="auto"/>
        <w:jc w:val="both"/>
        <w:rPr>
          <w:rFonts w:ascii="Verdana" w:eastAsia="Calibri" w:hAnsi="Verdana" w:cs="Arial"/>
        </w:rPr>
      </w:pPr>
      <w:r w:rsidRPr="0008744E">
        <w:rPr>
          <w:rFonts w:ascii="Verdana" w:eastAsia="Calibri" w:hAnsi="Verdana" w:cs="Arial"/>
        </w:rPr>
        <w:t>En dicha providencia la Corte consideró que, en los casos de 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w:t>
      </w:r>
    </w:p>
    <w:p w14:paraId="0651BB5F" w14:textId="77777777" w:rsidR="00C50D20" w:rsidRDefault="00C50D20" w:rsidP="00C50D20">
      <w:pPr>
        <w:pStyle w:val="Prrafodelista"/>
        <w:spacing w:after="0" w:line="240" w:lineRule="auto"/>
        <w:jc w:val="both"/>
        <w:rPr>
          <w:rFonts w:ascii="Verdana" w:eastAsia="Calibri" w:hAnsi="Verdana" w:cs="Arial"/>
        </w:rPr>
      </w:pPr>
    </w:p>
    <w:p w14:paraId="14585BB7" w14:textId="088DD76C" w:rsidR="0008744E" w:rsidRPr="00177D3F" w:rsidRDefault="0008744E" w:rsidP="00177D3F">
      <w:pPr>
        <w:pStyle w:val="Prrafodelista"/>
        <w:spacing w:after="0"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 xml:space="preserve"> “(i) la protección de la mujer gestante o en periodo de lactancia se deriva de, entre otros, los artículos 43, 53 y 13 de la Constitución Nacional; (</w:t>
      </w:r>
      <w:proofErr w:type="spellStart"/>
      <w:r w:rsidRPr="00177D3F">
        <w:rPr>
          <w:rFonts w:ascii="Verdana" w:eastAsia="Calibri" w:hAnsi="Verdana" w:cs="Arial"/>
          <w:sz w:val="20"/>
          <w:szCs w:val="20"/>
        </w:rPr>
        <w:t>ii</w:t>
      </w:r>
      <w:proofErr w:type="spellEnd"/>
      <w:r w:rsidRPr="00177D3F">
        <w:rPr>
          <w:rFonts w:ascii="Verdana" w:eastAsia="Calibri" w:hAnsi="Verdana" w:cs="Arial"/>
          <w:sz w:val="20"/>
          <w:szCs w:val="20"/>
        </w:rPr>
        <w:t>) la Sentencia SU-070 de 2013 reiteró la protección a la mujer embarazada en todas las alternativas laborales o de trabajo en las que se incluye el contrato de prestación de servicios; (</w:t>
      </w:r>
      <w:proofErr w:type="spellStart"/>
      <w:r w:rsidRPr="00177D3F">
        <w:rPr>
          <w:rFonts w:ascii="Verdana" w:eastAsia="Calibri" w:hAnsi="Verdana" w:cs="Arial"/>
          <w:sz w:val="20"/>
          <w:szCs w:val="20"/>
        </w:rPr>
        <w:t>iii</w:t>
      </w:r>
      <w:proofErr w:type="spellEnd"/>
      <w:r w:rsidRPr="00177D3F">
        <w:rPr>
          <w:rFonts w:ascii="Verdana" w:eastAsia="Calibri" w:hAnsi="Verdana" w:cs="Arial"/>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177D3F">
        <w:rPr>
          <w:rFonts w:ascii="Verdana" w:eastAsia="Calibri" w:hAnsi="Verdana" w:cs="Arial"/>
          <w:sz w:val="20"/>
          <w:szCs w:val="20"/>
        </w:rPr>
        <w:t>iv</w:t>
      </w:r>
      <w:proofErr w:type="spellEnd"/>
      <w:r w:rsidRPr="00177D3F">
        <w:rPr>
          <w:rFonts w:ascii="Verdana" w:eastAsia="Calibri" w:hAnsi="Verdana" w:cs="Arial"/>
          <w:sz w:val="20"/>
          <w:szCs w:val="20"/>
        </w:rPr>
        <w:t xml:space="preserve">) las salas de revisión de la Corte Constitucional reconocen la protección derivada del fuero de maternidad en los contratos de prestación de servicios”. </w:t>
      </w:r>
    </w:p>
    <w:p w14:paraId="779D4DF7" w14:textId="77777777" w:rsidR="00903404" w:rsidRDefault="00903404" w:rsidP="00E62A6F">
      <w:pPr>
        <w:pStyle w:val="Prrafodelista"/>
        <w:spacing w:after="0" w:line="276" w:lineRule="auto"/>
        <w:jc w:val="both"/>
        <w:rPr>
          <w:rFonts w:ascii="Verdana" w:eastAsia="Calibri" w:hAnsi="Verdana" w:cs="Arial"/>
        </w:rPr>
      </w:pPr>
    </w:p>
    <w:p w14:paraId="2AE748D0" w14:textId="77777777" w:rsidR="00177D3F" w:rsidRPr="00177D3F" w:rsidRDefault="00177D3F" w:rsidP="00177D3F">
      <w:pPr>
        <w:pStyle w:val="Prrafodelista"/>
        <w:spacing w:after="0" w:line="276" w:lineRule="auto"/>
        <w:jc w:val="both"/>
        <w:rPr>
          <w:rFonts w:ascii="Verdana" w:eastAsia="Calibri" w:hAnsi="Verdana" w:cs="Arial"/>
        </w:rPr>
      </w:pPr>
    </w:p>
    <w:p w14:paraId="05E118E0" w14:textId="4E5B0D7A" w:rsidR="00177D3F" w:rsidRPr="00177D3F" w:rsidRDefault="00177D3F" w:rsidP="00405977">
      <w:pPr>
        <w:pStyle w:val="Prrafodelista"/>
        <w:numPr>
          <w:ilvl w:val="0"/>
          <w:numId w:val="26"/>
        </w:numPr>
        <w:spacing w:before="240" w:after="0" w:line="276" w:lineRule="auto"/>
        <w:jc w:val="both"/>
        <w:rPr>
          <w:rFonts w:ascii="Verdana" w:eastAsia="Calibri" w:hAnsi="Verdana" w:cs="Arial"/>
        </w:rPr>
      </w:pPr>
      <w:r w:rsidRPr="00177D3F">
        <w:rPr>
          <w:rFonts w:ascii="Verdana" w:eastAsia="Calibri" w:hAnsi="Verdana" w:cs="Arial"/>
        </w:rPr>
        <w:t xml:space="preserve">Por otro lado, el Ministerio de Trabajo al absolver una consulta </w:t>
      </w:r>
      <w:r w:rsidR="00F041AD" w:rsidRPr="00177D3F">
        <w:rPr>
          <w:rFonts w:ascii="Verdana" w:eastAsia="Calibri" w:hAnsi="Verdana" w:cs="Arial"/>
        </w:rPr>
        <w:t>en relación con</w:t>
      </w:r>
      <w:r w:rsidRPr="00177D3F">
        <w:rPr>
          <w:rFonts w:ascii="Verdana" w:eastAsia="Calibri" w:hAnsi="Verdana" w:cs="Arial"/>
        </w:rPr>
        <w:t xml:space="preserve"> la suspensión del contrato de prestación de servicios, por licencia de maternidad, conceptuó:</w:t>
      </w:r>
    </w:p>
    <w:p w14:paraId="2783FD87" w14:textId="77777777" w:rsidR="00177D3F" w:rsidRPr="00177D3F" w:rsidRDefault="00177D3F" w:rsidP="00177D3F">
      <w:pPr>
        <w:pStyle w:val="Prrafodelista"/>
        <w:spacing w:after="0" w:line="276" w:lineRule="auto"/>
        <w:jc w:val="both"/>
        <w:rPr>
          <w:rFonts w:ascii="Verdana" w:eastAsia="Calibri" w:hAnsi="Verdana" w:cs="Arial"/>
        </w:rPr>
      </w:pPr>
    </w:p>
    <w:p w14:paraId="0DA1E7B5" w14:textId="77777777" w:rsidR="00177D3F" w:rsidRPr="00177D3F" w:rsidRDefault="00177D3F" w:rsidP="00177D3F">
      <w:pPr>
        <w:pStyle w:val="Prrafodelista"/>
        <w:spacing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w:t>
      </w:r>
    </w:p>
    <w:p w14:paraId="1742BF0F" w14:textId="77777777" w:rsidR="00177D3F" w:rsidRPr="00177D3F" w:rsidRDefault="00177D3F" w:rsidP="00177D3F">
      <w:pPr>
        <w:pStyle w:val="Prrafodelista"/>
        <w:spacing w:line="240" w:lineRule="auto"/>
        <w:ind w:left="709" w:right="709"/>
        <w:jc w:val="both"/>
        <w:rPr>
          <w:rFonts w:ascii="Verdana" w:eastAsia="Calibri" w:hAnsi="Verdana" w:cs="Arial"/>
          <w:sz w:val="20"/>
          <w:szCs w:val="20"/>
        </w:rPr>
      </w:pPr>
    </w:p>
    <w:p w14:paraId="76A84DAE" w14:textId="77777777" w:rsidR="00177D3F" w:rsidRPr="00177D3F" w:rsidRDefault="00177D3F" w:rsidP="00177D3F">
      <w:pPr>
        <w:pStyle w:val="Prrafodelista"/>
        <w:spacing w:line="240" w:lineRule="auto"/>
        <w:ind w:left="709" w:right="709"/>
        <w:jc w:val="both"/>
        <w:rPr>
          <w:rFonts w:ascii="Verdana" w:eastAsia="Calibri" w:hAnsi="Verdana" w:cs="Arial"/>
          <w:sz w:val="20"/>
          <w:szCs w:val="20"/>
        </w:rPr>
      </w:pPr>
      <w:r w:rsidRPr="00177D3F">
        <w:rPr>
          <w:rFonts w:ascii="Verdana" w:eastAsia="Calibri" w:hAnsi="Verdana" w:cs="Arial"/>
          <w:sz w:val="20"/>
          <w:szCs w:val="20"/>
        </w:rPr>
        <w:t>De conformidad con lo anterior, las partes podrán suspender el contrato de prestación de servicios cuando se determinen eventos que constituyen fuerza mayor o caso fortuito o de interés público que impida, temporalmente cumplir con el objeto de las obligaciones a cargo de las partes contratantes, como es el caso de la contratista que se encuentra en estado de embarazo y se encuentra incapacitada”.</w:t>
      </w:r>
      <w:r w:rsidRPr="00177D3F">
        <w:rPr>
          <w:rFonts w:ascii="Verdana" w:eastAsia="Calibri" w:hAnsi="Verdana" w:cs="Arial"/>
          <w:sz w:val="20"/>
          <w:szCs w:val="20"/>
          <w:vertAlign w:val="superscript"/>
        </w:rPr>
        <w:footnoteReference w:id="5"/>
      </w:r>
    </w:p>
    <w:p w14:paraId="31B904FF" w14:textId="77777777" w:rsidR="00177D3F" w:rsidRPr="00177D3F" w:rsidRDefault="00177D3F" w:rsidP="00177D3F">
      <w:pPr>
        <w:pStyle w:val="Prrafodelista"/>
        <w:spacing w:after="0" w:line="276" w:lineRule="auto"/>
        <w:jc w:val="both"/>
        <w:rPr>
          <w:rFonts w:ascii="Verdana" w:eastAsia="Calibri" w:hAnsi="Verdana" w:cs="Arial"/>
        </w:rPr>
      </w:pPr>
    </w:p>
    <w:p w14:paraId="22017CFC" w14:textId="77777777" w:rsidR="00177D3F" w:rsidRPr="00177D3F" w:rsidRDefault="00177D3F" w:rsidP="00177D3F">
      <w:pPr>
        <w:pStyle w:val="Prrafodelista"/>
        <w:numPr>
          <w:ilvl w:val="0"/>
          <w:numId w:val="26"/>
        </w:numPr>
        <w:spacing w:after="0" w:line="276" w:lineRule="auto"/>
        <w:jc w:val="both"/>
        <w:rPr>
          <w:rFonts w:ascii="Verdana" w:eastAsia="Calibri" w:hAnsi="Verdana" w:cs="Arial"/>
        </w:rPr>
      </w:pPr>
      <w:r w:rsidRPr="00177D3F">
        <w:rPr>
          <w:rFonts w:ascii="Verdana" w:eastAsia="Calibri" w:hAnsi="Verdana" w:cs="Arial"/>
        </w:rPr>
        <w:t>En ejercicio de la autonomía de las partes contratantes, las mismas podrán convenir la cláusula de suspensión del contrato de prestación de servicios, fijando las reglas por las cuales procederán las mismas teniendo en cuenta las disposiciones referidas en la Ley </w:t>
      </w:r>
      <w:hyperlink r:id="rId13" w:anchor="80" w:history="1">
        <w:r w:rsidRPr="00177D3F">
          <w:rPr>
            <w:rStyle w:val="Hipervnculo"/>
            <w:rFonts w:ascii="Verdana" w:eastAsia="Calibri" w:hAnsi="Verdana" w:cs="Arial"/>
            <w:color w:val="auto"/>
            <w:u w:val="none"/>
          </w:rPr>
          <w:t>80</w:t>
        </w:r>
      </w:hyperlink>
      <w:r w:rsidRPr="00177D3F">
        <w:rPr>
          <w:rFonts w:ascii="Verdana" w:eastAsia="Calibri" w:hAnsi="Verdana" w:cs="Arial"/>
        </w:rPr>
        <w:t> de 1993 y Ley </w:t>
      </w:r>
      <w:hyperlink r:id="rId14" w:anchor="1150" w:history="1">
        <w:r w:rsidRPr="00177D3F">
          <w:rPr>
            <w:rStyle w:val="Hipervnculo"/>
            <w:rFonts w:ascii="Verdana" w:eastAsia="Calibri" w:hAnsi="Verdana" w:cs="Arial"/>
            <w:color w:val="auto"/>
            <w:u w:val="none"/>
          </w:rPr>
          <w:t>1150</w:t>
        </w:r>
      </w:hyperlink>
      <w:r w:rsidRPr="00177D3F">
        <w:rPr>
          <w:rFonts w:ascii="Verdana" w:eastAsia="Calibri" w:hAnsi="Verdana" w:cs="Arial"/>
        </w:rPr>
        <w:t> de 2007. Así las cosas, las partes son quienes determinan las condiciones y términos según los cuales deben llevarse a cabo la suspensión del contrato, por lo que ninguna de las partes de manera unilateral puede declararla por fuera de lo convenido.</w:t>
      </w:r>
    </w:p>
    <w:p w14:paraId="64A756EB" w14:textId="77777777" w:rsidR="00903404" w:rsidRPr="00E62A6F" w:rsidRDefault="00903404" w:rsidP="00E62A6F">
      <w:pPr>
        <w:pStyle w:val="Prrafodelista"/>
        <w:spacing w:after="0" w:line="276" w:lineRule="auto"/>
        <w:jc w:val="both"/>
        <w:rPr>
          <w:rFonts w:ascii="Verdana" w:eastAsia="Calibri" w:hAnsi="Verdana" w:cs="Arial"/>
        </w:rPr>
      </w:pPr>
    </w:p>
    <w:p w14:paraId="2D1C8F5B" w14:textId="77777777" w:rsidR="00C50D20" w:rsidRPr="00903404" w:rsidRDefault="00C50D20" w:rsidP="00903404">
      <w:pPr>
        <w:spacing w:after="0" w:line="240" w:lineRule="auto"/>
        <w:jc w:val="both"/>
        <w:rPr>
          <w:rFonts w:ascii="Verdana" w:eastAsia="Calibri" w:hAnsi="Verdana" w:cs="Arial"/>
        </w:rPr>
      </w:pPr>
    </w:p>
    <w:p w14:paraId="399B7B44" w14:textId="77777777" w:rsidR="00A97D9C" w:rsidRPr="00A45454" w:rsidRDefault="00A97D9C" w:rsidP="00A97D9C">
      <w:pPr>
        <w:widowControl w:val="0"/>
        <w:autoSpaceDE w:val="0"/>
        <w:autoSpaceDN w:val="0"/>
        <w:spacing w:after="0" w:line="276" w:lineRule="auto"/>
        <w:jc w:val="both"/>
        <w:rPr>
          <w:rFonts w:ascii="Verdana" w:hAnsi="Verdana" w:cs="Arial"/>
        </w:rPr>
      </w:pPr>
    </w:p>
    <w:p w14:paraId="1CD4BB45" w14:textId="77777777" w:rsidR="00A97D9C" w:rsidRPr="00593A5F" w:rsidRDefault="00A97D9C" w:rsidP="00A97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2820F832" w14:textId="77777777" w:rsidR="00A97D9C" w:rsidRPr="00593A5F" w:rsidRDefault="00A97D9C" w:rsidP="00A97D9C">
      <w:pPr>
        <w:widowControl w:val="0"/>
        <w:autoSpaceDE w:val="0"/>
        <w:autoSpaceDN w:val="0"/>
        <w:spacing w:after="0" w:line="276" w:lineRule="auto"/>
        <w:jc w:val="both"/>
        <w:rPr>
          <w:rFonts w:ascii="Verdana" w:hAnsi="Verdana" w:cs="Arial"/>
        </w:rPr>
      </w:pPr>
    </w:p>
    <w:tbl>
      <w:tblPr>
        <w:tblStyle w:val="Tablaconcuadrcula"/>
        <w:tblW w:w="8572"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572"/>
      </w:tblGrid>
      <w:tr w:rsidR="00A97D9C" w:rsidRPr="00B81481" w14:paraId="0B6E5A60" w14:textId="77777777" w:rsidTr="00126449">
        <w:trPr>
          <w:trHeight w:val="2344"/>
        </w:trPr>
        <w:tc>
          <w:tcPr>
            <w:tcW w:w="8572" w:type="dxa"/>
          </w:tcPr>
          <w:p w14:paraId="13DE5D80" w14:textId="77777777" w:rsidR="00A97D9C" w:rsidRPr="001B0EC0" w:rsidRDefault="00A97D9C" w:rsidP="001B0EC0">
            <w:pPr>
              <w:pStyle w:val="Sinespaciado"/>
              <w:numPr>
                <w:ilvl w:val="0"/>
                <w:numId w:val="26"/>
              </w:numPr>
              <w:rPr>
                <w:rFonts w:ascii="Verdana" w:hAnsi="Verdana" w:cs="Arial"/>
              </w:rPr>
            </w:pPr>
            <w:r w:rsidRPr="001B0EC0">
              <w:rPr>
                <w:rFonts w:ascii="Verdana" w:eastAsia="Aptos" w:hAnsi="Verdana" w:cs="Times New Roman"/>
                <w:kern w:val="2"/>
                <w14:ligatures w14:val="standardContextual"/>
              </w:rPr>
              <w:t>Ley </w:t>
            </w:r>
            <w:hyperlink r:id="rId15" w:anchor="80" w:history="1">
              <w:r w:rsidRPr="001B0EC0">
                <w:rPr>
                  <w:rFonts w:ascii="Verdana" w:eastAsia="Aptos" w:hAnsi="Verdana" w:cs="Times New Roman"/>
                  <w:kern w:val="2"/>
                  <w14:ligatures w14:val="standardContextual"/>
                </w:rPr>
                <w:t>80</w:t>
              </w:r>
            </w:hyperlink>
            <w:r w:rsidRPr="001B0EC0">
              <w:rPr>
                <w:rFonts w:ascii="Verdana" w:eastAsia="Aptos" w:hAnsi="Verdana" w:cs="Times New Roman"/>
                <w:kern w:val="2"/>
                <w14:ligatures w14:val="standardContextual"/>
              </w:rPr>
              <w:t> de 1993. Disponible en:</w:t>
            </w:r>
            <w:r w:rsidRPr="001B0EC0">
              <w:rPr>
                <w:rFonts w:ascii="Verdana" w:hAnsi="Verdana"/>
              </w:rPr>
              <w:t xml:space="preserve"> </w:t>
            </w:r>
            <w:hyperlink r:id="rId16" w:history="1">
              <w:r w:rsidRPr="001B0EC0">
                <w:rPr>
                  <w:rStyle w:val="Hipervnculo"/>
                  <w:rFonts w:ascii="Verdana" w:eastAsia="Aptos" w:hAnsi="Verdana" w:cs="Times New Roman"/>
                  <w:kern w:val="2"/>
                  <w14:ligatures w14:val="standardContextual"/>
                </w:rPr>
                <w:t>https://relatoria.colombiacompra.gov.co/normativa/ley-80-de-1993/</w:t>
              </w:r>
            </w:hyperlink>
          </w:p>
          <w:p w14:paraId="54B5A7FA" w14:textId="77777777" w:rsidR="00A97D9C" w:rsidRPr="001B0EC0" w:rsidRDefault="00A97D9C" w:rsidP="001B0EC0">
            <w:pPr>
              <w:pStyle w:val="Sinespaciado"/>
              <w:rPr>
                <w:rFonts w:ascii="Verdana" w:hAnsi="Verdana" w:cs="Arial"/>
              </w:rPr>
            </w:pPr>
          </w:p>
          <w:p w14:paraId="57FA0FAA" w14:textId="77777777" w:rsidR="00A97D9C" w:rsidRPr="001B0EC0" w:rsidRDefault="00A97D9C" w:rsidP="001B0EC0">
            <w:pPr>
              <w:pStyle w:val="Sinespaciado"/>
              <w:numPr>
                <w:ilvl w:val="0"/>
                <w:numId w:val="26"/>
              </w:numPr>
              <w:rPr>
                <w:rStyle w:val="Hipervnculo"/>
                <w:rFonts w:ascii="Verdana" w:hAnsi="Verdana" w:cs="Arial"/>
                <w:color w:val="auto"/>
                <w:u w:val="none"/>
              </w:rPr>
            </w:pPr>
            <w:r w:rsidRPr="001B0EC0">
              <w:rPr>
                <w:rFonts w:ascii="Verdana" w:eastAsia="Aptos" w:hAnsi="Verdana" w:cs="Times New Roman"/>
                <w:kern w:val="2"/>
                <w14:ligatures w14:val="standardContextual"/>
              </w:rPr>
              <w:t>Ley </w:t>
            </w:r>
            <w:hyperlink r:id="rId17" w:anchor="1150" w:history="1">
              <w:r w:rsidRPr="001B0EC0">
                <w:rPr>
                  <w:rFonts w:ascii="Verdana" w:eastAsia="Aptos" w:hAnsi="Verdana" w:cs="Times New Roman"/>
                  <w:kern w:val="2"/>
                  <w14:ligatures w14:val="standardContextual"/>
                </w:rPr>
                <w:t>1150</w:t>
              </w:r>
            </w:hyperlink>
            <w:r w:rsidRPr="001B0EC0">
              <w:rPr>
                <w:rFonts w:ascii="Verdana" w:eastAsia="Aptos" w:hAnsi="Verdana" w:cs="Times New Roman"/>
                <w:kern w:val="2"/>
                <w14:ligatures w14:val="standardContextual"/>
              </w:rPr>
              <w:t xml:space="preserve"> de 2007. Disponible en: Disponible en: </w:t>
            </w:r>
            <w:hyperlink r:id="rId18" w:history="1">
              <w:r w:rsidRPr="001B0EC0">
                <w:rPr>
                  <w:rStyle w:val="Hipervnculo"/>
                  <w:rFonts w:ascii="Verdana" w:eastAsia="Aptos" w:hAnsi="Verdana" w:cs="Times New Roman"/>
                  <w:kern w:val="2"/>
                  <w14:ligatures w14:val="standardContextual"/>
                </w:rPr>
                <w:t>https://relatoria.colombiacompra.gov.co/normativa/ley-1150-de-2007/</w:t>
              </w:r>
            </w:hyperlink>
          </w:p>
          <w:p w14:paraId="38E9E206" w14:textId="77777777" w:rsidR="001B0EC0" w:rsidRPr="001B0EC0" w:rsidRDefault="001B0EC0" w:rsidP="001B0EC0">
            <w:pPr>
              <w:pStyle w:val="Sinespaciado"/>
              <w:rPr>
                <w:rFonts w:ascii="Verdana" w:hAnsi="Verdana" w:cs="Arial"/>
              </w:rPr>
            </w:pPr>
          </w:p>
          <w:p w14:paraId="47C4DBA4" w14:textId="77777777" w:rsidR="001B0EC0" w:rsidRDefault="00A97D9C" w:rsidP="001B0EC0">
            <w:pPr>
              <w:pStyle w:val="Sinespaciado"/>
              <w:numPr>
                <w:ilvl w:val="0"/>
                <w:numId w:val="26"/>
              </w:numPr>
              <w:rPr>
                <w:rFonts w:ascii="Verdana" w:eastAsia="Yu Gothic UI Semibold" w:hAnsi="Verdana"/>
                <w:lang w:eastAsia="es-CO"/>
              </w:rPr>
            </w:pPr>
            <w:r w:rsidRPr="001B0EC0">
              <w:rPr>
                <w:rFonts w:ascii="Verdana" w:eastAsia="Yu Gothic UI Semibold" w:hAnsi="Verdana"/>
                <w:lang w:eastAsia="es-CO"/>
              </w:rPr>
              <w:t>Sentencia de unificación SU-075 de 2018 de la Corte Constitucional.</w:t>
            </w:r>
          </w:p>
          <w:p w14:paraId="5C421008" w14:textId="77777777" w:rsidR="001B0EC0" w:rsidRPr="001B0EC0" w:rsidRDefault="001B0EC0" w:rsidP="001B0EC0">
            <w:pPr>
              <w:pStyle w:val="Sinespaciado"/>
              <w:rPr>
                <w:rFonts w:ascii="Verdana" w:eastAsia="Yu Gothic UI Semibold" w:hAnsi="Verdana"/>
                <w:lang w:eastAsia="es-CO"/>
              </w:rPr>
            </w:pPr>
          </w:p>
          <w:p w14:paraId="7E0E6CD0" w14:textId="77777777" w:rsidR="001B0EC0" w:rsidRPr="001B0EC0" w:rsidRDefault="001B0EC0" w:rsidP="001B0EC0">
            <w:pPr>
              <w:pStyle w:val="Sinespaciado"/>
              <w:numPr>
                <w:ilvl w:val="0"/>
                <w:numId w:val="26"/>
              </w:numPr>
              <w:rPr>
                <w:rFonts w:ascii="Verdana" w:hAnsi="Verdana"/>
              </w:rPr>
            </w:pPr>
            <w:r w:rsidRPr="001B0EC0">
              <w:rPr>
                <w:rFonts w:ascii="Verdana" w:hAnsi="Verdana"/>
              </w:rPr>
              <w:t xml:space="preserve">Ley 80 de 1993 Artículos 13, 32 y 40. Disponible en: </w:t>
            </w:r>
          </w:p>
          <w:p w14:paraId="0A715376" w14:textId="1E934B2E" w:rsidR="001B0EC0" w:rsidRDefault="001B0EC0" w:rsidP="001B0EC0">
            <w:pPr>
              <w:pStyle w:val="Sinespaciado"/>
              <w:ind w:left="720"/>
              <w:rPr>
                <w:rFonts w:ascii="Verdana" w:eastAsia="Verdana" w:hAnsi="Verdana" w:cs="Verdana"/>
                <w:color w:val="0000FF"/>
                <w:u w:val="single" w:color="0000FF"/>
              </w:rPr>
            </w:pPr>
            <w:hyperlink r:id="rId19" w:history="1">
              <w:r w:rsidRPr="00F43687">
                <w:rPr>
                  <w:rStyle w:val="Hipervnculo"/>
                  <w:rFonts w:ascii="Verdana" w:eastAsia="Verdana" w:hAnsi="Verdana" w:cs="Verdana"/>
                </w:rPr>
                <w:t>https://relatoria.colombiacompra.gov.co/normativa/ley-80-de-1993/</w:t>
              </w:r>
            </w:hyperlink>
          </w:p>
          <w:p w14:paraId="10FED8C7" w14:textId="77777777" w:rsidR="001B0EC0" w:rsidRPr="001B0EC0" w:rsidRDefault="001B0EC0" w:rsidP="001B0EC0">
            <w:pPr>
              <w:pStyle w:val="Sinespaciado"/>
              <w:rPr>
                <w:rFonts w:ascii="Verdana" w:hAnsi="Verdana"/>
              </w:rPr>
            </w:pPr>
          </w:p>
          <w:p w14:paraId="389B9EEC" w14:textId="2E1E08AD" w:rsidR="001B0EC0" w:rsidRDefault="001B0EC0" w:rsidP="001B0EC0">
            <w:pPr>
              <w:pStyle w:val="Sinespaciado"/>
              <w:numPr>
                <w:ilvl w:val="0"/>
                <w:numId w:val="26"/>
              </w:numPr>
              <w:rPr>
                <w:rFonts w:ascii="Verdana" w:hAnsi="Verdana"/>
              </w:rPr>
            </w:pPr>
            <w:r w:rsidRPr="001B0EC0">
              <w:rPr>
                <w:rFonts w:ascii="Verdana" w:hAnsi="Verdana"/>
              </w:rPr>
              <w:t>Sentencia SU-070 de 2013</w:t>
            </w:r>
          </w:p>
          <w:p w14:paraId="6F463C19" w14:textId="77777777" w:rsidR="001B0EC0" w:rsidRPr="001B0EC0" w:rsidRDefault="001B0EC0" w:rsidP="001B0EC0">
            <w:pPr>
              <w:pStyle w:val="Sinespaciado"/>
              <w:ind w:left="720"/>
              <w:rPr>
                <w:rFonts w:ascii="Verdana" w:hAnsi="Verdana"/>
              </w:rPr>
            </w:pPr>
          </w:p>
          <w:p w14:paraId="452CA165" w14:textId="513FAF96" w:rsidR="001B0EC0" w:rsidRDefault="001B0EC0" w:rsidP="001B0EC0">
            <w:pPr>
              <w:pStyle w:val="Sinespaciado"/>
              <w:numPr>
                <w:ilvl w:val="0"/>
                <w:numId w:val="26"/>
              </w:numPr>
              <w:rPr>
                <w:rFonts w:ascii="Verdana" w:hAnsi="Verdana"/>
              </w:rPr>
            </w:pPr>
            <w:r w:rsidRPr="001B0EC0">
              <w:rPr>
                <w:rFonts w:ascii="Verdana" w:hAnsi="Verdana"/>
              </w:rPr>
              <w:t xml:space="preserve">Sentencia T-030 de </w:t>
            </w:r>
            <w:proofErr w:type="gramStart"/>
            <w:r w:rsidRPr="001B0EC0">
              <w:rPr>
                <w:rFonts w:ascii="Verdana" w:hAnsi="Verdana"/>
              </w:rPr>
              <w:t xml:space="preserve">2018 </w:t>
            </w:r>
            <w:r w:rsidRPr="001B0EC0">
              <w:rPr>
                <w:rFonts w:ascii="Verdana" w:eastAsia="Segoe UI Symbol" w:hAnsi="Verdana" w:cs="Segoe UI Symbol"/>
              </w:rPr>
              <w:t xml:space="preserve"> </w:t>
            </w:r>
            <w:r w:rsidRPr="001B0EC0">
              <w:rPr>
                <w:rFonts w:ascii="Verdana" w:hAnsi="Verdana"/>
              </w:rPr>
              <w:t>Sentencia</w:t>
            </w:r>
            <w:proofErr w:type="gramEnd"/>
            <w:r w:rsidRPr="001B0EC0">
              <w:rPr>
                <w:rFonts w:ascii="Verdana" w:hAnsi="Verdana"/>
              </w:rPr>
              <w:t xml:space="preserve"> T-350 de 2016 </w:t>
            </w:r>
            <w:r w:rsidRPr="001B0EC0">
              <w:rPr>
                <w:rFonts w:ascii="Verdana" w:eastAsia="Segoe UI Symbol" w:hAnsi="Verdana" w:cs="Segoe UI Symbol"/>
              </w:rPr>
              <w:t xml:space="preserve"> </w:t>
            </w:r>
            <w:r w:rsidRPr="001B0EC0">
              <w:rPr>
                <w:rFonts w:ascii="Verdana" w:hAnsi="Verdana"/>
              </w:rPr>
              <w:t>la sentencia T-329 de 2022</w:t>
            </w:r>
          </w:p>
          <w:p w14:paraId="66631F02" w14:textId="77777777" w:rsidR="001B0EC0" w:rsidRPr="001B0EC0" w:rsidRDefault="001B0EC0" w:rsidP="001B0EC0">
            <w:pPr>
              <w:pStyle w:val="Sinespaciado"/>
              <w:rPr>
                <w:rFonts w:ascii="Verdana" w:hAnsi="Verdana"/>
              </w:rPr>
            </w:pPr>
          </w:p>
          <w:p w14:paraId="5C387B7A" w14:textId="133FE60F" w:rsidR="001B0EC0" w:rsidRPr="001B0EC0" w:rsidRDefault="001B0EC0" w:rsidP="001B0EC0">
            <w:pPr>
              <w:pStyle w:val="Sinespaciado"/>
              <w:numPr>
                <w:ilvl w:val="0"/>
                <w:numId w:val="26"/>
              </w:numPr>
              <w:rPr>
                <w:rFonts w:ascii="Verdana" w:hAnsi="Verdana"/>
              </w:rPr>
            </w:pPr>
            <w:r w:rsidRPr="001B0EC0">
              <w:rPr>
                <w:rFonts w:ascii="Verdana" w:hAnsi="Verdana"/>
              </w:rPr>
              <w:t xml:space="preserve">Código Civil. Artículos 1530 Disponible en:  </w:t>
            </w:r>
          </w:p>
          <w:p w14:paraId="7DE5E4B6" w14:textId="7EB53ACA" w:rsidR="001B0EC0" w:rsidRPr="001B0EC0" w:rsidRDefault="001B0EC0" w:rsidP="001B0EC0">
            <w:pPr>
              <w:pStyle w:val="Sinespaciado"/>
              <w:ind w:left="720"/>
              <w:rPr>
                <w:rFonts w:ascii="Verdana" w:hAnsi="Verdana"/>
              </w:rPr>
            </w:pPr>
            <w:hyperlink r:id="rId20" w:history="1">
              <w:r w:rsidRPr="00F43687">
                <w:rPr>
                  <w:rStyle w:val="Hipervnculo"/>
                  <w:rFonts w:ascii="Verdana" w:eastAsia="Verdana" w:hAnsi="Verdana" w:cs="Verdana"/>
                </w:rPr>
                <w:t>https://relatoria.colombiacompra.gov.co/normativa/codigo-civil-ley</w:t>
              </w:r>
            </w:hyperlink>
            <w:hyperlink r:id="rId21">
              <w:r w:rsidRPr="001B0EC0">
                <w:rPr>
                  <w:rFonts w:ascii="Verdana" w:eastAsia="Verdana" w:hAnsi="Verdana" w:cs="Verdana"/>
                  <w:color w:val="0000FF"/>
                  <w:u w:val="single" w:color="0000FF"/>
                </w:rPr>
                <w:t>84-de-1873/</w:t>
              </w:r>
            </w:hyperlink>
          </w:p>
          <w:p w14:paraId="778421CF" w14:textId="15699BC1" w:rsidR="001B0EC0" w:rsidRDefault="001B0EC0" w:rsidP="001B0EC0">
            <w:pPr>
              <w:pStyle w:val="Sinespaciado"/>
              <w:numPr>
                <w:ilvl w:val="0"/>
                <w:numId w:val="26"/>
              </w:numPr>
              <w:rPr>
                <w:rFonts w:ascii="Verdana" w:hAnsi="Verdana"/>
              </w:rPr>
            </w:pPr>
            <w:r w:rsidRPr="001B0EC0">
              <w:rPr>
                <w:rFonts w:ascii="Verdana" w:hAnsi="Verdana"/>
              </w:rPr>
              <w:t xml:space="preserve">CONSEJO DE ESTADO. Sala de Consulta y Servicio Civil, </w:t>
            </w:r>
            <w:proofErr w:type="spellStart"/>
            <w:r w:rsidRPr="001B0EC0">
              <w:rPr>
                <w:rFonts w:ascii="Verdana" w:hAnsi="Verdana"/>
              </w:rPr>
              <w:t>exp</w:t>
            </w:r>
            <w:proofErr w:type="spellEnd"/>
            <w:r w:rsidRPr="001B0EC0">
              <w:rPr>
                <w:rFonts w:ascii="Verdana" w:hAnsi="Verdana"/>
              </w:rPr>
              <w:t>. 2278 de 2016, C.P. Germán Bula Escobar (E.)</w:t>
            </w:r>
          </w:p>
          <w:p w14:paraId="429B02B9" w14:textId="77777777" w:rsidR="001B0EC0" w:rsidRPr="001B0EC0" w:rsidRDefault="001B0EC0" w:rsidP="001B0EC0">
            <w:pPr>
              <w:pStyle w:val="Sinespaciado"/>
              <w:ind w:left="720"/>
              <w:rPr>
                <w:rFonts w:ascii="Verdana" w:hAnsi="Verdana"/>
              </w:rPr>
            </w:pPr>
          </w:p>
          <w:p w14:paraId="17930408" w14:textId="0F88E779" w:rsidR="001B0EC0" w:rsidRPr="001B0EC0" w:rsidRDefault="001B0EC0" w:rsidP="001B0EC0">
            <w:pPr>
              <w:pStyle w:val="Sinespaciado"/>
              <w:numPr>
                <w:ilvl w:val="0"/>
                <w:numId w:val="26"/>
              </w:numPr>
              <w:rPr>
                <w:rFonts w:ascii="Verdana" w:eastAsia="Yu Gothic UI Semibold" w:hAnsi="Verdana"/>
                <w:lang w:eastAsia="es-CO"/>
              </w:rPr>
            </w:pPr>
            <w:r w:rsidRPr="001B0EC0">
              <w:rPr>
                <w:rFonts w:ascii="Verdana" w:hAnsi="Verdana"/>
              </w:rPr>
              <w:t>CONSEJO DE ESTADO. Sección Tercera. Sentencia del 1 de octubre de 2018. Consejera Ponente: Marta Nubia Velásquez Rico.</w:t>
            </w:r>
          </w:p>
          <w:p w14:paraId="7441333B" w14:textId="77777777" w:rsidR="001B0EC0" w:rsidRDefault="001B0EC0" w:rsidP="001B0EC0">
            <w:pPr>
              <w:pStyle w:val="Sinespaciado"/>
              <w:numPr>
                <w:ilvl w:val="0"/>
                <w:numId w:val="26"/>
              </w:numPr>
              <w:rPr>
                <w:rFonts w:ascii="Verdana" w:hAnsi="Verdana"/>
              </w:rPr>
            </w:pPr>
            <w:r w:rsidRPr="001B0EC0">
              <w:rPr>
                <w:rFonts w:ascii="Verdana" w:hAnsi="Verdana"/>
              </w:rPr>
              <w:t>Expediente: 57.897.</w:t>
            </w:r>
          </w:p>
          <w:p w14:paraId="3922D327" w14:textId="77777777" w:rsidR="001B0EC0" w:rsidRPr="001B0EC0" w:rsidRDefault="001B0EC0" w:rsidP="001B0EC0">
            <w:pPr>
              <w:pStyle w:val="Sinespaciado"/>
              <w:ind w:left="720"/>
              <w:rPr>
                <w:rFonts w:ascii="Verdana" w:hAnsi="Verdana"/>
              </w:rPr>
            </w:pPr>
          </w:p>
          <w:p w14:paraId="6DB28264" w14:textId="1224D4D1" w:rsidR="001B0EC0" w:rsidRPr="001B0EC0" w:rsidRDefault="001B0EC0" w:rsidP="001B0EC0">
            <w:pPr>
              <w:pStyle w:val="Sinespaciado"/>
              <w:numPr>
                <w:ilvl w:val="0"/>
                <w:numId w:val="26"/>
              </w:numPr>
              <w:rPr>
                <w:rFonts w:ascii="Verdana" w:eastAsia="Yu Gothic UI Semibold" w:hAnsi="Verdana"/>
                <w:lang w:eastAsia="es-CO"/>
              </w:rPr>
            </w:pPr>
            <w:r w:rsidRPr="001B0EC0">
              <w:rPr>
                <w:rFonts w:ascii="Verdana" w:hAnsi="Verdana"/>
              </w:rPr>
              <w:t xml:space="preserve">CONSEJO DE ESTADO. Sección Tercera. Sentencia del 1 de junio de 2017. Consejero Ponente: Ramiro Pazos Guerrero. Expediente: 36.117. Disponible en:  </w:t>
            </w:r>
            <w:hyperlink r:id="rId22">
              <w:r w:rsidRPr="001B0EC0">
                <w:rPr>
                  <w:rFonts w:ascii="Verdana" w:eastAsia="Verdana" w:hAnsi="Verdana" w:cs="Verdana"/>
                  <w:color w:val="0000FF"/>
                  <w:u w:val="single" w:color="0000FF"/>
                </w:rPr>
                <w:t>https://relatoria.colombiacompra.gov.co/providencias</w:t>
              </w:r>
            </w:hyperlink>
            <w:hyperlink r:id="rId23">
              <w:r w:rsidRPr="001B0EC0">
                <w:rPr>
                  <w:rFonts w:ascii="Verdana" w:eastAsia="Verdana" w:hAnsi="Verdana" w:cs="Verdana"/>
                  <w:color w:val="0000FF"/>
                  <w:u w:val="single" w:color="0000FF"/>
                </w:rPr>
                <w:t>consejo-de-estado/</w:t>
              </w:r>
            </w:hyperlink>
          </w:p>
          <w:p w14:paraId="2F37D18A" w14:textId="5955B31A" w:rsidR="00A97D9C" w:rsidRPr="008E58BC" w:rsidRDefault="00A97D9C" w:rsidP="001B0EC0">
            <w:pPr>
              <w:pStyle w:val="Sinespaciado"/>
              <w:jc w:val="both"/>
              <w:rPr>
                <w:rFonts w:eastAsia="Yu Gothic UI Semibold"/>
                <w:lang w:eastAsia="es-CO"/>
              </w:rPr>
            </w:pPr>
            <w:r w:rsidRPr="00B81481">
              <w:rPr>
                <w:rFonts w:ascii="Verdana" w:eastAsia="Yu Gothic UI Semibold" w:hAnsi="Verdana"/>
                <w:lang w:eastAsia="es-CO"/>
              </w:rPr>
              <w:t xml:space="preserve"> </w:t>
            </w:r>
          </w:p>
        </w:tc>
      </w:tr>
    </w:tbl>
    <w:p w14:paraId="238DD40B" w14:textId="77777777" w:rsidR="00A97D9C" w:rsidRPr="00593A5F" w:rsidRDefault="00A97D9C" w:rsidP="00A97D9C">
      <w:pPr>
        <w:widowControl w:val="0"/>
        <w:autoSpaceDE w:val="0"/>
        <w:autoSpaceDN w:val="0"/>
        <w:spacing w:after="0" w:line="276" w:lineRule="auto"/>
        <w:jc w:val="both"/>
        <w:rPr>
          <w:rFonts w:ascii="Verdana" w:hAnsi="Verdana" w:cs="Arial"/>
        </w:rPr>
      </w:pPr>
    </w:p>
    <w:p w14:paraId="130C6232" w14:textId="77777777" w:rsidR="00A97D9C" w:rsidRDefault="00A97D9C" w:rsidP="00A97D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D1FD47B" w14:textId="77777777" w:rsidR="00A97D9C" w:rsidRPr="00593A5F" w:rsidRDefault="00A97D9C" w:rsidP="00A97D9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8F04690" w14:textId="57CAA910" w:rsidR="001B0EC0" w:rsidRPr="001B0EC0" w:rsidRDefault="001B0EC0" w:rsidP="001B0EC0">
      <w:pPr>
        <w:spacing w:after="316"/>
        <w:ind w:left="-5" w:right="579"/>
        <w:jc w:val="both"/>
        <w:rPr>
          <w:rFonts w:ascii="Verdana" w:hAnsi="Verdana"/>
        </w:rPr>
      </w:pPr>
      <w:r w:rsidRPr="001B0EC0">
        <w:rPr>
          <w:rFonts w:ascii="Verdana" w:hAnsi="Verdana"/>
        </w:rPr>
        <w:t>La Agencia Nacional de Contratación Pública  – Colombia Compra Eficiente se ha pronunciado, sobre la estabilidad laboral  reforzada en mujer embarazada en los conceptos C-300  del 21 de agosto de 2024, C-076 del 8 de julio de  2024, C- 231 del 27 de junio  de 2024, C  – 439 del 20de octubre 2023, C-920 de  14 de febrero 2022, C-712 del 7 de diciembre de 2022, C-789 del 22 de noviembre de 2022, C-920 del 14 de febrero de 2023, C-031 del 17 de marzo de 2023 y,  sobre la suspensión  de los contratos estatales,</w:t>
      </w:r>
      <w:r w:rsidR="00F33467">
        <w:rPr>
          <w:rFonts w:ascii="Verdana" w:hAnsi="Verdana"/>
        </w:rPr>
        <w:t xml:space="preserve"> </w:t>
      </w:r>
      <w:r w:rsidRPr="001B0EC0">
        <w:rPr>
          <w:rFonts w:ascii="Verdana" w:hAnsi="Verdana"/>
        </w:rPr>
        <w:t>se pronunció esta Subdirección en los conceptos   C-379 del 30 de junio de 2020, C-870 del 15 de diciembre de 2022, C-766 del 20 de octubre de 2022, C-920 del 14 de febrero de 2023, C-500 del 23 de septiembre de 2024, entre otros.</w:t>
      </w:r>
    </w:p>
    <w:p w14:paraId="64F453BC" w14:textId="77777777" w:rsidR="00A97D9C" w:rsidRPr="00134E63" w:rsidRDefault="00A97D9C" w:rsidP="00A97D9C">
      <w:pPr>
        <w:pStyle w:val="Sinespaciado"/>
        <w:spacing w:line="276" w:lineRule="auto"/>
        <w:jc w:val="both"/>
        <w:rPr>
          <w:rStyle w:val="normaltextrun"/>
        </w:rPr>
      </w:pPr>
    </w:p>
    <w:p w14:paraId="0C3D4DBC" w14:textId="77777777" w:rsidR="00A97D9C" w:rsidRDefault="00A97D9C" w:rsidP="00A97D9C">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24" w:history="1">
        <w:r w:rsidRPr="00B21E4C">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26DBD122" w14:textId="77777777" w:rsidR="00A97D9C" w:rsidRDefault="00A97D9C" w:rsidP="00A97D9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9F2C2CB" w14:textId="77777777" w:rsidR="00A97D9C" w:rsidRDefault="00A97D9C" w:rsidP="00A97D9C">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25"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5127BD7D" w14:textId="77777777" w:rsidR="00A97D9C" w:rsidRPr="003E2460" w:rsidRDefault="00A97D9C" w:rsidP="00A97D9C">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C9D32C8" w14:textId="77777777" w:rsidR="00A97D9C" w:rsidRPr="003E2460" w:rsidRDefault="00A97D9C" w:rsidP="00A97D9C">
      <w:pPr>
        <w:spacing w:after="0" w:line="240" w:lineRule="auto"/>
        <w:jc w:val="both"/>
        <w:rPr>
          <w:rFonts w:ascii="Verdana" w:hAnsi="Verdana"/>
        </w:rPr>
      </w:pPr>
    </w:p>
    <w:p w14:paraId="35B222B6" w14:textId="77777777" w:rsidR="00A97D9C" w:rsidRPr="003E2460" w:rsidRDefault="00A97D9C" w:rsidP="00A97D9C">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DEA63EE" w14:textId="77777777" w:rsidR="00A97D9C" w:rsidRPr="003E2460" w:rsidRDefault="00A97D9C" w:rsidP="00A97D9C">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740863B2" w14:textId="77777777" w:rsidR="00A97D9C" w:rsidRPr="003E2460" w:rsidRDefault="00A97D9C" w:rsidP="00A97D9C">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0E59363" w14:textId="77777777" w:rsidR="00A97D9C" w:rsidRPr="00593A5F" w:rsidRDefault="00A97D9C" w:rsidP="00A97D9C">
      <w:pPr>
        <w:widowControl w:val="0"/>
        <w:autoSpaceDE w:val="0"/>
        <w:autoSpaceDN w:val="0"/>
        <w:spacing w:after="0" w:line="276" w:lineRule="auto"/>
        <w:jc w:val="both"/>
        <w:rPr>
          <w:rFonts w:ascii="Verdana" w:hAnsi="Verdana" w:cs="Arial"/>
        </w:rPr>
      </w:pPr>
    </w:p>
    <w:p w14:paraId="0253E9DA" w14:textId="77777777" w:rsidR="00A97D9C" w:rsidRPr="00593A5F" w:rsidRDefault="00A97D9C" w:rsidP="00A97D9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83EFC1A" w14:textId="77777777" w:rsidR="00A97D9C" w:rsidRPr="00593A5F" w:rsidRDefault="00A97D9C" w:rsidP="00A97D9C">
      <w:pPr>
        <w:widowControl w:val="0"/>
        <w:autoSpaceDE w:val="0"/>
        <w:autoSpaceDN w:val="0"/>
        <w:spacing w:after="0" w:line="276" w:lineRule="auto"/>
        <w:jc w:val="both"/>
        <w:rPr>
          <w:rFonts w:ascii="Verdana" w:hAnsi="Verdana" w:cs="Arial"/>
        </w:rPr>
      </w:pPr>
    </w:p>
    <w:p w14:paraId="535A67B7" w14:textId="77777777" w:rsidR="00A97D9C" w:rsidRPr="00593A5F" w:rsidRDefault="00A97D9C" w:rsidP="00A97D9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E49C925" w14:textId="67BD4427" w:rsidR="00A97D9C" w:rsidRPr="001E36A3" w:rsidRDefault="000D3460" w:rsidP="00A97D9C">
      <w:pPr>
        <w:spacing w:line="276" w:lineRule="auto"/>
        <w:jc w:val="center"/>
        <w:rPr>
          <w:rFonts w:ascii="Verdana" w:hAnsi="Verdana" w:cs="Arial"/>
          <w:color w:val="000000" w:themeColor="text1"/>
          <w:lang w:val="es-ES_tradnl" w:eastAsia="es-CO"/>
        </w:rPr>
      </w:pPr>
      <w:r w:rsidRPr="004D5C25">
        <w:rPr>
          <w:rFonts w:ascii="Century Gothic" w:hAnsi="Century Gothic"/>
          <w:noProof/>
        </w:rPr>
        <w:drawing>
          <wp:inline distT="0" distB="0" distL="0" distR="0" wp14:anchorId="62EC86C0" wp14:editId="26FA53E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97D9C" w:rsidRPr="001E36A3" w14:paraId="6FE477DA" w14:textId="77777777" w:rsidTr="00126449">
        <w:trPr>
          <w:trHeight w:val="315"/>
        </w:trPr>
        <w:tc>
          <w:tcPr>
            <w:tcW w:w="893" w:type="dxa"/>
            <w:vAlign w:val="center"/>
            <w:hideMark/>
          </w:tcPr>
          <w:p w14:paraId="7FB67F55" w14:textId="77777777" w:rsidR="00A97D9C" w:rsidRPr="001E36A3" w:rsidRDefault="00A97D9C" w:rsidP="00126449">
            <w:pPr>
              <w:contextualSpacing/>
              <w:rPr>
                <w:rFonts w:ascii="Verdana" w:hAnsi="Verdana" w:cs="Arial"/>
                <w:color w:val="000000" w:themeColor="text1"/>
                <w:sz w:val="16"/>
                <w:szCs w:val="16"/>
                <w:lang w:val="es-ES" w:eastAsia="es-ES"/>
              </w:rPr>
            </w:pPr>
            <w:r w:rsidRPr="001E36A3">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73FD97E" w14:textId="77777777" w:rsidR="00A97D9C" w:rsidRPr="009C4388" w:rsidRDefault="00A97D9C" w:rsidP="00126449">
            <w:pPr>
              <w:contextualSpacing/>
              <w:rPr>
                <w:rFonts w:ascii="Verdana" w:eastAsia="Arial" w:hAnsi="Verdana" w:cs="Arial"/>
                <w:color w:val="000000" w:themeColor="text1"/>
                <w:sz w:val="16"/>
                <w:szCs w:val="16"/>
              </w:rPr>
            </w:pPr>
            <w:r w:rsidRPr="009C4388">
              <w:rPr>
                <w:rFonts w:ascii="Verdana" w:eastAsia="Arial" w:hAnsi="Verdana" w:cs="Arial"/>
                <w:color w:val="000000" w:themeColor="text1"/>
                <w:sz w:val="16"/>
                <w:szCs w:val="16"/>
              </w:rPr>
              <w:t>Keila Margarita Reyes Cassiani</w:t>
            </w:r>
          </w:p>
          <w:p w14:paraId="078762C3" w14:textId="77777777" w:rsidR="00A97D9C" w:rsidRPr="001E36A3" w:rsidRDefault="00A97D9C" w:rsidP="00126449">
            <w:pPr>
              <w:contextualSpacing/>
              <w:rPr>
                <w:rFonts w:ascii="Verdana" w:eastAsia="Arial" w:hAnsi="Verdana" w:cs="Arial"/>
                <w:color w:val="000000" w:themeColor="text1"/>
                <w:sz w:val="16"/>
                <w:szCs w:val="16"/>
              </w:rPr>
            </w:pPr>
            <w:r w:rsidRPr="001E36A3">
              <w:rPr>
                <w:rStyle w:val="normaltextrun"/>
                <w:rFonts w:ascii="Verdana" w:eastAsia="Arial" w:hAnsi="Verdana" w:cs="Arial"/>
                <w:color w:val="000000" w:themeColor="text1"/>
                <w:sz w:val="16"/>
                <w:szCs w:val="16"/>
              </w:rPr>
              <w:t>Contratista de la Subdirección de Gestión Contractual</w:t>
            </w:r>
          </w:p>
        </w:tc>
      </w:tr>
      <w:tr w:rsidR="00A97D9C" w:rsidRPr="00593A5F" w14:paraId="65949980" w14:textId="77777777" w:rsidTr="00126449">
        <w:trPr>
          <w:trHeight w:val="330"/>
        </w:trPr>
        <w:tc>
          <w:tcPr>
            <w:tcW w:w="893" w:type="dxa"/>
            <w:vAlign w:val="center"/>
            <w:hideMark/>
          </w:tcPr>
          <w:p w14:paraId="2AD6DC0F" w14:textId="77777777" w:rsidR="00A97D9C" w:rsidRPr="003751C7" w:rsidRDefault="00A97D9C" w:rsidP="0012644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C4FAA7" w14:textId="77777777" w:rsidR="00A97D9C" w:rsidRPr="008E58BC" w:rsidRDefault="00A97D9C" w:rsidP="00126449">
            <w:pPr>
              <w:pStyle w:val="paragraph"/>
              <w:spacing w:before="0" w:beforeAutospacing="0" w:after="0" w:afterAutospacing="0"/>
              <w:contextualSpacing/>
              <w:textAlignment w:val="baseline"/>
              <w:rPr>
                <w:rFonts w:ascii="Verdana" w:hAnsi="Verdana" w:cs="Segoe UI"/>
                <w:sz w:val="16"/>
                <w:szCs w:val="16"/>
              </w:rPr>
            </w:pPr>
            <w:r w:rsidRPr="008E58BC">
              <w:rPr>
                <w:rStyle w:val="normaltextrun"/>
                <w:rFonts w:ascii="Verdana" w:hAnsi="Verdana" w:cs="Arial"/>
                <w:sz w:val="16"/>
                <w:szCs w:val="16"/>
                <w:lang w:val="es-ES"/>
              </w:rPr>
              <w:t>Ximena Ríos López</w:t>
            </w:r>
          </w:p>
          <w:p w14:paraId="12D08BEC" w14:textId="77777777" w:rsidR="00A97D9C" w:rsidRPr="003751C7" w:rsidRDefault="00A97D9C" w:rsidP="00126449">
            <w:pPr>
              <w:pStyle w:val="paragraph"/>
              <w:spacing w:before="0" w:beforeAutospacing="0" w:after="0" w:afterAutospacing="0"/>
              <w:contextualSpacing/>
              <w:textAlignment w:val="baseline"/>
              <w:rPr>
                <w:rFonts w:ascii="Verdana" w:hAnsi="Verdana" w:cs="Segoe UI"/>
                <w:sz w:val="16"/>
                <w:szCs w:val="16"/>
              </w:rPr>
            </w:pPr>
            <w:r w:rsidRPr="008E58BC">
              <w:rPr>
                <w:rStyle w:val="normaltextrun"/>
                <w:rFonts w:ascii="Verdana" w:hAnsi="Verdana" w:cs="Arial"/>
                <w:sz w:val="16"/>
                <w:szCs w:val="16"/>
                <w:lang w:val="es-ES"/>
              </w:rPr>
              <w:t xml:space="preserve">Gestor T1-G 11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A97D9C" w:rsidRPr="00593A5F" w14:paraId="3C4C168A" w14:textId="77777777" w:rsidTr="00126449">
        <w:trPr>
          <w:trHeight w:val="300"/>
        </w:trPr>
        <w:tc>
          <w:tcPr>
            <w:tcW w:w="893" w:type="dxa"/>
            <w:vAlign w:val="center"/>
          </w:tcPr>
          <w:p w14:paraId="10D1A941" w14:textId="77777777" w:rsidR="00A97D9C" w:rsidRPr="003751C7" w:rsidRDefault="00A97D9C" w:rsidP="0012644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56EFB7" w14:textId="77777777" w:rsidR="00A97D9C" w:rsidRPr="003751C7" w:rsidRDefault="00A97D9C" w:rsidP="0012644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03715CC" w14:textId="77777777" w:rsidR="00A97D9C" w:rsidRPr="003751C7" w:rsidRDefault="00A97D9C" w:rsidP="0012644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bookmarkEnd w:id="1"/>
    </w:tbl>
    <w:p w14:paraId="4E098765" w14:textId="77777777" w:rsidR="00A97D9C" w:rsidRPr="00871B59" w:rsidRDefault="00A97D9C" w:rsidP="00A97D9C"/>
    <w:bookmarkEnd w:id="0"/>
    <w:bookmarkEnd w:id="2"/>
    <w:p w14:paraId="0465BA6D" w14:textId="77777777" w:rsidR="00E245AB" w:rsidRPr="0044528D" w:rsidRDefault="00E245AB" w:rsidP="00E245AB">
      <w:pPr>
        <w:spacing w:after="0"/>
        <w:rPr>
          <w:rFonts w:ascii="Verdana" w:hAnsi="Verdana"/>
        </w:rPr>
      </w:pPr>
    </w:p>
    <w:sectPr w:rsidR="00E245AB" w:rsidRPr="0044528D" w:rsidSect="007C0C0F">
      <w:headerReference w:type="default" r:id="rId27"/>
      <w:footerReference w:type="default" r:id="rId2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75B739" w14:textId="77777777" w:rsidR="00826A2E" w:rsidRDefault="00826A2E" w:rsidP="004A1847">
      <w:pPr>
        <w:spacing w:after="0" w:line="240" w:lineRule="auto"/>
      </w:pPr>
      <w:r>
        <w:separator/>
      </w:r>
    </w:p>
  </w:endnote>
  <w:endnote w:type="continuationSeparator" w:id="0">
    <w:p w14:paraId="078663B6" w14:textId="77777777" w:rsidR="00826A2E" w:rsidRDefault="00826A2E" w:rsidP="004A1847">
      <w:pPr>
        <w:spacing w:after="0" w:line="240" w:lineRule="auto"/>
      </w:pPr>
      <w:r>
        <w:continuationSeparator/>
      </w:r>
    </w:p>
  </w:endnote>
  <w:endnote w:type="continuationNotice" w:id="1">
    <w:p w14:paraId="62C42789" w14:textId="77777777" w:rsidR="00826A2E" w:rsidRDefault="00826A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Yu Gothic UI Semibold">
    <w:panose1 w:val="020B0700000000000000"/>
    <w:charset w:val="80"/>
    <w:family w:val="swiss"/>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FE5CC4" w14:textId="77777777" w:rsidR="00826A2E" w:rsidRDefault="00826A2E" w:rsidP="004A1847">
      <w:pPr>
        <w:spacing w:after="0" w:line="240" w:lineRule="auto"/>
      </w:pPr>
      <w:r>
        <w:separator/>
      </w:r>
    </w:p>
  </w:footnote>
  <w:footnote w:type="continuationSeparator" w:id="0">
    <w:p w14:paraId="6C0A9959" w14:textId="77777777" w:rsidR="00826A2E" w:rsidRDefault="00826A2E" w:rsidP="004A1847">
      <w:pPr>
        <w:spacing w:after="0" w:line="240" w:lineRule="auto"/>
      </w:pPr>
      <w:r>
        <w:continuationSeparator/>
      </w:r>
    </w:p>
  </w:footnote>
  <w:footnote w:type="continuationNotice" w:id="1">
    <w:p w14:paraId="29DD829B" w14:textId="77777777" w:rsidR="00826A2E" w:rsidRDefault="00826A2E">
      <w:pPr>
        <w:spacing w:after="0" w:line="240" w:lineRule="auto"/>
      </w:pPr>
    </w:p>
  </w:footnote>
  <w:footnote w:id="2">
    <w:p w14:paraId="2F6D75DA" w14:textId="77777777" w:rsidR="0059212F" w:rsidRDefault="0059212F" w:rsidP="0059212F">
      <w:pPr>
        <w:pStyle w:val="Textonotapie"/>
      </w:pPr>
      <w:r>
        <w:rPr>
          <w:rStyle w:val="Refdenotaalpie"/>
        </w:rPr>
        <w:footnoteRef/>
      </w:r>
      <w:r>
        <w:t xml:space="preserve"> Consejo de Estado, Sala de lo Contencioso Administrativo, Sección Tercera, Sentencia del 29 de</w:t>
      </w:r>
    </w:p>
    <w:p w14:paraId="154EE84A" w14:textId="77777777" w:rsidR="0059212F" w:rsidRPr="00684FCF" w:rsidRDefault="0059212F" w:rsidP="0059212F">
      <w:pPr>
        <w:pStyle w:val="Textonotapie"/>
        <w:rPr>
          <w:lang w:val="es-ES"/>
        </w:rPr>
      </w:pPr>
      <w:r>
        <w:t>mayo de 2003, radicado: 14.945.</w:t>
      </w:r>
    </w:p>
  </w:footnote>
  <w:footnote w:id="3">
    <w:p w14:paraId="2783C87F" w14:textId="77777777" w:rsidR="001B0EC0" w:rsidRPr="00273C69" w:rsidRDefault="001B0EC0" w:rsidP="001B0EC0">
      <w:pPr>
        <w:pStyle w:val="Textonotapie"/>
        <w:spacing w:after="120"/>
        <w:ind w:firstLine="709"/>
        <w:jc w:val="both"/>
        <w:rPr>
          <w:rFonts w:ascii="Verdana" w:hAnsi="Verdana" w:cs="Arial"/>
          <w:sz w:val="16"/>
          <w:szCs w:val="16"/>
        </w:rPr>
      </w:pPr>
      <w:r w:rsidRPr="00273C69">
        <w:rPr>
          <w:rStyle w:val="Refdenotaalpie"/>
          <w:rFonts w:ascii="Verdana" w:hAnsi="Verdana"/>
          <w:sz w:val="16"/>
          <w:szCs w:val="16"/>
        </w:rPr>
        <w:footnoteRef/>
      </w:r>
      <w:r w:rsidRPr="00273C69">
        <w:rPr>
          <w:rFonts w:ascii="Verdana" w:hAnsi="Verdana" w:cs="Arial"/>
          <w:sz w:val="16"/>
          <w:szCs w:val="16"/>
        </w:rPr>
        <w:t xml:space="preserve"> “[…] en pronunciamiento del año 2012, la Sala de esta Subsección señaló que la suspensión del contrato, más estrictamente de la ejecución del contrato, como medida excepcional procede, por regla general, de consuno entre las partes, cuando situaciones de fuerza mayor, caso fortuito o de interés público impidan, temporalmente, cumplir el objeto de las obligaciones a cargo de las partes contratantes, de modo que el principal efecto que se desprende de la suspensión es que las obligaciones convenidas no pueden hacerse exigibles mientras perdure la medida y, por lo mismo, el término o plazo pactado del contrato (de ejecución o extintivo) no corre mientras permanezca suspendido. Por esa misma razón, la suspensión debe estar sujeta a un modo específico, plazo o condición, pactado con criterios de razonabilidad y proporcionalidad, acorde con la situación que se presente en cada caso, pero no puede permanecer indefinida en el tiempo” (Consejo de Estado. Sección Tercera. Sentencia del 16 de julio de 2015. Consejero Ponente: Carlos Alberto Zambrano Barrera. Expediente: 31.634).</w:t>
      </w:r>
    </w:p>
  </w:footnote>
  <w:footnote w:id="4">
    <w:p w14:paraId="05AF8509" w14:textId="77777777" w:rsidR="001B0EC0" w:rsidRPr="00273C69" w:rsidRDefault="001B0EC0" w:rsidP="001B0EC0">
      <w:pPr>
        <w:pStyle w:val="Textonotapie"/>
        <w:spacing w:after="120"/>
        <w:ind w:firstLine="709"/>
        <w:jc w:val="both"/>
        <w:rPr>
          <w:rFonts w:ascii="Verdana" w:hAnsi="Verdana" w:cs="Arial"/>
          <w:sz w:val="16"/>
          <w:szCs w:val="16"/>
          <w:lang w:val="es-ES"/>
        </w:rPr>
      </w:pPr>
      <w:r w:rsidRPr="00273C69">
        <w:rPr>
          <w:rStyle w:val="Refdenotaalpie"/>
          <w:rFonts w:ascii="Verdana" w:hAnsi="Verdana"/>
          <w:sz w:val="16"/>
          <w:szCs w:val="16"/>
        </w:rPr>
        <w:footnoteRef/>
      </w:r>
      <w:r w:rsidRPr="00273C69">
        <w:rPr>
          <w:rFonts w:ascii="Verdana" w:hAnsi="Verdana" w:cs="Arial"/>
          <w:sz w:val="16"/>
          <w:szCs w:val="16"/>
        </w:rPr>
        <w:t xml:space="preserve"> </w:t>
      </w:r>
      <w:r w:rsidRPr="00273C69">
        <w:rPr>
          <w:rFonts w:ascii="Verdana" w:hAnsi="Verdana" w:cs="Arial"/>
          <w:sz w:val="16"/>
          <w:szCs w:val="16"/>
          <w:lang w:val="es-ES"/>
        </w:rPr>
        <w:t>En circunstancias como la mencionada la entidad podría hacer uso de las cláusulas de caducidad o de terminación unilateral, reguladas en los artículos 17 y 18 de la Ley 80 de 1993, según el caso.</w:t>
      </w:r>
    </w:p>
  </w:footnote>
  <w:footnote w:id="5">
    <w:p w14:paraId="2E249AED" w14:textId="77777777" w:rsidR="00177D3F" w:rsidRDefault="00177D3F" w:rsidP="00177D3F">
      <w:pPr>
        <w:shd w:val="clear" w:color="auto" w:fill="FFFFFF"/>
        <w:ind w:right="49" w:firstLine="708"/>
        <w:contextualSpacing/>
        <w:jc w:val="both"/>
        <w:rPr>
          <w:rFonts w:ascii="Verdana" w:hAnsi="Verdana" w:cs="Arial"/>
          <w:sz w:val="10"/>
          <w:szCs w:val="10"/>
        </w:rPr>
      </w:pPr>
      <w:r>
        <w:rPr>
          <w:rStyle w:val="Refdenotaalpie"/>
          <w:rFonts w:ascii="Verdana" w:hAnsi="Verdana" w:cs="Arial"/>
          <w:sz w:val="10"/>
          <w:szCs w:val="10"/>
        </w:rPr>
        <w:footnoteRef/>
      </w:r>
      <w:r>
        <w:rPr>
          <w:rFonts w:ascii="Verdana" w:hAnsi="Verdana" w:cs="Arial"/>
          <w:sz w:val="10"/>
          <w:szCs w:val="10"/>
        </w:rPr>
        <w:t xml:space="preserve"> Ministerio del Trabajo. Concepto 9972 de 5 de marzo de 2014. </w:t>
      </w:r>
    </w:p>
    <w:p w14:paraId="4D584599" w14:textId="77777777" w:rsidR="00177D3F" w:rsidRDefault="00177D3F" w:rsidP="00177D3F">
      <w:pPr>
        <w:pStyle w:val="Textonotapie"/>
        <w:jc w:val="both"/>
        <w:rPr>
          <w:rFonts w:ascii="Verdana" w:hAnsi="Verdana" w:cs="Arial"/>
          <w:sz w:val="10"/>
          <w:szCs w:val="1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BA3907"/>
    <w:multiLevelType w:val="hybridMultilevel"/>
    <w:tmpl w:val="82E85D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A3B051F"/>
    <w:multiLevelType w:val="hybridMultilevel"/>
    <w:tmpl w:val="941222C0"/>
    <w:lvl w:ilvl="0" w:tplc="9E664FF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E6841DE"/>
    <w:multiLevelType w:val="hybridMultilevel"/>
    <w:tmpl w:val="E37208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2E7EA5"/>
    <w:multiLevelType w:val="hybridMultilevel"/>
    <w:tmpl w:val="A8AA2440"/>
    <w:lvl w:ilvl="0" w:tplc="761464C8">
      <w:start w:val="1"/>
      <w:numFmt w:val="decimal"/>
      <w:lvlText w:val="%1."/>
      <w:lvlJc w:val="left"/>
      <w:pPr>
        <w:ind w:left="720" w:hanging="360"/>
      </w:pPr>
      <w:rPr>
        <w:rFonts w:ascii="Century Gothic" w:hAnsi="Century Gothic" w:cs="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FB80308"/>
    <w:multiLevelType w:val="hybridMultilevel"/>
    <w:tmpl w:val="0C9C370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3802B02"/>
    <w:multiLevelType w:val="hybridMultilevel"/>
    <w:tmpl w:val="BDD299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7C52B79"/>
    <w:multiLevelType w:val="hybridMultilevel"/>
    <w:tmpl w:val="703E7978"/>
    <w:lvl w:ilvl="0" w:tplc="2278A27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6B1B3D13"/>
    <w:multiLevelType w:val="hybridMultilevel"/>
    <w:tmpl w:val="605C43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BDB6C13"/>
    <w:multiLevelType w:val="hybridMultilevel"/>
    <w:tmpl w:val="9F3E7F9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8F1FA0"/>
    <w:multiLevelType w:val="hybridMultilevel"/>
    <w:tmpl w:val="11BA5F3C"/>
    <w:lvl w:ilvl="0" w:tplc="BA96B3A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3"/>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2"/>
  </w:num>
  <w:num w:numId="7" w16cid:durableId="1946422806">
    <w:abstractNumId w:val="9"/>
  </w:num>
  <w:num w:numId="8" w16cid:durableId="152644682">
    <w:abstractNumId w:val="21"/>
  </w:num>
  <w:num w:numId="9" w16cid:durableId="1317221377">
    <w:abstractNumId w:val="11"/>
  </w:num>
  <w:num w:numId="10" w16cid:durableId="1471245386">
    <w:abstractNumId w:val="20"/>
  </w:num>
  <w:num w:numId="11" w16cid:durableId="289172385">
    <w:abstractNumId w:val="12"/>
  </w:num>
  <w:num w:numId="12" w16cid:durableId="1470781324">
    <w:abstractNumId w:val="1"/>
  </w:num>
  <w:num w:numId="13" w16cid:durableId="1512908409">
    <w:abstractNumId w:val="6"/>
  </w:num>
  <w:num w:numId="14" w16cid:durableId="895897244">
    <w:abstractNumId w:val="24"/>
  </w:num>
  <w:num w:numId="15" w16cid:durableId="390349800">
    <w:abstractNumId w:val="16"/>
  </w:num>
  <w:num w:numId="16" w16cid:durableId="341274352">
    <w:abstractNumId w:val="0"/>
  </w:num>
  <w:num w:numId="17" w16cid:durableId="679089576">
    <w:abstractNumId w:val="13"/>
  </w:num>
  <w:num w:numId="18" w16cid:durableId="871302569">
    <w:abstractNumId w:val="15"/>
  </w:num>
  <w:num w:numId="19" w16cid:durableId="194541416">
    <w:abstractNumId w:val="5"/>
  </w:num>
  <w:num w:numId="20" w16cid:durableId="1678658604">
    <w:abstractNumId w:val="18"/>
  </w:num>
  <w:num w:numId="21" w16cid:durableId="321279380">
    <w:abstractNumId w:val="14"/>
  </w:num>
  <w:num w:numId="22" w16cid:durableId="653530495">
    <w:abstractNumId w:val="23"/>
  </w:num>
  <w:num w:numId="23" w16cid:durableId="67575667">
    <w:abstractNumId w:val="7"/>
  </w:num>
  <w:num w:numId="24" w16cid:durableId="548223411">
    <w:abstractNumId w:val="4"/>
  </w:num>
  <w:num w:numId="25" w16cid:durableId="335613915">
    <w:abstractNumId w:val="2"/>
  </w:num>
  <w:num w:numId="26" w16cid:durableId="1847137999">
    <w:abstractNumId w:val="19"/>
  </w:num>
  <w:num w:numId="27" w16cid:durableId="1248588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528B"/>
    <w:rsid w:val="000517C4"/>
    <w:rsid w:val="00061B2A"/>
    <w:rsid w:val="00063C87"/>
    <w:rsid w:val="00082362"/>
    <w:rsid w:val="0008744E"/>
    <w:rsid w:val="000A683E"/>
    <w:rsid w:val="000B19B9"/>
    <w:rsid w:val="000D0334"/>
    <w:rsid w:val="000D3460"/>
    <w:rsid w:val="000F6486"/>
    <w:rsid w:val="00125105"/>
    <w:rsid w:val="00127233"/>
    <w:rsid w:val="0013071E"/>
    <w:rsid w:val="00177D3F"/>
    <w:rsid w:val="0019274D"/>
    <w:rsid w:val="001B0EC0"/>
    <w:rsid w:val="001E4177"/>
    <w:rsid w:val="001F7DC6"/>
    <w:rsid w:val="002114DB"/>
    <w:rsid w:val="002421BB"/>
    <w:rsid w:val="0025796E"/>
    <w:rsid w:val="002707A2"/>
    <w:rsid w:val="002951A0"/>
    <w:rsid w:val="002962BC"/>
    <w:rsid w:val="002A093D"/>
    <w:rsid w:val="002A0DD0"/>
    <w:rsid w:val="002A49AC"/>
    <w:rsid w:val="002A64FD"/>
    <w:rsid w:val="002C59B3"/>
    <w:rsid w:val="002C7A84"/>
    <w:rsid w:val="002E4FD9"/>
    <w:rsid w:val="00322A85"/>
    <w:rsid w:val="00324168"/>
    <w:rsid w:val="003448F4"/>
    <w:rsid w:val="00374F5E"/>
    <w:rsid w:val="00377E3E"/>
    <w:rsid w:val="003A26D1"/>
    <w:rsid w:val="003A5590"/>
    <w:rsid w:val="003A779E"/>
    <w:rsid w:val="003B2142"/>
    <w:rsid w:val="003D0F4D"/>
    <w:rsid w:val="003D5B0D"/>
    <w:rsid w:val="003E0499"/>
    <w:rsid w:val="003F3941"/>
    <w:rsid w:val="00405977"/>
    <w:rsid w:val="00406575"/>
    <w:rsid w:val="0042722E"/>
    <w:rsid w:val="004357C6"/>
    <w:rsid w:val="0044528D"/>
    <w:rsid w:val="004A1847"/>
    <w:rsid w:val="004A305D"/>
    <w:rsid w:val="004F21C4"/>
    <w:rsid w:val="004F685F"/>
    <w:rsid w:val="00543293"/>
    <w:rsid w:val="005566E8"/>
    <w:rsid w:val="00574867"/>
    <w:rsid w:val="00591460"/>
    <w:rsid w:val="0059212F"/>
    <w:rsid w:val="00592628"/>
    <w:rsid w:val="005C3777"/>
    <w:rsid w:val="005C5CDC"/>
    <w:rsid w:val="005D0EED"/>
    <w:rsid w:val="005D476C"/>
    <w:rsid w:val="005E2C0B"/>
    <w:rsid w:val="00610812"/>
    <w:rsid w:val="006219F8"/>
    <w:rsid w:val="00650FF7"/>
    <w:rsid w:val="00654057"/>
    <w:rsid w:val="00665D70"/>
    <w:rsid w:val="00671DAC"/>
    <w:rsid w:val="006900D9"/>
    <w:rsid w:val="006D12F8"/>
    <w:rsid w:val="00706C16"/>
    <w:rsid w:val="00756841"/>
    <w:rsid w:val="007649AB"/>
    <w:rsid w:val="00771D0C"/>
    <w:rsid w:val="007833AC"/>
    <w:rsid w:val="007A3CBF"/>
    <w:rsid w:val="007B268C"/>
    <w:rsid w:val="007B7171"/>
    <w:rsid w:val="007C0C0F"/>
    <w:rsid w:val="007C3DC2"/>
    <w:rsid w:val="007E5497"/>
    <w:rsid w:val="00806F5F"/>
    <w:rsid w:val="00820278"/>
    <w:rsid w:val="00826A2E"/>
    <w:rsid w:val="008843B6"/>
    <w:rsid w:val="00891928"/>
    <w:rsid w:val="008A446D"/>
    <w:rsid w:val="008A6A0B"/>
    <w:rsid w:val="008D180B"/>
    <w:rsid w:val="008F0EA7"/>
    <w:rsid w:val="008F4F4C"/>
    <w:rsid w:val="00903404"/>
    <w:rsid w:val="00917AFA"/>
    <w:rsid w:val="00923EEF"/>
    <w:rsid w:val="009419F9"/>
    <w:rsid w:val="0095685E"/>
    <w:rsid w:val="00961B09"/>
    <w:rsid w:val="00965334"/>
    <w:rsid w:val="0097093E"/>
    <w:rsid w:val="00983895"/>
    <w:rsid w:val="009A0DFA"/>
    <w:rsid w:val="009B2D26"/>
    <w:rsid w:val="009C472B"/>
    <w:rsid w:val="009C71FA"/>
    <w:rsid w:val="009C72E7"/>
    <w:rsid w:val="009D3058"/>
    <w:rsid w:val="009F3A13"/>
    <w:rsid w:val="00A0536E"/>
    <w:rsid w:val="00A122D3"/>
    <w:rsid w:val="00A17F13"/>
    <w:rsid w:val="00A20739"/>
    <w:rsid w:val="00A33C78"/>
    <w:rsid w:val="00A97D9C"/>
    <w:rsid w:val="00AB0ADB"/>
    <w:rsid w:val="00B01B1A"/>
    <w:rsid w:val="00B72CD3"/>
    <w:rsid w:val="00B72FFF"/>
    <w:rsid w:val="00BC3D36"/>
    <w:rsid w:val="00BC4A94"/>
    <w:rsid w:val="00BD7F72"/>
    <w:rsid w:val="00C04FB3"/>
    <w:rsid w:val="00C330EB"/>
    <w:rsid w:val="00C50D20"/>
    <w:rsid w:val="00C754BE"/>
    <w:rsid w:val="00C76B1C"/>
    <w:rsid w:val="00CB6357"/>
    <w:rsid w:val="00CC1B26"/>
    <w:rsid w:val="00D423A2"/>
    <w:rsid w:val="00D520D8"/>
    <w:rsid w:val="00D63AC2"/>
    <w:rsid w:val="00D7383B"/>
    <w:rsid w:val="00DA231B"/>
    <w:rsid w:val="00DA23A0"/>
    <w:rsid w:val="00DC39FC"/>
    <w:rsid w:val="00DF0587"/>
    <w:rsid w:val="00DF5254"/>
    <w:rsid w:val="00E16408"/>
    <w:rsid w:val="00E20894"/>
    <w:rsid w:val="00E245AB"/>
    <w:rsid w:val="00E2764C"/>
    <w:rsid w:val="00E27F2E"/>
    <w:rsid w:val="00E413EA"/>
    <w:rsid w:val="00E50AFE"/>
    <w:rsid w:val="00E62A6F"/>
    <w:rsid w:val="00E75C92"/>
    <w:rsid w:val="00E771DC"/>
    <w:rsid w:val="00E8772A"/>
    <w:rsid w:val="00E90F6B"/>
    <w:rsid w:val="00E92C27"/>
    <w:rsid w:val="00EA0E3D"/>
    <w:rsid w:val="00EC38A7"/>
    <w:rsid w:val="00EE1AA8"/>
    <w:rsid w:val="00F041AD"/>
    <w:rsid w:val="00F10A16"/>
    <w:rsid w:val="00F16E83"/>
    <w:rsid w:val="00F31EDC"/>
    <w:rsid w:val="00F33467"/>
    <w:rsid w:val="00F462B3"/>
    <w:rsid w:val="00F5664F"/>
    <w:rsid w:val="00F666C4"/>
    <w:rsid w:val="00F76AFC"/>
    <w:rsid w:val="00FA47C0"/>
    <w:rsid w:val="00FB5DD1"/>
    <w:rsid w:val="00FC2B5D"/>
    <w:rsid w:val="00FF1449"/>
    <w:rsid w:val="00FF698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A97D9C"/>
    <w:pPr>
      <w:spacing w:line="240" w:lineRule="exact"/>
    </w:pPr>
    <w:rPr>
      <w:vertAlign w:val="superscript"/>
    </w:rPr>
  </w:style>
  <w:style w:type="character" w:styleId="Refdecomentario">
    <w:name w:val="annotation reference"/>
    <w:basedOn w:val="Fuentedeprrafopredeter"/>
    <w:uiPriority w:val="99"/>
    <w:semiHidden/>
    <w:unhideWhenUsed/>
    <w:rsid w:val="00A97D9C"/>
    <w:rPr>
      <w:sz w:val="16"/>
      <w:szCs w:val="16"/>
    </w:rPr>
  </w:style>
  <w:style w:type="paragraph" w:styleId="Textocomentario">
    <w:name w:val="annotation text"/>
    <w:basedOn w:val="Normal"/>
    <w:link w:val="TextocomentarioCar"/>
    <w:uiPriority w:val="99"/>
    <w:unhideWhenUsed/>
    <w:rsid w:val="00A97D9C"/>
    <w:pPr>
      <w:spacing w:line="240" w:lineRule="auto"/>
    </w:pPr>
    <w:rPr>
      <w:sz w:val="20"/>
      <w:szCs w:val="20"/>
    </w:rPr>
  </w:style>
  <w:style w:type="character" w:customStyle="1" w:styleId="TextocomentarioCar">
    <w:name w:val="Texto comentario Car"/>
    <w:basedOn w:val="Fuentedeprrafopredeter"/>
    <w:link w:val="Textocomentario"/>
    <w:uiPriority w:val="99"/>
    <w:rsid w:val="00A97D9C"/>
    <w:rPr>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97D9C"/>
    <w:rPr>
      <w:rFonts w:ascii="Geomanist Light" w:hAnsi="Geomanist Light"/>
      <w:lang w:val="es-ES"/>
    </w:rPr>
  </w:style>
  <w:style w:type="paragraph" w:styleId="Sinespaciado">
    <w:name w:val="No Spacing"/>
    <w:uiPriority w:val="1"/>
    <w:qFormat/>
    <w:rsid w:val="00A97D9C"/>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BC4A94"/>
    <w:rPr>
      <w:b/>
      <w:bCs/>
    </w:rPr>
  </w:style>
  <w:style w:type="character" w:customStyle="1" w:styleId="AsuntodelcomentarioCar">
    <w:name w:val="Asunto del comentario Car"/>
    <w:basedOn w:val="TextocomentarioCar"/>
    <w:link w:val="Asuntodelcomentario"/>
    <w:uiPriority w:val="99"/>
    <w:semiHidden/>
    <w:rsid w:val="00BC4A94"/>
    <w:rPr>
      <w:b/>
      <w:bCs/>
      <w:sz w:val="20"/>
      <w:szCs w:val="20"/>
    </w:rPr>
  </w:style>
  <w:style w:type="paragraph" w:styleId="Textonotaalfinal">
    <w:name w:val="endnote text"/>
    <w:basedOn w:val="Normal"/>
    <w:link w:val="TextonotaalfinalCar"/>
    <w:uiPriority w:val="99"/>
    <w:semiHidden/>
    <w:unhideWhenUsed/>
    <w:rsid w:val="0059212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59212F"/>
    <w:rPr>
      <w:sz w:val="20"/>
      <w:szCs w:val="20"/>
    </w:rPr>
  </w:style>
  <w:style w:type="character" w:styleId="Refdenotaalfinal">
    <w:name w:val="endnote reference"/>
    <w:basedOn w:val="Fuentedeprrafopredeter"/>
    <w:uiPriority w:val="99"/>
    <w:semiHidden/>
    <w:unhideWhenUsed/>
    <w:rsid w:val="005921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9919682">
      <w:bodyDiv w:val="1"/>
      <w:marLeft w:val="0"/>
      <w:marRight w:val="0"/>
      <w:marTop w:val="0"/>
      <w:marBottom w:val="0"/>
      <w:divBdr>
        <w:top w:val="none" w:sz="0" w:space="0" w:color="auto"/>
        <w:left w:val="none" w:sz="0" w:space="0" w:color="auto"/>
        <w:bottom w:val="none" w:sz="0" w:space="0" w:color="auto"/>
        <w:right w:val="none" w:sz="0" w:space="0" w:color="auto"/>
      </w:divBdr>
    </w:div>
    <w:div w:id="30516346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2630017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52841641">
      <w:bodyDiv w:val="1"/>
      <w:marLeft w:val="0"/>
      <w:marRight w:val="0"/>
      <w:marTop w:val="0"/>
      <w:marBottom w:val="0"/>
      <w:divBdr>
        <w:top w:val="none" w:sz="0" w:space="0" w:color="auto"/>
        <w:left w:val="none" w:sz="0" w:space="0" w:color="auto"/>
        <w:bottom w:val="none" w:sz="0" w:space="0" w:color="auto"/>
        <w:right w:val="none" w:sz="0" w:space="0" w:color="auto"/>
      </w:divBdr>
    </w:div>
    <w:div w:id="1615818861">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304" TargetMode="External"/><Relationship Id="rId18" Type="http://schemas.openxmlformats.org/officeDocument/2006/relationships/hyperlink" Target="https://relatoria.colombiacompra.gov.co/normativa/ley-1150-de-2007/" TargetMode="Externa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relatoria.colombiacompra.gov.co/normativa/codigo-civil-ley-84-de-1873/" TargetMode="External"/><Relationship Id="rId7" Type="http://schemas.openxmlformats.org/officeDocument/2006/relationships/settings" Target="settings.xml"/><Relationship Id="rId12" Type="http://schemas.openxmlformats.org/officeDocument/2006/relationships/hyperlink" Target="mailto:lau92ge5@gmail.com" TargetMode="External"/><Relationship Id="rId17" Type="http://schemas.openxmlformats.org/officeDocument/2006/relationships/hyperlink" Target="https://www.funcionpublica.gov.co/eva/gestornormativo/norma.php?i=25678" TargetMode="External"/><Relationship Id="rId25"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normativa/ley-80-de-1993/" TargetMode="External"/><Relationship Id="rId20" Type="http://schemas.openxmlformats.org/officeDocument/2006/relationships/hyperlink" Target="https://relatoria.colombiacompra.gov.co/normativa/codigo-civil-ley"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24" Type="http://schemas.openxmlformats.org/officeDocument/2006/relationships/hyperlink" Target="https://relatoria.colombiacompra.gov.co/busqueda/conceptos" TargetMode="External"/><Relationship Id="rId5" Type="http://schemas.openxmlformats.org/officeDocument/2006/relationships/numbering" Target="numbering.xml"/><Relationship Id="rId15" Type="http://schemas.openxmlformats.org/officeDocument/2006/relationships/hyperlink" Target="https://www.funcionpublica.gov.co/eva/gestornormativo/norma.php?i=304" TargetMode="External"/><Relationship Id="rId23" Type="http://schemas.openxmlformats.org/officeDocument/2006/relationships/hyperlink" Target="https://relatoria.colombiacompra.gov.co/providencias-consejo-de-estado/"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relatoria.colombiacompra.gov.co/normativa/ley-80-de-199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 Id="rId22" Type="http://schemas.openxmlformats.org/officeDocument/2006/relationships/hyperlink" Target="https://relatoria.colombiacompra.gov.co/providencias-consejo-de-estado/"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8ae15d26-076e-464e-81a7-6f76a0fb3917">
      <UserInfo>
        <DisplayName>Poxta IOIP</DisplayName>
        <AccountId>719</AccountId>
        <AccountType/>
      </UserInfo>
    </SharedWithUsers>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Con</b:Tag>
    <b:SourceType>Book</b:SourceType>
    <b:Guid>{98960C49-037D-4489-9FB4-88A6C6D6AB67}</b:Guid>
    <b:Title>  Consejo de Estado, Sala de lo Contencioso Administrativo, Sección Tercera, Sentencia del 29 de mayo de 2003, radicado: 14.945.</b:Title>
    <b:RefOrder>1</b:RefOrder>
  </b:Source>
</b:Sourc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3.xml><?xml version="1.0" encoding="utf-8"?>
<ds:datastoreItem xmlns:ds="http://schemas.openxmlformats.org/officeDocument/2006/customXml" ds:itemID="{C4550200-B28E-45BB-A80F-A7CAFCB1C5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79E3D11-6A37-4F94-BB96-46E3E4A79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3851</Words>
  <Characters>21185</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2</cp:revision>
  <cp:lastPrinted>2023-01-10T21:18:00Z</cp:lastPrinted>
  <dcterms:created xsi:type="dcterms:W3CDTF">2024-09-30T18:17:00Z</dcterms:created>
  <dcterms:modified xsi:type="dcterms:W3CDTF">2024-09-30T18:17:00Z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