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8853E4" w14:textId="41645EF5" w:rsidR="00871B59" w:rsidRDefault="00871B59" w:rsidP="4C0EAEBC">
      <w:pPr>
        <w:spacing w:after="0" w:line="240" w:lineRule="auto"/>
        <w:rPr>
          <w:rFonts w:ascii="Verdana" w:eastAsia="Geomanist Light" w:hAnsi="Verdana" w:cs="Arial"/>
          <w:color w:val="201F1E"/>
          <w:lang w:val="es-MX"/>
        </w:rPr>
      </w:pPr>
      <w:r w:rsidRPr="4C0EAEBC">
        <w:rPr>
          <w:rFonts w:ascii="Verdana" w:eastAsia="Geomanist Light" w:hAnsi="Verdana" w:cs="Arial"/>
          <w:color w:val="000000" w:themeColor="text1"/>
          <w:lang w:val="es-MX"/>
        </w:rPr>
        <w:t>Bogotá D.C., </w:t>
      </w:r>
      <w:r w:rsidR="0655D2A0" w:rsidRPr="4C0EAEBC">
        <w:rPr>
          <w:rFonts w:ascii="Verdana" w:eastAsia="Geomanist Light" w:hAnsi="Verdana" w:cs="Arial"/>
          <w:color w:val="201F1E"/>
          <w:lang w:val="es-MX"/>
        </w:rPr>
        <w:t>24 de julio de 2024.</w:t>
      </w:r>
    </w:p>
    <w:p w14:paraId="263F56BE" w14:textId="77777777" w:rsidR="00871B59" w:rsidRPr="00593A5F" w:rsidRDefault="00871B59" w:rsidP="00871B59">
      <w:pPr>
        <w:spacing w:after="0" w:line="240" w:lineRule="auto"/>
        <w:jc w:val="both"/>
        <w:rPr>
          <w:rFonts w:ascii="Verdana" w:eastAsia="Calibri" w:hAnsi="Verdana" w:cs="Arial"/>
          <w:color w:val="000000"/>
          <w:lang w:val="es-ES"/>
        </w:rPr>
      </w:pPr>
    </w:p>
    <w:p w14:paraId="24769E63" w14:textId="77777777" w:rsidR="00497240" w:rsidRDefault="00497240" w:rsidP="00871B59">
      <w:pPr>
        <w:spacing w:after="0" w:line="240" w:lineRule="auto"/>
        <w:jc w:val="both"/>
        <w:rPr>
          <w:rFonts w:ascii="Verdana" w:eastAsia="Calibri" w:hAnsi="Verdana" w:cs="Arial"/>
          <w:lang w:val="es-ES" w:eastAsia="es-ES"/>
        </w:rPr>
      </w:pPr>
    </w:p>
    <w:p w14:paraId="66EF7FED" w14:textId="6E85F78C" w:rsidR="00871B59" w:rsidRPr="00B96799" w:rsidRDefault="00871B59" w:rsidP="00871B59">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r w:rsidR="00BE4B85">
        <w:rPr>
          <w:rFonts w:ascii="Verdana" w:eastAsia="Calibri" w:hAnsi="Verdana" w:cs="Arial"/>
          <w:lang w:val="es-ES" w:eastAsia="es-ES"/>
        </w:rPr>
        <w:t>a</w:t>
      </w:r>
    </w:p>
    <w:p w14:paraId="0D0B9D30" w14:textId="124B4DAC" w:rsidR="00871B59" w:rsidRPr="00B96799" w:rsidRDefault="005B0EF0" w:rsidP="00871B59">
      <w:pPr>
        <w:spacing w:after="0" w:line="240" w:lineRule="auto"/>
        <w:rPr>
          <w:rFonts w:ascii="Verdana" w:eastAsia="Calibri" w:hAnsi="Verdana" w:cs="Arial"/>
          <w:b/>
          <w:lang w:val="es-ES_tradnl" w:eastAsia="es-ES_tradnl"/>
        </w:rPr>
      </w:pPr>
      <w:r>
        <w:rPr>
          <w:rFonts w:ascii="Verdana" w:eastAsia="Calibri" w:hAnsi="Verdana" w:cs="Arial"/>
          <w:b/>
          <w:lang w:val="es-ES_tradnl" w:eastAsia="es-ES_tradnl"/>
        </w:rPr>
        <w:t>Sara Benjumea Flórez</w:t>
      </w:r>
      <w:r w:rsidR="008C52FB">
        <w:rPr>
          <w:rFonts w:ascii="Verdana" w:eastAsia="Calibri" w:hAnsi="Verdana" w:cs="Arial"/>
          <w:b/>
          <w:lang w:val="es-ES_tradnl" w:eastAsia="es-ES_tradnl"/>
        </w:rPr>
        <w:t xml:space="preserve">                      </w:t>
      </w:r>
      <w:r w:rsidR="008C52FB">
        <w:rPr>
          <w:rFonts w:ascii="Verdana" w:eastAsia="Calibri" w:hAnsi="Verdana" w:cs="Arial"/>
          <w:b/>
          <w:noProof/>
          <w:lang w:val="es-ES_tradnl" w:eastAsia="es-ES_tradnl"/>
        </w:rPr>
        <w:drawing>
          <wp:inline distT="0" distB="0" distL="0" distR="0" wp14:anchorId="69F09841" wp14:editId="5E05744B">
            <wp:extent cx="2667000" cy="790575"/>
            <wp:effectExtent l="0" t="0" r="0" b="9525"/>
            <wp:docPr id="110204835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67000" cy="790575"/>
                    </a:xfrm>
                    <a:prstGeom prst="rect">
                      <a:avLst/>
                    </a:prstGeom>
                    <a:noFill/>
                    <a:ln>
                      <a:noFill/>
                    </a:ln>
                  </pic:spPr>
                </pic:pic>
              </a:graphicData>
            </a:graphic>
          </wp:inline>
        </w:drawing>
      </w:r>
    </w:p>
    <w:p w14:paraId="1199F81B" w14:textId="263945A1" w:rsidR="00871B59" w:rsidRPr="00B96799" w:rsidRDefault="005B0EF0" w:rsidP="00871B59">
      <w:pPr>
        <w:spacing w:after="0" w:line="240" w:lineRule="auto"/>
        <w:rPr>
          <w:rFonts w:ascii="Verdana" w:eastAsia="Calibri" w:hAnsi="Verdana" w:cs="Arial"/>
          <w:u w:val="single"/>
          <w:lang w:val="es-ES" w:eastAsia="es-ES"/>
        </w:rPr>
      </w:pPr>
      <w:r>
        <w:rPr>
          <w:rFonts w:ascii="Verdana" w:eastAsia="Calibri" w:hAnsi="Verdana" w:cs="Arial"/>
          <w:u w:val="single"/>
          <w:lang w:val="es-ES" w:eastAsia="es-ES"/>
        </w:rPr>
        <w:t>saraflorez21</w:t>
      </w:r>
      <w:r w:rsidR="00871B59" w:rsidRPr="00B96799">
        <w:rPr>
          <w:rFonts w:ascii="Verdana" w:eastAsia="Calibri" w:hAnsi="Verdana" w:cs="Arial"/>
          <w:u w:val="single"/>
          <w:lang w:val="es-ES" w:eastAsia="es-ES"/>
        </w:rPr>
        <w:t>@</w:t>
      </w:r>
      <w:r>
        <w:rPr>
          <w:rFonts w:ascii="Verdana" w:eastAsia="Calibri" w:hAnsi="Verdana" w:cs="Arial"/>
          <w:u w:val="single"/>
          <w:lang w:val="es-ES" w:eastAsia="es-ES"/>
        </w:rPr>
        <w:t>gmail</w:t>
      </w:r>
      <w:r w:rsidR="00871B59" w:rsidRPr="00B96799">
        <w:rPr>
          <w:rFonts w:ascii="Verdana" w:eastAsia="Calibri" w:hAnsi="Verdana" w:cs="Arial"/>
          <w:u w:val="single"/>
          <w:lang w:val="es-ES" w:eastAsia="es-ES"/>
        </w:rPr>
        <w:t>.co</w:t>
      </w:r>
      <w:r>
        <w:rPr>
          <w:rFonts w:ascii="Verdana" w:eastAsia="Calibri" w:hAnsi="Verdana" w:cs="Arial"/>
          <w:u w:val="single"/>
          <w:lang w:val="es-ES" w:eastAsia="es-ES"/>
        </w:rPr>
        <w:t>m</w:t>
      </w:r>
    </w:p>
    <w:p w14:paraId="5ACFEA17" w14:textId="636A3629" w:rsidR="00871B59" w:rsidRPr="00B96799" w:rsidRDefault="005B0EF0" w:rsidP="00871B59">
      <w:pPr>
        <w:spacing w:after="0" w:line="240" w:lineRule="auto"/>
        <w:rPr>
          <w:rFonts w:ascii="Verdana" w:eastAsia="Calibri" w:hAnsi="Verdana" w:cs="Arial"/>
          <w:b/>
          <w:bCs/>
          <w:lang w:val="es-ES" w:eastAsia="es-ES"/>
        </w:rPr>
      </w:pPr>
      <w:r>
        <w:rPr>
          <w:rFonts w:ascii="Verdana" w:eastAsia="Calibri" w:hAnsi="Verdana" w:cs="Arial"/>
          <w:lang w:val="es-ES" w:eastAsia="es-ES"/>
        </w:rPr>
        <w:t>Medellín</w:t>
      </w:r>
      <w:r w:rsidR="00871B59" w:rsidRPr="00B96799">
        <w:rPr>
          <w:rFonts w:ascii="Verdana" w:eastAsia="Calibri" w:hAnsi="Verdana" w:cs="Arial"/>
          <w:lang w:val="es-ES" w:eastAsia="es-ES"/>
        </w:rPr>
        <w:t xml:space="preserve">, </w:t>
      </w:r>
      <w:r>
        <w:rPr>
          <w:rFonts w:ascii="Verdana" w:eastAsia="Calibri" w:hAnsi="Verdana" w:cs="Arial"/>
          <w:lang w:val="es-ES" w:eastAsia="es-ES"/>
        </w:rPr>
        <w:t>Antioquia</w:t>
      </w:r>
    </w:p>
    <w:p w14:paraId="75545CBA" w14:textId="77777777" w:rsidR="00871B59" w:rsidRPr="00593A5F" w:rsidRDefault="00871B59" w:rsidP="00871B59">
      <w:pPr>
        <w:spacing w:after="0" w:line="240" w:lineRule="auto"/>
        <w:rPr>
          <w:rFonts w:ascii="Verdana" w:eastAsia="Calibri" w:hAnsi="Verdana" w:cs="Arial"/>
          <w:b/>
          <w:bCs/>
          <w:color w:val="000000"/>
          <w:lang w:val="es-ES_tradnl" w:eastAsia="es-ES_tradnl"/>
        </w:rPr>
      </w:pPr>
    </w:p>
    <w:p w14:paraId="40764CBF" w14:textId="77777777" w:rsidR="00871B59" w:rsidRPr="00593A5F" w:rsidRDefault="00871B59" w:rsidP="00871B5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71B59" w:rsidRPr="00593A5F" w14:paraId="6AC1791A" w14:textId="77777777" w:rsidTr="002607A7">
        <w:trPr>
          <w:trHeight w:val="884"/>
        </w:trPr>
        <w:tc>
          <w:tcPr>
            <w:tcW w:w="2689" w:type="dxa"/>
          </w:tcPr>
          <w:p w14:paraId="156B1AEC" w14:textId="77777777" w:rsidR="00871B59" w:rsidRPr="00C00976" w:rsidRDefault="00871B59" w:rsidP="002607A7">
            <w:pPr>
              <w:jc w:val="both"/>
              <w:rPr>
                <w:rFonts w:ascii="Verdana" w:eastAsia="Calibri" w:hAnsi="Verdana" w:cs="Arial"/>
                <w:b/>
                <w:bCs/>
                <w:color w:val="7030A0"/>
                <w:lang w:val="es-ES_tradnl" w:eastAsia="es-ES_tradnl"/>
              </w:rPr>
            </w:pPr>
          </w:p>
        </w:tc>
        <w:tc>
          <w:tcPr>
            <w:tcW w:w="6100" w:type="dxa"/>
          </w:tcPr>
          <w:p w14:paraId="48F499EA" w14:textId="3EFAE9E6" w:rsidR="00871B59" w:rsidRPr="00C00976" w:rsidRDefault="00871B59" w:rsidP="002607A7">
            <w:pPr>
              <w:jc w:val="both"/>
              <w:rPr>
                <w:rFonts w:ascii="Verdana" w:eastAsia="Calibri" w:hAnsi="Verdana" w:cs="Arial"/>
                <w:b/>
                <w:bCs/>
                <w:color w:val="7030A0"/>
                <w:lang w:val="es-ES" w:eastAsia="es-ES"/>
              </w:rPr>
            </w:pPr>
            <w:r w:rsidRPr="00247BDE">
              <w:rPr>
                <w:rFonts w:ascii="Verdana" w:eastAsia="Calibri" w:hAnsi="Verdana" w:cs="Arial"/>
                <w:b/>
                <w:bCs/>
                <w:lang w:val="es-ES" w:eastAsia="es-ES"/>
              </w:rPr>
              <w:t xml:space="preserve">Concepto C- </w:t>
            </w:r>
            <w:r w:rsidR="005B0EF0" w:rsidRPr="005B0EF0">
              <w:rPr>
                <w:rFonts w:ascii="Verdana" w:eastAsia="Calibri" w:hAnsi="Verdana" w:cs="Arial"/>
                <w:b/>
                <w:bCs/>
                <w:lang w:val="es-ES" w:eastAsia="es-ES"/>
              </w:rPr>
              <w:t>187</w:t>
            </w:r>
            <w:r w:rsidRPr="005B0EF0">
              <w:rPr>
                <w:rFonts w:ascii="Verdana" w:eastAsia="Calibri" w:hAnsi="Verdana" w:cs="Arial"/>
                <w:b/>
                <w:bCs/>
                <w:lang w:val="es-ES" w:eastAsia="es-ES"/>
              </w:rPr>
              <w:t xml:space="preserve"> de 2024</w:t>
            </w:r>
          </w:p>
        </w:tc>
      </w:tr>
      <w:tr w:rsidR="00871B59" w:rsidRPr="00593A5F" w14:paraId="0DD246A7" w14:textId="77777777" w:rsidTr="002607A7">
        <w:trPr>
          <w:trHeight w:val="884"/>
        </w:trPr>
        <w:tc>
          <w:tcPr>
            <w:tcW w:w="2689" w:type="dxa"/>
          </w:tcPr>
          <w:p w14:paraId="1B4FC525" w14:textId="77777777" w:rsidR="00871B59" w:rsidRPr="00593A5F" w:rsidRDefault="00871B59" w:rsidP="002607A7">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533E7DA5" w14:textId="0822CF70" w:rsidR="00871B59" w:rsidRPr="00BE4B85" w:rsidRDefault="00BE4B85" w:rsidP="002607A7">
            <w:pPr>
              <w:spacing w:line="276" w:lineRule="auto"/>
              <w:jc w:val="both"/>
              <w:rPr>
                <w:rFonts w:ascii="Verdana" w:eastAsia="Calibri" w:hAnsi="Verdana" w:cs="Arial"/>
                <w:lang w:val="es-MX" w:eastAsia="es-ES_tradnl"/>
              </w:rPr>
            </w:pPr>
            <w:r w:rsidRPr="00BE4B85">
              <w:rPr>
                <w:rFonts w:ascii="Verdana" w:eastAsia="Calibri" w:hAnsi="Verdana" w:cs="Arial"/>
                <w:lang w:val="es-MX" w:eastAsia="es-ES_tradnl"/>
              </w:rPr>
              <w:t>PROPONENTE PLURAL ‒ Consorcio ‒ Uni</w:t>
            </w:r>
            <w:r w:rsidRPr="00BE4B85">
              <w:rPr>
                <w:rFonts w:ascii="Verdana" w:eastAsia="Calibri" w:hAnsi="Verdana" w:cs="Century Gothic"/>
                <w:lang w:val="es-MX" w:eastAsia="es-ES_tradnl"/>
              </w:rPr>
              <w:t>ó</w:t>
            </w:r>
            <w:r w:rsidRPr="00BE4B85">
              <w:rPr>
                <w:rFonts w:ascii="Verdana" w:eastAsia="Calibri" w:hAnsi="Verdana" w:cs="Arial"/>
                <w:lang w:val="es-MX" w:eastAsia="es-ES_tradnl"/>
              </w:rPr>
              <w:t xml:space="preserve">n temporal ‒ Concepto </w:t>
            </w:r>
            <w:r w:rsidRPr="00BE4B85">
              <w:rPr>
                <w:rFonts w:ascii="Verdana" w:eastAsia="Calibri" w:hAnsi="Verdana" w:cs="Century Gothic"/>
                <w:lang w:val="es-MX" w:eastAsia="es-ES_tradnl"/>
              </w:rPr>
              <w:t>–</w:t>
            </w:r>
            <w:r w:rsidRPr="00BE4B85">
              <w:rPr>
                <w:rFonts w:ascii="Verdana" w:eastAsia="Calibri" w:hAnsi="Verdana" w:cs="Arial"/>
                <w:lang w:val="es-MX" w:eastAsia="es-ES_tradnl"/>
              </w:rPr>
              <w:t xml:space="preserve"> Diferencias / PROCEDIMIENTOS CONTRACTUALES – </w:t>
            </w:r>
            <w:r w:rsidR="00497240" w:rsidRPr="00497240">
              <w:rPr>
                <w:rFonts w:ascii="Verdana" w:eastAsia="Calibri" w:hAnsi="Verdana" w:cs="Arial"/>
                <w:lang w:eastAsia="es-ES_tradnl"/>
              </w:rPr>
              <w:t>Creación – Participación – Acuerdo de voluntades</w:t>
            </w:r>
            <w:r w:rsidR="00497240">
              <w:rPr>
                <w:rFonts w:ascii="Verdana" w:eastAsia="Calibri" w:hAnsi="Verdana" w:cs="Arial"/>
                <w:lang w:eastAsia="es-ES_tradnl"/>
              </w:rPr>
              <w:t>.</w:t>
            </w:r>
          </w:p>
          <w:p w14:paraId="7ADD1096" w14:textId="47C926BB" w:rsidR="00BE4B85" w:rsidRPr="00593A5F" w:rsidRDefault="00BE4B85" w:rsidP="002607A7">
            <w:pPr>
              <w:spacing w:line="276" w:lineRule="auto"/>
              <w:jc w:val="both"/>
              <w:rPr>
                <w:rFonts w:ascii="Verdana" w:eastAsia="Calibri" w:hAnsi="Verdana" w:cs="Arial"/>
                <w:lang w:val="es-ES" w:eastAsia="es-ES"/>
              </w:rPr>
            </w:pPr>
          </w:p>
        </w:tc>
      </w:tr>
      <w:tr w:rsidR="00871B59" w:rsidRPr="00593A5F" w14:paraId="0A874006" w14:textId="77777777" w:rsidTr="002607A7">
        <w:tc>
          <w:tcPr>
            <w:tcW w:w="2689" w:type="dxa"/>
          </w:tcPr>
          <w:p w14:paraId="56ED2765" w14:textId="77777777" w:rsidR="00871B59" w:rsidRPr="006730E9" w:rsidRDefault="00871B59" w:rsidP="002607A7">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100" w:type="dxa"/>
          </w:tcPr>
          <w:p w14:paraId="630D2668" w14:textId="74D1CAAC" w:rsidR="00871B59" w:rsidRPr="006730E9" w:rsidRDefault="00871B59" w:rsidP="002607A7">
            <w:pPr>
              <w:jc w:val="both"/>
              <w:rPr>
                <w:rFonts w:ascii="Verdana" w:eastAsia="Calibri" w:hAnsi="Verdana" w:cs="Arial"/>
                <w:lang w:val="es-ES_tradnl" w:eastAsia="es-ES_tradnl"/>
              </w:rPr>
            </w:pPr>
            <w:r w:rsidRPr="006730E9">
              <w:rPr>
                <w:rFonts w:ascii="Verdana" w:eastAsia="Calibri" w:hAnsi="Verdana" w:cs="Arial"/>
                <w:lang w:val="es-ES_tradnl" w:eastAsia="es-ES_tradnl"/>
              </w:rPr>
              <w:t xml:space="preserve">Respuesta a consulta con radicado No. </w:t>
            </w:r>
            <w:r w:rsidR="006730E9" w:rsidRPr="006730E9">
              <w:rPr>
                <w:rFonts w:ascii="Verdana" w:eastAsia="Calibri" w:hAnsi="Verdana" w:cs="Arial"/>
                <w:lang w:val="es-ES_tradnl" w:eastAsia="es-ES_tradnl"/>
              </w:rPr>
              <w:t>P20240618006194</w:t>
            </w:r>
          </w:p>
        </w:tc>
      </w:tr>
    </w:tbl>
    <w:p w14:paraId="01AFCA4D"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4FF08E37"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5A8CAE32" w14:textId="75BE33EF" w:rsidR="00871B59" w:rsidRPr="006730E9" w:rsidRDefault="00871B59" w:rsidP="00871B59">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sidR="006730E9" w:rsidRPr="006730E9">
        <w:rPr>
          <w:rFonts w:ascii="Verdana" w:eastAsia="Calibri" w:hAnsi="Verdana" w:cs="Arial"/>
          <w:lang w:val="es-ES" w:eastAsia="es-ES"/>
        </w:rPr>
        <w:t>a</w:t>
      </w:r>
      <w:r w:rsidRPr="006730E9">
        <w:rPr>
          <w:rFonts w:ascii="Verdana" w:eastAsia="Calibri" w:hAnsi="Verdana" w:cs="Arial"/>
          <w:lang w:val="es-ES" w:eastAsia="es-ES"/>
        </w:rPr>
        <w:t xml:space="preserve"> señor</w:t>
      </w:r>
      <w:r w:rsidR="006730E9" w:rsidRPr="006730E9">
        <w:rPr>
          <w:rFonts w:ascii="Verdana" w:eastAsia="Calibri" w:hAnsi="Verdana" w:cs="Arial"/>
          <w:lang w:val="es-ES" w:eastAsia="es-ES"/>
        </w:rPr>
        <w:t>a</w:t>
      </w:r>
      <w:r w:rsidRPr="006730E9">
        <w:rPr>
          <w:rFonts w:ascii="Verdana" w:eastAsia="Calibri" w:hAnsi="Verdana" w:cs="Arial"/>
          <w:lang w:val="es-ES" w:eastAsia="es-ES"/>
        </w:rPr>
        <w:t xml:space="preserve"> </w:t>
      </w:r>
      <w:r w:rsidR="006730E9" w:rsidRPr="006730E9">
        <w:rPr>
          <w:rFonts w:ascii="Verdana" w:eastAsia="Calibri" w:hAnsi="Verdana" w:cs="Arial"/>
          <w:lang w:val="es-ES" w:eastAsia="es-ES"/>
        </w:rPr>
        <w:t>Benjumea</w:t>
      </w:r>
      <w:r w:rsidRPr="006730E9">
        <w:rPr>
          <w:rFonts w:ascii="Verdana" w:eastAsia="Calibri" w:hAnsi="Verdana" w:cs="Arial"/>
          <w:lang w:val="es-ES" w:eastAsia="es-ES"/>
        </w:rPr>
        <w:t xml:space="preserve">: </w:t>
      </w:r>
    </w:p>
    <w:p w14:paraId="62039951" w14:textId="77777777" w:rsidR="00871B59" w:rsidRDefault="00871B59" w:rsidP="00871B5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F1D9A82" w14:textId="16935E25" w:rsidR="00871B59" w:rsidRPr="006730E9" w:rsidRDefault="00871B59" w:rsidP="00871B59">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 xml:space="preserve">la Agencia Nacional de Contratación Pública – Colombia Compra Eficiente– responde su solicitud de consulta de fecha </w:t>
      </w:r>
      <w:r w:rsidR="006730E9" w:rsidRPr="006730E9">
        <w:rPr>
          <w:rFonts w:ascii="Verdana" w:eastAsia="Calibri" w:hAnsi="Verdana" w:cs="Arial"/>
          <w:lang w:val="es-ES" w:eastAsia="es-ES"/>
        </w:rPr>
        <w:t>18</w:t>
      </w:r>
      <w:r w:rsidRPr="006730E9">
        <w:rPr>
          <w:rFonts w:ascii="Verdana" w:eastAsia="Calibri" w:hAnsi="Verdana" w:cs="Arial"/>
          <w:lang w:val="es-ES" w:eastAsia="es-ES"/>
        </w:rPr>
        <w:t xml:space="preserve"> de </w:t>
      </w:r>
      <w:r w:rsidR="006730E9" w:rsidRPr="006730E9">
        <w:rPr>
          <w:rFonts w:ascii="Verdana" w:eastAsia="Calibri" w:hAnsi="Verdana" w:cs="Arial"/>
          <w:lang w:val="es-ES" w:eastAsia="es-ES"/>
        </w:rPr>
        <w:t>junio</w:t>
      </w:r>
      <w:r w:rsidRPr="006730E9">
        <w:rPr>
          <w:rFonts w:ascii="Verdana" w:eastAsia="Calibri" w:hAnsi="Verdana" w:cs="Arial"/>
          <w:lang w:val="es-ES" w:eastAsia="es-ES"/>
        </w:rPr>
        <w:t xml:space="preserve"> de 20</w:t>
      </w:r>
      <w:r w:rsidR="006730E9" w:rsidRPr="006730E9">
        <w:rPr>
          <w:rFonts w:ascii="Verdana" w:eastAsia="Calibri" w:hAnsi="Verdana" w:cs="Arial"/>
          <w:lang w:val="es-ES" w:eastAsia="es-ES"/>
        </w:rPr>
        <w:t>24</w:t>
      </w:r>
      <w:r w:rsidRPr="006730E9">
        <w:rPr>
          <w:rFonts w:ascii="Verdana" w:eastAsia="Calibri" w:hAnsi="Verdana" w:cs="Arial"/>
          <w:lang w:val="es-ES" w:eastAsia="es-ES"/>
        </w:rPr>
        <w:t xml:space="preserve">, en la cual manifiesta lo siguiente: </w:t>
      </w:r>
    </w:p>
    <w:p w14:paraId="6DBD3E26" w14:textId="77777777" w:rsidR="00871B59" w:rsidRPr="00272A7B" w:rsidRDefault="00871B59" w:rsidP="00871B59">
      <w:pPr>
        <w:pStyle w:val="Prrafodelista"/>
        <w:tabs>
          <w:tab w:val="left" w:pos="142"/>
          <w:tab w:val="left" w:pos="284"/>
        </w:tabs>
        <w:spacing w:line="276" w:lineRule="auto"/>
        <w:ind w:left="0"/>
        <w:jc w:val="both"/>
        <w:rPr>
          <w:rFonts w:ascii="Verdana" w:eastAsia="Century Gothic" w:hAnsi="Verdana" w:cs="Century Gothic"/>
          <w:b/>
          <w:bCs/>
          <w:lang w:val="es-ES"/>
        </w:rPr>
      </w:pPr>
    </w:p>
    <w:p w14:paraId="4BA0BB4F" w14:textId="77777777" w:rsidR="00A33387" w:rsidRDefault="00871B59" w:rsidP="00871B59">
      <w:pPr>
        <w:spacing w:after="0" w:line="240" w:lineRule="auto"/>
        <w:ind w:left="709" w:right="709"/>
        <w:jc w:val="both"/>
        <w:rPr>
          <w:rFonts w:ascii="Verdana" w:hAnsi="Verdana" w:cs="Arial"/>
          <w:sz w:val="20"/>
          <w:szCs w:val="20"/>
          <w:shd w:val="clear" w:color="auto" w:fill="FFFFFF"/>
        </w:rPr>
      </w:pPr>
      <w:bookmarkStart w:id="0" w:name="_Hlk95313578"/>
      <w:r w:rsidRPr="006730E9">
        <w:rPr>
          <w:rFonts w:ascii="Verdana" w:eastAsia="Century Gothic" w:hAnsi="Verdana" w:cs="Century Gothic"/>
          <w:sz w:val="20"/>
          <w:szCs w:val="20"/>
          <w:lang w:val="es-ES"/>
        </w:rPr>
        <w:t>“</w:t>
      </w:r>
      <w:r w:rsidR="006730E9" w:rsidRPr="006730E9">
        <w:rPr>
          <w:rFonts w:ascii="Verdana" w:hAnsi="Verdana" w:cs="Arial"/>
          <w:sz w:val="20"/>
          <w:szCs w:val="20"/>
          <w:shd w:val="clear" w:color="auto" w:fill="FFFFFF"/>
        </w:rPr>
        <w:t>En el marco de las competencias de CCE, quisiera consultar lo siguiente:</w:t>
      </w:r>
    </w:p>
    <w:p w14:paraId="2D3645E9" w14:textId="77777777" w:rsidR="00A33387" w:rsidRDefault="00A33387" w:rsidP="00871B59">
      <w:pPr>
        <w:spacing w:after="0" w:line="240" w:lineRule="auto"/>
        <w:ind w:left="709" w:right="709"/>
        <w:jc w:val="both"/>
        <w:rPr>
          <w:rFonts w:ascii="Verdana" w:hAnsi="Verdana" w:cs="Arial"/>
          <w:sz w:val="20"/>
          <w:szCs w:val="20"/>
          <w:shd w:val="clear" w:color="auto" w:fill="FFFFFF"/>
        </w:rPr>
      </w:pPr>
    </w:p>
    <w:p w14:paraId="725A6EC9" w14:textId="1624C501" w:rsidR="00A33387" w:rsidRDefault="006730E9" w:rsidP="00871B59">
      <w:pPr>
        <w:spacing w:after="0" w:line="240" w:lineRule="auto"/>
        <w:ind w:left="709" w:right="709"/>
        <w:jc w:val="both"/>
        <w:rPr>
          <w:rFonts w:ascii="Verdana" w:hAnsi="Verdana" w:cs="Arial"/>
          <w:sz w:val="20"/>
          <w:szCs w:val="20"/>
          <w:shd w:val="clear" w:color="auto" w:fill="FFFFFF"/>
        </w:rPr>
      </w:pPr>
      <w:r w:rsidRPr="006730E9">
        <w:rPr>
          <w:rFonts w:ascii="Verdana" w:hAnsi="Verdana" w:cs="Arial"/>
          <w:sz w:val="20"/>
          <w:szCs w:val="20"/>
          <w:shd w:val="clear" w:color="auto" w:fill="FFFFFF"/>
        </w:rPr>
        <w:t>1. Una entidad sometida EGAP, ¿puede hacer uniones temporales con particulares (privados) para ejecutar proyectos?</w:t>
      </w:r>
    </w:p>
    <w:p w14:paraId="7D67EAB2" w14:textId="6387A9F7" w:rsidR="00A33387" w:rsidRDefault="006730E9" w:rsidP="00871B59">
      <w:pPr>
        <w:spacing w:after="0" w:line="240" w:lineRule="auto"/>
        <w:ind w:left="709" w:right="709"/>
        <w:jc w:val="both"/>
        <w:rPr>
          <w:rFonts w:ascii="Verdana" w:hAnsi="Verdana" w:cs="Arial"/>
          <w:sz w:val="20"/>
          <w:szCs w:val="20"/>
          <w:shd w:val="clear" w:color="auto" w:fill="FFFFFF"/>
        </w:rPr>
      </w:pPr>
      <w:r w:rsidRPr="006730E9">
        <w:rPr>
          <w:rFonts w:ascii="Verdana" w:hAnsi="Verdana" w:cs="Arial"/>
          <w:sz w:val="20"/>
          <w:szCs w:val="20"/>
          <w:shd w:val="clear" w:color="auto" w:fill="FFFFFF"/>
        </w:rPr>
        <w:lastRenderedPageBreak/>
        <w:t xml:space="preserve">2. ¿Una entidad sometida EGAP, puede hacer uniones temporales con particulares (privados) para postularse a convocatorias? </w:t>
      </w:r>
    </w:p>
    <w:p w14:paraId="20C5E8FB" w14:textId="77777777" w:rsidR="00A33387" w:rsidRDefault="006730E9" w:rsidP="00871B59">
      <w:pPr>
        <w:spacing w:after="0" w:line="240" w:lineRule="auto"/>
        <w:ind w:left="709" w:right="709"/>
        <w:jc w:val="both"/>
        <w:rPr>
          <w:rFonts w:ascii="Verdana" w:hAnsi="Verdana" w:cs="Arial"/>
          <w:sz w:val="20"/>
          <w:szCs w:val="20"/>
          <w:shd w:val="clear" w:color="auto" w:fill="FFFFFF"/>
        </w:rPr>
      </w:pPr>
      <w:r w:rsidRPr="006730E9">
        <w:rPr>
          <w:rFonts w:ascii="Verdana" w:hAnsi="Verdana" w:cs="Arial"/>
          <w:sz w:val="20"/>
          <w:szCs w:val="20"/>
          <w:shd w:val="clear" w:color="auto" w:fill="FFFFFF"/>
        </w:rPr>
        <w:t xml:space="preserve">3. Una entidad sometida EGAP que pretende realizar una unión temporal con un particular (privado), ¿qué modalidad y tipología contractual puede utilizar para escoger ese aliado? </w:t>
      </w:r>
    </w:p>
    <w:p w14:paraId="1006183E" w14:textId="16A3B0E4" w:rsidR="00871B59" w:rsidRPr="006730E9" w:rsidRDefault="006730E9" w:rsidP="00871B59">
      <w:pPr>
        <w:spacing w:after="0" w:line="240" w:lineRule="auto"/>
        <w:ind w:left="709" w:right="709"/>
        <w:jc w:val="both"/>
        <w:rPr>
          <w:rFonts w:ascii="Verdana" w:eastAsia="Century Gothic" w:hAnsi="Verdana" w:cs="Century Gothic"/>
          <w:sz w:val="20"/>
          <w:szCs w:val="20"/>
          <w:lang w:val="es-ES"/>
        </w:rPr>
      </w:pPr>
      <w:r w:rsidRPr="006730E9">
        <w:rPr>
          <w:rFonts w:ascii="Verdana" w:hAnsi="Verdana" w:cs="Arial"/>
          <w:sz w:val="20"/>
          <w:szCs w:val="20"/>
          <w:shd w:val="clear" w:color="auto" w:fill="FFFFFF"/>
        </w:rPr>
        <w:t>4. ¿Una entidad sometida EGAP, puede seleccionar de manera directa el particular (privado) con el que pretende hacer la unión temporal?:</w:t>
      </w:r>
      <w:r w:rsidRPr="006730E9">
        <w:rPr>
          <w:rFonts w:ascii="Verdana" w:hAnsi="Verdana" w:cs="Arial"/>
          <w:sz w:val="20"/>
          <w:szCs w:val="20"/>
          <w:shd w:val="clear" w:color="auto" w:fill="FFFFFF"/>
          <w:lang w:val="es-ES"/>
        </w:rPr>
        <w:t xml:space="preserve"> </w:t>
      </w:r>
      <w:r w:rsidR="00871B59" w:rsidRPr="006730E9">
        <w:rPr>
          <w:rStyle w:val="normaltextrun"/>
          <w:rFonts w:ascii="Verdana" w:hAnsi="Verdana" w:cs="Arial"/>
          <w:sz w:val="20"/>
          <w:szCs w:val="20"/>
          <w:shd w:val="clear" w:color="auto" w:fill="FFFFFF"/>
          <w:lang w:val="es-ES"/>
        </w:rPr>
        <w:t>[…]</w:t>
      </w:r>
      <w:r w:rsidR="00871B59" w:rsidRPr="006730E9">
        <w:rPr>
          <w:rFonts w:ascii="Verdana" w:eastAsia="Century Gothic" w:hAnsi="Verdana" w:cs="Century Gothic"/>
          <w:sz w:val="20"/>
          <w:szCs w:val="20"/>
          <w:lang w:val="es-ES"/>
        </w:rPr>
        <w:t>”</w:t>
      </w:r>
      <w:bookmarkEnd w:id="0"/>
      <w:r w:rsidR="00871B59" w:rsidRPr="006730E9">
        <w:rPr>
          <w:rFonts w:ascii="Verdana" w:eastAsia="Century Gothic" w:hAnsi="Verdana" w:cs="Century Gothic"/>
          <w:sz w:val="20"/>
          <w:szCs w:val="20"/>
          <w:lang w:val="es-ES"/>
        </w:rPr>
        <w:t>.</w:t>
      </w:r>
    </w:p>
    <w:p w14:paraId="54DCAD4E" w14:textId="77777777" w:rsidR="00871B59" w:rsidRPr="006730E9" w:rsidRDefault="00871B59" w:rsidP="00871B59">
      <w:pPr>
        <w:pStyle w:val="Prrafodelista"/>
        <w:tabs>
          <w:tab w:val="left" w:pos="142"/>
          <w:tab w:val="left" w:pos="284"/>
        </w:tabs>
        <w:spacing w:line="276" w:lineRule="auto"/>
        <w:ind w:left="0"/>
        <w:jc w:val="both"/>
        <w:rPr>
          <w:rFonts w:ascii="Verdana" w:eastAsia="Century Gothic" w:hAnsi="Verdana" w:cs="Century Gothic"/>
          <w:b/>
          <w:bCs/>
          <w:lang w:val="es-ES"/>
        </w:rPr>
      </w:pPr>
    </w:p>
    <w:p w14:paraId="30F17EAD" w14:textId="77777777" w:rsidR="00871B59" w:rsidRDefault="00871B59" w:rsidP="00871B59">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3B95778F" w14:textId="0C90C4D9" w:rsidR="00871B59" w:rsidRDefault="00871B59" w:rsidP="00871B5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sidR="008F4FD8">
        <w:rPr>
          <w:rFonts w:ascii="Verdana" w:eastAsia="Calibri" w:hAnsi="Verdana" w:cs="Arial"/>
          <w:color w:val="000000"/>
          <w:lang w:val="es-ES" w:eastAsia="es-ES"/>
        </w:rPr>
        <w:t>los</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s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s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70187214" w14:textId="77777777" w:rsidR="00871B59" w:rsidRPr="00593A5F" w:rsidRDefault="00871B59" w:rsidP="00871B59">
      <w:pPr>
        <w:spacing w:after="0" w:line="276" w:lineRule="auto"/>
        <w:ind w:firstLine="709"/>
        <w:jc w:val="both"/>
        <w:rPr>
          <w:rFonts w:ascii="Verdana" w:eastAsia="Calibri" w:hAnsi="Verdana" w:cs="Arial"/>
          <w:color w:val="000000"/>
          <w:lang w:val="es-ES" w:eastAsia="es-ES"/>
        </w:rPr>
      </w:pPr>
    </w:p>
    <w:p w14:paraId="74DD4DE4" w14:textId="77777777" w:rsidR="00871B59" w:rsidRPr="00593A5F" w:rsidRDefault="00871B59" w:rsidP="00871B59">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593A5F">
        <w:rPr>
          <w:rFonts w:ascii="Verdana" w:eastAsia="Century Gothic" w:hAnsi="Verdana" w:cs="Century Gothic"/>
          <w:b/>
          <w:bCs/>
          <w:lang w:val="es-ES"/>
        </w:rPr>
        <w:t>Problema planteado:</w:t>
      </w:r>
    </w:p>
    <w:p w14:paraId="690221EE" w14:textId="77777777" w:rsidR="00871B59" w:rsidRPr="00593A5F" w:rsidRDefault="00871B59" w:rsidP="00871B59">
      <w:pPr>
        <w:tabs>
          <w:tab w:val="left" w:pos="426"/>
        </w:tabs>
        <w:spacing w:after="0" w:line="276" w:lineRule="auto"/>
        <w:jc w:val="both"/>
        <w:rPr>
          <w:rFonts w:ascii="Verdana" w:eastAsia="Century Gothic" w:hAnsi="Verdana" w:cs="Century Gothic"/>
          <w:lang w:val="es-ES"/>
        </w:rPr>
      </w:pPr>
    </w:p>
    <w:p w14:paraId="11DC9C47" w14:textId="7CE5857E" w:rsidR="00871B59" w:rsidRPr="00593A5F" w:rsidRDefault="00871B59" w:rsidP="00871B59">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 xml:space="preserve">su solicitud, esta Agencia resolverá </w:t>
      </w:r>
      <w:r w:rsidR="009D35D4" w:rsidRPr="00593A5F">
        <w:rPr>
          <w:rFonts w:ascii="Verdana" w:eastAsia="Century Gothic" w:hAnsi="Verdana" w:cs="Century Gothic"/>
        </w:rPr>
        <w:t>los</w:t>
      </w:r>
      <w:r w:rsidRPr="00593A5F">
        <w:rPr>
          <w:rFonts w:ascii="Verdana" w:eastAsia="Century Gothic" w:hAnsi="Verdana" w:cs="Century Gothic"/>
        </w:rPr>
        <w:t xml:space="preserve"> siguiente</w:t>
      </w:r>
      <w:r w:rsidR="009D35D4">
        <w:rPr>
          <w:rFonts w:ascii="Verdana" w:eastAsia="Century Gothic" w:hAnsi="Verdana" w:cs="Century Gothic"/>
        </w:rPr>
        <w:t xml:space="preserve">s </w:t>
      </w:r>
      <w:r w:rsidR="009D35D4" w:rsidRPr="00593A5F">
        <w:rPr>
          <w:rFonts w:ascii="Verdana" w:eastAsia="Century Gothic" w:hAnsi="Verdana" w:cs="Century Gothic"/>
        </w:rPr>
        <w:t>problemas jurídicos</w:t>
      </w:r>
      <w:r w:rsidRPr="00593A5F">
        <w:rPr>
          <w:rFonts w:ascii="Verdana" w:eastAsia="Century Gothic" w:hAnsi="Verdana" w:cs="Century Gothic"/>
        </w:rPr>
        <w:t xml:space="preserve">: </w:t>
      </w:r>
      <w:r w:rsidRPr="009D35D4">
        <w:rPr>
          <w:rFonts w:ascii="Verdana" w:eastAsia="Century Gothic" w:hAnsi="Verdana" w:cs="Century Gothic"/>
        </w:rPr>
        <w:t>¿</w:t>
      </w:r>
      <w:r w:rsidR="009D35D4" w:rsidRPr="009D35D4">
        <w:rPr>
          <w:rFonts w:ascii="Verdana" w:eastAsia="Century Gothic" w:hAnsi="Verdana" w:cs="Century Gothic"/>
        </w:rPr>
        <w:t xml:space="preserve">Es posible que </w:t>
      </w:r>
      <w:r w:rsidRPr="009D35D4">
        <w:rPr>
          <w:rFonts w:ascii="Verdana" w:eastAsia="Century Gothic" w:hAnsi="Verdana" w:cs="Century Gothic"/>
        </w:rPr>
        <w:t xml:space="preserve">las </w:t>
      </w:r>
      <w:r w:rsidR="009D35D4" w:rsidRPr="009D35D4">
        <w:rPr>
          <w:rFonts w:ascii="Verdana" w:eastAsia="Century Gothic" w:hAnsi="Verdana" w:cs="Century Gothic"/>
        </w:rPr>
        <w:t xml:space="preserve">entidades públicas puedan </w:t>
      </w:r>
      <w:r w:rsidR="00D6347D">
        <w:rPr>
          <w:rFonts w:ascii="Verdana" w:eastAsia="Century Gothic" w:hAnsi="Verdana" w:cs="Century Gothic"/>
        </w:rPr>
        <w:t>efectuar uniones temporales</w:t>
      </w:r>
      <w:r w:rsidR="009D35D4" w:rsidRPr="009D35D4">
        <w:rPr>
          <w:rFonts w:ascii="Verdana" w:eastAsia="Century Gothic" w:hAnsi="Verdana" w:cs="Century Gothic"/>
        </w:rPr>
        <w:t xml:space="preserve"> con particulares para la ejecución de proyectos</w:t>
      </w:r>
      <w:r w:rsidRPr="009D35D4">
        <w:rPr>
          <w:rFonts w:ascii="Verdana" w:eastAsia="Century Gothic" w:hAnsi="Verdana" w:cs="Century Gothic"/>
        </w:rPr>
        <w:t xml:space="preserve">? </w:t>
      </w:r>
      <w:r w:rsidR="009D35D4" w:rsidRPr="009D35D4">
        <w:rPr>
          <w:rFonts w:ascii="Verdana" w:eastAsia="Century Gothic" w:hAnsi="Verdana" w:cs="Century Gothic"/>
        </w:rPr>
        <w:t xml:space="preserve">y ¿cuál es el mecanismo y procedimiento legal para adelantar dichas </w:t>
      </w:r>
      <w:r w:rsidR="00D6347D">
        <w:rPr>
          <w:rFonts w:ascii="Verdana" w:eastAsia="Century Gothic" w:hAnsi="Verdana" w:cs="Century Gothic"/>
        </w:rPr>
        <w:t>uniones temporales</w:t>
      </w:r>
      <w:r w:rsidR="009D35D4" w:rsidRPr="009D35D4">
        <w:rPr>
          <w:rFonts w:ascii="Verdana" w:eastAsia="Century Gothic" w:hAnsi="Verdana" w:cs="Century Gothic"/>
        </w:rPr>
        <w:t>?</w:t>
      </w:r>
    </w:p>
    <w:p w14:paraId="57640A16" w14:textId="77777777" w:rsidR="00871B59" w:rsidRDefault="00871B59" w:rsidP="00871B59">
      <w:pPr>
        <w:spacing w:after="0" w:line="276" w:lineRule="auto"/>
        <w:jc w:val="both"/>
        <w:rPr>
          <w:rFonts w:ascii="Verdana" w:eastAsia="Calibri" w:hAnsi="Verdana" w:cs="Arial"/>
          <w:color w:val="7030A0"/>
          <w:lang w:val="es-ES"/>
        </w:rPr>
      </w:pPr>
    </w:p>
    <w:p w14:paraId="532A8893" w14:textId="77777777" w:rsidR="0057162E" w:rsidRDefault="0057162E" w:rsidP="00871B59">
      <w:pPr>
        <w:spacing w:after="0" w:line="276" w:lineRule="auto"/>
        <w:jc w:val="both"/>
        <w:rPr>
          <w:rFonts w:ascii="Verdana" w:eastAsia="Calibri" w:hAnsi="Verdana" w:cs="Arial"/>
          <w:color w:val="7030A0"/>
          <w:lang w:val="es-ES"/>
        </w:rPr>
      </w:pPr>
    </w:p>
    <w:p w14:paraId="52BD559D" w14:textId="77777777" w:rsidR="0057162E" w:rsidRPr="00593A5F" w:rsidRDefault="0057162E" w:rsidP="00871B59">
      <w:pPr>
        <w:spacing w:after="0" w:line="276" w:lineRule="auto"/>
        <w:jc w:val="both"/>
        <w:rPr>
          <w:rFonts w:ascii="Verdana" w:eastAsia="Calibri" w:hAnsi="Verdana" w:cs="Arial"/>
          <w:color w:val="7030A0"/>
          <w:lang w:val="es-ES"/>
        </w:rPr>
      </w:pPr>
    </w:p>
    <w:p w14:paraId="33E3D3F8"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Respuesta:</w:t>
      </w:r>
    </w:p>
    <w:p w14:paraId="4647B31A"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1B59" w:rsidRPr="00593A5F" w14:paraId="14984B9D" w14:textId="77777777" w:rsidTr="002607A7">
        <w:tc>
          <w:tcPr>
            <w:tcW w:w="8828" w:type="dxa"/>
            <w:shd w:val="clear" w:color="auto" w:fill="auto"/>
          </w:tcPr>
          <w:p w14:paraId="47DBDBA3" w14:textId="2905EF8B" w:rsidR="00871B59" w:rsidRDefault="002973E9" w:rsidP="002607A7">
            <w:pPr>
              <w:spacing w:line="276" w:lineRule="auto"/>
              <w:jc w:val="both"/>
              <w:rPr>
                <w:rFonts w:ascii="Verdana" w:eastAsia="Calibri" w:hAnsi="Verdana" w:cs="Arial"/>
                <w:color w:val="7030A0"/>
                <w:lang w:val="es-ES"/>
              </w:rPr>
            </w:pPr>
            <w:r w:rsidRPr="002973E9">
              <w:rPr>
                <w:rFonts w:ascii="Verdana" w:eastAsia="Calibri" w:hAnsi="Verdana" w:cs="Arial"/>
                <w:lang w:val="es-ES"/>
              </w:rPr>
              <w:t xml:space="preserve">Una o varias entidades estatales, obrando en cumplimiento de </w:t>
            </w:r>
            <w:r w:rsidR="003503A5">
              <w:rPr>
                <w:rFonts w:ascii="Verdana" w:eastAsia="Calibri" w:hAnsi="Verdana" w:cs="Arial"/>
                <w:lang w:val="es-ES"/>
              </w:rPr>
              <w:t>objeto</w:t>
            </w:r>
            <w:r w:rsidRPr="002973E9">
              <w:rPr>
                <w:rFonts w:ascii="Verdana" w:eastAsia="Calibri" w:hAnsi="Verdana" w:cs="Arial"/>
                <w:lang w:val="es-ES"/>
              </w:rPr>
              <w:t xml:space="preserve"> </w:t>
            </w:r>
            <w:r w:rsidR="00861BA6" w:rsidRPr="002973E9">
              <w:rPr>
                <w:rFonts w:ascii="Verdana" w:eastAsia="Calibri" w:hAnsi="Verdana" w:cs="Arial"/>
                <w:lang w:val="es-ES"/>
              </w:rPr>
              <w:t>mision</w:t>
            </w:r>
            <w:r w:rsidR="00861BA6">
              <w:rPr>
                <w:rFonts w:ascii="Verdana" w:eastAsia="Calibri" w:hAnsi="Verdana" w:cs="Arial"/>
                <w:lang w:val="es-ES"/>
              </w:rPr>
              <w:t>al</w:t>
            </w:r>
            <w:r w:rsidRPr="002973E9">
              <w:rPr>
                <w:rFonts w:ascii="Verdana" w:eastAsia="Calibri" w:hAnsi="Verdana" w:cs="Arial"/>
                <w:lang w:val="es-ES"/>
              </w:rPr>
              <w:t xml:space="preserve"> y dentro de los fines del Estado, pueden celebrar acuerdos consorciales o de unión temporal con sociedades privadas para presentar una propuesta en una licitación y celebrar un contrato con otra entidad estatal</w:t>
            </w:r>
            <w:r w:rsidR="00871B59" w:rsidRPr="004F62E8">
              <w:rPr>
                <w:rFonts w:ascii="Verdana" w:eastAsia="Calibri" w:hAnsi="Verdana" w:cs="Arial"/>
                <w:color w:val="7030A0"/>
                <w:lang w:val="es-ES"/>
              </w:rPr>
              <w:t>.</w:t>
            </w:r>
            <w:r w:rsidR="00871B59" w:rsidRPr="00593A5F">
              <w:rPr>
                <w:rFonts w:ascii="Verdana" w:eastAsia="Calibri" w:hAnsi="Verdana" w:cs="Arial"/>
                <w:color w:val="7030A0"/>
                <w:lang w:val="es-ES"/>
              </w:rPr>
              <w:t xml:space="preserve"> </w:t>
            </w:r>
          </w:p>
          <w:p w14:paraId="5CC7431D" w14:textId="77777777" w:rsidR="00861BA6" w:rsidRDefault="00861BA6" w:rsidP="002607A7">
            <w:pPr>
              <w:spacing w:line="276" w:lineRule="auto"/>
              <w:jc w:val="both"/>
              <w:rPr>
                <w:rFonts w:ascii="Verdana" w:eastAsia="Calibri" w:hAnsi="Verdana" w:cs="Arial"/>
                <w:color w:val="7030A0"/>
                <w:lang w:val="es-ES"/>
              </w:rPr>
            </w:pPr>
          </w:p>
          <w:p w14:paraId="47AEB666" w14:textId="2EDD6610" w:rsidR="002973E9" w:rsidRPr="00593A5F" w:rsidRDefault="00861BA6" w:rsidP="00EB5468">
            <w:pPr>
              <w:spacing w:line="276" w:lineRule="auto"/>
              <w:jc w:val="both"/>
              <w:rPr>
                <w:rFonts w:ascii="Verdana" w:eastAsia="Calibri" w:hAnsi="Verdana" w:cs="Arial"/>
                <w:color w:val="7030A0"/>
                <w:lang w:val="es-ES"/>
              </w:rPr>
            </w:pPr>
            <w:r w:rsidRPr="00861BA6">
              <w:rPr>
                <w:rFonts w:ascii="Verdana" w:eastAsia="Calibri" w:hAnsi="Verdana" w:cs="Arial"/>
                <w:lang w:val="es-ES"/>
              </w:rPr>
              <w:t>Es importante tener en cuenta que la constitución de una unión temporal debe cumplir con todos los requisitos legales establecidos en la Ley 80 de 1993 y el Decreto 1082 de 2015.</w:t>
            </w:r>
          </w:p>
        </w:tc>
      </w:tr>
      <w:tr w:rsidR="002973E9" w:rsidRPr="00593A5F" w14:paraId="2D31D686" w14:textId="77777777" w:rsidTr="002607A7">
        <w:tc>
          <w:tcPr>
            <w:tcW w:w="8828" w:type="dxa"/>
            <w:shd w:val="clear" w:color="auto" w:fill="auto"/>
          </w:tcPr>
          <w:p w14:paraId="212540C0" w14:textId="77777777" w:rsidR="002973E9" w:rsidRPr="002973E9" w:rsidRDefault="002973E9" w:rsidP="002607A7">
            <w:pPr>
              <w:spacing w:line="276" w:lineRule="auto"/>
              <w:jc w:val="both"/>
              <w:rPr>
                <w:rFonts w:ascii="Verdana" w:eastAsia="Calibri" w:hAnsi="Verdana" w:cs="Arial"/>
                <w:lang w:val="es-ES"/>
              </w:rPr>
            </w:pPr>
          </w:p>
        </w:tc>
      </w:tr>
    </w:tbl>
    <w:p w14:paraId="3199705F"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p w14:paraId="6678B80A"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Razones de la respuesta:</w:t>
      </w:r>
    </w:p>
    <w:p w14:paraId="40393512" w14:textId="77777777" w:rsidR="00871B59" w:rsidRPr="00593A5F" w:rsidRDefault="00871B59" w:rsidP="00871B59">
      <w:pPr>
        <w:spacing w:after="0" w:line="276" w:lineRule="auto"/>
        <w:jc w:val="both"/>
        <w:rPr>
          <w:rFonts w:ascii="Verdana" w:eastAsia="Calibri" w:hAnsi="Verdana" w:cs="Arial"/>
          <w:color w:val="7030A0"/>
          <w:lang w:val="es-ES"/>
        </w:rPr>
      </w:pPr>
    </w:p>
    <w:p w14:paraId="6DB5BA6B" w14:textId="77777777" w:rsidR="00871B59" w:rsidRPr="00B96799" w:rsidRDefault="00871B59" w:rsidP="00871B59">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6FBD94A1" w14:textId="77777777" w:rsidR="00871B59" w:rsidRPr="00593A5F" w:rsidRDefault="00871B59" w:rsidP="00871B59">
      <w:pPr>
        <w:spacing w:after="0" w:line="276" w:lineRule="auto"/>
        <w:jc w:val="both"/>
        <w:rPr>
          <w:rFonts w:ascii="Verdana" w:eastAsia="Calibri" w:hAnsi="Verdana" w:cs="Arial"/>
          <w:color w:val="7030A0"/>
          <w:lang w:val="es-ES"/>
        </w:rPr>
      </w:pPr>
    </w:p>
    <w:p w14:paraId="6947940F" w14:textId="77777777" w:rsidR="00A6400B" w:rsidRDefault="00FE05FF" w:rsidP="00A6400B">
      <w:pPr>
        <w:pStyle w:val="Prrafodelista"/>
        <w:numPr>
          <w:ilvl w:val="0"/>
          <w:numId w:val="7"/>
        </w:numPr>
        <w:spacing w:after="0" w:line="276" w:lineRule="auto"/>
        <w:jc w:val="both"/>
        <w:rPr>
          <w:rFonts w:ascii="Verdana" w:eastAsia="Calibri" w:hAnsi="Verdana" w:cs="Arial"/>
          <w:lang w:val="es-ES"/>
        </w:rPr>
      </w:pPr>
      <w:r w:rsidRPr="00FE05FF">
        <w:rPr>
          <w:rFonts w:ascii="Verdana" w:eastAsia="Calibri" w:hAnsi="Verdana" w:cs="Arial"/>
          <w:lang w:val="es-ES"/>
        </w:rPr>
        <w:t xml:space="preserve">Los consorcios y las uniones temporales son formas de compartir riesgos entre personas naturales o jurídicas, a las cuales el artículo 6° de la </w:t>
      </w:r>
      <w:r>
        <w:rPr>
          <w:rFonts w:ascii="Verdana" w:eastAsia="Calibri" w:hAnsi="Verdana" w:cs="Arial"/>
          <w:lang w:val="es-ES"/>
        </w:rPr>
        <w:t>L</w:t>
      </w:r>
      <w:r w:rsidRPr="00FE05FF">
        <w:rPr>
          <w:rFonts w:ascii="Verdana" w:eastAsia="Calibri" w:hAnsi="Verdana" w:cs="Arial"/>
          <w:lang w:val="es-ES"/>
        </w:rPr>
        <w:t>ey 80 de 1993, les confirió capacidad para contratar con las entidades públicas.</w:t>
      </w:r>
    </w:p>
    <w:p w14:paraId="1F759B5F" w14:textId="77777777" w:rsidR="00A6400B" w:rsidRDefault="00A6400B" w:rsidP="00A6400B">
      <w:pPr>
        <w:pStyle w:val="Prrafodelista"/>
        <w:spacing w:after="0" w:line="276" w:lineRule="auto"/>
        <w:jc w:val="both"/>
        <w:rPr>
          <w:rFonts w:ascii="Verdana" w:eastAsia="Calibri" w:hAnsi="Verdana" w:cs="Arial"/>
          <w:lang w:val="es-ES"/>
        </w:rPr>
      </w:pPr>
    </w:p>
    <w:p w14:paraId="0EEEEE93" w14:textId="05D4AE26" w:rsidR="00871B59" w:rsidRPr="00A6400B" w:rsidRDefault="00A6400B" w:rsidP="00A6400B">
      <w:pPr>
        <w:pStyle w:val="Prrafodelista"/>
        <w:numPr>
          <w:ilvl w:val="0"/>
          <w:numId w:val="7"/>
        </w:numPr>
        <w:spacing w:after="0" w:line="276" w:lineRule="auto"/>
        <w:jc w:val="both"/>
        <w:rPr>
          <w:rFonts w:ascii="Verdana" w:eastAsia="Calibri" w:hAnsi="Verdana" w:cs="Arial"/>
          <w:i/>
          <w:iCs/>
          <w:lang w:val="es-ES"/>
        </w:rPr>
      </w:pPr>
      <w:r w:rsidRPr="00A6400B">
        <w:rPr>
          <w:rFonts w:ascii="Verdana" w:eastAsia="Calibri" w:hAnsi="Verdana" w:cs="Arial"/>
          <w:lang w:val="es-ES"/>
        </w:rPr>
        <w:t xml:space="preserve">La regulación de las dos figuras para la presentación de propuestas en las convocatorias públicas de contratación y la celebración de contratos con las entidades estatales quedó consignada en el artículo 7° de la </w:t>
      </w:r>
      <w:r w:rsidR="000E1DED">
        <w:rPr>
          <w:rFonts w:ascii="Verdana" w:eastAsia="Calibri" w:hAnsi="Verdana" w:cs="Arial"/>
          <w:lang w:val="es-ES"/>
        </w:rPr>
        <w:t>L</w:t>
      </w:r>
      <w:r w:rsidRPr="00A6400B">
        <w:rPr>
          <w:rFonts w:ascii="Verdana" w:eastAsia="Calibri" w:hAnsi="Verdana" w:cs="Arial"/>
          <w:lang w:val="es-ES"/>
        </w:rPr>
        <w:t>ey 80</w:t>
      </w:r>
      <w:r w:rsidR="000E1DED">
        <w:rPr>
          <w:rFonts w:ascii="Verdana" w:eastAsia="Calibri" w:hAnsi="Verdana" w:cs="Arial"/>
          <w:lang w:val="es-ES"/>
        </w:rPr>
        <w:t xml:space="preserve"> de 1993</w:t>
      </w:r>
      <w:r w:rsidRPr="00A6400B">
        <w:rPr>
          <w:rFonts w:ascii="Verdana" w:eastAsia="Calibri" w:hAnsi="Verdana" w:cs="Arial"/>
          <w:lang w:val="es-ES"/>
        </w:rPr>
        <w:t xml:space="preserve"> en los siguientes términos:</w:t>
      </w:r>
      <w:r>
        <w:rPr>
          <w:rFonts w:ascii="Verdana" w:eastAsia="Calibri" w:hAnsi="Verdana" w:cs="Arial"/>
          <w:lang w:val="es-ES"/>
        </w:rPr>
        <w:t xml:space="preserve"> </w:t>
      </w:r>
      <w:r w:rsidRPr="00A6400B">
        <w:rPr>
          <w:rFonts w:ascii="Verdana" w:eastAsia="Calibri" w:hAnsi="Verdana" w:cs="Arial"/>
          <w:i/>
          <w:iCs/>
          <w:lang w:val="es-ES"/>
        </w:rPr>
        <w:t xml:space="preserve">"Artículo 7.- De los consorcios y uniones </w:t>
      </w:r>
      <w:proofErr w:type="gramStart"/>
      <w:r w:rsidRPr="00A6400B">
        <w:rPr>
          <w:rFonts w:ascii="Verdana" w:eastAsia="Calibri" w:hAnsi="Verdana" w:cs="Arial"/>
          <w:i/>
          <w:iCs/>
          <w:lang w:val="es-ES"/>
        </w:rPr>
        <w:t>temporales.-</w:t>
      </w:r>
      <w:proofErr w:type="gramEnd"/>
      <w:r w:rsidRPr="00A6400B">
        <w:rPr>
          <w:rFonts w:ascii="Verdana" w:eastAsia="Calibri" w:hAnsi="Verdana" w:cs="Arial"/>
          <w:i/>
          <w:iCs/>
          <w:lang w:val="es-ES"/>
        </w:rPr>
        <w:t xml:space="preserve"> Para los efectos de esta ley se entiende por</w:t>
      </w:r>
      <w:r w:rsidRPr="00A6400B">
        <w:rPr>
          <w:rFonts w:ascii="Verdana" w:eastAsia="Calibri" w:hAnsi="Verdana" w:cs="Arial"/>
          <w:lang w:val="es-ES"/>
        </w:rPr>
        <w:t xml:space="preserve">: </w:t>
      </w:r>
      <w:r w:rsidRPr="00A6400B">
        <w:rPr>
          <w:rFonts w:ascii="Verdana" w:eastAsia="Calibri" w:hAnsi="Verdana" w:cs="Arial"/>
          <w:i/>
          <w:iCs/>
          <w:lang w:val="es-ES"/>
        </w:rPr>
        <w:t xml:space="preserve">(…) </w:t>
      </w:r>
      <w:r w:rsidRPr="00A6400B">
        <w:rPr>
          <w:rFonts w:ascii="Verdana" w:eastAsia="Calibri" w:hAnsi="Verdana" w:cs="Arial"/>
          <w:i/>
          <w:iCs/>
        </w:rPr>
        <w:t xml:space="preserve">2. Unión temporal: Cuando dos o más personas en forma conjunta presentan una misma propuesta para la adjudicación, celebración y ejecución de un contrato, respondiendo solidariamente por el cumplimiento total de la propuesta y del objeto contratado, pero las sanciones por el incumplimiento de las obligaciones derivadas de la propuesta y del </w:t>
      </w:r>
      <w:r w:rsidRPr="00A6400B">
        <w:rPr>
          <w:rFonts w:ascii="Verdana" w:eastAsia="Calibri" w:hAnsi="Verdana" w:cs="Arial"/>
          <w:i/>
          <w:iCs/>
        </w:rPr>
        <w:lastRenderedPageBreak/>
        <w:t>contrato se impondrán de acuerdo con la participación en la ejecución de cada uno de los miembros de la unión temporal</w:t>
      </w:r>
      <w:r w:rsidR="0057162E">
        <w:rPr>
          <w:rFonts w:ascii="Verdana" w:eastAsia="Calibri" w:hAnsi="Verdana" w:cs="Arial"/>
          <w:i/>
          <w:iCs/>
        </w:rPr>
        <w:t>.</w:t>
      </w:r>
    </w:p>
    <w:p w14:paraId="52CB01E7" w14:textId="77777777" w:rsidR="00A6400B" w:rsidRPr="00A6400B" w:rsidRDefault="00A6400B" w:rsidP="00A6400B">
      <w:pPr>
        <w:pStyle w:val="Prrafodelista"/>
        <w:rPr>
          <w:rFonts w:ascii="Verdana" w:eastAsia="Calibri" w:hAnsi="Verdana" w:cs="Arial"/>
          <w:i/>
          <w:iCs/>
          <w:lang w:val="es-ES"/>
        </w:rPr>
      </w:pPr>
    </w:p>
    <w:p w14:paraId="1AFFD10D" w14:textId="77777777" w:rsidR="00080C86" w:rsidRPr="00080C86" w:rsidRDefault="00080C86" w:rsidP="00080C86">
      <w:pPr>
        <w:pStyle w:val="Prrafodelista"/>
        <w:spacing w:after="0" w:line="276" w:lineRule="auto"/>
        <w:jc w:val="both"/>
        <w:rPr>
          <w:rFonts w:ascii="Verdana" w:eastAsia="Calibri" w:hAnsi="Verdana" w:cs="Arial"/>
          <w:i/>
          <w:iCs/>
        </w:rPr>
      </w:pPr>
      <w:r w:rsidRPr="00080C86">
        <w:rPr>
          <w:rFonts w:ascii="Verdana" w:eastAsia="Calibri" w:hAnsi="Verdana" w:cs="Arial"/>
          <w:i/>
          <w:iCs/>
        </w:rPr>
        <w:t>Parágrafo 1</w:t>
      </w:r>
      <w:proofErr w:type="gramStart"/>
      <w:r w:rsidRPr="00080C86">
        <w:rPr>
          <w:rFonts w:ascii="Verdana" w:eastAsia="Calibri" w:hAnsi="Verdana" w:cs="Arial"/>
          <w:i/>
          <w:iCs/>
        </w:rPr>
        <w:t>°.-</w:t>
      </w:r>
      <w:proofErr w:type="gramEnd"/>
      <w:r w:rsidRPr="00080C86">
        <w:rPr>
          <w:rFonts w:ascii="Verdana" w:eastAsia="Calibri" w:hAnsi="Verdana" w:cs="Arial"/>
          <w:i/>
          <w:iCs/>
        </w:rPr>
        <w:t xml:space="preserve"> Los proponentes indicarán si su participación es a título de consorcio o unión temporal y, en este último caso, señalarán los términos y extensión de la participación en la propuesta y en su ejecución, los cuales no podrán ser modificados sin el consentimiento previo de la entidad estatal contratante.</w:t>
      </w:r>
    </w:p>
    <w:p w14:paraId="676E03B1" w14:textId="77777777" w:rsidR="00080C86" w:rsidRDefault="00080C86" w:rsidP="00080C86">
      <w:pPr>
        <w:pStyle w:val="Prrafodelista"/>
        <w:spacing w:after="0" w:line="276" w:lineRule="auto"/>
        <w:jc w:val="both"/>
        <w:rPr>
          <w:rFonts w:ascii="Verdana" w:eastAsia="Calibri" w:hAnsi="Verdana" w:cs="Arial"/>
          <w:i/>
          <w:iCs/>
        </w:rPr>
      </w:pPr>
    </w:p>
    <w:p w14:paraId="2BF37E1C" w14:textId="77777777" w:rsidR="00080C86" w:rsidRDefault="00080C86" w:rsidP="00080C86">
      <w:pPr>
        <w:pStyle w:val="Prrafodelista"/>
        <w:spacing w:after="0" w:line="276" w:lineRule="auto"/>
        <w:jc w:val="both"/>
        <w:rPr>
          <w:rFonts w:ascii="Verdana" w:eastAsia="Calibri" w:hAnsi="Verdana" w:cs="Arial"/>
          <w:i/>
          <w:iCs/>
        </w:rPr>
      </w:pPr>
      <w:r w:rsidRPr="00080C86">
        <w:rPr>
          <w:rFonts w:ascii="Verdana" w:eastAsia="Calibri" w:hAnsi="Verdana" w:cs="Arial"/>
          <w:i/>
          <w:iCs/>
        </w:rPr>
        <w:t xml:space="preserve">Los miembros del consorcio y de la unión temporal deberán designar la persona que, para todos los efectos, representará al consorcio o unión temporal y señalarán las reglas básicas que regulen las relaciones entre ellos y su responsabilidad. </w:t>
      </w:r>
      <w:r w:rsidRPr="00A6400B">
        <w:rPr>
          <w:rFonts w:ascii="Verdana" w:eastAsia="Calibri" w:hAnsi="Verdana" w:cs="Arial"/>
          <w:i/>
          <w:iCs/>
        </w:rPr>
        <w:t>(…)</w:t>
      </w:r>
    </w:p>
    <w:p w14:paraId="3F4ED95E" w14:textId="77777777" w:rsidR="00080C86" w:rsidRDefault="00080C86" w:rsidP="00080C86">
      <w:pPr>
        <w:pStyle w:val="Prrafodelista"/>
        <w:spacing w:after="0" w:line="276" w:lineRule="auto"/>
        <w:jc w:val="both"/>
        <w:rPr>
          <w:rFonts w:ascii="Verdana" w:eastAsia="Calibri" w:hAnsi="Verdana" w:cs="Arial"/>
          <w:i/>
          <w:iCs/>
        </w:rPr>
      </w:pPr>
    </w:p>
    <w:p w14:paraId="1521F230" w14:textId="7972997F" w:rsidR="00080C86" w:rsidRDefault="00080C86" w:rsidP="00080C86">
      <w:pPr>
        <w:pStyle w:val="Prrafodelista"/>
        <w:numPr>
          <w:ilvl w:val="0"/>
          <w:numId w:val="9"/>
        </w:numPr>
        <w:spacing w:after="0" w:line="276" w:lineRule="auto"/>
        <w:ind w:left="709"/>
        <w:jc w:val="both"/>
        <w:rPr>
          <w:rFonts w:ascii="Verdana" w:eastAsia="Calibri" w:hAnsi="Verdana" w:cs="Arial"/>
        </w:rPr>
      </w:pPr>
      <w:r w:rsidRPr="00080C86">
        <w:rPr>
          <w:rFonts w:ascii="Verdana" w:eastAsia="Calibri" w:hAnsi="Verdana" w:cs="Arial"/>
        </w:rPr>
        <w:t xml:space="preserve">Como se desprende de la norma </w:t>
      </w:r>
      <w:r w:rsidR="00A27239">
        <w:rPr>
          <w:rFonts w:ascii="Verdana" w:eastAsia="Calibri" w:hAnsi="Verdana" w:cs="Arial"/>
        </w:rPr>
        <w:t>anteriormente</w:t>
      </w:r>
      <w:r w:rsidRPr="00080C86">
        <w:rPr>
          <w:rFonts w:ascii="Verdana" w:eastAsia="Calibri" w:hAnsi="Verdana" w:cs="Arial"/>
        </w:rPr>
        <w:t xml:space="preserve"> citada, en el caso de la conformación de un consorcio o una unión temporal, no hay una participación accionaria o de cuotas de interés social por parte de sus integrantes, pues éstos no configuran un capital social</w:t>
      </w:r>
      <w:r w:rsidR="00DA274D">
        <w:rPr>
          <w:rFonts w:ascii="Verdana" w:eastAsia="Calibri" w:hAnsi="Verdana" w:cs="Arial"/>
        </w:rPr>
        <w:t>,</w:t>
      </w:r>
      <w:r w:rsidRPr="00080C86">
        <w:rPr>
          <w:rFonts w:ascii="Verdana" w:eastAsia="Calibri" w:hAnsi="Verdana" w:cs="Arial"/>
        </w:rPr>
        <w:t xml:space="preserve"> sino que se unen, con su capacidad económica y técnica y su experiencia, para presentar una propuesta y celebrar un contrato con una entidad estatal, asumiendo responsabilidad solidaria ante ésta.</w:t>
      </w:r>
    </w:p>
    <w:p w14:paraId="07B91AD4" w14:textId="77777777" w:rsidR="00A27239" w:rsidRDefault="00A27239" w:rsidP="00A27239">
      <w:pPr>
        <w:pStyle w:val="Prrafodelista"/>
        <w:spacing w:after="0" w:line="276" w:lineRule="auto"/>
        <w:ind w:left="709"/>
        <w:jc w:val="both"/>
        <w:rPr>
          <w:rFonts w:ascii="Verdana" w:eastAsia="Calibri" w:hAnsi="Verdana" w:cs="Arial"/>
        </w:rPr>
      </w:pPr>
    </w:p>
    <w:p w14:paraId="6E0FA29B" w14:textId="437599C5" w:rsidR="00A27239" w:rsidRDefault="00A27239" w:rsidP="00080C86">
      <w:pPr>
        <w:pStyle w:val="Prrafodelista"/>
        <w:numPr>
          <w:ilvl w:val="0"/>
          <w:numId w:val="9"/>
        </w:numPr>
        <w:spacing w:after="0" w:line="276" w:lineRule="auto"/>
        <w:ind w:left="709"/>
        <w:jc w:val="both"/>
        <w:rPr>
          <w:rFonts w:ascii="Verdana" w:eastAsia="Calibri" w:hAnsi="Verdana" w:cs="Arial"/>
        </w:rPr>
      </w:pPr>
      <w:r>
        <w:rPr>
          <w:rFonts w:ascii="Verdana" w:eastAsia="Calibri" w:hAnsi="Verdana" w:cs="Arial"/>
        </w:rPr>
        <w:t>Ahora bien, la Sala de Consulta y Servicio Civil del Consejo de Estado en al estudiar la e</w:t>
      </w:r>
      <w:r w:rsidRPr="00A27239">
        <w:rPr>
          <w:rFonts w:ascii="Verdana" w:eastAsia="Calibri" w:hAnsi="Verdana" w:cs="Arial"/>
        </w:rPr>
        <w:t>najenación de propiedad accionaria estatal</w:t>
      </w:r>
      <w:r w:rsidR="00DA274D">
        <w:rPr>
          <w:rFonts w:ascii="Verdana" w:eastAsia="Calibri" w:hAnsi="Verdana" w:cs="Arial"/>
        </w:rPr>
        <w:t xml:space="preserve"> frente a la posibilidad de conformar uniones temporales entre entidades públicas y empresas del sector privado en concepto del 09 de octubre de 2003 estableció:</w:t>
      </w:r>
      <w:r w:rsidR="00DA274D" w:rsidRPr="00DA274D">
        <w:rPr>
          <w:rFonts w:ascii="Arial" w:hAnsi="Arial" w:cs="Arial"/>
          <w:color w:val="333333"/>
          <w:sz w:val="21"/>
          <w:szCs w:val="21"/>
          <w:shd w:val="clear" w:color="auto" w:fill="FFFFFF"/>
        </w:rPr>
        <w:t xml:space="preserve"> </w:t>
      </w:r>
      <w:r w:rsidR="00DA274D" w:rsidRPr="00DA274D">
        <w:rPr>
          <w:rFonts w:ascii="Arial" w:hAnsi="Arial" w:cs="Arial"/>
          <w:i/>
          <w:iCs/>
          <w:color w:val="333333"/>
          <w:sz w:val="21"/>
          <w:szCs w:val="21"/>
          <w:shd w:val="clear" w:color="auto" w:fill="FFFFFF"/>
        </w:rPr>
        <w:t>“</w:t>
      </w:r>
      <w:r w:rsidR="00DA274D" w:rsidRPr="00DA274D">
        <w:rPr>
          <w:rFonts w:ascii="Verdana" w:eastAsia="Calibri" w:hAnsi="Verdana" w:cs="Arial"/>
          <w:i/>
          <w:iCs/>
        </w:rPr>
        <w:t>Una o varias entidades estatales, obrando en cumplimiento de su misión y dentro de los fines del Estado, pueden celebrar acuerdos consorciales o de unión temporal con sociedades privadas para presentar una propuesta en una licitación y celebrar un contrato con otra entidad estatal”</w:t>
      </w:r>
      <w:r w:rsidR="00DA274D">
        <w:rPr>
          <w:rStyle w:val="Refdenotaalpie"/>
          <w:rFonts w:ascii="Verdana" w:eastAsia="Calibri" w:hAnsi="Verdana" w:cs="Arial"/>
          <w:i/>
          <w:iCs/>
        </w:rPr>
        <w:footnoteReference w:id="2"/>
      </w:r>
      <w:r w:rsidR="00DA274D" w:rsidRPr="00DA274D">
        <w:rPr>
          <w:rFonts w:ascii="Verdana" w:eastAsia="Calibri" w:hAnsi="Verdana" w:cs="Arial"/>
          <w:i/>
          <w:iCs/>
        </w:rPr>
        <w:t>.</w:t>
      </w:r>
    </w:p>
    <w:p w14:paraId="014163D1" w14:textId="1FC7A9CE" w:rsidR="00A27239" w:rsidRPr="00A27239" w:rsidRDefault="00A27239" w:rsidP="00A27239">
      <w:pPr>
        <w:spacing w:after="0" w:line="276" w:lineRule="auto"/>
        <w:jc w:val="both"/>
        <w:rPr>
          <w:rFonts w:ascii="Verdana" w:eastAsia="Calibri" w:hAnsi="Verdana" w:cs="Arial"/>
        </w:rPr>
      </w:pPr>
    </w:p>
    <w:p w14:paraId="5254E145" w14:textId="77777777" w:rsidR="00080C86" w:rsidRPr="00080C86" w:rsidRDefault="00080C86" w:rsidP="00080C86">
      <w:pPr>
        <w:pStyle w:val="Prrafodelista"/>
        <w:spacing w:after="0" w:line="276" w:lineRule="auto"/>
        <w:ind w:left="1440"/>
        <w:jc w:val="both"/>
        <w:rPr>
          <w:rFonts w:ascii="Verdana" w:eastAsia="Calibri" w:hAnsi="Verdana" w:cs="Arial"/>
          <w:i/>
          <w:iCs/>
        </w:rPr>
      </w:pPr>
    </w:p>
    <w:p w14:paraId="1D52F8FF" w14:textId="0B2D9BB0" w:rsidR="00080C86" w:rsidRDefault="00DA274D" w:rsidP="00080C86">
      <w:pPr>
        <w:pStyle w:val="Prrafodelista"/>
        <w:numPr>
          <w:ilvl w:val="0"/>
          <w:numId w:val="9"/>
        </w:numPr>
        <w:spacing w:after="0" w:line="276" w:lineRule="auto"/>
        <w:ind w:left="709"/>
        <w:jc w:val="both"/>
        <w:rPr>
          <w:rFonts w:ascii="Verdana" w:eastAsia="Calibri" w:hAnsi="Verdana" w:cs="Arial"/>
        </w:rPr>
      </w:pPr>
      <w:r>
        <w:rPr>
          <w:rFonts w:ascii="Verdana" w:eastAsia="Calibri" w:hAnsi="Verdana" w:cs="Arial"/>
        </w:rPr>
        <w:t xml:space="preserve">Ahora bien, en estas figuras </w:t>
      </w:r>
      <w:r w:rsidR="00B24F61">
        <w:rPr>
          <w:rFonts w:ascii="Verdana" w:eastAsia="Calibri" w:hAnsi="Verdana" w:cs="Arial"/>
        </w:rPr>
        <w:t>asociativas</w:t>
      </w:r>
      <w:r>
        <w:rPr>
          <w:rFonts w:ascii="Verdana" w:eastAsia="Calibri" w:hAnsi="Verdana" w:cs="Arial"/>
        </w:rPr>
        <w:t xml:space="preserve"> n</w:t>
      </w:r>
      <w:r w:rsidR="00080C86" w:rsidRPr="00080C86">
        <w:rPr>
          <w:rFonts w:ascii="Verdana" w:eastAsia="Calibri" w:hAnsi="Verdana" w:cs="Arial"/>
        </w:rPr>
        <w:t>o hay propiamente aportes de dinero, trabajo o bienes con la finalidad de constituir un capital común que sirva para desarrollar una actividad, por medio de un nuevo ente jurídico distinto de ellos, como sucede en la constitución de una sociedad, sino que cada uno conserva su individualidad jurídica</w:t>
      </w:r>
      <w:r w:rsidR="00080C86">
        <w:rPr>
          <w:rFonts w:ascii="Verdana" w:eastAsia="Calibri" w:hAnsi="Verdana" w:cs="Arial"/>
        </w:rPr>
        <w:t>.</w:t>
      </w:r>
    </w:p>
    <w:p w14:paraId="2A59F95A" w14:textId="77777777" w:rsidR="00080C86" w:rsidRPr="00080C86" w:rsidRDefault="00080C86" w:rsidP="00080C86">
      <w:pPr>
        <w:pStyle w:val="Prrafodelista"/>
        <w:rPr>
          <w:rFonts w:ascii="Verdana" w:eastAsia="Calibri" w:hAnsi="Verdana" w:cs="Arial"/>
        </w:rPr>
      </w:pPr>
    </w:p>
    <w:p w14:paraId="5229D840" w14:textId="59EC2FF0" w:rsidR="00080C86" w:rsidRDefault="00080C86" w:rsidP="00080C86">
      <w:pPr>
        <w:pStyle w:val="Prrafodelista"/>
        <w:numPr>
          <w:ilvl w:val="0"/>
          <w:numId w:val="9"/>
        </w:numPr>
        <w:spacing w:after="0" w:line="276" w:lineRule="auto"/>
        <w:ind w:left="709"/>
        <w:jc w:val="both"/>
        <w:rPr>
          <w:rFonts w:ascii="Verdana" w:eastAsia="Calibri" w:hAnsi="Verdana" w:cs="Arial"/>
        </w:rPr>
      </w:pPr>
      <w:r w:rsidRPr="00080C86">
        <w:rPr>
          <w:rFonts w:ascii="Verdana" w:eastAsia="Calibri" w:hAnsi="Verdana" w:cs="Arial"/>
        </w:rPr>
        <w:t>Es claro que el consorcio o la unión temporal no constituye una nueva persona jurídica y por ello es que todos sus integrantes deben suscribir tanto la propuesta como el contrato, en caso de resultar favorecidos en la licitación o concurso, independientemente de que designen una persona que represente al consorcio o la unión temporal, "para todos los efectos", como señala el parágrafo 1° del artículo 7°, pues tales agrupaciones no tienen existencia jurídica propia y por ende, cada uno de sus miembros debe obligarse directamente con su firma y marcar así su solidaridad en el compromiso que asume con los otros.</w:t>
      </w:r>
    </w:p>
    <w:p w14:paraId="3849D66F" w14:textId="77777777" w:rsidR="00C53B1E" w:rsidRPr="00C53B1E" w:rsidRDefault="00C53B1E" w:rsidP="00C53B1E">
      <w:pPr>
        <w:pStyle w:val="Prrafodelista"/>
        <w:rPr>
          <w:rFonts w:ascii="Verdana" w:eastAsia="Calibri" w:hAnsi="Verdana" w:cs="Arial"/>
        </w:rPr>
      </w:pPr>
    </w:p>
    <w:p w14:paraId="28AAB761" w14:textId="0801CEE4" w:rsidR="00C53B1E" w:rsidRDefault="00C53B1E" w:rsidP="00080C86">
      <w:pPr>
        <w:pStyle w:val="Prrafodelista"/>
        <w:numPr>
          <w:ilvl w:val="0"/>
          <w:numId w:val="9"/>
        </w:numPr>
        <w:spacing w:after="0" w:line="276" w:lineRule="auto"/>
        <w:ind w:left="709"/>
        <w:jc w:val="both"/>
        <w:rPr>
          <w:rFonts w:ascii="Verdana" w:eastAsia="Calibri" w:hAnsi="Verdana" w:cs="Arial"/>
        </w:rPr>
      </w:pPr>
      <w:r w:rsidRPr="00C53B1E">
        <w:rPr>
          <w:rFonts w:ascii="Verdana" w:eastAsia="Calibri" w:hAnsi="Verdana" w:cs="Arial"/>
        </w:rPr>
        <w:t>Por lo anterior, cabe mencionar que el contrato de constitución del consorcio o unión temporal debe designar las facultades del “representante” del ente asociado, designación que tendrá los efectos de la representación previstos en el artículo 1505 del Código Civil: “Lo que una persona ejecuta a nombre de otra, estando facultada por ella o por la ley para representarla, produce respecto del representado iguales efectos que si hubiese contratado él mismo”.</w:t>
      </w:r>
    </w:p>
    <w:p w14:paraId="175DF3A1" w14:textId="77777777" w:rsidR="00C53B1E" w:rsidRPr="00C53B1E" w:rsidRDefault="00C53B1E" w:rsidP="00C53B1E">
      <w:pPr>
        <w:pStyle w:val="Prrafodelista"/>
        <w:rPr>
          <w:rFonts w:ascii="Verdana" w:eastAsia="Calibri" w:hAnsi="Verdana" w:cs="Arial"/>
        </w:rPr>
      </w:pPr>
    </w:p>
    <w:p w14:paraId="2C781F85" w14:textId="1ADCDA4F" w:rsidR="00C53B1E" w:rsidRDefault="00C53B1E" w:rsidP="00080C86">
      <w:pPr>
        <w:pStyle w:val="Prrafodelista"/>
        <w:numPr>
          <w:ilvl w:val="0"/>
          <w:numId w:val="9"/>
        </w:numPr>
        <w:spacing w:after="0" w:line="276" w:lineRule="auto"/>
        <w:ind w:left="709"/>
        <w:jc w:val="both"/>
        <w:rPr>
          <w:rFonts w:ascii="Verdana" w:eastAsia="Calibri" w:hAnsi="Verdana" w:cs="Arial"/>
        </w:rPr>
      </w:pPr>
      <w:proofErr w:type="spellStart"/>
      <w:r>
        <w:rPr>
          <w:rFonts w:ascii="Verdana" w:eastAsia="Calibri" w:hAnsi="Verdana" w:cs="Arial"/>
        </w:rPr>
        <w:t>Asi</w:t>
      </w:r>
      <w:proofErr w:type="spellEnd"/>
      <w:r>
        <w:rPr>
          <w:rFonts w:ascii="Verdana" w:eastAsia="Calibri" w:hAnsi="Verdana" w:cs="Arial"/>
        </w:rPr>
        <w:t xml:space="preserve"> las cosas, e</w:t>
      </w:r>
      <w:r w:rsidRPr="00C53B1E">
        <w:rPr>
          <w:rFonts w:ascii="Verdana" w:eastAsia="Calibri" w:hAnsi="Verdana" w:cs="Arial"/>
        </w:rPr>
        <w:t>n el caso de las uniones temporales</w:t>
      </w:r>
      <w:r w:rsidR="009A279B">
        <w:rPr>
          <w:rFonts w:ascii="Verdana" w:eastAsia="Calibri" w:hAnsi="Verdana" w:cs="Arial"/>
        </w:rPr>
        <w:t xml:space="preserve"> entre entidades públicas y empresas del sector privado</w:t>
      </w:r>
      <w:r w:rsidRPr="00C53B1E">
        <w:rPr>
          <w:rFonts w:ascii="Verdana" w:eastAsia="Calibri" w:hAnsi="Verdana" w:cs="Arial"/>
        </w:rPr>
        <w:t>, la entidad pública no selecciona al particular (privado) con el que se va a asociar, sino que este se convierte en un miembro de la unión temporal en virtud del acuerdo que se celebra entre las partes.</w:t>
      </w:r>
    </w:p>
    <w:p w14:paraId="5E89666E" w14:textId="77777777" w:rsidR="00137E5C" w:rsidRPr="00137E5C" w:rsidRDefault="00137E5C" w:rsidP="00137E5C">
      <w:pPr>
        <w:pStyle w:val="Prrafodelista"/>
        <w:rPr>
          <w:rFonts w:ascii="Verdana" w:eastAsia="Calibri" w:hAnsi="Verdana" w:cs="Arial"/>
        </w:rPr>
      </w:pPr>
    </w:p>
    <w:p w14:paraId="2AF39AE1" w14:textId="2024C0D3" w:rsidR="00137E5C" w:rsidRDefault="00137E5C" w:rsidP="00080C86">
      <w:pPr>
        <w:pStyle w:val="Prrafodelista"/>
        <w:numPr>
          <w:ilvl w:val="0"/>
          <w:numId w:val="9"/>
        </w:numPr>
        <w:spacing w:after="0" w:line="276" w:lineRule="auto"/>
        <w:ind w:left="709"/>
        <w:jc w:val="both"/>
        <w:rPr>
          <w:rFonts w:ascii="Verdana" w:eastAsia="Calibri" w:hAnsi="Verdana" w:cs="Arial"/>
        </w:rPr>
      </w:pPr>
      <w:r w:rsidRPr="00137E5C">
        <w:rPr>
          <w:rFonts w:ascii="Verdana" w:eastAsia="Calibri" w:hAnsi="Verdana" w:cs="Arial"/>
        </w:rPr>
        <w:t>Una vez que la unión temporal se ha constituido, la entidad pública evalúa la propuesta conjunta presentada por la misma en el marco del proceso de licitación o contratación directa.</w:t>
      </w:r>
    </w:p>
    <w:p w14:paraId="5B4F6FBE" w14:textId="77777777" w:rsidR="00137E5C" w:rsidRPr="00137E5C" w:rsidRDefault="00137E5C" w:rsidP="00137E5C">
      <w:pPr>
        <w:pStyle w:val="Prrafodelista"/>
        <w:rPr>
          <w:rFonts w:ascii="Verdana" w:eastAsia="Calibri" w:hAnsi="Verdana" w:cs="Arial"/>
        </w:rPr>
      </w:pPr>
    </w:p>
    <w:p w14:paraId="557DEF3A" w14:textId="53192C0C" w:rsidR="00137E5C" w:rsidRDefault="00137E5C" w:rsidP="00080C86">
      <w:pPr>
        <w:pStyle w:val="Prrafodelista"/>
        <w:numPr>
          <w:ilvl w:val="0"/>
          <w:numId w:val="9"/>
        </w:numPr>
        <w:spacing w:after="0" w:line="276" w:lineRule="auto"/>
        <w:ind w:left="709"/>
        <w:jc w:val="both"/>
        <w:rPr>
          <w:rFonts w:ascii="Verdana" w:eastAsia="Calibri" w:hAnsi="Verdana" w:cs="Arial"/>
        </w:rPr>
      </w:pPr>
      <w:proofErr w:type="spellStart"/>
      <w:r>
        <w:rPr>
          <w:rFonts w:ascii="Verdana" w:eastAsia="Calibri" w:hAnsi="Verdana" w:cs="Arial"/>
        </w:rPr>
        <w:t>Asi</w:t>
      </w:r>
      <w:proofErr w:type="spellEnd"/>
      <w:r>
        <w:rPr>
          <w:rFonts w:ascii="Verdana" w:eastAsia="Calibri" w:hAnsi="Verdana" w:cs="Arial"/>
        </w:rPr>
        <w:t xml:space="preserve"> las cosas</w:t>
      </w:r>
      <w:r w:rsidRPr="00137E5C">
        <w:rPr>
          <w:rFonts w:ascii="Verdana" w:eastAsia="Calibri" w:hAnsi="Verdana" w:cs="Arial"/>
        </w:rPr>
        <w:t>, las entidades sometidas al EGAP no pueden utilizar un proceso de selección contractual para escoger al particular (privado) con el que se van a asociar en una unión temporal. La selección del particular se realiza mediante un acuerdo entre las partes</w:t>
      </w:r>
      <w:r>
        <w:rPr>
          <w:rFonts w:ascii="Verdana" w:eastAsia="Calibri" w:hAnsi="Verdana" w:cs="Arial"/>
        </w:rPr>
        <w:t xml:space="preserve"> en donde se deben cumplir </w:t>
      </w:r>
      <w:r w:rsidRPr="00137E5C">
        <w:rPr>
          <w:rFonts w:ascii="Verdana" w:eastAsia="Calibri" w:hAnsi="Verdana" w:cs="Arial"/>
        </w:rPr>
        <w:t xml:space="preserve">con todos los requisitos </w:t>
      </w:r>
      <w:r w:rsidR="009A279B">
        <w:rPr>
          <w:rFonts w:ascii="Verdana" w:eastAsia="Calibri" w:hAnsi="Verdana" w:cs="Arial"/>
        </w:rPr>
        <w:t xml:space="preserve">principios y requisitos </w:t>
      </w:r>
      <w:r w:rsidRPr="00137E5C">
        <w:rPr>
          <w:rFonts w:ascii="Verdana" w:eastAsia="Calibri" w:hAnsi="Verdana" w:cs="Arial"/>
        </w:rPr>
        <w:t>legales establecidos en la Ley 80 de 1993 y el Decreto 1082 de 2015.</w:t>
      </w:r>
    </w:p>
    <w:p w14:paraId="3AD1C9A2" w14:textId="77777777" w:rsidR="00A27239" w:rsidRPr="00A27239" w:rsidRDefault="00A27239" w:rsidP="00A27239">
      <w:pPr>
        <w:pStyle w:val="Prrafodelista"/>
        <w:rPr>
          <w:rFonts w:ascii="Verdana" w:eastAsia="Calibri" w:hAnsi="Verdana" w:cs="Arial"/>
        </w:rPr>
      </w:pPr>
    </w:p>
    <w:p w14:paraId="22908887" w14:textId="597D749F" w:rsidR="00A27239" w:rsidRDefault="00A27239" w:rsidP="00A27239">
      <w:pPr>
        <w:pStyle w:val="Prrafodelista"/>
        <w:numPr>
          <w:ilvl w:val="0"/>
          <w:numId w:val="9"/>
        </w:numPr>
        <w:spacing w:after="0" w:line="276" w:lineRule="auto"/>
        <w:ind w:left="709"/>
        <w:jc w:val="both"/>
        <w:rPr>
          <w:rFonts w:ascii="Verdana" w:eastAsia="Calibri" w:hAnsi="Verdana" w:cs="Arial"/>
        </w:rPr>
      </w:pPr>
      <w:r>
        <w:rPr>
          <w:rFonts w:ascii="Verdana" w:eastAsia="Calibri" w:hAnsi="Verdana" w:cs="Arial"/>
        </w:rPr>
        <w:t>De esta manera al</w:t>
      </w:r>
      <w:r w:rsidRPr="00C53B1E">
        <w:rPr>
          <w:rFonts w:ascii="Verdana" w:eastAsia="Calibri" w:hAnsi="Verdana" w:cs="Arial"/>
        </w:rPr>
        <w:t xml:space="preserve"> no ser los consorcios y uniones temporales personas jurídicas, su creación convencional se logra mediante un acuerdo en el que concurre la voluntad de sus integrantes para regular su objeto, la participación de los miembros, las obligaciones frente al proyecto que los une, la responsabilidad de los miembros y la forma en que regirán sus relaciones internas y el relacionamiento con la entidad contratante, mediante la designación de un representante. Así lo exige el parágrafo del artículo 7 de la Ley 80 de 1993 para que el órgano creado con la constitución del consorcio o unión temporal tenga vocación de resultar el adjudicatario del contrato estatal. </w:t>
      </w:r>
    </w:p>
    <w:p w14:paraId="524C4581" w14:textId="77777777" w:rsidR="00871B59" w:rsidRPr="00593A5F" w:rsidRDefault="00871B59" w:rsidP="00871B59">
      <w:pPr>
        <w:widowControl w:val="0"/>
        <w:autoSpaceDE w:val="0"/>
        <w:autoSpaceDN w:val="0"/>
        <w:spacing w:after="0" w:line="276" w:lineRule="auto"/>
        <w:jc w:val="both"/>
        <w:rPr>
          <w:rFonts w:ascii="Verdana" w:hAnsi="Verdana" w:cs="Arial"/>
        </w:rPr>
      </w:pPr>
    </w:p>
    <w:p w14:paraId="53133908"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Referencias normativas, jurisprudenciales y otras fuentes:</w:t>
      </w:r>
    </w:p>
    <w:p w14:paraId="237FD993" w14:textId="77777777" w:rsidR="00871B59" w:rsidRPr="00593A5F" w:rsidRDefault="00871B59" w:rsidP="00871B5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1B59" w:rsidRPr="00593A5F" w14:paraId="150F7C2A" w14:textId="77777777" w:rsidTr="002607A7">
        <w:trPr>
          <w:trHeight w:val="870"/>
        </w:trPr>
        <w:tc>
          <w:tcPr>
            <w:tcW w:w="8647" w:type="dxa"/>
          </w:tcPr>
          <w:p w14:paraId="71DF53E5" w14:textId="3DA69A09" w:rsidR="009231E5" w:rsidRPr="00EB5468" w:rsidRDefault="000E1DED" w:rsidP="00EB5468">
            <w:pPr>
              <w:pStyle w:val="Prrafodelista"/>
              <w:widowControl w:val="0"/>
              <w:numPr>
                <w:ilvl w:val="0"/>
                <w:numId w:val="8"/>
              </w:numPr>
              <w:autoSpaceDE w:val="0"/>
              <w:autoSpaceDN w:val="0"/>
              <w:spacing w:after="120" w:line="276" w:lineRule="auto"/>
              <w:jc w:val="both"/>
              <w:rPr>
                <w:rFonts w:ascii="Verdana" w:hAnsi="Verdana" w:cs="Arial"/>
              </w:rPr>
            </w:pPr>
            <w:r w:rsidRPr="00EB5468">
              <w:rPr>
                <w:rFonts w:ascii="Verdana" w:hAnsi="Verdana" w:cs="Arial"/>
              </w:rPr>
              <w:t xml:space="preserve">Ley 80 de 1993, artículos 6 y 7 </w:t>
            </w:r>
          </w:p>
          <w:p w14:paraId="33093972" w14:textId="5D6CDFE8" w:rsidR="009231E5" w:rsidRPr="00EB5468" w:rsidRDefault="00EB5468" w:rsidP="00EB5468">
            <w:pPr>
              <w:pStyle w:val="Prrafodelista"/>
              <w:widowControl w:val="0"/>
              <w:numPr>
                <w:ilvl w:val="0"/>
                <w:numId w:val="8"/>
              </w:numPr>
              <w:autoSpaceDE w:val="0"/>
              <w:autoSpaceDN w:val="0"/>
              <w:spacing w:after="120" w:line="276" w:lineRule="auto"/>
              <w:jc w:val="both"/>
              <w:rPr>
                <w:rFonts w:ascii="Verdana" w:hAnsi="Verdana" w:cs="Arial"/>
              </w:rPr>
            </w:pPr>
            <w:r w:rsidRPr="00EB5468">
              <w:rPr>
                <w:rFonts w:ascii="Verdana" w:hAnsi="Verdana" w:cs="Arial"/>
              </w:rPr>
              <w:t>Decreto 1082 de 2015 Artículo 2.2.1.1.1.5.3, 2.2.1.2.1.3.15.</w:t>
            </w:r>
          </w:p>
          <w:p w14:paraId="497088A9" w14:textId="57369C58" w:rsidR="002973E9" w:rsidRPr="00EB5468" w:rsidRDefault="00EB5468" w:rsidP="009733C1">
            <w:pPr>
              <w:pStyle w:val="Prrafodelista"/>
              <w:widowControl w:val="0"/>
              <w:numPr>
                <w:ilvl w:val="0"/>
                <w:numId w:val="8"/>
              </w:numPr>
              <w:autoSpaceDE w:val="0"/>
              <w:autoSpaceDN w:val="0"/>
              <w:spacing w:after="120" w:line="276" w:lineRule="auto"/>
              <w:jc w:val="both"/>
              <w:rPr>
                <w:rFonts w:ascii="Verdana" w:hAnsi="Verdana" w:cs="Arial"/>
              </w:rPr>
            </w:pPr>
            <w:r w:rsidRPr="00EB5468">
              <w:rPr>
                <w:rFonts w:ascii="Verdana" w:hAnsi="Verdana" w:cs="Arial"/>
              </w:rPr>
              <w:t xml:space="preserve">Consejo de Estado Sala De Consulta y Servicio Civil </w:t>
            </w:r>
            <w:r w:rsidR="002973E9" w:rsidRPr="00EB5468">
              <w:rPr>
                <w:rFonts w:ascii="Verdana" w:hAnsi="Verdana" w:cs="Arial"/>
              </w:rPr>
              <w:t xml:space="preserve">Consejero ponente: </w:t>
            </w:r>
            <w:r w:rsidR="009733C1" w:rsidRPr="00EB5468">
              <w:rPr>
                <w:rFonts w:ascii="Verdana" w:hAnsi="Verdana" w:cs="Arial"/>
              </w:rPr>
              <w:t xml:space="preserve">Gustavo Eduardo Aponte Santos </w:t>
            </w:r>
            <w:r w:rsidR="002973E9" w:rsidRPr="00EB5468">
              <w:rPr>
                <w:rFonts w:ascii="Verdana" w:hAnsi="Verdana" w:cs="Arial"/>
              </w:rPr>
              <w:t>Bogotá D.C., nueve (9) de octubre de dos mil tres (2003</w:t>
            </w:r>
            <w:proofErr w:type="gramStart"/>
            <w:r w:rsidR="002973E9" w:rsidRPr="00EB5468">
              <w:rPr>
                <w:rFonts w:ascii="Verdana" w:hAnsi="Verdana" w:cs="Arial"/>
              </w:rPr>
              <w:t>).-</w:t>
            </w:r>
            <w:proofErr w:type="gramEnd"/>
            <w:r w:rsidR="002973E9" w:rsidRPr="00EB5468">
              <w:rPr>
                <w:rFonts w:ascii="Verdana" w:hAnsi="Verdana" w:cs="Arial"/>
              </w:rPr>
              <w:t>Radicación número: 1513</w:t>
            </w:r>
            <w:r w:rsidR="000E1DED" w:rsidRPr="00EB5468">
              <w:rPr>
                <w:rFonts w:ascii="Verdana" w:hAnsi="Verdana" w:cs="Arial"/>
              </w:rPr>
              <w:t>. Disponible en</w:t>
            </w:r>
            <w:r w:rsidR="000E1DED" w:rsidRPr="00EB5468">
              <w:rPr>
                <w:rFonts w:ascii="Verdana" w:hAnsi="Verdana" w:cs="Arial"/>
                <w:u w:val="single"/>
              </w:rPr>
              <w:t>https://www.consejodeestado.gov.co/buscador-de-jurisprude</w:t>
            </w:r>
            <w:r w:rsidR="009733C1">
              <w:rPr>
                <w:rFonts w:ascii="Verdana" w:hAnsi="Verdana" w:cs="Arial"/>
                <w:u w:val="single"/>
              </w:rPr>
              <w:t xml:space="preserve"> </w:t>
            </w:r>
            <w:r w:rsidR="000E1DED" w:rsidRPr="00EB5468">
              <w:rPr>
                <w:rFonts w:ascii="Verdana" w:hAnsi="Verdana" w:cs="Arial"/>
                <w:u w:val="single"/>
              </w:rPr>
              <w:t>ncia2/</w:t>
            </w:r>
          </w:p>
          <w:p w14:paraId="6CB9AC3E" w14:textId="77777777" w:rsidR="00EB5468" w:rsidRPr="00EB5468" w:rsidRDefault="00871B59" w:rsidP="00EB5468">
            <w:pPr>
              <w:pStyle w:val="Prrafodelista"/>
              <w:widowControl w:val="0"/>
              <w:numPr>
                <w:ilvl w:val="0"/>
                <w:numId w:val="8"/>
              </w:numPr>
              <w:autoSpaceDE w:val="0"/>
              <w:autoSpaceDN w:val="0"/>
              <w:spacing w:after="120" w:line="276" w:lineRule="auto"/>
              <w:contextualSpacing w:val="0"/>
              <w:jc w:val="both"/>
              <w:rPr>
                <w:rFonts w:ascii="Verdana" w:hAnsi="Verdana" w:cs="Arial"/>
              </w:rPr>
            </w:pPr>
            <w:r w:rsidRPr="00EB5468">
              <w:rPr>
                <w:rFonts w:ascii="Verdana" w:hAnsi="Verdana" w:cs="Arial"/>
              </w:rPr>
              <w:t xml:space="preserve">Jurisprudencia del Consejo de Estado. Disponible en: </w:t>
            </w:r>
            <w:hyperlink r:id="rId12" w:history="1">
              <w:r w:rsidRPr="00EB5468">
                <w:rPr>
                  <w:rStyle w:val="Hipervnculo"/>
                  <w:rFonts w:ascii="Verdana" w:hAnsi="Verdana" w:cs="Arial"/>
                  <w:color w:val="auto"/>
                </w:rPr>
                <w:t>https://relatoria.colombiacompra.gov.co/providencias-consejo-de-</w:t>
              </w:r>
              <w:r w:rsidRPr="00EB5468">
                <w:rPr>
                  <w:rStyle w:val="Hipervnculo"/>
                  <w:rFonts w:ascii="Verdana" w:hAnsi="Verdana" w:cs="Arial"/>
                  <w:color w:val="auto"/>
                </w:rPr>
                <w:lastRenderedPageBreak/>
                <w:t>estado/</w:t>
              </w:r>
            </w:hyperlink>
            <w:r w:rsidRPr="00EB5468">
              <w:rPr>
                <w:rFonts w:ascii="Verdana" w:hAnsi="Verdana" w:cs="Arial"/>
              </w:rPr>
              <w:t xml:space="preserve"> </w:t>
            </w:r>
          </w:p>
          <w:p w14:paraId="6ACEA7FD" w14:textId="039B0585" w:rsidR="00871B59" w:rsidRPr="00AC742F" w:rsidRDefault="00871B59" w:rsidP="00BE4B85">
            <w:pPr>
              <w:pStyle w:val="Prrafodelista"/>
              <w:widowControl w:val="0"/>
              <w:numPr>
                <w:ilvl w:val="0"/>
                <w:numId w:val="8"/>
              </w:numPr>
              <w:autoSpaceDE w:val="0"/>
              <w:autoSpaceDN w:val="0"/>
              <w:spacing w:after="120" w:line="276" w:lineRule="auto"/>
              <w:contextualSpacing w:val="0"/>
              <w:jc w:val="both"/>
              <w:rPr>
                <w:rFonts w:ascii="Verdana" w:hAnsi="Verdana" w:cs="Arial"/>
              </w:rPr>
            </w:pPr>
            <w:r w:rsidRPr="00EB5468">
              <w:rPr>
                <w:rFonts w:ascii="Verdana" w:hAnsi="Verdana" w:cs="Arial"/>
              </w:rPr>
              <w:t xml:space="preserve">Guía </w:t>
            </w:r>
            <w:r w:rsidR="00EB5468" w:rsidRPr="00EB5468">
              <w:rPr>
                <w:rFonts w:ascii="Verdana" w:hAnsi="Verdana" w:cs="Arial"/>
              </w:rPr>
              <w:t>asuntos corporativos proceso de contratación</w:t>
            </w:r>
            <w:r w:rsidRPr="00EB5468">
              <w:rPr>
                <w:rFonts w:ascii="Verdana" w:hAnsi="Verdana" w:cs="Arial"/>
              </w:rPr>
              <w:t>. Disponible en:</w:t>
            </w:r>
            <w:r w:rsidRPr="00EB5468">
              <w:t xml:space="preserve"> </w:t>
            </w:r>
            <w:hyperlink r:id="rId13" w:history="1">
              <w:r w:rsidRPr="00EB5468">
                <w:rPr>
                  <w:rStyle w:val="Hipervnculo"/>
                  <w:rFonts w:ascii="Verdana" w:hAnsi="Verdana" w:cs="Arial"/>
                  <w:color w:val="auto"/>
                </w:rPr>
                <w:t>https://www.colombiacompra.gov.co/manuales-guias-y-pliegos-tipo/manuales-y-guias</w:t>
              </w:r>
            </w:hyperlink>
            <w:r w:rsidRPr="00EB5468">
              <w:rPr>
                <w:rFonts w:ascii="Verdana" w:hAnsi="Verdana" w:cs="Arial"/>
              </w:rPr>
              <w:t xml:space="preserve"> </w:t>
            </w:r>
          </w:p>
        </w:tc>
      </w:tr>
    </w:tbl>
    <w:p w14:paraId="0E1B166D" w14:textId="77777777" w:rsidR="00871B59" w:rsidRPr="00593A5F" w:rsidRDefault="00871B59" w:rsidP="00871B59">
      <w:pPr>
        <w:widowControl w:val="0"/>
        <w:autoSpaceDE w:val="0"/>
        <w:autoSpaceDN w:val="0"/>
        <w:spacing w:after="0" w:line="276" w:lineRule="auto"/>
        <w:jc w:val="both"/>
        <w:rPr>
          <w:rFonts w:ascii="Verdana" w:hAnsi="Verdana" w:cs="Arial"/>
        </w:rPr>
      </w:pPr>
    </w:p>
    <w:p w14:paraId="40380BCB"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Pr>
          <w:rFonts w:ascii="Verdana" w:eastAsia="Century Gothic" w:hAnsi="Verdana" w:cs="Century Gothic"/>
          <w:b/>
          <w:bCs/>
          <w:lang w:val="es-ES"/>
        </w:rPr>
        <w:t>Doctrina de la Agencia Nacional de Contratación Pública</w:t>
      </w:r>
      <w:r w:rsidRPr="00593A5F">
        <w:rPr>
          <w:rFonts w:ascii="Verdana" w:eastAsia="Century Gothic" w:hAnsi="Verdana" w:cs="Century Gothic"/>
          <w:b/>
          <w:bCs/>
          <w:lang w:val="es-ES"/>
        </w:rPr>
        <w:t>:</w:t>
      </w:r>
    </w:p>
    <w:p w14:paraId="4AA83295" w14:textId="77777777" w:rsidR="009733C1" w:rsidRDefault="009733C1" w:rsidP="00871B59">
      <w:pPr>
        <w:widowControl w:val="0"/>
        <w:autoSpaceDE w:val="0"/>
        <w:autoSpaceDN w:val="0"/>
        <w:spacing w:after="0" w:line="276" w:lineRule="auto"/>
        <w:jc w:val="both"/>
        <w:rPr>
          <w:rStyle w:val="normaltextrun"/>
          <w:rFonts w:ascii="Verdana" w:hAnsi="Verdana" w:cs="Arial"/>
          <w:color w:val="7030A0"/>
          <w:shd w:val="clear" w:color="auto" w:fill="FFFFFF"/>
          <w:lang w:val="es-ES"/>
        </w:rPr>
      </w:pPr>
    </w:p>
    <w:p w14:paraId="688C30E7" w14:textId="390FB2CC" w:rsidR="00871B59" w:rsidRDefault="009733C1" w:rsidP="00BE4B85">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9733C1">
        <w:rPr>
          <w:rFonts w:ascii="Verdana" w:hAnsi="Verdana" w:cs="Arial"/>
          <w:shd w:val="clear" w:color="auto" w:fill="FFFFFF"/>
          <w:lang w:val="es-ES"/>
        </w:rPr>
        <w:t>La Agencia Nacional de Contratación Pública – Colombia Compra Eficiente explicó la naturaleza jurídica de los consorcios y las uniones temporales en los Conceptos 4201913000007643 del 26 de diciembre de 2019, C-343 del 17 de junio de 2020, C-518 del 9 de septiembre de 2020, C-614 del 5 de octubre de 2022, C-882 del 21 de diciembre de 2022 y C-172 del 6 de junio de 2023. También se ha referido a la prohibición de trato discriminatorio en los Conceptos 2201913000006511 del 3 de septiembre de 2019 y C-335 del 26 de septiembre de 2023</w:t>
      </w:r>
      <w:r w:rsidR="00BE4B85">
        <w:rPr>
          <w:rFonts w:ascii="Verdana" w:hAnsi="Verdana" w:cs="Arial"/>
          <w:shd w:val="clear" w:color="auto" w:fill="FFFFFF"/>
          <w:lang w:val="es-ES"/>
        </w:rPr>
        <w:t xml:space="preserve"> y Concepto 032 de 2024</w:t>
      </w:r>
      <w:r w:rsidRPr="009733C1">
        <w:rPr>
          <w:rFonts w:ascii="Verdana" w:hAnsi="Verdana" w:cs="Arial"/>
          <w:shd w:val="clear" w:color="auto" w:fill="FFFFFF"/>
          <w:lang w:val="es-ES"/>
        </w:rPr>
        <w:t xml:space="preserve">. </w:t>
      </w:r>
      <w:r w:rsidR="00871B59" w:rsidRPr="00A1554D">
        <w:rPr>
          <w:rStyle w:val="normaltextrun"/>
          <w:rFonts w:ascii="Verdana" w:hAnsi="Verdana" w:cs="Arial"/>
          <w:color w:val="7030A0"/>
          <w:shd w:val="clear" w:color="auto" w:fill="FFFFFF"/>
          <w:lang w:val="es-ES"/>
        </w:rPr>
        <w:t xml:space="preserve"> </w:t>
      </w:r>
      <w:r w:rsidR="00871B59" w:rsidRPr="00A1554D">
        <w:rPr>
          <w:rStyle w:val="normaltextrun"/>
          <w:rFonts w:ascii="Verdana" w:hAnsi="Verdana" w:cs="Arial"/>
          <w:shd w:val="clear" w:color="auto" w:fill="FFFFFF"/>
          <w:lang w:val="es-ES"/>
        </w:rPr>
        <w:t>Es</w:t>
      </w:r>
      <w:r w:rsidR="00871B59" w:rsidRPr="00A1554D">
        <w:rPr>
          <w:rFonts w:ascii="Verdana" w:hAnsi="Verdana"/>
        </w:rPr>
        <w:t xml:space="preserve">tos y otros conceptos se encuentran disponibles para consulta en el Sistema de </w:t>
      </w:r>
      <w:r w:rsidR="00871B59">
        <w:rPr>
          <w:rFonts w:ascii="Verdana" w:hAnsi="Verdana"/>
        </w:rPr>
        <w:t>r</w:t>
      </w:r>
      <w:r w:rsidR="00871B59" w:rsidRPr="00A1554D">
        <w:rPr>
          <w:rFonts w:ascii="Verdana" w:hAnsi="Verdana"/>
        </w:rPr>
        <w:t>elatoría de la Agencia, al cual se puede acceder a través del siguiente enlace:</w:t>
      </w:r>
      <w:r w:rsidR="00871B59" w:rsidRPr="00A1554D">
        <w:rPr>
          <w:rStyle w:val="normaltextrun"/>
          <w:rFonts w:ascii="Verdana" w:hAnsi="Verdana" w:cs="Arial"/>
          <w:shd w:val="clear" w:color="auto" w:fill="FFFFFF"/>
          <w:lang w:val="es-ES"/>
        </w:rPr>
        <w:t xml:space="preserve"> </w:t>
      </w:r>
      <w:r w:rsidR="00BE4B85">
        <w:rPr>
          <w:rStyle w:val="normaltextrun"/>
          <w:rFonts w:ascii="Verdana" w:hAnsi="Verdana" w:cs="Arial"/>
          <w:shd w:val="clear" w:color="auto" w:fill="FFFFFF"/>
          <w:lang w:val="es-ES"/>
        </w:rPr>
        <w:t xml:space="preserve">  </w:t>
      </w:r>
      <w:hyperlink r:id="rId14" w:history="1">
        <w:r w:rsidR="00BE4B85" w:rsidRPr="00053204">
          <w:rPr>
            <w:rStyle w:val="Hipervnculo"/>
            <w:rFonts w:ascii="Verdana" w:hAnsi="Verdana" w:cs="Arial"/>
            <w:shd w:val="clear" w:color="auto" w:fill="FFFFFF"/>
            <w:lang w:val="es-ES"/>
          </w:rPr>
          <w:t>https://relatoria.colombiacompra.gov.co/busqueda/conceptos</w:t>
        </w:r>
      </w:hyperlink>
      <w:r w:rsidR="00871B59">
        <w:rPr>
          <w:rStyle w:val="normaltextrun"/>
          <w:rFonts w:ascii="Verdana" w:hAnsi="Verdana" w:cs="Arial"/>
          <w:color w:val="FF0000"/>
          <w:shd w:val="clear" w:color="auto" w:fill="FFFFFF"/>
          <w:lang w:val="es-ES"/>
        </w:rPr>
        <w:t xml:space="preserve">. </w:t>
      </w:r>
    </w:p>
    <w:p w14:paraId="653CF3BE" w14:textId="77777777" w:rsidR="00871B59" w:rsidRDefault="00871B59" w:rsidP="00871B59">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6E5FBA74" w14:textId="77777777" w:rsidR="00871B59" w:rsidRDefault="00871B59" w:rsidP="00871B59">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985B04">
        <w:rPr>
          <w:rStyle w:val="normaltextrun"/>
          <w:rFonts w:ascii="Verdana" w:hAnsi="Verdana" w:cs="Arial"/>
          <w:color w:val="000000" w:themeColor="text1"/>
          <w:shd w:val="clear" w:color="auto" w:fill="FFFFFF"/>
          <w:lang w:val="es-ES"/>
        </w:rPr>
        <w:t>También le invitamos a consultar las versiones I y II de 2024 del Boletín de Relatoría de la Subdirección de Gestión Contractual, las cuales puede descargar en la página web de la Agencia:</w:t>
      </w:r>
      <w:r>
        <w:rPr>
          <w:rStyle w:val="normaltextrun"/>
          <w:rFonts w:ascii="Verdana" w:hAnsi="Verdana" w:cs="Arial"/>
          <w:color w:val="FF0000"/>
          <w:shd w:val="clear" w:color="auto" w:fill="FFFFFF"/>
          <w:lang w:val="es-ES"/>
        </w:rPr>
        <w:t xml:space="preserve"> </w:t>
      </w:r>
      <w:hyperlink r:id="rId15" w:history="1">
        <w:r w:rsidRPr="003705EA">
          <w:rPr>
            <w:rStyle w:val="Hipervnculo"/>
            <w:rFonts w:ascii="Verdana" w:hAnsi="Verdana" w:cs="Arial"/>
            <w:shd w:val="clear" w:color="auto" w:fill="FFFFFF"/>
            <w:lang w:val="es-ES"/>
          </w:rPr>
          <w:t>https://www.colombiacompra.gov.co/sala-de-prensa/boletin-digital</w:t>
        </w:r>
      </w:hyperlink>
      <w:r>
        <w:rPr>
          <w:rStyle w:val="normaltextrun"/>
          <w:rFonts w:ascii="Verdana" w:hAnsi="Verdana" w:cs="Arial"/>
          <w:color w:val="FF0000"/>
          <w:shd w:val="clear" w:color="auto" w:fill="FFFFFF"/>
          <w:lang w:val="es-ES"/>
        </w:rPr>
        <w:t xml:space="preserve">  </w:t>
      </w:r>
      <w:r w:rsidRPr="00A1554D">
        <w:rPr>
          <w:rStyle w:val="normaltextrun"/>
          <w:rFonts w:ascii="Verdana" w:hAnsi="Verdana" w:cs="Arial"/>
          <w:color w:val="FF0000"/>
          <w:shd w:val="clear" w:color="auto" w:fill="FFFFFF"/>
          <w:lang w:val="es-ES"/>
        </w:rPr>
        <w:t xml:space="preserve">    </w:t>
      </w:r>
    </w:p>
    <w:p w14:paraId="698DCFE1" w14:textId="77777777" w:rsidR="008F4FD8" w:rsidRDefault="008F4FD8" w:rsidP="008815E5">
      <w:pPr>
        <w:spacing w:after="0" w:line="240" w:lineRule="auto"/>
        <w:jc w:val="both"/>
        <w:rPr>
          <w:rFonts w:ascii="Verdana" w:hAnsi="Verdana"/>
        </w:rPr>
      </w:pPr>
    </w:p>
    <w:p w14:paraId="1570ED43" w14:textId="28EEBB22" w:rsidR="008815E5" w:rsidRPr="003E2460" w:rsidRDefault="008815E5" w:rsidP="008815E5">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284AF384" w14:textId="77777777" w:rsidR="008815E5" w:rsidRPr="003E2460" w:rsidRDefault="008815E5" w:rsidP="008815E5">
      <w:pPr>
        <w:spacing w:after="0" w:line="240" w:lineRule="auto"/>
        <w:jc w:val="both"/>
        <w:rPr>
          <w:rFonts w:ascii="Verdana" w:hAnsi="Verdana"/>
        </w:rPr>
      </w:pPr>
    </w:p>
    <w:p w14:paraId="5E6CD010" w14:textId="77777777" w:rsidR="008815E5" w:rsidRPr="003E2460" w:rsidRDefault="008815E5" w:rsidP="008815E5">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0F76F019" w14:textId="77777777" w:rsidR="008815E5" w:rsidRPr="003E2460" w:rsidRDefault="008815E5" w:rsidP="008815E5">
      <w:pPr>
        <w:spacing w:after="0" w:line="240" w:lineRule="auto"/>
        <w:jc w:val="both"/>
        <w:rPr>
          <w:rFonts w:ascii="Verdana" w:hAnsi="Verdana"/>
        </w:rPr>
      </w:pPr>
      <w:r w:rsidRPr="003E2460">
        <w:rPr>
          <w:rFonts w:ascii="Verdana" w:hAnsi="Verdana"/>
        </w:rPr>
        <w:t xml:space="preserve">Facebook: </w:t>
      </w:r>
      <w:proofErr w:type="spellStart"/>
      <w:r w:rsidRPr="003E2460">
        <w:rPr>
          <w:rStyle w:val="Hipervnculo"/>
          <w:rFonts w:ascii="Verdana" w:hAnsi="Verdana"/>
          <w:color w:val="4472C4" w:themeColor="accent1"/>
        </w:rPr>
        <w:t>ColombiaCompraEficiente</w:t>
      </w:r>
      <w:proofErr w:type="spellEnd"/>
    </w:p>
    <w:p w14:paraId="60E5B357" w14:textId="77777777" w:rsidR="008815E5" w:rsidRPr="003E2460" w:rsidRDefault="008815E5" w:rsidP="008815E5">
      <w:pPr>
        <w:spacing w:after="0" w:line="240"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6980ECB3" w14:textId="77777777" w:rsidR="00871B59" w:rsidRPr="00593A5F" w:rsidRDefault="00871B59" w:rsidP="00871B59">
      <w:pPr>
        <w:widowControl w:val="0"/>
        <w:autoSpaceDE w:val="0"/>
        <w:autoSpaceDN w:val="0"/>
        <w:spacing w:after="0" w:line="276" w:lineRule="auto"/>
        <w:jc w:val="both"/>
        <w:rPr>
          <w:rFonts w:ascii="Verdana" w:hAnsi="Verdana" w:cs="Arial"/>
        </w:rPr>
      </w:pPr>
    </w:p>
    <w:p w14:paraId="120572E9" w14:textId="77777777" w:rsidR="00871B59" w:rsidRPr="00593A5F" w:rsidRDefault="00871B59" w:rsidP="00871B59">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 xml:space="preserve">y las </w:t>
      </w:r>
      <w:r w:rsidRPr="00593A5F">
        <w:rPr>
          <w:rFonts w:ascii="Verdana" w:hAnsi="Verdana" w:cs="Arial"/>
          <w:lang w:val="es-ES_tradnl"/>
        </w:rPr>
        <w:lastRenderedPageBreak/>
        <w:t>expresiones aquí utilizadas con mayúscula inicial deben ser entendidas con el significado que les otorga el artículo 2.2.1.1.1.3.1. del Decreto 1082 de 2015.</w:t>
      </w:r>
    </w:p>
    <w:p w14:paraId="76160CFD" w14:textId="77777777" w:rsidR="00871B59" w:rsidRPr="00593A5F" w:rsidRDefault="00871B59" w:rsidP="00871B59">
      <w:pPr>
        <w:widowControl w:val="0"/>
        <w:autoSpaceDE w:val="0"/>
        <w:autoSpaceDN w:val="0"/>
        <w:spacing w:after="0" w:line="276" w:lineRule="auto"/>
        <w:jc w:val="both"/>
        <w:rPr>
          <w:rFonts w:ascii="Verdana" w:hAnsi="Verdana" w:cs="Arial"/>
        </w:rPr>
      </w:pPr>
    </w:p>
    <w:p w14:paraId="46FD3687" w14:textId="77777777" w:rsidR="00871B59" w:rsidRPr="00593A5F" w:rsidRDefault="00871B59" w:rsidP="00871B59">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B21B32E" w14:textId="6DEF6C97" w:rsidR="00871B59" w:rsidRDefault="00871B59" w:rsidP="00871B59">
      <w:pPr>
        <w:spacing w:line="276" w:lineRule="auto"/>
        <w:jc w:val="center"/>
        <w:rPr>
          <w:rFonts w:ascii="Verdana" w:hAnsi="Verdana"/>
          <w:noProof/>
        </w:rPr>
      </w:pPr>
    </w:p>
    <w:p w14:paraId="5F99EF5D" w14:textId="28938DA2" w:rsidR="008C52FB" w:rsidRPr="008C52FB" w:rsidRDefault="008C52FB" w:rsidP="008C52FB">
      <w:pPr>
        <w:spacing w:line="276" w:lineRule="auto"/>
        <w:jc w:val="center"/>
        <w:rPr>
          <w:rFonts w:ascii="Verdana" w:hAnsi="Verdana" w:cs="Arial"/>
          <w:noProof/>
          <w:color w:val="000000"/>
          <w:lang w:eastAsia="es-CO"/>
        </w:rPr>
      </w:pPr>
      <w:r w:rsidRPr="008C52FB">
        <w:rPr>
          <w:rFonts w:ascii="Verdana" w:hAnsi="Verdana" w:cs="Arial"/>
          <w:noProof/>
          <w:color w:val="000000"/>
          <w:lang w:eastAsia="es-CO"/>
        </w:rPr>
        <w:drawing>
          <wp:inline distT="0" distB="0" distL="0" distR="0" wp14:anchorId="65008277" wp14:editId="755FE3FC">
            <wp:extent cx="3497580" cy="1501450"/>
            <wp:effectExtent l="0" t="0" r="7620" b="3810"/>
            <wp:docPr id="198096575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05395" cy="1504805"/>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71B59" w:rsidRPr="00593A5F" w14:paraId="2A20789D" w14:textId="77777777" w:rsidTr="002607A7">
        <w:trPr>
          <w:trHeight w:val="315"/>
        </w:trPr>
        <w:tc>
          <w:tcPr>
            <w:tcW w:w="893" w:type="dxa"/>
            <w:vAlign w:val="center"/>
            <w:hideMark/>
          </w:tcPr>
          <w:p w14:paraId="56E3D941" w14:textId="77777777" w:rsidR="00871B59" w:rsidRPr="003751C7" w:rsidRDefault="00871B59" w:rsidP="002607A7">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E128207" w14:textId="35FFBEA2" w:rsidR="00871B59" w:rsidRPr="00BE4B85" w:rsidRDefault="008F4FD8" w:rsidP="002607A7">
            <w:pPr>
              <w:contextualSpacing/>
              <w:rPr>
                <w:rFonts w:ascii="Verdana" w:eastAsia="Arial" w:hAnsi="Verdana" w:cs="Arial"/>
                <w:color w:val="7030A0"/>
                <w:sz w:val="16"/>
                <w:szCs w:val="16"/>
              </w:rPr>
            </w:pPr>
            <w:r w:rsidRPr="00BE4B85">
              <w:rPr>
                <w:rStyle w:val="normaltextrun"/>
                <w:rFonts w:ascii="Verdana" w:hAnsi="Verdana"/>
                <w:sz w:val="16"/>
                <w:szCs w:val="16"/>
              </w:rPr>
              <w:t>Christian Camilo Orjuela Galeano</w:t>
            </w:r>
          </w:p>
          <w:p w14:paraId="27134A92" w14:textId="3E019D83" w:rsidR="00871B59" w:rsidRPr="00BE4B85" w:rsidRDefault="008F4FD8" w:rsidP="002607A7">
            <w:pPr>
              <w:contextualSpacing/>
              <w:rPr>
                <w:rFonts w:ascii="Verdana" w:eastAsia="Arial" w:hAnsi="Verdana" w:cs="Arial"/>
                <w:sz w:val="16"/>
                <w:szCs w:val="16"/>
              </w:rPr>
            </w:pPr>
            <w:r w:rsidRPr="00BE4B85">
              <w:rPr>
                <w:rStyle w:val="normaltextrun"/>
                <w:rFonts w:ascii="Verdana" w:eastAsia="Arial" w:hAnsi="Verdana" w:cs="Arial"/>
                <w:sz w:val="16"/>
                <w:szCs w:val="16"/>
              </w:rPr>
              <w:t xml:space="preserve">Contratista </w:t>
            </w:r>
            <w:r w:rsidR="00871B59" w:rsidRPr="00BE4B85">
              <w:rPr>
                <w:rStyle w:val="normaltextrun"/>
                <w:rFonts w:ascii="Verdana" w:eastAsia="Arial" w:hAnsi="Verdana" w:cs="Arial"/>
                <w:sz w:val="16"/>
                <w:szCs w:val="16"/>
              </w:rPr>
              <w:t>de la Subdirección de Gestión Contractual</w:t>
            </w:r>
          </w:p>
        </w:tc>
      </w:tr>
      <w:tr w:rsidR="00871B59" w:rsidRPr="00593A5F" w14:paraId="409BBACC" w14:textId="77777777" w:rsidTr="002607A7">
        <w:trPr>
          <w:trHeight w:val="330"/>
        </w:trPr>
        <w:tc>
          <w:tcPr>
            <w:tcW w:w="893" w:type="dxa"/>
            <w:vAlign w:val="center"/>
            <w:hideMark/>
          </w:tcPr>
          <w:p w14:paraId="3ABFF401" w14:textId="77777777" w:rsidR="00871B59" w:rsidRPr="003751C7" w:rsidRDefault="00871B59" w:rsidP="002607A7">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100A373" w14:textId="2C9DC5E6" w:rsidR="00871B59" w:rsidRPr="00BE4B85" w:rsidRDefault="008F4FD8" w:rsidP="002607A7">
            <w:pPr>
              <w:pStyle w:val="paragraph"/>
              <w:spacing w:before="0" w:beforeAutospacing="0" w:after="0" w:afterAutospacing="0"/>
              <w:contextualSpacing/>
              <w:textAlignment w:val="baseline"/>
              <w:rPr>
                <w:rFonts w:ascii="Verdana" w:hAnsi="Verdana" w:cstheme="minorHAnsi"/>
                <w:color w:val="7030A0"/>
                <w:sz w:val="16"/>
                <w:szCs w:val="16"/>
              </w:rPr>
            </w:pPr>
            <w:proofErr w:type="gramStart"/>
            <w:r w:rsidRPr="00BE4B85">
              <w:rPr>
                <w:rFonts w:ascii="Verdana" w:hAnsi="Verdana" w:cstheme="minorHAnsi"/>
                <w:sz w:val="16"/>
                <w:szCs w:val="16"/>
              </w:rPr>
              <w:t>Libardo  Alberto</w:t>
            </w:r>
            <w:proofErr w:type="gramEnd"/>
            <w:r w:rsidRPr="00BE4B85">
              <w:rPr>
                <w:rFonts w:ascii="Verdana" w:hAnsi="Verdana" w:cstheme="minorHAnsi"/>
                <w:sz w:val="16"/>
                <w:szCs w:val="16"/>
              </w:rPr>
              <w:t xml:space="preserve"> Vergel De </w:t>
            </w:r>
            <w:proofErr w:type="spellStart"/>
            <w:r w:rsidRPr="00BE4B85">
              <w:rPr>
                <w:rFonts w:ascii="Verdana" w:hAnsi="Verdana" w:cstheme="minorHAnsi"/>
                <w:sz w:val="16"/>
                <w:szCs w:val="16"/>
              </w:rPr>
              <w:t>Filppis</w:t>
            </w:r>
            <w:proofErr w:type="spellEnd"/>
            <w:r w:rsidRPr="00BE4B85">
              <w:rPr>
                <w:rFonts w:ascii="Verdana" w:hAnsi="Verdana" w:cstheme="minorHAnsi"/>
                <w:sz w:val="16"/>
                <w:szCs w:val="16"/>
              </w:rPr>
              <w:t xml:space="preserve"> </w:t>
            </w:r>
          </w:p>
          <w:p w14:paraId="408B71DB" w14:textId="4752ED0F" w:rsidR="00871B59" w:rsidRPr="00BE4B85" w:rsidRDefault="008F4FD8" w:rsidP="002607A7">
            <w:pPr>
              <w:pStyle w:val="paragraph"/>
              <w:spacing w:before="0" w:beforeAutospacing="0" w:after="0" w:afterAutospacing="0"/>
              <w:contextualSpacing/>
              <w:textAlignment w:val="baseline"/>
              <w:rPr>
                <w:rFonts w:ascii="Verdana" w:hAnsi="Verdana" w:cs="Segoe UI"/>
                <w:sz w:val="16"/>
                <w:szCs w:val="16"/>
              </w:rPr>
            </w:pPr>
            <w:r w:rsidRPr="00BE4B85">
              <w:rPr>
                <w:rStyle w:val="normaltextrun"/>
                <w:rFonts w:ascii="Verdana" w:hAnsi="Verdana" w:cs="Arial"/>
                <w:sz w:val="16"/>
                <w:szCs w:val="16"/>
                <w:lang w:val="es-ES"/>
              </w:rPr>
              <w:t>Experto G3-08</w:t>
            </w:r>
            <w:r w:rsidR="00871B59" w:rsidRPr="00BE4B85">
              <w:rPr>
                <w:rStyle w:val="normaltextrun"/>
                <w:rFonts w:ascii="Verdana" w:hAnsi="Verdana" w:cs="Arial"/>
                <w:sz w:val="16"/>
                <w:szCs w:val="16"/>
                <w:lang w:val="es-ES"/>
              </w:rPr>
              <w:t xml:space="preserve"> de la Subdirección de Gestión Contractual</w:t>
            </w:r>
            <w:r w:rsidR="00871B59" w:rsidRPr="00BE4B85">
              <w:rPr>
                <w:rStyle w:val="eop"/>
                <w:rFonts w:ascii="Verdana" w:hAnsi="Verdana" w:cs="Arial"/>
                <w:sz w:val="16"/>
                <w:szCs w:val="16"/>
              </w:rPr>
              <w:t> </w:t>
            </w:r>
          </w:p>
        </w:tc>
      </w:tr>
      <w:tr w:rsidR="00871B59" w:rsidRPr="00593A5F" w14:paraId="2A81CFC8" w14:textId="77777777" w:rsidTr="002607A7">
        <w:trPr>
          <w:trHeight w:val="300"/>
        </w:trPr>
        <w:tc>
          <w:tcPr>
            <w:tcW w:w="893" w:type="dxa"/>
            <w:vAlign w:val="center"/>
          </w:tcPr>
          <w:p w14:paraId="3159EE97" w14:textId="77777777" w:rsidR="00871B59" w:rsidRPr="003751C7" w:rsidRDefault="00871B59" w:rsidP="002607A7">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222DF76" w14:textId="77777777" w:rsidR="00871B59" w:rsidRPr="00BE4B85" w:rsidRDefault="00871B59" w:rsidP="002607A7">
            <w:pPr>
              <w:contextualSpacing/>
              <w:rPr>
                <w:rFonts w:ascii="Verdana" w:eastAsia="Calibri" w:hAnsi="Verdana" w:cs="Arial"/>
                <w:sz w:val="16"/>
                <w:szCs w:val="16"/>
                <w:lang w:val="pt-BR" w:eastAsia="es-ES"/>
              </w:rPr>
            </w:pPr>
            <w:r w:rsidRPr="00BE4B85">
              <w:rPr>
                <w:rFonts w:ascii="Verdana" w:eastAsia="Calibri" w:hAnsi="Verdana" w:cs="Arial"/>
                <w:sz w:val="16"/>
                <w:szCs w:val="16"/>
                <w:lang w:val="pt-BR" w:eastAsia="es-ES"/>
              </w:rPr>
              <w:t xml:space="preserve">Carolina Quintero </w:t>
            </w:r>
            <w:proofErr w:type="spellStart"/>
            <w:r w:rsidRPr="00BE4B85">
              <w:rPr>
                <w:rFonts w:ascii="Verdana" w:eastAsia="Calibri" w:hAnsi="Verdana" w:cs="Arial"/>
                <w:sz w:val="16"/>
                <w:szCs w:val="16"/>
                <w:lang w:val="pt-BR" w:eastAsia="es-ES"/>
              </w:rPr>
              <w:t>Gacharná</w:t>
            </w:r>
            <w:proofErr w:type="spellEnd"/>
          </w:p>
          <w:p w14:paraId="6EE38C14" w14:textId="77777777" w:rsidR="00871B59" w:rsidRPr="00BE4B85" w:rsidRDefault="00871B59" w:rsidP="002607A7">
            <w:pPr>
              <w:contextualSpacing/>
              <w:rPr>
                <w:rFonts w:ascii="Verdana" w:eastAsia="Calibri" w:hAnsi="Verdana" w:cs="Arial"/>
                <w:sz w:val="16"/>
                <w:szCs w:val="16"/>
                <w:lang w:val="pt-BR" w:eastAsia="es-ES"/>
              </w:rPr>
            </w:pPr>
            <w:r w:rsidRPr="00BE4B85">
              <w:rPr>
                <w:rFonts w:ascii="Verdana" w:eastAsia="Calibri" w:hAnsi="Verdana" w:cs="Arial"/>
                <w:sz w:val="16"/>
                <w:szCs w:val="16"/>
                <w:lang w:eastAsia="es-ES"/>
              </w:rPr>
              <w:t>Subdirectora</w:t>
            </w:r>
            <w:r w:rsidRPr="00BE4B85">
              <w:rPr>
                <w:rFonts w:ascii="Verdana" w:eastAsia="Calibri" w:hAnsi="Verdana" w:cs="Arial"/>
                <w:sz w:val="16"/>
                <w:szCs w:val="16"/>
                <w:lang w:val="pt-BR" w:eastAsia="es-ES"/>
              </w:rPr>
              <w:t xml:space="preserve"> de Gestión </w:t>
            </w:r>
            <w:proofErr w:type="spellStart"/>
            <w:r w:rsidRPr="00BE4B85">
              <w:rPr>
                <w:rFonts w:ascii="Verdana" w:eastAsia="Calibri" w:hAnsi="Verdana" w:cs="Arial"/>
                <w:sz w:val="16"/>
                <w:szCs w:val="16"/>
                <w:lang w:val="pt-BR" w:eastAsia="es-ES"/>
              </w:rPr>
              <w:t>Contractual</w:t>
            </w:r>
            <w:proofErr w:type="spellEnd"/>
            <w:r w:rsidRPr="00BE4B85">
              <w:rPr>
                <w:rFonts w:ascii="Verdana" w:eastAsia="Calibri" w:hAnsi="Verdana" w:cs="Arial"/>
                <w:sz w:val="16"/>
                <w:szCs w:val="16"/>
                <w:lang w:val="pt-BR" w:eastAsia="es-ES"/>
              </w:rPr>
              <w:t xml:space="preserve"> ANCP – CCE</w:t>
            </w:r>
          </w:p>
        </w:tc>
      </w:tr>
    </w:tbl>
    <w:p w14:paraId="510CF084" w14:textId="77777777" w:rsidR="00871B59" w:rsidRPr="00593A5F" w:rsidRDefault="00871B59" w:rsidP="00871B59">
      <w:pPr>
        <w:spacing w:after="0" w:line="240" w:lineRule="auto"/>
        <w:rPr>
          <w:rFonts w:ascii="Verdana" w:eastAsia="Times New Roman" w:hAnsi="Verdana" w:cs="Arial"/>
          <w:sz w:val="24"/>
          <w:szCs w:val="24"/>
          <w:lang w:eastAsia="es-ES"/>
        </w:rPr>
      </w:pPr>
    </w:p>
    <w:p w14:paraId="0083C991" w14:textId="5C765C2F" w:rsidR="5D8505AD" w:rsidRPr="00871B59" w:rsidRDefault="5D8505AD" w:rsidP="00871B59"/>
    <w:sectPr w:rsidR="5D8505AD" w:rsidRPr="00871B59" w:rsidSect="00E45F4B">
      <w:headerReference w:type="default" r:id="rId17"/>
      <w:footerReference w:type="default" r:id="rId18"/>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5DFDCFC" w14:textId="77777777" w:rsidR="004A2EF5" w:rsidRDefault="004A2EF5" w:rsidP="00B30448">
      <w:pPr>
        <w:spacing w:after="0" w:line="240" w:lineRule="auto"/>
      </w:pPr>
      <w:r>
        <w:separator/>
      </w:r>
    </w:p>
  </w:endnote>
  <w:endnote w:type="continuationSeparator" w:id="0">
    <w:p w14:paraId="5804B53A" w14:textId="77777777" w:rsidR="004A2EF5" w:rsidRDefault="004A2EF5" w:rsidP="00B30448">
      <w:pPr>
        <w:spacing w:after="0" w:line="240" w:lineRule="auto"/>
      </w:pPr>
      <w:r>
        <w:continuationSeparator/>
      </w:r>
    </w:p>
  </w:endnote>
  <w:endnote w:type="continuationNotice" w:id="1">
    <w:p w14:paraId="47F3F73C" w14:textId="77777777" w:rsidR="004A2EF5" w:rsidRDefault="004A2EF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Century Gothic">
    <w:altName w:val="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A7DACD" w14:textId="77777777" w:rsidR="000849D5" w:rsidRDefault="000849D5" w:rsidP="000849D5">
    <w:pPr>
      <w:spacing w:after="0"/>
      <w:rPr>
        <w:rFonts w:ascii="Verdana" w:hAnsi="Verdana"/>
        <w:b/>
        <w:bCs/>
        <w:sz w:val="20"/>
        <w:szCs w:val="20"/>
      </w:rPr>
    </w:pPr>
  </w:p>
  <w:p w14:paraId="6681ECB2"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1625D2E"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559D727E"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143E423D"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337FD84E" w14:textId="77777777" w:rsidR="000849D5" w:rsidRPr="007D04B2" w:rsidRDefault="000849D5" w:rsidP="000849D5">
    <w:pPr>
      <w:pStyle w:val="Piedepgina"/>
    </w:pPr>
  </w:p>
  <w:p w14:paraId="769219E2"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52CEB41" w14:textId="77777777" w:rsidR="004A2EF5" w:rsidRDefault="004A2EF5" w:rsidP="00B30448">
      <w:pPr>
        <w:spacing w:after="0" w:line="240" w:lineRule="auto"/>
      </w:pPr>
      <w:r>
        <w:separator/>
      </w:r>
    </w:p>
  </w:footnote>
  <w:footnote w:type="continuationSeparator" w:id="0">
    <w:p w14:paraId="7B4FB402" w14:textId="77777777" w:rsidR="004A2EF5" w:rsidRDefault="004A2EF5" w:rsidP="00B30448">
      <w:pPr>
        <w:spacing w:after="0" w:line="240" w:lineRule="auto"/>
      </w:pPr>
      <w:r>
        <w:continuationSeparator/>
      </w:r>
    </w:p>
  </w:footnote>
  <w:footnote w:type="continuationNotice" w:id="1">
    <w:p w14:paraId="5CB4586B" w14:textId="77777777" w:rsidR="004A2EF5" w:rsidRDefault="004A2EF5">
      <w:pPr>
        <w:spacing w:after="0" w:line="240" w:lineRule="auto"/>
      </w:pPr>
    </w:p>
  </w:footnote>
  <w:footnote w:id="2">
    <w:p w14:paraId="4DBDC77C" w14:textId="169789BE" w:rsidR="00DA274D" w:rsidRPr="00DA274D" w:rsidRDefault="00DA274D" w:rsidP="00DA274D">
      <w:pPr>
        <w:widowControl w:val="0"/>
        <w:autoSpaceDE w:val="0"/>
        <w:autoSpaceDN w:val="0"/>
        <w:spacing w:after="120" w:line="276" w:lineRule="auto"/>
        <w:jc w:val="both"/>
        <w:rPr>
          <w:rFonts w:ascii="Verdana" w:hAnsi="Verdana" w:cs="Arial"/>
          <w:sz w:val="16"/>
          <w:szCs w:val="16"/>
        </w:rPr>
      </w:pPr>
      <w:r w:rsidRPr="00DA274D">
        <w:rPr>
          <w:rStyle w:val="Refdenotaalpie"/>
          <w:sz w:val="16"/>
          <w:szCs w:val="16"/>
        </w:rPr>
        <w:footnoteRef/>
      </w:r>
      <w:r w:rsidRPr="00DA274D">
        <w:rPr>
          <w:sz w:val="16"/>
          <w:szCs w:val="16"/>
        </w:rPr>
        <w:t xml:space="preserve"> </w:t>
      </w:r>
      <w:r w:rsidRPr="00DA274D">
        <w:rPr>
          <w:rFonts w:ascii="Verdana" w:hAnsi="Verdana" w:cs="Arial"/>
          <w:sz w:val="16"/>
          <w:szCs w:val="16"/>
        </w:rPr>
        <w:t xml:space="preserve">Consejo de Estado Sala </w:t>
      </w:r>
      <w:r>
        <w:rPr>
          <w:rFonts w:ascii="Verdana" w:hAnsi="Verdana" w:cs="Arial"/>
          <w:sz w:val="16"/>
          <w:szCs w:val="16"/>
        </w:rPr>
        <w:t>d</w:t>
      </w:r>
      <w:r w:rsidRPr="00DA274D">
        <w:rPr>
          <w:rFonts w:ascii="Verdana" w:hAnsi="Verdana" w:cs="Arial"/>
          <w:sz w:val="16"/>
          <w:szCs w:val="16"/>
        </w:rPr>
        <w:t xml:space="preserve">e Consulta y Servicio Civil Consejero </w:t>
      </w:r>
      <w:r>
        <w:rPr>
          <w:rFonts w:ascii="Verdana" w:hAnsi="Verdana" w:cs="Arial"/>
          <w:sz w:val="16"/>
          <w:szCs w:val="16"/>
        </w:rPr>
        <w:t>P</w:t>
      </w:r>
      <w:r w:rsidRPr="00DA274D">
        <w:rPr>
          <w:rFonts w:ascii="Verdana" w:hAnsi="Verdana" w:cs="Arial"/>
          <w:sz w:val="16"/>
          <w:szCs w:val="16"/>
        </w:rPr>
        <w:t>onente: Gustavo Eduardo Aponte Santos Bogotá D.C., nueve (9) de octubre de dos mil tres (2003</w:t>
      </w:r>
      <w:proofErr w:type="gramStart"/>
      <w:r w:rsidRPr="00DA274D">
        <w:rPr>
          <w:rFonts w:ascii="Verdana" w:hAnsi="Verdana" w:cs="Arial"/>
          <w:sz w:val="16"/>
          <w:szCs w:val="16"/>
        </w:rPr>
        <w:t>).-</w:t>
      </w:r>
      <w:proofErr w:type="gramEnd"/>
      <w:r w:rsidRPr="00DA274D">
        <w:rPr>
          <w:rFonts w:ascii="Verdana" w:hAnsi="Verdana" w:cs="Arial"/>
          <w:sz w:val="16"/>
          <w:szCs w:val="16"/>
        </w:rPr>
        <w:t>Radicación número: 1513. Disponible en</w:t>
      </w:r>
      <w:r w:rsidRPr="00DA274D">
        <w:rPr>
          <w:rFonts w:ascii="Verdana" w:hAnsi="Verdana" w:cs="Arial"/>
          <w:sz w:val="16"/>
          <w:szCs w:val="16"/>
          <w:u w:val="single"/>
        </w:rPr>
        <w:t>https://www.consejodeestado.gov.co/buscador-de-jurisprude ncia2/</w:t>
      </w:r>
    </w:p>
    <w:p w14:paraId="287309F7" w14:textId="049AB41F" w:rsidR="00DA274D" w:rsidRPr="00DA274D" w:rsidRDefault="00DA274D">
      <w:pPr>
        <w:pStyle w:val="Textonotapie"/>
        <w:rPr>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849537"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5E688DB8" wp14:editId="6C11BD5C">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7F9A5360" wp14:editId="5E7D8BE0">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35D63E7" w14:textId="77777777" w:rsidR="00515FB5" w:rsidRDefault="00515FB5" w:rsidP="00515FB5">
    <w:pPr>
      <w:pStyle w:val="Encabezado"/>
    </w:pPr>
  </w:p>
  <w:p w14:paraId="10CE77C0" w14:textId="77777777" w:rsidR="00515FB5" w:rsidRDefault="00515FB5" w:rsidP="00515FB5">
    <w:pPr>
      <w:pStyle w:val="Encabezado"/>
    </w:pPr>
  </w:p>
  <w:p w14:paraId="5BD4CAA1" w14:textId="77777777" w:rsidR="00515FB5" w:rsidRDefault="00515FB5" w:rsidP="00515FB5">
    <w:pPr>
      <w:pStyle w:val="Encabezado"/>
    </w:pPr>
  </w:p>
  <w:p w14:paraId="0D6E6014" w14:textId="77777777" w:rsidR="00515FB5" w:rsidRPr="00AB7B56" w:rsidRDefault="00515FB5" w:rsidP="00515FB5">
    <w:pPr>
      <w:pStyle w:val="Encabezado"/>
    </w:pPr>
  </w:p>
  <w:p w14:paraId="68E0C024"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jc w:val="left"/>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jc w:val="left"/>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51B6B92"/>
    <w:multiLevelType w:val="hybridMultilevel"/>
    <w:tmpl w:val="332ED11C"/>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5"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num w:numId="1" w16cid:durableId="1290670214">
    <w:abstractNumId w:val="6"/>
  </w:num>
  <w:num w:numId="2" w16cid:durableId="4285022">
    <w:abstractNumId w:val="2"/>
  </w:num>
  <w:num w:numId="3" w16cid:durableId="881983949">
    <w:abstractNumId w:val="3"/>
  </w:num>
  <w:num w:numId="4" w16cid:durableId="341274352">
    <w:abstractNumId w:val="0"/>
  </w:num>
  <w:num w:numId="5" w16cid:durableId="1887524674">
    <w:abstractNumId w:val="8"/>
  </w:num>
  <w:num w:numId="6" w16cid:durableId="1082990391">
    <w:abstractNumId w:val="1"/>
  </w:num>
  <w:num w:numId="7" w16cid:durableId="1492209491">
    <w:abstractNumId w:val="5"/>
  </w:num>
  <w:num w:numId="8" w16cid:durableId="679089576">
    <w:abstractNumId w:val="7"/>
  </w:num>
  <w:num w:numId="9" w16cid:durableId="131163798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6F3"/>
    <w:rsid w:val="000037AE"/>
    <w:rsid w:val="00005BB0"/>
    <w:rsid w:val="0001025F"/>
    <w:rsid w:val="0001222D"/>
    <w:rsid w:val="000135EB"/>
    <w:rsid w:val="00015D2B"/>
    <w:rsid w:val="00031584"/>
    <w:rsid w:val="00032A0E"/>
    <w:rsid w:val="00037347"/>
    <w:rsid w:val="000442CC"/>
    <w:rsid w:val="000556D4"/>
    <w:rsid w:val="000716AB"/>
    <w:rsid w:val="00080C86"/>
    <w:rsid w:val="00082E4C"/>
    <w:rsid w:val="000849D5"/>
    <w:rsid w:val="0008528F"/>
    <w:rsid w:val="000A6E0C"/>
    <w:rsid w:val="000A7A56"/>
    <w:rsid w:val="000B1FF7"/>
    <w:rsid w:val="000B2513"/>
    <w:rsid w:val="000B4024"/>
    <w:rsid w:val="000C3C51"/>
    <w:rsid w:val="000C7262"/>
    <w:rsid w:val="000D2A7F"/>
    <w:rsid w:val="000D4FCE"/>
    <w:rsid w:val="000E1DED"/>
    <w:rsid w:val="0011037E"/>
    <w:rsid w:val="001363C7"/>
    <w:rsid w:val="00137E5C"/>
    <w:rsid w:val="00141AC5"/>
    <w:rsid w:val="00146B11"/>
    <w:rsid w:val="00147A04"/>
    <w:rsid w:val="0015476D"/>
    <w:rsid w:val="00161E13"/>
    <w:rsid w:val="00164AE0"/>
    <w:rsid w:val="00165E83"/>
    <w:rsid w:val="00166CD7"/>
    <w:rsid w:val="0017120C"/>
    <w:rsid w:val="00172F3A"/>
    <w:rsid w:val="0019532A"/>
    <w:rsid w:val="0019670E"/>
    <w:rsid w:val="00197205"/>
    <w:rsid w:val="001A5DD4"/>
    <w:rsid w:val="001A67E9"/>
    <w:rsid w:val="001B143B"/>
    <w:rsid w:val="001B21CA"/>
    <w:rsid w:val="001C04FC"/>
    <w:rsid w:val="001C25A3"/>
    <w:rsid w:val="001C5D03"/>
    <w:rsid w:val="001C7771"/>
    <w:rsid w:val="001D62FF"/>
    <w:rsid w:val="001F3F48"/>
    <w:rsid w:val="002000AA"/>
    <w:rsid w:val="00204109"/>
    <w:rsid w:val="00211E6E"/>
    <w:rsid w:val="00212A46"/>
    <w:rsid w:val="0021401D"/>
    <w:rsid w:val="002146B8"/>
    <w:rsid w:val="00215516"/>
    <w:rsid w:val="002527C2"/>
    <w:rsid w:val="00253E42"/>
    <w:rsid w:val="00270443"/>
    <w:rsid w:val="00270EE2"/>
    <w:rsid w:val="00272972"/>
    <w:rsid w:val="00286491"/>
    <w:rsid w:val="002973E9"/>
    <w:rsid w:val="002A0F8D"/>
    <w:rsid w:val="002B6E44"/>
    <w:rsid w:val="002E1DB5"/>
    <w:rsid w:val="002F6CCB"/>
    <w:rsid w:val="0030461E"/>
    <w:rsid w:val="0032756A"/>
    <w:rsid w:val="00334EF8"/>
    <w:rsid w:val="00336408"/>
    <w:rsid w:val="00340DFB"/>
    <w:rsid w:val="0034404F"/>
    <w:rsid w:val="003503A5"/>
    <w:rsid w:val="00356980"/>
    <w:rsid w:val="00367462"/>
    <w:rsid w:val="00371ECA"/>
    <w:rsid w:val="00372748"/>
    <w:rsid w:val="0037332A"/>
    <w:rsid w:val="0038151A"/>
    <w:rsid w:val="0039082A"/>
    <w:rsid w:val="00390C21"/>
    <w:rsid w:val="003A37BD"/>
    <w:rsid w:val="003B6D94"/>
    <w:rsid w:val="003C4C96"/>
    <w:rsid w:val="003C55E0"/>
    <w:rsid w:val="003F519B"/>
    <w:rsid w:val="0040544F"/>
    <w:rsid w:val="00406A19"/>
    <w:rsid w:val="0041222D"/>
    <w:rsid w:val="0041483E"/>
    <w:rsid w:val="00415369"/>
    <w:rsid w:val="00430492"/>
    <w:rsid w:val="00450BE7"/>
    <w:rsid w:val="0046741E"/>
    <w:rsid w:val="00472CC6"/>
    <w:rsid w:val="0048026E"/>
    <w:rsid w:val="004807A9"/>
    <w:rsid w:val="004813EE"/>
    <w:rsid w:val="00493278"/>
    <w:rsid w:val="004943D9"/>
    <w:rsid w:val="00497240"/>
    <w:rsid w:val="004A0E7B"/>
    <w:rsid w:val="004A2EF5"/>
    <w:rsid w:val="004A3498"/>
    <w:rsid w:val="004B0C45"/>
    <w:rsid w:val="004C0AB2"/>
    <w:rsid w:val="004C1619"/>
    <w:rsid w:val="004C1A26"/>
    <w:rsid w:val="004C1CC9"/>
    <w:rsid w:val="004C3755"/>
    <w:rsid w:val="004C4485"/>
    <w:rsid w:val="004D11AF"/>
    <w:rsid w:val="00500DFA"/>
    <w:rsid w:val="005019AA"/>
    <w:rsid w:val="005021BB"/>
    <w:rsid w:val="00503F07"/>
    <w:rsid w:val="005139E7"/>
    <w:rsid w:val="005147DA"/>
    <w:rsid w:val="00515FB5"/>
    <w:rsid w:val="0052365C"/>
    <w:rsid w:val="005271EB"/>
    <w:rsid w:val="00540015"/>
    <w:rsid w:val="005426DB"/>
    <w:rsid w:val="0055082B"/>
    <w:rsid w:val="00552503"/>
    <w:rsid w:val="00552B57"/>
    <w:rsid w:val="00557DA1"/>
    <w:rsid w:val="0056322C"/>
    <w:rsid w:val="0057162E"/>
    <w:rsid w:val="0058743A"/>
    <w:rsid w:val="005A4DB0"/>
    <w:rsid w:val="005A7B8E"/>
    <w:rsid w:val="005B012B"/>
    <w:rsid w:val="005B0C87"/>
    <w:rsid w:val="005B0EF0"/>
    <w:rsid w:val="005D23F6"/>
    <w:rsid w:val="005D2FA8"/>
    <w:rsid w:val="005E11FB"/>
    <w:rsid w:val="005E2281"/>
    <w:rsid w:val="005E667C"/>
    <w:rsid w:val="005F077C"/>
    <w:rsid w:val="005F63D0"/>
    <w:rsid w:val="005F7973"/>
    <w:rsid w:val="0061690E"/>
    <w:rsid w:val="00627361"/>
    <w:rsid w:val="0063017E"/>
    <w:rsid w:val="00631B28"/>
    <w:rsid w:val="00645B90"/>
    <w:rsid w:val="00650991"/>
    <w:rsid w:val="006511D7"/>
    <w:rsid w:val="00663D75"/>
    <w:rsid w:val="00670AEF"/>
    <w:rsid w:val="006730E9"/>
    <w:rsid w:val="00675678"/>
    <w:rsid w:val="00677012"/>
    <w:rsid w:val="006825B4"/>
    <w:rsid w:val="00682AF2"/>
    <w:rsid w:val="006864DF"/>
    <w:rsid w:val="006A3C8A"/>
    <w:rsid w:val="006A7552"/>
    <w:rsid w:val="006B5953"/>
    <w:rsid w:val="006B7A81"/>
    <w:rsid w:val="006C4BAC"/>
    <w:rsid w:val="006C52F3"/>
    <w:rsid w:val="006E7F37"/>
    <w:rsid w:val="006F3B81"/>
    <w:rsid w:val="006F4F79"/>
    <w:rsid w:val="00705B37"/>
    <w:rsid w:val="00711FD9"/>
    <w:rsid w:val="00715405"/>
    <w:rsid w:val="00735062"/>
    <w:rsid w:val="00746BA5"/>
    <w:rsid w:val="00751D23"/>
    <w:rsid w:val="00770577"/>
    <w:rsid w:val="00777666"/>
    <w:rsid w:val="0078159B"/>
    <w:rsid w:val="00782E10"/>
    <w:rsid w:val="0078706B"/>
    <w:rsid w:val="00790836"/>
    <w:rsid w:val="00797131"/>
    <w:rsid w:val="007A3C1D"/>
    <w:rsid w:val="007B285D"/>
    <w:rsid w:val="007C6BC6"/>
    <w:rsid w:val="00807D79"/>
    <w:rsid w:val="00813634"/>
    <w:rsid w:val="00816CA4"/>
    <w:rsid w:val="00822821"/>
    <w:rsid w:val="00831C29"/>
    <w:rsid w:val="008431EF"/>
    <w:rsid w:val="008468E0"/>
    <w:rsid w:val="00861BA6"/>
    <w:rsid w:val="00871B59"/>
    <w:rsid w:val="00877D03"/>
    <w:rsid w:val="00877E96"/>
    <w:rsid w:val="008806CA"/>
    <w:rsid w:val="008815E5"/>
    <w:rsid w:val="00887B37"/>
    <w:rsid w:val="008909B9"/>
    <w:rsid w:val="00891DFC"/>
    <w:rsid w:val="008B12B4"/>
    <w:rsid w:val="008B7914"/>
    <w:rsid w:val="008C52FB"/>
    <w:rsid w:val="008C5D2A"/>
    <w:rsid w:val="008C7AF4"/>
    <w:rsid w:val="008D529F"/>
    <w:rsid w:val="008F1CE8"/>
    <w:rsid w:val="008F4FD8"/>
    <w:rsid w:val="008F5CC8"/>
    <w:rsid w:val="009061B8"/>
    <w:rsid w:val="0091008B"/>
    <w:rsid w:val="00911EA2"/>
    <w:rsid w:val="00913DAE"/>
    <w:rsid w:val="00916C7D"/>
    <w:rsid w:val="009231E5"/>
    <w:rsid w:val="0092575D"/>
    <w:rsid w:val="009341DA"/>
    <w:rsid w:val="00934AEF"/>
    <w:rsid w:val="009430F9"/>
    <w:rsid w:val="009442E8"/>
    <w:rsid w:val="00946BD0"/>
    <w:rsid w:val="0095426C"/>
    <w:rsid w:val="00970087"/>
    <w:rsid w:val="00971074"/>
    <w:rsid w:val="009733C1"/>
    <w:rsid w:val="00995D86"/>
    <w:rsid w:val="009A279B"/>
    <w:rsid w:val="009A5453"/>
    <w:rsid w:val="009B4D94"/>
    <w:rsid w:val="009C2871"/>
    <w:rsid w:val="009D35D4"/>
    <w:rsid w:val="009D3C33"/>
    <w:rsid w:val="009D7F3A"/>
    <w:rsid w:val="009E4885"/>
    <w:rsid w:val="00A07DB6"/>
    <w:rsid w:val="00A10A73"/>
    <w:rsid w:val="00A170B3"/>
    <w:rsid w:val="00A223D5"/>
    <w:rsid w:val="00A27239"/>
    <w:rsid w:val="00A33387"/>
    <w:rsid w:val="00A37D1C"/>
    <w:rsid w:val="00A5453E"/>
    <w:rsid w:val="00A56F6C"/>
    <w:rsid w:val="00A6400B"/>
    <w:rsid w:val="00A76C8C"/>
    <w:rsid w:val="00A85F30"/>
    <w:rsid w:val="00A871A0"/>
    <w:rsid w:val="00A9099E"/>
    <w:rsid w:val="00A91FB7"/>
    <w:rsid w:val="00A9298F"/>
    <w:rsid w:val="00AA0351"/>
    <w:rsid w:val="00AA5F4A"/>
    <w:rsid w:val="00AB1984"/>
    <w:rsid w:val="00AB52B1"/>
    <w:rsid w:val="00AC353D"/>
    <w:rsid w:val="00AC4CB3"/>
    <w:rsid w:val="00AC780D"/>
    <w:rsid w:val="00AD036B"/>
    <w:rsid w:val="00AD1996"/>
    <w:rsid w:val="00AD4099"/>
    <w:rsid w:val="00AD4901"/>
    <w:rsid w:val="00B02FE0"/>
    <w:rsid w:val="00B057B6"/>
    <w:rsid w:val="00B24F61"/>
    <w:rsid w:val="00B30448"/>
    <w:rsid w:val="00B34786"/>
    <w:rsid w:val="00B400EC"/>
    <w:rsid w:val="00B40162"/>
    <w:rsid w:val="00B41ACE"/>
    <w:rsid w:val="00B50156"/>
    <w:rsid w:val="00B518AD"/>
    <w:rsid w:val="00B60A96"/>
    <w:rsid w:val="00B678EC"/>
    <w:rsid w:val="00B76C94"/>
    <w:rsid w:val="00B772D0"/>
    <w:rsid w:val="00B836EA"/>
    <w:rsid w:val="00B839D9"/>
    <w:rsid w:val="00B84C05"/>
    <w:rsid w:val="00B91B81"/>
    <w:rsid w:val="00B97135"/>
    <w:rsid w:val="00BB3072"/>
    <w:rsid w:val="00BC7632"/>
    <w:rsid w:val="00BD48A9"/>
    <w:rsid w:val="00BD630F"/>
    <w:rsid w:val="00BD6B28"/>
    <w:rsid w:val="00BD7EC6"/>
    <w:rsid w:val="00BE4B85"/>
    <w:rsid w:val="00BE73FA"/>
    <w:rsid w:val="00BF6B4B"/>
    <w:rsid w:val="00C0511C"/>
    <w:rsid w:val="00C20ACF"/>
    <w:rsid w:val="00C22307"/>
    <w:rsid w:val="00C23469"/>
    <w:rsid w:val="00C30C62"/>
    <w:rsid w:val="00C371DF"/>
    <w:rsid w:val="00C42055"/>
    <w:rsid w:val="00C44B4C"/>
    <w:rsid w:val="00C46734"/>
    <w:rsid w:val="00C47A86"/>
    <w:rsid w:val="00C53220"/>
    <w:rsid w:val="00C53B1E"/>
    <w:rsid w:val="00CA3347"/>
    <w:rsid w:val="00CC299A"/>
    <w:rsid w:val="00CD03E3"/>
    <w:rsid w:val="00CE6BDA"/>
    <w:rsid w:val="00D03DBE"/>
    <w:rsid w:val="00D072C0"/>
    <w:rsid w:val="00D34C82"/>
    <w:rsid w:val="00D3757A"/>
    <w:rsid w:val="00D504A9"/>
    <w:rsid w:val="00D5206D"/>
    <w:rsid w:val="00D6347D"/>
    <w:rsid w:val="00D7177D"/>
    <w:rsid w:val="00D81311"/>
    <w:rsid w:val="00DA274D"/>
    <w:rsid w:val="00DB201E"/>
    <w:rsid w:val="00DC0E68"/>
    <w:rsid w:val="00DD25ED"/>
    <w:rsid w:val="00DE0D6E"/>
    <w:rsid w:val="00DE2DB4"/>
    <w:rsid w:val="00E1610C"/>
    <w:rsid w:val="00E16D73"/>
    <w:rsid w:val="00E23E9E"/>
    <w:rsid w:val="00E25722"/>
    <w:rsid w:val="00E27F0A"/>
    <w:rsid w:val="00E4231E"/>
    <w:rsid w:val="00E4302C"/>
    <w:rsid w:val="00E44AC7"/>
    <w:rsid w:val="00E45F4B"/>
    <w:rsid w:val="00E60A16"/>
    <w:rsid w:val="00E82B6E"/>
    <w:rsid w:val="00E94258"/>
    <w:rsid w:val="00E96C18"/>
    <w:rsid w:val="00EA2E61"/>
    <w:rsid w:val="00EA7D7F"/>
    <w:rsid w:val="00EB02F4"/>
    <w:rsid w:val="00EB2FA2"/>
    <w:rsid w:val="00EB5468"/>
    <w:rsid w:val="00EB769A"/>
    <w:rsid w:val="00EC3A35"/>
    <w:rsid w:val="00ED015B"/>
    <w:rsid w:val="00EE17F2"/>
    <w:rsid w:val="00EE3138"/>
    <w:rsid w:val="00EE4AA8"/>
    <w:rsid w:val="00EF2AC7"/>
    <w:rsid w:val="00EF400A"/>
    <w:rsid w:val="00EF6BE4"/>
    <w:rsid w:val="00EF6E5D"/>
    <w:rsid w:val="00F07764"/>
    <w:rsid w:val="00F12517"/>
    <w:rsid w:val="00F131DD"/>
    <w:rsid w:val="00F16BA1"/>
    <w:rsid w:val="00F24435"/>
    <w:rsid w:val="00F30C0F"/>
    <w:rsid w:val="00F314E8"/>
    <w:rsid w:val="00F323A2"/>
    <w:rsid w:val="00F33B57"/>
    <w:rsid w:val="00F33D5C"/>
    <w:rsid w:val="00F34E90"/>
    <w:rsid w:val="00F356D6"/>
    <w:rsid w:val="00F53BE2"/>
    <w:rsid w:val="00F55684"/>
    <w:rsid w:val="00F64D5A"/>
    <w:rsid w:val="00F709CD"/>
    <w:rsid w:val="00F906F4"/>
    <w:rsid w:val="00FA0716"/>
    <w:rsid w:val="00FB34E3"/>
    <w:rsid w:val="00FB4629"/>
    <w:rsid w:val="00FB6FB1"/>
    <w:rsid w:val="00FB7063"/>
    <w:rsid w:val="00FC7056"/>
    <w:rsid w:val="00FD6044"/>
    <w:rsid w:val="00FE05FF"/>
    <w:rsid w:val="00FE1A00"/>
    <w:rsid w:val="024D7E2C"/>
    <w:rsid w:val="0655D2A0"/>
    <w:rsid w:val="0D2EB883"/>
    <w:rsid w:val="0D8163B6"/>
    <w:rsid w:val="13A69650"/>
    <w:rsid w:val="1BB32F19"/>
    <w:rsid w:val="1F2C3AF5"/>
    <w:rsid w:val="1FF4886A"/>
    <w:rsid w:val="22D2584A"/>
    <w:rsid w:val="28751A95"/>
    <w:rsid w:val="29FA8189"/>
    <w:rsid w:val="2C00A012"/>
    <w:rsid w:val="389994B3"/>
    <w:rsid w:val="3B30A011"/>
    <w:rsid w:val="3B93C128"/>
    <w:rsid w:val="3CFBE104"/>
    <w:rsid w:val="4C0EAEBC"/>
    <w:rsid w:val="510454D8"/>
    <w:rsid w:val="521E120A"/>
    <w:rsid w:val="5D8505AD"/>
    <w:rsid w:val="71443FBB"/>
    <w:rsid w:val="72EE784C"/>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1560977">
      <w:bodyDiv w:val="1"/>
      <w:marLeft w:val="0"/>
      <w:marRight w:val="0"/>
      <w:marTop w:val="0"/>
      <w:marBottom w:val="0"/>
      <w:divBdr>
        <w:top w:val="none" w:sz="0" w:space="0" w:color="auto"/>
        <w:left w:val="none" w:sz="0" w:space="0" w:color="auto"/>
        <w:bottom w:val="none" w:sz="0" w:space="0" w:color="auto"/>
        <w:right w:val="none" w:sz="0" w:space="0" w:color="auto"/>
      </w:divBdr>
    </w:div>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364986123">
      <w:bodyDiv w:val="1"/>
      <w:marLeft w:val="0"/>
      <w:marRight w:val="0"/>
      <w:marTop w:val="0"/>
      <w:marBottom w:val="0"/>
      <w:divBdr>
        <w:top w:val="none" w:sz="0" w:space="0" w:color="auto"/>
        <w:left w:val="none" w:sz="0" w:space="0" w:color="auto"/>
        <w:bottom w:val="none" w:sz="0" w:space="0" w:color="auto"/>
        <w:right w:val="none" w:sz="0" w:space="0" w:color="auto"/>
      </w:divBdr>
    </w:div>
    <w:div w:id="47776873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659581978">
      <w:bodyDiv w:val="1"/>
      <w:marLeft w:val="0"/>
      <w:marRight w:val="0"/>
      <w:marTop w:val="0"/>
      <w:marBottom w:val="0"/>
      <w:divBdr>
        <w:top w:val="none" w:sz="0" w:space="0" w:color="auto"/>
        <w:left w:val="none" w:sz="0" w:space="0" w:color="auto"/>
        <w:bottom w:val="none" w:sz="0" w:space="0" w:color="auto"/>
        <w:right w:val="none" w:sz="0" w:space="0" w:color="auto"/>
      </w:divBdr>
    </w:div>
    <w:div w:id="737561229">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973410629">
      <w:bodyDiv w:val="1"/>
      <w:marLeft w:val="0"/>
      <w:marRight w:val="0"/>
      <w:marTop w:val="0"/>
      <w:marBottom w:val="0"/>
      <w:divBdr>
        <w:top w:val="none" w:sz="0" w:space="0" w:color="auto"/>
        <w:left w:val="none" w:sz="0" w:space="0" w:color="auto"/>
        <w:bottom w:val="none" w:sz="0" w:space="0" w:color="auto"/>
        <w:right w:val="none" w:sz="0" w:space="0" w:color="auto"/>
      </w:divBdr>
    </w:div>
    <w:div w:id="1187870855">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250844540">
      <w:bodyDiv w:val="1"/>
      <w:marLeft w:val="0"/>
      <w:marRight w:val="0"/>
      <w:marTop w:val="0"/>
      <w:marBottom w:val="0"/>
      <w:divBdr>
        <w:top w:val="none" w:sz="0" w:space="0" w:color="auto"/>
        <w:left w:val="none" w:sz="0" w:space="0" w:color="auto"/>
        <w:bottom w:val="none" w:sz="0" w:space="0" w:color="auto"/>
        <w:right w:val="none" w:sz="0" w:space="0" w:color="auto"/>
      </w:divBdr>
    </w:div>
    <w:div w:id="1299267078">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615792695">
      <w:bodyDiv w:val="1"/>
      <w:marLeft w:val="0"/>
      <w:marRight w:val="0"/>
      <w:marTop w:val="0"/>
      <w:marBottom w:val="0"/>
      <w:divBdr>
        <w:top w:val="none" w:sz="0" w:space="0" w:color="auto"/>
        <w:left w:val="none" w:sz="0" w:space="0" w:color="auto"/>
        <w:bottom w:val="none" w:sz="0" w:space="0" w:color="auto"/>
        <w:right w:val="none" w:sz="0" w:space="0" w:color="auto"/>
      </w:divBdr>
    </w:div>
    <w:div w:id="167746146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manuales-guias-y-pliegos-tipo/manuales-y-guias"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providencias-consejo-de-estad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olombiacompra.gov.co/sala-de-prensa/boletin-digital"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3B8AE37-E1F3-4B08-98E9-52F0B3FA79CF}">
  <ds:schemaRefs>
    <ds:schemaRef ds:uri="http://schemas.openxmlformats.org/package/2006/metadata/core-properties"/>
    <ds:schemaRef ds:uri="9d85dbaf-23eb-4e57-a637-93dcacc8b1a1"/>
    <ds:schemaRef ds:uri="http://www.w3.org/XML/1998/namespace"/>
    <ds:schemaRef ds:uri="http://schemas.microsoft.com/office/2006/documentManagement/types"/>
    <ds:schemaRef ds:uri="http://schemas.microsoft.com/office/infopath/2007/PartnerControls"/>
    <ds:schemaRef ds:uri="a6cb9e4b-f1d1-4245-83ec-6cad768d538a"/>
    <ds:schemaRef ds:uri="http://purl.org/dc/dcmitype/"/>
    <ds:schemaRef ds:uri="http://schemas.microsoft.com/office/2006/metadata/properties"/>
    <ds:schemaRef ds:uri="http://purl.org/dc/terms/"/>
    <ds:schemaRef ds:uri="http://purl.org/dc/elements/1.1/"/>
  </ds:schemaRefs>
</ds:datastoreItem>
</file>

<file path=customXml/itemProps2.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3.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4.xml><?xml version="1.0" encoding="utf-8"?>
<ds:datastoreItem xmlns:ds="http://schemas.openxmlformats.org/officeDocument/2006/customXml" ds:itemID="{B2843723-D73A-40E9-95E7-857E24E9F3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8</Pages>
  <Words>1908</Words>
  <Characters>10498</Characters>
  <Application>Microsoft Office Word</Application>
  <DocSecurity>0</DocSecurity>
  <Lines>87</Lines>
  <Paragraphs>24</Paragraphs>
  <ScaleCrop>false</ScaleCrop>
  <Company/>
  <LinksUpToDate>false</LinksUpToDate>
  <CharactersWithSpaces>12382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Oscar David Mórelo Pedroza</cp:lastModifiedBy>
  <cp:revision>2</cp:revision>
  <dcterms:created xsi:type="dcterms:W3CDTF">2024-10-10T15:46:00Z</dcterms:created>
  <dcterms:modified xsi:type="dcterms:W3CDTF">2024-10-10T15:46:00Z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